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590" w:lineRule="exact"/>
        <w:jc w:val="both"/>
        <w:textAlignment w:val="baseline"/>
        <w:rPr>
          <w:rFonts w:hint="eastAsia" w:ascii="Times New Roman" w:hAnsi="Times New Roman" w:eastAsia="方正黑体简体" w:cs="Times New Roman"/>
          <w:b w:val="0"/>
          <w:bCs/>
          <w:spacing w:val="5"/>
          <w:sz w:val="32"/>
          <w:szCs w:val="31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pacing w:val="5"/>
          <w:sz w:val="32"/>
          <w:szCs w:val="31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spacing w:val="5"/>
          <w:sz w:val="32"/>
          <w:szCs w:val="31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before="56" w:line="209" w:lineRule="auto"/>
        <w:ind w:left="2140"/>
        <w:textAlignment w:val="baseline"/>
        <w:rPr>
          <w:rFonts w:hint="default" w:ascii="Times New Roman" w:hAnsi="Times New Roman" w:eastAsia="方正小标宋简体" w:cs="Times New Roman"/>
          <w:b w:val="0"/>
          <w:bCs/>
          <w:spacing w:val="9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9"/>
          <w:sz w:val="43"/>
          <w:szCs w:val="43"/>
        </w:rPr>
        <w:t>绵竹市城镇小区配套幼儿园办园水平督导评估细则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before="56" w:line="209" w:lineRule="auto"/>
        <w:ind w:left="2140"/>
        <w:textAlignment w:val="baseline"/>
        <w:rPr>
          <w:rFonts w:hint="default" w:ascii="Times New Roman" w:hAnsi="Times New Roman" w:eastAsia="方正小标宋简体" w:cs="Times New Roman"/>
          <w:b w:val="0"/>
          <w:bCs/>
          <w:spacing w:val="9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before="56" w:line="209" w:lineRule="auto"/>
        <w:textAlignment w:val="baseline"/>
        <w:rPr>
          <w:rFonts w:hint="default" w:ascii="Times New Roman" w:hAnsi="Times New Roman" w:eastAsia="方正小标宋简体" w:cs="Times New Roman"/>
          <w:b w:val="0"/>
          <w:bCs/>
          <w:spacing w:val="9"/>
          <w:sz w:val="43"/>
          <w:szCs w:val="43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eastAsia="zh-CN"/>
        </w:rPr>
        <w:t>幼儿园名称（盖章）：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eastAsia="zh-CN"/>
        </w:rPr>
        <w:t>评估组（签字）：</w:t>
      </w:r>
      <w:r>
        <w:rPr>
          <w:rFonts w:hint="eastAsia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eastAsia="zh-CN"/>
        </w:rPr>
        <w:t>园长（签字）：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eastAsia="zh-CN"/>
        </w:rPr>
        <w:t>考核时间：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eastAsia="zh-CN"/>
        </w:rPr>
        <w:t>考核得分：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    </w:t>
      </w:r>
    </w:p>
    <w:tbl>
      <w:tblPr>
        <w:tblStyle w:val="8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400"/>
        <w:gridCol w:w="7831"/>
        <w:gridCol w:w="770"/>
        <w:gridCol w:w="1866"/>
        <w:gridCol w:w="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18" w:lineRule="auto"/>
              <w:ind w:left="152"/>
              <w:jc w:val="center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18" w:lineRule="auto"/>
              <w:ind w:left="316"/>
              <w:jc w:val="center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3"/>
                <w:sz w:val="24"/>
                <w:szCs w:val="24"/>
              </w:rPr>
              <w:t>二级指标</w:t>
            </w: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18" w:lineRule="auto"/>
              <w:ind w:left="2761"/>
              <w:jc w:val="both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3"/>
                <w:sz w:val="24"/>
                <w:szCs w:val="24"/>
              </w:rPr>
              <w:t>三级指标（评估要点及标准）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20" w:lineRule="auto"/>
              <w:ind w:left="119"/>
              <w:jc w:val="both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18" w:lineRule="auto"/>
              <w:ind w:firstLine="236" w:firstLineChars="100"/>
              <w:jc w:val="center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等级权重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24" w:line="220" w:lineRule="auto"/>
              <w:jc w:val="center"/>
              <w:textAlignment w:val="baseline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pacing w:val="-3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73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A1 办园条件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（14分）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B1. 办园条件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合格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9" w:line="231" w:lineRule="auto"/>
              <w:ind w:righ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c1.幼儿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highlight w:val="none"/>
              </w:rPr>
              <w:t>园园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舍符合国家和当地建设标准；幼儿园设施设备、装备配备普遍达到四川省《幼儿园教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育装备规范》（DB51T    1433-2021）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。“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活动室设施设备器材配备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中必配设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施设备，配置数量达到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100%；幼儿园玩教具园配要求和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幼儿园玩教具班配要求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中必配玩教具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配备数量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不低于85%，鼓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励教师自制玩教具；幼儿用桌、椅、床分别满足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1 位/人；幼儿生均图书≥5册。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33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6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优秀（5—6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0" w:lineRule="auto"/>
              <w:ind w:left="0" w:right="0" w:firstLine="2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良好（3.5—5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0" w:lineRule="auto"/>
              <w:ind w:left="0" w:right="0" w:firstLine="2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一般（3.5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2" w:line="232" w:lineRule="auto"/>
              <w:ind w:right="10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c2.2017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年后规划设计的幼儿园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全部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符合建标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175-2016《幼儿园建设标准》为达标。其中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室外游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戏场地生均面积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≥4 平方米；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幼儿活动用房生均建筑面积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≥8.17 平方米；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生均建筑面积≥10.44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平方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米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。2017年以前规划设计的幼儿园要尽快有计划通过改扩建或者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减少招生人数等措施达标。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69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33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6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20" w:lineRule="auto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c3.幼儿园教学、生活、安全、卫生等设备设施齐全逐年有更新；监控设施全覆盖、安装电子围栏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331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优秀（1.5—2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3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B2. 班额普遍达标</w:t>
            </w:r>
          </w:p>
        </w:tc>
        <w:tc>
          <w:tcPr>
            <w:tcW w:w="783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1" w:line="229" w:lineRule="auto"/>
              <w:ind w:right="104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c4.幼儿园小、中、大班分别符合《幼儿园工作规程》规定的不超过小班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25 人、中班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30 人、大班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人的班额。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33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A2 幼儿园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管理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（32 分）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B3.管理机制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3" w:line="232" w:lineRule="auto"/>
              <w:ind w:righ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c5.实行园长负责制，组织机构建设、管理机制健全，依据有关教育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法律法规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、方针政策要求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结合本园实际，按照民主程序，制定园所发展规划。并注重规划、计划执行中的调整和完善，保障计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划、规划的发展目标及任务的落实。应建立园务委员会，并定期召开园务委员会会议。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33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B4.规章制度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0" w:line="229" w:lineRule="auto"/>
              <w:ind w:right="10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c6.建立以人为本、符合幼儿园管理要求、切合本园实际、经民主程序产生的规章制度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各项规章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制度执行良好；根据有关规定建立完善的教职工劳动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保障机制。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331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优秀（1.5—2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B5.监管制度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3" w:line="228" w:lineRule="auto"/>
              <w:ind w:right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c7.落实幼儿园基本信息备案及公示制度，及时向社会公布并更新幼儿园办园条件、教职工配备、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收费标准、质量评估等方面信息，主动接受社会监督。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331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优秀（1.5—2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c8.校门外显著位置张贴督学姓名、电话及职责。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5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c9.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民办园没有单独或作为一部分资产打包上市，且无过度逐利行为现象。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B6.经费管理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9" w:line="229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c10.执行财务制度。有独立账目、账目清楚； 无挤占挪用经费、抽逃资金情况；儿童伙食费专款专用，无克扣现象。加强经费的使用监督，强化专项资金监督，提高使用效益。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30" w:lineRule="auto"/>
              <w:ind w:left="112" w:right="109" w:firstLine="357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30" w:lineRule="auto"/>
              <w:ind w:right="109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c11.有必要的办园资金和稳定的经费来源，每年用于改善办园条件、添置设施设备的经费不低于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幼儿园总收入的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10%；严格执行经费管理制度，规范使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用普惠性民办幼儿园财政补助经费。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3" w:line="232" w:lineRule="auto"/>
              <w:ind w:right="57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c12.除收取保教费、住宿费及按规定收取的服务性收费、代收费外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无其他违规收费；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没有跨学期预收费现象；没有关于幼儿园不合理收费的有效投诉。在实地督导评估过程中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没有发现明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显违反相关政策规定的现象。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B7.安全工作</w:t>
            </w: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c13.幼儿园安全管理和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三防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建设普通符合有关规定要求。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2" w:line="229" w:lineRule="auto"/>
              <w:ind w:right="10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c14.督导评估认定前 2年内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学前教育领域未发生较大社会影响的违反有关安全管理的规定，因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而发生伤亡事故或者造成其他严重后果的行为。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3" w:line="233" w:lineRule="auto"/>
              <w:ind w:right="4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c15.严格执行国家和地方幼儿园安全管理的相关规定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建立健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全门卫、房屋、设备、消防、交通、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食品、药物、幼儿接送交接、活动组织和幼儿就寝值守等安全防护和检查制度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，落实到岗到人。安保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人员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val="en-US" w:eastAsia="zh-CN"/>
              </w:rPr>
              <w:t>有相应资质，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着装规范。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3" w:line="229" w:lineRule="auto"/>
              <w:ind w:right="106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c16.有安全应急预案和防控措施。高度重视安全教育，将幼儿安全教育纳入一日生活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定期开展多种形式的安全教育和安全应急演练，教职工安全意识强，儿童有自我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保护意识。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c17.校车及使用符合相关规定要求。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3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c18.幼儿园应当投保校方责任险。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33" w:type="dxa"/>
            <w:vMerge w:val="restart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3" w:lineRule="auto"/>
              <w:ind w:left="121" w:right="106" w:hanging="1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A3教职工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3" w:lineRule="auto"/>
              <w:ind w:left="121" w:right="106" w:hanging="1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队伍建设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3" w:lineRule="auto"/>
              <w:ind w:left="121" w:right="106" w:hanging="12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（22分）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B8.师德师风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6" w:line="231" w:lineRule="auto"/>
              <w:ind w:right="10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c19.重视师德师风教育，师德师风建设机制健全，督导评估认定前 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5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年内未发生因师德失范、触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犯法律等受到开除处分的严重师德师风事件。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69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2" w:line="233" w:lineRule="auto"/>
              <w:ind w:righ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c20.将师德师风建设贯彻教师管理全过程，师德教育摆在教师培养首位；将师德表现作为教师考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核、聘任（聘用）和评优的首要内容；师德监督由学校、教师、学生、家长、社会全面参与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；强化教师地位、权利保护、尊师教育、各方联动，营造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尊师重教氛围。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B9. 教职工配足 配齐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0" w:line="229" w:lineRule="auto"/>
              <w:ind w:right="4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c21.按照《幼儿园教职工配备标准（暂行）》，全日制幼儿园每班配备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名专任教师和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名保育员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以幼儿园为单位，将职工与幼儿比不低于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1:7、保教人员与幼儿园比不低于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1:9 作为参考指标。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8" w:line="231" w:lineRule="auto"/>
              <w:ind w:right="11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c22.幼儿园专任教师总数与在园幼儿总数之比不低于1:15。依据当年事业统计数据测算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必须达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到此标准为达标。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B10.教职工资 质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1" w:line="229" w:lineRule="auto"/>
              <w:ind w:right="10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c23.各岗位人员具有规定学历、资格证书、岗位培训证书和健康合格证等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园长及专任教师持证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率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100%。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B11. 教 职 工 培训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2" w:line="229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c24.落实幼儿园园长、教师定期培训和全员轮训制度。做到培训、轮训制度健全、落实，且有经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费保障、有实效。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一般（2分以下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21"/>
                <w:szCs w:val="21"/>
              </w:rPr>
              <w:t>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ind w:right="12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ind w:right="1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25.教师教研和教职工培训经费保障、形式多样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培训面是否达到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100%，合格率是否达到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100%。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44" w:line="243" w:lineRule="auto"/>
              <w:ind w:left="107" w:right="106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B12. 教职工待遇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34" w:line="231" w:lineRule="auto"/>
              <w:ind w:righ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26.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民办幼儿园举办者落实《四川省学前教育深化改革规范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发展实施方案》及当地保障民办幼儿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园教师工资收入有关政策情况；按规定与教职工签订聘用或劳动合同，教师工资按时足额发放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，依法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依规足额足项为教职工缴纳社会保险和住房公积金。没有民办幼儿园教师群体关于工资待遇问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题的有效投诉。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733" w:type="dxa"/>
            <w:vMerge w:val="restar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A4 保教工作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right="106" w:firstLine="244" w:firstLineChars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（32分）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4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B13.教育理念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0" w:line="230" w:lineRule="auto"/>
              <w:ind w:right="10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c27.尊重幼儿的人格和权利，尊重幼儿身心发展规律和学习特点，坚持以游戏为基本活动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保教并重，关注个体差异，促进幼儿主动、活泼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、富有个性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发展。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B14.教育活动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8" w:line="230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c28.幼儿一日生活安排合理，活动形式多样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动静交替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室内室外活动兼顾。正常情况下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每天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户外活动时间不低于两小时。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lang w:val="en-US" w:eastAsia="zh-CN"/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c29.教育活动注重引导幼儿直接感知、动手操作和亲身体验。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firstLine="420" w:firstLineChars="20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lang w:val="en-US" w:eastAsia="zh-CN"/>
              </w:rPr>
              <w:t xml:space="preserve">     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良好 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9" w:line="231" w:lineRule="auto"/>
              <w:ind w:right="10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c30.幼小科学衔接。幼儿园根据不同年龄段幼儿年龄特点与发展水平，循序渐进完成幼儿入学准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9"/>
                <w:sz w:val="18"/>
                <w:szCs w:val="18"/>
              </w:rPr>
              <w:t>备。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7" w:line="232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c31.教育活动计划明确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活动方案可操作，活动组织形式灵活恰当。坚持保教并重的原则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健全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和完善符合儿童成长与发展的保教工作制度，保教工作管理规范。并对幼儿发展水平进行科学评价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注重运用评价结果调整改进保教工作。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31" w:line="232" w:lineRule="auto"/>
              <w:ind w:right="4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c32.幼儿园按规定创设多种活动区域（区角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9"/>
                <w:sz w:val="18"/>
                <w:szCs w:val="18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提供充足的符合幼儿年龄特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点的玩教具、游戏材料、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图画书；没有提前教授汉语拼音、识字、计算、英语等小学课程内容；没有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 xml:space="preserve">以课堂集中授课方式为主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组织安排一日活动；没有以机械背诵、记忆、抄写、计算等方式进行知识技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能性强化训练的行为；没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有对幼儿园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小学化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问题的有效投诉；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45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6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优秀（5—6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良好（3.5—5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一般（3.5分以下）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B15.保育工作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9" w:line="232" w:lineRule="auto"/>
              <w:ind w:right="10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c33.积极做好幼儿、教职工体检和幼儿健康检测工作；做好计划免疫宣传和疾病防治工作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各种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传染病无继发和蔓延；严格执行卫生消毒制度；重视对体弱儿童、肥胖儿童、问题儿童、心理偏差儿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童的矫治和疏导，促进幼儿健康成长。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6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7" w:line="229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c34.合理安排幼儿带量食谱，餐点保质保量；保障幼儿安全便利、自由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饮水；幼儿伙食和教职工伙食严格分开。按照相关规定进行食品留样；每周向家长公示幼儿食谱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食材来源公示。</w:t>
            </w:r>
          </w:p>
        </w:tc>
        <w:tc>
          <w:tcPr>
            <w:tcW w:w="770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9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20"/>
          <w:szCs w:val="32"/>
          <w:lang w:val="en-US" w:eastAsia="zh-CN"/>
        </w:rPr>
        <w:sectPr>
          <w:footerReference r:id="rId3" w:type="default"/>
          <w:pgSz w:w="16839" w:h="11907" w:orient="landscape"/>
          <w:pgMar w:top="1701" w:right="1418" w:bottom="1418" w:left="1701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86" w:charSpace="0"/>
        </w:sectPr>
      </w:pP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/>
          <w:sz w:val="20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7" w:h="16839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3936931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33 -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3936931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33 -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  <w:docVar w:name="KSO_WPS_MARK_KEY" w:val="031ab322-3c9e-44b3-b349-9299138b17bd"/>
  </w:docVars>
  <w:rsids>
    <w:rsidRoot w:val="00EC1ACF"/>
    <w:rsid w:val="00055568"/>
    <w:rsid w:val="000D1489"/>
    <w:rsid w:val="00134E95"/>
    <w:rsid w:val="00164B4C"/>
    <w:rsid w:val="001F42A7"/>
    <w:rsid w:val="0023610D"/>
    <w:rsid w:val="002D1C5B"/>
    <w:rsid w:val="00383A9C"/>
    <w:rsid w:val="003B31B5"/>
    <w:rsid w:val="003B58CC"/>
    <w:rsid w:val="0041007F"/>
    <w:rsid w:val="00440B4E"/>
    <w:rsid w:val="00501954"/>
    <w:rsid w:val="00506560"/>
    <w:rsid w:val="005D6494"/>
    <w:rsid w:val="005F5D97"/>
    <w:rsid w:val="00641B6F"/>
    <w:rsid w:val="0070147A"/>
    <w:rsid w:val="00757321"/>
    <w:rsid w:val="00790E7A"/>
    <w:rsid w:val="00842AC9"/>
    <w:rsid w:val="008B0B6A"/>
    <w:rsid w:val="00A25C36"/>
    <w:rsid w:val="00A27B65"/>
    <w:rsid w:val="00AD721C"/>
    <w:rsid w:val="00B600CC"/>
    <w:rsid w:val="00BA0D62"/>
    <w:rsid w:val="00BA731A"/>
    <w:rsid w:val="00BE3D00"/>
    <w:rsid w:val="00CA4B4A"/>
    <w:rsid w:val="00D153A1"/>
    <w:rsid w:val="00D52D28"/>
    <w:rsid w:val="00D60E01"/>
    <w:rsid w:val="00D7058C"/>
    <w:rsid w:val="00DD3A97"/>
    <w:rsid w:val="00E442D1"/>
    <w:rsid w:val="00E907AD"/>
    <w:rsid w:val="00EB5EEA"/>
    <w:rsid w:val="00EC1ACF"/>
    <w:rsid w:val="00F230EC"/>
    <w:rsid w:val="00F7718E"/>
    <w:rsid w:val="00FE2565"/>
    <w:rsid w:val="01811D4A"/>
    <w:rsid w:val="022221DC"/>
    <w:rsid w:val="06253E14"/>
    <w:rsid w:val="09B0553D"/>
    <w:rsid w:val="0F5542C3"/>
    <w:rsid w:val="10060D14"/>
    <w:rsid w:val="102D589C"/>
    <w:rsid w:val="12057230"/>
    <w:rsid w:val="193A4B8F"/>
    <w:rsid w:val="1B4A2C53"/>
    <w:rsid w:val="1BCA757A"/>
    <w:rsid w:val="1DCA7323"/>
    <w:rsid w:val="205739AD"/>
    <w:rsid w:val="249F2663"/>
    <w:rsid w:val="25E669E6"/>
    <w:rsid w:val="27C14674"/>
    <w:rsid w:val="2A34718B"/>
    <w:rsid w:val="2B41674B"/>
    <w:rsid w:val="2D234B99"/>
    <w:rsid w:val="2D9139BA"/>
    <w:rsid w:val="2E13617D"/>
    <w:rsid w:val="2F032695"/>
    <w:rsid w:val="2F42357E"/>
    <w:rsid w:val="32963820"/>
    <w:rsid w:val="343432F1"/>
    <w:rsid w:val="36074195"/>
    <w:rsid w:val="392A071A"/>
    <w:rsid w:val="3AD96499"/>
    <w:rsid w:val="3D687B67"/>
    <w:rsid w:val="3F3F1DF3"/>
    <w:rsid w:val="419012E9"/>
    <w:rsid w:val="4396349F"/>
    <w:rsid w:val="48613450"/>
    <w:rsid w:val="49CF057A"/>
    <w:rsid w:val="4A9E30C8"/>
    <w:rsid w:val="4B043DC6"/>
    <w:rsid w:val="4B727A87"/>
    <w:rsid w:val="4BA80635"/>
    <w:rsid w:val="4D2E66D8"/>
    <w:rsid w:val="514E10F6"/>
    <w:rsid w:val="51C55604"/>
    <w:rsid w:val="53535623"/>
    <w:rsid w:val="53ED60C1"/>
    <w:rsid w:val="552916CF"/>
    <w:rsid w:val="55BF1565"/>
    <w:rsid w:val="59EC57B5"/>
    <w:rsid w:val="5C5459E8"/>
    <w:rsid w:val="5ED66BCF"/>
    <w:rsid w:val="60C45679"/>
    <w:rsid w:val="652B5708"/>
    <w:rsid w:val="693B326F"/>
    <w:rsid w:val="6A0D5D1C"/>
    <w:rsid w:val="6C3A7AD9"/>
    <w:rsid w:val="6CF546C4"/>
    <w:rsid w:val="6D8746D1"/>
    <w:rsid w:val="6F1074AC"/>
    <w:rsid w:val="6F7FC8C7"/>
    <w:rsid w:val="6FC62348"/>
    <w:rsid w:val="70A6326C"/>
    <w:rsid w:val="713779A1"/>
    <w:rsid w:val="71662034"/>
    <w:rsid w:val="71DE1293"/>
    <w:rsid w:val="74FF20FA"/>
    <w:rsid w:val="78F76C86"/>
    <w:rsid w:val="79FF5D7B"/>
    <w:rsid w:val="7A7905A5"/>
    <w:rsid w:val="7DF595AE"/>
    <w:rsid w:val="7E0C77D2"/>
    <w:rsid w:val="7E991353"/>
    <w:rsid w:val="8EA75611"/>
    <w:rsid w:val="BFFFF446"/>
    <w:rsid w:val="CEDE3D17"/>
    <w:rsid w:val="E7FE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1"/>
    <w:pPr>
      <w:ind w:left="740"/>
      <w:outlineLvl w:val="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页眉 Char"/>
    <w:basedOn w:val="7"/>
    <w:link w:val="5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autoRedefine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标题 11"/>
    <w:basedOn w:val="1"/>
    <w:autoRedefine/>
    <w:qFormat/>
    <w:uiPriority w:val="1"/>
    <w:pPr>
      <w:widowControl w:val="0"/>
      <w:autoSpaceDE w:val="0"/>
      <w:autoSpaceDN w:val="0"/>
      <w:adjustRightInd/>
      <w:snapToGrid/>
      <w:spacing w:after="0"/>
      <w:ind w:left="740"/>
      <w:outlineLvl w:val="1"/>
    </w:pPr>
    <w:rPr>
      <w:rFonts w:ascii="PMingLiU" w:hAnsi="PMingLiU" w:eastAsia="PMingLiU" w:cs="PMingLiU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13754</Words>
  <Characters>14397</Characters>
  <Lines>1</Lines>
  <Paragraphs>1</Paragraphs>
  <TotalTime>3</TotalTime>
  <ScaleCrop>false</ScaleCrop>
  <LinksUpToDate>false</LinksUpToDate>
  <CharactersWithSpaces>15003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2023-09-22T05:02:00Z</dcterms:created>
  <dc:creator>伍泽美</dc:creator>
  <cp:lastModifiedBy>Fengcc</cp:lastModifiedBy>
  <cp:lastPrinted>2024-03-11T00:26:00Z</cp:lastPrinted>
  <dcterms:modified xsi:type="dcterms:W3CDTF">2024-04-18T06:03:31Z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2023-11-24T09:20:11Z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0D86C1F503374B63AD2B9931FCE00614_13</vt:lpwstr>
  </property>
</Properties>
</file>