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黑体" w:hAnsi="黑体" w:eastAsia="黑体"/>
        </w:rPr>
      </w:pPr>
      <w:r>
        <w:rPr>
          <w:rFonts w:hint="eastAsia" w:ascii="黑体" w:hAnsi="黑体" w:eastAsia="黑体"/>
        </w:rPr>
        <w:t>附件10</w:t>
      </w:r>
    </w:p>
    <w:p>
      <w:pPr>
        <w:spacing w:line="580" w:lineRule="exact"/>
      </w:pPr>
    </w:p>
    <w:p>
      <w:pPr>
        <w:snapToGrid w:val="0"/>
        <w:spacing w:line="580"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项目支出绩效评价报告范本</w:t>
      </w:r>
    </w:p>
    <w:p>
      <w:pPr>
        <w:tabs>
          <w:tab w:val="left" w:pos="3885"/>
        </w:tabs>
        <w:snapToGrid w:val="0"/>
        <w:spacing w:line="580" w:lineRule="exact"/>
        <w:jc w:val="center"/>
        <w:rPr>
          <w:rFonts w:hAnsi="宋体"/>
        </w:rPr>
      </w:pPr>
      <w:r>
        <w:rPr>
          <w:rFonts w:hint="eastAsia" w:hAnsi="宋体"/>
        </w:rPr>
        <w:t>（绵竹市2019年村防疫员补助项目）</w:t>
      </w:r>
    </w:p>
    <w:p>
      <w:pPr>
        <w:tabs>
          <w:tab w:val="left" w:pos="3885"/>
        </w:tabs>
        <w:snapToGrid w:val="0"/>
        <w:spacing w:line="580" w:lineRule="exact"/>
        <w:ind w:firstLine="643" w:firstLineChars="200"/>
        <w:jc w:val="left"/>
        <w:rPr>
          <w:rFonts w:ascii="宋体" w:eastAsia="宋体"/>
          <w:b/>
          <w:szCs w:val="21"/>
        </w:rPr>
      </w:pPr>
    </w:p>
    <w:p>
      <w:pPr>
        <w:tabs>
          <w:tab w:val="left" w:pos="5257"/>
        </w:tabs>
        <w:adjustRightInd w:val="0"/>
        <w:snapToGrid w:val="0"/>
        <w:spacing w:line="580" w:lineRule="exact"/>
        <w:ind w:firstLine="720"/>
        <w:rPr>
          <w:rFonts w:ascii="黑体" w:hAnsi="宋体" w:eastAsia="黑体"/>
          <w:szCs w:val="21"/>
        </w:rPr>
      </w:pPr>
      <w:r>
        <w:rPr>
          <w:rFonts w:hint="eastAsia" w:ascii="黑体" w:hAnsi="宋体" w:eastAsia="黑体"/>
          <w:szCs w:val="21"/>
        </w:rPr>
        <w:t>一、内容摘要</w:t>
      </w:r>
    </w:p>
    <w:p>
      <w:pPr>
        <w:ind w:firstLine="643" w:firstLineChars="200"/>
        <w:rPr>
          <w:rFonts w:ascii="楷体_GB2312" w:hAnsi="宋体" w:eastAsia="楷体_GB2312"/>
          <w:b/>
          <w:lang w:val="zh-CN"/>
        </w:rPr>
      </w:pPr>
      <w:r>
        <w:rPr>
          <w:rFonts w:hint="eastAsia" w:ascii="楷体_GB2312" w:hAnsi="宋体" w:eastAsia="楷体_GB2312"/>
          <w:b/>
          <w:lang w:val="zh-CN"/>
        </w:rPr>
        <w:t>（一）项目资金申报及批复情况。</w:t>
      </w:r>
    </w:p>
    <w:p>
      <w:pPr>
        <w:ind w:firstLine="640" w:firstLineChars="200"/>
        <w:rPr>
          <w:rFonts w:ascii="仿宋_GB2312" w:hAnsi="宋体"/>
          <w:b/>
          <w:lang w:val="zh-CN"/>
        </w:rPr>
      </w:pPr>
      <w:r>
        <w:rPr>
          <w:rFonts w:hint="eastAsia"/>
        </w:rPr>
        <w:t>全</w:t>
      </w:r>
      <w:r>
        <w:rPr>
          <w:rFonts w:hint="eastAsia" w:ascii="仿宋_GB2312"/>
        </w:rPr>
        <w:t>市村防疫员补助资金63.12万元，资金构成是中央省级财政拨付53.12万元，本级配套资金10万元。该项目本级配套资金年初纳入一般公共预算，中央省级财政下达资金制定了实施方案《绵竹市农业农村局 绵竹市财政局关于上报绵竹市的（川财农[2018]185号）2019年中央财政动物防疫等补助经费及省级财政农业公共安全与生态资源保护利用工程资金使用方案的报告》，并报送德阳市农业农村局、德阳市财政局审批，批复在2019年6月底以德农计财[2019]6号文件下达。符合资金管理办法等相关规定。</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（二）项目绩效目标。</w:t>
      </w:r>
    </w:p>
    <w:p>
      <w:pPr>
        <w:adjustRightInd w:val="0"/>
        <w:snapToGrid w:val="0"/>
        <w:spacing w:line="580" w:lineRule="exact"/>
        <w:ind w:firstLine="720"/>
        <w:rPr>
          <w:rFonts w:ascii="仿宋_GB2312" w:hAnsi="宋体"/>
          <w:lang w:val="zh-CN"/>
        </w:rPr>
      </w:pPr>
      <w:r>
        <w:rPr>
          <w:rFonts w:hint="eastAsia" w:ascii="仿宋_GB2312" w:hAnsi="宋体"/>
          <w:lang w:val="zh-CN"/>
        </w:rPr>
        <w:t>项目主要内容</w:t>
      </w:r>
      <w:r>
        <w:rPr>
          <w:rFonts w:hint="eastAsia" w:ascii="仿宋_GB2312" w:hAnsi="宋体"/>
        </w:rPr>
        <w:t>：村级防疫员开展春秋两季散养农户重大动物疫病的免疫注射、掌握辖区内疫情动态，及时疫情报告、宣传动物防疫等工作，力争全市无区域性重大动物疫病发生。在2019年12月上旬完成村防疫员补助资金拨付</w:t>
      </w:r>
      <w:r>
        <w:rPr>
          <w:rFonts w:hint="eastAsia" w:ascii="仿宋_GB2312" w:hAnsi="宋体"/>
          <w:lang w:val="zh-CN"/>
        </w:rPr>
        <w:t>。</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（三）项目资金申报相符性。</w:t>
      </w:r>
    </w:p>
    <w:p>
      <w:pPr>
        <w:adjustRightInd w:val="0"/>
        <w:snapToGrid w:val="0"/>
        <w:spacing w:line="580" w:lineRule="exact"/>
        <w:ind w:firstLine="720"/>
        <w:rPr>
          <w:rFonts w:ascii="仿宋_GB2312" w:hAnsi="宋体"/>
          <w:lang w:val="zh-CN"/>
        </w:rPr>
      </w:pPr>
      <w:r>
        <w:rPr>
          <w:rFonts w:hint="eastAsia" w:ascii="仿宋_GB2312" w:hAnsi="宋体"/>
          <w:lang w:val="zh-CN"/>
        </w:rPr>
        <w:t>项目申报内容</w:t>
      </w:r>
      <w:r>
        <w:rPr>
          <w:rFonts w:hint="eastAsia" w:ascii="仿宋_GB2312" w:hAnsi="宋体"/>
        </w:rPr>
        <w:t>是村级防疫员开展春秋两季散养农户重大动物疫病的免疫注射、掌握辖区内疫情动态，及时疫情报告、宣传动物防疫等工作的补助，</w:t>
      </w:r>
      <w:r>
        <w:rPr>
          <w:rFonts w:hint="eastAsia" w:ascii="仿宋_GB2312" w:hAnsi="宋体"/>
          <w:lang w:val="zh-CN"/>
        </w:rPr>
        <w:t>与具体实施内容相符、申报目标合理可行。</w:t>
      </w:r>
    </w:p>
    <w:p>
      <w:pPr>
        <w:snapToGrid w:val="0"/>
        <w:spacing w:line="580" w:lineRule="exact"/>
        <w:ind w:firstLine="640" w:firstLineChars="200"/>
        <w:rPr>
          <w:rFonts w:ascii="黑体" w:hAnsi="宋体" w:eastAsia="黑体"/>
          <w:szCs w:val="21"/>
        </w:rPr>
      </w:pPr>
      <w:r>
        <w:rPr>
          <w:rFonts w:hint="eastAsia" w:ascii="黑体" w:hAnsi="宋体" w:eastAsia="黑体"/>
          <w:szCs w:val="21"/>
        </w:rPr>
        <w:t>二、评价工作开展及项目情况</w:t>
      </w:r>
    </w:p>
    <w:p>
      <w:pPr>
        <w:adjustRightInd w:val="0"/>
        <w:snapToGrid w:val="0"/>
        <w:spacing w:line="580" w:lineRule="exact"/>
        <w:ind w:firstLine="720"/>
        <w:rPr>
          <w:rFonts w:ascii="仿宋_GB2312"/>
        </w:rPr>
      </w:pPr>
      <w:r>
        <w:rPr>
          <w:rFonts w:hint="eastAsia" w:ascii="仿宋_GB2312"/>
        </w:rPr>
        <w:t>根据相关政策规定和绵竹市财政局关于开展2020年财政支出绩效评价工作的通知要求，评价组按下列步骤开展绩效评价：</w:t>
      </w:r>
    </w:p>
    <w:p>
      <w:pPr>
        <w:adjustRightInd w:val="0"/>
        <w:snapToGrid w:val="0"/>
        <w:spacing w:line="580" w:lineRule="exact"/>
        <w:ind w:firstLine="720"/>
        <w:rPr>
          <w:rFonts w:ascii="仿宋_GB2312"/>
        </w:rPr>
      </w:pPr>
      <w:r>
        <w:rPr>
          <w:rFonts w:hint="eastAsia" w:ascii="仿宋_GB2312"/>
        </w:rPr>
        <w:t>1.前期准备。</w:t>
      </w:r>
    </w:p>
    <w:p>
      <w:pPr>
        <w:adjustRightInd w:val="0"/>
        <w:snapToGrid w:val="0"/>
        <w:spacing w:line="580" w:lineRule="exact"/>
        <w:ind w:firstLine="720"/>
        <w:rPr>
          <w:rFonts w:ascii="仿宋_GB2312"/>
        </w:rPr>
      </w:pPr>
      <w:r>
        <w:rPr>
          <w:rFonts w:hint="eastAsia" w:ascii="仿宋_GB2312"/>
        </w:rPr>
        <w:t>安排相关人员成立了绩效评价工作小组，明确了工作职责，把握绩效评价原则、确定评价方法、完善评价指标设计及评价标准、证据来源及证据收集方法等,积极与绵竹市水利局协调和沟通，明确评价工作时间。</w:t>
      </w:r>
    </w:p>
    <w:p>
      <w:pPr>
        <w:adjustRightInd w:val="0"/>
        <w:snapToGrid w:val="0"/>
        <w:spacing w:line="580" w:lineRule="exact"/>
        <w:ind w:firstLine="720"/>
        <w:rPr>
          <w:rFonts w:ascii="仿宋_GB2312"/>
        </w:rPr>
      </w:pPr>
      <w:r>
        <w:rPr>
          <w:rFonts w:hint="eastAsia" w:ascii="仿宋_GB2312"/>
        </w:rPr>
        <w:t xml:space="preserve"> 2.项目绩效评价实施步骤</w:t>
      </w:r>
    </w:p>
    <w:p>
      <w:pPr>
        <w:adjustRightInd w:val="0"/>
        <w:snapToGrid w:val="0"/>
        <w:spacing w:line="580" w:lineRule="exact"/>
        <w:ind w:firstLine="720"/>
        <w:rPr>
          <w:rFonts w:ascii="仿宋_GB2312"/>
        </w:rPr>
      </w:pPr>
      <w:r>
        <w:rPr>
          <w:rFonts w:hint="eastAsia" w:ascii="仿宋_GB2312"/>
        </w:rPr>
        <w:t>(1)对收集的资料进行整理、分类、分析，提出补充资料、修订完善指标体系。</w:t>
      </w:r>
    </w:p>
    <w:p>
      <w:pPr>
        <w:adjustRightInd w:val="0"/>
        <w:snapToGrid w:val="0"/>
        <w:spacing w:line="580" w:lineRule="exact"/>
        <w:ind w:firstLine="720"/>
        <w:rPr>
          <w:rFonts w:ascii="仿宋_GB2312"/>
        </w:rPr>
      </w:pPr>
      <w:r>
        <w:rPr>
          <w:rFonts w:hint="eastAsia" w:ascii="仿宋_GB2312"/>
        </w:rPr>
        <w:t xml:space="preserve">(2)审阅项目批复文件，相关账簿、凭证等，了解项目资金的拨付和使用情况，并与批复文件进行对比，形成评价资料。    </w:t>
      </w:r>
    </w:p>
    <w:p>
      <w:pPr>
        <w:adjustRightInd w:val="0"/>
        <w:snapToGrid w:val="0"/>
        <w:spacing w:line="580" w:lineRule="exact"/>
        <w:ind w:firstLine="720"/>
        <w:rPr>
          <w:rFonts w:ascii="仿宋_GB2312"/>
        </w:rPr>
      </w:pPr>
      <w:r>
        <w:rPr>
          <w:rFonts w:hint="eastAsia" w:ascii="仿宋_GB2312"/>
        </w:rPr>
        <w:t>(3)对项目的工作人员进行访谈调查，了解项目实施的组织管理、过程控制，资金管理等。</w:t>
      </w:r>
    </w:p>
    <w:p>
      <w:pPr>
        <w:adjustRightInd w:val="0"/>
        <w:snapToGrid w:val="0"/>
        <w:spacing w:line="580" w:lineRule="exact"/>
        <w:ind w:firstLine="720"/>
        <w:rPr>
          <w:rFonts w:ascii="仿宋_GB2312"/>
        </w:rPr>
      </w:pPr>
      <w:r>
        <w:rPr>
          <w:rFonts w:hint="eastAsia" w:ascii="仿宋_GB2312"/>
        </w:rPr>
        <w:t>(4)进行社会调查，对项目涉及到的主体、收益对象及服务对象对项目效果的满意程度进行总结。</w:t>
      </w:r>
    </w:p>
    <w:p>
      <w:pPr>
        <w:adjustRightInd w:val="0"/>
        <w:snapToGrid w:val="0"/>
        <w:spacing w:line="580" w:lineRule="exact"/>
        <w:ind w:firstLine="720"/>
        <w:rPr>
          <w:rFonts w:ascii="仿宋_GB2312"/>
        </w:rPr>
      </w:pPr>
      <w:r>
        <w:rPr>
          <w:rFonts w:hint="eastAsia" w:ascii="仿宋_GB2312"/>
        </w:rPr>
        <w:t>(5)开展现场绩效评价工作。评价组成员深入到项目实施单位听取该项目的详细介绍，核实申报的各种资料；完成对项目业务科室负责人及项目负责人的访谈、现场查勘及各类表格的填报工作。</w:t>
      </w:r>
    </w:p>
    <w:p>
      <w:pPr>
        <w:snapToGrid w:val="0"/>
        <w:spacing w:line="580" w:lineRule="exact"/>
        <w:ind w:firstLine="640" w:firstLineChars="200"/>
        <w:rPr>
          <w:rFonts w:ascii="黑体" w:hAnsi="宋体" w:eastAsia="黑体"/>
          <w:szCs w:val="21"/>
        </w:rPr>
      </w:pPr>
      <w:r>
        <w:rPr>
          <w:rFonts w:hint="eastAsia" w:ascii="黑体" w:hAnsi="宋体" w:eastAsia="黑体"/>
          <w:szCs w:val="21"/>
        </w:rPr>
        <w:t>四、评价结论及绩效分析</w:t>
      </w:r>
    </w:p>
    <w:p>
      <w:pPr>
        <w:adjustRightInd w:val="0"/>
        <w:snapToGrid w:val="0"/>
        <w:spacing w:line="580" w:lineRule="exact"/>
        <w:ind w:firstLine="720"/>
        <w:rPr>
          <w:rFonts w:ascii="仿宋_GB2312" w:hAnsi="宋体"/>
          <w:b/>
          <w:lang w:val="zh-CN"/>
        </w:rPr>
      </w:pPr>
      <w:r>
        <w:rPr>
          <w:rFonts w:hint="eastAsia" w:ascii="仿宋_GB2312" w:hAnsi="宋体"/>
          <w:b/>
          <w:lang w:val="zh-CN"/>
        </w:rPr>
        <w:t>（一）评价结论</w:t>
      </w:r>
    </w:p>
    <w:p>
      <w:pPr>
        <w:adjustRightInd w:val="0"/>
        <w:snapToGrid w:val="0"/>
        <w:spacing w:line="580" w:lineRule="exact"/>
        <w:ind w:firstLine="643" w:firstLineChars="200"/>
        <w:rPr>
          <w:rFonts w:ascii="黑体" w:hAnsi="宋体" w:eastAsia="黑体"/>
        </w:rPr>
      </w:pPr>
      <w:r>
        <w:rPr>
          <w:rFonts w:hint="eastAsia" w:ascii="楷体_GB2312" w:hAnsi="宋体" w:eastAsia="楷体_GB2312"/>
          <w:b/>
          <w:lang w:val="zh-CN"/>
        </w:rPr>
        <w:t>1.资金计划、到位及使用情况。</w:t>
      </w:r>
    </w:p>
    <w:p>
      <w:pPr>
        <w:adjustRightInd w:val="0"/>
        <w:snapToGrid w:val="0"/>
        <w:spacing w:line="580" w:lineRule="exact"/>
        <w:ind w:firstLine="720"/>
        <w:rPr>
          <w:rFonts w:ascii="仿宋_GB2312" w:hAnsi="宋体"/>
          <w:lang w:val="zh-CN"/>
        </w:rPr>
      </w:pPr>
      <w:r>
        <w:rPr>
          <w:rFonts w:hint="eastAsia" w:ascii="楷体_GB2312" w:hAnsi="宋体" w:eastAsia="楷体_GB2312"/>
          <w:lang w:val="zh-CN"/>
        </w:rPr>
        <w:t>资金计划及到位。</w:t>
      </w:r>
      <w:r>
        <w:rPr>
          <w:rFonts w:hint="eastAsia"/>
        </w:rPr>
        <w:t>该项目本级配套资金</w:t>
      </w:r>
      <w:r>
        <w:rPr>
          <w:rFonts w:hint="eastAsia" w:ascii="仿宋_GB2312" w:hAnsi="宋体"/>
        </w:rPr>
        <w:t>10</w:t>
      </w:r>
      <w:r>
        <w:rPr>
          <w:rFonts w:hint="eastAsia"/>
        </w:rPr>
        <w:t>万元在年初纳入一般公共预算，中央省级财政下达资金</w:t>
      </w:r>
      <w:r>
        <w:rPr>
          <w:rFonts w:hint="eastAsia" w:ascii="仿宋_GB2312" w:hAnsi="宋体"/>
        </w:rPr>
        <w:t>在2019年年初下达到我市，到位资金368.67万元，其中强制免疫资金297.84万元，属中央省级财政</w:t>
      </w:r>
      <w:r>
        <w:rPr>
          <w:rFonts w:hint="eastAsia" w:ascii="仿宋_GB2312" w:hAnsi="宋体"/>
          <w:lang w:val="zh-CN"/>
        </w:rPr>
        <w:t>资金、</w:t>
      </w:r>
      <w:r>
        <w:rPr>
          <w:rFonts w:hint="eastAsia" w:ascii="仿宋_GB2312" w:hAnsi="宋体"/>
        </w:rPr>
        <w:t>在强制免疫资金中支付村防疫员补助53.12万元。</w:t>
      </w:r>
      <w:r>
        <w:rPr>
          <w:rFonts w:hint="eastAsia" w:ascii="仿宋_GB2312" w:hAnsi="宋体"/>
          <w:lang w:val="zh-CN"/>
        </w:rPr>
        <w:t>资金</w:t>
      </w:r>
      <w:r>
        <w:rPr>
          <w:rFonts w:hint="eastAsia" w:ascii="仿宋_GB2312" w:hAnsi="宋体"/>
        </w:rPr>
        <w:t>已全部</w:t>
      </w:r>
      <w:r>
        <w:rPr>
          <w:rFonts w:hint="eastAsia" w:ascii="仿宋_GB2312" w:hAnsi="宋体"/>
          <w:lang w:val="zh-CN"/>
        </w:rPr>
        <w:t>到位。</w:t>
      </w:r>
    </w:p>
    <w:p>
      <w:pPr>
        <w:adjustRightInd w:val="0"/>
        <w:snapToGrid w:val="0"/>
        <w:spacing w:line="580" w:lineRule="exact"/>
        <w:ind w:firstLine="720"/>
        <w:rPr>
          <w:rFonts w:ascii="仿宋_GB2312" w:hAnsi="宋体"/>
          <w:lang w:val="zh-CN"/>
        </w:rPr>
      </w:pPr>
      <w:r>
        <w:rPr>
          <w:rFonts w:hint="eastAsia" w:ascii="楷体_GB2312" w:hAnsi="宋体" w:eastAsia="楷体_GB2312"/>
          <w:lang w:val="zh-CN"/>
        </w:rPr>
        <w:t>资金使用。</w:t>
      </w:r>
      <w:r>
        <w:rPr>
          <w:rFonts w:hint="eastAsia" w:ascii="仿宋_GB2312" w:hAnsi="宋体"/>
          <w:lang w:val="zh-CN"/>
        </w:rPr>
        <w:t>截止评价时点</w:t>
      </w:r>
      <w:r>
        <w:rPr>
          <w:rFonts w:hint="eastAsia" w:ascii="仿宋_GB2312" w:hAnsi="宋体"/>
        </w:rPr>
        <w:t>时，2019年全年全市重大动物疫病免疫注射已完成。2019年12月上旬完成了村防疫员补助资金拨付</w:t>
      </w:r>
      <w:r>
        <w:rPr>
          <w:rFonts w:hint="eastAsia" w:ascii="仿宋_GB2312" w:hAnsi="宋体"/>
          <w:lang w:val="zh-CN"/>
        </w:rPr>
        <w:t>。支付依据合规合法，资金支付与预算相符。</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2.项目财务管理情况。</w:t>
      </w:r>
    </w:p>
    <w:p>
      <w:pPr>
        <w:spacing w:line="560" w:lineRule="exact"/>
        <w:ind w:firstLine="570"/>
        <w:rPr>
          <w:rFonts w:ascii="仿宋_GB2312" w:hAnsi="宋体"/>
          <w:lang w:val="zh-CN"/>
        </w:rPr>
      </w:pPr>
      <w:r>
        <w:rPr>
          <w:rFonts w:hint="eastAsia" w:ascii="仿宋_GB2312" w:hAnsi="宋体"/>
          <w:lang w:val="zh-CN"/>
        </w:rPr>
        <w:t>成立以局长负总责，分管副局长具体负责，财务室负责对财务状况进行专项管理，项目严格执行财务管理制度、财务处理及时、会计核算规范。</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3.项目组织实施情况。</w:t>
      </w:r>
    </w:p>
    <w:p>
      <w:pPr>
        <w:adjustRightInd w:val="0"/>
        <w:snapToGrid w:val="0"/>
        <w:spacing w:line="580" w:lineRule="exact"/>
        <w:ind w:firstLine="640" w:firstLineChars="200"/>
        <w:rPr>
          <w:rFonts w:ascii="仿宋_GB2312" w:hAnsi="宋体"/>
          <w:lang w:val="zh-CN"/>
        </w:rPr>
      </w:pPr>
      <w:r>
        <w:rPr>
          <w:rFonts w:hint="eastAsia" w:ascii="仿宋_GB2312" w:hAnsi="宋体"/>
          <w:lang w:val="zh-CN"/>
        </w:rPr>
        <w:t>为保证项目顺利实施，成立以局长为组长，分管副局长为成员的项目小组，各科室具体负责，明确职责。项目小组负责项目建设的审定，各科室制定项目资金的使用方案、项目的组织、实施、管理等业务工作、负责项目建设的档案文件的收集、整理和管理。该项目的建设严格财务制度，实施流程为在全年防疫任务完成后，由各镇畜牧兽医站报送动物疫病预防控制中心进行审核，审核合格后报局综合科，符合财务制度要求再拨付各镇街道畜牧兽医站。</w:t>
      </w:r>
    </w:p>
    <w:p>
      <w:pPr>
        <w:snapToGrid w:val="0"/>
        <w:spacing w:line="580" w:lineRule="exact"/>
        <w:ind w:firstLine="640" w:firstLineChars="200"/>
        <w:rPr>
          <w:rFonts w:hint="eastAsia" w:ascii="楷体_GB2312" w:hAnsi="宋体" w:eastAsia="楷体_GB2312"/>
          <w:b/>
          <w:szCs w:val="21"/>
        </w:rPr>
      </w:pPr>
      <w:r>
        <w:rPr>
          <w:rFonts w:hint="eastAsia"/>
        </w:rPr>
        <w:drawing>
          <wp:anchor distT="0" distB="0" distL="114300" distR="114300" simplePos="0" relativeHeight="251659264" behindDoc="0" locked="0" layoutInCell="1" allowOverlap="1">
            <wp:simplePos x="0" y="0"/>
            <wp:positionH relativeFrom="column">
              <wp:posOffset>2540</wp:posOffset>
            </wp:positionH>
            <wp:positionV relativeFrom="paragraph">
              <wp:posOffset>96520</wp:posOffset>
            </wp:positionV>
            <wp:extent cx="5274310" cy="7620635"/>
            <wp:effectExtent l="0" t="0" r="2540" b="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5274310" cy="7620635"/>
                    </a:xfrm>
                    <a:prstGeom prst="rect">
                      <a:avLst/>
                    </a:prstGeom>
                    <a:noFill/>
                    <a:ln>
                      <a:noFill/>
                    </a:ln>
                  </pic:spPr>
                </pic:pic>
              </a:graphicData>
            </a:graphic>
          </wp:anchor>
        </w:drawing>
      </w:r>
      <w:r>
        <w:rPr>
          <w:rFonts w:hint="eastAsia" w:ascii="楷体_GB2312" w:hAnsi="宋体" w:eastAsia="楷体_GB2312"/>
          <w:b/>
          <w:szCs w:val="21"/>
        </w:rPr>
        <w:t>4.评价得分</w:t>
      </w:r>
    </w:p>
    <w:p>
      <w:pPr>
        <w:adjustRightInd w:val="0"/>
        <w:snapToGrid w:val="0"/>
        <w:spacing w:line="580" w:lineRule="exact"/>
        <w:ind w:firstLine="640" w:firstLineChars="200"/>
        <w:rPr>
          <w:rFonts w:hint="eastAsia" w:ascii="仿宋_GB2312" w:hAnsi="宋体"/>
          <w:lang w:val="zh-CN"/>
        </w:rPr>
      </w:pPr>
      <w:r>
        <w:rPr>
          <w:rFonts w:hint="eastAsia" w:ascii="仿宋_GB2312" w:hAnsi="宋体"/>
          <w:lang w:val="zh-CN"/>
        </w:rPr>
        <w:t>该项目支出绩效评价得分96分，扣分原因如下：</w:t>
      </w:r>
    </w:p>
    <w:p>
      <w:pPr>
        <w:adjustRightInd w:val="0"/>
        <w:snapToGrid w:val="0"/>
        <w:spacing w:line="580" w:lineRule="exact"/>
        <w:ind w:firstLine="640" w:firstLineChars="200"/>
        <w:rPr>
          <w:rFonts w:hint="eastAsia" w:ascii="仿宋_GB2312" w:hAnsi="宋体"/>
          <w:lang w:val="zh-CN"/>
        </w:rPr>
      </w:pPr>
      <w:r>
        <w:rPr>
          <w:rFonts w:hint="eastAsia" w:ascii="仿宋_GB2312" w:hAnsi="宋体"/>
          <w:lang w:val="zh-CN"/>
        </w:rPr>
        <w:t>（1）绩效目标明确性扣3分：项目绩效目标编制较为笼统，项目预期提供的产品、服务、效益或其他目标未明确细化，不便于衡量；</w:t>
      </w:r>
    </w:p>
    <w:p>
      <w:pPr>
        <w:adjustRightInd w:val="0"/>
        <w:snapToGrid w:val="0"/>
        <w:spacing w:line="580" w:lineRule="exact"/>
        <w:ind w:firstLine="640" w:firstLineChars="200"/>
        <w:rPr>
          <w:rFonts w:hint="eastAsia" w:ascii="仿宋_GB2312" w:hAnsi="宋体"/>
        </w:rPr>
      </w:pPr>
      <w:r>
        <w:rPr>
          <w:rFonts w:hint="eastAsia" w:ascii="仿宋_GB2312" w:hAnsi="宋体"/>
          <w:lang w:val="zh-CN"/>
        </w:rPr>
        <w:t>（2）完成质量扣1分：因2019年我市有一定程度的动物疫情发生，因此“</w:t>
      </w:r>
      <w:r>
        <w:rPr>
          <w:rFonts w:hint="eastAsia" w:ascii="仿宋_GB2312" w:hAnsi="宋体"/>
        </w:rPr>
        <w:t>力争全市无区域性重大动物疫病发生”这一绩效目标完成质量还有待提高；</w:t>
      </w:r>
    </w:p>
    <w:p>
      <w:pPr>
        <w:snapToGrid w:val="0"/>
        <w:spacing w:line="580" w:lineRule="exact"/>
        <w:ind w:firstLine="643" w:firstLineChars="200"/>
        <w:rPr>
          <w:rFonts w:ascii="楷体_GB2312" w:hAnsi="宋体" w:eastAsia="楷体_GB2312"/>
          <w:b/>
          <w:szCs w:val="21"/>
        </w:rPr>
      </w:pPr>
      <w:r>
        <w:rPr>
          <w:rFonts w:hint="eastAsia" w:ascii="楷体_GB2312" w:hAnsi="宋体" w:eastAsia="楷体_GB2312"/>
          <w:b/>
          <w:szCs w:val="21"/>
        </w:rPr>
        <w:t>（二）绩效分析</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1.项目完成情况。</w:t>
      </w:r>
    </w:p>
    <w:p>
      <w:pPr>
        <w:adjustRightInd w:val="0"/>
        <w:snapToGrid w:val="0"/>
        <w:spacing w:line="580" w:lineRule="exact"/>
        <w:ind w:firstLine="720"/>
        <w:rPr>
          <w:rFonts w:ascii="楷体_GB2312" w:hAnsi="宋体" w:eastAsia="楷体_GB2312"/>
          <w:b/>
          <w:lang w:val="zh-CN"/>
        </w:rPr>
      </w:pPr>
      <w:r>
        <w:rPr>
          <w:rFonts w:hint="eastAsia" w:ascii="仿宋_GB2312" w:hAnsi="宋体"/>
          <w:lang w:val="zh-CN"/>
        </w:rPr>
        <w:t>截至目前</w:t>
      </w:r>
      <w:bookmarkStart w:id="0" w:name="_GoBack"/>
      <w:bookmarkEnd w:id="0"/>
      <w:r>
        <w:rPr>
          <w:rFonts w:hint="eastAsia" w:ascii="仿宋_GB2312" w:hAnsi="宋体"/>
        </w:rPr>
        <w:t>全市</w:t>
      </w:r>
      <w:r>
        <w:rPr>
          <w:rFonts w:hint="eastAsia" w:ascii="仿宋_GB2312" w:hAnsi="宋体"/>
          <w:lang w:val="zh-CN"/>
        </w:rPr>
        <w:t>完成</w:t>
      </w:r>
      <w:r>
        <w:rPr>
          <w:rFonts w:hint="eastAsia" w:ascii="仿宋_GB2312" w:hAnsi="宋体"/>
        </w:rPr>
        <w:t>了重大动物疫病免疫注射等工作，强制免疫病种应免畜禽的免疫密度常年保持在95%以上，其中应免畜禽免疫密度达到100%，其中强制免疫病种应免畜禽的免疫密度生猪免疫50.12万头，占应免猪只的100%;牛羊免疫牛、羊口蹄疫疫苗3.89万头，免疫率均达到了100%;家禽免疫禽流感疫苗708.33万羽（包括鸡466.22万羽、鸭229.21万羽、鹅12.9万羽），免疫率占应免数的100%;鸡免疫鸡新城疫疫苗453.22万羽，免疫率达97.21%;免疫密度和质量：口蹄疫合格率93.55%；猪瘟合格率97.73%；禽流感H5合格率95.13%；禽流感H7合格率97.12%；鸡新城疫合格率100%，达到预期目标。2019年12月上旬完成了村防疫员补助资金拨付</w:t>
      </w:r>
      <w:r>
        <w:rPr>
          <w:rFonts w:hint="eastAsia" w:ascii="仿宋_GB2312" w:hAnsi="宋体"/>
          <w:lang w:val="zh-CN"/>
        </w:rPr>
        <w:t>。</w:t>
      </w:r>
    </w:p>
    <w:p>
      <w:pPr>
        <w:adjustRightInd w:val="0"/>
        <w:snapToGrid w:val="0"/>
        <w:spacing w:line="580" w:lineRule="exact"/>
        <w:ind w:firstLine="720"/>
        <w:rPr>
          <w:rFonts w:ascii="楷体_GB2312" w:hAnsi="宋体" w:eastAsia="楷体_GB2312"/>
          <w:b/>
          <w:lang w:val="zh-CN"/>
        </w:rPr>
      </w:pPr>
      <w:r>
        <w:rPr>
          <w:rFonts w:hint="eastAsia" w:ascii="楷体_GB2312" w:hAnsi="宋体" w:eastAsia="楷体_GB2312"/>
          <w:b/>
          <w:lang w:val="zh-CN"/>
        </w:rPr>
        <w:t>2.项目效益情况。</w:t>
      </w:r>
    </w:p>
    <w:p>
      <w:pPr>
        <w:adjustRightInd w:val="0"/>
        <w:snapToGrid w:val="0"/>
        <w:spacing w:line="580" w:lineRule="exact"/>
        <w:ind w:firstLine="720"/>
        <w:rPr>
          <w:rFonts w:ascii="仿宋_GB2312" w:hAnsi="宋体"/>
        </w:rPr>
      </w:pPr>
      <w:r>
        <w:rPr>
          <w:rFonts w:hint="eastAsia" w:ascii="仿宋_GB2312" w:hAnsi="宋体"/>
        </w:rPr>
        <w:t>社会效益：口蹄疫、高致病性禽流感、布病等优先防治病种防治工作按时完成，全市疫情保持稳定控制，无区域性重大动物疫病发生。</w:t>
      </w:r>
      <w:r>
        <w:rPr>
          <w:rFonts w:hint="eastAsia" w:ascii="仿宋_GB2312" w:hAnsi="宋体"/>
        </w:rPr>
        <w:tab/>
      </w:r>
    </w:p>
    <w:p>
      <w:pPr>
        <w:adjustRightInd w:val="0"/>
        <w:snapToGrid w:val="0"/>
        <w:spacing w:line="580" w:lineRule="exact"/>
        <w:ind w:firstLine="720"/>
        <w:rPr>
          <w:rFonts w:ascii="仿宋_GB2312" w:hAnsi="宋体"/>
        </w:rPr>
      </w:pPr>
      <w:r>
        <w:rPr>
          <w:rFonts w:hint="eastAsia" w:ascii="仿宋_GB2312" w:hAnsi="宋体"/>
        </w:rPr>
        <w:t>生态效益：病死猪按照要求进行无害化处置，未发生随意抛弃病死猪事件，未造成环境污染。</w:t>
      </w:r>
    </w:p>
    <w:p>
      <w:pPr>
        <w:snapToGrid w:val="0"/>
        <w:spacing w:line="580" w:lineRule="exact"/>
        <w:ind w:firstLine="640" w:firstLineChars="200"/>
        <w:rPr>
          <w:rFonts w:hint="eastAsia" w:ascii="仿宋_GB2312" w:hAnsi="宋体"/>
        </w:rPr>
      </w:pPr>
      <w:r>
        <w:rPr>
          <w:rFonts w:hint="eastAsia" w:ascii="仿宋_GB2312" w:hAnsi="宋体"/>
        </w:rPr>
        <w:t>满意度：服务对像和补助对象对项目实施满意率</w:t>
      </w:r>
      <w:r>
        <w:rPr>
          <w:rFonts w:hint="eastAsia" w:ascii="仿宋_GB2312" w:hAnsi="宋体"/>
        </w:rPr>
        <w:tab/>
      </w:r>
      <w:r>
        <w:rPr>
          <w:rFonts w:hint="eastAsia" w:ascii="仿宋_GB2312" w:hAnsi="宋体"/>
        </w:rPr>
        <w:t>≥90%。</w:t>
      </w:r>
    </w:p>
    <w:p>
      <w:pPr>
        <w:snapToGrid w:val="0"/>
        <w:spacing w:line="580" w:lineRule="exact"/>
        <w:ind w:firstLine="640" w:firstLineChars="200"/>
        <w:rPr>
          <w:rFonts w:ascii="黑体" w:hAnsi="宋体" w:eastAsia="黑体"/>
          <w:szCs w:val="21"/>
        </w:rPr>
      </w:pPr>
      <w:r>
        <w:rPr>
          <w:rFonts w:hint="eastAsia" w:ascii="黑体" w:hAnsi="宋体" w:eastAsia="黑体"/>
          <w:szCs w:val="21"/>
        </w:rPr>
        <w:t>五、存在主要问题</w:t>
      </w:r>
    </w:p>
    <w:p>
      <w:pPr>
        <w:snapToGrid w:val="0"/>
        <w:spacing w:line="580" w:lineRule="exact"/>
        <w:ind w:firstLine="640" w:firstLineChars="200"/>
        <w:rPr>
          <w:rFonts w:ascii="黑体" w:hAnsi="宋体" w:eastAsia="黑体"/>
          <w:szCs w:val="21"/>
        </w:rPr>
      </w:pPr>
      <w:r>
        <w:rPr>
          <w:rFonts w:hint="eastAsia" w:ascii="仿宋_GB2312" w:hAnsi="宋体"/>
          <w:lang w:val="zh-CN"/>
        </w:rPr>
        <w:t>该项目绩效目标和项目实施内容编制不够明确具体，项目预期提供的产品、服务、效益或其他目标未明确细化，不便于衡量。</w:t>
      </w:r>
    </w:p>
    <w:p>
      <w:pPr>
        <w:snapToGrid w:val="0"/>
        <w:spacing w:line="580" w:lineRule="exact"/>
        <w:ind w:firstLine="640" w:firstLineChars="200"/>
        <w:rPr>
          <w:rFonts w:ascii="黑体" w:hAnsi="宋体" w:eastAsia="黑体"/>
          <w:szCs w:val="21"/>
        </w:rPr>
      </w:pPr>
      <w:r>
        <w:rPr>
          <w:rFonts w:hint="eastAsia" w:ascii="黑体" w:hAnsi="宋体" w:eastAsia="黑体"/>
          <w:szCs w:val="21"/>
        </w:rPr>
        <w:t>六、相关措施建议</w:t>
      </w:r>
    </w:p>
    <w:p>
      <w:pPr>
        <w:snapToGrid w:val="0"/>
        <w:spacing w:line="580" w:lineRule="exact"/>
        <w:ind w:firstLine="640" w:firstLineChars="200"/>
        <w:rPr>
          <w:rFonts w:ascii="黑体" w:hAnsi="宋体" w:eastAsia="黑体"/>
          <w:szCs w:val="21"/>
        </w:rPr>
      </w:pPr>
      <w:r>
        <w:rPr>
          <w:rFonts w:hint="eastAsia" w:ascii="仿宋_GB2312" w:hAnsi="宋体"/>
          <w:lang w:val="zh-CN"/>
        </w:rPr>
        <w:t>建议市农业农村局进一步完善、细化村防疫员补助经费项目绩效目标、项目实施内容，明确该项目提供的产品、服务、效益或其他目标，便于准确衡量和评价资金使用及工作开展成效。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502"/>
    <w:rsid w:val="0006692C"/>
    <w:rsid w:val="001229BC"/>
    <w:rsid w:val="00232C30"/>
    <w:rsid w:val="004F2B52"/>
    <w:rsid w:val="00625758"/>
    <w:rsid w:val="00680851"/>
    <w:rsid w:val="0071266F"/>
    <w:rsid w:val="008D1D29"/>
    <w:rsid w:val="00903048"/>
    <w:rsid w:val="00997A1E"/>
    <w:rsid w:val="00A10341"/>
    <w:rsid w:val="00A22B8B"/>
    <w:rsid w:val="00A5687C"/>
    <w:rsid w:val="00B67502"/>
    <w:rsid w:val="00D44C98"/>
    <w:rsid w:val="00E4357F"/>
    <w:rsid w:val="00EA741F"/>
    <w:rsid w:val="565767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e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345</Words>
  <Characters>1971</Characters>
  <Lines>16</Lines>
  <Paragraphs>4</Paragraphs>
  <TotalTime>17</TotalTime>
  <ScaleCrop>false</ScaleCrop>
  <LinksUpToDate>false</LinksUpToDate>
  <CharactersWithSpaces>2312</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2020-12-10T07:11:00Z</dcterms:created>
  <dc:creator>opi</dc:creator>
  <cp:lastModifiedBy>韩丽萍</cp:lastModifiedBy>
  <dcterms:modified xsi:type="dcterms:W3CDTF">2024-01-16T01:05:08Z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