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default" w:ascii="Times New Roman" w:hAnsi="Times New Roman" w:eastAsia="黑体" w:cs="Times New Roman"/>
          <w:lang w:val="en-US" w:eastAsia="zh-CN"/>
        </w:rPr>
        <w:t>3-6</w:t>
      </w:r>
    </w:p>
    <w:p>
      <w:pPr>
        <w:pStyle w:val="4"/>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中央水库移民扶持基金(中小微水利工程建设及维护)</w:t>
      </w:r>
      <w:r>
        <w:rPr>
          <w:rFonts w:hint="default" w:ascii="Times New Roman" w:hAnsi="Times New Roman" w:eastAsia="方正小标宋简体" w:cs="Times New Roman"/>
          <w:sz w:val="44"/>
          <w:szCs w:val="44"/>
          <w:lang w:eastAsia="zh-CN"/>
        </w:rPr>
        <w:t>项目</w:t>
      </w:r>
      <w:r>
        <w:rPr>
          <w:rFonts w:hint="default" w:ascii="Times New Roman" w:hAnsi="Times New Roman" w:eastAsia="方正小标宋简体" w:cs="Times New Roman"/>
          <w:sz w:val="44"/>
          <w:szCs w:val="44"/>
        </w:rPr>
        <w:t>绩效自评报告</w:t>
      </w:r>
    </w:p>
    <w:p>
      <w:pPr>
        <w:adjustRightInd w:val="0"/>
        <w:snapToGrid w:val="0"/>
        <w:spacing w:line="580" w:lineRule="exact"/>
        <w:ind w:firstLine="720"/>
        <w:jc w:val="center"/>
        <w:rPr>
          <w:rFonts w:hint="default" w:ascii="Times New Roman" w:hAnsi="Times New Roman" w:eastAsia="黑体" w:cs="Times New Roman"/>
          <w:color w:val="FF0000"/>
        </w:rPr>
      </w:pPr>
      <w:r>
        <w:rPr>
          <w:rFonts w:hint="default" w:ascii="Times New Roman" w:hAnsi="Times New Roman" w:eastAsia="黑体" w:cs="Times New Roman"/>
          <w:color w:val="FF0000"/>
          <w:lang w:val="en-US" w:eastAsia="zh-CN"/>
        </w:rPr>
        <w:t>80</w:t>
      </w:r>
      <w:r>
        <w:rPr>
          <w:rFonts w:hint="default" w:ascii="Times New Roman" w:hAnsi="Times New Roman" w:eastAsia="黑体" w:cs="Times New Roman"/>
          <w:color w:val="FF0000"/>
        </w:rPr>
        <w:t>0000</w:t>
      </w:r>
      <w:r>
        <w:rPr>
          <w:rFonts w:hint="default" w:ascii="Times New Roman" w:hAnsi="Times New Roman" w:eastAsia="黑体" w:cs="Times New Roman"/>
          <w:color w:val="FF0000"/>
          <w:lang w:val="en-US" w:eastAsia="zh-CN"/>
        </w:rPr>
        <w:t>.00</w:t>
      </w:r>
      <w:r>
        <w:rPr>
          <w:rFonts w:hint="default" w:ascii="Times New Roman" w:hAnsi="Times New Roman" w:eastAsia="黑体" w:cs="Times New Roman"/>
          <w:color w:val="FF0000"/>
        </w:rPr>
        <w:t>元</w:t>
      </w: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28</w:t>
      </w:r>
      <w:r>
        <w:rPr>
          <w:rFonts w:hint="default" w:ascii="Times New Roman" w:hAnsi="Times New Roman" w:eastAsia="仿宋_GB2312" w:cs="Times New Roman"/>
        </w:rPr>
        <w:t>日四川省财政厅、四川省</w:t>
      </w:r>
      <w:r>
        <w:rPr>
          <w:rFonts w:hint="default" w:ascii="Times New Roman" w:hAnsi="Times New Roman" w:eastAsia="仿宋_GB2312" w:cs="Times New Roman"/>
          <w:lang w:val="en-US" w:eastAsia="zh-CN"/>
        </w:rPr>
        <w:t>财政厅</w:t>
      </w:r>
      <w:r>
        <w:rPr>
          <w:rFonts w:hint="default" w:ascii="Times New Roman" w:hAnsi="Times New Roman" w:eastAsia="仿宋_GB2312" w:cs="Times New Roman"/>
        </w:rPr>
        <w:t>（川财农〔20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8</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年中央大中型水库移民后期扶持资金</w:t>
      </w:r>
      <w:r>
        <w:rPr>
          <w:rFonts w:hint="default" w:ascii="Times New Roman" w:hAnsi="Times New Roman" w:eastAsia="仿宋_GB2312" w:cs="Times New Roman"/>
          <w:lang w:val="en-US" w:eastAsia="zh-CN"/>
        </w:rPr>
        <w:t>80</w:t>
      </w:r>
      <w:r>
        <w:rPr>
          <w:rFonts w:hint="default" w:ascii="Times New Roman" w:hAnsi="Times New Roman" w:eastAsia="仿宋_GB2312" w:cs="Times New Roman"/>
        </w:rPr>
        <w:t>万元。我局根据指标情况下达资金计划，各移民镇（街道）经座谈，充分征求移民意见后，严格按照《移民后扶资金管理办法》，编制《202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年移民后扶项目实施计划》报我局；我局汇总各移民镇（街道）《</w:t>
      </w:r>
      <w:bookmarkStart w:id="0" w:name="_GoBack"/>
      <w:bookmarkEnd w:id="0"/>
      <w:r>
        <w:rPr>
          <w:rFonts w:hint="default" w:ascii="Times New Roman" w:hAnsi="Times New Roman" w:eastAsia="仿宋_GB2312" w:cs="Times New Roman"/>
        </w:rPr>
        <w:t>实施计划》，形成《绵竹市202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年度大中型水利水库移民后期扶持项目计划》报绵竹市政府常务会议审议；经202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19</w:t>
      </w:r>
      <w:r>
        <w:rPr>
          <w:rFonts w:hint="default" w:ascii="Times New Roman" w:hAnsi="Times New Roman" w:eastAsia="仿宋_GB2312" w:cs="Times New Roman"/>
        </w:rPr>
        <w:t>日绵竹市人民政府常务会议议定事项通知（十</w:t>
      </w:r>
      <w:r>
        <w:rPr>
          <w:rFonts w:hint="default" w:ascii="Times New Roman" w:hAnsi="Times New Roman" w:eastAsia="仿宋_GB2312" w:cs="Times New Roman"/>
          <w:lang w:val="en-US" w:eastAsia="zh-CN"/>
        </w:rPr>
        <w:t>九</w:t>
      </w:r>
      <w:r>
        <w:rPr>
          <w:rFonts w:hint="default" w:ascii="Times New Roman" w:hAnsi="Times New Roman" w:eastAsia="仿宋_GB2312" w:cs="Times New Roman"/>
        </w:rPr>
        <w:t>届</w:t>
      </w:r>
      <w:r>
        <w:rPr>
          <w:rFonts w:hint="default" w:ascii="Times New Roman" w:hAnsi="Times New Roman" w:eastAsia="仿宋_GB2312" w:cs="Times New Roman"/>
          <w:lang w:val="en-US" w:eastAsia="zh-CN"/>
        </w:rPr>
        <w:t>六</w:t>
      </w:r>
      <w:r>
        <w:rPr>
          <w:rFonts w:hint="default" w:ascii="Times New Roman" w:hAnsi="Times New Roman" w:eastAsia="仿宋_GB2312" w:cs="Times New Roman"/>
        </w:rPr>
        <w:t>次</w:t>
      </w:r>
      <w:r>
        <w:rPr>
          <w:rFonts w:hint="default" w:ascii="Times New Roman" w:hAnsi="Times New Roman" w:eastAsia="仿宋_GB2312" w:cs="Times New Roman"/>
          <w:lang w:val="en-US" w:eastAsia="zh-CN"/>
        </w:rPr>
        <w:t>18</w:t>
      </w:r>
      <w:r>
        <w:rPr>
          <w:rFonts w:hint="default" w:ascii="Times New Roman" w:hAnsi="Times New Roman" w:eastAsia="仿宋_GB2312" w:cs="Times New Roman"/>
        </w:rPr>
        <w:t>号）审议后，各移民镇（街道）上报《项目实施方案》报时水利局批复，再由各移民镇（街道）组织实施项目。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（二）项目绩效目标。</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主要用于移民安置区基础设施、产业发展、乡村水务、技能培训等，建设移民美丽家园，壮大移民村集体经济，促进移民增收，提升基础设施水平，完善公共服务。</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根据《绵竹市财政局关于开展202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年财政支出绩效评价工作的通知》（竹财监〔202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67</w:t>
      </w:r>
      <w:r>
        <w:rPr>
          <w:rFonts w:hint="default" w:ascii="Times New Roman" w:hAnsi="Times New Roman" w:eastAsia="仿宋_GB2312" w:cs="Times New Roman"/>
        </w:rPr>
        <w:t>号），梳理指标体系，汇总数据与分析，撰写报告等步骤方法进行。</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项目资金严格按照因素分配法，下达到各移民镇（街道）。项目计划由各移民镇（街道）充分征求移民意愿后，形成项目计划，报市水利局汇总、会商后，经202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9</w:t>
      </w:r>
      <w:r>
        <w:rPr>
          <w:rFonts w:hint="default" w:ascii="Times New Roman" w:hAnsi="Times New Roman" w:eastAsia="仿宋_GB2312" w:cs="Times New Roman"/>
        </w:rPr>
        <w:t>日绵竹市人民政府常务会议议定事项通知（十</w:t>
      </w:r>
      <w:r>
        <w:rPr>
          <w:rFonts w:hint="default" w:ascii="Times New Roman" w:hAnsi="Times New Roman" w:eastAsia="仿宋_GB2312" w:cs="Times New Roman"/>
          <w:lang w:val="en-US" w:eastAsia="zh-CN"/>
        </w:rPr>
        <w:t>九</w:t>
      </w:r>
      <w:r>
        <w:rPr>
          <w:rFonts w:hint="default" w:ascii="Times New Roman" w:hAnsi="Times New Roman" w:eastAsia="仿宋_GB2312" w:cs="Times New Roman"/>
        </w:rPr>
        <w:t>届</w:t>
      </w:r>
      <w:r>
        <w:rPr>
          <w:rFonts w:hint="default" w:ascii="Times New Roman" w:hAnsi="Times New Roman" w:eastAsia="仿宋_GB2312" w:cs="Times New Roman"/>
          <w:lang w:val="en-US" w:eastAsia="zh-CN"/>
        </w:rPr>
        <w:t>六</w:t>
      </w:r>
      <w:r>
        <w:rPr>
          <w:rFonts w:hint="default" w:ascii="Times New Roman" w:hAnsi="Times New Roman" w:eastAsia="仿宋_GB2312" w:cs="Times New Roman"/>
        </w:rPr>
        <w:t>次</w:t>
      </w:r>
      <w:r>
        <w:rPr>
          <w:rFonts w:hint="default" w:ascii="Times New Roman" w:hAnsi="Times New Roman" w:eastAsia="仿宋_GB2312" w:cs="Times New Roman"/>
          <w:lang w:val="en-US" w:eastAsia="zh-CN"/>
        </w:rPr>
        <w:t>18</w:t>
      </w:r>
      <w:r>
        <w:rPr>
          <w:rFonts w:hint="default" w:ascii="Times New Roman" w:hAnsi="Times New Roman" w:eastAsia="仿宋_GB2312" w:cs="Times New Roman"/>
        </w:rPr>
        <w:t>号）审议后，各移民镇（街道）上报《项目实施方案》报时水利局批复，再由各移民镇（街道）组织实施项目。项目严格按照计划实施，不存在超计划、超标准实施的情况。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lang w:val="zh-CN"/>
        </w:rPr>
        <w:t>1</w:t>
      </w:r>
      <w:r>
        <w:rPr>
          <w:rFonts w:hint="default" w:ascii="Times New Roman" w:hAnsi="Times New Roman" w:eastAsia="楷体_GB2312" w:cs="Times New Roman"/>
          <w:lang w:val="zh-CN"/>
        </w:rPr>
        <w:t>．资金计划及到位情况。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28</w:t>
      </w:r>
      <w:r>
        <w:rPr>
          <w:rFonts w:hint="default" w:ascii="Times New Roman" w:hAnsi="Times New Roman" w:eastAsia="仿宋_GB2312" w:cs="Times New Roman"/>
        </w:rPr>
        <w:t>日四川省财政厅、四川省</w:t>
      </w:r>
      <w:r>
        <w:rPr>
          <w:rFonts w:hint="default" w:ascii="Times New Roman" w:hAnsi="Times New Roman" w:eastAsia="仿宋_GB2312" w:cs="Times New Roman"/>
          <w:lang w:val="en-US" w:eastAsia="zh-CN"/>
        </w:rPr>
        <w:t>财政厅</w:t>
      </w:r>
      <w:r>
        <w:rPr>
          <w:rFonts w:hint="default" w:ascii="Times New Roman" w:hAnsi="Times New Roman" w:eastAsia="仿宋_GB2312" w:cs="Times New Roman"/>
        </w:rPr>
        <w:t>（川财农〔20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8</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年中央大中型水库移民后期扶持资金</w:t>
      </w:r>
      <w:r>
        <w:rPr>
          <w:rFonts w:hint="default" w:ascii="Times New Roman" w:hAnsi="Times New Roman" w:eastAsia="仿宋_GB2312" w:cs="Times New Roman"/>
          <w:lang w:val="en-US" w:eastAsia="zh-CN"/>
        </w:rPr>
        <w:t>80</w:t>
      </w:r>
      <w:r>
        <w:rPr>
          <w:rFonts w:hint="default" w:ascii="Times New Roman" w:hAnsi="Times New Roman" w:eastAsia="仿宋_GB2312" w:cs="Times New Roman"/>
        </w:rPr>
        <w:t>万元。</w:t>
      </w:r>
    </w:p>
    <w:p>
      <w:pPr>
        <w:adjustRightInd w:val="0"/>
        <w:snapToGrid w:val="0"/>
        <w:spacing w:line="580" w:lineRule="exact"/>
        <w:ind w:firstLine="720"/>
        <w:rPr>
          <w:rFonts w:hint="default" w:ascii="Times New Roman" w:hAnsi="Times New Roman" w:eastAsia="楷体_GB2312" w:cs="Times New Roman"/>
          <w:lang w:val="zh-CN"/>
        </w:rPr>
      </w:pPr>
      <w:r>
        <w:rPr>
          <w:rFonts w:hint="default" w:ascii="Times New Roman" w:hAnsi="Times New Roman" w:eastAsia="楷体_GB2312" w:cs="Times New Roman"/>
          <w:lang w:val="zh-CN"/>
        </w:rPr>
        <w:t>2</w:t>
      </w:r>
      <w:r>
        <w:rPr>
          <w:rFonts w:hint="default" w:ascii="Times New Roman" w:hAnsi="Times New Roman" w:eastAsia="楷体_GB2312" w:cs="Times New Roman"/>
          <w:lang w:val="zh-CN"/>
        </w:rPr>
        <w:t>．资金使用。</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我局对移民后扶项目资金管理高度重视，从资金拨付到项目验收都严格把关，严格执行各项规章制度，对项目实行进行监督，确保项目质量达标，确保移民资金发挥最大效益。编制产业转型升级规划—农业基础设施建设项目</w:t>
      </w:r>
      <w:r>
        <w:rPr>
          <w:rFonts w:hint="default" w:ascii="Times New Roman" w:hAnsi="Times New Roman" w:eastAsia="仿宋_GB2312" w:cs="Times New Roman"/>
          <w:lang w:eastAsia="zh-CN"/>
        </w:rPr>
        <w:t>，</w:t>
      </w:r>
      <w:r>
        <w:rPr>
          <w:rFonts w:hint="default" w:ascii="Times New Roman" w:hAnsi="Times New Roman" w:eastAsia="仿宋_GB2312" w:cs="Times New Roman"/>
        </w:rPr>
        <w:t>安排资金</w:t>
      </w:r>
      <w:r>
        <w:rPr>
          <w:rFonts w:hint="default" w:ascii="Times New Roman" w:hAnsi="Times New Roman" w:eastAsia="仿宋_GB2312" w:cs="Times New Roman"/>
          <w:lang w:val="en-US" w:eastAsia="zh-CN"/>
        </w:rPr>
        <w:t>80</w:t>
      </w:r>
      <w:r>
        <w:rPr>
          <w:rFonts w:hint="default" w:ascii="Times New Roman" w:hAnsi="Times New Roman" w:eastAsia="仿宋_GB2312" w:cs="Times New Roman"/>
        </w:rPr>
        <w:t>万元。用于玉泉镇桂花村三峡移民安置点修建生态沟渠、生产便道等，解决当地的灌溉问题，打造宜居生产生活环境，提升当地居民的幸福指数，受益移民32人，受益群众860人。目前，已拨付资金</w:t>
      </w:r>
      <w:r>
        <w:rPr>
          <w:rFonts w:hint="default" w:ascii="Times New Roman" w:hAnsi="Times New Roman" w:eastAsia="仿宋_GB2312" w:cs="Times New Roman"/>
          <w:lang w:val="en-US" w:eastAsia="zh-CN"/>
        </w:rPr>
        <w:t>77.072</w:t>
      </w:r>
      <w:r>
        <w:rPr>
          <w:rFonts w:hint="default" w:ascii="Times New Roman" w:hAnsi="Times New Roman" w:eastAsia="仿宋_GB2312" w:cs="Times New Roman"/>
        </w:rPr>
        <w:t>万元。</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为确保移民资金安全，绵竹市扶贫局会同绵竹市财政局共同制定了《绵竹市大中型水库移民后期扶持资金项目管理实施细则》，细化了资金使用要求及报账流程。后扶项目资金由绵竹市水利局负责办理报账事宜；后扶项目资金实行专人管理、专账核算。项目实施单位严格按照项目资金管理规定和申请的使用范围使用移民后期扶持资金，严格按照规定的程序和手续及时办理报账，确保专款专用。</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三、项目实施及管理情况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（一）项目组织架构及实施流程。</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大中型水库移民后期扶持项目由我局负责，各移民镇（街道）组织实施，在实施过程中严把“项目规划关”，做到因地制宜，广泛征求移民群众意见，科学编制方案，确保把钱花在刀刃上。严把“项目实施关”，严格执行各项规章制度，对项目实行进行监督，确保项目质量达标。严把“项目验收关”，项目完成后由我局组织相关镇（街道），相关职能部门对项目进行验收、报账，杜绝了冒领、套取移民项目资金问题。</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（二）项目管理情况。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绵竹市水利局、绵竹市财政局对移民资金绩效管理高度重视，从资金拨付到项目验收都严格把关，确保移民资金发挥最大效益，严格执行预算绩效监控，不存在弄虚作假或截留、挤占、挪用资金等问题。</w:t>
      </w:r>
    </w:p>
    <w:p>
      <w:pPr>
        <w:spacing w:line="590" w:lineRule="exact"/>
        <w:ind w:firstLine="643" w:firstLineChars="20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（三）项目监管情况。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按照省、市移民项目、资金文件要求，大中型水库移民后扶资金主要用于移民安置区农田水利等基础设施条件改善和与移民生产生活密切相关的其他项目等方面，对于已经批准的项目，由镇、村开展项目实施，市镇两级进行严格监管，完工后项目经过村、镇两级验收合格后，报账资料齐全，审核合格后，再进行资金拨付。</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年移民后扶项目全部完工，完成报账。</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根据移民增收规划各项目经济效益分析成果，当年增加移民人均可支配收入850元，提高移民收入占当地农村居民收入3.88%，实际经济效益指标值100%。</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选取15户移民，通过对《中央水库移民扶持基金绩效自评移民满意度调查问卷》的调查，综合分析意度85%。</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年未发生与后扶有关的非正常进京越级上访事件，未收到上级交办的信访事项。</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（一）评价结论。</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绵竹市移民后期扶持项目管理制度健全，移民群众积极参与项目管理、监督，有效保障了移民的“知情权、决策权、参与权、监督权”，项目的实施符合要求，移民后扶资金组织实施完善，资金安全有保障，资金监督到位。通过移民项目的实施，移民安置区基础设施将明显改善，公共服务将显著提升，生活水平将持续提高。移民群众对后扶项目质量比较满意，后扶政策实施基本达到预期效果。综合自评为良好。</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（二）存在的问题。</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方正仿宋简体" w:cs="Times New Roman"/>
        </w:rPr>
        <w:t>2</w:t>
      </w:r>
      <w:r>
        <w:rPr>
          <w:rFonts w:hint="default" w:ascii="Times New Roman" w:hAnsi="Times New Roman" w:eastAsia="仿宋_GB2312" w:cs="Times New Roman"/>
        </w:rPr>
        <w:t>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年省级下达资金计划跨度时间长，待我局征求移民安置镇（街）意见，编制完成项目实施计划，形成正式文件上报市政府请求批复已经是202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月，故项目实施较晚。</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（三）相关建议。</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一是严把项目资金监管、项目实施程序、项目验收关。通过项目的实施使移民资金真正用于移民，真正产生效益，使移民真正得到实惠，增收致富。二是建立移民项目储备库，最大限度缩短前期规划时间，上级下达项目资金后，迅速拟订年度计划，确保后扶项目及早落地。</w:t>
      </w: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000000"/>
    <w:rsid w:val="3C2F77E8"/>
    <w:rsid w:val="7049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2231</Words>
  <Characters>2319</Characters>
  <Lines>0</Lines>
  <Paragraphs>0</Paragraphs>
  <TotalTime>6</TotalTime>
  <ScaleCrop>false</ScaleCrop>
  <LinksUpToDate>false</LinksUpToDate>
  <CharactersWithSpaces>2320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2023-09-14T08:53:00Z</dcterms:created>
  <dc:creator>Administrator</dc:creator>
  <cp:lastModifiedBy>洛笙</cp:lastModifiedBy>
  <dcterms:modified xsi:type="dcterms:W3CDTF">2023-09-20T01:23:45Z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D17A1BBC973145EC92C57CB29F9D0F60_12</vt:lpwstr>
  </property>
</Properties>
</file>