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3-6</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2022年绵竹市河长湖长制重点工作经费项目绩效自评报告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bookmarkStart w:id="0" w:name="_GoBack"/>
      <w:bookmarkEnd w:id="0"/>
    </w:p>
    <w:p>
      <w:pPr>
        <w:spacing w:line="600" w:lineRule="exact"/>
        <w:ind w:firstLine="627" w:firstLineChars="196"/>
        <w:rPr>
          <w:rFonts w:hint="default" w:ascii="Times New Roman" w:hAnsi="Times New Roman" w:cs="Times New Roman"/>
          <w:color w:val="000000"/>
        </w:rPr>
      </w:pPr>
      <w:r>
        <w:rPr>
          <w:rFonts w:hint="default" w:ascii="Times New Roman" w:hAnsi="Times New Roman" w:cs="Times New Roman"/>
          <w:color w:val="000000"/>
        </w:rPr>
        <w:t>为贯彻落实《2015年推动长江经济带发展工作要点》提出的“控制河势、统筹规划长江岸线资源，促进长江岸线有序开发”等要求</w:t>
      </w:r>
      <w:r>
        <w:rPr>
          <w:rFonts w:hint="default" w:ascii="Times New Roman" w:hAnsi="Times New Roman" w:cs="Times New Roman"/>
          <w:color w:val="000000"/>
          <w:lang w:eastAsia="zh-CN"/>
        </w:rPr>
        <w:t>，</w:t>
      </w:r>
      <w:r>
        <w:rPr>
          <w:rFonts w:hint="default" w:ascii="Times New Roman" w:hAnsi="Times New Roman" w:cs="Times New Roman"/>
          <w:color w:val="000000"/>
          <w:lang w:val="en-US" w:eastAsia="zh-CN"/>
        </w:rPr>
        <w:t>对全市范围内的河流进行岸线规划工作，确保河流岸线得到正确开发，岸线规划费用10.4万元；按照《德阳市河长制办公室关于做好沱江、涪江等一河（湖）一策管理保护方案（2021-2025年）编制工作的通知》（德河长制办〔2021〕1号）要求，做好沱江、涪江等河流的一河（湖）一策，确保市内河流得到保护，一河（湖）一策费用为4.8万元。</w:t>
      </w:r>
    </w:p>
    <w:p>
      <w:pPr>
        <w:numPr>
          <w:ilvl w:val="0"/>
          <w:numId w:val="1"/>
        </w:num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项目绩效目标。</w:t>
      </w:r>
    </w:p>
    <w:p>
      <w:pPr>
        <w:adjustRightInd w:val="0"/>
        <w:snapToGrid w:val="0"/>
        <w:spacing w:line="580" w:lineRule="exact"/>
        <w:ind w:firstLine="640" w:firstLineChars="200"/>
        <w:rPr>
          <w:rFonts w:hint="default" w:ascii="Times New Roman" w:hAnsi="Times New Roman" w:eastAsia="仿宋_GB2312" w:cs="Times New Roman"/>
          <w:b/>
          <w:lang w:val="en-US" w:eastAsia="zh-CN"/>
        </w:rPr>
      </w:pPr>
      <w:r>
        <w:rPr>
          <w:rFonts w:hint="default" w:ascii="Times New Roman" w:hAnsi="Times New Roman" w:cs="Times New Roman"/>
          <w:color w:val="000000"/>
          <w:lang w:val="en-US" w:eastAsia="zh-CN"/>
        </w:rPr>
        <w:t>为</w:t>
      </w:r>
      <w:r>
        <w:rPr>
          <w:rFonts w:hint="default" w:ascii="Times New Roman" w:hAnsi="Times New Roman" w:cs="Times New Roman"/>
          <w:color w:val="000000"/>
        </w:rPr>
        <w:t>贯彻新发展理念、构建新发展格局，深入贯彻习近平生态文明思想，全面落实党中央和国务院决策部署，以满足人民日益增长的美好生活需要为根本目的，升级实施水污染防治攻坚战，持续改善流域水环境质量，统筹抓好水资源保障和水生态修复，协同推进岸线管理保护，进一步完善流域治理体系，提升治理能力，着力构建沱江流域绿色发展示范带，以流域生态环境高质量保护助推成渝双重经济圈建设和成德眉资同城化发展，为全面建设社会主义现代化四川提供切实保障。</w:t>
      </w:r>
      <w:r>
        <w:rPr>
          <w:rFonts w:hint="default" w:ascii="Times New Roman" w:hAnsi="Times New Roman" w:cs="Times New Roman"/>
          <w:color w:val="000000"/>
          <w:lang w:val="en-US" w:eastAsia="zh-CN"/>
        </w:rPr>
        <w:t>推动地方完成河流岸线规划能强化河湖水域岸线管控、严格涉河建设监管、促进岸线资源有效保护和节约集约利用提供了有力支撑；完成一河（湖）一策可以深入推进河湖管理保护和治理工作。</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纳入财政预算</w:t>
      </w:r>
      <w:r>
        <w:rPr>
          <w:rFonts w:hint="default" w:ascii="Times New Roman" w:hAnsi="Times New Roman" w:cs="Times New Roman"/>
          <w:color w:val="000000"/>
          <w:lang w:val="en-US" w:eastAsia="zh-CN"/>
        </w:rPr>
        <w:t>15.2万</w:t>
      </w:r>
      <w:r>
        <w:rPr>
          <w:rFonts w:hint="default" w:ascii="Times New Roman" w:hAnsi="Times New Roman" w:cs="Times New Roman"/>
          <w:color w:val="000000"/>
        </w:rPr>
        <w:t>元。</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1.资金计划。本级财政预算。</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2.资金到位。本级资金到位1</w:t>
      </w:r>
      <w:r>
        <w:rPr>
          <w:rFonts w:hint="default" w:ascii="Times New Roman" w:hAnsi="Times New Roman" w:cs="Times New Roman"/>
          <w:color w:val="000000"/>
        </w:rPr>
        <w:t>00</w:t>
      </w:r>
      <w:r>
        <w:rPr>
          <w:rFonts w:hint="default" w:ascii="Times New Roman" w:hAnsi="Times New Roman" w:cs="Times New Roman"/>
          <w:color w:val="000000"/>
        </w:rPr>
        <w:t>%。</w:t>
      </w:r>
    </w:p>
    <w:p>
      <w:pPr>
        <w:spacing w:line="600" w:lineRule="exact"/>
        <w:ind w:firstLine="627" w:firstLineChars="196"/>
        <w:jc w:val="left"/>
        <w:rPr>
          <w:rFonts w:hint="default" w:ascii="Times New Roman" w:hAnsi="Times New Roman" w:eastAsia="仿宋_GB2312" w:cs="Times New Roman"/>
          <w:color w:val="000000"/>
          <w:lang w:val="en-US" w:eastAsia="zh-CN"/>
        </w:rPr>
      </w:pPr>
      <w:r>
        <w:rPr>
          <w:rFonts w:hint="default" w:ascii="Times New Roman" w:hAnsi="Times New Roman" w:cs="Times New Roman"/>
          <w:color w:val="000000"/>
        </w:rPr>
        <w:t>3.资金使用。按照文件规定，</w:t>
      </w:r>
      <w:r>
        <w:rPr>
          <w:rFonts w:hint="default" w:ascii="Times New Roman" w:hAnsi="Times New Roman" w:cs="Times New Roman"/>
          <w:color w:val="000000"/>
          <w:lang w:val="en-US" w:eastAsia="zh-CN"/>
        </w:rPr>
        <w:t>通过编制单位编制了绵竹市市内全部河流的一河（湖）一策报告、市内全部河流的岸线规划报告、马尾河河湖健康评价报告以及白溪河管理范围与保护范围划界确权，并通过了专家评审。岸线规划</w:t>
      </w:r>
      <w:r>
        <w:rPr>
          <w:rFonts w:hint="default" w:ascii="Times New Roman" w:hAnsi="Times New Roman" w:cs="Times New Roman"/>
          <w:color w:val="000000"/>
        </w:rPr>
        <w:t>费用</w:t>
      </w:r>
      <w:r>
        <w:rPr>
          <w:rFonts w:hint="default" w:ascii="Times New Roman" w:hAnsi="Times New Roman" w:cs="Times New Roman"/>
          <w:color w:val="000000"/>
          <w:lang w:val="en-US" w:eastAsia="zh-CN"/>
        </w:rPr>
        <w:t>10.4万</w:t>
      </w:r>
      <w:r>
        <w:rPr>
          <w:rFonts w:hint="default" w:ascii="Times New Roman" w:hAnsi="Times New Roman" w:cs="Times New Roman"/>
          <w:color w:val="000000"/>
        </w:rPr>
        <w:t>元</w:t>
      </w:r>
      <w:r>
        <w:rPr>
          <w:rFonts w:hint="default" w:ascii="Times New Roman" w:hAnsi="Times New Roman" w:cs="Times New Roman"/>
          <w:color w:val="000000"/>
          <w:lang w:eastAsia="zh-CN"/>
        </w:rPr>
        <w:t>，</w:t>
      </w:r>
      <w:r>
        <w:rPr>
          <w:rFonts w:hint="default" w:ascii="Times New Roman" w:hAnsi="Times New Roman" w:cs="Times New Roman"/>
          <w:color w:val="000000"/>
        </w:rPr>
        <w:t>目前已支付</w:t>
      </w:r>
      <w:r>
        <w:rPr>
          <w:rFonts w:hint="default" w:ascii="Times New Roman" w:hAnsi="Times New Roman" w:cs="Times New Roman"/>
          <w:color w:val="000000"/>
          <w:lang w:val="en-US" w:eastAsia="zh-CN"/>
        </w:rPr>
        <w:t>10.4万元；一河（湖）一策费用4.8万元，</w:t>
      </w:r>
      <w:r>
        <w:rPr>
          <w:rFonts w:hint="default" w:ascii="Times New Roman" w:hAnsi="Times New Roman" w:cs="Times New Roman"/>
          <w:color w:val="000000"/>
        </w:rPr>
        <w:t>目前已支付</w:t>
      </w:r>
      <w:r>
        <w:rPr>
          <w:rFonts w:hint="default" w:ascii="Times New Roman" w:hAnsi="Times New Roman" w:cs="Times New Roman"/>
          <w:color w:val="000000"/>
          <w:lang w:val="en-US" w:eastAsia="zh-CN"/>
        </w:rPr>
        <w:t>4.8万元。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项目资金签批程序。严格实行</w:t>
      </w:r>
      <w:r>
        <w:rPr>
          <w:rFonts w:hint="default" w:ascii="Times New Roman" w:hAnsi="Times New Roman" w:cs="Times New Roman"/>
          <w:color w:val="000000"/>
        </w:rPr>
        <w:t>“</w:t>
      </w:r>
      <w:r>
        <w:rPr>
          <w:rFonts w:hint="default" w:ascii="Times New Roman" w:hAnsi="Times New Roman" w:cs="Times New Roman"/>
          <w:color w:val="000000"/>
        </w:rPr>
        <w:t>五笔</w:t>
      </w:r>
      <w:r>
        <w:rPr>
          <w:rFonts w:hint="default" w:ascii="Times New Roman" w:hAnsi="Times New Roman" w:cs="Times New Roman"/>
          <w:color w:val="000000"/>
        </w:rPr>
        <w:t>”</w:t>
      </w:r>
      <w:r>
        <w:rPr>
          <w:rFonts w:hint="default" w:ascii="Times New Roman" w:hAnsi="Times New Roman" w:cs="Times New Roman"/>
          <w:color w:val="000000"/>
        </w:rPr>
        <w:t>签字制，第一笔首先由施工单位经办人在财务票据上签字；第二笔由业务股室负责人提出相关意见；第三笔由财务审核签署意见；第四笔由局分管领导签署意见；第五笔由局长审核并签字。</w:t>
      </w:r>
    </w:p>
    <w:p>
      <w:pPr>
        <w:numPr>
          <w:ilvl w:val="0"/>
          <w:numId w:val="2"/>
        </w:num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项目实施及管理情况</w:t>
      </w:r>
    </w:p>
    <w:p>
      <w:pPr>
        <w:adjustRightInd w:val="0"/>
        <w:snapToGrid w:val="0"/>
        <w:spacing w:line="580" w:lineRule="exact"/>
        <w:ind w:firstLine="640" w:firstLineChars="200"/>
        <w:rPr>
          <w:rFonts w:hint="default" w:ascii="Times New Roman" w:hAnsi="Times New Roman" w:eastAsia="黑体" w:cs="Times New Roman"/>
        </w:rPr>
      </w:pPr>
      <w:r>
        <w:rPr>
          <w:rFonts w:hint="default" w:ascii="Times New Roman" w:hAnsi="Times New Roman" w:eastAsia="方正仿宋_GBK" w:cs="Times New Roman"/>
        </w:rPr>
        <w:t>已完成。</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cs="Times New Roman"/>
        </w:rPr>
        <w:t>已最终完成。</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color w:val="000000"/>
        </w:rPr>
        <w:t>营造了良好的河长制工作宣传氛围。</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640" w:firstLineChars="200"/>
        <w:rPr>
          <w:rFonts w:hint="default" w:ascii="Times New Roman" w:hAnsi="Times New Roman" w:cs="Times New Roman"/>
        </w:rPr>
      </w:pPr>
      <w:r>
        <w:rPr>
          <w:rFonts w:hint="default" w:ascii="Times New Roman" w:hAnsi="Times New Roman" w:cs="Times New Roman"/>
        </w:rPr>
        <w:t>全面推进河长制工作实施。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FE2D1"/>
    <w:multiLevelType w:val="singleLevel"/>
    <w:tmpl w:val="F52FE2D1"/>
    <w:lvl w:ilvl="0" w:tentative="0">
      <w:start w:val="3"/>
      <w:numFmt w:val="chineseCounting"/>
      <w:suff w:val="nothing"/>
      <w:lvlText w:val="%1、"/>
      <w:lvlJc w:val="left"/>
      <w:rPr>
        <w:rFonts w:hint="eastAsia"/>
      </w:rPr>
    </w:lvl>
  </w:abstractNum>
  <w:abstractNum w:abstractNumId="1">
    <w:nsid w:val="F618DDEE"/>
    <w:multiLevelType w:val="singleLevel"/>
    <w:tmpl w:val="F618DDE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042AFF"/>
    <w:rsid w:val="001D7598"/>
    <w:rsid w:val="00291918"/>
    <w:rsid w:val="002E7D7A"/>
    <w:rsid w:val="00312E83"/>
    <w:rsid w:val="00427240"/>
    <w:rsid w:val="00543D64"/>
    <w:rsid w:val="00572F4E"/>
    <w:rsid w:val="005842A2"/>
    <w:rsid w:val="008F6FBC"/>
    <w:rsid w:val="008F788A"/>
    <w:rsid w:val="0099455F"/>
    <w:rsid w:val="00A36A47"/>
    <w:rsid w:val="00AC3975"/>
    <w:rsid w:val="00E4357F"/>
    <w:rsid w:val="00F251E9"/>
    <w:rsid w:val="00FD3EFA"/>
    <w:rsid w:val="00FD62E7"/>
    <w:rsid w:val="16381EDD"/>
    <w:rsid w:val="1BB60C7B"/>
    <w:rsid w:val="48254EF3"/>
    <w:rsid w:val="4C3670F2"/>
    <w:rsid w:val="4FBE4BBB"/>
    <w:rsid w:val="76080884"/>
    <w:rsid w:val="7F3367DD"/>
    <w:rsid w:val="7FCB19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1078</Words>
  <Characters>1119</Characters>
  <Lines>5</Lines>
  <Paragraphs>1</Paragraphs>
  <TotalTime>24</TotalTime>
  <ScaleCrop>false</ScaleCrop>
  <LinksUpToDate>false</LinksUpToDate>
  <CharactersWithSpaces>1120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2023-09-20T08:56:16Z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612997695_btnclosed</vt:lpwstr>
  </property>
  <property fmtid="{D5CDD505-2E9C-101B-9397-08002B2CF9AE}" pid="3" name="KSOProductBuildVer">
    <vt:lpwstr>2052-11.1.0.14309</vt:lpwstr>
  </property>
  <property fmtid="{D5CDD505-2E9C-101B-9397-08002B2CF9AE}" pid="4" name="ICV">
    <vt:lpwstr>0676CCCAC7F840D8BB70061A8A4818F7</vt:lpwstr>
  </property>
</Properties>
</file>