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3-5</w:t>
      </w:r>
    </w:p>
    <w:p>
      <w:pPr>
        <w:pStyle w:val="8"/>
        <w:spacing w:line="58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lang w:val="zh-CN"/>
        </w:rPr>
        <w:t>2020年8.16暴雨洪灾水毁修复项目（18个）</w:t>
      </w:r>
      <w:r>
        <w:rPr>
          <w:rFonts w:hint="default" w:ascii="Times New Roman" w:hAnsi="Times New Roman" w:eastAsia="方正小标宋简体" w:cs="Times New Roman"/>
          <w:sz w:val="44"/>
          <w:szCs w:val="44"/>
        </w:rPr>
        <w:t>项目绩效自评报告</w:t>
      </w:r>
    </w:p>
    <w:p>
      <w:pPr>
        <w:pStyle w:val="8"/>
        <w:spacing w:line="580" w:lineRule="exact"/>
        <w:ind w:firstLine="640"/>
        <w:jc w:val="center"/>
        <w:rPr>
          <w:rFonts w:hint="default" w:ascii="Times New Roman" w:hAnsi="Times New Roman" w:cs="Times New Roman"/>
          <w:color w:val="auto"/>
          <w:kern w:val="2"/>
          <w:sz w:val="32"/>
          <w:szCs w:val="32"/>
        </w:rPr>
      </w:pPr>
    </w:p>
    <w:p>
      <w:pPr>
        <w:adjustRightInd w:val="0"/>
        <w:snapToGrid w:val="0"/>
        <w:spacing w:line="580" w:lineRule="exact"/>
        <w:ind w:firstLine="720"/>
        <w:rPr>
          <w:rFonts w:hint="default" w:ascii="Times New Roman" w:hAnsi="Times New Roman" w:eastAsia="黑体" w:cs="Times New Roman"/>
          <w:sz w:val="32"/>
          <w:szCs w:val="32"/>
          <w:lang w:val="zh-CN"/>
        </w:rPr>
      </w:pPr>
      <w:r>
        <w:rPr>
          <w:rFonts w:hint="default" w:ascii="Times New Roman" w:hAnsi="Times New Roman" w:eastAsia="黑体" w:cs="Times New Roman"/>
          <w:sz w:val="32"/>
          <w:szCs w:val="32"/>
        </w:rPr>
        <w:t>一、</w:t>
      </w:r>
      <w:r>
        <w:rPr>
          <w:rFonts w:hint="default" w:ascii="Times New Roman" w:hAnsi="Times New Roman" w:eastAsia="黑体" w:cs="Times New Roman"/>
          <w:sz w:val="32"/>
          <w:szCs w:val="32"/>
          <w:lang w:val="zh-CN"/>
        </w:rPr>
        <w:t>项目概况</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（一）项目基本情况。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1．说明项目主管部门（单位）在该项目管理中的职能。</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项目主管部门在该项目中的职能：管理、审核并支付该项目资金。</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2．项目立项、资金申报的依据。</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2020年12月10日，绵竹市发改局批复了18个项目的项目建议书（竹发改建〔2020〕157-174号），立项投资估算合计6032万元。</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3．资金管理办法制定情况，资金支持具体项目的条件、范围与支持方式概况。</w:t>
      </w:r>
    </w:p>
    <w:p>
      <w:pPr>
        <w:adjustRightInd w:val="0"/>
        <w:snapToGrid w:val="0"/>
        <w:spacing w:line="580" w:lineRule="exact"/>
        <w:ind w:firstLine="72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本项目严格执行财政部 农业农村部 水利部关于印发《农业生产和水利救灾资金管理办法》（财农〔2019〕117号）、《四川省抢险救灾工程项目管理办法》。</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（二）项目绩效目标。</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1．项目主要内容。</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zh-CN"/>
        </w:rPr>
        <w:t>对2020年水毁堤防实施水毁修复。完成绵竹市石亭江广济镇新和村贺家堰上段堤防水毁修复工程等18处水毁工程，修复整治水毁堤防7366.38米、新建堤防420米、修复水毁坝体1处（11米）、拆除水毁涵洞，重建涵洞1处（40米）</w:t>
      </w:r>
      <w:r>
        <w:rPr>
          <w:rFonts w:hint="default" w:ascii="Times New Roman" w:hAnsi="Times New Roman" w:cs="Times New Roman"/>
          <w:sz w:val="32"/>
          <w:szCs w:val="32"/>
          <w:lang w:val="en-US" w:eastAsia="zh-CN"/>
        </w:rPr>
        <w:t>。</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2．项目应实现的具体绩效目标，包括目标的量化、细化情况以及项目实施进度计划等。</w:t>
      </w:r>
    </w:p>
    <w:p>
      <w:pPr>
        <w:adjustRightInd w:val="0"/>
        <w:snapToGrid w:val="0"/>
        <w:spacing w:line="580" w:lineRule="exact"/>
        <w:ind w:firstLine="72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支付项目</w:t>
      </w:r>
      <w:r>
        <w:rPr>
          <w:rFonts w:hint="default" w:ascii="Times New Roman" w:hAnsi="Times New Roman" w:cs="Times New Roman"/>
          <w:sz w:val="32"/>
          <w:szCs w:val="32"/>
          <w:lang w:val="zh-CN"/>
        </w:rPr>
        <w:t>工程款项及监理等其他费用</w:t>
      </w:r>
      <w:r>
        <w:rPr>
          <w:rFonts w:hint="default" w:ascii="Times New Roman" w:hAnsi="Times New Roman" w:cs="Times New Roman"/>
          <w:sz w:val="32"/>
          <w:szCs w:val="32"/>
          <w:lang w:val="en-US" w:eastAsia="zh-CN"/>
        </w:rPr>
        <w:t>18个</w:t>
      </w:r>
      <w:r>
        <w:rPr>
          <w:rFonts w:hint="default" w:ascii="Times New Roman" w:hAnsi="Times New Roman" w:cs="Times New Roman"/>
          <w:sz w:val="32"/>
          <w:szCs w:val="32"/>
          <w:lang w:val="zh-CN"/>
        </w:rPr>
        <w:t>项目，2022年12月31日前支付率</w:t>
      </w:r>
      <w:r>
        <w:rPr>
          <w:rFonts w:hint="default" w:ascii="Times New Roman" w:hAnsi="Times New Roman" w:cs="Times New Roman"/>
          <w:sz w:val="32"/>
          <w:szCs w:val="32"/>
          <w:lang w:val="en-US" w:eastAsia="zh-CN"/>
        </w:rPr>
        <w:t>100%，有效提高堤防防汛保安能力，保障沿河群众生命财产安全提高堤防防汛保安能力，保障沿河群众生命财产安全。</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3．分析评价申报内容是否与实际相符，申报目标是否合理可行。</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申报内容与实际相符，申报目标合理可行。</w:t>
      </w:r>
    </w:p>
    <w:p>
      <w:pPr>
        <w:adjustRightInd w:val="0"/>
        <w:snapToGrid w:val="0"/>
        <w:spacing w:line="580" w:lineRule="exact"/>
        <w:ind w:firstLine="72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二、项目资金申报及使用情况</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（一）项目资金申报及批复情况。</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2020年12月29日，德阳市水利局印发了《关于印发绵竹市石亭江广济镇卧云村沙罐窑段堤防水毁工程等十二个项目实施方案审查意见的函》（德水函〔2020〕340号），12月30日，绵竹市水利局根据德阳市水利局的审查意见批复了绵竹市石亭江广济镇卧云村沙罐窑段堤防水毁工程等十二个项目的实施方案。</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2020年12月30日，德阳市水利局批复了绵竹市射水河新市镇打渔院村赵家嘴段堤防水毁修复工程、绵竹市马尾河新市镇范存村兰家坎段堤防水毁修复工程、绵竹市石亭江广济镇新和村贺家堰上段堤防水毁修复工程、绵竹市马尾河孝德镇齐福何家堰段堤防水毁修复工程、绵竹市马尾河孝德镇洪拱村观潮堰下游堤防工程、石亭江新市镇下东林村（部队）段堤防工程水毁修复的实施方案（德水函〔2020〕342号、德水函〔2020〕343号、德水函〔2020〕344号、德水函〔2020〕345号、德水函〔2020〕346号、德水函〔2020〕347号）。</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18个项目概算投资合计5931.91万元。</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（二）资金计划、到位及使用情况（可用表格形式反映）。</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sz w:val="32"/>
          <w:szCs w:val="32"/>
          <w:lang w:val="zh-CN"/>
        </w:rPr>
        <w:t>1．资金计划。</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这18个水毁项目资金由中省资金及县级配套组成，其中，中央资金1600万元，省级资金1300万元，县级配套3132万元。</w:t>
      </w:r>
    </w:p>
    <w:p>
      <w:pPr>
        <w:adjustRightInd w:val="0"/>
        <w:snapToGrid w:val="0"/>
        <w:spacing w:line="580" w:lineRule="exact"/>
        <w:ind w:firstLine="720"/>
        <w:rPr>
          <w:rFonts w:hint="default" w:ascii="Times New Roman" w:hAnsi="Times New Roman" w:eastAsia="楷体_GB2312" w:cs="Times New Roman"/>
          <w:sz w:val="32"/>
          <w:szCs w:val="32"/>
          <w:lang w:val="zh-CN"/>
        </w:rPr>
      </w:pPr>
      <w:r>
        <w:rPr>
          <w:rFonts w:hint="default" w:ascii="Times New Roman" w:hAnsi="Times New Roman" w:eastAsia="楷体_GB2312" w:cs="Times New Roman"/>
          <w:sz w:val="32"/>
          <w:szCs w:val="32"/>
          <w:lang w:val="zh-CN"/>
        </w:rPr>
        <w:t>2．资金到位。</w:t>
      </w:r>
    </w:p>
    <w:p>
      <w:pPr>
        <w:adjustRightInd w:val="0"/>
        <w:snapToGrid w:val="0"/>
        <w:spacing w:line="580" w:lineRule="exact"/>
        <w:ind w:firstLine="72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2020年12月10日，德阳市财政局 德阳市水利局《关于下达2020年灾后恢复重建中央财力补助资金预算的通知》（</w:t>
      </w:r>
      <w:r>
        <w:rPr>
          <w:rFonts w:hint="default" w:ascii="Times New Roman" w:hAnsi="Times New Roman" w:cs="Times New Roman"/>
          <w:sz w:val="32"/>
          <w:szCs w:val="32"/>
          <w:lang w:val="zh-CN"/>
        </w:rPr>
        <w:t>德市财</w:t>
      </w:r>
      <w:r>
        <w:rPr>
          <w:rFonts w:hint="default" w:ascii="Times New Roman" w:hAnsi="Times New Roman" w:cs="Times New Roman"/>
          <w:sz w:val="32"/>
          <w:szCs w:val="32"/>
          <w:lang w:val="en-US" w:eastAsia="zh-CN"/>
        </w:rPr>
        <w:t>投〔2020〕58</w:t>
      </w:r>
      <w:r>
        <w:rPr>
          <w:rFonts w:hint="default" w:ascii="Times New Roman" w:hAnsi="Times New Roman" w:cs="Times New Roman"/>
          <w:sz w:val="32"/>
          <w:szCs w:val="32"/>
          <w:lang w:val="zh-CN"/>
        </w:rPr>
        <w:t>号），</w:t>
      </w:r>
      <w:r>
        <w:rPr>
          <w:rFonts w:hint="default" w:ascii="Times New Roman" w:hAnsi="Times New Roman" w:cs="Times New Roman"/>
          <w:sz w:val="32"/>
          <w:szCs w:val="32"/>
          <w:lang w:val="en-US" w:eastAsia="zh-CN"/>
        </w:rPr>
        <w:t>下达中央补助资金1600</w:t>
      </w:r>
      <w:r>
        <w:rPr>
          <w:rFonts w:hint="default" w:ascii="Times New Roman" w:hAnsi="Times New Roman" w:cs="Times New Roman"/>
          <w:sz w:val="32"/>
          <w:szCs w:val="32"/>
          <w:lang w:val="zh-CN"/>
        </w:rPr>
        <w:t>万元，</w:t>
      </w:r>
      <w:r>
        <w:rPr>
          <w:rFonts w:hint="default" w:ascii="Times New Roman" w:hAnsi="Times New Roman" w:cs="Times New Roman"/>
          <w:sz w:val="32"/>
          <w:szCs w:val="32"/>
          <w:lang w:val="en-US" w:eastAsia="zh-CN"/>
        </w:rPr>
        <w:t>2020年12月24日，德阳市财政局 德阳市水利局下达2020年洪涝灾害恢复重建省级资金715万元（德市财农〔2020〕47号），2021年11月8日，省财政厅 省水利厅《关于下达2021年省级水利发展资金的通知》（川财农〔2021〕137号）下达2020年洪涝灾害恢复重建省级资金585万元，其余资金由县级财政配套，全部资金到位。</w:t>
      </w:r>
      <w:bookmarkStart w:id="0" w:name="_GoBack"/>
      <w:bookmarkEnd w:id="0"/>
    </w:p>
    <w:p>
      <w:pPr>
        <w:adjustRightInd w:val="0"/>
        <w:snapToGrid w:val="0"/>
        <w:spacing w:line="580" w:lineRule="exact"/>
        <w:ind w:firstLine="720"/>
        <w:rPr>
          <w:rFonts w:hint="default" w:ascii="Times New Roman" w:hAnsi="Times New Roman" w:eastAsia="楷体_GB2312" w:cs="Times New Roman"/>
          <w:sz w:val="32"/>
          <w:szCs w:val="32"/>
          <w:lang w:val="zh-CN"/>
        </w:rPr>
      </w:pPr>
      <w:r>
        <w:rPr>
          <w:rFonts w:hint="default" w:ascii="Times New Roman" w:hAnsi="Times New Roman" w:eastAsia="楷体_GB2312" w:cs="Times New Roman"/>
          <w:sz w:val="32"/>
          <w:szCs w:val="32"/>
          <w:lang w:val="zh-CN"/>
        </w:rPr>
        <w:t>3．资金使用。</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该项目资金使用安全、规范、有效，包括资金支付范围、支付标准、支付进度、支付依据等合规合法、与预算相符。</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（三）项目财务管理情况。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单位财务管理制度健全，严格执行财务管理制度，账务处理及时，会计核算规范。</w:t>
      </w:r>
    </w:p>
    <w:p>
      <w:pPr>
        <w:adjustRightInd w:val="0"/>
        <w:snapToGrid w:val="0"/>
        <w:spacing w:line="580" w:lineRule="exact"/>
        <w:ind w:firstLine="72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三、项目实施及管理情况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结合项目组织实施管理办法，重点围绕以下内容进行分析评价，并对自评中发现的问题分析说明。</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（一）项目组织架构及实施流程。</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这18个项目由绵竹市金申投资集团有限公司实施，项目于2021年3月27日开工，2021年底相继完工并验收。</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（二）项目管理情况。</w:t>
      </w:r>
    </w:p>
    <w:p>
      <w:pPr>
        <w:adjustRightInd w:val="0"/>
        <w:snapToGrid w:val="0"/>
        <w:spacing w:line="580" w:lineRule="exact"/>
        <w:ind w:firstLine="72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本</w:t>
      </w:r>
      <w:r>
        <w:rPr>
          <w:rFonts w:hint="default" w:ascii="Times New Roman" w:hAnsi="Times New Roman" w:cs="Times New Roman"/>
          <w:sz w:val="32"/>
          <w:szCs w:val="32"/>
          <w:lang w:val="zh-CN"/>
        </w:rPr>
        <w:t>项目实施单位执行相关法律法规及项目管理制度等</w:t>
      </w:r>
      <w:r>
        <w:rPr>
          <w:rFonts w:hint="default" w:ascii="Times New Roman" w:hAnsi="Times New Roman" w:cs="Times New Roman"/>
          <w:sz w:val="32"/>
          <w:szCs w:val="32"/>
          <w:lang w:val="en-US" w:eastAsia="zh-CN"/>
        </w:rPr>
        <w:t>合规合法。</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（三）项目监管情况。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严格按合同及财务管理制度管理项目、支付项目资金。</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黑体" w:cs="Times New Roman"/>
          <w:sz w:val="32"/>
          <w:szCs w:val="32"/>
        </w:rPr>
        <w:t>四、项目绩效情况</w:t>
      </w:r>
      <w:r>
        <w:rPr>
          <w:rFonts w:hint="default" w:ascii="Times New Roman" w:hAnsi="Times New Roman" w:cs="Times New Roman"/>
          <w:sz w:val="32"/>
          <w:szCs w:val="32"/>
          <w:lang w:val="zh-CN"/>
        </w:rPr>
        <w:tab/>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（一）项目完成情况。</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cs="Times New Roman"/>
          <w:sz w:val="32"/>
          <w:szCs w:val="32"/>
          <w:lang w:val="zh-CN"/>
        </w:rPr>
        <w:t>项目完成的数量、质量、时效、成本等情况完全符合预定目标，成本控制在预算内。</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（二）项目效益情况。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项目</w:t>
      </w:r>
      <w:r>
        <w:rPr>
          <w:rFonts w:hint="default" w:ascii="Times New Roman" w:hAnsi="Times New Roman" w:cs="Times New Roman"/>
          <w:sz w:val="32"/>
          <w:szCs w:val="32"/>
          <w:lang w:val="en-US" w:eastAsia="zh-CN"/>
        </w:rPr>
        <w:t>的实施</w:t>
      </w:r>
      <w:r>
        <w:rPr>
          <w:rFonts w:hint="default" w:ascii="Times New Roman" w:hAnsi="Times New Roman" w:cs="Times New Roman"/>
          <w:sz w:val="32"/>
          <w:szCs w:val="32"/>
          <w:lang w:val="zh-CN"/>
        </w:rPr>
        <w:t>有效提高堤防防汛保安能力，保障沿河群众生命财产安全。</w:t>
      </w:r>
    </w:p>
    <w:p>
      <w:pPr>
        <w:adjustRightInd w:val="0"/>
        <w:snapToGrid w:val="0"/>
        <w:spacing w:line="580" w:lineRule="exact"/>
        <w:ind w:firstLine="72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五、评价结论及建议</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（一）评价结论。</w:t>
      </w:r>
    </w:p>
    <w:p>
      <w:pPr>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合格</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（二）存在的问题。</w:t>
      </w:r>
      <w:r>
        <w:rPr>
          <w:rFonts w:hint="default" w:ascii="Times New Roman" w:hAnsi="Times New Roman" w:cs="Times New Roman"/>
          <w:sz w:val="32"/>
          <w:szCs w:val="32"/>
          <w:lang w:val="zh-CN"/>
        </w:rPr>
        <w:tab/>
      </w:r>
    </w:p>
    <w:p>
      <w:pPr>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无</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（三）相关建议。</w:t>
      </w:r>
    </w:p>
    <w:p>
      <w:pPr>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RkZDViYjRjNmRkNjgxMDEyN2Q0OThjZGNjZjNiNTkifQ=="/>
  </w:docVars>
  <w:rsids>
    <w:rsidRoot w:val="00FD3EFA"/>
    <w:rsid w:val="001C6BC6"/>
    <w:rsid w:val="00291918"/>
    <w:rsid w:val="002E7D7A"/>
    <w:rsid w:val="00427240"/>
    <w:rsid w:val="00516306"/>
    <w:rsid w:val="00543D64"/>
    <w:rsid w:val="00572F4E"/>
    <w:rsid w:val="005842A2"/>
    <w:rsid w:val="008F6FBC"/>
    <w:rsid w:val="008F788A"/>
    <w:rsid w:val="00A25407"/>
    <w:rsid w:val="00A36A47"/>
    <w:rsid w:val="00AB1E4A"/>
    <w:rsid w:val="00AC3975"/>
    <w:rsid w:val="00E10AB9"/>
    <w:rsid w:val="00E4357F"/>
    <w:rsid w:val="00E90284"/>
    <w:rsid w:val="00F251E9"/>
    <w:rsid w:val="00F67C8D"/>
    <w:rsid w:val="00F951B3"/>
    <w:rsid w:val="00FD3EFA"/>
    <w:rsid w:val="00FD62E7"/>
    <w:rsid w:val="09354D56"/>
    <w:rsid w:val="1B152765"/>
    <w:rsid w:val="2480481E"/>
    <w:rsid w:val="25962C1B"/>
    <w:rsid w:val="28443EC4"/>
    <w:rsid w:val="2B2F6073"/>
    <w:rsid w:val="2E3C7738"/>
    <w:rsid w:val="47B930D8"/>
    <w:rsid w:val="544B2753"/>
    <w:rsid w:val="6E976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autoRedefine/>
    <w:qFormat/>
    <w:uiPriority w:val="99"/>
    <w:rPr>
      <w:sz w:val="18"/>
      <w:szCs w:val="18"/>
    </w:rPr>
  </w:style>
  <w:style w:type="character" w:customStyle="1" w:styleId="7">
    <w:name w:val="页脚 Char"/>
    <w:basedOn w:val="5"/>
    <w:link w:val="2"/>
    <w:autoRedefine/>
    <w:qFormat/>
    <w:uiPriority w:val="99"/>
    <w:rPr>
      <w:sz w:val="18"/>
      <w:szCs w:val="18"/>
    </w:rPr>
  </w:style>
  <w:style w:type="paragraph" w:customStyle="1" w:styleId="8">
    <w:name w:val="四号正文"/>
    <w:basedOn w:val="1"/>
    <w:link w:val="9"/>
    <w:qFormat/>
    <w:uiPriority w:val="99"/>
    <w:pPr>
      <w:spacing w:line="360" w:lineRule="auto"/>
    </w:pPr>
    <w:rPr>
      <w:rFonts w:ascii="??" w:hAnsi="??" w:eastAsia="宋体"/>
      <w:color w:val="000000"/>
      <w:kern w:val="0"/>
      <w:sz w:val="28"/>
      <w:szCs w:val="21"/>
    </w:rPr>
  </w:style>
  <w:style w:type="character" w:customStyle="1" w:styleId="9">
    <w:name w:val="四号正文 Char"/>
    <w:link w:val="8"/>
    <w:qFormat/>
    <w:locked/>
    <w:uiPriority w:val="99"/>
    <w:rPr>
      <w:rFonts w:ascii="??" w:hAnsi="??" w:eastAsia="宋体" w:cs="Times New Roman"/>
      <w:color w:val="000000"/>
      <w:kern w:val="0"/>
      <w:sz w:val="28"/>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1668</Words>
  <Characters>1839</Characters>
  <Lines>9</Lines>
  <Paragraphs>2</Paragraphs>
  <TotalTime>22</TotalTime>
  <ScaleCrop>false</ScaleCrop>
  <LinksUpToDate>false</LinksUpToDate>
  <CharactersWithSpaces>1846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2020-06-08T02:26:00Z</dcterms:created>
  <dc:creator>opi</dc:creator>
  <cp:lastModifiedBy>O(∩_∩)O</cp:lastModifiedBy>
  <dcterms:modified xsi:type="dcterms:W3CDTF">2024-01-16T03:19:55Z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A802C9688F2F421083703238DC847AD9_12</vt:lpwstr>
  </property>
</Properties>
</file>