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lang w:val="en-US" w:eastAsia="zh-CN"/>
        </w:rPr>
      </w:pPr>
      <w:bookmarkStart w:id="0" w:name="_GoBack"/>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3-2</w:t>
      </w:r>
    </w:p>
    <w:p>
      <w:pPr>
        <w:pStyle w:val="8"/>
        <w:spacing w:line="580" w:lineRule="exact"/>
        <w:ind w:firstLine="883"/>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山洪预警运行维护费项目</w:t>
      </w:r>
    </w:p>
    <w:p>
      <w:pPr>
        <w:pStyle w:val="8"/>
        <w:spacing w:line="580" w:lineRule="exact"/>
        <w:ind w:firstLine="883"/>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绩效自评报告</w:t>
      </w:r>
    </w:p>
    <w:p>
      <w:pPr>
        <w:pStyle w:val="8"/>
        <w:spacing w:line="580" w:lineRule="exact"/>
        <w:jc w:val="both"/>
        <w:rPr>
          <w:rFonts w:hint="default" w:ascii="Times New Roman" w:hAnsi="Times New Roman" w:cs="Times New Roman"/>
          <w:color w:val="auto"/>
          <w:kern w:val="2"/>
          <w:szCs w:val="32"/>
        </w:rPr>
      </w:pP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．说明项目主管部门（单位）在该项目管理中的职能。</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项目主管部门在该项目中的职能：管理、审核并支付该项目资金。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．项目立项、资金申报的依据。</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经常性财政预算，用于山洪预警系统维护。</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．资金管理办法制定情况，资金支持具体项目的条件、范围与支持方式概况。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该项目资金用于绵竹市整个山洪灾害预警系统巡检及维护、中心机房及野外监测点电费、移动通信费及短信平台费。巡检及维护按合同支付、中心机房及野外监测点电费按使用量支付、移动通信费及短信平台费按合同支付。</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．项目主要内容。</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巡检内容：</w:t>
      </w:r>
      <w:r>
        <w:rPr>
          <w:rFonts w:hint="default" w:ascii="Times New Roman" w:hAnsi="Times New Roman" w:cs="Times New Roman"/>
          <w:sz w:val="32"/>
          <w:szCs w:val="32"/>
          <w:lang w:val="zh-CN"/>
        </w:rPr>
        <w:t>检测自动水位雨量站、视频站、户外LED大屏40项；检测简易雨量站巡检检测87项；检测无线预警广播站巡检检测81项；检测乡镇视频巡检会议12项；检测绵竹市中小河流水文监测系统软件1项；检测绵竹市山洪监测预警平台软件1项；检测远程视频会议系统1项；检测视频存储服务器1项；检测交换机1项；检测网关1项；检测绵竹市中小河流水文监系统服务器1项；检测绵竹市山洪监测预警服务器1项；检测硬盘录像机1项；检测操作电脑3项。</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维护内容：</w:t>
      </w:r>
      <w:r>
        <w:rPr>
          <w:rFonts w:hint="default" w:ascii="Times New Roman" w:hAnsi="Times New Roman" w:cs="Times New Roman"/>
          <w:sz w:val="32"/>
          <w:szCs w:val="32"/>
          <w:lang w:val="zh-CN"/>
        </w:rPr>
        <w:t>1、维护野外自动雨量站、水位站、水位雨量站、视频站合计39项；2、维护户外LED大屏1项；3、维护视频会议系统1项；4、维护平台软件及其他机房设备；5、更换2013年、2016年、2019年建设的简易雨量报警器的电池，接到镇街道报告的简易雨量报警器和无线预警广播故障后及时排除。</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其它：</w:t>
      </w:r>
      <w:r>
        <w:rPr>
          <w:rFonts w:hint="default" w:ascii="Times New Roman" w:hAnsi="Times New Roman" w:cs="Times New Roman"/>
          <w:sz w:val="32"/>
          <w:szCs w:val="32"/>
          <w:lang w:val="zh-CN"/>
        </w:rPr>
        <w:t>野外监测点电费；移动通信费及短信平台费。</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．项目应实现的具体绩效目标，包括目标的量化、细化情况以及项目实施进度计划等。</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完成绵竹市山洪预警系统运行维护1套；确保整个系统在整个汛期正常稳定运行100%；202</w:t>
      </w:r>
      <w:r>
        <w:rPr>
          <w:rFonts w:hint="default" w:ascii="Times New Roman" w:hAnsi="Times New Roman" w:cs="Times New Roman"/>
          <w:sz w:val="32"/>
          <w:szCs w:val="32"/>
          <w:lang w:val="en-US" w:eastAsia="zh-CN"/>
        </w:rPr>
        <w:t>2</w:t>
      </w:r>
      <w:r>
        <w:rPr>
          <w:rFonts w:hint="default" w:ascii="Times New Roman" w:hAnsi="Times New Roman" w:cs="Times New Roman"/>
          <w:sz w:val="32"/>
          <w:szCs w:val="32"/>
          <w:lang w:val="zh-CN"/>
        </w:rPr>
        <w:t>年4月30日前完成检测及维护，确保系统正常运行，全部汛期稳定运行100%。</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．分析评价申报内容是否与实际相符，申报目标是否合理可行。</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是</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本项目资金为绵竹市财政经常性预算，以确保绵竹市山洪预警系统正常运行，为绵竹市防汛减灾工作提供可靠依据和保障。</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1．资金计划。</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该项目资金已列入绵竹市财政预算。</w:t>
      </w:r>
    </w:p>
    <w:p>
      <w:pPr>
        <w:adjustRightInd w:val="0"/>
        <w:snapToGrid w:val="0"/>
        <w:spacing w:line="580" w:lineRule="exact"/>
        <w:ind w:firstLine="720"/>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2．资金到位。</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资金已到位。</w:t>
      </w:r>
    </w:p>
    <w:p>
      <w:pPr>
        <w:adjustRightInd w:val="0"/>
        <w:snapToGrid w:val="0"/>
        <w:spacing w:line="580" w:lineRule="exact"/>
        <w:ind w:firstLine="720"/>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3．资金使用。</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该项目资金使用安全、规范、有效，包括资金支付范围、支付标准、支付进度、支付依据等合规合法、与预算相符。</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（三）项目财务管理情况。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单位财务管理制度健全，严格执行财务管理制度，账务处理及时，会计核算规范等。</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结合项目组织实施管理办法，重点围绕以下内容进行分析评价，并对自评中发现的问题分析说明。</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（一）项目组织架构及实施流程。</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2022年3月10日通过竞争性谈判方式评选出四川盛华伟业科技有限公司为山洪预警系统汛前巡检项目实施单位，中标价为4.948万元，巡检工作于2022年3月11日开始至3月29日完成并提交巡检报告，同时通过水利局的合格验收；2022年4月13日，绵竹市水利局委托四川中宸项目管理有限公司采取竞争性谈判方式，于2022年4月22日评选出四川盛华伟业科技有限公司为山洪预警系统维护单位，中标价为29.3710万元，维护工作于2022-4-23开工，2022年10月27日通过绵竹市水利局的合格验收。</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（二）项目管理情况。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w:t>
      </w:r>
      <w:r>
        <w:rPr>
          <w:rFonts w:hint="default" w:ascii="Times New Roman" w:hAnsi="Times New Roman" w:cs="Times New Roman"/>
          <w:sz w:val="32"/>
          <w:szCs w:val="32"/>
          <w:lang w:val="zh-CN"/>
        </w:rPr>
        <w:t>项目实施单位执行相关法律法规及项目管理制度等</w:t>
      </w:r>
      <w:r>
        <w:rPr>
          <w:rFonts w:hint="default" w:ascii="Times New Roman" w:hAnsi="Times New Roman" w:cs="Times New Roman"/>
          <w:sz w:val="32"/>
          <w:szCs w:val="32"/>
          <w:lang w:val="en-US" w:eastAsia="zh-CN"/>
        </w:rPr>
        <w:t>合规合法。</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（三）项目监管情况。</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严格按合同及财务管理制度管理项目、支付项目资金。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（一）项目完成情况。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项目完成的数量、质量、时效、成本等情况完全符合预定目标，成本控制在预算内。</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（二）项目效益情况。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w:t>
      </w:r>
      <w:r>
        <w:rPr>
          <w:rFonts w:hint="default" w:ascii="Times New Roman" w:hAnsi="Times New Roman" w:cs="Times New Roman"/>
          <w:sz w:val="32"/>
          <w:szCs w:val="32"/>
          <w:lang w:val="en-US" w:eastAsia="zh-CN"/>
        </w:rPr>
        <w:t>的实施</w:t>
      </w:r>
      <w:r>
        <w:rPr>
          <w:rFonts w:hint="default" w:ascii="Times New Roman" w:hAnsi="Times New Roman" w:cs="Times New Roman"/>
          <w:sz w:val="32"/>
          <w:szCs w:val="32"/>
          <w:lang w:val="zh-CN"/>
        </w:rPr>
        <w:t>确保</w:t>
      </w:r>
      <w:r>
        <w:rPr>
          <w:rFonts w:hint="default" w:ascii="Times New Roman" w:hAnsi="Times New Roman" w:cs="Times New Roman"/>
          <w:sz w:val="32"/>
          <w:szCs w:val="32"/>
          <w:lang w:val="en-US" w:eastAsia="zh-CN"/>
        </w:rPr>
        <w:t>了</w:t>
      </w:r>
      <w:r>
        <w:rPr>
          <w:rFonts w:hint="default" w:ascii="Times New Roman" w:hAnsi="Times New Roman" w:cs="Times New Roman"/>
          <w:sz w:val="32"/>
          <w:szCs w:val="32"/>
          <w:lang w:val="zh-CN"/>
        </w:rPr>
        <w:t>整个系统正常运行，使国家和人民群众生命财产得到最大限度的保障。</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（一）评价结论。</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合格</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（二）存在的问题。</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（三）相关建议。</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67F1DFD"/>
    <w:rsid w:val="199D24C1"/>
    <w:rsid w:val="1E891ABF"/>
    <w:rsid w:val="21E54790"/>
    <w:rsid w:val="24856BF8"/>
    <w:rsid w:val="2DD753AC"/>
    <w:rsid w:val="2F601FFC"/>
    <w:rsid w:val="303C3C33"/>
    <w:rsid w:val="4A984FF7"/>
    <w:rsid w:val="4D84255C"/>
    <w:rsid w:val="4FBF3237"/>
    <w:rsid w:val="5AE23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1514</Words>
  <Characters>1582</Characters>
  <Lines>9</Lines>
  <Paragraphs>2</Paragraphs>
  <TotalTime>4</TotalTime>
  <ScaleCrop>false</ScaleCrop>
  <LinksUpToDate>false</LinksUpToDate>
  <CharactersWithSpaces>1583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2023-09-20T08:23:44Z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8B474F72A50743F7B966EA201A6108AE_12</vt:lpwstr>
  </property>
</Properties>
</file>