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r>
        <w:rPr>
          <w:rFonts w:hint="eastAsia" w:eastAsia="黑体" w:cs="Times New Roman"/>
          <w:sz w:val="32"/>
          <w:szCs w:val="32"/>
          <w:lang w:val="en-US" w:eastAsia="zh-CN"/>
        </w:rPr>
        <w:t>14</w:t>
      </w:r>
      <w:bookmarkStart w:id="0" w:name="_GoBack"/>
      <w:bookmarkEnd w:id="0"/>
    </w:p>
    <w:p>
      <w:pPr>
        <w:pStyle w:val="11"/>
        <w:spacing w:line="580" w:lineRule="exact"/>
        <w:ind w:firstLine="883"/>
        <w:jc w:val="center"/>
        <w:rPr>
          <w:rFonts w:hint="default" w:ascii="Times New Roman" w:hAnsi="Times New Roman" w:eastAsia="仿宋_GB2312" w:cs="Times New Roman"/>
          <w:color w:val="auto"/>
          <w:kern w:val="2"/>
          <w:sz w:val="32"/>
          <w:szCs w:val="32"/>
        </w:rPr>
      </w:pPr>
      <w:r>
        <w:rPr>
          <w:rFonts w:hint="default" w:ascii="Times New Roman" w:hAnsi="Times New Roman" w:eastAsia="方正小标宋简体" w:cs="Times New Roman"/>
          <w:sz w:val="44"/>
          <w:szCs w:val="44"/>
        </w:rPr>
        <w:t>德阳市石亭江（绵竹段）防洪治理工程项目绩效自评报告</w:t>
      </w:r>
    </w:p>
    <w:p>
      <w:pPr>
        <w:pStyle w:val="11"/>
        <w:spacing w:line="580" w:lineRule="exact"/>
        <w:ind w:firstLine="640"/>
        <w:jc w:val="center"/>
        <w:rPr>
          <w:rFonts w:hint="default" w:ascii="Times New Roman" w:hAnsi="Times New Roman" w:cs="Times New Roman"/>
          <w:color w:val="auto"/>
          <w:kern w:val="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1．说明项目主管部门（单位）在该项目管理中的职能。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项目主管部门在该项目中的职能：管理、审核并支付该项目资金。</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2．项目立项、资金申报的依据。</w:t>
      </w:r>
    </w:p>
    <w:p>
      <w:pPr>
        <w:pStyle w:val="2"/>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四川省德阳市石亭江（绵竹段）防洪治理工程</w:t>
      </w:r>
      <w:r>
        <w:rPr>
          <w:rFonts w:hint="default" w:ascii="Times New Roman" w:hAnsi="Times New Roman" w:cs="Times New Roman"/>
          <w:kern w:val="2"/>
          <w:sz w:val="32"/>
          <w:szCs w:val="32"/>
          <w:lang w:val="en-US" w:eastAsia="zh-CN" w:bidi="ar-SA"/>
        </w:rPr>
        <w:t>为德阳市石亭江系统治理工程，2019年3月26日，四川省水利厅印发了《关于印发德阳市石亭江治理总体方案专家组意见的函》（川水函〔2019〕380号），2019年11月14日，四川省水利厅《关于德阳市石亭江（绵竹段）防洪治理工程初步设计的批复》（川水函〔2019〕1370号）批复了实施方案，2020年3月12日，绵竹市发改局《关于德阳市石亭江（绵竹段）防洪治理工程投资概算的批复》（竹发改审〔2020〕21号）批复了投资概算，概算投资为2841.62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3．资金管理办法制定情况，资金支持具体项目的条件、范围与支持方式概况。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本项目严格执行川财投</w:t>
      </w:r>
      <w:r>
        <w:rPr>
          <w:rFonts w:hint="default" w:ascii="Times New Roman" w:hAnsi="Times New Roman" w:cs="Times New Roman"/>
          <w:kern w:val="2"/>
          <w:sz w:val="32"/>
          <w:szCs w:val="32"/>
          <w:lang w:val="en-US" w:eastAsia="zh-CN" w:bidi="ar-SA"/>
        </w:rPr>
        <w:t>〔</w:t>
      </w:r>
      <w:r>
        <w:rPr>
          <w:rFonts w:hint="default" w:ascii="Times New Roman" w:hAnsi="Times New Roman" w:cs="Times New Roman"/>
          <w:sz w:val="32"/>
          <w:szCs w:val="32"/>
          <w:lang w:val="en-US" w:eastAsia="zh-CN"/>
        </w:rPr>
        <w:t>2011</w:t>
      </w:r>
      <w:r>
        <w:rPr>
          <w:rFonts w:hint="default" w:ascii="Times New Roman" w:hAnsi="Times New Roman" w:cs="Times New Roman"/>
          <w:kern w:val="2"/>
          <w:sz w:val="32"/>
          <w:szCs w:val="32"/>
          <w:lang w:val="en-US" w:eastAsia="zh-CN" w:bidi="ar-SA"/>
        </w:rPr>
        <w:t>〕</w:t>
      </w:r>
      <w:r>
        <w:rPr>
          <w:rFonts w:hint="default" w:ascii="Times New Roman" w:hAnsi="Times New Roman" w:cs="Times New Roman"/>
          <w:sz w:val="32"/>
          <w:szCs w:val="32"/>
          <w:lang w:val="en-US" w:eastAsia="zh-CN"/>
        </w:rPr>
        <w:t>128号全国中小河流治理项目和资金管理办法、水利行业标准及技术规范等。</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支付方式：预付款支付预付款的时间和金额度和预付款方法:承包人取得开工令并进场施工之日起15日内,签约合同价的20%,通过银行转账。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 xml:space="preserve">  预付款的扣回预付款的扣回办法:在支付工程第一次和第二次进度款时分别扣回预付款的50%,合计两次扣回。</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 xml:space="preserve">  工程进度款按月计量支付,每月支付已确认产值价的70%，其支付总额累计不超过合同总价款的70%；待审计报告完成后30日内工程款付至审计审定价款的97%,余款3%作为质保金,待工程缺陷责任期满后无息退还。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1．项目主要内容。</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综合治理河道3段（金花镇河段、广济镇河段、新市镇河段）总长8.47Km。其中金花镇云盖村段1.20km,起于已成绵竹市“7.9"洪灾石亭江高景观段堤防水毁修复工程堤防末端,止于千石湖农家乐处白然岸坡；广济镇段1.19km,起于已实施的四川省绵竹市广济镇石亭江防洪治理工程二段堤防末端,止于已实施的四川省绵竹市广济镇石亭江防洪治理工程三段堤防起点；新市镇段6.08km,起于许家沟与石亭江汇口上游约170m处,止于龙蟒大地农业有限公司(二号门)上游约190m处。综合治理河道范围内新建堤防2.167km,其中金花镇云盖村段石亭江左岸新建堤防0.322km,新市镇段新建堤防1.845km(石亭江左岸0.249km;支流许家沟左岸0.748km,右岸0.848km)。加固堤防0.718km,位于广济镇石亭江左岸。岸线整治5.3km,其中金花镇云盖村段左岸0.608km,起于千石湖农家乐停车场下游约75m处,止于下游拦河堰处;新市镇段左岸整治4.669km,起于恢复重建的石亭江大桥下游约260m处,止于龙蟒大地农业有限公司（二号门）上游约190m处</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2．项目应实现的具体绩效目标，包括目标的量化、细化情况以及项目实施进度计划等。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完成综合治理河道8.47公里；项目完工验收合格率100%；截至2020年12月底完成率100%；工程单价控制在预算内。</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3．分析评价申报内容是否与实际相符，申报目标是否合理可行。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申报内容与实际相符，申报目标合理可行。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2020年3月12日，绵竹市发改局《关于德阳市石亭江（绵竹段）防洪治理工程投资概算的批复》（竹发改审〔2020〕21号）批复了投资概算，概算投资为2841.62万元。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1．资金计划。</w:t>
      </w:r>
    </w:p>
    <w:p>
      <w:pPr>
        <w:pStyle w:val="2"/>
        <w:keepNext w:val="0"/>
        <w:keepLines w:val="0"/>
        <w:pageBreakBefore w:val="0"/>
        <w:widowControl w:val="0"/>
        <w:kinsoku/>
        <w:wordWrap/>
        <w:overflowPunct/>
        <w:topLinePunct w:val="0"/>
        <w:autoSpaceDE/>
        <w:autoSpaceDN/>
        <w:bidi w:val="0"/>
        <w:spacing w:line="560" w:lineRule="exact"/>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项目资金来源于中央资金及地方配套。</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2．资金到位。</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项目资金来源于中央资金和地方配套，2019年12月6日，《四川省财政厅 四川省水利厅关于 提前下达2020年中央和省级水利发展资金预算的通知》（川财农〔2019〕184号）已下达中央资金2048万元用于本项目建设，2020年3月12日，绵竹市发改局《关于德阳市石亭江（绵竹段）防洪治理工程投资概算的批复》（竹发改审〔2020〕21号）批复了投资概算，概算投资为2841.62万元，其中中央资金为2048万元，地方配套793.62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eastAsia="zh-CN"/>
        </w:rPr>
      </w:pPr>
      <w:r>
        <w:rPr>
          <w:rFonts w:hint="default" w:ascii="Times New Roman" w:hAnsi="Times New Roman" w:cs="Times New Roman"/>
          <w:sz w:val="32"/>
          <w:szCs w:val="32"/>
          <w:lang w:val="zh-CN" w:eastAsia="zh-CN"/>
        </w:rPr>
        <w:t>3．资金使用。</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该项目资金使用安全、规范、有效，包括资金支付范围、支付标准、支付进度、支付依据等合规合法、与预算相符。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单位财务管理制度健全，严格执行财务管理制度，账务处理及时，会计核算规范等。</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zh-CN"/>
        </w:rPr>
        <w:t>本</w:t>
      </w:r>
      <w:r>
        <w:rPr>
          <w:rFonts w:hint="default" w:ascii="Times New Roman" w:hAnsi="Times New Roman" w:cs="Times New Roman"/>
          <w:sz w:val="32"/>
          <w:szCs w:val="32"/>
          <w:lang w:val="en-US" w:eastAsia="zh-CN"/>
        </w:rPr>
        <w:t>项目</w:t>
      </w:r>
      <w:r>
        <w:rPr>
          <w:rFonts w:hint="default" w:ascii="Times New Roman" w:hAnsi="Times New Roman" w:cs="Times New Roman"/>
          <w:sz w:val="32"/>
          <w:szCs w:val="32"/>
          <w:lang w:val="zh-CN"/>
        </w:rPr>
        <w:t>2020/4/26至6月11日9点30分挂网</w:t>
      </w:r>
      <w:r>
        <w:rPr>
          <w:rFonts w:hint="default" w:ascii="Times New Roman" w:hAnsi="Times New Roman" w:cs="Times New Roman"/>
          <w:sz w:val="32"/>
          <w:szCs w:val="32"/>
          <w:lang w:val="en-US" w:eastAsia="zh-CN"/>
        </w:rPr>
        <w:t>招标</w:t>
      </w:r>
      <w:r>
        <w:rPr>
          <w:rFonts w:hint="default" w:ascii="Times New Roman" w:hAnsi="Times New Roman" w:cs="Times New Roman"/>
          <w:sz w:val="32"/>
          <w:szCs w:val="32"/>
          <w:lang w:val="zh-CN"/>
        </w:rPr>
        <w:t>，</w:t>
      </w:r>
      <w:r>
        <w:rPr>
          <w:rFonts w:hint="default" w:ascii="Times New Roman" w:hAnsi="Times New Roman" w:cs="Times New Roman"/>
          <w:sz w:val="32"/>
          <w:szCs w:val="32"/>
          <w:lang w:val="en-US" w:eastAsia="zh-CN"/>
        </w:rPr>
        <w:t>于2020-10-27开工，2022-5-20完工，2022-6-30完工验收。</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本</w:t>
      </w:r>
      <w:r>
        <w:rPr>
          <w:rFonts w:hint="default" w:ascii="Times New Roman" w:hAnsi="Times New Roman" w:cs="Times New Roman"/>
          <w:sz w:val="32"/>
          <w:szCs w:val="32"/>
          <w:lang w:val="zh-CN"/>
        </w:rPr>
        <w:t>项目实施单位执行相关法律法规及项目管理制度等</w:t>
      </w:r>
      <w:r>
        <w:rPr>
          <w:rFonts w:hint="default" w:ascii="Times New Roman" w:hAnsi="Times New Roman" w:cs="Times New Roman"/>
          <w:sz w:val="32"/>
          <w:szCs w:val="32"/>
          <w:lang w:val="en-US" w:eastAsia="zh-CN"/>
        </w:rPr>
        <w:t>合规合法。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严格按合同及财务管理制度管理项目、支付项目资金。</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cs="Times New Roman"/>
          <w:sz w:val="32"/>
          <w:szCs w:val="32"/>
          <w:lang w:val="zh-CN"/>
        </w:rPr>
        <w:t>项目完成的数量、质量、时效、成本等情况完全符合预定目标，成本控制在预算内。</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工程保护耕地0.047万亩，保护人口</w:t>
      </w:r>
      <w:r>
        <w:rPr>
          <w:rFonts w:hint="default" w:ascii="Times New Roman" w:hAnsi="Times New Roman" w:cs="Times New Roman"/>
          <w:sz w:val="32"/>
          <w:szCs w:val="32"/>
          <w:lang w:val="en-US" w:eastAsia="zh-CN"/>
        </w:rPr>
        <w:t>0.035</w:t>
      </w:r>
      <w:r>
        <w:rPr>
          <w:rFonts w:hint="default" w:ascii="Times New Roman" w:hAnsi="Times New Roman" w:cs="Times New Roman"/>
          <w:sz w:val="32"/>
          <w:szCs w:val="32"/>
          <w:lang w:val="zh-CN"/>
        </w:rPr>
        <w:t>万人；</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已建工程</w:t>
      </w:r>
      <w:r>
        <w:rPr>
          <w:rFonts w:hint="default" w:ascii="Times New Roman" w:hAnsi="Times New Roman" w:cs="Times New Roman"/>
          <w:sz w:val="32"/>
          <w:szCs w:val="32"/>
          <w:lang w:val="en-US" w:eastAsia="zh-CN"/>
        </w:rPr>
        <w:t>能保持</w:t>
      </w:r>
      <w:r>
        <w:rPr>
          <w:rFonts w:hint="default" w:ascii="Times New Roman" w:hAnsi="Times New Roman" w:cs="Times New Roman"/>
          <w:sz w:val="32"/>
          <w:szCs w:val="32"/>
          <w:lang w:val="zh-CN"/>
        </w:rPr>
        <w:t>良性运行，工程达到设计</w:t>
      </w:r>
      <w:r>
        <w:rPr>
          <w:rFonts w:hint="default" w:ascii="Times New Roman" w:hAnsi="Times New Roman" w:cs="Times New Roman"/>
          <w:sz w:val="32"/>
          <w:szCs w:val="32"/>
          <w:lang w:val="en-US" w:eastAsia="zh-CN"/>
        </w:rPr>
        <w:t>标准</w:t>
      </w:r>
      <w:r>
        <w:rPr>
          <w:rFonts w:hint="default" w:ascii="Times New Roman" w:hAnsi="Times New Roman" w:cs="Times New Roman"/>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cs="Times New Roman"/>
          <w:sz w:val="32"/>
          <w:szCs w:val="32"/>
          <w:lang w:val="zh-CN"/>
        </w:rPr>
        <w:t>受益群众满意度100%。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合格</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（二）存在的问题。</w:t>
      </w:r>
      <w:r>
        <w:rPr>
          <w:rFonts w:hint="default" w:ascii="Times New Roman" w:hAnsi="Times New Roman" w:cs="Times New Roman"/>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466502E"/>
    <w:rsid w:val="09354D56"/>
    <w:rsid w:val="11750776"/>
    <w:rsid w:val="1A255D39"/>
    <w:rsid w:val="233D5C4B"/>
    <w:rsid w:val="23832B48"/>
    <w:rsid w:val="2B2F6073"/>
    <w:rsid w:val="2B591A99"/>
    <w:rsid w:val="30FF721A"/>
    <w:rsid w:val="35CB558F"/>
    <w:rsid w:val="3EC341BE"/>
    <w:rsid w:val="4041198E"/>
    <w:rsid w:val="41955C1C"/>
    <w:rsid w:val="47B930D8"/>
    <w:rsid w:val="497D3B5C"/>
    <w:rsid w:val="4B283E01"/>
    <w:rsid w:val="5371628D"/>
    <w:rsid w:val="54D771B1"/>
    <w:rsid w:val="56765D5F"/>
    <w:rsid w:val="57115B42"/>
    <w:rsid w:val="5D814602"/>
    <w:rsid w:val="64E01643"/>
    <w:rsid w:val="65E01C20"/>
    <w:rsid w:val="665C3E5E"/>
    <w:rsid w:val="68964E46"/>
    <w:rsid w:val="68BB6AA0"/>
    <w:rsid w:val="77086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adjustRightInd w:val="0"/>
      <w:snapToGrid w:val="0"/>
      <w:ind w:left="0" w:leftChars="0" w:firstLine="420"/>
    </w:pPr>
    <w:rPr>
      <w:sz w:val="24"/>
    </w:rPr>
  </w:style>
  <w:style w:type="paragraph" w:styleId="3">
    <w:name w:val="Body Text Indent"/>
    <w:basedOn w:val="1"/>
    <w:qFormat/>
    <w:uiPriority w:val="0"/>
    <w:pPr>
      <w:spacing w:after="120"/>
      <w:ind w:left="420" w:leftChars="200"/>
    </w:pPr>
    <w:rPr>
      <w:kern w:val="0"/>
      <w:sz w:val="20"/>
      <w:szCs w:val="24"/>
    </w:rPr>
  </w:style>
  <w:style w:type="paragraph" w:styleId="4">
    <w:name w:val="Body Text"/>
    <w:basedOn w:val="1"/>
    <w:qFormat/>
    <w:uiPriority w:val="1"/>
    <w:rPr>
      <w:rFonts w:ascii="仿宋" w:hAnsi="仿宋" w:eastAsia="仿宋" w:cs="仿宋"/>
      <w:sz w:val="28"/>
      <w:szCs w:val="28"/>
      <w:lang w:val="zh-CN" w:eastAsia="zh-CN" w:bidi="zh-CN"/>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paragraph" w:customStyle="1" w:styleId="11">
    <w:name w:val="四号正文"/>
    <w:basedOn w:val="1"/>
    <w:link w:val="12"/>
    <w:qFormat/>
    <w:uiPriority w:val="99"/>
    <w:pPr>
      <w:spacing w:line="360" w:lineRule="auto"/>
    </w:pPr>
    <w:rPr>
      <w:rFonts w:ascii="??" w:hAnsi="??" w:eastAsia="宋体"/>
      <w:color w:val="000000"/>
      <w:kern w:val="0"/>
      <w:sz w:val="28"/>
      <w:szCs w:val="21"/>
    </w:rPr>
  </w:style>
  <w:style w:type="character" w:customStyle="1" w:styleId="12">
    <w:name w:val="四号正文 Char"/>
    <w:link w:val="11"/>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1888</Words>
  <Characters>2164</Characters>
  <Lines>9</Lines>
  <Paragraphs>2</Paragraphs>
  <TotalTime>0</TotalTime>
  <ScaleCrop>false</ScaleCrop>
  <LinksUpToDate>false</LinksUpToDate>
  <CharactersWithSpaces>2172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洛笙</cp:lastModifiedBy>
  <dcterms:modified xsi:type="dcterms:W3CDTF">2023-09-20T08:30:53Z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FD7844B5CA58418297A1B94D865678F6_12</vt:lpwstr>
  </property>
</Properties>
</file>