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default" w:ascii="Times New Roman" w:hAnsi="Times New Roman" w:eastAsia="黑体" w:cs="Times New Roman"/>
          <w:sz w:val="32"/>
          <w:szCs w:val="32"/>
          <w:lang w:val="en-US" w:eastAsia="zh-CN"/>
        </w:rPr>
      </w:pPr>
      <w:bookmarkStart w:id="0" w:name="_GoBack"/>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3-11</w:t>
      </w:r>
    </w:p>
    <w:p>
      <w:pPr>
        <w:pStyle w:val="11"/>
        <w:spacing w:line="580" w:lineRule="exact"/>
        <w:jc w:val="center"/>
        <w:rPr>
          <w:rFonts w:hint="default" w:ascii="Times New Roman" w:hAnsi="Times New Roman" w:eastAsia="仿宋_GB2312" w:cs="Times New Roman"/>
          <w:color w:val="auto"/>
          <w:kern w:val="2"/>
          <w:sz w:val="32"/>
          <w:szCs w:val="32"/>
        </w:rPr>
      </w:pPr>
      <w:r>
        <w:rPr>
          <w:rFonts w:hint="default" w:ascii="Times New Roman" w:hAnsi="Times New Roman" w:eastAsia="方正小标宋简体" w:cs="Times New Roman"/>
          <w:sz w:val="44"/>
          <w:szCs w:val="44"/>
        </w:rPr>
        <w:t>四川省绵竹市新市镇射水河观鱼段防洪治理工程项目绩效自评报告</w:t>
      </w:r>
    </w:p>
    <w:p>
      <w:pPr>
        <w:pStyle w:val="11"/>
        <w:spacing w:line="580" w:lineRule="exact"/>
        <w:ind w:firstLine="640"/>
        <w:jc w:val="center"/>
        <w:rPr>
          <w:rFonts w:hint="default" w:ascii="Times New Roman" w:hAnsi="Times New Roman" w:cs="Times New Roman"/>
          <w:color w:val="auto"/>
          <w:kern w:val="2"/>
          <w:szCs w:val="32"/>
        </w:rPr>
      </w:pPr>
    </w:p>
    <w:p>
      <w:pPr>
        <w:adjustRightInd w:val="0"/>
        <w:snapToGrid w:val="0"/>
        <w:spacing w:line="580" w:lineRule="exact"/>
        <w:ind w:firstLine="720"/>
        <w:rPr>
          <w:rFonts w:hint="default" w:ascii="Times New Roman" w:hAnsi="Times New Roman" w:eastAsia="黑体" w:cs="Times New Roman"/>
          <w:sz w:val="32"/>
          <w:szCs w:val="32"/>
          <w:lang w:val="zh-CN"/>
        </w:rPr>
      </w:pPr>
      <w:r>
        <w:rPr>
          <w:rFonts w:hint="default" w:ascii="Times New Roman" w:hAnsi="Times New Roman" w:eastAsia="黑体" w:cs="Times New Roman"/>
          <w:sz w:val="32"/>
          <w:szCs w:val="32"/>
        </w:rPr>
        <w:t>一、</w:t>
      </w:r>
      <w:r>
        <w:rPr>
          <w:rFonts w:hint="default" w:ascii="Times New Roman" w:hAnsi="Times New Roman" w:eastAsia="黑体" w:cs="Times New Roman"/>
          <w:sz w:val="32"/>
          <w:szCs w:val="32"/>
          <w:lang w:val="zh-CN"/>
        </w:rPr>
        <w:t>项目概况</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（一）项目基本情况。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1</w:t>
      </w:r>
      <w:r>
        <w:rPr>
          <w:rFonts w:hint="default" w:ascii="Times New Roman" w:hAnsi="Times New Roman" w:cs="Times New Roman"/>
          <w:sz w:val="32"/>
          <w:szCs w:val="32"/>
          <w:lang w:val="zh-CN"/>
        </w:rPr>
        <w:t>．说明项目主管部门（单位）在该项目管理中的职能。</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项目主管部门在该项目中的职能：管理、审核并支付该项目资金。</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2</w:t>
      </w:r>
      <w:r>
        <w:rPr>
          <w:rFonts w:hint="default" w:ascii="Times New Roman" w:hAnsi="Times New Roman" w:cs="Times New Roman"/>
          <w:sz w:val="32"/>
          <w:szCs w:val="32"/>
          <w:lang w:val="zh-CN"/>
        </w:rPr>
        <w:t>．项目立项、资金申报的依据。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工程河段为射水河雷家堰至赵家嘴段，工程主要保护范围涉及绵竹市新市镇范存村、两河口村和打渔院村，保护区人口0.71万人、耕地0.77万亩。工程河段经多年洪水冲刷，河床演变下切较为严重，下切深度2~5m，导致现有堤防出现齿墙悬空，堤身填筑体塌陷，面板拉裂破坏等病害，防洪安全隐患大，亟待整治。</w:t>
      </w:r>
    </w:p>
    <w:p>
      <w:pPr>
        <w:pStyle w:val="2"/>
        <w:keepNext w:val="0"/>
        <w:keepLines w:val="0"/>
        <w:pageBreakBefore w:val="0"/>
        <w:widowControl w:val="0"/>
        <w:kinsoku/>
        <w:wordWrap/>
        <w:overflowPunct/>
        <w:topLinePunct w:val="0"/>
        <w:autoSpaceDE/>
        <w:autoSpaceDN/>
        <w:bidi w:val="0"/>
        <w:spacing w:line="560"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2021年7月7日，</w:t>
      </w:r>
      <w:r>
        <w:rPr>
          <w:rFonts w:hint="default" w:ascii="Times New Roman" w:hAnsi="Times New Roman" w:cs="Times New Roman"/>
          <w:kern w:val="2"/>
          <w:sz w:val="32"/>
          <w:szCs w:val="32"/>
          <w:lang w:val="en-US" w:eastAsia="zh-CN" w:bidi="ar-SA"/>
        </w:rPr>
        <w:t>绵竹市发改局《</w:t>
      </w:r>
      <w:r>
        <w:rPr>
          <w:rFonts w:hint="default" w:ascii="Times New Roman" w:hAnsi="Times New Roman" w:eastAsia="仿宋_GB2312" w:cs="Times New Roman"/>
          <w:kern w:val="2"/>
          <w:sz w:val="32"/>
          <w:szCs w:val="32"/>
          <w:lang w:val="en-US" w:eastAsia="zh-CN" w:bidi="ar-SA"/>
        </w:rPr>
        <w:t>关于四川省绵竹市新市镇射水河观鱼段防洪治理工程项目建议书的批复</w:t>
      </w:r>
      <w:r>
        <w:rPr>
          <w:rFonts w:hint="default" w:ascii="Times New Roman" w:hAnsi="Times New Roman"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竹发改建</w:t>
      </w:r>
      <w:r>
        <w:rPr>
          <w:rFonts w:hint="default" w:ascii="Times New Roman" w:hAnsi="Times New Roman" w:cs="Times New Roman"/>
          <w:sz w:val="32"/>
          <w:szCs w:val="32"/>
          <w:lang w:val="en-US" w:eastAsia="zh-CN"/>
        </w:rPr>
        <w:t>〔</w:t>
      </w:r>
      <w:r>
        <w:rPr>
          <w:rFonts w:hint="default" w:ascii="Times New Roman" w:hAnsi="Times New Roman" w:eastAsia="仿宋_GB2312" w:cs="Times New Roman"/>
          <w:kern w:val="2"/>
          <w:sz w:val="32"/>
          <w:szCs w:val="32"/>
          <w:lang w:val="en-US" w:eastAsia="zh-CN" w:bidi="ar-SA"/>
        </w:rPr>
        <w:t>2021</w:t>
      </w:r>
      <w:r>
        <w:rPr>
          <w:rFonts w:hint="default" w:ascii="Times New Roman" w:hAnsi="Times New Roman" w:cs="Times New Roman"/>
          <w:sz w:val="32"/>
          <w:szCs w:val="32"/>
          <w:lang w:val="en-US" w:eastAsia="zh-CN"/>
        </w:rPr>
        <w:t>〕</w:t>
      </w:r>
      <w:r>
        <w:rPr>
          <w:rFonts w:hint="default" w:ascii="Times New Roman" w:hAnsi="Times New Roman" w:eastAsia="仿宋_GB2312" w:cs="Times New Roman"/>
          <w:kern w:val="2"/>
          <w:sz w:val="32"/>
          <w:szCs w:val="32"/>
          <w:lang w:val="en-US" w:eastAsia="zh-CN" w:bidi="ar-SA"/>
        </w:rPr>
        <w:t>39号</w:t>
      </w:r>
      <w:r>
        <w:rPr>
          <w:rFonts w:hint="default" w:ascii="Times New Roman" w:hAnsi="Times New Roman" w:cs="Times New Roman"/>
          <w:kern w:val="2"/>
          <w:sz w:val="32"/>
          <w:szCs w:val="32"/>
          <w:lang w:val="en-US" w:eastAsia="zh-CN" w:bidi="ar-SA"/>
        </w:rPr>
        <w:t>）批复立项，投资估算2835万元。</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3</w:t>
      </w:r>
      <w:r>
        <w:rPr>
          <w:rFonts w:hint="default" w:ascii="Times New Roman" w:hAnsi="Times New Roman" w:cs="Times New Roman"/>
          <w:sz w:val="32"/>
          <w:szCs w:val="32"/>
          <w:lang w:val="zh-CN"/>
        </w:rPr>
        <w:t>．资金管理办法制定情况，资金支持具体项目的条件、范围与支持方式概况。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本项目严格执行川财投〔2011〕128号全国中小河流治理项目和资金管理办法、水利行业标准及技术规范等。</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支付方式</w:t>
      </w:r>
      <w:r>
        <w:rPr>
          <w:rFonts w:hint="default" w:ascii="Times New Roman" w:hAnsi="Times New Roman" w:cs="Times New Roman"/>
          <w:sz w:val="32"/>
          <w:szCs w:val="32"/>
          <w:lang w:val="en-US" w:eastAsia="zh-CN"/>
        </w:rPr>
        <w:t>：</w:t>
      </w:r>
      <w:r>
        <w:rPr>
          <w:rFonts w:hint="default" w:ascii="Times New Roman" w:hAnsi="Times New Roman" w:cs="Times New Roman"/>
          <w:sz w:val="32"/>
          <w:szCs w:val="32"/>
          <w:lang w:val="en-US" w:eastAsia="zh-CN"/>
        </w:rPr>
        <w:t>本</w:t>
      </w:r>
      <w:r>
        <w:rPr>
          <w:rFonts w:hint="default" w:ascii="Times New Roman" w:hAnsi="Times New Roman" w:cs="Times New Roman"/>
          <w:sz w:val="32"/>
          <w:szCs w:val="32"/>
          <w:lang w:val="en-US" w:eastAsia="zh-CN"/>
        </w:rPr>
        <w:t>项目</w:t>
      </w:r>
      <w:r>
        <w:rPr>
          <w:rFonts w:hint="default" w:ascii="Times New Roman" w:hAnsi="Times New Roman" w:cs="Times New Roman"/>
          <w:sz w:val="32"/>
          <w:szCs w:val="32"/>
          <w:lang w:val="en-US" w:eastAsia="zh-CN"/>
        </w:rPr>
        <w:t>由绵竹市金申投资集团有限公司为项目业主，是项目建设的责任主体，对项目建设全过程负责，对项目的质量、安全、进度和资金管理负总责。市水利局加强对项目法人的监督管理，进行业务指导和考核管理。</w:t>
      </w:r>
      <w:r>
        <w:rPr>
          <w:rFonts w:hint="default" w:ascii="Times New Roman" w:hAnsi="Times New Roman" w:cs="Times New Roman"/>
          <w:sz w:val="32"/>
          <w:szCs w:val="32"/>
          <w:lang w:val="en-US" w:eastAsia="zh-CN"/>
        </w:rPr>
        <w:t>资金支付由转移支付全部项目资金给绵竹市金申投资集团有限公司。</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（二）项目绩效目标。</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1</w:t>
      </w:r>
      <w:r>
        <w:rPr>
          <w:rFonts w:hint="default" w:ascii="Times New Roman" w:hAnsi="Times New Roman" w:cs="Times New Roman"/>
          <w:sz w:val="32"/>
          <w:szCs w:val="32"/>
          <w:lang w:val="zh-CN"/>
        </w:rPr>
        <w:t>．项目主要内容。</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四川省绵竹市新市镇射水河观鱼段防洪治理工程，位于绵竹市新市镇范存村、两河口村和打渔院村境内。工程治理范围上起雷家堰下游240m处，下至射水河赵家嘴鱼池起点，工程综合治理河道长度5.09km，本次工程加固堤防共4段，共长891m（其中右岸3段，长834m，左岸1段，长57m），新建堤防共7段，长3309.5m（其中左岸1段，长300m，右岸6段，长3009.5m），整治穿堤涵（管）7处，新建监控设施7套，新建下河梯步6处，新建监测桩4处，新建水标尺5处。</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2</w:t>
      </w:r>
      <w:r>
        <w:rPr>
          <w:rFonts w:hint="default" w:ascii="Times New Roman" w:hAnsi="Times New Roman" w:cs="Times New Roman"/>
          <w:sz w:val="32"/>
          <w:szCs w:val="32"/>
          <w:lang w:val="zh-CN"/>
        </w:rPr>
        <w:t>．项目应实现的具体绩效目标，包括目标的量化、细化情况以及项目实施进度计划等。</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完成四川省绵竹市孝德镇马尾河防洪治理工程，综合治理河道5.09公里；项目完工验收合格率100%；在2023年6月底工程形象进度完成率100%；</w:t>
      </w:r>
      <w:r>
        <w:rPr>
          <w:rFonts w:hint="default" w:ascii="Times New Roman" w:hAnsi="Times New Roman" w:cs="Times New Roman"/>
          <w:sz w:val="32"/>
          <w:szCs w:val="32"/>
          <w:lang w:val="en-US" w:eastAsia="zh-CN"/>
        </w:rPr>
        <w:t>工程单价控制在预算内</w:t>
      </w:r>
      <w:r>
        <w:rPr>
          <w:rFonts w:hint="default" w:ascii="Times New Roman" w:hAnsi="Times New Roman"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3</w:t>
      </w:r>
      <w:r>
        <w:rPr>
          <w:rFonts w:hint="default" w:ascii="Times New Roman" w:hAnsi="Times New Roman" w:cs="Times New Roman"/>
          <w:sz w:val="32"/>
          <w:szCs w:val="32"/>
          <w:lang w:val="zh-CN"/>
        </w:rPr>
        <w:t>．分析评价申报内容是否与实际相符，申报目标是否合理可行。</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申报内容与实际相符，申报目标合理可行。</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二、项目资金申报及使用情况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说明项目资金申报、批复及预算调整等程序的相关情况。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2022年7月11日</w:t>
      </w:r>
      <w:r>
        <w:rPr>
          <w:rFonts w:hint="default" w:ascii="Times New Roman" w:hAnsi="Times New Roman" w:cs="Times New Roman"/>
          <w:sz w:val="32"/>
          <w:szCs w:val="32"/>
          <w:lang w:val="zh-CN"/>
        </w:rPr>
        <w:t>竹发改审〔20</w:t>
      </w:r>
      <w:r>
        <w:rPr>
          <w:rFonts w:hint="default" w:ascii="Times New Roman" w:hAnsi="Times New Roman" w:cs="Times New Roman"/>
          <w:sz w:val="32"/>
          <w:szCs w:val="32"/>
          <w:lang w:val="en-US" w:eastAsia="zh-CN"/>
        </w:rPr>
        <w:t>22</w:t>
      </w:r>
      <w:r>
        <w:rPr>
          <w:rFonts w:hint="default" w:ascii="Times New Roman" w:hAnsi="Times New Roman" w:cs="Times New Roman"/>
          <w:sz w:val="32"/>
          <w:szCs w:val="32"/>
          <w:lang w:val="zh-CN"/>
        </w:rPr>
        <w:t>〕</w:t>
      </w:r>
      <w:r>
        <w:rPr>
          <w:rFonts w:hint="default" w:ascii="Times New Roman" w:hAnsi="Times New Roman" w:cs="Times New Roman"/>
          <w:sz w:val="32"/>
          <w:szCs w:val="32"/>
          <w:lang w:val="en-US" w:eastAsia="zh-CN"/>
        </w:rPr>
        <w:t>101</w:t>
      </w:r>
      <w:r>
        <w:rPr>
          <w:rFonts w:hint="default" w:ascii="Times New Roman" w:hAnsi="Times New Roman" w:cs="Times New Roman"/>
          <w:sz w:val="32"/>
          <w:szCs w:val="32"/>
          <w:lang w:val="zh-CN"/>
        </w:rPr>
        <w:t>号</w:t>
      </w:r>
      <w:r>
        <w:rPr>
          <w:rFonts w:hint="default" w:ascii="Times New Roman" w:hAnsi="Times New Roman" w:cs="Times New Roman"/>
          <w:sz w:val="32"/>
          <w:szCs w:val="32"/>
          <w:lang w:val="zh-CN" w:eastAsia="zh-CN"/>
        </w:rPr>
        <w:t>批复投资概算，</w:t>
      </w:r>
      <w:r>
        <w:rPr>
          <w:rFonts w:hint="default" w:ascii="Times New Roman" w:hAnsi="Times New Roman" w:cs="Times New Roman"/>
          <w:sz w:val="32"/>
          <w:szCs w:val="32"/>
          <w:lang w:val="en-US" w:eastAsia="zh-CN"/>
        </w:rPr>
        <w:t>概算投资为2830.38万元</w:t>
      </w:r>
      <w:r>
        <w:rPr>
          <w:rFonts w:hint="default" w:ascii="Times New Roman" w:hAnsi="Times New Roman" w:cs="Times New Roman"/>
          <w:sz w:val="32"/>
          <w:szCs w:val="32"/>
          <w:lang w:val="zh-CN"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（二）资金计划、到位及使用情况（可用表格形式反映）。</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eastAsia="楷体_GB2312" w:cs="Times New Roman"/>
          <w:sz w:val="32"/>
          <w:szCs w:val="32"/>
          <w:lang w:val="zh-CN"/>
        </w:rPr>
        <w:t>1</w:t>
      </w:r>
      <w:r>
        <w:rPr>
          <w:rFonts w:hint="default" w:ascii="Times New Roman" w:hAnsi="Times New Roman" w:eastAsia="楷体_GB2312" w:cs="Times New Roman"/>
          <w:sz w:val="32"/>
          <w:szCs w:val="32"/>
          <w:lang w:val="zh-CN"/>
        </w:rPr>
        <w:t>．资金计划。</w:t>
      </w:r>
    </w:p>
    <w:p>
      <w:pPr>
        <w:pStyle w:val="2"/>
        <w:keepNext w:val="0"/>
        <w:keepLines w:val="0"/>
        <w:pageBreakBefore w:val="0"/>
        <w:widowControl w:val="0"/>
        <w:kinsoku/>
        <w:wordWrap/>
        <w:overflowPunct/>
        <w:topLinePunct w:val="0"/>
        <w:autoSpaceDE/>
        <w:autoSpaceDN/>
        <w:bidi w:val="0"/>
        <w:spacing w:line="560" w:lineRule="exact"/>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项目资金来源于中央资金及地方配套。</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eastAsia="楷体_GB2312" w:cs="Times New Roman"/>
          <w:sz w:val="32"/>
          <w:szCs w:val="32"/>
          <w:lang w:val="zh-CN"/>
        </w:rPr>
        <w:t>2</w:t>
      </w:r>
      <w:r>
        <w:rPr>
          <w:rFonts w:hint="default" w:ascii="Times New Roman" w:hAnsi="Times New Roman" w:eastAsia="楷体_GB2312" w:cs="Times New Roman"/>
          <w:sz w:val="32"/>
          <w:szCs w:val="32"/>
          <w:lang w:val="zh-CN"/>
        </w:rPr>
        <w:t>．资金到位。</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项目资金来源于中央资金和地方配套，2022年1月，《四川省财政厅 四川省水利厅关于下达2022年中央和省级水利发展资金的通知》（川财农[2022年]9号）已下达中央资金1756万元用于本项目建设，2022年7月绵竹市发改局批复了本项目的概算投资。</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eastAsia="楷体_GB2312" w:cs="Times New Roman"/>
          <w:sz w:val="32"/>
          <w:szCs w:val="32"/>
          <w:lang w:val="zh-CN"/>
        </w:rPr>
        <w:t>3</w:t>
      </w:r>
      <w:r>
        <w:rPr>
          <w:rFonts w:hint="default" w:ascii="Times New Roman" w:hAnsi="Times New Roman" w:eastAsia="楷体_GB2312" w:cs="Times New Roman"/>
          <w:sz w:val="32"/>
          <w:szCs w:val="32"/>
          <w:lang w:val="zh-CN"/>
        </w:rPr>
        <w:t>．资金使用。</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该项目资金使用安全、规范、有效，包括资金支付范围、支付标准、支付进度、支付依据等合规合法、与预算相符。</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（三）项目财务管理情况。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单位财务管理制度健全，严格执行财务管理制度，账务处理及时，会计核算规范。</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三、项目实施及管理情况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结合项目组织实施管理办法，重点围绕以下内容进行分析评价，并对自评中发现的问题分析说明。</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（一）项目组织架构及实施流程。</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zh-CN"/>
        </w:rPr>
        <w:t>本由绵竹市金申投资集团有限公司为项目业主，是项目建设的责任主体，对项目建设全过程负责，对项目的质量、安全、进度和资金管理负总责。市水利局加强对项目法人的监督管理，进行业务指导和考核管理。项目</w:t>
      </w:r>
      <w:r>
        <w:rPr>
          <w:rFonts w:hint="default" w:ascii="Times New Roman" w:hAnsi="Times New Roman" w:cs="Times New Roman"/>
          <w:sz w:val="32"/>
          <w:szCs w:val="32"/>
          <w:lang w:val="en-US" w:eastAsia="zh-CN"/>
        </w:rPr>
        <w:t>于2022年11月3日开工，至目前已完成形象进度55%，预计2023年汛前完工。</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（二）项目管理情况。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本</w:t>
      </w:r>
      <w:r>
        <w:rPr>
          <w:rFonts w:hint="default" w:ascii="Times New Roman" w:hAnsi="Times New Roman" w:cs="Times New Roman"/>
          <w:sz w:val="32"/>
          <w:szCs w:val="32"/>
          <w:lang w:val="zh-CN"/>
        </w:rPr>
        <w:t>项目实施单位执行相关法律法规及项目管理制度等</w:t>
      </w:r>
      <w:r>
        <w:rPr>
          <w:rFonts w:hint="default" w:ascii="Times New Roman" w:hAnsi="Times New Roman" w:cs="Times New Roman"/>
          <w:sz w:val="32"/>
          <w:szCs w:val="32"/>
          <w:lang w:val="en-US" w:eastAsia="zh-CN"/>
        </w:rPr>
        <w:t>合规合法。</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（三）项目监管情况。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严格按合同及财务管理制度管理项目、支付项目资金。</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eastAsia="黑体" w:cs="Times New Roman"/>
          <w:sz w:val="32"/>
          <w:szCs w:val="32"/>
        </w:rPr>
        <w:t>四、项目绩效情况</w:t>
      </w:r>
      <w:r>
        <w:rPr>
          <w:rFonts w:hint="default" w:ascii="Times New Roman" w:hAnsi="Times New Roman" w:cs="Times New Roman"/>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楷体_GB2312" w:cs="Times New Roman"/>
          <w:b/>
          <w:sz w:val="32"/>
          <w:szCs w:val="32"/>
          <w:lang w:val="zh-CN"/>
        </w:rPr>
      </w:pPr>
      <w:r>
        <w:rPr>
          <w:rFonts w:hint="default" w:ascii="Times New Roman" w:hAnsi="Times New Roman" w:cs="Times New Roman"/>
          <w:sz w:val="32"/>
          <w:szCs w:val="32"/>
          <w:lang w:val="zh-CN"/>
        </w:rPr>
        <w:t>项目完成的数量、质量、时效、成本等情况完全符合预定目标，成本控制在预算内。</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工程保护耕地0.77万亩，保护人口</w:t>
      </w:r>
      <w:r>
        <w:rPr>
          <w:rFonts w:hint="default" w:ascii="Times New Roman" w:hAnsi="Times New Roman" w:cs="Times New Roman"/>
          <w:sz w:val="32"/>
          <w:szCs w:val="32"/>
          <w:lang w:val="en-US" w:eastAsia="zh-CN"/>
        </w:rPr>
        <w:t>0.71</w:t>
      </w:r>
      <w:r>
        <w:rPr>
          <w:rFonts w:hint="default" w:ascii="Times New Roman" w:hAnsi="Times New Roman" w:cs="Times New Roman"/>
          <w:sz w:val="32"/>
          <w:szCs w:val="32"/>
          <w:lang w:val="zh-CN"/>
        </w:rPr>
        <w:t>万人；</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工程达到了设计水土保持和环保标准。</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受益群众满意度100%。</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五、评价结论及建议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（一）评价结论。</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合格</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（二）存在的问题。</w:t>
      </w:r>
      <w:r>
        <w:rPr>
          <w:rFonts w:hint="default" w:ascii="Times New Roman" w:hAnsi="Times New Roman" w:cs="Times New Roman"/>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无</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（三）相关建议。</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无</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1ZjE2NjM1NWZkYThmODIwOGJiNmJmNGQzMzM0MTUifQ=="/>
  </w:docVars>
  <w:rsids>
    <w:rsidRoot w:val="00FD3EFA"/>
    <w:rsid w:val="001C6BC6"/>
    <w:rsid w:val="00291918"/>
    <w:rsid w:val="002E7D7A"/>
    <w:rsid w:val="00427240"/>
    <w:rsid w:val="00516306"/>
    <w:rsid w:val="00543D64"/>
    <w:rsid w:val="00572F4E"/>
    <w:rsid w:val="005842A2"/>
    <w:rsid w:val="008F6FBC"/>
    <w:rsid w:val="008F788A"/>
    <w:rsid w:val="00A25407"/>
    <w:rsid w:val="00A36A47"/>
    <w:rsid w:val="00AB1E4A"/>
    <w:rsid w:val="00AC3975"/>
    <w:rsid w:val="00E10AB9"/>
    <w:rsid w:val="00E4357F"/>
    <w:rsid w:val="00E90284"/>
    <w:rsid w:val="00F251E9"/>
    <w:rsid w:val="00F67C8D"/>
    <w:rsid w:val="00F951B3"/>
    <w:rsid w:val="00FD3EFA"/>
    <w:rsid w:val="00FD62E7"/>
    <w:rsid w:val="061564AE"/>
    <w:rsid w:val="09354D56"/>
    <w:rsid w:val="11750776"/>
    <w:rsid w:val="23832B48"/>
    <w:rsid w:val="2B2F6073"/>
    <w:rsid w:val="2B591A99"/>
    <w:rsid w:val="4041198E"/>
    <w:rsid w:val="47B930D8"/>
    <w:rsid w:val="5371628D"/>
    <w:rsid w:val="54D771B1"/>
    <w:rsid w:val="56765D5F"/>
    <w:rsid w:val="57115B42"/>
    <w:rsid w:val="5CF94D56"/>
    <w:rsid w:val="65E01C20"/>
    <w:rsid w:val="68BB6AA0"/>
    <w:rsid w:val="770863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adjustRightInd w:val="0"/>
      <w:snapToGrid w:val="0"/>
      <w:ind w:left="0" w:leftChars="0" w:firstLine="420"/>
    </w:pPr>
    <w:rPr>
      <w:sz w:val="24"/>
    </w:rPr>
  </w:style>
  <w:style w:type="paragraph" w:styleId="3">
    <w:name w:val="Body Text Indent"/>
    <w:basedOn w:val="1"/>
    <w:qFormat/>
    <w:uiPriority w:val="0"/>
    <w:pPr>
      <w:spacing w:after="120"/>
      <w:ind w:left="420" w:leftChars="200"/>
    </w:pPr>
    <w:rPr>
      <w:kern w:val="0"/>
      <w:sz w:val="20"/>
      <w:szCs w:val="24"/>
    </w:rPr>
  </w:style>
  <w:style w:type="paragraph" w:styleId="4">
    <w:name w:val="Body Text"/>
    <w:basedOn w:val="1"/>
    <w:qFormat/>
    <w:uiPriority w:val="1"/>
    <w:rPr>
      <w:rFonts w:ascii="仿宋" w:hAnsi="仿宋" w:eastAsia="仿宋" w:cs="仿宋"/>
      <w:sz w:val="28"/>
      <w:szCs w:val="28"/>
      <w:lang w:val="zh-CN" w:eastAsia="zh-CN" w:bidi="zh-CN"/>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uiPriority w:val="99"/>
    <w:rPr>
      <w:sz w:val="18"/>
      <w:szCs w:val="18"/>
    </w:rPr>
  </w:style>
  <w:style w:type="paragraph" w:customStyle="1" w:styleId="11">
    <w:name w:val="四号正文"/>
    <w:basedOn w:val="1"/>
    <w:link w:val="12"/>
    <w:qFormat/>
    <w:uiPriority w:val="99"/>
    <w:pPr>
      <w:spacing w:line="360" w:lineRule="auto"/>
    </w:pPr>
    <w:rPr>
      <w:rFonts w:ascii="??" w:hAnsi="??" w:eastAsia="宋体"/>
      <w:color w:val="000000"/>
      <w:kern w:val="0"/>
      <w:sz w:val="28"/>
      <w:szCs w:val="21"/>
    </w:rPr>
  </w:style>
  <w:style w:type="character" w:customStyle="1" w:styleId="12">
    <w:name w:val="四号正文 Char"/>
    <w:link w:val="11"/>
    <w:qFormat/>
    <w:locked/>
    <w:uiPriority w:val="99"/>
    <w:rPr>
      <w:rFonts w:ascii="??" w:hAnsi="??" w:eastAsia="宋体" w:cs="Times New Roman"/>
      <w:color w:val="000000"/>
      <w:kern w:val="0"/>
      <w:sz w:val="28"/>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1672</Words>
  <Characters>1789</Characters>
  <Lines>9</Lines>
  <Paragraphs>2</Paragraphs>
  <TotalTime>0</TotalTime>
  <ScaleCrop>false</ScaleCrop>
  <LinksUpToDate>false</LinksUpToDate>
  <CharactersWithSpaces>1792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2020-06-08T02:26:00Z</dcterms:created>
  <dc:creator>opi</dc:creator>
  <cp:lastModifiedBy>洛笙</cp:lastModifiedBy>
  <dcterms:modified xsi:type="dcterms:W3CDTF">2023-09-20T08:28:43Z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F1815F1C74A84295BB5E9D2F80573EDC_12</vt:lpwstr>
  </property>
</Properties>
</file>