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70" w:lineRule="exact"/>
        <w:jc w:val="left"/>
        <w:textAlignment w:val="auto"/>
        <w:outlineLvl w:val="0"/>
        <w:rPr>
          <w:rFonts w:hint="default" w:ascii="Times New Roman" w:hAnsi="Times New Roman" w:eastAsia="黑体" w:cs="Times New Roman"/>
          <w:color w:val="auto"/>
          <w:sz w:val="32"/>
          <w:szCs w:val="32"/>
          <w:highlight w:val="none"/>
          <w:lang w:val="en-US" w:eastAsia="zh-CN"/>
        </w:rPr>
      </w:pPr>
      <w:r>
        <w:rPr>
          <w:rFonts w:hint="default" w:ascii="Times New Roman" w:hAnsi="Times New Roman" w:eastAsia="黑体" w:cs="Times New Roman"/>
          <w:color w:val="auto"/>
          <w:sz w:val="32"/>
          <w:szCs w:val="32"/>
          <w:highlight w:val="none"/>
          <w:lang w:val="en-US" w:eastAsia="zh-CN"/>
        </w:rPr>
        <w:t>附件3-4</w:t>
      </w:r>
    </w:p>
    <w:p>
      <w:pPr>
        <w:keepNext w:val="0"/>
        <w:keepLines w:val="0"/>
        <w:pageBreakBefore w:val="0"/>
        <w:kinsoku/>
        <w:wordWrap/>
        <w:overflowPunct/>
        <w:topLinePunct w:val="0"/>
        <w:autoSpaceDE/>
        <w:autoSpaceDN/>
        <w:bidi w:val="0"/>
        <w:adjustRightInd/>
        <w:snapToGrid/>
        <w:spacing w:line="570" w:lineRule="exact"/>
        <w:jc w:val="center"/>
        <w:textAlignment w:val="auto"/>
        <w:outlineLvl w:val="0"/>
        <w:rPr>
          <w:rFonts w:hint="default" w:ascii="Times New Roman" w:hAnsi="Times New Roman" w:eastAsia="方正小标宋简体" w:cs="Times New Roman"/>
          <w:color w:val="auto"/>
          <w:sz w:val="44"/>
          <w:szCs w:val="44"/>
          <w:highlight w:val="none"/>
          <w:lang w:val="zh-CN"/>
        </w:rPr>
      </w:pPr>
      <w:r>
        <w:rPr>
          <w:rFonts w:hint="default" w:ascii="Times New Roman" w:hAnsi="Times New Roman" w:eastAsia="方正小标宋简体" w:cs="Times New Roman"/>
          <w:color w:val="auto"/>
          <w:sz w:val="44"/>
          <w:szCs w:val="44"/>
          <w:highlight w:val="none"/>
          <w:lang w:val="en-US" w:eastAsia="zh-CN"/>
        </w:rPr>
        <w:t>2022年度都江堰灌区省级水利发展资金项目</w:t>
      </w:r>
      <w:r>
        <w:rPr>
          <w:rFonts w:hint="default" w:ascii="Times New Roman" w:hAnsi="Times New Roman" w:eastAsia="方正小标宋简体" w:cs="Times New Roman"/>
          <w:color w:val="auto"/>
          <w:sz w:val="44"/>
          <w:szCs w:val="44"/>
          <w:highlight w:val="none"/>
          <w:lang w:val="zh-CN"/>
        </w:rPr>
        <w:t>绩效自评报告</w:t>
      </w:r>
    </w:p>
    <w:p>
      <w:pPr>
        <w:keepNext w:val="0"/>
        <w:keepLines w:val="0"/>
        <w:pageBreakBefore w:val="0"/>
        <w:kinsoku/>
        <w:wordWrap/>
        <w:overflowPunct/>
        <w:topLinePunct w:val="0"/>
        <w:autoSpaceDE/>
        <w:autoSpaceDN/>
        <w:bidi w:val="0"/>
        <w:adjustRightInd/>
        <w:snapToGrid/>
        <w:spacing w:line="570" w:lineRule="exact"/>
        <w:ind w:firstLine="480"/>
        <w:textAlignment w:val="auto"/>
        <w:rPr>
          <w:rFonts w:hint="default" w:ascii="Times New Roman" w:hAnsi="Times New Roman" w:eastAsia="仿宋" w:cs="Times New Roman"/>
          <w:color w:val="auto"/>
          <w:sz w:val="32"/>
          <w:szCs w:val="32"/>
          <w:highlight w:val="none"/>
          <w:lang w:val="zh-CN"/>
        </w:rPr>
      </w:pPr>
    </w:p>
    <w:p>
      <w:pPr>
        <w:keepNext w:val="0"/>
        <w:keepLines w:val="0"/>
        <w:pageBreakBefore w:val="0"/>
        <w:kinsoku/>
        <w:wordWrap/>
        <w:overflowPunct/>
        <w:topLinePunct w:val="0"/>
        <w:autoSpaceDE/>
        <w:autoSpaceDN/>
        <w:bidi w:val="0"/>
        <w:adjustRightInd/>
        <w:snapToGrid/>
        <w:spacing w:line="570" w:lineRule="exact"/>
        <w:ind w:firstLine="480"/>
        <w:textAlignment w:val="auto"/>
        <w:outlineLvl w:val="0"/>
        <w:rPr>
          <w:rFonts w:hint="default" w:ascii="Times New Roman" w:hAnsi="Times New Roman" w:eastAsia="黑体" w:cs="Times New Roman"/>
          <w:color w:val="auto"/>
          <w:sz w:val="32"/>
          <w:szCs w:val="32"/>
          <w:highlight w:val="none"/>
          <w:lang w:val="zh-CN"/>
        </w:rPr>
      </w:pPr>
      <w:r>
        <w:rPr>
          <w:rFonts w:hint="default" w:ascii="Times New Roman" w:hAnsi="Times New Roman" w:eastAsia="黑体" w:cs="Times New Roman"/>
          <w:color w:val="auto"/>
          <w:sz w:val="32"/>
          <w:szCs w:val="32"/>
          <w:highlight w:val="none"/>
          <w:lang w:val="zh-CN"/>
        </w:rPr>
        <w:t>一、项目概况</w:t>
      </w:r>
    </w:p>
    <w:p>
      <w:pPr>
        <w:keepNext w:val="0"/>
        <w:keepLines w:val="0"/>
        <w:pageBreakBefore w:val="0"/>
        <w:kinsoku/>
        <w:wordWrap/>
        <w:overflowPunct/>
        <w:topLinePunct w:val="0"/>
        <w:autoSpaceDE/>
        <w:autoSpaceDN/>
        <w:bidi w:val="0"/>
        <w:adjustRightInd/>
        <w:snapToGrid/>
        <w:spacing w:line="570" w:lineRule="exact"/>
        <w:ind w:firstLine="480"/>
        <w:textAlignment w:val="auto"/>
        <w:outlineLvl w:val="1"/>
        <w:rPr>
          <w:rFonts w:hint="default" w:ascii="Times New Roman" w:hAnsi="Times New Roman" w:eastAsia="楷体_GB2312" w:cs="Times New Roman"/>
          <w:b/>
          <w:bCs/>
          <w:color w:val="auto"/>
          <w:sz w:val="32"/>
          <w:szCs w:val="32"/>
          <w:highlight w:val="none"/>
          <w:lang w:val="zh-CN"/>
        </w:rPr>
      </w:pPr>
      <w:r>
        <w:rPr>
          <w:rFonts w:hint="default" w:ascii="Times New Roman" w:hAnsi="Times New Roman" w:eastAsia="楷体_GB2312" w:cs="Times New Roman"/>
          <w:b/>
          <w:bCs/>
          <w:color w:val="auto"/>
          <w:sz w:val="32"/>
          <w:szCs w:val="32"/>
          <w:highlight w:val="none"/>
          <w:lang w:val="zh-CN"/>
        </w:rPr>
        <w:t>（一）项目基本情况</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1.项目概况</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四川省都江堰水利发展中心人民渠第一管理处(以下简称“人民渠第一管理处”)灌区由蒲阳 河（青白江）灌区、人民渠一至四期工程灌区和前进渠灌区三部分组成，灌溉成都、德阳2市10县（市、区）242.29万亩农田，并担负向灌区40多家重点企业的工业供水和城镇生活用水的供水以及向下游（丘陵）灌区囤蓄输水任务，是都江堰灌区的重要组成部分。</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按照《四川省大型灌区水利工程维修养护项目管理办法》（川水函〔2015〕1146号）之相关规定，因蒲阳河（青白江）、人民渠一至四期干渠、红岩分干渠、前进渠灌区工程大多建设于上世纪五六十年代，运行至今，工程老化严重。结合人民渠第一管理处灌区所辖水利工程实际运行情况，2023年人民渠第一管理处计划实施范围涉及灌区主要4条骨干河（渠）道，维修养护总投资734.67万元。</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四川省水利厅于2022年11月8日以《四川省水利厅关于2022年度都江堰灌区水利工程维修养护项目实施方案的批复》（川水函〔2022〕1481号）批准项目建设内容，其中人民渠第一管理处灌区实施内容主要包括：对人民渠干渠、前进渠和蒲阳河（青白江）的渠坡、底板局部修复加固，拆除重建生产交通桥，对水闸、放水洞金属结构及设备进行日常维护或更换，对部分巡渠道路硬化，对部分泥结石路面平整，对运行多年、老化破损的工段房、闸房进行维修加固，对其它小型建筑物进行日常维修养护等；对彭州站、丽春站、什邡站、孝泉站、永兴站、新繁站、青白江站监控设施及部分零部件进行维修或更换，对处机关设备零部件更换、报警设备更换、部分开关电源更换。核定概算投资491.3万元，其中，直接工程费418.8万元，独立费用41.06万元，基本预备费22.99万元，环境保护工程3.38万元，水土保持工程5.07万元。</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zh-CN" w:eastAsia="zh-CN" w:bidi="ar-SA"/>
        </w:rPr>
        <w:t>（</w:t>
      </w:r>
      <w:r>
        <w:rPr>
          <w:rFonts w:hint="default" w:ascii="Times New Roman" w:hAnsi="Times New Roman" w:eastAsia="仿宋_GB2312" w:cs="Times New Roman"/>
          <w:color w:val="auto"/>
          <w:kern w:val="2"/>
          <w:sz w:val="32"/>
          <w:szCs w:val="32"/>
          <w:highlight w:val="none"/>
          <w:lang w:val="en-US" w:eastAsia="zh-CN" w:bidi="ar-SA"/>
        </w:rPr>
        <w:t>2</w:t>
      </w:r>
      <w:r>
        <w:rPr>
          <w:rFonts w:hint="default" w:ascii="Times New Roman" w:hAnsi="Times New Roman" w:eastAsia="仿宋_GB2312" w:cs="Times New Roman"/>
          <w:color w:val="auto"/>
          <w:kern w:val="2"/>
          <w:sz w:val="32"/>
          <w:szCs w:val="32"/>
          <w:highlight w:val="none"/>
          <w:lang w:val="zh-CN" w:eastAsia="zh-CN" w:bidi="ar-SA"/>
        </w:rPr>
        <w:t>）</w:t>
      </w:r>
      <w:r>
        <w:rPr>
          <w:rFonts w:hint="default" w:ascii="Times New Roman" w:hAnsi="Times New Roman" w:eastAsia="仿宋_GB2312" w:cs="Times New Roman"/>
          <w:color w:val="auto"/>
          <w:kern w:val="2"/>
          <w:sz w:val="32"/>
          <w:szCs w:val="32"/>
          <w:highlight w:val="none"/>
          <w:lang w:val="en-US" w:eastAsia="zh-CN" w:bidi="ar-SA"/>
        </w:rPr>
        <w:t>四川省水利厅于2022年11月11日以《四川省水利厅关于2022年度都江堰灌区省级水利发展资金项目实施方案的批复》（川水函〔2022〕1505号）批准项目建设内容，其中人民渠第一管理处灌区实施内容主要包括：红岩分干渠渠顶除草，破损渠道修复，分水洞启闭机平台修复，渠顶道路硬化，站（段）房屋修补，闸门及启闭机维修、除锈，水标尺表面清理、局部修补等。核定概算投资243.37万元，其中，直接工程费205.85万元，独立费用21.03万元，基本预备费11.34万元，环境保护工程2.06万元，水土保持工程3.09万元。</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zh-CN" w:eastAsia="zh-CN" w:bidi="ar-SA"/>
        </w:rPr>
        <w:t>2.项目立项、资金申报的依据</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依据《四川省都江堰水利工程管理条例》相关规定，“第十五条 都江堰水利工程必须坚持岁修制度。灌区内地方各级人民政府应当加强对岁修工作的领导”，结合《四川省大型灌区水利工程维修养护项目管理办法》（川水函〔2015〕1146号）、川财农</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2022</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17号、川财农</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2022</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85号等规定和要求。因蒲阳河（青白江）、人民渠一至四期干渠、红岩分干渠、前进渠灌区工程大多建设于上世纪五六十年代，运行至今，工程老化严重，经历2022年汛期后，水利工程及其附属设施受到不同程度损毁。为保障人民渠第一管理处灌区供水安全和工程安全，灌区水利工程及其附属设施急需实施维修养护。</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zh-CN" w:eastAsia="zh-CN" w:bidi="ar-SA"/>
        </w:rPr>
        <w:t>3.资金管理办法制定情况，资金支持具体项目的条件、范围与支持方式概况</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按照《四川省水利发展资金管理办法》（川财农〔2019〕131号）《四川省水利厅关于进一步加强大型灌区维修养护资金管理的通知》（川水函〔2022〕1597号）强化资金管理和监督检查。</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zh-CN" w:eastAsia="zh-CN" w:bidi="ar-SA"/>
        </w:rPr>
        <w:t>4.资金分配的原则及考虑因素</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资金分配原则依据《四川省水利工程管理条例》第十四条“公益性水利工程所需的运行、管理、维修养护、水毁修复、续建配套、更新改造经费，按照水利工程隶属关系，纳入同级财政预算”，同时根据水利部、财政部《关于印发水利工程维修养护定额标准（试点）的通知》（水办</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2004</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307号）文，结合近5年情况及2023年灌区水毁情况综合考虑。</w:t>
      </w:r>
    </w:p>
    <w:p>
      <w:pPr>
        <w:keepNext w:val="0"/>
        <w:keepLines w:val="0"/>
        <w:pageBreakBefore w:val="0"/>
        <w:kinsoku/>
        <w:wordWrap/>
        <w:overflowPunct/>
        <w:topLinePunct w:val="0"/>
        <w:autoSpaceDE/>
        <w:autoSpaceDN/>
        <w:bidi w:val="0"/>
        <w:adjustRightInd/>
        <w:snapToGrid/>
        <w:spacing w:line="570" w:lineRule="exact"/>
        <w:ind w:firstLine="480"/>
        <w:textAlignment w:val="auto"/>
        <w:outlineLvl w:val="1"/>
        <w:rPr>
          <w:rFonts w:hint="default" w:ascii="Times New Roman" w:hAnsi="Times New Roman" w:eastAsia="楷体_GB2312" w:cs="Times New Roman"/>
          <w:b/>
          <w:bCs/>
          <w:color w:val="auto"/>
          <w:sz w:val="32"/>
          <w:szCs w:val="32"/>
          <w:highlight w:val="none"/>
          <w:lang w:val="zh-CN"/>
        </w:rPr>
      </w:pPr>
      <w:r>
        <w:rPr>
          <w:rFonts w:hint="default" w:ascii="Times New Roman" w:hAnsi="Times New Roman" w:eastAsia="楷体_GB2312" w:cs="Times New Roman"/>
          <w:b/>
          <w:bCs/>
          <w:color w:val="auto"/>
          <w:sz w:val="32"/>
          <w:szCs w:val="32"/>
          <w:highlight w:val="none"/>
          <w:lang w:val="zh-CN"/>
        </w:rPr>
        <w:t>（二）项目绩效目标</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zh-CN" w:eastAsia="zh-CN" w:bidi="ar-SA"/>
        </w:rPr>
        <w:t>1.项目主要内容</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按照《四川省大型灌区水利工程维修养护项目管理办法》（川水函〔2015〕1146号）之相关规定，因蒲阳河（青白江）、人民渠一至四期干渠、红岩分干渠、前进渠灌区工程大多建设于上世纪五六十年代，运行至今，工程老化严重。结合人民渠第一管理处灌区所辖水利工程实际运行情况，2023年人民渠第一管理处计划实施范围涉及灌区主要4条骨干河（渠）道，维修养护总投资734.67万元。</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四川省水利厅于2022年11月8日以《四川省水利厅关于2022年度都江堰灌区水利工程维修养护项目实施方案的批复》（川水函〔2022〕1481号）批准项目建设内容，其中人民渠第一管理处灌区实施内容主要包括：对人民渠干渠、前进渠和蒲阳河（青白江）的渠坡、底板局部修复加固，拆除重建生产交通桥，对水闸、放水洞金属结构及设备进行日常维护或更换，对部分巡渠道路硬化，对部分泥结石路面平整，对运行多年、老化破损的工段房、闸房进行维修加固，对其它小型建筑物进行日常维修养护等；对彭州站、丽春站、什邡站、孝泉站、永兴站、新繁站、青白江站监控设施及部分零部件进行维修或更换，对处机关设备零部件更换、报警设备更换、部分开关电源更换。核定概算投资491.3万元，其中，直接工程费418.8万元，独立费用41.06万元，基本预备费22.99万元，环境保护工程3.38万元，水土保持工程5.07万元。</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zh-CN" w:eastAsia="zh-CN" w:bidi="ar-SA"/>
        </w:rPr>
        <w:t>（</w:t>
      </w:r>
      <w:r>
        <w:rPr>
          <w:rFonts w:hint="default" w:ascii="Times New Roman" w:hAnsi="Times New Roman" w:eastAsia="仿宋_GB2312" w:cs="Times New Roman"/>
          <w:color w:val="auto"/>
          <w:kern w:val="2"/>
          <w:sz w:val="32"/>
          <w:szCs w:val="32"/>
          <w:highlight w:val="none"/>
          <w:lang w:val="en-US" w:eastAsia="zh-CN" w:bidi="ar-SA"/>
        </w:rPr>
        <w:t>2</w:t>
      </w:r>
      <w:r>
        <w:rPr>
          <w:rFonts w:hint="default" w:ascii="Times New Roman" w:hAnsi="Times New Roman" w:eastAsia="仿宋_GB2312" w:cs="Times New Roman"/>
          <w:color w:val="auto"/>
          <w:kern w:val="2"/>
          <w:sz w:val="32"/>
          <w:szCs w:val="32"/>
          <w:highlight w:val="none"/>
          <w:lang w:val="zh-CN" w:eastAsia="zh-CN" w:bidi="ar-SA"/>
        </w:rPr>
        <w:t>）</w:t>
      </w:r>
      <w:r>
        <w:rPr>
          <w:rFonts w:hint="default" w:ascii="Times New Roman" w:hAnsi="Times New Roman" w:eastAsia="仿宋_GB2312" w:cs="Times New Roman"/>
          <w:color w:val="auto"/>
          <w:kern w:val="2"/>
          <w:sz w:val="32"/>
          <w:szCs w:val="32"/>
          <w:highlight w:val="none"/>
          <w:lang w:val="en-US" w:eastAsia="zh-CN" w:bidi="ar-SA"/>
        </w:rPr>
        <w:t>四川省水利厅于2022年11月11日以《四川省水利厅关于2022 年度都江堰灌区省级水利发展资金项目实施方案的批复》（川水函〔2022〕1505号）批准项目建设内容，其中人民渠第一管理处灌区实施内容主要包括：红岩分干渠渠顶除草，破损渠道修复，分水洞启闭机平台修复，渠顶道路硬化，站（段）房屋修补，闸门及启闭机维修、除锈，水标尺表面清理、局部修补等。核定概算投资243.37万元，其中，直接工程费205.85万元，独立费用21.03万元，基本预备费11.34万元，环境保护工程2.06万元，水土保持工程3.09万元。</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zh-CN" w:eastAsia="zh-CN" w:bidi="ar-SA"/>
        </w:rPr>
        <w:t>2.项目应实现的具体绩效目标</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项目实施后将有效地减少渠道输水损失，提高输供水保证率，提高渠（河）防洪度汛能力及水利工程安全运行保障率，确保沿渠（河）居民生命财产安全。通过该项目的实施，能够进一步提高2023年灌区春灌用水保证率，确保灌区农业生产用水安全，维护灌区社会稳定。其综合预期效益集中体现在恢复和改善灌区242.29万亩农田灌溉条件，新增节水能力约800万m³，保护耕地1万亩，恢复70万人的生活用水，保障饮用水安全，保护蒲阳河（青白江）沿线30万人民生命财产安全。</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zh-CN" w:eastAsia="zh-CN" w:bidi="ar-SA"/>
        </w:rPr>
        <w:t>3.分析评价申报内容是否与实际相符，申报目标是否合理可行。</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综合灌区实际情况，申报内容同灌区实际相符；因蒲阳河（青白江）、人民渠一至四期干渠、红岩分干渠、前进渠灌区工程大多建设于上世纪五六十年代，运行至今，工程老化严重，经历2022年汛期后，水利工程及其附属设施受到不同程度损毁，项目的实施将有效确保2023年春灌及灌区输供水安全，因此申报绩效目标是合理可行的。</w:t>
      </w:r>
    </w:p>
    <w:p>
      <w:pPr>
        <w:keepNext w:val="0"/>
        <w:keepLines w:val="0"/>
        <w:pageBreakBefore w:val="0"/>
        <w:kinsoku/>
        <w:wordWrap/>
        <w:overflowPunct/>
        <w:topLinePunct w:val="0"/>
        <w:autoSpaceDE/>
        <w:autoSpaceDN/>
        <w:bidi w:val="0"/>
        <w:adjustRightInd/>
        <w:snapToGrid/>
        <w:spacing w:line="570" w:lineRule="exact"/>
        <w:ind w:firstLine="480"/>
        <w:textAlignment w:val="auto"/>
        <w:outlineLvl w:val="1"/>
        <w:rPr>
          <w:rFonts w:hint="default" w:ascii="Times New Roman" w:hAnsi="Times New Roman" w:eastAsia="楷体_GB2312" w:cs="Times New Roman"/>
          <w:b/>
          <w:bCs/>
          <w:color w:val="auto"/>
          <w:sz w:val="32"/>
          <w:szCs w:val="32"/>
          <w:highlight w:val="none"/>
          <w:lang w:val="zh-CN"/>
        </w:rPr>
      </w:pPr>
      <w:r>
        <w:rPr>
          <w:rFonts w:hint="default" w:ascii="Times New Roman" w:hAnsi="Times New Roman" w:eastAsia="楷体_GB2312" w:cs="Times New Roman"/>
          <w:b/>
          <w:bCs/>
          <w:color w:val="auto"/>
          <w:sz w:val="32"/>
          <w:szCs w:val="32"/>
          <w:highlight w:val="none"/>
          <w:lang w:val="zh-CN"/>
        </w:rPr>
        <w:t>（三）项目自评步骤及方法</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项目绩效自评先由项目单位依据绩效评价标准、结合项目实施情况开展自评，主管部门根据项目单位自评开展支出绩效评估，并出具报告。</w:t>
      </w:r>
    </w:p>
    <w:p>
      <w:pPr>
        <w:keepNext w:val="0"/>
        <w:keepLines w:val="0"/>
        <w:pageBreakBefore w:val="0"/>
        <w:kinsoku/>
        <w:wordWrap/>
        <w:overflowPunct/>
        <w:topLinePunct w:val="0"/>
        <w:autoSpaceDE/>
        <w:autoSpaceDN/>
        <w:bidi w:val="0"/>
        <w:adjustRightInd/>
        <w:snapToGrid/>
        <w:spacing w:line="570" w:lineRule="exact"/>
        <w:ind w:firstLine="480"/>
        <w:textAlignment w:val="auto"/>
        <w:outlineLvl w:val="0"/>
        <w:rPr>
          <w:rFonts w:hint="default" w:ascii="Times New Roman" w:hAnsi="Times New Roman" w:eastAsia="黑体" w:cs="Times New Roman"/>
          <w:color w:val="auto"/>
          <w:sz w:val="32"/>
          <w:szCs w:val="32"/>
          <w:highlight w:val="none"/>
          <w:lang w:val="zh-CN"/>
        </w:rPr>
      </w:pPr>
      <w:r>
        <w:rPr>
          <w:rFonts w:hint="default" w:ascii="Times New Roman" w:hAnsi="Times New Roman" w:eastAsia="黑体" w:cs="Times New Roman"/>
          <w:color w:val="auto"/>
          <w:sz w:val="32"/>
          <w:szCs w:val="32"/>
          <w:highlight w:val="none"/>
          <w:lang w:val="zh-CN"/>
        </w:rPr>
        <w:t>二、项目资金申报及使用情况</w:t>
      </w:r>
    </w:p>
    <w:p>
      <w:pPr>
        <w:keepNext w:val="0"/>
        <w:keepLines w:val="0"/>
        <w:pageBreakBefore w:val="0"/>
        <w:kinsoku/>
        <w:wordWrap/>
        <w:overflowPunct/>
        <w:topLinePunct w:val="0"/>
        <w:autoSpaceDE/>
        <w:autoSpaceDN/>
        <w:bidi w:val="0"/>
        <w:adjustRightInd/>
        <w:snapToGrid/>
        <w:spacing w:line="570" w:lineRule="exact"/>
        <w:ind w:firstLine="480"/>
        <w:textAlignment w:val="auto"/>
        <w:outlineLvl w:val="1"/>
        <w:rPr>
          <w:rFonts w:hint="default" w:ascii="Times New Roman" w:hAnsi="Times New Roman" w:eastAsia="楷体_GB2312" w:cs="Times New Roman"/>
          <w:b/>
          <w:bCs/>
          <w:color w:val="auto"/>
          <w:sz w:val="32"/>
          <w:szCs w:val="32"/>
          <w:highlight w:val="none"/>
          <w:lang w:val="zh-CN"/>
        </w:rPr>
      </w:pPr>
      <w:r>
        <w:rPr>
          <w:rFonts w:hint="default" w:ascii="Times New Roman" w:hAnsi="Times New Roman" w:eastAsia="楷体_GB2312" w:cs="Times New Roman"/>
          <w:b/>
          <w:bCs/>
          <w:color w:val="auto"/>
          <w:sz w:val="32"/>
          <w:szCs w:val="32"/>
          <w:highlight w:val="none"/>
          <w:lang w:val="zh-CN"/>
        </w:rPr>
        <w:t>（一）项目资金申报及批复情况</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根据灌区水利工程设施损毁和运行情况，为保证2023年度人民渠第一管理处灌区水利工程安全度汛和生活生产生态用水安全，按照《四川省大型灌区水利工程维修养护项目管理办法》（川水函〔2015〕1146号）、川财农</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2022</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17号、川财农</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2022</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85号等规定和要求，四川省都江堰水利发展中心(以下简称“都发中心”)委托设计单位编制完成了</w:t>
      </w:r>
      <w:bookmarkStart w:id="0" w:name="_Hlk110674347"/>
      <w:r>
        <w:rPr>
          <w:rFonts w:hint="default" w:ascii="Times New Roman" w:hAnsi="Times New Roman" w:eastAsia="仿宋_GB2312" w:cs="Times New Roman"/>
          <w:color w:val="auto"/>
          <w:kern w:val="2"/>
          <w:sz w:val="32"/>
          <w:szCs w:val="32"/>
          <w:highlight w:val="none"/>
          <w:lang w:val="en-US" w:eastAsia="zh-CN" w:bidi="ar-SA"/>
        </w:rPr>
        <w:t>《</w:t>
      </w:r>
      <w:bookmarkStart w:id="1" w:name="_Hlk110674113"/>
      <w:r>
        <w:rPr>
          <w:rFonts w:hint="default" w:ascii="Times New Roman" w:hAnsi="Times New Roman" w:eastAsia="仿宋_GB2312" w:cs="Times New Roman"/>
          <w:color w:val="auto"/>
          <w:kern w:val="2"/>
          <w:sz w:val="32"/>
          <w:szCs w:val="32"/>
          <w:highlight w:val="none"/>
          <w:lang w:val="en-US" w:eastAsia="zh-CN" w:bidi="ar-SA"/>
        </w:rPr>
        <w:t>2022年度都江堰灌区水利工程维修养护项目实施方案》</w:t>
      </w:r>
      <w:bookmarkEnd w:id="1"/>
      <w:r>
        <w:rPr>
          <w:rFonts w:hint="default" w:ascii="Times New Roman" w:hAnsi="Times New Roman" w:eastAsia="仿宋_GB2312" w:cs="Times New Roman"/>
          <w:color w:val="auto"/>
          <w:kern w:val="2"/>
          <w:sz w:val="32"/>
          <w:szCs w:val="32"/>
          <w:highlight w:val="none"/>
          <w:lang w:val="en-US" w:eastAsia="zh-CN" w:bidi="ar-SA"/>
        </w:rPr>
        <w:t>（</w:t>
      </w:r>
      <w:bookmarkEnd w:id="0"/>
      <w:r>
        <w:rPr>
          <w:rFonts w:hint="default" w:ascii="Times New Roman" w:hAnsi="Times New Roman" w:eastAsia="仿宋_GB2312" w:cs="Times New Roman"/>
          <w:color w:val="auto"/>
          <w:kern w:val="2"/>
          <w:sz w:val="32"/>
          <w:szCs w:val="32"/>
          <w:highlight w:val="none"/>
          <w:lang w:val="en-US" w:eastAsia="zh-CN" w:bidi="ar-SA"/>
        </w:rPr>
        <w:t>送审稿）《2022年度都江堰灌区省级水利发展资金项目实施方案（送审稿）》，省水利厅委托四川省水利规划研究院于2022年10月22日在成都组织了《2022年度都江堰灌区水利工程维修养护项目实施方案》（送审稿）《2022年度都江堰灌区省级水利发展资金项目实施方案（送审稿）》技术审查会，会后，设计单位根据专家意见对报告进行了修改、完善，提交了《2022年度都江堰灌区水利工程维修养护项目实施方案》（报批稿）《2022年度都江堰灌区省级水利发展资金项目实施方案（报批稿）》，都发中心以《关于审批&lt;2022年度都江堰灌区水利工程维修养护项目实施方案(报批稿)&gt;的请示》(都发中心</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2022</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193号)《关于审批</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2022</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年度都江堰灌区省级水利发展资金项目实施方案(报批稿)〉的请示》(都发中心</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2022</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215号)及时上报四川省水利厅审批。四川省水利厅于2022年11月8日以《四川省水利厅关于2022年度都江堰灌区水利工程维修养护项目实施方案的批复》（川水函〔2022〕1481号）；四川省水利厅于2022年11月11日以《四川省水利厅关于2022 年度都江堰灌区省级水利发展资金项目实施方案的批复》（川水函〔2022〕1505号）。</w:t>
      </w:r>
    </w:p>
    <w:p>
      <w:pPr>
        <w:keepNext w:val="0"/>
        <w:keepLines w:val="0"/>
        <w:pageBreakBefore w:val="0"/>
        <w:kinsoku/>
        <w:wordWrap/>
        <w:overflowPunct/>
        <w:topLinePunct w:val="0"/>
        <w:autoSpaceDE/>
        <w:autoSpaceDN/>
        <w:bidi w:val="0"/>
        <w:adjustRightInd/>
        <w:snapToGrid/>
        <w:spacing w:line="570" w:lineRule="exact"/>
        <w:ind w:firstLine="480"/>
        <w:textAlignment w:val="auto"/>
        <w:outlineLvl w:val="1"/>
        <w:rPr>
          <w:rFonts w:hint="default" w:ascii="Times New Roman" w:hAnsi="Times New Roman" w:eastAsia="楷体_GB2312" w:cs="Times New Roman"/>
          <w:b/>
          <w:bCs/>
          <w:color w:val="auto"/>
          <w:sz w:val="32"/>
          <w:szCs w:val="32"/>
          <w:highlight w:val="none"/>
          <w:lang w:val="zh-CN"/>
        </w:rPr>
      </w:pPr>
      <w:r>
        <w:rPr>
          <w:rFonts w:hint="default" w:ascii="Times New Roman" w:hAnsi="Times New Roman" w:eastAsia="楷体_GB2312" w:cs="Times New Roman"/>
          <w:b/>
          <w:bCs/>
          <w:color w:val="auto"/>
          <w:sz w:val="32"/>
          <w:szCs w:val="32"/>
          <w:highlight w:val="none"/>
          <w:lang w:val="zh-CN"/>
        </w:rPr>
        <w:t>（二）资金计划、到位及使用情况</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zh-CN" w:eastAsia="zh-CN" w:bidi="ar-SA"/>
        </w:rPr>
        <w:t>1.资金计划</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2022年2月10日川财农</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2022</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17号2022年度都江堰灌区水利工程维修养护年初批复预算下达2036万元（都江堰全灌区），2022年8月5日川财农</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2022</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85号四川省省级水利发展资金700万元（都江堰全灌区）。</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zh-CN" w:eastAsia="zh-CN" w:bidi="ar-SA"/>
        </w:rPr>
        <w:t>根据《四川省水利厅关于都江堰灌区</w:t>
      </w:r>
      <w:r>
        <w:rPr>
          <w:rFonts w:hint="default" w:ascii="Times New Roman" w:hAnsi="Times New Roman" w:eastAsia="仿宋_GB2312" w:cs="Times New Roman"/>
          <w:color w:val="auto"/>
          <w:kern w:val="2"/>
          <w:sz w:val="32"/>
          <w:szCs w:val="32"/>
          <w:highlight w:val="none"/>
          <w:lang w:val="en-US" w:eastAsia="zh-CN" w:bidi="ar-SA"/>
        </w:rPr>
        <w:t>2022</w:t>
      </w:r>
      <w:r>
        <w:rPr>
          <w:rFonts w:hint="default" w:ascii="Times New Roman" w:hAnsi="Times New Roman" w:eastAsia="仿宋_GB2312" w:cs="Times New Roman"/>
          <w:color w:val="auto"/>
          <w:kern w:val="2"/>
          <w:sz w:val="32"/>
          <w:szCs w:val="32"/>
          <w:highlight w:val="none"/>
          <w:lang w:val="zh-CN" w:eastAsia="zh-CN" w:bidi="ar-SA"/>
        </w:rPr>
        <w:t>年度冬修工作方案的批复》（川水函〔</w:t>
      </w:r>
      <w:r>
        <w:rPr>
          <w:rFonts w:hint="default" w:ascii="Times New Roman" w:hAnsi="Times New Roman" w:eastAsia="仿宋_GB2312" w:cs="Times New Roman"/>
          <w:color w:val="auto"/>
          <w:kern w:val="2"/>
          <w:sz w:val="32"/>
          <w:szCs w:val="32"/>
          <w:highlight w:val="none"/>
          <w:lang w:val="en-US" w:eastAsia="zh-CN" w:bidi="ar-SA"/>
        </w:rPr>
        <w:t>2022</w:t>
      </w:r>
      <w:r>
        <w:rPr>
          <w:rFonts w:hint="default" w:ascii="Times New Roman" w:hAnsi="Times New Roman" w:eastAsia="仿宋_GB2312" w:cs="Times New Roman"/>
          <w:color w:val="auto"/>
          <w:kern w:val="2"/>
          <w:sz w:val="32"/>
          <w:szCs w:val="32"/>
          <w:highlight w:val="none"/>
          <w:lang w:val="zh-CN" w:eastAsia="zh-CN" w:bidi="ar-SA"/>
        </w:rPr>
        <w:t>〕</w:t>
      </w:r>
      <w:r>
        <w:rPr>
          <w:rFonts w:hint="default" w:ascii="Times New Roman" w:hAnsi="Times New Roman" w:eastAsia="仿宋_GB2312" w:cs="Times New Roman"/>
          <w:color w:val="auto"/>
          <w:kern w:val="2"/>
          <w:sz w:val="32"/>
          <w:szCs w:val="32"/>
          <w:highlight w:val="none"/>
          <w:lang w:val="en-US" w:eastAsia="zh-CN" w:bidi="ar-SA"/>
        </w:rPr>
        <w:t>1687</w:t>
      </w:r>
      <w:r>
        <w:rPr>
          <w:rFonts w:hint="default" w:ascii="Times New Roman" w:hAnsi="Times New Roman" w:eastAsia="仿宋_GB2312" w:cs="Times New Roman"/>
          <w:color w:val="auto"/>
          <w:kern w:val="2"/>
          <w:sz w:val="32"/>
          <w:szCs w:val="32"/>
          <w:highlight w:val="none"/>
          <w:lang w:val="zh-CN" w:eastAsia="zh-CN" w:bidi="ar-SA"/>
        </w:rPr>
        <w:t>号）《四川省都江堰水利发展中心人民渠第一管理处关于落实202</w:t>
      </w:r>
      <w:r>
        <w:rPr>
          <w:rFonts w:hint="default" w:ascii="Times New Roman" w:hAnsi="Times New Roman" w:eastAsia="仿宋_GB2312" w:cs="Times New Roman"/>
          <w:color w:val="auto"/>
          <w:kern w:val="2"/>
          <w:sz w:val="32"/>
          <w:szCs w:val="32"/>
          <w:highlight w:val="none"/>
          <w:lang w:val="en-US" w:eastAsia="zh-CN" w:bidi="ar-SA"/>
        </w:rPr>
        <w:t>2</w:t>
      </w:r>
      <w:r>
        <w:rPr>
          <w:rFonts w:hint="default" w:ascii="Times New Roman" w:hAnsi="Times New Roman" w:eastAsia="仿宋_GB2312" w:cs="Times New Roman"/>
          <w:color w:val="auto"/>
          <w:kern w:val="2"/>
          <w:sz w:val="32"/>
          <w:szCs w:val="32"/>
          <w:highlight w:val="none"/>
          <w:lang w:val="zh-CN" w:eastAsia="zh-CN" w:bidi="ar-SA"/>
        </w:rPr>
        <w:t>年维修养护配套资金的函》（都发中心人一处函〔2022〕68号），人民渠第一管理处计划收取地方配套资金</w:t>
      </w:r>
      <w:r>
        <w:rPr>
          <w:rFonts w:hint="default" w:ascii="Times New Roman" w:hAnsi="Times New Roman" w:eastAsia="仿宋_GB2312" w:cs="Times New Roman"/>
          <w:color w:val="auto"/>
          <w:kern w:val="2"/>
          <w:sz w:val="32"/>
          <w:szCs w:val="32"/>
          <w:highlight w:val="none"/>
          <w:lang w:val="en-US" w:eastAsia="zh-CN" w:bidi="ar-SA"/>
        </w:rPr>
        <w:t>138.00</w:t>
      </w:r>
      <w:r>
        <w:rPr>
          <w:rFonts w:hint="default" w:ascii="Times New Roman" w:hAnsi="Times New Roman" w:eastAsia="仿宋_GB2312" w:cs="Times New Roman"/>
          <w:color w:val="auto"/>
          <w:kern w:val="2"/>
          <w:sz w:val="32"/>
          <w:szCs w:val="32"/>
          <w:highlight w:val="none"/>
          <w:lang w:val="zh-CN" w:eastAsia="zh-CN" w:bidi="ar-SA"/>
        </w:rPr>
        <w:t>万元。</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zh-CN" w:eastAsia="zh-CN" w:bidi="ar-SA"/>
        </w:rPr>
        <w:t>2.资金到位</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2022年2月10日川财农</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2022</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17号2022年度都江堰灌区水利工程维修养护年初批复预算下达2036万元（都江堰全灌区），2022年8月5日川财农</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2022</w:t>
      </w:r>
      <w:r>
        <w:rPr>
          <w:rFonts w:hint="eastAsia" w:ascii="Times New Roman" w:hAnsi="Times New Roman" w:eastAsia="仿宋_GB2312" w:cs="Times New Roman"/>
          <w:color w:val="auto"/>
          <w:kern w:val="2"/>
          <w:sz w:val="32"/>
          <w:szCs w:val="32"/>
          <w:highlight w:val="none"/>
          <w:lang w:val="en-US" w:eastAsia="zh-CN" w:bidi="ar-SA"/>
        </w:rPr>
        <w:t>〕</w:t>
      </w:r>
      <w:bookmarkStart w:id="2" w:name="_GoBack"/>
      <w:bookmarkEnd w:id="2"/>
      <w:r>
        <w:rPr>
          <w:rFonts w:hint="default" w:ascii="Times New Roman" w:hAnsi="Times New Roman" w:eastAsia="仿宋_GB2312" w:cs="Times New Roman"/>
          <w:color w:val="auto"/>
          <w:kern w:val="2"/>
          <w:sz w:val="32"/>
          <w:szCs w:val="32"/>
          <w:highlight w:val="none"/>
          <w:lang w:val="en-US" w:eastAsia="zh-CN" w:bidi="ar-SA"/>
        </w:rPr>
        <w:t>85号四川省省级水利发展资金700万元（都江堰全灌区）。</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zh-CN" w:eastAsia="zh-CN" w:bidi="ar-SA"/>
        </w:rPr>
        <w:t>根据《四川省水利厅关于都江堰灌区</w:t>
      </w:r>
      <w:r>
        <w:rPr>
          <w:rFonts w:hint="default" w:ascii="Times New Roman" w:hAnsi="Times New Roman" w:eastAsia="仿宋_GB2312" w:cs="Times New Roman"/>
          <w:color w:val="auto"/>
          <w:kern w:val="2"/>
          <w:sz w:val="32"/>
          <w:szCs w:val="32"/>
          <w:highlight w:val="none"/>
          <w:lang w:val="en-US" w:eastAsia="zh-CN" w:bidi="ar-SA"/>
        </w:rPr>
        <w:t>2022</w:t>
      </w:r>
      <w:r>
        <w:rPr>
          <w:rFonts w:hint="default" w:ascii="Times New Roman" w:hAnsi="Times New Roman" w:eastAsia="仿宋_GB2312" w:cs="Times New Roman"/>
          <w:color w:val="auto"/>
          <w:kern w:val="2"/>
          <w:sz w:val="32"/>
          <w:szCs w:val="32"/>
          <w:highlight w:val="none"/>
          <w:lang w:val="zh-CN" w:eastAsia="zh-CN" w:bidi="ar-SA"/>
        </w:rPr>
        <w:t>年度冬修工作方案的批复》（川水函〔</w:t>
      </w:r>
      <w:r>
        <w:rPr>
          <w:rFonts w:hint="default" w:ascii="Times New Roman" w:hAnsi="Times New Roman" w:eastAsia="仿宋_GB2312" w:cs="Times New Roman"/>
          <w:color w:val="auto"/>
          <w:kern w:val="2"/>
          <w:sz w:val="32"/>
          <w:szCs w:val="32"/>
          <w:highlight w:val="none"/>
          <w:lang w:val="en-US" w:eastAsia="zh-CN" w:bidi="ar-SA"/>
        </w:rPr>
        <w:t>2022</w:t>
      </w:r>
      <w:r>
        <w:rPr>
          <w:rFonts w:hint="default" w:ascii="Times New Roman" w:hAnsi="Times New Roman" w:eastAsia="仿宋_GB2312" w:cs="Times New Roman"/>
          <w:color w:val="auto"/>
          <w:kern w:val="2"/>
          <w:sz w:val="32"/>
          <w:szCs w:val="32"/>
          <w:highlight w:val="none"/>
          <w:lang w:val="zh-CN" w:eastAsia="zh-CN" w:bidi="ar-SA"/>
        </w:rPr>
        <w:t>〕</w:t>
      </w:r>
      <w:r>
        <w:rPr>
          <w:rFonts w:hint="default" w:ascii="Times New Roman" w:hAnsi="Times New Roman" w:eastAsia="仿宋_GB2312" w:cs="Times New Roman"/>
          <w:color w:val="auto"/>
          <w:kern w:val="2"/>
          <w:sz w:val="32"/>
          <w:szCs w:val="32"/>
          <w:highlight w:val="none"/>
          <w:lang w:val="en-US" w:eastAsia="zh-CN" w:bidi="ar-SA"/>
        </w:rPr>
        <w:t>1687</w:t>
      </w:r>
      <w:r>
        <w:rPr>
          <w:rFonts w:hint="default" w:ascii="Times New Roman" w:hAnsi="Times New Roman" w:eastAsia="仿宋_GB2312" w:cs="Times New Roman"/>
          <w:color w:val="auto"/>
          <w:kern w:val="2"/>
          <w:sz w:val="32"/>
          <w:szCs w:val="32"/>
          <w:highlight w:val="none"/>
          <w:lang w:val="zh-CN" w:eastAsia="zh-CN" w:bidi="ar-SA"/>
        </w:rPr>
        <w:t>号）《四川省都江堰水利发展中心人民渠第一管理处关于落实202</w:t>
      </w:r>
      <w:r>
        <w:rPr>
          <w:rFonts w:hint="default" w:ascii="Times New Roman" w:hAnsi="Times New Roman" w:eastAsia="仿宋_GB2312" w:cs="Times New Roman"/>
          <w:color w:val="auto"/>
          <w:kern w:val="2"/>
          <w:sz w:val="32"/>
          <w:szCs w:val="32"/>
          <w:highlight w:val="none"/>
          <w:lang w:val="en-US" w:eastAsia="zh-CN" w:bidi="ar-SA"/>
        </w:rPr>
        <w:t>2</w:t>
      </w:r>
      <w:r>
        <w:rPr>
          <w:rFonts w:hint="default" w:ascii="Times New Roman" w:hAnsi="Times New Roman" w:eastAsia="仿宋_GB2312" w:cs="Times New Roman"/>
          <w:color w:val="auto"/>
          <w:kern w:val="2"/>
          <w:sz w:val="32"/>
          <w:szCs w:val="32"/>
          <w:highlight w:val="none"/>
          <w:lang w:val="zh-CN" w:eastAsia="zh-CN" w:bidi="ar-SA"/>
        </w:rPr>
        <w:t>年维修养护配套资金的函》（都发中心人一处函〔2022〕68号），人民渠第一管理处计划收取地方配套资金</w:t>
      </w:r>
      <w:r>
        <w:rPr>
          <w:rFonts w:hint="default" w:ascii="Times New Roman" w:hAnsi="Times New Roman" w:eastAsia="仿宋_GB2312" w:cs="Times New Roman"/>
          <w:color w:val="auto"/>
          <w:kern w:val="2"/>
          <w:sz w:val="32"/>
          <w:szCs w:val="32"/>
          <w:highlight w:val="none"/>
          <w:lang w:val="en-US" w:eastAsia="zh-CN" w:bidi="ar-SA"/>
        </w:rPr>
        <w:t>138.00</w:t>
      </w:r>
      <w:r>
        <w:rPr>
          <w:rFonts w:hint="default" w:ascii="Times New Roman" w:hAnsi="Times New Roman" w:eastAsia="仿宋_GB2312" w:cs="Times New Roman"/>
          <w:color w:val="auto"/>
          <w:kern w:val="2"/>
          <w:sz w:val="32"/>
          <w:szCs w:val="32"/>
          <w:highlight w:val="none"/>
          <w:lang w:val="zh-CN" w:eastAsia="zh-CN" w:bidi="ar-SA"/>
        </w:rPr>
        <w:t>万元。</w:t>
      </w:r>
      <w:r>
        <w:rPr>
          <w:rFonts w:hint="default" w:ascii="Times New Roman" w:hAnsi="Times New Roman" w:eastAsia="仿宋_GB2312" w:cs="Times New Roman"/>
          <w:color w:val="auto"/>
          <w:kern w:val="2"/>
          <w:sz w:val="32"/>
          <w:szCs w:val="32"/>
          <w:highlight w:val="none"/>
          <w:lang w:val="en-US" w:eastAsia="zh-CN" w:bidi="ar-SA"/>
        </w:rPr>
        <w:t>截至目前，实际收到受益县（市、区）配套资金98.30万元。</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zh-CN" w:eastAsia="zh-CN" w:bidi="ar-SA"/>
        </w:rPr>
        <w:t>3.资金使用</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都发中心、人民渠第一管理处按照相关要求开展相关工作，争取早日完成项目建设，完成预算执行。</w:t>
      </w:r>
    </w:p>
    <w:p>
      <w:pPr>
        <w:keepNext w:val="0"/>
        <w:keepLines w:val="0"/>
        <w:pageBreakBefore w:val="0"/>
        <w:kinsoku/>
        <w:wordWrap/>
        <w:overflowPunct/>
        <w:topLinePunct w:val="0"/>
        <w:autoSpaceDE/>
        <w:autoSpaceDN/>
        <w:bidi w:val="0"/>
        <w:adjustRightInd/>
        <w:snapToGrid/>
        <w:spacing w:line="570" w:lineRule="exact"/>
        <w:ind w:firstLine="480"/>
        <w:textAlignment w:val="auto"/>
        <w:outlineLvl w:val="1"/>
        <w:rPr>
          <w:rFonts w:hint="default" w:ascii="Times New Roman" w:hAnsi="Times New Roman" w:eastAsia="楷体_GB2312" w:cs="Times New Roman"/>
          <w:b/>
          <w:bCs/>
          <w:color w:val="auto"/>
          <w:sz w:val="32"/>
          <w:szCs w:val="32"/>
          <w:highlight w:val="none"/>
          <w:lang w:val="zh-CN"/>
        </w:rPr>
      </w:pPr>
      <w:r>
        <w:rPr>
          <w:rFonts w:hint="default" w:ascii="Times New Roman" w:hAnsi="Times New Roman" w:eastAsia="楷体_GB2312" w:cs="Times New Roman"/>
          <w:b/>
          <w:bCs/>
          <w:color w:val="auto"/>
          <w:sz w:val="32"/>
          <w:szCs w:val="32"/>
          <w:highlight w:val="none"/>
          <w:lang w:val="zh-CN"/>
        </w:rPr>
        <w:t>（三）项目财务管理情况</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本项目在实施过程中，严格按照《四川省水利发展专项资金绩效管理办法》（川财农〔2017〕13号）《四川省水利发展资金管理办法》（川财农〔2019〕131号）《四川省水利厅关于进一步加强大型灌区维修养护资金管理的通知》（川水函〔2022〕1597号）及强化资金管理和监督检查，加快项目建设，加快资金预算执行，提高财政资金使用效益。</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都发中心、人民渠第一管理处均建立有完善的财务管理制度，项目建设期间严格按照相关要求执行财务管理、账务处理及会计核算，为项目资金使用把好关。</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在财务管理和财政专项资金的使用与管理方面，我们严格按照各项财务管理规定进行使用与管理。按资金项目，设置工程项目财务管理人员（财务主管、项目会计、稽核、出纳），对项目专项资金实行专款专用、专人管理。在资金管理方面建立了严格的资金使用审批制度和严密的资金支付程序，严格依合同办事，规范建设资金的使用，管好用好项目专项资金，确保了资金安全和人员安全。</w:t>
      </w:r>
    </w:p>
    <w:p>
      <w:pPr>
        <w:keepNext w:val="0"/>
        <w:keepLines w:val="0"/>
        <w:pageBreakBefore w:val="0"/>
        <w:kinsoku/>
        <w:wordWrap/>
        <w:overflowPunct/>
        <w:topLinePunct w:val="0"/>
        <w:autoSpaceDE/>
        <w:autoSpaceDN/>
        <w:bidi w:val="0"/>
        <w:adjustRightInd/>
        <w:snapToGrid/>
        <w:spacing w:line="570" w:lineRule="exact"/>
        <w:ind w:firstLine="480"/>
        <w:textAlignment w:val="auto"/>
        <w:outlineLvl w:val="0"/>
        <w:rPr>
          <w:rFonts w:hint="default" w:ascii="Times New Roman" w:hAnsi="Times New Roman" w:eastAsia="黑体" w:cs="Times New Roman"/>
          <w:color w:val="auto"/>
          <w:sz w:val="32"/>
          <w:szCs w:val="32"/>
          <w:highlight w:val="none"/>
          <w:lang w:val="zh-CN"/>
        </w:rPr>
      </w:pPr>
      <w:r>
        <w:rPr>
          <w:rFonts w:hint="default" w:ascii="Times New Roman" w:hAnsi="Times New Roman" w:eastAsia="黑体" w:cs="Times New Roman"/>
          <w:color w:val="auto"/>
          <w:sz w:val="32"/>
          <w:szCs w:val="32"/>
          <w:highlight w:val="none"/>
          <w:lang w:val="zh-CN"/>
        </w:rPr>
        <w:t>三、项目实施及管理情况</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zh-CN" w:eastAsia="zh-CN" w:bidi="ar-SA"/>
        </w:rPr>
        <w:t>结合项目组织实施管理办法，重点围绕以下内容进行分析评价，并对自评中发现的问题分析说明。</w:t>
      </w:r>
    </w:p>
    <w:p>
      <w:pPr>
        <w:keepNext w:val="0"/>
        <w:keepLines w:val="0"/>
        <w:pageBreakBefore w:val="0"/>
        <w:kinsoku/>
        <w:wordWrap/>
        <w:overflowPunct/>
        <w:topLinePunct w:val="0"/>
        <w:autoSpaceDE/>
        <w:autoSpaceDN/>
        <w:bidi w:val="0"/>
        <w:adjustRightInd/>
        <w:snapToGrid/>
        <w:spacing w:line="570" w:lineRule="exact"/>
        <w:ind w:firstLine="480"/>
        <w:textAlignment w:val="auto"/>
        <w:outlineLvl w:val="1"/>
        <w:rPr>
          <w:rFonts w:hint="default" w:ascii="Times New Roman" w:hAnsi="Times New Roman" w:eastAsia="楷体_GB2312" w:cs="Times New Roman"/>
          <w:b/>
          <w:bCs/>
          <w:color w:val="auto"/>
          <w:sz w:val="32"/>
          <w:szCs w:val="32"/>
          <w:highlight w:val="none"/>
          <w:lang w:val="zh-CN"/>
        </w:rPr>
      </w:pPr>
      <w:r>
        <w:rPr>
          <w:rFonts w:hint="default" w:ascii="Times New Roman" w:hAnsi="Times New Roman" w:eastAsia="楷体_GB2312" w:cs="Times New Roman"/>
          <w:b/>
          <w:bCs/>
          <w:color w:val="auto"/>
          <w:sz w:val="32"/>
          <w:szCs w:val="32"/>
          <w:highlight w:val="none"/>
          <w:lang w:val="zh-CN"/>
        </w:rPr>
        <w:t>（一）项目组织架构及实施流程</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都发中心、人民渠第一管理处在项目取得批复后，根据主管部门要求及都发中心统一安排，做好项目建设管理工作。</w:t>
      </w:r>
    </w:p>
    <w:p>
      <w:pPr>
        <w:keepNext w:val="0"/>
        <w:keepLines w:val="0"/>
        <w:pageBreakBefore w:val="0"/>
        <w:kinsoku/>
        <w:wordWrap/>
        <w:overflowPunct/>
        <w:topLinePunct w:val="0"/>
        <w:autoSpaceDE/>
        <w:autoSpaceDN/>
        <w:bidi w:val="0"/>
        <w:adjustRightInd/>
        <w:snapToGrid/>
        <w:spacing w:line="570" w:lineRule="exact"/>
        <w:ind w:firstLine="480"/>
        <w:textAlignment w:val="auto"/>
        <w:outlineLvl w:val="1"/>
        <w:rPr>
          <w:rFonts w:hint="default" w:ascii="Times New Roman" w:hAnsi="Times New Roman" w:eastAsia="楷体_GB2312" w:cs="Times New Roman"/>
          <w:b/>
          <w:bCs/>
          <w:color w:val="auto"/>
          <w:sz w:val="32"/>
          <w:szCs w:val="32"/>
          <w:highlight w:val="none"/>
          <w:lang w:val="zh-CN"/>
        </w:rPr>
      </w:pPr>
      <w:r>
        <w:rPr>
          <w:rFonts w:hint="default" w:ascii="Times New Roman" w:hAnsi="Times New Roman" w:eastAsia="楷体_GB2312" w:cs="Times New Roman"/>
          <w:b/>
          <w:bCs/>
          <w:color w:val="auto"/>
          <w:sz w:val="32"/>
          <w:szCs w:val="32"/>
          <w:highlight w:val="none"/>
          <w:lang w:val="zh-CN"/>
        </w:rPr>
        <w:t>（二）项目管理情况</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项目批复后，都发中心、人民渠第一管理处严格按照相关程序及要求开展项目建设管理工作。</w:t>
      </w:r>
    </w:p>
    <w:p>
      <w:pPr>
        <w:keepNext w:val="0"/>
        <w:keepLines w:val="0"/>
        <w:pageBreakBefore w:val="0"/>
        <w:kinsoku/>
        <w:wordWrap/>
        <w:overflowPunct/>
        <w:topLinePunct w:val="0"/>
        <w:autoSpaceDE/>
        <w:autoSpaceDN/>
        <w:bidi w:val="0"/>
        <w:adjustRightInd/>
        <w:snapToGrid/>
        <w:spacing w:line="570" w:lineRule="exact"/>
        <w:ind w:firstLine="480"/>
        <w:textAlignment w:val="auto"/>
        <w:outlineLvl w:val="1"/>
        <w:rPr>
          <w:rFonts w:hint="default" w:ascii="Times New Roman" w:hAnsi="Times New Roman" w:eastAsia="楷体_GB2312" w:cs="Times New Roman"/>
          <w:b/>
          <w:bCs/>
          <w:color w:val="auto"/>
          <w:sz w:val="32"/>
          <w:szCs w:val="32"/>
          <w:highlight w:val="none"/>
          <w:lang w:val="zh-CN"/>
        </w:rPr>
      </w:pPr>
      <w:r>
        <w:rPr>
          <w:rFonts w:hint="default" w:ascii="Times New Roman" w:hAnsi="Times New Roman" w:eastAsia="楷体_GB2312" w:cs="Times New Roman"/>
          <w:b/>
          <w:bCs/>
          <w:color w:val="auto"/>
          <w:sz w:val="32"/>
          <w:szCs w:val="32"/>
          <w:highlight w:val="none"/>
          <w:lang w:val="zh-CN"/>
        </w:rPr>
        <w:t>（三）项目监管情况</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作为项目主管部门，主要从项目立项、报批、招投标工作、建设管理、资金使用、预算执行等方面开展监督管理，提高财政资金使用效益，确保项目资金使用合法合规。</w:t>
      </w:r>
    </w:p>
    <w:p>
      <w:pPr>
        <w:keepNext w:val="0"/>
        <w:keepLines w:val="0"/>
        <w:pageBreakBefore w:val="0"/>
        <w:kinsoku/>
        <w:wordWrap/>
        <w:overflowPunct/>
        <w:topLinePunct w:val="0"/>
        <w:autoSpaceDE/>
        <w:autoSpaceDN/>
        <w:bidi w:val="0"/>
        <w:adjustRightInd/>
        <w:snapToGrid/>
        <w:spacing w:line="570" w:lineRule="exact"/>
        <w:ind w:firstLine="480"/>
        <w:textAlignment w:val="auto"/>
        <w:outlineLvl w:val="0"/>
        <w:rPr>
          <w:rFonts w:hint="default" w:ascii="Times New Roman" w:hAnsi="Times New Roman" w:eastAsia="黑体" w:cs="Times New Roman"/>
          <w:color w:val="auto"/>
          <w:sz w:val="32"/>
          <w:szCs w:val="32"/>
          <w:highlight w:val="none"/>
          <w:lang w:val="zh-CN"/>
        </w:rPr>
      </w:pPr>
      <w:r>
        <w:rPr>
          <w:rFonts w:hint="default" w:ascii="Times New Roman" w:hAnsi="Times New Roman" w:eastAsia="黑体" w:cs="Times New Roman"/>
          <w:color w:val="auto"/>
          <w:sz w:val="32"/>
          <w:szCs w:val="32"/>
          <w:highlight w:val="none"/>
          <w:lang w:val="zh-CN"/>
        </w:rPr>
        <w:t>四、项目绩效情况</w:t>
      </w:r>
    </w:p>
    <w:p>
      <w:pPr>
        <w:keepNext w:val="0"/>
        <w:keepLines w:val="0"/>
        <w:pageBreakBefore w:val="0"/>
        <w:kinsoku/>
        <w:wordWrap/>
        <w:overflowPunct/>
        <w:topLinePunct w:val="0"/>
        <w:autoSpaceDE/>
        <w:autoSpaceDN/>
        <w:bidi w:val="0"/>
        <w:adjustRightInd/>
        <w:snapToGrid/>
        <w:spacing w:line="570" w:lineRule="exact"/>
        <w:ind w:firstLine="480"/>
        <w:textAlignment w:val="auto"/>
        <w:outlineLvl w:val="1"/>
        <w:rPr>
          <w:rFonts w:hint="default" w:ascii="Times New Roman" w:hAnsi="Times New Roman" w:eastAsia="楷体_GB2312" w:cs="Times New Roman"/>
          <w:b/>
          <w:bCs/>
          <w:color w:val="auto"/>
          <w:sz w:val="32"/>
          <w:szCs w:val="32"/>
          <w:highlight w:val="none"/>
          <w:lang w:val="zh-CN"/>
        </w:rPr>
      </w:pPr>
      <w:r>
        <w:rPr>
          <w:rFonts w:hint="default" w:ascii="Times New Roman" w:hAnsi="Times New Roman" w:eastAsia="楷体_GB2312" w:cs="Times New Roman"/>
          <w:b/>
          <w:bCs/>
          <w:color w:val="auto"/>
          <w:sz w:val="32"/>
          <w:szCs w:val="32"/>
          <w:highlight w:val="none"/>
          <w:lang w:val="zh-CN"/>
        </w:rPr>
        <w:t>（一）项目完成情况</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项目批复后，都发中心、人民渠第一管理处按照相关要求开展相关工作，工程实际形象进度已达工程总工程量95%以上，争取早日完成项目建设和预算执行。</w:t>
      </w:r>
    </w:p>
    <w:p>
      <w:pPr>
        <w:keepNext w:val="0"/>
        <w:keepLines w:val="0"/>
        <w:pageBreakBefore w:val="0"/>
        <w:kinsoku/>
        <w:wordWrap/>
        <w:overflowPunct/>
        <w:topLinePunct w:val="0"/>
        <w:autoSpaceDE/>
        <w:autoSpaceDN/>
        <w:bidi w:val="0"/>
        <w:adjustRightInd/>
        <w:snapToGrid/>
        <w:spacing w:line="570" w:lineRule="exact"/>
        <w:ind w:firstLine="480"/>
        <w:textAlignment w:val="auto"/>
        <w:outlineLvl w:val="1"/>
        <w:rPr>
          <w:rFonts w:hint="default" w:ascii="Times New Roman" w:hAnsi="Times New Roman" w:eastAsia="楷体_GB2312" w:cs="Times New Roman"/>
          <w:b/>
          <w:bCs/>
          <w:color w:val="auto"/>
          <w:sz w:val="32"/>
          <w:szCs w:val="32"/>
          <w:highlight w:val="none"/>
          <w:lang w:val="zh-CN"/>
        </w:rPr>
      </w:pPr>
      <w:r>
        <w:rPr>
          <w:rFonts w:hint="default" w:ascii="Times New Roman" w:hAnsi="Times New Roman" w:eastAsia="楷体_GB2312" w:cs="Times New Roman"/>
          <w:b/>
          <w:bCs/>
          <w:color w:val="auto"/>
          <w:sz w:val="32"/>
          <w:szCs w:val="32"/>
          <w:highlight w:val="none"/>
          <w:lang w:val="zh-CN"/>
        </w:rPr>
        <w:t>（二）项目效益情况</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四川省都江堰水利发展中心人民渠第一管理处灌区由蒲阳 河（青白江）灌区、人民渠一至四期工程灌区和前进渠灌区三部分组成，灌溉成都、德阳2市10县（市、区）242.29万亩农田，并担负向灌区40多家重点企业的工业供水和城镇生活用水的供水以及向下游（丘陵）灌区囤蓄输水任务，是都江堰灌区的重要组成部分。依据《四川省都江堰水利工程管理条例》相关规定，“第十五条 都江堰水利工程必须坚持岁修制度。灌区内地方各级人民政府应当加强对岁修工作的领导”“都江堰水利工程的建设和维护，实行谁受益谁负担、国家给予补助原则”“都江堰水利工程的建设和维护经费保障制度由省人民政府水行政主管部门会同财政主管部门按照有关规定另行制定”。因此，坚持人民渠第一管理处灌区水利工程维修养护是必要的。</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项目实施后将有效地减少渠道输水损失，提高输供水保证率，提高渠（河）防洪度汛能力及水利工程安全运行保障率，确保沿渠（河）居民生命财产安全。通过该项目的实施，能够进一步提高2023年灌区春灌用水保证率，确保灌区农业生产用水安全，维护灌区社会稳定。其综合预期效益集中体现在恢复和改善灌区242.29万亩农田灌溉条件，新增节水能力800万m³，保护耕地1万亩，恢复70万人的生活用水，保障饮用水安全，保护蒲阳河（青白江）沿线30万人民生命财产安全。</w:t>
      </w:r>
    </w:p>
    <w:p>
      <w:pPr>
        <w:keepNext w:val="0"/>
        <w:keepLines w:val="0"/>
        <w:pageBreakBefore w:val="0"/>
        <w:kinsoku/>
        <w:wordWrap/>
        <w:overflowPunct/>
        <w:topLinePunct w:val="0"/>
        <w:autoSpaceDE/>
        <w:autoSpaceDN/>
        <w:bidi w:val="0"/>
        <w:adjustRightInd/>
        <w:snapToGrid/>
        <w:spacing w:line="570" w:lineRule="exact"/>
        <w:ind w:firstLine="480"/>
        <w:textAlignment w:val="auto"/>
        <w:outlineLvl w:val="0"/>
        <w:rPr>
          <w:rFonts w:hint="default" w:ascii="Times New Roman" w:hAnsi="Times New Roman" w:eastAsia="黑体" w:cs="Times New Roman"/>
          <w:color w:val="auto"/>
          <w:sz w:val="32"/>
          <w:szCs w:val="32"/>
          <w:highlight w:val="none"/>
          <w:lang w:val="zh-CN"/>
        </w:rPr>
      </w:pPr>
      <w:r>
        <w:rPr>
          <w:rFonts w:hint="default" w:ascii="Times New Roman" w:hAnsi="Times New Roman" w:eastAsia="黑体" w:cs="Times New Roman"/>
          <w:color w:val="auto"/>
          <w:sz w:val="32"/>
          <w:szCs w:val="32"/>
          <w:highlight w:val="none"/>
          <w:lang w:val="zh-CN"/>
        </w:rPr>
        <w:t>五、评价结论及建议</w:t>
      </w:r>
    </w:p>
    <w:p>
      <w:pPr>
        <w:keepNext w:val="0"/>
        <w:keepLines w:val="0"/>
        <w:pageBreakBefore w:val="0"/>
        <w:kinsoku/>
        <w:wordWrap/>
        <w:overflowPunct/>
        <w:topLinePunct w:val="0"/>
        <w:autoSpaceDE/>
        <w:autoSpaceDN/>
        <w:bidi w:val="0"/>
        <w:adjustRightInd/>
        <w:snapToGrid/>
        <w:spacing w:line="570" w:lineRule="exact"/>
        <w:ind w:firstLine="480"/>
        <w:textAlignment w:val="auto"/>
        <w:outlineLvl w:val="1"/>
        <w:rPr>
          <w:rFonts w:hint="default" w:ascii="Times New Roman" w:hAnsi="Times New Roman" w:eastAsia="楷体_GB2312" w:cs="Times New Roman"/>
          <w:b/>
          <w:bCs/>
          <w:color w:val="auto"/>
          <w:sz w:val="32"/>
          <w:szCs w:val="32"/>
          <w:highlight w:val="none"/>
          <w:lang w:val="zh-CN"/>
        </w:rPr>
      </w:pPr>
      <w:r>
        <w:rPr>
          <w:rFonts w:hint="default" w:ascii="Times New Roman" w:hAnsi="Times New Roman" w:eastAsia="楷体_GB2312" w:cs="Times New Roman"/>
          <w:b/>
          <w:bCs/>
          <w:color w:val="auto"/>
          <w:sz w:val="32"/>
          <w:szCs w:val="32"/>
          <w:highlight w:val="none"/>
          <w:lang w:val="zh-CN"/>
        </w:rPr>
        <w:t>（一）评价结论</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结合项目实际情况，项目立项的必要性、可行性是合理的；项目效益指标评价设置合理；项目申报流程符合规定。希望该项目加快预算执行，尽快完成项目建设。</w:t>
      </w:r>
    </w:p>
    <w:p>
      <w:pPr>
        <w:keepNext w:val="0"/>
        <w:keepLines w:val="0"/>
        <w:pageBreakBefore w:val="0"/>
        <w:kinsoku/>
        <w:wordWrap/>
        <w:overflowPunct/>
        <w:topLinePunct w:val="0"/>
        <w:autoSpaceDE/>
        <w:autoSpaceDN/>
        <w:bidi w:val="0"/>
        <w:adjustRightInd/>
        <w:snapToGrid/>
        <w:spacing w:line="570" w:lineRule="exact"/>
        <w:ind w:firstLine="480"/>
        <w:textAlignment w:val="auto"/>
        <w:outlineLvl w:val="1"/>
        <w:rPr>
          <w:rFonts w:hint="default" w:ascii="Times New Roman" w:hAnsi="Times New Roman" w:eastAsia="楷体_GB2312" w:cs="Times New Roman"/>
          <w:b/>
          <w:bCs/>
          <w:color w:val="auto"/>
          <w:sz w:val="32"/>
          <w:szCs w:val="32"/>
          <w:highlight w:val="none"/>
          <w:lang w:val="zh-CN"/>
        </w:rPr>
      </w:pPr>
      <w:r>
        <w:rPr>
          <w:rFonts w:hint="default" w:ascii="Times New Roman" w:hAnsi="Times New Roman" w:eastAsia="楷体_GB2312" w:cs="Times New Roman"/>
          <w:b/>
          <w:bCs/>
          <w:color w:val="auto"/>
          <w:sz w:val="32"/>
          <w:szCs w:val="32"/>
          <w:highlight w:val="none"/>
          <w:lang w:val="zh-CN"/>
        </w:rPr>
        <w:t>（二）存在的问题</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无</w:t>
      </w:r>
    </w:p>
    <w:p>
      <w:pPr>
        <w:keepNext w:val="0"/>
        <w:keepLines w:val="0"/>
        <w:pageBreakBefore w:val="0"/>
        <w:kinsoku/>
        <w:wordWrap/>
        <w:overflowPunct/>
        <w:topLinePunct w:val="0"/>
        <w:autoSpaceDE/>
        <w:autoSpaceDN/>
        <w:bidi w:val="0"/>
        <w:adjustRightInd/>
        <w:snapToGrid/>
        <w:spacing w:line="570" w:lineRule="exact"/>
        <w:ind w:firstLine="480"/>
        <w:textAlignment w:val="auto"/>
        <w:outlineLvl w:val="1"/>
        <w:rPr>
          <w:rFonts w:hint="default" w:ascii="Times New Roman" w:hAnsi="Times New Roman" w:eastAsia="楷体_GB2312" w:cs="Times New Roman"/>
          <w:b/>
          <w:bCs/>
          <w:color w:val="auto"/>
          <w:sz w:val="32"/>
          <w:szCs w:val="32"/>
          <w:highlight w:val="none"/>
          <w:lang w:val="zh-CN"/>
        </w:rPr>
      </w:pPr>
      <w:r>
        <w:rPr>
          <w:rFonts w:hint="default" w:ascii="Times New Roman" w:hAnsi="Times New Roman" w:eastAsia="楷体_GB2312" w:cs="Times New Roman"/>
          <w:b/>
          <w:bCs/>
          <w:color w:val="auto"/>
          <w:sz w:val="32"/>
          <w:szCs w:val="32"/>
          <w:highlight w:val="none"/>
          <w:lang w:val="zh-CN"/>
        </w:rPr>
        <w:t>（三）相关建议</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1.建议加大维修养护资金投入，确保水利工程运行安全，供水安全，防洪安全。</w:t>
      </w:r>
    </w:p>
    <w:p>
      <w:pPr>
        <w:pStyle w:val="6"/>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2.以维修养护为着力点，积极推行新技术新材料的应用。</w:t>
      </w:r>
    </w:p>
    <w:p>
      <w:pPr>
        <w:keepNext w:val="0"/>
        <w:keepLines w:val="0"/>
        <w:pageBreakBefore w:val="0"/>
        <w:kinsoku/>
        <w:wordWrap/>
        <w:overflowPunct/>
        <w:topLinePunct w:val="0"/>
        <w:autoSpaceDE/>
        <w:autoSpaceDN/>
        <w:bidi w:val="0"/>
        <w:adjustRightInd/>
        <w:snapToGrid/>
        <w:spacing w:line="570" w:lineRule="exact"/>
        <w:jc w:val="left"/>
        <w:textAlignment w:val="auto"/>
        <w:outlineLvl w:val="0"/>
        <w:rPr>
          <w:rFonts w:hint="default" w:ascii="Times New Roman" w:hAnsi="Times New Roman" w:eastAsia="仿宋" w:cs="Times New Roman"/>
          <w:color w:val="auto"/>
          <w:sz w:val="32"/>
          <w:szCs w:val="32"/>
          <w:highlight w:val="none"/>
        </w:rPr>
      </w:pPr>
    </w:p>
    <w:p>
      <w:pPr>
        <w:keepNext w:val="0"/>
        <w:keepLines w:val="0"/>
        <w:pageBreakBefore w:val="0"/>
        <w:kinsoku/>
        <w:wordWrap/>
        <w:overflowPunct/>
        <w:topLinePunct w:val="0"/>
        <w:autoSpaceDE/>
        <w:autoSpaceDN/>
        <w:bidi w:val="0"/>
        <w:adjustRightInd/>
        <w:snapToGrid/>
        <w:spacing w:line="570" w:lineRule="exact"/>
        <w:jc w:val="left"/>
        <w:textAlignment w:val="auto"/>
        <w:outlineLvl w:val="0"/>
        <w:rPr>
          <w:rFonts w:hint="default" w:ascii="Times New Roman" w:hAnsi="Times New Roman" w:eastAsia="仿宋" w:cs="Times New Roman"/>
          <w:color w:val="auto"/>
          <w:sz w:val="32"/>
          <w:szCs w:val="32"/>
          <w:highlight w:val="none"/>
        </w:rPr>
      </w:pPr>
    </w:p>
    <w:p>
      <w:pPr>
        <w:keepNext w:val="0"/>
        <w:keepLines w:val="0"/>
        <w:pageBreakBefore w:val="0"/>
        <w:kinsoku/>
        <w:wordWrap/>
        <w:overflowPunct/>
        <w:topLinePunct w:val="0"/>
        <w:autoSpaceDE/>
        <w:autoSpaceDN/>
        <w:bidi w:val="0"/>
        <w:adjustRightInd/>
        <w:snapToGrid/>
        <w:spacing w:line="570" w:lineRule="exact"/>
        <w:jc w:val="center"/>
        <w:textAlignment w:val="auto"/>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rPr>
        <w:t>四川省都江堰水利发展中心人民渠第一管理处</w:t>
      </w:r>
    </w:p>
    <w:p>
      <w:pPr>
        <w:pStyle w:val="6"/>
        <w:keepNext w:val="0"/>
        <w:keepLines w:val="0"/>
        <w:pageBreakBefore w:val="0"/>
        <w:kinsoku/>
        <w:wordWrap/>
        <w:overflowPunct/>
        <w:topLinePunct w:val="0"/>
        <w:autoSpaceDE/>
        <w:autoSpaceDN/>
        <w:bidi w:val="0"/>
        <w:adjustRightInd/>
        <w:snapToGrid/>
        <w:spacing w:before="0" w:line="570" w:lineRule="exact"/>
        <w:jc w:val="center"/>
        <w:textAlignment w:val="auto"/>
        <w:outlineLvl w:val="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sz w:val="32"/>
          <w:szCs w:val="32"/>
          <w:highlight w:val="none"/>
        </w:rPr>
        <w:t xml:space="preserve">      2023年4月20日</w:t>
      </w:r>
    </w:p>
    <w:sectPr>
      <w:footerReference r:id="rId3" w:type="default"/>
      <w:pgSz w:w="12240" w:h="15840"/>
      <w:pgMar w:top="1440" w:right="1800" w:bottom="1440" w:left="1800" w:header="720" w:footer="720"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rFonts w:hint="eastAsia"/>
                              <w:sz w:val="24"/>
                              <w:szCs w:val="24"/>
                            </w:rPr>
                            <w:t>1</w:t>
                          </w:r>
                          <w:r>
                            <w:rPr>
                              <w:rFonts w:hint="eastAsia"/>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7"/>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rFonts w:hint="eastAsia"/>
                        <w:sz w:val="24"/>
                        <w:szCs w:val="24"/>
                      </w:rPr>
                      <w:t>1</w:t>
                    </w:r>
                    <w:r>
                      <w:rPr>
                        <w:rFonts w:hint="eastAsia"/>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1ZjE2NjM1NWZkYThmODIwOGJiNmJmNGQzMzM0MTUifQ=="/>
  </w:docVars>
  <w:rsids>
    <w:rsidRoot w:val="00172A27"/>
    <w:rsid w:val="00067CF9"/>
    <w:rsid w:val="00172A27"/>
    <w:rsid w:val="001968BA"/>
    <w:rsid w:val="004C363D"/>
    <w:rsid w:val="006F2754"/>
    <w:rsid w:val="00981D2A"/>
    <w:rsid w:val="00DF0383"/>
    <w:rsid w:val="020523F6"/>
    <w:rsid w:val="026F15C4"/>
    <w:rsid w:val="02AA4AEE"/>
    <w:rsid w:val="02AB256F"/>
    <w:rsid w:val="03145BF2"/>
    <w:rsid w:val="03A41E99"/>
    <w:rsid w:val="042033D6"/>
    <w:rsid w:val="084B6928"/>
    <w:rsid w:val="08686258"/>
    <w:rsid w:val="0888678D"/>
    <w:rsid w:val="08B70394"/>
    <w:rsid w:val="091E2504"/>
    <w:rsid w:val="09B207F9"/>
    <w:rsid w:val="0BB0283D"/>
    <w:rsid w:val="0EE01909"/>
    <w:rsid w:val="0F2130DE"/>
    <w:rsid w:val="11057DFB"/>
    <w:rsid w:val="13CF028E"/>
    <w:rsid w:val="14333A26"/>
    <w:rsid w:val="145426E6"/>
    <w:rsid w:val="14780BF1"/>
    <w:rsid w:val="15224038"/>
    <w:rsid w:val="1548466D"/>
    <w:rsid w:val="18E24DE3"/>
    <w:rsid w:val="19B15BE7"/>
    <w:rsid w:val="1A132F57"/>
    <w:rsid w:val="1A2E7004"/>
    <w:rsid w:val="1A325A0A"/>
    <w:rsid w:val="1A9B1BB6"/>
    <w:rsid w:val="1BAF3882"/>
    <w:rsid w:val="1D2B351D"/>
    <w:rsid w:val="1EED3607"/>
    <w:rsid w:val="1FA37075"/>
    <w:rsid w:val="209C20C0"/>
    <w:rsid w:val="20B66F25"/>
    <w:rsid w:val="215E2BCE"/>
    <w:rsid w:val="21DD569B"/>
    <w:rsid w:val="229067C3"/>
    <w:rsid w:val="23A27905"/>
    <w:rsid w:val="24AF2F3B"/>
    <w:rsid w:val="25041897"/>
    <w:rsid w:val="250E3AC8"/>
    <w:rsid w:val="273E5B72"/>
    <w:rsid w:val="27BC4393"/>
    <w:rsid w:val="282B44F6"/>
    <w:rsid w:val="2936242A"/>
    <w:rsid w:val="29C10177"/>
    <w:rsid w:val="2ABB0720"/>
    <w:rsid w:val="2ACA34D3"/>
    <w:rsid w:val="2AE2376A"/>
    <w:rsid w:val="2BAA31B3"/>
    <w:rsid w:val="2C5C0807"/>
    <w:rsid w:val="2DF77440"/>
    <w:rsid w:val="2EA0410A"/>
    <w:rsid w:val="2FE931A8"/>
    <w:rsid w:val="304654C6"/>
    <w:rsid w:val="315C5E84"/>
    <w:rsid w:val="319D793A"/>
    <w:rsid w:val="31AB50BC"/>
    <w:rsid w:val="31E0176A"/>
    <w:rsid w:val="3426325D"/>
    <w:rsid w:val="3439693A"/>
    <w:rsid w:val="34C202CB"/>
    <w:rsid w:val="34E735DB"/>
    <w:rsid w:val="358C7B83"/>
    <w:rsid w:val="35A0080B"/>
    <w:rsid w:val="380A7980"/>
    <w:rsid w:val="39CE4CE2"/>
    <w:rsid w:val="3B102CDE"/>
    <w:rsid w:val="3B905FB8"/>
    <w:rsid w:val="3C9776F3"/>
    <w:rsid w:val="3D681FCA"/>
    <w:rsid w:val="3DD31670"/>
    <w:rsid w:val="3FE65D1C"/>
    <w:rsid w:val="402E125D"/>
    <w:rsid w:val="406940D1"/>
    <w:rsid w:val="418B5019"/>
    <w:rsid w:val="424B14FB"/>
    <w:rsid w:val="44495E16"/>
    <w:rsid w:val="447424DD"/>
    <w:rsid w:val="45D50E20"/>
    <w:rsid w:val="45FE1FE4"/>
    <w:rsid w:val="461F5BAF"/>
    <w:rsid w:val="4662784A"/>
    <w:rsid w:val="46C07B24"/>
    <w:rsid w:val="47577C97"/>
    <w:rsid w:val="478C04F1"/>
    <w:rsid w:val="47D61232"/>
    <w:rsid w:val="49AB292B"/>
    <w:rsid w:val="4A0D4D0D"/>
    <w:rsid w:val="4A6C05AA"/>
    <w:rsid w:val="4A766AA5"/>
    <w:rsid w:val="4B45028D"/>
    <w:rsid w:val="4B94388F"/>
    <w:rsid w:val="4C523A49"/>
    <w:rsid w:val="4C8B4D21"/>
    <w:rsid w:val="4CC0557B"/>
    <w:rsid w:val="4D2B2668"/>
    <w:rsid w:val="4E8F43B4"/>
    <w:rsid w:val="4F2427E6"/>
    <w:rsid w:val="4F6457CE"/>
    <w:rsid w:val="4F830F2B"/>
    <w:rsid w:val="5071777D"/>
    <w:rsid w:val="509A584B"/>
    <w:rsid w:val="51360F4D"/>
    <w:rsid w:val="517A75BA"/>
    <w:rsid w:val="519E7677"/>
    <w:rsid w:val="51A92185"/>
    <w:rsid w:val="521074C0"/>
    <w:rsid w:val="52193997"/>
    <w:rsid w:val="522D01E0"/>
    <w:rsid w:val="526D0FC9"/>
    <w:rsid w:val="537D0E07"/>
    <w:rsid w:val="53B81EE5"/>
    <w:rsid w:val="544A47C4"/>
    <w:rsid w:val="557E4224"/>
    <w:rsid w:val="5648259F"/>
    <w:rsid w:val="59C36FD2"/>
    <w:rsid w:val="5AE23BA6"/>
    <w:rsid w:val="5B312A2C"/>
    <w:rsid w:val="5BFA7EF6"/>
    <w:rsid w:val="5CEA3F7C"/>
    <w:rsid w:val="5D7E0072"/>
    <w:rsid w:val="5DDD390F"/>
    <w:rsid w:val="5F0F3820"/>
    <w:rsid w:val="613F6C85"/>
    <w:rsid w:val="62111CEF"/>
    <w:rsid w:val="62E5554B"/>
    <w:rsid w:val="637A75F4"/>
    <w:rsid w:val="63916CE9"/>
    <w:rsid w:val="6392476A"/>
    <w:rsid w:val="66E85F40"/>
    <w:rsid w:val="67924C7A"/>
    <w:rsid w:val="6967357B"/>
    <w:rsid w:val="6A550294"/>
    <w:rsid w:val="6C5F3259"/>
    <w:rsid w:val="6CA43D4D"/>
    <w:rsid w:val="6DA325EB"/>
    <w:rsid w:val="6E2A7F73"/>
    <w:rsid w:val="6EB724B4"/>
    <w:rsid w:val="6FC9264E"/>
    <w:rsid w:val="6FCA1077"/>
    <w:rsid w:val="71165A55"/>
    <w:rsid w:val="72D231ED"/>
    <w:rsid w:val="72FC56B6"/>
    <w:rsid w:val="745436E9"/>
    <w:rsid w:val="75AF26A1"/>
    <w:rsid w:val="76D54682"/>
    <w:rsid w:val="77373422"/>
    <w:rsid w:val="77846DA4"/>
    <w:rsid w:val="787466AD"/>
    <w:rsid w:val="789101DB"/>
    <w:rsid w:val="79CB24E1"/>
    <w:rsid w:val="7CAF351E"/>
    <w:rsid w:val="7DC81A6D"/>
    <w:rsid w:val="7DC83413"/>
    <w:rsid w:val="7DE76A9E"/>
    <w:rsid w:val="7E916034"/>
    <w:rsid w:val="7F3E6452"/>
    <w:rsid w:val="7F9C1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line="560" w:lineRule="exact"/>
      <w:ind w:firstLine="880" w:firstLineChars="200"/>
      <w:outlineLvl w:val="0"/>
    </w:pPr>
    <w:rPr>
      <w:rFonts w:eastAsia="黑体"/>
      <w:kern w:val="44"/>
      <w:sz w:val="32"/>
    </w:rPr>
  </w:style>
  <w:style w:type="paragraph" w:styleId="4">
    <w:name w:val="heading 2"/>
    <w:basedOn w:val="1"/>
    <w:next w:val="1"/>
    <w:semiHidden/>
    <w:unhideWhenUsed/>
    <w:qFormat/>
    <w:uiPriority w:val="0"/>
    <w:pPr>
      <w:keepNext/>
      <w:keepLines/>
      <w:spacing w:line="560" w:lineRule="exact"/>
      <w:ind w:firstLine="880" w:firstLineChars="200"/>
      <w:outlineLvl w:val="1"/>
    </w:pPr>
    <w:rPr>
      <w:rFonts w:ascii="Arial" w:hAnsi="Arial" w:eastAsia="楷体"/>
      <w:sz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Normal Indent"/>
    <w:basedOn w:val="1"/>
    <w:qFormat/>
    <w:uiPriority w:val="0"/>
    <w:pPr>
      <w:ind w:firstLine="420" w:firstLineChars="200"/>
    </w:pPr>
  </w:style>
  <w:style w:type="paragraph" w:styleId="6">
    <w:name w:val="toa heading"/>
    <w:basedOn w:val="1"/>
    <w:next w:val="1"/>
    <w:qFormat/>
    <w:uiPriority w:val="0"/>
    <w:pPr>
      <w:spacing w:before="120"/>
    </w:pPr>
    <w:rPr>
      <w:rFonts w:ascii="Arial" w:hAnsi="Arial"/>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Body Text First Indent"/>
    <w:basedOn w:val="2"/>
    <w:next w:val="1"/>
    <w:qFormat/>
    <w:uiPriority w:val="0"/>
    <w:pPr>
      <w:autoSpaceDE/>
      <w:autoSpaceDN/>
      <w:spacing w:after="120"/>
      <w:ind w:firstLine="420" w:firstLineChars="100"/>
      <w:jc w:val="both"/>
    </w:pPr>
    <w:rPr>
      <w:rFonts w:ascii="Calibri" w:hAnsi="Calibri" w:eastAsia="宋体" w:cs="Times New Roman"/>
      <w:kern w:val="2"/>
      <w:sz w:val="21"/>
    </w:rPr>
  </w:style>
  <w:style w:type="paragraph" w:customStyle="1" w:styleId="13">
    <w:name w:val="列出段落1"/>
    <w:basedOn w:val="1"/>
    <w:qFormat/>
    <w:uiPriority w:val="0"/>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5328</Words>
  <Characters>5809</Characters>
  <Lines>37</Lines>
  <Paragraphs>10</Paragraphs>
  <TotalTime>0</TotalTime>
  <ScaleCrop>false</ScaleCrop>
  <LinksUpToDate>false</LinksUpToDate>
  <CharactersWithSpaces>5829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2023-04-19T02:39:00Z</dcterms:created>
  <dc:creator>建霖</dc:creator>
  <cp:lastModifiedBy>洛笙</cp:lastModifiedBy>
  <cp:lastPrinted>2022-04-27T01:04:00Z</cp:lastPrinted>
  <dcterms:modified xsi:type="dcterms:W3CDTF">2023-09-21T07:21:45Z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B589C57AAAA14E8DBA1A94A9156F7099</vt:lpwstr>
  </property>
</Properties>
</file>