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附件</w:t>
      </w:r>
      <w:r>
        <w:rPr>
          <w:rFonts w:hint="eastAsia" w:eastAsia="黑体" w:cs="Times New Roman"/>
          <w:sz w:val="32"/>
          <w:szCs w:val="32"/>
          <w:lang w:val="en-US" w:eastAsia="zh-CN"/>
        </w:rPr>
        <w:t>3-2</w:t>
      </w:r>
    </w:p>
    <w:p>
      <w:pPr>
        <w:pStyle w:val="13"/>
        <w:spacing w:line="58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lang w:eastAsia="zh-CN"/>
        </w:rPr>
        <w:t>绵竹市花果白溪小流域水土流失综合治理</w:t>
      </w:r>
      <w:r>
        <w:rPr>
          <w:rFonts w:hint="default" w:ascii="Times New Roman" w:hAnsi="Times New Roman" w:eastAsia="方正小标宋简体" w:cs="Times New Roman"/>
          <w:sz w:val="44"/>
          <w:szCs w:val="44"/>
        </w:rPr>
        <w:t>项目绩效自评报告</w:t>
      </w:r>
    </w:p>
    <w:p>
      <w:pPr>
        <w:pStyle w:val="13"/>
        <w:spacing w:line="580" w:lineRule="exact"/>
        <w:ind w:firstLine="640"/>
        <w:jc w:val="center"/>
        <w:rPr>
          <w:rFonts w:hint="default" w:ascii="Times New Roman" w:hAnsi="Times New Roman" w:cs="Times New Roman"/>
          <w:color w:val="auto"/>
          <w:kern w:val="2"/>
          <w:szCs w:val="32"/>
        </w:rPr>
      </w:pPr>
    </w:p>
    <w:p>
      <w:pPr>
        <w:adjustRightInd w:val="0"/>
        <w:snapToGrid w:val="0"/>
        <w:spacing w:line="580" w:lineRule="exact"/>
        <w:ind w:firstLine="720"/>
        <w:rPr>
          <w:rFonts w:hint="default" w:ascii="Times New Roman" w:hAnsi="Times New Roman" w:eastAsia="黑体" w:cs="Times New Roman"/>
          <w:sz w:val="32"/>
          <w:szCs w:val="32"/>
          <w:lang w:val="zh-CN"/>
        </w:rPr>
      </w:pP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（一）项目基本情况。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项目主管部门（单位）在该项目管理中的职能：在我国迈向现代化建设新征程的开局时期，为改善农村人居住环境，建设生态宜居的美丽乡村，绵竹市水利局实施水利发展资金水土保持项目，在“十四五”期间，持续、快速、高质量地促进乡村振兴。</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立项、资金申报的依据：根据《水利部关于印发国家水土保持重点工程2021-2023年实施方案的通知》（水保〔2020〕302号）的通知及《水利部关于印发中央财政水利发展资金水土保持工程建设管理办法的通知》（水保〔2019〕60号）、四川省水利厅《关于开展“十四五”水土保持重点工程储备项目申报的函》（川水函〔2021〕586号）及相关文件精神，并结合《绵竹市水土保持规划（2015-2030年）》中近期重点项目实施区域、《关于进一步做好2022年水土保持重点工程项目储备工作的通知》和《四川省财政厅四川省水利厅关于下达2022年中央和省级水利发展资金的通知》（川财农〔2022〕9号）的相关要求，绵竹市水利局积极申报了水利发展资金水土保持项目。</w:t>
      </w:r>
    </w:p>
    <w:p>
      <w:pPr>
        <w:adjustRightInd w:val="0"/>
        <w:snapToGrid w:val="0"/>
        <w:spacing w:line="580" w:lineRule="exact"/>
        <w:ind w:firstLine="720"/>
        <w:rPr>
          <w:rFonts w:hint="default" w:ascii="Times New Roman" w:hAnsi="Times New Roman" w:cs="Times New Roman"/>
          <w:color w:val="auto"/>
          <w:sz w:val="32"/>
          <w:szCs w:val="32"/>
          <w:lang w:val="zh-CN"/>
        </w:rPr>
      </w:pPr>
      <w:r>
        <w:rPr>
          <w:rFonts w:hint="default" w:ascii="Times New Roman" w:hAnsi="Times New Roman" w:cs="Times New Roman"/>
          <w:color w:val="auto"/>
          <w:sz w:val="32"/>
          <w:szCs w:val="32"/>
          <w:lang w:val="zh-CN"/>
        </w:rPr>
        <w:t>3．资金管理办法制定情况，资金支持具体项目的条件、范围与支持方式概况。</w:t>
      </w:r>
    </w:p>
    <w:p>
      <w:pPr>
        <w:adjustRightInd w:val="0"/>
        <w:snapToGrid w:val="0"/>
        <w:spacing w:line="580" w:lineRule="exact"/>
        <w:ind w:firstLine="720"/>
        <w:rPr>
          <w:rFonts w:hint="default"/>
          <w:color w:val="auto"/>
          <w:sz w:val="32"/>
          <w:szCs w:val="32"/>
          <w:lang w:val="zh-CN"/>
        </w:rPr>
      </w:pPr>
      <w:r>
        <w:rPr>
          <w:rFonts w:hint="eastAsia" w:ascii="仿宋_GB2312" w:hAnsi="宋体"/>
          <w:color w:val="auto"/>
          <w:sz w:val="32"/>
          <w:szCs w:val="32"/>
          <w:lang w:val="en-US" w:eastAsia="zh-CN"/>
        </w:rPr>
        <w:t>该项目资金来源上级财政资金。</w:t>
      </w:r>
    </w:p>
    <w:p>
      <w:pPr>
        <w:numPr>
          <w:ilvl w:val="0"/>
          <w:numId w:val="2"/>
        </w:numPr>
        <w:adjustRightInd w:val="0"/>
        <w:snapToGrid w:val="0"/>
        <w:spacing w:line="580" w:lineRule="exact"/>
        <w:ind w:left="560" w:leftChars="0" w:firstLine="0" w:firstLineChars="0"/>
        <w:rPr>
          <w:rFonts w:hint="default" w:ascii="Times New Roman" w:hAnsi="Times New Roman" w:cs="Times New Roman"/>
          <w:color w:val="auto"/>
          <w:sz w:val="32"/>
          <w:szCs w:val="32"/>
          <w:lang w:val="zh-CN"/>
        </w:rPr>
      </w:pPr>
      <w:r>
        <w:rPr>
          <w:rFonts w:hint="default" w:ascii="Times New Roman" w:hAnsi="Times New Roman" w:cs="Times New Roman"/>
          <w:color w:val="auto"/>
          <w:sz w:val="32"/>
          <w:szCs w:val="32"/>
          <w:lang w:val="zh-CN"/>
        </w:rPr>
        <w:t>资金分配的原则及考虑因素。</w:t>
      </w:r>
    </w:p>
    <w:p>
      <w:pPr>
        <w:adjustRightInd w:val="0"/>
        <w:snapToGrid w:val="0"/>
        <w:spacing w:line="580" w:lineRule="exact"/>
        <w:ind w:firstLine="720"/>
        <w:rPr>
          <w:rFonts w:hint="default"/>
          <w:sz w:val="32"/>
          <w:szCs w:val="32"/>
          <w:lang w:val="zh-CN"/>
        </w:rPr>
      </w:pPr>
      <w:r>
        <w:rPr>
          <w:rFonts w:hint="eastAsia" w:ascii="仿宋_GB2312" w:hAnsi="宋体" w:eastAsia="楷体_GB2312"/>
          <w:sz w:val="32"/>
          <w:szCs w:val="32"/>
          <w:lang w:val="en-US" w:eastAsia="zh-CN"/>
        </w:rPr>
        <w:t>按合同支付。</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（二）项目绩效目标。</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1．项目主要内容：综合治理水土流失面积22.86km</w:t>
      </w:r>
      <w:r>
        <w:rPr>
          <w:rFonts w:hint="default" w:ascii="Times New Roman" w:hAnsi="Times New Roman" w:cs="Times New Roman"/>
          <w:sz w:val="32"/>
          <w:szCs w:val="32"/>
          <w:vertAlign w:val="superscript"/>
          <w:lang w:val="zh-CN"/>
        </w:rPr>
        <w:t>2</w:t>
      </w:r>
      <w:r>
        <w:rPr>
          <w:rFonts w:hint="default" w:ascii="Times New Roman" w:hAnsi="Times New Roman" w:cs="Times New Roman"/>
          <w:sz w:val="32"/>
          <w:szCs w:val="32"/>
          <w:lang w:val="zh-CN"/>
        </w:rPr>
        <w:t>：果木林6.42hm</w:t>
      </w:r>
      <w:r>
        <w:rPr>
          <w:rFonts w:hint="default" w:ascii="Times New Roman" w:hAnsi="Times New Roman" w:cs="Times New Roman"/>
          <w:sz w:val="32"/>
          <w:szCs w:val="32"/>
          <w:vertAlign w:val="superscript"/>
          <w:lang w:val="zh-CN"/>
        </w:rPr>
        <w:t>2</w:t>
      </w:r>
      <w:r>
        <w:rPr>
          <w:rFonts w:hint="default" w:ascii="Times New Roman" w:hAnsi="Times New Roman" w:cs="Times New Roman"/>
          <w:sz w:val="32"/>
          <w:szCs w:val="32"/>
          <w:lang w:val="zh-CN"/>
        </w:rPr>
        <w:t>，保土耕作972.59hm</w:t>
      </w:r>
      <w:r>
        <w:rPr>
          <w:rFonts w:hint="default" w:ascii="Times New Roman" w:hAnsi="Times New Roman" w:cs="Times New Roman"/>
          <w:sz w:val="32"/>
          <w:szCs w:val="32"/>
          <w:vertAlign w:val="superscript"/>
          <w:lang w:val="zh-CN"/>
        </w:rPr>
        <w:t>2</w:t>
      </w:r>
      <w:r>
        <w:rPr>
          <w:rFonts w:hint="default" w:ascii="Times New Roman" w:hAnsi="Times New Roman" w:cs="Times New Roman"/>
          <w:sz w:val="32"/>
          <w:szCs w:val="32"/>
          <w:lang w:val="zh-CN"/>
        </w:rPr>
        <w:t>，封禁治理1307.17hm</w:t>
      </w:r>
      <w:r>
        <w:rPr>
          <w:rFonts w:hint="default" w:ascii="Times New Roman" w:hAnsi="Times New Roman" w:cs="Times New Roman"/>
          <w:sz w:val="32"/>
          <w:szCs w:val="32"/>
          <w:vertAlign w:val="superscript"/>
          <w:lang w:val="zh-CN"/>
        </w:rPr>
        <w:t>2</w:t>
      </w:r>
      <w:r>
        <w:rPr>
          <w:rFonts w:hint="default" w:ascii="Times New Roman" w:hAnsi="Times New Roman" w:cs="Times New Roman"/>
          <w:sz w:val="32"/>
          <w:szCs w:val="32"/>
          <w:lang w:val="zh-CN"/>
        </w:rPr>
        <w:t>，小型水利水保工程：新建护坡1163m，排灌沟渠13.02km，作业道路13.53km，蓄水池5口，沉沙池86个，小流域工程概况碑1个，小流域碑（成品石材）1处，经果林碑2个，封禁治理碑40个，水土保持宣传墙体彩绘年画400m</w:t>
      </w:r>
      <w:r>
        <w:rPr>
          <w:rFonts w:hint="default" w:ascii="Times New Roman" w:hAnsi="Times New Roman" w:cs="Times New Roman"/>
          <w:sz w:val="32"/>
          <w:szCs w:val="32"/>
          <w:vertAlign w:val="superscript"/>
          <w:lang w:val="zh-CN"/>
        </w:rPr>
        <w:t>2</w:t>
      </w:r>
      <w:r>
        <w:rPr>
          <w:rFonts w:hint="default" w:ascii="Times New Roman" w:hAnsi="Times New Roman" w:cs="Times New Roman"/>
          <w:sz w:val="32"/>
          <w:szCs w:val="32"/>
          <w:lang w:val="zh-CN"/>
        </w:rPr>
        <w:t>，水土保持宣传牌16个；整治山坪塘7口，排灌沟渠2.09km，蓄水池7口，作业道路4.60km及其相关附属设施</w:t>
      </w:r>
      <w:r>
        <w:rPr>
          <w:rFonts w:hint="default" w:ascii="Times New Roman" w:hAnsi="Times New Roman" w:cs="Times New Roman"/>
          <w:sz w:val="32"/>
          <w:szCs w:val="32"/>
          <w:lang w:val="zh-CN" w:eastAsia="zh-CN"/>
        </w:rPr>
        <w:t>。</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w:t>
      </w:r>
      <w:r>
        <w:rPr>
          <w:rFonts w:hint="eastAsia" w:ascii="Times New Roman" w:hAnsi="Times New Roman" w:cs="Times New Roman"/>
          <w:sz w:val="32"/>
          <w:szCs w:val="32"/>
          <w:lang w:val="zh-CN" w:eastAsia="zh-CN"/>
        </w:rPr>
        <w:t>花果白溪小流域依托近年来形成的种植片区以及具有一定规模数量的乡村民宿，重点打造综合治理区和生态经济区，将自然景观和水土保持工程有机结合起来，改善农村环境，满足广大人民群众对良好人居环境和清洁水质的迫切要求，促进区域绿色产业发展，构建了人与自然和谐共生的乡村发展格局，是推动绵竹市社会主义新农村、“美丽乡村”建设，实现乡村振兴的重要基础工程，</w:t>
      </w:r>
      <w:r>
        <w:rPr>
          <w:rFonts w:hint="eastAsia" w:ascii="Times New Roman" w:hAnsi="Times New Roman" w:cs="Times New Roman"/>
          <w:sz w:val="32"/>
          <w:szCs w:val="32"/>
          <w:lang w:val="zh-CN"/>
        </w:rPr>
        <w:t>工程施工总工期为</w:t>
      </w:r>
      <w:r>
        <w:rPr>
          <w:rFonts w:hint="eastAsia" w:ascii="Times New Roman" w:hAnsi="Times New Roman" w:cs="Times New Roman"/>
          <w:sz w:val="32"/>
          <w:szCs w:val="32"/>
          <w:lang w:val="en-US" w:eastAsia="zh-CN"/>
        </w:rPr>
        <w:t>7</w:t>
      </w:r>
      <w:r>
        <w:rPr>
          <w:rFonts w:hint="eastAsia" w:ascii="Times New Roman" w:hAnsi="Times New Roman" w:cs="Times New Roman"/>
          <w:sz w:val="32"/>
          <w:szCs w:val="32"/>
          <w:lang w:val="zh-CN"/>
        </w:rPr>
        <w:t>个月，其中主体工程施工期为从202</w:t>
      </w:r>
      <w:r>
        <w:rPr>
          <w:rFonts w:hint="eastAsia" w:ascii="Times New Roman" w:hAnsi="Times New Roman" w:cs="Times New Roman"/>
          <w:sz w:val="32"/>
          <w:szCs w:val="32"/>
          <w:lang w:val="en-US" w:eastAsia="zh-CN"/>
        </w:rPr>
        <w:t>2</w:t>
      </w:r>
      <w:r>
        <w:rPr>
          <w:rFonts w:hint="eastAsia" w:ascii="Times New Roman" w:hAnsi="Times New Roman" w:cs="Times New Roman"/>
          <w:sz w:val="32"/>
          <w:szCs w:val="32"/>
          <w:lang w:val="zh-CN"/>
        </w:rPr>
        <w:t>年</w:t>
      </w:r>
      <w:r>
        <w:rPr>
          <w:rFonts w:hint="eastAsia" w:ascii="Times New Roman" w:hAnsi="Times New Roman" w:cs="Times New Roman"/>
          <w:sz w:val="32"/>
          <w:szCs w:val="32"/>
          <w:lang w:val="en-US" w:eastAsia="zh-CN"/>
        </w:rPr>
        <w:t>6</w:t>
      </w:r>
      <w:r>
        <w:rPr>
          <w:rFonts w:hint="eastAsia" w:ascii="Times New Roman" w:hAnsi="Times New Roman" w:cs="Times New Roman"/>
          <w:sz w:val="32"/>
          <w:szCs w:val="32"/>
          <w:lang w:val="zh-CN"/>
        </w:rPr>
        <w:t>月至202</w:t>
      </w:r>
      <w:r>
        <w:rPr>
          <w:rFonts w:hint="eastAsia" w:ascii="Times New Roman" w:hAnsi="Times New Roman" w:cs="Times New Roman"/>
          <w:sz w:val="32"/>
          <w:szCs w:val="32"/>
          <w:lang w:val="en-US" w:eastAsia="zh-CN"/>
        </w:rPr>
        <w:t>2</w:t>
      </w:r>
      <w:r>
        <w:rPr>
          <w:rFonts w:hint="eastAsia" w:ascii="Times New Roman" w:hAnsi="Times New Roman" w:cs="Times New Roman"/>
          <w:sz w:val="32"/>
          <w:szCs w:val="32"/>
          <w:lang w:val="zh-CN"/>
        </w:rPr>
        <w:t>年</w:t>
      </w:r>
      <w:r>
        <w:rPr>
          <w:rFonts w:hint="eastAsia" w:ascii="Times New Roman" w:hAnsi="Times New Roman" w:cs="Times New Roman"/>
          <w:sz w:val="32"/>
          <w:szCs w:val="32"/>
          <w:lang w:val="en-US" w:eastAsia="zh-CN"/>
        </w:rPr>
        <w:t>12</w:t>
      </w:r>
      <w:r>
        <w:rPr>
          <w:rFonts w:hint="eastAsia" w:ascii="Times New Roman" w:hAnsi="Times New Roman" w:cs="Times New Roman"/>
          <w:sz w:val="32"/>
          <w:szCs w:val="32"/>
          <w:lang w:val="zh-CN"/>
        </w:rPr>
        <w:t>月底。</w:t>
      </w:r>
      <w:r>
        <w:rPr>
          <w:rFonts w:hint="eastAsia" w:ascii="Times New Roman" w:hAnsi="Times New Roman" w:cs="Times New Roman"/>
          <w:sz w:val="32"/>
          <w:szCs w:val="32"/>
          <w:lang w:val="en-US" w:eastAsia="zh-CN"/>
        </w:rPr>
        <w:t>要求</w:t>
      </w:r>
      <w:r>
        <w:rPr>
          <w:rFonts w:hint="eastAsia" w:ascii="Times New Roman" w:hAnsi="Times New Roman" w:cs="Times New Roman"/>
          <w:sz w:val="32"/>
          <w:szCs w:val="32"/>
          <w:lang w:val="zh-CN"/>
        </w:rPr>
        <w:t>在12月底前全面完工并验收，按期完成率100%，质量验收合格率100%，成本指标控制在批复的概算内。</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3．</w:t>
      </w:r>
      <w:r>
        <w:rPr>
          <w:rFonts w:hint="eastAsia" w:cs="Times New Roman"/>
          <w:sz w:val="32"/>
          <w:szCs w:val="32"/>
          <w:lang w:val="zh-CN"/>
        </w:rPr>
        <w:t>项目</w:t>
      </w:r>
      <w:r>
        <w:rPr>
          <w:rFonts w:hint="default" w:ascii="Times New Roman" w:hAnsi="Times New Roman" w:cs="Times New Roman"/>
          <w:sz w:val="32"/>
          <w:szCs w:val="32"/>
          <w:lang w:val="zh-CN"/>
        </w:rPr>
        <w:t>申报内容是与实际相符，申报目标合理可行。</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（三）项目自评步骤及方法。</w:t>
      </w:r>
    </w:p>
    <w:p>
      <w:pPr>
        <w:adjustRightInd w:val="0"/>
        <w:snapToGrid w:val="0"/>
        <w:spacing w:line="600" w:lineRule="exact"/>
        <w:ind w:firstLine="720"/>
        <w:rPr>
          <w:rFonts w:hint="eastAsia" w:ascii="仿宋_GB2312"/>
          <w:color w:val="000000"/>
          <w:sz w:val="32"/>
          <w:szCs w:val="32"/>
        </w:rPr>
      </w:pPr>
      <w:r>
        <w:rPr>
          <w:rFonts w:hint="eastAsia" w:ascii="仿宋_GB2312"/>
          <w:color w:val="000000"/>
          <w:sz w:val="32"/>
          <w:szCs w:val="32"/>
        </w:rPr>
        <w:t>项目采取自评与他评相结合方式，成立项目自评小组，结合评价内容，做到有计划，有安排，扎实开展本次自评工作。按照上级下达的项目支出绩效评价指标体系，自评小组针对申报内容、实施情况、资金兑现、财务管理、社会效益等做出自我评价。</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二、项目资金申报及使用情况</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（一）项目资金申报及批复情况。</w:t>
      </w:r>
    </w:p>
    <w:p>
      <w:pPr>
        <w:adjustRightInd w:val="0"/>
        <w:snapToGrid w:val="0"/>
        <w:spacing w:line="580" w:lineRule="exact"/>
        <w:ind w:firstLine="720"/>
        <w:rPr>
          <w:rFonts w:hint="eastAsia" w:ascii="Times New Roman" w:hAnsi="Times New Roman" w:cs="Times New Roman"/>
          <w:sz w:val="32"/>
          <w:szCs w:val="32"/>
          <w:lang w:val="zh-CN"/>
        </w:rPr>
      </w:pPr>
      <w:r>
        <w:rPr>
          <w:rFonts w:hint="eastAsia" w:ascii="Times New Roman" w:hAnsi="Times New Roman" w:cs="Times New Roman"/>
          <w:sz w:val="32"/>
          <w:szCs w:val="32"/>
          <w:lang w:val="zh-CN"/>
        </w:rPr>
        <w:t>经市政府同意由绵竹市水土保持监督站为项目法人，绵竹市水利局是项目建设的责任主体，对项目建设全过程负责，对项目的质量、安全、进度和资金管理负总责。市水利局加强对项目法人的监督管理，进行业务指导和考核管理。</w:t>
      </w:r>
    </w:p>
    <w:p>
      <w:pPr>
        <w:adjustRightInd w:val="0"/>
        <w:snapToGrid w:val="0"/>
        <w:spacing w:line="580" w:lineRule="exact"/>
        <w:ind w:firstLine="720"/>
        <w:rPr>
          <w:rFonts w:hint="default" w:ascii="Times New Roman" w:hAnsi="Times New Roman" w:cs="Times New Roman"/>
          <w:sz w:val="32"/>
          <w:szCs w:val="32"/>
          <w:lang w:val="zh-CN"/>
        </w:rPr>
      </w:pPr>
      <w:r>
        <w:rPr>
          <w:rFonts w:hint="eastAsia" w:ascii="Times New Roman" w:hAnsi="Times New Roman" w:cs="Times New Roman"/>
          <w:sz w:val="32"/>
          <w:szCs w:val="32"/>
          <w:lang w:val="zh-CN"/>
        </w:rPr>
        <w:t>实施方案经绵竹市预审，报德阳市水利局技术审查后，经德水函</w:t>
      </w:r>
      <w:r>
        <w:rPr>
          <w:rFonts w:hint="eastAsia" w:ascii="Times New Roman" w:hAnsi="Times New Roman" w:cs="Times New Roman"/>
          <w:sz w:val="32"/>
          <w:szCs w:val="32"/>
          <w:lang w:val="zh-CN" w:eastAsia="zh-CN"/>
        </w:rPr>
        <w:t>〔</w:t>
      </w:r>
      <w:r>
        <w:rPr>
          <w:rFonts w:hint="eastAsia" w:ascii="Times New Roman" w:hAnsi="Times New Roman" w:cs="Times New Roman"/>
          <w:sz w:val="32"/>
          <w:szCs w:val="32"/>
          <w:lang w:val="zh-CN"/>
        </w:rPr>
        <w:t>20</w:t>
      </w:r>
      <w:r>
        <w:rPr>
          <w:rFonts w:hint="eastAsia" w:ascii="Times New Roman" w:hAnsi="Times New Roman" w:cs="Times New Roman"/>
          <w:sz w:val="32"/>
          <w:szCs w:val="32"/>
          <w:lang w:val="en-US" w:eastAsia="zh-CN"/>
        </w:rPr>
        <w:t>22</w:t>
      </w:r>
      <w:r>
        <w:rPr>
          <w:rFonts w:hint="eastAsia" w:ascii="Times New Roman" w:hAnsi="Times New Roman" w:cs="Times New Roman"/>
          <w:sz w:val="32"/>
          <w:szCs w:val="32"/>
          <w:lang w:val="zh-CN" w:eastAsia="zh-CN"/>
        </w:rPr>
        <w:t>〕</w:t>
      </w:r>
      <w:r>
        <w:rPr>
          <w:rFonts w:hint="eastAsia" w:ascii="Times New Roman" w:hAnsi="Times New Roman" w:cs="Times New Roman"/>
          <w:sz w:val="32"/>
          <w:szCs w:val="32"/>
          <w:lang w:val="en-US" w:eastAsia="zh-CN"/>
        </w:rPr>
        <w:t>146</w:t>
      </w:r>
      <w:r>
        <w:rPr>
          <w:rFonts w:hint="eastAsia" w:ascii="Times New Roman" w:hAnsi="Times New Roman" w:cs="Times New Roman"/>
          <w:sz w:val="32"/>
          <w:szCs w:val="32"/>
          <w:lang w:val="zh-CN"/>
        </w:rPr>
        <w:t>号文批复。工程建设管理严格执行“四制”，工程质量控制实行“政府监督、业主负责、监理控制、企业保证”的管理体制，工程施工中建立了由施工、监理、</w:t>
      </w:r>
      <w:r>
        <w:rPr>
          <w:rFonts w:hint="eastAsia" w:ascii="Times New Roman" w:hAnsi="Times New Roman" w:cs="Times New Roman"/>
          <w:sz w:val="32"/>
          <w:szCs w:val="32"/>
          <w:lang w:val="en-US" w:eastAsia="zh-CN"/>
        </w:rPr>
        <w:t>监测</w:t>
      </w:r>
      <w:r>
        <w:rPr>
          <w:rFonts w:hint="eastAsia" w:ascii="Times New Roman" w:hAnsi="Times New Roman" w:cs="Times New Roman"/>
          <w:sz w:val="32"/>
          <w:szCs w:val="32"/>
          <w:lang w:val="zh-CN"/>
        </w:rPr>
        <w:t>、业主现场技术人员组成的质量管理体系，全面落实工程质量初检、复检、终检的“三检制”</w:t>
      </w:r>
      <w:r>
        <w:rPr>
          <w:rFonts w:hint="default" w:ascii="Times New Roman" w:hAnsi="Times New Roman" w:cs="Times New Roman"/>
          <w:sz w:val="32"/>
          <w:szCs w:val="32"/>
          <w:lang w:val="zh-CN"/>
        </w:rPr>
        <w:t>。</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（二）资金计划、到位及使用情况（可用表格形式反映）。</w:t>
      </w:r>
    </w:p>
    <w:p>
      <w:pPr>
        <w:adjustRightInd w:val="0"/>
        <w:snapToGrid w:val="0"/>
        <w:spacing w:line="520" w:lineRule="exact"/>
        <w:ind w:firstLine="640" w:firstLineChars="200"/>
        <w:rPr>
          <w:rFonts w:hint="default" w:ascii="Times New Roman" w:hAnsi="Times New Roman" w:cs="Times New Roman"/>
          <w:sz w:val="32"/>
          <w:szCs w:val="32"/>
          <w:lang w:val="zh-CN"/>
        </w:rPr>
      </w:pPr>
      <w:r>
        <w:rPr>
          <w:rFonts w:hint="default" w:ascii="Times New Roman" w:hAnsi="Times New Roman" w:eastAsia="楷体_GB2312" w:cs="Times New Roman"/>
          <w:sz w:val="32"/>
          <w:szCs w:val="32"/>
          <w:lang w:val="zh-CN"/>
        </w:rPr>
        <w:t>1．资金计划。</w:t>
      </w:r>
      <w:r>
        <w:rPr>
          <w:rFonts w:hint="eastAsia" w:ascii="Times New Roman" w:hAnsi="Times New Roman" w:cs="Times New Roman"/>
          <w:sz w:val="32"/>
          <w:szCs w:val="32"/>
          <w:lang w:val="zh-CN"/>
        </w:rPr>
        <w:t>本项目</w:t>
      </w:r>
      <w:r>
        <w:rPr>
          <w:rFonts w:hint="eastAsia" w:ascii="Times New Roman" w:hAnsi="Times New Roman" w:cs="Times New Roman"/>
          <w:sz w:val="32"/>
          <w:szCs w:val="32"/>
          <w:lang w:val="en-US" w:eastAsia="zh-CN"/>
        </w:rPr>
        <w:t>投资估算</w:t>
      </w:r>
      <w:r>
        <w:rPr>
          <w:rFonts w:hint="eastAsia" w:ascii="Times New Roman" w:hAnsi="Times New Roman" w:cs="Times New Roman"/>
          <w:sz w:val="32"/>
          <w:szCs w:val="32"/>
          <w:lang w:val="zh-CN"/>
        </w:rPr>
        <w:t>总投资1098.26万元，包括工程措施部分投资915.</w:t>
      </w:r>
      <w:r>
        <w:rPr>
          <w:rFonts w:hint="eastAsia" w:ascii="Times New Roman" w:hAnsi="Times New Roman" w:cs="Times New Roman"/>
          <w:sz w:val="32"/>
          <w:szCs w:val="32"/>
          <w:lang w:val="en-US" w:eastAsia="zh-CN"/>
        </w:rPr>
        <w:t>70</w:t>
      </w:r>
      <w:r>
        <w:rPr>
          <w:rFonts w:hint="eastAsia" w:ascii="Times New Roman" w:hAnsi="Times New Roman" w:cs="Times New Roman"/>
          <w:sz w:val="32"/>
          <w:szCs w:val="32"/>
          <w:lang w:val="zh-CN"/>
        </w:rPr>
        <w:t>万元，林草措施部分投资33.77万元，封育治理措施投资2.68万元，独立费用93.81万元，基本预备费52.30万元。资金来源为中央资金800.00万元，县级配套资金298.26万元。</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sz w:val="32"/>
          <w:szCs w:val="32"/>
          <w:lang w:val="zh-CN"/>
        </w:rPr>
        <w:t>2．资金到位。</w:t>
      </w:r>
      <w:r>
        <w:rPr>
          <w:rFonts w:hint="eastAsia" w:ascii="Times New Roman" w:hAnsi="Times New Roman" w:cs="Times New Roman"/>
          <w:sz w:val="32"/>
          <w:szCs w:val="32"/>
          <w:lang w:val="zh-CN"/>
        </w:rPr>
        <w:t>已到位</w:t>
      </w:r>
      <w:r>
        <w:rPr>
          <w:rFonts w:hint="eastAsia" w:ascii="Times New Roman" w:hAnsi="Times New Roman" w:cs="Times New Roman"/>
          <w:sz w:val="32"/>
          <w:szCs w:val="32"/>
          <w:lang w:val="zh-CN" w:eastAsia="zh-CN"/>
        </w:rPr>
        <w:t>中央</w:t>
      </w:r>
      <w:r>
        <w:rPr>
          <w:rFonts w:hint="eastAsia" w:ascii="Times New Roman" w:hAnsi="Times New Roman" w:cs="Times New Roman"/>
          <w:sz w:val="32"/>
          <w:szCs w:val="32"/>
          <w:lang w:val="zh-CN"/>
        </w:rPr>
        <w:t>资金</w:t>
      </w:r>
      <w:r>
        <w:rPr>
          <w:rFonts w:hint="eastAsia" w:ascii="Times New Roman" w:hAnsi="Times New Roman" w:cs="Times New Roman"/>
          <w:sz w:val="32"/>
          <w:szCs w:val="32"/>
          <w:lang w:val="en-US" w:eastAsia="zh-CN"/>
        </w:rPr>
        <w:t>800</w:t>
      </w:r>
      <w:r>
        <w:rPr>
          <w:rFonts w:hint="eastAsia" w:ascii="Times New Roman" w:hAnsi="Times New Roman" w:cs="Times New Roman"/>
          <w:sz w:val="32"/>
          <w:szCs w:val="32"/>
          <w:lang w:val="zh-CN"/>
        </w:rPr>
        <w:t>万元</w:t>
      </w:r>
      <w:r>
        <w:rPr>
          <w:rFonts w:hint="eastAsia" w:ascii="Times New Roman" w:hAnsi="Times New Roman" w:cs="Times New Roman"/>
          <w:sz w:val="32"/>
          <w:szCs w:val="32"/>
          <w:lang w:val="zh-CN" w:eastAsia="zh-CN"/>
        </w:rPr>
        <w:t>，</w:t>
      </w:r>
      <w:r>
        <w:rPr>
          <w:rFonts w:hint="eastAsia" w:ascii="Times New Roman" w:hAnsi="Times New Roman" w:cs="Times New Roman"/>
          <w:sz w:val="32"/>
          <w:szCs w:val="32"/>
          <w:lang w:val="zh-CN"/>
        </w:rPr>
        <w:t>县级配套资金298.26万元</w:t>
      </w:r>
      <w:r>
        <w:rPr>
          <w:rFonts w:hint="eastAsia" w:ascii="Times New Roman" w:hAnsi="Times New Roman" w:cs="Times New Roman"/>
          <w:sz w:val="32"/>
          <w:szCs w:val="32"/>
          <w:lang w:val="zh-CN" w:eastAsia="zh-CN"/>
        </w:rPr>
        <w:t>通过中共绵竹市委常委会会议议定事项（常委会通知〔</w:t>
      </w:r>
      <w:r>
        <w:rPr>
          <w:rFonts w:hint="eastAsia" w:ascii="Times New Roman" w:hAnsi="Times New Roman" w:cs="Times New Roman"/>
          <w:sz w:val="32"/>
          <w:szCs w:val="32"/>
          <w:lang w:val="en-US" w:eastAsia="zh-CN"/>
        </w:rPr>
        <w:t>2022</w:t>
      </w:r>
      <w:r>
        <w:rPr>
          <w:rFonts w:hint="eastAsia" w:ascii="Times New Roman" w:hAnsi="Times New Roman" w:cs="Times New Roman"/>
          <w:sz w:val="32"/>
          <w:szCs w:val="32"/>
          <w:lang w:val="zh-CN" w:eastAsia="zh-CN"/>
        </w:rPr>
        <w:t>〕</w:t>
      </w:r>
      <w:r>
        <w:rPr>
          <w:rFonts w:hint="eastAsia" w:ascii="Times New Roman" w:hAnsi="Times New Roman" w:cs="Times New Roman"/>
          <w:sz w:val="32"/>
          <w:szCs w:val="32"/>
          <w:lang w:val="en-US" w:eastAsia="zh-CN"/>
        </w:rPr>
        <w:t>-21-10</w:t>
      </w:r>
      <w:r>
        <w:rPr>
          <w:rFonts w:hint="eastAsia" w:ascii="Times New Roman" w:hAnsi="Times New Roman" w:cs="Times New Roman"/>
          <w:sz w:val="32"/>
          <w:szCs w:val="32"/>
          <w:lang w:val="zh-CN" w:eastAsia="zh-CN"/>
        </w:rPr>
        <w:t>）</w:t>
      </w:r>
      <w:r>
        <w:rPr>
          <w:rFonts w:hint="eastAsia" w:ascii="Times New Roman" w:hAnsi="Times New Roman" w:cs="Times New Roman"/>
          <w:sz w:val="32"/>
          <w:szCs w:val="32"/>
          <w:lang w:val="zh-CN"/>
        </w:rPr>
        <w:t>，具体配套金额，绵竹市财政局根据项目审计结算情况给予足额配套。</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sz w:val="32"/>
          <w:szCs w:val="32"/>
          <w:lang w:val="zh-CN"/>
        </w:rPr>
        <w:t>3．资金使用。</w:t>
      </w:r>
      <w:r>
        <w:rPr>
          <w:rFonts w:hint="eastAsia" w:cs="Times New Roman"/>
          <w:sz w:val="32"/>
          <w:szCs w:val="32"/>
          <w:lang w:val="zh-CN"/>
        </w:rPr>
        <w:t>截</w:t>
      </w:r>
      <w:r>
        <w:rPr>
          <w:rFonts w:hint="eastAsia" w:cs="Times New Roman"/>
          <w:sz w:val="32"/>
          <w:szCs w:val="32"/>
          <w:lang w:val="en-US" w:eastAsia="zh-CN"/>
        </w:rPr>
        <w:t>至</w:t>
      </w:r>
      <w:r>
        <w:rPr>
          <w:rFonts w:hint="eastAsia" w:cs="Times New Roman"/>
          <w:sz w:val="32"/>
          <w:szCs w:val="32"/>
          <w:lang w:val="zh-CN"/>
        </w:rPr>
        <w:t>目前项目已使</w:t>
      </w:r>
      <w:r>
        <w:rPr>
          <w:rFonts w:hint="eastAsia" w:cs="Times New Roman"/>
          <w:color w:val="auto"/>
          <w:sz w:val="32"/>
          <w:szCs w:val="32"/>
          <w:lang w:val="zh-CN"/>
        </w:rPr>
        <w:t>用177</w:t>
      </w:r>
      <w:r>
        <w:rPr>
          <w:rFonts w:hint="eastAsia" w:cs="Times New Roman"/>
          <w:color w:val="auto"/>
          <w:sz w:val="32"/>
          <w:szCs w:val="32"/>
          <w:lang w:val="en-US" w:eastAsia="zh-CN"/>
        </w:rPr>
        <w:t>.</w:t>
      </w:r>
      <w:r>
        <w:rPr>
          <w:rFonts w:hint="eastAsia" w:cs="Times New Roman"/>
          <w:color w:val="auto"/>
          <w:sz w:val="32"/>
          <w:szCs w:val="32"/>
          <w:lang w:val="zh-CN"/>
        </w:rPr>
        <w:t>9</w:t>
      </w:r>
      <w:r>
        <w:rPr>
          <w:rFonts w:hint="eastAsia" w:cs="Times New Roman"/>
          <w:color w:val="auto"/>
          <w:sz w:val="32"/>
          <w:szCs w:val="32"/>
          <w:lang w:val="en-US" w:eastAsia="zh-CN"/>
        </w:rPr>
        <w:t>万元</w:t>
      </w:r>
      <w:r>
        <w:rPr>
          <w:rFonts w:hint="default" w:ascii="Times New Roman" w:hAnsi="Times New Roman" w:cs="Times New Roman"/>
          <w:color w:val="auto"/>
          <w:sz w:val="32"/>
          <w:szCs w:val="32"/>
          <w:lang w:val="zh-CN"/>
        </w:rPr>
        <w:t>。</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（三）项目财务管理情况。</w:t>
      </w:r>
    </w:p>
    <w:p>
      <w:pPr>
        <w:adjustRightInd w:val="0"/>
        <w:snapToGrid w:val="0"/>
        <w:spacing w:line="580" w:lineRule="exact"/>
        <w:ind w:firstLine="720"/>
        <w:rPr>
          <w:rFonts w:hint="default" w:ascii="Times New Roman" w:hAnsi="Times New Roman" w:cs="Times New Roman"/>
          <w:color w:val="auto"/>
          <w:sz w:val="32"/>
          <w:szCs w:val="32"/>
          <w:lang w:val="zh-CN"/>
        </w:rPr>
      </w:pPr>
      <w:r>
        <w:rPr>
          <w:rFonts w:hint="default" w:ascii="Times New Roman" w:hAnsi="Times New Roman" w:cs="Times New Roman"/>
          <w:color w:val="auto"/>
          <w:sz w:val="32"/>
          <w:szCs w:val="32"/>
          <w:lang w:val="zh-CN"/>
        </w:rPr>
        <w:t>项目实施单位财务管理制度健全，严格执行财务管理制度，账务处理及时，会计核算规范。</w:t>
      </w:r>
    </w:p>
    <w:p>
      <w:pPr>
        <w:adjustRightInd w:val="0"/>
        <w:snapToGrid w:val="0"/>
        <w:spacing w:line="580" w:lineRule="exact"/>
        <w:ind w:firstLine="720"/>
        <w:rPr>
          <w:rFonts w:hint="eastAsia" w:ascii="Times New Roman" w:hAnsi="Times New Roman" w:cs="Times New Roman"/>
          <w:color w:val="auto"/>
          <w:sz w:val="32"/>
          <w:szCs w:val="32"/>
          <w:lang w:val="zh-CN"/>
        </w:rPr>
      </w:pPr>
      <w:r>
        <w:rPr>
          <w:rFonts w:hint="eastAsia" w:ascii="Times New Roman" w:hAnsi="Times New Roman" w:cs="Times New Roman"/>
          <w:color w:val="auto"/>
          <w:sz w:val="32"/>
          <w:szCs w:val="32"/>
          <w:lang w:val="zh-CN"/>
        </w:rPr>
        <w:t xml:space="preserve">严格履行资金拨付的审批程序。工程建设资金全部由市级财政统一管理，工程价款支付实行施工单位申报，项目法人核实，行业主管部门审核，财政部门审批后，由财政授权或者直接支付施工单位。 </w:t>
      </w:r>
    </w:p>
    <w:p>
      <w:pPr>
        <w:adjustRightInd w:val="0"/>
        <w:snapToGrid w:val="0"/>
        <w:spacing w:line="580" w:lineRule="exact"/>
        <w:ind w:firstLine="720"/>
        <w:rPr>
          <w:rFonts w:hint="default" w:ascii="Times New Roman" w:hAnsi="Times New Roman" w:eastAsia="黑体" w:cs="Times New Roman"/>
          <w:sz w:val="32"/>
          <w:szCs w:val="32"/>
        </w:rPr>
      </w:pPr>
      <w:r>
        <w:rPr>
          <w:rFonts w:hint="eastAsia" w:ascii="Times New Roman" w:hAnsi="Times New Roman" w:cs="Times New Roman"/>
          <w:color w:val="auto"/>
          <w:sz w:val="32"/>
          <w:szCs w:val="32"/>
          <w:lang w:val="zh-CN"/>
        </w:rPr>
        <w:t>项目资金签批程序。水利局审核，严格实行</w:t>
      </w:r>
      <w:r>
        <w:rPr>
          <w:rFonts w:hint="default" w:ascii="Times New Roman" w:hAnsi="Times New Roman" w:cs="Times New Roman"/>
          <w:color w:val="auto"/>
          <w:sz w:val="32"/>
          <w:szCs w:val="32"/>
          <w:lang w:val="zh-CN"/>
        </w:rPr>
        <w:t>“</w:t>
      </w:r>
      <w:r>
        <w:rPr>
          <w:rFonts w:hint="eastAsia" w:ascii="Times New Roman" w:hAnsi="Times New Roman" w:cs="Times New Roman"/>
          <w:color w:val="auto"/>
          <w:sz w:val="32"/>
          <w:szCs w:val="32"/>
          <w:lang w:val="zh-CN"/>
        </w:rPr>
        <w:t>五笔</w:t>
      </w:r>
      <w:r>
        <w:rPr>
          <w:rFonts w:hint="default" w:ascii="Times New Roman" w:hAnsi="Times New Roman" w:cs="Times New Roman"/>
          <w:color w:val="auto"/>
          <w:sz w:val="32"/>
          <w:szCs w:val="32"/>
          <w:lang w:val="zh-CN"/>
        </w:rPr>
        <w:t>”</w:t>
      </w:r>
      <w:r>
        <w:rPr>
          <w:rFonts w:hint="eastAsia" w:ascii="Times New Roman" w:hAnsi="Times New Roman" w:cs="Times New Roman"/>
          <w:color w:val="auto"/>
          <w:sz w:val="32"/>
          <w:szCs w:val="32"/>
          <w:lang w:val="zh-CN"/>
        </w:rPr>
        <w:t>签字制，第一笔首先由施工单位经办人在财务票据上签字；第二笔由监理人员签署施工质量、进度的意见；第三笔由业主现场代表签署意见；第四笔由局分管领导签署意见；第五笔由局长审核并签字。向财政局申请资金拨付。</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三、项目实施及管理情况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结合项目组织实施管理办法，重点围绕以下内容进行分析评价，并对自评中发现的问题分析说明。</w:t>
      </w:r>
    </w:p>
    <w:p>
      <w:pPr>
        <w:adjustRightInd w:val="0"/>
        <w:snapToGrid w:val="0"/>
        <w:spacing w:line="520" w:lineRule="exact"/>
        <w:ind w:firstLine="643" w:firstLineChars="20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（一）项目组织架构及实施流程。</w:t>
      </w:r>
      <w:r>
        <w:rPr>
          <w:rFonts w:hint="eastAsia" w:ascii="Times New Roman" w:hAnsi="Times New Roman" w:cs="Times New Roman"/>
          <w:sz w:val="32"/>
          <w:szCs w:val="32"/>
          <w:lang w:val="zh-CN"/>
        </w:rPr>
        <w:t>工程建设管理严格执行“四制”，工程质量控制实行“政府监督、业主负责、监理控制、企业保证”的管理体制，工程施工中建立了由施工、监理、</w:t>
      </w:r>
      <w:r>
        <w:rPr>
          <w:rFonts w:hint="eastAsia" w:ascii="Times New Roman" w:hAnsi="Times New Roman" w:cs="Times New Roman"/>
          <w:sz w:val="32"/>
          <w:szCs w:val="32"/>
          <w:lang w:val="en-US" w:eastAsia="zh-CN"/>
        </w:rPr>
        <w:t>监测</w:t>
      </w:r>
      <w:r>
        <w:rPr>
          <w:rFonts w:hint="eastAsia" w:ascii="Times New Roman" w:hAnsi="Times New Roman" w:cs="Times New Roman"/>
          <w:sz w:val="32"/>
          <w:szCs w:val="32"/>
          <w:lang w:val="zh-CN"/>
        </w:rPr>
        <w:t>、业主现场技术人员组成的质量管理体系，全面落实工程质量初检、复检、终检的“三检制”。</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（二）项目管理情况。</w:t>
      </w:r>
      <w:r>
        <w:rPr>
          <w:rFonts w:hint="eastAsia" w:ascii="Times New Roman" w:hAnsi="Times New Roman" w:cs="Times New Roman"/>
          <w:sz w:val="32"/>
          <w:szCs w:val="32"/>
          <w:lang w:val="zh-CN"/>
        </w:rPr>
        <w:t>绵竹市水土保持监督站严格落实水利工程项目法人责任制，对工程措施进行了公开招标，植物措施按要求进行了政府采购</w:t>
      </w:r>
      <w:r>
        <w:rPr>
          <w:rFonts w:hint="default" w:ascii="Times New Roman" w:hAnsi="Times New Roman" w:cs="Times New Roman"/>
          <w:sz w:val="32"/>
          <w:szCs w:val="32"/>
          <w:lang w:val="zh-CN"/>
        </w:rPr>
        <w:t>。</w:t>
      </w:r>
      <w:bookmarkStart w:id="9" w:name="_GoBack"/>
      <w:bookmarkEnd w:id="9"/>
    </w:p>
    <w:p>
      <w:pPr>
        <w:adjustRightInd w:val="0"/>
        <w:snapToGrid w:val="0"/>
        <w:spacing w:line="520" w:lineRule="exact"/>
        <w:ind w:firstLine="643" w:firstLineChars="200"/>
        <w:rPr>
          <w:rFonts w:hint="default" w:ascii="Times New Roman" w:hAnsi="Times New Roman" w:cs="Times New Roman"/>
          <w:sz w:val="32"/>
          <w:szCs w:val="32"/>
          <w:lang w:val="zh-CN"/>
        </w:rPr>
      </w:pPr>
      <w:r>
        <w:rPr>
          <w:rFonts w:hint="default" w:ascii="Times New Roman" w:hAnsi="Times New Roman" w:eastAsia="楷体_GB2312" w:cs="Times New Roman"/>
          <w:b/>
          <w:sz w:val="32"/>
          <w:szCs w:val="32"/>
          <w:lang w:val="zh-CN"/>
        </w:rPr>
        <w:t>（三）项目监管情况。</w:t>
      </w:r>
      <w:r>
        <w:rPr>
          <w:rFonts w:hint="eastAsia" w:cs="Times New Roman"/>
          <w:sz w:val="32"/>
          <w:szCs w:val="32"/>
          <w:lang w:val="zh-CN"/>
        </w:rPr>
        <w:t>经绵竹市水利局批复同意建立了项目法人，项目落实了工程监理制，公开招投标及政府采购制度，施工过程委托了第三方检测机构，对工程按照规范进行检测，水利局质量安全监督站对工程质量安全进行监督。</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黑体" w:cs="Times New Roman"/>
          <w:sz w:val="32"/>
          <w:szCs w:val="32"/>
        </w:rPr>
        <w:t>四、项目绩效情况</w:t>
      </w:r>
      <w:r>
        <w:rPr>
          <w:rFonts w:hint="default" w:ascii="Times New Roman" w:hAnsi="Times New Roman" w:cs="Times New Roman"/>
          <w:sz w:val="32"/>
          <w:szCs w:val="32"/>
          <w:lang w:val="zh-CN"/>
        </w:rPr>
        <w:tab/>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（一）项目完成情况。</w:t>
      </w:r>
    </w:p>
    <w:p>
      <w:pPr>
        <w:adjustRightInd w:val="0"/>
        <w:snapToGrid w:val="0"/>
        <w:spacing w:line="580" w:lineRule="exact"/>
        <w:ind w:firstLine="720"/>
        <w:rPr>
          <w:rFonts w:hint="default" w:eastAsia="仿宋_GB2312" w:cs="Times New Roman"/>
          <w:sz w:val="32"/>
          <w:szCs w:val="32"/>
          <w:lang w:val="en-US" w:eastAsia="zh-CN"/>
        </w:rPr>
      </w:pPr>
      <w:r>
        <w:rPr>
          <w:rFonts w:hint="eastAsia" w:cs="Times New Roman"/>
          <w:sz w:val="32"/>
          <w:szCs w:val="32"/>
          <w:lang w:val="zh-CN"/>
        </w:rPr>
        <w:t>截</w:t>
      </w:r>
      <w:r>
        <w:rPr>
          <w:rFonts w:hint="eastAsia" w:cs="Times New Roman"/>
          <w:sz w:val="32"/>
          <w:szCs w:val="32"/>
          <w:lang w:val="en-US" w:eastAsia="zh-CN"/>
        </w:rPr>
        <w:t>至</w:t>
      </w:r>
      <w:r>
        <w:rPr>
          <w:rFonts w:hint="eastAsia" w:cs="Times New Roman"/>
          <w:sz w:val="32"/>
          <w:szCs w:val="32"/>
          <w:lang w:val="zh-CN"/>
        </w:rPr>
        <w:t>目前工程完成形象进度</w:t>
      </w:r>
      <w:r>
        <w:rPr>
          <w:rFonts w:hint="eastAsia" w:cs="Times New Roman"/>
          <w:sz w:val="32"/>
          <w:szCs w:val="32"/>
          <w:lang w:val="en-US" w:eastAsia="zh-CN"/>
        </w:rPr>
        <w:t>99%。由于概算与预算存在差异，以及工程存在变更，项目完成任务有一定变化。</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（二）项目效益情况。</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1蓄水保土效益</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通过</w:t>
      </w:r>
      <w:r>
        <w:rPr>
          <w:rFonts w:hint="default" w:ascii="Times New Roman" w:hAnsi="Times New Roman" w:cs="Times New Roman"/>
          <w:sz w:val="32"/>
          <w:szCs w:val="32"/>
          <w:lang w:val="en-US" w:eastAsia="zh-CN"/>
        </w:rPr>
        <w:t>护坡</w:t>
      </w:r>
      <w:r>
        <w:rPr>
          <w:rFonts w:hint="default" w:ascii="Times New Roman" w:hAnsi="Times New Roman" w:cs="Times New Roman"/>
          <w:sz w:val="32"/>
          <w:szCs w:val="32"/>
          <w:lang w:val="zh-CN"/>
        </w:rPr>
        <w:t>，改变了微地形，减缓了地面径流，增大了土壤水分入渗；封育治理、经果林建设，增加了地面植被覆盖，减少了雨水对地表的侵蚀，增加了土壤入渗，减轻了面蚀，坡面蓄水工程，直接拦蓄了部分地表径流，土壤入渗增加，土壤含水量增多，抗旱能力增强。项目区经过水土流失综合治理后，土壤理化性质得到很好改善，保水保土保肥能力增强，坡面径流得到较好控制和疏导，水土流失降低，水土资源合理利用。</w:t>
      </w:r>
      <w:r>
        <w:rPr>
          <w:rFonts w:hint="default" w:ascii="Times New Roman" w:hAnsi="Times New Roman" w:cs="Times New Roman"/>
          <w:sz w:val="32"/>
          <w:szCs w:val="32"/>
          <w:lang w:val="zh-CN" w:eastAsia="zh-CN"/>
        </w:rPr>
        <w:t>封禁治理实施后，</w:t>
      </w:r>
      <w:r>
        <w:rPr>
          <w:rFonts w:hint="default" w:ascii="Times New Roman" w:hAnsi="Times New Roman" w:cs="Times New Roman"/>
          <w:sz w:val="32"/>
          <w:szCs w:val="32"/>
          <w:lang w:val="zh-CN"/>
        </w:rPr>
        <w:t>随着林地郁闭度的不断提高，水土流失得到进一步控制，生态环境逐步改善，森林蓄水保土、涵养水源、净化空气、美化环境、调节气候，对拦沙蓄水、减轻旱洪灾害、促进农业稳产高产起着重要作用。水土保持措施年减少泥沙</w:t>
      </w:r>
      <w:r>
        <w:rPr>
          <w:rFonts w:hint="default" w:ascii="Times New Roman" w:hAnsi="Times New Roman" w:cs="Times New Roman"/>
          <w:sz w:val="32"/>
          <w:szCs w:val="32"/>
          <w:lang w:val="en-US" w:eastAsia="zh-CN"/>
        </w:rPr>
        <w:t>5.70</w:t>
      </w:r>
      <w:r>
        <w:rPr>
          <w:rFonts w:hint="default" w:ascii="Times New Roman" w:hAnsi="Times New Roman" w:cs="Times New Roman"/>
          <w:sz w:val="32"/>
          <w:szCs w:val="32"/>
          <w:lang w:val="zh-CN"/>
        </w:rPr>
        <w:t>万t，拦蓄径流</w:t>
      </w:r>
      <w:r>
        <w:rPr>
          <w:rFonts w:hint="default" w:ascii="Times New Roman" w:hAnsi="Times New Roman" w:cs="Times New Roman"/>
          <w:sz w:val="32"/>
          <w:szCs w:val="32"/>
          <w:lang w:val="en-US" w:eastAsia="zh-CN"/>
        </w:rPr>
        <w:t>58.90</w:t>
      </w:r>
      <w:r>
        <w:rPr>
          <w:rFonts w:hint="default" w:ascii="Times New Roman" w:hAnsi="Times New Roman" w:cs="Times New Roman"/>
          <w:sz w:val="32"/>
          <w:szCs w:val="32"/>
          <w:lang w:val="zh-CN"/>
        </w:rPr>
        <w:t>万m³，蓄水保土效益十分显著。</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2经济效益</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经果林：始效期4年，根据本地区历年水土保持项目建设成果与经验，结合当地农业、水利、林业等部门调查统计资料，估算出每年每hm²生产经果林产品2000kg，平均单价1.5元/kg，效益计算期内直接经济效益</w:t>
      </w:r>
      <w:r>
        <w:rPr>
          <w:rFonts w:hint="default" w:ascii="Times New Roman" w:hAnsi="Times New Roman" w:cs="Times New Roman"/>
          <w:sz w:val="32"/>
          <w:szCs w:val="32"/>
          <w:lang w:val="en-US" w:eastAsia="zh-CN"/>
        </w:rPr>
        <w:t>30.82</w:t>
      </w:r>
      <w:r>
        <w:rPr>
          <w:rFonts w:hint="default" w:ascii="Times New Roman" w:hAnsi="Times New Roman" w:cs="Times New Roman"/>
          <w:sz w:val="32"/>
          <w:szCs w:val="32"/>
          <w:lang w:val="zh-CN"/>
        </w:rPr>
        <w:t>万元。</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封禁治理：始效期3年，根据本地区历年水土保持项目建设成果与经验，结合当地农业、水利、林业等部门调查统计资料，估算出每年每hm²生长活立木蓄积量0.4m³，增加活立木蓄积量按1000元/m³，则效益计算期内直接经济效益</w:t>
      </w:r>
      <w:r>
        <w:rPr>
          <w:rFonts w:hint="default" w:ascii="Times New Roman" w:hAnsi="Times New Roman" w:cs="Times New Roman"/>
          <w:sz w:val="32"/>
          <w:szCs w:val="32"/>
          <w:lang w:val="en-US" w:eastAsia="zh-CN"/>
        </w:rPr>
        <w:t>888.88</w:t>
      </w:r>
      <w:r>
        <w:rPr>
          <w:rFonts w:hint="default" w:ascii="Times New Roman" w:hAnsi="Times New Roman" w:cs="Times New Roman"/>
          <w:sz w:val="32"/>
          <w:szCs w:val="32"/>
          <w:lang w:val="zh-CN"/>
        </w:rPr>
        <w:t>万元。</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保土耕作：始效期1年，根据本地区历年水土保持项目建设成果与经验，结合当地农业、水利、林业等部门调查统计资料，估算出每年每hm²增产粮食250kg，粮食单价2.0元/kg，效益计算期内直接经济效益</w:t>
      </w:r>
      <w:r>
        <w:rPr>
          <w:rFonts w:hint="default" w:ascii="Times New Roman" w:hAnsi="Times New Roman" w:cs="Times New Roman"/>
          <w:sz w:val="32"/>
          <w:szCs w:val="32"/>
          <w:lang w:val="en-US" w:eastAsia="zh-CN"/>
        </w:rPr>
        <w:t>923.96</w:t>
      </w:r>
      <w:r>
        <w:rPr>
          <w:rFonts w:hint="default" w:ascii="Times New Roman" w:hAnsi="Times New Roman" w:cs="Times New Roman"/>
          <w:sz w:val="32"/>
          <w:szCs w:val="32"/>
          <w:lang w:val="zh-CN"/>
        </w:rPr>
        <w:t>万元。</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20年效益计算期内水土保持措施直接经济效益合计</w:t>
      </w:r>
      <w:r>
        <w:rPr>
          <w:rFonts w:hint="default" w:ascii="Times New Roman" w:hAnsi="Times New Roman" w:cs="Times New Roman"/>
          <w:sz w:val="32"/>
          <w:szCs w:val="32"/>
          <w:lang w:val="en-US" w:eastAsia="zh-CN"/>
        </w:rPr>
        <w:t>1843.66</w:t>
      </w:r>
      <w:r>
        <w:rPr>
          <w:rFonts w:hint="default" w:ascii="Times New Roman" w:hAnsi="Times New Roman" w:cs="Times New Roman"/>
          <w:sz w:val="32"/>
          <w:szCs w:val="32"/>
          <w:lang w:val="zh-CN"/>
        </w:rPr>
        <w:t>万元。</w:t>
      </w:r>
      <w:bookmarkStart w:id="0" w:name="_Toc418449749"/>
      <w:bookmarkStart w:id="1" w:name="_Toc437204339"/>
      <w:bookmarkStart w:id="2" w:name="_Toc302553411"/>
      <w:bookmarkStart w:id="3" w:name="_Toc302553477"/>
      <w:bookmarkStart w:id="4" w:name="_Toc387821925"/>
      <w:bookmarkStart w:id="5" w:name="_Toc302553135"/>
      <w:bookmarkStart w:id="6" w:name="_Toc437204014"/>
      <w:bookmarkStart w:id="7" w:name="_Toc309352831"/>
      <w:bookmarkStart w:id="8" w:name="_Toc437204119"/>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3社会效益</w:t>
      </w:r>
      <w:bookmarkEnd w:id="0"/>
      <w:bookmarkEnd w:id="1"/>
      <w:bookmarkEnd w:id="2"/>
      <w:bookmarkEnd w:id="3"/>
      <w:bookmarkEnd w:id="4"/>
      <w:bookmarkEnd w:id="5"/>
      <w:bookmarkEnd w:id="6"/>
      <w:bookmarkEnd w:id="7"/>
      <w:bookmarkEnd w:id="8"/>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zh-CN"/>
        </w:rPr>
        <w:t>项目实施后，将改善项目区的农业生产条件，提高劳动生产率与农业产出效率，促进项目区农业增产增收。项目区农业用地及产业结构得到合理调整，农作物产量及经济收入增加，并向“高产、优质、高效”的方向发展。减轻水利工程的泥沙淤积，提高使用效率，延长使用寿命。增强农业抗御自然灾害的能力，减少滑坡、山洪发生，能够保障工农业生产。良好的生态效益、经济效益和社会效益将起到巨大的示范与激励作用，增强广大干部群众的水土保持信心与决心，推动区域水土保持生态环境建设可持续发展。农业生产条件和生态环境的改善，农户收入的增加，群众生活水平的不断提高，有利于密切党群干群关系，促进社会和谐，加快社会主义新农村建设进程。</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cs="Times New Roman"/>
          <w:sz w:val="32"/>
          <w:szCs w:val="32"/>
          <w:lang w:val="en-US" w:eastAsia="zh-CN"/>
        </w:rPr>
        <w:t>效益总体结论：绵竹市</w:t>
      </w:r>
      <w:r>
        <w:rPr>
          <w:rFonts w:hint="default" w:ascii="Times New Roman" w:hAnsi="Times New Roman" w:cs="Times New Roman"/>
          <w:sz w:val="32"/>
          <w:szCs w:val="32"/>
          <w:lang w:val="zh-CN" w:eastAsia="zh-CN"/>
        </w:rPr>
        <w:t>花果白溪</w:t>
      </w:r>
      <w:r>
        <w:rPr>
          <w:rFonts w:hint="default" w:ascii="Times New Roman" w:hAnsi="Times New Roman" w:cs="Times New Roman"/>
          <w:sz w:val="32"/>
          <w:szCs w:val="32"/>
          <w:lang w:val="zh-CN"/>
        </w:rPr>
        <w:t>小流域水土保持生态建设规划经济评价表明，效益费用比为1.</w:t>
      </w:r>
      <w:r>
        <w:rPr>
          <w:rFonts w:hint="default" w:ascii="Times New Roman" w:hAnsi="Times New Roman" w:cs="Times New Roman"/>
          <w:sz w:val="32"/>
          <w:szCs w:val="32"/>
          <w:lang w:val="en-US" w:eastAsia="zh-CN"/>
        </w:rPr>
        <w:t>40</w:t>
      </w:r>
      <w:r>
        <w:rPr>
          <w:rFonts w:hint="default" w:ascii="Times New Roman" w:hAnsi="Times New Roman" w:cs="Times New Roman"/>
          <w:sz w:val="32"/>
          <w:szCs w:val="32"/>
          <w:lang w:val="zh-CN"/>
        </w:rPr>
        <w:t>&gt;1，具有较好的经济效益，因此，本项目具有经济上合理，同时具有较好的社会效益和生态效益，项目实施对项目区经济和社会发展具有重要而深远的现实意义。</w:t>
      </w:r>
    </w:p>
    <w:p>
      <w:pPr>
        <w:adjustRightInd w:val="0"/>
        <w:snapToGrid w:val="0"/>
        <w:spacing w:line="580" w:lineRule="exact"/>
        <w:ind w:firstLine="72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五、评价结论及建议</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（一）评价结论。</w:t>
      </w:r>
    </w:p>
    <w:p>
      <w:pPr>
        <w:pStyle w:val="2"/>
        <w:rPr>
          <w:rFonts w:hint="default" w:ascii="Times New Roman" w:hAnsi="Times New Roman" w:eastAsia="仿宋_GB2312" w:cs="Times New Roman"/>
          <w:smallCaps w:val="0"/>
          <w:kern w:val="2"/>
          <w:sz w:val="32"/>
          <w:szCs w:val="32"/>
          <w:lang w:val="en-US" w:eastAsia="zh-CN" w:bidi="ar-SA"/>
        </w:rPr>
      </w:pPr>
      <w:r>
        <w:rPr>
          <w:rFonts w:hint="eastAsia" w:ascii="Times New Roman" w:hAnsi="Times New Roman" w:eastAsia="仿宋_GB2312" w:cs="Times New Roman"/>
          <w:smallCaps w:val="0"/>
          <w:kern w:val="2"/>
          <w:sz w:val="32"/>
          <w:szCs w:val="32"/>
          <w:lang w:val="en-US" w:eastAsia="zh-CN" w:bidi="ar-SA"/>
        </w:rPr>
        <w:t>合格。</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（二）存在的问题。</w:t>
      </w:r>
    </w:p>
    <w:p>
      <w:pPr>
        <w:adjustRightInd w:val="0"/>
        <w:snapToGrid w:val="0"/>
        <w:spacing w:line="580" w:lineRule="exact"/>
        <w:ind w:firstLine="640" w:firstLineChars="200"/>
        <w:rPr>
          <w:rFonts w:hint="default" w:ascii="Times New Roman" w:hAnsi="Times New Roman" w:cs="Times New Roman"/>
          <w:sz w:val="32"/>
          <w:szCs w:val="32"/>
          <w:lang w:val="zh-CN"/>
        </w:rPr>
      </w:pPr>
      <w:r>
        <w:rPr>
          <w:rFonts w:hint="eastAsia" w:cs="Times New Roman"/>
          <w:sz w:val="32"/>
          <w:szCs w:val="32"/>
          <w:lang w:val="zh-CN"/>
        </w:rPr>
        <w:t>本项目不存在相关问题</w:t>
      </w:r>
      <w:r>
        <w:rPr>
          <w:rFonts w:hint="default" w:ascii="Times New Roman" w:hAnsi="Times New Roman" w:cs="Times New Roman"/>
          <w:sz w:val="32"/>
          <w:szCs w:val="32"/>
          <w:lang w:val="zh-CN"/>
        </w:rPr>
        <w:t>。</w:t>
      </w:r>
      <w:r>
        <w:rPr>
          <w:rFonts w:hint="default" w:ascii="Times New Roman" w:hAnsi="Times New Roman" w:cs="Times New Roman"/>
          <w:sz w:val="32"/>
          <w:szCs w:val="32"/>
          <w:lang w:val="zh-CN"/>
        </w:rPr>
        <w:tab/>
      </w:r>
    </w:p>
    <w:p>
      <w:pPr>
        <w:pStyle w:val="2"/>
        <w:rPr>
          <w:rFonts w:hint="eastAsia" w:ascii="Times New Roman" w:hAnsi="Times New Roman" w:eastAsia="仿宋_GB2312" w:cs="Times New Roman"/>
          <w:smallCaps w:val="0"/>
          <w:kern w:val="2"/>
          <w:sz w:val="32"/>
          <w:szCs w:val="32"/>
          <w:lang w:val="en-US" w:eastAsia="zh-CN" w:bidi="ar-SA"/>
        </w:rPr>
      </w:pPr>
      <w:r>
        <w:rPr>
          <w:rFonts w:hint="eastAsia" w:ascii="Times New Roman" w:hAnsi="Times New Roman" w:eastAsia="仿宋_GB2312" w:cs="Times New Roman"/>
          <w:smallCaps w:val="0"/>
          <w:kern w:val="2"/>
          <w:sz w:val="32"/>
          <w:szCs w:val="32"/>
          <w:lang w:val="en-US" w:eastAsia="zh-CN" w:bidi="ar-SA"/>
        </w:rPr>
        <w:t>无。</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（三）相关建议。</w:t>
      </w:r>
    </w:p>
    <w:p>
      <w:pPr>
        <w:adjustRightInd w:val="0"/>
        <w:snapToGrid w:val="0"/>
        <w:spacing w:line="580" w:lineRule="exact"/>
        <w:ind w:firstLine="640" w:firstLineChars="200"/>
        <w:rPr>
          <w:rFonts w:hint="eastAsia" w:cs="Times New Roman"/>
          <w:sz w:val="32"/>
          <w:szCs w:val="32"/>
          <w:lang w:val="zh-CN"/>
        </w:rPr>
      </w:pPr>
      <w:r>
        <w:rPr>
          <w:rFonts w:hint="eastAsia" w:cs="Times New Roman"/>
          <w:sz w:val="32"/>
          <w:szCs w:val="32"/>
          <w:lang w:val="zh-CN"/>
        </w:rPr>
        <w:t>无相关建议。</w:t>
      </w:r>
    </w:p>
    <w:p>
      <w:pPr>
        <w:pStyle w:val="2"/>
        <w:rPr>
          <w:rFonts w:hint="eastAsia" w:ascii="Times New Roman" w:hAnsi="Times New Roman" w:eastAsia="仿宋_GB2312" w:cs="Times New Roman"/>
          <w:smallCaps w:val="0"/>
          <w:kern w:val="2"/>
          <w:sz w:val="32"/>
          <w:szCs w:val="32"/>
          <w:lang w:val="en-US" w:eastAsia="zh-CN" w:bidi="ar-SA"/>
        </w:rPr>
      </w:pPr>
      <w:r>
        <w:rPr>
          <w:rFonts w:hint="eastAsia" w:ascii="Times New Roman" w:hAnsi="Times New Roman" w:eastAsia="仿宋_GB2312" w:cs="Times New Roman"/>
          <w:smallCaps w:val="0"/>
          <w:kern w:val="2"/>
          <w:sz w:val="32"/>
          <w:szCs w:val="32"/>
          <w:lang w:val="en-US" w:eastAsia="zh-CN" w:bidi="ar-SA"/>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372E68"/>
    <w:multiLevelType w:val="multilevel"/>
    <w:tmpl w:val="06372E68"/>
    <w:lvl w:ilvl="0" w:tentative="0">
      <w:start w:val="1"/>
      <w:numFmt w:val="decimal"/>
      <w:pStyle w:val="3"/>
      <w:suff w:val="space"/>
      <w:lvlText w:val="%1 "/>
      <w:lvlJc w:val="left"/>
      <w:pPr>
        <w:ind w:left="0" w:firstLine="0"/>
      </w:pPr>
      <w:rPr>
        <w:rFonts w:hint="eastAsia"/>
      </w:rPr>
    </w:lvl>
    <w:lvl w:ilvl="1" w:tentative="0">
      <w:start w:val="1"/>
      <w:numFmt w:val="decimal"/>
      <w:pStyle w:val="4"/>
      <w:suff w:val="space"/>
      <w:lvlText w:val="%1.%2 "/>
      <w:lvlJc w:val="left"/>
      <w:pPr>
        <w:ind w:left="0" w:firstLine="0"/>
      </w:pPr>
      <w:rPr>
        <w:rFonts w:hint="eastAsia"/>
      </w:rPr>
    </w:lvl>
    <w:lvl w:ilvl="2" w:tentative="0">
      <w:start w:val="1"/>
      <w:numFmt w:val="decimal"/>
      <w:pStyle w:val="5"/>
      <w:suff w:val="space"/>
      <w:lvlText w:val="%1.%2.%3 "/>
      <w:lvlJc w:val="left"/>
      <w:pPr>
        <w:ind w:left="8222" w:firstLine="0"/>
      </w:pPr>
      <w:rPr>
        <w:rFonts w:hint="eastAsia"/>
      </w:rPr>
    </w:lvl>
    <w:lvl w:ilvl="3" w:tentative="0">
      <w:start w:val="1"/>
      <w:numFmt w:val="decimal"/>
      <w:suff w:val="space"/>
      <w:lvlText w:val="%4、"/>
      <w:lvlJc w:val="left"/>
      <w:pPr>
        <w:ind w:left="0" w:firstLine="0"/>
      </w:pPr>
      <w:rPr>
        <w:rFonts w:hint="eastAsia"/>
      </w:rPr>
    </w:lvl>
    <w:lvl w:ilvl="4" w:tentative="0">
      <w:start w:val="1"/>
      <w:numFmt w:val="decimal"/>
      <w:lvlRestart w:val="2"/>
      <w:suff w:val="space"/>
      <w:lvlText w:val="表%1-%2-%5"/>
      <w:lvlJc w:val="left"/>
      <w:pPr>
        <w:ind w:left="2694" w:firstLine="0"/>
      </w:pPr>
      <w:rPr>
        <w:rFonts w:hint="eastAsia"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vertAlign w:val="baseline"/>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2A0C9450"/>
    <w:multiLevelType w:val="singleLevel"/>
    <w:tmpl w:val="2A0C9450"/>
    <w:lvl w:ilvl="0" w:tentative="0">
      <w:start w:val="4"/>
      <w:numFmt w:val="decimal"/>
      <w:suff w:val="nothing"/>
      <w:lvlText w:val="%1．"/>
      <w:lvlJc w:val="left"/>
      <w:pPr>
        <w:ind w:left="56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RkZDViYjRjNmRkNjgxMDEyN2Q0OThjZGNjZjNiNTkifQ=="/>
  </w:docVars>
  <w:rsids>
    <w:rsidRoot w:val="00FD3EFA"/>
    <w:rsid w:val="001C6BC6"/>
    <w:rsid w:val="00291918"/>
    <w:rsid w:val="002E7D7A"/>
    <w:rsid w:val="00427240"/>
    <w:rsid w:val="00516306"/>
    <w:rsid w:val="00543D64"/>
    <w:rsid w:val="00572F4E"/>
    <w:rsid w:val="005842A2"/>
    <w:rsid w:val="008F6FBC"/>
    <w:rsid w:val="008F788A"/>
    <w:rsid w:val="00A25407"/>
    <w:rsid w:val="00A36A47"/>
    <w:rsid w:val="00AB1E4A"/>
    <w:rsid w:val="00AC3975"/>
    <w:rsid w:val="00E10AB9"/>
    <w:rsid w:val="00E4357F"/>
    <w:rsid w:val="00E90284"/>
    <w:rsid w:val="00F251E9"/>
    <w:rsid w:val="00F67C8D"/>
    <w:rsid w:val="00F951B3"/>
    <w:rsid w:val="00FD3EFA"/>
    <w:rsid w:val="00FD62E7"/>
    <w:rsid w:val="0E797358"/>
    <w:rsid w:val="102C333C"/>
    <w:rsid w:val="10806817"/>
    <w:rsid w:val="14332FD6"/>
    <w:rsid w:val="17BE0359"/>
    <w:rsid w:val="1E4E2AE5"/>
    <w:rsid w:val="1FA8144D"/>
    <w:rsid w:val="29BB5331"/>
    <w:rsid w:val="2B4D4F30"/>
    <w:rsid w:val="2BCF5BE9"/>
    <w:rsid w:val="2DA11A49"/>
    <w:rsid w:val="2E602AFA"/>
    <w:rsid w:val="35FB40C6"/>
    <w:rsid w:val="374C5C25"/>
    <w:rsid w:val="39616D57"/>
    <w:rsid w:val="3A385ABD"/>
    <w:rsid w:val="3BDA0439"/>
    <w:rsid w:val="4CA94424"/>
    <w:rsid w:val="4D6550F2"/>
    <w:rsid w:val="53A4776C"/>
    <w:rsid w:val="5B072D7E"/>
    <w:rsid w:val="5D086F45"/>
    <w:rsid w:val="5F812FDF"/>
    <w:rsid w:val="602100C9"/>
    <w:rsid w:val="60DD0FD5"/>
    <w:rsid w:val="66D00678"/>
    <w:rsid w:val="67946BA8"/>
    <w:rsid w:val="69E43118"/>
    <w:rsid w:val="6AA61FB9"/>
    <w:rsid w:val="6B7E7E55"/>
    <w:rsid w:val="6C646C43"/>
    <w:rsid w:val="7256665A"/>
    <w:rsid w:val="78A14715"/>
    <w:rsid w:val="7AE94C72"/>
    <w:rsid w:val="7DE84295"/>
    <w:rsid w:val="7E9258C1"/>
    <w:rsid w:val="7F4443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nhideWhenUsed="0"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qFormat/>
    <w:uiPriority w:val="0"/>
    <w:pPr>
      <w:keepNext/>
      <w:pageBreakBefore/>
      <w:numPr>
        <w:ilvl w:val="0"/>
        <w:numId w:val="1"/>
      </w:numPr>
      <w:topLinePunct w:val="0"/>
      <w:spacing w:before="100" w:beforeLines="100"/>
      <w:ind w:firstLineChars="0"/>
      <w:jc w:val="center"/>
      <w:outlineLvl w:val="0"/>
    </w:pPr>
    <w:rPr>
      <w:rFonts w:eastAsia="黑体"/>
      <w:bCs/>
      <w:sz w:val="32"/>
      <w:szCs w:val="32"/>
    </w:rPr>
  </w:style>
  <w:style w:type="paragraph" w:styleId="4">
    <w:name w:val="heading 2"/>
    <w:basedOn w:val="3"/>
    <w:next w:val="5"/>
    <w:qFormat/>
    <w:uiPriority w:val="0"/>
    <w:pPr>
      <w:pageBreakBefore w:val="0"/>
      <w:numPr>
        <w:ilvl w:val="1"/>
      </w:numPr>
      <w:spacing w:before="50" w:beforeLines="50"/>
      <w:jc w:val="left"/>
      <w:textAlignment w:val="top"/>
      <w:outlineLvl w:val="1"/>
    </w:pPr>
    <w:rPr>
      <w:smallCaps/>
      <w:snapToGrid w:val="0"/>
      <w:sz w:val="30"/>
      <w:szCs w:val="28"/>
    </w:rPr>
  </w:style>
  <w:style w:type="paragraph" w:styleId="5">
    <w:name w:val="heading 3"/>
    <w:basedOn w:val="4"/>
    <w:next w:val="6"/>
    <w:qFormat/>
    <w:uiPriority w:val="0"/>
    <w:pPr>
      <w:numPr>
        <w:ilvl w:val="2"/>
      </w:numPr>
      <w:suppressLineNumbers/>
      <w:ind w:left="0"/>
      <w:outlineLvl w:val="2"/>
    </w:pPr>
    <w:rPr>
      <w:sz w:val="28"/>
      <w:lang w:val="zh-CN"/>
    </w:rPr>
  </w:style>
  <w:style w:type="paragraph" w:styleId="6">
    <w:name w:val="heading 4"/>
    <w:basedOn w:val="1"/>
    <w:next w:val="1"/>
    <w:qFormat/>
    <w:uiPriority w:val="0"/>
    <w:pPr>
      <w:keepLines/>
      <w:spacing w:before="50" w:beforeLines="50"/>
      <w:ind w:firstLine="0" w:firstLineChars="0"/>
      <w:outlineLvl w:val="3"/>
    </w:pPr>
    <w:rPr>
      <w:rFonts w:eastAsia="黑体"/>
      <w:bCs/>
      <w:szCs w:val="28"/>
    </w:rPr>
  </w:style>
  <w:style w:type="character" w:default="1" w:styleId="10">
    <w:name w:val="Default Paragraph Font"/>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table of figures"/>
    <w:basedOn w:val="1"/>
    <w:next w:val="1"/>
    <w:autoRedefine/>
    <w:qFormat/>
    <w:uiPriority w:val="99"/>
    <w:pPr>
      <w:ind w:left="720" w:hanging="720"/>
    </w:pPr>
    <w:rPr>
      <w:rFonts w:eastAsia="黑体"/>
      <w:smallCaps/>
      <w:sz w:val="20"/>
    </w:rPr>
  </w:style>
  <w:style w:type="paragraph" w:styleId="7">
    <w:name w:val="footer"/>
    <w:basedOn w:val="1"/>
    <w:link w:val="12"/>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1"/>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11">
    <w:name w:val="页眉 Char"/>
    <w:basedOn w:val="10"/>
    <w:link w:val="8"/>
    <w:autoRedefine/>
    <w:qFormat/>
    <w:uiPriority w:val="99"/>
    <w:rPr>
      <w:sz w:val="18"/>
      <w:szCs w:val="18"/>
    </w:rPr>
  </w:style>
  <w:style w:type="character" w:customStyle="1" w:styleId="12">
    <w:name w:val="页脚 Char"/>
    <w:basedOn w:val="10"/>
    <w:link w:val="7"/>
    <w:autoRedefine/>
    <w:qFormat/>
    <w:uiPriority w:val="99"/>
    <w:rPr>
      <w:sz w:val="18"/>
      <w:szCs w:val="18"/>
    </w:rPr>
  </w:style>
  <w:style w:type="paragraph" w:customStyle="1" w:styleId="13">
    <w:name w:val="四号正文"/>
    <w:basedOn w:val="1"/>
    <w:link w:val="14"/>
    <w:autoRedefine/>
    <w:qFormat/>
    <w:uiPriority w:val="99"/>
    <w:pPr>
      <w:spacing w:line="360" w:lineRule="auto"/>
    </w:pPr>
    <w:rPr>
      <w:rFonts w:ascii="??" w:hAnsi="??" w:eastAsia="宋体"/>
      <w:color w:val="000000"/>
      <w:kern w:val="0"/>
      <w:sz w:val="28"/>
      <w:szCs w:val="21"/>
    </w:rPr>
  </w:style>
  <w:style w:type="character" w:customStyle="1" w:styleId="14">
    <w:name w:val="四号正文 Char"/>
    <w:link w:val="13"/>
    <w:autoRedefine/>
    <w:qFormat/>
    <w:locked/>
    <w:uiPriority w:val="99"/>
    <w:rPr>
      <w:rFonts w:ascii="??" w:hAnsi="??" w:eastAsia="宋体" w:cs="Times New Roman"/>
      <w:color w:val="000000"/>
      <w:kern w:val="0"/>
      <w:sz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3387</Words>
  <Characters>3631</Characters>
  <Lines>9</Lines>
  <Paragraphs>2</Paragraphs>
  <TotalTime>4</TotalTime>
  <ScaleCrop>false</ScaleCrop>
  <LinksUpToDate>false</LinksUpToDate>
  <CharactersWithSpaces>3634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2020-06-08T02:26:00Z</dcterms:created>
  <dc:creator>opi</dc:creator>
  <cp:lastModifiedBy>O(∩_∩)O</cp:lastModifiedBy>
  <dcterms:modified xsi:type="dcterms:W3CDTF">2024-01-16T03:20:50Z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56F03FD8FB844E25A895DF7298608479_12</vt:lpwstr>
  </property>
</Properties>
</file>