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line="580" w:lineRule="exact"/>
        <w:ind w:firstLine="883"/>
        <w:jc w:val="center"/>
        <w:rPr>
          <w:rFonts w:ascii="仿宋_GB2312" w:hAnsi="宋体" w:eastAsia="仿宋_GB2312"/>
          <w:color w:val="auto"/>
          <w:kern w:val="2"/>
          <w:sz w:val="32"/>
          <w:szCs w:val="32"/>
        </w:rPr>
      </w:pPr>
      <w:r>
        <w:rPr>
          <w:rFonts w:hint="eastAsia" w:ascii="方正小标宋简体" w:hAnsi="宋体" w:eastAsia="方正小标宋简体"/>
          <w:sz w:val="44"/>
          <w:szCs w:val="44"/>
        </w:rPr>
        <w:t>项目支出绩效自评报告</w:t>
      </w:r>
    </w:p>
    <w:p>
      <w:pPr>
        <w:spacing w:line="580" w:lineRule="exact"/>
        <w:jc w:val="center"/>
        <w:rPr>
          <w:rFonts w:ascii="仿宋_GB2312" w:hAnsi="宋体"/>
        </w:rPr>
      </w:pPr>
      <w:r>
        <w:rPr>
          <w:rFonts w:hint="eastAsia" w:ascii="仿宋_GB2312" w:hAnsi="宋体"/>
        </w:rPr>
        <w:t>（</w:t>
      </w:r>
      <w:r>
        <w:rPr>
          <w:rFonts w:hint="eastAsia" w:ascii="仿宋_GB2312" w:hAnsi="宋体"/>
          <w:lang w:eastAsia="zh-CN"/>
        </w:rPr>
        <w:t>农业执法监管</w:t>
      </w:r>
      <w:r>
        <w:rPr>
          <w:rFonts w:hint="eastAsia" w:ascii="仿宋_GB2312" w:hAnsi="宋体"/>
        </w:rPr>
        <w:t>）</w:t>
      </w:r>
    </w:p>
    <w:p>
      <w:pPr>
        <w:overflowPunct w:val="0"/>
        <w:snapToGrid w:val="0"/>
        <w:spacing w:line="620" w:lineRule="exact"/>
        <w:jc w:val="left"/>
        <w:rPr>
          <w:rFonts w:ascii="宋体"/>
        </w:rPr>
      </w:pPr>
      <w:r>
        <w:rPr>
          <w:rFonts w:hint="eastAsia" w:ascii="仿宋_GB2312" w:hAnsi="宋体"/>
        </w:rPr>
        <w:t xml:space="preserve">  </w:t>
      </w:r>
    </w:p>
    <w:p>
      <w:pPr>
        <w:adjustRightInd w:val="0"/>
        <w:snapToGrid w:val="0"/>
        <w:spacing w:line="58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（一）项目基本情况。</w:t>
      </w:r>
    </w:p>
    <w:p>
      <w:pPr>
        <w:overflowPunct w:val="0"/>
        <w:snapToGrid w:val="0"/>
        <w:spacing w:line="620" w:lineRule="exact"/>
        <w:ind w:firstLine="960" w:firstLineChars="300"/>
        <w:jc w:val="left"/>
        <w:rPr>
          <w:rFonts w:ascii="仿宋_GB2312" w:hAnsi="宋体"/>
          <w:lang w:val="zh-CN"/>
        </w:rPr>
      </w:pPr>
      <w:r>
        <w:rPr>
          <w:rFonts w:hint="eastAsia" w:ascii="仿宋_GB2312" w:hAnsi="仿宋_GB2312" w:cs="仿宋_GB2312"/>
          <w:kern w:val="21"/>
        </w:rPr>
        <w:t>为落实党中央、国务院关于应对新冠肺炎疫情、做好农产品稳产保供、抓好“菜篮子”产品生产等工作部署，加强水产养殖用兽药及其他投入品使用的监督管理，农业行政执法禁止销售使用高毒高残留农药，打击假冒伪劣农业生产资料坑农害农行为，提升</w:t>
      </w:r>
      <w:r>
        <w:rPr>
          <w:rFonts w:hint="eastAsia" w:ascii="仿宋_GB2312" w:hAnsi="仿宋_GB2312" w:cs="仿宋_GB2312"/>
          <w:kern w:val="21"/>
          <w:lang w:eastAsia="zh-CN"/>
        </w:rPr>
        <w:t>农产品</w:t>
      </w:r>
      <w:r>
        <w:rPr>
          <w:rFonts w:hint="eastAsia" w:ascii="仿宋_GB2312" w:hAnsi="仿宋_GB2312" w:cs="仿宋_GB2312"/>
          <w:kern w:val="21"/>
        </w:rPr>
        <w:t>质量安全水平，加快推进水产</w:t>
      </w:r>
      <w:r>
        <w:rPr>
          <w:rFonts w:hint="eastAsia" w:ascii="仿宋_GB2312" w:hAnsi="仿宋_GB2312" w:cs="仿宋_GB2312"/>
          <w:kern w:val="21"/>
          <w:lang w:eastAsia="zh-CN"/>
        </w:rPr>
        <w:t>种</w:t>
      </w:r>
      <w:r>
        <w:rPr>
          <w:rFonts w:hint="eastAsia" w:ascii="仿宋_GB2312" w:hAnsi="仿宋_GB2312" w:cs="仿宋_GB2312"/>
          <w:kern w:val="21"/>
        </w:rPr>
        <w:t>养殖业绿色发展</w:t>
      </w:r>
      <w:r>
        <w:rPr>
          <w:rFonts w:hint="eastAsia" w:ascii="仿宋_GB2312" w:hAnsi="仿宋_GB2312" w:cs="仿宋_GB2312"/>
          <w:kern w:val="21"/>
          <w:lang w:eastAsia="zh-CN"/>
        </w:rPr>
        <w:t>。按照相关</w:t>
      </w:r>
      <w:r>
        <w:rPr>
          <w:rFonts w:hint="eastAsia" w:ascii="仿宋_GB2312" w:hAnsi="仿宋_GB2312" w:cs="仿宋_GB2312"/>
          <w:kern w:val="21"/>
        </w:rPr>
        <w:t>法律法规规定，我市全年随机抽检草鱼、鲫鱼、鲤鱼等水产品样品13个，抽检农药样品</w:t>
      </w:r>
      <w:r>
        <w:rPr>
          <w:rFonts w:hint="eastAsia" w:ascii="仿宋_GB2312" w:hAnsi="仿宋_GB2312" w:cs="仿宋_GB2312"/>
          <w:kern w:val="21"/>
          <w:lang w:val="en-US" w:eastAsia="zh-CN"/>
        </w:rPr>
        <w:t>5</w:t>
      </w:r>
      <w:r>
        <w:rPr>
          <w:rFonts w:hint="eastAsia" w:ascii="仿宋_GB2312" w:hAnsi="仿宋_GB2312" w:cs="仿宋_GB2312"/>
          <w:kern w:val="21"/>
        </w:rPr>
        <w:t>个</w:t>
      </w:r>
      <w:r>
        <w:rPr>
          <w:rFonts w:hint="eastAsia" w:ascii="仿宋_GB2312" w:hAnsi="仿宋_GB2312" w:cs="仿宋_GB2312"/>
          <w:kern w:val="21"/>
          <w:lang w:eastAsia="zh-CN"/>
        </w:rPr>
        <w:t>，肥料样</w:t>
      </w:r>
      <w:r>
        <w:rPr>
          <w:rFonts w:hint="eastAsia" w:ascii="仿宋_GB2312" w:hAnsi="仿宋_GB2312" w:cs="仿宋_GB2312"/>
          <w:kern w:val="21"/>
          <w:lang w:val="en-US" w:eastAsia="zh-CN"/>
        </w:rPr>
        <w:t>4</w:t>
      </w:r>
      <w:r>
        <w:rPr>
          <w:rFonts w:hint="eastAsia" w:ascii="仿宋_GB2312" w:hAnsi="仿宋_GB2312" w:cs="仿宋_GB2312"/>
          <w:kern w:val="21"/>
          <w:lang w:eastAsia="zh-CN"/>
        </w:rPr>
        <w:t>个，</w:t>
      </w:r>
      <w:r>
        <w:rPr>
          <w:rFonts w:hint="eastAsia" w:ascii="仿宋_GB2312" w:hAnsi="仿宋_GB2312" w:cs="仿宋_GB2312"/>
          <w:kern w:val="21"/>
        </w:rPr>
        <w:t>严格进行检测和判定。确保绵竹农业生产安全方面起到了重要的作用</w:t>
      </w:r>
      <w:r>
        <w:rPr>
          <w:rFonts w:hint="eastAsia" w:ascii="仿宋_GB2312" w:hAnsi="仿宋_GB2312" w:cs="仿宋_GB2312"/>
          <w:kern w:val="21"/>
          <w:lang w:eastAsia="zh-CN"/>
        </w:rPr>
        <w:t>。</w:t>
      </w:r>
      <w:r>
        <w:rPr>
          <w:rFonts w:hint="eastAsia" w:ascii="仿宋_GB2312" w:hAnsi="宋体"/>
          <w:lang w:eastAsia="zh-CN"/>
        </w:rPr>
        <w:t>该项目</w:t>
      </w:r>
      <w:r>
        <w:rPr>
          <w:rFonts w:hint="eastAsia" w:ascii="仿宋_GB2312" w:hAnsi="宋体"/>
        </w:rPr>
        <w:t>经费</w:t>
      </w:r>
      <w:r>
        <w:rPr>
          <w:rFonts w:hint="eastAsia" w:ascii="仿宋_GB2312" w:hAnsi="宋体"/>
          <w:lang w:eastAsia="zh-CN"/>
        </w:rPr>
        <w:t>年初预算资金</w:t>
      </w:r>
      <w:r>
        <w:rPr>
          <w:rFonts w:hint="eastAsia" w:ascii="仿宋_GB2312" w:hAnsi="宋体"/>
          <w:lang w:val="en-US" w:eastAsia="zh-CN"/>
        </w:rPr>
        <w:t>30000.00元</w:t>
      </w:r>
      <w:r>
        <w:rPr>
          <w:rFonts w:hint="eastAsia" w:ascii="仿宋_GB2312" w:hAnsi="宋体"/>
        </w:rPr>
        <w:t>。</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580" w:lineRule="exact"/>
        <w:ind w:firstLine="720"/>
        <w:rPr>
          <w:rFonts w:ascii="仿宋_GB2312" w:hAnsi="宋体"/>
          <w:lang w:val="zh-CN"/>
        </w:rPr>
      </w:pPr>
      <w:r>
        <w:rPr>
          <w:rFonts w:hint="eastAsia" w:ascii="仿宋_GB2312" w:hAnsi="宋体"/>
          <w:lang w:val="zh-CN"/>
        </w:rPr>
        <w:t>通过抽检，对全市水产品兽药残留情况以及农业投入品进行监测，依法对不合格水产品进行无害化处理，对违法用药案件进行调查和处罚，涉嫌犯罪的移送司法机关追究刑事责任，不断加大对养殖违法用药行为的打击力度；禁止销售使用高毒高残留农药，打击假冒伪劣农业生产资料坑农害农行为，确保绵竹农业生产安全方面起到了重要的作用。</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pPr>
        <w:adjustRightInd w:val="0"/>
        <w:snapToGrid w:val="0"/>
        <w:spacing w:line="580" w:lineRule="exact"/>
        <w:ind w:firstLine="720"/>
        <w:rPr>
          <w:rFonts w:ascii="仿宋_GB2312" w:hAnsi="仿宋_GB2312" w:cs="仿宋_GB2312"/>
        </w:rPr>
      </w:pPr>
      <w:r>
        <w:rPr>
          <w:rFonts w:hint="eastAsia" w:ascii="仿宋_GB2312" w:hAnsi="仿宋_GB2312" w:cs="仿宋_GB2312"/>
          <w:lang w:val="zh-CN"/>
        </w:rPr>
        <w:t>按照</w:t>
      </w:r>
      <w:r>
        <w:rPr>
          <w:rFonts w:hint="eastAsia" w:ascii="仿宋_GB2312" w:hAnsi="仿宋_GB2312" w:cs="仿宋_GB2312"/>
        </w:rPr>
        <w:t>文件要求，参照绵竹市项目支出绩效评价指标体系开展自评。</w:t>
      </w:r>
    </w:p>
    <w:p>
      <w:pPr>
        <w:adjustRightInd w:val="0"/>
        <w:snapToGrid w:val="0"/>
        <w:spacing w:line="58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adjustRightInd w:val="0"/>
        <w:snapToGrid w:val="0"/>
        <w:spacing w:line="580" w:lineRule="exact"/>
        <w:ind w:firstLine="720"/>
        <w:rPr>
          <w:rFonts w:ascii="仿宋_GB2312" w:hAnsi="宋体"/>
          <w:lang w:val="zh-CN"/>
        </w:rPr>
      </w:pPr>
      <w:r>
        <w:rPr>
          <w:rFonts w:hint="eastAsia" w:ascii="仿宋_GB2312" w:hAnsi="宋体"/>
          <w:lang w:val="zh-CN"/>
        </w:rPr>
        <w:t>此项目为经常性工作，资金经农业农村局每年</w:t>
      </w:r>
      <w:r>
        <w:rPr>
          <w:rFonts w:hint="eastAsia" w:ascii="仿宋_GB2312" w:hAnsi="宋体"/>
        </w:rPr>
        <w:t>向绵竹市人民政府和市财政局</w:t>
      </w:r>
      <w:r>
        <w:rPr>
          <w:rFonts w:hint="eastAsia" w:ascii="仿宋_GB2312" w:hAnsi="宋体"/>
          <w:lang w:val="zh-CN"/>
        </w:rPr>
        <w:t>申报、批复，同意财政拨付资金</w:t>
      </w:r>
      <w:r>
        <w:rPr>
          <w:rFonts w:hint="eastAsia" w:ascii="仿宋_GB2312" w:hAnsi="宋体"/>
        </w:rPr>
        <w:t>用于水产品兽药残留</w:t>
      </w:r>
      <w:r>
        <w:rPr>
          <w:rFonts w:hint="eastAsia" w:ascii="仿宋_GB2312" w:hAnsi="宋体"/>
          <w:lang w:eastAsia="zh-CN"/>
        </w:rPr>
        <w:t>及</w:t>
      </w:r>
      <w:r>
        <w:rPr>
          <w:rFonts w:hint="eastAsia" w:ascii="仿宋_GB2312" w:hAnsi="宋体"/>
          <w:lang w:val="zh-CN"/>
        </w:rPr>
        <w:t>农业投入品</w:t>
      </w:r>
      <w:r>
        <w:rPr>
          <w:rFonts w:hint="eastAsia" w:ascii="仿宋_GB2312" w:hAnsi="宋体"/>
        </w:rPr>
        <w:t>抽检工作</w:t>
      </w:r>
      <w:r>
        <w:rPr>
          <w:rFonts w:hint="eastAsia" w:ascii="仿宋_GB2312" w:hAnsi="宋体"/>
          <w:lang w:val="zh-CN"/>
        </w:rPr>
        <w:t>。</w:t>
      </w:r>
    </w:p>
    <w:p>
      <w:pPr>
        <w:adjustRightInd w:val="0"/>
        <w:snapToGrid w:val="0"/>
        <w:spacing w:line="580" w:lineRule="exact"/>
        <w:ind w:firstLine="720"/>
        <w:rPr>
          <w:rFonts w:ascii="仿宋_GB2312" w:hAnsi="宋体"/>
          <w:lang w:val="zh-CN"/>
        </w:rPr>
      </w:pPr>
      <w:r>
        <w:rPr>
          <w:rFonts w:hint="eastAsia" w:ascii="楷体_GB2312" w:hAnsi="宋体" w:eastAsia="楷体_GB2312"/>
          <w:b/>
          <w:lang w:val="zh-CN"/>
        </w:rPr>
        <w:t>（二）资金到位及使用情况。</w:t>
      </w:r>
    </w:p>
    <w:p>
      <w:pPr>
        <w:adjustRightInd w:val="0"/>
        <w:snapToGrid w:val="0"/>
        <w:spacing w:line="580" w:lineRule="exact"/>
        <w:ind w:firstLine="640" w:firstLineChars="200"/>
        <w:rPr>
          <w:rFonts w:hint="eastAsia" w:ascii="楷体_GB2312" w:hAnsi="宋体" w:eastAsia="楷体_GB2312"/>
          <w:lang w:val="zh-CN"/>
        </w:rPr>
      </w:pPr>
      <w:r>
        <w:rPr>
          <w:rFonts w:hint="eastAsia" w:ascii="楷体_GB2312" w:hAnsi="宋体" w:eastAsia="楷体_GB2312"/>
          <w:lang w:val="zh-CN"/>
        </w:rPr>
        <w:t>1、资金到位。资金在年初</w:t>
      </w:r>
      <w:r>
        <w:rPr>
          <w:rFonts w:hint="eastAsia" w:ascii="楷体_GB2312" w:hAnsi="宋体" w:eastAsia="楷体_GB2312"/>
          <w:lang w:val="en-US" w:eastAsia="zh-CN"/>
        </w:rPr>
        <w:t>预算资金3万元全部</w:t>
      </w:r>
      <w:r>
        <w:rPr>
          <w:rFonts w:hint="eastAsia" w:ascii="楷体_GB2312" w:hAnsi="宋体" w:eastAsia="楷体_GB2312"/>
          <w:lang w:val="zh-CN"/>
        </w:rPr>
        <w:t>拨付到位。</w:t>
      </w:r>
    </w:p>
    <w:p>
      <w:pPr>
        <w:adjustRightInd w:val="0"/>
        <w:snapToGrid w:val="0"/>
        <w:spacing w:line="580" w:lineRule="exact"/>
        <w:ind w:firstLine="640" w:firstLineChars="200"/>
        <w:rPr>
          <w:rFonts w:hint="eastAsia" w:ascii="楷体_GB2312" w:hAnsi="宋体" w:eastAsia="楷体_GB2312"/>
          <w:b/>
          <w:lang w:val="zh-CN"/>
        </w:rPr>
      </w:pPr>
      <w:r>
        <w:rPr>
          <w:rFonts w:hint="eastAsia" w:ascii="楷体_GB2312" w:hAnsi="宋体" w:eastAsia="楷体_GB2312"/>
          <w:lang w:val="zh-CN"/>
        </w:rPr>
        <w:t>2、资金使用。资金严格按照要求，在第三方检测机构进行抽检，出具报告后，进行支付，共支付资金</w:t>
      </w:r>
      <w:bookmarkStart w:id="0" w:name="_GoBack"/>
      <w:bookmarkEnd w:id="0"/>
      <w:r>
        <w:rPr>
          <w:rFonts w:hint="eastAsia" w:ascii="楷体_GB2312" w:hAnsi="宋体" w:eastAsia="楷体_GB2312"/>
          <w:lang w:val="en-US" w:eastAsia="zh-CN"/>
        </w:rPr>
        <w:t>3万元</w:t>
      </w:r>
      <w:r>
        <w:rPr>
          <w:rFonts w:hint="eastAsia" w:ascii="楷体_GB2312" w:hAnsi="宋体" w:eastAsia="楷体_GB2312"/>
          <w:lang w:val="zh-CN"/>
        </w:rPr>
        <w:t>。</w:t>
      </w:r>
    </w:p>
    <w:p>
      <w:pPr>
        <w:adjustRightInd w:val="0"/>
        <w:snapToGrid w:val="0"/>
        <w:spacing w:line="580" w:lineRule="exact"/>
        <w:ind w:left="720"/>
        <w:rPr>
          <w:rFonts w:ascii="楷体_GB2312" w:hAnsi="宋体" w:eastAsia="楷体_GB2312"/>
          <w:b/>
          <w:lang w:val="zh-CN"/>
        </w:rPr>
      </w:pPr>
      <w:r>
        <w:rPr>
          <w:rFonts w:hint="eastAsia" w:ascii="楷体_GB2312" w:hAnsi="宋体" w:eastAsia="楷体_GB2312"/>
          <w:b/>
          <w:lang w:val="zh-CN"/>
        </w:rPr>
        <w:t>（三）项目财务管理情况。</w:t>
      </w:r>
    </w:p>
    <w:p>
      <w:pPr>
        <w:adjustRightInd w:val="0"/>
        <w:snapToGrid w:val="0"/>
        <w:spacing w:line="580" w:lineRule="exact"/>
        <w:ind w:firstLine="720"/>
        <w:rPr>
          <w:rFonts w:ascii="仿宋_GB2312" w:hAnsi="宋体"/>
          <w:lang w:val="zh-CN"/>
        </w:rPr>
      </w:pPr>
      <w:r>
        <w:rPr>
          <w:rFonts w:hint="eastAsia" w:ascii="仿宋_GB2312" w:hAnsi="宋体"/>
          <w:lang w:val="zh-CN"/>
        </w:rPr>
        <w:t>总体评价该项目实施期间严格执行财务管理制度，账务处理及时，会计核算规范。</w:t>
      </w:r>
    </w:p>
    <w:p>
      <w:pPr>
        <w:adjustRightInd w:val="0"/>
        <w:snapToGrid w:val="0"/>
        <w:spacing w:line="580" w:lineRule="exact"/>
        <w:ind w:firstLine="720"/>
        <w:rPr>
          <w:rFonts w:ascii="黑体" w:hAnsi="宋体" w:eastAsia="黑体"/>
        </w:rPr>
      </w:pPr>
      <w:r>
        <w:rPr>
          <w:rFonts w:hint="eastAsia" w:ascii="黑体" w:hAnsi="宋体" w:eastAsia="黑体"/>
        </w:rPr>
        <w:t>三、项目实施及管理情况</w:t>
      </w:r>
    </w:p>
    <w:p>
      <w:pPr>
        <w:adjustRightInd w:val="0"/>
        <w:snapToGrid w:val="0"/>
        <w:spacing w:line="580" w:lineRule="exact"/>
        <w:ind w:firstLine="720"/>
        <w:rPr>
          <w:rFonts w:ascii="仿宋_GB2312" w:hAnsi="宋体"/>
          <w:lang w:val="zh-CN"/>
        </w:rPr>
      </w:pPr>
      <w:r>
        <w:rPr>
          <w:rFonts w:hint="eastAsia" w:ascii="楷体_GB2312" w:hAnsi="宋体" w:eastAsia="楷体_GB2312"/>
          <w:b/>
          <w:lang w:val="zh-CN"/>
        </w:rPr>
        <w:t>（一）项目实施流程</w:t>
      </w:r>
      <w:r>
        <w:rPr>
          <w:rFonts w:hint="eastAsia" w:ascii="仿宋_GB2312" w:hAnsi="宋体"/>
          <w:lang w:val="zh-CN"/>
        </w:rPr>
        <w:t>。该项目由农业农村局由党组会研究，农业投入品由我局农业执法大队抽取样品，送省检测中心进行检验；</w:t>
      </w:r>
      <w:r>
        <w:rPr>
          <w:rFonts w:hint="eastAsia" w:ascii="仿宋_GB2312" w:hAnsi="宋体"/>
        </w:rPr>
        <w:t>水产品兽药残留</w:t>
      </w:r>
      <w:r>
        <w:rPr>
          <w:rFonts w:hint="eastAsia" w:ascii="仿宋_GB2312" w:hAnsi="宋体"/>
          <w:lang w:eastAsia="zh-CN"/>
        </w:rPr>
        <w:t>检测，</w:t>
      </w:r>
      <w:r>
        <w:rPr>
          <w:rFonts w:hint="eastAsia" w:ascii="仿宋_GB2312" w:hAnsi="宋体"/>
          <w:lang w:val="zh-CN"/>
        </w:rPr>
        <w:t>通过农交所进行询价程序，由四川蓝城检测技术有限公司入选，对全市进行13个样随机抽检，出具检测报告，最终由局财务支付。</w:t>
      </w:r>
    </w:p>
    <w:p>
      <w:pPr>
        <w:adjustRightInd w:val="0"/>
        <w:snapToGrid w:val="0"/>
        <w:spacing w:line="580" w:lineRule="exact"/>
        <w:ind w:firstLine="720"/>
        <w:rPr>
          <w:rFonts w:ascii="仿宋_GB2312" w:hAnsi="宋体"/>
          <w:lang w:val="zh-CN"/>
        </w:rPr>
      </w:pPr>
      <w:r>
        <w:rPr>
          <w:rFonts w:hint="eastAsia" w:ascii="楷体_GB2312" w:hAnsi="宋体" w:eastAsia="楷体_GB2312"/>
          <w:b/>
          <w:lang w:val="zh-CN"/>
        </w:rPr>
        <w:t>（二）项目管理情况。</w:t>
      </w:r>
      <w:r>
        <w:rPr>
          <w:rFonts w:hint="eastAsia" w:ascii="仿宋_GB2312" w:hAnsi="宋体"/>
          <w:lang w:val="zh-CN"/>
        </w:rPr>
        <w:t>该项目实施严格按照财务管理等制度使用。</w:t>
      </w:r>
    </w:p>
    <w:p>
      <w:pPr>
        <w:adjustRightInd w:val="0"/>
        <w:snapToGrid w:val="0"/>
        <w:spacing w:line="580" w:lineRule="exact"/>
        <w:ind w:firstLine="720"/>
        <w:rPr>
          <w:rFonts w:ascii="仿宋_GB2312" w:hAnsi="宋体"/>
          <w:lang w:val="zh-CN"/>
        </w:rPr>
      </w:pPr>
      <w:r>
        <w:rPr>
          <w:rFonts w:hint="eastAsia" w:ascii="楷体_GB2312" w:hAnsi="宋体" w:eastAsia="楷体_GB2312"/>
          <w:b/>
          <w:lang w:val="zh-CN"/>
        </w:rPr>
        <w:t>（三）项目监管情况。</w:t>
      </w:r>
      <w:r>
        <w:rPr>
          <w:rFonts w:hint="eastAsia" w:ascii="仿宋_GB2312" w:hAnsi="宋体"/>
          <w:lang w:val="zh-CN"/>
        </w:rPr>
        <w:t>该项目实施严格按照财务管理制度使用，按程序组织实施、审批、支付，已达到预期效果。</w:t>
      </w:r>
    </w:p>
    <w:p>
      <w:pPr>
        <w:adjustRightInd w:val="0"/>
        <w:snapToGrid w:val="0"/>
        <w:spacing w:line="580" w:lineRule="exact"/>
        <w:ind w:firstLine="720"/>
        <w:rPr>
          <w:rFonts w:ascii="仿宋_GB2312" w:hAnsi="宋体"/>
          <w:lang w:val="zh-CN"/>
        </w:rPr>
      </w:pPr>
      <w:r>
        <w:rPr>
          <w:rFonts w:hint="eastAsia" w:ascii="黑体" w:hAnsi="宋体" w:eastAsia="黑体"/>
        </w:rPr>
        <w:t>四、项目绩效情况</w:t>
      </w:r>
      <w:r>
        <w:rPr>
          <w:rFonts w:ascii="仿宋_GB2312" w:hAnsi="宋体"/>
          <w:lang w:val="zh-CN"/>
        </w:rPr>
        <w:tab/>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580" w:lineRule="exact"/>
        <w:ind w:firstLine="720"/>
        <w:rPr>
          <w:rFonts w:ascii="楷体_GB2312" w:hAnsi="宋体" w:eastAsia="楷体_GB2312"/>
          <w:b/>
          <w:lang w:val="zh-CN"/>
        </w:rPr>
      </w:pPr>
      <w:r>
        <w:rPr>
          <w:rFonts w:hint="eastAsia" w:ascii="仿宋_GB2312" w:hAnsi="宋体"/>
          <w:lang w:val="zh-CN"/>
        </w:rPr>
        <w:t>该项目已达到预计的效果，对管理水产品养殖用兽药及其他投入品的使用监管工作起到支撑作用。</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（二）项目效益情况。</w:t>
      </w:r>
    </w:p>
    <w:p>
      <w:pPr>
        <w:adjustRightInd w:val="0"/>
        <w:snapToGrid w:val="0"/>
        <w:spacing w:line="580" w:lineRule="exact"/>
        <w:ind w:firstLine="720"/>
        <w:rPr>
          <w:rFonts w:ascii="仿宋_GB2312" w:hAnsi="宋体"/>
          <w:lang w:val="zh-CN"/>
        </w:rPr>
      </w:pPr>
      <w:r>
        <w:rPr>
          <w:rFonts w:hint="eastAsia" w:ascii="仿宋_GB2312" w:hAnsi="宋体"/>
          <w:lang w:val="zh-CN"/>
        </w:rPr>
        <w:t>该项目实施后能对全市水产养殖投入品有针对采取监控措施，提升监管实效，将持续发挥社会效益；禁止销售使用高毒高残留农药，打击假冒伪劣农业生产资料坑农害农行为，确保绵竹农业生产安全方面起到了重要的作用。</w:t>
      </w:r>
    </w:p>
    <w:p>
      <w:pPr>
        <w:adjustRightInd w:val="0"/>
        <w:snapToGrid w:val="0"/>
        <w:spacing w:line="580" w:lineRule="exact"/>
        <w:ind w:firstLine="720"/>
        <w:rPr>
          <w:rFonts w:ascii="黑体" w:hAnsi="宋体" w:eastAsia="黑体"/>
        </w:rPr>
      </w:pPr>
      <w:r>
        <w:rPr>
          <w:rFonts w:hint="eastAsia" w:ascii="黑体" w:hAnsi="宋体" w:eastAsia="黑体"/>
        </w:rPr>
        <w:t>五、评价结论及建议</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（一）评价结论。</w:t>
      </w:r>
    </w:p>
    <w:p>
      <w:pPr>
        <w:adjustRightInd w:val="0"/>
        <w:snapToGrid w:val="0"/>
        <w:spacing w:line="580" w:lineRule="exact"/>
        <w:ind w:firstLine="720"/>
        <w:rPr>
          <w:rFonts w:ascii="仿宋_GB2312" w:hAnsi="宋体"/>
        </w:rPr>
      </w:pPr>
      <w:r>
        <w:rPr>
          <w:rFonts w:hint="eastAsia" w:ascii="仿宋_GB2312" w:hAnsi="宋体"/>
          <w:lang w:val="zh-CN"/>
        </w:rPr>
        <w:t>该项目实施后起到了良好的社会效益。</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（二）存在的问题。</w:t>
      </w:r>
    </w:p>
    <w:p>
      <w:pPr>
        <w:adjustRightInd w:val="0"/>
        <w:snapToGrid w:val="0"/>
        <w:spacing w:line="580" w:lineRule="exact"/>
        <w:ind w:firstLine="640" w:firstLineChars="200"/>
        <w:rPr>
          <w:rFonts w:ascii="仿宋_GB2312" w:hAnsi="宋体"/>
          <w:lang w:val="zh-CN"/>
        </w:rPr>
      </w:pPr>
      <w:r>
        <w:rPr>
          <w:rFonts w:hint="eastAsia" w:ascii="仿宋_GB2312" w:hAnsi="宋体"/>
          <w:lang w:val="zh-CN"/>
        </w:rPr>
        <w:t>由于抽检样品数较少，不能达到大面积覆盖，不能对全市水产养殖及农业投入品质量进行准确监测。</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（三）相关建议。</w:t>
      </w:r>
    </w:p>
    <w:p>
      <w:pPr>
        <w:adjustRightInd w:val="0"/>
        <w:snapToGrid w:val="0"/>
        <w:spacing w:line="580" w:lineRule="exact"/>
        <w:ind w:firstLine="640" w:firstLineChars="200"/>
        <w:rPr>
          <w:rFonts w:ascii="仿宋_GB2312" w:hAnsi="宋体"/>
          <w:lang w:val="zh-CN"/>
        </w:rPr>
      </w:pPr>
      <w:r>
        <w:rPr>
          <w:rFonts w:hint="eastAsia" w:ascii="仿宋_GB2312" w:hAnsi="宋体"/>
          <w:lang w:val="zh-CN"/>
        </w:rPr>
        <w:t>农业执法监管工作是一项长期的基础工作，需要增加养殖水产品兽药残留监测及农业投入品数量和扩大覆盖范围。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黑体"/>
    <w:panose1 w:val="00000000000000000000"/>
    <w:charset w:val="86"/>
    <w:family w:val="script"/>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D3EFA"/>
    <w:rsid w:val="00043557"/>
    <w:rsid w:val="001905A9"/>
    <w:rsid w:val="00225043"/>
    <w:rsid w:val="00291918"/>
    <w:rsid w:val="002E7D7A"/>
    <w:rsid w:val="00305C8C"/>
    <w:rsid w:val="003D3EC3"/>
    <w:rsid w:val="00427240"/>
    <w:rsid w:val="00543D64"/>
    <w:rsid w:val="00572F4E"/>
    <w:rsid w:val="005842A2"/>
    <w:rsid w:val="00760A99"/>
    <w:rsid w:val="008F6FBC"/>
    <w:rsid w:val="008F788A"/>
    <w:rsid w:val="00A36A47"/>
    <w:rsid w:val="00AC3975"/>
    <w:rsid w:val="00D90D41"/>
    <w:rsid w:val="00E4357F"/>
    <w:rsid w:val="00EC55EE"/>
    <w:rsid w:val="00F251E9"/>
    <w:rsid w:val="00FD3EFA"/>
    <w:rsid w:val="00FD62E7"/>
    <w:rsid w:val="0A315F4D"/>
    <w:rsid w:val="0B047C64"/>
    <w:rsid w:val="2B1967E3"/>
    <w:rsid w:val="2B634DE7"/>
    <w:rsid w:val="4A430C0B"/>
    <w:rsid w:val="584B4DD0"/>
    <w:rsid w:val="6F5040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 w:type="paragraph" w:customStyle="1" w:styleId="9">
    <w:name w:val="四号正文"/>
    <w:basedOn w:val="1"/>
    <w:link w:val="10"/>
    <w:qFormat/>
    <w:uiPriority w:val="99"/>
    <w:pPr>
      <w:spacing w:line="360" w:lineRule="auto"/>
    </w:pPr>
    <w:rPr>
      <w:rFonts w:ascii="??" w:hAnsi="??" w:eastAsia="宋体"/>
      <w:color w:val="000000"/>
      <w:kern w:val="0"/>
      <w:sz w:val="28"/>
      <w:szCs w:val="21"/>
    </w:rPr>
  </w:style>
  <w:style w:type="character" w:customStyle="1" w:styleId="10">
    <w:name w:val="四号正文 Char"/>
    <w:link w:val="9"/>
    <w:qFormat/>
    <w:locked/>
    <w:uiPriority w:val="99"/>
    <w:rPr>
      <w:rFonts w:ascii="??" w:hAnsi="??" w:eastAsia="宋体" w:cs="Times New Roman"/>
      <w:color w:val="000000"/>
      <w:kern w:val="0"/>
      <w:sz w:val="28"/>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169</Words>
  <Characters>969</Characters>
  <Lines>8</Lines>
  <Paragraphs>2</Paragraphs>
  <TotalTime>10</TotalTime>
  <ScaleCrop>false</ScaleCrop>
  <LinksUpToDate>false</LinksUpToDate>
  <CharactersWithSpaces>1136</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2021-05-20T07:15:00Z</dcterms:created>
  <dc:creator>opi</dc:creator>
  <cp:lastModifiedBy>Administrator</cp:lastModifiedBy>
  <dcterms:modified xsi:type="dcterms:W3CDTF">2022-06-16T09:04:56Z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EE62325C8B9D4C35A43AE6421D5E4E52</vt:lpwstr>
  </property>
</Properties>
</file>