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项目支出绩效自评报告</w:t>
      </w:r>
    </w:p>
    <w:p>
      <w:pPr>
        <w:jc w:val="center"/>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（成都农交所德阳所绵竹服务中心2021年政府定额补助）</w:t>
      </w:r>
    </w:p>
    <w:p>
      <w:pPr>
        <w:adjustRightInd w:val="0"/>
        <w:snapToGrid w:val="0"/>
        <w:spacing w:line="580" w:lineRule="exact"/>
        <w:rPr>
          <w:rFonts w:ascii="黑体" w:hAnsi="宋体" w:eastAsia="黑体"/>
          <w:sz w:val="32"/>
          <w:szCs w:val="32"/>
        </w:rPr>
      </w:pPr>
    </w:p>
    <w:p>
      <w:pPr>
        <w:numPr>
          <w:ilvl w:val="0"/>
          <w:numId w:val="1"/>
        </w:numPr>
        <w:adjustRightInd w:val="0"/>
        <w:snapToGrid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项目概况</w:t>
      </w:r>
    </w:p>
    <w:p>
      <w:pPr>
        <w:adjustRightInd w:val="0"/>
        <w:snapToGrid w:val="0"/>
        <w:spacing w:line="580" w:lineRule="exact"/>
        <w:rPr>
          <w:rFonts w:ascii="华文仿宋" w:hAnsi="华文仿宋" w:eastAsia="华文仿宋" w:cs="华文仿宋"/>
          <w:b/>
          <w:bCs/>
          <w:sz w:val="32"/>
          <w:szCs w:val="32"/>
        </w:rPr>
      </w:pPr>
      <w:r>
        <w:rPr>
          <w:rFonts w:hint="eastAsia" w:ascii="黑体" w:hAnsi="黑体" w:eastAsia="黑体" w:cs="黑体"/>
          <w:sz w:val="32"/>
          <w:szCs w:val="32"/>
        </w:rPr>
        <w:t xml:space="preserve"> </w:t>
      </w:r>
      <w:r>
        <w:rPr>
          <w:rFonts w:hint="eastAsia" w:ascii="黑体" w:hAnsi="黑体" w:eastAsia="黑体" w:cs="黑体"/>
          <w:b/>
          <w:bCs/>
          <w:sz w:val="32"/>
          <w:szCs w:val="32"/>
        </w:rPr>
        <w:t xml:space="preserve"> </w:t>
      </w:r>
      <w:r>
        <w:rPr>
          <w:rFonts w:hint="eastAsia" w:ascii="华文仿宋" w:hAnsi="华文仿宋" w:eastAsia="华文仿宋" w:cs="华文仿宋"/>
          <w:b/>
          <w:bCs/>
          <w:sz w:val="32"/>
          <w:szCs w:val="32"/>
        </w:rPr>
        <w:t xml:space="preserve">（一）项目基本情况 </w:t>
      </w:r>
    </w:p>
    <w:p>
      <w:pPr>
        <w:ind w:firstLine="640" w:firstLineChars="200"/>
        <w:rPr>
          <w:rFonts w:ascii="仿宋" w:hAnsi="仿宋" w:eastAsia="仿宋"/>
          <w:sz w:val="32"/>
          <w:szCs w:val="32"/>
        </w:rPr>
      </w:pPr>
      <w:r>
        <w:rPr>
          <w:rFonts w:hint="eastAsia" w:ascii="仿宋" w:hAnsi="仿宋" w:eastAsia="仿宋"/>
          <w:sz w:val="32"/>
          <w:szCs w:val="32"/>
        </w:rPr>
        <w:t>根据德阳市人民政府</w:t>
      </w:r>
      <w:r>
        <w:rPr>
          <w:rFonts w:hint="eastAsia" w:ascii="仿宋" w:hAnsi="仿宋" w:eastAsia="仿宋"/>
          <w:sz w:val="32"/>
          <w:szCs w:val="32"/>
          <w:lang w:val="en-US" w:eastAsia="zh-CN"/>
        </w:rPr>
        <w:t>办公室关于印发</w:t>
      </w:r>
      <w:r>
        <w:rPr>
          <w:rFonts w:hint="eastAsia" w:ascii="仿宋" w:hAnsi="仿宋" w:eastAsia="仿宋"/>
          <w:sz w:val="32"/>
          <w:szCs w:val="32"/>
        </w:rPr>
        <w:t>《德阳市</w:t>
      </w:r>
      <w:r>
        <w:rPr>
          <w:rFonts w:hint="eastAsia" w:ascii="仿宋" w:hAnsi="仿宋" w:eastAsia="仿宋"/>
          <w:sz w:val="32"/>
          <w:szCs w:val="32"/>
          <w:lang w:val="en-US" w:eastAsia="zh-CN"/>
        </w:rPr>
        <w:t>促进农村产权规范流转交易的实施方案</w:t>
      </w:r>
      <w:r>
        <w:rPr>
          <w:rFonts w:hint="eastAsia" w:ascii="仿宋" w:hAnsi="仿宋" w:eastAsia="仿宋"/>
          <w:sz w:val="32"/>
          <w:szCs w:val="32"/>
        </w:rPr>
        <w:t>》（德办发〔20</w:t>
      </w:r>
      <w:r>
        <w:rPr>
          <w:rFonts w:hint="eastAsia" w:ascii="仿宋" w:hAnsi="仿宋" w:eastAsia="仿宋"/>
          <w:sz w:val="32"/>
          <w:szCs w:val="32"/>
          <w:lang w:val="en-US" w:eastAsia="zh-CN"/>
        </w:rPr>
        <w:t>20</w:t>
      </w:r>
      <w:r>
        <w:rPr>
          <w:rFonts w:hint="eastAsia" w:ascii="仿宋" w:hAnsi="仿宋" w:eastAsia="仿宋"/>
          <w:sz w:val="32"/>
          <w:szCs w:val="32"/>
        </w:rPr>
        <w:t>〕</w:t>
      </w:r>
      <w:r>
        <w:rPr>
          <w:rFonts w:hint="eastAsia" w:ascii="仿宋" w:hAnsi="仿宋" w:eastAsia="仿宋"/>
          <w:sz w:val="32"/>
          <w:szCs w:val="32"/>
          <w:lang w:val="en-US" w:eastAsia="zh-CN"/>
        </w:rPr>
        <w:t>55</w:t>
      </w:r>
      <w:r>
        <w:rPr>
          <w:rFonts w:hint="eastAsia" w:ascii="仿宋" w:hAnsi="仿宋" w:eastAsia="仿宋"/>
          <w:sz w:val="32"/>
          <w:szCs w:val="32"/>
        </w:rPr>
        <w:t>号）</w:t>
      </w:r>
      <w:r>
        <w:rPr>
          <w:rFonts w:hint="eastAsia" w:ascii="仿宋" w:hAnsi="仿宋" w:eastAsia="仿宋"/>
          <w:sz w:val="32"/>
          <w:szCs w:val="32"/>
          <w:lang w:val="en-US" w:eastAsia="zh-CN"/>
        </w:rPr>
        <w:t>文件</w:t>
      </w:r>
      <w:r>
        <w:rPr>
          <w:rFonts w:hint="eastAsia" w:ascii="仿宋" w:hAnsi="仿宋" w:eastAsia="仿宋"/>
          <w:sz w:val="32"/>
          <w:szCs w:val="32"/>
        </w:rPr>
        <w:t>，为</w:t>
      </w:r>
      <w:r>
        <w:rPr>
          <w:rFonts w:hint="eastAsia" w:ascii="仿宋" w:hAnsi="仿宋" w:eastAsia="仿宋"/>
          <w:sz w:val="32"/>
          <w:szCs w:val="32"/>
          <w:lang w:val="en-US" w:eastAsia="zh-CN"/>
        </w:rPr>
        <w:t>进一步加强我市农村产权流转交易市场体系建设，规范农村产权流转交易，激发农村资源要素动力活力，助务乡村振兴战略，</w:t>
      </w:r>
      <w:r>
        <w:rPr>
          <w:rFonts w:hint="eastAsia" w:ascii="仿宋" w:hAnsi="仿宋" w:eastAsia="仿宋"/>
          <w:sz w:val="32"/>
          <w:szCs w:val="32"/>
        </w:rPr>
        <w:t>促进我市农村产权流转交易公开、公平、公正，规范有序运行</w:t>
      </w:r>
      <w:r>
        <w:rPr>
          <w:rFonts w:hint="eastAsia" w:ascii="宋体" w:hAnsi="宋体" w:cs="宋体"/>
          <w:sz w:val="32"/>
          <w:szCs w:val="32"/>
        </w:rPr>
        <w:t>。</w:t>
      </w:r>
      <w:r>
        <w:rPr>
          <w:rFonts w:hint="eastAsia" w:ascii="仿宋" w:hAnsi="仿宋" w:eastAsia="仿宋" w:cs="仿宋"/>
          <w:sz w:val="30"/>
          <w:szCs w:val="30"/>
          <w:lang w:val="en-US" w:eastAsia="zh-CN"/>
        </w:rPr>
        <w:t>自2021年起，德阳市级财政5年内每年给予成都农交所德阳所150万定额营运补助，各地财政对本地区县级农村产权服务中心每年给予30万至50万定额营运补助</w:t>
      </w:r>
      <w:r>
        <w:rPr>
          <w:rFonts w:hint="default" w:ascii="Arial" w:hAnsi="Arial" w:eastAsia="仿宋" w:cs="Arial"/>
          <w:sz w:val="30"/>
          <w:szCs w:val="30"/>
          <w:lang w:val="en-US" w:eastAsia="zh-CN"/>
        </w:rPr>
        <w:t>……</w:t>
      </w:r>
      <w:r>
        <w:rPr>
          <w:rFonts w:hint="eastAsia" w:ascii="仿宋" w:hAnsi="仿宋" w:eastAsia="仿宋" w:cs="仿宋"/>
          <w:sz w:val="30"/>
          <w:szCs w:val="30"/>
          <w:lang w:val="en-US" w:eastAsia="zh-CN"/>
        </w:rPr>
        <w:t>。</w:t>
      </w:r>
      <w:r>
        <w:rPr>
          <w:rFonts w:hint="eastAsia" w:ascii="仿宋" w:hAnsi="仿宋" w:eastAsia="仿宋"/>
          <w:sz w:val="32"/>
          <w:szCs w:val="32"/>
        </w:rPr>
        <w:t>绵竹市人民政府</w:t>
      </w:r>
      <w:r>
        <w:rPr>
          <w:rFonts w:hint="eastAsia" w:ascii="仿宋" w:hAnsi="仿宋" w:eastAsia="仿宋"/>
          <w:sz w:val="32"/>
          <w:szCs w:val="32"/>
          <w:lang w:val="en-US" w:eastAsia="zh-CN"/>
        </w:rPr>
        <w:t>2021年给予成都农交所德阳所</w:t>
      </w:r>
      <w:r>
        <w:rPr>
          <w:rFonts w:hint="eastAsia" w:ascii="仿宋" w:hAnsi="仿宋" w:eastAsia="仿宋"/>
          <w:sz w:val="32"/>
          <w:szCs w:val="32"/>
        </w:rPr>
        <w:t>30万元</w:t>
      </w:r>
      <w:r>
        <w:rPr>
          <w:rFonts w:hint="eastAsia" w:ascii="仿宋" w:hAnsi="仿宋" w:eastAsia="仿宋"/>
          <w:sz w:val="32"/>
          <w:szCs w:val="32"/>
          <w:lang w:val="en-US" w:eastAsia="zh-CN"/>
        </w:rPr>
        <w:t>营运补助。</w:t>
      </w:r>
    </w:p>
    <w:p>
      <w:pPr>
        <w:ind w:firstLine="643" w:firstLineChars="200"/>
        <w:jc w:val="left"/>
        <w:rPr>
          <w:rFonts w:hint="default" w:ascii="华文仿宋" w:hAnsi="华文仿宋" w:eastAsia="华文仿宋" w:cs="华文仿宋"/>
          <w:b w:val="0"/>
          <w:bCs w:val="0"/>
          <w:color w:val="000000"/>
          <w:sz w:val="32"/>
          <w:szCs w:val="32"/>
          <w:lang w:val="en-US" w:eastAsia="zh-CN"/>
        </w:rPr>
      </w:pPr>
      <w:r>
        <w:rPr>
          <w:rFonts w:hint="eastAsia" w:eastAsia="仿宋_GB2312"/>
          <w:b/>
          <w:bCs/>
          <w:sz w:val="32"/>
          <w:szCs w:val="32"/>
        </w:rPr>
        <w:t>基本情况介绍：</w:t>
      </w:r>
      <w:r>
        <w:rPr>
          <w:rFonts w:hint="eastAsia" w:eastAsia="仿宋_GB2312"/>
          <w:sz w:val="32"/>
          <w:szCs w:val="32"/>
        </w:rPr>
        <w:t>绵竹服务中心于2018年1月正式运营，在职员工3人，</w:t>
      </w:r>
      <w:r>
        <w:rPr>
          <w:rFonts w:hint="eastAsia" w:eastAsia="仿宋_GB2312"/>
          <w:sz w:val="32"/>
          <w:szCs w:val="32"/>
          <w:lang w:val="en-US" w:eastAsia="zh-CN"/>
        </w:rPr>
        <w:t>2021年各项工作正常开展。</w:t>
      </w:r>
      <w:r>
        <w:rPr>
          <w:rFonts w:hint="eastAsia" w:ascii="华文仿宋" w:hAnsi="华文仿宋" w:eastAsia="华文仿宋" w:cs="华文仿宋"/>
          <w:b w:val="0"/>
          <w:bCs w:val="0"/>
          <w:color w:val="000000"/>
          <w:sz w:val="32"/>
          <w:szCs w:val="32"/>
        </w:rPr>
        <w:t>成都农</w:t>
      </w:r>
      <w:r>
        <w:rPr>
          <w:rFonts w:hint="eastAsia" w:ascii="华文仿宋" w:hAnsi="华文仿宋" w:eastAsia="华文仿宋" w:cs="华文仿宋"/>
          <w:b w:val="0"/>
          <w:bCs w:val="0"/>
          <w:color w:val="000000"/>
          <w:sz w:val="32"/>
          <w:szCs w:val="32"/>
          <w:lang w:val="en-US" w:eastAsia="zh-CN"/>
        </w:rPr>
        <w:t>交所</w:t>
      </w:r>
      <w:r>
        <w:rPr>
          <w:rFonts w:hint="eastAsia" w:ascii="华文仿宋" w:hAnsi="华文仿宋" w:eastAsia="华文仿宋" w:cs="华文仿宋"/>
          <w:b w:val="0"/>
          <w:bCs w:val="0"/>
          <w:color w:val="000000"/>
          <w:sz w:val="32"/>
          <w:szCs w:val="32"/>
        </w:rPr>
        <w:t>所德阳所绵竹</w:t>
      </w:r>
      <w:r>
        <w:rPr>
          <w:rFonts w:hint="eastAsia" w:ascii="华文仿宋" w:hAnsi="华文仿宋" w:eastAsia="华文仿宋" w:cs="华文仿宋"/>
          <w:b w:val="0"/>
          <w:bCs w:val="0"/>
          <w:color w:val="000000"/>
          <w:sz w:val="32"/>
          <w:szCs w:val="32"/>
          <w:lang w:val="en-US" w:eastAsia="zh-CN"/>
        </w:rPr>
        <w:t>服务</w:t>
      </w:r>
      <w:r>
        <w:rPr>
          <w:rFonts w:hint="eastAsia" w:ascii="华文仿宋" w:hAnsi="华文仿宋" w:eastAsia="华文仿宋" w:cs="华文仿宋"/>
          <w:b w:val="0"/>
          <w:bCs w:val="0"/>
          <w:color w:val="000000"/>
          <w:sz w:val="32"/>
          <w:szCs w:val="32"/>
        </w:rPr>
        <w:t>中心</w:t>
      </w:r>
      <w:r>
        <w:rPr>
          <w:rFonts w:hint="eastAsia" w:ascii="华文仿宋" w:hAnsi="华文仿宋" w:eastAsia="华文仿宋" w:cs="华文仿宋"/>
          <w:b w:val="0"/>
          <w:bCs w:val="0"/>
          <w:color w:val="000000"/>
          <w:sz w:val="32"/>
          <w:szCs w:val="32"/>
          <w:lang w:val="en-US" w:eastAsia="zh-CN"/>
        </w:rPr>
        <w:t>2021年共</w:t>
      </w:r>
      <w:r>
        <w:rPr>
          <w:rFonts w:hint="eastAsia" w:ascii="华文仿宋" w:hAnsi="华文仿宋" w:eastAsia="华文仿宋" w:cs="华文仿宋"/>
          <w:b w:val="0"/>
          <w:bCs w:val="0"/>
          <w:color w:val="000000"/>
          <w:sz w:val="32"/>
          <w:szCs w:val="32"/>
        </w:rPr>
        <w:t>挂牌成交项目共286宗，累计交易金额</w:t>
      </w:r>
      <w:r>
        <w:rPr>
          <w:rFonts w:hint="eastAsia" w:ascii="华文仿宋" w:hAnsi="华文仿宋" w:eastAsia="华文仿宋" w:cs="华文仿宋"/>
          <w:b w:val="0"/>
          <w:bCs w:val="0"/>
          <w:color w:val="000000"/>
          <w:sz w:val="32"/>
          <w:szCs w:val="32"/>
          <w:lang w:val="en-US" w:eastAsia="zh-CN"/>
        </w:rPr>
        <w:t>4.003亿元</w:t>
      </w:r>
      <w:r>
        <w:rPr>
          <w:rFonts w:hint="eastAsia" w:ascii="华文仿宋" w:hAnsi="华文仿宋" w:eastAsia="华文仿宋" w:cs="华文仿宋"/>
          <w:b w:val="0"/>
          <w:bCs w:val="0"/>
          <w:color w:val="000000"/>
          <w:sz w:val="32"/>
          <w:szCs w:val="32"/>
        </w:rPr>
        <w:t>，累计交易面积9748.04亩。其中资产处置项目35宗，交易金额为570.405万元；土地经营权项目106宗，交易金额为4063.40098万元，交易面积为9529.212亩；闲置农房27宗，交易金额为223.805万元；政府采购项目8宗，交易金额为1213.92万元；非政府采购项目33宗，交易金额为3137.9456万元；养殖水面经营权6宗，交易金额为43.088万元；交易面积为16.8亩；四荒地经营权4宗，交易金额219.8898万元，交易面积193.7695亩；线下工程招标43宗，交易金额为1950.6794万元；大宗农产品17宗，交易金额为20400.22万元；其他涉农项目6宗，交易金额为8210.45万元。</w:t>
      </w:r>
      <w:r>
        <w:rPr>
          <w:rFonts w:hint="eastAsia" w:ascii="华文仿宋" w:hAnsi="华文仿宋" w:eastAsia="华文仿宋" w:cs="华文仿宋"/>
          <w:b w:val="0"/>
          <w:bCs w:val="0"/>
          <w:color w:val="000000"/>
          <w:sz w:val="32"/>
          <w:szCs w:val="32"/>
          <w:lang w:val="en-US" w:eastAsia="zh-CN"/>
        </w:rPr>
        <w:t>全面完成德阳市农业农村局下达绵竹市2021年3.9亿及以上农业农村工作目标任务。2021绵竹服务中心对继续加强“市、镇、村”三级交易体系建设工作，对各服务站、点进行政策和</w:t>
      </w:r>
      <w:r>
        <w:rPr>
          <w:rFonts w:hint="eastAsia" w:ascii="华文仿宋" w:hAnsi="华文仿宋" w:eastAsia="华文仿宋" w:cs="华文仿宋"/>
          <w:b w:val="0"/>
          <w:bCs w:val="0"/>
          <w:sz w:val="32"/>
          <w:szCs w:val="32"/>
        </w:rPr>
        <w:t>业务</w:t>
      </w:r>
      <w:r>
        <w:rPr>
          <w:rFonts w:hint="eastAsia" w:ascii="华文仿宋" w:hAnsi="华文仿宋" w:eastAsia="华文仿宋" w:cs="华文仿宋"/>
          <w:b w:val="0"/>
          <w:bCs w:val="0"/>
          <w:sz w:val="32"/>
          <w:szCs w:val="32"/>
          <w:lang w:eastAsia="zh-CN"/>
        </w:rPr>
        <w:t>培训和</w:t>
      </w:r>
      <w:r>
        <w:rPr>
          <w:rFonts w:hint="eastAsia" w:ascii="华文仿宋" w:hAnsi="华文仿宋" w:eastAsia="华文仿宋" w:cs="华文仿宋"/>
          <w:b w:val="0"/>
          <w:bCs w:val="0"/>
          <w:sz w:val="32"/>
          <w:szCs w:val="32"/>
        </w:rPr>
        <w:t>指导</w:t>
      </w:r>
      <w:r>
        <w:rPr>
          <w:rFonts w:hint="eastAsia" w:ascii="华文仿宋" w:hAnsi="华文仿宋" w:eastAsia="华文仿宋" w:cs="华文仿宋"/>
          <w:b w:val="0"/>
          <w:bCs w:val="0"/>
          <w:sz w:val="32"/>
          <w:szCs w:val="32"/>
          <w:lang w:val="en-US" w:eastAsia="zh-CN"/>
        </w:rPr>
        <w:t>100余次，</w:t>
      </w:r>
      <w:r>
        <w:rPr>
          <w:rFonts w:hint="eastAsia" w:ascii="华文仿宋" w:hAnsi="华文仿宋" w:eastAsia="华文仿宋" w:cs="华文仿宋"/>
          <w:b w:val="0"/>
          <w:bCs w:val="0"/>
          <w:color w:val="000000"/>
          <w:sz w:val="32"/>
          <w:szCs w:val="32"/>
          <w:lang w:val="en-US" w:eastAsia="zh-CN"/>
        </w:rPr>
        <w:t>组织现场竞价15次</w:t>
      </w:r>
      <w:r>
        <w:rPr>
          <w:rFonts w:hint="eastAsia" w:ascii="华文仿宋" w:hAnsi="华文仿宋" w:eastAsia="华文仿宋" w:cs="华文仿宋"/>
          <w:b w:val="0"/>
          <w:bCs w:val="0"/>
          <w:sz w:val="32"/>
          <w:szCs w:val="32"/>
          <w:lang w:eastAsia="zh-CN"/>
        </w:rPr>
        <w:t>。</w:t>
      </w:r>
      <w:r>
        <w:rPr>
          <w:rFonts w:hint="eastAsia" w:ascii="华文仿宋" w:hAnsi="华文仿宋" w:eastAsia="华文仿宋" w:cs="华文仿宋"/>
          <w:b w:val="0"/>
          <w:bCs w:val="0"/>
          <w:color w:val="000000"/>
          <w:sz w:val="32"/>
          <w:szCs w:val="32"/>
          <w:lang w:val="en-US" w:eastAsia="zh-CN"/>
        </w:rPr>
        <w:t>并通过现场指导、接受电话咨询等方式为社会各界提供千余次农村产权交易相关政策、金融服务等咨询。</w:t>
      </w:r>
    </w:p>
    <w:p>
      <w:pPr>
        <w:ind w:firstLine="641" w:firstLineChars="200"/>
        <w:rPr>
          <w:rFonts w:ascii="华文仿宋" w:hAnsi="华文仿宋" w:eastAsia="华文仿宋" w:cs="华文仿宋"/>
          <w:b/>
          <w:bCs/>
          <w:sz w:val="32"/>
          <w:szCs w:val="32"/>
        </w:rPr>
      </w:pPr>
      <w:r>
        <w:rPr>
          <w:rFonts w:hint="eastAsia" w:ascii="华文仿宋" w:hAnsi="华文仿宋" w:eastAsia="华文仿宋" w:cs="华文仿宋"/>
          <w:b/>
          <w:bCs/>
          <w:sz w:val="32"/>
          <w:szCs w:val="32"/>
        </w:rPr>
        <w:t>（二）项目绩效目标</w:t>
      </w:r>
    </w:p>
    <w:p>
      <w:pPr>
        <w:ind w:firstLine="641" w:firstLineChars="200"/>
        <w:rPr>
          <w:rFonts w:ascii="华文楷体" w:hAnsi="华文楷体" w:eastAsia="华文楷体" w:cs="华文楷体"/>
          <w:sz w:val="32"/>
          <w:szCs w:val="32"/>
        </w:rPr>
      </w:pPr>
      <w:r>
        <w:rPr>
          <w:rFonts w:hint="eastAsia" w:ascii="华文楷体" w:hAnsi="华文楷体" w:eastAsia="华文楷体" w:cs="华文楷体"/>
          <w:b/>
          <w:bCs/>
          <w:sz w:val="32"/>
          <w:szCs w:val="32"/>
        </w:rPr>
        <w:t>服务项目内容：</w:t>
      </w:r>
    </w:p>
    <w:p>
      <w:pPr>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建立</w:t>
      </w:r>
      <w:r>
        <w:rPr>
          <w:rFonts w:ascii="仿宋" w:hAnsi="仿宋" w:eastAsia="仿宋"/>
          <w:sz w:val="32"/>
          <w:szCs w:val="32"/>
        </w:rPr>
        <w:t>成都农交所</w:t>
      </w:r>
      <w:r>
        <w:rPr>
          <w:rFonts w:hint="eastAsia" w:ascii="仿宋" w:hAnsi="仿宋" w:eastAsia="仿宋"/>
          <w:sz w:val="32"/>
          <w:szCs w:val="32"/>
        </w:rPr>
        <w:t>德阳所绵竹交易中心（以下简称“绵竹交易中心”），</w:t>
      </w:r>
      <w:r>
        <w:rPr>
          <w:rFonts w:ascii="仿宋" w:hAnsi="仿宋" w:eastAsia="仿宋"/>
          <w:sz w:val="32"/>
          <w:szCs w:val="32"/>
        </w:rPr>
        <w:t>切实做到</w:t>
      </w:r>
      <w:r>
        <w:rPr>
          <w:rFonts w:hint="eastAsia" w:ascii="仿宋" w:hAnsi="仿宋" w:eastAsia="仿宋"/>
          <w:sz w:val="32"/>
          <w:szCs w:val="32"/>
        </w:rPr>
        <w:t>农村产权交易</w:t>
      </w:r>
      <w:r>
        <w:rPr>
          <w:rFonts w:ascii="仿宋" w:hAnsi="仿宋" w:eastAsia="仿宋"/>
          <w:sz w:val="32"/>
          <w:szCs w:val="32"/>
        </w:rPr>
        <w:t>“统一交易规则、统一交易鉴证、统一服务标准、统一交易监管、统一信息发布、统一诚信建设”</w:t>
      </w:r>
      <w:r>
        <w:rPr>
          <w:rFonts w:hint="eastAsia" w:ascii="仿宋" w:hAnsi="仿宋" w:eastAsia="仿宋"/>
          <w:sz w:val="32"/>
          <w:szCs w:val="32"/>
        </w:rPr>
        <w:t>。</w:t>
      </w:r>
    </w:p>
    <w:p>
      <w:pPr>
        <w:ind w:left="105" w:leftChars="50" w:firstLine="480" w:firstLineChars="15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按照《德阳市农村产权流转交易目录》（德办发〔201</w:t>
      </w:r>
      <w:r>
        <w:rPr>
          <w:rFonts w:ascii="仿宋" w:hAnsi="仿宋" w:eastAsia="仿宋"/>
          <w:sz w:val="32"/>
          <w:szCs w:val="32"/>
        </w:rPr>
        <w:t>7</w:t>
      </w:r>
      <w:r>
        <w:rPr>
          <w:rFonts w:hint="eastAsia" w:ascii="仿宋" w:hAnsi="仿宋" w:eastAsia="仿宋"/>
          <w:sz w:val="32"/>
          <w:szCs w:val="32"/>
        </w:rPr>
        <w:t>〕</w:t>
      </w:r>
      <w:r>
        <w:rPr>
          <w:rFonts w:ascii="仿宋" w:hAnsi="仿宋" w:eastAsia="仿宋"/>
          <w:sz w:val="32"/>
          <w:szCs w:val="32"/>
        </w:rPr>
        <w:t>62</w:t>
      </w:r>
      <w:r>
        <w:rPr>
          <w:rFonts w:hint="eastAsia" w:ascii="仿宋" w:hAnsi="仿宋" w:eastAsia="仿宋"/>
          <w:sz w:val="32"/>
          <w:szCs w:val="32"/>
        </w:rPr>
        <w:t>号）的要求进行绵竹市范围内的</w:t>
      </w:r>
      <w:r>
        <w:rPr>
          <w:rFonts w:ascii="仿宋" w:hAnsi="仿宋" w:eastAsia="仿宋"/>
          <w:sz w:val="32"/>
          <w:szCs w:val="32"/>
        </w:rPr>
        <w:t>农村产权流转信息发布</w:t>
      </w:r>
      <w:r>
        <w:rPr>
          <w:rFonts w:hint="eastAsia" w:ascii="仿宋" w:hAnsi="仿宋" w:eastAsia="仿宋"/>
          <w:sz w:val="32"/>
          <w:szCs w:val="32"/>
        </w:rPr>
        <w:t>与</w:t>
      </w:r>
      <w:r>
        <w:rPr>
          <w:rFonts w:ascii="仿宋" w:hAnsi="仿宋" w:eastAsia="仿宋"/>
          <w:sz w:val="32"/>
          <w:szCs w:val="32"/>
        </w:rPr>
        <w:t>交易组织</w:t>
      </w:r>
      <w:r>
        <w:rPr>
          <w:rFonts w:hint="eastAsia" w:ascii="仿宋" w:hAnsi="仿宋" w:eastAsia="仿宋"/>
          <w:sz w:val="32"/>
          <w:szCs w:val="32"/>
        </w:rPr>
        <w:t>，</w:t>
      </w:r>
      <w:r>
        <w:rPr>
          <w:rFonts w:ascii="仿宋" w:hAnsi="仿宋" w:eastAsia="仿宋"/>
          <w:sz w:val="32"/>
          <w:szCs w:val="32"/>
        </w:rPr>
        <w:t>开展流转政策</w:t>
      </w:r>
      <w:r>
        <w:rPr>
          <w:rFonts w:hint="eastAsia" w:ascii="仿宋" w:hAnsi="仿宋" w:eastAsia="仿宋"/>
          <w:sz w:val="32"/>
          <w:szCs w:val="32"/>
        </w:rPr>
        <w:t>咨询</w:t>
      </w:r>
      <w:r>
        <w:rPr>
          <w:rFonts w:ascii="仿宋" w:hAnsi="仿宋" w:eastAsia="仿宋"/>
          <w:sz w:val="32"/>
          <w:szCs w:val="32"/>
        </w:rPr>
        <w:t>、项目策划包装、投融资服务以及农村产权交割手续办理等</w:t>
      </w:r>
      <w:r>
        <w:rPr>
          <w:rFonts w:hint="eastAsia" w:ascii="仿宋" w:hAnsi="仿宋" w:eastAsia="仿宋"/>
          <w:sz w:val="32"/>
          <w:szCs w:val="32"/>
        </w:rPr>
        <w:t>服务工作。</w:t>
      </w:r>
    </w:p>
    <w:p>
      <w:pPr>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提供</w:t>
      </w:r>
      <w:r>
        <w:rPr>
          <w:rFonts w:ascii="仿宋" w:hAnsi="仿宋" w:eastAsia="仿宋"/>
          <w:sz w:val="32"/>
          <w:szCs w:val="32"/>
        </w:rPr>
        <w:t>绵竹市农村产权交易平台</w:t>
      </w:r>
      <w:r>
        <w:rPr>
          <w:rFonts w:hint="eastAsia" w:ascii="仿宋" w:hAnsi="仿宋" w:eastAsia="仿宋"/>
          <w:sz w:val="32"/>
          <w:szCs w:val="32"/>
        </w:rPr>
        <w:t>的网络</w:t>
      </w:r>
      <w:r>
        <w:rPr>
          <w:rFonts w:ascii="仿宋" w:hAnsi="仿宋" w:eastAsia="仿宋"/>
          <w:sz w:val="32"/>
          <w:szCs w:val="32"/>
        </w:rPr>
        <w:t>建设</w:t>
      </w:r>
      <w:r>
        <w:rPr>
          <w:rFonts w:hint="eastAsia" w:ascii="仿宋" w:hAnsi="仿宋" w:eastAsia="仿宋"/>
          <w:sz w:val="32"/>
          <w:szCs w:val="32"/>
        </w:rPr>
        <w:t>工作、负责软件平台</w:t>
      </w:r>
      <w:r>
        <w:rPr>
          <w:rFonts w:ascii="仿宋" w:hAnsi="仿宋" w:eastAsia="仿宋"/>
          <w:sz w:val="32"/>
          <w:szCs w:val="32"/>
        </w:rPr>
        <w:t>技术支持</w:t>
      </w:r>
      <w:r>
        <w:rPr>
          <w:rFonts w:hint="eastAsia" w:ascii="仿宋" w:hAnsi="仿宋" w:eastAsia="仿宋"/>
          <w:sz w:val="32"/>
          <w:szCs w:val="32"/>
        </w:rPr>
        <w:t>和</w:t>
      </w:r>
      <w:r>
        <w:rPr>
          <w:rFonts w:ascii="仿宋" w:hAnsi="仿宋" w:eastAsia="仿宋"/>
          <w:sz w:val="32"/>
          <w:szCs w:val="32"/>
        </w:rPr>
        <w:t xml:space="preserve">软件模块、交易网站模块建设及后台数据管理指导、交易竞价软件应用、后期培训工作； </w:t>
      </w:r>
    </w:p>
    <w:p>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为绵竹市农村产权交易</w:t>
      </w:r>
      <w:r>
        <w:rPr>
          <w:rFonts w:ascii="仿宋" w:hAnsi="仿宋" w:eastAsia="仿宋"/>
          <w:sz w:val="32"/>
          <w:szCs w:val="32"/>
        </w:rPr>
        <w:t>提供</w:t>
      </w:r>
      <w:r>
        <w:rPr>
          <w:rFonts w:hint="eastAsia" w:ascii="仿宋" w:hAnsi="仿宋" w:eastAsia="仿宋"/>
          <w:sz w:val="32"/>
          <w:szCs w:val="32"/>
        </w:rPr>
        <w:t>省、</w:t>
      </w:r>
      <w:r>
        <w:rPr>
          <w:rFonts w:ascii="仿宋" w:hAnsi="仿宋" w:eastAsia="仿宋"/>
          <w:sz w:val="32"/>
          <w:szCs w:val="32"/>
        </w:rPr>
        <w:t>市农村产权流转相关政策文件、操作实务、交易鉴证及典型案例</w:t>
      </w:r>
      <w:r>
        <w:rPr>
          <w:rFonts w:hint="eastAsia" w:ascii="仿宋" w:hAnsi="仿宋" w:eastAsia="仿宋"/>
          <w:sz w:val="32"/>
          <w:szCs w:val="32"/>
        </w:rPr>
        <w:t>，指导绵竹交易中心开展信息发布、交易组织、咨询服务、业务培训、经纪人队伍建设等相关工作</w:t>
      </w:r>
      <w:r>
        <w:rPr>
          <w:rFonts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5. 承担绵竹交易中心的工作经费、人工成本、日常开销等支出，以市场化手段开展交易中心的业务工作；</w:t>
      </w:r>
    </w:p>
    <w:p>
      <w:pPr>
        <w:ind w:firstLine="641" w:firstLineChars="200"/>
        <w:rPr>
          <w:rFonts w:ascii="仿宋" w:hAnsi="仿宋" w:eastAsia="仿宋"/>
          <w:b/>
          <w:bCs/>
          <w:sz w:val="32"/>
          <w:szCs w:val="32"/>
        </w:rPr>
      </w:pPr>
      <w:r>
        <w:rPr>
          <w:rFonts w:hint="eastAsia" w:ascii="华文楷体" w:hAnsi="华文楷体" w:eastAsia="华文楷体" w:cs="华文楷体"/>
          <w:b/>
          <w:bCs/>
          <w:sz w:val="32"/>
          <w:szCs w:val="32"/>
        </w:rPr>
        <w:t>项目分析评价：</w:t>
      </w:r>
    </w:p>
    <w:p>
      <w:pPr>
        <w:ind w:firstLine="640" w:firstLineChars="200"/>
        <w:rPr>
          <w:rFonts w:eastAsia="仿宋_GB2312"/>
          <w:sz w:val="32"/>
          <w:szCs w:val="32"/>
        </w:rPr>
      </w:pPr>
      <w:r>
        <w:rPr>
          <w:rFonts w:hint="eastAsia" w:ascii="仿宋" w:hAnsi="仿宋" w:eastAsia="仿宋"/>
          <w:sz w:val="32"/>
          <w:szCs w:val="32"/>
        </w:rPr>
        <w:t>绵竹服务中心202</w:t>
      </w:r>
      <w:r>
        <w:rPr>
          <w:rFonts w:hint="eastAsia" w:ascii="仿宋" w:hAnsi="仿宋" w:eastAsia="仿宋"/>
          <w:sz w:val="32"/>
          <w:szCs w:val="32"/>
          <w:lang w:val="en-US" w:eastAsia="zh-CN"/>
        </w:rPr>
        <w:t>1</w:t>
      </w:r>
      <w:r>
        <w:rPr>
          <w:rFonts w:hint="eastAsia" w:ascii="仿宋" w:hAnsi="仿宋" w:eastAsia="仿宋"/>
          <w:sz w:val="32"/>
          <w:szCs w:val="32"/>
        </w:rPr>
        <w:t>年</w:t>
      </w:r>
      <w:r>
        <w:rPr>
          <w:rFonts w:hint="eastAsia" w:ascii="仿宋" w:hAnsi="仿宋" w:eastAsia="仿宋"/>
          <w:sz w:val="32"/>
          <w:szCs w:val="32"/>
          <w:lang w:val="en-US" w:eastAsia="zh-CN"/>
        </w:rPr>
        <w:t>绵竹市农业农村工作目标任务</w:t>
      </w:r>
      <w:r>
        <w:rPr>
          <w:rFonts w:hint="eastAsia" w:ascii="仿宋" w:hAnsi="仿宋" w:eastAsia="仿宋"/>
          <w:sz w:val="32"/>
          <w:szCs w:val="32"/>
        </w:rPr>
        <w:t>3.9亿</w:t>
      </w:r>
      <w:r>
        <w:rPr>
          <w:rFonts w:hint="eastAsia" w:ascii="仿宋" w:hAnsi="仿宋" w:eastAsia="仿宋"/>
          <w:sz w:val="32"/>
          <w:szCs w:val="32"/>
          <w:lang w:val="en-US" w:eastAsia="zh-CN"/>
        </w:rPr>
        <w:t>以上超额</w:t>
      </w:r>
      <w:r>
        <w:rPr>
          <w:rFonts w:hint="eastAsia" w:ascii="仿宋" w:hAnsi="仿宋" w:eastAsia="仿宋"/>
          <w:sz w:val="32"/>
          <w:szCs w:val="32"/>
        </w:rPr>
        <w:t>完成，成都农</w:t>
      </w:r>
      <w:r>
        <w:rPr>
          <w:rFonts w:hint="eastAsia" w:ascii="仿宋" w:hAnsi="仿宋" w:eastAsia="仿宋"/>
          <w:sz w:val="32"/>
          <w:szCs w:val="32"/>
          <w:lang w:val="en-US" w:eastAsia="zh-CN"/>
        </w:rPr>
        <w:t>交所</w:t>
      </w:r>
      <w:r>
        <w:rPr>
          <w:rFonts w:hint="eastAsia" w:ascii="仿宋" w:hAnsi="仿宋" w:eastAsia="仿宋"/>
          <w:sz w:val="32"/>
          <w:szCs w:val="32"/>
        </w:rPr>
        <w:t>德阳所绵竹</w:t>
      </w:r>
      <w:r>
        <w:rPr>
          <w:rFonts w:hint="eastAsia" w:ascii="仿宋" w:hAnsi="仿宋" w:eastAsia="仿宋"/>
          <w:sz w:val="32"/>
          <w:szCs w:val="32"/>
          <w:lang w:val="en-US" w:eastAsia="zh-CN"/>
        </w:rPr>
        <w:t>服务</w:t>
      </w:r>
      <w:r>
        <w:rPr>
          <w:rFonts w:hint="eastAsia" w:ascii="仿宋" w:hAnsi="仿宋" w:eastAsia="仿宋"/>
          <w:sz w:val="32"/>
          <w:szCs w:val="32"/>
        </w:rPr>
        <w:t>中心202</w:t>
      </w:r>
      <w:r>
        <w:rPr>
          <w:rFonts w:hint="eastAsia" w:ascii="仿宋" w:hAnsi="仿宋" w:eastAsia="仿宋"/>
          <w:sz w:val="32"/>
          <w:szCs w:val="32"/>
          <w:lang w:val="en-US" w:eastAsia="zh-CN"/>
        </w:rPr>
        <w:t>1</w:t>
      </w:r>
      <w:r>
        <w:rPr>
          <w:rFonts w:hint="eastAsia" w:ascii="仿宋" w:hAnsi="仿宋" w:eastAsia="仿宋"/>
          <w:sz w:val="32"/>
          <w:szCs w:val="32"/>
        </w:rPr>
        <w:t>年截止到12月31日已挂牌成交项目共2</w:t>
      </w:r>
      <w:r>
        <w:rPr>
          <w:rFonts w:hint="eastAsia" w:ascii="仿宋" w:hAnsi="仿宋" w:eastAsia="仿宋"/>
          <w:sz w:val="32"/>
          <w:szCs w:val="32"/>
          <w:lang w:val="en-US" w:eastAsia="zh-CN"/>
        </w:rPr>
        <w:t>86</w:t>
      </w:r>
      <w:r>
        <w:rPr>
          <w:rFonts w:hint="eastAsia" w:ascii="仿宋" w:hAnsi="仿宋" w:eastAsia="仿宋"/>
          <w:sz w:val="32"/>
          <w:szCs w:val="32"/>
        </w:rPr>
        <w:t>宗，</w:t>
      </w:r>
      <w:r>
        <w:rPr>
          <w:rFonts w:hint="eastAsia" w:ascii="华文仿宋" w:hAnsi="华文仿宋" w:eastAsia="华文仿宋" w:cs="华文仿宋"/>
          <w:b w:val="0"/>
          <w:bCs w:val="0"/>
          <w:color w:val="000000"/>
          <w:sz w:val="32"/>
          <w:szCs w:val="32"/>
        </w:rPr>
        <w:t>累计交易金额</w:t>
      </w:r>
      <w:r>
        <w:rPr>
          <w:rFonts w:hint="eastAsia" w:ascii="华文仿宋" w:hAnsi="华文仿宋" w:eastAsia="华文仿宋" w:cs="华文仿宋"/>
          <w:b w:val="0"/>
          <w:bCs w:val="0"/>
          <w:color w:val="000000"/>
          <w:sz w:val="32"/>
          <w:szCs w:val="32"/>
          <w:lang w:val="en-US" w:eastAsia="zh-CN"/>
        </w:rPr>
        <w:t>4.003亿元</w:t>
      </w:r>
      <w:r>
        <w:rPr>
          <w:rFonts w:hint="eastAsia" w:ascii="华文仿宋" w:hAnsi="华文仿宋" w:eastAsia="华文仿宋" w:cs="华文仿宋"/>
          <w:b w:val="0"/>
          <w:bCs w:val="0"/>
          <w:color w:val="000000"/>
          <w:sz w:val="32"/>
          <w:szCs w:val="32"/>
        </w:rPr>
        <w:t>，累计交易面积9748.04亩</w:t>
      </w:r>
      <w:r>
        <w:rPr>
          <w:rFonts w:hint="eastAsia" w:ascii="华文仿宋" w:hAnsi="华文仿宋" w:eastAsia="华文仿宋" w:cs="华文仿宋"/>
          <w:b w:val="0"/>
          <w:bCs w:val="0"/>
          <w:color w:val="000000"/>
          <w:sz w:val="32"/>
          <w:szCs w:val="32"/>
          <w:lang w:eastAsia="zh-CN"/>
        </w:rPr>
        <w:t>。</w:t>
      </w:r>
    </w:p>
    <w:p>
      <w:pPr>
        <w:numPr>
          <w:ilvl w:val="0"/>
          <w:numId w:val="2"/>
        </w:numPr>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项目自评步骤及方法</w:t>
      </w:r>
    </w:p>
    <w:p>
      <w:pPr>
        <w:rPr>
          <w:rFonts w:eastAsia="仿宋_GB2312"/>
          <w:sz w:val="32"/>
          <w:szCs w:val="32"/>
        </w:rPr>
      </w:pPr>
      <w:r>
        <w:rPr>
          <w:rFonts w:hint="eastAsia" w:ascii="黑体" w:hAnsi="黑体" w:eastAsia="黑体" w:cs="黑体"/>
          <w:sz w:val="32"/>
          <w:szCs w:val="32"/>
        </w:rPr>
        <w:t xml:space="preserve">    </w:t>
      </w:r>
      <w:r>
        <w:rPr>
          <w:rFonts w:hint="eastAsia" w:eastAsia="仿宋_GB2312"/>
          <w:sz w:val="32"/>
          <w:szCs w:val="32"/>
          <w:lang w:val="en-US" w:eastAsia="zh-CN"/>
        </w:rPr>
        <w:t>成都农交所德阳所绵竹服务中心</w:t>
      </w: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年初向该项目主管部门绵竹市农业农村局提出申请对本年度30万元项目资金的拨付，绵竹市农业农村局对该项目按照政府项目履约验收流程进行验收，验收合格后由绵竹市农业农村局分两次拨付该项目资金。</w:t>
      </w:r>
    </w:p>
    <w:p>
      <w:pPr>
        <w:ind w:firstLine="320" w:firstLineChars="100"/>
        <w:rPr>
          <w:rFonts w:ascii="黑体" w:hAnsi="黑体" w:eastAsia="黑体" w:cs="黑体"/>
          <w:sz w:val="32"/>
          <w:szCs w:val="32"/>
        </w:rPr>
      </w:pPr>
      <w:r>
        <w:rPr>
          <w:rFonts w:hint="eastAsia" w:eastAsia="仿宋_GB2312"/>
          <w:sz w:val="32"/>
          <w:szCs w:val="32"/>
        </w:rPr>
        <w:t xml:space="preserve">  </w:t>
      </w:r>
      <w:r>
        <w:rPr>
          <w:rFonts w:hint="eastAsia" w:ascii="黑体" w:hAnsi="黑体" w:eastAsia="黑体" w:cs="黑体"/>
          <w:sz w:val="32"/>
          <w:szCs w:val="32"/>
        </w:rPr>
        <w:t>二、项目资金申报及批复情况</w:t>
      </w:r>
    </w:p>
    <w:p>
      <w:pPr>
        <w:ind w:firstLine="640" w:firstLineChars="200"/>
        <w:rPr>
          <w:rFonts w:eastAsia="仿宋_GB2312"/>
          <w:sz w:val="32"/>
          <w:szCs w:val="32"/>
        </w:rPr>
      </w:pPr>
      <w:r>
        <w:rPr>
          <w:rFonts w:hint="eastAsia" w:eastAsia="仿宋_GB2312"/>
          <w:sz w:val="32"/>
          <w:szCs w:val="32"/>
        </w:rPr>
        <w:t>该申请实施单位是成都农交所德阳农村产权交易有限公司，该公司财务管理制度健全，严格执行财务管理制度，财务处理及时，会计核算规范。</w:t>
      </w:r>
    </w:p>
    <w:p>
      <w:pPr>
        <w:ind w:left="420" w:leftChars="200" w:firstLine="320" w:firstLineChars="100"/>
        <w:rPr>
          <w:rFonts w:ascii="黑体" w:hAnsi="黑体" w:eastAsia="黑体" w:cs="黑体"/>
          <w:sz w:val="32"/>
          <w:szCs w:val="32"/>
        </w:rPr>
      </w:pPr>
      <w:r>
        <w:rPr>
          <w:rFonts w:hint="eastAsia" w:ascii="黑体" w:hAnsi="黑体" w:eastAsia="黑体" w:cs="黑体"/>
          <w:sz w:val="32"/>
          <w:szCs w:val="32"/>
        </w:rPr>
        <w:t>三、项目实施及管理情况</w:t>
      </w:r>
    </w:p>
    <w:p>
      <w:pPr>
        <w:ind w:firstLine="640" w:firstLineChars="200"/>
        <w:rPr>
          <w:rFonts w:ascii="仿宋" w:hAnsi="仿宋" w:eastAsia="仿宋"/>
          <w:sz w:val="32"/>
          <w:szCs w:val="32"/>
        </w:rPr>
      </w:pPr>
      <w:r>
        <w:rPr>
          <w:rFonts w:hint="eastAsia" w:ascii="仿宋" w:hAnsi="仿宋" w:eastAsia="仿宋"/>
          <w:sz w:val="32"/>
          <w:szCs w:val="32"/>
          <w:lang w:val="en-US" w:eastAsia="zh-CN"/>
        </w:rPr>
        <w:t>成都农交所德阳所</w:t>
      </w:r>
      <w:r>
        <w:rPr>
          <w:rFonts w:hint="eastAsia" w:ascii="仿宋" w:hAnsi="仿宋" w:eastAsia="仿宋"/>
          <w:sz w:val="32"/>
          <w:szCs w:val="32"/>
        </w:rPr>
        <w:t>绵竹服务中心以坚持和完善农村基本经营制度为前提，已保障农民和农村集体经济组织的财产权益为核心，以规范交易行为和完善服务功能为重点，扎实做好全市农村产权流转交易市场体系建设工作，充分发挥市场在资源配置中的决定性作用，根据市委、市政府创新改革、成德同城、统筹城乡的战略部署，依托成都农交所德阳所，按照“统一交易制度、统一交易后台、统一清算结算、统一产品规划、统一市场管理”的“五统一”管理模式，建成覆盖全市、功能齐全、规范有序的农村产权交易流转市场，促进农村生产要素在城乡之间自由流动，提升农村资产资源价值，增强农村经济发展活力，增加农民财产性收入，推进我市现代农业发展。</w:t>
      </w:r>
      <w:r>
        <w:rPr>
          <w:rFonts w:ascii="仿宋" w:hAnsi="仿宋" w:eastAsia="仿宋"/>
          <w:sz w:val="32"/>
          <w:szCs w:val="32"/>
        </w:rPr>
        <w:t xml:space="preserve"> </w:t>
      </w:r>
    </w:p>
    <w:p>
      <w:pPr>
        <w:ind w:firstLine="640" w:firstLineChars="200"/>
        <w:rPr>
          <w:rFonts w:ascii="黑体" w:hAnsi="黑体" w:eastAsia="黑体" w:cs="黑体"/>
          <w:sz w:val="32"/>
          <w:szCs w:val="32"/>
        </w:rPr>
      </w:pPr>
      <w:r>
        <w:rPr>
          <w:rFonts w:hint="eastAsia" w:ascii="黑体" w:hAnsi="黑体" w:eastAsia="黑体" w:cs="黑体"/>
          <w:sz w:val="32"/>
          <w:szCs w:val="32"/>
        </w:rPr>
        <w:t>四、项目绩效情况</w:t>
      </w:r>
    </w:p>
    <w:p>
      <w:pPr>
        <w:ind w:firstLine="643" w:firstLineChars="200"/>
        <w:rPr>
          <w:rFonts w:eastAsia="仿宋_GB2312"/>
          <w:b/>
          <w:bCs/>
          <w:sz w:val="32"/>
          <w:szCs w:val="32"/>
        </w:rPr>
      </w:pPr>
      <w:r>
        <w:rPr>
          <w:rFonts w:hint="eastAsia" w:eastAsia="仿宋_GB2312"/>
          <w:b/>
          <w:bCs/>
          <w:sz w:val="32"/>
          <w:szCs w:val="32"/>
        </w:rPr>
        <w:t>（一）项目完成情况</w:t>
      </w:r>
    </w:p>
    <w:p>
      <w:pPr>
        <w:ind w:firstLine="640" w:firstLineChars="200"/>
        <w:rPr>
          <w:rFonts w:eastAsia="仿宋_GB2312"/>
          <w:b/>
          <w:bCs/>
          <w:sz w:val="32"/>
          <w:szCs w:val="32"/>
        </w:rPr>
      </w:pPr>
      <w:r>
        <w:rPr>
          <w:rFonts w:hint="eastAsia" w:ascii="华文仿宋" w:hAnsi="华文仿宋" w:eastAsia="华文仿宋" w:cs="华文仿宋"/>
          <w:b w:val="0"/>
          <w:bCs w:val="0"/>
          <w:color w:val="000000"/>
          <w:sz w:val="32"/>
          <w:szCs w:val="32"/>
          <w:lang w:val="en-US" w:eastAsia="zh-CN"/>
        </w:rPr>
        <w:t>2021年共</w:t>
      </w:r>
      <w:r>
        <w:rPr>
          <w:rFonts w:hint="eastAsia" w:ascii="华文仿宋" w:hAnsi="华文仿宋" w:eastAsia="华文仿宋" w:cs="华文仿宋"/>
          <w:b w:val="0"/>
          <w:bCs w:val="0"/>
          <w:color w:val="000000"/>
          <w:sz w:val="32"/>
          <w:szCs w:val="32"/>
        </w:rPr>
        <w:t>挂牌成交项目共286宗，累计交易金额</w:t>
      </w:r>
      <w:r>
        <w:rPr>
          <w:rFonts w:hint="eastAsia" w:ascii="华文仿宋" w:hAnsi="华文仿宋" w:eastAsia="华文仿宋" w:cs="华文仿宋"/>
          <w:b w:val="0"/>
          <w:bCs w:val="0"/>
          <w:color w:val="000000"/>
          <w:sz w:val="32"/>
          <w:szCs w:val="32"/>
          <w:lang w:val="en-US" w:eastAsia="zh-CN"/>
        </w:rPr>
        <w:t>4.003亿元</w:t>
      </w:r>
      <w:r>
        <w:rPr>
          <w:rFonts w:hint="eastAsia" w:ascii="华文仿宋" w:hAnsi="华文仿宋" w:eastAsia="华文仿宋" w:cs="华文仿宋"/>
          <w:b w:val="0"/>
          <w:bCs w:val="0"/>
          <w:color w:val="000000"/>
          <w:sz w:val="32"/>
          <w:szCs w:val="32"/>
        </w:rPr>
        <w:t>，累计交易面积9748.04亩。</w:t>
      </w:r>
      <w:r>
        <w:rPr>
          <w:rFonts w:hint="eastAsia" w:ascii="仿宋" w:hAnsi="仿宋" w:eastAsia="仿宋"/>
          <w:sz w:val="32"/>
          <w:szCs w:val="32"/>
        </w:rPr>
        <w:t>提前超额完成德阳市下达绵竹市</w:t>
      </w:r>
      <w:r>
        <w:rPr>
          <w:rFonts w:hint="eastAsia" w:ascii="仿宋" w:hAnsi="仿宋" w:eastAsia="仿宋"/>
          <w:sz w:val="32"/>
          <w:szCs w:val="32"/>
          <w:lang w:val="en-US" w:eastAsia="zh-CN"/>
        </w:rPr>
        <w:t>农业农村工作目标任务</w:t>
      </w:r>
      <w:r>
        <w:rPr>
          <w:rFonts w:hint="eastAsia" w:ascii="仿宋" w:hAnsi="仿宋" w:eastAsia="仿宋"/>
          <w:sz w:val="32"/>
          <w:szCs w:val="32"/>
        </w:rPr>
        <w:t>。</w:t>
      </w:r>
    </w:p>
    <w:p>
      <w:pPr>
        <w:numPr>
          <w:ilvl w:val="0"/>
          <w:numId w:val="3"/>
        </w:numPr>
        <w:ind w:firstLine="643" w:firstLineChars="200"/>
        <w:rPr>
          <w:rFonts w:eastAsia="仿宋_GB2312"/>
          <w:b/>
          <w:bCs/>
          <w:sz w:val="32"/>
          <w:szCs w:val="32"/>
        </w:rPr>
      </w:pPr>
      <w:r>
        <w:rPr>
          <w:rFonts w:hint="eastAsia" w:eastAsia="仿宋_GB2312"/>
          <w:b/>
          <w:bCs/>
          <w:sz w:val="32"/>
          <w:szCs w:val="32"/>
        </w:rPr>
        <w:t>项目效益情况</w:t>
      </w:r>
    </w:p>
    <w:p>
      <w:pPr>
        <w:ind w:firstLine="640" w:firstLineChars="200"/>
        <w:rPr>
          <w:rFonts w:eastAsia="仿宋_GB2312"/>
          <w:sz w:val="32"/>
          <w:szCs w:val="32"/>
        </w:rPr>
      </w:pPr>
      <w:r>
        <w:rPr>
          <w:rFonts w:hint="eastAsia" w:eastAsia="仿宋_GB2312"/>
          <w:sz w:val="32"/>
          <w:szCs w:val="32"/>
        </w:rPr>
        <w:t>绵竹农村产权交易中心202</w:t>
      </w:r>
      <w:r>
        <w:rPr>
          <w:rFonts w:hint="eastAsia" w:eastAsia="仿宋_GB2312"/>
          <w:sz w:val="32"/>
          <w:szCs w:val="32"/>
          <w:lang w:val="en-US" w:eastAsia="zh-CN"/>
        </w:rPr>
        <w:t>1</w:t>
      </w:r>
      <w:r>
        <w:rPr>
          <w:rFonts w:hint="eastAsia" w:eastAsia="仿宋_GB2312"/>
          <w:sz w:val="32"/>
          <w:szCs w:val="32"/>
        </w:rPr>
        <w:t>年在农村产权交易工作中继续坚持以公益性和服务性，机构改革和村级建级改革后，闲置集体资产增多，绵竹服务中心主动对接各镇（街道）、村，开展</w:t>
      </w:r>
      <w:r>
        <w:rPr>
          <w:rFonts w:hint="eastAsia" w:eastAsia="仿宋_GB2312"/>
          <w:sz w:val="32"/>
          <w:szCs w:val="32"/>
          <w:lang w:val="en-US" w:eastAsia="zh-CN"/>
        </w:rPr>
        <w:t>政策指导和业务</w:t>
      </w:r>
      <w:r>
        <w:rPr>
          <w:rFonts w:hint="eastAsia" w:eastAsia="仿宋_GB2312"/>
          <w:sz w:val="32"/>
          <w:szCs w:val="32"/>
        </w:rPr>
        <w:t>10余次，为指导集体经济组织规范流转100余次，减免集体经济组织和农户的各类交易服务费</w:t>
      </w:r>
      <w:r>
        <w:rPr>
          <w:rFonts w:hint="eastAsia" w:eastAsia="仿宋_GB2312"/>
          <w:sz w:val="32"/>
          <w:szCs w:val="32"/>
          <w:lang w:val="en-US" w:eastAsia="zh-CN"/>
        </w:rPr>
        <w:t>49.36万元</w:t>
      </w:r>
      <w:r>
        <w:rPr>
          <w:rFonts w:hint="eastAsia" w:eastAsia="仿宋_GB2312"/>
          <w:sz w:val="32"/>
          <w:szCs w:val="32"/>
        </w:rPr>
        <w:t>，增加集体经济收</w:t>
      </w:r>
      <w:r>
        <w:rPr>
          <w:rFonts w:hint="eastAsia" w:eastAsia="仿宋_GB2312"/>
          <w:sz w:val="32"/>
          <w:szCs w:val="32"/>
          <w:lang w:val="en-US" w:eastAsia="zh-CN"/>
        </w:rPr>
        <w:t>832</w:t>
      </w:r>
      <w:r>
        <w:rPr>
          <w:rFonts w:hint="eastAsia" w:eastAsia="仿宋_GB2312"/>
          <w:sz w:val="32"/>
          <w:szCs w:val="32"/>
        </w:rPr>
        <w:t>万元，增加农民收入4</w:t>
      </w:r>
      <w:r>
        <w:rPr>
          <w:rFonts w:hint="eastAsia" w:eastAsia="仿宋_GB2312"/>
          <w:sz w:val="32"/>
          <w:szCs w:val="32"/>
          <w:lang w:val="en-US" w:eastAsia="zh-CN"/>
        </w:rPr>
        <w:t>036</w:t>
      </w:r>
      <w:r>
        <w:rPr>
          <w:rFonts w:hint="eastAsia" w:eastAsia="仿宋_GB2312"/>
          <w:sz w:val="32"/>
          <w:szCs w:val="32"/>
        </w:rPr>
        <w:t>万元。绵竹服务中心的工作受到了社会各界特别是集体经济组织和农户及各种养殖大户的普遍好评，他们认为成都农交所德阳所官方交易平台是一个真正公开、公平、规范的农村产权交易平台，既增加了集体和农记有财产性收入也从源头上防止微腐败的发生。</w:t>
      </w:r>
    </w:p>
    <w:p>
      <w:pPr>
        <w:numPr>
          <w:ilvl w:val="0"/>
          <w:numId w:val="4"/>
        </w:numPr>
        <w:ind w:firstLine="640" w:firstLineChars="200"/>
        <w:rPr>
          <w:rFonts w:ascii="黑体" w:hAnsi="黑体" w:eastAsia="黑体" w:cs="黑体"/>
          <w:sz w:val="32"/>
          <w:szCs w:val="32"/>
        </w:rPr>
      </w:pPr>
      <w:r>
        <w:rPr>
          <w:rFonts w:hint="eastAsia" w:ascii="黑体" w:hAnsi="黑体" w:eastAsia="黑体" w:cs="黑体"/>
          <w:sz w:val="32"/>
          <w:szCs w:val="32"/>
        </w:rPr>
        <w:t>评价结论及建议</w:t>
      </w:r>
    </w:p>
    <w:p>
      <w:pPr>
        <w:rPr>
          <w:rFonts w:eastAsia="仿宋_GB2312"/>
          <w:b/>
          <w:bCs/>
          <w:sz w:val="32"/>
          <w:szCs w:val="32"/>
        </w:rPr>
      </w:pPr>
      <w:r>
        <w:rPr>
          <w:rFonts w:hint="eastAsia" w:ascii="黑体" w:hAnsi="黑体" w:eastAsia="黑体" w:cs="黑体"/>
          <w:sz w:val="32"/>
          <w:szCs w:val="32"/>
        </w:rPr>
        <w:t xml:space="preserve">  </w:t>
      </w:r>
      <w:r>
        <w:rPr>
          <w:rFonts w:hint="eastAsia" w:eastAsia="仿宋_GB2312"/>
          <w:b/>
          <w:bCs/>
          <w:sz w:val="32"/>
          <w:szCs w:val="32"/>
        </w:rPr>
        <w:t xml:space="preserve"> （一）评价结论</w:t>
      </w:r>
    </w:p>
    <w:p>
      <w:pPr>
        <w:ind w:firstLine="320" w:firstLineChars="100"/>
        <w:rPr>
          <w:rFonts w:eastAsia="仿宋_GB2312"/>
          <w:sz w:val="32"/>
          <w:szCs w:val="32"/>
        </w:rPr>
      </w:pPr>
      <w:r>
        <w:rPr>
          <w:rFonts w:hint="eastAsia" w:eastAsia="仿宋_GB2312"/>
          <w:sz w:val="32"/>
          <w:szCs w:val="32"/>
        </w:rPr>
        <w:t xml:space="preserve">  成都农交所德阳所绵竹服务中心202</w:t>
      </w:r>
      <w:r>
        <w:rPr>
          <w:rFonts w:hint="eastAsia" w:eastAsia="仿宋_GB2312"/>
          <w:sz w:val="32"/>
          <w:szCs w:val="32"/>
          <w:lang w:val="en-US" w:eastAsia="zh-CN"/>
        </w:rPr>
        <w:t>1</w:t>
      </w:r>
      <w:r>
        <w:rPr>
          <w:rFonts w:hint="eastAsia" w:eastAsia="仿宋_GB2312"/>
          <w:sz w:val="32"/>
          <w:szCs w:val="32"/>
        </w:rPr>
        <w:t>年各项工作正常开展，办公室设在绵竹市人民政府行政服务中心A区四楼，有三名专职工作人员，主要从事绵竹区域范围内的农业产权交易流转工作和农村产权交易体系建设工作。各项工作在德阳六县区均名列前茅，</w:t>
      </w:r>
      <w:r>
        <w:rPr>
          <w:rFonts w:hint="eastAsia" w:ascii="华文仿宋" w:hAnsi="华文仿宋" w:eastAsia="华文仿宋" w:cs="华文仿宋"/>
          <w:color w:val="000000"/>
          <w:sz w:val="32"/>
          <w:szCs w:val="32"/>
        </w:rPr>
        <w:t>在做好传统业务服务的同时，努力拓展业务辐射范围的深度和广度，</w:t>
      </w:r>
      <w:r>
        <w:rPr>
          <w:rFonts w:hint="eastAsia" w:eastAsia="仿宋_GB2312"/>
          <w:sz w:val="32"/>
          <w:szCs w:val="32"/>
        </w:rPr>
        <w:t xml:space="preserve">并取得多个全国第一、全省第一，受到社会各界的好评的赞誉。在土地规范流转工作和集体资产处置中，通过公开阳光的流转，为增加集体和农户的财产性收入，保护基层干部和乡村振兴做出了积极的贡献。  </w:t>
      </w:r>
    </w:p>
    <w:p>
      <w:pPr>
        <w:ind w:left="420" w:leftChars="200" w:firstLine="321" w:firstLineChars="100"/>
        <w:rPr>
          <w:rFonts w:eastAsia="仿宋_GB2312"/>
          <w:b/>
          <w:bCs/>
          <w:sz w:val="32"/>
          <w:szCs w:val="32"/>
        </w:rPr>
      </w:pPr>
      <w:r>
        <w:rPr>
          <w:rFonts w:hint="eastAsia" w:eastAsia="仿宋_GB2312"/>
          <w:b/>
          <w:bCs/>
          <w:sz w:val="32"/>
          <w:szCs w:val="32"/>
        </w:rPr>
        <w:t>（二）存在的问题</w:t>
      </w:r>
    </w:p>
    <w:p>
      <w:pPr>
        <w:ind w:firstLine="640" w:firstLineChars="20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 xml:space="preserve"> </w:t>
      </w:r>
      <w:r>
        <w:rPr>
          <w:rFonts w:hint="eastAsia"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机构改革后部门职能和相关领导有变动，绵竹市还未调整市农村产权流转交易监督管理委员会的组成人员和责任单位。调整后的农村产权交易监督管理委员会由市政府分管领导为主任，农业农村局、自然资源局、发改局、国资委、科知局、财政局、住建局、水务局、金融局、公共资源交易中心、纪检监察机关等部门为成员，并根据职责分工，做好有关政策制定、业务指导的组织协调工作，切实加强组织领导和监督管理。</w:t>
      </w:r>
    </w:p>
    <w:p>
      <w:pPr>
        <w:ind w:firstLine="640" w:firstLineChars="200"/>
        <w:rPr>
          <w:rFonts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绵竹市范围内大部分集体资产</w:t>
      </w:r>
      <w:r>
        <w:rPr>
          <w:rFonts w:hint="eastAsia" w:ascii="Times New Roman" w:hAnsi="Times New Roman" w:eastAsia="仿宋_GB2312" w:cs="Times New Roman"/>
          <w:sz w:val="32"/>
          <w:szCs w:val="32"/>
        </w:rPr>
        <w:t>基本实现“应进必进”，但</w:t>
      </w:r>
      <w:r>
        <w:rPr>
          <w:rFonts w:hint="eastAsia" w:ascii="Times New Roman" w:hAnsi="Times New Roman" w:eastAsia="仿宋_GB2312" w:cs="Times New Roman"/>
          <w:sz w:val="32"/>
          <w:szCs w:val="32"/>
          <w:lang w:val="en-US" w:eastAsia="zh-CN"/>
        </w:rPr>
        <w:t>部分村、组</w:t>
      </w:r>
      <w:r>
        <w:rPr>
          <w:rFonts w:hint="eastAsia" w:ascii="Times New Roman" w:hAnsi="Times New Roman" w:eastAsia="仿宋_GB2312" w:cs="Times New Roman"/>
          <w:sz w:val="32"/>
          <w:szCs w:val="32"/>
        </w:rPr>
        <w:t>集体</w:t>
      </w:r>
      <w:r>
        <w:rPr>
          <w:rFonts w:hint="eastAsia" w:ascii="Times New Roman" w:hAnsi="Times New Roman" w:eastAsia="仿宋_GB2312" w:cs="Times New Roman"/>
          <w:sz w:val="32"/>
          <w:szCs w:val="32"/>
          <w:lang w:val="en-US" w:eastAsia="zh-CN"/>
        </w:rPr>
        <w:t>资产</w:t>
      </w:r>
      <w:r>
        <w:rPr>
          <w:rFonts w:hint="eastAsia" w:ascii="Times New Roman" w:hAnsi="Times New Roman" w:eastAsia="仿宋_GB2312" w:cs="Times New Roman"/>
          <w:sz w:val="32"/>
          <w:szCs w:val="32"/>
        </w:rPr>
        <w:t>、集体经济组织采购及非公开招标仍存在场外交易</w:t>
      </w:r>
      <w:r>
        <w:rPr>
          <w:rFonts w:hint="eastAsia" w:ascii="Times New Roman" w:hAnsi="Times New Roman" w:eastAsia="仿宋_GB2312" w:cs="Times New Roman"/>
          <w:sz w:val="32"/>
          <w:szCs w:val="32"/>
          <w:lang w:val="en-US" w:eastAsia="zh-CN"/>
        </w:rPr>
        <w:t>现象</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市纪委监委应</w:t>
      </w:r>
      <w:r>
        <w:rPr>
          <w:rFonts w:hint="eastAsia" w:ascii="Times New Roman" w:hAnsi="Times New Roman" w:eastAsia="仿宋_GB2312" w:cs="Times New Roman"/>
          <w:sz w:val="32"/>
          <w:szCs w:val="32"/>
        </w:rPr>
        <w:t>加强场外交易监管，依纪依规严肃查处场外交易行为；同时，将县、乡、村三级农村产权交易体系建设工作纳入</w:t>
      </w:r>
      <w:r>
        <w:rPr>
          <w:rFonts w:hint="eastAsia" w:ascii="Times New Roman" w:hAnsi="Times New Roman" w:eastAsia="仿宋_GB2312" w:cs="Times New Roman"/>
          <w:sz w:val="32"/>
          <w:szCs w:val="32"/>
          <w:lang w:val="en-US" w:eastAsia="zh-CN"/>
        </w:rPr>
        <w:t>绵竹市</w:t>
      </w:r>
      <w:r>
        <w:rPr>
          <w:rFonts w:hint="eastAsia" w:ascii="Times New Roman" w:hAnsi="Times New Roman" w:eastAsia="仿宋_GB2312" w:cs="Times New Roman"/>
          <w:sz w:val="32"/>
          <w:szCs w:val="32"/>
        </w:rPr>
        <w:t>对镇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街道</w:t>
      </w:r>
      <w:r>
        <w:rPr>
          <w:rFonts w:hint="eastAsia" w:ascii="Times New Roman" w:hAnsi="Times New Roman" w:eastAsia="仿宋_GB2312" w:cs="Times New Roman"/>
          <w:sz w:val="32"/>
          <w:szCs w:val="32"/>
        </w:rPr>
        <w:t>）目标督办考核，制定考核标准和办法，加快农村产权流转交易工作的落实与推进，保障农村产权流转市场健康、有序运行。</w:t>
      </w:r>
    </w:p>
    <w:p>
      <w:pPr>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绵竹市集体资产公开入场交易已基本常态化，2021年集体资产成交35宗，其中电子竞价8宗；非政府采购33宗和限下工程招标43宗。2022年目前已挂牌成交23宗集体资产项目。绵竹服务中心目前只有两间办公室，没有开标场地，急需一间开标室，通过硬件设施的完善，以便能规范、高效的开展竞价和招标工作。</w:t>
      </w:r>
    </w:p>
    <w:p>
      <w:pPr>
        <w:ind w:firstLine="640" w:firstLineChars="200"/>
        <w:rPr>
          <w:rFonts w:ascii="Times New Roman" w:hAnsi="Times New Roman" w:eastAsia="楷体" w:cs="Times New Roman"/>
          <w:sz w:val="32"/>
          <w:szCs w:val="32"/>
        </w:rPr>
      </w:pP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val="en-US" w:eastAsia="zh-CN"/>
        </w:rPr>
        <w:t>绵竹市目前</w:t>
      </w:r>
      <w:r>
        <w:rPr>
          <w:rFonts w:ascii="Times New Roman" w:hAnsi="Times New Roman" w:eastAsia="仿宋_GB2312" w:cs="Times New Roman"/>
          <w:sz w:val="32"/>
          <w:szCs w:val="32"/>
        </w:rPr>
        <w:t>集体经济组织的采购和非公开招标工程项目</w:t>
      </w:r>
      <w:r>
        <w:rPr>
          <w:rFonts w:hint="eastAsia" w:ascii="Times New Roman" w:hAnsi="Times New Roman" w:eastAsia="仿宋_GB2312" w:cs="Times New Roman"/>
          <w:sz w:val="32"/>
          <w:szCs w:val="32"/>
          <w:lang w:val="en-US" w:eastAsia="zh-CN"/>
        </w:rPr>
        <w:t>还有大部分未纳入平台公开招标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还存在监管空白。</w:t>
      </w:r>
      <w:r>
        <w:rPr>
          <w:rFonts w:ascii="Times New Roman" w:hAnsi="Times New Roman" w:eastAsia="仿宋_GB2312" w:cs="Times New Roman"/>
          <w:sz w:val="32"/>
          <w:szCs w:val="32"/>
        </w:rPr>
        <w:t>旌阳区、什邡市、广汉市、中江县等地区</w:t>
      </w:r>
      <w:r>
        <w:rPr>
          <w:rFonts w:hint="eastAsia" w:ascii="Times New Roman" w:hAnsi="Times New Roman" w:eastAsia="仿宋_GB2312" w:cs="Times New Roman"/>
          <w:sz w:val="32"/>
          <w:szCs w:val="32"/>
          <w:lang w:val="en-US" w:eastAsia="zh-CN"/>
        </w:rPr>
        <w:t>已</w:t>
      </w:r>
      <w:r>
        <w:rPr>
          <w:rFonts w:ascii="Times New Roman" w:hAnsi="Times New Roman" w:eastAsia="仿宋_GB2312" w:cs="Times New Roman"/>
          <w:sz w:val="32"/>
          <w:szCs w:val="32"/>
        </w:rPr>
        <w:t>陆续出台相关文件，</w:t>
      </w:r>
      <w:r>
        <w:rPr>
          <w:rFonts w:hint="eastAsia" w:ascii="Times New Roman" w:hAnsi="Times New Roman" w:eastAsia="仿宋_GB2312" w:cs="Times New Roman"/>
          <w:sz w:val="32"/>
          <w:szCs w:val="32"/>
          <w:lang w:val="en-US" w:eastAsia="zh-CN"/>
        </w:rPr>
        <w:t>将</w:t>
      </w:r>
      <w:r>
        <w:rPr>
          <w:rFonts w:ascii="Times New Roman" w:hAnsi="Times New Roman" w:eastAsia="仿宋_GB2312" w:cs="Times New Roman"/>
          <w:sz w:val="32"/>
          <w:szCs w:val="32"/>
        </w:rPr>
        <w:t>集体经济组织的采购和非公开招标工程项目业务</w:t>
      </w:r>
      <w:r>
        <w:rPr>
          <w:rFonts w:hint="eastAsia" w:ascii="Times New Roman" w:hAnsi="Times New Roman" w:eastAsia="仿宋_GB2312" w:cs="Times New Roman"/>
          <w:sz w:val="32"/>
          <w:szCs w:val="32"/>
          <w:lang w:val="en-US" w:eastAsia="zh-CN"/>
        </w:rPr>
        <w:t>全部</w:t>
      </w:r>
      <w:r>
        <w:rPr>
          <w:rFonts w:ascii="Times New Roman" w:hAnsi="Times New Roman" w:eastAsia="仿宋_GB2312" w:cs="Times New Roman"/>
          <w:sz w:val="32"/>
          <w:szCs w:val="32"/>
        </w:rPr>
        <w:t>入场公开交易。</w:t>
      </w:r>
    </w:p>
    <w:p>
      <w:pPr>
        <w:ind w:firstLine="643" w:firstLineChars="200"/>
        <w:rPr>
          <w:rFonts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（三）相关建议</w:t>
      </w:r>
    </w:p>
    <w:p>
      <w:pPr>
        <w:pStyle w:val="2"/>
        <w:widowControl/>
        <w:spacing w:after="0" w:line="21" w:lineRule="atLeas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根据中、省市各级农村产权交易体系建设和乡村振兴工作的相关要求，各级政府要进一步制定完善相关政策，推进各类农村产权入场流转交易，加大对农村产权流转交易市场建设的支持力度，绵竹市人民政府按</w:t>
      </w:r>
      <w:r>
        <w:rPr>
          <w:rFonts w:hint="eastAsia" w:ascii="仿宋_GB2312" w:hAnsi="仿宋_GB2312" w:eastAsia="仿宋_GB2312" w:cs="仿宋_GB2312"/>
          <w:color w:val="000000"/>
          <w:sz w:val="32"/>
          <w:szCs w:val="32"/>
          <w:shd w:val="clear" w:color="auto" w:fill="FFFFFF"/>
        </w:rPr>
        <w:t>德办发[2020]55号文件相关要求</w:t>
      </w:r>
      <w:r>
        <w:rPr>
          <w:rFonts w:hint="eastAsia" w:ascii="仿宋_GB2312" w:eastAsia="仿宋_GB2312"/>
          <w:sz w:val="32"/>
          <w:szCs w:val="32"/>
        </w:rPr>
        <w:t>继续对农村产权交易平台运营给予适当财政补助，按规定落实税收优惠政策，免费提供办公场所和服务窗口。建议绵竹市财政局尽快落实202</w:t>
      </w:r>
      <w:r>
        <w:rPr>
          <w:rFonts w:hint="eastAsia" w:ascii="仿宋_GB2312" w:eastAsia="仿宋_GB2312"/>
          <w:sz w:val="32"/>
          <w:szCs w:val="32"/>
          <w:lang w:val="en-US" w:eastAsia="zh-CN"/>
        </w:rPr>
        <w:t>2</w:t>
      </w:r>
      <w:r>
        <w:rPr>
          <w:rFonts w:hint="eastAsia" w:ascii="仿宋_GB2312" w:eastAsia="仿宋_GB2312"/>
          <w:sz w:val="32"/>
          <w:szCs w:val="32"/>
        </w:rPr>
        <w:t>年度对本级农村产权交易工作的30万定额营运补助，并纳入本级财政年度预算。</w:t>
      </w:r>
      <w:r>
        <w:rPr>
          <w:rFonts w:hint="eastAsia" w:ascii="仿宋_GB2312" w:eastAsia="仿宋_GB2312"/>
          <w:sz w:val="32"/>
          <w:szCs w:val="32"/>
          <w:lang w:val="en-US" w:eastAsia="zh-CN"/>
        </w:rPr>
        <w:t>2023年度政府定额营运补助按50万元预算。</w:t>
      </w:r>
    </w:p>
    <w:p>
      <w:pPr>
        <w:pStyle w:val="2"/>
        <w:widowControl/>
        <w:spacing w:after="0" w:line="21" w:lineRule="atLeas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rPr>
        <w:t>2、</w:t>
      </w:r>
      <w:r>
        <w:rPr>
          <w:rFonts w:hint="eastAsia" w:ascii="仿宋_GB2312" w:eastAsia="仿宋_GB2312"/>
          <w:sz w:val="32"/>
          <w:szCs w:val="32"/>
          <w:lang w:val="en-US" w:eastAsia="zh-CN"/>
        </w:rPr>
        <w:t>根据中共德阳市委办公室、德阳市人民政府办公室印发《关于进一步盘活农村土地资源高质量推进乡村振兴的意见》德委办[2022]3号文件要求，第十七条“进一步健全完善成都农交所德阳所市、县、乡、村四级交易服务体系建设</w:t>
      </w: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加大对成都农交所德阳所的财政支持力度，成都农交所德阳所对市域内集体林权、农村承包土地经营权、农村闲置住宅使用权、四荒地承包经营权、农村水域滩涂经营权、农业生产设施所有权使用权、集体经济组织股权、集体经营性资产等流转交易实行交易双方全部免缴服务费，各区（市、县）对流入方当年实际免缴的服务费予以另行补贴</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val="en-US" w:eastAsia="zh-CN"/>
        </w:rPr>
        <w:t>绵竹市财政局应按照文件要求将成都农交所德阳所绵竹服务中心2022年减免服务费纳入2023年财政预算予以补贴。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4A1A50"/>
    <w:multiLevelType w:val="singleLevel"/>
    <w:tmpl w:val="B34A1A50"/>
    <w:lvl w:ilvl="0" w:tentative="0">
      <w:start w:val="5"/>
      <w:numFmt w:val="chineseCounting"/>
      <w:suff w:val="nothing"/>
      <w:lvlText w:val="%1、"/>
      <w:lvlJc w:val="left"/>
      <w:rPr>
        <w:rFonts w:hint="eastAsia"/>
      </w:rPr>
    </w:lvl>
  </w:abstractNum>
  <w:abstractNum w:abstractNumId="1">
    <w:nsid w:val="BFF8A24B"/>
    <w:multiLevelType w:val="singleLevel"/>
    <w:tmpl w:val="BFF8A24B"/>
    <w:lvl w:ilvl="0" w:tentative="0">
      <w:start w:val="1"/>
      <w:numFmt w:val="chineseCounting"/>
      <w:suff w:val="nothing"/>
      <w:lvlText w:val="%1、"/>
      <w:lvlJc w:val="left"/>
      <w:rPr>
        <w:rFonts w:hint="eastAsia"/>
      </w:rPr>
    </w:lvl>
  </w:abstractNum>
  <w:abstractNum w:abstractNumId="2">
    <w:nsid w:val="C5287FF6"/>
    <w:multiLevelType w:val="singleLevel"/>
    <w:tmpl w:val="C5287FF6"/>
    <w:lvl w:ilvl="0" w:tentative="0">
      <w:start w:val="3"/>
      <w:numFmt w:val="chineseCounting"/>
      <w:suff w:val="nothing"/>
      <w:lvlText w:val="（%1）"/>
      <w:lvlJc w:val="left"/>
      <w:rPr>
        <w:rFonts w:hint="eastAsia"/>
      </w:rPr>
    </w:lvl>
  </w:abstractNum>
  <w:abstractNum w:abstractNumId="3">
    <w:nsid w:val="CCE2FC3B"/>
    <w:multiLevelType w:val="singleLevel"/>
    <w:tmpl w:val="CCE2FC3B"/>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YzcxNmFjOWU0MDU0NjVlZWM4NTczMTA1ZTYwMDYifQ=="/>
  </w:docVars>
  <w:rsids>
    <w:rsidRoot w:val="0F2F487F"/>
    <w:rsid w:val="000D3516"/>
    <w:rsid w:val="006D7B11"/>
    <w:rsid w:val="00A96F64"/>
    <w:rsid w:val="00AB4C19"/>
    <w:rsid w:val="00BA58CC"/>
    <w:rsid w:val="061E77B5"/>
    <w:rsid w:val="09EA6797"/>
    <w:rsid w:val="0F2F487F"/>
    <w:rsid w:val="17E20184"/>
    <w:rsid w:val="1BA134CF"/>
    <w:rsid w:val="1CCB49AB"/>
    <w:rsid w:val="32E439AA"/>
    <w:rsid w:val="34A427F1"/>
    <w:rsid w:val="35AA1CD6"/>
    <w:rsid w:val="3B36619E"/>
    <w:rsid w:val="48C612FF"/>
    <w:rsid w:val="4DC7076A"/>
    <w:rsid w:val="58CA10F5"/>
    <w:rsid w:val="597A578F"/>
    <w:rsid w:val="600E0991"/>
    <w:rsid w:val="64F710AE"/>
    <w:rsid w:val="69987BE4"/>
    <w:rsid w:val="6CBF10D0"/>
    <w:rsid w:val="70396A46"/>
    <w:rsid w:val="7A553E28"/>
    <w:rsid w:val="7E320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after="150"/>
      <w:jc w:val="left"/>
    </w:pPr>
    <w:rPr>
      <w:kern w:val="0"/>
      <w:sz w:val="24"/>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530</Words>
  <Characters>3027</Characters>
  <Lines>25</Lines>
  <Paragraphs>7</Paragraphs>
  <TotalTime>17</TotalTime>
  <ScaleCrop>false</ScaleCrop>
  <LinksUpToDate>false</LinksUpToDate>
  <CharactersWithSpaces>3550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2021-05-19T07:52:00Z</dcterms:created>
  <dc:creator>喜欢如初</dc:creator>
  <cp:lastModifiedBy>小米粥</cp:lastModifiedBy>
  <dcterms:modified xsi:type="dcterms:W3CDTF">2022-05-24T03:59:04Z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D1AD8D2BDB52471B9234C8083917A2F4</vt:lpwstr>
  </property>
</Properties>
</file>