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9"/>
        <w:spacing w:line="580" w:lineRule="exact"/>
        <w:ind w:firstLine="883"/>
        <w:jc w:val="center"/>
        <w:rPr>
          <w:rFonts w:ascii="??_GB2312" w:hAnsi="宋体" w:eastAsia="Times New Roman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??_GB2312" w:hAnsi="宋体"/>
        </w:rPr>
      </w:pPr>
      <w:r>
        <w:rPr>
          <w:rFonts w:ascii="??_GB2312" w:hAnsi="宋体" w:eastAsia="Times New Roman"/>
        </w:rPr>
        <w:t xml:space="preserve">       （</w:t>
      </w:r>
      <w:r>
        <w:rPr>
          <w:rFonts w:hint="eastAsia" w:ascii="??_GB2312" w:hAnsi="宋体" w:eastAsiaTheme="minorEastAsia"/>
        </w:rPr>
        <w:t>2021年农产品安全质量监测运行经费</w:t>
      </w:r>
      <w:r>
        <w:rPr>
          <w:rFonts w:ascii="??_GB2312" w:hAnsi="宋体" w:eastAsia="Times New Roman"/>
        </w:rPr>
        <w:t>项目）</w:t>
      </w:r>
    </w:p>
    <w:p>
      <w:pPr>
        <w:pStyle w:val="9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一、项目概况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（一）项目基本情况及项目绩效目标。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2021年年初财政部门预算项目的要求，结合实际，制定了《绵竹市农业农村局关于开展2021年农产品质量安全监督抽查和例行风险抽查工作方案的通知》。项目的主要目标任务包括：完成蔬菜、水果等农产品有机磷、有机氯、除虫菊酯、多菌灵等农残37个指标定量检测520个样品，监督检测50个样品，抽检小麦、水稻镉重金属检测66个样品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  <w:lang w:val="zh-CN"/>
        </w:rPr>
        <w:t>该项目主管部门（单位）是绵竹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市农业农村局，主要负责项目实施方案的制订，组织项目实施，资金使用管理等。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财政部门预算项目“农产品安全质量监测运行经费”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，作为农产品质量安全项目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  <w:lang w:val="zh-CN"/>
        </w:rPr>
        <w:t>立项、资金申报的依据。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（二）项目自评步骤及方法。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一是为全面了解工作开展情况及工作成效，切实加强对农产品质量安全项目监督管理，成立项目绩效考评工作组。二是依据制定的监测方案，项目是否按进度完成，完成的质量是否经过省厅的能力验证，三是绵竹市是否发生重大农产品质量安全事件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二、项目资金申报及使用情况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农产品质量安全项目年初下达资金8.5万元，截止2021年12月底使用资金8.5万元，主要用于抽样检验检测所需的样品购置、专用耗材、小型设备购置、仪器设备的检定校准及维护、资料印刷、废弃物处理、因检测工作需要聘请的检测专业技术人员的劳务费、能力提升等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为确保项目建设廉洁高效，实施项目所使用的试剂、耗材及标准品、设备零配件的更换均公开采购供应商。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该项目严格按照实施方案的进度安排有序推进工作，资金管理做到专款专用、合理合规，采取报帐制进行管理，按资金使用方案进行开支。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  <w:lang w:val="zh-CN"/>
        </w:rPr>
        <w:t>财务管理制度健全，严格执行财务管理制度，账务处理及时，会计核算规范。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三、项目实施及管理情况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一）制定科学合理的监测方案。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风险监测的地点及范围涉及全市主要的农产品生产基地，对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农业企业、合作社、 家庭农场、种植大户进行重点抽检。风险监测实行当月抽样，当月检测出结果，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监测种类包括蔬菜、水果、食用菌3大类，每次监测的品种不少于5种。小麦、水稻在11个主产镇乡实行长期定点监测重金属镉。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（二）严格按照标准方法进行抽样及检测。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首先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进行了抽样要求：蔬菜、水果、食用菌按《新鲜水果和蔬菜 取样方法》（NY/T 789）、《蔬菜抽样技术规范》（NY/T 2103）规定执行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对样品的检测项目和检测方法进行了详细的规定。</w:t>
      </w:r>
      <w:r>
        <w:rPr>
          <w:rFonts w:hint="eastAsia" w:ascii="仿宋_GB2312" w:hAnsi="仿宋_GB2312" w:eastAsia="仿宋_GB2312" w:cs="仿宋_GB2312"/>
          <w:sz w:val="32"/>
          <w:szCs w:val="32"/>
        </w:rPr>
        <w:t>蔬菜、水果、食用菌的甲胺磷、氧乐果、甲拌磷、对硫磷、甲基对硫磷、甲基异柳磷、水胺硫磷、乐果、敌敌畏、毒死蜱、乙酰甲胺磷、三唑磷、丙溴磷、杀螟硫磷、二嗪磷、马拉硫磷、亚胺硫磷、伏杀硫磷、久效磷、六六六、氯氰菊酯、氰戊菊酯、甲氰菊酯、氯氟氰菊酯、氟氯氰菊酯、溴氰菊酯、联苯菊酯、氟胺氰菊酯、氟氰戊菊酯、三唑酮、百菌清、异菌脲、三氯杀螨醇、腐霉利、乙烯菌核利按NY/T 761-2008方法检测等。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（三）统一判定标准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药物残留检测过程中进行了试剂空白和加标回收率试验。每10个样品加一个混合标准溶液，每30个样品做一个加标回收。其中，对药物残留不合格样品用双柱法进行确认。重金属检测带试剂空白和控制样进行质控，做平行样品。上机过程中，每20个点要求做标准曲线校正，正负误差要求在10%以内。</w:t>
      </w:r>
    </w:p>
    <w:p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能力验证。积极参加四川省市场监管局、四川省农业农村厅组织的农产品质检机构检测技术能力验证考试。包括种植业农产品中的毒死蜱、丙溴磷、氯氰菊酯、联苯菊酯，大米中的镉、砷指标的检测，考试结论为合格。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认真完成风险监测结果总结分析报告。2021年县级任务抽检样品共计527个，其中蔬菜样品425个，水果样品102个。对包括在甲胺磷、氧乐果、甲拌磷、对硫磷、甲基对硫磷、甲基异柳磷、水胺硫磷、乐果、敌敌畏、毒死蜱、乙酰甲胺磷、三唑磷、丙溴磷、杀螟硫磷、二嗪磷、马拉硫磷、亚胺硫磷、伏杀硫磷、久效磷、六六六、氯氰菊酯、氰戊菊酯、甲氰菊酯、氯氟氰菊酯、氟氯氰菊酯、溴氰菊酯、联苯菊酯、氟胺氰菊酯、氟氰戊菊酯、三唑酮、百菌清、异菌脲、三氯杀螨醇、腐霉利、乙烯菌核利等37项农残参数进行检测，合格率98.86%，其中：蔬菜425个样品中，合格样品421个，不合格4个，合格率为99.05%，水果102个样品中，100个合格，2个不合格，合格率为98.03%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样地点为全市11个镇乡、街道进行全覆盖抽检，包括14家专合社(家庭农场)，117户散户（含大户），4家其他；水果的抽样地点为绵竹市富新镇、麓棠镇、什地镇、孝德镇和紫岩街道、汉旺镇、九龙镇、新市镇、剑南街道、市场，包括包括15家专业合作社（家庭农场、企业），41家散户，7家市场。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蔬菜的监测品种主要为芸苔属类、叶菜类、豆类、瓜类、鳞茎类、茄果类、根茎类和薯芋类，包括菠菜、大白菜、普通白菜、花椰菜、青花菜、莴苣、油麦菜、结球甘蓝、球茎甘蓝、萝卜、芹菜等本地当时主产蔬菜；水果的监测品种15个，分别为桃子、橙子、李子、梨、葡萄、西瓜、猕猴桃、火龙果、橘、柑、桔、苹果、草莓、柚、小番茄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（六）管理情况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制定风险监测方案，落实工作责任分工，统一项目实施行为规范。二是按照进度安排科学合理抽检。三是加强监督管理，项目办不定期开展督导检查，确保政策落实到位。四是规范原始记录档案的管理，确保过程受控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四、项目绩效情况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ab/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（一）项目完成情况。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《绵竹市农业农村局关于开展2021年农产品质量安全监督抽查和例行风险抽查工作方案的通知》</w:t>
      </w: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的要求，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全年完成风险监测任务为527个样品，监督检测50个样品，检测参数为有机磷、有机氯、拟除虫菊酯37项农药残留指标进行风险监测，抽检小麦、水稻、土壤镉重金属检测66个样品。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二）项目效益情况。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1、筛选出了我市大宗农产品的主要风险因子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（1）监测种类分析</w:t>
      </w:r>
    </w:p>
    <w:p>
      <w:pPr>
        <w:spacing w:line="60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监测种类分析</w:t>
      </w:r>
    </w:p>
    <w:p>
      <w:pPr>
        <w:widowControl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2098" w:right="1588" w:bottom="1588" w:left="1588" w:header="1701" w:footer="1418" w:gutter="0"/>
          <w:cols w:space="425" w:num="1"/>
          <w:docGrid w:type="lines" w:linePitch="317" w:charSpace="19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从监测种类来看，本次监测蔬菜样品种类主要为鳞茎类50个、芸苔属类67个、叶菜类148个、茄果类17个、瓜类24个、豆类40个、根茎类和薯芋类39个，茎类40个，其中有农药检出的133个，占抽检数的31.29%。监测的水果样品主要为浆果及其它小型水果类52个，核果类11个，仁果类12个，柑橘类23个，瓜类水果3个，热带和亚热带水果1个，其中有农药检出的有56个，占抽检数的54.90%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（2）监测品种分析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监测品种来看，有农药检出的蔬菜为葱、韭菜、结茎甘蓝、、结球甘蓝、花椰菜、菜苔、抱子芥、茎芥菜、菠菜、芹菜、胡豆、普通白菜、豌豆尖、大白菜、四季豆、萝卜、土豆、芋、辣椒、黄瓜、折耳根、茄子、莴苣、牛皮菜、生菜、蒜苗、青菜等。有农药检出的水果草莓、葡萄、猕猴桃等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（3）监测参数分析</w:t>
      </w:r>
    </w:p>
    <w:p>
      <w:pPr>
        <w:spacing w:line="60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监测参数来看，本次监测的农药参数为37项中，其中蔬菜中检出有禁用农药六六六3次，检出率为0.7%，三氯杀螨醇3次，检出率为0.7%，甲胺磷2次，检出率为0.47%；限用农药甲拌磷1次，检出率为0.23%，氧乐果检出3次，检出率为0.7%，毒死蜱检出2次，检出率为0.47%，三唑磷检出1次，检出率为0.23%，乐果检出1次，检出率为0.23%,氰戊菊酯检出1次，检出率为0.23%，乙酰甲胺磷检出9次，检出率为2.1%；常规农药敌敌畏检出9次，检出率2.1%，丙溴磷检出1次，检出率0.23为%，二嗪磷检出12次，检出率2.82%，氯氰菊酯检出14次，检出率为3.29%，溴氰菊酯检出8次，检出率为1.8%，联苯菊酯检出1次，检出率为0.23%，氯氟氰菊酯检出5次，检出率为1.1%，氟氯氰菊酯检出5次，检出率为1.1%，氟胺氰菊酯检出2次，检出率为0.47%，氟氰戊菊酯检出5次，检出率为1.1%，异菌脲检出11次，检出率为2.5%，三唑酮检出12次，检出率为2.8%，百菌清检出3次，检出率为0.7%，腐霉利检出17次，检出率为4%，乙烯菌核利检出1次，检出率为0.23%，吡虫啉检出9次，检出率为2.1%，多菌灵检出28次，检出率为6.59%。水果类限用农药氰戊菊酯检出8次，检出率为7.84%，常规农药氯氰菊酯检出9次，检出率为8.8%，溴氰菊酯检出9次，检出率为8.8%，氟胺氰菊酯检出11次，检出率为10.78%，氟氰戊菊酯检出5次，检出率为4.9%，异菌脲检出10次，检出率为9.8%，腐霉利检出13次，检出率为12.74%，毒死蜱检出4次，检出率3.92%，多菌灵检出4次，检出率为3.9%，吡虫啉检出1次，检出率为0.98%，联苯菊酯检出6次，检出率为5.8%，三氯杀螨醇检出3次，检出率为2.9%，甲氰菊酯检出3次，检出率为2.9%，氯氟氰菊酯检出17次，检出率为16.66%，氟氯氰菊酯检出3次，检出率为2.9%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（4）监测环节分析</w:t>
      </w:r>
    </w:p>
    <w:p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度风险监测中，蔬菜类样品中，专合组织抽样数为14家45个样品，有农药检出的20个样品，检出率为44.44%；散户（含大户）抽样数为117户376个样品，有农药检出的113个样品，检出率为30.05%；其他抽样数为4家4个样品，有农药检出的0个。水果类样品中，专合组织抽样数为15家28个样品，有农药检出的12个样品，无农药检出，检出率为42.85%，散户抽样数为41户67个样品，有农药检出的44个样品，检出率为65.67%，市场抽样数为7户7个样品，无农药检出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2、项目实施的社会效益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确保消费者吃上放心农产品，掌握绵竹市农产品质量安全状况。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五、评价结论及建议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（一）评价结论。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抽检的蔬菜中，叶菜类蔬菜检出率较高，其中又以豌豆尖、球茎甘蓝检出率高，应对这些蔬菜进行重点监测，加强这类蔬菜的抽检力度，同时密切关注其他叶菜类蔬菜的农药残留。同时从监测环节可以看出，本次监测的蔬菜有检出的大部分来自散户蔬菜种植基地，因此我市还应该加强对蔬菜种植基地的日常监测，规范其生产、经营行为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（二）存在的问题及相关建议。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1、专业技术人员缺乏。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92929"/>
          <w:sz w:val="32"/>
          <w:szCs w:val="32"/>
        </w:rPr>
        <w:t>2、设备比较陈旧，准确度和精确度不能满足检测指标的要求。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292929"/>
          <w:sz w:val="32"/>
          <w:szCs w:val="32"/>
        </w:rPr>
      </w:pPr>
      <w:bookmarkStart w:id="0" w:name="_GoBack"/>
      <w:bookmarkEnd w:id="0"/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</w:p>
    <w:p>
      <w:pPr>
        <w:widowControl/>
        <w:spacing w:line="560" w:lineRule="exact"/>
        <w:ind w:firstLine="5440" w:firstLineChars="17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绵竹市农业农村局</w:t>
      </w:r>
    </w:p>
    <w:p>
      <w:pPr>
        <w:widowControl/>
        <w:spacing w:line="560" w:lineRule="exact"/>
        <w:ind w:firstLine="5440" w:firstLineChars="1700"/>
        <w:rPr>
          <w:rFonts w:ascii="仿宋" w:hAnsi="仿宋" w:eastAsia="仿宋" w:cs="仿宋_GB2312"/>
          <w:color w:val="292929"/>
        </w:rPr>
      </w:pPr>
      <w:r>
        <w:rPr>
          <w:rFonts w:hint="eastAsia" w:ascii="仿宋" w:hAnsi="仿宋" w:eastAsia="仿宋" w:cs="仿宋_GB2312"/>
          <w:color w:val="292929"/>
        </w:rPr>
        <w:t>2021年5月30日</w:t>
      </w: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altName w:val="仿宋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仿宋简体">
    <w:altName w:val="宋体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楷体_GB2312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805656"/>
      <w:docPartObj>
        <w:docPartGallery w:val="AutoText"/>
      </w:docPartObj>
    </w:sdtPr>
    <w:sdtContent>
      <w:p>
        <w:pPr>
          <w:pStyle w:val="3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80103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EFA"/>
    <w:rsid w:val="00027886"/>
    <w:rsid w:val="00086C48"/>
    <w:rsid w:val="000A3F41"/>
    <w:rsid w:val="000B245B"/>
    <w:rsid w:val="000D228F"/>
    <w:rsid w:val="000D70F5"/>
    <w:rsid w:val="00100177"/>
    <w:rsid w:val="00105735"/>
    <w:rsid w:val="00121549"/>
    <w:rsid w:val="001878E5"/>
    <w:rsid w:val="001B6D36"/>
    <w:rsid w:val="00232707"/>
    <w:rsid w:val="002448DF"/>
    <w:rsid w:val="00291918"/>
    <w:rsid w:val="002D7D17"/>
    <w:rsid w:val="002E7D7A"/>
    <w:rsid w:val="002F04D3"/>
    <w:rsid w:val="002F2CB2"/>
    <w:rsid w:val="003110EA"/>
    <w:rsid w:val="00334717"/>
    <w:rsid w:val="00386626"/>
    <w:rsid w:val="00394648"/>
    <w:rsid w:val="003C20F2"/>
    <w:rsid w:val="003D127C"/>
    <w:rsid w:val="004046AD"/>
    <w:rsid w:val="0040632C"/>
    <w:rsid w:val="00411550"/>
    <w:rsid w:val="0044685C"/>
    <w:rsid w:val="004E1DF7"/>
    <w:rsid w:val="004E1EB8"/>
    <w:rsid w:val="004E768B"/>
    <w:rsid w:val="005028D2"/>
    <w:rsid w:val="00543D64"/>
    <w:rsid w:val="00572F4E"/>
    <w:rsid w:val="005845C6"/>
    <w:rsid w:val="00606C2A"/>
    <w:rsid w:val="00671AC1"/>
    <w:rsid w:val="006A4940"/>
    <w:rsid w:val="006A63B7"/>
    <w:rsid w:val="006A7E96"/>
    <w:rsid w:val="006D7567"/>
    <w:rsid w:val="00713E52"/>
    <w:rsid w:val="00767CBE"/>
    <w:rsid w:val="007B49F4"/>
    <w:rsid w:val="007B4D16"/>
    <w:rsid w:val="00812A13"/>
    <w:rsid w:val="00823944"/>
    <w:rsid w:val="008A1C1C"/>
    <w:rsid w:val="008F6FBC"/>
    <w:rsid w:val="008F788A"/>
    <w:rsid w:val="009131D6"/>
    <w:rsid w:val="00923345"/>
    <w:rsid w:val="00943028"/>
    <w:rsid w:val="009D714F"/>
    <w:rsid w:val="009D7540"/>
    <w:rsid w:val="00A13647"/>
    <w:rsid w:val="00A3248E"/>
    <w:rsid w:val="00A52F3A"/>
    <w:rsid w:val="00A66D4F"/>
    <w:rsid w:val="00AC4980"/>
    <w:rsid w:val="00B6025F"/>
    <w:rsid w:val="00BE0F50"/>
    <w:rsid w:val="00C0170D"/>
    <w:rsid w:val="00C109E2"/>
    <w:rsid w:val="00C31186"/>
    <w:rsid w:val="00C61F9D"/>
    <w:rsid w:val="00C6449F"/>
    <w:rsid w:val="00D25B1B"/>
    <w:rsid w:val="00D36E46"/>
    <w:rsid w:val="00D85843"/>
    <w:rsid w:val="00DB6789"/>
    <w:rsid w:val="00DD6125"/>
    <w:rsid w:val="00DF3D5A"/>
    <w:rsid w:val="00E4357F"/>
    <w:rsid w:val="00E72FDE"/>
    <w:rsid w:val="00E85D8D"/>
    <w:rsid w:val="00EE39E1"/>
    <w:rsid w:val="00F24721"/>
    <w:rsid w:val="00F251E9"/>
    <w:rsid w:val="00FA7971"/>
    <w:rsid w:val="00FB238A"/>
    <w:rsid w:val="00FD3EFA"/>
    <w:rsid w:val="00FD62E7"/>
    <w:rsid w:val="00FF5832"/>
    <w:rsid w:val="03353231"/>
    <w:rsid w:val="059B1E69"/>
    <w:rsid w:val="05FE0D39"/>
    <w:rsid w:val="06317483"/>
    <w:rsid w:val="063F12C1"/>
    <w:rsid w:val="06CC1F10"/>
    <w:rsid w:val="08355ADD"/>
    <w:rsid w:val="08B1197F"/>
    <w:rsid w:val="08EB044B"/>
    <w:rsid w:val="08FB32A3"/>
    <w:rsid w:val="09402270"/>
    <w:rsid w:val="10603525"/>
    <w:rsid w:val="11021D0D"/>
    <w:rsid w:val="120874C5"/>
    <w:rsid w:val="12D5457F"/>
    <w:rsid w:val="1D0A37FD"/>
    <w:rsid w:val="1E2C2CCF"/>
    <w:rsid w:val="1F0E3305"/>
    <w:rsid w:val="20B3597C"/>
    <w:rsid w:val="23261B35"/>
    <w:rsid w:val="259A6F22"/>
    <w:rsid w:val="28264035"/>
    <w:rsid w:val="28C300FA"/>
    <w:rsid w:val="2A3E4020"/>
    <w:rsid w:val="2ADC47FC"/>
    <w:rsid w:val="31A13244"/>
    <w:rsid w:val="333556F1"/>
    <w:rsid w:val="33A71323"/>
    <w:rsid w:val="360B5CC0"/>
    <w:rsid w:val="3D324D96"/>
    <w:rsid w:val="3D9F74B0"/>
    <w:rsid w:val="40410627"/>
    <w:rsid w:val="44987295"/>
    <w:rsid w:val="476C55E1"/>
    <w:rsid w:val="4ACC02BE"/>
    <w:rsid w:val="4DD91393"/>
    <w:rsid w:val="4DEF5C6D"/>
    <w:rsid w:val="4E2138BA"/>
    <w:rsid w:val="55084399"/>
    <w:rsid w:val="58E16A7B"/>
    <w:rsid w:val="5FC0589C"/>
    <w:rsid w:val="619D46AA"/>
    <w:rsid w:val="621D06F8"/>
    <w:rsid w:val="63E54FD9"/>
    <w:rsid w:val="63E80D88"/>
    <w:rsid w:val="64406152"/>
    <w:rsid w:val="670D26E1"/>
    <w:rsid w:val="68204E5F"/>
    <w:rsid w:val="6F08521F"/>
    <w:rsid w:val="71987EDA"/>
    <w:rsid w:val="784A3407"/>
    <w:rsid w:val="78576C60"/>
    <w:rsid w:val="78745673"/>
    <w:rsid w:val="7C656EC7"/>
    <w:rsid w:val="7D8677B5"/>
    <w:rsid w:val="7DE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脚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/>
      <w:color w:val="000000"/>
      <w:kern w:val="0"/>
      <w:sz w:val="21"/>
      <w:szCs w:val="20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/>
      <w:color w:val="000000"/>
      <w:kern w:val="0"/>
      <w:sz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611</Words>
  <Characters>3486</Characters>
  <Lines>29</Lines>
  <Paragraphs>8</Paragraphs>
  <TotalTime>2</TotalTime>
  <ScaleCrop>false</ScaleCrop>
  <LinksUpToDate>false</LinksUpToDate>
  <CharactersWithSpaces>4089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2022-05-31T03:26:00Z</dcterms:created>
  <dc:creator>opi</dc:creator>
  <cp:lastModifiedBy>Administrator</cp:lastModifiedBy>
  <dcterms:modified xsi:type="dcterms:W3CDTF">2022-06-15T07:54:59Z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