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2C7" w:rsidRPr="00EF6B1B" w:rsidRDefault="00EF6B1B" w:rsidP="00EF6B1B">
      <w:pPr>
        <w:pStyle w:val="a8"/>
        <w:spacing w:line="580" w:lineRule="exact"/>
        <w:jc w:val="center"/>
        <w:rPr>
          <w:rFonts w:ascii="??_GB2312" w:eastAsia="Times New Roman" w:hAnsi="宋体"/>
          <w:color w:val="auto"/>
          <w:kern w:val="2"/>
          <w:sz w:val="32"/>
          <w:szCs w:val="32"/>
        </w:rPr>
      </w:pPr>
      <w:r w:rsidRPr="00EF6B1B">
        <w:rPr>
          <w:rFonts w:ascii="方正小标宋简体" w:eastAsia="方正小标宋简体" w:hAnsi="宋体" w:hint="eastAsia"/>
          <w:sz w:val="44"/>
          <w:szCs w:val="44"/>
        </w:rPr>
        <w:t>基层农技推广体系</w:t>
      </w:r>
      <w:r w:rsidR="00487390">
        <w:rPr>
          <w:rFonts w:ascii="方正小标宋简体" w:eastAsia="方正小标宋简体" w:hAnsi="宋体" w:hint="eastAsia"/>
          <w:sz w:val="44"/>
          <w:szCs w:val="44"/>
        </w:rPr>
        <w:t>项目支出绩效自评报告</w:t>
      </w:r>
      <w:r w:rsidR="00487390" w:rsidRPr="00584DEE">
        <w:rPr>
          <w:rFonts w:ascii="宋体" w:hAnsi="宋体" w:cs="宋体" w:hint="eastAsia"/>
          <w:sz w:val="24"/>
        </w:rPr>
        <w:t>（</w:t>
      </w:r>
      <w:r w:rsidRPr="00584DEE">
        <w:rPr>
          <w:rFonts w:ascii="??_GB2312" w:eastAsiaTheme="minorEastAsia" w:hAnsi="宋体" w:hint="eastAsia"/>
          <w:sz w:val="24"/>
        </w:rPr>
        <w:t>2021</w:t>
      </w:r>
      <w:r w:rsidRPr="00584DEE">
        <w:rPr>
          <w:rFonts w:ascii="??_GB2312" w:eastAsiaTheme="minorEastAsia" w:hAnsi="宋体" w:hint="eastAsia"/>
          <w:sz w:val="24"/>
        </w:rPr>
        <w:t>年中央财政农业生产发展资金（基层农技推广体系）</w:t>
      </w:r>
      <w:r w:rsidR="00487390" w:rsidRPr="00584DEE">
        <w:rPr>
          <w:rFonts w:ascii="宋体" w:hAnsi="宋体" w:cs="宋体" w:hint="eastAsia"/>
          <w:sz w:val="24"/>
        </w:rPr>
        <w:t>）</w:t>
      </w:r>
    </w:p>
    <w:p w:rsidR="00A972C7" w:rsidRDefault="00A972C7">
      <w:pPr>
        <w:pStyle w:val="a8"/>
        <w:spacing w:line="580" w:lineRule="exact"/>
        <w:ind w:firstLine="640"/>
        <w:jc w:val="center"/>
        <w:rPr>
          <w:rFonts w:ascii="宋体"/>
          <w:color w:val="auto"/>
          <w:kern w:val="2"/>
          <w:sz w:val="32"/>
          <w:szCs w:val="32"/>
        </w:rPr>
      </w:pPr>
    </w:p>
    <w:p w:rsidR="00A972C7" w:rsidRDefault="00487390">
      <w:pPr>
        <w:widowControl/>
        <w:spacing w:line="560" w:lineRule="exact"/>
        <w:ind w:firstLineChars="200" w:firstLine="640"/>
        <w:rPr>
          <w:rFonts w:ascii="黑体" w:eastAsia="黑体" w:hAnsi="宋体"/>
          <w:lang w:val="zh-CN"/>
        </w:rPr>
      </w:pPr>
      <w:r>
        <w:rPr>
          <w:rFonts w:ascii="黑体" w:eastAsia="黑体" w:hAnsi="宋体" w:hint="eastAsia"/>
          <w:lang w:val="zh-CN"/>
        </w:rPr>
        <w:t>一、项目概况</w:t>
      </w:r>
    </w:p>
    <w:p w:rsidR="00A972C7" w:rsidRDefault="00487390">
      <w:pPr>
        <w:widowControl/>
        <w:spacing w:line="560" w:lineRule="exact"/>
        <w:ind w:firstLineChars="200" w:firstLine="640"/>
        <w:rPr>
          <w:rFonts w:ascii="黑体" w:eastAsia="黑体" w:hAnsi="宋体"/>
          <w:lang w:val="zh-CN"/>
        </w:rPr>
      </w:pPr>
      <w:r>
        <w:rPr>
          <w:rFonts w:ascii="黑体" w:eastAsia="黑体" w:hAnsi="宋体" w:hint="eastAsia"/>
          <w:lang w:val="zh-CN"/>
        </w:rPr>
        <w:t>（一）项目基本情况及项目绩效目标。</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根据《四川省财政厅 四川省农业农村厅关于提前下达的2021年中央财政农业生产发展资金的通知》（川财农〔2020〕186</w:t>
      </w:r>
      <w:r w:rsidR="00D957AD">
        <w:rPr>
          <w:rFonts w:ascii="仿宋" w:eastAsia="仿宋" w:hAnsi="仿宋" w:cs="仿宋_GB2312" w:hint="eastAsia"/>
          <w:color w:val="292929"/>
        </w:rPr>
        <w:t>号）和四川省</w:t>
      </w:r>
      <w:r>
        <w:rPr>
          <w:rFonts w:ascii="仿宋" w:eastAsia="仿宋" w:hAnsi="仿宋" w:cs="仿宋_GB2312" w:hint="eastAsia"/>
          <w:color w:val="292929"/>
        </w:rPr>
        <w:t>农业农村厅关于印发《四川省2021年基层农技推广体系改革与建设任务实施方案》的通知川农业发[2021]106号要求，结合我市实际，制定了2021年基层农技推广体系改革与建设项目的目标及主要内容：一是基层农技推广服务水平明显提高，农技推广服务对象抽样满意度超过70%。二是建立3个示范带动效果明显、长期稳定的农业科技示范基地。依托绵竹粮经复合专家大院在孝德镇金星村、石桥滩和板桥镇柏杨村建设粮油试验示范基地，面积5000亩。在剑南街道海江村依托绵竹市禾下土种植专业合作社（山牧农业）建设猕猴桃种植试验示范基地，面积1000亩。依托国家级农民专业合作社示范社-双坪种植专业合作社，建立稻鱼、稻鸭结合试验示范基地，面积300亩。三是基层农技人员业务水平和服务能力进一步提高，参加5天以上脱产业务培训108人，遴选培育2名知识全面、技能过硬、服务优良的基层农技推广骨干人才；四是新培育农业科技示范主体2个，加强农业主推技术推广；五是基层农技人员普遍应用信息化手段进行学习交流和业务指导，开展农业技术信</w:t>
      </w:r>
      <w:r>
        <w:rPr>
          <w:rFonts w:ascii="仿宋" w:eastAsia="仿宋" w:hAnsi="仿宋" w:cs="仿宋_GB2312" w:hint="eastAsia"/>
          <w:color w:val="292929"/>
        </w:rPr>
        <w:lastRenderedPageBreak/>
        <w:t>息服务，使用中国农技推广APP。六是推广优质安全、节本增效、生态环保的主推技术，农业主推技术到位率超过95%。</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lang w:val="zh-CN"/>
        </w:rPr>
        <w:t>该项目主管部门（单位）是绵竹</w:t>
      </w:r>
      <w:r>
        <w:rPr>
          <w:rFonts w:ascii="仿宋" w:eastAsia="仿宋" w:hAnsi="仿宋" w:cs="仿宋_GB2312" w:hint="eastAsia"/>
          <w:color w:val="292929"/>
        </w:rPr>
        <w:t>市农业农村局，主要负责项目实施方案的制订，组织项目实施，资金使用管理，农技推广责任制，绩效考评制度，组织项目验收，农技人员职称评定等。</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根据《四川省财政厅 四川省农业农村厅关于提前下达的2021年中央财政农业生产发展资金的通知》（川财农〔2020〕186号）文件精神，作为2021年基层农技推广体系改革与建设补助项目</w:t>
      </w:r>
      <w:r>
        <w:rPr>
          <w:rFonts w:ascii="仿宋" w:eastAsia="仿宋" w:hAnsi="仿宋" w:cs="仿宋_GB2312" w:hint="eastAsia"/>
          <w:color w:val="292929"/>
          <w:lang w:val="zh-CN"/>
        </w:rPr>
        <w:t>立项、资金申报的依据。</w:t>
      </w:r>
    </w:p>
    <w:p w:rsidR="00A972C7" w:rsidRDefault="00487390">
      <w:pPr>
        <w:widowControl/>
        <w:spacing w:line="560" w:lineRule="exact"/>
        <w:ind w:firstLineChars="200" w:firstLine="640"/>
        <w:rPr>
          <w:rFonts w:ascii="黑体" w:eastAsia="黑体" w:hAnsi="宋体"/>
          <w:lang w:val="zh-CN"/>
        </w:rPr>
      </w:pPr>
      <w:r>
        <w:rPr>
          <w:rFonts w:ascii="黑体" w:eastAsia="黑体" w:hAnsi="宋体" w:hint="eastAsia"/>
          <w:lang w:val="zh-CN"/>
        </w:rPr>
        <w:t>（二）项目自评步骤及方法。</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一是为全面了解工作开展情况及工作成效，切实加强对农技推广人员的监督管理，成立项目绩效考评工作组。二是依据制定的考核办法，采取查看资料与实地核实相结合的方式，对照基层农技推广体系建设政策落实延伸绩效管理自评考核内容和考核指标体系，对农技推广人员的工作进行量化打分。三是依据下达的任务清单和绩效目标，以农技推广服务工作量、服务对象满意度、支撑主导产业发展成效等为主要考核标准，制定好《农技推广示范县绩效考评评分表》，进行绵竹市基层农技推广体系改革与建设项目工作绩效考评。四是评估考核工作采取县级农业主管部门自评，对照绩效管理内容和具体指标进行自评打分，形成自评报告，完成了对我市2021年度基层农技推广体系改革与建设补助项目落实延伸绩效管理的自评工作。</w:t>
      </w:r>
    </w:p>
    <w:p w:rsidR="00A972C7" w:rsidRDefault="00487390">
      <w:pPr>
        <w:widowControl/>
        <w:spacing w:line="560" w:lineRule="exact"/>
        <w:ind w:firstLineChars="200" w:firstLine="640"/>
        <w:rPr>
          <w:rFonts w:ascii="仿宋" w:eastAsia="仿宋" w:hAnsi="仿宋" w:cs="仿宋_GB2312"/>
          <w:color w:val="292929"/>
        </w:rPr>
      </w:pPr>
      <w:r>
        <w:rPr>
          <w:rFonts w:ascii="黑体" w:eastAsia="黑体" w:hAnsi="宋体" w:hint="eastAsia"/>
        </w:rPr>
        <w:lastRenderedPageBreak/>
        <w:t>二、项目资金申报及使用情况</w:t>
      </w:r>
    </w:p>
    <w:p w:rsidR="00A972C7" w:rsidRDefault="00487390">
      <w:pPr>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2021年绵竹市基层农技推广改革与建设补助项目资金20万元，于2021年1月下达到我市财政，其安排是：农业技术推广服务3.8万元，主要用于农技推广宣传、农技推广技术服务资料杂志、制作明白纸、项目资金审计等费用；二是农业技术能力建设补助16.2万元，农技人员知识更新技培训费用，包括教材费、场地费、食宿费、教师授课、交通费等。截止2022年5月底</w:t>
      </w:r>
      <w:r>
        <w:rPr>
          <w:rFonts w:ascii="仿宋" w:eastAsia="仿宋" w:hAnsi="仿宋" w:cs="仿宋_GB2312" w:hint="eastAsia"/>
        </w:rPr>
        <w:t>项目资金已使用20万元，主要用途如下：（1）、农技推广技术服务资料、订阅《四川农业与农机》、</w:t>
      </w:r>
      <w:r>
        <w:rPr>
          <w:rFonts w:ascii="仿宋" w:eastAsia="仿宋" w:hAnsi="仿宋" w:cs="仿宋_GB2312" w:hint="eastAsia"/>
          <w:color w:val="292929"/>
        </w:rPr>
        <w:t>制作</w:t>
      </w:r>
      <w:r>
        <w:rPr>
          <w:rFonts w:ascii="仿宋" w:eastAsia="仿宋" w:hAnsi="仿宋" w:cs="仿宋_GB2312" w:hint="eastAsia"/>
        </w:rPr>
        <w:t>明白纸3.8万元；（2）农技人员知识更新技培训16.2</w:t>
      </w:r>
      <w:bookmarkStart w:id="0" w:name="_GoBack"/>
      <w:bookmarkEnd w:id="0"/>
      <w:r>
        <w:rPr>
          <w:rFonts w:ascii="仿宋" w:eastAsia="仿宋" w:hAnsi="仿宋" w:cs="仿宋_GB2312" w:hint="eastAsia"/>
        </w:rPr>
        <w:t>万元；</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根据项目管理要求，明确补助对象、补助标准、补助方式、实施要求和监管措施，为确保项目建设廉洁高效，特制定《绵竹市农业局农业项目实施管理制度》，其内容主要包括项目资金的使用和管理、严格项目招投标管理、强化项目监管、加强对项目完成情况的检查验收，从而使我市基层农技推广体系改革与建设项目资金的使用和管理按制度执行。</w:t>
      </w:r>
    </w:p>
    <w:p w:rsidR="00A972C7" w:rsidRDefault="00487390">
      <w:pPr>
        <w:widowControl/>
        <w:spacing w:line="560" w:lineRule="exact"/>
        <w:ind w:firstLineChars="200" w:firstLine="640"/>
        <w:rPr>
          <w:rFonts w:ascii="仿宋" w:eastAsia="仿宋" w:hAnsi="仿宋" w:cs="仿宋_GB2312"/>
          <w:color w:val="292929"/>
          <w:lang w:val="zh-CN"/>
        </w:rPr>
      </w:pPr>
      <w:r>
        <w:rPr>
          <w:rFonts w:ascii="仿宋" w:eastAsia="仿宋" w:hAnsi="仿宋" w:cs="仿宋_GB2312" w:hint="eastAsia"/>
          <w:color w:val="292929"/>
        </w:rPr>
        <w:t>该项目严格按照实施方案的进度安排有序推进工作，资金管理做到专款专用、合理合规，采取报帐制进行管理，按资金使用方案进行开支。</w:t>
      </w:r>
      <w:r>
        <w:rPr>
          <w:rFonts w:ascii="仿宋" w:eastAsia="仿宋" w:hAnsi="仿宋" w:cs="仿宋_GB2312" w:hint="eastAsia"/>
          <w:color w:val="292929"/>
          <w:lang w:val="zh-CN"/>
        </w:rPr>
        <w:t>财务管理制度健全，严格执行财务管理制度，账务处理及时，会计核算规范。</w:t>
      </w:r>
    </w:p>
    <w:p w:rsidR="00A972C7" w:rsidRDefault="00487390">
      <w:pPr>
        <w:widowControl/>
        <w:spacing w:line="560" w:lineRule="exact"/>
        <w:ind w:firstLineChars="200" w:firstLine="640"/>
        <w:rPr>
          <w:rFonts w:ascii="黑体" w:eastAsia="黑体" w:hAnsi="宋体"/>
        </w:rPr>
      </w:pPr>
      <w:r>
        <w:rPr>
          <w:rFonts w:ascii="黑体" w:eastAsia="黑体" w:hAnsi="宋体" w:hint="eastAsia"/>
        </w:rPr>
        <w:t>三、项目实施及管理情况</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w:t>
      </w:r>
      <w:r>
        <w:rPr>
          <w:rFonts w:ascii="黑体" w:eastAsia="黑体" w:hAnsi="宋体" w:hint="eastAsia"/>
        </w:rPr>
        <w:t>一）遴选出124户科技示范户。</w:t>
      </w:r>
      <w:r>
        <w:rPr>
          <w:rFonts w:ascii="仿宋" w:eastAsia="仿宋" w:hAnsi="仿宋" w:cs="仿宋_GB2312" w:hint="eastAsia"/>
          <w:color w:val="292929"/>
        </w:rPr>
        <w:t>提高科技示范户遴选标准，重点向种养大户、家庭农场等新型经营主体倾斜。严</w:t>
      </w:r>
      <w:r>
        <w:rPr>
          <w:rFonts w:ascii="仿宋" w:eastAsia="仿宋" w:hAnsi="仿宋" w:cs="仿宋_GB2312" w:hint="eastAsia"/>
          <w:color w:val="292929"/>
        </w:rPr>
        <w:lastRenderedPageBreak/>
        <w:t>格按照示范户的评选条件，按照规定的遴选程序进行择优选用。通过村组推荐，镇（乡）农业中心审核，上报市农业局批准后，在2020年122户科技示范户的基础上，新增加2户，遴选出124户科技示范户。以种植业按1：20，养殖业1:5，辐射带动周边农户，促进农业科技进村入户。组建了种植业专家组，从镇农技推广人员中遴选出40名技术指导员，要求每位指导员必须联系3-5户科技示范户，每户指导不少于5次，按要求填写省上统一印制的《技术指导员手册》。</w:t>
      </w:r>
    </w:p>
    <w:p w:rsidR="00A972C7" w:rsidRDefault="00487390">
      <w:pPr>
        <w:widowControl/>
        <w:spacing w:line="560" w:lineRule="exact"/>
        <w:ind w:firstLineChars="200" w:firstLine="640"/>
        <w:rPr>
          <w:rFonts w:ascii="仿宋" w:eastAsia="仿宋" w:hAnsi="仿宋" w:cs="仿宋_GB2312"/>
        </w:rPr>
      </w:pPr>
      <w:r>
        <w:rPr>
          <w:rFonts w:ascii="黑体" w:eastAsia="黑体" w:hAnsi="宋体" w:hint="eastAsia"/>
        </w:rPr>
        <w:t>（二）充分发挥试验示范基地的带动作用，大力推广先进适用技术。</w:t>
      </w:r>
      <w:r>
        <w:rPr>
          <w:rFonts w:ascii="仿宋" w:eastAsia="仿宋" w:hAnsi="仿宋" w:cs="仿宋_GB2312" w:hint="eastAsia"/>
          <w:color w:val="292929"/>
        </w:rPr>
        <w:t>遴选发布主推技术、主导品种，重点和优先推广减肥减药、生态环保、节本增效的农业先进适用技术，制定试验示范基地建设标准，规范建设。今年落实试验示范基地3个。按照《绵竹市2021年基层农技推广体系改革与建设任务实施方案》的要求，一是在孝德镇金星村和石桥滩和板桥镇柏杨村建设粮油试验示范基地，面积5000亩。</w:t>
      </w:r>
      <w:r>
        <w:rPr>
          <w:rFonts w:ascii="仿宋_GB2312" w:eastAsia="仿宋_GB2312" w:hAnsi="黑体" w:hint="eastAsia"/>
        </w:rPr>
        <w:t>水稻主推品种：川康丝苗、荃优1606、晶两优534、德粳4号、德粳6号，宜香4245、旌优华珍、隆两优534、沈农9903等。主推技术：水稻机械化直播生产技术、水稻暗室育秧和无纺布育秧技术、水稻全程机械化生产技术和采用太阳能平振灯实现农作物绿色防控等技术。</w:t>
      </w:r>
      <w:r>
        <w:rPr>
          <w:rFonts w:ascii="仿宋" w:eastAsia="仿宋" w:hAnsi="仿宋" w:hint="eastAsia"/>
        </w:rPr>
        <w:t>二是建设猕猴桃种植试验示范基地。</w:t>
      </w:r>
      <w:r>
        <w:rPr>
          <w:rFonts w:ascii="仿宋_GB2312" w:eastAsia="仿宋_GB2312" w:hAnsi="黑体" w:hint="eastAsia"/>
        </w:rPr>
        <w:t>在剑南街道海江村，依托绵竹市禾下土种植专业合作社（山牧农业），建设猕猴桃种植示范推广基地面积1000亩。围绕东红、红阳、金实等主推品种，示范推广猕猴桃高架牵引技术、配方施肥技术、水肥一体化、绿色防控等技术，</w:t>
      </w:r>
      <w:r>
        <w:rPr>
          <w:rFonts w:ascii="仿宋_GB2312" w:eastAsia="仿宋_GB2312" w:hAnsi="黑体" w:hint="eastAsia"/>
        </w:rPr>
        <w:lastRenderedPageBreak/>
        <w:t>实施化肥农药用量零增长行动。</w:t>
      </w:r>
      <w:r>
        <w:rPr>
          <w:rFonts w:ascii="仿宋" w:eastAsia="仿宋" w:hAnsi="仿宋" w:hint="eastAsia"/>
        </w:rPr>
        <w:t>三是</w:t>
      </w:r>
      <w:r>
        <w:rPr>
          <w:rFonts w:ascii="仿宋" w:eastAsia="仿宋" w:hAnsi="仿宋" w:cs="仿宋_GB2312" w:hint="eastAsia"/>
        </w:rPr>
        <w:t>建立稻虾、稻鸭结合试验示范基地，通过运用生态学和现代科学养殖技术将畜牧养殖与水稻种植结合在一起，以维护和改善稻田生态环境，减少化肥、农药、除草剂使用，从而达到绿色、高产、高效生产的目的。通过适当的稻田改造工程，实现稻虾连作、稻虾共作和小龙虾生态繁育，提高稻田种养效益。示范推广稻虾、稻鸭共作与水稻绿色防控融合技术。</w:t>
      </w:r>
    </w:p>
    <w:p w:rsidR="00A972C7" w:rsidRDefault="00487390">
      <w:pPr>
        <w:spacing w:line="620" w:lineRule="exact"/>
        <w:ind w:firstLineChars="200" w:firstLine="640"/>
        <w:rPr>
          <w:rFonts w:eastAsia="仿宋_GB2312"/>
        </w:rPr>
      </w:pPr>
      <w:r>
        <w:rPr>
          <w:rFonts w:ascii="黑体" w:eastAsia="黑体" w:hAnsi="宋体" w:hint="eastAsia"/>
        </w:rPr>
        <w:t>（三）着力提升农技推广队伍服务能力</w:t>
      </w:r>
      <w:r>
        <w:rPr>
          <w:rFonts w:ascii="仿宋" w:eastAsia="仿宋" w:hAnsi="仿宋" w:cs="仿宋_GB2312" w:hint="eastAsia"/>
          <w:color w:val="292929"/>
        </w:rPr>
        <w:t>。</w:t>
      </w:r>
      <w:r>
        <w:rPr>
          <w:rFonts w:ascii="仿宋" w:eastAsia="仿宋" w:hAnsi="仿宋" w:hint="eastAsia"/>
        </w:rPr>
        <w:t>按照《德阳市农业农村局关于做好2021年基层农技人员知识更新培训的通知》（德农科教〔</w:t>
      </w:r>
      <w:r>
        <w:rPr>
          <w:rFonts w:ascii="仿宋" w:eastAsia="仿宋" w:hAnsi="仿宋"/>
        </w:rPr>
        <w:t>20</w:t>
      </w:r>
      <w:r>
        <w:rPr>
          <w:rFonts w:ascii="仿宋" w:eastAsia="仿宋" w:hAnsi="仿宋" w:hint="eastAsia"/>
        </w:rPr>
        <w:t>21〕9号）要求，为扎实做好</w:t>
      </w:r>
      <w:r>
        <w:rPr>
          <w:rFonts w:ascii="仿宋" w:eastAsia="仿宋" w:hAnsi="仿宋"/>
        </w:rPr>
        <w:t>20</w:t>
      </w:r>
      <w:r>
        <w:rPr>
          <w:rFonts w:ascii="仿宋" w:eastAsia="仿宋" w:hAnsi="仿宋" w:hint="eastAsia"/>
        </w:rPr>
        <w:t>21年度基层农技人员知识更新培训工作。先后</w:t>
      </w:r>
      <w:r>
        <w:rPr>
          <w:rFonts w:ascii="仿宋" w:eastAsia="仿宋" w:hAnsi="仿宋" w:cs="仿宋_GB2312" w:hint="eastAsia"/>
        </w:rPr>
        <w:t>安排组织我市108名基层农技人员分三批参加在德阳举办的市级农技人员知识更新培训，</w:t>
      </w:r>
      <w:r>
        <w:rPr>
          <w:rFonts w:ascii="仿宋" w:eastAsia="仿宋" w:hAnsi="仿宋" w:hint="eastAsia"/>
        </w:rPr>
        <w:t>培训内容</w:t>
      </w:r>
      <w:r>
        <w:rPr>
          <w:rFonts w:ascii="仿宋_GB2312" w:eastAsia="仿宋_GB2312" w:hAnsi="仿宋_GB2312" w:cs="仿宋_GB2312" w:hint="eastAsia"/>
        </w:rPr>
        <w:t>主要围绕习近平新时代中国特色社会主义思想，立足加快农业农村现代化、实施乡村振兴战略要求，围绕现代农业产业发展、农业生态文明建设和乡村综合治理等内容，按照“每期突出一个主题”培训思路，开展专题培训。</w:t>
      </w:r>
      <w:r>
        <w:rPr>
          <w:rFonts w:eastAsia="仿宋_GB2312"/>
          <w:bCs/>
        </w:rPr>
        <w:t>根据专题培训需要，设置理论教学和实践教学内容</w:t>
      </w:r>
      <w:r>
        <w:rPr>
          <w:rFonts w:eastAsia="仿宋_GB2312" w:hint="eastAsia"/>
          <w:bCs/>
        </w:rPr>
        <w:t>。理论教学内容</w:t>
      </w:r>
      <w:r>
        <w:rPr>
          <w:rFonts w:eastAsia="仿宋_GB2312"/>
        </w:rPr>
        <w:t>包括乡村振兴战略实施政策解读、现代农业产业发展趋势与政策、涉农项目申报与实施、农业生态环境保护等。专业课程包括水稻、小麦生产关键技术、生猪养殖现代装备与技术、现代农业关键技术应用与推广等。</w:t>
      </w:r>
      <w:r>
        <w:rPr>
          <w:rFonts w:ascii="仿宋" w:eastAsia="仿宋" w:hAnsi="仿宋" w:cs="仿宋_GB2312" w:hint="eastAsia"/>
        </w:rPr>
        <w:t>2名</w:t>
      </w:r>
      <w:r>
        <w:rPr>
          <w:rFonts w:ascii="仿宋" w:eastAsia="仿宋" w:hAnsi="仿宋" w:hint="eastAsia"/>
        </w:rPr>
        <w:t>骨干</w:t>
      </w:r>
      <w:r>
        <w:rPr>
          <w:rFonts w:ascii="仿宋" w:eastAsia="仿宋" w:hAnsi="仿宋" w:cs="仿宋_GB2312" w:hint="eastAsia"/>
        </w:rPr>
        <w:t>农技人员参加了在崇洲举办的知识更新培训。</w:t>
      </w:r>
    </w:p>
    <w:p w:rsidR="00A972C7" w:rsidRDefault="00487390">
      <w:pPr>
        <w:spacing w:line="600" w:lineRule="exact"/>
        <w:ind w:firstLineChars="200" w:firstLine="640"/>
        <w:rPr>
          <w:rFonts w:ascii="仿宋" w:eastAsia="仿宋" w:hAnsi="仿宋"/>
        </w:rPr>
      </w:pPr>
      <w:r>
        <w:rPr>
          <w:rFonts w:ascii="仿宋" w:eastAsia="仿宋" w:hAnsi="仿宋" w:hint="eastAsia"/>
        </w:rPr>
        <w:t>按照农技推广体系改革与建设任务项目实施方案的要</w:t>
      </w:r>
      <w:r>
        <w:rPr>
          <w:rFonts w:ascii="仿宋" w:eastAsia="仿宋" w:hAnsi="仿宋" w:hint="eastAsia"/>
        </w:rPr>
        <w:lastRenderedPageBreak/>
        <w:t xml:space="preserve">求，以发展现代农业、促进农民增收为目标，整合粮油高产创建、测土配方施肥、新型职业农民培育等项目和大小春粮油技术培训，采取集中办班、专题培训、分散指导等形式，围绕优势特色产业发展需要开展了以主导品种、主推技术、农业法规政策等内容的农民科技培训。共进乡村培训100余场次，培训指导农民1万余人次。 </w:t>
      </w:r>
    </w:p>
    <w:p w:rsidR="00A972C7" w:rsidRDefault="00487390">
      <w:pPr>
        <w:widowControl/>
        <w:spacing w:line="560" w:lineRule="exact"/>
        <w:ind w:firstLineChars="200" w:firstLine="643"/>
        <w:rPr>
          <w:rFonts w:ascii="仿宋" w:eastAsia="仿宋" w:hAnsi="仿宋" w:cs="仿宋_GB2312"/>
          <w:color w:val="292929"/>
        </w:rPr>
      </w:pPr>
      <w:r>
        <w:rPr>
          <w:rFonts w:ascii="宋体" w:hAnsi="宋体" w:hint="eastAsia"/>
          <w:b/>
          <w:bCs/>
        </w:rPr>
        <w:t>（四）</w:t>
      </w:r>
      <w:r>
        <w:rPr>
          <w:rFonts w:ascii="黑体" w:eastAsia="黑体" w:hAnsi="宋体" w:hint="eastAsia"/>
        </w:rPr>
        <w:t>不断创新农技推广服务方式。</w:t>
      </w:r>
      <w:r>
        <w:rPr>
          <w:rFonts w:ascii="仿宋" w:eastAsia="仿宋" w:hAnsi="仿宋" w:cs="仿宋_GB2312" w:hint="eastAsia"/>
        </w:rPr>
        <w:t>为了掌握并使用中国农技推广</w:t>
      </w:r>
      <w:r>
        <w:rPr>
          <w:rFonts w:ascii="仿宋" w:eastAsia="仿宋" w:hAnsi="仿宋" w:cs="仿宋_GB2312"/>
        </w:rPr>
        <w:t>APP</w:t>
      </w:r>
      <w:r>
        <w:rPr>
          <w:rFonts w:ascii="仿宋" w:eastAsia="仿宋" w:hAnsi="仿宋" w:cs="仿宋_GB2312" w:hint="eastAsia"/>
        </w:rPr>
        <w:t>，我们继续在对技术指导员的考核中，将使用中国农技推广</w:t>
      </w:r>
      <w:r>
        <w:rPr>
          <w:rFonts w:ascii="仿宋" w:eastAsia="仿宋" w:hAnsi="仿宋" w:cs="仿宋_GB2312"/>
        </w:rPr>
        <w:t>APP</w:t>
      </w:r>
      <w:r>
        <w:rPr>
          <w:rFonts w:ascii="仿宋" w:eastAsia="仿宋" w:hAnsi="仿宋" w:cs="仿宋_GB2312" w:hint="eastAsia"/>
        </w:rPr>
        <w:t>作为内容之一进行考核，制定了《</w:t>
      </w:r>
      <w:r>
        <w:rPr>
          <w:rFonts w:ascii="仿宋" w:eastAsia="仿宋" w:hAnsi="仿宋" w:cs="仿宋_GB2312"/>
        </w:rPr>
        <w:t>20</w:t>
      </w:r>
      <w:r>
        <w:rPr>
          <w:rFonts w:ascii="仿宋" w:eastAsia="仿宋" w:hAnsi="仿宋" w:cs="仿宋_GB2312" w:hint="eastAsia"/>
        </w:rPr>
        <w:t>21年基层技术人员应用、中国农技推广</w:t>
      </w:r>
      <w:r>
        <w:rPr>
          <w:rFonts w:ascii="仿宋" w:eastAsia="仿宋" w:hAnsi="仿宋" w:cs="仿宋_GB2312"/>
        </w:rPr>
        <w:t>APP</w:t>
      </w:r>
      <w:r>
        <w:rPr>
          <w:rFonts w:ascii="仿宋" w:eastAsia="仿宋" w:hAnsi="仿宋" w:cs="仿宋_GB2312" w:hint="eastAsia"/>
        </w:rPr>
        <w:t>应用情况考评表》，</w:t>
      </w:r>
      <w:r>
        <w:rPr>
          <w:rFonts w:ascii="仿宋" w:eastAsia="仿宋" w:hAnsi="仿宋" w:hint="eastAsia"/>
        </w:rPr>
        <w:t>农技推广APP使用率达85 %以上。</w:t>
      </w:r>
      <w:r>
        <w:rPr>
          <w:rFonts w:ascii="仿宋" w:eastAsia="仿宋" w:hAnsi="仿宋" w:cs="仿宋_GB2312" w:hint="eastAsia"/>
        </w:rPr>
        <w:t>充分利用云平台开展农业科技服务指导，建立</w:t>
      </w:r>
      <w:r>
        <w:rPr>
          <w:rFonts w:ascii="仿宋" w:eastAsia="仿宋" w:hAnsi="仿宋" w:cs="仿宋_GB2312"/>
        </w:rPr>
        <w:t>QQ</w:t>
      </w:r>
      <w:r>
        <w:rPr>
          <w:rFonts w:ascii="仿宋" w:eastAsia="仿宋" w:hAnsi="仿宋" w:cs="仿宋_GB2312" w:hint="eastAsia"/>
        </w:rPr>
        <w:t>、微信群将县乡两级骨干农技人员、部分种植业大户、专合社负责人等纳入该群，为农民提供高效便捷、简明直观、双向互动的农技推广服务，实现信息到村，服务到人，技术到田。</w:t>
      </w:r>
    </w:p>
    <w:p w:rsidR="00A972C7" w:rsidRDefault="00487390">
      <w:pPr>
        <w:spacing w:line="560" w:lineRule="exact"/>
        <w:ind w:firstLineChars="300" w:firstLine="960"/>
        <w:rPr>
          <w:rFonts w:ascii="仿宋" w:eastAsia="仿宋" w:hAnsi="仿宋" w:cs="仿宋_GB2312"/>
          <w:color w:val="292929"/>
        </w:rPr>
      </w:pPr>
      <w:r>
        <w:rPr>
          <w:rFonts w:ascii="黑体" w:eastAsia="黑体" w:hAnsi="宋体" w:hint="eastAsia"/>
        </w:rPr>
        <w:t>（五）加强农科教产学研一体化农技推广联盟建设。</w:t>
      </w:r>
      <w:r>
        <w:rPr>
          <w:rFonts w:ascii="仿宋" w:eastAsia="仿宋" w:hAnsi="仿宋" w:cs="仿宋_GB2312" w:hint="eastAsia"/>
          <w:color w:val="292929"/>
        </w:rPr>
        <w:t>以农科所、专家大院、农业技术推广站和各乡镇农业服务中心、乡镇畜牧兽医站等农业技术推广机构为主导，加强与四川省农科院、四川农业大学、省农业科学技术等大专院校、科研单位的紧密协作。</w:t>
      </w:r>
    </w:p>
    <w:p w:rsidR="00A972C7" w:rsidRDefault="00487390">
      <w:pPr>
        <w:spacing w:line="560" w:lineRule="exact"/>
        <w:ind w:firstLineChars="300" w:firstLine="960"/>
        <w:rPr>
          <w:rFonts w:ascii="仿宋" w:eastAsia="仿宋" w:hAnsi="仿宋" w:cs="仿宋_GB2312"/>
        </w:rPr>
      </w:pPr>
      <w:r>
        <w:rPr>
          <w:rFonts w:ascii="仿宋" w:eastAsia="仿宋" w:hAnsi="仿宋" w:cs="仿宋_GB2312" w:hint="eastAsia"/>
          <w:color w:val="292929"/>
        </w:rPr>
        <w:t>今年我们积极协助四川省科技下乡水稻专家服务团开展技术服务，</w:t>
      </w:r>
      <w:r>
        <w:rPr>
          <w:rFonts w:ascii="仿宋" w:eastAsia="仿宋" w:hAnsi="仿宋" w:cs="仿宋_GB2312" w:hint="eastAsia"/>
        </w:rPr>
        <w:t>2021年省水稻、小麦技术服务团分别深入我市玉泉、麓棠、什地、富新等镇示范户，开展该所为我市选育的粳稻新品种示范工作，通过开展集中培训、结对帮扶、</w:t>
      </w:r>
      <w:r>
        <w:rPr>
          <w:rFonts w:ascii="仿宋" w:eastAsia="仿宋" w:hAnsi="仿宋" w:cs="仿宋_GB2312" w:hint="eastAsia"/>
        </w:rPr>
        <w:lastRenderedPageBreak/>
        <w:t>送教上门、面对面手把手等方式，传授知识，宣传产业政策，普及最新科技成果，在生产关键时节，查看现场，走村入户、深入田间地头开展技术指导服务，因地制宜落实相关技术措施，实现大面积平衡丰产。全年共服务50余人次。</w:t>
      </w:r>
    </w:p>
    <w:p w:rsidR="00A972C7" w:rsidRDefault="00487390">
      <w:pPr>
        <w:widowControl/>
        <w:spacing w:line="560" w:lineRule="exact"/>
        <w:ind w:firstLineChars="200" w:firstLine="640"/>
        <w:rPr>
          <w:rFonts w:ascii="黑体" w:eastAsia="黑体" w:hAnsi="宋体"/>
        </w:rPr>
      </w:pPr>
      <w:r>
        <w:rPr>
          <w:rFonts w:ascii="黑体" w:eastAsia="黑体" w:hAnsi="宋体" w:hint="eastAsia"/>
        </w:rPr>
        <w:t>（六）管理情况</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一是制定各项管理制度，落实工作责任分工，统一项目实施行为规范。二是使用国家农技推广机构统一标识，规范定制农业科技试验示范基地标牌、技术指导员胸牌和科技示范户门牌。三是加强监督管理，项目办不定期开展督导检查，确保政策落实到位。四是加强信息管理，确定专门信息管理员，利用全国农技推广补助项目管理信息系统，及时填报相关信息。</w:t>
      </w:r>
    </w:p>
    <w:p w:rsidR="00A972C7" w:rsidRDefault="00487390">
      <w:pPr>
        <w:widowControl/>
        <w:spacing w:line="560" w:lineRule="exact"/>
        <w:ind w:firstLineChars="200" w:firstLine="640"/>
        <w:rPr>
          <w:rFonts w:ascii="黑体" w:eastAsia="黑体" w:hAnsi="宋体"/>
          <w:lang w:val="zh-CN"/>
        </w:rPr>
      </w:pPr>
      <w:r>
        <w:rPr>
          <w:rFonts w:ascii="黑体" w:eastAsia="黑体" w:hAnsi="宋体" w:hint="eastAsia"/>
        </w:rPr>
        <w:t>四、项目绩效情况</w:t>
      </w:r>
      <w:r>
        <w:rPr>
          <w:rFonts w:ascii="黑体" w:eastAsia="黑体" w:hAnsi="宋体" w:hint="eastAsia"/>
          <w:lang w:val="zh-CN"/>
        </w:rPr>
        <w:tab/>
      </w:r>
    </w:p>
    <w:p w:rsidR="00A972C7" w:rsidRDefault="00487390">
      <w:pPr>
        <w:widowControl/>
        <w:spacing w:line="560" w:lineRule="exact"/>
        <w:ind w:firstLineChars="200" w:firstLine="640"/>
        <w:rPr>
          <w:rFonts w:ascii="黑体" w:eastAsia="黑体" w:hAnsi="宋体"/>
          <w:lang w:val="zh-CN"/>
        </w:rPr>
      </w:pPr>
      <w:r>
        <w:rPr>
          <w:rFonts w:ascii="黑体" w:eastAsia="黑体" w:hAnsi="宋体" w:hint="eastAsia"/>
          <w:lang w:val="zh-CN"/>
        </w:rPr>
        <w:t>（一）项目完成情况。</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按照我市《2021年基层农技推广体系改革与建设任务实施方案》的要求，召开项目专题会议，组建了项目专家组，筛选主推技术、主推品种，择优选派40名农业技术指导员；培育农业科技示范主体124人，对科技示范户建立档案和各类数据库；建立了农业科技试验示范基地3个，全面完成了5天以上脱产业务培训和基层农技推广骨干人才培训，培训基层农技人员共计110人；农业技术指导员使用中国农技推广APP，进行农业技术信息服务。</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lang w:val="zh-CN"/>
        </w:rPr>
        <w:t>（</w:t>
      </w:r>
      <w:r>
        <w:rPr>
          <w:rFonts w:ascii="黑体" w:eastAsia="黑体" w:hAnsi="宋体" w:hint="eastAsia"/>
          <w:lang w:val="zh-CN"/>
        </w:rPr>
        <w:t>二）项目效益情况。</w:t>
      </w:r>
    </w:p>
    <w:p w:rsidR="00A972C7" w:rsidRDefault="00487390">
      <w:pPr>
        <w:widowControl/>
        <w:spacing w:line="560" w:lineRule="exact"/>
        <w:ind w:firstLineChars="200" w:firstLine="640"/>
        <w:rPr>
          <w:rFonts w:ascii="黑体" w:eastAsia="黑体" w:hAnsi="宋体"/>
          <w:lang w:val="zh-CN"/>
        </w:rPr>
      </w:pPr>
      <w:r>
        <w:rPr>
          <w:rFonts w:ascii="黑体" w:eastAsia="黑体" w:hAnsi="宋体" w:hint="eastAsia"/>
          <w:lang w:val="zh-CN"/>
        </w:rPr>
        <w:t>1、试验、示范基地成效明显</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lastRenderedPageBreak/>
        <w:t>遵道镇棚花村猕猴桃种植基地2000多亩，亩产达3000斤，平均每斤单价在5元左右，亩平年收入达1.5万元。齐天镇优质蔬菜生产基地中的业主之一双坪种植专业合作社，采取土地流转的方式建立粮经复合种植基地1300多亩，主要种植粮食和蔬菜，由于技术专家现场指导，采取适宜的栽培方式和绿色防控技术，亩平年收入达3000多元。</w:t>
      </w:r>
      <w:r>
        <w:rPr>
          <w:rFonts w:ascii="仿宋" w:eastAsia="仿宋" w:hAnsi="仿宋" w:cs="仿宋_GB2312" w:hint="eastAsia"/>
        </w:rPr>
        <w:t>新市镇石虎村15组示范户林高建，男、现年48岁，2017年前未流转土地，承4亩多承包地，全年种植业纯收入4000余元。2017年流转土地100多亩，也由于不懂种植业技术，基本就保本，2018年后被纳入示范户指导，流转土地每年增加，越种越有甜头，到2021年已流转土地272亩，通过培训、技术指导员指导和推广先进技术，2020年种植业纯收入10余万元，人均3万多元</w:t>
      </w:r>
      <w:r>
        <w:rPr>
          <w:rFonts w:hint="eastAsia"/>
        </w:rPr>
        <w:t>。</w:t>
      </w:r>
    </w:p>
    <w:p w:rsidR="00A972C7" w:rsidRDefault="00487390">
      <w:pPr>
        <w:widowControl/>
        <w:spacing w:line="560" w:lineRule="exact"/>
        <w:ind w:firstLineChars="200" w:firstLine="640"/>
        <w:rPr>
          <w:rFonts w:ascii="黑体" w:eastAsia="黑体" w:hAnsi="宋体"/>
          <w:lang w:val="zh-CN"/>
        </w:rPr>
      </w:pPr>
      <w:r>
        <w:rPr>
          <w:rFonts w:ascii="黑体" w:eastAsia="黑体" w:hAnsi="宋体" w:hint="eastAsia"/>
          <w:lang w:val="zh-CN"/>
        </w:rPr>
        <w:t>2、示范户</w:t>
      </w:r>
      <w:r w:rsidR="003F0536">
        <w:rPr>
          <w:rFonts w:ascii="黑体" w:eastAsia="黑体" w:hAnsi="宋体" w:hint="eastAsia"/>
          <w:lang w:val="zh-CN"/>
        </w:rPr>
        <w:t>辐</w:t>
      </w:r>
      <w:r>
        <w:rPr>
          <w:rFonts w:ascii="黑体" w:eastAsia="黑体" w:hAnsi="宋体" w:hint="eastAsia"/>
          <w:lang w:val="zh-CN"/>
        </w:rPr>
        <w:t>射带动强</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遴选、培育的1000户科技示范户，通过技术指导员多种形式的入户指导和培训，成为了基层农业技术推广工作中不可缺少的推广员。示范带动周边农户26000余户，示范推广水稻高产强化栽培技术、水稻精确定量栽培技术、小麦高产栽培技术、小麦机播技术等10多项高产栽培技术，示范推广新进了红什2号、金艳、金果、旌优127、蜀麦969等10多个新品种水果、蔬菜、粮油作物。</w:t>
      </w:r>
    </w:p>
    <w:p w:rsidR="00A972C7" w:rsidRDefault="00487390">
      <w:pPr>
        <w:widowControl/>
        <w:spacing w:line="560" w:lineRule="exact"/>
        <w:ind w:firstLineChars="200" w:firstLine="640"/>
        <w:rPr>
          <w:rFonts w:ascii="黑体" w:eastAsia="黑体" w:hAnsi="宋体"/>
          <w:lang w:val="zh-CN"/>
        </w:rPr>
      </w:pPr>
      <w:r>
        <w:rPr>
          <w:rFonts w:ascii="黑体" w:eastAsia="黑体" w:hAnsi="宋体" w:hint="eastAsia"/>
          <w:lang w:val="zh-CN"/>
        </w:rPr>
        <w:t>3、项目实施的生态效益分析</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我市遴选发布主推技术、主导品种，重点和优先推广减肥减药、生态环保、节本增效的农业先进适用技术，根据我</w:t>
      </w:r>
      <w:r>
        <w:rPr>
          <w:rFonts w:ascii="仿宋" w:eastAsia="仿宋" w:hAnsi="仿宋" w:cs="仿宋_GB2312" w:hint="eastAsia"/>
          <w:color w:val="292929"/>
        </w:rPr>
        <w:lastRenderedPageBreak/>
        <w:t>市实际，制定试验示范基地建设标准，规范建设，以确保项目实施能有较好的生态效益。如在板桥镇海江村建设猕猴桃种植试验示范基地（山牧公司），先后投入了沾虫板12000张，太阳能诱虫灯32盏等设施，设施病虫害绿色防控技术，不但有效地减少了病虫害危害，减少了农药投放，亩平降低了生产成本70-80元，而且改善了生态环境，每年猕猴桃的花季，大批量养蜂人进入果园，达到了每亩一桶蜜蜂的覆盖率。蜜蜂授粉，猕猴桃果型正，籽粒饱满，口感好。</w:t>
      </w:r>
    </w:p>
    <w:p w:rsidR="00A972C7" w:rsidRDefault="00487390">
      <w:pPr>
        <w:widowControl/>
        <w:spacing w:line="560" w:lineRule="exact"/>
        <w:ind w:firstLineChars="200" w:firstLine="640"/>
        <w:rPr>
          <w:rFonts w:ascii="黑体" w:eastAsia="黑体" w:hAnsi="宋体"/>
          <w:lang w:val="zh-CN"/>
        </w:rPr>
      </w:pPr>
      <w:r>
        <w:rPr>
          <w:rFonts w:ascii="黑体" w:eastAsia="黑体" w:hAnsi="宋体" w:hint="eastAsia"/>
          <w:lang w:val="zh-CN"/>
        </w:rPr>
        <w:t>五、评价结论及建议</w:t>
      </w:r>
    </w:p>
    <w:p w:rsidR="00A972C7" w:rsidRDefault="00487390">
      <w:pPr>
        <w:widowControl/>
        <w:spacing w:line="560" w:lineRule="exact"/>
        <w:ind w:firstLineChars="200" w:firstLine="640"/>
        <w:rPr>
          <w:rFonts w:ascii="黑体" w:eastAsia="黑体" w:hAnsi="宋体"/>
          <w:lang w:val="zh-CN"/>
        </w:rPr>
      </w:pPr>
      <w:r>
        <w:rPr>
          <w:rFonts w:ascii="黑体" w:eastAsia="黑体" w:hAnsi="宋体" w:hint="eastAsia"/>
          <w:lang w:val="zh-CN"/>
        </w:rPr>
        <w:t>（一）评价结论。</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通过实施基层农技推广体系改革与建设项目，切实理顺了农技推广机构管理体制，发掘了各方面的潜在力量，提高了广大技术人员的推广积极性；基层农技推广人员能力素质有所提升；科技示范户、科技示范基地发挥了示范引领作用，加强了农业主推技术推广；农技推广信息化建设进一步加强；农科教产学研一体化农技推广联盟建设效果明显；加快了新技术、新品种的推广，广大技术人员得到了群众的认可，得到了群众的大力支持；通过培育科技示范户，群众对科技兴农的认识进一步提高，科学种田素质明显提高，示范带动作用明显，示范户和示范基地产量和效益也十分显著。</w:t>
      </w:r>
    </w:p>
    <w:p w:rsidR="00A972C7" w:rsidRDefault="00487390">
      <w:pPr>
        <w:widowControl/>
        <w:spacing w:line="560" w:lineRule="exact"/>
        <w:ind w:firstLineChars="200" w:firstLine="640"/>
        <w:rPr>
          <w:rFonts w:ascii="黑体" w:eastAsia="黑体" w:hAnsi="宋体"/>
          <w:lang w:val="zh-CN"/>
        </w:rPr>
      </w:pPr>
      <w:r>
        <w:rPr>
          <w:rFonts w:ascii="黑体" w:eastAsia="黑体" w:hAnsi="宋体" w:hint="eastAsia"/>
          <w:lang w:val="zh-CN"/>
        </w:rPr>
        <w:t>（二）存在的问题及相关建议。</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1、市镇农技推广队伍人员普遍老化，年龄偏大，新的农技推广技术知识掌握少，学习更新少，需要在今后充实和强化推广队伍建设。</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lastRenderedPageBreak/>
        <w:t>2、加强科技人员知识更新培训工作，提高科技推广能力建设。</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3、加快新型农业经营主体建设，加快高素质农民培育。</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4、不断完善新技术、新品种推广培训机制。</w:t>
      </w:r>
    </w:p>
    <w:p w:rsidR="00A972C7" w:rsidRDefault="00487390">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总之，严格按照项目实施方案的要求，在明确市乡技术推广责任方面，市级重点抓好技术推广方案的制定，搞好全市面上的宣传培训，指导乡镇开展技术推广工作，并抓好基地的建设，充分发挥示范培训作用，将示范基地建设成领导指挥田和新技术、新品种展示田。乡镇推广机构和乡镇技术人员，重点抓好入村入户指导，负责将上级业务部门制定的技术推广方案和技术意见及时指导落实到位，并具体抓好各类技术培训工作。在巩固体系建设成果的基础上，进一步强化推广队伍建设，提高人员素质，增强服务意识和服务功能。创新技术推广方式和培训形式，及时将先进实用的生产技术传输到农民手中。</w:t>
      </w:r>
    </w:p>
    <w:p w:rsidR="00A972C7" w:rsidRDefault="00A972C7">
      <w:pPr>
        <w:widowControl/>
        <w:spacing w:line="560" w:lineRule="exact"/>
        <w:ind w:firstLineChars="200" w:firstLine="640"/>
        <w:rPr>
          <w:rFonts w:ascii="仿宋" w:eastAsia="仿宋" w:hAnsi="仿宋" w:cs="仿宋_GB2312"/>
          <w:color w:val="292929"/>
        </w:rPr>
      </w:pPr>
    </w:p>
    <w:p w:rsidR="00A972C7" w:rsidRDefault="00A972C7">
      <w:pPr>
        <w:widowControl/>
        <w:spacing w:line="560" w:lineRule="exact"/>
        <w:ind w:firstLineChars="200" w:firstLine="640"/>
        <w:rPr>
          <w:rFonts w:ascii="仿宋" w:eastAsia="仿宋" w:hAnsi="仿宋" w:cs="仿宋_GB2312"/>
          <w:color w:val="292929"/>
        </w:rPr>
      </w:pPr>
    </w:p>
    <w:p w:rsidR="00A972C7" w:rsidRDefault="00A972C7">
      <w:pPr>
        <w:widowControl/>
        <w:spacing w:line="560" w:lineRule="exact"/>
        <w:ind w:firstLineChars="200" w:firstLine="640"/>
        <w:rPr>
          <w:rFonts w:ascii="仿宋" w:eastAsia="仿宋" w:hAnsi="仿宋" w:cs="仿宋_GB2312"/>
          <w:color w:val="292929"/>
        </w:rPr>
      </w:pPr>
    </w:p>
    <w:p w:rsidR="00A972C7" w:rsidRDefault="00A972C7">
      <w:pPr>
        <w:widowControl/>
        <w:spacing w:line="560" w:lineRule="exact"/>
        <w:ind w:firstLineChars="200" w:firstLine="640"/>
        <w:rPr>
          <w:rFonts w:ascii="仿宋" w:eastAsia="仿宋" w:hAnsi="仿宋" w:cs="仿宋_GB2312"/>
          <w:color w:val="292929"/>
        </w:rPr>
      </w:pPr>
    </w:p>
    <w:p w:rsidR="00A972C7" w:rsidRDefault="00487390">
      <w:pPr>
        <w:widowControl/>
        <w:spacing w:line="560" w:lineRule="exact"/>
        <w:ind w:firstLineChars="1700" w:firstLine="5440"/>
        <w:rPr>
          <w:rFonts w:ascii="仿宋" w:eastAsia="仿宋" w:hAnsi="仿宋" w:cs="仿宋_GB2312"/>
          <w:color w:val="292929"/>
        </w:rPr>
      </w:pPr>
      <w:r>
        <w:rPr>
          <w:rFonts w:ascii="仿宋" w:eastAsia="仿宋" w:hAnsi="仿宋" w:cs="仿宋_GB2312" w:hint="eastAsia"/>
          <w:color w:val="292929"/>
        </w:rPr>
        <w:t>绵竹市农业农村局</w:t>
      </w:r>
    </w:p>
    <w:p w:rsidR="00A972C7" w:rsidRDefault="00487390">
      <w:pPr>
        <w:widowControl/>
        <w:spacing w:line="560" w:lineRule="exact"/>
        <w:ind w:firstLineChars="1700" w:firstLine="5440"/>
        <w:rPr>
          <w:rFonts w:ascii="仿宋" w:eastAsia="仿宋" w:hAnsi="仿宋" w:cs="仿宋_GB2312"/>
          <w:color w:val="292929"/>
        </w:rPr>
      </w:pPr>
      <w:r>
        <w:rPr>
          <w:rFonts w:ascii="仿宋" w:eastAsia="仿宋" w:hAnsi="仿宋" w:cs="仿宋_GB2312" w:hint="eastAsia"/>
          <w:color w:val="292929"/>
        </w:rPr>
        <w:t>2022年5月19日</w:t>
      </w:r>
    </w:p>
    <w:sectPr w:rsidR="00A972C7" w:rsidSect="00A972C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BB8" w:rsidRDefault="006E4BB8" w:rsidP="00A972C7">
      <w:r>
        <w:separator/>
      </w:r>
    </w:p>
  </w:endnote>
  <w:endnote w:type="continuationSeparator" w:id="1">
    <w:p w:rsidR="006E4BB8" w:rsidRDefault="006E4BB8" w:rsidP="00A972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
    <w:altName w:val="Times New Roman"/>
    <w:charset w:val="00"/>
    <w:family w:val="roman"/>
    <w:pitch w:val="default"/>
    <w:sig w:usb0="00000000" w:usb1="00000000" w:usb2="00000000" w:usb3="00000000" w:csb0="00040001" w:csb1="00000000"/>
  </w:font>
  <w:font w:name="方正小标宋简体">
    <w:altName w:val="Arial Unicode MS"/>
    <w:charset w:val="86"/>
    <w:family w:val="auto"/>
    <w:pitch w:val="default"/>
    <w:sig w:usb0="00000000" w:usb1="080E0000" w:usb2="00000000" w:usb3="00000000" w:csb0="00040000" w:csb1="00000000"/>
  </w:font>
  <w:font w:name="??_GB2312">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8010332"/>
    </w:sdtPr>
    <w:sdtContent>
      <w:p w:rsidR="00A972C7" w:rsidRDefault="00B961FF">
        <w:pPr>
          <w:pStyle w:val="a6"/>
          <w:jc w:val="center"/>
        </w:pPr>
        <w:r>
          <w:fldChar w:fldCharType="begin"/>
        </w:r>
        <w:r w:rsidR="00487390">
          <w:instrText>PAGE   \* MERGEFORMAT</w:instrText>
        </w:r>
        <w:r>
          <w:fldChar w:fldCharType="separate"/>
        </w:r>
        <w:r w:rsidR="003F0536" w:rsidRPr="003F0536">
          <w:rPr>
            <w:noProof/>
            <w:lang w:val="zh-CN"/>
          </w:rPr>
          <w:t>8</w:t>
        </w:r>
        <w:r>
          <w:fldChar w:fldCharType="end"/>
        </w:r>
      </w:p>
    </w:sdtContent>
  </w:sdt>
  <w:p w:rsidR="00A972C7" w:rsidRDefault="00A972C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BB8" w:rsidRDefault="006E4BB8" w:rsidP="00A972C7">
      <w:r>
        <w:separator/>
      </w:r>
    </w:p>
  </w:footnote>
  <w:footnote w:type="continuationSeparator" w:id="1">
    <w:p w:rsidR="006E4BB8" w:rsidRDefault="006E4BB8" w:rsidP="00A972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DliOWQ1ZGJlZmRjNGEwZDhmYzYxYmM4NzIzYzhkMjAifQ=="/>
  </w:docVars>
  <w:rsids>
    <w:rsidRoot w:val="00FD3EFA"/>
    <w:rsid w:val="00027886"/>
    <w:rsid w:val="00086C48"/>
    <w:rsid w:val="000A3F41"/>
    <w:rsid w:val="000B245B"/>
    <w:rsid w:val="000D228F"/>
    <w:rsid w:val="000D70F5"/>
    <w:rsid w:val="00105735"/>
    <w:rsid w:val="001878E5"/>
    <w:rsid w:val="00232707"/>
    <w:rsid w:val="002448DF"/>
    <w:rsid w:val="00291918"/>
    <w:rsid w:val="002D7D17"/>
    <w:rsid w:val="002E7D7A"/>
    <w:rsid w:val="002F04D3"/>
    <w:rsid w:val="002F2CB2"/>
    <w:rsid w:val="003110EA"/>
    <w:rsid w:val="00334717"/>
    <w:rsid w:val="00386626"/>
    <w:rsid w:val="00394648"/>
    <w:rsid w:val="003C20F2"/>
    <w:rsid w:val="003F0536"/>
    <w:rsid w:val="004046AD"/>
    <w:rsid w:val="0040632C"/>
    <w:rsid w:val="00411550"/>
    <w:rsid w:val="0044685C"/>
    <w:rsid w:val="00486C0E"/>
    <w:rsid w:val="00487390"/>
    <w:rsid w:val="004E768B"/>
    <w:rsid w:val="00543D64"/>
    <w:rsid w:val="00571C58"/>
    <w:rsid w:val="00572F4E"/>
    <w:rsid w:val="005845C6"/>
    <w:rsid w:val="00584DEE"/>
    <w:rsid w:val="00606C2A"/>
    <w:rsid w:val="00671AC1"/>
    <w:rsid w:val="006A4940"/>
    <w:rsid w:val="006A63B7"/>
    <w:rsid w:val="006D7567"/>
    <w:rsid w:val="006E4BB8"/>
    <w:rsid w:val="00713E52"/>
    <w:rsid w:val="00767CBE"/>
    <w:rsid w:val="007B49F4"/>
    <w:rsid w:val="007B4D16"/>
    <w:rsid w:val="00812A13"/>
    <w:rsid w:val="00823944"/>
    <w:rsid w:val="008A1C1C"/>
    <w:rsid w:val="008F6FBC"/>
    <w:rsid w:val="008F788A"/>
    <w:rsid w:val="009131D6"/>
    <w:rsid w:val="00923345"/>
    <w:rsid w:val="00943028"/>
    <w:rsid w:val="009D714F"/>
    <w:rsid w:val="009D7540"/>
    <w:rsid w:val="00A13647"/>
    <w:rsid w:val="00A3248E"/>
    <w:rsid w:val="00A52F3A"/>
    <w:rsid w:val="00A66D4F"/>
    <w:rsid w:val="00A972C7"/>
    <w:rsid w:val="00AC4980"/>
    <w:rsid w:val="00B961FF"/>
    <w:rsid w:val="00BE0F50"/>
    <w:rsid w:val="00C0170D"/>
    <w:rsid w:val="00C109E2"/>
    <w:rsid w:val="00C31186"/>
    <w:rsid w:val="00C61F9D"/>
    <w:rsid w:val="00D25B1B"/>
    <w:rsid w:val="00D85843"/>
    <w:rsid w:val="00D957AD"/>
    <w:rsid w:val="00DB6789"/>
    <w:rsid w:val="00DD6125"/>
    <w:rsid w:val="00E4357F"/>
    <w:rsid w:val="00E72FDE"/>
    <w:rsid w:val="00E85D8D"/>
    <w:rsid w:val="00EE39E1"/>
    <w:rsid w:val="00EF6B1B"/>
    <w:rsid w:val="00F24721"/>
    <w:rsid w:val="00F251E9"/>
    <w:rsid w:val="00FB238A"/>
    <w:rsid w:val="00FD3EFA"/>
    <w:rsid w:val="00FD62E7"/>
    <w:rsid w:val="00FF5832"/>
    <w:rsid w:val="03353231"/>
    <w:rsid w:val="059B1E69"/>
    <w:rsid w:val="05FE0D39"/>
    <w:rsid w:val="06317483"/>
    <w:rsid w:val="063F12C1"/>
    <w:rsid w:val="06CC1F10"/>
    <w:rsid w:val="076F25B5"/>
    <w:rsid w:val="08355ADD"/>
    <w:rsid w:val="08B1197F"/>
    <w:rsid w:val="08EB044B"/>
    <w:rsid w:val="08F82A68"/>
    <w:rsid w:val="08FB32A3"/>
    <w:rsid w:val="09402270"/>
    <w:rsid w:val="0BBF0344"/>
    <w:rsid w:val="101668D2"/>
    <w:rsid w:val="10603525"/>
    <w:rsid w:val="10D3525E"/>
    <w:rsid w:val="11021D0D"/>
    <w:rsid w:val="120874C5"/>
    <w:rsid w:val="12D5457F"/>
    <w:rsid w:val="133A7AF2"/>
    <w:rsid w:val="154728DA"/>
    <w:rsid w:val="1D0A37FD"/>
    <w:rsid w:val="1E2C2CCF"/>
    <w:rsid w:val="1F0E3305"/>
    <w:rsid w:val="1F792321"/>
    <w:rsid w:val="20B3597C"/>
    <w:rsid w:val="23261B35"/>
    <w:rsid w:val="24207ED6"/>
    <w:rsid w:val="25893E58"/>
    <w:rsid w:val="259A6F22"/>
    <w:rsid w:val="25D849A7"/>
    <w:rsid w:val="28264035"/>
    <w:rsid w:val="28B5472C"/>
    <w:rsid w:val="28C300FA"/>
    <w:rsid w:val="29377F04"/>
    <w:rsid w:val="2A3E4020"/>
    <w:rsid w:val="2ADC47FC"/>
    <w:rsid w:val="31817A62"/>
    <w:rsid w:val="31A13244"/>
    <w:rsid w:val="31E8758A"/>
    <w:rsid w:val="333556F1"/>
    <w:rsid w:val="335D138A"/>
    <w:rsid w:val="33A71323"/>
    <w:rsid w:val="348F5800"/>
    <w:rsid w:val="360B5CC0"/>
    <w:rsid w:val="396C07AC"/>
    <w:rsid w:val="3A4072A0"/>
    <w:rsid w:val="3C245D43"/>
    <w:rsid w:val="3D324D96"/>
    <w:rsid w:val="3D866120"/>
    <w:rsid w:val="3D9F74B0"/>
    <w:rsid w:val="40410627"/>
    <w:rsid w:val="409B6D36"/>
    <w:rsid w:val="44987295"/>
    <w:rsid w:val="476C55E1"/>
    <w:rsid w:val="4ACC02BE"/>
    <w:rsid w:val="4AE669FD"/>
    <w:rsid w:val="4DD91393"/>
    <w:rsid w:val="4DEF5C6D"/>
    <w:rsid w:val="4E2138BA"/>
    <w:rsid w:val="4E6142DF"/>
    <w:rsid w:val="4EAE3D6A"/>
    <w:rsid w:val="55084399"/>
    <w:rsid w:val="57870184"/>
    <w:rsid w:val="58E16A7B"/>
    <w:rsid w:val="5FC0589C"/>
    <w:rsid w:val="60390D92"/>
    <w:rsid w:val="61476AA1"/>
    <w:rsid w:val="619D46AA"/>
    <w:rsid w:val="621D06F8"/>
    <w:rsid w:val="63802787"/>
    <w:rsid w:val="63E54FD9"/>
    <w:rsid w:val="63E80D88"/>
    <w:rsid w:val="64406152"/>
    <w:rsid w:val="649347B6"/>
    <w:rsid w:val="663E0BAD"/>
    <w:rsid w:val="670D26E1"/>
    <w:rsid w:val="69797063"/>
    <w:rsid w:val="6B59309E"/>
    <w:rsid w:val="6F08521F"/>
    <w:rsid w:val="70A34789"/>
    <w:rsid w:val="71987EDA"/>
    <w:rsid w:val="76153CE6"/>
    <w:rsid w:val="77DC2B7C"/>
    <w:rsid w:val="784A3407"/>
    <w:rsid w:val="78576C60"/>
    <w:rsid w:val="78745673"/>
    <w:rsid w:val="7C656EC7"/>
    <w:rsid w:val="7D8677B5"/>
    <w:rsid w:val="7DA83B3F"/>
    <w:rsid w:val="7DEF1201"/>
    <w:rsid w:val="7E970D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Body Text" w:semiHidden="0" w:uiPriority="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972C7"/>
    <w:pPr>
      <w:widowControl w:val="0"/>
      <w:jc w:val="both"/>
    </w:pPr>
    <w:rPr>
      <w:rFonts w:ascii="Times New Roman" w:eastAsia="宋体" w:hAnsi="Times New Roman" w:cs="Times New Roman"/>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章标题"/>
    <w:basedOn w:val="a"/>
    <w:next w:val="a4"/>
    <w:uiPriority w:val="99"/>
    <w:qFormat/>
    <w:rsid w:val="00A972C7"/>
    <w:pPr>
      <w:widowControl/>
      <w:spacing w:before="158" w:after="153" w:line="323" w:lineRule="atLeast"/>
      <w:ind w:right="-120"/>
      <w:jc w:val="center"/>
      <w:textAlignment w:val="baseline"/>
    </w:pPr>
    <w:rPr>
      <w:color w:val="FF0000"/>
      <w:sz w:val="18"/>
      <w:szCs w:val="18"/>
    </w:rPr>
  </w:style>
  <w:style w:type="paragraph" w:customStyle="1" w:styleId="a4">
    <w:name w:val="节标题"/>
    <w:basedOn w:val="a"/>
    <w:next w:val="a"/>
    <w:uiPriority w:val="99"/>
    <w:qFormat/>
    <w:rsid w:val="00A972C7"/>
    <w:pPr>
      <w:widowControl/>
      <w:spacing w:line="289" w:lineRule="atLeast"/>
      <w:jc w:val="center"/>
      <w:textAlignment w:val="baseline"/>
    </w:pPr>
    <w:rPr>
      <w:color w:val="000000"/>
      <w:sz w:val="28"/>
      <w:szCs w:val="28"/>
    </w:rPr>
  </w:style>
  <w:style w:type="paragraph" w:styleId="a5">
    <w:name w:val="Body Text"/>
    <w:basedOn w:val="a"/>
    <w:qFormat/>
    <w:rsid w:val="00A972C7"/>
    <w:rPr>
      <w:sz w:val="28"/>
    </w:rPr>
  </w:style>
  <w:style w:type="paragraph" w:styleId="a6">
    <w:name w:val="footer"/>
    <w:basedOn w:val="a"/>
    <w:link w:val="Char"/>
    <w:uiPriority w:val="99"/>
    <w:qFormat/>
    <w:rsid w:val="00A972C7"/>
    <w:pPr>
      <w:tabs>
        <w:tab w:val="center" w:pos="4153"/>
        <w:tab w:val="right" w:pos="8306"/>
      </w:tabs>
      <w:snapToGrid w:val="0"/>
      <w:jc w:val="left"/>
    </w:pPr>
    <w:rPr>
      <w:rFonts w:ascii="Calibri" w:hAnsi="Calibri"/>
      <w:sz w:val="18"/>
      <w:szCs w:val="18"/>
    </w:rPr>
  </w:style>
  <w:style w:type="paragraph" w:styleId="a7">
    <w:name w:val="header"/>
    <w:basedOn w:val="a"/>
    <w:link w:val="Char0"/>
    <w:uiPriority w:val="99"/>
    <w:qFormat/>
    <w:rsid w:val="00A972C7"/>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脚 Char"/>
    <w:basedOn w:val="a1"/>
    <w:link w:val="a6"/>
    <w:uiPriority w:val="99"/>
    <w:qFormat/>
    <w:locked/>
    <w:rsid w:val="00A972C7"/>
    <w:rPr>
      <w:rFonts w:cs="Times New Roman"/>
      <w:sz w:val="18"/>
      <w:szCs w:val="18"/>
    </w:rPr>
  </w:style>
  <w:style w:type="character" w:customStyle="1" w:styleId="Char0">
    <w:name w:val="页眉 Char"/>
    <w:basedOn w:val="a1"/>
    <w:link w:val="a7"/>
    <w:uiPriority w:val="99"/>
    <w:qFormat/>
    <w:locked/>
    <w:rsid w:val="00A972C7"/>
    <w:rPr>
      <w:rFonts w:cs="Times New Roman"/>
      <w:sz w:val="18"/>
      <w:szCs w:val="18"/>
    </w:rPr>
  </w:style>
  <w:style w:type="paragraph" w:customStyle="1" w:styleId="a8">
    <w:name w:val="四号正文"/>
    <w:basedOn w:val="a"/>
    <w:link w:val="Char1"/>
    <w:uiPriority w:val="99"/>
    <w:qFormat/>
    <w:rsid w:val="00A972C7"/>
    <w:pPr>
      <w:spacing w:line="360" w:lineRule="auto"/>
    </w:pPr>
    <w:rPr>
      <w:rFonts w:ascii="??" w:hAnsi="??"/>
      <w:color w:val="000000"/>
      <w:kern w:val="0"/>
      <w:sz w:val="21"/>
      <w:szCs w:val="20"/>
    </w:rPr>
  </w:style>
  <w:style w:type="character" w:customStyle="1" w:styleId="Char1">
    <w:name w:val="四号正文 Char"/>
    <w:link w:val="a8"/>
    <w:uiPriority w:val="99"/>
    <w:qFormat/>
    <w:locked/>
    <w:rsid w:val="00A972C7"/>
    <w:rPr>
      <w:rFonts w:ascii="??" w:eastAsia="宋体" w:hAnsi="??"/>
      <w:color w:val="000000"/>
      <w:kern w:val="0"/>
      <w:sz w:val="21"/>
    </w:rPr>
  </w:style>
  <w:style w:type="paragraph" w:styleId="a9">
    <w:name w:val="Balloon Text"/>
    <w:basedOn w:val="a"/>
    <w:link w:val="Char2"/>
    <w:uiPriority w:val="99"/>
    <w:semiHidden/>
    <w:unhideWhenUsed/>
    <w:rsid w:val="00EF6B1B"/>
    <w:rPr>
      <w:sz w:val="18"/>
      <w:szCs w:val="18"/>
    </w:rPr>
  </w:style>
  <w:style w:type="character" w:customStyle="1" w:styleId="Char2">
    <w:name w:val="批注框文本 Char"/>
    <w:basedOn w:val="a1"/>
    <w:link w:val="a9"/>
    <w:uiPriority w:val="99"/>
    <w:semiHidden/>
    <w:rsid w:val="00EF6B1B"/>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837</Words>
  <Characters>4771</Characters>
  <Application>Microsoft Office Word</Application>
  <DocSecurity>0</DocSecurity>
  <Lines>39</Lines>
  <Paragraphs>11</Paragraphs>
  <ScaleCrop>false</ScaleCrop>
  <Company>Microsoft</Company>
  <LinksUpToDate>false</LinksUpToDate>
  <CharactersWithSpaces>5597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7</cp:revision>
  <dcterms:created xsi:type="dcterms:W3CDTF">2021-05-17T03:28:00Z</dcterms:created>
  <dcterms:modified xsi:type="dcterms:W3CDTF">2024-01-15T07:50:00Z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FD5E622E819040C6A1F887BB43DD5AC8</vt:lpwstr>
  </property>
</Properties>
</file>