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附件6</w:t>
      </w:r>
    </w:p>
    <w:p>
      <w:pPr>
        <w:pStyle w:val="9"/>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（质量监管执法项目）</w:t>
      </w:r>
    </w:p>
    <w:p>
      <w:pPr>
        <w:pStyle w:val="9"/>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600" w:lineRule="exact"/>
        <w:ind w:firstLine="720"/>
        <w:rPr>
          <w:rFonts w:hint="eastAsia" w:ascii="仿宋" w:hAnsi="仿宋" w:eastAsia="仿宋" w:cs="仿宋"/>
          <w:highlight w:val="none"/>
          <w:lang w:val="zh-CN"/>
        </w:rPr>
      </w:pPr>
      <w:r>
        <w:rPr>
          <w:rFonts w:hint="eastAsia" w:ascii="仿宋" w:hAnsi="仿宋" w:eastAsia="仿宋" w:cs="仿宋"/>
          <w:lang w:val="zh-CN"/>
        </w:rPr>
        <w:t>绵竹市市场监督管理局按规定组织指导</w:t>
      </w:r>
      <w:r>
        <w:rPr>
          <w:rFonts w:hint="eastAsia" w:ascii="仿宋" w:hAnsi="仿宋" w:eastAsia="仿宋" w:cs="仿宋"/>
          <w:highlight w:val="none"/>
          <w:lang w:val="zh-CN"/>
        </w:rPr>
        <w:t>全市质量提升，工业产品生产环节抽检，工业产品获证企业证后监管及相关专项整治的行为。</w:t>
      </w:r>
    </w:p>
    <w:p>
      <w:pPr>
        <w:pStyle w:val="11"/>
        <w:spacing w:line="600" w:lineRule="exact"/>
        <w:ind w:firstLine="640" w:firstLineChars="200"/>
        <w:rPr>
          <w:rFonts w:hint="eastAsia"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adjustRightInd w:val="0"/>
        <w:snapToGrid w:val="0"/>
        <w:spacing w:line="580" w:lineRule="exact"/>
        <w:ind w:firstLine="720"/>
        <w:rPr>
          <w:rFonts w:ascii="仿宋_GB2312" w:hAnsi="宋体"/>
          <w:lang w:val="zh-CN"/>
        </w:rPr>
      </w:pPr>
      <w:r>
        <w:rPr>
          <w:rFonts w:hint="eastAsia" w:ascii="仿宋" w:hAnsi="仿宋" w:eastAsia="仿宋" w:cs="仿宋"/>
        </w:rPr>
        <w:t>资金分配按照人员类、民生类、专项业务类、工程项目类的顺序予以分配和保障。</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960" w:firstLineChars="300"/>
        <w:rPr>
          <w:rFonts w:ascii="仿宋_GB2312" w:hAnsi="宋体"/>
          <w:lang w:val="zh-CN"/>
        </w:rPr>
      </w:pPr>
      <w:r>
        <w:rPr>
          <w:rFonts w:hint="eastAsia" w:ascii="仿宋" w:hAnsi="仿宋" w:eastAsia="仿宋" w:cs="仿宋"/>
          <w:lang w:val="en-US" w:eastAsia="zh-CN"/>
        </w:rPr>
        <w:t>2021</w:t>
      </w:r>
      <w:r>
        <w:rPr>
          <w:rFonts w:hint="eastAsia" w:ascii="仿宋" w:hAnsi="仿宋" w:eastAsia="仿宋" w:cs="仿宋"/>
        </w:rPr>
        <w:t>年</w:t>
      </w:r>
      <w:r>
        <w:rPr>
          <w:rFonts w:hint="eastAsia" w:ascii="仿宋_GB2312" w:hAnsi="宋体"/>
        </w:rPr>
        <w:t>质量监管执法</w:t>
      </w:r>
      <w:r>
        <w:rPr>
          <w:rFonts w:hint="eastAsia" w:ascii="仿宋" w:hAnsi="仿宋" w:eastAsia="仿宋" w:cs="仿宋"/>
        </w:rPr>
        <w:t>项目</w:t>
      </w:r>
      <w:r>
        <w:rPr>
          <w:rFonts w:hint="eastAsia" w:ascii="仿宋" w:hAnsi="仿宋" w:eastAsia="仿宋" w:cs="仿宋"/>
          <w:lang w:eastAsia="zh-CN"/>
        </w:rPr>
        <w:t>通过人力、财力、物力的投放，</w:t>
      </w:r>
      <w:r>
        <w:rPr>
          <w:rFonts w:hint="eastAsia" w:ascii="仿宋" w:hAnsi="仿宋" w:eastAsia="仿宋" w:cs="仿宋"/>
        </w:rPr>
        <w:t>开展大型质量安全监管、危化品等专项</w:t>
      </w:r>
      <w:r>
        <w:rPr>
          <w:rFonts w:hint="eastAsia" w:ascii="仿宋" w:hAnsi="仿宋" w:eastAsia="仿宋" w:cs="仿宋"/>
          <w:lang w:eastAsia="zh-CN"/>
        </w:rPr>
        <w:t>整治</w:t>
      </w:r>
      <w:r>
        <w:rPr>
          <w:rFonts w:hint="eastAsia" w:ascii="仿宋" w:hAnsi="仿宋" w:eastAsia="仿宋" w:cs="仿宋"/>
        </w:rPr>
        <w:t>行动</w:t>
      </w:r>
      <w:r>
        <w:rPr>
          <w:rFonts w:hint="eastAsia" w:ascii="仿宋" w:hAnsi="仿宋" w:eastAsia="仿宋" w:cs="仿宋"/>
          <w:lang w:eastAsia="zh-CN"/>
        </w:rPr>
        <w:t>，开展</w:t>
      </w:r>
      <w:r>
        <w:rPr>
          <w:rFonts w:hint="eastAsia" w:ascii="仿宋" w:hAnsi="仿宋" w:eastAsia="仿宋" w:cs="仿宋"/>
          <w:highlight w:val="none"/>
          <w:lang w:val="zh-CN"/>
        </w:rPr>
        <w:t>工业产品生产环节抽检，促使全市质量提升</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质量监管执法</w:t>
      </w:r>
      <w:r>
        <w:rPr>
          <w:rFonts w:hint="eastAsia" w:ascii="仿宋" w:hAnsi="仿宋" w:eastAsia="仿宋" w:cs="仿宋"/>
          <w:highlight w:val="none"/>
        </w:rPr>
        <w:t>资金年初预算申报</w:t>
      </w:r>
      <w:r>
        <w:rPr>
          <w:rFonts w:hint="eastAsia" w:ascii="仿宋" w:hAnsi="仿宋" w:eastAsia="仿宋" w:cs="仿宋"/>
          <w:highlight w:val="none"/>
          <w:lang w:val="en-US" w:eastAsia="zh-CN"/>
        </w:rPr>
        <w:t>0.1</w:t>
      </w:r>
      <w:r>
        <w:rPr>
          <w:rFonts w:hint="eastAsia" w:ascii="仿宋" w:hAnsi="仿宋" w:eastAsia="仿宋" w:cs="仿宋"/>
          <w:highlight w:val="none"/>
        </w:rPr>
        <w:t>万元，财政批复</w:t>
      </w:r>
      <w:r>
        <w:rPr>
          <w:rFonts w:hint="eastAsia" w:ascii="仿宋" w:hAnsi="仿宋" w:eastAsia="仿宋" w:cs="仿宋"/>
          <w:highlight w:val="none"/>
          <w:lang w:val="en-US" w:eastAsia="zh-CN"/>
        </w:rPr>
        <w:t>0.1</w:t>
      </w:r>
      <w:r>
        <w:rPr>
          <w:rFonts w:hint="eastAsia" w:ascii="仿宋" w:hAnsi="仿宋" w:eastAsia="仿宋" w:cs="仿宋"/>
          <w:highlight w:val="none"/>
        </w:rPr>
        <w:t>万元。</w:t>
      </w:r>
    </w:p>
    <w:p>
      <w:pPr>
        <w:numPr>
          <w:ilvl w:val="0"/>
          <w:numId w:val="1"/>
        </w:numPr>
        <w:adjustRightInd w:val="0"/>
        <w:snapToGrid w:val="0"/>
        <w:spacing w:line="580" w:lineRule="exact"/>
        <w:ind w:firstLine="720"/>
        <w:rPr>
          <w:rFonts w:hint="eastAsia" w:ascii="楷体_GB2312" w:hAnsi="宋体" w:eastAsia="楷体_GB2312"/>
          <w:b/>
          <w:highlight w:val="none"/>
          <w:lang w:val="zh-CN"/>
        </w:rPr>
      </w:pPr>
      <w:r>
        <w:rPr>
          <w:rFonts w:hint="eastAsia" w:ascii="楷体_GB2312" w:hAnsi="宋体" w:eastAsia="楷体_GB2312"/>
          <w:b/>
          <w:highlight w:val="none"/>
          <w:lang w:val="zh-CN"/>
        </w:rPr>
        <w:t>资金计划、到位及使用情况</w:t>
      </w:r>
    </w:p>
    <w:p>
      <w:pPr>
        <w:adjustRightInd w:val="0"/>
        <w:snapToGrid w:val="0"/>
        <w:spacing w:line="580" w:lineRule="exact"/>
        <w:ind w:firstLine="720"/>
        <w:rPr>
          <w:rFonts w:ascii="仿宋_GB2312" w:hAnsi="宋体"/>
          <w:highlight w:val="none"/>
          <w:lang w:val="zh-CN"/>
        </w:rPr>
      </w:pPr>
      <w:r>
        <w:rPr>
          <w:rFonts w:ascii="楷体_GB2312" w:hAnsi="宋体" w:eastAsia="楷体_GB2312"/>
          <w:highlight w:val="none"/>
          <w:lang w:val="zh-CN"/>
        </w:rPr>
        <w:t>1</w:t>
      </w:r>
      <w:r>
        <w:rPr>
          <w:rFonts w:hint="eastAsia" w:ascii="楷体_GB2312" w:hAnsi="宋体" w:eastAsia="楷体_GB2312"/>
          <w:highlight w:val="none"/>
          <w:lang w:val="zh-CN"/>
        </w:rPr>
        <w:t>．资金计划。</w:t>
      </w:r>
      <w:r>
        <w:rPr>
          <w:rFonts w:hint="eastAsia" w:ascii="仿宋" w:hAnsi="仿宋" w:eastAsia="仿宋" w:cs="仿宋"/>
        </w:rPr>
        <w:t>主要用于质量安全监管行动</w:t>
      </w:r>
      <w:r>
        <w:rPr>
          <w:rFonts w:hint="eastAsia" w:ascii="仿宋" w:hAnsi="仿宋" w:eastAsia="仿宋" w:cs="仿宋"/>
          <w:lang w:val="en-US" w:eastAsia="zh-CN"/>
        </w:rPr>
        <w:t>相关方面</w:t>
      </w:r>
      <w:r>
        <w:rPr>
          <w:rFonts w:hint="eastAsia" w:ascii="仿宋" w:hAnsi="仿宋" w:eastAsia="仿宋" w:cs="仿宋"/>
        </w:rPr>
        <w:t>。</w:t>
      </w:r>
    </w:p>
    <w:p>
      <w:pPr>
        <w:adjustRightInd w:val="0"/>
        <w:snapToGrid w:val="0"/>
        <w:spacing w:line="580" w:lineRule="exact"/>
        <w:ind w:firstLine="720"/>
        <w:rPr>
          <w:rFonts w:hint="eastAsia" w:ascii="仿宋" w:hAnsi="仿宋" w:eastAsia="仿宋" w:cs="仿宋"/>
          <w:highlight w:val="none"/>
        </w:rPr>
      </w:pPr>
      <w:r>
        <w:rPr>
          <w:rFonts w:ascii="楷体_GB2312" w:hAnsi="宋体" w:eastAsia="楷体_GB2312"/>
          <w:highlight w:val="none"/>
          <w:lang w:val="zh-CN"/>
        </w:rPr>
        <w:t>2</w:t>
      </w:r>
      <w:r>
        <w:rPr>
          <w:rFonts w:hint="eastAsia" w:ascii="楷体_GB2312" w:hAnsi="宋体" w:eastAsia="楷体_GB2312"/>
          <w:highlight w:val="none"/>
          <w:lang w:val="zh-CN"/>
        </w:rPr>
        <w:t>．资金到位。</w:t>
      </w:r>
      <w:r>
        <w:rPr>
          <w:rFonts w:hint="eastAsia" w:ascii="仿宋" w:hAnsi="仿宋" w:eastAsia="仿宋" w:cs="仿宋"/>
          <w:highlight w:val="none"/>
        </w:rPr>
        <w:t>绵竹市财政局财政拨款资金</w:t>
      </w:r>
      <w:r>
        <w:rPr>
          <w:rFonts w:hint="eastAsia" w:ascii="仿宋" w:hAnsi="仿宋" w:eastAsia="仿宋" w:cs="仿宋"/>
          <w:highlight w:val="none"/>
          <w:lang w:val="en-US" w:eastAsia="zh-CN"/>
        </w:rPr>
        <w:t>0.1</w:t>
      </w:r>
      <w:r>
        <w:rPr>
          <w:rFonts w:hint="eastAsia" w:ascii="仿宋" w:hAnsi="仿宋" w:eastAsia="仿宋" w:cs="仿宋"/>
          <w:highlight w:val="none"/>
        </w:rPr>
        <w:t>万元及时足额到位，</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3</w:t>
      </w:r>
      <w:r>
        <w:rPr>
          <w:rFonts w:hint="eastAsia" w:ascii="楷体_GB2312" w:hAnsi="宋体" w:eastAsia="楷体_GB2312"/>
          <w:highlight w:val="none"/>
          <w:lang w:val="zh-CN"/>
        </w:rPr>
        <w:t>．资金使用。</w:t>
      </w:r>
      <w:r>
        <w:rPr>
          <w:rFonts w:hint="eastAsia" w:ascii="仿宋" w:hAnsi="仿宋" w:eastAsia="仿宋" w:cs="仿宋"/>
          <w:highlight w:val="none"/>
        </w:rPr>
        <w:t>截止20</w:t>
      </w:r>
      <w:r>
        <w:rPr>
          <w:rFonts w:hint="eastAsia" w:ascii="仿宋" w:hAnsi="仿宋" w:eastAsia="仿宋" w:cs="仿宋"/>
          <w:highlight w:val="none"/>
          <w:lang w:val="en-US" w:eastAsia="zh-CN"/>
        </w:rPr>
        <w:t>21</w:t>
      </w:r>
      <w:r>
        <w:rPr>
          <w:rFonts w:hint="eastAsia" w:ascii="仿宋" w:hAnsi="仿宋" w:eastAsia="仿宋" w:cs="仿宋"/>
          <w:highlight w:val="none"/>
        </w:rPr>
        <w:t>年12月31日</w:t>
      </w:r>
      <w:r>
        <w:rPr>
          <w:rFonts w:hint="eastAsia" w:ascii="仿宋" w:hAnsi="仿宋" w:eastAsia="仿宋" w:cs="仿宋"/>
          <w:color w:val="auto"/>
          <w:highlight w:val="none"/>
        </w:rPr>
        <w:t>，实际支出</w:t>
      </w:r>
      <w:r>
        <w:rPr>
          <w:rFonts w:hint="eastAsia" w:ascii="仿宋" w:hAnsi="仿宋" w:eastAsia="仿宋" w:cs="仿宋"/>
          <w:color w:val="auto"/>
          <w:highlight w:val="none"/>
          <w:lang w:val="en-US" w:eastAsia="zh-CN"/>
        </w:rPr>
        <w:t>0.1</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adjustRightInd w:val="0"/>
        <w:snapToGrid w:val="0"/>
        <w:spacing w:line="580" w:lineRule="exact"/>
        <w:ind w:firstLine="720"/>
        <w:rPr>
          <w:rFonts w:ascii="仿宋_GB2312" w:hAnsi="宋体"/>
          <w:lang w:val="zh-CN"/>
        </w:rPr>
      </w:pPr>
      <w:r>
        <w:rPr>
          <w:rFonts w:hint="eastAsia" w:ascii="黑体" w:hAnsi="宋体" w:eastAsia="黑体"/>
        </w:rPr>
        <w:t>三、项目实施及管理情况</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（一）项目组织架构及实施流程。</w:t>
      </w:r>
      <w:r>
        <w:rPr>
          <w:rFonts w:hint="eastAsia" w:ascii="仿宋" w:hAnsi="仿宋" w:eastAsia="仿宋" w:cs="仿宋"/>
          <w:lang w:val="zh-CN" w:eastAsia="zh-CN"/>
        </w:rPr>
        <w:t>领导重视，制度完善。我局根据工作需要，有计划开展</w:t>
      </w:r>
      <w:r>
        <w:rPr>
          <w:rFonts w:hint="eastAsia" w:ascii="仿宋_GB2312" w:hAnsi="宋体"/>
        </w:rPr>
        <w:t>质量监管执法项目</w:t>
      </w:r>
      <w:bookmarkStart w:id="0" w:name="_GoBack"/>
      <w:bookmarkEnd w:id="0"/>
      <w:r>
        <w:rPr>
          <w:rFonts w:hint="eastAsia" w:ascii="仿宋" w:hAnsi="仿宋" w:eastAsia="仿宋" w:cs="仿宋"/>
          <w:lang w:eastAsia="zh-CN"/>
        </w:rPr>
        <w:t>支出及报账程序、明确职责、专款专用。</w:t>
      </w:r>
    </w:p>
    <w:p>
      <w:pPr>
        <w:adjustRightInd w:val="0"/>
        <w:snapToGrid w:val="0"/>
        <w:spacing w:line="580" w:lineRule="exact"/>
        <w:ind w:firstLine="720"/>
        <w:rPr>
          <w:rFonts w:hint="eastAsia" w:ascii="仿宋_GB2312" w:hAnsi="宋体" w:eastAsia="仿宋"/>
          <w:color w:val="auto"/>
          <w:highlight w:val="none"/>
          <w:lang w:val="en-US" w:eastAsia="zh-CN"/>
        </w:rPr>
      </w:pPr>
      <w:r>
        <w:rPr>
          <w:rFonts w:hint="eastAsia" w:ascii="楷体_GB2312" w:hAnsi="宋体" w:eastAsia="楷体_GB2312"/>
          <w:b/>
          <w:lang w:val="zh-CN"/>
        </w:rPr>
        <w:t>（二）项目管理情况。</w:t>
      </w:r>
      <w:r>
        <w:rPr>
          <w:rFonts w:hint="eastAsia" w:ascii="仿宋" w:hAnsi="仿宋" w:eastAsia="仿宋" w:cs="仿宋"/>
          <w:color w:val="auto"/>
          <w:lang w:val="zh-CN"/>
        </w:rPr>
        <w:t>我局严格按照项目实施单位执行</w:t>
      </w:r>
      <w:r>
        <w:rPr>
          <w:rFonts w:hint="eastAsia" w:ascii="仿宋" w:hAnsi="仿宋" w:eastAsia="仿宋" w:cs="仿宋"/>
          <w:color w:val="auto"/>
          <w:highlight w:val="none"/>
          <w:lang w:val="zh-CN"/>
        </w:rPr>
        <w:t>相关法律和法规及项目管理制度，依照项目完成情况及时进行支付。</w:t>
      </w:r>
    </w:p>
    <w:p>
      <w:pPr>
        <w:adjustRightInd w:val="0"/>
        <w:snapToGrid w:val="0"/>
        <w:spacing w:line="580" w:lineRule="exact"/>
        <w:ind w:firstLine="720"/>
        <w:rPr>
          <w:rFonts w:hint="eastAsia" w:ascii="仿宋" w:hAnsi="仿宋" w:eastAsia="仿宋" w:cs="仿宋"/>
          <w:color w:val="auto"/>
          <w:highlight w:val="none"/>
          <w:lang w:val="zh-CN"/>
        </w:rPr>
      </w:pPr>
      <w:r>
        <w:rPr>
          <w:rFonts w:hint="eastAsia" w:ascii="楷体_GB2312" w:hAnsi="宋体" w:eastAsia="楷体_GB2312"/>
          <w:b/>
          <w:highlight w:val="none"/>
          <w:lang w:val="zh-CN"/>
        </w:rPr>
        <w:t>（三）项目监管情况。</w:t>
      </w:r>
      <w:r>
        <w:rPr>
          <w:rFonts w:hint="eastAsia" w:ascii="仿宋" w:hAnsi="仿宋" w:eastAsia="仿宋" w:cs="仿宋"/>
          <w:color w:val="auto"/>
          <w:highlight w:val="none"/>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snapToGrid w:val="0"/>
        <w:spacing w:line="580" w:lineRule="exact"/>
        <w:ind w:firstLine="720"/>
        <w:rPr>
          <w:rFonts w:ascii="仿宋_GB2312" w:hAnsi="宋体"/>
          <w:highlight w:val="none"/>
          <w:lang w:val="zh-CN"/>
        </w:rPr>
      </w:pPr>
      <w:r>
        <w:rPr>
          <w:rFonts w:hint="eastAsia" w:ascii="黑体" w:hAnsi="宋体" w:eastAsia="黑体"/>
          <w:highlight w:val="none"/>
        </w:rPr>
        <w:t>四、项目绩效情况</w:t>
      </w:r>
      <w:r>
        <w:rPr>
          <w:rFonts w:ascii="仿宋_GB2312" w:hAnsi="宋体"/>
          <w:highlight w:val="none"/>
          <w:lang w:val="zh-CN"/>
        </w:rPr>
        <w:tab/>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（一）项目完成情况。</w:t>
      </w:r>
    </w:p>
    <w:p>
      <w:pPr>
        <w:adjustRightInd w:val="0"/>
        <w:snapToGrid w:val="0"/>
        <w:spacing w:line="580" w:lineRule="exact"/>
        <w:ind w:firstLine="720"/>
        <w:rPr>
          <w:rFonts w:hint="eastAsia" w:ascii="仿宋" w:hAnsi="仿宋" w:eastAsia="仿宋" w:cs="仿宋"/>
          <w:color w:val="auto"/>
          <w:highlight w:val="none"/>
          <w:lang w:val="zh-CN"/>
        </w:rPr>
      </w:pPr>
      <w:r>
        <w:rPr>
          <w:rFonts w:hint="eastAsia" w:ascii="仿宋" w:hAnsi="仿宋" w:eastAsia="仿宋" w:cs="仿宋"/>
          <w:color w:val="auto"/>
          <w:highlight w:val="yellow"/>
          <w:lang w:val="en-US" w:eastAsia="zh-CN"/>
        </w:rPr>
        <w:t>1.项目完成任务量：高位推进质量提升行动，持续推进质量强市战略。指导全市5家水泥生产企业、58家白酒生产企业、3家茶叶生产企业开展水泥产品、白酒行业、茶叶质量提升行动。指导推荐四川白云池酒业公司等6家企业参加首席质量培训，推动企业建立首席质量（品牌）官制度。开展“质量月”宣传活动，通过“质量在我心中”演讲比赛、“质量开放日”等特色活动，营造人人关注质量良好氛围。二是强化标准引领，积极指导帮扶德阳市三夫企业管理有限公司做好九龙山体育旅游服务业省级标准化示范区建设，组织龙腾化工等3家企业参加小微企业质量体系认证示范点创建活动。启动2021年企业标准“领跑者”工作，确定日用化学产品、肥料产业为推动实施标准化战略重点领域</w:t>
      </w:r>
      <w:r>
        <w:rPr>
          <w:rFonts w:hint="eastAsia" w:ascii="仿宋" w:hAnsi="仿宋" w:eastAsia="仿宋" w:cs="仿宋"/>
          <w:color w:val="auto"/>
          <w:highlight w:val="none"/>
          <w:lang w:val="en-US" w:eastAsia="zh-CN"/>
        </w:rPr>
        <w:t>。</w:t>
      </w:r>
    </w:p>
    <w:p>
      <w:pPr>
        <w:adjustRightInd w:val="0"/>
        <w:snapToGrid w:val="0"/>
        <w:spacing w:line="580" w:lineRule="exact"/>
        <w:ind w:firstLine="72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2.项目完成质量：检查发现违法行为立案率100%、案件诉讼率100%、专项检查完成率100%。</w:t>
      </w:r>
    </w:p>
    <w:p>
      <w:pPr>
        <w:numPr>
          <w:ilvl w:val="0"/>
          <w:numId w:val="0"/>
        </w:numPr>
        <w:ind w:firstLine="640" w:firstLineChars="200"/>
        <w:rPr>
          <w:rFonts w:hint="eastAsia" w:ascii="仿宋_GB2312" w:hAnsi="宋体" w:eastAsia="仿宋"/>
          <w:color w:val="C00000"/>
          <w:sz w:val="32"/>
          <w:szCs w:val="32"/>
          <w:highlight w:val="none"/>
          <w:lang w:val="en-US" w:eastAsia="zh-CN"/>
        </w:rPr>
      </w:pPr>
      <w:r>
        <w:rPr>
          <w:rFonts w:hint="eastAsia" w:ascii="仿宋_GB2312" w:hAnsi="宋体"/>
          <w:color w:val="auto"/>
          <w:sz w:val="32"/>
          <w:szCs w:val="32"/>
          <w:highlight w:val="none"/>
          <w:lang w:val="en-US" w:eastAsia="zh-CN"/>
        </w:rPr>
        <w:t>3.项目完成进度：截止2021年12月，</w:t>
      </w:r>
      <w:r>
        <w:rPr>
          <w:rFonts w:hint="eastAsia" w:ascii="仿宋_GB2312" w:hAnsi="宋体"/>
        </w:rPr>
        <w:t>质量监管执法</w:t>
      </w:r>
      <w:r>
        <w:rPr>
          <w:rFonts w:hint="eastAsia" w:ascii="仿宋" w:hAnsi="仿宋" w:eastAsia="仿宋" w:cs="仿宋"/>
          <w:highlight w:val="none"/>
        </w:rPr>
        <w:t>项目</w:t>
      </w:r>
      <w:r>
        <w:rPr>
          <w:rFonts w:hint="eastAsia" w:ascii="仿宋" w:hAnsi="仿宋" w:eastAsia="仿宋" w:cs="仿宋"/>
          <w:highlight w:val="none"/>
          <w:lang w:eastAsia="zh-CN"/>
        </w:rPr>
        <w:t>已全部完成。</w:t>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（二）项目效益情况。</w:t>
      </w:r>
    </w:p>
    <w:p>
      <w:pPr>
        <w:pStyle w:val="12"/>
        <w:numPr>
          <w:ilvl w:val="0"/>
          <w:numId w:val="2"/>
        </w:numPr>
        <w:adjustRightInd w:val="0"/>
        <w:snapToGrid w:val="0"/>
        <w:spacing w:line="580" w:lineRule="exact"/>
        <w:ind w:firstLineChars="0"/>
        <w:rPr>
          <w:rFonts w:ascii="仿宋_GB2312" w:hAnsi="宋体"/>
        </w:rPr>
      </w:pPr>
      <w:r>
        <w:rPr>
          <w:rFonts w:hint="eastAsia" w:ascii="仿宋_GB2312" w:hAnsi="宋体"/>
        </w:rPr>
        <w:t>社会效益指标</w:t>
      </w:r>
    </w:p>
    <w:p>
      <w:pPr>
        <w:pStyle w:val="12"/>
        <w:adjustRightInd w:val="0"/>
        <w:snapToGrid w:val="0"/>
        <w:spacing w:line="580" w:lineRule="exact"/>
        <w:ind w:firstLine="707" w:firstLineChars="221"/>
        <w:rPr>
          <w:rFonts w:hint="eastAsia" w:ascii="仿宋_GB2312" w:hAnsi="宋体"/>
          <w:lang w:val="en-US" w:eastAsia="zh-CN"/>
        </w:rPr>
      </w:pPr>
      <w:r>
        <w:rPr>
          <w:rFonts w:hint="eastAsia" w:ascii="仿宋_GB2312" w:hAnsi="宋体"/>
        </w:rPr>
        <w:t>发生重大及以上质量安全事故数（次）</w:t>
      </w:r>
      <w:r>
        <w:rPr>
          <w:rFonts w:hint="eastAsia" w:ascii="仿宋_GB2312" w:hAnsi="宋体"/>
          <w:lang w:val="en-US" w:eastAsia="zh-CN"/>
        </w:rPr>
        <w:t>0次。</w:t>
      </w:r>
    </w:p>
    <w:p>
      <w:pPr>
        <w:pStyle w:val="12"/>
        <w:adjustRightInd w:val="0"/>
        <w:snapToGrid w:val="0"/>
        <w:spacing w:line="580" w:lineRule="exact"/>
        <w:ind w:firstLine="707" w:firstLineChars="221"/>
        <w:rPr>
          <w:rFonts w:hint="eastAsia" w:ascii="仿宋_GB2312" w:hAnsi="宋体"/>
        </w:rPr>
      </w:pPr>
      <w:r>
        <w:rPr>
          <w:rFonts w:hint="eastAsia" w:ascii="仿宋_GB2312" w:hAnsi="宋体"/>
        </w:rPr>
        <w:t>涉刑案件移送率</w:t>
      </w:r>
      <w:r>
        <w:rPr>
          <w:rFonts w:hint="eastAsia" w:ascii="仿宋_GB2312" w:hAnsi="宋体"/>
          <w:lang w:val="en-US" w:eastAsia="zh-CN"/>
        </w:rPr>
        <w:t>100%</w:t>
      </w:r>
      <w:r>
        <w:rPr>
          <w:rFonts w:hint="eastAsia" w:ascii="仿宋_GB2312" w:hAnsi="宋体"/>
        </w:rPr>
        <w:t>。</w:t>
      </w:r>
    </w:p>
    <w:p>
      <w:pPr>
        <w:pStyle w:val="12"/>
        <w:adjustRightInd w:val="0"/>
        <w:snapToGrid w:val="0"/>
        <w:spacing w:line="580" w:lineRule="exact"/>
        <w:ind w:firstLine="707" w:firstLineChars="221"/>
        <w:rPr>
          <w:rFonts w:ascii="仿宋_GB2312" w:hAnsi="宋体"/>
        </w:rPr>
      </w:pPr>
      <w:r>
        <w:rPr>
          <w:rFonts w:hint="eastAsia" w:ascii="仿宋_GB2312" w:hAnsi="宋体"/>
        </w:rPr>
        <w:t>2.可持续影响指标</w:t>
      </w:r>
    </w:p>
    <w:p>
      <w:pPr>
        <w:pStyle w:val="12"/>
        <w:adjustRightInd w:val="0"/>
        <w:snapToGrid w:val="0"/>
        <w:spacing w:line="580" w:lineRule="exact"/>
        <w:ind w:firstLine="707" w:firstLineChars="221"/>
        <w:rPr>
          <w:rFonts w:hint="eastAsia" w:ascii="仿宋_GB2312" w:hAnsi="宋体"/>
        </w:rPr>
      </w:pPr>
      <w:r>
        <w:rPr>
          <w:rFonts w:hint="eastAsia" w:ascii="仿宋_GB2312" w:hAnsi="宋体"/>
        </w:rPr>
        <w:t>查处违法行为，维护市场秩序，行业行为得到规范。</w:t>
      </w:r>
    </w:p>
    <w:p>
      <w:pPr>
        <w:adjustRightInd w:val="0"/>
        <w:snapToGrid w:val="0"/>
        <w:spacing w:line="580" w:lineRule="exact"/>
        <w:ind w:firstLine="800" w:firstLineChars="250"/>
        <w:rPr>
          <w:rFonts w:hint="eastAsia" w:ascii="仿宋_GB2312" w:hAnsi="宋体"/>
        </w:rPr>
      </w:pPr>
      <w:r>
        <w:rPr>
          <w:rFonts w:hint="eastAsia" w:ascii="仿宋_GB2312" w:hAnsi="宋体"/>
        </w:rPr>
        <w:t>3.满意度指标</w:t>
      </w:r>
    </w:p>
    <w:p>
      <w:pPr>
        <w:adjustRightInd w:val="0"/>
        <w:snapToGrid w:val="0"/>
        <w:spacing w:line="580" w:lineRule="exact"/>
        <w:ind w:left="720"/>
        <w:rPr>
          <w:rFonts w:hint="eastAsia" w:ascii="仿宋_GB2312" w:hAnsi="宋体"/>
        </w:rPr>
      </w:pPr>
      <w:r>
        <w:rPr>
          <w:rFonts w:hint="eastAsia" w:ascii="仿宋_GB2312" w:hAnsi="宋体"/>
        </w:rPr>
        <w:t>服务对象满意度达到80%。</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质量监管执法</w:t>
      </w:r>
      <w:r>
        <w:rPr>
          <w:rFonts w:hint="eastAsia" w:ascii="仿宋" w:hAnsi="仿宋" w:eastAsia="仿宋" w:cs="仿宋"/>
        </w:rPr>
        <w:t>项目</w:t>
      </w:r>
      <w:r>
        <w:rPr>
          <w:rFonts w:hint="eastAsia" w:ascii="仿宋" w:hAnsi="仿宋" w:eastAsia="仿宋" w:cs="仿宋"/>
          <w:lang w:eastAsia="zh-CN"/>
        </w:rPr>
        <w:t>基本完成，达到预期效果，公众满意度高。</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adjustRightInd w:val="0"/>
        <w:snapToGrid w:val="0"/>
        <w:spacing w:line="580" w:lineRule="exact"/>
        <w:ind w:firstLine="640" w:firstLineChars="200"/>
        <w:rPr>
          <w:rFonts w:ascii="仿宋_GB2312" w:hAnsi="宋体"/>
          <w:lang w:val="zh-CN"/>
        </w:rPr>
      </w:pPr>
      <w:r>
        <w:rPr>
          <w:rFonts w:hint="eastAsia" w:ascii="仿宋_GB2312" w:hAnsi="宋体"/>
          <w:lang w:val="zh-CN"/>
        </w:rPr>
        <w:t>工作中仍然存在一些困难和不足，人员少，工作量大，开展此项目人手紧缺。</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adjustRightInd w:val="0"/>
        <w:snapToGrid w:val="0"/>
        <w:spacing w:line="580" w:lineRule="exact"/>
        <w:ind w:firstLine="640" w:firstLineChars="200"/>
        <w:rPr>
          <w:rFonts w:hint="eastAsia" w:eastAsia="仿宋_GB2312"/>
          <w:lang w:eastAsia="zh-CN"/>
        </w:rPr>
      </w:pPr>
      <w:r>
        <w:rPr>
          <w:rFonts w:hint="eastAsia"/>
          <w:lang w:eastAsia="zh-CN"/>
        </w:rPr>
        <w:t>我局将进一步加强领导，提高认识，统一思想，加强协调，增加执法队伍人数。</w:t>
      </w:r>
    </w:p>
    <w:p>
      <w:pPr>
        <w:adjustRightInd w:val="0"/>
        <w:snapToGrid w:val="0"/>
        <w:spacing w:line="580" w:lineRule="exact"/>
        <w:ind w:firstLine="640" w:firstLineChars="200"/>
        <w:rPr>
          <w:rFonts w:ascii="仿宋_GB2312" w:hAnsi="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6B2346"/>
    <w:multiLevelType w:val="singleLevel"/>
    <w:tmpl w:val="956B2346"/>
    <w:lvl w:ilvl="0" w:tentative="0">
      <w:start w:val="2"/>
      <w:numFmt w:val="chineseCounting"/>
      <w:suff w:val="nothing"/>
      <w:lvlText w:val="（%1）"/>
      <w:lvlJc w:val="left"/>
      <w:rPr>
        <w:rFonts w:hint="eastAsia"/>
      </w:rPr>
    </w:lvl>
  </w:abstractNum>
  <w:abstractNum w:abstractNumId="1">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291918"/>
    <w:rsid w:val="002E7D7A"/>
    <w:rsid w:val="00427240"/>
    <w:rsid w:val="00543D64"/>
    <w:rsid w:val="00572F4E"/>
    <w:rsid w:val="005842A2"/>
    <w:rsid w:val="008F6FBC"/>
    <w:rsid w:val="008F788A"/>
    <w:rsid w:val="00A25407"/>
    <w:rsid w:val="00A36A47"/>
    <w:rsid w:val="00AC3975"/>
    <w:rsid w:val="00E4357F"/>
    <w:rsid w:val="00F251E9"/>
    <w:rsid w:val="00F67C8D"/>
    <w:rsid w:val="00FD3EFA"/>
    <w:rsid w:val="00FD62E7"/>
    <w:rsid w:val="100F7970"/>
    <w:rsid w:val="121A0D43"/>
    <w:rsid w:val="147D4CB4"/>
    <w:rsid w:val="23094706"/>
    <w:rsid w:val="258F0E76"/>
    <w:rsid w:val="2DB34E55"/>
    <w:rsid w:val="332F50C6"/>
    <w:rsid w:val="4D8F322A"/>
    <w:rsid w:val="521A696D"/>
    <w:rsid w:val="7AF05CBC"/>
    <w:rsid w:val="7D8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Times New Roman" w:hAnsi="Times New Roman" w:cs="宋体"/>
      <w:color w:val="000000"/>
      <w:kern w:val="0"/>
      <w:sz w:val="24"/>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四号正文"/>
    <w:basedOn w:val="1"/>
    <w:link w:val="10"/>
    <w:qFormat/>
    <w:uiPriority w:val="99"/>
    <w:pPr>
      <w:spacing w:line="360" w:lineRule="auto"/>
    </w:pPr>
    <w:rPr>
      <w:rFonts w:ascii="??" w:hAnsi="??" w:eastAsia="宋体"/>
      <w:color w:val="000000"/>
      <w:kern w:val="0"/>
      <w:sz w:val="28"/>
      <w:szCs w:val="21"/>
    </w:rPr>
  </w:style>
  <w:style w:type="character" w:customStyle="1" w:styleId="10">
    <w:name w:val="四号正文 Char"/>
    <w:link w:val="9"/>
    <w:qFormat/>
    <w:locked/>
    <w:uiPriority w:val="99"/>
    <w:rPr>
      <w:rFonts w:ascii="??" w:hAnsi="??" w:eastAsia="宋体" w:cs="Times New Roman"/>
      <w:color w:val="000000"/>
      <w:kern w:val="0"/>
      <w:sz w:val="28"/>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195</Words>
  <Characters>1112</Characters>
  <Lines>9</Lines>
  <Paragraphs>2</Paragraphs>
  <TotalTime>0</TotalTime>
  <ScaleCrop>false</ScaleCrop>
  <LinksUpToDate>false</LinksUpToDate>
  <CharactersWithSpaces>1305</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Administrator</cp:lastModifiedBy>
  <dcterms:modified xsi:type="dcterms:W3CDTF">2022-06-23T01:12:38Z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