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附件6</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（法治建设及保障项目）</w:t>
      </w:r>
    </w:p>
    <w:p>
      <w:pPr>
        <w:pStyle w:val="8"/>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autoSpaceDE w:val="0"/>
        <w:autoSpaceDN w:val="0"/>
        <w:adjustRightInd w:val="0"/>
        <w:spacing w:line="560" w:lineRule="exact"/>
        <w:ind w:firstLine="480" w:firstLineChars="150"/>
        <w:rPr>
          <w:rFonts w:hint="eastAsia" w:ascii="仿宋" w:hAnsi="仿宋" w:eastAsia="仿宋" w:cs="仿宋"/>
          <w:lang w:eastAsia="zh-CN"/>
        </w:rPr>
      </w:pPr>
      <w:r>
        <w:rPr>
          <w:rFonts w:hint="eastAsia" w:ascii="仿宋" w:hAnsi="仿宋" w:eastAsia="仿宋" w:cs="仿宋"/>
        </w:rPr>
        <w:t>绵竹市市场监督管理局</w:t>
      </w:r>
      <w:r>
        <w:rPr>
          <w:rFonts w:hint="eastAsia" w:ascii="仿宋" w:hAnsi="仿宋" w:eastAsia="仿宋" w:cs="仿宋"/>
          <w:lang w:eastAsia="zh-CN"/>
        </w:rPr>
        <w:t>负责</w:t>
      </w:r>
      <w:r>
        <w:rPr>
          <w:rFonts w:hint="eastAsia" w:ascii="仿宋" w:hAnsi="仿宋" w:eastAsia="仿宋" w:cs="仿宋"/>
        </w:rPr>
        <w:t>继续开展行政处罚案件常态化法制审核工作；组织开展行政许可和行政执法案件的评查及行政执法监督工作； 继续做好我局的权责清单制度的建设和动态调整工作；继续开展“法律进机关”、“法律进企业”和普法宣传教育工作</w:t>
      </w:r>
      <w:r>
        <w:rPr>
          <w:rFonts w:hint="eastAsia" w:ascii="仿宋" w:hAnsi="仿宋" w:eastAsia="仿宋" w:cs="仿宋"/>
          <w:lang w:eastAsia="zh-CN"/>
        </w:rPr>
        <w:t>。</w:t>
      </w:r>
    </w:p>
    <w:p>
      <w:pPr>
        <w:pStyle w:val="10"/>
        <w:keepNext w:val="0"/>
        <w:keepLines w:val="0"/>
        <w:pageBreakBefore w:val="0"/>
        <w:kinsoku/>
        <w:wordWrap/>
        <w:overflowPunct/>
        <w:topLinePunct w:val="0"/>
        <w:autoSpaceDE/>
        <w:autoSpaceDN/>
        <w:bidi w:val="0"/>
        <w:spacing w:line="580" w:lineRule="exact"/>
        <w:ind w:firstLine="640" w:firstLineChars="200"/>
        <w:textAlignment w:val="auto"/>
        <w:rPr>
          <w:rFonts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ascii="仿宋_GB2312" w:hAnsi="宋体"/>
          <w:lang w:val="zh-CN"/>
        </w:rPr>
      </w:pPr>
      <w:r>
        <w:rPr>
          <w:rFonts w:hint="eastAsia" w:ascii="仿宋" w:hAnsi="仿宋" w:eastAsia="仿宋" w:cs="仿宋"/>
        </w:rPr>
        <w:t>资金分配按照人员类、民生类、专项业务类、工程项目类的顺序予以分配和保障。</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hint="eastAsia" w:ascii="仿宋_GB2312" w:hAnsi="宋体"/>
          <w:lang w:val="en-US" w:eastAsia="zh-CN"/>
        </w:rPr>
      </w:pPr>
      <w:r>
        <w:rPr>
          <w:rFonts w:hint="eastAsia" w:ascii="仿宋_GB2312" w:hAnsi="宋体"/>
          <w:lang w:val="en-US" w:eastAsia="zh-CN"/>
        </w:rPr>
        <w:t>开展普法，持续推进法治建设和行政执法监督，为依法行政提供法治保障。</w:t>
      </w:r>
    </w:p>
    <w:p>
      <w:pPr>
        <w:adjustRightInd w:val="0"/>
        <w:snapToGrid w:val="0"/>
        <w:spacing w:line="580" w:lineRule="exact"/>
        <w:ind w:firstLine="720"/>
        <w:rPr>
          <w:rFonts w:ascii="楷体_GB2312" w:hAnsi="宋体" w:eastAsia="楷体_GB2312"/>
          <w:b/>
          <w:lang w:val="zh-CN"/>
        </w:rPr>
      </w:pPr>
      <w:r>
        <w:rPr>
          <w:rFonts w:hint="eastAsia" w:ascii="仿宋_GB2312" w:hAnsi="宋体"/>
          <w:lang w:val="en-US" w:eastAsia="zh-CN"/>
        </w:rPr>
        <w:t>"</w:t>
      </w: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hint="eastAsia" w:ascii="仿宋" w:hAnsi="仿宋" w:eastAsia="仿宋" w:cs="仿宋"/>
          <w:highlight w:val="none"/>
          <w:lang w:val="en-US" w:eastAsia="zh-CN"/>
        </w:rPr>
        <w:t>2021</w:t>
      </w:r>
      <w:r>
        <w:rPr>
          <w:rFonts w:hint="eastAsia" w:ascii="仿宋" w:hAnsi="仿宋" w:eastAsia="仿宋" w:cs="仿宋"/>
          <w:highlight w:val="none"/>
        </w:rPr>
        <w:t>年我局法治建设及保障项目年初预算申报</w:t>
      </w:r>
      <w:r>
        <w:rPr>
          <w:rFonts w:hint="eastAsia" w:ascii="仿宋" w:hAnsi="仿宋" w:eastAsia="仿宋" w:cs="仿宋"/>
          <w:highlight w:val="none"/>
          <w:lang w:val="en-US" w:eastAsia="zh-CN"/>
        </w:rPr>
        <w:t>0.1</w:t>
      </w:r>
      <w:r>
        <w:rPr>
          <w:rFonts w:hint="eastAsia" w:ascii="仿宋" w:hAnsi="仿宋" w:eastAsia="仿宋" w:cs="仿宋"/>
          <w:highlight w:val="none"/>
        </w:rPr>
        <w:t>万元，财政批复</w:t>
      </w:r>
      <w:r>
        <w:rPr>
          <w:rFonts w:hint="eastAsia" w:ascii="仿宋" w:hAnsi="仿宋" w:eastAsia="仿宋" w:cs="仿宋"/>
          <w:highlight w:val="none"/>
          <w:lang w:val="en-US" w:eastAsia="zh-CN"/>
        </w:rPr>
        <w:t>0.1</w:t>
      </w:r>
      <w:r>
        <w:rPr>
          <w:rFonts w:hint="eastAsia" w:ascii="仿宋" w:hAnsi="仿宋" w:eastAsia="仿宋" w:cs="仿宋"/>
          <w:highlight w:val="none"/>
        </w:rPr>
        <w:t>万元。</w:t>
      </w:r>
    </w:p>
    <w:p>
      <w:pPr>
        <w:numPr>
          <w:ilvl w:val="0"/>
          <w:numId w:val="1"/>
        </w:numPr>
        <w:adjustRightInd w:val="0"/>
        <w:snapToGrid w:val="0"/>
        <w:spacing w:line="580" w:lineRule="exact"/>
        <w:ind w:firstLine="720"/>
        <w:rPr>
          <w:rFonts w:hint="eastAsia" w:ascii="楷体_GB2312" w:hAnsi="宋体" w:eastAsia="楷体_GB2312"/>
          <w:b/>
          <w:highlight w:val="none"/>
          <w:lang w:val="zh-CN"/>
        </w:rPr>
      </w:pPr>
      <w:r>
        <w:rPr>
          <w:rFonts w:hint="eastAsia" w:ascii="楷体_GB2312" w:hAnsi="宋体" w:eastAsia="楷体_GB2312"/>
          <w:b/>
          <w:highlight w:val="none"/>
          <w:lang w:val="zh-CN"/>
        </w:rPr>
        <w:t>资金计划、到位及使用情况</w:t>
      </w:r>
    </w:p>
    <w:p>
      <w:pPr>
        <w:numPr>
          <w:ilvl w:val="0"/>
          <w:numId w:val="2"/>
        </w:numPr>
        <w:adjustRightInd w:val="0"/>
        <w:snapToGrid w:val="0"/>
        <w:spacing w:line="580" w:lineRule="exact"/>
        <w:ind w:firstLine="720"/>
        <w:rPr>
          <w:rFonts w:hint="eastAsia" w:ascii="仿宋" w:hAnsi="仿宋" w:eastAsia="仿宋" w:cs="仿宋"/>
        </w:rPr>
      </w:pPr>
      <w:r>
        <w:rPr>
          <w:rFonts w:hint="eastAsia" w:ascii="楷体_GB2312" w:hAnsi="宋体" w:eastAsia="楷体_GB2312"/>
          <w:highlight w:val="none"/>
          <w:lang w:val="zh-CN"/>
        </w:rPr>
        <w:t>资金计划。</w:t>
      </w:r>
      <w:r>
        <w:rPr>
          <w:rFonts w:hint="eastAsia" w:ascii="仿宋" w:hAnsi="仿宋" w:eastAsia="仿宋" w:cs="仿宋"/>
        </w:rPr>
        <w:t>主要用</w:t>
      </w:r>
      <w:r>
        <w:rPr>
          <w:rFonts w:hint="eastAsia" w:ascii="仿宋" w:hAnsi="仿宋" w:eastAsia="仿宋" w:cs="仿宋"/>
          <w:lang w:eastAsia="zh-CN"/>
        </w:rPr>
        <w:t>于</w:t>
      </w:r>
      <w:r>
        <w:rPr>
          <w:rFonts w:hint="eastAsia" w:ascii="仿宋" w:hAnsi="仿宋" w:eastAsia="仿宋" w:cs="仿宋"/>
        </w:rPr>
        <w:t>开展</w:t>
      </w:r>
      <w:r>
        <w:rPr>
          <w:rFonts w:hint="eastAsia" w:ascii="仿宋" w:hAnsi="仿宋" w:eastAsia="仿宋" w:cs="仿宋"/>
          <w:lang w:val="en-US" w:eastAsia="zh-CN"/>
        </w:rPr>
        <w:t>法治印刷宣传、教育学习、律师费用</w:t>
      </w:r>
      <w:r>
        <w:rPr>
          <w:rFonts w:hint="eastAsia" w:ascii="仿宋" w:hAnsi="仿宋" w:eastAsia="仿宋" w:cs="仿宋"/>
        </w:rPr>
        <w:t>等。</w:t>
      </w:r>
    </w:p>
    <w:p>
      <w:pPr>
        <w:numPr>
          <w:ilvl w:val="0"/>
          <w:numId w:val="0"/>
        </w:numPr>
        <w:adjustRightInd w:val="0"/>
        <w:snapToGrid w:val="0"/>
        <w:spacing w:line="580" w:lineRule="exact"/>
        <w:ind w:firstLine="640" w:firstLineChars="200"/>
        <w:rPr>
          <w:rFonts w:hint="eastAsia" w:ascii="仿宋" w:hAnsi="仿宋" w:eastAsia="仿宋" w:cs="仿宋"/>
          <w:highlight w:val="none"/>
        </w:rPr>
      </w:pPr>
      <w:r>
        <w:rPr>
          <w:rFonts w:ascii="楷体_GB2312" w:hAnsi="宋体" w:eastAsia="楷体_GB2312"/>
          <w:highlight w:val="none"/>
          <w:lang w:val="zh-CN"/>
        </w:rPr>
        <w:t>2</w:t>
      </w:r>
      <w:r>
        <w:rPr>
          <w:rFonts w:hint="eastAsia" w:ascii="楷体_GB2312" w:hAnsi="宋体" w:eastAsia="楷体_GB2312"/>
          <w:highlight w:val="none"/>
          <w:lang w:val="zh-CN"/>
        </w:rPr>
        <w:t>．资金到位。</w:t>
      </w:r>
      <w:r>
        <w:rPr>
          <w:rFonts w:hint="eastAsia" w:ascii="仿宋" w:hAnsi="仿宋" w:eastAsia="仿宋" w:cs="仿宋"/>
          <w:highlight w:val="none"/>
        </w:rPr>
        <w:t>绵竹市财政局财政拨款资金</w:t>
      </w:r>
      <w:r>
        <w:rPr>
          <w:rFonts w:hint="eastAsia" w:ascii="仿宋" w:hAnsi="仿宋" w:eastAsia="仿宋" w:cs="仿宋"/>
          <w:highlight w:val="none"/>
          <w:lang w:val="en-US" w:eastAsia="zh-CN"/>
        </w:rPr>
        <w:t>0.1</w:t>
      </w:r>
      <w:r>
        <w:rPr>
          <w:rFonts w:hint="eastAsia" w:ascii="仿宋" w:hAnsi="仿宋" w:eastAsia="仿宋" w:cs="仿宋"/>
          <w:highlight w:val="none"/>
        </w:rPr>
        <w:t>万元及时足额到位，</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ascii="楷体_GB2312" w:hAnsi="宋体" w:eastAsia="楷体_GB2312"/>
          <w:highlight w:val="none"/>
          <w:lang w:val="zh-CN"/>
        </w:rPr>
        <w:t>3</w:t>
      </w:r>
      <w:r>
        <w:rPr>
          <w:rFonts w:hint="eastAsia" w:ascii="楷体_GB2312" w:hAnsi="宋体" w:eastAsia="楷体_GB2312"/>
          <w:highlight w:val="none"/>
          <w:lang w:val="zh-CN"/>
        </w:rPr>
        <w:t>．资金使用。</w:t>
      </w:r>
      <w:r>
        <w:rPr>
          <w:rFonts w:hint="eastAsia" w:ascii="仿宋" w:hAnsi="仿宋" w:eastAsia="仿宋" w:cs="仿宋"/>
          <w:highlight w:val="none"/>
        </w:rPr>
        <w:t>截止20</w:t>
      </w:r>
      <w:r>
        <w:rPr>
          <w:rFonts w:hint="eastAsia" w:ascii="仿宋" w:hAnsi="仿宋" w:eastAsia="仿宋" w:cs="仿宋"/>
          <w:highlight w:val="none"/>
          <w:lang w:val="en-US" w:eastAsia="zh-CN"/>
        </w:rPr>
        <w:t>21</w:t>
      </w:r>
      <w:r>
        <w:rPr>
          <w:rFonts w:hint="eastAsia" w:ascii="仿宋" w:hAnsi="仿宋" w:eastAsia="仿宋" w:cs="仿宋"/>
          <w:highlight w:val="none"/>
        </w:rPr>
        <w:t>年12月31日</w:t>
      </w:r>
      <w:r>
        <w:rPr>
          <w:rFonts w:hint="eastAsia" w:ascii="仿宋" w:hAnsi="仿宋" w:eastAsia="仿宋" w:cs="仿宋"/>
          <w:color w:val="auto"/>
          <w:highlight w:val="none"/>
        </w:rPr>
        <w:t>，实际支出</w:t>
      </w:r>
      <w:r>
        <w:rPr>
          <w:rFonts w:hint="eastAsia" w:ascii="仿宋" w:hAnsi="仿宋" w:eastAsia="仿宋" w:cs="仿宋"/>
          <w:color w:val="auto"/>
          <w:highlight w:val="none"/>
          <w:lang w:val="en-US" w:eastAsia="zh-CN"/>
        </w:rPr>
        <w:t>0.1</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adjustRightInd w:val="0"/>
        <w:snapToGrid w:val="0"/>
        <w:spacing w:line="580" w:lineRule="exact"/>
        <w:ind w:firstLine="720"/>
        <w:rPr>
          <w:rFonts w:ascii="仿宋_GB2312" w:hAnsi="宋体"/>
          <w:lang w:val="zh-CN"/>
        </w:rPr>
      </w:pPr>
      <w:r>
        <w:rPr>
          <w:rFonts w:hint="eastAsia" w:ascii="黑体" w:hAnsi="宋体" w:eastAsia="黑体"/>
        </w:rPr>
        <w:t>三、项目实施及管理情况</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（一）项目组织架构及实施流程。</w:t>
      </w:r>
      <w:r>
        <w:rPr>
          <w:rFonts w:hint="eastAsia" w:ascii="仿宋" w:hAnsi="仿宋" w:eastAsia="仿宋" w:cs="仿宋"/>
          <w:lang w:val="zh-CN" w:eastAsia="zh-CN"/>
        </w:rPr>
        <w:t>领导重视，制度完善。我局根据工作需要，有计划开展</w:t>
      </w:r>
      <w:r>
        <w:rPr>
          <w:rFonts w:hint="eastAsia" w:ascii="仿宋_GB2312" w:hAnsi="宋体"/>
        </w:rPr>
        <w:t>法治建设及保障项目</w:t>
      </w:r>
      <w:bookmarkStart w:id="0" w:name="_GoBack"/>
      <w:bookmarkEnd w:id="0"/>
      <w:r>
        <w:rPr>
          <w:rFonts w:hint="eastAsia" w:ascii="仿宋" w:hAnsi="仿宋" w:eastAsia="仿宋" w:cs="仿宋"/>
          <w:lang w:eastAsia="zh-CN"/>
        </w:rPr>
        <w:t>支出及报账程序、明确职责、专款专用。</w:t>
      </w:r>
    </w:p>
    <w:p>
      <w:pPr>
        <w:adjustRightInd w:val="0"/>
        <w:snapToGrid w:val="0"/>
        <w:spacing w:line="580" w:lineRule="exact"/>
        <w:ind w:firstLine="720"/>
        <w:rPr>
          <w:rFonts w:hint="eastAsia" w:ascii="仿宋_GB2312" w:hAnsi="宋体" w:eastAsia="仿宋"/>
          <w:color w:val="auto"/>
          <w:highlight w:val="none"/>
          <w:lang w:val="en-US" w:eastAsia="zh-CN"/>
        </w:rPr>
      </w:pPr>
      <w:r>
        <w:rPr>
          <w:rFonts w:hint="eastAsia" w:ascii="楷体_GB2312" w:hAnsi="宋体" w:eastAsia="楷体_GB2312"/>
          <w:b/>
          <w:lang w:val="zh-CN"/>
        </w:rPr>
        <w:t>（二）项目管理情况。</w:t>
      </w:r>
      <w:r>
        <w:rPr>
          <w:rFonts w:hint="eastAsia" w:ascii="仿宋" w:hAnsi="仿宋" w:eastAsia="仿宋" w:cs="仿宋"/>
          <w:color w:val="auto"/>
          <w:lang w:val="zh-CN"/>
        </w:rPr>
        <w:t>我局严格按照项目实施单位执行</w:t>
      </w:r>
      <w:r>
        <w:rPr>
          <w:rFonts w:hint="eastAsia" w:ascii="仿宋" w:hAnsi="仿宋" w:eastAsia="仿宋" w:cs="仿宋"/>
          <w:color w:val="auto"/>
          <w:highlight w:val="none"/>
          <w:lang w:val="zh-CN"/>
        </w:rPr>
        <w:t>相关法律和法规及项目管理制度，依照项目完成情况及时进行支付。</w:t>
      </w:r>
    </w:p>
    <w:p>
      <w:pPr>
        <w:adjustRightInd w:val="0"/>
        <w:snapToGrid w:val="0"/>
        <w:spacing w:line="580" w:lineRule="exact"/>
        <w:ind w:firstLine="720"/>
        <w:rPr>
          <w:rFonts w:hint="eastAsia" w:ascii="仿宋" w:hAnsi="仿宋" w:eastAsia="仿宋" w:cs="仿宋"/>
          <w:color w:val="auto"/>
          <w:highlight w:val="none"/>
          <w:lang w:val="zh-CN"/>
        </w:rPr>
      </w:pPr>
      <w:r>
        <w:rPr>
          <w:rFonts w:hint="eastAsia" w:ascii="楷体_GB2312" w:hAnsi="宋体" w:eastAsia="楷体_GB2312"/>
          <w:b/>
          <w:highlight w:val="none"/>
          <w:lang w:val="zh-CN"/>
        </w:rPr>
        <w:t>（三）项目监管情况。</w:t>
      </w:r>
      <w:r>
        <w:rPr>
          <w:rFonts w:hint="eastAsia" w:ascii="仿宋" w:hAnsi="仿宋" w:eastAsia="仿宋" w:cs="仿宋"/>
          <w:color w:val="auto"/>
          <w:highlight w:val="none"/>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adjustRightInd w:val="0"/>
        <w:snapToGrid w:val="0"/>
        <w:spacing w:line="580" w:lineRule="exact"/>
        <w:ind w:firstLine="720"/>
        <w:rPr>
          <w:rFonts w:ascii="仿宋_GB2312" w:hAnsi="宋体"/>
          <w:highlight w:val="none"/>
          <w:lang w:val="zh-CN"/>
        </w:rPr>
      </w:pPr>
      <w:r>
        <w:rPr>
          <w:rFonts w:hint="eastAsia" w:ascii="黑体" w:hAnsi="宋体" w:eastAsia="黑体"/>
          <w:highlight w:val="none"/>
        </w:rPr>
        <w:t>四、项目绩效情况</w:t>
      </w:r>
      <w:r>
        <w:rPr>
          <w:rFonts w:ascii="仿宋_GB2312" w:hAnsi="宋体"/>
          <w:highlight w:val="none"/>
          <w:lang w:val="zh-CN"/>
        </w:rPr>
        <w:tab/>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（一）项目完成情况。</w:t>
      </w:r>
    </w:p>
    <w:p>
      <w:pPr>
        <w:numPr>
          <w:ilvl w:val="0"/>
          <w:numId w:val="0"/>
        </w:numPr>
        <w:ind w:firstLine="640" w:firstLineChars="200"/>
        <w:rPr>
          <w:rFonts w:hint="eastAsia" w:ascii="仿宋_GB2312" w:hAnsi="宋体" w:cs="Times New Roman"/>
          <w:color w:val="auto"/>
          <w:sz w:val="32"/>
          <w:szCs w:val="32"/>
          <w:highlight w:val="none"/>
          <w:lang w:val="en-US" w:eastAsia="zh-CN"/>
        </w:rPr>
      </w:pPr>
      <w:r>
        <w:rPr>
          <w:rFonts w:hint="eastAsia" w:ascii="仿宋_GB2312" w:hAnsi="宋体" w:cs="Times New Roman"/>
          <w:color w:val="auto"/>
          <w:sz w:val="32"/>
          <w:szCs w:val="32"/>
          <w:highlight w:val="none"/>
          <w:lang w:val="en-US" w:eastAsia="zh-CN"/>
        </w:rPr>
        <w:t>1.项目完成任务量：共审核一般程序行政处罚案件300件以上；结合系列活动日开展法制宣传主题活动，广泛开展宪法和消费维权等法律法规知识宣传，共开展各种宣传活动3次以上。向群众发放法律法规宣传资料4000余份，接受群众法律法规咨询300余人次以上；组织指导我局88名行政执法人员的行政执法证参加换证网络学习和28名参加取证考试工作；推行行政执法公示制度执法全过程记录制度重大执法决定法制审核制度的贯彻落实工作。</w:t>
      </w:r>
    </w:p>
    <w:p>
      <w:pPr>
        <w:numPr>
          <w:ilvl w:val="0"/>
          <w:numId w:val="0"/>
        </w:numPr>
        <w:ind w:firstLine="640" w:firstLineChars="200"/>
        <w:rPr>
          <w:rFonts w:hint="eastAsia" w:ascii="仿宋_GB2312" w:hAnsi="宋体"/>
          <w:color w:val="auto"/>
          <w:sz w:val="32"/>
          <w:szCs w:val="32"/>
          <w:highlight w:val="none"/>
          <w:lang w:val="en-US" w:eastAsia="zh-CN"/>
        </w:rPr>
      </w:pPr>
      <w:r>
        <w:rPr>
          <w:rFonts w:hint="eastAsia" w:ascii="仿宋_GB2312" w:hAnsi="宋体"/>
          <w:color w:val="auto"/>
          <w:sz w:val="32"/>
          <w:szCs w:val="32"/>
          <w:highlight w:val="none"/>
          <w:lang w:val="en-US" w:eastAsia="zh-CN"/>
        </w:rPr>
        <w:t>2.项目完成质量：在上级部门的支持下，顺利推进，圆满完成，达到预期目的。</w:t>
      </w:r>
    </w:p>
    <w:p>
      <w:pPr>
        <w:numPr>
          <w:ilvl w:val="0"/>
          <w:numId w:val="0"/>
        </w:numPr>
        <w:ind w:firstLine="640" w:firstLineChars="200"/>
        <w:rPr>
          <w:rFonts w:hint="eastAsia" w:ascii="仿宋_GB2312" w:hAnsi="宋体" w:eastAsia="仿宋"/>
          <w:color w:val="C00000"/>
          <w:sz w:val="32"/>
          <w:szCs w:val="32"/>
          <w:highlight w:val="none"/>
          <w:lang w:val="en-US" w:eastAsia="zh-CN"/>
        </w:rPr>
      </w:pPr>
      <w:r>
        <w:rPr>
          <w:rFonts w:hint="eastAsia" w:ascii="仿宋_GB2312" w:hAnsi="宋体"/>
          <w:color w:val="auto"/>
          <w:sz w:val="32"/>
          <w:szCs w:val="32"/>
          <w:highlight w:val="none"/>
          <w:lang w:val="en-US" w:eastAsia="zh-CN"/>
        </w:rPr>
        <w:t>3.项目完成进度：截止2021年12月，</w:t>
      </w:r>
      <w:r>
        <w:rPr>
          <w:rFonts w:hint="eastAsia" w:ascii="仿宋" w:hAnsi="仿宋" w:eastAsia="仿宋" w:cs="仿宋"/>
          <w:highlight w:val="none"/>
        </w:rPr>
        <w:t>法治建设及保障项目</w:t>
      </w:r>
      <w:r>
        <w:rPr>
          <w:rFonts w:hint="eastAsia" w:ascii="仿宋" w:hAnsi="仿宋" w:eastAsia="仿宋" w:cs="仿宋"/>
          <w:highlight w:val="none"/>
          <w:lang w:eastAsia="zh-CN"/>
        </w:rPr>
        <w:t>已全部完成。</w:t>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（二）项目效益情况。</w:t>
      </w:r>
    </w:p>
    <w:p>
      <w:pPr>
        <w:pStyle w:val="11"/>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firstLineChars="0"/>
        <w:textAlignment w:val="auto"/>
        <w:rPr>
          <w:rFonts w:ascii="仿宋_GB2312" w:hAnsi="宋体"/>
        </w:rPr>
      </w:pPr>
      <w:r>
        <w:rPr>
          <w:rFonts w:hint="eastAsia" w:ascii="仿宋_GB2312" w:hAnsi="宋体"/>
        </w:rPr>
        <w:t>社会效益</w:t>
      </w:r>
    </w:p>
    <w:p>
      <w:pPr>
        <w:pStyle w:val="11"/>
        <w:keepNext w:val="0"/>
        <w:keepLines w:val="0"/>
        <w:pageBreakBefore w:val="0"/>
        <w:widowControl w:val="0"/>
        <w:kinsoku/>
        <w:wordWrap/>
        <w:overflowPunct/>
        <w:topLinePunct w:val="0"/>
        <w:autoSpaceDE/>
        <w:autoSpaceDN/>
        <w:bidi w:val="0"/>
        <w:adjustRightInd w:val="0"/>
        <w:snapToGrid w:val="0"/>
        <w:spacing w:line="580" w:lineRule="exact"/>
        <w:ind w:left="0" w:leftChars="0" w:firstLine="640" w:firstLineChars="200"/>
        <w:textAlignment w:val="auto"/>
        <w:rPr>
          <w:rFonts w:hint="eastAsia" w:ascii="仿宋_GB2312" w:hAnsi="宋体" w:eastAsia="仿宋_GB2312"/>
          <w:lang w:eastAsia="zh-CN"/>
        </w:rPr>
      </w:pPr>
      <w:r>
        <w:rPr>
          <w:rFonts w:hint="eastAsia" w:ascii="仿宋_GB2312" w:hAnsi="宋体"/>
          <w:lang w:eastAsia="zh-CN"/>
        </w:rPr>
        <w:t>引导市场主体尊法守法用法，促进法律有效实施。</w:t>
      </w:r>
    </w:p>
    <w:p>
      <w:pPr>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left="1080" w:leftChars="0" w:hanging="360" w:firstLineChars="0"/>
        <w:textAlignment w:val="auto"/>
        <w:rPr>
          <w:rFonts w:hint="eastAsia" w:ascii="仿宋_GB2312" w:hAnsi="宋体"/>
        </w:rPr>
      </w:pPr>
      <w:r>
        <w:rPr>
          <w:rFonts w:hint="eastAsia" w:ascii="仿宋_GB2312" w:hAnsi="宋体"/>
        </w:rPr>
        <w:t>可持续影响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仿宋_GB2312" w:hAnsi="宋体" w:eastAsia="仿宋_GB2312"/>
          <w:lang w:eastAsia="zh-CN"/>
        </w:rPr>
      </w:pPr>
      <w:r>
        <w:rPr>
          <w:rFonts w:hint="eastAsia" w:ascii="仿宋_GB2312" w:hAnsi="宋体"/>
          <w:lang w:eastAsia="zh-CN"/>
        </w:rPr>
        <w:t>长期</w:t>
      </w:r>
      <w:r>
        <w:rPr>
          <w:rFonts w:hint="eastAsia" w:ascii="仿宋_GB2312" w:hAnsi="宋体"/>
        </w:rPr>
        <w:t>发挥法治建设的引领和保障作用</w:t>
      </w:r>
      <w:r>
        <w:rPr>
          <w:rFonts w:hint="eastAsia" w:ascii="仿宋_GB2312" w:hAnsi="宋体"/>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仿宋_GB2312" w:hAnsi="宋体"/>
          <w:lang w:val="en-US"/>
        </w:rPr>
      </w:pPr>
      <w:r>
        <w:rPr>
          <w:rFonts w:hint="eastAsia" w:ascii="仿宋_GB2312" w:hAnsi="宋体"/>
          <w:lang w:val="en-US" w:eastAsia="zh-CN"/>
        </w:rPr>
        <w:t>3.</w:t>
      </w:r>
      <w:r>
        <w:rPr>
          <w:rFonts w:hint="eastAsia" w:ascii="仿宋_GB2312" w:hAnsi="宋体"/>
          <w:lang w:eastAsia="zh-CN"/>
        </w:rPr>
        <w:t>满意度</w:t>
      </w:r>
      <w:r>
        <w:rPr>
          <w:rFonts w:hint="eastAsia" w:ascii="仿宋_GB2312" w:hAnsi="宋体"/>
          <w:lang w:val="en-US" w:eastAsia="zh-CN"/>
        </w:rPr>
        <w:t>指标</w:t>
      </w:r>
    </w:p>
    <w:p>
      <w:pPr>
        <w:keepNext w:val="0"/>
        <w:keepLines w:val="0"/>
        <w:pageBreakBefore w:val="0"/>
        <w:widowControl w:val="0"/>
        <w:kinsoku/>
        <w:wordWrap/>
        <w:overflowPunct/>
        <w:topLinePunct w:val="0"/>
        <w:autoSpaceDE/>
        <w:autoSpaceDN/>
        <w:bidi w:val="0"/>
        <w:adjustRightInd w:val="0"/>
        <w:snapToGrid w:val="0"/>
        <w:spacing w:line="580" w:lineRule="exact"/>
        <w:ind w:left="0" w:firstLine="640" w:firstLineChars="200"/>
        <w:textAlignment w:val="auto"/>
        <w:rPr>
          <w:rFonts w:hint="eastAsia" w:ascii="仿宋_GB2312" w:hAnsi="宋体" w:eastAsia="仿宋_GB2312"/>
          <w:lang w:val="en-US" w:eastAsia="zh-CN"/>
        </w:rPr>
      </w:pPr>
      <w:r>
        <w:rPr>
          <w:rFonts w:hint="eastAsia" w:ascii="仿宋_GB2312" w:hAnsi="宋体"/>
        </w:rPr>
        <w:t>提高法律意识、普及法律知识</w:t>
      </w:r>
      <w:r>
        <w:rPr>
          <w:rFonts w:hint="eastAsia" w:ascii="仿宋_GB2312" w:hAnsi="宋体"/>
          <w:lang w:eastAsia="zh-CN"/>
        </w:rPr>
        <w:t>。</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 w:hAnsi="仿宋" w:eastAsia="仿宋" w:cs="仿宋"/>
          <w:highlight w:val="none"/>
        </w:rPr>
        <w:t>法治建设及保障项目</w:t>
      </w:r>
      <w:r>
        <w:rPr>
          <w:rFonts w:hint="eastAsia" w:ascii="仿宋" w:hAnsi="仿宋" w:eastAsia="仿宋" w:cs="仿宋"/>
          <w:lang w:eastAsia="zh-CN"/>
        </w:rPr>
        <w:t>基本完成，达到预期效果，公众满意度高。</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pStyle w:val="12"/>
        <w:numPr>
          <w:ilvl w:val="0"/>
          <w:numId w:val="0"/>
        </w:numPr>
        <w:spacing w:before="0" w:beforeAutospacing="0" w:after="0" w:afterAutospacing="0" w:line="360" w:lineRule="auto"/>
        <w:ind w:firstLine="640" w:firstLineChars="200"/>
        <w:jc w:val="both"/>
        <w:rPr>
          <w:rFonts w:ascii="仿宋_GB2312" w:hAnsi="宋体"/>
          <w:lang w:val="zh-CN"/>
        </w:rPr>
      </w:pPr>
      <w:r>
        <w:rPr>
          <w:rFonts w:hint="eastAsia" w:ascii="仿宋" w:hAnsi="仿宋" w:eastAsia="仿宋" w:cs="仿宋"/>
          <w:kern w:val="2"/>
          <w:sz w:val="32"/>
          <w:szCs w:val="32"/>
          <w:lang w:val="en-US" w:eastAsia="zh-CN" w:bidi="ar-SA"/>
        </w:rPr>
        <w:t>缺乏大量专业法律知识技术人才。</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rPr>
          <w:rFonts w:hint="eastAsia" w:ascii="仿宋" w:hAnsi="仿宋" w:eastAsia="仿宋" w:cs="仿宋"/>
          <w:lang w:eastAsia="zh-CN"/>
        </w:rPr>
      </w:pPr>
      <w:r>
        <w:rPr>
          <w:rFonts w:hint="eastAsia" w:ascii="仿宋" w:hAnsi="仿宋" w:eastAsia="仿宋" w:cs="仿宋"/>
          <w:lang w:val="en-US" w:eastAsia="zh-CN"/>
        </w:rPr>
        <w:t>1.</w:t>
      </w:r>
      <w:r>
        <w:rPr>
          <w:rFonts w:hint="eastAsia" w:ascii="仿宋" w:hAnsi="仿宋" w:eastAsia="仿宋" w:cs="仿宋"/>
        </w:rPr>
        <w:t>希望财政加大资金支持力度</w:t>
      </w:r>
      <w:r>
        <w:rPr>
          <w:rFonts w:hint="eastAsia" w:ascii="仿宋" w:hAnsi="仿宋" w:eastAsia="仿宋" w:cs="仿宋"/>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200"/>
        <w:textAlignment w:val="auto"/>
        <w:rPr>
          <w:rFonts w:hint="eastAsia" w:ascii="仿宋" w:hAnsi="仿宋" w:eastAsia="仿宋" w:cs="仿宋"/>
          <w:lang w:eastAsia="zh-CN"/>
        </w:rPr>
      </w:pPr>
      <w:r>
        <w:rPr>
          <w:rFonts w:hint="eastAsia" w:ascii="仿宋" w:hAnsi="仿宋" w:eastAsia="仿宋" w:cs="仿宋"/>
          <w:lang w:val="en-US" w:eastAsia="zh-CN"/>
        </w:rPr>
        <w:t>2.</w:t>
      </w:r>
      <w:r>
        <w:rPr>
          <w:rFonts w:hint="eastAsia" w:ascii="仿宋" w:hAnsi="仿宋" w:eastAsia="仿宋" w:cs="仿宋"/>
          <w:lang w:eastAsia="zh-CN"/>
        </w:rPr>
        <w:t>加强人员专业知识的培训。</w:t>
      </w:r>
    </w:p>
    <w:p>
      <w:pPr>
        <w:adjustRightInd w:val="0"/>
        <w:snapToGrid w:val="0"/>
        <w:spacing w:line="580" w:lineRule="exact"/>
        <w:ind w:firstLine="640" w:firstLineChars="200"/>
        <w:rPr>
          <w:rFonts w:ascii="仿宋_GB2312" w:hAnsi="宋体"/>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A8AA2"/>
    <w:multiLevelType w:val="singleLevel"/>
    <w:tmpl w:val="859A8AA2"/>
    <w:lvl w:ilvl="0" w:tentative="0">
      <w:start w:val="1"/>
      <w:numFmt w:val="decimal"/>
      <w:suff w:val="nothing"/>
      <w:lvlText w:val="%1．"/>
      <w:lvlJc w:val="left"/>
    </w:lvl>
  </w:abstractNum>
  <w:abstractNum w:abstractNumId="1">
    <w:nsid w:val="956B2346"/>
    <w:multiLevelType w:val="singleLevel"/>
    <w:tmpl w:val="956B2346"/>
    <w:lvl w:ilvl="0" w:tentative="0">
      <w:start w:val="2"/>
      <w:numFmt w:val="chineseCounting"/>
      <w:suff w:val="nothing"/>
      <w:lvlText w:val="（%1）"/>
      <w:lvlJc w:val="left"/>
      <w:rPr>
        <w:rFonts w:hint="eastAsia"/>
      </w:rPr>
    </w:lvl>
  </w:abstractNum>
  <w:abstractNum w:abstractNumId="2">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FA"/>
    <w:rsid w:val="00291918"/>
    <w:rsid w:val="002E7D7A"/>
    <w:rsid w:val="00427240"/>
    <w:rsid w:val="00543D64"/>
    <w:rsid w:val="00572F4E"/>
    <w:rsid w:val="005842A2"/>
    <w:rsid w:val="008F6FBC"/>
    <w:rsid w:val="008F788A"/>
    <w:rsid w:val="00A25407"/>
    <w:rsid w:val="00A36A47"/>
    <w:rsid w:val="00AC3975"/>
    <w:rsid w:val="00E4357F"/>
    <w:rsid w:val="00F251E9"/>
    <w:rsid w:val="00F67C8D"/>
    <w:rsid w:val="00FD3EFA"/>
    <w:rsid w:val="00FD62E7"/>
    <w:rsid w:val="01E354AB"/>
    <w:rsid w:val="0E1425FE"/>
    <w:rsid w:val="100F7970"/>
    <w:rsid w:val="121A0D43"/>
    <w:rsid w:val="147D4CB4"/>
    <w:rsid w:val="1B7479FE"/>
    <w:rsid w:val="23094706"/>
    <w:rsid w:val="258F0E76"/>
    <w:rsid w:val="25FF1A79"/>
    <w:rsid w:val="2DB34E55"/>
    <w:rsid w:val="332F50C6"/>
    <w:rsid w:val="4D8F322A"/>
    <w:rsid w:val="72EF6EA2"/>
    <w:rsid w:val="76971E09"/>
    <w:rsid w:val="7D83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 w:type="paragraph" w:customStyle="1" w:styleId="12">
    <w:name w:val="Normal (Web)"/>
    <w:basedOn w:val="1"/>
    <w:qFormat/>
    <w:uiPriority w:val="0"/>
    <w:pPr>
      <w:widowControl/>
      <w:spacing w:before="100" w:beforeLines="0" w:beforeAutospacing="1" w:after="100" w:afterLines="0" w:afterAutospacing="1"/>
      <w:jc w:val="left"/>
    </w:pPr>
    <w:rPr>
      <w:rFonts w:hint="eastAsia"/>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195</Words>
  <Characters>1112</Characters>
  <Lines>9</Lines>
  <Paragraphs>2</Paragraphs>
  <TotalTime>0</TotalTime>
  <ScaleCrop>false</ScaleCrop>
  <LinksUpToDate>false</LinksUpToDate>
  <CharactersWithSpaces>1305</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Administrator</cp:lastModifiedBy>
  <dcterms:modified xsi:type="dcterms:W3CDTF">2022-06-23T00:51:25Z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