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9"/>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9"/>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lang w:val="en-US" w:eastAsia="zh-CN"/>
        </w:rPr>
        <w:t xml:space="preserve">    </w:t>
      </w:r>
      <w:r>
        <w:rPr>
          <w:rFonts w:hint="eastAsia" w:ascii="仿宋_GB2312" w:hAnsi="宋体"/>
        </w:rPr>
        <w:t>（市场综合监管业务）</w:t>
      </w:r>
    </w:p>
    <w:p>
      <w:pPr>
        <w:pStyle w:val="9"/>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lang w:eastAsia="zh-CN"/>
        </w:rPr>
      </w:pPr>
      <w:r>
        <w:rPr>
          <w:rFonts w:hint="eastAsia" w:ascii="仿宋" w:hAnsi="仿宋" w:eastAsia="仿宋" w:cs="仿宋"/>
          <w:lang w:eastAsia="zh-CN"/>
        </w:rPr>
        <w:t>为进一步加强市场监督管理工作，省级下达</w:t>
      </w:r>
      <w:r>
        <w:rPr>
          <w:rFonts w:hint="eastAsia" w:ascii="仿宋" w:hAnsi="仿宋" w:eastAsia="仿宋" w:cs="仿宋"/>
          <w:lang w:val="en-US" w:eastAsia="zh-CN"/>
        </w:rPr>
        <w:t>2021年市场综合监管业务经费5万元，主要用于食品安全监管及大米生产经营全链条闭环监管机制探索，特种设备安全和节能监管、白酒品质提升工程、消费维权投诉平台运行维护、网络商品交易及有关服务行为监督等</w:t>
      </w:r>
      <w:r>
        <w:rPr>
          <w:rFonts w:hint="eastAsia" w:ascii="仿宋" w:hAnsi="仿宋" w:eastAsia="仿宋" w:cs="仿宋"/>
          <w:lang w:eastAsia="zh-CN"/>
        </w:rPr>
        <w:t>。</w:t>
      </w:r>
    </w:p>
    <w:p>
      <w:pPr>
        <w:pStyle w:val="11"/>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rPr>
        <w:t>资金分配按照人员类、民生类、专项业务类、工程项目类的顺序予以分配和保障。</w:t>
      </w:r>
    </w:p>
    <w:p>
      <w:pPr>
        <w:pStyle w:val="12"/>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 w:val="32"/>
          <w:szCs w:val="32"/>
          <w:lang w:val="zh-CN" w:eastAsia="zh-CN" w:bidi="ar-SA"/>
        </w:rPr>
      </w:pPr>
      <w:r>
        <w:rPr>
          <w:rFonts w:hint="eastAsia" w:ascii="仿宋" w:hAnsi="仿宋" w:eastAsia="仿宋" w:cs="仿宋"/>
          <w:kern w:val="2"/>
          <w:sz w:val="32"/>
          <w:szCs w:val="32"/>
          <w:lang w:val="zh-CN" w:eastAsia="zh-CN" w:bidi="ar-SA"/>
        </w:rPr>
        <w:t>1</w:t>
      </w:r>
      <w:r>
        <w:rPr>
          <w:rFonts w:hint="eastAsia" w:ascii="仿宋" w:hAnsi="仿宋" w:eastAsia="仿宋" w:cs="仿宋"/>
          <w:kern w:val="2"/>
          <w:sz w:val="32"/>
          <w:szCs w:val="32"/>
          <w:lang w:val="en-US" w:eastAsia="zh-CN" w:bidi="ar-SA"/>
        </w:rPr>
        <w:t>.</w:t>
      </w:r>
      <w:r>
        <w:rPr>
          <w:rFonts w:hint="eastAsia" w:ascii="仿宋_GB2312" w:hAnsi="宋体" w:eastAsia="仿宋"/>
          <w:lang w:eastAsia="zh-CN"/>
        </w:rPr>
        <w:t>紧紧围绕省局确定的年度重点工作，深入实施质量强市战略，全面提升全市市场监管能力，严守食品、重要工业产品质量、特种设备三条底线，开展价格监督、网络合同监管，提高综合行政执法水平</w:t>
      </w:r>
      <w:r>
        <w:rPr>
          <w:rFonts w:hint="eastAsia" w:ascii="仿宋" w:hAnsi="仿宋" w:eastAsia="仿宋" w:cs="仿宋"/>
          <w:kern w:val="2"/>
          <w:sz w:val="32"/>
          <w:szCs w:val="32"/>
          <w:lang w:val="en-US" w:eastAsia="zh-CN" w:bidi="ar-SA"/>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2"/>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市场综合监管业务</w:t>
      </w:r>
      <w:r>
        <w:rPr>
          <w:rFonts w:hint="eastAsia" w:ascii="仿宋" w:hAnsi="仿宋" w:eastAsia="仿宋" w:cs="仿宋"/>
          <w:highlight w:val="none"/>
        </w:rPr>
        <w:t>项目资金</w:t>
      </w:r>
      <w:r>
        <w:rPr>
          <w:rFonts w:hint="eastAsia" w:ascii="仿宋" w:hAnsi="仿宋" w:eastAsia="仿宋" w:cs="仿宋"/>
          <w:highlight w:val="none"/>
          <w:lang w:eastAsia="zh-CN"/>
        </w:rPr>
        <w:t>上级拨款预算</w:t>
      </w:r>
      <w:r>
        <w:rPr>
          <w:rFonts w:hint="eastAsia" w:ascii="仿宋" w:hAnsi="仿宋" w:eastAsia="仿宋" w:cs="仿宋"/>
          <w:highlight w:val="none"/>
          <w:lang w:val="en-US" w:eastAsia="zh-CN"/>
        </w:rPr>
        <w:t>5</w:t>
      </w:r>
      <w:r>
        <w:rPr>
          <w:rFonts w:hint="eastAsia" w:ascii="仿宋" w:hAnsi="仿宋" w:eastAsia="仿宋" w:cs="仿宋"/>
          <w:highlight w:val="none"/>
        </w:rPr>
        <w:t>万元，财政批复</w:t>
      </w:r>
      <w:r>
        <w:rPr>
          <w:rFonts w:hint="eastAsia" w:ascii="仿宋" w:hAnsi="仿宋" w:eastAsia="仿宋" w:cs="仿宋"/>
          <w:highlight w:val="none"/>
          <w:lang w:val="en-US" w:eastAsia="zh-CN"/>
        </w:rPr>
        <w:t>5</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color w:val="FF0000"/>
          <w:lang w:val="en-US" w:eastAsia="zh-CN"/>
        </w:rPr>
      </w:pPr>
      <w:r>
        <w:rPr>
          <w:rFonts w:hint="eastAsia" w:ascii="仿宋" w:hAnsi="仿宋" w:eastAsia="仿宋" w:cs="仿宋"/>
          <w:lang w:eastAsia="zh-CN"/>
        </w:rPr>
        <w:t>省级下拨</w:t>
      </w:r>
      <w:r>
        <w:rPr>
          <w:rFonts w:hint="eastAsia" w:ascii="仿宋" w:hAnsi="仿宋" w:eastAsia="仿宋" w:cs="仿宋"/>
        </w:rPr>
        <w:t>财政拨款资金</w:t>
      </w:r>
      <w:r>
        <w:rPr>
          <w:rFonts w:hint="eastAsia" w:ascii="仿宋" w:hAnsi="仿宋" w:eastAsia="仿宋" w:cs="仿宋"/>
          <w:lang w:val="en-US" w:eastAsia="zh-CN"/>
        </w:rPr>
        <w:t>5</w:t>
      </w:r>
      <w:r>
        <w:rPr>
          <w:rFonts w:hint="eastAsia" w:ascii="仿宋" w:hAnsi="仿宋" w:eastAsia="仿宋" w:cs="仿宋"/>
        </w:rPr>
        <w:t>万元及时足额到位，主要用于</w:t>
      </w:r>
      <w:r>
        <w:rPr>
          <w:rFonts w:hint="eastAsia" w:ascii="仿宋" w:hAnsi="仿宋" w:eastAsia="仿宋" w:cs="仿宋"/>
          <w:lang w:val="en-US" w:eastAsia="zh-CN"/>
        </w:rPr>
        <w:t>食品安全监管及大米生产经营全链条闭环监管机制探索，特种设备安全和节能监管、白酒品质提升工程、消费维权投诉平台运行维护、网络商品交易及有关服务行为监督</w:t>
      </w:r>
      <w:r>
        <w:rPr>
          <w:rFonts w:hint="eastAsia" w:ascii="仿宋" w:hAnsi="仿宋" w:eastAsia="仿宋" w:cs="仿宋"/>
        </w:rPr>
        <w:t>。截止20</w:t>
      </w:r>
      <w:r>
        <w:rPr>
          <w:rFonts w:hint="eastAsia" w:ascii="仿宋" w:hAnsi="仿宋" w:eastAsia="仿宋" w:cs="仿宋"/>
          <w:lang w:val="en-US" w:eastAsia="zh-CN"/>
        </w:rPr>
        <w:t>21</w:t>
      </w:r>
      <w:r>
        <w:rPr>
          <w:rFonts w:hint="eastAsia" w:ascii="仿宋" w:hAnsi="仿宋" w:eastAsia="仿宋" w:cs="仿宋"/>
        </w:rPr>
        <w:t>年12月31日</w:t>
      </w:r>
      <w:r>
        <w:rPr>
          <w:rFonts w:hint="eastAsia" w:ascii="仿宋" w:hAnsi="仿宋" w:eastAsia="仿宋" w:cs="仿宋"/>
          <w:color w:val="auto"/>
        </w:rPr>
        <w:t>，实际支出</w:t>
      </w:r>
      <w:r>
        <w:rPr>
          <w:rFonts w:hint="eastAsia" w:ascii="仿宋" w:hAnsi="仿宋" w:eastAsia="仿宋" w:cs="仿宋"/>
          <w:color w:val="auto"/>
          <w:lang w:val="en-US" w:eastAsia="zh-CN"/>
        </w:rPr>
        <w:t>5</w:t>
      </w:r>
      <w:r>
        <w:rPr>
          <w:rFonts w:hint="eastAsia" w:ascii="仿宋" w:hAnsi="仿宋" w:eastAsia="仿宋" w:cs="仿宋"/>
          <w:color w:val="auto"/>
        </w:rPr>
        <w:t>万元</w:t>
      </w:r>
      <w:r>
        <w:rPr>
          <w:rFonts w:hint="eastAsia" w:ascii="仿宋" w:hAnsi="仿宋" w:eastAsia="仿宋" w:cs="仿宋"/>
          <w:color w:val="auto"/>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质量与安全监管</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ind w:firstLine="640" w:firstLineChars="200"/>
        <w:rPr>
          <w:rFonts w:hint="eastAsia" w:ascii="仿宋_GB2312" w:hAnsi="宋体" w:eastAsia="仿宋"/>
          <w:sz w:val="32"/>
          <w:szCs w:val="32"/>
          <w:lang w:val="en-US" w:eastAsia="zh-CN"/>
        </w:rPr>
      </w:pPr>
      <w:r>
        <w:rPr>
          <w:rFonts w:hint="eastAsia" w:ascii="仿宋_GB2312" w:hAnsi="宋体"/>
          <w:sz w:val="32"/>
          <w:szCs w:val="32"/>
          <w:lang w:val="en-US" w:eastAsia="zh-CN"/>
        </w:rPr>
        <w:t>1.项目完成任务量：</w:t>
      </w:r>
      <w:r>
        <w:rPr>
          <w:rFonts w:hint="eastAsia" w:ascii="仿宋_GB2312" w:hAnsi="宋体" w:eastAsia="仿宋_GB2312" w:cs="Times New Roman"/>
          <w:kern w:val="2"/>
          <w:sz w:val="32"/>
          <w:szCs w:val="32"/>
          <w:lang w:val="zh-CN" w:eastAsia="zh-CN" w:bidi="ar-SA"/>
        </w:rPr>
        <w:t>202</w:t>
      </w:r>
      <w:r>
        <w:rPr>
          <w:rFonts w:hint="eastAsia" w:ascii="仿宋_GB2312" w:hAnsi="宋体" w:eastAsia="仿宋_GB2312" w:cs="Times New Roman"/>
          <w:kern w:val="2"/>
          <w:sz w:val="32"/>
          <w:szCs w:val="32"/>
          <w:lang w:val="en-US" w:eastAsia="zh-CN" w:bidi="ar-SA"/>
        </w:rPr>
        <w:t>1</w:t>
      </w:r>
      <w:r>
        <w:rPr>
          <w:rFonts w:hint="eastAsia" w:ascii="仿宋_GB2312" w:hAnsi="宋体" w:eastAsia="仿宋_GB2312" w:cs="Times New Roman"/>
          <w:kern w:val="2"/>
          <w:sz w:val="32"/>
          <w:szCs w:val="32"/>
          <w:lang w:val="zh-CN" w:eastAsia="zh-CN" w:bidi="ar-SA"/>
        </w:rPr>
        <w:t>年全面完成目标，具体情况如下：</w:t>
      </w:r>
      <w:r>
        <w:rPr>
          <w:rFonts w:hint="default" w:ascii="仿宋_GB2312" w:hAnsi="宋体" w:eastAsia="仿宋_GB2312" w:cs="Times New Roman"/>
          <w:kern w:val="2"/>
          <w:sz w:val="32"/>
          <w:szCs w:val="32"/>
          <w:lang w:val="en-US" w:eastAsia="zh-CN" w:bidi="ar-SA"/>
        </w:rPr>
        <w:t>一是强化信用监管，组织协调企业、农专、个体年报，全市企业年报率91.96%，农专年报率88.74%，个体年报率85.66%。经营异常名录动态监管，共计将503户企业、153户农专列入经营异常名录</w:t>
      </w:r>
      <w:r>
        <w:rPr>
          <w:rFonts w:hint="eastAsia" w:ascii="仿宋_GB2312" w:hAnsi="宋体" w:eastAsia="仿宋_GB2312" w:cs="Times New Roman"/>
          <w:kern w:val="2"/>
          <w:sz w:val="32"/>
          <w:szCs w:val="32"/>
          <w:lang w:val="en-US" w:eastAsia="zh-CN" w:bidi="ar-SA"/>
        </w:rPr>
        <w:t>。</w:t>
      </w:r>
      <w:r>
        <w:rPr>
          <w:rFonts w:hint="default" w:ascii="仿宋_GB2312" w:hAnsi="宋体" w:eastAsia="仿宋_GB2312" w:cs="Times New Roman"/>
          <w:kern w:val="2"/>
          <w:sz w:val="32"/>
          <w:szCs w:val="32"/>
          <w:lang w:val="en-US" w:eastAsia="zh-CN" w:bidi="ar-SA"/>
        </w:rPr>
        <w:t>二是每月收集德阳市、绵竹市民营企业恳谈会交办问题办理推进情况，截至目前,德阳市交办问题16件，已办结15件；绵竹市交办119件，已办结105件。三是筹办召开绵竹市2021年民营经济健康发展大会，大会上表扬了优秀企业10家、优秀企业经营者10名、优秀个体工商户10家，集中兑现政策奖励（补助）资金3325万余元。</w:t>
      </w:r>
      <w:r>
        <w:rPr>
          <w:rFonts w:hint="eastAsia" w:ascii="仿宋_GB2312" w:hAnsi="宋体" w:eastAsia="仿宋_GB2312" w:cs="Times New Roman"/>
          <w:kern w:val="2"/>
          <w:sz w:val="32"/>
          <w:szCs w:val="32"/>
          <w:lang w:val="en-US" w:eastAsia="zh-CN" w:bidi="ar-SA"/>
        </w:rPr>
        <w:t>四</w:t>
      </w:r>
      <w:r>
        <w:rPr>
          <w:rFonts w:hint="default" w:ascii="仿宋_GB2312" w:hAnsi="宋体" w:eastAsia="仿宋_GB2312" w:cs="Times New Roman"/>
          <w:kern w:val="2"/>
          <w:sz w:val="32"/>
          <w:szCs w:val="32"/>
          <w:lang w:val="en-US" w:eastAsia="zh-CN" w:bidi="ar-SA"/>
        </w:rPr>
        <w:t>是推进民营企业建立现代企业制度、民营企业产业标准化活动、民营企业提品质创品牌等政策措施贯彻执行，涉及48家企业共计219.859万元。</w:t>
      </w:r>
      <w:r>
        <w:rPr>
          <w:rFonts w:hint="eastAsia" w:ascii="仿宋_GB2312" w:hAnsi="宋体" w:cs="Times New Roman"/>
          <w:kern w:val="2"/>
          <w:sz w:val="32"/>
          <w:szCs w:val="32"/>
          <w:lang w:val="en-US" w:eastAsia="zh-CN" w:bidi="ar-SA"/>
        </w:rPr>
        <w:t>五是</w:t>
      </w:r>
      <w:r>
        <w:rPr>
          <w:rFonts w:hint="eastAsia" w:ascii="仿宋_GB2312" w:hAnsi="宋体" w:eastAsia="仿宋_GB2312" w:cs="Times New Roman"/>
          <w:kern w:val="2"/>
          <w:sz w:val="32"/>
          <w:szCs w:val="32"/>
          <w:lang w:val="en-US" w:eastAsia="zh-CN" w:bidi="ar-SA"/>
        </w:rPr>
        <w:t>结合“3.15国际消费者权益日”、“食品安全宣传周”、宪法日宣传等活动广泛开展</w:t>
      </w:r>
      <w:r>
        <w:rPr>
          <w:rFonts w:hint="eastAsia" w:ascii="仿宋_GB2312" w:hAnsi="宋体" w:cs="Times New Roman"/>
          <w:kern w:val="2"/>
          <w:sz w:val="32"/>
          <w:szCs w:val="32"/>
          <w:lang w:val="en-US" w:eastAsia="zh-CN" w:bidi="ar-SA"/>
        </w:rPr>
        <w:t>各类</w:t>
      </w:r>
      <w:r>
        <w:rPr>
          <w:rFonts w:hint="eastAsia" w:ascii="仿宋_GB2312" w:hAnsi="宋体" w:eastAsia="仿宋_GB2312" w:cs="Times New Roman"/>
          <w:kern w:val="2"/>
          <w:sz w:val="32"/>
          <w:szCs w:val="32"/>
          <w:lang w:val="en-US" w:eastAsia="zh-CN" w:bidi="ar-SA"/>
        </w:rPr>
        <w:t>宣传。</w:t>
      </w:r>
      <w:r>
        <w:rPr>
          <w:rFonts w:hint="eastAsia" w:ascii="仿宋_GB2312" w:hAnsi="宋体" w:cs="Times New Roman"/>
          <w:kern w:val="2"/>
          <w:sz w:val="32"/>
          <w:szCs w:val="32"/>
          <w:lang w:val="en-US" w:eastAsia="zh-CN" w:bidi="ar-SA"/>
        </w:rPr>
        <w:t>六</w:t>
      </w:r>
      <w:r>
        <w:rPr>
          <w:rFonts w:hint="default" w:ascii="仿宋_GB2312" w:hAnsi="宋体" w:eastAsia="仿宋_GB2312" w:cs="Times New Roman"/>
          <w:kern w:val="2"/>
          <w:sz w:val="32"/>
          <w:szCs w:val="32"/>
          <w:lang w:val="en-US" w:eastAsia="zh-CN" w:bidi="ar-SA"/>
        </w:rPr>
        <w:t>是加强公平竞争审查工作力度,严厉打击假冒侵权、傍名牌、虚假宣传等不正当竞争行为，开展水电气、医疗等领域价格收费专项治理行动，</w:t>
      </w:r>
      <w:r>
        <w:rPr>
          <w:rFonts w:hint="eastAsia" w:ascii="仿宋_GB2312" w:hAnsi="宋体" w:eastAsia="仿宋_GB2312" w:cs="Times New Roman"/>
          <w:kern w:val="2"/>
          <w:sz w:val="32"/>
          <w:szCs w:val="32"/>
          <w:lang w:val="en-US" w:eastAsia="zh-CN" w:bidi="ar-SA"/>
        </w:rPr>
        <w:t>发布价格告诫提醒3次，开展行政指导、行政约谈17次，依法查处各类价格违法行为，共查处价格类案件37件，清退23.49万元，没收2.33万元，罚款18.72万元，</w:t>
      </w:r>
      <w:r>
        <w:rPr>
          <w:rFonts w:hint="default" w:ascii="仿宋_GB2312" w:hAnsi="宋体" w:eastAsia="仿宋_GB2312" w:cs="Times New Roman"/>
          <w:kern w:val="2"/>
          <w:sz w:val="32"/>
          <w:szCs w:val="32"/>
          <w:lang w:val="en-US" w:eastAsia="zh-CN" w:bidi="ar-SA"/>
        </w:rPr>
        <w:t>有效维护了市场公平竞争秩序。</w:t>
      </w:r>
      <w:r>
        <w:rPr>
          <w:rFonts w:hint="eastAsia" w:ascii="仿宋_GB2312" w:hAnsi="宋体" w:cs="Times New Roman"/>
          <w:kern w:val="2"/>
          <w:sz w:val="32"/>
          <w:szCs w:val="32"/>
          <w:lang w:val="en-US" w:eastAsia="zh-CN" w:bidi="ar-SA"/>
        </w:rPr>
        <w:t>七</w:t>
      </w:r>
      <w:r>
        <w:rPr>
          <w:rFonts w:hint="default" w:ascii="仿宋_GB2312" w:hAnsi="宋体" w:eastAsia="仿宋_GB2312" w:cs="Times New Roman"/>
          <w:kern w:val="2"/>
          <w:sz w:val="32"/>
          <w:szCs w:val="32"/>
          <w:lang w:val="en-US" w:eastAsia="zh-CN" w:bidi="ar-SA"/>
        </w:rPr>
        <w:t>是围绕</w:t>
      </w:r>
      <w:r>
        <w:rPr>
          <w:rFonts w:hint="eastAsia" w:ascii="仿宋_GB2312" w:hAnsi="宋体" w:eastAsia="仿宋_GB2312" w:cs="Times New Roman"/>
          <w:kern w:val="2"/>
          <w:sz w:val="32"/>
          <w:szCs w:val="32"/>
          <w:lang w:val="en-US" w:eastAsia="zh-CN" w:bidi="ar-SA"/>
        </w:rPr>
        <w:t>“</w:t>
      </w:r>
      <w:r>
        <w:rPr>
          <w:rFonts w:hint="default" w:ascii="仿宋_GB2312" w:hAnsi="宋体" w:eastAsia="仿宋_GB2312" w:cs="Times New Roman"/>
          <w:kern w:val="2"/>
          <w:sz w:val="32"/>
          <w:szCs w:val="32"/>
          <w:lang w:val="en-US" w:eastAsia="zh-CN" w:bidi="ar-SA"/>
        </w:rPr>
        <w:t>春雷行动2021</w:t>
      </w:r>
      <w:r>
        <w:rPr>
          <w:rFonts w:hint="eastAsia" w:ascii="仿宋_GB2312" w:hAnsi="宋体" w:eastAsia="仿宋_GB2312" w:cs="Times New Roman"/>
          <w:kern w:val="2"/>
          <w:sz w:val="32"/>
          <w:szCs w:val="32"/>
          <w:lang w:val="en-US" w:eastAsia="zh-CN" w:bidi="ar-SA"/>
        </w:rPr>
        <w:t>”</w:t>
      </w:r>
      <w:r>
        <w:rPr>
          <w:rFonts w:hint="default" w:ascii="仿宋_GB2312" w:hAnsi="宋体" w:eastAsia="仿宋_GB2312" w:cs="Times New Roman"/>
          <w:kern w:val="2"/>
          <w:sz w:val="32"/>
          <w:szCs w:val="32"/>
          <w:lang w:val="en-US" w:eastAsia="zh-CN" w:bidi="ar-SA"/>
        </w:rPr>
        <w:t>、长江禁捕、打击农村假冒伪劣食品、扫黑除恶、扫黄打非等专项行动开展案件查办工作,截至目前</w:t>
      </w:r>
      <w:bookmarkStart w:id="0" w:name="_GoBack"/>
      <w:bookmarkEnd w:id="0"/>
      <w:r>
        <w:rPr>
          <w:rFonts w:hint="default" w:ascii="仿宋_GB2312" w:hAnsi="宋体" w:eastAsia="仿宋_GB2312" w:cs="Times New Roman"/>
          <w:kern w:val="2"/>
          <w:sz w:val="32"/>
          <w:szCs w:val="32"/>
          <w:lang w:val="en-US" w:eastAsia="zh-CN" w:bidi="ar-SA"/>
        </w:rPr>
        <w:t>，共查办案件348件，已结284件，罚没款共计约178.17万元</w:t>
      </w:r>
      <w:r>
        <w:rPr>
          <w:rFonts w:hint="eastAsia" w:ascii="仿宋" w:hAnsi="仿宋" w:eastAsia="仿宋" w:cs="仿宋"/>
          <w:b w:val="0"/>
          <w:bCs w:val="0"/>
          <w:sz w:val="32"/>
          <w:szCs w:val="32"/>
          <w:lang w:val="en-US" w:eastAsia="zh-CN"/>
        </w:rPr>
        <w:t>。</w:t>
      </w:r>
    </w:p>
    <w:p>
      <w:pPr>
        <w:numPr>
          <w:ilvl w:val="0"/>
          <w:numId w:val="0"/>
        </w:numPr>
        <w:ind w:firstLine="640" w:firstLineChars="200"/>
        <w:rPr>
          <w:rFonts w:hint="eastAsia" w:ascii="仿宋_GB2312" w:hAnsi="宋体"/>
          <w:color w:val="auto"/>
          <w:sz w:val="32"/>
          <w:szCs w:val="32"/>
          <w:lang w:val="en-US" w:eastAsia="zh-CN"/>
        </w:rPr>
      </w:pPr>
      <w:r>
        <w:rPr>
          <w:rFonts w:hint="eastAsia" w:ascii="仿宋_GB2312" w:hAnsi="宋体"/>
          <w:color w:val="auto"/>
          <w:sz w:val="32"/>
          <w:szCs w:val="32"/>
          <w:lang w:val="en-US" w:eastAsia="zh-CN"/>
        </w:rPr>
        <w:t>2.项目完成质量：</w:t>
      </w:r>
      <w:r>
        <w:rPr>
          <w:rFonts w:hint="eastAsia" w:ascii="仿宋_GB2312" w:hAnsi="宋体" w:eastAsia="仿宋_GB2312" w:cs="Times New Roman"/>
          <w:kern w:val="2"/>
          <w:sz w:val="32"/>
          <w:szCs w:val="32"/>
          <w:lang w:val="zh-CN" w:eastAsia="zh-CN" w:bidi="ar-SA"/>
        </w:rPr>
        <w:t>一是</w:t>
      </w:r>
      <w:r>
        <w:rPr>
          <w:rFonts w:hint="eastAsia" w:ascii="仿宋_GB2312" w:hAnsi="宋体" w:cs="Times New Roman"/>
          <w:kern w:val="2"/>
          <w:sz w:val="32"/>
          <w:szCs w:val="32"/>
          <w:lang w:val="zh-CN" w:eastAsia="zh-CN" w:bidi="ar-SA"/>
        </w:rPr>
        <w:t>抽检不合格食品核查处置率达</w:t>
      </w:r>
      <w:r>
        <w:rPr>
          <w:rFonts w:hint="eastAsia" w:ascii="仿宋_GB2312" w:hAnsi="宋体" w:cs="Times New Roman"/>
          <w:kern w:val="2"/>
          <w:sz w:val="32"/>
          <w:szCs w:val="32"/>
          <w:lang w:val="en-US" w:eastAsia="zh-CN" w:bidi="ar-SA"/>
        </w:rPr>
        <w:t>100%，二是特种设备检查后安全隐患依法整改率达100%</w:t>
      </w:r>
      <w:r>
        <w:rPr>
          <w:rFonts w:hint="eastAsia" w:ascii="仿宋_GB2312" w:hAnsi="宋体"/>
          <w:color w:val="auto"/>
          <w:sz w:val="32"/>
          <w:szCs w:val="32"/>
          <w:lang w:val="en-US" w:eastAsia="zh-CN"/>
        </w:rPr>
        <w:t>。</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宋体"/>
          <w:sz w:val="32"/>
          <w:szCs w:val="32"/>
          <w:lang w:val="zh-CN" w:eastAsia="zh-CN"/>
        </w:rPr>
      </w:pPr>
      <w:r>
        <w:rPr>
          <w:rFonts w:hint="eastAsia" w:ascii="仿宋_GB2312" w:hAnsi="宋体"/>
          <w:color w:val="auto"/>
          <w:sz w:val="32"/>
          <w:szCs w:val="32"/>
          <w:lang w:val="en-US" w:eastAsia="zh-CN"/>
        </w:rPr>
        <w:t>3.项目完成进度：截止2021年12月，</w:t>
      </w:r>
      <w:r>
        <w:rPr>
          <w:rFonts w:hint="eastAsia" w:ascii="仿宋_GB2312" w:hAnsi="宋体"/>
        </w:rPr>
        <w:t>市场综合监管业务</w:t>
      </w:r>
      <w:r>
        <w:rPr>
          <w:rFonts w:hint="eastAsia" w:ascii="仿宋" w:hAnsi="仿宋" w:eastAsia="仿宋" w:cs="仿宋"/>
        </w:rPr>
        <w:t>项目</w:t>
      </w:r>
      <w:r>
        <w:rPr>
          <w:rFonts w:hint="eastAsia" w:ascii="仿宋" w:hAnsi="仿宋" w:eastAsia="仿宋" w:cs="仿宋"/>
          <w:lang w:eastAsia="zh-CN"/>
        </w:rPr>
        <w:t>已全面完成。</w:t>
      </w:r>
    </w:p>
    <w:p>
      <w:pPr>
        <w:pStyle w:val="12"/>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（二）项目效益情况。</w:t>
      </w:r>
    </w:p>
    <w:p>
      <w:pPr>
        <w:pStyle w:val="12"/>
        <w:keepNext w:val="0"/>
        <w:keepLines w:val="0"/>
        <w:pageBreakBefore w:val="0"/>
        <w:numPr>
          <w:ilvl w:val="0"/>
          <w:numId w:val="4"/>
        </w:numPr>
        <w:kinsoku/>
        <w:wordWrap/>
        <w:overflowPunct/>
        <w:topLinePunct w:val="0"/>
        <w:autoSpaceDE/>
        <w:autoSpaceDN/>
        <w:bidi w:val="0"/>
        <w:adjustRightInd w:val="0"/>
        <w:snapToGrid w:val="0"/>
        <w:spacing w:line="580" w:lineRule="exact"/>
        <w:ind w:firstLineChars="0"/>
        <w:textAlignment w:val="auto"/>
        <w:rPr>
          <w:rFonts w:ascii="仿宋_GB2312" w:hAnsi="宋体"/>
        </w:rPr>
      </w:pPr>
      <w:r>
        <w:rPr>
          <w:rFonts w:hint="eastAsia" w:ascii="仿宋_GB2312" w:hAnsi="宋体"/>
        </w:rPr>
        <w:t>社会效益</w:t>
      </w:r>
    </w:p>
    <w:p>
      <w:pPr>
        <w:pStyle w:val="12"/>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eastAsia" w:ascii="仿宋_GB2312" w:hAnsi="宋体"/>
          <w:lang w:eastAsia="zh-CN"/>
        </w:rPr>
      </w:pPr>
      <w:r>
        <w:rPr>
          <w:rFonts w:hint="eastAsia" w:ascii="仿宋_GB2312" w:hAnsi="宋体"/>
          <w:lang w:val="zh-CN"/>
        </w:rPr>
        <w:t>保障公平竞争秩序，进一步深化商事登记制度改革，营造了良好营商环境</w:t>
      </w:r>
      <w:r>
        <w:rPr>
          <w:rFonts w:hint="eastAsia" w:ascii="仿宋_GB2312" w:hAnsi="宋体"/>
          <w:lang w:eastAsia="zh-CN"/>
        </w:rPr>
        <w:t>。</w:t>
      </w:r>
    </w:p>
    <w:p>
      <w:pPr>
        <w:pStyle w:val="12"/>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ascii="仿宋_GB2312" w:hAnsi="宋体"/>
        </w:rPr>
      </w:pPr>
      <w:r>
        <w:rPr>
          <w:rFonts w:hint="eastAsia" w:ascii="仿宋_GB2312" w:hAnsi="宋体"/>
          <w:lang w:val="en-US" w:eastAsia="zh-CN"/>
        </w:rPr>
        <w:t>2</w:t>
      </w:r>
      <w:r>
        <w:rPr>
          <w:rFonts w:hint="eastAsia" w:ascii="仿宋_GB2312" w:hAnsi="宋体"/>
        </w:rPr>
        <w:t>.可持续影响</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lang w:val="en-US" w:eastAsia="zh-CN"/>
        </w:rPr>
      </w:pPr>
      <w:r>
        <w:rPr>
          <w:rFonts w:hint="eastAsia" w:ascii="仿宋_GB2312" w:hAnsi="宋体"/>
          <w:lang w:val="zh-CN"/>
        </w:rPr>
        <w:t>该项目的实施，通过监督抽检、风险监测、证后监管等保障人民财产健康安全</w:t>
      </w:r>
      <w:r>
        <w:rPr>
          <w:rFonts w:hint="eastAsia" w:ascii="仿宋_GB2312" w:hAnsi="宋体"/>
          <w:lang w:val="en-US" w:eastAsia="zh-CN"/>
        </w:rPr>
        <w:t>。</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市场综合监管业务</w:t>
      </w:r>
      <w:r>
        <w:rPr>
          <w:rFonts w:hint="eastAsia" w:ascii="仿宋" w:hAnsi="仿宋" w:eastAsia="仿宋" w:cs="仿宋"/>
          <w:lang w:eastAsia="zh-CN"/>
        </w:rPr>
        <w:t>工作中作出显著成效</w:t>
      </w:r>
      <w:r>
        <w:rPr>
          <w:rFonts w:hint="eastAsia" w:ascii="仿宋" w:hAnsi="仿宋" w:eastAsia="仿宋" w:cs="仿宋"/>
        </w:rPr>
        <w:t>项目</w:t>
      </w:r>
      <w:r>
        <w:rPr>
          <w:rFonts w:hint="eastAsia" w:ascii="仿宋" w:hAnsi="仿宋" w:eastAsia="仿宋" w:cs="仿宋"/>
          <w:lang w:eastAsia="zh-CN"/>
        </w:rPr>
        <w:t>已完成，达到预期效果，服务对象满意度高。</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left="0" w:leftChars="0" w:firstLine="720" w:firstLineChars="0"/>
        <w:textAlignment w:val="auto"/>
        <w:rPr>
          <w:rFonts w:hint="eastAsia" w:ascii="楷体_GB2312" w:hAnsi="宋体" w:eastAsia="楷体_GB2312"/>
          <w:b/>
          <w:lang w:val="zh-CN"/>
        </w:rPr>
      </w:pPr>
      <w:r>
        <w:rPr>
          <w:rFonts w:hint="eastAsia" w:ascii="楷体_GB2312" w:hAnsi="宋体" w:eastAsia="楷体_GB2312"/>
          <w:b/>
          <w:lang w:val="zh-CN"/>
        </w:rPr>
        <w:t>存在的问题。</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left="0" w:leftChars="0" w:firstLine="720" w:firstLineChars="225"/>
        <w:textAlignment w:val="auto"/>
        <w:rPr>
          <w:rFonts w:hint="eastAsia" w:ascii="楷体_GB2312" w:hAnsi="宋体" w:eastAsia="仿宋_GB2312"/>
          <w:b/>
          <w:lang w:val="zh-CN" w:eastAsia="zh-CN"/>
        </w:rPr>
      </w:pPr>
      <w:r>
        <w:rPr>
          <w:rFonts w:hint="eastAsia" w:ascii="宋体" w:hAnsi="宋体"/>
          <w:szCs w:val="21"/>
        </w:rPr>
        <w:t>缺乏绩效评价专业人才，工作人员的专业能力还有待提高，造成绩效评价工作开展起来有所难度</w:t>
      </w:r>
      <w:r>
        <w:rPr>
          <w:rFonts w:hint="eastAsia" w:ascii="宋体" w:hAnsi="宋体"/>
          <w:szCs w:val="21"/>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adjustRightInd w:val="0"/>
        <w:snapToGrid w:val="0"/>
        <w:spacing w:line="560" w:lineRule="exact"/>
        <w:ind w:firstLine="720"/>
        <w:rPr>
          <w:rFonts w:hint="eastAsia" w:ascii="宋体" w:hAnsi="宋体"/>
          <w:szCs w:val="21"/>
        </w:rPr>
      </w:pPr>
      <w:r>
        <w:rPr>
          <w:rFonts w:hint="eastAsia" w:ascii="宋体" w:hAnsi="宋体"/>
          <w:szCs w:val="21"/>
        </w:rPr>
        <w:t>1</w:t>
      </w:r>
      <w:r>
        <w:rPr>
          <w:rFonts w:hint="eastAsia" w:ascii="宋体" w:hAnsi="宋体"/>
          <w:szCs w:val="21"/>
          <w:lang w:eastAsia="zh-CN"/>
        </w:rPr>
        <w:t>.</w:t>
      </w:r>
      <w:r>
        <w:rPr>
          <w:rFonts w:hint="eastAsia" w:ascii="宋体" w:hAnsi="宋体"/>
          <w:szCs w:val="21"/>
        </w:rPr>
        <w:t>按照“谁使用、谁申报” 的原则，加强财务股与各所、股室、队的联系，密切关注各项目的进程，加大项目执行力度，确保专项资金都用到实处。</w:t>
      </w:r>
    </w:p>
    <w:p>
      <w:pPr>
        <w:adjustRightInd w:val="0"/>
        <w:snapToGrid w:val="0"/>
        <w:spacing w:line="560" w:lineRule="exact"/>
        <w:ind w:firstLine="720"/>
        <w:rPr>
          <w:rFonts w:hint="eastAsia" w:ascii="宋体" w:hAnsi="宋体"/>
          <w:szCs w:val="21"/>
        </w:rPr>
      </w:pPr>
      <w:r>
        <w:rPr>
          <w:rFonts w:hint="eastAsia" w:ascii="宋体" w:hAnsi="宋体"/>
          <w:szCs w:val="21"/>
        </w:rPr>
        <w:t>2</w:t>
      </w:r>
      <w:r>
        <w:rPr>
          <w:rFonts w:hint="eastAsia" w:ascii="宋体" w:hAnsi="宋体"/>
          <w:szCs w:val="21"/>
          <w:lang w:eastAsia="zh-CN"/>
        </w:rPr>
        <w:t>.</w:t>
      </w:r>
      <w:r>
        <w:rPr>
          <w:rFonts w:hint="eastAsia" w:ascii="宋体" w:hAnsi="宋体"/>
          <w:szCs w:val="21"/>
        </w:rPr>
        <w:t>建议加强对各部门和相关人员在财政资金专项支出绩效管理方面的培训，提升单位专项资金绩效管理水平。</w:t>
      </w:r>
    </w:p>
    <w:p>
      <w:pPr>
        <w:adjustRightInd w:val="0"/>
        <w:snapToGrid w:val="0"/>
        <w:spacing w:line="560" w:lineRule="exact"/>
        <w:ind w:firstLine="720"/>
        <w:rPr>
          <w:rFonts w:hint="eastAsia" w:ascii="宋体" w:hAnsi="宋体"/>
          <w:szCs w:val="21"/>
        </w:rPr>
      </w:pPr>
      <w:r>
        <w:rPr>
          <w:rFonts w:hint="eastAsia" w:ascii="宋体" w:hAnsi="宋体"/>
          <w:szCs w:val="21"/>
        </w:rPr>
        <w:t>3.请求财政加大对市场监管经费的政策支持，希望资金及时到位，及时下达，不影响项目的及时开展。</w:t>
      </w:r>
    </w:p>
    <w:p>
      <w:pPr>
        <w:adjustRightInd w:val="0"/>
        <w:snapToGrid w:val="0"/>
        <w:spacing w:line="580" w:lineRule="exact"/>
        <w:ind w:firstLine="720"/>
        <w:rPr>
          <w:rFonts w:ascii="楷体_GB2312" w:hAnsi="宋体" w:eastAsia="楷体_GB2312"/>
          <w:b/>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0C1F7"/>
    <w:multiLevelType w:val="singleLevel"/>
    <w:tmpl w:val="ED30C1F7"/>
    <w:lvl w:ilvl="0" w:tentative="0">
      <w:start w:val="1"/>
      <w:numFmt w:val="chineseCounting"/>
      <w:suff w:val="nothing"/>
      <w:lvlText w:val="%1、"/>
      <w:lvlJc w:val="left"/>
      <w:rPr>
        <w:rFonts w:hint="eastAsia"/>
      </w:rPr>
    </w:lvl>
  </w:abstractNum>
  <w:abstractNum w:abstractNumId="1">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4C5A2D8D"/>
    <w:multiLevelType w:val="singleLevel"/>
    <w:tmpl w:val="4C5A2D8D"/>
    <w:lvl w:ilvl="0" w:tentative="0">
      <w:start w:val="2"/>
      <w:numFmt w:val="chineseCounting"/>
      <w:suff w:val="nothing"/>
      <w:lvlText w:val="（%1）"/>
      <w:lvlJc w:val="left"/>
      <w:rPr>
        <w:rFonts w:hint="eastAsia"/>
      </w:rPr>
    </w:lvl>
  </w:abstractNum>
  <w:abstractNum w:abstractNumId="3">
    <w:nsid w:val="770F5496"/>
    <w:multiLevelType w:val="singleLevel"/>
    <w:tmpl w:val="770F5496"/>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mZWZlMmI1ZTkwOGYwMDVhNGM2YTUwY2M0ZTNhNzMifQ=="/>
  </w:docVars>
  <w:rsids>
    <w:rsidRoot w:val="003C18E4"/>
    <w:rsid w:val="0020667E"/>
    <w:rsid w:val="003C18E4"/>
    <w:rsid w:val="00501210"/>
    <w:rsid w:val="005E171C"/>
    <w:rsid w:val="0066072D"/>
    <w:rsid w:val="00873850"/>
    <w:rsid w:val="00957591"/>
    <w:rsid w:val="00C66B65"/>
    <w:rsid w:val="00E4357F"/>
    <w:rsid w:val="00E82134"/>
    <w:rsid w:val="014E403B"/>
    <w:rsid w:val="029C38E3"/>
    <w:rsid w:val="059C5BCD"/>
    <w:rsid w:val="0BC55E7E"/>
    <w:rsid w:val="0D5C0EC6"/>
    <w:rsid w:val="0EFE4340"/>
    <w:rsid w:val="0F034C87"/>
    <w:rsid w:val="124933F5"/>
    <w:rsid w:val="139C63EA"/>
    <w:rsid w:val="15C84C56"/>
    <w:rsid w:val="1A772A39"/>
    <w:rsid w:val="1A9829AF"/>
    <w:rsid w:val="1CD203FA"/>
    <w:rsid w:val="1E7B435A"/>
    <w:rsid w:val="20286B8B"/>
    <w:rsid w:val="28943900"/>
    <w:rsid w:val="2BB806B3"/>
    <w:rsid w:val="2F370591"/>
    <w:rsid w:val="37AB6C09"/>
    <w:rsid w:val="41223A9D"/>
    <w:rsid w:val="432B647E"/>
    <w:rsid w:val="465F41FD"/>
    <w:rsid w:val="49282FCC"/>
    <w:rsid w:val="4DF43312"/>
    <w:rsid w:val="4E127DA7"/>
    <w:rsid w:val="51295155"/>
    <w:rsid w:val="567C4958"/>
    <w:rsid w:val="5C446CAB"/>
    <w:rsid w:val="5D4F4FE1"/>
    <w:rsid w:val="5D567203"/>
    <w:rsid w:val="5DBC7D30"/>
    <w:rsid w:val="636B3D8A"/>
    <w:rsid w:val="64025412"/>
    <w:rsid w:val="681503E6"/>
    <w:rsid w:val="6BF97541"/>
    <w:rsid w:val="6E09798C"/>
    <w:rsid w:val="7186175B"/>
    <w:rsid w:val="73AD3047"/>
    <w:rsid w:val="73DA398A"/>
    <w:rsid w:val="764809F2"/>
    <w:rsid w:val="796D7FA9"/>
    <w:rsid w:val="7E1A042F"/>
    <w:rsid w:val="7EEB10D2"/>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cs="宋体"/>
      <w:color w:val="000000"/>
      <w:kern w:val="0"/>
      <w:sz w:val="24"/>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四号正文"/>
    <w:basedOn w:val="1"/>
    <w:link w:val="10"/>
    <w:qFormat/>
    <w:uiPriority w:val="99"/>
    <w:pPr>
      <w:spacing w:line="360" w:lineRule="auto"/>
    </w:pPr>
    <w:rPr>
      <w:rFonts w:ascii="??" w:hAnsi="??" w:eastAsia="宋体"/>
      <w:color w:val="000000"/>
      <w:kern w:val="0"/>
      <w:sz w:val="28"/>
      <w:szCs w:val="21"/>
    </w:rPr>
  </w:style>
  <w:style w:type="character" w:customStyle="1" w:styleId="10">
    <w:name w:val="四号正文 Char"/>
    <w:link w:val="9"/>
    <w:qFormat/>
    <w:locked/>
    <w:uiPriority w:val="99"/>
    <w:rPr>
      <w:rFonts w:ascii="??" w:hAnsi="??" w:eastAsia="宋体" w:cs="Times New Roman"/>
      <w:color w:val="000000"/>
      <w:kern w:val="0"/>
      <w:sz w:val="28"/>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1378</Words>
  <Characters>1401</Characters>
  <Lines>15</Lines>
  <Paragraphs>4</Paragraphs>
  <TotalTime>0</TotalTime>
  <ScaleCrop>false</ScaleCrop>
  <LinksUpToDate>false</LinksUpToDate>
  <CharactersWithSpaces>1411</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付祥文</cp:lastModifiedBy>
  <cp:lastPrinted>2020-08-04T01:52:00Z</cp:lastPrinted>
  <dcterms:modified xsi:type="dcterms:W3CDTF">2024-01-12T09:05:20Z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A51136F80234415E964CB3C44343008B</vt:lpwstr>
  </property>
</Properties>
</file>