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lang w:eastAsia="zh-CN"/>
        </w:rPr>
      </w:pPr>
      <w:r>
        <w:rPr>
          <w:rFonts w:hint="eastAsia" w:ascii="黑体" w:hAnsi="黑体" w:eastAsia="黑体"/>
        </w:rPr>
        <w:t>附件</w:t>
      </w:r>
      <w:r>
        <w:rPr>
          <w:rFonts w:hint="eastAsia" w:ascii="黑体" w:hAnsi="黑体" w:eastAsia="黑体"/>
          <w:lang w:val="en-US" w:eastAsia="zh-CN"/>
        </w:rPr>
        <w:t>6</w:t>
      </w:r>
    </w:p>
    <w:p>
      <w:pPr>
        <w:tabs>
          <w:tab w:val="left" w:pos="1440"/>
        </w:tabs>
        <w:spacing w:line="580" w:lineRule="exact"/>
        <w:rPr>
          <w:rFonts w:ascii="宋体" w:hAnsi="宋体" w:eastAsia="宋体"/>
          <w:sz w:val="30"/>
          <w:szCs w:val="30"/>
        </w:rPr>
      </w:pPr>
    </w:p>
    <w:p>
      <w:pPr>
        <w:pStyle w:val="11"/>
        <w:spacing w:line="580" w:lineRule="exact"/>
        <w:ind w:firstLine="883"/>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绵竹市市场监督管理局</w:t>
      </w:r>
    </w:p>
    <w:p>
      <w:pPr>
        <w:pStyle w:val="11"/>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lang w:val="en-US" w:eastAsia="zh-CN"/>
        </w:rPr>
        <w:t xml:space="preserve">    </w:t>
      </w:r>
      <w:r>
        <w:rPr>
          <w:rFonts w:hint="eastAsia" w:ascii="仿宋_GB2312" w:hAnsi="宋体"/>
        </w:rPr>
        <w:t>（2021年市场监管专项资金）</w:t>
      </w:r>
    </w:p>
    <w:p>
      <w:pPr>
        <w:adjustRightInd w:val="0"/>
        <w:ind w:firstLine="640" w:firstLineChars="200"/>
        <w:rPr>
          <w:rFonts w:eastAsia="方正黑体简体"/>
          <w:lang w:val="zh-CN"/>
        </w:rPr>
      </w:pPr>
      <w:r>
        <w:rPr>
          <w:rFonts w:eastAsia="方正黑体简体"/>
        </w:rPr>
        <w:t>一、</w:t>
      </w:r>
      <w:r>
        <w:rPr>
          <w:rFonts w:eastAsia="方正黑体简体"/>
          <w:lang w:val="zh-CN"/>
        </w:rPr>
        <w:t>项目概况</w:t>
      </w:r>
    </w:p>
    <w:p>
      <w:pPr>
        <w:spacing w:line="520" w:lineRule="exact"/>
        <w:ind w:firstLine="592"/>
        <w:rPr>
          <w:rFonts w:eastAsia="方正楷体简体"/>
          <w:b/>
          <w:lang w:val="zh-CN"/>
        </w:rPr>
      </w:pPr>
      <w:r>
        <w:rPr>
          <w:rFonts w:eastAsia="方正楷体简体"/>
          <w:b/>
          <w:lang w:val="zh-CN"/>
        </w:rPr>
        <w:t>（一）项目资金申报及批复情况。</w:t>
      </w:r>
    </w:p>
    <w:p>
      <w:pPr>
        <w:spacing w:line="520" w:lineRule="exact"/>
        <w:ind w:firstLine="592"/>
      </w:pPr>
      <w:r>
        <w:rPr>
          <w:rFonts w:hint="eastAsia" w:ascii="仿宋" w:hAnsi="仿宋" w:eastAsia="仿宋" w:cs="仿宋"/>
          <w:color w:val="333333"/>
          <w:kern w:val="0"/>
          <w:shd w:val="clear" w:color="auto" w:fill="FFFFFF"/>
          <w:lang w:val="zh-CN"/>
        </w:rPr>
        <w:t>按照《四川省市场监督管理局办公室关于印发</w:t>
      </w:r>
      <w:r>
        <w:rPr>
          <w:rFonts w:hint="eastAsia" w:ascii="仿宋" w:hAnsi="仿宋" w:eastAsia="仿宋" w:cs="仿宋"/>
          <w:color w:val="333333"/>
          <w:kern w:val="0"/>
          <w:shd w:val="clear" w:color="auto" w:fill="FFFFFF"/>
        </w:rPr>
        <w:t>2020年省市场监管专项资金实施方案的</w:t>
      </w:r>
      <w:r>
        <w:rPr>
          <w:rFonts w:hint="eastAsia" w:ascii="仿宋" w:hAnsi="仿宋" w:eastAsia="仿宋" w:cs="仿宋"/>
          <w:color w:val="333333"/>
          <w:kern w:val="0"/>
          <w:shd w:val="clear" w:color="auto" w:fill="FFFFFF"/>
          <w:lang w:val="zh-CN"/>
        </w:rPr>
        <w:t>通知》（川市监办〔</w:t>
      </w:r>
      <w:r>
        <w:rPr>
          <w:rFonts w:hint="eastAsia" w:ascii="仿宋" w:hAnsi="仿宋" w:eastAsia="仿宋" w:cs="仿宋"/>
          <w:color w:val="333333"/>
          <w:kern w:val="0"/>
          <w:shd w:val="clear" w:color="auto" w:fill="FFFFFF"/>
        </w:rPr>
        <w:t>2020〕97号</w:t>
      </w:r>
      <w:r>
        <w:rPr>
          <w:rFonts w:hint="eastAsia" w:ascii="仿宋" w:hAnsi="仿宋" w:eastAsia="仿宋" w:cs="仿宋"/>
          <w:color w:val="333333"/>
          <w:kern w:val="0"/>
          <w:shd w:val="clear" w:color="auto" w:fill="FFFFFF"/>
          <w:lang w:val="zh-CN"/>
        </w:rPr>
        <w:t>），省级专项资金</w:t>
      </w:r>
      <w:r>
        <w:rPr>
          <w:rFonts w:hint="eastAsia" w:ascii="仿宋" w:hAnsi="仿宋" w:eastAsia="仿宋" w:cs="仿宋"/>
          <w:color w:val="333333"/>
          <w:kern w:val="0"/>
          <w:shd w:val="clear" w:color="auto" w:fill="FFFFFF"/>
          <w:lang w:val="en-US" w:eastAsia="zh-CN"/>
        </w:rPr>
        <w:t>23</w:t>
      </w:r>
      <w:r>
        <w:rPr>
          <w:rFonts w:hint="eastAsia" w:ascii="仿宋" w:hAnsi="仿宋" w:eastAsia="仿宋" w:cs="仿宋"/>
          <w:color w:val="333333"/>
          <w:kern w:val="0"/>
          <w:shd w:val="clear" w:color="auto" w:fill="FFFFFF"/>
          <w:lang w:val="zh-CN"/>
        </w:rPr>
        <w:t>万元，用于市场综合监管专项整治、信用监管工作、知识产权保护等方面，符合资金管理办法等相关规定。</w:t>
      </w:r>
    </w:p>
    <w:p>
      <w:pPr>
        <w:numPr>
          <w:ilvl w:val="0"/>
          <w:numId w:val="1"/>
        </w:numPr>
        <w:adjustRightInd w:val="0"/>
        <w:ind w:firstLine="643" w:firstLineChars="200"/>
        <w:rPr>
          <w:rFonts w:eastAsia="方正楷体简体"/>
          <w:b/>
          <w:lang w:val="zh-CN"/>
        </w:rPr>
      </w:pPr>
      <w:r>
        <w:rPr>
          <w:rFonts w:eastAsia="方正楷体简体"/>
          <w:b/>
          <w:lang w:val="zh-CN"/>
        </w:rPr>
        <w:t>项目绩效目标。</w:t>
      </w:r>
    </w:p>
    <w:p>
      <w:pPr>
        <w:adjustRightInd w:val="0"/>
        <w:ind w:firstLine="640" w:firstLineChars="200"/>
        <w:rPr>
          <w:rFonts w:ascii="仿宋" w:hAnsi="仿宋" w:eastAsia="仿宋" w:cs="仿宋"/>
          <w:color w:val="333333"/>
          <w:kern w:val="0"/>
          <w:shd w:val="clear" w:color="auto" w:fill="FFFFFF"/>
        </w:rPr>
      </w:pPr>
      <w:r>
        <w:rPr>
          <w:rFonts w:hint="eastAsia" w:ascii="仿宋_GB2312" w:eastAsia="仿宋_GB2312"/>
        </w:rPr>
        <w:t>将市场安全作为头等大事，落实“四个最严”要求，聚焦食品药品、特种设备和重要工业产品等质量安全。坚持打规并举整治市场秩序，</w:t>
      </w:r>
      <w:r>
        <w:rPr>
          <w:rFonts w:hint="eastAsia" w:ascii="仿宋" w:hAnsi="仿宋" w:eastAsia="仿宋" w:cs="仿宋"/>
          <w:color w:val="333333"/>
          <w:kern w:val="0"/>
          <w:shd w:val="clear" w:color="auto" w:fill="FFFFFF"/>
          <w:lang w:val="zh-CN"/>
        </w:rPr>
        <w:t>加强市场乱象整治，加强质量安全执法</w:t>
      </w:r>
      <w:r>
        <w:rPr>
          <w:rFonts w:hint="eastAsia" w:ascii="仿宋_GB2312" w:eastAsia="仿宋_GB2312"/>
        </w:rPr>
        <w:t>，保障公平竞争秩序，营造安全放心的</w:t>
      </w:r>
      <w:r>
        <w:rPr>
          <w:rFonts w:hint="eastAsia" w:ascii="仿宋" w:hAnsi="仿宋" w:eastAsia="仿宋" w:cs="仿宋"/>
          <w:color w:val="333333"/>
          <w:kern w:val="0"/>
          <w:shd w:val="clear" w:color="auto" w:fill="FFFFFF"/>
          <w:lang w:val="zh-CN"/>
        </w:rPr>
        <w:t>消费环境；</w:t>
      </w:r>
      <w:r>
        <w:rPr>
          <w:rFonts w:hint="eastAsia" w:ascii="仿宋" w:hAnsi="仿宋" w:eastAsia="仿宋" w:cs="仿宋"/>
          <w:color w:val="333333"/>
          <w:kern w:val="0"/>
          <w:shd w:val="clear" w:color="auto" w:fill="FFFFFF"/>
        </w:rPr>
        <w:t>积极推进市场主体年报工作，加强市场主体信用动态监管，将符合要求的223户市场主体移出经营异常名录，促进企业诚信守法；</w:t>
      </w:r>
      <w:r>
        <w:rPr>
          <w:rFonts w:hint="eastAsia" w:ascii="仿宋" w:hAnsi="仿宋" w:eastAsia="仿宋" w:cs="仿宋"/>
          <w:color w:val="333333"/>
          <w:kern w:val="0"/>
          <w:shd w:val="clear" w:color="auto" w:fill="FFFFFF"/>
          <w:lang w:val="zh-CN"/>
        </w:rPr>
        <w:t>贯彻落实中、省、市促进民营经济健康发展政策举措，推动全市民营经济健康发展，贯彻落实绵竹市促进民营经济健康发展“八条措施”等政策举措，召开纾难解困恳谈会等工作举措，切实帮助民营企业破解发展难题，营造一流的营商环境。</w:t>
      </w:r>
    </w:p>
    <w:p>
      <w:pPr>
        <w:spacing w:line="520" w:lineRule="exact"/>
        <w:ind w:firstLine="592"/>
        <w:rPr>
          <w:rFonts w:eastAsia="方正楷体简体"/>
          <w:b/>
        </w:rPr>
      </w:pPr>
      <w:r>
        <w:rPr>
          <w:rFonts w:eastAsia="方正楷体简体"/>
          <w:b/>
          <w:lang w:val="zh-CN"/>
        </w:rPr>
        <w:t>（三）项目资金申报相符性。</w:t>
      </w:r>
      <w:r>
        <w:rPr>
          <w:rFonts w:hint="eastAsia" w:eastAsia="方正楷体简体"/>
          <w:b/>
        </w:rPr>
        <w:t xml:space="preserve"> </w:t>
      </w:r>
    </w:p>
    <w:p>
      <w:pPr>
        <w:spacing w:line="520" w:lineRule="exact"/>
        <w:ind w:firstLine="592"/>
        <w:rPr>
          <w:lang w:val="zh-CN"/>
        </w:rPr>
      </w:pPr>
      <w:r>
        <w:rPr>
          <w:rFonts w:hint="eastAsia" w:ascii="仿宋" w:hAnsi="仿宋" w:eastAsia="仿宋" w:cs="仿宋"/>
          <w:color w:val="333333"/>
          <w:kern w:val="0"/>
          <w:shd w:val="clear" w:color="auto" w:fill="FFFFFF"/>
        </w:rPr>
        <w:t>项目申报内容与具体实施内容相符、申报目标具有合理可行性。</w:t>
      </w:r>
    </w:p>
    <w:p>
      <w:pPr>
        <w:adjustRightInd w:val="0"/>
        <w:ind w:firstLine="640" w:firstLineChars="200"/>
        <w:rPr>
          <w:rFonts w:eastAsia="方正黑体简体"/>
        </w:rPr>
      </w:pPr>
      <w:r>
        <w:rPr>
          <w:rFonts w:eastAsia="方正黑体简体"/>
        </w:rPr>
        <w:t>二、项目实施及管理情况</w:t>
      </w:r>
    </w:p>
    <w:p>
      <w:pPr>
        <w:adjustRightInd w:val="0"/>
        <w:ind w:firstLine="643" w:firstLineChars="200"/>
        <w:rPr>
          <w:rFonts w:eastAsia="方正楷体简体"/>
          <w:b/>
          <w:lang w:val="zh-CN"/>
        </w:rPr>
      </w:pPr>
      <w:r>
        <w:rPr>
          <w:rFonts w:eastAsia="方正楷体简体"/>
          <w:b/>
          <w:lang w:val="zh-CN"/>
        </w:rPr>
        <w:tab/>
      </w:r>
      <w:r>
        <w:rPr>
          <w:rFonts w:eastAsia="方正楷体简体"/>
          <w:b/>
          <w:lang w:val="zh-CN"/>
        </w:rPr>
        <w:t>（一）资金计划、到位及使用情况。</w:t>
      </w:r>
    </w:p>
    <w:p>
      <w:pPr>
        <w:adjustRightInd w:val="0"/>
        <w:ind w:firstLine="640" w:firstLineChars="200"/>
        <w:rPr>
          <w:lang w:val="zh-CN"/>
        </w:rPr>
      </w:pPr>
      <w:r>
        <w:rPr>
          <w:lang w:val="zh-CN"/>
        </w:rPr>
        <w:t>1．资金计划及到位</w:t>
      </w:r>
    </w:p>
    <w:p>
      <w:pPr>
        <w:spacing w:line="520" w:lineRule="exact"/>
        <w:ind w:firstLine="640" w:firstLineChars="200"/>
        <w:rPr>
          <w:rFonts w:ascii="仿宋" w:hAnsi="仿宋" w:eastAsia="仿宋" w:cs="仿宋"/>
          <w:color w:val="333333"/>
          <w:kern w:val="0"/>
          <w:shd w:val="clear" w:color="auto" w:fill="FFFFFF"/>
          <w:lang w:val="zh-CN"/>
        </w:rPr>
      </w:pPr>
      <w:r>
        <w:rPr>
          <w:rFonts w:hint="eastAsia" w:ascii="仿宋" w:hAnsi="仿宋" w:eastAsia="仿宋" w:cs="仿宋"/>
          <w:color w:val="333333"/>
          <w:kern w:val="0"/>
          <w:shd w:val="clear" w:color="auto" w:fill="FFFFFF"/>
        </w:rPr>
        <w:t>202</w:t>
      </w:r>
      <w:r>
        <w:rPr>
          <w:rFonts w:hint="eastAsia" w:ascii="仿宋" w:hAnsi="仿宋" w:eastAsia="仿宋" w:cs="仿宋"/>
          <w:color w:val="333333"/>
          <w:kern w:val="0"/>
          <w:shd w:val="clear" w:color="auto" w:fill="FFFFFF"/>
          <w:lang w:val="en-US" w:eastAsia="zh-CN"/>
        </w:rPr>
        <w:t>1</w:t>
      </w:r>
      <w:r>
        <w:rPr>
          <w:rFonts w:hint="eastAsia" w:ascii="仿宋" w:hAnsi="仿宋" w:eastAsia="仿宋" w:cs="仿宋"/>
          <w:color w:val="333333"/>
          <w:kern w:val="0"/>
          <w:shd w:val="clear" w:color="auto" w:fill="FFFFFF"/>
        </w:rPr>
        <w:t>年省级市场监管专项资金</w:t>
      </w:r>
      <w:r>
        <w:rPr>
          <w:rFonts w:hint="eastAsia" w:ascii="仿宋" w:hAnsi="仿宋" w:eastAsia="仿宋" w:cs="仿宋"/>
          <w:color w:val="333333"/>
          <w:kern w:val="0"/>
          <w:shd w:val="clear" w:color="auto" w:fill="FFFFFF"/>
          <w:lang w:val="en-US" w:eastAsia="zh-CN"/>
        </w:rPr>
        <w:t>23</w:t>
      </w:r>
      <w:r>
        <w:rPr>
          <w:rFonts w:hint="eastAsia" w:ascii="仿宋" w:hAnsi="仿宋" w:eastAsia="仿宋" w:cs="仿宋"/>
          <w:color w:val="333333"/>
          <w:kern w:val="0"/>
          <w:shd w:val="clear" w:color="auto" w:fill="FFFFFF"/>
          <w:lang w:val="zh-CN"/>
        </w:rPr>
        <w:t>万，主要用于市场综合监管专项整治、食品抽验专项工作、信用监管工作等，项目资金于已全部到位，合计</w:t>
      </w:r>
      <w:r>
        <w:rPr>
          <w:rFonts w:hint="eastAsia" w:ascii="仿宋" w:hAnsi="仿宋" w:eastAsia="仿宋" w:cs="仿宋"/>
          <w:color w:val="333333"/>
          <w:kern w:val="0"/>
          <w:shd w:val="clear" w:color="auto" w:fill="FFFFFF"/>
          <w:lang w:val="en-US" w:eastAsia="zh-CN"/>
        </w:rPr>
        <w:t>23</w:t>
      </w:r>
      <w:r>
        <w:rPr>
          <w:rFonts w:hint="eastAsia" w:ascii="仿宋" w:hAnsi="仿宋" w:eastAsia="仿宋" w:cs="仿宋"/>
          <w:color w:val="333333"/>
          <w:kern w:val="0"/>
          <w:shd w:val="clear" w:color="auto" w:fill="FFFFFF"/>
          <w:lang w:val="zh-CN"/>
        </w:rPr>
        <w:t>万元，资金到位率达100%。</w:t>
      </w:r>
    </w:p>
    <w:p>
      <w:pPr>
        <w:pStyle w:val="2"/>
        <w:numPr>
          <w:ilvl w:val="0"/>
          <w:numId w:val="2"/>
        </w:numPr>
        <w:ind w:firstLine="640" w:firstLineChars="200"/>
        <w:rPr>
          <w:rFonts w:cs="Times New Roman"/>
          <w:color w:val="auto"/>
          <w:kern w:val="2"/>
          <w:sz w:val="32"/>
          <w:lang w:val="zh-CN"/>
        </w:rPr>
      </w:pPr>
      <w:r>
        <w:rPr>
          <w:rFonts w:cs="Times New Roman"/>
          <w:color w:val="auto"/>
          <w:kern w:val="2"/>
          <w:sz w:val="32"/>
          <w:lang w:val="zh-CN"/>
        </w:rPr>
        <w:t>资金使用</w:t>
      </w:r>
    </w:p>
    <w:p>
      <w:pPr>
        <w:adjustRightInd w:val="0"/>
        <w:ind w:firstLine="640" w:firstLineChars="200"/>
        <w:rPr>
          <w:rFonts w:ascii="仿宋" w:hAnsi="仿宋" w:eastAsia="仿宋" w:cs="仿宋"/>
          <w:color w:val="333333"/>
          <w:kern w:val="0"/>
          <w:shd w:val="clear" w:color="auto" w:fill="FFFFFF"/>
          <w:lang w:val="zh-CN"/>
        </w:rPr>
      </w:pPr>
      <w:r>
        <w:rPr>
          <w:rFonts w:hint="eastAsia" w:ascii="仿宋" w:hAnsi="仿宋" w:eastAsia="仿宋" w:cs="仿宋"/>
          <w:color w:val="333333"/>
          <w:kern w:val="0"/>
          <w:shd w:val="clear" w:color="auto" w:fill="FFFFFF"/>
        </w:rPr>
        <w:t>202</w:t>
      </w:r>
      <w:r>
        <w:rPr>
          <w:rFonts w:hint="eastAsia" w:ascii="仿宋" w:hAnsi="仿宋" w:eastAsia="仿宋" w:cs="仿宋"/>
          <w:color w:val="333333"/>
          <w:kern w:val="0"/>
          <w:shd w:val="clear" w:color="auto" w:fill="FFFFFF"/>
          <w:lang w:val="en-US" w:eastAsia="zh-CN"/>
        </w:rPr>
        <w:t>1</w:t>
      </w:r>
      <w:r>
        <w:rPr>
          <w:rFonts w:hint="eastAsia" w:ascii="仿宋" w:hAnsi="仿宋" w:eastAsia="仿宋" w:cs="仿宋"/>
          <w:color w:val="333333"/>
          <w:kern w:val="0"/>
          <w:shd w:val="clear" w:color="auto" w:fill="FFFFFF"/>
        </w:rPr>
        <w:t>年省级市场监管专项资金实际到位</w:t>
      </w:r>
      <w:r>
        <w:rPr>
          <w:rFonts w:hint="eastAsia" w:ascii="仿宋" w:hAnsi="仿宋" w:eastAsia="仿宋" w:cs="仿宋"/>
          <w:color w:val="333333"/>
          <w:kern w:val="0"/>
          <w:shd w:val="clear" w:color="auto" w:fill="FFFFFF"/>
          <w:lang w:val="en-US" w:eastAsia="zh-CN"/>
        </w:rPr>
        <w:t>23</w:t>
      </w:r>
      <w:r>
        <w:rPr>
          <w:rFonts w:hint="eastAsia" w:ascii="仿宋" w:hAnsi="仿宋" w:eastAsia="仿宋" w:cs="仿宋"/>
          <w:color w:val="333333"/>
          <w:kern w:val="0"/>
          <w:shd w:val="clear" w:color="auto" w:fill="FFFFFF"/>
        </w:rPr>
        <w:t>万元，</w:t>
      </w:r>
      <w:r>
        <w:rPr>
          <w:rFonts w:hint="eastAsia" w:ascii="仿宋" w:hAnsi="仿宋" w:eastAsia="仿宋" w:cs="仿宋"/>
          <w:color w:val="333333"/>
          <w:kern w:val="0"/>
          <w:shd w:val="clear" w:color="auto" w:fill="FFFFFF"/>
          <w:lang w:val="zh-CN"/>
        </w:rPr>
        <w:t>截止</w:t>
      </w:r>
      <w:r>
        <w:rPr>
          <w:rFonts w:hint="eastAsia" w:ascii="仿宋" w:hAnsi="仿宋" w:eastAsia="仿宋" w:cs="仿宋"/>
          <w:color w:val="333333"/>
          <w:kern w:val="0"/>
          <w:shd w:val="clear" w:color="auto" w:fill="FFFFFF"/>
        </w:rPr>
        <w:t>2021年</w:t>
      </w:r>
      <w:r>
        <w:rPr>
          <w:rFonts w:hint="eastAsia" w:ascii="仿宋" w:hAnsi="仿宋" w:eastAsia="仿宋" w:cs="仿宋"/>
          <w:color w:val="333333"/>
          <w:kern w:val="0"/>
          <w:shd w:val="clear" w:color="auto" w:fill="FFFFFF"/>
          <w:lang w:val="en-US" w:eastAsia="zh-CN"/>
        </w:rPr>
        <w:t>12</w:t>
      </w:r>
      <w:r>
        <w:rPr>
          <w:rFonts w:hint="eastAsia" w:ascii="仿宋" w:hAnsi="仿宋" w:eastAsia="仿宋" w:cs="仿宋"/>
          <w:color w:val="333333"/>
          <w:kern w:val="0"/>
          <w:shd w:val="clear" w:color="auto" w:fill="FFFFFF"/>
        </w:rPr>
        <w:t>月3</w:t>
      </w:r>
      <w:r>
        <w:rPr>
          <w:rFonts w:hint="eastAsia" w:ascii="仿宋" w:hAnsi="仿宋" w:eastAsia="仿宋" w:cs="仿宋"/>
          <w:color w:val="333333"/>
          <w:kern w:val="0"/>
          <w:shd w:val="clear" w:color="auto" w:fill="FFFFFF"/>
          <w:lang w:val="en-US" w:eastAsia="zh-CN"/>
        </w:rPr>
        <w:t>1</w:t>
      </w:r>
      <w:r>
        <w:rPr>
          <w:rFonts w:hint="eastAsia" w:ascii="仿宋" w:hAnsi="仿宋" w:eastAsia="仿宋" w:cs="仿宋"/>
          <w:color w:val="333333"/>
          <w:kern w:val="0"/>
          <w:shd w:val="clear" w:color="auto" w:fill="FFFFFF"/>
        </w:rPr>
        <w:t>日，专项资金实际支付18</w:t>
      </w:r>
      <w:r>
        <w:rPr>
          <w:rFonts w:hint="eastAsia" w:ascii="仿宋" w:hAnsi="仿宋" w:eastAsia="仿宋" w:cs="仿宋"/>
          <w:color w:val="333333"/>
          <w:kern w:val="0"/>
          <w:shd w:val="clear" w:color="auto" w:fill="FFFFFF"/>
          <w:lang w:val="en-US" w:eastAsia="zh-CN"/>
        </w:rPr>
        <w:t>.</w:t>
      </w:r>
      <w:r>
        <w:rPr>
          <w:rFonts w:hint="eastAsia" w:ascii="仿宋" w:hAnsi="仿宋" w:eastAsia="仿宋" w:cs="仿宋"/>
          <w:color w:val="333333"/>
          <w:kern w:val="0"/>
          <w:shd w:val="clear" w:color="auto" w:fill="FFFFFF"/>
        </w:rPr>
        <w:t>24万元，</w:t>
      </w:r>
      <w:r>
        <w:rPr>
          <w:rFonts w:hint="eastAsia" w:ascii="仿宋" w:hAnsi="仿宋" w:eastAsia="仿宋" w:cs="仿宋"/>
          <w:color w:val="333333"/>
          <w:kern w:val="0"/>
          <w:shd w:val="clear" w:color="auto" w:fill="FFFFFF"/>
          <w:lang w:eastAsia="zh-CN"/>
        </w:rPr>
        <w:t>剩余</w:t>
      </w:r>
      <w:r>
        <w:rPr>
          <w:rFonts w:hint="eastAsia" w:ascii="仿宋" w:hAnsi="仿宋" w:eastAsia="仿宋" w:cs="仿宋"/>
          <w:color w:val="333333"/>
          <w:kern w:val="0"/>
          <w:shd w:val="clear" w:color="auto" w:fill="FFFFFF"/>
          <w:lang w:val="en-US" w:eastAsia="zh-CN"/>
        </w:rPr>
        <w:t>4.76万元结转至2022年使用，</w:t>
      </w:r>
      <w:bookmarkStart w:id="0" w:name="_GoBack"/>
      <w:bookmarkEnd w:id="0"/>
      <w:r>
        <w:rPr>
          <w:rFonts w:hint="eastAsia" w:ascii="仿宋" w:hAnsi="仿宋" w:eastAsia="仿宋" w:cs="仿宋"/>
          <w:color w:val="333333"/>
          <w:kern w:val="0"/>
          <w:shd w:val="clear" w:color="auto" w:fill="FFFFFF"/>
        </w:rPr>
        <w:t>具体用于</w:t>
      </w:r>
      <w:r>
        <w:rPr>
          <w:rFonts w:hint="eastAsia" w:ascii="仿宋" w:hAnsi="仿宋" w:eastAsia="仿宋" w:cs="仿宋"/>
          <w:color w:val="333333"/>
          <w:kern w:val="0"/>
          <w:shd w:val="clear" w:color="auto" w:fill="FFFFFF"/>
          <w:lang w:val="zh-CN"/>
        </w:rPr>
        <w:t>市场综合监管专项整治、信用监管工作等</w:t>
      </w:r>
      <w:r>
        <w:rPr>
          <w:rFonts w:hint="eastAsia" w:ascii="仿宋" w:hAnsi="仿宋" w:eastAsia="仿宋" w:cs="仿宋"/>
          <w:color w:val="333333"/>
          <w:kern w:val="0"/>
          <w:shd w:val="clear" w:color="auto" w:fill="FFFFFF"/>
        </w:rPr>
        <w:t>方面</w:t>
      </w:r>
      <w:r>
        <w:rPr>
          <w:rFonts w:hint="eastAsia" w:ascii="仿宋" w:hAnsi="仿宋" w:eastAsia="仿宋" w:cs="仿宋"/>
          <w:color w:val="333333"/>
          <w:kern w:val="0"/>
          <w:shd w:val="clear" w:color="auto" w:fill="FFFFFF"/>
          <w:lang w:val="zh-CN"/>
        </w:rPr>
        <w:t>。</w:t>
      </w:r>
    </w:p>
    <w:p>
      <w:pPr>
        <w:adjustRightInd w:val="0"/>
        <w:ind w:firstLine="643" w:firstLineChars="200"/>
        <w:rPr>
          <w:rFonts w:eastAsia="方正楷体简体"/>
          <w:b/>
          <w:lang w:val="zh-CN"/>
        </w:rPr>
      </w:pPr>
      <w:r>
        <w:rPr>
          <w:rFonts w:eastAsia="方正楷体简体"/>
          <w:b/>
          <w:lang w:val="zh-CN"/>
        </w:rPr>
        <w:t>（二）项目财务管理情况。</w:t>
      </w:r>
    </w:p>
    <w:p>
      <w:pPr>
        <w:spacing w:line="520" w:lineRule="exact"/>
        <w:ind w:firstLine="640" w:firstLineChars="200"/>
        <w:rPr>
          <w:rFonts w:ascii="仿宋" w:hAnsi="仿宋" w:eastAsia="仿宋" w:cs="仿宋"/>
          <w:color w:val="333333"/>
          <w:kern w:val="0"/>
          <w:shd w:val="clear" w:color="auto" w:fill="FFFFFF"/>
          <w:lang w:val="zh-CN"/>
        </w:rPr>
      </w:pPr>
      <w:r>
        <w:rPr>
          <w:rFonts w:hint="eastAsia" w:ascii="仿宋" w:hAnsi="仿宋" w:eastAsia="仿宋" w:cs="仿宋"/>
          <w:color w:val="333333"/>
          <w:kern w:val="0"/>
          <w:shd w:val="clear" w:color="auto" w:fill="FFFFFF"/>
        </w:rPr>
        <w:t>机构改革以来，我单位根据政府会计制度政策的实行，已拟定本单位财务管理制度；建立内控制度，核算及时规范，严格按照《预算法》、《新政府会计制度》、《项目资金实施管理细则》等相关财经法律法规和本部门财务管理制度严格专项资金管理，坚持勤俭节约、量力而行，专款专用、不挪用、不改变不扩大资金用途，保证资金安全；涉及政府采购事项，严格按政府集中采购目录及《采购法》的要求实施采购。</w:t>
      </w:r>
    </w:p>
    <w:p>
      <w:pPr>
        <w:adjustRightInd w:val="0"/>
        <w:ind w:firstLine="643" w:firstLineChars="200"/>
        <w:rPr>
          <w:rFonts w:eastAsia="方正楷体简体"/>
          <w:b/>
          <w:lang w:val="zh-CN"/>
        </w:rPr>
      </w:pPr>
      <w:r>
        <w:rPr>
          <w:rFonts w:eastAsia="方正楷体简体"/>
          <w:b/>
          <w:lang w:val="zh-CN"/>
        </w:rPr>
        <w:t>（三）项目组织实施情况。</w:t>
      </w:r>
    </w:p>
    <w:p>
      <w:pPr>
        <w:pStyle w:val="3"/>
        <w:kinsoku w:val="0"/>
        <w:overflowPunct w:val="0"/>
        <w:spacing w:after="0" w:line="520" w:lineRule="exact"/>
        <w:ind w:right="106" w:firstLine="640" w:firstLineChars="200"/>
        <w:rPr>
          <w:rFonts w:ascii="仿宋" w:hAnsi="仿宋" w:eastAsia="仿宋" w:cs="仿宋"/>
          <w:color w:val="333333"/>
          <w:kern w:val="0"/>
          <w:szCs w:val="32"/>
          <w:shd w:val="clear" w:color="auto" w:fill="FFFFFF"/>
        </w:rPr>
      </w:pPr>
      <w:r>
        <w:rPr>
          <w:rFonts w:hint="eastAsia" w:ascii="仿宋" w:hAnsi="仿宋" w:eastAsia="仿宋" w:cs="仿宋"/>
          <w:color w:val="333333"/>
          <w:kern w:val="0"/>
          <w:szCs w:val="32"/>
          <w:shd w:val="clear" w:color="auto" w:fill="FFFFFF"/>
        </w:rPr>
        <w:t>1、绵竹市市场监督管理局承担项目的组织实施及管理，开展项目绩效自评工作，严格遵守专项资金管理办法相关规定。</w:t>
      </w:r>
    </w:p>
    <w:p>
      <w:pPr>
        <w:pStyle w:val="3"/>
        <w:kinsoku w:val="0"/>
        <w:overflowPunct w:val="0"/>
        <w:spacing w:after="0" w:line="520" w:lineRule="exact"/>
        <w:ind w:right="106" w:firstLine="640" w:firstLineChars="200"/>
        <w:rPr>
          <w:rFonts w:ascii="仿宋" w:hAnsi="仿宋" w:eastAsia="仿宋" w:cs="仿宋"/>
          <w:color w:val="333333"/>
          <w:kern w:val="0"/>
          <w:szCs w:val="32"/>
          <w:shd w:val="clear" w:color="auto" w:fill="FFFFFF"/>
          <w:lang w:val="zh-CN"/>
        </w:rPr>
      </w:pPr>
      <w:r>
        <w:rPr>
          <w:rFonts w:hint="eastAsia" w:ascii="仿宋" w:hAnsi="仿宋" w:eastAsia="仿宋" w:cs="仿宋"/>
          <w:color w:val="333333"/>
          <w:kern w:val="0"/>
          <w:szCs w:val="32"/>
          <w:shd w:val="clear" w:color="auto" w:fill="FFFFFF"/>
        </w:rPr>
        <w:t>2、</w:t>
      </w:r>
      <w:r>
        <w:rPr>
          <w:rFonts w:hint="eastAsia" w:ascii="仿宋" w:hAnsi="仿宋" w:eastAsia="仿宋" w:cs="仿宋"/>
          <w:color w:val="333333"/>
          <w:kern w:val="0"/>
          <w:szCs w:val="32"/>
          <w:shd w:val="clear" w:color="auto" w:fill="FFFFFF"/>
          <w:lang w:eastAsia="zh-CN"/>
        </w:rPr>
        <w:t>办公室</w:t>
      </w:r>
      <w:r>
        <w:rPr>
          <w:rFonts w:hint="eastAsia" w:ascii="仿宋" w:hAnsi="仿宋" w:eastAsia="仿宋" w:cs="仿宋"/>
          <w:color w:val="333333"/>
          <w:kern w:val="0"/>
          <w:szCs w:val="32"/>
          <w:shd w:val="clear" w:color="auto" w:fill="FFFFFF"/>
        </w:rPr>
        <w:t>负责项目资金使用的监督与考核。资金实行专款专用，专项核算，不得列支与项目内容无关的费用，并切实做好绩效监控和绩效评价，确保资金安全。</w:t>
      </w:r>
    </w:p>
    <w:p>
      <w:pPr>
        <w:adjustRightInd w:val="0"/>
        <w:ind w:firstLine="640" w:firstLineChars="200"/>
        <w:rPr>
          <w:rFonts w:eastAsia="方正黑体简体"/>
        </w:rPr>
      </w:pPr>
      <w:r>
        <w:rPr>
          <w:rFonts w:eastAsia="方正黑体简体"/>
        </w:rPr>
        <w:t>三、项目绩效情况</w:t>
      </w:r>
      <w:r>
        <w:rPr>
          <w:rFonts w:eastAsia="方正黑体简体"/>
        </w:rPr>
        <w:tab/>
      </w:r>
    </w:p>
    <w:p>
      <w:pPr>
        <w:adjustRightInd w:val="0"/>
        <w:ind w:firstLine="643" w:firstLineChars="200"/>
        <w:rPr>
          <w:rFonts w:eastAsia="方正楷体简体"/>
          <w:b/>
          <w:lang w:val="zh-CN"/>
        </w:rPr>
      </w:pPr>
      <w:r>
        <w:rPr>
          <w:rFonts w:eastAsia="方正楷体简体"/>
          <w:b/>
          <w:lang w:val="zh-CN"/>
        </w:rPr>
        <w:t>（一）项目完成情况。</w:t>
      </w:r>
    </w:p>
    <w:p>
      <w:pPr>
        <w:tabs>
          <w:tab w:val="left" w:pos="6425"/>
        </w:tabs>
        <w:ind w:firstLine="640" w:firstLineChars="200"/>
        <w:outlineLvl w:val="0"/>
        <w:rPr>
          <w:rFonts w:ascii="仿宋_GB2312" w:hAnsi="Calibri" w:eastAsia="仿宋_GB2312"/>
        </w:rPr>
      </w:pPr>
      <w:r>
        <w:rPr>
          <w:rFonts w:hint="eastAsia" w:ascii="仿宋_GB2312" w:hAnsi="Calibri" w:eastAsia="仿宋_GB2312"/>
        </w:rPr>
        <w:t>（1）数量指标。</w:t>
      </w:r>
    </w:p>
    <w:p>
      <w:pPr>
        <w:ind w:firstLine="729" w:firstLineChars="228"/>
        <w:rPr>
          <w:rFonts w:ascii="仿宋_GB2312" w:eastAsia="仿宋_GB2312"/>
        </w:rPr>
      </w:pPr>
      <w:r>
        <w:rPr>
          <w:rFonts w:hint="eastAsia" w:ascii="仿宋" w:hAnsi="仿宋" w:eastAsia="仿宋"/>
        </w:rPr>
        <w:t>202</w:t>
      </w:r>
      <w:r>
        <w:rPr>
          <w:rFonts w:hint="eastAsia" w:ascii="仿宋" w:hAnsi="仿宋" w:eastAsia="仿宋"/>
          <w:lang w:val="en-US" w:eastAsia="zh-CN"/>
        </w:rPr>
        <w:t>1</w:t>
      </w:r>
      <w:r>
        <w:rPr>
          <w:rFonts w:hint="eastAsia" w:ascii="仿宋" w:hAnsi="仿宋" w:eastAsia="仿宋"/>
        </w:rPr>
        <w:t>年全面完成目标，具体情况如下：一、完成县本级食品安全监督抽检278批次，县本级农产品抽检386批次，完成率100%；二、抽检不合格食品核查处置率100%，食品安全投诉举报处置率</w:t>
      </w:r>
      <w:r>
        <w:rPr>
          <w:rFonts w:ascii="仿宋" w:hAnsi="仿宋" w:eastAsia="仿宋"/>
        </w:rPr>
        <w:t>100%</w:t>
      </w:r>
      <w:r>
        <w:rPr>
          <w:rFonts w:hint="eastAsia" w:ascii="仿宋" w:hAnsi="仿宋" w:eastAsia="仿宋"/>
        </w:rPr>
        <w:t>，食品抽检应公布信息的公布率</w:t>
      </w:r>
      <w:r>
        <w:rPr>
          <w:rFonts w:ascii="仿宋" w:hAnsi="仿宋" w:eastAsia="仿宋"/>
        </w:rPr>
        <w:t>100%</w:t>
      </w:r>
      <w:r>
        <w:rPr>
          <w:rFonts w:hint="eastAsia" w:ascii="仿宋" w:hAnsi="仿宋" w:eastAsia="仿宋"/>
        </w:rPr>
        <w:t>，抽检监测结果系统录入率</w:t>
      </w:r>
      <w:r>
        <w:rPr>
          <w:rFonts w:ascii="仿宋" w:hAnsi="仿宋" w:eastAsia="仿宋"/>
        </w:rPr>
        <w:t>100%</w:t>
      </w:r>
      <w:r>
        <w:rPr>
          <w:rFonts w:hint="eastAsia" w:ascii="仿宋" w:hAnsi="仿宋" w:eastAsia="仿宋"/>
        </w:rPr>
        <w:t>；三、</w:t>
      </w:r>
      <w:r>
        <w:rPr>
          <w:rFonts w:hint="eastAsia" w:ascii="仿宋_GB2312" w:eastAsia="仿宋_GB2312"/>
        </w:rPr>
        <w:t>目前全市共有食品生产企业134家，备案小作坊203家。</w:t>
      </w:r>
      <w:r>
        <w:rPr>
          <w:rFonts w:ascii="仿宋_GB2312" w:eastAsia="仿宋_GB2312"/>
        </w:rPr>
        <w:t>共检查生产单位</w:t>
      </w:r>
      <w:r>
        <w:rPr>
          <w:rFonts w:hint="eastAsia" w:ascii="仿宋_GB2312" w:eastAsia="仿宋_GB2312"/>
        </w:rPr>
        <w:t>259家</w:t>
      </w:r>
      <w:r>
        <w:rPr>
          <w:rFonts w:ascii="仿宋_GB2312" w:eastAsia="仿宋_GB2312"/>
        </w:rPr>
        <w:t>次</w:t>
      </w:r>
      <w:r>
        <w:rPr>
          <w:rFonts w:hint="eastAsia" w:ascii="仿宋_GB2312" w:eastAsia="仿宋_GB2312"/>
        </w:rPr>
        <w:t>，其中持证企业132家次，小作坊137家次</w:t>
      </w:r>
      <w:r>
        <w:rPr>
          <w:rFonts w:hint="eastAsia" w:ascii="仿宋" w:hAnsi="仿宋" w:eastAsia="仿宋"/>
        </w:rPr>
        <w:t>；四、</w:t>
      </w:r>
      <w:r>
        <w:rPr>
          <w:rFonts w:hint="eastAsia" w:ascii="仿宋_GB2312" w:eastAsia="仿宋_GB2312"/>
          <w:szCs w:val="20"/>
        </w:rPr>
        <w:t>上半年完成许可新办8家，变更3家，注销1家。目前全市共有食品生产许可证134张</w:t>
      </w:r>
      <w:r>
        <w:rPr>
          <w:rFonts w:hint="eastAsia" w:ascii="仿宋_GB2312" w:eastAsia="仿宋_GB2312"/>
        </w:rPr>
        <w:t>。五、全面共查办各类案件456件，罚没合计150.27万元，其中入库数额81.79万元，有效整治市场乱象。六、集中开展“春雷行动202</w:t>
      </w:r>
      <w:r>
        <w:rPr>
          <w:rFonts w:hint="eastAsia" w:ascii="仿宋_GB2312"/>
          <w:lang w:val="en-US" w:eastAsia="zh-CN"/>
        </w:rPr>
        <w:t>1</w:t>
      </w:r>
      <w:r>
        <w:rPr>
          <w:rFonts w:hint="eastAsia" w:ascii="仿宋_GB2312" w:eastAsia="仿宋_GB2312"/>
        </w:rPr>
        <w:t>”暨知识产权保护执法行动，共查办各类案件343件，罚没入库54.78万元。七、清理一般工商业转供电主体17户，涉及转供电终端用户1235户。强化行政事业单位涉企收费、教育医疗等领域价格监管，全年查办价格违法案件65件；清理渔具经营单位11户，73户水产品经营户，重点掌握的以销售鱼为主的餐饮单位29家，督促3户个体户进行不合规名称字号变更；全年共受理投诉、举报680件，为消费者挽回经济损失34.89万元。</w:t>
      </w:r>
    </w:p>
    <w:p>
      <w:pPr>
        <w:numPr>
          <w:ilvl w:val="0"/>
          <w:numId w:val="3"/>
        </w:numPr>
        <w:spacing w:line="520" w:lineRule="exact"/>
        <w:ind w:firstLine="592"/>
        <w:rPr>
          <w:rFonts w:ascii="仿宋_GB2312" w:eastAsia="仿宋_GB2312"/>
        </w:rPr>
      </w:pPr>
      <w:r>
        <w:rPr>
          <w:rFonts w:hint="eastAsia" w:ascii="仿宋_GB2312" w:eastAsia="仿宋_GB2312"/>
        </w:rPr>
        <w:t>质量指标。</w:t>
      </w:r>
    </w:p>
    <w:p>
      <w:pPr>
        <w:pStyle w:val="2"/>
        <w:ind w:firstLine="640" w:firstLineChars="200"/>
        <w:rPr>
          <w:rFonts w:ascii="仿宋_GB2312" w:eastAsia="仿宋_GB2312"/>
          <w:sz w:val="32"/>
        </w:rPr>
      </w:pPr>
      <w:r>
        <w:rPr>
          <w:rFonts w:hint="eastAsia" w:ascii="仿宋_GB2312" w:eastAsia="仿宋_GB2312"/>
          <w:sz w:val="32"/>
        </w:rPr>
        <w:t>一是开展重点食品专项监督抽检，开展餐饮量化分级和风险分级评定，根据评定结果，制定有针对性的监管措施，达到监管效能最大化。</w:t>
      </w:r>
    </w:p>
    <w:p>
      <w:pPr>
        <w:widowControl/>
        <w:ind w:firstLine="640" w:firstLineChars="200"/>
        <w:jc w:val="left"/>
        <w:rPr>
          <w:rFonts w:ascii="仿宋_GB2312" w:eastAsia="仿宋_GB2312"/>
          <w:spacing w:val="6"/>
        </w:rPr>
      </w:pPr>
      <w:r>
        <w:rPr>
          <w:rFonts w:hint="eastAsia" w:ascii="仿宋_GB2312" w:eastAsia="仿宋_GB2312"/>
        </w:rPr>
        <w:t>二是</w:t>
      </w:r>
      <w:r>
        <w:rPr>
          <w:rFonts w:hint="eastAsia" w:ascii="仿宋_GB2312" w:eastAsia="仿宋_GB2312"/>
          <w:spacing w:val="6"/>
        </w:rPr>
        <w:t>着力提升特种设备安全监管能力。全面推</w:t>
      </w:r>
      <w:r>
        <w:rPr>
          <w:rFonts w:hint="eastAsia" w:ascii="仿宋_GB2312" w:eastAsia="仿宋_GB2312"/>
        </w:rPr>
        <w:t>行特种设备使用安全清单制管理，</w:t>
      </w:r>
      <w:r>
        <w:rPr>
          <w:rFonts w:hint="eastAsia" w:ascii="仿宋_GB2312" w:eastAsia="仿宋_GB2312"/>
          <w:spacing w:val="6"/>
        </w:rPr>
        <w:t>扎实推进全市特种设备安全隐患排查治理工作，发现安全隐患，已责令相关单位限期整改。</w:t>
      </w:r>
    </w:p>
    <w:p>
      <w:pPr>
        <w:widowControl/>
        <w:ind w:firstLine="640" w:firstLineChars="200"/>
        <w:jc w:val="left"/>
        <w:rPr>
          <w:rFonts w:ascii="仿宋_GB2312" w:eastAsia="仿宋_GB2312"/>
        </w:rPr>
      </w:pPr>
      <w:r>
        <w:rPr>
          <w:rFonts w:hint="eastAsia" w:ascii="仿宋_GB2312" w:eastAsia="仿宋_GB2312"/>
        </w:rPr>
        <w:t>三是坚持打规并举整治市场秩序，严惩违法违规行为，保障公平竞争秩序，营造安全放心的消费环境。聚焦重点开展专项整治。紧扣“重拳出击治乱象、凝心聚力护民生”行动主题，集中开展“春雷行动202</w:t>
      </w:r>
      <w:r>
        <w:rPr>
          <w:rFonts w:hint="eastAsia" w:ascii="仿宋_GB2312"/>
          <w:lang w:val="en-US" w:eastAsia="zh-CN"/>
        </w:rPr>
        <w:t>1</w:t>
      </w:r>
      <w:r>
        <w:rPr>
          <w:rFonts w:hint="eastAsia" w:ascii="仿宋_GB2312" w:eastAsia="仿宋_GB2312"/>
        </w:rPr>
        <w:t>”，改善消费环境。</w:t>
      </w:r>
    </w:p>
    <w:p>
      <w:pPr>
        <w:pStyle w:val="2"/>
        <w:ind w:firstLine="640" w:firstLineChars="200"/>
        <w:rPr>
          <w:rFonts w:ascii="仿宋_GB2312" w:eastAsia="仿宋_GB2312"/>
          <w:sz w:val="32"/>
        </w:rPr>
      </w:pPr>
      <w:r>
        <w:rPr>
          <w:rFonts w:hint="eastAsia" w:ascii="仿宋_GB2312" w:eastAsia="仿宋_GB2312" w:cs="Times New Roman"/>
          <w:color w:val="auto"/>
          <w:kern w:val="2"/>
          <w:sz w:val="32"/>
        </w:rPr>
        <w:t>四是认真开展“双随机、一公开”工作，落实企业信息公示、企业经营异常名录、严重违法企业名单等制度，促进企业诚信守法。</w:t>
      </w:r>
    </w:p>
    <w:p>
      <w:pPr>
        <w:spacing w:line="520" w:lineRule="exact"/>
        <w:ind w:firstLine="592"/>
        <w:rPr>
          <w:rFonts w:ascii="仿宋_GB2312" w:eastAsia="仿宋_GB2312"/>
        </w:rPr>
      </w:pPr>
      <w:r>
        <w:rPr>
          <w:rFonts w:hint="eastAsia" w:ascii="仿宋_GB2312" w:eastAsia="仿宋_GB2312"/>
        </w:rPr>
        <w:t>（3）时效指标。</w:t>
      </w:r>
    </w:p>
    <w:p>
      <w:pPr>
        <w:spacing w:line="520" w:lineRule="exact"/>
        <w:ind w:firstLine="592"/>
        <w:rPr>
          <w:rFonts w:ascii="仿宋_GB2312" w:eastAsia="仿宋_GB2312"/>
        </w:rPr>
      </w:pPr>
      <w:r>
        <w:rPr>
          <w:rFonts w:hint="eastAsia" w:ascii="仿宋_GB2312" w:eastAsia="仿宋_GB2312"/>
        </w:rPr>
        <w:t>截止202</w:t>
      </w:r>
      <w:r>
        <w:rPr>
          <w:rFonts w:hint="eastAsia" w:ascii="仿宋_GB2312"/>
          <w:lang w:val="en-US" w:eastAsia="zh-CN"/>
        </w:rPr>
        <w:t>1</w:t>
      </w:r>
      <w:r>
        <w:rPr>
          <w:rFonts w:hint="eastAsia" w:ascii="仿宋_GB2312" w:eastAsia="仿宋_GB2312"/>
        </w:rPr>
        <w:t>年12月31日执行完成。</w:t>
      </w:r>
    </w:p>
    <w:p>
      <w:pPr>
        <w:spacing w:line="520" w:lineRule="exact"/>
        <w:ind w:firstLine="592"/>
        <w:rPr>
          <w:rFonts w:ascii="仿宋_GB2312" w:eastAsia="仿宋_GB2312"/>
        </w:rPr>
      </w:pPr>
      <w:r>
        <w:rPr>
          <w:rFonts w:hint="eastAsia" w:ascii="仿宋_GB2312" w:eastAsia="仿宋_GB2312"/>
        </w:rPr>
        <w:t>（4）成本指标。</w:t>
      </w:r>
    </w:p>
    <w:p>
      <w:pPr>
        <w:spacing w:line="520" w:lineRule="exact"/>
        <w:ind w:firstLine="592"/>
        <w:rPr>
          <w:rFonts w:eastAsia="方正楷体简体"/>
          <w:b/>
          <w:color w:val="auto"/>
          <w:highlight w:val="yellow"/>
          <w:lang w:val="zh-CN"/>
        </w:rPr>
      </w:pPr>
      <w:r>
        <w:rPr>
          <w:rFonts w:hint="eastAsia" w:ascii="仿宋_GB2312" w:eastAsia="仿宋_GB2312"/>
          <w:color w:val="auto"/>
        </w:rPr>
        <w:t>控制核查检查成本低于400元/人.天。</w:t>
      </w:r>
    </w:p>
    <w:p>
      <w:pPr>
        <w:numPr>
          <w:ilvl w:val="0"/>
          <w:numId w:val="1"/>
        </w:numPr>
        <w:adjustRightInd w:val="0"/>
        <w:ind w:firstLine="643" w:firstLineChars="200"/>
        <w:rPr>
          <w:rFonts w:eastAsia="方正楷体简体"/>
          <w:b/>
          <w:lang w:val="zh-CN"/>
        </w:rPr>
      </w:pPr>
      <w:r>
        <w:rPr>
          <w:rFonts w:eastAsia="方正楷体简体"/>
          <w:b/>
          <w:lang w:val="zh-CN"/>
        </w:rPr>
        <w:t>项目效益情况。</w:t>
      </w:r>
    </w:p>
    <w:p>
      <w:pPr>
        <w:tabs>
          <w:tab w:val="left" w:pos="6425"/>
        </w:tabs>
        <w:ind w:firstLine="640" w:firstLineChars="200"/>
        <w:outlineLvl w:val="0"/>
        <w:rPr>
          <w:rFonts w:ascii="仿宋_GB2312" w:hAnsi="Calibri" w:eastAsia="仿宋_GB2312"/>
        </w:rPr>
      </w:pPr>
      <w:r>
        <w:rPr>
          <w:rFonts w:hint="eastAsia" w:ascii="仿宋_GB2312" w:hAnsi="Calibri" w:eastAsia="仿宋_GB2312"/>
        </w:rPr>
        <w:t>（1）经济效益。</w:t>
      </w:r>
    </w:p>
    <w:p>
      <w:pPr>
        <w:tabs>
          <w:tab w:val="left" w:pos="6425"/>
        </w:tabs>
        <w:ind w:left="640" w:leftChars="200"/>
        <w:outlineLvl w:val="0"/>
        <w:rPr>
          <w:rFonts w:ascii="仿宋_GB2312" w:hAnsi="Calibri" w:eastAsia="仿宋_GB2312"/>
        </w:rPr>
      </w:pPr>
      <w:r>
        <w:rPr>
          <w:rFonts w:hint="eastAsia" w:ascii="仿宋" w:hAnsi="仿宋" w:eastAsia="仿宋"/>
        </w:rPr>
        <w:t xml:space="preserve">规范行业经营行为，促进行业经济健康稳定发展。        </w:t>
      </w:r>
      <w:r>
        <w:rPr>
          <w:rFonts w:hint="eastAsia" w:ascii="仿宋_GB2312" w:hAnsi="Calibri" w:eastAsia="仿宋_GB2312"/>
        </w:rPr>
        <w:t>（2）社会效益。</w:t>
      </w:r>
    </w:p>
    <w:p>
      <w:pPr>
        <w:ind w:firstLine="640" w:firstLineChars="200"/>
        <w:rPr>
          <w:rFonts w:ascii="仿宋_GB2312" w:eastAsia="仿宋_GB2312"/>
        </w:rPr>
      </w:pPr>
      <w:r>
        <w:rPr>
          <w:rFonts w:hint="eastAsia" w:ascii="仿宋_GB2312" w:eastAsia="仿宋_GB2312"/>
        </w:rPr>
        <w:t>保障公平竞争秩序，营造了良好营商环境。</w:t>
      </w:r>
    </w:p>
    <w:p>
      <w:pPr>
        <w:tabs>
          <w:tab w:val="left" w:pos="6425"/>
        </w:tabs>
        <w:ind w:firstLine="640" w:firstLineChars="200"/>
        <w:outlineLvl w:val="0"/>
        <w:rPr>
          <w:rFonts w:ascii="仿宋_GB2312" w:hAnsi="Calibri" w:eastAsia="仿宋_GB2312"/>
          <w:color w:val="auto"/>
        </w:rPr>
      </w:pPr>
      <w:r>
        <w:rPr>
          <w:rFonts w:hint="eastAsia" w:ascii="仿宋_GB2312" w:hAnsi="Calibri" w:eastAsia="仿宋_GB2312"/>
          <w:color w:val="auto"/>
          <w:lang w:eastAsia="zh-CN"/>
        </w:rPr>
        <w:t>（</w:t>
      </w:r>
      <w:r>
        <w:rPr>
          <w:rFonts w:hint="eastAsia" w:ascii="仿宋_GB2312" w:hAnsi="Calibri" w:eastAsia="仿宋_GB2312"/>
          <w:color w:val="auto"/>
          <w:lang w:val="en-US" w:eastAsia="zh-CN"/>
        </w:rPr>
        <w:t>3</w:t>
      </w:r>
      <w:r>
        <w:rPr>
          <w:rFonts w:hint="eastAsia" w:ascii="仿宋_GB2312" w:hAnsi="Calibri" w:eastAsia="仿宋_GB2312"/>
          <w:color w:val="auto"/>
          <w:lang w:eastAsia="zh-CN"/>
        </w:rPr>
        <w:t>）</w:t>
      </w:r>
      <w:r>
        <w:rPr>
          <w:rFonts w:hint="eastAsia" w:ascii="仿宋_GB2312" w:hAnsi="Calibri" w:eastAsia="仿宋_GB2312"/>
          <w:color w:val="auto"/>
        </w:rPr>
        <w:t>可持续影响。</w:t>
      </w:r>
    </w:p>
    <w:p>
      <w:pPr>
        <w:tabs>
          <w:tab w:val="left" w:pos="6425"/>
        </w:tabs>
        <w:ind w:firstLine="640" w:firstLineChars="200"/>
        <w:outlineLvl w:val="0"/>
        <w:rPr>
          <w:lang w:val="zh-CN"/>
        </w:rPr>
      </w:pPr>
      <w:r>
        <w:rPr>
          <w:rFonts w:hint="eastAsia" w:ascii="仿宋" w:hAnsi="仿宋" w:eastAsia="仿宋"/>
        </w:rPr>
        <w:t>该项目的实施，提升了我局监管工作的社会影响力和群众对食品监管工作的满意度。经过调查，202</w:t>
      </w:r>
      <w:r>
        <w:rPr>
          <w:rFonts w:hint="eastAsia" w:ascii="仿宋" w:hAnsi="仿宋" w:eastAsia="仿宋"/>
          <w:lang w:val="en-US" w:eastAsia="zh-CN"/>
        </w:rPr>
        <w:t>1</w:t>
      </w:r>
      <w:r>
        <w:rPr>
          <w:rFonts w:hint="eastAsia" w:ascii="仿宋" w:hAnsi="仿宋" w:eastAsia="仿宋"/>
        </w:rPr>
        <w:t>年公众对食品监管整体满意度达70%、民营企业满意度达80分。</w:t>
      </w:r>
    </w:p>
    <w:p>
      <w:pPr>
        <w:adjustRightInd w:val="0"/>
        <w:ind w:firstLine="640" w:firstLineChars="200"/>
        <w:rPr>
          <w:rFonts w:eastAsia="方正黑体简体"/>
        </w:rPr>
      </w:pPr>
      <w:r>
        <w:rPr>
          <w:rFonts w:eastAsia="方正黑体简体"/>
        </w:rPr>
        <w:t>四、问题及建议</w:t>
      </w:r>
    </w:p>
    <w:p>
      <w:pPr>
        <w:adjustRightInd w:val="0"/>
        <w:ind w:firstLine="643" w:firstLineChars="200"/>
        <w:rPr>
          <w:rFonts w:eastAsia="方正楷体简体"/>
          <w:b/>
          <w:lang w:val="zh-CN"/>
        </w:rPr>
      </w:pPr>
      <w:r>
        <w:rPr>
          <w:rFonts w:eastAsia="方正楷体简体"/>
          <w:b/>
          <w:lang w:val="zh-CN"/>
        </w:rPr>
        <w:t>（一）存在的问题。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rPr>
      </w:pPr>
      <w:r>
        <w:rPr>
          <w:rFonts w:hint="eastAsia" w:ascii="仿宋_GB2312" w:eastAsia="仿宋_GB2312"/>
        </w:rPr>
        <w:t>一是因资金到位时间较晚，使用时限太短，支付进度较慢。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rPr>
      </w:pPr>
      <w:r>
        <w:rPr>
          <w:rFonts w:hint="eastAsia" w:ascii="仿宋_GB2312" w:eastAsia="仿宋_GB2312"/>
        </w:rPr>
        <w:t>二是没有专门的绩效评价机构，缺乏绩效评价专业人才，工作人员的专业能力还有待提高，造成绩效评价工作开展起来有所难度。</w:t>
      </w:r>
    </w:p>
    <w:p>
      <w:pPr>
        <w:adjustRightInd w:val="0"/>
        <w:ind w:firstLine="643" w:firstLineChars="200"/>
      </w:pPr>
      <w:r>
        <w:rPr>
          <w:rFonts w:eastAsia="方正楷体简体"/>
          <w:b/>
          <w:lang w:val="zh-CN"/>
        </w:rPr>
        <w:t>（二）相关建议。</w:t>
      </w:r>
    </w:p>
    <w:p>
      <w:pPr>
        <w:pStyle w:val="6"/>
        <w:widowControl/>
        <w:shd w:val="clear" w:color="auto" w:fill="FFFFFF"/>
        <w:spacing w:beforeAutospacing="0" w:afterAutospacing="0" w:line="600" w:lineRule="atLeast"/>
        <w:ind w:firstLine="640"/>
        <w:jc w:val="both"/>
        <w:rPr>
          <w:rFonts w:ascii="Calibri" w:hAnsi="Calibri" w:cs="Calibri"/>
          <w:color w:val="333333"/>
          <w:sz w:val="21"/>
          <w:szCs w:val="21"/>
        </w:rPr>
      </w:pPr>
      <w:r>
        <w:rPr>
          <w:rFonts w:ascii="仿宋" w:hAnsi="仿宋" w:eastAsia="仿宋" w:cs="仿宋"/>
          <w:color w:val="333333"/>
          <w:sz w:val="32"/>
          <w:shd w:val="clear" w:color="auto" w:fill="FFFFFF"/>
        </w:rPr>
        <w:t>1</w:t>
      </w:r>
      <w:r>
        <w:rPr>
          <w:rFonts w:hint="eastAsia" w:ascii="仿宋" w:hAnsi="仿宋" w:eastAsia="仿宋" w:cs="仿宋"/>
          <w:color w:val="333333"/>
          <w:sz w:val="32"/>
          <w:shd w:val="clear" w:color="auto" w:fill="FFFFFF"/>
        </w:rPr>
        <w:t>、按照“谁使用、谁申报” 的原则，加强财务与各所、股室、队的联系，密切关注各项目的进程，加大项目执行力度，确保专项资金都用到实处。</w:t>
      </w:r>
    </w:p>
    <w:p>
      <w:pPr>
        <w:pStyle w:val="6"/>
        <w:widowControl/>
        <w:shd w:val="clear" w:color="auto" w:fill="FFFFFF"/>
        <w:spacing w:beforeAutospacing="0" w:afterAutospacing="0" w:line="600" w:lineRule="atLeast"/>
        <w:ind w:firstLine="640"/>
        <w:jc w:val="both"/>
        <w:rPr>
          <w:rFonts w:ascii="Calibri" w:hAnsi="Calibri" w:eastAsia="仿宋" w:cs="Calibri"/>
          <w:color w:val="333333"/>
          <w:sz w:val="21"/>
          <w:szCs w:val="21"/>
        </w:rPr>
      </w:pPr>
      <w:r>
        <w:rPr>
          <w:rFonts w:hint="eastAsia" w:ascii="仿宋" w:hAnsi="仿宋" w:eastAsia="仿宋" w:cs="仿宋"/>
          <w:color w:val="333333"/>
          <w:sz w:val="32"/>
          <w:shd w:val="clear" w:color="auto" w:fill="FFFFFF"/>
        </w:rPr>
        <w:t>2、建议加强对各部门和相关人员在财政资金专项支出绩效管理方面的培训，提升单位专项资金绩效管理水平。</w:t>
      </w:r>
    </w:p>
    <w:p>
      <w:pPr>
        <w:spacing w:line="520" w:lineRule="exact"/>
        <w:ind w:firstLine="592"/>
        <w:jc w:val="left"/>
        <w:rPr>
          <w:rFonts w:ascii="仿宋_GB2312" w:eastAsia="仿宋_GB2312"/>
        </w:rPr>
      </w:pPr>
      <w:r>
        <w:rPr>
          <w:rFonts w:hint="eastAsia" w:ascii="仿宋_GB2312" w:eastAsia="仿宋_GB2312"/>
        </w:rPr>
        <w:t>3.</w:t>
      </w:r>
      <w:r>
        <w:rPr>
          <w:rFonts w:hint="eastAsia" w:ascii="仿宋" w:hAnsi="仿宋" w:eastAsia="仿宋" w:cs="仿宋"/>
          <w:color w:val="333333"/>
          <w:shd w:val="clear" w:color="auto" w:fill="FFFFFF"/>
        </w:rPr>
        <w:t>请求财政加大对市场监管经费的政策支持，</w:t>
      </w:r>
      <w:r>
        <w:rPr>
          <w:rFonts w:hint="eastAsia" w:ascii="仿宋_GB2312" w:eastAsia="仿宋_GB2312"/>
        </w:rPr>
        <w:t>希望</w:t>
      </w:r>
      <w:r>
        <w:rPr>
          <w:rFonts w:hint="eastAsia" w:ascii="仿宋" w:hAnsi="仿宋" w:eastAsia="仿宋" w:cs="仿宋"/>
          <w:color w:val="333333"/>
          <w:shd w:val="clear" w:color="auto" w:fill="FFFFFF"/>
        </w:rPr>
        <w:t>资金及时到位</w:t>
      </w:r>
      <w:r>
        <w:rPr>
          <w:rFonts w:hint="eastAsia" w:ascii="仿宋_GB2312" w:eastAsia="仿宋_GB2312"/>
        </w:rPr>
        <w:t>，及时下达，不影响项目的及时开展。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黑体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楷体简体">
    <w:altName w:val="宋体"/>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D25CC5"/>
    <w:multiLevelType w:val="singleLevel"/>
    <w:tmpl w:val="C1D25CC5"/>
    <w:lvl w:ilvl="0" w:tentative="0">
      <w:start w:val="2"/>
      <w:numFmt w:val="decimal"/>
      <w:suff w:val="nothing"/>
      <w:lvlText w:val="（%1）"/>
      <w:lvlJc w:val="left"/>
    </w:lvl>
  </w:abstractNum>
  <w:abstractNum w:abstractNumId="1">
    <w:nsid w:val="210452E2"/>
    <w:multiLevelType w:val="singleLevel"/>
    <w:tmpl w:val="210452E2"/>
    <w:lvl w:ilvl="0" w:tentative="0">
      <w:start w:val="2"/>
      <w:numFmt w:val="chineseCounting"/>
      <w:suff w:val="nothing"/>
      <w:lvlText w:val="（%1）"/>
      <w:lvlJc w:val="left"/>
      <w:rPr>
        <w:rFonts w:hint="eastAsia"/>
      </w:rPr>
    </w:lvl>
  </w:abstractNum>
  <w:abstractNum w:abstractNumId="2">
    <w:nsid w:val="4F7886A3"/>
    <w:multiLevelType w:val="singleLevel"/>
    <w:tmpl w:val="4F7886A3"/>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kMGE5ZjIxY2RkNDUzY2UwN2E5YjY4OTAyZWFkZjAifQ=="/>
  </w:docVars>
  <w:rsids>
    <w:rsidRoot w:val="003C18E4"/>
    <w:rsid w:val="0020667E"/>
    <w:rsid w:val="003C18E4"/>
    <w:rsid w:val="00501210"/>
    <w:rsid w:val="005E171C"/>
    <w:rsid w:val="0066072D"/>
    <w:rsid w:val="00873850"/>
    <w:rsid w:val="00957591"/>
    <w:rsid w:val="00C66B65"/>
    <w:rsid w:val="00E4357F"/>
    <w:rsid w:val="00E82134"/>
    <w:rsid w:val="014E403B"/>
    <w:rsid w:val="029C38E3"/>
    <w:rsid w:val="059C5BCD"/>
    <w:rsid w:val="0D5C0EC6"/>
    <w:rsid w:val="0EFE4340"/>
    <w:rsid w:val="0F034C87"/>
    <w:rsid w:val="139C63EA"/>
    <w:rsid w:val="15C84C56"/>
    <w:rsid w:val="1A772A39"/>
    <w:rsid w:val="1A9829AF"/>
    <w:rsid w:val="1E505AD9"/>
    <w:rsid w:val="1E7B435A"/>
    <w:rsid w:val="20286B8B"/>
    <w:rsid w:val="2BB806B3"/>
    <w:rsid w:val="37AB6C09"/>
    <w:rsid w:val="41223A9D"/>
    <w:rsid w:val="432B647E"/>
    <w:rsid w:val="44111DBE"/>
    <w:rsid w:val="465F41FD"/>
    <w:rsid w:val="46BA58D8"/>
    <w:rsid w:val="46E625B7"/>
    <w:rsid w:val="49282FCC"/>
    <w:rsid w:val="51295155"/>
    <w:rsid w:val="567C4958"/>
    <w:rsid w:val="59383AD7"/>
    <w:rsid w:val="5C446CAB"/>
    <w:rsid w:val="5D4F4FE1"/>
    <w:rsid w:val="5D567203"/>
    <w:rsid w:val="5DBC7D30"/>
    <w:rsid w:val="64025412"/>
    <w:rsid w:val="681503E6"/>
    <w:rsid w:val="6B5B1CC5"/>
    <w:rsid w:val="7186175B"/>
    <w:rsid w:val="73DA398A"/>
    <w:rsid w:val="75EB41B0"/>
    <w:rsid w:val="7E1A042F"/>
    <w:rsid w:val="7F627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cs="宋体"/>
      <w:color w:val="000000"/>
      <w:kern w:val="0"/>
      <w:sz w:val="24"/>
    </w:rPr>
  </w:style>
  <w:style w:type="paragraph" w:styleId="3">
    <w:name w:val="Body Text"/>
    <w:basedOn w:val="1"/>
    <w:qFormat/>
    <w:uiPriority w:val="0"/>
    <w:pPr>
      <w:spacing w:after="120"/>
    </w:pPr>
    <w:rPr>
      <w:rFonts w:ascii="Calibri" w:hAnsi="Calibri" w:eastAsia="宋体"/>
      <w:szCs w:val="24"/>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spacing w:beforeAutospacing="1" w:afterAutospacing="1"/>
      <w:jc w:val="left"/>
    </w:pPr>
    <w:rPr>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四号正文"/>
    <w:basedOn w:val="1"/>
    <w:link w:val="12"/>
    <w:qFormat/>
    <w:uiPriority w:val="99"/>
    <w:pPr>
      <w:spacing w:line="360" w:lineRule="auto"/>
    </w:pPr>
    <w:rPr>
      <w:rFonts w:ascii="??" w:hAnsi="??" w:eastAsia="宋体"/>
      <w:color w:val="000000"/>
      <w:kern w:val="0"/>
      <w:sz w:val="28"/>
      <w:szCs w:val="21"/>
    </w:rPr>
  </w:style>
  <w:style w:type="character" w:customStyle="1" w:styleId="12">
    <w:name w:val="四号正文 Char"/>
    <w:link w:val="11"/>
    <w:qFormat/>
    <w:locked/>
    <w:uiPriority w:val="99"/>
    <w:rPr>
      <w:rFonts w:ascii="??" w:hAnsi="??" w:eastAsia="宋体" w:cs="Times New Roman"/>
      <w:color w:val="000000"/>
      <w:kern w:val="0"/>
      <w:sz w:val="28"/>
      <w:szCs w:val="21"/>
    </w:rPr>
  </w:style>
  <w:style w:type="paragraph" w:customStyle="1" w:styleId="13">
    <w:name w:val="p0"/>
    <w:basedOn w:val="1"/>
    <w:qFormat/>
    <w:uiPriority w:val="0"/>
    <w:pPr>
      <w:widowControl/>
    </w:pPr>
    <w:rPr>
      <w:kern w:val="0"/>
      <w:szCs w:val="21"/>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2199</Words>
  <Characters>2330</Characters>
  <Lines>15</Lines>
  <Paragraphs>4</Paragraphs>
  <TotalTime>33</TotalTime>
  <ScaleCrop>false</ScaleCrop>
  <LinksUpToDate>false</LinksUpToDate>
  <CharactersWithSpaces>2346</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opi</dc:creator>
  <cp:lastModifiedBy>mzgs</cp:lastModifiedBy>
  <cp:lastPrinted>2020-08-04T01:52:00Z</cp:lastPrinted>
  <dcterms:modified xsi:type="dcterms:W3CDTF">2022-06-23T07:01:00Z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A51136F80234415E964CB3C44343008B</vt:lpwstr>
  </property>
</Properties>
</file>