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rPr>
          <w:rFonts w:ascii="宋体" w:hAnsi="宋体" w:eastAsia="宋体"/>
          <w:sz w:val="30"/>
          <w:szCs w:val="30"/>
        </w:rPr>
      </w:pPr>
    </w:p>
    <w:p>
      <w:pPr>
        <w:pStyle w:val="8"/>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（2021年中央药品监管补助资金）</w:t>
      </w:r>
    </w:p>
    <w:p>
      <w:pPr>
        <w:pStyle w:val="8"/>
        <w:spacing w:line="580" w:lineRule="exact"/>
        <w:ind w:firstLine="640"/>
        <w:jc w:val="center"/>
        <w:rPr>
          <w:rFonts w:ascii="宋体"/>
          <w:color w:val="auto"/>
          <w:kern w:val="2"/>
          <w:sz w:val="32"/>
          <w:szCs w:val="32"/>
        </w:rPr>
      </w:pPr>
    </w:p>
    <w:p>
      <w:pPr>
        <w:numPr>
          <w:ilvl w:val="0"/>
          <w:numId w:val="1"/>
        </w:numPr>
        <w:adjustRightInd w:val="0"/>
        <w:snapToGrid w:val="0"/>
        <w:spacing w:line="580" w:lineRule="exact"/>
        <w:ind w:firstLine="720"/>
        <w:rPr>
          <w:rFonts w:hint="eastAsia" w:ascii="黑体" w:hAnsi="宋体" w:eastAsia="黑体"/>
          <w:lang w:val="zh-CN"/>
        </w:rPr>
      </w:pPr>
      <w:r>
        <w:rPr>
          <w:rFonts w:hint="eastAsia" w:ascii="黑体" w:hAnsi="宋体" w:eastAsia="黑体"/>
          <w:lang w:val="zh-CN"/>
        </w:rPr>
        <w:t>项目概况</w:t>
      </w:r>
    </w:p>
    <w:p>
      <w:pPr>
        <w:numPr>
          <w:ilvl w:val="0"/>
          <w:numId w:val="0"/>
        </w:numPr>
        <w:adjustRightInd w:val="0"/>
        <w:snapToGrid w:val="0"/>
        <w:spacing w:line="580" w:lineRule="exact"/>
        <w:rPr>
          <w:rFonts w:hint="default" w:ascii="黑体" w:hAnsi="宋体" w:eastAsia="黑体"/>
          <w:lang w:val="en-US" w:eastAsia="zh-CN"/>
        </w:rPr>
      </w:pPr>
      <w:r>
        <w:rPr>
          <w:rFonts w:hint="eastAsia" w:ascii="黑体" w:hAnsi="宋体" w:eastAsia="黑体"/>
          <w:lang w:val="en-US" w:eastAsia="zh-CN"/>
        </w:rPr>
        <w:t xml:space="preserve">     </w:t>
      </w:r>
      <w:r>
        <w:rPr>
          <w:rFonts w:hint="eastAsia" w:ascii="楷体_GB2312" w:hAnsi="宋体" w:eastAsia="楷体_GB2312" w:cs="Times New Roman"/>
          <w:b/>
          <w:kern w:val="2"/>
          <w:sz w:val="32"/>
          <w:szCs w:val="32"/>
          <w:lang w:val="en-US" w:eastAsia="zh-CN" w:bidi="ar-SA"/>
        </w:rPr>
        <w:t>（一）项目基本情况。</w:t>
      </w:r>
    </w:p>
    <w:p>
      <w:pPr>
        <w:spacing w:line="360" w:lineRule="auto"/>
        <w:ind w:firstLine="640" w:firstLineChars="200"/>
        <w:rPr>
          <w:rFonts w:hint="eastAsia" w:ascii="仿宋_GB2312" w:hAnsi="宋体" w:eastAsia="仿宋_GB2312" w:cs="仿宋_GB2312"/>
          <w:color w:val="000000"/>
          <w:sz w:val="32"/>
          <w:szCs w:val="32"/>
        </w:rPr>
      </w:pPr>
      <w:r>
        <w:rPr>
          <w:rFonts w:hint="eastAsia" w:ascii="仿宋_GB2312" w:hAnsi="宋体" w:eastAsia="仿宋_GB2312" w:cs="仿宋_GB2312"/>
          <w:color w:val="000000"/>
          <w:sz w:val="32"/>
          <w:szCs w:val="32"/>
        </w:rPr>
        <w:t>中央下达我市药品安全监管专项补助资金</w:t>
      </w:r>
      <w:r>
        <w:rPr>
          <w:rFonts w:hint="eastAsia" w:ascii="仿宋_GB2312" w:hAnsi="宋体" w:cs="仿宋_GB2312"/>
          <w:color w:val="000000"/>
          <w:sz w:val="32"/>
          <w:szCs w:val="32"/>
          <w:lang w:val="en-US" w:eastAsia="zh-CN"/>
        </w:rPr>
        <w:t>19.42</w:t>
      </w:r>
      <w:r>
        <w:rPr>
          <w:rFonts w:hint="eastAsia" w:ascii="仿宋_GB2312" w:hAnsi="宋体" w:eastAsia="仿宋_GB2312" w:cs="仿宋_GB2312"/>
          <w:color w:val="000000"/>
          <w:sz w:val="32"/>
          <w:szCs w:val="32"/>
        </w:rPr>
        <w:t>万元。主要用于：根据省局</w:t>
      </w:r>
      <w:r>
        <w:rPr>
          <w:rFonts w:hint="eastAsia" w:ascii="仿宋_GB2312" w:hAnsi="宋体" w:eastAsia="仿宋_GB2312" w:cs="仿宋_GB2312"/>
          <w:color w:val="000000"/>
          <w:sz w:val="32"/>
          <w:szCs w:val="32"/>
          <w:lang w:eastAsia="zh-CN"/>
        </w:rPr>
        <w:t>和市局</w:t>
      </w:r>
      <w:r>
        <w:rPr>
          <w:rFonts w:hint="eastAsia" w:ascii="仿宋_GB2312" w:hAnsi="宋体" w:eastAsia="仿宋_GB2312" w:cs="仿宋_GB2312"/>
          <w:color w:val="000000"/>
          <w:sz w:val="32"/>
          <w:szCs w:val="32"/>
        </w:rPr>
        <w:t>的工作部署，实施和开展食品药品监管工作，加强监管力度，保证不出现重大安全事件底线，确保我市人民群众饮食用药安全，满足人民群众对饮食用药安全的需要，持续不断提升人民群众的获得感；完成省局</w:t>
      </w:r>
      <w:r>
        <w:rPr>
          <w:rFonts w:hint="eastAsia" w:ascii="仿宋_GB2312" w:hAnsi="宋体" w:eastAsia="仿宋_GB2312" w:cs="仿宋_GB2312"/>
          <w:color w:val="000000"/>
          <w:sz w:val="32"/>
          <w:szCs w:val="32"/>
          <w:lang w:eastAsia="zh-CN"/>
        </w:rPr>
        <w:t>和市局</w:t>
      </w:r>
      <w:r>
        <w:rPr>
          <w:rFonts w:hint="eastAsia" w:ascii="仿宋_GB2312" w:hAnsi="宋体" w:eastAsia="仿宋_GB2312" w:cs="仿宋_GB2312"/>
          <w:color w:val="000000"/>
          <w:sz w:val="32"/>
          <w:szCs w:val="32"/>
        </w:rPr>
        <w:t>下达的药品、医疗器械和化妆品的抽验任务和药品不良反应监测任务，实现在产获证生产企业全覆盖抽检，通过抽验技术手段，最大可能发现市场中的不合格产品和药品医疗器械的不良反应，了解我市食品药品安全状况，排查安全隐患，有效控制食品药品安全事件危害发生和扩大；有计划、有针对性地开展综合监管业务培训、企业法人代表和主要质量管理人员的法规和业务培训，提升我市监管队伍能力水平；根据机构改革后新的职责分工，继续加强对药品医疗器械化妆品生产经营企业和使用单位的严监管，严格执法，形成高压态势，注重从源头上防范风险。</w:t>
      </w:r>
    </w:p>
    <w:p>
      <w:pPr>
        <w:pStyle w:val="11"/>
        <w:keepNext w:val="0"/>
        <w:keepLines w:val="0"/>
        <w:pageBreakBefore w:val="0"/>
        <w:numPr>
          <w:ilvl w:val="0"/>
          <w:numId w:val="2"/>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spacing w:line="520" w:lineRule="exact"/>
        <w:ind w:firstLine="620" w:firstLineChars="200"/>
        <w:rPr>
          <w:rFonts w:ascii="Times New Roman" w:hAnsi="Times New Roman" w:eastAsia="仿宋_GB2312" w:cs="Times New Roman"/>
          <w:spacing w:val="-4"/>
          <w:sz w:val="32"/>
          <w:szCs w:val="32"/>
        </w:rPr>
      </w:pPr>
      <w:r>
        <w:rPr>
          <w:rFonts w:hint="eastAsia" w:ascii="仿宋_GB2312" w:hAnsi="宋体" w:eastAsia="仿宋_GB2312" w:cs="仿宋_GB2312"/>
          <w:color w:val="000000"/>
          <w:sz w:val="31"/>
          <w:szCs w:val="31"/>
        </w:rPr>
        <w:t>下达中央专项资金</w:t>
      </w:r>
      <w:r>
        <w:rPr>
          <w:rFonts w:hint="eastAsia" w:ascii="仿宋_GB2312" w:hAnsi="宋体" w:cs="仿宋_GB2312"/>
          <w:color w:val="000000"/>
          <w:sz w:val="31"/>
          <w:szCs w:val="31"/>
          <w:lang w:val="en-US" w:eastAsia="zh-CN"/>
        </w:rPr>
        <w:t>19.42</w:t>
      </w:r>
      <w:r>
        <w:rPr>
          <w:rFonts w:hint="eastAsia" w:ascii="仿宋_GB2312" w:hAnsi="宋体" w:eastAsia="仿宋_GB2312" w:cs="仿宋_GB2312"/>
          <w:color w:val="000000"/>
          <w:sz w:val="31"/>
          <w:szCs w:val="31"/>
        </w:rPr>
        <w:t>万，主要用于药品执法案件的查办和开展各类重点专项整治工作，药品、化妆品、医疗器械抽验工作</w:t>
      </w:r>
      <w:r>
        <w:rPr>
          <w:rFonts w:hint="eastAsia" w:ascii="仿宋_GB2312" w:hAnsi="仿宋_GB2312" w:eastAsia="仿宋_GB2312"/>
          <w:sz w:val="32"/>
          <w:szCs w:val="32"/>
        </w:rPr>
        <w:t>，项目资金</w:t>
      </w:r>
      <w:r>
        <w:rPr>
          <w:rFonts w:hint="eastAsia" w:ascii="仿宋_GB2312" w:hAnsi="宋体" w:eastAsia="仿宋_GB2312" w:cs="仿宋_GB2312"/>
          <w:color w:val="000000"/>
          <w:sz w:val="31"/>
          <w:szCs w:val="31"/>
        </w:rPr>
        <w:t>于202</w:t>
      </w:r>
      <w:r>
        <w:rPr>
          <w:rFonts w:hint="eastAsia" w:ascii="仿宋_GB2312" w:hAnsi="宋体" w:eastAsia="仿宋_GB2312" w:cs="仿宋_GB2312"/>
          <w:color w:val="000000"/>
          <w:sz w:val="31"/>
          <w:szCs w:val="31"/>
          <w:lang w:val="en-US" w:eastAsia="zh-CN"/>
        </w:rPr>
        <w:t>1</w:t>
      </w:r>
      <w:r>
        <w:rPr>
          <w:rFonts w:hint="eastAsia" w:ascii="仿宋_GB2312" w:hAnsi="宋体" w:eastAsia="仿宋_GB2312" w:cs="仿宋_GB2312"/>
          <w:color w:val="000000"/>
          <w:sz w:val="31"/>
          <w:szCs w:val="31"/>
        </w:rPr>
        <w:t>年</w:t>
      </w:r>
      <w:r>
        <w:rPr>
          <w:rFonts w:hint="eastAsia" w:ascii="仿宋_GB2312" w:hAnsi="仿宋_GB2312" w:eastAsia="仿宋_GB2312"/>
          <w:sz w:val="32"/>
          <w:szCs w:val="32"/>
        </w:rPr>
        <w:t>已全部到位，资金到位率达100%。</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720"/>
        <w:textAlignment w:val="auto"/>
        <w:rPr>
          <w:rFonts w:hint="eastAsia" w:ascii="黑体" w:hAnsi="宋体" w:eastAsia="黑体"/>
          <w:lang w:val="zh-CN"/>
        </w:rPr>
      </w:pPr>
      <w:r>
        <w:rPr>
          <w:rFonts w:hint="eastAsia" w:ascii="黑体" w:hAnsi="宋体" w:eastAsia="黑体"/>
          <w:lang w:val="zh-CN"/>
        </w:rPr>
        <w:t>项目资金申报及批复情况</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hint="eastAsia" w:ascii="楷体_GB2312" w:hAnsi="宋体" w:eastAsia="楷体_GB2312"/>
          <w:b/>
          <w:highlight w:val="none"/>
          <w:lang w:val="zh-CN"/>
        </w:rPr>
      </w:pPr>
      <w:r>
        <w:rPr>
          <w:rFonts w:hint="eastAsia" w:ascii="楷体_GB2312" w:hAnsi="宋体" w:eastAsia="楷体_GB2312"/>
          <w:b/>
          <w:highlight w:val="none"/>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highlight w:val="none"/>
        </w:rPr>
      </w:pPr>
      <w:r>
        <w:rPr>
          <w:rFonts w:hint="eastAsia" w:ascii="仿宋" w:hAnsi="仿宋" w:eastAsia="仿宋" w:cs="仿宋"/>
          <w:highlight w:val="none"/>
          <w:lang w:val="en-US" w:eastAsia="zh-CN"/>
        </w:rPr>
        <w:t>2021</w:t>
      </w:r>
      <w:r>
        <w:rPr>
          <w:rFonts w:hint="eastAsia" w:ascii="仿宋" w:hAnsi="仿宋" w:eastAsia="仿宋" w:cs="仿宋"/>
          <w:highlight w:val="none"/>
        </w:rPr>
        <w:t>年我局</w:t>
      </w:r>
      <w:r>
        <w:rPr>
          <w:rFonts w:hint="eastAsia" w:ascii="仿宋_GB2312" w:hAnsi="宋体"/>
        </w:rPr>
        <w:t>2021年中央药品监管补助资金</w:t>
      </w:r>
      <w:r>
        <w:rPr>
          <w:rFonts w:hint="eastAsia" w:ascii="仿宋" w:hAnsi="仿宋" w:eastAsia="仿宋" w:cs="仿宋"/>
          <w:highlight w:val="none"/>
        </w:rPr>
        <w:t>项目资金</w:t>
      </w:r>
      <w:r>
        <w:rPr>
          <w:rFonts w:hint="eastAsia" w:ascii="仿宋" w:hAnsi="仿宋" w:eastAsia="仿宋" w:cs="仿宋"/>
          <w:highlight w:val="none"/>
          <w:lang w:eastAsia="zh-CN"/>
        </w:rPr>
        <w:t>中途追加预算</w:t>
      </w:r>
      <w:r>
        <w:rPr>
          <w:rFonts w:hint="eastAsia" w:ascii="仿宋" w:hAnsi="仿宋" w:eastAsia="仿宋" w:cs="仿宋"/>
          <w:highlight w:val="none"/>
        </w:rPr>
        <w:t>申报</w:t>
      </w:r>
      <w:r>
        <w:rPr>
          <w:rFonts w:hint="eastAsia" w:ascii="仿宋" w:hAnsi="仿宋" w:eastAsia="仿宋" w:cs="仿宋"/>
          <w:highlight w:val="none"/>
          <w:lang w:val="en-US" w:eastAsia="zh-CN"/>
        </w:rPr>
        <w:t>19.42</w:t>
      </w:r>
      <w:r>
        <w:rPr>
          <w:rFonts w:hint="eastAsia" w:ascii="仿宋" w:hAnsi="仿宋" w:eastAsia="仿宋" w:cs="仿宋"/>
          <w:highlight w:val="none"/>
        </w:rPr>
        <w:t>万元，财政批复</w:t>
      </w:r>
      <w:r>
        <w:rPr>
          <w:rFonts w:hint="eastAsia" w:ascii="仿宋" w:hAnsi="仿宋" w:eastAsia="仿宋" w:cs="仿宋"/>
          <w:highlight w:val="none"/>
          <w:lang w:val="en-US" w:eastAsia="zh-CN"/>
        </w:rPr>
        <w:t>19.42</w:t>
      </w:r>
      <w:r>
        <w:rPr>
          <w:rFonts w:hint="eastAsia" w:ascii="仿宋" w:hAnsi="仿宋" w:eastAsia="仿宋" w:cs="仿宋"/>
          <w:highlight w:val="none"/>
        </w:rPr>
        <w:t>万元。</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（二）资金计划、到位及使用情况。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color w:val="FF0000"/>
          <w:lang w:val="en-US" w:eastAsia="zh-CN"/>
        </w:rPr>
      </w:pPr>
      <w:r>
        <w:rPr>
          <w:rFonts w:hint="eastAsia" w:ascii="仿宋" w:hAnsi="仿宋" w:eastAsia="仿宋" w:cs="仿宋"/>
        </w:rPr>
        <w:t>绵竹市财政局财政拨款资金</w:t>
      </w:r>
      <w:r>
        <w:rPr>
          <w:rFonts w:hint="eastAsia" w:ascii="仿宋" w:hAnsi="仿宋" w:eastAsia="仿宋" w:cs="仿宋"/>
          <w:lang w:val="en-US" w:eastAsia="zh-CN"/>
        </w:rPr>
        <w:t>19.42</w:t>
      </w:r>
      <w:r>
        <w:rPr>
          <w:rFonts w:hint="eastAsia" w:ascii="仿宋" w:hAnsi="仿宋" w:eastAsia="仿宋" w:cs="仿宋"/>
        </w:rPr>
        <w:t>万元及时足额到位，主要用于</w:t>
      </w:r>
      <w:r>
        <w:rPr>
          <w:rFonts w:hint="eastAsia" w:ascii="仿宋" w:hAnsi="仿宋" w:eastAsia="仿宋" w:cs="仿宋"/>
          <w:lang w:eastAsia="zh-CN"/>
        </w:rPr>
        <w:t>对</w:t>
      </w:r>
      <w:r>
        <w:rPr>
          <w:rFonts w:hint="eastAsia" w:ascii="仿宋_GB2312" w:hAnsi="宋体" w:eastAsia="仿宋_GB2312" w:cs="仿宋_GB2312"/>
          <w:color w:val="000000"/>
          <w:sz w:val="31"/>
          <w:szCs w:val="31"/>
        </w:rPr>
        <w:t>于药品执法案件的查办和开展各类重点专项整治工作，药品、化妆品、医疗器械抽验工作</w:t>
      </w:r>
      <w:r>
        <w:rPr>
          <w:rFonts w:hint="eastAsia" w:ascii="仿宋" w:hAnsi="仿宋" w:eastAsia="仿宋" w:cs="仿宋"/>
        </w:rPr>
        <w:t>。截止20</w:t>
      </w:r>
      <w:r>
        <w:rPr>
          <w:rFonts w:hint="eastAsia" w:ascii="仿宋" w:hAnsi="仿宋" w:eastAsia="仿宋" w:cs="仿宋"/>
          <w:lang w:val="en-US" w:eastAsia="zh-CN"/>
        </w:rPr>
        <w:t>21</w:t>
      </w:r>
      <w:r>
        <w:rPr>
          <w:rFonts w:hint="eastAsia" w:ascii="仿宋" w:hAnsi="仿宋" w:eastAsia="仿宋" w:cs="仿宋"/>
        </w:rPr>
        <w:t>年12月31日</w:t>
      </w:r>
      <w:r>
        <w:rPr>
          <w:rFonts w:hint="eastAsia" w:ascii="仿宋" w:hAnsi="仿宋" w:eastAsia="仿宋" w:cs="仿宋"/>
          <w:color w:val="auto"/>
        </w:rPr>
        <w:t>，实际支出</w:t>
      </w:r>
      <w:r>
        <w:rPr>
          <w:rFonts w:hint="eastAsia" w:ascii="仿宋" w:hAnsi="仿宋" w:eastAsia="仿宋" w:cs="仿宋"/>
          <w:color w:val="auto"/>
          <w:lang w:val="en-US" w:eastAsia="zh-CN"/>
        </w:rPr>
        <w:t>4.79</w:t>
      </w:r>
      <w:r>
        <w:rPr>
          <w:rFonts w:hint="eastAsia" w:ascii="仿宋" w:hAnsi="仿宋" w:eastAsia="仿宋" w:cs="仿宋"/>
          <w:color w:val="auto"/>
        </w:rPr>
        <w:t>万元</w:t>
      </w:r>
      <w:r>
        <w:rPr>
          <w:rFonts w:hint="eastAsia" w:ascii="仿宋" w:hAnsi="仿宋" w:eastAsia="仿宋" w:cs="仿宋"/>
          <w:color w:val="auto"/>
          <w:lang w:eastAsia="zh-CN"/>
        </w:rPr>
        <w:t>，剩余</w:t>
      </w:r>
      <w:r>
        <w:rPr>
          <w:rFonts w:hint="eastAsia" w:ascii="仿宋" w:hAnsi="仿宋" w:eastAsia="仿宋" w:cs="仿宋"/>
          <w:color w:val="auto"/>
          <w:lang w:val="en-US" w:eastAsia="zh-CN"/>
        </w:rPr>
        <w:t>14.63万元结转至2022年使用</w:t>
      </w:r>
      <w:r>
        <w:rPr>
          <w:rFonts w:hint="eastAsia" w:ascii="仿宋" w:hAnsi="仿宋" w:eastAsia="仿宋" w:cs="仿宋"/>
          <w:color w:val="auto"/>
          <w:lang w:eastAsia="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宋体" w:eastAsia="黑体"/>
        </w:rPr>
      </w:pPr>
      <w:r>
        <w:rPr>
          <w:rFonts w:hint="eastAsia" w:ascii="黑体" w:hAnsi="宋体" w:eastAsia="黑体"/>
          <w:lang w:eastAsia="zh-CN"/>
        </w:rPr>
        <w:t>三</w:t>
      </w:r>
      <w:r>
        <w:rPr>
          <w:rFonts w:hint="eastAsia" w:ascii="黑体" w:hAnsi="宋体" w:eastAsia="黑体"/>
        </w:rPr>
        <w:t>、项目实施及管理情况</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项目组织架构及实施流程。</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楷体_GB2312" w:hAnsi="宋体" w:eastAsia="楷体_GB2312"/>
          <w:b/>
          <w:lang w:val="zh-CN"/>
        </w:rPr>
      </w:pPr>
      <w:r>
        <w:rPr>
          <w:rFonts w:hint="eastAsia" w:ascii="仿宋" w:hAnsi="仿宋" w:eastAsia="仿宋" w:cs="仿宋"/>
          <w:lang w:val="zh-CN" w:eastAsia="zh-CN"/>
        </w:rPr>
        <w:t>领导重视，制度完善。我局根据工作需要，有计划开展</w:t>
      </w:r>
      <w:r>
        <w:rPr>
          <w:rFonts w:hint="eastAsia" w:ascii="仿宋_GB2312" w:hAnsi="宋体"/>
        </w:rPr>
        <w:t>2021年省级知识产权专项资金-知识产权金融资助</w:t>
      </w:r>
      <w:r>
        <w:rPr>
          <w:rFonts w:hint="eastAsia" w:ascii="仿宋" w:hAnsi="仿宋" w:eastAsia="仿宋" w:cs="仿宋"/>
          <w:lang w:eastAsia="zh-CN"/>
        </w:rPr>
        <w:t>项目支出及报账程序、明确职责、专款专用。</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（二）项目管理情况。</w:t>
      </w:r>
    </w:p>
    <w:p>
      <w:pPr>
        <w:adjustRightInd w:val="0"/>
        <w:snapToGrid w:val="0"/>
        <w:spacing w:line="580" w:lineRule="exact"/>
        <w:ind w:firstLine="720"/>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（三）项目监管情况。</w:t>
      </w:r>
    </w:p>
    <w:p>
      <w:pPr>
        <w:adjustRightInd w:val="0"/>
        <w:snapToGrid w:val="0"/>
        <w:spacing w:line="580" w:lineRule="exact"/>
        <w:ind w:firstLine="720"/>
        <w:rPr>
          <w:rFonts w:hint="eastAsia" w:ascii="仿宋" w:hAnsi="仿宋" w:eastAsia="仿宋" w:cs="仿宋"/>
          <w:color w:val="auto"/>
          <w:lang w:val="zh-CN"/>
        </w:rPr>
      </w:pPr>
      <w:r>
        <w:rPr>
          <w:rFonts w:hint="eastAsia" w:ascii="仿宋" w:hAnsi="仿宋" w:eastAsia="仿宋" w:cs="仿宋"/>
          <w:color w:val="auto"/>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黑体" w:hAnsi="宋体" w:eastAsia="黑体"/>
          <w:lang w:eastAsia="zh-CN"/>
        </w:rPr>
        <w:t>四</w:t>
      </w:r>
      <w:r>
        <w:rPr>
          <w:rFonts w:hint="eastAsia" w:ascii="黑体" w:hAnsi="宋体" w:eastAsia="黑体"/>
        </w:rPr>
        <w:t>、项目绩效情况</w:t>
      </w:r>
      <w:r>
        <w:rPr>
          <w:rFonts w:ascii="仿宋_GB2312" w:hAnsi="宋体"/>
          <w:lang w:val="zh-CN"/>
        </w:rPr>
        <w:tab/>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adjustRightInd w:val="0"/>
        <w:ind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1.产出指标完成情况分析。</w:t>
      </w:r>
    </w:p>
    <w:p>
      <w:pPr>
        <w:adjustRightInd w:val="0"/>
        <w:ind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（1）数量指标。</w:t>
      </w:r>
    </w:p>
    <w:p>
      <w:pPr>
        <w:adjustRightInd w:val="0"/>
        <w:ind w:firstLine="640" w:firstLineChars="200"/>
        <w:rPr>
          <w:rFonts w:ascii="Times New Roman" w:hAnsi="Times New Roman" w:eastAsia="仿宋_GB2312" w:cs="Times New Roman"/>
          <w:spacing w:val="-4"/>
          <w:sz w:val="32"/>
          <w:szCs w:val="32"/>
        </w:rPr>
      </w:pPr>
      <w:r>
        <w:rPr>
          <w:rFonts w:hint="eastAsia" w:ascii="仿宋_GB2312" w:eastAsia="仿宋_GB2312"/>
          <w:sz w:val="32"/>
          <w:szCs w:val="32"/>
        </w:rPr>
        <w:t>为进一步提高经营企业和使用单位的质量管理意识和水平，确保药品、医疗器械、化妆品安全有效，202</w:t>
      </w:r>
      <w:r>
        <w:rPr>
          <w:rFonts w:hint="eastAsia" w:ascii="仿宋_GB2312" w:eastAsia="仿宋_GB2312"/>
          <w:sz w:val="32"/>
          <w:szCs w:val="32"/>
          <w:lang w:val="en-US" w:eastAsia="zh-CN"/>
        </w:rPr>
        <w:t>1</w:t>
      </w:r>
      <w:r>
        <w:rPr>
          <w:rFonts w:hint="eastAsia" w:ascii="仿宋_GB2312" w:eastAsia="仿宋_GB2312"/>
          <w:sz w:val="32"/>
          <w:szCs w:val="32"/>
        </w:rPr>
        <w:t>年完成中央专项资金指标药品监管企业数</w:t>
      </w:r>
      <w:r>
        <w:rPr>
          <w:rFonts w:hint="eastAsia" w:ascii="仿宋_GB2312" w:eastAsia="仿宋_GB2312"/>
          <w:sz w:val="32"/>
          <w:szCs w:val="32"/>
          <w:lang w:val="en-US" w:eastAsia="zh-CN"/>
        </w:rPr>
        <w:t>218</w:t>
      </w:r>
      <w:r>
        <w:rPr>
          <w:rFonts w:ascii="仿宋_GB2312" w:eastAsia="仿宋_GB2312"/>
          <w:sz w:val="32"/>
          <w:szCs w:val="32"/>
        </w:rPr>
        <w:t>家</w:t>
      </w:r>
      <w:r>
        <w:rPr>
          <w:rFonts w:hint="eastAsia" w:ascii="仿宋_GB2312" w:eastAsia="仿宋_GB2312"/>
          <w:sz w:val="32"/>
          <w:szCs w:val="32"/>
        </w:rPr>
        <w:t>，化妆品监管企业数</w:t>
      </w:r>
      <w:r>
        <w:rPr>
          <w:rFonts w:hint="eastAsia" w:ascii="仿宋_GB2312" w:eastAsia="仿宋_GB2312"/>
          <w:sz w:val="32"/>
          <w:szCs w:val="32"/>
          <w:lang w:val="en-US" w:eastAsia="zh-CN"/>
        </w:rPr>
        <w:t>488</w:t>
      </w:r>
      <w:r>
        <w:rPr>
          <w:rFonts w:ascii="仿宋_GB2312" w:eastAsia="仿宋_GB2312"/>
          <w:sz w:val="32"/>
          <w:szCs w:val="32"/>
        </w:rPr>
        <w:t>家</w:t>
      </w:r>
      <w:r>
        <w:rPr>
          <w:rFonts w:hint="eastAsia" w:ascii="仿宋_GB2312" w:eastAsia="仿宋_GB2312"/>
          <w:sz w:val="32"/>
          <w:szCs w:val="32"/>
        </w:rPr>
        <w:t>，</w:t>
      </w:r>
      <w:r>
        <w:rPr>
          <w:rFonts w:hint="eastAsia" w:ascii="仿宋_GB2312" w:eastAsia="仿宋_GB2312"/>
          <w:sz w:val="32"/>
          <w:szCs w:val="32"/>
          <w:lang w:eastAsia="zh-CN"/>
        </w:rPr>
        <w:t>医疗器械药物滥用常规监测任务数</w:t>
      </w:r>
      <w:r>
        <w:rPr>
          <w:rFonts w:hint="eastAsia" w:ascii="仿宋_GB2312" w:eastAsia="仿宋_GB2312"/>
          <w:sz w:val="32"/>
          <w:szCs w:val="32"/>
          <w:lang w:val="en-US" w:eastAsia="zh-CN"/>
        </w:rPr>
        <w:t>200次</w:t>
      </w:r>
      <w:r>
        <w:rPr>
          <w:rFonts w:hint="eastAsia" w:ascii="仿宋_GB2312" w:eastAsia="仿宋_GB2312"/>
          <w:sz w:val="32"/>
          <w:szCs w:val="32"/>
        </w:rPr>
        <w:t>。</w:t>
      </w:r>
    </w:p>
    <w:p>
      <w:pPr>
        <w:numPr>
          <w:ilvl w:val="0"/>
          <w:numId w:val="4"/>
        </w:numPr>
        <w:adjustRightInd w:val="0"/>
        <w:ind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质量指标。</w:t>
      </w:r>
    </w:p>
    <w:p>
      <w:pPr>
        <w:spacing w:line="520" w:lineRule="exact"/>
        <w:ind w:firstLine="592"/>
        <w:rPr>
          <w:rFonts w:ascii="Times New Roman" w:hAnsi="Times New Roman" w:eastAsia="仿宋_GB2312" w:cs="Times New Roman"/>
          <w:spacing w:val="-4"/>
          <w:sz w:val="32"/>
          <w:szCs w:val="32"/>
        </w:rPr>
      </w:pPr>
      <w:r>
        <w:rPr>
          <w:rFonts w:hint="eastAsia" w:ascii="仿宋_GB2312" w:eastAsia="仿宋_GB2312"/>
          <w:sz w:val="32"/>
          <w:szCs w:val="32"/>
        </w:rPr>
        <w:t>药品抽检完成率</w:t>
      </w:r>
      <w:r>
        <w:rPr>
          <w:rFonts w:ascii="仿宋_GB2312" w:eastAsia="仿宋_GB2312"/>
          <w:sz w:val="32"/>
          <w:szCs w:val="32"/>
        </w:rPr>
        <w:t>100%</w:t>
      </w:r>
      <w:r>
        <w:rPr>
          <w:rFonts w:hint="eastAsia" w:ascii="仿宋_GB2312" w:eastAsia="仿宋_GB2312"/>
          <w:sz w:val="32"/>
          <w:szCs w:val="32"/>
          <w:lang w:eastAsia="zh-CN"/>
        </w:rPr>
        <w:t>，化妆品抽验完成率</w:t>
      </w:r>
      <w:r>
        <w:rPr>
          <w:rFonts w:ascii="仿宋_GB2312" w:eastAsia="仿宋_GB2312"/>
          <w:sz w:val="32"/>
          <w:szCs w:val="32"/>
        </w:rPr>
        <w:t>100%</w:t>
      </w:r>
      <w:r>
        <w:rPr>
          <w:rFonts w:hint="eastAsia" w:ascii="仿宋_GB2312" w:eastAsia="仿宋_GB2312"/>
          <w:sz w:val="32"/>
          <w:szCs w:val="32"/>
          <w:lang w:eastAsia="zh-CN"/>
        </w:rPr>
        <w:t>，医疗器械抽验完成率</w:t>
      </w:r>
      <w:r>
        <w:rPr>
          <w:rFonts w:ascii="仿宋_GB2312" w:eastAsia="仿宋_GB2312"/>
          <w:sz w:val="32"/>
          <w:szCs w:val="32"/>
        </w:rPr>
        <w:t>100%</w:t>
      </w:r>
      <w:r>
        <w:rPr>
          <w:rFonts w:hint="eastAsia" w:ascii="仿宋_GB2312" w:eastAsia="仿宋_GB2312"/>
          <w:sz w:val="32"/>
          <w:szCs w:val="32"/>
          <w:lang w:eastAsia="zh-CN"/>
        </w:rPr>
        <w:t>，</w:t>
      </w:r>
      <w:r>
        <w:rPr>
          <w:rFonts w:hint="eastAsia" w:ascii="仿宋_GB2312" w:eastAsia="仿宋_GB2312"/>
          <w:sz w:val="32"/>
          <w:szCs w:val="32"/>
        </w:rPr>
        <w:t>完成不合格</w:t>
      </w:r>
      <w:r>
        <w:rPr>
          <w:rFonts w:hint="eastAsia" w:ascii="仿宋_GB2312" w:eastAsia="仿宋_GB2312"/>
          <w:sz w:val="32"/>
          <w:szCs w:val="32"/>
          <w:lang w:eastAsia="zh-CN"/>
        </w:rPr>
        <w:t>产品</w:t>
      </w:r>
      <w:r>
        <w:rPr>
          <w:rFonts w:hint="eastAsia" w:ascii="仿宋_GB2312" w:eastAsia="仿宋_GB2312"/>
          <w:sz w:val="32"/>
          <w:szCs w:val="32"/>
        </w:rPr>
        <w:t>处置率</w:t>
      </w:r>
      <w:r>
        <w:rPr>
          <w:rFonts w:ascii="仿宋_GB2312" w:eastAsia="仿宋_GB2312"/>
          <w:sz w:val="32"/>
          <w:szCs w:val="32"/>
        </w:rPr>
        <w:t>100%</w:t>
      </w:r>
      <w:r>
        <w:rPr>
          <w:rFonts w:hint="eastAsia" w:ascii="仿宋_GB2312" w:eastAsia="仿宋_GB2312"/>
          <w:sz w:val="32"/>
          <w:szCs w:val="32"/>
        </w:rPr>
        <w:t>，药品不良反应每百万人口报告数</w:t>
      </w:r>
      <w:r>
        <w:rPr>
          <w:rFonts w:hint="eastAsia" w:ascii="仿宋_GB2312" w:eastAsia="仿宋_GB2312"/>
          <w:sz w:val="32"/>
          <w:szCs w:val="32"/>
          <w:lang w:val="en-US" w:eastAsia="zh-CN"/>
        </w:rPr>
        <w:t>1100份</w:t>
      </w:r>
      <w:r>
        <w:rPr>
          <w:rFonts w:hint="eastAsia" w:ascii="仿宋_GB2312" w:eastAsia="仿宋_GB2312"/>
          <w:sz w:val="32"/>
          <w:szCs w:val="32"/>
        </w:rPr>
        <w:t>，化妆品不良反应每百万人口报告数</w:t>
      </w:r>
      <w:r>
        <w:rPr>
          <w:rFonts w:hint="eastAsia" w:ascii="仿宋_GB2312" w:eastAsia="仿宋_GB2312"/>
          <w:sz w:val="32"/>
          <w:szCs w:val="32"/>
          <w:lang w:val="en-US" w:eastAsia="zh-CN"/>
        </w:rPr>
        <w:t>250份</w:t>
      </w:r>
      <w:r>
        <w:rPr>
          <w:rFonts w:hint="eastAsia" w:ascii="仿宋_GB2312" w:eastAsia="仿宋_GB2312"/>
          <w:sz w:val="32"/>
          <w:szCs w:val="32"/>
        </w:rPr>
        <w:t>，医疗器械不良应每百万人口报告数</w:t>
      </w:r>
      <w:r>
        <w:rPr>
          <w:rFonts w:hint="eastAsia" w:ascii="仿宋_GB2312" w:eastAsia="仿宋_GB2312"/>
          <w:sz w:val="32"/>
          <w:szCs w:val="32"/>
          <w:lang w:val="en-US" w:eastAsia="zh-CN"/>
        </w:rPr>
        <w:t>550份</w:t>
      </w:r>
      <w:r>
        <w:rPr>
          <w:rFonts w:hint="eastAsia" w:ascii="仿宋_GB2312" w:eastAsia="仿宋_GB2312"/>
          <w:sz w:val="32"/>
          <w:szCs w:val="32"/>
        </w:rPr>
        <w:t>。</w:t>
      </w:r>
    </w:p>
    <w:p>
      <w:pPr>
        <w:numPr>
          <w:ilvl w:val="0"/>
          <w:numId w:val="4"/>
        </w:numPr>
        <w:adjustRightInd w:val="0"/>
        <w:ind w:left="0" w:leftChars="0"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时效指标。</w:t>
      </w:r>
    </w:p>
    <w:p>
      <w:pPr>
        <w:spacing w:line="520" w:lineRule="exact"/>
        <w:ind w:firstLine="592"/>
        <w:rPr>
          <w:rFonts w:ascii="Times New Roman" w:hAnsi="Times New Roman" w:eastAsia="仿宋_GB2312" w:cs="Times New Roman"/>
          <w:spacing w:val="-4"/>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1</w:t>
      </w:r>
      <w:r>
        <w:rPr>
          <w:rFonts w:hint="eastAsia" w:ascii="仿宋_GB2312" w:eastAsia="仿宋_GB2312"/>
          <w:sz w:val="32"/>
          <w:szCs w:val="32"/>
        </w:rPr>
        <w:t>年12月31日执行完成。</w:t>
      </w:r>
    </w:p>
    <w:p>
      <w:pPr>
        <w:numPr>
          <w:ilvl w:val="0"/>
          <w:numId w:val="4"/>
        </w:numPr>
        <w:adjustRightInd w:val="0"/>
        <w:ind w:left="0" w:leftChars="0"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成本指标。</w:t>
      </w:r>
    </w:p>
    <w:p>
      <w:pPr>
        <w:spacing w:line="520" w:lineRule="exact"/>
        <w:ind w:firstLine="592"/>
        <w:rPr>
          <w:rFonts w:hint="eastAsia" w:ascii="Times New Roman" w:hAnsi="Times New Roman" w:eastAsia="仿宋_GB2312" w:cs="Times New Roman"/>
          <w:spacing w:val="-4"/>
          <w:sz w:val="32"/>
          <w:szCs w:val="32"/>
          <w:lang w:eastAsia="zh-CN"/>
        </w:rPr>
      </w:pPr>
      <w:r>
        <w:rPr>
          <w:rFonts w:hint="eastAsia" w:ascii="仿宋_GB2312" w:eastAsia="仿宋_GB2312"/>
          <w:sz w:val="32"/>
          <w:szCs w:val="32"/>
        </w:rPr>
        <w:t>控制培训成本低于400元/人.天。</w:t>
      </w:r>
    </w:p>
    <w:p>
      <w:pPr>
        <w:adjustRightInd w:val="0"/>
        <w:ind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2.效益指标完成情况分析。</w:t>
      </w:r>
    </w:p>
    <w:p>
      <w:pPr>
        <w:adjustRightInd w:val="0"/>
        <w:ind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w:t>
      </w:r>
      <w:r>
        <w:rPr>
          <w:rFonts w:hint="eastAsia" w:ascii="Times New Roman" w:hAnsi="Times New Roman" w:eastAsia="仿宋_GB2312" w:cs="Times New Roman"/>
          <w:spacing w:val="-4"/>
          <w:sz w:val="32"/>
          <w:szCs w:val="32"/>
          <w:lang w:val="en-US" w:eastAsia="zh-CN"/>
        </w:rPr>
        <w:t>1</w:t>
      </w:r>
      <w:r>
        <w:rPr>
          <w:rFonts w:ascii="Times New Roman" w:hAnsi="Times New Roman" w:eastAsia="仿宋_GB2312" w:cs="Times New Roman"/>
          <w:spacing w:val="-4"/>
          <w:sz w:val="32"/>
          <w:szCs w:val="32"/>
        </w:rPr>
        <w:t>）社会效益。</w:t>
      </w:r>
    </w:p>
    <w:p>
      <w:pPr>
        <w:spacing w:line="520" w:lineRule="exact"/>
        <w:ind w:firstLine="592"/>
        <w:rPr>
          <w:rFonts w:ascii="Times New Roman" w:hAnsi="Times New Roman" w:eastAsia="仿宋_GB2312" w:cs="Times New Roman"/>
          <w:spacing w:val="-4"/>
          <w:sz w:val="32"/>
          <w:szCs w:val="32"/>
        </w:rPr>
      </w:pPr>
      <w:r>
        <w:rPr>
          <w:rFonts w:hint="eastAsia" w:ascii="仿宋_GB2312" w:eastAsia="仿宋_GB2312"/>
          <w:sz w:val="32"/>
          <w:szCs w:val="32"/>
        </w:rPr>
        <w:t>不断提高“两品一械”总体安全水平，提高“两品一械”安全科普知识宣传覆盖面，公众自我保护意识不断提高，制定相关专项整治方案，明确检查重点及检查范围，强化企业质量管理意识及重视程度，促进企业不断加强内部管理，规范经营行为，提升管理水平，不断降低假冒伪劣产品制售行为，保障产品质量安全。</w:t>
      </w:r>
    </w:p>
    <w:p>
      <w:pPr>
        <w:numPr>
          <w:ilvl w:val="0"/>
          <w:numId w:val="5"/>
        </w:numPr>
        <w:adjustRightInd w:val="0"/>
        <w:ind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可持续影响。</w:t>
      </w:r>
    </w:p>
    <w:p>
      <w:pPr>
        <w:spacing w:line="520" w:lineRule="exact"/>
        <w:ind w:firstLine="592"/>
        <w:rPr>
          <w:rFonts w:ascii="Times New Roman" w:hAnsi="Times New Roman" w:eastAsia="仿宋_GB2312" w:cs="Times New Roman"/>
          <w:spacing w:val="-4"/>
          <w:sz w:val="32"/>
          <w:szCs w:val="32"/>
        </w:rPr>
      </w:pPr>
      <w:r>
        <w:rPr>
          <w:rFonts w:hint="eastAsia" w:ascii="仿宋_GB2312" w:eastAsia="仿宋_GB2312"/>
          <w:sz w:val="32"/>
          <w:szCs w:val="32"/>
        </w:rPr>
        <w:t>不断提高药品、化妆品及医疗器械监管水平，进一步完善药械化监督抽检工作，积极探索“监督检查、靶向抽样、目标检验”工作机制，形成强大的日常监管合力，确保辖区药械化质量安全并提高队伍素质和装备配置水平，更好的服务市场监管。</w:t>
      </w:r>
    </w:p>
    <w:p>
      <w:pPr>
        <w:numPr>
          <w:ilvl w:val="0"/>
          <w:numId w:val="6"/>
        </w:numPr>
        <w:adjustRightInd w:val="0"/>
        <w:ind w:left="0" w:leftChars="0" w:firstLine="624" w:firstLineChars="200"/>
        <w:rPr>
          <w:rFonts w:ascii="Times New Roman" w:hAnsi="Times New Roman" w:eastAsia="仿宋_GB2312" w:cs="Times New Roman"/>
          <w:spacing w:val="-4"/>
          <w:sz w:val="32"/>
          <w:szCs w:val="32"/>
        </w:rPr>
      </w:pPr>
      <w:r>
        <w:rPr>
          <w:rFonts w:ascii="Times New Roman" w:hAnsi="Times New Roman" w:eastAsia="仿宋_GB2312" w:cs="Times New Roman"/>
          <w:spacing w:val="-4"/>
          <w:sz w:val="32"/>
          <w:szCs w:val="32"/>
        </w:rPr>
        <w:t>满意度指标完成情况分析。</w:t>
      </w:r>
    </w:p>
    <w:p>
      <w:pPr>
        <w:spacing w:line="520" w:lineRule="exact"/>
        <w:ind w:firstLine="592"/>
        <w:rPr>
          <w:rFonts w:ascii="Times New Roman" w:hAnsi="Times New Roman" w:eastAsia="仿宋_GB2312" w:cs="Times New Roman"/>
          <w:spacing w:val="-4"/>
          <w:sz w:val="32"/>
          <w:szCs w:val="32"/>
        </w:rPr>
      </w:pPr>
      <w:r>
        <w:rPr>
          <w:rFonts w:hint="eastAsia" w:ascii="仿宋_GB2312" w:eastAsia="仿宋_GB2312"/>
          <w:sz w:val="32"/>
          <w:szCs w:val="32"/>
        </w:rPr>
        <w:t>该项目的实施，提升了我县药品监管专项工作的社会影响力和群众对药品监管工作的满意度。经过调查，202</w:t>
      </w:r>
      <w:r>
        <w:rPr>
          <w:rFonts w:hint="eastAsia" w:ascii="仿宋_GB2312" w:eastAsia="仿宋_GB2312"/>
          <w:sz w:val="32"/>
          <w:szCs w:val="32"/>
          <w:lang w:val="en-US" w:eastAsia="zh-CN"/>
        </w:rPr>
        <w:t>1</w:t>
      </w:r>
      <w:r>
        <w:rPr>
          <w:rFonts w:hint="eastAsia" w:ascii="仿宋_GB2312" w:eastAsia="仿宋_GB2312"/>
          <w:sz w:val="32"/>
          <w:szCs w:val="32"/>
        </w:rPr>
        <w:t>年公众对药品监管整体满意度达</w:t>
      </w:r>
      <w:r>
        <w:rPr>
          <w:rFonts w:hint="eastAsia" w:ascii="仿宋_GB2312" w:eastAsia="仿宋_GB2312"/>
          <w:sz w:val="32"/>
          <w:szCs w:val="32"/>
          <w:lang w:val="en-US" w:eastAsia="zh-CN"/>
        </w:rPr>
        <w:t>88%</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80" w:lineRule="exact"/>
        <w:ind w:left="720"/>
        <w:textAlignment w:val="auto"/>
        <w:rPr>
          <w:rFonts w:hint="eastAsia" w:ascii="仿宋_GB2312" w:hAnsi="宋体" w:eastAsia="黑体"/>
          <w:lang w:eastAsia="zh-CN"/>
        </w:rPr>
      </w:pPr>
      <w:r>
        <w:rPr>
          <w:rFonts w:hint="eastAsia" w:ascii="黑体" w:hAnsi="宋体" w:eastAsia="黑体"/>
          <w:lang w:eastAsia="zh-CN"/>
        </w:rPr>
        <w:t>五</w:t>
      </w:r>
      <w:r>
        <w:rPr>
          <w:rFonts w:hint="eastAsia" w:ascii="黑体" w:hAnsi="宋体" w:eastAsia="黑体"/>
        </w:rPr>
        <w:t>、</w:t>
      </w:r>
      <w:r>
        <w:rPr>
          <w:rFonts w:hint="eastAsia" w:ascii="黑体" w:hAnsi="宋体" w:eastAsia="黑体"/>
          <w:lang w:eastAsia="zh-CN"/>
        </w:rPr>
        <w:t>评价结论及建议</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2021年市场监督管理局</w:t>
      </w:r>
      <w:r>
        <w:rPr>
          <w:rFonts w:hint="eastAsia" w:ascii="仿宋_GB2312" w:hAnsi="宋体"/>
        </w:rPr>
        <w:t>2021年中央药品监管补助资金</w:t>
      </w:r>
      <w:r>
        <w:rPr>
          <w:rFonts w:hint="eastAsia" w:ascii="仿宋" w:hAnsi="仿宋" w:eastAsia="仿宋" w:cs="仿宋"/>
        </w:rPr>
        <w:t>项目</w:t>
      </w:r>
      <w:r>
        <w:rPr>
          <w:rFonts w:hint="eastAsia" w:ascii="仿宋" w:hAnsi="仿宋" w:eastAsia="仿宋" w:cs="仿宋"/>
          <w:lang w:eastAsia="zh-CN"/>
        </w:rPr>
        <w:t>已完成，达到预期效果，服务对象满意度高。</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（二）存在的问题。</w:t>
      </w:r>
      <w:bookmarkStart w:id="0" w:name="_GoBack"/>
      <w:bookmarkEnd w:id="0"/>
    </w:p>
    <w:p>
      <w:pPr>
        <w:spacing w:line="520" w:lineRule="exact"/>
        <w:ind w:firstLine="592"/>
        <w:rPr>
          <w:rFonts w:hint="eastAsia" w:ascii="仿宋_GB2312" w:eastAsia="仿宋_GB2312"/>
          <w:sz w:val="32"/>
          <w:szCs w:val="32"/>
        </w:rPr>
      </w:pPr>
      <w:r>
        <w:rPr>
          <w:rFonts w:hint="eastAsia" w:ascii="仿宋_GB2312" w:eastAsia="仿宋_GB2312"/>
          <w:sz w:val="32"/>
          <w:szCs w:val="32"/>
        </w:rPr>
        <w:t>人员</w:t>
      </w:r>
      <w:r>
        <w:rPr>
          <w:rFonts w:hint="eastAsia" w:ascii="仿宋_GB2312" w:eastAsia="仿宋_GB2312"/>
          <w:sz w:val="32"/>
          <w:szCs w:val="32"/>
          <w:lang w:eastAsia="zh-CN"/>
        </w:rPr>
        <w:t>执法水平不一</w:t>
      </w:r>
      <w:r>
        <w:rPr>
          <w:rFonts w:hint="eastAsia" w:ascii="仿宋_GB2312"/>
          <w:sz w:val="32"/>
          <w:szCs w:val="32"/>
          <w:lang w:eastAsia="zh-CN"/>
        </w:rPr>
        <w:t>，加强执法人员培训</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（三）相关建议。</w:t>
      </w:r>
    </w:p>
    <w:p>
      <w:pPr>
        <w:keepNext w:val="0"/>
        <w:keepLines w:val="0"/>
        <w:pageBreakBefore w:val="0"/>
        <w:numPr>
          <w:ilvl w:val="0"/>
          <w:numId w:val="7"/>
        </w:numPr>
        <w:kinsoku/>
        <w:wordWrap/>
        <w:overflowPunct/>
        <w:topLinePunct w:val="0"/>
        <w:autoSpaceDE/>
        <w:autoSpaceDN/>
        <w:bidi w:val="0"/>
        <w:adjustRightInd w:val="0"/>
        <w:snapToGrid w:val="0"/>
        <w:spacing w:line="580" w:lineRule="exact"/>
        <w:ind w:left="0" w:firstLine="640" w:firstLineChars="200"/>
        <w:textAlignment w:val="auto"/>
        <w:rPr>
          <w:rFonts w:ascii="仿宋" w:hAnsi="仿宋" w:eastAsia="仿宋" w:cs="仿宋"/>
        </w:rPr>
      </w:pPr>
      <w:r>
        <w:rPr>
          <w:rFonts w:hint="eastAsia" w:ascii="仿宋" w:hAnsi="仿宋" w:eastAsia="仿宋" w:cs="仿宋"/>
        </w:rPr>
        <w:t>希望财政加大资金支持力度，保障</w:t>
      </w:r>
      <w:r>
        <w:rPr>
          <w:rFonts w:hint="eastAsia" w:ascii="仿宋" w:hAnsi="仿宋" w:eastAsia="仿宋" w:cs="仿宋"/>
          <w:lang w:eastAsia="zh-CN"/>
        </w:rPr>
        <w:t>知识产权</w:t>
      </w:r>
      <w:r>
        <w:rPr>
          <w:rFonts w:hint="eastAsia" w:ascii="仿宋" w:hAnsi="仿宋" w:eastAsia="仿宋" w:cs="仿宋"/>
        </w:rPr>
        <w:t>工作顺利推进</w:t>
      </w:r>
      <w:r>
        <w:rPr>
          <w:rFonts w:hint="eastAsia" w:ascii="仿宋" w:hAnsi="仿宋" w:eastAsia="仿宋" w:cs="仿宋"/>
          <w:lang w:eastAsia="zh-CN"/>
        </w:rPr>
        <w:t>，增加服务对象的满意度</w:t>
      </w:r>
      <w:r>
        <w:rPr>
          <w:rFonts w:hint="eastAsia" w:ascii="仿宋" w:hAnsi="仿宋" w:eastAsia="仿宋" w:cs="仿宋"/>
        </w:rPr>
        <w:t>。</w:t>
      </w:r>
    </w:p>
    <w:p>
      <w:pPr>
        <w:adjustRightInd w:val="0"/>
        <w:snapToGrid w:val="0"/>
        <w:spacing w:line="580" w:lineRule="exact"/>
        <w:ind w:firstLine="720"/>
        <w:rPr>
          <w:rFonts w:ascii="楷体_GB2312" w:hAnsi="宋体" w:eastAsia="楷体_GB2312"/>
          <w:b/>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9CA9E8"/>
    <w:multiLevelType w:val="singleLevel"/>
    <w:tmpl w:val="DC9CA9E8"/>
    <w:lvl w:ilvl="0" w:tentative="0">
      <w:start w:val="2"/>
      <w:numFmt w:val="decimal"/>
      <w:suff w:val="nothing"/>
      <w:lvlText w:val="（%1）"/>
      <w:lvlJc w:val="left"/>
    </w:lvl>
  </w:abstractNum>
  <w:abstractNum w:abstractNumId="1">
    <w:nsid w:val="DE3E8123"/>
    <w:multiLevelType w:val="singleLevel"/>
    <w:tmpl w:val="DE3E8123"/>
    <w:lvl w:ilvl="0" w:tentative="0">
      <w:start w:val="2"/>
      <w:numFmt w:val="decimal"/>
      <w:suff w:val="nothing"/>
      <w:lvlText w:val="（%1）"/>
      <w:lvlJc w:val="left"/>
    </w:lvl>
  </w:abstractNum>
  <w:abstractNum w:abstractNumId="2">
    <w:nsid w:val="ED30C1F7"/>
    <w:multiLevelType w:val="singleLevel"/>
    <w:tmpl w:val="ED30C1F7"/>
    <w:lvl w:ilvl="0" w:tentative="0">
      <w:start w:val="1"/>
      <w:numFmt w:val="chineseCounting"/>
      <w:suff w:val="nothing"/>
      <w:lvlText w:val="%1、"/>
      <w:lvlJc w:val="left"/>
      <w:rPr>
        <w:rFonts w:hint="eastAsia"/>
      </w:rPr>
    </w:lvl>
  </w:abstractNum>
  <w:abstractNum w:abstractNumId="3">
    <w:nsid w:val="FC86188D"/>
    <w:multiLevelType w:val="singleLevel"/>
    <w:tmpl w:val="FC86188D"/>
    <w:lvl w:ilvl="0" w:tentative="0">
      <w:start w:val="1"/>
      <w:numFmt w:val="decimal"/>
      <w:suff w:val="nothing"/>
      <w:lvlText w:val="%1、"/>
      <w:lvlJc w:val="left"/>
      <w:pPr>
        <w:ind w:left="641" w:firstLine="0"/>
      </w:pPr>
    </w:lvl>
  </w:abstractNum>
  <w:abstractNum w:abstractNumId="4">
    <w:nsid w:val="4C5A2D8D"/>
    <w:multiLevelType w:val="singleLevel"/>
    <w:tmpl w:val="4C5A2D8D"/>
    <w:lvl w:ilvl="0" w:tentative="0">
      <w:start w:val="2"/>
      <w:numFmt w:val="chineseCounting"/>
      <w:suff w:val="nothing"/>
      <w:lvlText w:val="（%1）"/>
      <w:lvlJc w:val="left"/>
      <w:rPr>
        <w:rFonts w:hint="eastAsia"/>
      </w:rPr>
    </w:lvl>
  </w:abstractNum>
  <w:abstractNum w:abstractNumId="5">
    <w:nsid w:val="5C27DB67"/>
    <w:multiLevelType w:val="singleLevel"/>
    <w:tmpl w:val="5C27DB67"/>
    <w:lvl w:ilvl="0" w:tentative="0">
      <w:start w:val="2"/>
      <w:numFmt w:val="decimal"/>
      <w:lvlText w:val="%1."/>
      <w:lvlJc w:val="left"/>
      <w:pPr>
        <w:tabs>
          <w:tab w:val="left" w:pos="312"/>
        </w:tabs>
      </w:pPr>
    </w:lvl>
  </w:abstractNum>
  <w:abstractNum w:abstractNumId="6">
    <w:nsid w:val="770F5496"/>
    <w:multiLevelType w:val="singleLevel"/>
    <w:tmpl w:val="770F5496"/>
    <w:lvl w:ilvl="0" w:tentative="0">
      <w:start w:val="1"/>
      <w:numFmt w:val="chineseCounting"/>
      <w:suff w:val="nothing"/>
      <w:lvlText w:val="（%1）"/>
      <w:lvlJc w:val="left"/>
      <w:rPr>
        <w:rFonts w:hint="eastAsia"/>
      </w:rPr>
    </w:lvl>
  </w:abstractNum>
  <w:num w:numId="1">
    <w:abstractNumId w:val="2"/>
  </w:num>
  <w:num w:numId="2">
    <w:abstractNumId w:val="4"/>
  </w:num>
  <w:num w:numId="3">
    <w:abstractNumId w:val="6"/>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ZkMGE5ZjIxY2RkNDUzY2UwN2E5YjY4OTAyZWFkZjAifQ=="/>
  </w:docVars>
  <w:rsids>
    <w:rsidRoot w:val="003C18E4"/>
    <w:rsid w:val="0020667E"/>
    <w:rsid w:val="003C18E4"/>
    <w:rsid w:val="005E171C"/>
    <w:rsid w:val="0066072D"/>
    <w:rsid w:val="00873850"/>
    <w:rsid w:val="00957591"/>
    <w:rsid w:val="00C66B65"/>
    <w:rsid w:val="00E4357F"/>
    <w:rsid w:val="00E82134"/>
    <w:rsid w:val="014E403B"/>
    <w:rsid w:val="029C38E3"/>
    <w:rsid w:val="059C5BCD"/>
    <w:rsid w:val="0D5C0EC6"/>
    <w:rsid w:val="0F034C87"/>
    <w:rsid w:val="139C63EA"/>
    <w:rsid w:val="15C84C56"/>
    <w:rsid w:val="1A772A39"/>
    <w:rsid w:val="1A9829AF"/>
    <w:rsid w:val="1E7B435A"/>
    <w:rsid w:val="20286B8B"/>
    <w:rsid w:val="22B336F2"/>
    <w:rsid w:val="2BB806B3"/>
    <w:rsid w:val="37AB6C09"/>
    <w:rsid w:val="41223A9D"/>
    <w:rsid w:val="432B647E"/>
    <w:rsid w:val="465F41FD"/>
    <w:rsid w:val="49282FCC"/>
    <w:rsid w:val="4A6E0B7E"/>
    <w:rsid w:val="51295155"/>
    <w:rsid w:val="567C4958"/>
    <w:rsid w:val="5C446CAB"/>
    <w:rsid w:val="5D4F4FE1"/>
    <w:rsid w:val="5D567203"/>
    <w:rsid w:val="5DBC7D30"/>
    <w:rsid w:val="64025412"/>
    <w:rsid w:val="681503E6"/>
    <w:rsid w:val="7186175B"/>
    <w:rsid w:val="73DA398A"/>
    <w:rsid w:val="7C215077"/>
    <w:rsid w:val="7E1A042F"/>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1434</Words>
  <Characters>1489</Characters>
  <Lines>15</Lines>
  <Paragraphs>4</Paragraphs>
  <TotalTime>1</TotalTime>
  <ScaleCrop>false</ScaleCrop>
  <LinksUpToDate>false</LinksUpToDate>
  <CharactersWithSpaces>1495</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mzgs</cp:lastModifiedBy>
  <cp:lastPrinted>2020-08-04T01:52:00Z</cp:lastPrinted>
  <dcterms:modified xsi:type="dcterms:W3CDTF">2022-06-23T08:26:25Z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A51136F80234415E964CB3C44343008B</vt:lpwstr>
  </property>
</Properties>
</file>