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11"/>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11"/>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lang w:val="en-US" w:eastAsia="zh-CN"/>
        </w:rPr>
        <w:t xml:space="preserve">    </w:t>
      </w:r>
      <w:r>
        <w:rPr>
          <w:rFonts w:hint="eastAsia" w:ascii="仿宋_GB2312" w:hAnsi="宋体"/>
        </w:rPr>
        <w:t>（2020年市场监管应急专项资金预算）</w:t>
      </w:r>
    </w:p>
    <w:p>
      <w:pPr>
        <w:adjustRightInd w:val="0"/>
        <w:ind w:firstLine="640" w:firstLineChars="200"/>
        <w:rPr>
          <w:rFonts w:eastAsia="方正黑体简体"/>
          <w:lang w:val="zh-CN"/>
        </w:rPr>
      </w:pPr>
      <w:r>
        <w:rPr>
          <w:rFonts w:eastAsia="方正黑体简体"/>
        </w:rPr>
        <w:t>一、</w:t>
      </w:r>
      <w:r>
        <w:rPr>
          <w:rFonts w:eastAsia="方正黑体简体"/>
          <w:lang w:val="zh-CN"/>
        </w:rPr>
        <w:t>项目概况</w:t>
      </w:r>
    </w:p>
    <w:p>
      <w:pPr>
        <w:pStyle w:val="2"/>
        <w:ind w:firstLine="643" w:firstLineChars="200"/>
        <w:rPr>
          <w:rFonts w:hint="eastAsia" w:ascii="楷体_GB2312" w:hAnsi="宋体" w:eastAsia="楷体_GB2312" w:cs="Times New Roman"/>
          <w:b/>
          <w:kern w:val="2"/>
          <w:sz w:val="32"/>
          <w:szCs w:val="32"/>
          <w:lang w:val="en-US" w:eastAsia="zh-CN" w:bidi="ar-SA"/>
        </w:rPr>
      </w:pPr>
      <w:r>
        <w:rPr>
          <w:rFonts w:hint="eastAsia" w:ascii="楷体_GB2312" w:hAnsi="宋体" w:eastAsia="楷体_GB2312" w:cs="Times New Roman"/>
          <w:b/>
          <w:kern w:val="2"/>
          <w:sz w:val="32"/>
          <w:szCs w:val="32"/>
          <w:lang w:val="en-US" w:eastAsia="zh-CN" w:bidi="ar-SA"/>
        </w:rPr>
        <w:t>（一）项目基本情况。</w:t>
      </w:r>
    </w:p>
    <w:p>
      <w:pPr>
        <w:pStyle w:val="2"/>
        <w:ind w:firstLine="640" w:firstLineChars="200"/>
        <w:rPr>
          <w:lang w:val="zh-CN"/>
        </w:rPr>
      </w:pPr>
      <w:r>
        <w:rPr>
          <w:rFonts w:hint="eastAsia" w:ascii="仿宋_GB2312" w:hAnsi="宋体" w:eastAsia="仿宋_GB2312" w:cs="Times New Roman"/>
          <w:color w:val="auto"/>
          <w:kern w:val="2"/>
          <w:sz w:val="32"/>
          <w:szCs w:val="32"/>
          <w:lang w:val="zh-CN" w:eastAsia="zh-CN" w:bidi="ar-SA"/>
        </w:rPr>
        <w:t>按照《四川省财政厅、四川省市场监督管理局关于下达2020年市场监管应急专项资金预算的通知》（川财行〔2020〕168号），下达省级专项资金10万元，用于市场综合监管工作等方面，符合资金管理办法等相关规定。</w:t>
      </w:r>
    </w:p>
    <w:p>
      <w:pPr>
        <w:numPr>
          <w:ilvl w:val="0"/>
          <w:numId w:val="1"/>
        </w:numPr>
        <w:adjustRightInd w:val="0"/>
        <w:ind w:firstLine="643" w:firstLineChars="200"/>
        <w:rPr>
          <w:rFonts w:hint="eastAsia" w:ascii="楷体_GB2312" w:hAnsi="宋体" w:eastAsia="楷体_GB2312" w:cs="Times New Roman"/>
          <w:b/>
          <w:color w:val="000000"/>
          <w:kern w:val="2"/>
          <w:sz w:val="32"/>
          <w:szCs w:val="32"/>
          <w:lang w:val="zh-CN" w:eastAsia="zh-CN" w:bidi="ar-SA"/>
        </w:rPr>
      </w:pPr>
      <w:r>
        <w:rPr>
          <w:rFonts w:hint="eastAsia" w:ascii="楷体_GB2312" w:hAnsi="宋体" w:eastAsia="楷体_GB2312" w:cs="Times New Roman"/>
          <w:b/>
          <w:color w:val="000000"/>
          <w:kern w:val="2"/>
          <w:sz w:val="32"/>
          <w:szCs w:val="32"/>
          <w:lang w:val="zh-CN" w:eastAsia="zh-CN" w:bidi="ar-SA"/>
        </w:rPr>
        <w:t>项目绩效目标。</w:t>
      </w:r>
    </w:p>
    <w:p>
      <w:pPr>
        <w:numPr>
          <w:ilvl w:val="0"/>
          <w:numId w:val="0"/>
        </w:numPr>
        <w:adjustRightInd w:val="0"/>
        <w:snapToGrid w:val="0"/>
        <w:spacing w:line="560" w:lineRule="exact"/>
        <w:ind w:firstLine="640" w:firstLineChars="200"/>
        <w:rPr>
          <w:rFonts w:ascii="仿宋_GB2312" w:hAnsi="宋体"/>
          <w:lang w:val="zh-CN"/>
        </w:rPr>
      </w:pPr>
      <w:r>
        <w:rPr>
          <w:rFonts w:hint="eastAsia" w:ascii="仿宋_GB2312" w:hAnsi="宋体"/>
          <w:lang w:val="zh-CN"/>
        </w:rPr>
        <w:t>围绕年度重点工作，深入实施质量强市战略，全面提升全市市场监管能力。严守食品、重要工业产品质量、特种设备三条安全底线。开展“春雷行动”、打击反垄断和反不正当竞争行为、强化价格监管和收费行为治理、加强网络和合同监管、深入推进简政放权，深化商事制度改革，促进优化营商环境，促进民营经济健康发展。</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ind w:firstLine="640" w:firstLineChars="200"/>
        <w:rPr>
          <w:rFonts w:eastAsia="方正黑体简体"/>
        </w:rPr>
      </w:pPr>
      <w:r>
        <w:rPr>
          <w:rFonts w:eastAsia="方正黑体简体"/>
        </w:rPr>
        <w:t>二、项目实施及管理情况</w:t>
      </w:r>
    </w:p>
    <w:p>
      <w:pPr>
        <w:pStyle w:val="14"/>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eastAsia="方正楷体简体"/>
          <w:b/>
          <w:lang w:val="zh-CN"/>
        </w:rPr>
      </w:pPr>
      <w:r>
        <w:rPr>
          <w:rFonts w:eastAsia="方正楷体简体"/>
          <w:b/>
          <w:lang w:val="zh-CN"/>
        </w:rPr>
        <w:tab/>
      </w:r>
      <w:r>
        <w:rPr>
          <w:rFonts w:hint="eastAsia" w:ascii="楷体_GB2312" w:hAnsi="宋体" w:eastAsia="楷体_GB2312"/>
          <w:b/>
          <w:highlight w:val="none"/>
          <w:lang w:val="zh-CN"/>
        </w:rPr>
        <w:t>（一）项目资金申报及批复情况。</w:t>
      </w:r>
    </w:p>
    <w:p>
      <w:pPr>
        <w:spacing w:line="520" w:lineRule="exact"/>
        <w:ind w:firstLine="640" w:firstLineChars="200"/>
        <w:rPr>
          <w:rFonts w:ascii="仿宋" w:hAnsi="仿宋" w:eastAsia="仿宋" w:cs="仿宋"/>
          <w:color w:val="333333"/>
          <w:kern w:val="0"/>
          <w:shd w:val="clear" w:color="auto" w:fill="FFFFFF"/>
          <w:lang w:val="zh-CN"/>
        </w:rPr>
      </w:pPr>
      <w:r>
        <w:rPr>
          <w:rFonts w:hint="eastAsia" w:ascii="仿宋" w:hAnsi="仿宋" w:eastAsia="仿宋" w:cs="仿宋"/>
          <w:color w:val="333333"/>
          <w:kern w:val="0"/>
          <w:shd w:val="clear" w:color="auto" w:fill="FFFFFF"/>
          <w:lang w:val="zh-CN"/>
        </w:rPr>
        <w:t>结转</w:t>
      </w:r>
      <w:r>
        <w:rPr>
          <w:rFonts w:hint="eastAsia" w:ascii="仿宋_GB2312" w:hAnsi="宋体"/>
        </w:rPr>
        <w:t>2020年市场监管应急专项资金预算</w:t>
      </w:r>
      <w:r>
        <w:rPr>
          <w:rFonts w:hint="eastAsia" w:ascii="仿宋_GB2312" w:hAnsi="宋体"/>
          <w:lang w:val="en-US" w:eastAsia="zh-CN"/>
        </w:rPr>
        <w:t>10</w:t>
      </w:r>
      <w:r>
        <w:rPr>
          <w:rFonts w:hint="eastAsia" w:ascii="仿宋" w:hAnsi="仿宋" w:eastAsia="仿宋" w:cs="仿宋"/>
          <w:color w:val="333333"/>
          <w:kern w:val="0"/>
          <w:shd w:val="clear" w:color="auto" w:fill="FFFFFF"/>
          <w:lang w:val="zh-CN"/>
        </w:rPr>
        <w:t>万，主要用于市场综合监管专项整治，资金到位率达100%。</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adjustRightInd w:val="0"/>
        <w:ind w:firstLine="640" w:firstLineChars="200"/>
        <w:rPr>
          <w:rFonts w:ascii="仿宋" w:hAnsi="仿宋" w:eastAsia="仿宋" w:cs="仿宋"/>
          <w:color w:val="333333"/>
          <w:kern w:val="0"/>
          <w:shd w:val="clear" w:color="auto" w:fill="FFFFFF"/>
          <w:lang w:val="zh-CN"/>
        </w:rPr>
      </w:pPr>
      <w:r>
        <w:rPr>
          <w:rFonts w:hint="eastAsia" w:ascii="仿宋" w:hAnsi="仿宋" w:eastAsia="仿宋" w:cs="仿宋"/>
          <w:color w:val="333333"/>
          <w:kern w:val="0"/>
          <w:shd w:val="clear" w:color="auto" w:fill="FFFFFF"/>
          <w:lang w:val="zh-CN"/>
        </w:rPr>
        <w:t>结转</w:t>
      </w:r>
      <w:r>
        <w:rPr>
          <w:rFonts w:hint="eastAsia" w:ascii="仿宋_GB2312" w:hAnsi="宋体"/>
        </w:rPr>
        <w:t>2020年市场监管应急专项资金预算</w:t>
      </w:r>
      <w:r>
        <w:rPr>
          <w:rFonts w:hint="eastAsia" w:ascii="仿宋" w:hAnsi="仿宋" w:eastAsia="仿宋" w:cs="仿宋"/>
          <w:color w:val="333333"/>
          <w:kern w:val="0"/>
          <w:shd w:val="clear" w:color="auto" w:fill="FFFFFF"/>
        </w:rPr>
        <w:t>实际到位</w:t>
      </w:r>
      <w:r>
        <w:rPr>
          <w:rFonts w:hint="eastAsia" w:ascii="仿宋" w:hAnsi="仿宋" w:eastAsia="仿宋" w:cs="仿宋"/>
          <w:color w:val="333333"/>
          <w:kern w:val="0"/>
          <w:shd w:val="clear" w:color="auto" w:fill="FFFFFF"/>
          <w:lang w:val="en-US" w:eastAsia="zh-CN"/>
        </w:rPr>
        <w:t>10</w:t>
      </w:r>
      <w:r>
        <w:rPr>
          <w:rFonts w:hint="eastAsia" w:ascii="仿宋" w:hAnsi="仿宋" w:eastAsia="仿宋" w:cs="仿宋"/>
          <w:color w:val="333333"/>
          <w:kern w:val="0"/>
          <w:shd w:val="clear" w:color="auto" w:fill="FFFFFF"/>
        </w:rPr>
        <w:t>万元，</w:t>
      </w:r>
      <w:r>
        <w:rPr>
          <w:rFonts w:hint="eastAsia" w:ascii="仿宋" w:hAnsi="仿宋" w:eastAsia="仿宋" w:cs="仿宋"/>
          <w:color w:val="333333"/>
          <w:kern w:val="0"/>
          <w:shd w:val="clear" w:color="auto" w:fill="FFFFFF"/>
          <w:lang w:val="zh-CN"/>
        </w:rPr>
        <w:t>截止</w:t>
      </w:r>
      <w:r>
        <w:rPr>
          <w:rFonts w:hint="eastAsia" w:ascii="仿宋" w:hAnsi="仿宋" w:eastAsia="仿宋" w:cs="仿宋"/>
          <w:color w:val="333333"/>
          <w:kern w:val="0"/>
          <w:shd w:val="clear" w:color="auto" w:fill="FFFFFF"/>
        </w:rPr>
        <w:t>2021年</w:t>
      </w:r>
      <w:r>
        <w:rPr>
          <w:rFonts w:hint="eastAsia" w:ascii="仿宋" w:hAnsi="仿宋" w:eastAsia="仿宋" w:cs="仿宋"/>
          <w:color w:val="333333"/>
          <w:kern w:val="0"/>
          <w:shd w:val="clear" w:color="auto" w:fill="FFFFFF"/>
          <w:lang w:val="en-US" w:eastAsia="zh-CN"/>
        </w:rPr>
        <w:t>12</w:t>
      </w:r>
      <w:r>
        <w:rPr>
          <w:rFonts w:hint="eastAsia" w:ascii="仿宋" w:hAnsi="仿宋" w:eastAsia="仿宋" w:cs="仿宋"/>
          <w:color w:val="333333"/>
          <w:kern w:val="0"/>
          <w:shd w:val="clear" w:color="auto" w:fill="FFFFFF"/>
        </w:rPr>
        <w:t>月3</w:t>
      </w:r>
      <w:r>
        <w:rPr>
          <w:rFonts w:hint="eastAsia" w:ascii="仿宋" w:hAnsi="仿宋" w:eastAsia="仿宋" w:cs="仿宋"/>
          <w:color w:val="333333"/>
          <w:kern w:val="0"/>
          <w:shd w:val="clear" w:color="auto" w:fill="FFFFFF"/>
          <w:lang w:val="en-US" w:eastAsia="zh-CN"/>
        </w:rPr>
        <w:t>1</w:t>
      </w:r>
      <w:r>
        <w:rPr>
          <w:rFonts w:hint="eastAsia" w:ascii="仿宋" w:hAnsi="仿宋" w:eastAsia="仿宋" w:cs="仿宋"/>
          <w:color w:val="333333"/>
          <w:kern w:val="0"/>
          <w:shd w:val="clear" w:color="auto" w:fill="FFFFFF"/>
        </w:rPr>
        <w:t>日，专项资金实际支付</w:t>
      </w:r>
      <w:r>
        <w:rPr>
          <w:rFonts w:hint="eastAsia" w:ascii="仿宋" w:hAnsi="仿宋" w:eastAsia="仿宋" w:cs="仿宋"/>
          <w:color w:val="333333"/>
          <w:kern w:val="0"/>
          <w:shd w:val="clear" w:color="auto" w:fill="FFFFFF"/>
          <w:lang w:val="en-US" w:eastAsia="zh-CN"/>
        </w:rPr>
        <w:t>10</w:t>
      </w:r>
      <w:r>
        <w:rPr>
          <w:rFonts w:hint="eastAsia" w:ascii="仿宋" w:hAnsi="仿宋" w:eastAsia="仿宋" w:cs="仿宋"/>
          <w:color w:val="333333"/>
          <w:kern w:val="0"/>
          <w:shd w:val="clear" w:color="auto" w:fill="FFFFFF"/>
        </w:rPr>
        <w:t>万元，具体用于</w:t>
      </w:r>
      <w:r>
        <w:rPr>
          <w:rFonts w:hint="eastAsia" w:ascii="仿宋" w:hAnsi="仿宋" w:eastAsia="仿宋" w:cs="仿宋"/>
          <w:color w:val="333333"/>
          <w:kern w:val="0"/>
          <w:shd w:val="clear" w:color="auto" w:fill="FFFFFF"/>
          <w:lang w:val="zh-CN"/>
        </w:rPr>
        <w:t>市场综合监管专项整治</w:t>
      </w:r>
      <w:r>
        <w:rPr>
          <w:rFonts w:hint="eastAsia" w:ascii="仿宋" w:hAnsi="仿宋" w:eastAsia="仿宋" w:cs="仿宋"/>
          <w:color w:val="333333"/>
          <w:kern w:val="0"/>
          <w:shd w:val="clear" w:color="auto" w:fill="FFFFFF"/>
        </w:rPr>
        <w:t>方面</w:t>
      </w:r>
      <w:r>
        <w:rPr>
          <w:rFonts w:hint="eastAsia" w:ascii="仿宋" w:hAnsi="仿宋" w:eastAsia="仿宋" w:cs="仿宋"/>
          <w:color w:val="333333"/>
          <w:kern w:val="0"/>
          <w:shd w:val="clear" w:color="auto" w:fill="FFFFFF"/>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adjustRightInd w:val="0"/>
        <w:ind w:firstLine="643" w:firstLineChars="200"/>
        <w:rPr>
          <w:rFonts w:eastAsia="方正楷体简体"/>
          <w:b/>
          <w:lang w:val="zh-CN"/>
        </w:rPr>
      </w:pPr>
      <w:r>
        <w:rPr>
          <w:rFonts w:hint="eastAsia" w:eastAsia="方正楷体简体"/>
          <w:b/>
          <w:lang w:val="zh-CN"/>
        </w:rPr>
        <w:t>三、</w:t>
      </w:r>
      <w:bookmarkStart w:id="0" w:name="_GoBack"/>
      <w:bookmarkEnd w:id="0"/>
      <w:r>
        <w:rPr>
          <w:rFonts w:eastAsia="方正楷体简体"/>
          <w:b/>
          <w:lang w:val="zh-CN"/>
        </w:rPr>
        <w:t>项目组织实施情况。</w:t>
      </w:r>
    </w:p>
    <w:p>
      <w:pPr>
        <w:keepNext w:val="0"/>
        <w:keepLines w:val="0"/>
        <w:pageBreakBefore w:val="0"/>
        <w:numPr>
          <w:ilvl w:val="0"/>
          <w:numId w:val="2"/>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2020年省级知识产权专项（专项奖励激励）</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ind w:firstLine="640" w:firstLineChars="200"/>
        <w:rPr>
          <w:rFonts w:eastAsia="方正黑体简体"/>
        </w:rPr>
      </w:pPr>
      <w:r>
        <w:rPr>
          <w:rFonts w:eastAsia="方正黑体简体"/>
        </w:rPr>
        <w:t>三、项目绩效情况</w:t>
      </w:r>
      <w:r>
        <w:rPr>
          <w:rFonts w:eastAsia="方正黑体简体"/>
        </w:rPr>
        <w:tab/>
      </w:r>
    </w:p>
    <w:p>
      <w:pPr>
        <w:adjustRightInd w:val="0"/>
        <w:ind w:firstLine="643" w:firstLineChars="200"/>
        <w:rPr>
          <w:rFonts w:eastAsia="方正楷体简体"/>
          <w:b/>
          <w:lang w:val="zh-CN"/>
        </w:rPr>
      </w:pPr>
      <w:r>
        <w:rPr>
          <w:rFonts w:eastAsia="方正楷体简体"/>
          <w:b/>
          <w:lang w:val="zh-CN"/>
        </w:rPr>
        <w:t>（一）项目完成情况。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（1）数量指标。</w:t>
      </w:r>
    </w:p>
    <w:p>
      <w:pPr>
        <w:ind w:firstLine="729" w:firstLineChars="228"/>
        <w:rPr>
          <w:rFonts w:hint="eastAsia" w:ascii="仿宋_GB2312" w:eastAsia="仿宋"/>
          <w:lang w:eastAsia="zh-CN"/>
        </w:rPr>
      </w:pPr>
      <w:r>
        <w:rPr>
          <w:rFonts w:hint="eastAsia" w:ascii="仿宋" w:hAnsi="仿宋" w:eastAsia="仿宋"/>
        </w:rPr>
        <w:t>202</w:t>
      </w:r>
      <w:r>
        <w:rPr>
          <w:rFonts w:hint="eastAsia" w:ascii="仿宋" w:hAnsi="仿宋" w:eastAsia="仿宋"/>
          <w:lang w:val="en-US" w:eastAsia="zh-CN"/>
        </w:rPr>
        <w:t>1</w:t>
      </w:r>
      <w:r>
        <w:rPr>
          <w:rFonts w:hint="eastAsia" w:ascii="仿宋" w:hAnsi="仿宋" w:eastAsia="仿宋"/>
        </w:rPr>
        <w:t>年全面完成目标，具体情况如下：一、完成县本级食品安全监督抽检</w:t>
      </w:r>
      <w:r>
        <w:rPr>
          <w:rFonts w:hint="eastAsia" w:ascii="仿宋" w:hAnsi="仿宋" w:eastAsia="仿宋"/>
          <w:lang w:val="en-US" w:eastAsia="zh-CN"/>
        </w:rPr>
        <w:t>20</w:t>
      </w:r>
      <w:r>
        <w:rPr>
          <w:rFonts w:hint="eastAsia" w:ascii="仿宋" w:hAnsi="仿宋" w:eastAsia="仿宋"/>
        </w:rPr>
        <w:t>批次</w:t>
      </w:r>
      <w:r>
        <w:rPr>
          <w:rFonts w:hint="eastAsia" w:ascii="仿宋" w:hAnsi="仿宋" w:eastAsia="仿宋"/>
          <w:lang w:eastAsia="zh-CN"/>
        </w:rPr>
        <w:t>（白酒专项抽检）。</w:t>
      </w:r>
    </w:p>
    <w:p>
      <w:pPr>
        <w:numPr>
          <w:ilvl w:val="0"/>
          <w:numId w:val="3"/>
        </w:numPr>
        <w:spacing w:line="520" w:lineRule="exact"/>
        <w:ind w:firstLine="592"/>
        <w:rPr>
          <w:rFonts w:ascii="仿宋_GB2312" w:eastAsia="仿宋_GB2312"/>
        </w:rPr>
      </w:pPr>
      <w:r>
        <w:rPr>
          <w:rFonts w:hint="eastAsia" w:ascii="仿宋_GB2312" w:eastAsia="仿宋_GB2312"/>
        </w:rPr>
        <w:t>质量指标。</w:t>
      </w:r>
    </w:p>
    <w:p>
      <w:pPr>
        <w:pStyle w:val="2"/>
        <w:ind w:firstLine="640" w:firstLineChars="200"/>
        <w:rPr>
          <w:rFonts w:ascii="仿宋_GB2312" w:eastAsia="仿宋_GB2312"/>
          <w:sz w:val="32"/>
        </w:rPr>
      </w:pPr>
      <w:r>
        <w:rPr>
          <w:rFonts w:hint="eastAsia" w:ascii="仿宋_GB2312" w:eastAsia="仿宋_GB2312"/>
          <w:sz w:val="32"/>
        </w:rPr>
        <w:t>一是开展重点食品专项监督抽检，开展餐饮量化分级和风险分级评定，根据评定结果，制定有针对性的监管措施，达到监管效能最大化。</w:t>
      </w:r>
    </w:p>
    <w:p>
      <w:pPr>
        <w:widowControl/>
        <w:ind w:firstLine="640" w:firstLineChars="200"/>
        <w:jc w:val="left"/>
        <w:rPr>
          <w:rFonts w:ascii="仿宋_GB2312" w:eastAsia="仿宋_GB2312"/>
          <w:spacing w:val="6"/>
        </w:rPr>
      </w:pPr>
      <w:r>
        <w:rPr>
          <w:rFonts w:hint="eastAsia" w:ascii="仿宋_GB2312" w:eastAsia="仿宋_GB2312"/>
        </w:rPr>
        <w:t>二是</w:t>
      </w:r>
      <w:r>
        <w:rPr>
          <w:rFonts w:hint="eastAsia" w:ascii="仿宋_GB2312" w:eastAsia="仿宋_GB2312"/>
          <w:spacing w:val="6"/>
        </w:rPr>
        <w:t>着力提升特种设备安全监管能力。全面推</w:t>
      </w:r>
      <w:r>
        <w:rPr>
          <w:rFonts w:hint="eastAsia" w:ascii="仿宋_GB2312" w:eastAsia="仿宋_GB2312"/>
        </w:rPr>
        <w:t>行特种设备使用安全清单制管理，</w:t>
      </w:r>
      <w:r>
        <w:rPr>
          <w:rFonts w:hint="eastAsia" w:ascii="仿宋_GB2312" w:eastAsia="仿宋_GB2312"/>
          <w:spacing w:val="6"/>
        </w:rPr>
        <w:t>扎实推进全市特种设备安全隐患排查治理工作，发现安全隐患，已责令相关单位限期整改。</w:t>
      </w:r>
    </w:p>
    <w:p>
      <w:pPr>
        <w:widowControl/>
        <w:ind w:firstLine="640" w:firstLineChars="200"/>
        <w:jc w:val="left"/>
        <w:rPr>
          <w:rFonts w:ascii="仿宋_GB2312" w:eastAsia="仿宋_GB2312"/>
        </w:rPr>
      </w:pPr>
      <w:r>
        <w:rPr>
          <w:rFonts w:hint="eastAsia" w:ascii="仿宋_GB2312" w:eastAsia="仿宋_GB2312"/>
        </w:rPr>
        <w:t>三是坚持打规并举整治市场秩序，严惩违法违规行为，保障公平竞争秩序，营造安全放心的消费环境。聚焦重点开展专项整治。紧扣“重拳出击治乱象、凝心聚力护民生”行动主题，集中开展“春雷行动202</w:t>
      </w:r>
      <w:r>
        <w:rPr>
          <w:rFonts w:hint="eastAsia" w:ascii="仿宋_GB2312"/>
          <w:lang w:val="en-US" w:eastAsia="zh-CN"/>
        </w:rPr>
        <w:t>1</w:t>
      </w:r>
      <w:r>
        <w:rPr>
          <w:rFonts w:hint="eastAsia" w:ascii="仿宋_GB2312" w:eastAsia="仿宋_GB2312"/>
        </w:rPr>
        <w:t>”，改善消费环境。</w:t>
      </w:r>
    </w:p>
    <w:p>
      <w:pPr>
        <w:pStyle w:val="2"/>
        <w:ind w:firstLine="640" w:firstLineChars="200"/>
        <w:rPr>
          <w:rFonts w:ascii="仿宋_GB2312" w:eastAsia="仿宋_GB2312"/>
          <w:sz w:val="32"/>
        </w:rPr>
      </w:pPr>
      <w:r>
        <w:rPr>
          <w:rFonts w:hint="eastAsia" w:ascii="仿宋_GB2312" w:eastAsia="仿宋_GB2312" w:cs="Times New Roman"/>
          <w:color w:val="auto"/>
          <w:kern w:val="2"/>
          <w:sz w:val="32"/>
        </w:rPr>
        <w:t>四是认真开展“双随机、一公开”工作，落实企业信息公示、企业经营异常名录、严重违法企业名单等制度，促进企业诚信守法。</w:t>
      </w:r>
    </w:p>
    <w:p>
      <w:pPr>
        <w:spacing w:line="520" w:lineRule="exact"/>
        <w:ind w:firstLine="592"/>
        <w:rPr>
          <w:rFonts w:ascii="仿宋_GB2312" w:eastAsia="仿宋_GB2312"/>
        </w:rPr>
      </w:pPr>
      <w:r>
        <w:rPr>
          <w:rFonts w:hint="eastAsia" w:ascii="仿宋_GB2312" w:eastAsia="仿宋_GB2312"/>
        </w:rPr>
        <w:t>（3）时效指标。</w:t>
      </w:r>
    </w:p>
    <w:p>
      <w:pPr>
        <w:spacing w:line="520" w:lineRule="exact"/>
        <w:ind w:firstLine="592"/>
        <w:rPr>
          <w:rFonts w:ascii="仿宋_GB2312" w:eastAsia="仿宋_GB2312"/>
        </w:rPr>
      </w:pPr>
      <w:r>
        <w:rPr>
          <w:rFonts w:hint="eastAsia" w:ascii="仿宋_GB2312" w:eastAsia="仿宋_GB2312"/>
        </w:rPr>
        <w:t>截止202</w:t>
      </w:r>
      <w:r>
        <w:rPr>
          <w:rFonts w:hint="eastAsia" w:ascii="仿宋_GB2312"/>
          <w:lang w:val="en-US" w:eastAsia="zh-CN"/>
        </w:rPr>
        <w:t>1</w:t>
      </w:r>
      <w:r>
        <w:rPr>
          <w:rFonts w:hint="eastAsia" w:ascii="仿宋_GB2312" w:eastAsia="仿宋_GB2312"/>
        </w:rPr>
        <w:t>年12月31日执行完成。</w:t>
      </w:r>
    </w:p>
    <w:p>
      <w:pPr>
        <w:spacing w:line="520" w:lineRule="exact"/>
        <w:ind w:firstLine="592"/>
        <w:rPr>
          <w:rFonts w:ascii="仿宋_GB2312" w:eastAsia="仿宋_GB2312"/>
        </w:rPr>
      </w:pPr>
      <w:r>
        <w:rPr>
          <w:rFonts w:hint="eastAsia" w:ascii="仿宋_GB2312" w:eastAsia="仿宋_GB2312"/>
        </w:rPr>
        <w:t>（4）成本指标。</w:t>
      </w:r>
    </w:p>
    <w:p>
      <w:pPr>
        <w:spacing w:line="520" w:lineRule="exact"/>
        <w:ind w:firstLine="592"/>
        <w:rPr>
          <w:rFonts w:eastAsia="方正楷体简体"/>
          <w:b/>
          <w:color w:val="auto"/>
          <w:highlight w:val="yellow"/>
          <w:lang w:val="zh-CN"/>
        </w:rPr>
      </w:pPr>
      <w:r>
        <w:rPr>
          <w:rFonts w:hint="eastAsia" w:ascii="仿宋_GB2312" w:eastAsia="仿宋_GB2312"/>
          <w:color w:val="auto"/>
        </w:rPr>
        <w:t>控制核查检查成本低于400元/人.天。</w:t>
      </w:r>
    </w:p>
    <w:p>
      <w:pPr>
        <w:numPr>
          <w:ilvl w:val="0"/>
          <w:numId w:val="1"/>
        </w:numPr>
        <w:adjustRightInd w:val="0"/>
        <w:ind w:firstLine="643" w:firstLineChars="200"/>
        <w:rPr>
          <w:rFonts w:eastAsia="方正楷体简体"/>
          <w:b/>
          <w:lang w:val="zh-CN"/>
        </w:rPr>
      </w:pPr>
      <w:r>
        <w:rPr>
          <w:rFonts w:eastAsia="方正楷体简体"/>
          <w:b/>
          <w:lang w:val="zh-CN"/>
        </w:rPr>
        <w:t>项目效益情况。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（1）经济效益。</w:t>
      </w:r>
    </w:p>
    <w:p>
      <w:pPr>
        <w:tabs>
          <w:tab w:val="left" w:pos="6425"/>
        </w:tabs>
        <w:ind w:left="640" w:leftChars="200"/>
        <w:outlineLvl w:val="0"/>
        <w:rPr>
          <w:rFonts w:ascii="仿宋_GB2312" w:hAnsi="Calibri" w:eastAsia="仿宋_GB2312"/>
        </w:rPr>
      </w:pPr>
      <w:r>
        <w:rPr>
          <w:rFonts w:hint="eastAsia" w:ascii="仿宋" w:hAnsi="仿宋" w:eastAsia="仿宋"/>
        </w:rPr>
        <w:t xml:space="preserve">规范行业经营行为，促进行业经济健康稳定发展。        </w:t>
      </w:r>
      <w:r>
        <w:rPr>
          <w:rFonts w:hint="eastAsia" w:ascii="仿宋_GB2312" w:hAnsi="Calibri" w:eastAsia="仿宋_GB2312"/>
        </w:rPr>
        <w:t>（2）社会效益。</w:t>
      </w:r>
    </w:p>
    <w:p>
      <w:pPr>
        <w:ind w:firstLine="640" w:firstLineChars="200"/>
        <w:rPr>
          <w:rFonts w:ascii="仿宋_GB2312" w:eastAsia="仿宋_GB2312"/>
        </w:rPr>
      </w:pPr>
      <w:r>
        <w:rPr>
          <w:rFonts w:hint="eastAsia" w:ascii="仿宋_GB2312" w:eastAsia="仿宋_GB2312"/>
        </w:rPr>
        <w:t>保障公平竞争秩序，营造了良好营商环境。</w:t>
      </w:r>
    </w:p>
    <w:p>
      <w:pPr>
        <w:tabs>
          <w:tab w:val="left" w:pos="6425"/>
        </w:tabs>
        <w:ind w:firstLine="640" w:firstLineChars="200"/>
        <w:outlineLvl w:val="0"/>
        <w:rPr>
          <w:rFonts w:ascii="仿宋_GB2312" w:hAnsi="Calibri" w:eastAsia="仿宋_GB2312"/>
          <w:color w:val="auto"/>
        </w:rPr>
      </w:pPr>
      <w:r>
        <w:rPr>
          <w:rFonts w:hint="eastAsia" w:ascii="仿宋_GB2312" w:hAnsi="Calibri" w:eastAsia="仿宋_GB2312"/>
          <w:color w:val="auto"/>
          <w:lang w:eastAsia="zh-CN"/>
        </w:rPr>
        <w:t>（</w:t>
      </w:r>
      <w:r>
        <w:rPr>
          <w:rFonts w:hint="eastAsia" w:ascii="仿宋_GB2312" w:hAnsi="Calibri" w:eastAsia="仿宋_GB2312"/>
          <w:color w:val="auto"/>
          <w:lang w:val="en-US" w:eastAsia="zh-CN"/>
        </w:rPr>
        <w:t>3</w:t>
      </w:r>
      <w:r>
        <w:rPr>
          <w:rFonts w:hint="eastAsia" w:ascii="仿宋_GB2312" w:hAnsi="Calibri" w:eastAsia="仿宋_GB2312"/>
          <w:color w:val="auto"/>
          <w:lang w:eastAsia="zh-CN"/>
        </w:rPr>
        <w:t>）</w:t>
      </w:r>
      <w:r>
        <w:rPr>
          <w:rFonts w:hint="eastAsia" w:ascii="仿宋_GB2312" w:hAnsi="Calibri" w:eastAsia="仿宋_GB2312"/>
          <w:color w:val="auto"/>
        </w:rPr>
        <w:t>可持续影响。</w:t>
      </w:r>
    </w:p>
    <w:p>
      <w:pPr>
        <w:tabs>
          <w:tab w:val="left" w:pos="6425"/>
        </w:tabs>
        <w:ind w:firstLine="640" w:firstLineChars="200"/>
        <w:outlineLvl w:val="0"/>
        <w:rPr>
          <w:lang w:val="zh-CN"/>
        </w:rPr>
      </w:pPr>
      <w:r>
        <w:rPr>
          <w:rFonts w:hint="eastAsia" w:ascii="仿宋" w:hAnsi="仿宋" w:eastAsia="仿宋"/>
        </w:rPr>
        <w:t>该项目的实施，提升了我局监管工作的社会影响力和群众对食品监管工作的满意度。经过调查，202</w:t>
      </w:r>
      <w:r>
        <w:rPr>
          <w:rFonts w:hint="eastAsia" w:ascii="仿宋" w:hAnsi="仿宋" w:eastAsia="仿宋"/>
          <w:lang w:val="en-US" w:eastAsia="zh-CN"/>
        </w:rPr>
        <w:t>1</w:t>
      </w:r>
      <w:r>
        <w:rPr>
          <w:rFonts w:hint="eastAsia" w:ascii="仿宋" w:hAnsi="仿宋" w:eastAsia="仿宋"/>
        </w:rPr>
        <w:t>年公众对食品监管整体满意度达70%、民营企业满意度达80分。</w:t>
      </w:r>
    </w:p>
    <w:p>
      <w:pPr>
        <w:adjustRightInd w:val="0"/>
        <w:ind w:firstLine="640" w:firstLineChars="200"/>
        <w:rPr>
          <w:rFonts w:eastAsia="方正黑体简体"/>
        </w:rPr>
      </w:pPr>
      <w:r>
        <w:rPr>
          <w:rFonts w:eastAsia="方正黑体简体"/>
        </w:rPr>
        <w:t>四、问题及建议</w:t>
      </w:r>
    </w:p>
    <w:p>
      <w:pPr>
        <w:adjustRightInd w:val="0"/>
        <w:ind w:firstLine="643" w:firstLineChars="200"/>
        <w:rPr>
          <w:rFonts w:eastAsia="方正楷体简体"/>
          <w:b/>
          <w:lang w:val="zh-CN"/>
        </w:rPr>
      </w:pPr>
      <w:r>
        <w:rPr>
          <w:rFonts w:eastAsia="方正楷体简体"/>
          <w:b/>
          <w:lang w:val="zh-CN"/>
        </w:rPr>
        <w:t>（一）存在的问题。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rPr>
      </w:pPr>
      <w:r>
        <w:rPr>
          <w:rFonts w:hint="eastAsia" w:ascii="仿宋_GB2312" w:eastAsia="仿宋_GB2312"/>
        </w:rPr>
        <w:t>一是因资金到位时间较晚，使用时限太短，支付进度较慢。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rPr>
      </w:pPr>
      <w:r>
        <w:rPr>
          <w:rFonts w:hint="eastAsia" w:ascii="仿宋_GB2312" w:eastAsia="仿宋_GB2312"/>
        </w:rPr>
        <w:t>二是没有专门的绩效评价机构，缺乏绩效评价专业人才，工作人员的专业能力还有待提高，造成绩效评价工作开展起来有所难度。</w:t>
      </w:r>
    </w:p>
    <w:p>
      <w:pPr>
        <w:adjustRightInd w:val="0"/>
        <w:ind w:firstLine="643" w:firstLineChars="200"/>
      </w:pPr>
      <w:r>
        <w:rPr>
          <w:rFonts w:eastAsia="方正楷体简体"/>
          <w:b/>
          <w:lang w:val="zh-CN"/>
        </w:rPr>
        <w:t>（二）相关建议。</w:t>
      </w:r>
    </w:p>
    <w:p>
      <w:pPr>
        <w:pStyle w:val="6"/>
        <w:widowControl/>
        <w:shd w:val="clear" w:color="auto" w:fill="FFFFFF"/>
        <w:spacing w:beforeAutospacing="0" w:afterAutospacing="0" w:line="600" w:lineRule="atLeast"/>
        <w:ind w:firstLine="640"/>
        <w:jc w:val="both"/>
        <w:rPr>
          <w:rFonts w:ascii="Calibri" w:hAnsi="Calibri" w:cs="Calibri"/>
          <w:color w:val="333333"/>
          <w:sz w:val="21"/>
          <w:szCs w:val="21"/>
        </w:rPr>
      </w:pPr>
      <w:r>
        <w:rPr>
          <w:rFonts w:ascii="仿宋" w:hAnsi="仿宋" w:eastAsia="仿宋" w:cs="仿宋"/>
          <w:color w:val="333333"/>
          <w:sz w:val="32"/>
          <w:shd w:val="clear" w:color="auto" w:fill="FFFFFF"/>
        </w:rPr>
        <w:t>1</w:t>
      </w:r>
      <w:r>
        <w:rPr>
          <w:rFonts w:hint="eastAsia" w:ascii="仿宋" w:hAnsi="仿宋" w:eastAsia="仿宋" w:cs="仿宋"/>
          <w:color w:val="333333"/>
          <w:sz w:val="32"/>
          <w:shd w:val="clear" w:color="auto" w:fill="FFFFFF"/>
        </w:rPr>
        <w:t>、按照“谁使用、谁申报” 的原则，加强财务与各所、股室、队的联系，密切关注各项目的进程，加大项目执行力度，确保专项资金都用到实处。</w:t>
      </w:r>
    </w:p>
    <w:p>
      <w:pPr>
        <w:pStyle w:val="6"/>
        <w:widowControl/>
        <w:shd w:val="clear" w:color="auto" w:fill="FFFFFF"/>
        <w:spacing w:beforeAutospacing="0" w:afterAutospacing="0" w:line="600" w:lineRule="atLeast"/>
        <w:ind w:firstLine="640"/>
        <w:jc w:val="both"/>
        <w:rPr>
          <w:rFonts w:ascii="Calibri" w:hAnsi="Calibri" w:eastAsia="仿宋" w:cs="Calibri"/>
          <w:color w:val="333333"/>
          <w:sz w:val="21"/>
          <w:szCs w:val="21"/>
        </w:rPr>
      </w:pPr>
      <w:r>
        <w:rPr>
          <w:rFonts w:hint="eastAsia" w:ascii="仿宋" w:hAnsi="仿宋" w:eastAsia="仿宋" w:cs="仿宋"/>
          <w:color w:val="333333"/>
          <w:sz w:val="32"/>
          <w:shd w:val="clear" w:color="auto" w:fill="FFFFFF"/>
        </w:rPr>
        <w:t>2、建议加强对各部门和相关人员在财政资金专项支出绩效管理方面的培训，提升单位专项资金绩效管理水平。</w:t>
      </w:r>
    </w:p>
    <w:p>
      <w:pPr>
        <w:spacing w:line="520" w:lineRule="exact"/>
        <w:ind w:firstLine="592"/>
        <w:jc w:val="left"/>
        <w:rPr>
          <w:rFonts w:ascii="仿宋_GB2312" w:eastAsia="仿宋_GB2312"/>
        </w:rPr>
      </w:pPr>
      <w:r>
        <w:rPr>
          <w:rFonts w:hint="eastAsia" w:ascii="仿宋_GB2312" w:eastAsia="仿宋_GB2312"/>
        </w:rPr>
        <w:t>3.</w:t>
      </w:r>
      <w:r>
        <w:rPr>
          <w:rFonts w:hint="eastAsia" w:ascii="仿宋" w:hAnsi="仿宋" w:eastAsia="仿宋" w:cs="仿宋"/>
          <w:color w:val="333333"/>
          <w:shd w:val="clear" w:color="auto" w:fill="FFFFFF"/>
        </w:rPr>
        <w:t>请求财政加大对市场监管经费的政策支持，</w:t>
      </w:r>
      <w:r>
        <w:rPr>
          <w:rFonts w:hint="eastAsia" w:ascii="仿宋_GB2312" w:eastAsia="仿宋_GB2312"/>
        </w:rPr>
        <w:t>希望</w:t>
      </w:r>
      <w:r>
        <w:rPr>
          <w:rFonts w:hint="eastAsia" w:ascii="仿宋" w:hAnsi="仿宋" w:eastAsia="仿宋" w:cs="仿宋"/>
          <w:color w:val="333333"/>
          <w:shd w:val="clear" w:color="auto" w:fill="FFFFFF"/>
        </w:rPr>
        <w:t>资金及时到位</w:t>
      </w:r>
      <w:r>
        <w:rPr>
          <w:rFonts w:hint="eastAsia" w:ascii="仿宋_GB2312" w:eastAsia="仿宋_GB2312"/>
        </w:rPr>
        <w:t>，及时下达，不影响项目的及时开展。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楷体简体">
    <w:altName w:val="宋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25CC5"/>
    <w:multiLevelType w:val="singleLevel"/>
    <w:tmpl w:val="C1D25CC5"/>
    <w:lvl w:ilvl="0" w:tentative="0">
      <w:start w:val="2"/>
      <w:numFmt w:val="decimal"/>
      <w:suff w:val="nothing"/>
      <w:lvlText w:val="（%1）"/>
      <w:lvlJc w:val="left"/>
    </w:lvl>
  </w:abstractNum>
  <w:abstractNum w:abstractNumId="1">
    <w:nsid w:val="210452E2"/>
    <w:multiLevelType w:val="singleLevel"/>
    <w:tmpl w:val="210452E2"/>
    <w:lvl w:ilvl="0" w:tentative="0">
      <w:start w:val="2"/>
      <w:numFmt w:val="chineseCounting"/>
      <w:suff w:val="nothing"/>
      <w:lvlText w:val="（%1）"/>
      <w:lvlJc w:val="left"/>
      <w:rPr>
        <w:rFonts w:hint="eastAsia"/>
      </w:rPr>
    </w:lvl>
  </w:abstractNum>
  <w:abstractNum w:abstractNumId="2">
    <w:nsid w:val="770F5496"/>
    <w:multiLevelType w:val="singleLevel"/>
    <w:tmpl w:val="770F549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MGE5ZjIxY2RkNDUzY2UwN2E5YjY4OTAyZWFkZjAifQ=="/>
  </w:docVars>
  <w:rsids>
    <w:rsidRoot w:val="003C18E4"/>
    <w:rsid w:val="0020667E"/>
    <w:rsid w:val="003C18E4"/>
    <w:rsid w:val="00501210"/>
    <w:rsid w:val="005E171C"/>
    <w:rsid w:val="0066072D"/>
    <w:rsid w:val="00873850"/>
    <w:rsid w:val="00957591"/>
    <w:rsid w:val="00C66B65"/>
    <w:rsid w:val="00E4357F"/>
    <w:rsid w:val="00E82134"/>
    <w:rsid w:val="014E403B"/>
    <w:rsid w:val="01E73BE7"/>
    <w:rsid w:val="029C38E3"/>
    <w:rsid w:val="059C5BCD"/>
    <w:rsid w:val="09C33728"/>
    <w:rsid w:val="0D5C0EC6"/>
    <w:rsid w:val="0EFE4340"/>
    <w:rsid w:val="0F034C87"/>
    <w:rsid w:val="139C63EA"/>
    <w:rsid w:val="15C84C56"/>
    <w:rsid w:val="1A772A39"/>
    <w:rsid w:val="1A9829AF"/>
    <w:rsid w:val="1E505AD9"/>
    <w:rsid w:val="1E7B435A"/>
    <w:rsid w:val="20286B8B"/>
    <w:rsid w:val="209D21B6"/>
    <w:rsid w:val="29F562A4"/>
    <w:rsid w:val="2BB806B3"/>
    <w:rsid w:val="37AB6C09"/>
    <w:rsid w:val="41223A9D"/>
    <w:rsid w:val="432B647E"/>
    <w:rsid w:val="44111DBE"/>
    <w:rsid w:val="465F41FD"/>
    <w:rsid w:val="46BA58D8"/>
    <w:rsid w:val="49282FCC"/>
    <w:rsid w:val="4A986521"/>
    <w:rsid w:val="51295155"/>
    <w:rsid w:val="567C4958"/>
    <w:rsid w:val="59383AD7"/>
    <w:rsid w:val="5C446CAB"/>
    <w:rsid w:val="5D4F4FE1"/>
    <w:rsid w:val="5D567203"/>
    <w:rsid w:val="5DBC7D30"/>
    <w:rsid w:val="64025412"/>
    <w:rsid w:val="681503E6"/>
    <w:rsid w:val="6B5B1CC5"/>
    <w:rsid w:val="7186175B"/>
    <w:rsid w:val="73DA398A"/>
    <w:rsid w:val="799D236B"/>
    <w:rsid w:val="79DE794D"/>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cs="宋体"/>
      <w:color w:val="000000"/>
      <w:kern w:val="0"/>
      <w:sz w:val="24"/>
    </w:rPr>
  </w:style>
  <w:style w:type="paragraph" w:styleId="3">
    <w:name w:val="Body Text"/>
    <w:basedOn w:val="1"/>
    <w:qFormat/>
    <w:uiPriority w:val="0"/>
    <w:pPr>
      <w:spacing w:after="120"/>
    </w:pPr>
    <w:rPr>
      <w:rFonts w:ascii="Calibri" w:hAnsi="Calibri" w:eastAsia="宋体"/>
      <w:szCs w:val="24"/>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四号正文"/>
    <w:basedOn w:val="1"/>
    <w:link w:val="12"/>
    <w:qFormat/>
    <w:uiPriority w:val="99"/>
    <w:pPr>
      <w:spacing w:line="360" w:lineRule="auto"/>
    </w:pPr>
    <w:rPr>
      <w:rFonts w:ascii="??" w:hAnsi="??" w:eastAsia="宋体"/>
      <w:color w:val="000000"/>
      <w:kern w:val="0"/>
      <w:sz w:val="28"/>
      <w:szCs w:val="21"/>
    </w:rPr>
  </w:style>
  <w:style w:type="character" w:customStyle="1" w:styleId="12">
    <w:name w:val="四号正文 Char"/>
    <w:link w:val="11"/>
    <w:qFormat/>
    <w:locked/>
    <w:uiPriority w:val="99"/>
    <w:rPr>
      <w:rFonts w:ascii="??" w:hAnsi="??" w:eastAsia="宋体" w:cs="Times New Roman"/>
      <w:color w:val="000000"/>
      <w:kern w:val="0"/>
      <w:sz w:val="28"/>
      <w:szCs w:val="21"/>
    </w:rPr>
  </w:style>
  <w:style w:type="paragraph" w:customStyle="1" w:styleId="13">
    <w:name w:val="p0"/>
    <w:basedOn w:val="1"/>
    <w:qFormat/>
    <w:uiPriority w:val="0"/>
    <w:pPr>
      <w:widowControl/>
    </w:pPr>
    <w:rPr>
      <w:kern w:val="0"/>
      <w:szCs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1641</Words>
  <Characters>1691</Characters>
  <Lines>15</Lines>
  <Paragraphs>4</Paragraphs>
  <TotalTime>0</TotalTime>
  <ScaleCrop>false</ScaleCrop>
  <LinksUpToDate>false</LinksUpToDate>
  <CharactersWithSpaces>1707</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2022-06-23T07:46:51Z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