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仿宋简体" w:cs="Times New Roman"/>
          <w:sz w:val="32"/>
          <w:szCs w:val="32"/>
        </w:rPr>
      </w:pPr>
    </w:p>
    <w:p>
      <w:pPr>
        <w:spacing w:line="590" w:lineRule="exact"/>
        <w:rPr>
          <w:rFonts w:ascii="Times New Roman" w:hAnsi="Times New Roman" w:eastAsia="方正仿宋简体" w:cs="Times New Roman"/>
          <w:sz w:val="32"/>
          <w:szCs w:val="32"/>
        </w:rPr>
      </w:pPr>
    </w:p>
    <w:p>
      <w:pPr>
        <w:spacing w:line="590" w:lineRule="exact"/>
        <w:jc w:val="center"/>
        <w:rPr>
          <w:rFonts w:ascii="Times New Roman" w:hAnsi="Times New Roman" w:eastAsia="方正仿宋简体" w:cs="Times New Roman"/>
          <w:bCs/>
          <w:sz w:val="32"/>
          <w:szCs w:val="32"/>
        </w:rPr>
      </w:pPr>
      <w:r>
        <w:rPr>
          <w:sz w:val="32"/>
          <w:szCs w:val="32"/>
        </w:rPr>
        <w:drawing>
          <wp:anchor distT="0" distB="0" distL="114300" distR="114300" simplePos="0" relativeHeight="251659264" behindDoc="0" locked="0" layoutInCell="1" allowOverlap="1">
            <wp:simplePos x="0" y="0"/>
            <wp:positionH relativeFrom="margin">
              <wp:posOffset>-499745</wp:posOffset>
            </wp:positionH>
            <wp:positionV relativeFrom="margin">
              <wp:posOffset>977265</wp:posOffset>
            </wp:positionV>
            <wp:extent cx="6134100" cy="183832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0" cy="1838325"/>
                    </a:xfrm>
                    <a:prstGeom prst="rect">
                      <a:avLst/>
                    </a:prstGeom>
                    <a:noFill/>
                    <a:ln>
                      <a:noFill/>
                    </a:ln>
                  </pic:spPr>
                </pic:pic>
              </a:graphicData>
            </a:graphic>
          </wp:anchor>
        </w:drawing>
      </w:r>
      <w:r>
        <w:rPr>
          <w:rFonts w:ascii="Times New Roman" w:hAnsi="Times New Roman" w:eastAsia="方正仿宋简体" w:cs="Times New Roman"/>
          <w:sz w:val="32"/>
          <w:szCs w:val="32"/>
        </w:rPr>
        <w:t>竹行发</w:t>
      </w:r>
      <w:r>
        <w:rPr>
          <w:rFonts w:ascii="Times New Roman" w:hAnsi="Times New Roman" w:eastAsia="方正仿宋简体" w:cs="Times New Roman"/>
          <w:bCs/>
          <w:sz w:val="32"/>
          <w:szCs w:val="32"/>
        </w:rPr>
        <w:t>〔</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lang w:val="en-US" w:eastAsia="zh-CN"/>
        </w:rPr>
        <w:t>38</w:t>
      </w:r>
      <w:r>
        <w:rPr>
          <w:rFonts w:ascii="Times New Roman" w:hAnsi="Times New Roman" w:eastAsia="方正仿宋简体" w:cs="Times New Roman"/>
          <w:bCs/>
          <w:sz w:val="32"/>
          <w:szCs w:val="32"/>
        </w:rPr>
        <w:t>号</w:t>
      </w:r>
    </w:p>
    <w:p>
      <w:pPr>
        <w:spacing w:line="580" w:lineRule="exact"/>
        <w:rPr>
          <w:rFonts w:ascii="方正仿宋简体" w:hAnsi="方正仿宋简体" w:eastAsia="方正仿宋简体" w:cs="方正仿宋简体"/>
          <w:sz w:val="30"/>
          <w:szCs w:val="30"/>
        </w:rPr>
      </w:pPr>
      <w: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73025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bwMode="auto">
                        <a:xfrm>
                          <a:off x="0" y="0"/>
                          <a:ext cx="5705475" cy="0"/>
                        </a:xfrm>
                        <a:prstGeom prst="line">
                          <a:avLst/>
                        </a:prstGeom>
                        <a:noFill/>
                        <a:ln w="28575" algn="ctr">
                          <a:solidFill>
                            <a:srgbClr val="FF0000"/>
                          </a:solidFill>
                          <a:round/>
                        </a:ln>
                      </wps:spPr>
                      <wps:bodyPr/>
                    </wps:wsp>
                  </a:graphicData>
                </a:graphic>
              </wp:anchor>
            </w:drawing>
          </mc:Choice>
          <mc:Fallback>
            <w:pict>
              <v:line id="_x0000_s1026" o:spid="_x0000_s1026" o:spt="20" style="position:absolute;left:0pt;margin-left:-2.9pt;margin-top:5.75pt;height:0pt;width:449.25pt;z-index:251660288;mso-width-relative:page;mso-height-relative:page;" filled="f" stroked="t" coordsize="21600,21600" o:gfxdata="UEsDBAoAAAAAAIdO4kAAAAAAAAAAAAAAAAAEAAAAZHJzL1BLAwQUAAAACACHTuJAkglVPtYAAAAI&#10;AQAADwAAAGRycy9kb3ducmV2LnhtbE2PzU7DMBCE70i8g7VI3FonkQohxKkAwQ2pIvz06sZLHDVe&#10;R7Gbpm/Poh7gODOrmW/L9ex6MeEYOk8K0mUCAqnxpqNWwcf7yyIHEaImo3tPqOCEAdbV5UWpC+OP&#10;9IZTHVvBJRQKrcDGOBRShsai02HpByTOvv3odGQ5ttKM+sjlrpdZktxIpzviBasHfLLY7OuDUzB/&#10;5Q92+xofn/3nxu7nbe2m7KTU9VWa3IOIOMe/Y/jFZ3SomGnnD2SC6BUsVkwe2U9XIDjP77JbELuz&#10;IatS/n+g+gFQSwMEFAAAAAgAh07iQH85otvTAQAAhAMAAA4AAABkcnMvZTJvRG9jLnhtbK1TzY7T&#10;MBC+I/EOlu80aUXZVdR0D1uVCz8rAQ8wdZzEku2xbLdpX4IXQOIGJ47ceRt2H4Ox0xZ297IHcrDs&#10;+flmvm8mi6u90WwnfVBoaz6dlJxJK7BRtqv5p4/rF5echQi2AY1W1vwgA79aPn+2GFwlZ9ijbqRn&#10;BGJDNbia9zG6qiiC6KWBMEEnLTlb9AYiPX1XNB4GQje6mJXlq2JA3ziPQoZA1tXo5EdE/xRAbFsl&#10;5ArF1kgbR1QvNUSiFHrlAl/mbttWivi+bYOMTNecmMZ8UhG6b9JZLBdQdR5cr8SxBXhKCw84GVCW&#10;ip6hVhCBbb16BGWU8BiwjROBphiJZEWIxbR8oM2HHpzMXEjq4M6ih/8HK97tbjxTDW0CZxYMDfz2&#10;y8/fn7/d/fpK5+2P72yaRBpcqCj22t744ys4StwMb7GhHNhGzPz3rTdJB2LG9lnmw1lmuY9MkHF+&#10;Uc5fXsw5EydfAdUp0fkQX0s0LF1qrpVNCkAFuzchUmkKPYUks8W10jpPUVs21Hx2OU/QoDvabhF9&#10;Tg6oVZMCU0rw3eZae7YD2on1uqQvMSTge2Eet7YZ7dqSOymQOI9abLA5ZCmynYaTAY6LlKb/7ztn&#10;//15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glVPtYAAAAIAQAADwAAAAAAAAABACAAAAAi&#10;AAAAZHJzL2Rvd25yZXYueG1sUEsBAhQAFAAAAAgAh07iQH85otvTAQAAhAMAAA4AAAAAAAAAAQAg&#10;AAAAJQEAAGRycy9lMm9Eb2MueG1sUEsFBgAAAAAGAAYAWQEAAGoFAAAAAA==&#10;">
                <v:fill on="f" focussize="0,0"/>
                <v:stroke weight="2.25pt" color="#FF0000" joinstyle="round"/>
                <v:imagedata o:title=""/>
                <o:lock v:ext="edit" aspectratio="f"/>
              </v:line>
            </w:pict>
          </mc:Fallback>
        </mc:AlternateContent>
      </w:r>
    </w:p>
    <w:p>
      <w:pPr>
        <w:tabs>
          <w:tab w:val="left" w:pos="1830"/>
          <w:tab w:val="center" w:pos="4153"/>
        </w:tabs>
        <w:spacing w:line="590" w:lineRule="exact"/>
        <w:rPr>
          <w:rFonts w:ascii="宋体" w:hAnsi="宋体"/>
          <w:sz w:val="32"/>
        </w:rPr>
      </w:pPr>
    </w:p>
    <w:p>
      <w:pPr>
        <w:spacing w:line="590" w:lineRule="exact"/>
        <w:jc w:val="center"/>
        <w:rPr>
          <w:rFonts w:ascii="方正小标宋简体" w:hAnsi="Times New Roman" w:eastAsia="方正小标宋简体"/>
          <w:sz w:val="44"/>
        </w:rPr>
      </w:pPr>
      <w:r>
        <w:rPr>
          <w:rFonts w:hint="eastAsia" w:ascii="方正小标宋简体" w:hAnsi="Times New Roman" w:eastAsia="方正小标宋简体"/>
          <w:sz w:val="44"/>
        </w:rPr>
        <w:t>绵竹市行政审批局</w:t>
      </w:r>
    </w:p>
    <w:p>
      <w:pPr>
        <w:spacing w:line="590" w:lineRule="exact"/>
        <w:jc w:val="center"/>
        <w:rPr>
          <w:rFonts w:ascii="方正小标宋简体" w:hAnsi="Times New Roman" w:eastAsia="方正小标宋简体"/>
          <w:sz w:val="44"/>
        </w:rPr>
      </w:pPr>
      <w:r>
        <w:rPr>
          <w:rFonts w:hint="eastAsia" w:ascii="方正小标宋简体" w:hAnsi="Times New Roman" w:eastAsia="方正小标宋简体"/>
          <w:sz w:val="44"/>
        </w:rPr>
        <w:t>关于印发《绵竹市行政许可听证管理办法（试行</w:t>
      </w:r>
      <w:r>
        <w:rPr>
          <w:rFonts w:ascii="方正小标宋简体" w:hAnsi="Times New Roman" w:eastAsia="方正小标宋简体"/>
          <w:sz w:val="44"/>
        </w:rPr>
        <w:t>）</w:t>
      </w:r>
      <w:r>
        <w:rPr>
          <w:rFonts w:hint="eastAsia" w:ascii="方正小标宋简体" w:hAnsi="Times New Roman" w:eastAsia="方正小标宋简体"/>
          <w:sz w:val="44"/>
        </w:rPr>
        <w:t>》的通知</w:t>
      </w:r>
    </w:p>
    <w:p>
      <w:pPr>
        <w:spacing w:line="590" w:lineRule="exact"/>
        <w:rPr>
          <w:rFonts w:ascii="Times New Roman" w:hAnsi="Times New Roman" w:eastAsia="方正仿宋简体"/>
          <w:sz w:val="32"/>
        </w:rPr>
      </w:pPr>
    </w:p>
    <w:p>
      <w:pPr>
        <w:rPr>
          <w:rFonts w:ascii="Times New Roman" w:hAnsi="仿宋" w:eastAsia="仿宋"/>
          <w:sz w:val="32"/>
          <w:szCs w:val="32"/>
        </w:rPr>
      </w:pPr>
      <w:r>
        <w:rPr>
          <w:rFonts w:hint="eastAsia" w:ascii="Times New Roman" w:hAnsi="仿宋" w:eastAsia="仿宋"/>
          <w:sz w:val="32"/>
          <w:szCs w:val="32"/>
        </w:rPr>
        <w:t>机关各股室：</w:t>
      </w:r>
    </w:p>
    <w:p>
      <w:pPr>
        <w:ind w:firstLine="640" w:firstLineChars="200"/>
        <w:rPr>
          <w:rFonts w:ascii="Times New Roman" w:hAnsi="仿宋" w:eastAsia="仿宋"/>
          <w:sz w:val="32"/>
          <w:szCs w:val="32"/>
        </w:rPr>
      </w:pPr>
      <w:r>
        <w:rPr>
          <w:rFonts w:hint="eastAsia" w:ascii="Times New Roman" w:hAnsi="仿宋" w:eastAsia="仿宋"/>
          <w:sz w:val="32"/>
          <w:szCs w:val="32"/>
        </w:rPr>
        <w:t>为进一步规范行政许可审批过程中的听证活动，保障行政许可申请人及利害关系人的合法权益，特制定《绵竹市行政许可听证管理办法（试行</w:t>
      </w:r>
      <w:r>
        <w:rPr>
          <w:rFonts w:ascii="Times New Roman" w:hAnsi="仿宋" w:eastAsia="仿宋"/>
          <w:sz w:val="32"/>
          <w:szCs w:val="32"/>
        </w:rPr>
        <w:t>）</w:t>
      </w:r>
      <w:r>
        <w:rPr>
          <w:rFonts w:hint="eastAsia" w:ascii="Times New Roman" w:hAnsi="仿宋" w:eastAsia="仿宋"/>
          <w:sz w:val="32"/>
          <w:szCs w:val="32"/>
        </w:rPr>
        <w:t>》，现予印发，请遵照执行。</w:t>
      </w:r>
    </w:p>
    <w:p>
      <w:pPr>
        <w:ind w:firstLine="420"/>
        <w:jc w:val="right"/>
        <w:rPr>
          <w:rFonts w:hint="eastAsia" w:ascii="Times New Roman" w:hAnsi="仿宋" w:eastAsia="仿宋"/>
          <w:sz w:val="32"/>
          <w:szCs w:val="32"/>
        </w:rPr>
      </w:pPr>
      <w:r>
        <w:rPr>
          <w:rFonts w:hint="eastAsia" w:ascii="Times New Roman" w:hAnsi="仿宋" w:eastAsia="仿宋"/>
          <w:sz w:val="32"/>
          <w:szCs w:val="32"/>
        </w:rPr>
        <w:t>　　　　　　　　　　　　　　　　</w:t>
      </w:r>
    </w:p>
    <w:p>
      <w:pPr>
        <w:ind w:firstLine="420"/>
        <w:jc w:val="right"/>
        <w:rPr>
          <w:rFonts w:hint="eastAsia" w:ascii="Times New Roman" w:hAnsi="仿宋" w:eastAsia="仿宋"/>
          <w:sz w:val="32"/>
          <w:szCs w:val="32"/>
        </w:rPr>
      </w:pPr>
    </w:p>
    <w:p>
      <w:pPr>
        <w:ind w:firstLine="420"/>
        <w:jc w:val="right"/>
        <w:rPr>
          <w:rFonts w:ascii="Times New Roman" w:hAnsi="仿宋" w:eastAsia="仿宋"/>
          <w:sz w:val="32"/>
          <w:szCs w:val="32"/>
        </w:rPr>
      </w:pPr>
      <w:r>
        <w:rPr>
          <w:rFonts w:hint="eastAsia" w:ascii="Times New Roman" w:hAnsi="仿宋" w:eastAsia="仿宋"/>
          <w:sz w:val="32"/>
          <w:szCs w:val="32"/>
        </w:rPr>
        <w:t>绵竹市行政审批局</w:t>
      </w:r>
    </w:p>
    <w:p>
      <w:pPr>
        <w:ind w:firstLine="420"/>
        <w:jc w:val="right"/>
        <w:rPr>
          <w:rFonts w:ascii="Times New Roman" w:hAnsi="仿宋" w:eastAsia="仿宋"/>
          <w:sz w:val="32"/>
          <w:szCs w:val="32"/>
        </w:rPr>
      </w:pPr>
      <w:r>
        <w:rPr>
          <w:rFonts w:hint="eastAsia" w:ascii="Times New Roman" w:hAnsi="仿宋" w:eastAsia="仿宋"/>
          <w:sz w:val="32"/>
          <w:szCs w:val="32"/>
        </w:rPr>
        <w:t>202</w:t>
      </w:r>
      <w:r>
        <w:rPr>
          <w:rFonts w:hint="eastAsia" w:ascii="Times New Roman" w:hAnsi="仿宋" w:eastAsia="仿宋"/>
          <w:sz w:val="32"/>
          <w:szCs w:val="32"/>
          <w:lang w:val="en-US" w:eastAsia="zh-CN"/>
        </w:rPr>
        <w:t>1</w:t>
      </w:r>
      <w:r>
        <w:rPr>
          <w:rFonts w:hint="eastAsia" w:ascii="Times New Roman" w:hAnsi="仿宋" w:eastAsia="仿宋"/>
          <w:sz w:val="32"/>
          <w:szCs w:val="32"/>
        </w:rPr>
        <w:t>年</w:t>
      </w:r>
      <w:r>
        <w:rPr>
          <w:rFonts w:hint="eastAsia" w:ascii="Times New Roman" w:hAnsi="仿宋" w:eastAsia="仿宋"/>
          <w:sz w:val="32"/>
          <w:szCs w:val="32"/>
          <w:lang w:val="en-US" w:eastAsia="zh-CN"/>
        </w:rPr>
        <w:t>6</w:t>
      </w:r>
      <w:r>
        <w:rPr>
          <w:rFonts w:hint="eastAsia" w:ascii="Times New Roman" w:hAnsi="仿宋" w:eastAsia="仿宋"/>
          <w:sz w:val="32"/>
          <w:szCs w:val="32"/>
        </w:rPr>
        <w:t>月</w:t>
      </w:r>
      <w:r>
        <w:rPr>
          <w:rFonts w:hint="eastAsia" w:ascii="Times New Roman" w:hAnsi="仿宋" w:eastAsia="仿宋"/>
          <w:sz w:val="32"/>
          <w:szCs w:val="32"/>
          <w:lang w:val="en-US" w:eastAsia="zh-CN"/>
        </w:rPr>
        <w:t>21</w:t>
      </w:r>
      <w:r>
        <w:rPr>
          <w:rFonts w:hint="eastAsia" w:ascii="Times New Roman" w:hAnsi="仿宋" w:eastAsia="仿宋"/>
          <w:sz w:val="32"/>
          <w:szCs w:val="32"/>
        </w:rPr>
        <w:t>日</w:t>
      </w:r>
    </w:p>
    <w:p>
      <w:pPr>
        <w:widowControl/>
        <w:jc w:val="center"/>
        <w:rPr>
          <w:rFonts w:hint="eastAsia" w:ascii="Times New Roman" w:hAnsi="仿宋" w:eastAsia="仿宋"/>
          <w:sz w:val="36"/>
          <w:szCs w:val="36"/>
        </w:rPr>
      </w:pPr>
      <w:r>
        <w:rPr>
          <w:rFonts w:ascii="Times New Roman" w:hAnsi="仿宋" w:eastAsia="仿宋"/>
          <w:sz w:val="32"/>
          <w:szCs w:val="32"/>
        </w:rPr>
        <w:br w:type="page"/>
      </w:r>
      <w:r>
        <w:rPr>
          <w:rFonts w:hint="eastAsia" w:ascii="方正小标宋简体" w:hAnsi="Times New Roman" w:eastAsia="方正小标宋简体"/>
          <w:sz w:val="36"/>
          <w:szCs w:val="36"/>
        </w:rPr>
        <w:t>绵竹市行政许可听证管理办法（试行</w:t>
      </w:r>
      <w:r>
        <w:rPr>
          <w:rFonts w:ascii="方正小标宋简体" w:hAnsi="Times New Roman" w:eastAsia="方正小标宋简体"/>
          <w:sz w:val="36"/>
          <w:szCs w:val="36"/>
        </w:rPr>
        <w:t>）</w:t>
      </w:r>
    </w:p>
    <w:p>
      <w:pPr>
        <w:jc w:val="center"/>
        <w:rPr>
          <w:rFonts w:ascii="黑体" w:hAnsi="黑体" w:eastAsia="黑体"/>
          <w:sz w:val="32"/>
          <w:szCs w:val="32"/>
        </w:rPr>
      </w:pPr>
      <w:r>
        <w:rPr>
          <w:rFonts w:hint="eastAsia" w:ascii="黑体" w:hAnsi="黑体" w:eastAsia="黑体"/>
          <w:sz w:val="32"/>
          <w:szCs w:val="32"/>
        </w:rPr>
        <w:t>第一章 总则</w:t>
      </w:r>
    </w:p>
    <w:p>
      <w:pPr>
        <w:ind w:firstLine="640" w:firstLineChars="200"/>
        <w:rPr>
          <w:rFonts w:ascii="Times New Roman" w:hAnsi="仿宋" w:eastAsia="仿宋"/>
          <w:sz w:val="32"/>
          <w:szCs w:val="32"/>
        </w:rPr>
      </w:pPr>
      <w:r>
        <w:rPr>
          <w:rFonts w:hint="eastAsia" w:ascii="Times New Roman" w:hAnsi="仿宋" w:eastAsia="仿宋"/>
          <w:sz w:val="32"/>
          <w:szCs w:val="32"/>
        </w:rPr>
        <w:t>第一条 为了规范行政许可听证活动，保护公民、法人和其他组织的合法权益，保障和监督行政管理的有效实施，根据有关法律、法规和规章，结合本地实际，制定本办法。</w:t>
      </w:r>
    </w:p>
    <w:p>
      <w:pPr>
        <w:ind w:firstLine="640" w:firstLineChars="200"/>
        <w:rPr>
          <w:rFonts w:ascii="Times New Roman" w:hAnsi="仿宋" w:eastAsia="仿宋"/>
          <w:sz w:val="32"/>
          <w:szCs w:val="32"/>
        </w:rPr>
      </w:pPr>
      <w:r>
        <w:rPr>
          <w:rFonts w:hint="eastAsia" w:ascii="Times New Roman" w:hAnsi="仿宋" w:eastAsia="仿宋"/>
          <w:sz w:val="32"/>
          <w:szCs w:val="32"/>
        </w:rPr>
        <w:t>第二条 本办法所称听证，是指在作出行政许可决定前，公开听取、收集申请人、利害关系人对该行政行为意见和建议的活动。</w:t>
      </w:r>
    </w:p>
    <w:p>
      <w:pPr>
        <w:ind w:firstLine="640" w:firstLineChars="200"/>
        <w:rPr>
          <w:rFonts w:ascii="Times New Roman" w:hAnsi="仿宋" w:eastAsia="仿宋"/>
          <w:sz w:val="32"/>
          <w:szCs w:val="32"/>
        </w:rPr>
      </w:pPr>
      <w:r>
        <w:rPr>
          <w:rFonts w:hint="eastAsia" w:ascii="Times New Roman" w:hAnsi="仿宋" w:eastAsia="仿宋"/>
          <w:sz w:val="32"/>
          <w:szCs w:val="32"/>
        </w:rPr>
        <w:t>第三条 本办法所称听证，是指法律、法规、规章规定实施行政许可应当听证的事项，或者本局认为需要听证的其他涉及公共利益的重大行政许可事项。</w:t>
      </w:r>
    </w:p>
    <w:p>
      <w:pPr>
        <w:ind w:firstLine="640" w:firstLineChars="200"/>
        <w:rPr>
          <w:rFonts w:ascii="Times New Roman" w:hAnsi="仿宋" w:eastAsia="仿宋"/>
          <w:sz w:val="32"/>
          <w:szCs w:val="32"/>
        </w:rPr>
      </w:pPr>
      <w:r>
        <w:rPr>
          <w:rFonts w:hint="eastAsia" w:ascii="Times New Roman" w:hAnsi="仿宋" w:eastAsia="仿宋"/>
          <w:sz w:val="32"/>
          <w:szCs w:val="32"/>
        </w:rPr>
        <w:t>第四条 听证遵循依法、公开、公平、公正、便民、效能的原则。</w:t>
      </w:r>
    </w:p>
    <w:p>
      <w:pPr>
        <w:ind w:firstLine="640" w:firstLineChars="200"/>
        <w:rPr>
          <w:rFonts w:ascii="Times New Roman" w:hAnsi="仿宋" w:eastAsia="仿宋"/>
          <w:sz w:val="32"/>
          <w:szCs w:val="32"/>
        </w:rPr>
      </w:pPr>
      <w:r>
        <w:rPr>
          <w:rFonts w:hint="eastAsia" w:ascii="Times New Roman" w:hAnsi="仿宋" w:eastAsia="仿宋"/>
          <w:sz w:val="32"/>
          <w:szCs w:val="32"/>
        </w:rPr>
        <w:t>第五条 本局政策法规股负责本局听证组织和实施。</w:t>
      </w:r>
    </w:p>
    <w:p>
      <w:pPr>
        <w:jc w:val="center"/>
        <w:rPr>
          <w:rFonts w:ascii="黑体" w:hAnsi="黑体" w:eastAsia="黑体"/>
          <w:sz w:val="32"/>
          <w:szCs w:val="32"/>
        </w:rPr>
      </w:pPr>
      <w:r>
        <w:rPr>
          <w:rFonts w:hint="eastAsia" w:ascii="黑体" w:hAnsi="黑体" w:eastAsia="黑体"/>
          <w:sz w:val="32"/>
          <w:szCs w:val="32"/>
        </w:rPr>
        <w:t>第二章 听证人员和听证参加人</w:t>
      </w:r>
    </w:p>
    <w:p>
      <w:pPr>
        <w:ind w:firstLine="640" w:firstLineChars="200"/>
        <w:rPr>
          <w:rFonts w:ascii="Times New Roman" w:hAnsi="仿宋" w:eastAsia="仿宋"/>
          <w:sz w:val="32"/>
          <w:szCs w:val="32"/>
        </w:rPr>
      </w:pPr>
      <w:r>
        <w:rPr>
          <w:rFonts w:hint="eastAsia" w:ascii="Times New Roman" w:hAnsi="仿宋" w:eastAsia="仿宋"/>
          <w:sz w:val="32"/>
          <w:szCs w:val="32"/>
        </w:rPr>
        <w:t>第六条 听证人员包括听证主持人、听证员和书记员；听证人员由局政策法规股提出建议并报局</w:t>
      </w:r>
      <w:r>
        <w:rPr>
          <w:rFonts w:hint="eastAsia" w:ascii="Times New Roman" w:hAnsi="仿宋" w:eastAsia="仿宋"/>
          <w:sz w:val="32"/>
          <w:szCs w:val="32"/>
          <w:lang w:eastAsia="zh-CN"/>
        </w:rPr>
        <w:t>分</w:t>
      </w:r>
      <w:r>
        <w:rPr>
          <w:rFonts w:hint="eastAsia" w:ascii="Times New Roman" w:hAnsi="仿宋" w:eastAsia="仿宋"/>
          <w:sz w:val="32"/>
          <w:szCs w:val="32"/>
        </w:rPr>
        <w:t>管领导审定；涉及重大事项听证的应报局主要领导决定。</w:t>
      </w:r>
    </w:p>
    <w:p>
      <w:pPr>
        <w:ind w:firstLine="640" w:firstLineChars="200"/>
        <w:rPr>
          <w:rFonts w:ascii="Times New Roman" w:hAnsi="仿宋" w:eastAsia="仿宋"/>
          <w:sz w:val="32"/>
          <w:szCs w:val="32"/>
        </w:rPr>
      </w:pPr>
      <w:r>
        <w:rPr>
          <w:rFonts w:hint="eastAsia" w:ascii="Times New Roman" w:hAnsi="仿宋" w:eastAsia="仿宋"/>
          <w:sz w:val="32"/>
          <w:szCs w:val="32"/>
        </w:rPr>
        <w:t>第七条 听证参加人包括具体行政审批审查人员、听证代表、申请人和利害关系人等。</w:t>
      </w:r>
    </w:p>
    <w:p>
      <w:pPr>
        <w:ind w:firstLine="640" w:firstLineChars="200"/>
        <w:rPr>
          <w:rFonts w:ascii="Times New Roman" w:hAnsi="仿宋" w:eastAsia="仿宋"/>
          <w:sz w:val="32"/>
          <w:szCs w:val="32"/>
        </w:rPr>
      </w:pPr>
      <w:r>
        <w:rPr>
          <w:rFonts w:hint="eastAsia" w:ascii="Times New Roman" w:hAnsi="仿宋" w:eastAsia="仿宋"/>
          <w:sz w:val="32"/>
          <w:szCs w:val="32"/>
        </w:rPr>
        <w:t>申请听证人数众多的，可以推荐代表参加听证，本局按照受理申请的先后顺序和代表广泛性的原则，合理确定参加听证的代表；对未被确定为听证代表的，局政策法规股应予以解释。</w:t>
      </w:r>
    </w:p>
    <w:p>
      <w:pPr>
        <w:ind w:firstLine="640" w:firstLineChars="200"/>
        <w:rPr>
          <w:rFonts w:ascii="Times New Roman" w:hAnsi="仿宋" w:eastAsia="仿宋"/>
          <w:sz w:val="32"/>
          <w:szCs w:val="32"/>
        </w:rPr>
      </w:pPr>
      <w:r>
        <w:rPr>
          <w:rFonts w:hint="eastAsia" w:ascii="Times New Roman" w:hAnsi="仿宋" w:eastAsia="仿宋"/>
          <w:sz w:val="32"/>
          <w:szCs w:val="32"/>
        </w:rPr>
        <w:t>本局可根据实际需要，邀请有关专业人员、专家和学者参加听证。</w:t>
      </w:r>
    </w:p>
    <w:p>
      <w:pPr>
        <w:jc w:val="center"/>
        <w:rPr>
          <w:rFonts w:ascii="黑体" w:hAnsi="黑体" w:eastAsia="黑体"/>
          <w:sz w:val="32"/>
          <w:szCs w:val="32"/>
        </w:rPr>
      </w:pPr>
      <w:r>
        <w:rPr>
          <w:rFonts w:hint="eastAsia" w:ascii="黑体" w:hAnsi="黑体" w:eastAsia="黑体"/>
          <w:sz w:val="32"/>
          <w:szCs w:val="32"/>
        </w:rPr>
        <w:t>第三章 听证申请及其办理程序</w:t>
      </w:r>
    </w:p>
    <w:p>
      <w:pPr>
        <w:ind w:firstLine="640" w:firstLineChars="200"/>
        <w:rPr>
          <w:rFonts w:ascii="Times New Roman" w:hAnsi="仿宋" w:eastAsia="仿宋"/>
          <w:sz w:val="32"/>
          <w:szCs w:val="32"/>
        </w:rPr>
      </w:pPr>
      <w:r>
        <w:rPr>
          <w:rFonts w:hint="eastAsia" w:ascii="Times New Roman" w:hAnsi="仿宋" w:eastAsia="仿宋"/>
          <w:sz w:val="32"/>
          <w:szCs w:val="32"/>
        </w:rPr>
        <w:t>第八条　法律、法规、规章规定应当告知申请人、利害关系人有要求举行听证权利的行政许可事项，相关审批窗口应当书面告知申请人、利害关系人有要求举行听证的权利：</w:t>
      </w:r>
      <w:r>
        <w:rPr>
          <w:rFonts w:hint="eastAsia" w:ascii="Times New Roman" w:hAnsi="仿宋" w:eastAsia="仿宋"/>
          <w:sz w:val="32"/>
          <w:szCs w:val="32"/>
        </w:rPr>
        <w:br w:type="textWrapping"/>
      </w:r>
      <w:r>
        <w:rPr>
          <w:rFonts w:hint="eastAsia" w:ascii="Times New Roman" w:hAnsi="仿宋" w:eastAsia="仿宋"/>
          <w:sz w:val="32"/>
          <w:szCs w:val="32"/>
        </w:rPr>
        <w:t>　　申请人、利害关系人应当在行政机关告知听证权利后5日内提出听证申请，但法律、法规和规章另有规定的除外；不提出听证申请视为放弃听证。</w:t>
      </w:r>
    </w:p>
    <w:p>
      <w:pPr>
        <w:ind w:firstLine="640" w:firstLineChars="200"/>
        <w:rPr>
          <w:rFonts w:ascii="Times New Roman" w:hAnsi="仿宋" w:eastAsia="仿宋"/>
          <w:sz w:val="32"/>
          <w:szCs w:val="32"/>
        </w:rPr>
      </w:pPr>
      <w:r>
        <w:rPr>
          <w:rFonts w:hint="eastAsia" w:ascii="Times New Roman" w:hAnsi="仿宋" w:eastAsia="仿宋"/>
          <w:sz w:val="32"/>
          <w:szCs w:val="32"/>
        </w:rPr>
        <w:t>第九条 申请人、利害关系人根据本办法第八条提出听证申请的，由局相关审批窗口统一受理，局政策法规股应当对听证申请依法予以审查。</w:t>
      </w:r>
    </w:p>
    <w:p>
      <w:pPr>
        <w:ind w:firstLine="640" w:firstLineChars="200"/>
        <w:rPr>
          <w:rFonts w:ascii="Times New Roman" w:hAnsi="仿宋" w:eastAsia="仿宋"/>
          <w:sz w:val="32"/>
          <w:szCs w:val="32"/>
        </w:rPr>
      </w:pPr>
      <w:r>
        <w:rPr>
          <w:rFonts w:hint="eastAsia" w:ascii="Times New Roman" w:hAnsi="仿宋" w:eastAsia="仿宋"/>
          <w:sz w:val="32"/>
          <w:szCs w:val="32"/>
        </w:rPr>
        <w:t>局政策法规股审查后认为不符合本办法第八条规定，应当依法书面答复申请人、利害关系人。</w:t>
      </w:r>
    </w:p>
    <w:p>
      <w:pPr>
        <w:ind w:firstLine="640" w:firstLineChars="200"/>
        <w:rPr>
          <w:rFonts w:ascii="Times New Roman" w:hAnsi="仿宋" w:eastAsia="仿宋"/>
          <w:sz w:val="32"/>
          <w:szCs w:val="32"/>
        </w:rPr>
      </w:pPr>
      <w:r>
        <w:rPr>
          <w:rFonts w:hint="eastAsia" w:ascii="Times New Roman" w:hAnsi="仿宋" w:eastAsia="仿宋"/>
          <w:sz w:val="32"/>
          <w:szCs w:val="32"/>
        </w:rPr>
        <w:t>第十条 局政策法规股审查确认符合本办法第八条规定的，应当在收到听证申请后20日内组织依申请听证；举行依职权听证的，应当提前20日通过网站、报刊等向社会公告听证内容和申请参加听证须知，接受公众报名，一般在听证举行10日前停止接受报名。</w:t>
      </w:r>
    </w:p>
    <w:p>
      <w:pPr>
        <w:ind w:firstLine="640" w:firstLineChars="200"/>
        <w:rPr>
          <w:rFonts w:ascii="Times New Roman" w:hAnsi="仿宋" w:eastAsia="仿宋"/>
          <w:sz w:val="32"/>
          <w:szCs w:val="32"/>
        </w:rPr>
      </w:pPr>
      <w:r>
        <w:rPr>
          <w:rFonts w:hint="eastAsia" w:ascii="Times New Roman" w:hAnsi="仿宋" w:eastAsia="仿宋"/>
          <w:sz w:val="32"/>
          <w:szCs w:val="32"/>
        </w:rPr>
        <w:t>第十一条 组织和实施听证，局政策法规股应当制作听证实施方案，经本局内部集体讨论并报经局</w:t>
      </w:r>
      <w:r>
        <w:rPr>
          <w:rFonts w:hint="eastAsia" w:ascii="Times New Roman" w:hAnsi="仿宋" w:eastAsia="仿宋"/>
          <w:sz w:val="32"/>
          <w:szCs w:val="32"/>
          <w:lang w:eastAsia="zh-CN"/>
        </w:rPr>
        <w:t>分</w:t>
      </w:r>
      <w:r>
        <w:rPr>
          <w:rFonts w:hint="eastAsia" w:ascii="Times New Roman" w:hAnsi="仿宋" w:eastAsia="仿宋"/>
          <w:sz w:val="32"/>
          <w:szCs w:val="32"/>
        </w:rPr>
        <w:t>管领导同意后方可实施。</w:t>
      </w:r>
    </w:p>
    <w:p>
      <w:pPr>
        <w:ind w:firstLine="640" w:firstLineChars="200"/>
        <w:rPr>
          <w:rFonts w:ascii="Times New Roman" w:hAnsi="仿宋" w:eastAsia="仿宋"/>
          <w:sz w:val="32"/>
          <w:szCs w:val="32"/>
        </w:rPr>
      </w:pPr>
      <w:r>
        <w:rPr>
          <w:rFonts w:hint="eastAsia" w:ascii="Times New Roman" w:hAnsi="仿宋" w:eastAsia="仿宋"/>
          <w:sz w:val="32"/>
          <w:szCs w:val="32"/>
        </w:rPr>
        <w:t>听证实施方案应当包括听证理由、听证时间、听证程序、听证人员安排、听证参加人及代表确定、经费保障、工作要求及其他听证相关事项。</w:t>
      </w:r>
    </w:p>
    <w:p>
      <w:pPr>
        <w:ind w:firstLine="640" w:firstLineChars="200"/>
        <w:rPr>
          <w:rFonts w:ascii="Times New Roman" w:hAnsi="仿宋" w:eastAsia="仿宋"/>
          <w:sz w:val="32"/>
          <w:szCs w:val="32"/>
        </w:rPr>
      </w:pPr>
      <w:r>
        <w:rPr>
          <w:rFonts w:hint="eastAsia" w:ascii="Times New Roman" w:hAnsi="仿宋" w:eastAsia="仿宋"/>
          <w:sz w:val="32"/>
          <w:szCs w:val="32"/>
        </w:rPr>
        <w:t>第十二条 听证举行7日前，局政策法规股应书面通知听证参加人，通知应当载明下列事项：</w:t>
      </w:r>
    </w:p>
    <w:p>
      <w:pPr>
        <w:ind w:firstLine="420"/>
        <w:rPr>
          <w:rFonts w:ascii="Times New Roman" w:hAnsi="仿宋" w:eastAsia="仿宋"/>
          <w:sz w:val="32"/>
          <w:szCs w:val="32"/>
        </w:rPr>
      </w:pPr>
      <w:r>
        <w:rPr>
          <w:rFonts w:hint="eastAsia" w:ascii="Times New Roman" w:hAnsi="仿宋" w:eastAsia="仿宋"/>
          <w:sz w:val="32"/>
          <w:szCs w:val="32"/>
        </w:rPr>
        <w:t>（一）听证事项；</w:t>
      </w:r>
    </w:p>
    <w:p>
      <w:pPr>
        <w:ind w:firstLine="420"/>
        <w:rPr>
          <w:rFonts w:ascii="Times New Roman" w:hAnsi="仿宋" w:eastAsia="仿宋"/>
          <w:sz w:val="32"/>
          <w:szCs w:val="32"/>
        </w:rPr>
      </w:pPr>
      <w:r>
        <w:rPr>
          <w:rFonts w:hint="eastAsia" w:ascii="Times New Roman" w:hAnsi="仿宋" w:eastAsia="仿宋"/>
          <w:sz w:val="32"/>
          <w:szCs w:val="32"/>
        </w:rPr>
        <w:t>（二）听证机关名称；</w:t>
      </w:r>
    </w:p>
    <w:p>
      <w:pPr>
        <w:ind w:firstLine="420"/>
        <w:rPr>
          <w:rFonts w:ascii="Times New Roman" w:hAnsi="仿宋" w:eastAsia="仿宋"/>
          <w:sz w:val="32"/>
          <w:szCs w:val="32"/>
        </w:rPr>
      </w:pPr>
      <w:r>
        <w:rPr>
          <w:rFonts w:hint="eastAsia" w:ascii="Times New Roman" w:hAnsi="仿宋" w:eastAsia="仿宋"/>
          <w:sz w:val="32"/>
          <w:szCs w:val="32"/>
        </w:rPr>
        <w:t>（三）听证的时间、地点；</w:t>
      </w:r>
    </w:p>
    <w:p>
      <w:pPr>
        <w:ind w:firstLine="420"/>
        <w:rPr>
          <w:rFonts w:ascii="Times New Roman" w:hAnsi="仿宋" w:eastAsia="仿宋"/>
          <w:sz w:val="32"/>
          <w:szCs w:val="32"/>
        </w:rPr>
      </w:pPr>
      <w:r>
        <w:rPr>
          <w:rFonts w:hint="eastAsia" w:ascii="Times New Roman" w:hAnsi="仿宋" w:eastAsia="仿宋"/>
          <w:sz w:val="32"/>
          <w:szCs w:val="32"/>
        </w:rPr>
        <w:t>（四）听证主持人、听证员和书记员的姓名、职务；</w:t>
      </w:r>
    </w:p>
    <w:p>
      <w:pPr>
        <w:ind w:firstLine="420"/>
        <w:rPr>
          <w:rFonts w:ascii="Times New Roman" w:hAnsi="仿宋" w:eastAsia="仿宋"/>
          <w:sz w:val="32"/>
          <w:szCs w:val="32"/>
        </w:rPr>
      </w:pPr>
      <w:r>
        <w:rPr>
          <w:rFonts w:hint="eastAsia" w:ascii="Times New Roman" w:hAnsi="仿宋" w:eastAsia="仿宋"/>
          <w:sz w:val="32"/>
          <w:szCs w:val="32"/>
        </w:rPr>
        <w:t>（五）听证参加人名单及权利和义务；</w:t>
      </w:r>
    </w:p>
    <w:p>
      <w:pPr>
        <w:ind w:firstLine="420"/>
        <w:rPr>
          <w:rFonts w:ascii="Times New Roman" w:hAnsi="仿宋" w:eastAsia="仿宋"/>
          <w:sz w:val="32"/>
          <w:szCs w:val="32"/>
        </w:rPr>
      </w:pPr>
      <w:r>
        <w:rPr>
          <w:rFonts w:hint="eastAsia" w:ascii="Times New Roman" w:hAnsi="仿宋" w:eastAsia="仿宋"/>
          <w:sz w:val="32"/>
          <w:szCs w:val="32"/>
        </w:rPr>
        <w:t>（六）听证事项的具体内容、依据、理由、背景资料等其他应当告知的事项。</w:t>
      </w:r>
    </w:p>
    <w:p>
      <w:pPr>
        <w:ind w:firstLine="640" w:firstLineChars="200"/>
        <w:rPr>
          <w:rFonts w:ascii="Times New Roman" w:hAnsi="仿宋" w:eastAsia="仿宋"/>
          <w:sz w:val="32"/>
          <w:szCs w:val="32"/>
        </w:rPr>
      </w:pPr>
      <w:r>
        <w:rPr>
          <w:rFonts w:hint="eastAsia" w:ascii="Times New Roman" w:hAnsi="仿宋" w:eastAsia="仿宋"/>
          <w:sz w:val="32"/>
          <w:szCs w:val="32"/>
        </w:rPr>
        <w:t>第十三条 听证参加人无正当理由不参加听证，或者未经听证主持人允许中途退场的，视为放弃听证。放弃听证的，记入听证笔录。</w:t>
      </w:r>
    </w:p>
    <w:p>
      <w:pPr>
        <w:ind w:firstLine="640" w:firstLineChars="200"/>
        <w:rPr>
          <w:rFonts w:ascii="Times New Roman" w:hAnsi="仿宋" w:eastAsia="仿宋"/>
          <w:sz w:val="32"/>
          <w:szCs w:val="32"/>
        </w:rPr>
      </w:pPr>
      <w:r>
        <w:rPr>
          <w:rFonts w:hint="eastAsia" w:ascii="Times New Roman" w:hAnsi="仿宋" w:eastAsia="仿宋"/>
          <w:sz w:val="32"/>
          <w:szCs w:val="32"/>
        </w:rPr>
        <w:t>本局具体实施听证事项的人员不得放弃听证。</w:t>
      </w:r>
    </w:p>
    <w:p>
      <w:pPr>
        <w:ind w:firstLine="640" w:firstLineChars="200"/>
        <w:rPr>
          <w:rFonts w:ascii="Times New Roman" w:hAnsi="仿宋" w:eastAsia="仿宋"/>
          <w:sz w:val="32"/>
          <w:szCs w:val="32"/>
        </w:rPr>
      </w:pPr>
      <w:r>
        <w:rPr>
          <w:rFonts w:hint="eastAsia" w:ascii="Times New Roman" w:hAnsi="仿宋" w:eastAsia="仿宋"/>
          <w:sz w:val="32"/>
          <w:szCs w:val="32"/>
        </w:rPr>
        <w:t>第十四条 除具体实施听证事项的人员必须亲自参加听证外，其他听证参加人也可以委托1至2名代理人参加听证，委托代理人参加听证的，应当告知其在听证举行3日前提交授权委托书。</w:t>
      </w:r>
    </w:p>
    <w:p>
      <w:pPr>
        <w:ind w:firstLine="640" w:firstLineChars="200"/>
        <w:rPr>
          <w:rFonts w:ascii="Times New Roman" w:hAnsi="仿宋" w:eastAsia="仿宋"/>
          <w:sz w:val="32"/>
          <w:szCs w:val="32"/>
        </w:rPr>
      </w:pPr>
      <w:r>
        <w:rPr>
          <w:rFonts w:hint="eastAsia" w:ascii="Times New Roman" w:hAnsi="仿宋" w:eastAsia="仿宋"/>
          <w:sz w:val="32"/>
          <w:szCs w:val="32"/>
        </w:rPr>
        <w:t>第十五条 听证主持人、听证员以及书记员认为自己与所听证的事项有直接利害关系的，应当自行申请回避。听证参加人认为听证主持人、听证员和书记员与所听证的事项有直接利害关系，可能影响公正的，有权申请回避，并在听证举行3日前提出。</w:t>
      </w:r>
    </w:p>
    <w:p>
      <w:pPr>
        <w:ind w:firstLine="640" w:firstLineChars="200"/>
        <w:rPr>
          <w:rFonts w:ascii="Times New Roman" w:hAnsi="仿宋" w:eastAsia="仿宋"/>
          <w:sz w:val="32"/>
          <w:szCs w:val="32"/>
        </w:rPr>
      </w:pPr>
      <w:r>
        <w:rPr>
          <w:rFonts w:hint="eastAsia" w:ascii="Times New Roman" w:hAnsi="仿宋" w:eastAsia="仿宋"/>
          <w:sz w:val="32"/>
          <w:szCs w:val="32"/>
        </w:rPr>
        <w:t>听证人员的回避由书记员审核并报局</w:t>
      </w:r>
      <w:r>
        <w:rPr>
          <w:rFonts w:hint="eastAsia" w:ascii="Times New Roman" w:hAnsi="仿宋" w:eastAsia="仿宋"/>
          <w:sz w:val="32"/>
          <w:szCs w:val="32"/>
          <w:lang w:eastAsia="zh-CN"/>
        </w:rPr>
        <w:t>分</w:t>
      </w:r>
      <w:r>
        <w:rPr>
          <w:rFonts w:hint="eastAsia" w:ascii="Times New Roman" w:hAnsi="仿宋" w:eastAsia="仿宋"/>
          <w:sz w:val="32"/>
          <w:szCs w:val="32"/>
        </w:rPr>
        <w:t>管领导同意后由局主要领导决定。</w:t>
      </w:r>
    </w:p>
    <w:p>
      <w:pPr>
        <w:ind w:firstLine="640" w:firstLineChars="200"/>
        <w:rPr>
          <w:rFonts w:ascii="Times New Roman" w:hAnsi="仿宋" w:eastAsia="仿宋"/>
          <w:sz w:val="32"/>
          <w:szCs w:val="32"/>
        </w:rPr>
      </w:pPr>
      <w:r>
        <w:rPr>
          <w:rFonts w:hint="eastAsia" w:ascii="Times New Roman" w:hAnsi="仿宋" w:eastAsia="仿宋"/>
          <w:sz w:val="32"/>
          <w:szCs w:val="32"/>
        </w:rPr>
        <w:t>第十六条 举行依职权听证按照下列程序进行：</w:t>
      </w:r>
    </w:p>
    <w:p>
      <w:pPr>
        <w:ind w:firstLine="420"/>
        <w:rPr>
          <w:rFonts w:ascii="Times New Roman" w:hAnsi="仿宋" w:eastAsia="仿宋"/>
          <w:sz w:val="32"/>
          <w:szCs w:val="32"/>
        </w:rPr>
      </w:pPr>
      <w:r>
        <w:rPr>
          <w:rFonts w:hint="eastAsia" w:ascii="Times New Roman" w:hAnsi="仿宋" w:eastAsia="仿宋"/>
          <w:sz w:val="32"/>
          <w:szCs w:val="32"/>
        </w:rPr>
        <w:t>（一）书记员核对听证参加人的身份和到场情况后，听证主持人宣布听证开始，介绍听证员、书记员，说明听证事项，宣布听证纪律，告知听证参加人听证的权利和义务；</w:t>
      </w:r>
    </w:p>
    <w:p>
      <w:pPr>
        <w:ind w:firstLine="420"/>
        <w:rPr>
          <w:rFonts w:ascii="Times New Roman" w:hAnsi="仿宋" w:eastAsia="仿宋"/>
          <w:sz w:val="32"/>
          <w:szCs w:val="32"/>
        </w:rPr>
      </w:pPr>
      <w:r>
        <w:rPr>
          <w:rFonts w:hint="eastAsia" w:ascii="Times New Roman" w:hAnsi="仿宋" w:eastAsia="仿宋"/>
          <w:sz w:val="32"/>
          <w:szCs w:val="32"/>
        </w:rPr>
        <w:t>（二）听证事项审批股室按照听证主持人的要求，对听证事项作出说明；</w:t>
      </w:r>
    </w:p>
    <w:p>
      <w:pPr>
        <w:ind w:firstLine="420"/>
        <w:rPr>
          <w:rFonts w:ascii="Times New Roman" w:hAnsi="仿宋" w:eastAsia="仿宋"/>
          <w:sz w:val="32"/>
          <w:szCs w:val="32"/>
        </w:rPr>
      </w:pPr>
      <w:r>
        <w:rPr>
          <w:rFonts w:hint="eastAsia" w:ascii="Times New Roman" w:hAnsi="仿宋" w:eastAsia="仿宋"/>
          <w:sz w:val="32"/>
          <w:szCs w:val="32"/>
        </w:rPr>
        <w:t>（三）听证参加人按照听证主持人宣布的发言顺序和发言时间，围绕听证事项陈述各自的观点与理由；</w:t>
      </w:r>
    </w:p>
    <w:p>
      <w:pPr>
        <w:ind w:firstLine="420"/>
        <w:rPr>
          <w:rFonts w:ascii="Times New Roman" w:hAnsi="仿宋" w:eastAsia="仿宋"/>
          <w:sz w:val="32"/>
          <w:szCs w:val="32"/>
        </w:rPr>
      </w:pPr>
      <w:r>
        <w:rPr>
          <w:rFonts w:hint="eastAsia" w:ascii="Times New Roman" w:hAnsi="仿宋" w:eastAsia="仿宋"/>
          <w:sz w:val="32"/>
          <w:szCs w:val="32"/>
        </w:rPr>
        <w:t>（四）听证主持人归纳分歧点，组织听证参加人围绕主要分歧点进行补充陈述和说明；</w:t>
      </w:r>
    </w:p>
    <w:p>
      <w:pPr>
        <w:ind w:firstLine="420"/>
        <w:rPr>
          <w:rFonts w:ascii="Times New Roman" w:hAnsi="仿宋" w:eastAsia="仿宋"/>
          <w:sz w:val="32"/>
          <w:szCs w:val="32"/>
        </w:rPr>
      </w:pPr>
      <w:r>
        <w:rPr>
          <w:rFonts w:hint="eastAsia" w:ascii="Times New Roman" w:hAnsi="仿宋" w:eastAsia="仿宋"/>
          <w:sz w:val="32"/>
          <w:szCs w:val="32"/>
        </w:rPr>
        <w:t>（五）听证主持人对听证情况进行简要总结；</w:t>
      </w:r>
    </w:p>
    <w:p>
      <w:pPr>
        <w:ind w:firstLine="420"/>
        <w:rPr>
          <w:rFonts w:ascii="Times New Roman" w:hAnsi="仿宋" w:eastAsia="仿宋"/>
          <w:sz w:val="32"/>
          <w:szCs w:val="32"/>
        </w:rPr>
      </w:pPr>
      <w:r>
        <w:rPr>
          <w:rFonts w:hint="eastAsia" w:ascii="Times New Roman" w:hAnsi="仿宋" w:eastAsia="仿宋"/>
          <w:sz w:val="32"/>
          <w:szCs w:val="32"/>
        </w:rPr>
        <w:t>（六）听证主持人宣布听证结束。</w:t>
      </w:r>
    </w:p>
    <w:p>
      <w:pPr>
        <w:ind w:firstLine="640" w:firstLineChars="200"/>
        <w:rPr>
          <w:rFonts w:ascii="Times New Roman" w:hAnsi="仿宋" w:eastAsia="仿宋"/>
          <w:sz w:val="32"/>
          <w:szCs w:val="32"/>
        </w:rPr>
      </w:pPr>
      <w:r>
        <w:rPr>
          <w:rFonts w:hint="eastAsia" w:ascii="Times New Roman" w:hAnsi="仿宋" w:eastAsia="仿宋"/>
          <w:sz w:val="32"/>
          <w:szCs w:val="32"/>
        </w:rPr>
        <w:t>第十七条 举行依申请听证按照下列程序进行：</w:t>
      </w:r>
    </w:p>
    <w:p>
      <w:pPr>
        <w:ind w:firstLine="420"/>
        <w:rPr>
          <w:rFonts w:ascii="Times New Roman" w:hAnsi="仿宋" w:eastAsia="仿宋"/>
          <w:sz w:val="32"/>
          <w:szCs w:val="32"/>
        </w:rPr>
      </w:pPr>
      <w:r>
        <w:rPr>
          <w:rFonts w:hint="eastAsia" w:ascii="Times New Roman" w:hAnsi="仿宋" w:eastAsia="仿宋"/>
          <w:sz w:val="32"/>
          <w:szCs w:val="32"/>
        </w:rPr>
        <w:t>（一）书记员核对听证参加人的身份和到场情况后，听证主持人宣布听证开始，介绍听证员、书记员，说明听证事项，宣布听证纪律，告知听证参加人听证的权利和义务；</w:t>
      </w:r>
    </w:p>
    <w:p>
      <w:pPr>
        <w:ind w:firstLine="420"/>
        <w:rPr>
          <w:rFonts w:ascii="Times New Roman" w:hAnsi="仿宋" w:eastAsia="仿宋"/>
          <w:sz w:val="32"/>
          <w:szCs w:val="32"/>
        </w:rPr>
      </w:pPr>
      <w:r>
        <w:rPr>
          <w:rFonts w:hint="eastAsia" w:ascii="Times New Roman" w:hAnsi="仿宋" w:eastAsia="仿宋"/>
          <w:sz w:val="32"/>
          <w:szCs w:val="32"/>
        </w:rPr>
        <w:t>（二）具体实施听证事项的人员陈述意见以及相关的证据、理由；</w:t>
      </w:r>
    </w:p>
    <w:p>
      <w:pPr>
        <w:ind w:firstLine="420"/>
        <w:rPr>
          <w:rFonts w:ascii="Times New Roman" w:hAnsi="仿宋" w:eastAsia="仿宋"/>
          <w:sz w:val="32"/>
          <w:szCs w:val="32"/>
        </w:rPr>
      </w:pPr>
      <w:r>
        <w:rPr>
          <w:rFonts w:hint="eastAsia" w:ascii="Times New Roman" w:hAnsi="仿宋" w:eastAsia="仿宋"/>
          <w:sz w:val="32"/>
          <w:szCs w:val="32"/>
        </w:rPr>
        <w:t>（三）申请人、利害关系人、代理人进行申辩和质证；</w:t>
      </w:r>
    </w:p>
    <w:p>
      <w:pPr>
        <w:ind w:firstLine="420"/>
        <w:rPr>
          <w:rFonts w:ascii="Times New Roman" w:hAnsi="仿宋" w:eastAsia="仿宋"/>
          <w:sz w:val="32"/>
          <w:szCs w:val="32"/>
        </w:rPr>
      </w:pPr>
      <w:r>
        <w:rPr>
          <w:rFonts w:hint="eastAsia" w:ascii="Times New Roman" w:hAnsi="仿宋" w:eastAsia="仿宋"/>
          <w:sz w:val="32"/>
          <w:szCs w:val="32"/>
        </w:rPr>
        <w:t>（四）听证主持人对听证参加人提出的意见及证据、理由进行询问；</w:t>
      </w:r>
    </w:p>
    <w:p>
      <w:pPr>
        <w:ind w:firstLine="420"/>
        <w:rPr>
          <w:rFonts w:ascii="Times New Roman" w:hAnsi="仿宋" w:eastAsia="仿宋"/>
          <w:sz w:val="32"/>
          <w:szCs w:val="32"/>
        </w:rPr>
      </w:pPr>
      <w:r>
        <w:rPr>
          <w:rFonts w:hint="eastAsia" w:ascii="Times New Roman" w:hAnsi="仿宋" w:eastAsia="仿宋"/>
          <w:sz w:val="32"/>
          <w:szCs w:val="32"/>
        </w:rPr>
        <w:t>（五）听证参加人最后陈述；</w:t>
      </w:r>
    </w:p>
    <w:p>
      <w:pPr>
        <w:ind w:firstLine="420"/>
        <w:rPr>
          <w:rFonts w:ascii="Times New Roman" w:hAnsi="仿宋" w:eastAsia="仿宋"/>
          <w:sz w:val="32"/>
          <w:szCs w:val="32"/>
        </w:rPr>
      </w:pPr>
      <w:r>
        <w:rPr>
          <w:rFonts w:hint="eastAsia" w:ascii="Times New Roman" w:hAnsi="仿宋" w:eastAsia="仿宋"/>
          <w:sz w:val="32"/>
          <w:szCs w:val="32"/>
        </w:rPr>
        <w:t>（六）听证主持人对听证情况进行要点小结；</w:t>
      </w:r>
    </w:p>
    <w:p>
      <w:pPr>
        <w:ind w:firstLine="420"/>
        <w:rPr>
          <w:rFonts w:ascii="Times New Roman" w:hAnsi="仿宋" w:eastAsia="仿宋"/>
          <w:sz w:val="32"/>
          <w:szCs w:val="32"/>
        </w:rPr>
      </w:pPr>
      <w:r>
        <w:rPr>
          <w:rFonts w:hint="eastAsia" w:ascii="Times New Roman" w:hAnsi="仿宋" w:eastAsia="仿宋"/>
          <w:sz w:val="32"/>
          <w:szCs w:val="32"/>
        </w:rPr>
        <w:t>（七）听证主持人宣布听证结束。</w:t>
      </w:r>
    </w:p>
    <w:p>
      <w:pPr>
        <w:ind w:firstLine="640" w:firstLineChars="200"/>
        <w:rPr>
          <w:rFonts w:ascii="Times New Roman" w:hAnsi="仿宋" w:eastAsia="仿宋"/>
          <w:sz w:val="32"/>
          <w:szCs w:val="32"/>
        </w:rPr>
      </w:pPr>
      <w:r>
        <w:rPr>
          <w:rFonts w:hint="eastAsia" w:ascii="Times New Roman" w:hAnsi="仿宋" w:eastAsia="仿宋"/>
          <w:sz w:val="32"/>
          <w:szCs w:val="32"/>
        </w:rPr>
        <w:t>第十八条 听证应当制作听证笔录，听证笔录应当交听证参加人确认无误后签字或者盖章。听证参加人拒绝签字或盖章的，应当在听证笔录上注明情况。</w:t>
      </w:r>
    </w:p>
    <w:p>
      <w:pPr>
        <w:ind w:firstLine="640" w:firstLineChars="200"/>
        <w:rPr>
          <w:rFonts w:ascii="Times New Roman" w:hAnsi="仿宋" w:eastAsia="仿宋"/>
          <w:sz w:val="32"/>
          <w:szCs w:val="32"/>
        </w:rPr>
      </w:pPr>
      <w:r>
        <w:rPr>
          <w:rFonts w:hint="eastAsia" w:ascii="Times New Roman" w:hAnsi="仿宋" w:eastAsia="仿宋"/>
          <w:sz w:val="32"/>
          <w:szCs w:val="32"/>
        </w:rPr>
        <w:t>第十九条 依申请听证依法有应当中止、延期、终止举行听证情形的，应当按照法律、法规、规章及有关规定办理。</w:t>
      </w:r>
    </w:p>
    <w:p>
      <w:pPr>
        <w:ind w:firstLine="640" w:firstLineChars="200"/>
        <w:rPr>
          <w:rFonts w:ascii="Times New Roman" w:hAnsi="仿宋" w:eastAsia="仿宋"/>
          <w:sz w:val="32"/>
          <w:szCs w:val="32"/>
        </w:rPr>
      </w:pPr>
      <w:r>
        <w:rPr>
          <w:rFonts w:hint="eastAsia" w:ascii="Times New Roman" w:hAnsi="仿宋" w:eastAsia="仿宋"/>
          <w:sz w:val="32"/>
          <w:szCs w:val="32"/>
        </w:rPr>
        <w:t>依职权听证有依法应当中止、延期、终止举行听证情形的，由局政策法规股参照前款规定提出并报局</w:t>
      </w:r>
      <w:bookmarkStart w:id="0" w:name="_GoBack"/>
      <w:bookmarkEnd w:id="0"/>
      <w:r>
        <w:rPr>
          <w:rFonts w:hint="eastAsia" w:ascii="Times New Roman" w:hAnsi="仿宋" w:eastAsia="仿宋"/>
          <w:sz w:val="32"/>
          <w:szCs w:val="32"/>
          <w:lang w:eastAsia="zh-CN"/>
        </w:rPr>
        <w:t>分管</w:t>
      </w:r>
      <w:r>
        <w:rPr>
          <w:rFonts w:hint="eastAsia" w:ascii="Times New Roman" w:hAnsi="仿宋" w:eastAsia="仿宋"/>
          <w:sz w:val="32"/>
          <w:szCs w:val="32"/>
        </w:rPr>
        <w:t>领导批准，涉及重大听证事项的应报局主要领导决定。</w:t>
      </w:r>
    </w:p>
    <w:p>
      <w:pPr>
        <w:ind w:firstLine="640" w:firstLineChars="200"/>
        <w:rPr>
          <w:rFonts w:ascii="Times New Roman" w:hAnsi="仿宋" w:eastAsia="仿宋"/>
          <w:sz w:val="32"/>
          <w:szCs w:val="32"/>
        </w:rPr>
      </w:pPr>
      <w:r>
        <w:rPr>
          <w:rFonts w:hint="eastAsia" w:ascii="Times New Roman" w:hAnsi="仿宋" w:eastAsia="仿宋"/>
          <w:sz w:val="32"/>
          <w:szCs w:val="32"/>
        </w:rPr>
        <w:t>第二十条 决定中止、延期举行听证的，局政策法规股应当书面通知听证参加人。</w:t>
      </w:r>
    </w:p>
    <w:p>
      <w:pPr>
        <w:ind w:firstLine="640" w:firstLineChars="200"/>
        <w:rPr>
          <w:rFonts w:ascii="Times New Roman" w:hAnsi="仿宋" w:eastAsia="仿宋"/>
          <w:sz w:val="32"/>
          <w:szCs w:val="32"/>
        </w:rPr>
      </w:pPr>
      <w:r>
        <w:rPr>
          <w:rFonts w:hint="eastAsia" w:ascii="Times New Roman" w:hAnsi="仿宋" w:eastAsia="仿宋"/>
          <w:sz w:val="32"/>
          <w:szCs w:val="32"/>
        </w:rPr>
        <w:t>听证终止的，属于听证举行前终止的，经集体研究决定后通知听证参加人；属于听证举行过程中终止的，由听证主持人决定并记录在卷，听证主持人应在作出听证终止的决定后立即报告局主要领导和分管领导。</w:t>
      </w:r>
    </w:p>
    <w:p>
      <w:pPr>
        <w:ind w:firstLine="640" w:firstLineChars="200"/>
        <w:rPr>
          <w:rFonts w:ascii="Times New Roman" w:hAnsi="仿宋" w:eastAsia="仿宋"/>
          <w:sz w:val="32"/>
          <w:szCs w:val="32"/>
        </w:rPr>
      </w:pPr>
      <w:r>
        <w:rPr>
          <w:rFonts w:hint="eastAsia" w:ascii="Times New Roman" w:hAnsi="仿宋" w:eastAsia="仿宋"/>
          <w:sz w:val="32"/>
          <w:szCs w:val="32"/>
        </w:rPr>
        <w:t>第二十一条 听证结束后，局政策法规股按照政府信息公开有关规定提出意见上报局办公室决定是否公开听证结果；对听证参加人意见和建议的采纳情况及其理由应以书面形式通知听证参加人。</w:t>
      </w:r>
    </w:p>
    <w:p>
      <w:pPr>
        <w:jc w:val="center"/>
        <w:rPr>
          <w:rFonts w:ascii="黑体" w:hAnsi="黑体" w:eastAsia="黑体"/>
          <w:sz w:val="32"/>
          <w:szCs w:val="32"/>
        </w:rPr>
      </w:pPr>
      <w:r>
        <w:rPr>
          <w:rFonts w:hint="eastAsia" w:ascii="黑体" w:hAnsi="黑体" w:eastAsia="黑体"/>
          <w:sz w:val="32"/>
          <w:szCs w:val="32"/>
        </w:rPr>
        <w:t>第四章 听证的效力</w:t>
      </w:r>
    </w:p>
    <w:p>
      <w:pPr>
        <w:ind w:firstLine="640" w:firstLineChars="200"/>
        <w:rPr>
          <w:rFonts w:ascii="Times New Roman" w:hAnsi="仿宋" w:eastAsia="仿宋"/>
          <w:sz w:val="32"/>
          <w:szCs w:val="32"/>
        </w:rPr>
      </w:pPr>
      <w:r>
        <w:rPr>
          <w:rFonts w:hint="eastAsia" w:ascii="Times New Roman" w:hAnsi="仿宋" w:eastAsia="仿宋"/>
          <w:sz w:val="32"/>
          <w:szCs w:val="32"/>
        </w:rPr>
        <w:t>第二十二条 本局对依法应当听证的事项不组织听证，或者不按照规定组织听证的，不得作出决定或处理意见。</w:t>
      </w:r>
    </w:p>
    <w:p>
      <w:pPr>
        <w:ind w:firstLine="640" w:firstLineChars="200"/>
        <w:rPr>
          <w:rFonts w:ascii="Times New Roman" w:hAnsi="仿宋" w:eastAsia="仿宋"/>
          <w:sz w:val="32"/>
          <w:szCs w:val="32"/>
        </w:rPr>
      </w:pPr>
      <w:r>
        <w:rPr>
          <w:rFonts w:hint="eastAsia" w:ascii="Times New Roman" w:hAnsi="仿宋" w:eastAsia="仿宋"/>
          <w:sz w:val="32"/>
          <w:szCs w:val="32"/>
        </w:rPr>
        <w:t>第二十三条 本局应当根据行政许可听证笔录作出行政许可决定。</w:t>
      </w:r>
    </w:p>
    <w:p>
      <w:pPr>
        <w:jc w:val="center"/>
        <w:rPr>
          <w:rFonts w:ascii="黑体" w:hAnsi="黑体" w:eastAsia="黑体"/>
          <w:sz w:val="32"/>
          <w:szCs w:val="32"/>
        </w:rPr>
      </w:pPr>
      <w:r>
        <w:rPr>
          <w:rFonts w:hint="eastAsia" w:ascii="黑体" w:hAnsi="黑体" w:eastAsia="黑体"/>
          <w:sz w:val="32"/>
          <w:szCs w:val="32"/>
        </w:rPr>
        <w:t>第五章 责任追究</w:t>
      </w:r>
    </w:p>
    <w:p>
      <w:pPr>
        <w:ind w:firstLine="640" w:firstLineChars="200"/>
        <w:rPr>
          <w:rFonts w:ascii="Times New Roman" w:hAnsi="仿宋" w:eastAsia="仿宋"/>
          <w:sz w:val="32"/>
          <w:szCs w:val="32"/>
        </w:rPr>
      </w:pPr>
      <w:r>
        <w:rPr>
          <w:rFonts w:hint="eastAsia" w:ascii="Times New Roman" w:hAnsi="仿宋" w:eastAsia="仿宋"/>
          <w:sz w:val="32"/>
          <w:szCs w:val="32"/>
        </w:rPr>
        <w:t>第二十四条 听证主持人、听证员、书记员应当严格按照法律及有关规定行使权利，违反法律及有关规定的，不再担任该听证的听证主持人、听证员、书记员。</w:t>
      </w:r>
    </w:p>
    <w:p>
      <w:pPr>
        <w:ind w:firstLine="640" w:firstLineChars="200"/>
        <w:rPr>
          <w:rFonts w:ascii="Times New Roman" w:hAnsi="仿宋" w:eastAsia="仿宋"/>
          <w:sz w:val="32"/>
          <w:szCs w:val="32"/>
        </w:rPr>
      </w:pPr>
      <w:r>
        <w:rPr>
          <w:rFonts w:hint="eastAsia" w:ascii="Times New Roman" w:hAnsi="仿宋" w:eastAsia="仿宋"/>
          <w:sz w:val="32"/>
          <w:szCs w:val="32"/>
        </w:rPr>
        <w:t>第二十五条 本局工作人员有依法应当组织听证而未组织听证、违反听证程序、未告知听证权利、擅自拒绝听证参加人参加听证、未依法公开听证结果等违反本办法的行为的，由局督查考核股依法予以纠正；涉嫌构成犯罪的，依法移交司法机关处理。</w:t>
      </w:r>
    </w:p>
    <w:p>
      <w:pPr>
        <w:ind w:firstLine="640" w:firstLineChars="200"/>
        <w:rPr>
          <w:rFonts w:ascii="Times New Roman" w:hAnsi="仿宋" w:eastAsia="仿宋"/>
          <w:sz w:val="32"/>
          <w:szCs w:val="32"/>
        </w:rPr>
      </w:pPr>
      <w:r>
        <w:rPr>
          <w:rFonts w:hint="eastAsia" w:ascii="Times New Roman" w:hAnsi="仿宋" w:eastAsia="仿宋"/>
          <w:sz w:val="32"/>
          <w:szCs w:val="32"/>
        </w:rPr>
        <w:t>第二十六条 听证参加人扰乱听证秩序或者有其他妨碍听证正常、公正进行行为的，由听证主持人给予警示；情节严重的，依法依规处理。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308602"/>
    </w:sdtPr>
    <w:sdtEndPr>
      <w:rPr>
        <w:rFonts w:ascii="Times New Roman" w:hAnsi="Times New Roman" w:cs="Times New Roman"/>
      </w:rPr>
    </w:sdtEndPr>
    <w:sdtContent>
      <w:p>
        <w:pPr>
          <w:pStyle w:val="3"/>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1 -</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D4"/>
    <w:rsid w:val="00007011"/>
    <w:rsid w:val="001D695B"/>
    <w:rsid w:val="001D7F81"/>
    <w:rsid w:val="001E309A"/>
    <w:rsid w:val="00240450"/>
    <w:rsid w:val="00314B71"/>
    <w:rsid w:val="003D57F4"/>
    <w:rsid w:val="0041131B"/>
    <w:rsid w:val="004741E6"/>
    <w:rsid w:val="004D33C9"/>
    <w:rsid w:val="00577A1C"/>
    <w:rsid w:val="00612BBB"/>
    <w:rsid w:val="00643A05"/>
    <w:rsid w:val="00662877"/>
    <w:rsid w:val="00707F9B"/>
    <w:rsid w:val="007F04F1"/>
    <w:rsid w:val="00826856"/>
    <w:rsid w:val="008646A8"/>
    <w:rsid w:val="00867C66"/>
    <w:rsid w:val="00905048"/>
    <w:rsid w:val="00990DCC"/>
    <w:rsid w:val="009D4D05"/>
    <w:rsid w:val="00AA022A"/>
    <w:rsid w:val="00BD7D28"/>
    <w:rsid w:val="00C54FCD"/>
    <w:rsid w:val="00D0234B"/>
    <w:rsid w:val="00D13EAC"/>
    <w:rsid w:val="00D14C14"/>
    <w:rsid w:val="00D364D9"/>
    <w:rsid w:val="00E12A0D"/>
    <w:rsid w:val="00E427D4"/>
    <w:rsid w:val="00E5198C"/>
    <w:rsid w:val="00E54C8F"/>
    <w:rsid w:val="00E876E1"/>
    <w:rsid w:val="00F576C2"/>
    <w:rsid w:val="00FF29C5"/>
    <w:rsid w:val="01041981"/>
    <w:rsid w:val="011E1170"/>
    <w:rsid w:val="015D383D"/>
    <w:rsid w:val="0163778E"/>
    <w:rsid w:val="018664A2"/>
    <w:rsid w:val="01965639"/>
    <w:rsid w:val="01B06811"/>
    <w:rsid w:val="01FB0AF7"/>
    <w:rsid w:val="02040E5A"/>
    <w:rsid w:val="020B3C19"/>
    <w:rsid w:val="020E5C2D"/>
    <w:rsid w:val="02537AD0"/>
    <w:rsid w:val="0256239F"/>
    <w:rsid w:val="025806D5"/>
    <w:rsid w:val="02676442"/>
    <w:rsid w:val="02872B25"/>
    <w:rsid w:val="028D09DF"/>
    <w:rsid w:val="02F3426F"/>
    <w:rsid w:val="03132437"/>
    <w:rsid w:val="032E0088"/>
    <w:rsid w:val="034D62D8"/>
    <w:rsid w:val="03542CDC"/>
    <w:rsid w:val="036F2F72"/>
    <w:rsid w:val="037F4FC1"/>
    <w:rsid w:val="03DB0482"/>
    <w:rsid w:val="03E639F8"/>
    <w:rsid w:val="03FC3E11"/>
    <w:rsid w:val="041074ED"/>
    <w:rsid w:val="04264300"/>
    <w:rsid w:val="044F3552"/>
    <w:rsid w:val="046E1247"/>
    <w:rsid w:val="04701919"/>
    <w:rsid w:val="04764D1C"/>
    <w:rsid w:val="04AA3175"/>
    <w:rsid w:val="04B124BA"/>
    <w:rsid w:val="05216203"/>
    <w:rsid w:val="052C5942"/>
    <w:rsid w:val="052F080A"/>
    <w:rsid w:val="05447896"/>
    <w:rsid w:val="05556208"/>
    <w:rsid w:val="056629E8"/>
    <w:rsid w:val="056718D4"/>
    <w:rsid w:val="05681A1A"/>
    <w:rsid w:val="056F00A2"/>
    <w:rsid w:val="05B81905"/>
    <w:rsid w:val="05D7401B"/>
    <w:rsid w:val="05E06872"/>
    <w:rsid w:val="05E934F1"/>
    <w:rsid w:val="05FF54A1"/>
    <w:rsid w:val="060B3E5C"/>
    <w:rsid w:val="061C6AF2"/>
    <w:rsid w:val="06223AB0"/>
    <w:rsid w:val="06296D5F"/>
    <w:rsid w:val="06311962"/>
    <w:rsid w:val="064003C4"/>
    <w:rsid w:val="064C6F4C"/>
    <w:rsid w:val="0653623E"/>
    <w:rsid w:val="06874544"/>
    <w:rsid w:val="06980543"/>
    <w:rsid w:val="06A75A76"/>
    <w:rsid w:val="06CA19F5"/>
    <w:rsid w:val="06CF794E"/>
    <w:rsid w:val="06D264AB"/>
    <w:rsid w:val="07096F0D"/>
    <w:rsid w:val="07342C11"/>
    <w:rsid w:val="075206BE"/>
    <w:rsid w:val="075D1C30"/>
    <w:rsid w:val="076441BF"/>
    <w:rsid w:val="076958BA"/>
    <w:rsid w:val="07BD525A"/>
    <w:rsid w:val="083F3ECB"/>
    <w:rsid w:val="086151A2"/>
    <w:rsid w:val="08C77BE7"/>
    <w:rsid w:val="08CB0C0A"/>
    <w:rsid w:val="08D414C1"/>
    <w:rsid w:val="08E71E19"/>
    <w:rsid w:val="08EE4E37"/>
    <w:rsid w:val="08FC07BF"/>
    <w:rsid w:val="090B0075"/>
    <w:rsid w:val="091646C6"/>
    <w:rsid w:val="092A4EC6"/>
    <w:rsid w:val="099F091E"/>
    <w:rsid w:val="09A26D4B"/>
    <w:rsid w:val="0A105159"/>
    <w:rsid w:val="0A4D66C0"/>
    <w:rsid w:val="0A65702B"/>
    <w:rsid w:val="0AD97F76"/>
    <w:rsid w:val="0AE64C09"/>
    <w:rsid w:val="0AE713C4"/>
    <w:rsid w:val="0B2D645B"/>
    <w:rsid w:val="0B5E0A34"/>
    <w:rsid w:val="0B665256"/>
    <w:rsid w:val="0BAE6252"/>
    <w:rsid w:val="0BC245E3"/>
    <w:rsid w:val="0C192B39"/>
    <w:rsid w:val="0C3C489E"/>
    <w:rsid w:val="0C496202"/>
    <w:rsid w:val="0C63305B"/>
    <w:rsid w:val="0C7531D7"/>
    <w:rsid w:val="0C9212EE"/>
    <w:rsid w:val="0C99680C"/>
    <w:rsid w:val="0C9B4263"/>
    <w:rsid w:val="0CBA557E"/>
    <w:rsid w:val="0CCA0B30"/>
    <w:rsid w:val="0D1375CE"/>
    <w:rsid w:val="0D35709E"/>
    <w:rsid w:val="0D450FD5"/>
    <w:rsid w:val="0D652E21"/>
    <w:rsid w:val="0D702450"/>
    <w:rsid w:val="0D8C142E"/>
    <w:rsid w:val="0D904AB7"/>
    <w:rsid w:val="0DAF1826"/>
    <w:rsid w:val="0DB059F1"/>
    <w:rsid w:val="0DCF05F8"/>
    <w:rsid w:val="0DDD727C"/>
    <w:rsid w:val="0DED61E2"/>
    <w:rsid w:val="0DF52570"/>
    <w:rsid w:val="0E152138"/>
    <w:rsid w:val="0E3204D0"/>
    <w:rsid w:val="0E380D64"/>
    <w:rsid w:val="0E492E38"/>
    <w:rsid w:val="0E5B47C2"/>
    <w:rsid w:val="0E5C7A81"/>
    <w:rsid w:val="0E670BA9"/>
    <w:rsid w:val="0E876440"/>
    <w:rsid w:val="0E963E49"/>
    <w:rsid w:val="0EAB5682"/>
    <w:rsid w:val="0EC63404"/>
    <w:rsid w:val="0F560F7B"/>
    <w:rsid w:val="0F655E53"/>
    <w:rsid w:val="0F7F15CE"/>
    <w:rsid w:val="0FE05C6B"/>
    <w:rsid w:val="0FF0461A"/>
    <w:rsid w:val="100941A6"/>
    <w:rsid w:val="10096817"/>
    <w:rsid w:val="10221179"/>
    <w:rsid w:val="104610A1"/>
    <w:rsid w:val="10517020"/>
    <w:rsid w:val="105866DC"/>
    <w:rsid w:val="105B1BB5"/>
    <w:rsid w:val="10637949"/>
    <w:rsid w:val="109F3ECA"/>
    <w:rsid w:val="10BA5135"/>
    <w:rsid w:val="10BA7B62"/>
    <w:rsid w:val="10BB6F77"/>
    <w:rsid w:val="10C62F0B"/>
    <w:rsid w:val="10CC5437"/>
    <w:rsid w:val="10DD54FF"/>
    <w:rsid w:val="1118359D"/>
    <w:rsid w:val="11271FD7"/>
    <w:rsid w:val="112F3B6D"/>
    <w:rsid w:val="11427900"/>
    <w:rsid w:val="116065DF"/>
    <w:rsid w:val="11857C67"/>
    <w:rsid w:val="11A11D1C"/>
    <w:rsid w:val="11B15F6E"/>
    <w:rsid w:val="11BF6546"/>
    <w:rsid w:val="11BF6552"/>
    <w:rsid w:val="11C36086"/>
    <w:rsid w:val="11C8532C"/>
    <w:rsid w:val="11D20753"/>
    <w:rsid w:val="12032168"/>
    <w:rsid w:val="12242025"/>
    <w:rsid w:val="124B3370"/>
    <w:rsid w:val="125655DD"/>
    <w:rsid w:val="1257686E"/>
    <w:rsid w:val="12754B54"/>
    <w:rsid w:val="12DA7897"/>
    <w:rsid w:val="12FB459D"/>
    <w:rsid w:val="12FF5DE7"/>
    <w:rsid w:val="130550F5"/>
    <w:rsid w:val="13254447"/>
    <w:rsid w:val="13365202"/>
    <w:rsid w:val="135739D5"/>
    <w:rsid w:val="135D6F3F"/>
    <w:rsid w:val="139178AA"/>
    <w:rsid w:val="143B1151"/>
    <w:rsid w:val="146B4F7F"/>
    <w:rsid w:val="14965481"/>
    <w:rsid w:val="149E1D53"/>
    <w:rsid w:val="150D2B8C"/>
    <w:rsid w:val="15284892"/>
    <w:rsid w:val="15492229"/>
    <w:rsid w:val="15494393"/>
    <w:rsid w:val="157A212F"/>
    <w:rsid w:val="159876AA"/>
    <w:rsid w:val="15A01839"/>
    <w:rsid w:val="15CB6D6C"/>
    <w:rsid w:val="162075D4"/>
    <w:rsid w:val="163C2A48"/>
    <w:rsid w:val="1644511D"/>
    <w:rsid w:val="168D41DD"/>
    <w:rsid w:val="16A376C0"/>
    <w:rsid w:val="16C80AF0"/>
    <w:rsid w:val="16ED4631"/>
    <w:rsid w:val="16F837DB"/>
    <w:rsid w:val="16FD2D4F"/>
    <w:rsid w:val="17441DC4"/>
    <w:rsid w:val="174B6D91"/>
    <w:rsid w:val="17777CFE"/>
    <w:rsid w:val="178F7114"/>
    <w:rsid w:val="1799760F"/>
    <w:rsid w:val="17A36375"/>
    <w:rsid w:val="17D52AED"/>
    <w:rsid w:val="17DF4468"/>
    <w:rsid w:val="17E26D22"/>
    <w:rsid w:val="184D3DBD"/>
    <w:rsid w:val="189876B1"/>
    <w:rsid w:val="18AB51BE"/>
    <w:rsid w:val="18B07F72"/>
    <w:rsid w:val="18D40E84"/>
    <w:rsid w:val="190E5566"/>
    <w:rsid w:val="195C283D"/>
    <w:rsid w:val="196402A9"/>
    <w:rsid w:val="19667A6C"/>
    <w:rsid w:val="19977B74"/>
    <w:rsid w:val="19BE484B"/>
    <w:rsid w:val="1A130951"/>
    <w:rsid w:val="1A1C284E"/>
    <w:rsid w:val="1A3F30D1"/>
    <w:rsid w:val="1A6F4984"/>
    <w:rsid w:val="1A826665"/>
    <w:rsid w:val="1A973701"/>
    <w:rsid w:val="1AA631D8"/>
    <w:rsid w:val="1AB03CA0"/>
    <w:rsid w:val="1AE16435"/>
    <w:rsid w:val="1AE53266"/>
    <w:rsid w:val="1B0C3B50"/>
    <w:rsid w:val="1B0D02AC"/>
    <w:rsid w:val="1B0D38E2"/>
    <w:rsid w:val="1B395BD3"/>
    <w:rsid w:val="1B5602F0"/>
    <w:rsid w:val="1B580A13"/>
    <w:rsid w:val="1B870A52"/>
    <w:rsid w:val="1B8E6C34"/>
    <w:rsid w:val="1BA76F79"/>
    <w:rsid w:val="1BCC5D77"/>
    <w:rsid w:val="1BD01CB2"/>
    <w:rsid w:val="1BD6628C"/>
    <w:rsid w:val="1C156093"/>
    <w:rsid w:val="1C250D86"/>
    <w:rsid w:val="1C4A2A50"/>
    <w:rsid w:val="1C54650F"/>
    <w:rsid w:val="1C7B3F2E"/>
    <w:rsid w:val="1C945718"/>
    <w:rsid w:val="1CB37BFC"/>
    <w:rsid w:val="1CB60EAB"/>
    <w:rsid w:val="1CC44BAA"/>
    <w:rsid w:val="1CD25A40"/>
    <w:rsid w:val="1CD5700C"/>
    <w:rsid w:val="1CDC7C92"/>
    <w:rsid w:val="1CE14E57"/>
    <w:rsid w:val="1D0B1D9D"/>
    <w:rsid w:val="1D2C2A7F"/>
    <w:rsid w:val="1D8A5085"/>
    <w:rsid w:val="1DA4079A"/>
    <w:rsid w:val="1DA808C8"/>
    <w:rsid w:val="1DA85DDB"/>
    <w:rsid w:val="1DB07EF1"/>
    <w:rsid w:val="1DCC7212"/>
    <w:rsid w:val="1DF47B27"/>
    <w:rsid w:val="1E0D7B58"/>
    <w:rsid w:val="1E1835D6"/>
    <w:rsid w:val="1E2E170B"/>
    <w:rsid w:val="1E5C15B9"/>
    <w:rsid w:val="1E5F0B24"/>
    <w:rsid w:val="1E5F0E22"/>
    <w:rsid w:val="1E795BAD"/>
    <w:rsid w:val="1EB10A11"/>
    <w:rsid w:val="1EBE6138"/>
    <w:rsid w:val="1EFA3E6A"/>
    <w:rsid w:val="1F0E398B"/>
    <w:rsid w:val="1F1F4B07"/>
    <w:rsid w:val="1F546343"/>
    <w:rsid w:val="1F817589"/>
    <w:rsid w:val="1FA823EE"/>
    <w:rsid w:val="1FEC5CC9"/>
    <w:rsid w:val="20032F48"/>
    <w:rsid w:val="20065E0A"/>
    <w:rsid w:val="202663F5"/>
    <w:rsid w:val="203A6B73"/>
    <w:rsid w:val="20430F00"/>
    <w:rsid w:val="205D68C1"/>
    <w:rsid w:val="2088419C"/>
    <w:rsid w:val="20956EBF"/>
    <w:rsid w:val="20AE5996"/>
    <w:rsid w:val="20D959E3"/>
    <w:rsid w:val="212F6277"/>
    <w:rsid w:val="21302F2A"/>
    <w:rsid w:val="21716494"/>
    <w:rsid w:val="2192790B"/>
    <w:rsid w:val="21D92ABA"/>
    <w:rsid w:val="21E030A7"/>
    <w:rsid w:val="21FC53C5"/>
    <w:rsid w:val="22115074"/>
    <w:rsid w:val="221340E8"/>
    <w:rsid w:val="22284D74"/>
    <w:rsid w:val="222C3FED"/>
    <w:rsid w:val="22361769"/>
    <w:rsid w:val="22372DE0"/>
    <w:rsid w:val="223B745A"/>
    <w:rsid w:val="22511BCD"/>
    <w:rsid w:val="226F6CD9"/>
    <w:rsid w:val="227F5828"/>
    <w:rsid w:val="22CB0BA8"/>
    <w:rsid w:val="231E60D7"/>
    <w:rsid w:val="23213F5A"/>
    <w:rsid w:val="23291442"/>
    <w:rsid w:val="232C659A"/>
    <w:rsid w:val="23336CF9"/>
    <w:rsid w:val="235305C7"/>
    <w:rsid w:val="2374429C"/>
    <w:rsid w:val="23A31967"/>
    <w:rsid w:val="23AD7F16"/>
    <w:rsid w:val="23AE5355"/>
    <w:rsid w:val="23D64262"/>
    <w:rsid w:val="23F509DC"/>
    <w:rsid w:val="23F51B70"/>
    <w:rsid w:val="24001975"/>
    <w:rsid w:val="24197E7E"/>
    <w:rsid w:val="241B1936"/>
    <w:rsid w:val="244C4A5C"/>
    <w:rsid w:val="24564E8E"/>
    <w:rsid w:val="246023C9"/>
    <w:rsid w:val="247B2F7B"/>
    <w:rsid w:val="249E1EDC"/>
    <w:rsid w:val="24A40AA0"/>
    <w:rsid w:val="25503FBD"/>
    <w:rsid w:val="255364EC"/>
    <w:rsid w:val="25A64C92"/>
    <w:rsid w:val="25D1466B"/>
    <w:rsid w:val="26111B65"/>
    <w:rsid w:val="263C267E"/>
    <w:rsid w:val="267351AA"/>
    <w:rsid w:val="26793211"/>
    <w:rsid w:val="267A66A3"/>
    <w:rsid w:val="269845BE"/>
    <w:rsid w:val="26B910F7"/>
    <w:rsid w:val="26E76C82"/>
    <w:rsid w:val="26FA6E96"/>
    <w:rsid w:val="27054ADB"/>
    <w:rsid w:val="27127EDC"/>
    <w:rsid w:val="27313937"/>
    <w:rsid w:val="27326401"/>
    <w:rsid w:val="27720E0A"/>
    <w:rsid w:val="279D34FC"/>
    <w:rsid w:val="27B90E8D"/>
    <w:rsid w:val="27C064BA"/>
    <w:rsid w:val="27D40E8E"/>
    <w:rsid w:val="27D56025"/>
    <w:rsid w:val="27DF30AA"/>
    <w:rsid w:val="28277A5A"/>
    <w:rsid w:val="282A6BEC"/>
    <w:rsid w:val="28583736"/>
    <w:rsid w:val="285B7685"/>
    <w:rsid w:val="28653E38"/>
    <w:rsid w:val="28836F5A"/>
    <w:rsid w:val="28902B8F"/>
    <w:rsid w:val="28A4584D"/>
    <w:rsid w:val="28AE006C"/>
    <w:rsid w:val="28B960F0"/>
    <w:rsid w:val="28EF713F"/>
    <w:rsid w:val="28F44748"/>
    <w:rsid w:val="29177944"/>
    <w:rsid w:val="29A72F6D"/>
    <w:rsid w:val="29AD6016"/>
    <w:rsid w:val="29DF147F"/>
    <w:rsid w:val="29E35E3A"/>
    <w:rsid w:val="2A2A6A3C"/>
    <w:rsid w:val="2A360C4B"/>
    <w:rsid w:val="2A8F1C50"/>
    <w:rsid w:val="2AA5204B"/>
    <w:rsid w:val="2AB80205"/>
    <w:rsid w:val="2AC26111"/>
    <w:rsid w:val="2AD34868"/>
    <w:rsid w:val="2AFC6435"/>
    <w:rsid w:val="2B1335BA"/>
    <w:rsid w:val="2B2A17AE"/>
    <w:rsid w:val="2B2A32D6"/>
    <w:rsid w:val="2B2A5880"/>
    <w:rsid w:val="2B401561"/>
    <w:rsid w:val="2B6A2435"/>
    <w:rsid w:val="2B822D40"/>
    <w:rsid w:val="2BAC584D"/>
    <w:rsid w:val="2BD90266"/>
    <w:rsid w:val="2BEF30B7"/>
    <w:rsid w:val="2C2955AC"/>
    <w:rsid w:val="2C531247"/>
    <w:rsid w:val="2C640A35"/>
    <w:rsid w:val="2C733CDA"/>
    <w:rsid w:val="2C8D3688"/>
    <w:rsid w:val="2C9E6D4D"/>
    <w:rsid w:val="2CA71F5E"/>
    <w:rsid w:val="2CB36EEA"/>
    <w:rsid w:val="2CD97A62"/>
    <w:rsid w:val="2CE12E20"/>
    <w:rsid w:val="2CF06A41"/>
    <w:rsid w:val="2D050897"/>
    <w:rsid w:val="2D203A2B"/>
    <w:rsid w:val="2D2F3114"/>
    <w:rsid w:val="2D6A5488"/>
    <w:rsid w:val="2DA5714C"/>
    <w:rsid w:val="2DBB5851"/>
    <w:rsid w:val="2DD02B24"/>
    <w:rsid w:val="2DD846B8"/>
    <w:rsid w:val="2DF64279"/>
    <w:rsid w:val="2E2A63D4"/>
    <w:rsid w:val="2E2A6A93"/>
    <w:rsid w:val="2E2D615D"/>
    <w:rsid w:val="2E365C78"/>
    <w:rsid w:val="2E385E1D"/>
    <w:rsid w:val="2E445C0C"/>
    <w:rsid w:val="2E7366D8"/>
    <w:rsid w:val="2E7449A7"/>
    <w:rsid w:val="2E882ACD"/>
    <w:rsid w:val="2F07393F"/>
    <w:rsid w:val="2F0E2330"/>
    <w:rsid w:val="2F0E75E0"/>
    <w:rsid w:val="2F214AD2"/>
    <w:rsid w:val="2F243CB8"/>
    <w:rsid w:val="2F35571C"/>
    <w:rsid w:val="2F55525A"/>
    <w:rsid w:val="2F6030D7"/>
    <w:rsid w:val="2F6D6F75"/>
    <w:rsid w:val="2F8E7281"/>
    <w:rsid w:val="2F933A86"/>
    <w:rsid w:val="2F9A778B"/>
    <w:rsid w:val="2F9F0A99"/>
    <w:rsid w:val="2FA560F8"/>
    <w:rsid w:val="2FB70888"/>
    <w:rsid w:val="2FD324D7"/>
    <w:rsid w:val="2FD60E5B"/>
    <w:rsid w:val="2FE40798"/>
    <w:rsid w:val="2FED03A8"/>
    <w:rsid w:val="30084F15"/>
    <w:rsid w:val="300F648A"/>
    <w:rsid w:val="301B26E8"/>
    <w:rsid w:val="305B4CA5"/>
    <w:rsid w:val="306913BA"/>
    <w:rsid w:val="306C5A57"/>
    <w:rsid w:val="30743406"/>
    <w:rsid w:val="30932E9D"/>
    <w:rsid w:val="30B732E6"/>
    <w:rsid w:val="30BF3CCE"/>
    <w:rsid w:val="30D03450"/>
    <w:rsid w:val="30F57076"/>
    <w:rsid w:val="312B3F60"/>
    <w:rsid w:val="31334BB6"/>
    <w:rsid w:val="31362426"/>
    <w:rsid w:val="31482226"/>
    <w:rsid w:val="314B39FF"/>
    <w:rsid w:val="318D3492"/>
    <w:rsid w:val="31AB5729"/>
    <w:rsid w:val="31BB2C66"/>
    <w:rsid w:val="31D06372"/>
    <w:rsid w:val="31F64219"/>
    <w:rsid w:val="32086637"/>
    <w:rsid w:val="321F50C1"/>
    <w:rsid w:val="323915EB"/>
    <w:rsid w:val="32644C52"/>
    <w:rsid w:val="326A2EFC"/>
    <w:rsid w:val="32771BFB"/>
    <w:rsid w:val="328E21E4"/>
    <w:rsid w:val="329F564A"/>
    <w:rsid w:val="32A10BDD"/>
    <w:rsid w:val="32CE7574"/>
    <w:rsid w:val="333408C1"/>
    <w:rsid w:val="333D3CB3"/>
    <w:rsid w:val="337003C0"/>
    <w:rsid w:val="33713857"/>
    <w:rsid w:val="338E25BB"/>
    <w:rsid w:val="33C17E5B"/>
    <w:rsid w:val="33C6032B"/>
    <w:rsid w:val="33D23BCD"/>
    <w:rsid w:val="34164C03"/>
    <w:rsid w:val="34580282"/>
    <w:rsid w:val="346C3BE5"/>
    <w:rsid w:val="34791863"/>
    <w:rsid w:val="349562C5"/>
    <w:rsid w:val="34A86AC3"/>
    <w:rsid w:val="34CB226E"/>
    <w:rsid w:val="34D73B1D"/>
    <w:rsid w:val="34E1579B"/>
    <w:rsid w:val="350C66BC"/>
    <w:rsid w:val="351D618C"/>
    <w:rsid w:val="35752DDD"/>
    <w:rsid w:val="35B725A0"/>
    <w:rsid w:val="35D123B6"/>
    <w:rsid w:val="35E26DE4"/>
    <w:rsid w:val="36092938"/>
    <w:rsid w:val="361859FF"/>
    <w:rsid w:val="361C6EB4"/>
    <w:rsid w:val="36214D24"/>
    <w:rsid w:val="36297640"/>
    <w:rsid w:val="36756414"/>
    <w:rsid w:val="3682396D"/>
    <w:rsid w:val="36845F5F"/>
    <w:rsid w:val="36A9531A"/>
    <w:rsid w:val="36C006B2"/>
    <w:rsid w:val="36C81249"/>
    <w:rsid w:val="36D34247"/>
    <w:rsid w:val="371A354E"/>
    <w:rsid w:val="371E6C99"/>
    <w:rsid w:val="377421E0"/>
    <w:rsid w:val="37822BAC"/>
    <w:rsid w:val="37847F71"/>
    <w:rsid w:val="37A16EFF"/>
    <w:rsid w:val="37AE44F8"/>
    <w:rsid w:val="37B771D2"/>
    <w:rsid w:val="37C74379"/>
    <w:rsid w:val="37ED363D"/>
    <w:rsid w:val="381066D0"/>
    <w:rsid w:val="38232D85"/>
    <w:rsid w:val="38272648"/>
    <w:rsid w:val="3836479A"/>
    <w:rsid w:val="3839167E"/>
    <w:rsid w:val="38446E6F"/>
    <w:rsid w:val="3877089C"/>
    <w:rsid w:val="38CD7C03"/>
    <w:rsid w:val="38D076C4"/>
    <w:rsid w:val="38D17F31"/>
    <w:rsid w:val="3913066F"/>
    <w:rsid w:val="393A4693"/>
    <w:rsid w:val="393F7A21"/>
    <w:rsid w:val="394120A2"/>
    <w:rsid w:val="395635BB"/>
    <w:rsid w:val="395C1B6C"/>
    <w:rsid w:val="397C6C86"/>
    <w:rsid w:val="397E7FCB"/>
    <w:rsid w:val="39A13075"/>
    <w:rsid w:val="39BF5BA3"/>
    <w:rsid w:val="39CF59D9"/>
    <w:rsid w:val="3A127423"/>
    <w:rsid w:val="3A187D57"/>
    <w:rsid w:val="3A670BEA"/>
    <w:rsid w:val="3A8F4FD1"/>
    <w:rsid w:val="3A9E7D73"/>
    <w:rsid w:val="3AB3285A"/>
    <w:rsid w:val="3AC062AF"/>
    <w:rsid w:val="3ADB40FE"/>
    <w:rsid w:val="3AF73312"/>
    <w:rsid w:val="3B103657"/>
    <w:rsid w:val="3B106032"/>
    <w:rsid w:val="3B6B0D92"/>
    <w:rsid w:val="3B8E56C2"/>
    <w:rsid w:val="3BBA7695"/>
    <w:rsid w:val="3C156492"/>
    <w:rsid w:val="3C593A7B"/>
    <w:rsid w:val="3CE01771"/>
    <w:rsid w:val="3D0E16F4"/>
    <w:rsid w:val="3D227202"/>
    <w:rsid w:val="3D293DF2"/>
    <w:rsid w:val="3D57612A"/>
    <w:rsid w:val="3D6F5E0A"/>
    <w:rsid w:val="3D7123B8"/>
    <w:rsid w:val="3D83787B"/>
    <w:rsid w:val="3D8B437A"/>
    <w:rsid w:val="3D8F4B40"/>
    <w:rsid w:val="3D9F76A9"/>
    <w:rsid w:val="3DF97669"/>
    <w:rsid w:val="3E1E75E3"/>
    <w:rsid w:val="3E26563C"/>
    <w:rsid w:val="3E370225"/>
    <w:rsid w:val="3E840B03"/>
    <w:rsid w:val="3EA07B23"/>
    <w:rsid w:val="3EA31AA8"/>
    <w:rsid w:val="3EA5479D"/>
    <w:rsid w:val="3EAB4220"/>
    <w:rsid w:val="3EE614DC"/>
    <w:rsid w:val="3EF97D24"/>
    <w:rsid w:val="3F275528"/>
    <w:rsid w:val="3F3A0A3F"/>
    <w:rsid w:val="3F4072E4"/>
    <w:rsid w:val="3F496C3E"/>
    <w:rsid w:val="3F7C2B3F"/>
    <w:rsid w:val="3F840A07"/>
    <w:rsid w:val="3F8973A3"/>
    <w:rsid w:val="3F9A4B2A"/>
    <w:rsid w:val="3FA153A1"/>
    <w:rsid w:val="3FAE5EE3"/>
    <w:rsid w:val="3FCA3B76"/>
    <w:rsid w:val="3FE30D32"/>
    <w:rsid w:val="3FE80350"/>
    <w:rsid w:val="402D3D21"/>
    <w:rsid w:val="4056391D"/>
    <w:rsid w:val="407D18C2"/>
    <w:rsid w:val="4090626A"/>
    <w:rsid w:val="40922A1B"/>
    <w:rsid w:val="409957FC"/>
    <w:rsid w:val="40A55E37"/>
    <w:rsid w:val="40AB7D50"/>
    <w:rsid w:val="40D11B08"/>
    <w:rsid w:val="40E5078E"/>
    <w:rsid w:val="41203505"/>
    <w:rsid w:val="412C44CE"/>
    <w:rsid w:val="414C028C"/>
    <w:rsid w:val="4186067A"/>
    <w:rsid w:val="41B35C53"/>
    <w:rsid w:val="41EB649D"/>
    <w:rsid w:val="41F06910"/>
    <w:rsid w:val="41F316B0"/>
    <w:rsid w:val="420B1F18"/>
    <w:rsid w:val="42115451"/>
    <w:rsid w:val="42194053"/>
    <w:rsid w:val="42560FED"/>
    <w:rsid w:val="426F38B7"/>
    <w:rsid w:val="43045470"/>
    <w:rsid w:val="43046527"/>
    <w:rsid w:val="43391B8B"/>
    <w:rsid w:val="43393D05"/>
    <w:rsid w:val="43424016"/>
    <w:rsid w:val="436212A0"/>
    <w:rsid w:val="43817880"/>
    <w:rsid w:val="43A47626"/>
    <w:rsid w:val="43F236BD"/>
    <w:rsid w:val="43FD3EAB"/>
    <w:rsid w:val="44447C57"/>
    <w:rsid w:val="45252E07"/>
    <w:rsid w:val="453A7B92"/>
    <w:rsid w:val="458D48E9"/>
    <w:rsid w:val="45AB5AAC"/>
    <w:rsid w:val="45B71FD0"/>
    <w:rsid w:val="45CB060E"/>
    <w:rsid w:val="45CE385C"/>
    <w:rsid w:val="45DB33C4"/>
    <w:rsid w:val="45DF1A41"/>
    <w:rsid w:val="45F23A99"/>
    <w:rsid w:val="45F5464F"/>
    <w:rsid w:val="46586362"/>
    <w:rsid w:val="46976343"/>
    <w:rsid w:val="46AE09C3"/>
    <w:rsid w:val="46D00AC4"/>
    <w:rsid w:val="46D33366"/>
    <w:rsid w:val="46DF02EB"/>
    <w:rsid w:val="46F90127"/>
    <w:rsid w:val="473F0672"/>
    <w:rsid w:val="475A0C42"/>
    <w:rsid w:val="47710C35"/>
    <w:rsid w:val="47995A62"/>
    <w:rsid w:val="47CA1988"/>
    <w:rsid w:val="47D23C79"/>
    <w:rsid w:val="48157E30"/>
    <w:rsid w:val="48237EEC"/>
    <w:rsid w:val="48493267"/>
    <w:rsid w:val="487968DC"/>
    <w:rsid w:val="48BF1CC1"/>
    <w:rsid w:val="48D82104"/>
    <w:rsid w:val="48E45CBB"/>
    <w:rsid w:val="490A0B15"/>
    <w:rsid w:val="490C586E"/>
    <w:rsid w:val="491E701E"/>
    <w:rsid w:val="493A33A0"/>
    <w:rsid w:val="493B30D4"/>
    <w:rsid w:val="494002BF"/>
    <w:rsid w:val="4974157C"/>
    <w:rsid w:val="49B604CE"/>
    <w:rsid w:val="49BB2A8D"/>
    <w:rsid w:val="49EA3CC6"/>
    <w:rsid w:val="49F101B7"/>
    <w:rsid w:val="4A1764E3"/>
    <w:rsid w:val="4A3C1DA7"/>
    <w:rsid w:val="4A45674E"/>
    <w:rsid w:val="4A4D776D"/>
    <w:rsid w:val="4A552093"/>
    <w:rsid w:val="4A59215A"/>
    <w:rsid w:val="4A5B1F95"/>
    <w:rsid w:val="4A602778"/>
    <w:rsid w:val="4A8A3DED"/>
    <w:rsid w:val="4ABB1862"/>
    <w:rsid w:val="4AE44746"/>
    <w:rsid w:val="4B035154"/>
    <w:rsid w:val="4B0370E0"/>
    <w:rsid w:val="4B2479D6"/>
    <w:rsid w:val="4B327E0E"/>
    <w:rsid w:val="4B521CA9"/>
    <w:rsid w:val="4B611A60"/>
    <w:rsid w:val="4B6828AD"/>
    <w:rsid w:val="4B7144CA"/>
    <w:rsid w:val="4B755272"/>
    <w:rsid w:val="4B897A77"/>
    <w:rsid w:val="4B972666"/>
    <w:rsid w:val="4BA07830"/>
    <w:rsid w:val="4BA34631"/>
    <w:rsid w:val="4BAF717F"/>
    <w:rsid w:val="4BB00933"/>
    <w:rsid w:val="4BE70DCF"/>
    <w:rsid w:val="4BEE6FCB"/>
    <w:rsid w:val="4C1311E1"/>
    <w:rsid w:val="4C180EEF"/>
    <w:rsid w:val="4C3821CD"/>
    <w:rsid w:val="4C432C0B"/>
    <w:rsid w:val="4C5A348D"/>
    <w:rsid w:val="4C5F334E"/>
    <w:rsid w:val="4C601AE4"/>
    <w:rsid w:val="4C6A113D"/>
    <w:rsid w:val="4C6E3CE4"/>
    <w:rsid w:val="4C7440D3"/>
    <w:rsid w:val="4C7D344E"/>
    <w:rsid w:val="4C815F72"/>
    <w:rsid w:val="4C8363FF"/>
    <w:rsid w:val="4CB1160C"/>
    <w:rsid w:val="4CBF4EF7"/>
    <w:rsid w:val="4CD72C4F"/>
    <w:rsid w:val="4CDE528C"/>
    <w:rsid w:val="4CE36A0E"/>
    <w:rsid w:val="4D070870"/>
    <w:rsid w:val="4D1A6D02"/>
    <w:rsid w:val="4D2A382D"/>
    <w:rsid w:val="4D4019B9"/>
    <w:rsid w:val="4D737FA6"/>
    <w:rsid w:val="4D892DB4"/>
    <w:rsid w:val="4DBF2EF2"/>
    <w:rsid w:val="4DE277E9"/>
    <w:rsid w:val="4E253FDF"/>
    <w:rsid w:val="4E3162C2"/>
    <w:rsid w:val="4E383296"/>
    <w:rsid w:val="4E51188C"/>
    <w:rsid w:val="4E6560E3"/>
    <w:rsid w:val="4E9A415C"/>
    <w:rsid w:val="4EB615EE"/>
    <w:rsid w:val="4EBC6949"/>
    <w:rsid w:val="4ECE380D"/>
    <w:rsid w:val="4EE80EF0"/>
    <w:rsid w:val="4F0A286F"/>
    <w:rsid w:val="4F331D19"/>
    <w:rsid w:val="4F3B4546"/>
    <w:rsid w:val="4F61203D"/>
    <w:rsid w:val="4F6D18E2"/>
    <w:rsid w:val="4F6E2E35"/>
    <w:rsid w:val="4F715933"/>
    <w:rsid w:val="4F766A04"/>
    <w:rsid w:val="4F783C84"/>
    <w:rsid w:val="4F9D1D44"/>
    <w:rsid w:val="4FA9747E"/>
    <w:rsid w:val="4FBC337A"/>
    <w:rsid w:val="4FD32287"/>
    <w:rsid w:val="500D64EF"/>
    <w:rsid w:val="50204B64"/>
    <w:rsid w:val="504917BD"/>
    <w:rsid w:val="50641144"/>
    <w:rsid w:val="5086224A"/>
    <w:rsid w:val="508B00BD"/>
    <w:rsid w:val="508B115C"/>
    <w:rsid w:val="50967611"/>
    <w:rsid w:val="50967E30"/>
    <w:rsid w:val="50AD6A35"/>
    <w:rsid w:val="50C14372"/>
    <w:rsid w:val="50F94807"/>
    <w:rsid w:val="51144492"/>
    <w:rsid w:val="51386BEF"/>
    <w:rsid w:val="51447091"/>
    <w:rsid w:val="5146393A"/>
    <w:rsid w:val="514B7AC4"/>
    <w:rsid w:val="515154CB"/>
    <w:rsid w:val="51615802"/>
    <w:rsid w:val="51740C69"/>
    <w:rsid w:val="51AC2B0F"/>
    <w:rsid w:val="521C2150"/>
    <w:rsid w:val="525D0B60"/>
    <w:rsid w:val="5266739F"/>
    <w:rsid w:val="52AF27E6"/>
    <w:rsid w:val="52C96746"/>
    <w:rsid w:val="52D63FDE"/>
    <w:rsid w:val="52F474F0"/>
    <w:rsid w:val="53084E3F"/>
    <w:rsid w:val="53333F0A"/>
    <w:rsid w:val="53396DA9"/>
    <w:rsid w:val="533D7BFE"/>
    <w:rsid w:val="53563B7B"/>
    <w:rsid w:val="536D5AB1"/>
    <w:rsid w:val="538239A6"/>
    <w:rsid w:val="53CF23E0"/>
    <w:rsid w:val="53FB4AC5"/>
    <w:rsid w:val="540C13BD"/>
    <w:rsid w:val="544A5EAD"/>
    <w:rsid w:val="54734509"/>
    <w:rsid w:val="549A7997"/>
    <w:rsid w:val="54D353C2"/>
    <w:rsid w:val="550433B6"/>
    <w:rsid w:val="550C14AD"/>
    <w:rsid w:val="551F4E78"/>
    <w:rsid w:val="555700B7"/>
    <w:rsid w:val="555C4F30"/>
    <w:rsid w:val="5563608B"/>
    <w:rsid w:val="556D57C6"/>
    <w:rsid w:val="55B84620"/>
    <w:rsid w:val="55C14855"/>
    <w:rsid w:val="55E200B8"/>
    <w:rsid w:val="55E934CA"/>
    <w:rsid w:val="55FF5962"/>
    <w:rsid w:val="56026206"/>
    <w:rsid w:val="562219CA"/>
    <w:rsid w:val="56495EC1"/>
    <w:rsid w:val="564E19FE"/>
    <w:rsid w:val="56595A99"/>
    <w:rsid w:val="566115EB"/>
    <w:rsid w:val="5661627B"/>
    <w:rsid w:val="567B7157"/>
    <w:rsid w:val="567E0831"/>
    <w:rsid w:val="569A1753"/>
    <w:rsid w:val="56CE4AA4"/>
    <w:rsid w:val="57010701"/>
    <w:rsid w:val="570A6C23"/>
    <w:rsid w:val="57297AD1"/>
    <w:rsid w:val="57335A94"/>
    <w:rsid w:val="57491D20"/>
    <w:rsid w:val="57547748"/>
    <w:rsid w:val="579A1DF3"/>
    <w:rsid w:val="57A212AB"/>
    <w:rsid w:val="57A67E61"/>
    <w:rsid w:val="57A80C6C"/>
    <w:rsid w:val="57C049CB"/>
    <w:rsid w:val="57C14B3C"/>
    <w:rsid w:val="57CB0AF0"/>
    <w:rsid w:val="57CB7B87"/>
    <w:rsid w:val="57DB73EC"/>
    <w:rsid w:val="5802137D"/>
    <w:rsid w:val="58086888"/>
    <w:rsid w:val="580B2302"/>
    <w:rsid w:val="58247FAF"/>
    <w:rsid w:val="58466E10"/>
    <w:rsid w:val="58504079"/>
    <w:rsid w:val="585F68BA"/>
    <w:rsid w:val="587742F3"/>
    <w:rsid w:val="58A525EF"/>
    <w:rsid w:val="58A96521"/>
    <w:rsid w:val="58B80D85"/>
    <w:rsid w:val="58D45E2D"/>
    <w:rsid w:val="5901266B"/>
    <w:rsid w:val="5908460C"/>
    <w:rsid w:val="59303147"/>
    <w:rsid w:val="59324122"/>
    <w:rsid w:val="595F4050"/>
    <w:rsid w:val="59626F0A"/>
    <w:rsid w:val="59745E78"/>
    <w:rsid w:val="59BB5E07"/>
    <w:rsid w:val="59C43A8B"/>
    <w:rsid w:val="5A1729E5"/>
    <w:rsid w:val="5A2A64AF"/>
    <w:rsid w:val="5A2E0817"/>
    <w:rsid w:val="5A317CBF"/>
    <w:rsid w:val="5A3D29B7"/>
    <w:rsid w:val="5A4E0683"/>
    <w:rsid w:val="5A521293"/>
    <w:rsid w:val="5A596411"/>
    <w:rsid w:val="5A767147"/>
    <w:rsid w:val="5A906CE1"/>
    <w:rsid w:val="5AA134DD"/>
    <w:rsid w:val="5AC865FC"/>
    <w:rsid w:val="5ACF3B7E"/>
    <w:rsid w:val="5B2D77B2"/>
    <w:rsid w:val="5B37467F"/>
    <w:rsid w:val="5B8F7BA0"/>
    <w:rsid w:val="5BC36CAC"/>
    <w:rsid w:val="5BCB2B9A"/>
    <w:rsid w:val="5BEE1880"/>
    <w:rsid w:val="5BF05355"/>
    <w:rsid w:val="5C0D23BE"/>
    <w:rsid w:val="5C2A22EE"/>
    <w:rsid w:val="5C34539D"/>
    <w:rsid w:val="5C3C0C69"/>
    <w:rsid w:val="5C4467EF"/>
    <w:rsid w:val="5C470536"/>
    <w:rsid w:val="5C6804F9"/>
    <w:rsid w:val="5C803C65"/>
    <w:rsid w:val="5C865115"/>
    <w:rsid w:val="5C954748"/>
    <w:rsid w:val="5CA74A52"/>
    <w:rsid w:val="5CAA5620"/>
    <w:rsid w:val="5CCC7CF1"/>
    <w:rsid w:val="5CDE74E5"/>
    <w:rsid w:val="5CF92ACA"/>
    <w:rsid w:val="5CFE3B6D"/>
    <w:rsid w:val="5D177250"/>
    <w:rsid w:val="5D3E64D5"/>
    <w:rsid w:val="5D3F0E6E"/>
    <w:rsid w:val="5D46093B"/>
    <w:rsid w:val="5D7C3868"/>
    <w:rsid w:val="5DA6741D"/>
    <w:rsid w:val="5DAB3A11"/>
    <w:rsid w:val="5DAE197D"/>
    <w:rsid w:val="5DB32821"/>
    <w:rsid w:val="5DFC7C80"/>
    <w:rsid w:val="5E1D4D0D"/>
    <w:rsid w:val="5E386BD2"/>
    <w:rsid w:val="5E3C7905"/>
    <w:rsid w:val="5E493774"/>
    <w:rsid w:val="5E5B3592"/>
    <w:rsid w:val="5ED600A5"/>
    <w:rsid w:val="5EF47EEA"/>
    <w:rsid w:val="5F2E2797"/>
    <w:rsid w:val="5F3A36C1"/>
    <w:rsid w:val="5F3C0B15"/>
    <w:rsid w:val="5F6820F6"/>
    <w:rsid w:val="5F777885"/>
    <w:rsid w:val="5F8866C4"/>
    <w:rsid w:val="5F9F7566"/>
    <w:rsid w:val="5FDA069F"/>
    <w:rsid w:val="5FE52E41"/>
    <w:rsid w:val="600431DF"/>
    <w:rsid w:val="60267027"/>
    <w:rsid w:val="602C2766"/>
    <w:rsid w:val="60422C58"/>
    <w:rsid w:val="60C35B81"/>
    <w:rsid w:val="60D12920"/>
    <w:rsid w:val="60D12B7E"/>
    <w:rsid w:val="60DB1EDD"/>
    <w:rsid w:val="60F85182"/>
    <w:rsid w:val="611741DF"/>
    <w:rsid w:val="613E084F"/>
    <w:rsid w:val="615C36B4"/>
    <w:rsid w:val="617865F8"/>
    <w:rsid w:val="617C2B92"/>
    <w:rsid w:val="618F098F"/>
    <w:rsid w:val="61A7747C"/>
    <w:rsid w:val="61AA2780"/>
    <w:rsid w:val="61AA55E1"/>
    <w:rsid w:val="61C71509"/>
    <w:rsid w:val="61D43950"/>
    <w:rsid w:val="62044893"/>
    <w:rsid w:val="620D41A0"/>
    <w:rsid w:val="621474F8"/>
    <w:rsid w:val="621E7F8C"/>
    <w:rsid w:val="62212CC9"/>
    <w:rsid w:val="623560B4"/>
    <w:rsid w:val="6264609F"/>
    <w:rsid w:val="628A5752"/>
    <w:rsid w:val="62932E40"/>
    <w:rsid w:val="62B15CA8"/>
    <w:rsid w:val="62BA34E2"/>
    <w:rsid w:val="62C370FD"/>
    <w:rsid w:val="62C473D9"/>
    <w:rsid w:val="62D00D99"/>
    <w:rsid w:val="63070AF2"/>
    <w:rsid w:val="630B6715"/>
    <w:rsid w:val="634E031C"/>
    <w:rsid w:val="63DD07E3"/>
    <w:rsid w:val="63E84383"/>
    <w:rsid w:val="648703FF"/>
    <w:rsid w:val="648E0B91"/>
    <w:rsid w:val="64A43220"/>
    <w:rsid w:val="64BE7F5B"/>
    <w:rsid w:val="64D04037"/>
    <w:rsid w:val="651246E7"/>
    <w:rsid w:val="652053E7"/>
    <w:rsid w:val="656C0596"/>
    <w:rsid w:val="65A55328"/>
    <w:rsid w:val="65AF49D3"/>
    <w:rsid w:val="65CD16AF"/>
    <w:rsid w:val="66063930"/>
    <w:rsid w:val="661E78D2"/>
    <w:rsid w:val="663F3EAA"/>
    <w:rsid w:val="664727C1"/>
    <w:rsid w:val="666C2693"/>
    <w:rsid w:val="66D33CE9"/>
    <w:rsid w:val="66D45C7E"/>
    <w:rsid w:val="67162348"/>
    <w:rsid w:val="6726045F"/>
    <w:rsid w:val="673163F5"/>
    <w:rsid w:val="67365FC4"/>
    <w:rsid w:val="67425160"/>
    <w:rsid w:val="67713319"/>
    <w:rsid w:val="67972C12"/>
    <w:rsid w:val="67C62D96"/>
    <w:rsid w:val="67F83465"/>
    <w:rsid w:val="682928D5"/>
    <w:rsid w:val="68340E19"/>
    <w:rsid w:val="684351EE"/>
    <w:rsid w:val="68751EFE"/>
    <w:rsid w:val="68967FB4"/>
    <w:rsid w:val="68A17088"/>
    <w:rsid w:val="68EA41E1"/>
    <w:rsid w:val="691633D4"/>
    <w:rsid w:val="69225F51"/>
    <w:rsid w:val="6A13177C"/>
    <w:rsid w:val="6A2B707D"/>
    <w:rsid w:val="6A2C180A"/>
    <w:rsid w:val="6A3E28B3"/>
    <w:rsid w:val="6A56199D"/>
    <w:rsid w:val="6A5C72E3"/>
    <w:rsid w:val="6A5F21EA"/>
    <w:rsid w:val="6A647E7C"/>
    <w:rsid w:val="6A76449C"/>
    <w:rsid w:val="6AAA1AF1"/>
    <w:rsid w:val="6AB47DB9"/>
    <w:rsid w:val="6AC51BE2"/>
    <w:rsid w:val="6ACF6EB8"/>
    <w:rsid w:val="6B156F20"/>
    <w:rsid w:val="6B160E4A"/>
    <w:rsid w:val="6B180C02"/>
    <w:rsid w:val="6B270180"/>
    <w:rsid w:val="6B42586F"/>
    <w:rsid w:val="6B5143DC"/>
    <w:rsid w:val="6B692212"/>
    <w:rsid w:val="6B780756"/>
    <w:rsid w:val="6B7D387A"/>
    <w:rsid w:val="6B893A24"/>
    <w:rsid w:val="6BEE7BBB"/>
    <w:rsid w:val="6BEF1856"/>
    <w:rsid w:val="6C005DBA"/>
    <w:rsid w:val="6C092FD6"/>
    <w:rsid w:val="6C48145F"/>
    <w:rsid w:val="6C601167"/>
    <w:rsid w:val="6C6E3F13"/>
    <w:rsid w:val="6C8239D2"/>
    <w:rsid w:val="6C916152"/>
    <w:rsid w:val="6CBF664C"/>
    <w:rsid w:val="6CC33133"/>
    <w:rsid w:val="6D011365"/>
    <w:rsid w:val="6D102067"/>
    <w:rsid w:val="6D1F1790"/>
    <w:rsid w:val="6D271E2F"/>
    <w:rsid w:val="6D272CB4"/>
    <w:rsid w:val="6D3C4F02"/>
    <w:rsid w:val="6D3C7612"/>
    <w:rsid w:val="6D621B60"/>
    <w:rsid w:val="6D71675C"/>
    <w:rsid w:val="6D9302EF"/>
    <w:rsid w:val="6D9D768C"/>
    <w:rsid w:val="6DC42FA5"/>
    <w:rsid w:val="6DD75C37"/>
    <w:rsid w:val="6DE005C5"/>
    <w:rsid w:val="6E277F37"/>
    <w:rsid w:val="6E5B031B"/>
    <w:rsid w:val="6E684606"/>
    <w:rsid w:val="6E9646ED"/>
    <w:rsid w:val="6EB26BC9"/>
    <w:rsid w:val="6EC437A5"/>
    <w:rsid w:val="6F1A6121"/>
    <w:rsid w:val="6F297FC6"/>
    <w:rsid w:val="6F33736D"/>
    <w:rsid w:val="6F474C2C"/>
    <w:rsid w:val="6F781D52"/>
    <w:rsid w:val="6F876A8E"/>
    <w:rsid w:val="6F88595C"/>
    <w:rsid w:val="6F9B7F92"/>
    <w:rsid w:val="6FA75A64"/>
    <w:rsid w:val="6FB125D7"/>
    <w:rsid w:val="6FD83E50"/>
    <w:rsid w:val="701D4C2A"/>
    <w:rsid w:val="702308AC"/>
    <w:rsid w:val="70264A69"/>
    <w:rsid w:val="7061598B"/>
    <w:rsid w:val="70772659"/>
    <w:rsid w:val="70A24DEF"/>
    <w:rsid w:val="70D227D2"/>
    <w:rsid w:val="70E21AF5"/>
    <w:rsid w:val="70EB05D7"/>
    <w:rsid w:val="710E5F0A"/>
    <w:rsid w:val="71126FC1"/>
    <w:rsid w:val="712271B7"/>
    <w:rsid w:val="71290710"/>
    <w:rsid w:val="71427ED2"/>
    <w:rsid w:val="71482E3A"/>
    <w:rsid w:val="714A348C"/>
    <w:rsid w:val="715B2FEF"/>
    <w:rsid w:val="719302A5"/>
    <w:rsid w:val="71E6104B"/>
    <w:rsid w:val="71EC6424"/>
    <w:rsid w:val="72096C5E"/>
    <w:rsid w:val="72096E60"/>
    <w:rsid w:val="7227267B"/>
    <w:rsid w:val="72316628"/>
    <w:rsid w:val="72467556"/>
    <w:rsid w:val="72516CCC"/>
    <w:rsid w:val="72775520"/>
    <w:rsid w:val="728E730E"/>
    <w:rsid w:val="72E84904"/>
    <w:rsid w:val="72EA0F64"/>
    <w:rsid w:val="730C1A0A"/>
    <w:rsid w:val="731670BD"/>
    <w:rsid w:val="7320767F"/>
    <w:rsid w:val="732D05C4"/>
    <w:rsid w:val="734D7D6F"/>
    <w:rsid w:val="7353394C"/>
    <w:rsid w:val="73711A69"/>
    <w:rsid w:val="74185670"/>
    <w:rsid w:val="743576A8"/>
    <w:rsid w:val="74445B10"/>
    <w:rsid w:val="745D5F1E"/>
    <w:rsid w:val="748673F7"/>
    <w:rsid w:val="74A40CD0"/>
    <w:rsid w:val="74A5509F"/>
    <w:rsid w:val="74BC612A"/>
    <w:rsid w:val="74CD661B"/>
    <w:rsid w:val="74F00A75"/>
    <w:rsid w:val="752B26BD"/>
    <w:rsid w:val="754D0A8B"/>
    <w:rsid w:val="75537A13"/>
    <w:rsid w:val="758350A6"/>
    <w:rsid w:val="758E5B64"/>
    <w:rsid w:val="761E483A"/>
    <w:rsid w:val="76666C06"/>
    <w:rsid w:val="76744FEC"/>
    <w:rsid w:val="76856EDA"/>
    <w:rsid w:val="76A3119B"/>
    <w:rsid w:val="76B26EA3"/>
    <w:rsid w:val="76B346D4"/>
    <w:rsid w:val="76B64518"/>
    <w:rsid w:val="76BC7E0E"/>
    <w:rsid w:val="76D82FAB"/>
    <w:rsid w:val="76F802A0"/>
    <w:rsid w:val="7728004D"/>
    <w:rsid w:val="77461AF9"/>
    <w:rsid w:val="775827AC"/>
    <w:rsid w:val="775B2D1F"/>
    <w:rsid w:val="77855DB7"/>
    <w:rsid w:val="77887C98"/>
    <w:rsid w:val="77945EA2"/>
    <w:rsid w:val="77A502B2"/>
    <w:rsid w:val="77B30DAC"/>
    <w:rsid w:val="77CF13E4"/>
    <w:rsid w:val="77E70EC3"/>
    <w:rsid w:val="780E40C8"/>
    <w:rsid w:val="78125C5D"/>
    <w:rsid w:val="783B23C6"/>
    <w:rsid w:val="785344D3"/>
    <w:rsid w:val="785B3448"/>
    <w:rsid w:val="786B5DC3"/>
    <w:rsid w:val="787952DD"/>
    <w:rsid w:val="788B444A"/>
    <w:rsid w:val="788D0E62"/>
    <w:rsid w:val="78AF3F58"/>
    <w:rsid w:val="78DE7BC3"/>
    <w:rsid w:val="79370499"/>
    <w:rsid w:val="79410C58"/>
    <w:rsid w:val="7945721A"/>
    <w:rsid w:val="79CB5410"/>
    <w:rsid w:val="79D72176"/>
    <w:rsid w:val="79D73ADE"/>
    <w:rsid w:val="79E66664"/>
    <w:rsid w:val="79ED3494"/>
    <w:rsid w:val="7A09400F"/>
    <w:rsid w:val="7A3C49ED"/>
    <w:rsid w:val="7A514AD4"/>
    <w:rsid w:val="7A6008CF"/>
    <w:rsid w:val="7A622042"/>
    <w:rsid w:val="7A803BE5"/>
    <w:rsid w:val="7A853554"/>
    <w:rsid w:val="7A99138C"/>
    <w:rsid w:val="7AE05F18"/>
    <w:rsid w:val="7AEE4757"/>
    <w:rsid w:val="7AFF39F6"/>
    <w:rsid w:val="7B0C292E"/>
    <w:rsid w:val="7B0D310A"/>
    <w:rsid w:val="7B674595"/>
    <w:rsid w:val="7B7A5B4A"/>
    <w:rsid w:val="7BB43BD5"/>
    <w:rsid w:val="7C1B0D33"/>
    <w:rsid w:val="7C330EA6"/>
    <w:rsid w:val="7C58675F"/>
    <w:rsid w:val="7C5F43F2"/>
    <w:rsid w:val="7CA54EF9"/>
    <w:rsid w:val="7CB743DE"/>
    <w:rsid w:val="7CC47A49"/>
    <w:rsid w:val="7CD633F5"/>
    <w:rsid w:val="7CE372F3"/>
    <w:rsid w:val="7CF3195A"/>
    <w:rsid w:val="7D366028"/>
    <w:rsid w:val="7D5D4430"/>
    <w:rsid w:val="7D860B5D"/>
    <w:rsid w:val="7D9F72A8"/>
    <w:rsid w:val="7DB07D1E"/>
    <w:rsid w:val="7DED3612"/>
    <w:rsid w:val="7DF41CC5"/>
    <w:rsid w:val="7E175F22"/>
    <w:rsid w:val="7E321DDF"/>
    <w:rsid w:val="7E404CF6"/>
    <w:rsid w:val="7E506D40"/>
    <w:rsid w:val="7E56136A"/>
    <w:rsid w:val="7E6970B5"/>
    <w:rsid w:val="7E7952FA"/>
    <w:rsid w:val="7EBF4840"/>
    <w:rsid w:val="7ED72D46"/>
    <w:rsid w:val="7EDB6C36"/>
    <w:rsid w:val="7EE25892"/>
    <w:rsid w:val="7F064AA9"/>
    <w:rsid w:val="7F717AD8"/>
    <w:rsid w:val="7F7832B5"/>
    <w:rsid w:val="7F78395B"/>
    <w:rsid w:val="7F7B5AB6"/>
    <w:rsid w:val="7F8502F6"/>
    <w:rsid w:val="7F975E5B"/>
    <w:rsid w:val="7FA041C1"/>
    <w:rsid w:val="7FA24835"/>
    <w:rsid w:val="7FB57BC6"/>
    <w:rsid w:val="7FCB74B3"/>
    <w:rsid w:val="7FCD3E34"/>
    <w:rsid w:val="7FF6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page number"/>
    <w:basedOn w:val="8"/>
    <w:semiHidden/>
    <w:qFormat/>
    <w:uiPriority w:val="0"/>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kern w:val="2"/>
      <w:sz w:val="18"/>
      <w:szCs w:val="18"/>
    </w:rPr>
  </w:style>
  <w:style w:type="character" w:customStyle="1" w:styleId="13">
    <w:name w:val="页脚 Char"/>
    <w:basedOn w:val="8"/>
    <w:link w:val="3"/>
    <w:qFormat/>
    <w:uiPriority w:val="99"/>
    <w:rPr>
      <w:kern w:val="2"/>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2"/>
    <w:qFormat/>
    <w:uiPriority w:val="0"/>
    <w:rPr>
      <w:kern w:val="2"/>
      <w:sz w:val="18"/>
      <w:szCs w:val="18"/>
    </w:rPr>
  </w:style>
  <w:style w:type="paragraph" w:customStyle="1" w:styleId="1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432</Words>
  <Characters>2464</Characters>
  <Lines>20</Lines>
  <Paragraphs>5</Paragraphs>
  <TotalTime>46</TotalTime>
  <ScaleCrop>false</ScaleCrop>
  <LinksUpToDate>false</LinksUpToDate>
  <CharactersWithSpaces>2891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2020-11-24T02:24:00Z</dcterms:created>
  <dc:creator>Administrator</dc:creator>
  <cp:lastModifiedBy>林和培</cp:lastModifiedBy>
  <cp:lastPrinted>2020-12-09T08:42:00Z</cp:lastPrinted>
  <dcterms:modified xsi:type="dcterms:W3CDTF">2021-06-22T03:56:12Z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0773A3A954EA419585528AF98C08147A</vt:lpwstr>
  </property>
</Properties>
</file>