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BAF3">
      <w:pPr>
        <w:pStyle w:val="7"/>
        <w:keepNext w:val="0"/>
        <w:keepLines w:val="0"/>
        <w:pageBreakBefore w:val="0"/>
        <w:widowControl w:val="0"/>
        <w:kinsoku/>
        <w:wordWrap/>
        <w:overflowPunct w:val="0"/>
        <w:topLinePunct w:val="0"/>
        <w:autoSpaceDE w:val="0"/>
        <w:autoSpaceDN w:val="0"/>
        <w:bidi w:val="0"/>
        <w:adjustRightInd/>
        <w:snapToGrid/>
        <w:spacing w:line="540" w:lineRule="exact"/>
        <w:ind w:right="0" w:firstLine="0" w:firstLineChars="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p>
    <w:p w14:paraId="5039A061">
      <w:pPr>
        <w:pStyle w:val="7"/>
        <w:keepNext w:val="0"/>
        <w:keepLines w:val="0"/>
        <w:pageBreakBefore w:val="0"/>
        <w:widowControl w:val="0"/>
        <w:kinsoku/>
        <w:wordWrap/>
        <w:overflowPunct w:val="0"/>
        <w:topLinePunct w:val="0"/>
        <w:autoSpaceDE w:val="0"/>
        <w:autoSpaceDN w:val="0"/>
        <w:bidi w:val="0"/>
        <w:adjustRightInd/>
        <w:snapToGrid/>
        <w:spacing w:before="313" w:beforeLines="100" w:line="540" w:lineRule="exact"/>
        <w:ind w:right="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四川绵竹抽水蓄能电站项目建设用地</w:t>
      </w:r>
    </w:p>
    <w:p w14:paraId="09D81727">
      <w:pPr>
        <w:pStyle w:val="7"/>
        <w:keepNext w:val="0"/>
        <w:keepLines w:val="0"/>
        <w:pageBreakBefore w:val="0"/>
        <w:widowControl w:val="0"/>
        <w:kinsoku/>
        <w:wordWrap/>
        <w:overflowPunct w:val="0"/>
        <w:topLinePunct w:val="0"/>
        <w:autoSpaceDE w:val="0"/>
        <w:autoSpaceDN w:val="0"/>
        <w:bidi w:val="0"/>
        <w:adjustRightInd/>
        <w:snapToGrid/>
        <w:spacing w:line="540" w:lineRule="exact"/>
        <w:ind w:right="0" w:firstLine="0" w:firstLineChars="0"/>
        <w:jc w:val="center"/>
        <w:textAlignment w:val="auto"/>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征地补偿安置方案</w:t>
      </w:r>
    </w:p>
    <w:p w14:paraId="075D4477">
      <w:pPr>
        <w:pStyle w:val="7"/>
        <w:keepNext w:val="0"/>
        <w:keepLines w:val="0"/>
        <w:pageBreakBefore w:val="0"/>
        <w:widowControl w:val="0"/>
        <w:kinsoku/>
        <w:wordWrap/>
        <w:overflowPunct w:val="0"/>
        <w:topLinePunct w:val="0"/>
        <w:autoSpaceDE w:val="0"/>
        <w:autoSpaceDN w:val="0"/>
        <w:bidi w:val="0"/>
        <w:adjustRightInd/>
        <w:snapToGrid/>
        <w:spacing w:line="400" w:lineRule="exact"/>
        <w:ind w:right="0" w:firstLine="640"/>
        <w:jc w:val="center"/>
        <w:textAlignment w:val="auto"/>
        <w:rPr>
          <w:rFonts w:ascii="黑体" w:hAnsi="黑体" w:eastAsia="黑体" w:cs="黑体"/>
          <w:szCs w:val="32"/>
        </w:rPr>
      </w:pPr>
    </w:p>
    <w:p w14:paraId="367DAD4A">
      <w:pPr>
        <w:pStyle w:val="7"/>
        <w:keepNext w:val="0"/>
        <w:keepLines w:val="0"/>
        <w:pageBreakBefore w:val="0"/>
        <w:widowControl w:val="0"/>
        <w:kinsoku/>
        <w:wordWrap/>
        <w:overflowPunct w:val="0"/>
        <w:topLinePunct w:val="0"/>
        <w:autoSpaceDE w:val="0"/>
        <w:autoSpaceDN w:val="0"/>
        <w:bidi w:val="0"/>
        <w:adjustRightInd/>
        <w:snapToGrid/>
        <w:spacing w:line="540" w:lineRule="exact"/>
        <w:ind w:right="0" w:firstLine="640"/>
        <w:textAlignment w:val="auto"/>
        <w:rPr>
          <w:rFonts w:ascii="Times New Roman" w:hAnsi="Times New Roman" w:eastAsia="方正仿宋_GBK"/>
          <w:szCs w:val="32"/>
        </w:rPr>
      </w:pPr>
      <w:r>
        <w:rPr>
          <w:rFonts w:hint="eastAsia" w:ascii="Times New Roman" w:hAnsi="Times New Roman" w:eastAsia="方正仿宋_GBK"/>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7FCE9E0F">
      <w:pPr>
        <w:pStyle w:val="7"/>
        <w:keepNext w:val="0"/>
        <w:keepLines w:val="0"/>
        <w:pageBreakBefore w:val="0"/>
        <w:widowControl w:val="0"/>
        <w:kinsoku/>
        <w:wordWrap/>
        <w:overflowPunct w:val="0"/>
        <w:topLinePunct w:val="0"/>
        <w:autoSpaceDE w:val="0"/>
        <w:autoSpaceDN w:val="0"/>
        <w:bidi w:val="0"/>
        <w:adjustRightInd/>
        <w:snapToGrid/>
        <w:spacing w:line="540" w:lineRule="exact"/>
        <w:ind w:right="0" w:firstLine="640"/>
        <w:jc w:val="left"/>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一、拟征收土地范围、现状及面积</w:t>
      </w:r>
    </w:p>
    <w:p w14:paraId="14E98ACF">
      <w:pPr>
        <w:pStyle w:val="7"/>
        <w:keepNext w:val="0"/>
        <w:keepLines w:val="0"/>
        <w:pageBreakBefore w:val="0"/>
        <w:widowControl w:val="0"/>
        <w:kinsoku/>
        <w:wordWrap/>
        <w:overflowPunct w:val="0"/>
        <w:topLinePunct w:val="0"/>
        <w:autoSpaceDE w:val="0"/>
        <w:autoSpaceDN w:val="0"/>
        <w:bidi w:val="0"/>
        <w:adjustRightInd/>
        <w:snapToGrid/>
        <w:spacing w:line="540" w:lineRule="exact"/>
        <w:ind w:right="0" w:firstLine="640"/>
        <w:textAlignment w:val="auto"/>
        <w:rPr>
          <w:rFonts w:ascii="Times New Roman" w:hAnsi="Times New Roman" w:eastAsia="方正仿宋_GBK"/>
          <w:szCs w:val="32"/>
        </w:rPr>
      </w:pPr>
      <w:r>
        <w:rPr>
          <w:rFonts w:hint="eastAsia" w:ascii="Times New Roman" w:hAnsi="Times New Roman" w:eastAsia="方正仿宋_GBK"/>
          <w:szCs w:val="32"/>
        </w:rPr>
        <w:t>本次拟征收广济镇、麓棠镇部分集体所有土地158.1671公顷。其中，农用地156.5630公顷、建设用地1.6041公顷、未利用地0公顷（详见下表）。</w:t>
      </w:r>
    </w:p>
    <w:p w14:paraId="23F3E796">
      <w:pPr>
        <w:pStyle w:val="3"/>
        <w:overflowPunct w:val="0"/>
        <w:autoSpaceDE w:val="0"/>
        <w:autoSpaceDN w:val="0"/>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单位：公顷</w:t>
      </w:r>
    </w:p>
    <w:tbl>
      <w:tblPr>
        <w:tblStyle w:val="9"/>
        <w:tblW w:w="9177" w:type="dxa"/>
        <w:jc w:val="center"/>
        <w:tblLayout w:type="fixed"/>
        <w:tblCellMar>
          <w:top w:w="0" w:type="dxa"/>
          <w:left w:w="108" w:type="dxa"/>
          <w:bottom w:w="0" w:type="dxa"/>
          <w:right w:w="108" w:type="dxa"/>
        </w:tblCellMar>
      </w:tblPr>
      <w:tblGrid>
        <w:gridCol w:w="1097"/>
        <w:gridCol w:w="940"/>
        <w:gridCol w:w="1077"/>
        <w:gridCol w:w="1077"/>
        <w:gridCol w:w="1467"/>
        <w:gridCol w:w="1332"/>
        <w:gridCol w:w="1126"/>
        <w:gridCol w:w="1061"/>
      </w:tblGrid>
      <w:tr w14:paraId="55B2C9DD">
        <w:tblPrEx>
          <w:tblCellMar>
            <w:top w:w="0" w:type="dxa"/>
            <w:left w:w="108" w:type="dxa"/>
            <w:bottom w:w="0" w:type="dxa"/>
            <w:right w:w="108" w:type="dxa"/>
          </w:tblCellMar>
        </w:tblPrEx>
        <w:trPr>
          <w:trHeight w:val="141" w:hRule="atLeast"/>
          <w:jc w:val="center"/>
        </w:trPr>
        <w:tc>
          <w:tcPr>
            <w:tcW w:w="1097" w:type="dxa"/>
            <w:tcBorders>
              <w:top w:val="single" w:color="000000" w:sz="4" w:space="0"/>
              <w:left w:val="single" w:color="000000" w:sz="4" w:space="0"/>
              <w:bottom w:val="nil"/>
              <w:right w:val="single" w:color="000000" w:sz="4" w:space="0"/>
            </w:tcBorders>
            <w:shd w:val="clear" w:color="auto" w:fill="auto"/>
            <w:noWrap/>
            <w:vAlign w:val="center"/>
          </w:tcPr>
          <w:p w14:paraId="72810DD7">
            <w:pPr>
              <w:overflowPunct w:val="0"/>
              <w:autoSpaceDE w:val="0"/>
              <w:autoSpaceDN w:val="0"/>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项目</w:t>
            </w:r>
          </w:p>
        </w:tc>
        <w:tc>
          <w:tcPr>
            <w:tcW w:w="940" w:type="dxa"/>
            <w:tcBorders>
              <w:top w:val="single" w:color="000000" w:sz="4" w:space="0"/>
              <w:left w:val="single" w:color="000000" w:sz="4" w:space="0"/>
              <w:bottom w:val="nil"/>
              <w:right w:val="single" w:color="000000" w:sz="4" w:space="0"/>
            </w:tcBorders>
            <w:shd w:val="clear" w:color="auto" w:fill="auto"/>
            <w:noWrap/>
            <w:vAlign w:val="center"/>
          </w:tcPr>
          <w:p w14:paraId="30C16CBE">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镇</w:t>
            </w:r>
          </w:p>
        </w:tc>
        <w:tc>
          <w:tcPr>
            <w:tcW w:w="1077" w:type="dxa"/>
            <w:tcBorders>
              <w:top w:val="single" w:color="000000" w:sz="4" w:space="0"/>
              <w:left w:val="single" w:color="000000" w:sz="4" w:space="0"/>
              <w:bottom w:val="nil"/>
              <w:right w:val="single" w:color="000000" w:sz="4" w:space="0"/>
            </w:tcBorders>
            <w:shd w:val="clear" w:color="auto" w:fill="auto"/>
            <w:noWrap/>
            <w:vAlign w:val="center"/>
          </w:tcPr>
          <w:p w14:paraId="4B2E7AB5">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村</w:t>
            </w:r>
          </w:p>
        </w:tc>
        <w:tc>
          <w:tcPr>
            <w:tcW w:w="1077" w:type="dxa"/>
            <w:tcBorders>
              <w:top w:val="single" w:color="000000" w:sz="4" w:space="0"/>
              <w:left w:val="single" w:color="000000" w:sz="4" w:space="0"/>
              <w:bottom w:val="nil"/>
              <w:right w:val="single" w:color="000000" w:sz="4" w:space="0"/>
            </w:tcBorders>
            <w:shd w:val="clear" w:color="auto" w:fill="auto"/>
            <w:noWrap/>
            <w:vAlign w:val="center"/>
          </w:tcPr>
          <w:p w14:paraId="72FD15EA">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组</w:t>
            </w:r>
          </w:p>
        </w:tc>
        <w:tc>
          <w:tcPr>
            <w:tcW w:w="1467" w:type="dxa"/>
            <w:tcBorders>
              <w:top w:val="single" w:color="000000" w:sz="4" w:space="0"/>
              <w:left w:val="single" w:color="000000" w:sz="4" w:space="0"/>
              <w:bottom w:val="nil"/>
              <w:right w:val="single" w:color="000000" w:sz="4" w:space="0"/>
            </w:tcBorders>
            <w:shd w:val="clear" w:color="auto" w:fill="auto"/>
            <w:noWrap/>
            <w:vAlign w:val="center"/>
          </w:tcPr>
          <w:p w14:paraId="6618B304">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总面积</w:t>
            </w:r>
          </w:p>
        </w:tc>
        <w:tc>
          <w:tcPr>
            <w:tcW w:w="1332" w:type="dxa"/>
            <w:tcBorders>
              <w:top w:val="single" w:color="000000" w:sz="4" w:space="0"/>
              <w:left w:val="single" w:color="000000" w:sz="4" w:space="0"/>
              <w:bottom w:val="single" w:color="000000" w:sz="4" w:space="0"/>
              <w:right w:val="nil"/>
            </w:tcBorders>
            <w:shd w:val="clear" w:color="auto" w:fill="auto"/>
            <w:noWrap/>
            <w:vAlign w:val="center"/>
          </w:tcPr>
          <w:p w14:paraId="752B4AD2">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农用地</w:t>
            </w:r>
          </w:p>
        </w:tc>
        <w:tc>
          <w:tcPr>
            <w:tcW w:w="1126" w:type="dxa"/>
            <w:tcBorders>
              <w:top w:val="single" w:color="000000" w:sz="4" w:space="0"/>
              <w:left w:val="single" w:color="000000" w:sz="4" w:space="0"/>
              <w:bottom w:val="nil"/>
              <w:right w:val="single" w:color="000000" w:sz="4" w:space="0"/>
            </w:tcBorders>
            <w:shd w:val="clear" w:color="auto" w:fill="auto"/>
            <w:noWrap/>
            <w:vAlign w:val="center"/>
          </w:tcPr>
          <w:p w14:paraId="09A80783">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建设用地</w:t>
            </w:r>
          </w:p>
        </w:tc>
        <w:tc>
          <w:tcPr>
            <w:tcW w:w="1061" w:type="dxa"/>
            <w:tcBorders>
              <w:top w:val="single" w:color="000000" w:sz="4" w:space="0"/>
              <w:left w:val="single" w:color="000000" w:sz="4" w:space="0"/>
              <w:bottom w:val="nil"/>
              <w:right w:val="single" w:color="000000" w:sz="4" w:space="0"/>
            </w:tcBorders>
            <w:shd w:val="clear" w:color="auto" w:fill="auto"/>
            <w:noWrap/>
            <w:vAlign w:val="center"/>
          </w:tcPr>
          <w:p w14:paraId="1517D1FE">
            <w:pPr>
              <w:overflowPunct w:val="0"/>
              <w:autoSpaceDE w:val="0"/>
              <w:autoSpaceDN w:val="0"/>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未利用地</w:t>
            </w:r>
          </w:p>
        </w:tc>
      </w:tr>
      <w:tr w14:paraId="72BF13CC">
        <w:tblPrEx>
          <w:tblCellMar>
            <w:top w:w="0" w:type="dxa"/>
            <w:left w:w="108" w:type="dxa"/>
            <w:bottom w:w="0" w:type="dxa"/>
            <w:right w:w="108" w:type="dxa"/>
          </w:tblCellMar>
        </w:tblPrEx>
        <w:trPr>
          <w:trHeight w:val="136" w:hRule="atLeast"/>
          <w:jc w:val="center"/>
        </w:trPr>
        <w:tc>
          <w:tcPr>
            <w:tcW w:w="1097" w:type="dxa"/>
            <w:vMerge w:val="restart"/>
            <w:tcBorders>
              <w:top w:val="single" w:color="000000" w:sz="4" w:space="0"/>
              <w:left w:val="single" w:color="000000" w:sz="4" w:space="0"/>
              <w:right w:val="single" w:color="000000" w:sz="4" w:space="0"/>
            </w:tcBorders>
            <w:shd w:val="clear" w:color="auto" w:fill="auto"/>
            <w:noWrap/>
            <w:vAlign w:val="center"/>
          </w:tcPr>
          <w:p w14:paraId="5BCFEA79">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四川绵竹抽水蓄能电站项目建设用地</w:t>
            </w:r>
          </w:p>
        </w:tc>
        <w:tc>
          <w:tcPr>
            <w:tcW w:w="94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705ED3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广济镇</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135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吉祥村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4D78">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DC43">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15.0128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CAF">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15.0128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3CDA">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2EC0">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1992089F">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32D277DA">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2CAABA">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C729">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B18">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2355">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79.1322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8EE3">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79.1322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2790">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EA82">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11971E09">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48644571">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36FFA9">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AF6">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卧云村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2B9C">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8DC7">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2.8871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96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2.8871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DB6C">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98AE">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66BB4BD2">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30D1E049">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4A6B1C">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left w:val="single" w:color="000000" w:sz="4" w:space="0"/>
              <w:right w:val="single" w:color="000000" w:sz="4" w:space="0"/>
            </w:tcBorders>
            <w:shd w:val="clear" w:color="auto" w:fill="auto"/>
            <w:noWrap/>
            <w:vAlign w:val="center"/>
          </w:tcPr>
          <w:p w14:paraId="791D7C12">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2510">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664">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0.5763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2E40">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0.5763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31C3">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44AE">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30C9F932">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2E915109">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F58D95">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63B">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EE9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0EBA">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0.7595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3CC1">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0.7595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A4FC">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E2B6">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16E0153E">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2C4809B7">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253121">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C5C4">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7CF3">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8组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2AC9">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1.4490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8B1">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1.4490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6301">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DACA">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74C59245">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02E7E312">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89DF61">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C55C">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76FE">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集体</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CFD7">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0.2722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C2A3">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0.2722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8F9">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24C5">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3326E4EF">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09B43975">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4EAD9A">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80C">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云盖村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C67A">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95CE">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0.0736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C420">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0.0736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1D2">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9E77">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2AC9A160">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26411E03">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restart"/>
            <w:tcBorders>
              <w:top w:val="single" w:color="000000" w:sz="4" w:space="0"/>
              <w:left w:val="single" w:color="000000" w:sz="4" w:space="0"/>
              <w:right w:val="single" w:color="000000" w:sz="4" w:space="0"/>
            </w:tcBorders>
            <w:shd w:val="clear" w:color="auto" w:fill="auto"/>
            <w:noWrap/>
            <w:vAlign w:val="center"/>
          </w:tcPr>
          <w:p w14:paraId="6226CA0F">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麓棠镇</w:t>
            </w:r>
          </w:p>
        </w:tc>
        <w:tc>
          <w:tcPr>
            <w:tcW w:w="1077" w:type="dxa"/>
            <w:vMerge w:val="restart"/>
            <w:tcBorders>
              <w:top w:val="single" w:color="000000" w:sz="4" w:space="0"/>
              <w:left w:val="single" w:color="000000" w:sz="4" w:space="0"/>
              <w:right w:val="single" w:color="000000" w:sz="4" w:space="0"/>
            </w:tcBorders>
            <w:shd w:val="clear" w:color="auto" w:fill="auto"/>
            <w:noWrap/>
            <w:vAlign w:val="center"/>
          </w:tcPr>
          <w:p w14:paraId="06963F3C">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麓棠村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41D4">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9组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E4EB">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17.6307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400A">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16.1081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8B28">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1.5226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84E0">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2901B61C">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7EE9EFE4">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left w:val="single" w:color="000000" w:sz="4" w:space="0"/>
              <w:right w:val="single" w:color="000000" w:sz="4" w:space="0"/>
            </w:tcBorders>
            <w:shd w:val="clear" w:color="auto" w:fill="auto"/>
            <w:noWrap/>
            <w:vAlign w:val="center"/>
          </w:tcPr>
          <w:p w14:paraId="1FA150A4">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left w:val="single" w:color="000000" w:sz="4" w:space="0"/>
              <w:right w:val="single" w:color="000000" w:sz="4" w:space="0"/>
            </w:tcBorders>
            <w:shd w:val="clear" w:color="auto" w:fill="auto"/>
            <w:noWrap/>
            <w:vAlign w:val="center"/>
          </w:tcPr>
          <w:p w14:paraId="329D8D3C">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BA35">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10组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6116">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3.3459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82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3.3459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976D">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8C09">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18D93F9C">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right w:val="single" w:color="000000" w:sz="4" w:space="0"/>
            </w:tcBorders>
            <w:shd w:val="clear" w:color="auto" w:fill="auto"/>
            <w:noWrap/>
            <w:vAlign w:val="center"/>
          </w:tcPr>
          <w:p w14:paraId="689AEE20">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left w:val="single" w:color="000000" w:sz="4" w:space="0"/>
              <w:right w:val="single" w:color="000000" w:sz="4" w:space="0"/>
            </w:tcBorders>
            <w:shd w:val="clear" w:color="auto" w:fill="auto"/>
            <w:noWrap/>
            <w:vAlign w:val="center"/>
          </w:tcPr>
          <w:p w14:paraId="5A49759E">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left w:val="single" w:color="000000" w:sz="4" w:space="0"/>
              <w:right w:val="single" w:color="000000" w:sz="4" w:space="0"/>
            </w:tcBorders>
            <w:shd w:val="clear" w:color="auto" w:fill="auto"/>
            <w:noWrap/>
            <w:vAlign w:val="center"/>
          </w:tcPr>
          <w:p w14:paraId="46470112">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E8CD">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11组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654D">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17.1502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E232">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17.1278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D0F6">
            <w:pPr>
              <w:overflowPunct w:val="0"/>
              <w:autoSpaceDE w:val="0"/>
              <w:autoSpaceDN w:val="0"/>
              <w:spacing w:line="30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0.0224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91EE">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78454A12">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bottom w:val="nil"/>
              <w:right w:val="single" w:color="000000" w:sz="4" w:space="0"/>
            </w:tcBorders>
            <w:shd w:val="clear" w:color="auto" w:fill="auto"/>
            <w:noWrap/>
            <w:vAlign w:val="center"/>
          </w:tcPr>
          <w:p w14:paraId="42585BFE">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left w:val="single" w:color="000000" w:sz="4" w:space="0"/>
              <w:right w:val="single" w:color="000000" w:sz="4" w:space="0"/>
            </w:tcBorders>
            <w:shd w:val="clear" w:color="auto" w:fill="auto"/>
            <w:noWrap/>
            <w:vAlign w:val="center"/>
          </w:tcPr>
          <w:p w14:paraId="47F5257F">
            <w:pPr>
              <w:overflowPunct w:val="0"/>
              <w:autoSpaceDE w:val="0"/>
              <w:autoSpaceDN w:val="0"/>
              <w:spacing w:line="300" w:lineRule="exact"/>
              <w:jc w:val="center"/>
              <w:rPr>
                <w:rFonts w:ascii="Times New Roman" w:hAnsi="Times New Roman" w:eastAsia="方正仿宋_GBK"/>
                <w:color w:val="000000"/>
                <w:szCs w:val="21"/>
              </w:rPr>
            </w:pPr>
          </w:p>
        </w:tc>
        <w:tc>
          <w:tcPr>
            <w:tcW w:w="1077" w:type="dxa"/>
            <w:vMerge w:val="continue"/>
            <w:tcBorders>
              <w:left w:val="single" w:color="000000" w:sz="4" w:space="0"/>
              <w:bottom w:val="single" w:color="000000" w:sz="4" w:space="0"/>
              <w:right w:val="single" w:color="000000" w:sz="4" w:space="0"/>
            </w:tcBorders>
            <w:shd w:val="clear" w:color="auto" w:fill="auto"/>
            <w:noWrap/>
            <w:vAlign w:val="center"/>
          </w:tcPr>
          <w:p w14:paraId="3198FE81">
            <w:pPr>
              <w:overflowPunct w:val="0"/>
              <w:autoSpaceDE w:val="0"/>
              <w:autoSpaceDN w:val="0"/>
              <w:spacing w:line="300" w:lineRule="exact"/>
              <w:jc w:val="center"/>
              <w:rPr>
                <w:rFonts w:ascii="Times New Roman" w:hAnsi="Times New Roman" w:eastAsia="方正仿宋_GBK"/>
                <w:color w:val="00000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DE7B">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集体</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0B8C">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2.0121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FDF2">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2.0121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9AE0">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BD2B">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256C2477">
        <w:tblPrEx>
          <w:tblCellMar>
            <w:top w:w="0" w:type="dxa"/>
            <w:left w:w="108" w:type="dxa"/>
            <w:bottom w:w="0" w:type="dxa"/>
            <w:right w:w="108" w:type="dxa"/>
          </w:tblCellMar>
        </w:tblPrEx>
        <w:trPr>
          <w:trHeight w:val="136" w:hRule="atLeast"/>
          <w:jc w:val="center"/>
        </w:trPr>
        <w:tc>
          <w:tcPr>
            <w:tcW w:w="1097" w:type="dxa"/>
            <w:vMerge w:val="continue"/>
            <w:tcBorders>
              <w:left w:val="single" w:color="000000" w:sz="4" w:space="0"/>
              <w:bottom w:val="nil"/>
              <w:right w:val="single" w:color="000000" w:sz="4" w:space="0"/>
            </w:tcBorders>
            <w:shd w:val="clear" w:color="auto" w:fill="auto"/>
            <w:noWrap/>
            <w:vAlign w:val="center"/>
          </w:tcPr>
          <w:p w14:paraId="00FB7D59">
            <w:pPr>
              <w:overflowPunct w:val="0"/>
              <w:autoSpaceDE w:val="0"/>
              <w:autoSpaceDN w:val="0"/>
              <w:spacing w:line="300" w:lineRule="exact"/>
              <w:jc w:val="center"/>
              <w:rPr>
                <w:rFonts w:ascii="Times New Roman" w:hAnsi="Times New Roman" w:eastAsia="方正仿宋_GBK"/>
                <w:color w:val="000000"/>
                <w:szCs w:val="21"/>
              </w:rPr>
            </w:pPr>
          </w:p>
        </w:tc>
        <w:tc>
          <w:tcPr>
            <w:tcW w:w="940" w:type="dxa"/>
            <w:vMerge w:val="continue"/>
            <w:tcBorders>
              <w:left w:val="single" w:color="000000" w:sz="4" w:space="0"/>
              <w:bottom w:val="nil"/>
              <w:right w:val="single" w:color="000000" w:sz="4" w:space="0"/>
            </w:tcBorders>
            <w:shd w:val="clear" w:color="auto" w:fill="auto"/>
            <w:noWrap/>
            <w:vAlign w:val="center"/>
          </w:tcPr>
          <w:p w14:paraId="3455A4BF">
            <w:pPr>
              <w:overflowPunct w:val="0"/>
              <w:autoSpaceDE w:val="0"/>
              <w:autoSpaceDN w:val="0"/>
              <w:spacing w:line="300" w:lineRule="exact"/>
              <w:jc w:val="center"/>
              <w:rPr>
                <w:rFonts w:ascii="Times New Roman" w:hAnsi="Times New Roman" w:eastAsia="方正仿宋_GBK"/>
                <w:color w:val="000000"/>
                <w:szCs w:val="21"/>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3263">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集体</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304A">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17.8655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6F5E">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17.8064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7E0A">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0.0591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100">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r w14:paraId="63AC9A3B">
        <w:tblPrEx>
          <w:tblCellMar>
            <w:top w:w="0" w:type="dxa"/>
            <w:left w:w="108" w:type="dxa"/>
            <w:bottom w:w="0" w:type="dxa"/>
            <w:right w:w="108" w:type="dxa"/>
          </w:tblCellMar>
        </w:tblPrEx>
        <w:trPr>
          <w:trHeight w:val="140" w:hRule="atLeast"/>
          <w:jc w:val="center"/>
        </w:trPr>
        <w:tc>
          <w:tcPr>
            <w:tcW w:w="41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E6F4">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总计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5EB1">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158.1671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BCD7">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156.5630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0A25">
            <w:pPr>
              <w:overflowPunct w:val="0"/>
              <w:autoSpaceDE w:val="0"/>
              <w:autoSpaceDN w:val="0"/>
              <w:spacing w:line="3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1.6041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D6C">
            <w:pPr>
              <w:overflowPunct w:val="0"/>
              <w:autoSpaceDE w:val="0"/>
              <w:autoSpaceDN w:val="0"/>
              <w:spacing w:line="300" w:lineRule="exact"/>
              <w:jc w:val="center"/>
              <w:rPr>
                <w:rFonts w:ascii="Times New Roman" w:hAnsi="Times New Roman" w:eastAsia="方正仿宋_GBK"/>
                <w:color w:val="000000"/>
                <w:szCs w:val="21"/>
              </w:rPr>
            </w:pPr>
            <w:r>
              <w:rPr>
                <w:rFonts w:ascii="Times New Roman" w:hAnsi="Times New Roman" w:eastAsia="方正仿宋_GBK"/>
                <w:color w:val="000000"/>
                <w:szCs w:val="21"/>
              </w:rPr>
              <w:t>0</w:t>
            </w:r>
          </w:p>
        </w:tc>
      </w:tr>
    </w:tbl>
    <w:p w14:paraId="7333E571">
      <w:pPr>
        <w:pStyle w:val="7"/>
        <w:keepNext w:val="0"/>
        <w:keepLines w:val="0"/>
        <w:pageBreakBefore w:val="0"/>
        <w:widowControl w:val="0"/>
        <w:kinsoku/>
        <w:wordWrap/>
        <w:overflowPunct w:val="0"/>
        <w:topLinePunct w:val="0"/>
        <w:autoSpaceDE/>
        <w:autoSpaceDN/>
        <w:bidi w:val="0"/>
        <w:adjustRightInd/>
        <w:snapToGrid/>
        <w:spacing w:line="540" w:lineRule="exact"/>
        <w:ind w:right="0" w:firstLine="640"/>
        <w:jc w:val="left"/>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二、征收土地目的</w:t>
      </w:r>
    </w:p>
    <w:p w14:paraId="2DA1CC68">
      <w:pPr>
        <w:pStyle w:val="7"/>
        <w:keepNext w:val="0"/>
        <w:keepLines w:val="0"/>
        <w:pageBreakBefore w:val="0"/>
        <w:widowControl w:val="0"/>
        <w:kinsoku/>
        <w:wordWrap/>
        <w:overflowPunct w:val="0"/>
        <w:topLinePunct w:val="0"/>
        <w:autoSpaceDE/>
        <w:autoSpaceDN/>
        <w:bidi w:val="0"/>
        <w:adjustRightInd/>
        <w:snapToGrid/>
        <w:ind w:right="0" w:firstLine="640"/>
        <w:textAlignment w:val="auto"/>
        <w:rPr>
          <w:rFonts w:ascii="Times New Roman" w:hAnsi="Times New Roman" w:eastAsia="方正仿宋_GBK"/>
          <w:szCs w:val="32"/>
        </w:rPr>
      </w:pPr>
      <w:r>
        <w:rPr>
          <w:rFonts w:hint="eastAsia" w:ascii="Times New Roman" w:hAnsi="Times New Roman" w:eastAsia="方正仿宋_GBK"/>
          <w:szCs w:val="32"/>
        </w:rPr>
        <w:t>本次拟征收土地用于四川绵竹抽水蓄能电站项目建设用地，主要用途为：水工设施用地、水库水面，符合《中华人民共和国土地管理法》第四十五条规定。</w:t>
      </w:r>
    </w:p>
    <w:p w14:paraId="075890ED">
      <w:pPr>
        <w:pStyle w:val="7"/>
        <w:keepNext w:val="0"/>
        <w:keepLines w:val="0"/>
        <w:pageBreakBefore w:val="0"/>
        <w:widowControl w:val="0"/>
        <w:kinsoku/>
        <w:wordWrap/>
        <w:overflowPunct w:val="0"/>
        <w:topLinePunct w:val="0"/>
        <w:autoSpaceDE/>
        <w:autoSpaceDN/>
        <w:bidi w:val="0"/>
        <w:adjustRightInd/>
        <w:snapToGrid/>
        <w:spacing w:line="540" w:lineRule="exact"/>
        <w:ind w:right="0" w:firstLine="640"/>
        <w:jc w:val="left"/>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 xml:space="preserve">三、补偿方式和标准 </w:t>
      </w:r>
    </w:p>
    <w:p w14:paraId="0B4996C9">
      <w:pPr>
        <w:pStyle w:val="7"/>
        <w:keepNext w:val="0"/>
        <w:keepLines w:val="0"/>
        <w:pageBreakBefore w:val="0"/>
        <w:widowControl w:val="0"/>
        <w:kinsoku/>
        <w:wordWrap/>
        <w:overflowPunct w:val="0"/>
        <w:topLinePunct w:val="0"/>
        <w:autoSpaceDE/>
        <w:autoSpaceDN/>
        <w:bidi w:val="0"/>
        <w:adjustRightInd/>
        <w:snapToGrid/>
        <w:spacing w:line="520" w:lineRule="exact"/>
        <w:ind w:right="0" w:firstLine="640"/>
        <w:jc w:val="left"/>
        <w:textAlignment w:val="auto"/>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t>（一）土地补偿费、安置补助费</w:t>
      </w:r>
    </w:p>
    <w:p w14:paraId="051879BE">
      <w:pPr>
        <w:pStyle w:val="7"/>
        <w:keepNext w:val="0"/>
        <w:keepLines w:val="0"/>
        <w:pageBreakBefore w:val="0"/>
        <w:widowControl w:val="0"/>
        <w:kinsoku/>
        <w:wordWrap/>
        <w:overflowPunct w:val="0"/>
        <w:topLinePunct w:val="0"/>
        <w:autoSpaceDE/>
        <w:autoSpaceDN/>
        <w:bidi w:val="0"/>
        <w:adjustRightInd/>
        <w:snapToGrid/>
        <w:ind w:right="0" w:firstLine="640"/>
        <w:textAlignment w:val="auto"/>
        <w:rPr>
          <w:rFonts w:ascii="Times New Roman" w:hAnsi="Times New Roman" w:eastAsia="方正仿宋_GBK"/>
          <w:szCs w:val="32"/>
        </w:rPr>
      </w:pPr>
      <w:r>
        <w:rPr>
          <w:rFonts w:ascii="Times New Roman" w:hAnsi="Times New Roman" w:eastAsia="方正仿宋_GBK"/>
          <w:szCs w:val="32"/>
        </w:rPr>
        <w:t>按照《四川省人民政府关于同意各市（州）征收农用地区片综合地价标准的批复》（川府函〔2023〕222号）、《绵竹市人民政府关于公布绵竹市征收农用地区片综合地价标准的通知》（竹府发〔2023〕13号）执行。广济镇吉祥村、云盖村征收农用地区片综合地价为47000元/亩，征收农用地以外的其他集体土地补偿标准为23500元/亩；广济镇卧云村，麓棠镇麓棠村及麓棠镇集体征收农用地区片综合地价为49000元/亩，征收农用地以外的其他集体土地补偿标准为24500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228293EF">
      <w:pPr>
        <w:pStyle w:val="7"/>
        <w:keepNext w:val="0"/>
        <w:keepLines w:val="0"/>
        <w:pageBreakBefore w:val="0"/>
        <w:widowControl w:val="0"/>
        <w:kinsoku/>
        <w:wordWrap/>
        <w:overflowPunct w:val="0"/>
        <w:topLinePunct w:val="0"/>
        <w:autoSpaceDE/>
        <w:autoSpaceDN/>
        <w:bidi w:val="0"/>
        <w:adjustRightInd/>
        <w:snapToGrid/>
        <w:spacing w:line="520" w:lineRule="exact"/>
        <w:ind w:right="0" w:firstLine="640"/>
        <w:jc w:val="left"/>
        <w:textAlignment w:val="auto"/>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t>（二）青苗和地上附着物补偿</w:t>
      </w:r>
    </w:p>
    <w:p w14:paraId="5D3A3245">
      <w:pPr>
        <w:pStyle w:val="7"/>
        <w:keepNext w:val="0"/>
        <w:keepLines w:val="0"/>
        <w:pageBreakBefore w:val="0"/>
        <w:widowControl w:val="0"/>
        <w:kinsoku/>
        <w:wordWrap/>
        <w:overflowPunct w:val="0"/>
        <w:topLinePunct w:val="0"/>
        <w:autoSpaceDE/>
        <w:autoSpaceDN/>
        <w:bidi w:val="0"/>
        <w:adjustRightInd/>
        <w:snapToGrid/>
        <w:ind w:right="0" w:firstLine="640"/>
        <w:textAlignment w:val="auto"/>
        <w:rPr>
          <w:rFonts w:ascii="Times New Roman" w:hAnsi="Times New Roman" w:eastAsia="方正仿宋_GBK"/>
          <w:szCs w:val="32"/>
        </w:rPr>
      </w:pPr>
      <w:r>
        <w:rPr>
          <w:rFonts w:ascii="Times New Roman" w:hAnsi="Times New Roman" w:eastAsia="方正仿宋_GBK"/>
          <w:szCs w:val="32"/>
        </w:rPr>
        <w:t>按照《四川省人民政府关于同意各市（州）征地地上附着物和青苗补偿标准的批复》（川府函〔2024〕190号）、《绵竹市集体土地征收补偿安置办法》（竹府规〔2023〕2号）执行，支付给地上附着物、青苗的所有权人</w:t>
      </w:r>
      <w:r>
        <w:rPr>
          <w:rFonts w:hint="eastAsia" w:ascii="Times New Roman" w:hAnsi="Times New Roman" w:eastAsia="方正仿宋_GBK"/>
          <w:szCs w:val="32"/>
        </w:rPr>
        <w:t>。</w:t>
      </w:r>
    </w:p>
    <w:p w14:paraId="464FF025">
      <w:pPr>
        <w:pStyle w:val="7"/>
        <w:keepNext w:val="0"/>
        <w:keepLines w:val="0"/>
        <w:pageBreakBefore w:val="0"/>
        <w:widowControl w:val="0"/>
        <w:kinsoku/>
        <w:wordWrap/>
        <w:overflowPunct w:val="0"/>
        <w:topLinePunct w:val="0"/>
        <w:autoSpaceDE/>
        <w:autoSpaceDN/>
        <w:bidi w:val="0"/>
        <w:adjustRightInd/>
        <w:snapToGrid/>
        <w:spacing w:line="520" w:lineRule="exact"/>
        <w:ind w:right="0" w:firstLine="640"/>
        <w:jc w:val="left"/>
        <w:textAlignment w:val="auto"/>
        <w:rPr>
          <w:rFonts w:hint="eastAsia" w:ascii="方正黑体_GBK" w:hAnsi="方正黑体_GBK" w:eastAsia="方正黑体_GBK" w:cs="方正黑体_GBK"/>
          <w:color w:val="0D0D0D" w:themeColor="text1" w:themeTint="F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szCs w:val="32"/>
          <w14:textFill>
            <w14:solidFill>
              <w14:schemeClr w14:val="tx1">
                <w14:lumMod w14:val="95000"/>
                <w14:lumOff w14:val="5000"/>
              </w14:schemeClr>
            </w14:solidFill>
          </w14:textFill>
        </w:rPr>
        <w:t>四、安置对象及安置方式</w:t>
      </w:r>
    </w:p>
    <w:p w14:paraId="043419F1">
      <w:pPr>
        <w:pStyle w:val="7"/>
        <w:keepNext w:val="0"/>
        <w:keepLines w:val="0"/>
        <w:pageBreakBefore w:val="0"/>
        <w:widowControl w:val="0"/>
        <w:kinsoku/>
        <w:wordWrap/>
        <w:overflowPunct w:val="0"/>
        <w:topLinePunct w:val="0"/>
        <w:autoSpaceDE/>
        <w:autoSpaceDN/>
        <w:bidi w:val="0"/>
        <w:adjustRightInd/>
        <w:snapToGrid/>
        <w:spacing w:line="520" w:lineRule="exact"/>
        <w:ind w:right="0" w:firstLine="640"/>
        <w:jc w:val="left"/>
        <w:textAlignment w:val="auto"/>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t>（一）人员安置</w:t>
      </w:r>
    </w:p>
    <w:p w14:paraId="5D85627B">
      <w:pPr>
        <w:pStyle w:val="7"/>
        <w:keepNext w:val="0"/>
        <w:keepLines w:val="0"/>
        <w:pageBreakBefore w:val="0"/>
        <w:widowControl w:val="0"/>
        <w:kinsoku/>
        <w:wordWrap/>
        <w:overflowPunct w:val="0"/>
        <w:topLinePunct w:val="0"/>
        <w:autoSpaceDE/>
        <w:autoSpaceDN/>
        <w:bidi w:val="0"/>
        <w:adjustRightInd/>
        <w:snapToGrid/>
        <w:ind w:right="0" w:firstLine="640"/>
        <w:textAlignment w:val="auto"/>
        <w:rPr>
          <w:rFonts w:ascii="Times New Roman" w:hAnsi="Times New Roman" w:eastAsia="方正仿宋_GBK"/>
          <w:szCs w:val="32"/>
        </w:rPr>
      </w:pPr>
      <w:r>
        <w:rPr>
          <w:rFonts w:hint="eastAsia" w:ascii="Times New Roman" w:hAnsi="Times New Roman" w:eastAsia="方正仿宋_GBK"/>
          <w:szCs w:val="32"/>
        </w:rPr>
        <w:t>本次征地共涉及安置人员302人，按照四川省水利厅批准的《四川绵竹抽水蓄能电站建设征地移民安置规划》执行（详见下表）。</w:t>
      </w:r>
    </w:p>
    <w:tbl>
      <w:tblPr>
        <w:tblStyle w:val="9"/>
        <w:tblW w:w="8217" w:type="dxa"/>
        <w:jc w:val="center"/>
        <w:tblLayout w:type="fixed"/>
        <w:tblCellMar>
          <w:top w:w="0" w:type="dxa"/>
          <w:left w:w="108" w:type="dxa"/>
          <w:bottom w:w="0" w:type="dxa"/>
          <w:right w:w="108" w:type="dxa"/>
        </w:tblCellMar>
      </w:tblPr>
      <w:tblGrid>
        <w:gridCol w:w="1518"/>
        <w:gridCol w:w="1520"/>
        <w:gridCol w:w="2029"/>
        <w:gridCol w:w="1429"/>
        <w:gridCol w:w="1721"/>
      </w:tblGrid>
      <w:tr w14:paraId="245E06F7">
        <w:tblPrEx>
          <w:tblCellMar>
            <w:top w:w="0" w:type="dxa"/>
            <w:left w:w="108" w:type="dxa"/>
            <w:bottom w:w="0" w:type="dxa"/>
            <w:right w:w="108" w:type="dxa"/>
          </w:tblCellMar>
        </w:tblPrEx>
        <w:trPr>
          <w:trHeight w:val="484"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B964">
            <w:pPr>
              <w:overflowPunct w:val="0"/>
              <w:autoSpaceDE w:val="0"/>
              <w:autoSpaceDN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项目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FE2E">
            <w:pPr>
              <w:overflowPunct w:val="0"/>
              <w:autoSpaceDE w:val="0"/>
              <w:autoSpaceDN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镇</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C884">
            <w:pPr>
              <w:overflowPunct w:val="0"/>
              <w:autoSpaceDE w:val="0"/>
              <w:autoSpaceDN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87D">
            <w:pPr>
              <w:overflowPunct w:val="0"/>
              <w:autoSpaceDE w:val="0"/>
              <w:autoSpaceDN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40FC">
            <w:pPr>
              <w:overflowPunct w:val="0"/>
              <w:autoSpaceDE w:val="0"/>
              <w:autoSpaceDN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安置人数</w:t>
            </w:r>
          </w:p>
        </w:tc>
      </w:tr>
      <w:tr w14:paraId="1558A080">
        <w:tblPrEx>
          <w:tblCellMar>
            <w:top w:w="0" w:type="dxa"/>
            <w:left w:w="108" w:type="dxa"/>
            <w:bottom w:w="0" w:type="dxa"/>
            <w:right w:w="108" w:type="dxa"/>
          </w:tblCellMar>
        </w:tblPrEx>
        <w:trPr>
          <w:trHeight w:val="484" w:hRule="atLeast"/>
          <w:jc w:val="center"/>
        </w:trPr>
        <w:tc>
          <w:tcPr>
            <w:tcW w:w="1518" w:type="dxa"/>
            <w:vMerge w:val="restart"/>
            <w:tcBorders>
              <w:top w:val="single" w:color="000000" w:sz="4" w:space="0"/>
              <w:left w:val="single" w:color="000000" w:sz="4" w:space="0"/>
              <w:right w:val="single" w:color="000000" w:sz="4" w:space="0"/>
            </w:tcBorders>
            <w:shd w:val="clear" w:color="auto" w:fill="auto"/>
            <w:noWrap/>
            <w:vAlign w:val="center"/>
          </w:tcPr>
          <w:p w14:paraId="7F8A2FC4">
            <w:pPr>
              <w:overflowPunct w:val="0"/>
              <w:autoSpaceDE w:val="0"/>
              <w:autoSpaceDN w:val="0"/>
              <w:rPr>
                <w:rFonts w:ascii="Times New Roman" w:hAnsi="Times New Roman" w:eastAsia="方正仿宋_GBK"/>
              </w:rPr>
            </w:pPr>
            <w:r>
              <w:rPr>
                <w:rFonts w:ascii="Times New Roman" w:hAnsi="Times New Roman" w:eastAsia="方正仿宋_GBK"/>
              </w:rPr>
              <w:t>四川绵竹抽水蓄能电站项目建设用地</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31CD9CFD">
            <w:pPr>
              <w:overflowPunct w:val="0"/>
              <w:autoSpaceDE w:val="0"/>
              <w:autoSpaceDN w:val="0"/>
              <w:ind w:left="0" w:leftChars="0" w:right="0" w:rightChars="0" w:firstLine="0" w:firstLineChars="0"/>
              <w:jc w:val="center"/>
              <w:rPr>
                <w:rFonts w:ascii="Times New Roman" w:hAnsi="Times New Roman" w:eastAsia="方正仿宋_GBK"/>
              </w:rPr>
            </w:pPr>
            <w:r>
              <w:rPr>
                <w:rFonts w:ascii="Times New Roman" w:hAnsi="Times New Roman" w:eastAsia="方正仿宋_GBK"/>
              </w:rPr>
              <w:t>麓棠镇</w:t>
            </w:r>
          </w:p>
        </w:tc>
        <w:tc>
          <w:tcPr>
            <w:tcW w:w="2029" w:type="dxa"/>
            <w:vMerge w:val="restart"/>
            <w:tcBorders>
              <w:top w:val="single" w:color="000000" w:sz="4" w:space="0"/>
              <w:left w:val="single" w:color="000000" w:sz="4" w:space="0"/>
              <w:right w:val="single" w:color="000000" w:sz="4" w:space="0"/>
            </w:tcBorders>
            <w:shd w:val="clear" w:color="auto" w:fill="auto"/>
            <w:noWrap/>
            <w:vAlign w:val="center"/>
          </w:tcPr>
          <w:p w14:paraId="36571B5B">
            <w:pPr>
              <w:overflowPunct w:val="0"/>
              <w:autoSpaceDE w:val="0"/>
              <w:autoSpaceDN w:val="0"/>
              <w:ind w:left="0" w:leftChars="0" w:right="0" w:rightChars="0" w:firstLine="0" w:firstLineChars="0"/>
              <w:jc w:val="center"/>
              <w:rPr>
                <w:rFonts w:ascii="Times New Roman" w:hAnsi="Times New Roman" w:eastAsia="方正仿宋_GBK"/>
              </w:rPr>
            </w:pPr>
            <w:r>
              <w:rPr>
                <w:rFonts w:ascii="Times New Roman" w:hAnsi="Times New Roman" w:eastAsia="方正仿宋_GBK"/>
              </w:rPr>
              <w:t>麓棠村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A2D4">
            <w:pPr>
              <w:overflowPunct w:val="0"/>
              <w:autoSpaceDE w:val="0"/>
              <w:autoSpaceDN w:val="0"/>
              <w:jc w:val="center"/>
              <w:rPr>
                <w:rFonts w:ascii="Times New Roman" w:hAnsi="Times New Roman" w:eastAsia="方正仿宋_GBK"/>
              </w:rPr>
            </w:pPr>
            <w:r>
              <w:rPr>
                <w:rFonts w:ascii="Times New Roman" w:hAnsi="Times New Roman" w:eastAsia="方正仿宋_GBK"/>
              </w:rPr>
              <w:t>9组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3956">
            <w:pPr>
              <w:overflowPunct w:val="0"/>
              <w:autoSpaceDE w:val="0"/>
              <w:autoSpaceDN w:val="0"/>
              <w:jc w:val="center"/>
              <w:rPr>
                <w:rFonts w:ascii="Times New Roman" w:hAnsi="Times New Roman" w:eastAsia="方正仿宋_GBK"/>
              </w:rPr>
            </w:pPr>
            <w:r>
              <w:rPr>
                <w:rFonts w:ascii="Times New Roman" w:hAnsi="Times New Roman" w:eastAsia="方正仿宋_GBK"/>
              </w:rPr>
              <w:t>21</w:t>
            </w:r>
          </w:p>
        </w:tc>
      </w:tr>
      <w:tr w14:paraId="61E0E088">
        <w:tblPrEx>
          <w:tblCellMar>
            <w:top w:w="0" w:type="dxa"/>
            <w:left w:w="108" w:type="dxa"/>
            <w:bottom w:w="0" w:type="dxa"/>
            <w:right w:w="108" w:type="dxa"/>
          </w:tblCellMar>
        </w:tblPrEx>
        <w:trPr>
          <w:trHeight w:val="484" w:hRule="atLeast"/>
          <w:jc w:val="center"/>
        </w:trPr>
        <w:tc>
          <w:tcPr>
            <w:tcW w:w="1518" w:type="dxa"/>
            <w:vMerge w:val="continue"/>
            <w:tcBorders>
              <w:left w:val="single" w:color="000000" w:sz="4" w:space="0"/>
              <w:right w:val="single" w:color="000000" w:sz="4" w:space="0"/>
            </w:tcBorders>
            <w:shd w:val="clear" w:color="auto" w:fill="auto"/>
            <w:noWrap/>
            <w:vAlign w:val="center"/>
          </w:tcPr>
          <w:p w14:paraId="6999DCAD">
            <w:pPr>
              <w:overflowPunct w:val="0"/>
              <w:autoSpaceDE w:val="0"/>
              <w:autoSpaceDN w:val="0"/>
              <w:rPr>
                <w:rFonts w:ascii="Times New Roman" w:hAnsi="Times New Roman" w:eastAsia="方正仿宋_GBK"/>
              </w:rPr>
            </w:pPr>
          </w:p>
        </w:tc>
        <w:tc>
          <w:tcPr>
            <w:tcW w:w="1520" w:type="dxa"/>
            <w:vMerge w:val="continue"/>
            <w:tcBorders>
              <w:left w:val="single" w:color="000000" w:sz="4" w:space="0"/>
              <w:right w:val="single" w:color="000000" w:sz="4" w:space="0"/>
            </w:tcBorders>
            <w:shd w:val="clear" w:color="auto" w:fill="auto"/>
            <w:noWrap/>
            <w:vAlign w:val="center"/>
          </w:tcPr>
          <w:p w14:paraId="74245804">
            <w:pPr>
              <w:overflowPunct w:val="0"/>
              <w:autoSpaceDE w:val="0"/>
              <w:autoSpaceDN w:val="0"/>
              <w:ind w:left="0" w:leftChars="0" w:right="0" w:rightChars="0" w:firstLine="0" w:firstLineChars="0"/>
              <w:jc w:val="center"/>
              <w:rPr>
                <w:rFonts w:ascii="Times New Roman" w:hAnsi="Times New Roman" w:eastAsia="方正仿宋_GBK"/>
              </w:rPr>
            </w:pPr>
          </w:p>
        </w:tc>
        <w:tc>
          <w:tcPr>
            <w:tcW w:w="2029" w:type="dxa"/>
            <w:vMerge w:val="continue"/>
            <w:tcBorders>
              <w:left w:val="single" w:color="000000" w:sz="4" w:space="0"/>
              <w:right w:val="single" w:color="000000" w:sz="4" w:space="0"/>
            </w:tcBorders>
            <w:shd w:val="clear" w:color="auto" w:fill="auto"/>
            <w:noWrap/>
            <w:vAlign w:val="center"/>
          </w:tcPr>
          <w:p w14:paraId="1A173132">
            <w:pPr>
              <w:overflowPunct w:val="0"/>
              <w:autoSpaceDE w:val="0"/>
              <w:autoSpaceDN w:val="0"/>
              <w:ind w:left="0" w:leftChars="0" w:right="0" w:rightChars="0" w:firstLine="0" w:firstLineChars="0"/>
              <w:jc w:val="center"/>
              <w:rPr>
                <w:rFonts w:ascii="Times New Roman" w:hAnsi="Times New Roman" w:eastAsia="方正仿宋_GBK"/>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C425">
            <w:pPr>
              <w:overflowPunct w:val="0"/>
              <w:autoSpaceDE w:val="0"/>
              <w:autoSpaceDN w:val="0"/>
              <w:jc w:val="center"/>
              <w:rPr>
                <w:rFonts w:ascii="Times New Roman" w:hAnsi="Times New Roman" w:eastAsia="方正仿宋_GBK"/>
              </w:rPr>
            </w:pPr>
            <w:r>
              <w:rPr>
                <w:rFonts w:ascii="Times New Roman" w:hAnsi="Times New Roman" w:eastAsia="方正仿宋_GBK"/>
              </w:rPr>
              <w:t>10组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C9DC">
            <w:pPr>
              <w:overflowPunct w:val="0"/>
              <w:autoSpaceDE w:val="0"/>
              <w:autoSpaceDN w:val="0"/>
              <w:jc w:val="center"/>
              <w:rPr>
                <w:rFonts w:ascii="Times New Roman" w:hAnsi="Times New Roman" w:eastAsia="方正仿宋_GBK"/>
              </w:rPr>
            </w:pPr>
            <w:r>
              <w:rPr>
                <w:rFonts w:ascii="Times New Roman" w:hAnsi="Times New Roman" w:eastAsia="方正仿宋_GBK"/>
              </w:rPr>
              <w:t>5</w:t>
            </w:r>
          </w:p>
        </w:tc>
      </w:tr>
      <w:tr w14:paraId="76407541">
        <w:tblPrEx>
          <w:tblCellMar>
            <w:top w:w="0" w:type="dxa"/>
            <w:left w:w="108" w:type="dxa"/>
            <w:bottom w:w="0" w:type="dxa"/>
            <w:right w:w="108" w:type="dxa"/>
          </w:tblCellMar>
        </w:tblPrEx>
        <w:trPr>
          <w:trHeight w:val="484" w:hRule="atLeast"/>
          <w:jc w:val="center"/>
        </w:trPr>
        <w:tc>
          <w:tcPr>
            <w:tcW w:w="1518" w:type="dxa"/>
            <w:vMerge w:val="continue"/>
            <w:tcBorders>
              <w:left w:val="single" w:color="000000" w:sz="4" w:space="0"/>
              <w:right w:val="single" w:color="000000" w:sz="4" w:space="0"/>
            </w:tcBorders>
            <w:shd w:val="clear" w:color="auto" w:fill="auto"/>
            <w:noWrap/>
            <w:vAlign w:val="center"/>
          </w:tcPr>
          <w:p w14:paraId="0A5C32F6">
            <w:pPr>
              <w:overflowPunct w:val="0"/>
              <w:autoSpaceDE w:val="0"/>
              <w:autoSpaceDN w:val="0"/>
              <w:rPr>
                <w:rFonts w:ascii="Times New Roman" w:hAnsi="Times New Roman" w:eastAsia="方正仿宋_GBK"/>
              </w:rPr>
            </w:pP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47674651">
            <w:pPr>
              <w:overflowPunct w:val="0"/>
              <w:autoSpaceDE w:val="0"/>
              <w:autoSpaceDN w:val="0"/>
              <w:ind w:left="0" w:leftChars="0" w:right="0" w:rightChars="0" w:firstLine="0" w:firstLineChars="0"/>
              <w:jc w:val="center"/>
              <w:rPr>
                <w:rFonts w:ascii="Times New Roman" w:hAnsi="Times New Roman" w:eastAsia="方正仿宋_GBK"/>
              </w:rPr>
            </w:pPr>
          </w:p>
        </w:tc>
        <w:tc>
          <w:tcPr>
            <w:tcW w:w="2029" w:type="dxa"/>
            <w:vMerge w:val="continue"/>
            <w:tcBorders>
              <w:left w:val="single" w:color="000000" w:sz="4" w:space="0"/>
              <w:bottom w:val="single" w:color="000000" w:sz="4" w:space="0"/>
              <w:right w:val="single" w:color="000000" w:sz="4" w:space="0"/>
            </w:tcBorders>
            <w:shd w:val="clear" w:color="auto" w:fill="auto"/>
            <w:noWrap/>
            <w:vAlign w:val="center"/>
          </w:tcPr>
          <w:p w14:paraId="5EE2A169">
            <w:pPr>
              <w:overflowPunct w:val="0"/>
              <w:autoSpaceDE w:val="0"/>
              <w:autoSpaceDN w:val="0"/>
              <w:ind w:left="0" w:leftChars="0" w:right="0" w:rightChars="0" w:firstLine="0" w:firstLineChars="0"/>
              <w:jc w:val="center"/>
              <w:rPr>
                <w:rFonts w:ascii="Times New Roman" w:hAnsi="Times New Roman" w:eastAsia="方正仿宋_GBK"/>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85F6">
            <w:pPr>
              <w:overflowPunct w:val="0"/>
              <w:autoSpaceDE w:val="0"/>
              <w:autoSpaceDN w:val="0"/>
              <w:jc w:val="center"/>
              <w:rPr>
                <w:rFonts w:ascii="Times New Roman" w:hAnsi="Times New Roman" w:eastAsia="方正仿宋_GBK"/>
              </w:rPr>
            </w:pPr>
            <w:r>
              <w:rPr>
                <w:rFonts w:ascii="Times New Roman" w:hAnsi="Times New Roman" w:eastAsia="方正仿宋_GBK"/>
              </w:rPr>
              <w:t>11组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8EE">
            <w:pPr>
              <w:overflowPunct w:val="0"/>
              <w:autoSpaceDE w:val="0"/>
              <w:autoSpaceDN w:val="0"/>
              <w:jc w:val="center"/>
              <w:rPr>
                <w:rFonts w:ascii="Times New Roman" w:hAnsi="Times New Roman" w:eastAsia="方正仿宋_GBK"/>
              </w:rPr>
            </w:pPr>
            <w:r>
              <w:rPr>
                <w:rFonts w:ascii="Times New Roman" w:hAnsi="Times New Roman" w:eastAsia="方正仿宋_GBK"/>
              </w:rPr>
              <w:t>264</w:t>
            </w:r>
          </w:p>
        </w:tc>
      </w:tr>
      <w:tr w14:paraId="06B345B7">
        <w:tblPrEx>
          <w:tblCellMar>
            <w:top w:w="0" w:type="dxa"/>
            <w:left w:w="108" w:type="dxa"/>
            <w:bottom w:w="0" w:type="dxa"/>
            <w:right w:w="108" w:type="dxa"/>
          </w:tblCellMar>
        </w:tblPrEx>
        <w:trPr>
          <w:trHeight w:val="484" w:hRule="atLeast"/>
          <w:jc w:val="center"/>
        </w:trPr>
        <w:tc>
          <w:tcPr>
            <w:tcW w:w="1518" w:type="dxa"/>
            <w:vMerge w:val="continue"/>
            <w:tcBorders>
              <w:left w:val="single" w:color="000000" w:sz="4" w:space="0"/>
              <w:right w:val="single" w:color="000000" w:sz="4" w:space="0"/>
            </w:tcBorders>
            <w:shd w:val="clear" w:color="auto" w:fill="auto"/>
            <w:noWrap/>
            <w:vAlign w:val="center"/>
          </w:tcPr>
          <w:p w14:paraId="3AF19B55">
            <w:pPr>
              <w:overflowPunct w:val="0"/>
              <w:autoSpaceDE w:val="0"/>
              <w:autoSpaceDN w:val="0"/>
              <w:rPr>
                <w:rFonts w:ascii="Times New Roman" w:hAnsi="Times New Roman" w:eastAsia="方正仿宋_GBK"/>
              </w:rPr>
            </w:pP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26819612">
            <w:pPr>
              <w:overflowPunct w:val="0"/>
              <w:autoSpaceDE w:val="0"/>
              <w:autoSpaceDN w:val="0"/>
              <w:ind w:left="0" w:leftChars="0" w:right="0" w:rightChars="0" w:firstLine="0" w:firstLineChars="0"/>
              <w:jc w:val="center"/>
              <w:rPr>
                <w:rFonts w:ascii="Times New Roman" w:hAnsi="Times New Roman" w:eastAsia="方正仿宋_GBK"/>
              </w:rPr>
            </w:pPr>
            <w:r>
              <w:rPr>
                <w:rFonts w:ascii="Times New Roman" w:hAnsi="Times New Roman" w:eastAsia="方正仿宋_GBK"/>
              </w:rPr>
              <w:t>广济镇</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D199">
            <w:pPr>
              <w:overflowPunct w:val="0"/>
              <w:autoSpaceDE w:val="0"/>
              <w:autoSpaceDN w:val="0"/>
              <w:ind w:left="0" w:leftChars="0" w:right="0" w:rightChars="0" w:firstLine="0" w:firstLineChars="0"/>
              <w:jc w:val="center"/>
              <w:rPr>
                <w:rFonts w:ascii="Times New Roman" w:hAnsi="Times New Roman" w:eastAsia="方正仿宋_GBK"/>
              </w:rPr>
            </w:pPr>
            <w:r>
              <w:rPr>
                <w:rFonts w:ascii="Times New Roman" w:hAnsi="Times New Roman" w:eastAsia="方正仿宋_GBK"/>
              </w:rPr>
              <w:t>吉祥村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890">
            <w:pPr>
              <w:overflowPunct w:val="0"/>
              <w:autoSpaceDE w:val="0"/>
              <w:autoSpaceDN w:val="0"/>
              <w:jc w:val="center"/>
              <w:rPr>
                <w:rFonts w:ascii="Times New Roman" w:hAnsi="Times New Roman" w:eastAsia="方正仿宋_GBK"/>
              </w:rPr>
            </w:pPr>
            <w:r>
              <w:rPr>
                <w:rFonts w:ascii="Times New Roman" w:hAnsi="Times New Roman" w:eastAsia="方正仿宋_GBK"/>
              </w:rPr>
              <w:t>3组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A75">
            <w:pPr>
              <w:overflowPunct w:val="0"/>
              <w:autoSpaceDE w:val="0"/>
              <w:autoSpaceDN w:val="0"/>
              <w:jc w:val="center"/>
              <w:rPr>
                <w:rFonts w:ascii="Times New Roman" w:hAnsi="Times New Roman" w:eastAsia="方正仿宋_GBK"/>
              </w:rPr>
            </w:pPr>
            <w:r>
              <w:rPr>
                <w:rFonts w:ascii="Times New Roman" w:hAnsi="Times New Roman" w:eastAsia="方正仿宋_GBK"/>
              </w:rPr>
              <w:t>3</w:t>
            </w:r>
          </w:p>
        </w:tc>
      </w:tr>
      <w:tr w14:paraId="46E0E51A">
        <w:tblPrEx>
          <w:tblCellMar>
            <w:top w:w="0" w:type="dxa"/>
            <w:left w:w="108" w:type="dxa"/>
            <w:bottom w:w="0" w:type="dxa"/>
            <w:right w:w="108" w:type="dxa"/>
          </w:tblCellMar>
        </w:tblPrEx>
        <w:trPr>
          <w:trHeight w:val="484" w:hRule="atLeast"/>
          <w:jc w:val="center"/>
        </w:trPr>
        <w:tc>
          <w:tcPr>
            <w:tcW w:w="1518" w:type="dxa"/>
            <w:vMerge w:val="continue"/>
            <w:tcBorders>
              <w:left w:val="single" w:color="000000" w:sz="4" w:space="0"/>
              <w:bottom w:val="single" w:color="000000" w:sz="4" w:space="0"/>
              <w:right w:val="single" w:color="000000" w:sz="4" w:space="0"/>
            </w:tcBorders>
            <w:shd w:val="clear" w:color="auto" w:fill="auto"/>
            <w:noWrap/>
            <w:vAlign w:val="center"/>
          </w:tcPr>
          <w:p w14:paraId="317CB4CF">
            <w:pPr>
              <w:overflowPunct w:val="0"/>
              <w:autoSpaceDE w:val="0"/>
              <w:autoSpaceDN w:val="0"/>
              <w:rPr>
                <w:rFonts w:ascii="Times New Roman" w:hAnsi="Times New Roman" w:eastAsia="方正仿宋_GBK"/>
              </w:rPr>
            </w:pP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2676F874">
            <w:pPr>
              <w:overflowPunct w:val="0"/>
              <w:autoSpaceDE w:val="0"/>
              <w:autoSpaceDN w:val="0"/>
              <w:rPr>
                <w:rFonts w:ascii="Times New Roman" w:hAnsi="Times New Roman" w:eastAsia="方正仿宋_GBK"/>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DDA5">
            <w:pPr>
              <w:overflowPunct w:val="0"/>
              <w:autoSpaceDE w:val="0"/>
              <w:autoSpaceDN w:val="0"/>
              <w:ind w:left="0" w:leftChars="0" w:right="0" w:rightChars="0" w:firstLine="0" w:firstLineChars="0"/>
              <w:jc w:val="center"/>
              <w:rPr>
                <w:rFonts w:ascii="Times New Roman" w:hAnsi="Times New Roman" w:eastAsia="方正仿宋_GBK"/>
              </w:rPr>
            </w:pPr>
            <w:r>
              <w:rPr>
                <w:rFonts w:ascii="Times New Roman" w:hAnsi="Times New Roman" w:eastAsia="方正仿宋_GBK"/>
              </w:rPr>
              <w:t>卧云村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AF53">
            <w:pPr>
              <w:overflowPunct w:val="0"/>
              <w:autoSpaceDE w:val="0"/>
              <w:autoSpaceDN w:val="0"/>
              <w:jc w:val="center"/>
              <w:rPr>
                <w:rFonts w:ascii="Times New Roman" w:hAnsi="Times New Roman" w:eastAsia="方正仿宋_GBK"/>
              </w:rPr>
            </w:pPr>
            <w:r>
              <w:rPr>
                <w:rFonts w:ascii="Times New Roman" w:hAnsi="Times New Roman" w:eastAsia="方正仿宋_GBK"/>
              </w:rPr>
              <w:t>4组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BFF4">
            <w:pPr>
              <w:overflowPunct w:val="0"/>
              <w:autoSpaceDE w:val="0"/>
              <w:autoSpaceDN w:val="0"/>
              <w:jc w:val="center"/>
              <w:rPr>
                <w:rFonts w:ascii="Times New Roman" w:hAnsi="Times New Roman" w:eastAsia="方正仿宋_GBK"/>
              </w:rPr>
            </w:pPr>
            <w:r>
              <w:rPr>
                <w:rFonts w:ascii="Times New Roman" w:hAnsi="Times New Roman" w:eastAsia="方正仿宋_GBK"/>
              </w:rPr>
              <w:t>9</w:t>
            </w:r>
          </w:p>
        </w:tc>
      </w:tr>
      <w:tr w14:paraId="47E45A4C">
        <w:tblPrEx>
          <w:tblCellMar>
            <w:top w:w="0" w:type="dxa"/>
            <w:left w:w="108" w:type="dxa"/>
            <w:bottom w:w="0" w:type="dxa"/>
            <w:right w:w="108" w:type="dxa"/>
          </w:tblCellMar>
        </w:tblPrEx>
        <w:trPr>
          <w:trHeight w:val="494" w:hRule="atLeast"/>
          <w:jc w:val="center"/>
        </w:trPr>
        <w:tc>
          <w:tcPr>
            <w:tcW w:w="64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C67F">
            <w:pPr>
              <w:overflowPunct w:val="0"/>
              <w:autoSpaceDE w:val="0"/>
              <w:autoSpaceDN w:val="0"/>
              <w:jc w:val="center"/>
              <w:rPr>
                <w:rFonts w:ascii="Times New Roman" w:hAnsi="Times New Roman" w:eastAsia="方正仿宋_GBK"/>
              </w:rPr>
            </w:pPr>
            <w:r>
              <w:rPr>
                <w:rFonts w:ascii="Times New Roman" w:hAnsi="Times New Roman" w:eastAsia="方正仿宋_GBK"/>
              </w:rPr>
              <w:t>总计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5A0B">
            <w:pPr>
              <w:overflowPunct w:val="0"/>
              <w:autoSpaceDE w:val="0"/>
              <w:autoSpaceDN w:val="0"/>
              <w:jc w:val="center"/>
              <w:rPr>
                <w:rFonts w:ascii="Times New Roman" w:hAnsi="Times New Roman" w:eastAsia="方正仿宋_GBK"/>
              </w:rPr>
            </w:pPr>
            <w:r>
              <w:rPr>
                <w:rFonts w:ascii="Times New Roman" w:hAnsi="Times New Roman" w:eastAsia="方正仿宋_GBK"/>
              </w:rPr>
              <w:t>302</w:t>
            </w:r>
          </w:p>
        </w:tc>
      </w:tr>
    </w:tbl>
    <w:p w14:paraId="54E86A69">
      <w:pPr>
        <w:pStyle w:val="7"/>
        <w:keepNext w:val="0"/>
        <w:keepLines w:val="0"/>
        <w:pageBreakBefore w:val="0"/>
        <w:widowControl w:val="0"/>
        <w:kinsoku/>
        <w:wordWrap/>
        <w:overflowPunct w:val="0"/>
        <w:topLinePunct w:val="0"/>
        <w:autoSpaceDE/>
        <w:autoSpaceDN/>
        <w:bidi w:val="0"/>
        <w:adjustRightInd/>
        <w:snapToGrid/>
        <w:spacing w:line="540" w:lineRule="exact"/>
        <w:ind w:left="0" w:leftChars="0" w:right="0" w:firstLine="640" w:firstLineChars="200"/>
        <w:jc w:val="left"/>
        <w:textAlignment w:val="auto"/>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Cs w:val="32"/>
          <w14:textFill>
            <w14:solidFill>
              <w14:schemeClr w14:val="tx1">
                <w14:lumMod w14:val="95000"/>
                <w14:lumOff w14:val="5000"/>
              </w14:schemeClr>
            </w14:solidFill>
          </w14:textFill>
        </w:rPr>
        <w:t>（二）农村村民住宅安置</w:t>
      </w:r>
    </w:p>
    <w:p w14:paraId="3C713690">
      <w:pPr>
        <w:pStyle w:val="7"/>
        <w:keepNext w:val="0"/>
        <w:keepLines w:val="0"/>
        <w:pageBreakBefore w:val="0"/>
        <w:widowControl w:val="0"/>
        <w:kinsoku/>
        <w:wordWrap/>
        <w:overflowPunct w:val="0"/>
        <w:topLinePunct w:val="0"/>
        <w:autoSpaceDE/>
        <w:autoSpaceDN/>
        <w:bidi w:val="0"/>
        <w:adjustRightInd/>
        <w:snapToGrid/>
        <w:spacing w:line="540" w:lineRule="exact"/>
        <w:ind w:left="0" w:leftChars="0" w:right="0" w:firstLine="640" w:firstLineChars="200"/>
        <w:textAlignment w:val="auto"/>
        <w:rPr>
          <w:rFonts w:ascii="Times New Roman" w:hAnsi="Times New Roman" w:eastAsia="方正仿宋_GBK"/>
          <w:szCs w:val="32"/>
        </w:rPr>
      </w:pPr>
      <w:r>
        <w:rPr>
          <w:rFonts w:hint="eastAsia" w:ascii="Times New Roman" w:hAnsi="Times New Roman" w:eastAsia="方正仿宋_GBK"/>
          <w:szCs w:val="32"/>
        </w:rPr>
        <w:t>本次征地共涉及拆迁农村村民住宅28户（麓棠镇麓棠村9组28户），按照四川省水利厅批准的《四川绵竹抽水蓄能电站建设征地移民安置规划》执行。</w:t>
      </w:r>
    </w:p>
    <w:p w14:paraId="24F3107E">
      <w:pPr>
        <w:pStyle w:val="7"/>
        <w:keepNext w:val="0"/>
        <w:keepLines w:val="0"/>
        <w:pageBreakBefore w:val="0"/>
        <w:widowControl w:val="0"/>
        <w:kinsoku/>
        <w:wordWrap/>
        <w:overflowPunct w:val="0"/>
        <w:topLinePunct w:val="0"/>
        <w:autoSpaceDE/>
        <w:autoSpaceDN/>
        <w:bidi w:val="0"/>
        <w:adjustRightInd/>
        <w:snapToGrid/>
        <w:spacing w:line="540" w:lineRule="exact"/>
        <w:ind w:left="0" w:leftChars="0" w:right="0" w:firstLine="640" w:firstLineChars="200"/>
        <w:jc w:val="left"/>
        <w:textAlignment w:val="auto"/>
        <w:rPr>
          <w:rFonts w:hint="eastAsia" w:ascii="方正黑体_GBK" w:hAnsi="方正黑体_GBK" w:eastAsia="方正黑体_GBK" w:cs="方正黑体_GBK"/>
          <w:color w:val="0D0D0D" w:themeColor="text1" w:themeTint="F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szCs w:val="32"/>
          <w14:textFill>
            <w14:solidFill>
              <w14:schemeClr w14:val="tx1">
                <w14:lumMod w14:val="95000"/>
                <w14:lumOff w14:val="5000"/>
              </w14:schemeClr>
            </w14:solidFill>
          </w14:textFill>
        </w:rPr>
        <w:t>五、社会保障</w:t>
      </w:r>
    </w:p>
    <w:p w14:paraId="1E56C7C2">
      <w:pPr>
        <w:pStyle w:val="7"/>
        <w:keepNext w:val="0"/>
        <w:keepLines w:val="0"/>
        <w:pageBreakBefore w:val="0"/>
        <w:widowControl w:val="0"/>
        <w:kinsoku/>
        <w:wordWrap/>
        <w:overflowPunct w:val="0"/>
        <w:topLinePunct w:val="0"/>
        <w:autoSpaceDE/>
        <w:autoSpaceDN/>
        <w:bidi w:val="0"/>
        <w:adjustRightInd/>
        <w:snapToGrid/>
        <w:spacing w:line="540" w:lineRule="exact"/>
        <w:ind w:left="0" w:leftChars="0" w:right="0" w:firstLine="640" w:firstLineChars="200"/>
        <w:textAlignment w:val="auto"/>
        <w:rPr>
          <w:rFonts w:ascii="Times New Roman" w:hAnsi="Times New Roman" w:eastAsia="方正仿宋_GBK"/>
          <w:szCs w:val="32"/>
        </w:rPr>
      </w:pPr>
      <w:r>
        <w:rPr>
          <w:rFonts w:hint="eastAsia" w:ascii="Times New Roman" w:hAnsi="Times New Roman" w:eastAsia="方正仿宋_GBK"/>
          <w:szCs w:val="32"/>
        </w:rPr>
        <w:t>按照四川省水利厅批准的《四川绵竹抽水蓄能电站建设征地移民安置规划》执行。</w:t>
      </w:r>
    </w:p>
    <w:p w14:paraId="42092E65">
      <w:pPr>
        <w:keepNext w:val="0"/>
        <w:keepLines w:val="0"/>
        <w:pageBreakBefore w:val="0"/>
        <w:widowControl w:val="0"/>
        <w:kinsoku/>
        <w:wordWrap/>
        <w:overflowPunct w:val="0"/>
        <w:topLinePunct w:val="0"/>
        <w:autoSpaceDE/>
        <w:autoSpaceDN/>
        <w:bidi w:val="0"/>
        <w:adjustRightInd/>
        <w:snapToGrid/>
        <w:textAlignment w:val="auto"/>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20D4">
    <w:pPr>
      <w:pStyle w:val="2"/>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33A4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233A4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39"/>
    <w:rsid w:val="002C28BB"/>
    <w:rsid w:val="002F7F37"/>
    <w:rsid w:val="00360CA6"/>
    <w:rsid w:val="00485A51"/>
    <w:rsid w:val="004E24A8"/>
    <w:rsid w:val="005F7C9C"/>
    <w:rsid w:val="0086018A"/>
    <w:rsid w:val="00CD4C39"/>
    <w:rsid w:val="00FB27C4"/>
    <w:rsid w:val="01CF7782"/>
    <w:rsid w:val="06DC73FB"/>
    <w:rsid w:val="10B85C94"/>
    <w:rsid w:val="11E76678"/>
    <w:rsid w:val="11F448B8"/>
    <w:rsid w:val="1D960453"/>
    <w:rsid w:val="21F1681B"/>
    <w:rsid w:val="23517B9F"/>
    <w:rsid w:val="243B1436"/>
    <w:rsid w:val="28B07116"/>
    <w:rsid w:val="2A702076"/>
    <w:rsid w:val="2BB0733F"/>
    <w:rsid w:val="2D025009"/>
    <w:rsid w:val="31457D10"/>
    <w:rsid w:val="33C12BC7"/>
    <w:rsid w:val="356F7AE0"/>
    <w:rsid w:val="3EF4C0A4"/>
    <w:rsid w:val="438B51CA"/>
    <w:rsid w:val="4C7B3413"/>
    <w:rsid w:val="4DEBEE19"/>
    <w:rsid w:val="4F8E742F"/>
    <w:rsid w:val="4FBBAD6B"/>
    <w:rsid w:val="55392A77"/>
    <w:rsid w:val="63895685"/>
    <w:rsid w:val="64CF2E8C"/>
    <w:rsid w:val="68115A04"/>
    <w:rsid w:val="686828C0"/>
    <w:rsid w:val="6AFC5C0F"/>
    <w:rsid w:val="6BAA25E3"/>
    <w:rsid w:val="6CCE0EE6"/>
    <w:rsid w:val="6FBD0E61"/>
    <w:rsid w:val="74E908D6"/>
    <w:rsid w:val="785A9955"/>
    <w:rsid w:val="790F6B0E"/>
    <w:rsid w:val="7C5D7262"/>
    <w:rsid w:val="7FAA5797"/>
    <w:rsid w:val="B59F6203"/>
    <w:rsid w:val="DBFFE726"/>
    <w:rsid w:val="FEBC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index 6"/>
    <w:basedOn w:val="1"/>
    <w:next w:val="1"/>
    <w:qFormat/>
    <w:uiPriority w:val="0"/>
    <w:pPr>
      <w:ind w:left="2100"/>
    </w:p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Body Text Indent"/>
    <w:basedOn w:val="1"/>
    <w:next w:val="7"/>
    <w:qFormat/>
    <w:uiPriority w:val="0"/>
    <w:pPr>
      <w:spacing w:line="560" w:lineRule="exact"/>
      <w:ind w:right="-25" w:firstLine="630"/>
    </w:pPr>
    <w:rPr>
      <w:rFonts w:ascii="仿宋_GB2312" w:eastAsia="仿宋_GB2312"/>
      <w:sz w:val="32"/>
    </w:rPr>
  </w:style>
  <w:style w:type="paragraph" w:styleId="7">
    <w:name w:val="Body Text First Indent 2"/>
    <w:basedOn w:val="6"/>
    <w:next w:val="3"/>
    <w:qFormat/>
    <w:uiPriority w:val="0"/>
    <w:pPr>
      <w:ind w:firstLine="420" w:firstLineChars="200"/>
    </w:p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rFonts w:ascii="Calibri" w:hAnsi="Calibri"/>
      <w:kern w:val="2"/>
      <w:sz w:val="18"/>
      <w:szCs w:val="18"/>
    </w:rPr>
  </w:style>
  <w:style w:type="character" w:customStyle="1" w:styleId="12">
    <w:name w:val="页脚 Char"/>
    <w:basedOn w:val="10"/>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396</Words>
  <Characters>2261</Characters>
  <Lines>18</Lines>
  <Paragraphs>5</Paragraphs>
  <TotalTime>49</TotalTime>
  <ScaleCrop>false</ScaleCrop>
  <LinksUpToDate>false</LinksUpToDate>
  <CharactersWithSpaces>2652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2025-04-22T08:58:00Z</dcterms:created>
  <dc:creator>Administrator</dc:creator>
  <cp:lastModifiedBy>夏晓娇</cp:lastModifiedBy>
  <cp:lastPrinted>2025-08-12T09:50:00Z</cp:lastPrinted>
  <dcterms:modified xsi:type="dcterms:W3CDTF">2025-08-13T11:12:32Z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eyJoZGlkIjoiODk3MmI1NjYyMjEzMGMxNjI1ZTdjZmE4NmUwYzQxYzcifQ==</vt:lpwstr>
  </property>
  <property fmtid="{D5CDD505-2E9C-101B-9397-08002B2CF9AE}" pid="4" name="ICV">
    <vt:lpwstr>E33058026BFC07D1A0029C68FB1020CF_43</vt:lpwstr>
  </property>
</Properties>
</file>