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2E7A0E">
      <w:pPr>
        <w:spacing w:line="600" w:lineRule="exact"/>
        <w:jc w:val="center"/>
        <w:outlineLvl w:val="0"/>
        <w:rPr>
          <w:rFonts w:ascii="方正小标宋简体" w:hAnsi="宋体" w:eastAsia="方正小标宋简体"/>
          <w:sz w:val="72"/>
          <w:szCs w:val="72"/>
        </w:rPr>
      </w:pPr>
      <w:bookmarkStart w:id="0" w:name="_Toc15377193"/>
      <w:bookmarkStart w:id="1" w:name="_Toc15396597"/>
      <w:bookmarkStart w:id="2" w:name="_Toc15377425"/>
      <w:bookmarkStart w:id="3" w:name="_Toc15378441"/>
      <w:bookmarkStart w:id="4" w:name="_Toc15396475"/>
      <w:bookmarkStart w:id="5" w:name="_Toc15306267"/>
    </w:p>
    <w:p w14:paraId="18025A2A">
      <w:pPr>
        <w:spacing w:line="600" w:lineRule="exact"/>
        <w:jc w:val="center"/>
        <w:outlineLvl w:val="0"/>
        <w:rPr>
          <w:rFonts w:ascii="方正小标宋简体" w:hAnsi="宋体" w:eastAsia="方正小标宋简体"/>
          <w:sz w:val="72"/>
          <w:szCs w:val="72"/>
        </w:rPr>
      </w:pPr>
    </w:p>
    <w:p w14:paraId="2D178A01">
      <w:pPr>
        <w:spacing w:line="600" w:lineRule="exact"/>
        <w:jc w:val="center"/>
        <w:outlineLvl w:val="0"/>
        <w:rPr>
          <w:rFonts w:ascii="方正小标宋简体" w:hAnsi="宋体" w:eastAsia="方正小标宋简体"/>
          <w:sz w:val="72"/>
          <w:szCs w:val="72"/>
        </w:rPr>
      </w:pPr>
    </w:p>
    <w:p w14:paraId="63EAEF18">
      <w:pPr>
        <w:spacing w:line="600" w:lineRule="exact"/>
        <w:jc w:val="center"/>
        <w:outlineLvl w:val="0"/>
        <w:rPr>
          <w:rFonts w:ascii="方正小标宋简体" w:hAnsi="宋体" w:eastAsia="方正小标宋简体"/>
          <w:sz w:val="72"/>
          <w:szCs w:val="72"/>
        </w:rPr>
      </w:pPr>
    </w:p>
    <w:p w14:paraId="5263A543">
      <w:pPr>
        <w:adjustRightInd w:val="0"/>
        <w:snapToGrid w:val="0"/>
        <w:spacing w:line="360" w:lineRule="auto"/>
        <w:jc w:val="center"/>
        <w:outlineLvl w:val="0"/>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2021年度</w:t>
      </w:r>
      <w:bookmarkEnd w:id="0"/>
      <w:bookmarkEnd w:id="1"/>
      <w:bookmarkEnd w:id="2"/>
      <w:bookmarkEnd w:id="3"/>
      <w:bookmarkEnd w:id="4"/>
    </w:p>
    <w:bookmarkEnd w:id="5"/>
    <w:p w14:paraId="60F3454F">
      <w:pPr>
        <w:adjustRightInd w:val="0"/>
        <w:snapToGrid w:val="0"/>
        <w:spacing w:line="360" w:lineRule="auto"/>
        <w:jc w:val="center"/>
        <w:outlineLvl w:val="0"/>
        <w:rPr>
          <w:rFonts w:ascii="方正小标宋简体" w:hAnsi="方正小标宋简体" w:eastAsia="方正小标宋简体" w:cs="方正小标宋简体"/>
          <w:sz w:val="72"/>
          <w:szCs w:val="72"/>
        </w:rPr>
      </w:pPr>
      <w:bookmarkStart w:id="6" w:name="_Toc15306268"/>
      <w:bookmarkStart w:id="7" w:name="_Toc15377194"/>
      <w:bookmarkStart w:id="8" w:name="_Toc15396598"/>
      <w:bookmarkStart w:id="9" w:name="_Toc15377426"/>
      <w:bookmarkStart w:id="10" w:name="_Toc15378442"/>
      <w:bookmarkStart w:id="11" w:name="_Toc15396476"/>
      <w:r>
        <w:rPr>
          <w:rFonts w:hint="eastAsia" w:ascii="方正小标宋简体" w:hAnsi="方正小标宋简体" w:eastAsia="方正小标宋简体" w:cs="方正小标宋简体"/>
          <w:sz w:val="72"/>
          <w:szCs w:val="72"/>
          <w:lang w:eastAsia="zh-CN"/>
        </w:rPr>
        <w:t>绵竹市委统战部</w:t>
      </w:r>
      <w:r>
        <w:rPr>
          <w:rFonts w:hint="eastAsia" w:ascii="方正小标宋简体" w:hAnsi="方正小标宋简体" w:eastAsia="方正小标宋简体" w:cs="方正小标宋简体"/>
          <w:sz w:val="72"/>
          <w:szCs w:val="72"/>
        </w:rPr>
        <w:t>决算</w:t>
      </w:r>
      <w:bookmarkEnd w:id="6"/>
      <w:bookmarkEnd w:id="7"/>
      <w:bookmarkEnd w:id="8"/>
      <w:bookmarkEnd w:id="9"/>
      <w:bookmarkEnd w:id="10"/>
      <w:bookmarkEnd w:id="11"/>
    </w:p>
    <w:p w14:paraId="0FAC1E74">
      <w:pPr>
        <w:widowControl/>
        <w:jc w:val="center"/>
        <w:rPr>
          <w:rFonts w:ascii="黑体" w:hAnsi="黑体" w:eastAsia="黑体"/>
          <w:sz w:val="48"/>
          <w:szCs w:val="48"/>
        </w:rPr>
      </w:pPr>
      <w:r>
        <w:rPr>
          <w:rFonts w:ascii="方正小标宋简体" w:hAnsi="宋体" w:eastAsia="方正小标宋简体"/>
          <w:sz w:val="36"/>
          <w:szCs w:val="36"/>
        </w:rPr>
        <w:br w:type="page"/>
      </w:r>
      <w:r>
        <w:rPr>
          <w:rFonts w:hint="eastAsia" w:ascii="黑体" w:hAnsi="黑体" w:eastAsia="黑体"/>
          <w:sz w:val="48"/>
          <w:szCs w:val="48"/>
        </w:rPr>
        <w:t>目录</w:t>
      </w:r>
    </w:p>
    <w:p w14:paraId="077898E1">
      <w:pPr>
        <w:widowControl/>
        <w:jc w:val="center"/>
        <w:rPr>
          <w:rFonts w:ascii="黑体" w:hAnsi="黑体" w:eastAsia="黑体" w:cstheme="minorBidi"/>
          <w:sz w:val="28"/>
          <w:szCs w:val="28"/>
        </w:rPr>
      </w:pPr>
    </w:p>
    <w:p w14:paraId="090A5108">
      <w:pPr>
        <w:pStyle w:val="11"/>
      </w:pPr>
      <w:r>
        <w:rPr>
          <w:rFonts w:hint="eastAsia"/>
        </w:rPr>
        <w:t>公开时间：2022年</w:t>
      </w:r>
      <w:r>
        <w:rPr>
          <w:rFonts w:hint="eastAsia"/>
          <w:lang w:val="en-US" w:eastAsia="zh-CN"/>
        </w:rPr>
        <w:t>9</w:t>
      </w:r>
      <w:r>
        <w:rPr>
          <w:rFonts w:hint="eastAsia"/>
        </w:rPr>
        <w:t>月2</w:t>
      </w:r>
      <w:r>
        <w:rPr>
          <w:rFonts w:hint="eastAsia"/>
          <w:lang w:val="en-US" w:eastAsia="zh-CN"/>
        </w:rPr>
        <w:t>0</w:t>
      </w:r>
      <w:r>
        <w:rPr>
          <w:rFonts w:hint="eastAsia"/>
        </w:rPr>
        <w:t>日</w:t>
      </w:r>
    </w:p>
    <w:p w14:paraId="0947BA04"/>
    <w:p w14:paraId="4F2D51DC">
      <w:pPr>
        <w:pStyle w:val="11"/>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部门概况</w:t>
      </w:r>
    </w:p>
    <w:p w14:paraId="6D74015E">
      <w:pPr>
        <w:pStyle w:val="12"/>
        <w:adjustRightInd w:val="0"/>
        <w:snapToGrid w:val="0"/>
        <w:spacing w:line="440" w:lineRule="exact"/>
        <w:jc w:val="left"/>
        <w:rPr>
          <w:rFonts w:hint="default" w:eastAsia="宋体"/>
          <w:lang w:val="en-US" w:eastAsia="zh-CN"/>
        </w:rPr>
      </w:pPr>
      <w:r>
        <w:rPr>
          <w:rFonts w:hint="eastAsia"/>
          <w:sz w:val="24"/>
        </w:rPr>
        <w:t>一、基本职能及主要工作</w:t>
      </w:r>
      <w:r>
        <w:rPr>
          <w:rFonts w:hint="eastAsia"/>
          <w:sz w:val="24"/>
          <w:lang w:val="en-US" w:eastAsia="zh-CN"/>
        </w:rPr>
        <w:t>..............................................................................4</w:t>
      </w:r>
    </w:p>
    <w:p w14:paraId="1C3CB503">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二、机构设置</w:t>
      </w:r>
      <w:r>
        <w:rPr>
          <w:rFonts w:hint="eastAsia"/>
          <w:sz w:val="24"/>
          <w:lang w:val="en-US" w:eastAsia="zh-CN"/>
        </w:rPr>
        <w:t>..................................................................................................9</w:t>
      </w:r>
    </w:p>
    <w:p w14:paraId="50EBE3B9">
      <w:pPr>
        <w:pStyle w:val="11"/>
        <w:adjustRightInd w:val="0"/>
        <w:snapToGrid w:val="0"/>
        <w:spacing w:before="0" w:line="440" w:lineRule="exact"/>
        <w:jc w:val="left"/>
        <w:rPr>
          <w:sz w:val="24"/>
          <w:szCs w:val="24"/>
        </w:rPr>
      </w:pPr>
      <w:r>
        <w:rPr>
          <w:rFonts w:hint="eastAsia"/>
          <w:sz w:val="24"/>
        </w:rPr>
        <w:t>第二部分 2021年度部门决算情况说明</w:t>
      </w:r>
    </w:p>
    <w:p w14:paraId="2A73525F">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一、收入支出决算总体情况说明</w:t>
      </w:r>
      <w:r>
        <w:rPr>
          <w:rFonts w:hint="eastAsia"/>
          <w:sz w:val="24"/>
          <w:lang w:val="en-US" w:eastAsia="zh-CN"/>
        </w:rPr>
        <w:t>................................................................10</w:t>
      </w:r>
    </w:p>
    <w:p w14:paraId="2F88B085">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二、收入决算情况说明</w:t>
      </w:r>
      <w:r>
        <w:rPr>
          <w:rFonts w:hint="eastAsia"/>
          <w:sz w:val="24"/>
          <w:lang w:val="en-US" w:eastAsia="zh-CN"/>
        </w:rPr>
        <w:t>................................................................................10</w:t>
      </w:r>
    </w:p>
    <w:p w14:paraId="7CD43687">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三、支出决算情况说明</w:t>
      </w:r>
      <w:r>
        <w:rPr>
          <w:rFonts w:hint="eastAsia"/>
          <w:sz w:val="24"/>
          <w:lang w:val="en-US" w:eastAsia="zh-CN"/>
        </w:rPr>
        <w:t>................................................................................11</w:t>
      </w:r>
    </w:p>
    <w:p w14:paraId="48D25E0A">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四、财政拨款收入支出决算总体情况说明</w:t>
      </w:r>
      <w:r>
        <w:rPr>
          <w:rFonts w:hint="eastAsia"/>
          <w:sz w:val="24"/>
          <w:lang w:val="en-US" w:eastAsia="zh-CN"/>
        </w:rPr>
        <w:t>................................................12</w:t>
      </w:r>
    </w:p>
    <w:p w14:paraId="66920657">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五、一般公共预算财政拨款支出决算情况说明</w:t>
      </w:r>
      <w:r>
        <w:rPr>
          <w:rFonts w:hint="eastAsia"/>
          <w:sz w:val="24"/>
          <w:lang w:val="en-US" w:eastAsia="zh-CN"/>
        </w:rPr>
        <w:t>........................................12</w:t>
      </w:r>
    </w:p>
    <w:p w14:paraId="41475F87">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六、一般公共预算财政拨款基本支出决算情况说明</w:t>
      </w:r>
      <w:r>
        <w:rPr>
          <w:rFonts w:hint="eastAsia"/>
          <w:sz w:val="24"/>
          <w:lang w:val="en-US" w:eastAsia="zh-CN"/>
        </w:rPr>
        <w:t>................................15</w:t>
      </w:r>
    </w:p>
    <w:p w14:paraId="4A2E2EC0">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七、“三公”经费财政拨款支出决算情况说明</w:t>
      </w:r>
      <w:r>
        <w:rPr>
          <w:rFonts w:hint="eastAsia"/>
          <w:sz w:val="24"/>
          <w:lang w:val="en-US" w:eastAsia="zh-CN"/>
        </w:rPr>
        <w:t>........................................16</w:t>
      </w:r>
    </w:p>
    <w:p w14:paraId="15C984FA">
      <w:pPr>
        <w:pStyle w:val="12"/>
        <w:adjustRightInd w:val="0"/>
        <w:snapToGrid w:val="0"/>
        <w:spacing w:line="440" w:lineRule="exact"/>
        <w:jc w:val="left"/>
        <w:rPr>
          <w:rFonts w:hint="default" w:ascii="仿宋" w:hAnsi="仿宋" w:eastAsia="宋体" w:cstheme="minorBidi"/>
          <w:sz w:val="24"/>
          <w:lang w:val="en-US" w:eastAsia="zh-CN"/>
        </w:rPr>
      </w:pPr>
      <w:r>
        <w:rPr>
          <w:rFonts w:hint="eastAsia"/>
          <w:sz w:val="24"/>
        </w:rPr>
        <w:t>八、政府性基金预算支出决算情况说明</w:t>
      </w:r>
      <w:r>
        <w:rPr>
          <w:rFonts w:hint="eastAsia"/>
          <w:sz w:val="24"/>
          <w:lang w:val="en-US" w:eastAsia="zh-CN"/>
        </w:rPr>
        <w:t>....................................................17</w:t>
      </w:r>
    </w:p>
    <w:p w14:paraId="32D937AD">
      <w:pPr>
        <w:pStyle w:val="12"/>
        <w:adjustRightInd w:val="0"/>
        <w:snapToGrid w:val="0"/>
        <w:spacing w:line="440" w:lineRule="exact"/>
        <w:ind w:leftChars="0"/>
        <w:jc w:val="left"/>
        <w:rPr>
          <w:rFonts w:hint="default" w:asciiTheme="minorEastAsia" w:hAnsiTheme="minorEastAsia" w:eastAsiaTheme="minorEastAsia" w:cstheme="minorEastAsia"/>
          <w:sz w:val="24"/>
          <w:lang w:val="en-US" w:eastAsia="zh-CN"/>
        </w:rPr>
      </w:pPr>
      <w:r>
        <w:rPr>
          <w:rFonts w:hint="eastAsia" w:asciiTheme="minorEastAsia" w:hAnsiTheme="minorEastAsia" w:eastAsiaTheme="minorEastAsia" w:cstheme="minorEastAsia"/>
          <w:sz w:val="24"/>
        </w:rPr>
        <w:t>九、国有资本经营预算支出决算情况说明</w:t>
      </w:r>
      <w:r>
        <w:rPr>
          <w:rFonts w:hint="eastAsia"/>
          <w:sz w:val="24"/>
          <w:lang w:val="en-US" w:eastAsia="zh-CN"/>
        </w:rPr>
        <w:t>................................................17</w:t>
      </w:r>
    </w:p>
    <w:p w14:paraId="4A767F4D">
      <w:pPr>
        <w:adjustRightInd w:val="0"/>
        <w:snapToGrid w:val="0"/>
        <w:spacing w:line="440" w:lineRule="exact"/>
        <w:ind w:firstLine="420" w:firstLineChars="175"/>
        <w:jc w:val="left"/>
        <w:rPr>
          <w:rFonts w:asciiTheme="minorEastAsia" w:hAnsiTheme="minorEastAsia" w:eastAsiaTheme="minorEastAsia" w:cstheme="minorEastAsia"/>
          <w:sz w:val="24"/>
        </w:rPr>
      </w:pPr>
      <w:r>
        <w:rPr>
          <w:rStyle w:val="17"/>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sz w:val="24"/>
          <w:lang w:val="en-US" w:eastAsia="zh-CN"/>
        </w:rPr>
        <w:t>....................................................................17</w:t>
      </w:r>
      <w:r>
        <w:rPr>
          <w:rFonts w:hint="eastAsia" w:asciiTheme="minorEastAsia" w:hAnsiTheme="minorEastAsia" w:eastAsiaTheme="minorEastAsia" w:cstheme="minorEastAsia"/>
          <w:sz w:val="24"/>
        </w:rPr>
        <w:tab/>
      </w:r>
    </w:p>
    <w:p w14:paraId="0FEB6B03">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第三部分</w:t>
      </w:r>
      <w:r>
        <w:rPr>
          <w:sz w:val="24"/>
        </w:rPr>
        <w:t xml:space="preserve"> </w:t>
      </w:r>
      <w:r>
        <w:rPr>
          <w:rFonts w:hint="eastAsia"/>
          <w:sz w:val="24"/>
        </w:rPr>
        <w:t>名词解释</w:t>
      </w:r>
      <w:r>
        <w:rPr>
          <w:rFonts w:hint="eastAsia"/>
          <w:sz w:val="24"/>
          <w:lang w:val="en-US" w:eastAsia="zh-CN"/>
        </w:rPr>
        <w:t>..............................................19</w:t>
      </w:r>
    </w:p>
    <w:p w14:paraId="712DC7D7">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第四部分</w:t>
      </w:r>
      <w:r>
        <w:rPr>
          <w:sz w:val="24"/>
        </w:rPr>
        <w:t xml:space="preserve"> </w:t>
      </w:r>
      <w:r>
        <w:rPr>
          <w:rFonts w:hint="eastAsia"/>
          <w:sz w:val="24"/>
        </w:rPr>
        <w:t>附件</w:t>
      </w:r>
      <w:r>
        <w:rPr>
          <w:rFonts w:hint="eastAsia"/>
          <w:sz w:val="24"/>
          <w:lang w:val="en-US" w:eastAsia="zh-CN"/>
        </w:rPr>
        <w:t>..................................................23</w:t>
      </w:r>
    </w:p>
    <w:p w14:paraId="6AAB1655">
      <w:pPr>
        <w:pStyle w:val="11"/>
        <w:adjustRightInd w:val="0"/>
        <w:snapToGrid w:val="0"/>
        <w:spacing w:before="0" w:line="440" w:lineRule="exact"/>
        <w:jc w:val="left"/>
        <w:rPr>
          <w:rFonts w:hint="default" w:eastAsia="仿宋" w:cstheme="minorBidi"/>
          <w:sz w:val="24"/>
          <w:szCs w:val="24"/>
          <w:lang w:val="en-US" w:eastAsia="zh-CN"/>
        </w:rPr>
      </w:pPr>
      <w:r>
        <w:rPr>
          <w:rFonts w:hint="eastAsia"/>
          <w:sz w:val="24"/>
        </w:rPr>
        <w:t>第五部分</w:t>
      </w:r>
      <w:r>
        <w:rPr>
          <w:sz w:val="24"/>
        </w:rPr>
        <w:t xml:space="preserve"> </w:t>
      </w:r>
      <w:r>
        <w:rPr>
          <w:rFonts w:hint="eastAsia"/>
          <w:sz w:val="24"/>
        </w:rPr>
        <w:t>附表</w:t>
      </w:r>
      <w:r>
        <w:rPr>
          <w:rFonts w:hint="eastAsia"/>
          <w:sz w:val="24"/>
          <w:lang w:val="en-US" w:eastAsia="zh-CN"/>
        </w:rPr>
        <w:t>..................................................113</w:t>
      </w:r>
    </w:p>
    <w:p w14:paraId="0DF44F39">
      <w:pPr>
        <w:pStyle w:val="12"/>
        <w:adjustRightInd w:val="0"/>
        <w:snapToGrid w:val="0"/>
        <w:spacing w:line="44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14:paraId="6256AA12">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14:paraId="6B352428">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14:paraId="378AD548">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14:paraId="08636C6D">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14:paraId="5F5C4E0C">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14:paraId="3A110400">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14:paraId="3AA605D3">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14:paraId="0F934710">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14:paraId="39F5BBBF">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p>
    <w:p w14:paraId="76A6D95F">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p>
    <w:p w14:paraId="31FA1BB4">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p>
    <w:p w14:paraId="2A448B27">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p>
    <w:p w14:paraId="1949F484">
      <w:pPr>
        <w:pStyle w:val="12"/>
        <w:adjustRightInd w:val="0"/>
        <w:snapToGrid w:val="0"/>
        <w:spacing w:line="44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p>
    <w:p w14:paraId="56C3DC7A">
      <w:pPr>
        <w:widowControl/>
        <w:adjustRightInd w:val="0"/>
        <w:snapToGrid w:val="0"/>
        <w:spacing w:line="440" w:lineRule="exact"/>
        <w:ind w:firstLine="1320" w:firstLineChars="550"/>
        <w:jc w:val="left"/>
        <w:rPr>
          <w:rFonts w:ascii="仿宋" w:hAnsi="仿宋" w:eastAsia="仿宋"/>
          <w:sz w:val="24"/>
        </w:rPr>
      </w:pPr>
      <w:r>
        <w:rPr>
          <w:rFonts w:ascii="仿宋" w:hAnsi="仿宋" w:eastAsia="仿宋"/>
          <w:sz w:val="24"/>
        </w:rPr>
        <w:t>(注：</w:t>
      </w:r>
      <w:r>
        <w:rPr>
          <w:rFonts w:hint="eastAsia" w:ascii="仿宋" w:hAnsi="仿宋" w:eastAsia="仿宋"/>
          <w:sz w:val="24"/>
        </w:rPr>
        <w:t>请部门根据实际注明页码</w:t>
      </w:r>
      <w:r>
        <w:rPr>
          <w:rFonts w:ascii="仿宋" w:hAnsi="仿宋" w:eastAsia="仿宋"/>
          <w:sz w:val="24"/>
        </w:rPr>
        <w:t>)</w:t>
      </w:r>
    </w:p>
    <w:p w14:paraId="0DF17165">
      <w:pPr>
        <w:widowControl/>
        <w:spacing w:line="440" w:lineRule="exact"/>
        <w:jc w:val="left"/>
        <w:rPr>
          <w:rFonts w:ascii="仿宋" w:hAnsi="仿宋" w:eastAsia="仿宋"/>
          <w:bCs/>
          <w:kern w:val="44"/>
          <w:sz w:val="24"/>
        </w:rPr>
      </w:pPr>
      <w:bookmarkStart w:id="12" w:name="_Toc15396599"/>
      <w:bookmarkStart w:id="13" w:name="_Toc15377196"/>
      <w:r>
        <w:rPr>
          <w:rFonts w:ascii="仿宋" w:hAnsi="仿宋" w:eastAsia="仿宋"/>
          <w:b/>
          <w:sz w:val="24"/>
        </w:rPr>
        <w:br w:type="page"/>
      </w:r>
    </w:p>
    <w:p w14:paraId="15E4957A">
      <w:pPr>
        <w:pStyle w:val="3"/>
        <w:jc w:val="center"/>
        <w:rPr>
          <w:rStyle w:val="26"/>
          <w:rFonts w:ascii="黑体" w:hAnsi="黑体" w:eastAsia="黑体"/>
          <w:b/>
          <w:bCs w:val="0"/>
        </w:rPr>
      </w:pPr>
      <w:r>
        <w:rPr>
          <w:rFonts w:hint="eastAsia" w:ascii="黑体" w:hAnsi="黑体" w:eastAsia="黑体"/>
          <w:b w:val="0"/>
        </w:rPr>
        <w:t xml:space="preserve">第一部分 </w:t>
      </w:r>
      <w:r>
        <w:rPr>
          <w:rStyle w:val="26"/>
          <w:rFonts w:hint="eastAsia" w:ascii="黑体" w:hAnsi="黑体" w:eastAsia="黑体"/>
          <w:b w:val="0"/>
          <w:bCs w:val="0"/>
        </w:rPr>
        <w:t>部门概况</w:t>
      </w:r>
      <w:bookmarkEnd w:id="12"/>
      <w:bookmarkEnd w:id="13"/>
    </w:p>
    <w:p w14:paraId="7BEE8B89">
      <w:pPr>
        <w:widowControl/>
        <w:jc w:val="left"/>
        <w:rPr>
          <w:rFonts w:ascii="黑体" w:eastAsia="黑体"/>
          <w:sz w:val="32"/>
          <w:szCs w:val="32"/>
        </w:rPr>
      </w:pPr>
    </w:p>
    <w:p w14:paraId="771DD869">
      <w:pPr>
        <w:pStyle w:val="4"/>
        <w:ind w:firstLine="320" w:firstLineChars="100"/>
        <w:rPr>
          <w:rStyle w:val="27"/>
          <w:rFonts w:hint="eastAsia" w:ascii="黑体" w:hAnsi="黑体" w:eastAsia="黑体"/>
          <w:b w:val="0"/>
          <w:bCs w:val="0"/>
        </w:rPr>
      </w:pPr>
      <w:bookmarkStart w:id="14" w:name="_Toc15396600"/>
      <w:bookmarkStart w:id="15" w:name="_Toc15377197"/>
      <w:r>
        <w:rPr>
          <w:rFonts w:hint="eastAsia" w:ascii="黑体" w:hAnsi="黑体" w:eastAsia="黑体"/>
          <w:b w:val="0"/>
        </w:rPr>
        <w:t>一、基</w:t>
      </w:r>
      <w:r>
        <w:rPr>
          <w:rStyle w:val="27"/>
          <w:rFonts w:hint="eastAsia" w:ascii="黑体" w:hAnsi="黑体" w:eastAsia="黑体"/>
          <w:b w:val="0"/>
          <w:bCs w:val="0"/>
        </w:rPr>
        <w:t>本职能及主要工作</w:t>
      </w:r>
      <w:bookmarkEnd w:id="14"/>
      <w:bookmarkEnd w:id="15"/>
      <w:bookmarkStart w:id="16" w:name="_Toc15377198"/>
      <w:bookmarkStart w:id="17" w:name="_Toc15378445"/>
    </w:p>
    <w:p w14:paraId="37B568A6">
      <w:pPr>
        <w:pStyle w:val="4"/>
        <w:ind w:firstLine="321" w:firstLineChars="100"/>
        <w:rPr>
          <w:rFonts w:hint="eastAsia" w:ascii="仿宋" w:hAnsi="仿宋" w:eastAsia="仿宋"/>
          <w:bCs/>
          <w:sz w:val="32"/>
          <w:szCs w:val="32"/>
        </w:rPr>
      </w:pPr>
      <w:r>
        <w:rPr>
          <w:rFonts w:hint="eastAsia" w:ascii="仿宋" w:hAnsi="仿宋" w:eastAsia="仿宋"/>
          <w:bCs/>
          <w:sz w:val="32"/>
          <w:szCs w:val="32"/>
        </w:rPr>
        <w:t>（一）主要职能。</w:t>
      </w:r>
      <w:bookmarkEnd w:id="16"/>
      <w:bookmarkEnd w:id="17"/>
    </w:p>
    <w:p w14:paraId="04A7A73C">
      <w:pPr>
        <w:spacing w:line="560" w:lineRule="atLeast"/>
        <w:ind w:left="-269" w:firstLine="640" w:firstLineChars="200"/>
        <w:rPr>
          <w:rFonts w:hint="eastAsia" w:ascii="仿宋" w:hAnsi="仿宋" w:eastAsia="仿宋" w:cs="仿宋"/>
          <w:sz w:val="32"/>
          <w:szCs w:val="32"/>
        </w:rPr>
      </w:pPr>
      <w:r>
        <w:rPr>
          <w:rFonts w:hint="eastAsia" w:ascii="仿宋" w:hAnsi="仿宋" w:eastAsia="仿宋" w:cs="仿宋"/>
          <w:color w:val="000000"/>
          <w:sz w:val="32"/>
          <w:szCs w:val="32"/>
        </w:rPr>
        <w:t>1、负责牵头</w:t>
      </w:r>
      <w:r>
        <w:rPr>
          <w:rFonts w:hint="eastAsia" w:ascii="仿宋" w:hAnsi="仿宋" w:eastAsia="仿宋" w:cs="仿宋"/>
          <w:sz w:val="32"/>
          <w:szCs w:val="32"/>
        </w:rPr>
        <w:t xml:space="preserve">、协调、监督和检查全市统一战线工作，贯彻执行中、省、市的方针、政策。 </w:t>
      </w:r>
    </w:p>
    <w:p w14:paraId="61E073DC">
      <w:pPr>
        <w:spacing w:line="560" w:lineRule="atLeast"/>
        <w:ind w:left="-269" w:firstLine="640" w:firstLineChars="200"/>
        <w:rPr>
          <w:rFonts w:hint="eastAsia" w:ascii="仿宋" w:hAnsi="仿宋" w:eastAsia="仿宋" w:cs="仿宋"/>
          <w:sz w:val="32"/>
          <w:szCs w:val="32"/>
        </w:rPr>
      </w:pPr>
      <w:r>
        <w:rPr>
          <w:rFonts w:hint="eastAsia" w:ascii="仿宋" w:hAnsi="仿宋" w:eastAsia="仿宋" w:cs="仿宋"/>
          <w:sz w:val="32"/>
          <w:szCs w:val="32"/>
        </w:rPr>
        <w:t xml:space="preserve">2、负责联系各民主党派和无党派代表人士，及时通报情况，反映他们的意见和建议；贯彻党领导的多党合作和政治协商制度；落实中央关于发挥民主党派和无党派代表人士参政议政、民主监督作用的工作；为市委同市各民主党派基层组织进行政治协商做好组织联系工作；受市委委托，召开市各民主党派、无党派人士通报会、座谈会；支持帮助各民主党派加强自身建设，选拔培养新一代代表人物；协助有关部门帮助民主党派改善工作条件。 </w:t>
      </w:r>
    </w:p>
    <w:p w14:paraId="49320549">
      <w:pPr>
        <w:spacing w:line="560" w:lineRule="atLeast"/>
        <w:ind w:left="-269" w:firstLine="640" w:firstLineChars="200"/>
        <w:rPr>
          <w:rFonts w:hint="eastAsia" w:ascii="仿宋" w:hAnsi="仿宋" w:eastAsia="仿宋" w:cs="仿宋"/>
          <w:sz w:val="32"/>
          <w:szCs w:val="32"/>
        </w:rPr>
      </w:pPr>
      <w:r>
        <w:rPr>
          <w:rFonts w:hint="eastAsia" w:ascii="仿宋" w:hAnsi="仿宋" w:eastAsia="仿宋" w:cs="仿宋"/>
          <w:sz w:val="32"/>
          <w:szCs w:val="32"/>
        </w:rPr>
        <w:t xml:space="preserve">3、负责调查研究，贯彻执行民族、宗教方面的方针政策、法律法规，加强对民族宗教事务管理；联系少数民族和宗教界的代表人士；协助有关部门做好少数民族干部培养选拔工作。 </w:t>
      </w:r>
    </w:p>
    <w:p w14:paraId="70888975">
      <w:pPr>
        <w:spacing w:line="560" w:lineRule="atLeast"/>
        <w:ind w:left="-269" w:firstLine="640" w:firstLineChars="200"/>
        <w:rPr>
          <w:rFonts w:hint="eastAsia" w:ascii="仿宋" w:hAnsi="仿宋" w:eastAsia="仿宋" w:cs="仿宋"/>
          <w:sz w:val="32"/>
          <w:szCs w:val="32"/>
        </w:rPr>
      </w:pPr>
      <w:r>
        <w:rPr>
          <w:rFonts w:hint="eastAsia" w:ascii="仿宋" w:hAnsi="仿宋" w:eastAsia="仿宋" w:cs="仿宋"/>
          <w:sz w:val="32"/>
          <w:szCs w:val="32"/>
        </w:rPr>
        <w:t xml:space="preserve">4、负责开展以祖国统一为重点的海外统战工作；联系香港、澳门和海外有关社团及代表人士；做好台、侨工作。 </w:t>
      </w:r>
    </w:p>
    <w:p w14:paraId="01D99B3A">
      <w:pPr>
        <w:spacing w:line="560" w:lineRule="atLeast"/>
        <w:ind w:left="-269" w:firstLine="640" w:firstLineChars="200"/>
        <w:rPr>
          <w:rFonts w:hint="eastAsia" w:ascii="仿宋" w:hAnsi="仿宋" w:eastAsia="仿宋" w:cs="仿宋"/>
          <w:sz w:val="32"/>
          <w:szCs w:val="32"/>
        </w:rPr>
      </w:pPr>
      <w:r>
        <w:rPr>
          <w:rFonts w:hint="eastAsia" w:ascii="仿宋" w:hAnsi="仿宋" w:eastAsia="仿宋" w:cs="仿宋"/>
          <w:sz w:val="32"/>
          <w:szCs w:val="32"/>
        </w:rPr>
        <w:t>5、负责党外代表人士的政治安排；会同有关部门做好党外干部的考察、推荐和实职安排，负责党外人大代表及常委会组成人员的推荐，负责市政协委员人事安排方案的制定，人选的推荐工作。</w:t>
      </w:r>
    </w:p>
    <w:p w14:paraId="1F58279F">
      <w:pPr>
        <w:spacing w:line="560" w:lineRule="atLeast"/>
        <w:ind w:left="-269" w:firstLine="640" w:firstLineChars="200"/>
        <w:rPr>
          <w:rFonts w:hint="eastAsia" w:ascii="仿宋" w:hAnsi="仿宋" w:eastAsia="仿宋" w:cs="仿宋"/>
          <w:sz w:val="32"/>
          <w:szCs w:val="32"/>
        </w:rPr>
      </w:pPr>
      <w:r>
        <w:rPr>
          <w:rFonts w:hint="eastAsia" w:ascii="仿宋" w:hAnsi="仿宋" w:eastAsia="仿宋" w:cs="仿宋"/>
          <w:sz w:val="32"/>
          <w:szCs w:val="32"/>
        </w:rPr>
        <w:t xml:space="preserve">6、调查研究并反映本市非公有制经济代表人士的情况，协调关系，提出有关政策建议；认真贯彻“团结、帮助、引导、教育”的方针，积极开展非公有制经济代表人士思想政治工作，引导其参加社会公益事业。 </w:t>
      </w:r>
    </w:p>
    <w:p w14:paraId="29F7635D">
      <w:pPr>
        <w:spacing w:line="560" w:lineRule="atLeast"/>
        <w:ind w:left="-211" w:firstLine="640" w:firstLineChars="200"/>
        <w:rPr>
          <w:rFonts w:hint="eastAsia" w:ascii="仿宋" w:hAnsi="仿宋" w:eastAsia="仿宋" w:cs="仿宋"/>
          <w:sz w:val="32"/>
          <w:szCs w:val="32"/>
        </w:rPr>
      </w:pPr>
      <w:r>
        <w:rPr>
          <w:rFonts w:hint="eastAsia" w:ascii="仿宋" w:hAnsi="仿宋" w:eastAsia="仿宋" w:cs="仿宋"/>
          <w:sz w:val="32"/>
          <w:szCs w:val="32"/>
        </w:rPr>
        <w:t xml:space="preserve">7、调查研究党外知识分子的情况，反映意见，协调关系，提出有关政策建议；联系并培养党外知识分子的代表人士。 </w:t>
      </w:r>
    </w:p>
    <w:p w14:paraId="60A04570">
      <w:pPr>
        <w:spacing w:line="560" w:lineRule="atLeast"/>
        <w:ind w:left="-211" w:firstLine="640" w:firstLineChars="200"/>
        <w:rPr>
          <w:rFonts w:hint="eastAsia" w:ascii="仿宋" w:hAnsi="仿宋" w:eastAsia="仿宋" w:cs="仿宋"/>
          <w:sz w:val="32"/>
          <w:szCs w:val="32"/>
        </w:rPr>
      </w:pPr>
      <w:r>
        <w:rPr>
          <w:rFonts w:hint="eastAsia" w:ascii="仿宋" w:hAnsi="仿宋" w:eastAsia="仿宋" w:cs="仿宋"/>
          <w:sz w:val="32"/>
          <w:szCs w:val="32"/>
        </w:rPr>
        <w:t>8、承担团结联系新的社会阶层人士的相关统战工作，开展调查研究，掌握基本情况，牵头协调建立健全工作机制，加强对新的社会阶层人士联谊交友和教育培训工作。</w:t>
      </w:r>
    </w:p>
    <w:p w14:paraId="509629C7">
      <w:pPr>
        <w:spacing w:line="560" w:lineRule="atLeast"/>
        <w:ind w:firstLine="320" w:firstLineChars="100"/>
        <w:rPr>
          <w:rFonts w:hint="eastAsia" w:ascii="仿宋" w:hAnsi="仿宋" w:eastAsia="仿宋"/>
          <w:bCs/>
          <w:sz w:val="32"/>
          <w:szCs w:val="32"/>
        </w:rPr>
      </w:pPr>
      <w:r>
        <w:rPr>
          <w:rFonts w:hint="eastAsia" w:ascii="仿宋" w:hAnsi="仿宋" w:eastAsia="仿宋" w:cs="仿宋"/>
          <w:sz w:val="32"/>
          <w:szCs w:val="32"/>
        </w:rPr>
        <w:t>9、完成市委、市政府交办的其他工作任务。</w:t>
      </w:r>
    </w:p>
    <w:p w14:paraId="66013C74">
      <w:pPr>
        <w:pStyle w:val="2"/>
        <w:adjustRightInd w:val="0"/>
        <w:snapToGrid w:val="0"/>
        <w:spacing w:before="93" w:line="600" w:lineRule="exact"/>
        <w:ind w:firstLine="320" w:firstLineChars="100"/>
        <w:outlineLvl w:val="2"/>
        <w:rPr>
          <w:rFonts w:hint="eastAsia" w:ascii="仿宋" w:hAnsi="仿宋" w:eastAsia="仿宋"/>
          <w:bCs/>
          <w:sz w:val="32"/>
          <w:szCs w:val="32"/>
        </w:rPr>
      </w:pPr>
      <w:bookmarkStart w:id="18" w:name="_Toc15377199"/>
      <w:bookmarkStart w:id="19" w:name="_Toc15378446"/>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18"/>
      <w:bookmarkEnd w:id="19"/>
    </w:p>
    <w:p w14:paraId="614923E5">
      <w:pPr>
        <w:spacing w:line="560" w:lineRule="atLeast"/>
        <w:ind w:left="-269" w:firstLine="640" w:firstLineChars="200"/>
        <w:rPr>
          <w:rFonts w:hint="eastAsia" w:ascii="仿宋" w:hAnsi="仿宋" w:eastAsia="仿宋" w:cs="仿宋"/>
          <w:sz w:val="32"/>
          <w:szCs w:val="32"/>
        </w:rPr>
      </w:pPr>
      <w:bookmarkStart w:id="20" w:name="_Toc15377200"/>
      <w:bookmarkStart w:id="21" w:name="_Toc15396601"/>
      <w:r>
        <w:rPr>
          <w:rFonts w:hint="eastAsia" w:ascii="仿宋" w:hAnsi="仿宋" w:eastAsia="仿宋" w:cs="仿宋"/>
          <w:sz w:val="32"/>
          <w:szCs w:val="32"/>
        </w:rPr>
        <w:t>（一）全力推进《条例》贯彻落实，着力构建大统战格局。一是及时将《条例》纳入市委常委会、市委理论学习中心组、党校教学内容以及各类学习培训中，推动《条例》学习贯彻在绵竹落地生根。二是畅通党外人士的发声渠道，圆满完成换届各项工作，推荐产生82名市工商联执委；221名人大代表中党外人士80名，占比36.2%；223名市政协委员中党外人士134人，占比60.1%；法检“两院”均配备有党外副职；3人担任部门正职。三是将《条例》执行情况纳入考核和巡察监督内容，12个镇（街道）、153个村（社区）配备统战委员和统战联络员，在省社会主义学院举办统战系统提升专题培训班。</w:t>
      </w:r>
    </w:p>
    <w:p w14:paraId="6A74A08D">
      <w:pPr>
        <w:spacing w:line="560" w:lineRule="atLeast"/>
        <w:ind w:left="-269" w:firstLine="640" w:firstLineChars="200"/>
        <w:rPr>
          <w:rFonts w:hint="eastAsia" w:ascii="仿宋" w:hAnsi="仿宋" w:eastAsia="仿宋" w:cs="仿宋"/>
          <w:sz w:val="32"/>
          <w:szCs w:val="32"/>
        </w:rPr>
      </w:pPr>
      <w:r>
        <w:rPr>
          <w:rFonts w:hint="eastAsia" w:ascii="仿宋" w:hAnsi="仿宋" w:eastAsia="仿宋" w:cs="仿宋"/>
          <w:sz w:val="32"/>
          <w:szCs w:val="32"/>
        </w:rPr>
        <w:t>（二）扎实推进“四史”学习教育，凝聚广泛的思想共识。举办“同心向党庆华诞·统战人说统战事”“爱党爱国·同心同向” “听党话、感党恩、跟党走”等庆祝建党100周年文艺汇演、书画展、红色之旅等系列活动，与四川文化传媒职业学院联合举办“颂党恩·共筑民族魂”校园民族文化交流活动，有序推进党外人士“四史”学习教育。</w:t>
      </w:r>
    </w:p>
    <w:p w14:paraId="25C0DEB1">
      <w:pPr>
        <w:spacing w:line="560" w:lineRule="atLeast"/>
        <w:ind w:left="-269" w:firstLine="640" w:firstLineChars="200"/>
        <w:rPr>
          <w:rFonts w:hint="eastAsia" w:ascii="仿宋" w:hAnsi="仿宋" w:eastAsia="仿宋" w:cs="仿宋"/>
          <w:sz w:val="32"/>
          <w:szCs w:val="32"/>
        </w:rPr>
      </w:pPr>
      <w:r>
        <w:rPr>
          <w:rFonts w:hint="eastAsia" w:ascii="仿宋" w:hAnsi="仿宋" w:eastAsia="仿宋" w:cs="仿宋"/>
          <w:sz w:val="32"/>
          <w:szCs w:val="32"/>
        </w:rPr>
        <w:t>（三）着力推进多党合作，营造和衷共济的政治氛围。推荐44名民主党派成员作为德阳、绵竹人大代表、政协委员人选。制定出台年度政党协商计划，引导各民主党派积极建言献策，围绕企业创新、文旅产业、城市建设等方面提出了30份提案建议，形成《关于绵竹市人才与产业发展的调研报告》《固基强链发挥优势全力推进精细化工产业高质量发展》等调研成果。</w:t>
      </w:r>
    </w:p>
    <w:p w14:paraId="767B0E8D">
      <w:pPr>
        <w:spacing w:line="560" w:lineRule="atLeast"/>
        <w:ind w:left="-269" w:firstLine="640" w:firstLineChars="200"/>
        <w:rPr>
          <w:rFonts w:hint="eastAsia" w:ascii="仿宋" w:hAnsi="仿宋" w:eastAsia="仿宋" w:cs="仿宋"/>
          <w:sz w:val="32"/>
          <w:szCs w:val="32"/>
        </w:rPr>
      </w:pPr>
      <w:r>
        <w:rPr>
          <w:rFonts w:hint="eastAsia" w:ascii="仿宋" w:hAnsi="仿宋" w:eastAsia="仿宋" w:cs="仿宋"/>
          <w:sz w:val="32"/>
          <w:szCs w:val="32"/>
        </w:rPr>
        <w:t>（四）强化思想政治引领，抓好党外代表人士队伍建设。一是加强对代表人士的培养选拔和推荐挂职锻炼，全市配备副县级党外干部5人、科级党外干部18人；向德阳推荐无党派人士33名。二是强化党外人士思想政治引领，市知联会、市新联会通过开讲座、送义诊等活动在甘洛县全域进行结对帮扶，捐赠价值7万元的物资；为绵竹市特殊教育中心校捐赠价值1.3万余元校服，引入社会资源实施“春蕾计划”；助力孝德年画村与中江挂面村缔结联谊村关系；引导会员积极参与全市疫情防控工作。</w:t>
      </w:r>
    </w:p>
    <w:p w14:paraId="7F1253CE">
      <w:pPr>
        <w:spacing w:line="560" w:lineRule="atLeast"/>
        <w:ind w:left="-269" w:firstLine="640" w:firstLineChars="200"/>
        <w:rPr>
          <w:rFonts w:hint="eastAsia" w:ascii="仿宋" w:hAnsi="仿宋" w:eastAsia="仿宋" w:cs="仿宋"/>
          <w:sz w:val="32"/>
          <w:szCs w:val="32"/>
        </w:rPr>
      </w:pPr>
      <w:r>
        <w:rPr>
          <w:rFonts w:hint="eastAsia" w:ascii="仿宋" w:hAnsi="仿宋" w:eastAsia="仿宋" w:cs="仿宋"/>
          <w:sz w:val="32"/>
          <w:szCs w:val="32"/>
        </w:rPr>
        <w:t>（五）促进“两个健康”，不断激活非公经济新动力。一是以“6·26”民营经济发展系列活动为契机，先后组织130余名企业代表人士参加第22届立嘉国际智能装备展览会、2021首届成渝地区双城经济圈制造业博览会、四川大学智能制造产业科技成果对接活动、乐山市新生代企业家商会交流互学活动；举办健康知识培训、安全生产主题讲座等培训9场次。二是围绕营商环境打造等开展专题调研，开展涉及企业前景、经济形势、企业转型升级的主题讨论，形成《倡导尊商重企崇尚创新创造进一步扶持我市民营企业健康发展》等调研文章4篇。三是制定出台《绵竹市2021年干部联系服务企业活动工作方案》，推动落实市级领导和市级部门走访企业长效工作机制。开展“春雨润苗”行动，引导民营经济人士依法理性反映诉求、维护权益。</w:t>
      </w:r>
    </w:p>
    <w:p w14:paraId="2306B1F2">
      <w:pPr>
        <w:spacing w:line="560" w:lineRule="atLeast"/>
        <w:ind w:left="-269" w:firstLine="640" w:firstLineChars="200"/>
        <w:rPr>
          <w:rFonts w:hint="eastAsia" w:ascii="仿宋" w:hAnsi="仿宋" w:eastAsia="仿宋" w:cs="仿宋"/>
          <w:sz w:val="32"/>
          <w:szCs w:val="32"/>
        </w:rPr>
      </w:pPr>
      <w:r>
        <w:rPr>
          <w:rFonts w:hint="eastAsia" w:ascii="仿宋" w:hAnsi="仿宋" w:eastAsia="仿宋" w:cs="仿宋"/>
          <w:sz w:val="32"/>
          <w:szCs w:val="32"/>
        </w:rPr>
        <w:t>（六）助推社会和谐，维护民族团结促进宗教和顺。一是持续推进“法律进宗教活动场所”“宗教政策法规学习月”“民族团结进步宣传月”等活动，发放《宗教事务条例》等资料2万余份。二是将宗教团体经费和场所维修资金列入财政预算，向上争取60万元维修资金，本级落实维修资金和团体经费11万元。坚持我国宗教中国化方向，以开展“爱国爱教爱家乡”主题教育为抓手，持续推进宗教活动场所“五进”活动，完成绵竹市吉祥寺宗教中国化示范寺庙建设。三是贯彻落实中央民族工作会议精神，推进铸牢中华民族共同体意识责任分工落实，推动学校开展主题教育实践活动，常态化开展民族团结进步教育。指导绵竹市职业中专学校成功创建第六批全省民族团结进步示范单位，有序推进德阿产业园争创省级民族团结进步示范单位。向上争取110万元资金，实施金色清平羌族特色文化长廊等5个专项资金项目。连续7年举办羌历年庆祝活动，“九顶山羌汉山歌”传承人入选省级“非遗传承人”名单。为全市47名困难少数民族发放2.82万元帮扶资金，为19个宗教活动场所送去慰问金1.14万元和口罩、米、油等物资。</w:t>
      </w:r>
    </w:p>
    <w:p w14:paraId="2084D0FE">
      <w:pPr>
        <w:spacing w:line="560" w:lineRule="atLeast"/>
        <w:ind w:left="-269" w:firstLine="640" w:firstLineChars="200"/>
        <w:rPr>
          <w:rFonts w:hint="eastAsia" w:ascii="仿宋" w:hAnsi="仿宋" w:eastAsia="仿宋" w:cs="仿宋"/>
          <w:sz w:val="32"/>
          <w:szCs w:val="32"/>
        </w:rPr>
      </w:pPr>
      <w:r>
        <w:rPr>
          <w:rFonts w:hint="eastAsia" w:ascii="仿宋" w:hAnsi="仿宋" w:eastAsia="仿宋" w:cs="仿宋"/>
          <w:sz w:val="32"/>
          <w:szCs w:val="32"/>
        </w:rPr>
        <w:t>（七）培育台侨资源，扎实做好海外统战工作。一是有序推进涉台教育、侨法进机关、进企业、进学校、进社区等，加强与港华燃气、光大城乡再生能源等港资企业的走访联系；邀请20余位侨眷属参观乡村振兴、旅游发展成果。二是先后为10名台属送去5000元慰问金，组织台属、侨眷代表参加德阳市2021年中秋联谊会，组织开展绵竹市统一战线庆祝中国共产党成立100周年座谈会、绵竹市2022年侨界人士迎新春联谊活动等系列活动。协调解决3名华侨疫苗接种、回家探亲等事宜。三是开展港人情况摸底，形成侨眷属信息库，收集两岸婚姻情况22对，组织侨企参加成都市成华区海外赤子创业家互动大会。四是圆满完成“追梦中华·侨瞧同城化”2021海外华文媒体采访团、第八届“两岸同根·致力为公”活动接待工作。动员绵竹市剑龙粮油有限责任公司加入川渝—粤港澳企业家合作联盟。</w:t>
      </w:r>
    </w:p>
    <w:p w14:paraId="2DAAC274">
      <w:pPr>
        <w:spacing w:line="560" w:lineRule="atLeast"/>
        <w:ind w:left="-269" w:firstLine="640" w:firstLineChars="200"/>
        <w:rPr>
          <w:rStyle w:val="27"/>
          <w:rFonts w:hint="eastAsia" w:ascii="黑体" w:hAnsi="黑体" w:eastAsia="黑体"/>
          <w:b w:val="0"/>
          <w:bCs w:val="0"/>
        </w:rPr>
      </w:pPr>
      <w:r>
        <w:rPr>
          <w:rStyle w:val="27"/>
          <w:rFonts w:hint="eastAsia" w:ascii="黑体" w:hAnsi="黑体" w:eastAsia="黑体"/>
          <w:b w:val="0"/>
          <w:bCs w:val="0"/>
        </w:rPr>
        <w:t>二、机</w:t>
      </w:r>
      <w:r>
        <w:rPr>
          <w:rStyle w:val="27"/>
          <w:rFonts w:hint="eastAsia" w:ascii="黑体" w:hAnsi="黑体" w:eastAsia="黑体"/>
          <w:b w:val="0"/>
          <w:bCs w:val="0"/>
        </w:rPr>
        <w:t>构设置</w:t>
      </w:r>
      <w:bookmarkEnd w:id="20"/>
      <w:bookmarkEnd w:id="21"/>
    </w:p>
    <w:p w14:paraId="7C645B82">
      <w:pPr>
        <w:spacing w:line="560" w:lineRule="atLeast"/>
        <w:ind w:left="-269" w:firstLine="640" w:firstLineChars="200"/>
        <w:rPr>
          <w:rFonts w:hint="eastAsia" w:ascii="仿宋" w:hAnsi="仿宋" w:eastAsia="仿宋" w:cs="仿宋"/>
          <w:sz w:val="32"/>
          <w:szCs w:val="32"/>
        </w:rPr>
      </w:pPr>
      <w:r>
        <w:rPr>
          <w:rFonts w:hint="eastAsia" w:ascii="仿宋" w:hAnsi="仿宋" w:eastAsia="仿宋" w:cs="仿宋"/>
          <w:sz w:val="32"/>
          <w:szCs w:val="32"/>
        </w:rPr>
        <w:t>绵竹市委统战部包含机关3个（侨联、民宗局）下属二级预算单位0个，其中行政单位0个，参照公务员法管理的事业单位0个，其他事业单位0个。下属全额拨款事业单位1个，即绵竹市宗教事务服务中心。</w:t>
      </w:r>
    </w:p>
    <w:p w14:paraId="073830B9">
      <w:pPr>
        <w:spacing w:line="560" w:lineRule="atLeast"/>
        <w:ind w:left="-269"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rPr>
        <w:t>纳入</w:t>
      </w:r>
      <w:r>
        <w:rPr>
          <w:rFonts w:hint="eastAsia" w:ascii="仿宋" w:hAnsi="仿宋" w:eastAsia="仿宋" w:cs="仿宋"/>
          <w:color w:val="000000"/>
          <w:sz w:val="32"/>
          <w:szCs w:val="32"/>
          <w:lang w:eastAsia="zh-CN"/>
        </w:rPr>
        <w:t>市委统战部</w:t>
      </w:r>
      <w:r>
        <w:rPr>
          <w:rFonts w:hint="eastAsia" w:ascii="仿宋" w:hAnsi="仿宋" w:eastAsia="仿宋" w:cs="仿宋"/>
          <w:color w:val="000000"/>
          <w:sz w:val="32"/>
          <w:szCs w:val="32"/>
        </w:rPr>
        <w:t>20</w:t>
      </w:r>
      <w:r>
        <w:rPr>
          <w:rFonts w:hint="eastAsia" w:ascii="仿宋" w:hAnsi="仿宋" w:eastAsia="仿宋" w:cs="仿宋"/>
          <w:color w:val="000000"/>
          <w:sz w:val="32"/>
          <w:szCs w:val="32"/>
          <w:lang w:eastAsia="zh-CN"/>
        </w:rPr>
        <w:t>20</w:t>
      </w:r>
      <w:r>
        <w:rPr>
          <w:rFonts w:hint="eastAsia" w:ascii="仿宋" w:hAnsi="仿宋" w:eastAsia="仿宋" w:cs="仿宋"/>
          <w:color w:val="000000"/>
          <w:sz w:val="32"/>
          <w:szCs w:val="32"/>
        </w:rPr>
        <w:t>年度部门决算编制范围的</w:t>
      </w:r>
      <w:r>
        <w:rPr>
          <w:rFonts w:hint="eastAsia" w:ascii="仿宋" w:hAnsi="仿宋" w:eastAsia="仿宋" w:cs="仿宋"/>
          <w:color w:val="000000"/>
          <w:sz w:val="32"/>
          <w:szCs w:val="32"/>
          <w:lang w:eastAsia="zh-CN"/>
        </w:rPr>
        <w:t>独立编制机构</w:t>
      </w:r>
      <w:r>
        <w:rPr>
          <w:rFonts w:hint="eastAsia" w:ascii="仿宋" w:hAnsi="仿宋" w:eastAsia="仿宋" w:cs="仿宋"/>
          <w:color w:val="000000"/>
          <w:sz w:val="32"/>
          <w:szCs w:val="32"/>
        </w:rPr>
        <w:t>包括：</w:t>
      </w:r>
      <w:bookmarkStart w:id="22" w:name="_Toc15306276"/>
      <w:bookmarkStart w:id="23" w:name="_Toc15377433"/>
      <w:bookmarkStart w:id="24" w:name="_Toc15378449"/>
      <w:bookmarkStart w:id="25" w:name="_Toc15377202"/>
    </w:p>
    <w:p w14:paraId="1B8C2397">
      <w:pPr>
        <w:spacing w:line="560" w:lineRule="atLeast"/>
        <w:ind w:left="-269" w:firstLine="640" w:firstLineChars="200"/>
        <w:rPr>
          <w:rFonts w:hint="eastAsia" w:ascii="仿宋" w:hAnsi="仿宋" w:eastAsia="仿宋" w:cs="仿宋"/>
          <w:color w:val="000000"/>
          <w:sz w:val="32"/>
          <w:szCs w:val="32"/>
          <w:lang w:eastAsia="zh-CN"/>
        </w:rPr>
      </w:pPr>
      <w:r>
        <w:rPr>
          <w:rFonts w:hint="eastAsia" w:ascii="仿宋" w:hAnsi="仿宋" w:eastAsia="仿宋" w:cs="仿宋"/>
          <w:color w:val="000000"/>
          <w:sz w:val="32"/>
          <w:szCs w:val="32"/>
          <w:lang w:eastAsia="zh-CN"/>
        </w:rPr>
        <w:t>绵竹市归国华侨联合会</w:t>
      </w:r>
      <w:bookmarkEnd w:id="22"/>
      <w:bookmarkEnd w:id="23"/>
      <w:bookmarkEnd w:id="24"/>
      <w:bookmarkEnd w:id="25"/>
    </w:p>
    <w:p w14:paraId="396D7A22">
      <w:pPr>
        <w:spacing w:line="560" w:lineRule="atLeast"/>
        <w:ind w:left="-269" w:firstLine="640" w:firstLineChars="200"/>
        <w:rPr>
          <w:rFonts w:hint="eastAsia" w:ascii="仿宋" w:hAnsi="仿宋" w:eastAsia="仿宋" w:cs="仿宋"/>
          <w:color w:val="000000"/>
          <w:sz w:val="32"/>
          <w:szCs w:val="32"/>
        </w:rPr>
      </w:pPr>
      <w:r>
        <w:rPr>
          <w:rFonts w:hint="eastAsia" w:ascii="仿宋" w:hAnsi="仿宋" w:eastAsia="仿宋" w:cs="仿宋"/>
          <w:color w:val="000000"/>
          <w:sz w:val="32"/>
          <w:szCs w:val="32"/>
          <w:lang w:eastAsia="zh-CN"/>
        </w:rPr>
        <w:t>绵竹市宗教事务服务中心</w:t>
      </w:r>
    </w:p>
    <w:p w14:paraId="1E4A6613">
      <w:pPr>
        <w:widowControl/>
        <w:jc w:val="left"/>
        <w:rPr>
          <w:rFonts w:ascii="仿宋" w:hAnsi="仿宋" w:eastAsia="仿宋"/>
          <w:kern w:val="0"/>
          <w:sz w:val="32"/>
          <w:szCs w:val="32"/>
        </w:rPr>
      </w:pPr>
      <w:r>
        <w:rPr>
          <w:rFonts w:ascii="仿宋" w:hAnsi="仿宋" w:eastAsia="仿宋"/>
          <w:sz w:val="32"/>
          <w:szCs w:val="32"/>
        </w:rPr>
        <w:br w:type="page"/>
      </w:r>
    </w:p>
    <w:p w14:paraId="3FDC7493">
      <w:pPr>
        <w:pStyle w:val="3"/>
        <w:ind w:right="440"/>
        <w:jc w:val="center"/>
        <w:rPr>
          <w:rStyle w:val="26"/>
          <w:rFonts w:ascii="黑体" w:hAnsi="黑体" w:eastAsia="黑体"/>
          <w:b w:val="0"/>
          <w:bCs/>
        </w:rPr>
      </w:pPr>
      <w:bookmarkStart w:id="26" w:name="_Toc15396602"/>
      <w:bookmarkStart w:id="27" w:name="_Toc15377204"/>
      <w:r>
        <w:rPr>
          <w:rFonts w:hint="eastAsia" w:ascii="黑体" w:hAnsi="黑体" w:eastAsia="黑体"/>
          <w:b w:val="0"/>
        </w:rPr>
        <w:t>第二部分 2021年度</w:t>
      </w:r>
      <w:r>
        <w:rPr>
          <w:rStyle w:val="26"/>
          <w:rFonts w:hint="eastAsia" w:ascii="黑体" w:hAnsi="黑体" w:eastAsia="黑体"/>
          <w:b w:val="0"/>
          <w:bCs/>
        </w:rPr>
        <w:t>部门决算情况说明</w:t>
      </w:r>
      <w:bookmarkEnd w:id="26"/>
      <w:bookmarkEnd w:id="27"/>
    </w:p>
    <w:p w14:paraId="21CA055E"/>
    <w:p w14:paraId="1B34C598">
      <w:pPr>
        <w:pStyle w:val="25"/>
        <w:numPr>
          <w:ilvl w:val="0"/>
          <w:numId w:val="1"/>
        </w:numPr>
        <w:spacing w:line="600" w:lineRule="exact"/>
        <w:ind w:firstLineChars="0"/>
        <w:outlineLvl w:val="1"/>
        <w:rPr>
          <w:rStyle w:val="27"/>
          <w:rFonts w:ascii="黑体" w:hAnsi="黑体" w:eastAsia="黑体"/>
          <w:b w:val="0"/>
        </w:rPr>
      </w:pPr>
      <w:bookmarkStart w:id="28" w:name="_Toc15396603"/>
      <w:bookmarkStart w:id="29" w:name="_Toc15377205"/>
      <w:r>
        <w:rPr>
          <w:rFonts w:hint="eastAsia" w:ascii="黑体" w:hAnsi="黑体" w:eastAsia="黑体"/>
          <w:sz w:val="32"/>
          <w:szCs w:val="32"/>
        </w:rPr>
        <w:t>收</w:t>
      </w:r>
      <w:r>
        <w:rPr>
          <w:rStyle w:val="27"/>
          <w:rFonts w:hint="eastAsia" w:ascii="黑体" w:hAnsi="黑体" w:eastAsia="黑体"/>
          <w:b w:val="0"/>
        </w:rPr>
        <w:t>入支出决算总体情况说明</w:t>
      </w:r>
      <w:bookmarkEnd w:id="28"/>
      <w:bookmarkEnd w:id="29"/>
    </w:p>
    <w:p w14:paraId="2695F0ED">
      <w:pPr>
        <w:spacing w:line="600" w:lineRule="exact"/>
        <w:ind w:firstLine="640" w:firstLineChars="200"/>
        <w:rPr>
          <w:rFonts w:hint="default"/>
          <w:lang w:val="en-US" w:eastAsia="zh-CN"/>
        </w:rPr>
      </w:pPr>
      <w:r>
        <w:rPr>
          <w:rFonts w:hint="eastAsia" w:ascii="仿宋" w:hAnsi="仿宋" w:eastAsia="仿宋"/>
          <w:sz w:val="32"/>
          <w:szCs w:val="32"/>
        </w:rPr>
        <w:t>2021年度收、支总计</w:t>
      </w:r>
      <w:r>
        <w:rPr>
          <w:rFonts w:hint="eastAsia" w:ascii="仿宋" w:hAnsi="仿宋" w:eastAsia="仿宋"/>
          <w:sz w:val="32"/>
          <w:szCs w:val="32"/>
          <w:lang w:val="en-US" w:eastAsia="zh-CN"/>
        </w:rPr>
        <w:t>513.50</w:t>
      </w:r>
      <w:r>
        <w:rPr>
          <w:rFonts w:hint="eastAsia" w:ascii="仿宋" w:hAnsi="仿宋" w:eastAsia="仿宋"/>
          <w:sz w:val="32"/>
          <w:szCs w:val="32"/>
        </w:rPr>
        <w:t>万元。与2020年相比，收、支总计各增加</w:t>
      </w:r>
      <w:r>
        <w:rPr>
          <w:rFonts w:hint="eastAsia" w:ascii="仿宋" w:hAnsi="仿宋" w:eastAsia="仿宋"/>
          <w:sz w:val="32"/>
          <w:szCs w:val="32"/>
          <w:lang w:val="en-US" w:eastAsia="zh-CN"/>
        </w:rPr>
        <w:t>113.54</w:t>
      </w:r>
      <w:r>
        <w:rPr>
          <w:rFonts w:hint="eastAsia" w:ascii="仿宋" w:hAnsi="仿宋" w:eastAsia="仿宋"/>
          <w:sz w:val="32"/>
          <w:szCs w:val="32"/>
        </w:rPr>
        <w:t>万元，增长</w:t>
      </w:r>
      <w:r>
        <w:rPr>
          <w:rFonts w:hint="eastAsia" w:ascii="仿宋" w:hAnsi="仿宋" w:eastAsia="仿宋"/>
          <w:sz w:val="32"/>
          <w:szCs w:val="32"/>
          <w:lang w:val="en-US" w:eastAsia="zh-CN"/>
        </w:rPr>
        <w:t>22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根据当年具体工作情况，增加了项目并且我单位</w:t>
      </w:r>
      <w:r>
        <w:rPr>
          <w:rFonts w:hint="eastAsia" w:ascii="仿宋" w:hAnsi="仿宋" w:eastAsia="仿宋"/>
          <w:sz w:val="32"/>
          <w:szCs w:val="32"/>
          <w:lang w:val="en-US" w:eastAsia="zh-CN"/>
        </w:rPr>
        <w:t>10月调入人员增加了人员相关经费等。</w:t>
      </w:r>
    </w:p>
    <w:p w14:paraId="2101D6FC">
      <w:pPr>
        <w:spacing w:line="24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584065" cy="2755265"/>
            <wp:effectExtent l="0" t="0" r="6985" b="6985"/>
            <wp:docPr id="1" name="图片 1" descr="收、支决算总计变动情况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支决算总计变动情况图"/>
                    <pic:cNvPicPr>
                      <a:picLocks noChangeAspect="1"/>
                    </pic:cNvPicPr>
                  </pic:nvPicPr>
                  <pic:blipFill>
                    <a:blip r:embed="rId6"/>
                    <a:stretch>
                      <a:fillRect/>
                    </a:stretch>
                  </pic:blipFill>
                  <pic:spPr>
                    <a:xfrm>
                      <a:off x="0" y="0"/>
                      <a:ext cx="4584065" cy="2755265"/>
                    </a:xfrm>
                    <a:prstGeom prst="rect">
                      <a:avLst/>
                    </a:prstGeom>
                  </pic:spPr>
                </pic:pic>
              </a:graphicData>
            </a:graphic>
          </wp:inline>
        </w:drawing>
      </w:r>
    </w:p>
    <w:p w14:paraId="59A9BD06">
      <w:pPr>
        <w:spacing w:line="600" w:lineRule="exact"/>
        <w:ind w:firstLine="640" w:firstLineChars="200"/>
        <w:jc w:val="left"/>
        <w:rPr>
          <w:rFonts w:ascii="仿宋_GB2312" w:eastAsia="仿宋_GB2312"/>
          <w:sz w:val="32"/>
          <w:szCs w:val="32"/>
        </w:rPr>
      </w:pPr>
    </w:p>
    <w:p w14:paraId="7E3BA519">
      <w:pPr>
        <w:pStyle w:val="25"/>
        <w:numPr>
          <w:ilvl w:val="0"/>
          <w:numId w:val="1"/>
        </w:numPr>
        <w:spacing w:line="600" w:lineRule="exact"/>
        <w:ind w:firstLineChars="0"/>
        <w:outlineLvl w:val="1"/>
        <w:rPr>
          <w:rStyle w:val="27"/>
          <w:rFonts w:ascii="黑体" w:hAnsi="黑体" w:eastAsia="黑体"/>
          <w:b w:val="0"/>
        </w:rPr>
      </w:pPr>
      <w:bookmarkStart w:id="30" w:name="_Toc15396604"/>
      <w:bookmarkStart w:id="31" w:name="_Toc15377206"/>
      <w:r>
        <w:rPr>
          <w:rFonts w:hint="eastAsia" w:ascii="黑体" w:hAnsi="黑体" w:eastAsia="黑体"/>
          <w:sz w:val="32"/>
          <w:szCs w:val="32"/>
        </w:rPr>
        <w:t>收</w:t>
      </w:r>
      <w:r>
        <w:rPr>
          <w:rStyle w:val="27"/>
          <w:rFonts w:hint="eastAsia" w:ascii="黑体" w:hAnsi="黑体" w:eastAsia="黑体"/>
          <w:b w:val="0"/>
        </w:rPr>
        <w:t>入决算情况说明</w:t>
      </w:r>
      <w:bookmarkEnd w:id="30"/>
      <w:bookmarkEnd w:id="31"/>
    </w:p>
    <w:p w14:paraId="64E8BC19">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21年本年收入合计</w:t>
      </w:r>
      <w:r>
        <w:rPr>
          <w:rFonts w:hint="eastAsia" w:ascii="仿宋" w:hAnsi="仿宋" w:eastAsia="仿宋"/>
          <w:sz w:val="32"/>
          <w:szCs w:val="32"/>
          <w:lang w:val="en-US" w:eastAsia="zh-CN"/>
        </w:rPr>
        <w:t>513.50</w:t>
      </w:r>
      <w:r>
        <w:rPr>
          <w:rFonts w:hint="eastAsia" w:ascii="仿宋" w:hAnsi="仿宋" w:eastAsia="仿宋"/>
          <w:sz w:val="32"/>
          <w:szCs w:val="32"/>
        </w:rPr>
        <w:t>万元，其中：一般公共预算财政拨款收入</w:t>
      </w:r>
      <w:r>
        <w:rPr>
          <w:rFonts w:hint="eastAsia" w:ascii="仿宋" w:hAnsi="仿宋" w:eastAsia="仿宋"/>
          <w:sz w:val="32"/>
          <w:szCs w:val="32"/>
          <w:lang w:val="en-US" w:eastAsia="zh-CN"/>
        </w:rPr>
        <w:t>513.50</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；政府性基金预算财政拨款收入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；国有资本经营预算财政拨款收入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；上级补助收入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；附属单位上缴收入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；其他收入</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14:paraId="610127B9">
      <w:pPr>
        <w:spacing w:line="600" w:lineRule="exact"/>
        <w:ind w:firstLine="640" w:firstLineChars="200"/>
        <w:outlineLvl w:val="1"/>
        <w:rPr>
          <w:rFonts w:ascii="仿宋" w:hAnsi="仿宋" w:eastAsia="仿宋"/>
          <w:sz w:val="32"/>
          <w:szCs w:val="32"/>
        </w:rPr>
      </w:pPr>
    </w:p>
    <w:p w14:paraId="6D28E141">
      <w:pPr>
        <w:spacing w:line="24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4584065" cy="2755265"/>
            <wp:effectExtent l="0" t="0" r="6985" b="6985"/>
            <wp:docPr id="2" name="图片 2" descr="收入决算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收入决算结构图"/>
                    <pic:cNvPicPr>
                      <a:picLocks noChangeAspect="1"/>
                    </pic:cNvPicPr>
                  </pic:nvPicPr>
                  <pic:blipFill>
                    <a:blip r:embed="rId7"/>
                    <a:stretch>
                      <a:fillRect/>
                    </a:stretch>
                  </pic:blipFill>
                  <pic:spPr>
                    <a:xfrm>
                      <a:off x="0" y="0"/>
                      <a:ext cx="4584065" cy="2755265"/>
                    </a:xfrm>
                    <a:prstGeom prst="rect">
                      <a:avLst/>
                    </a:prstGeom>
                  </pic:spPr>
                </pic:pic>
              </a:graphicData>
            </a:graphic>
          </wp:inline>
        </w:drawing>
      </w:r>
    </w:p>
    <w:p w14:paraId="038E719E">
      <w:pPr>
        <w:pStyle w:val="25"/>
        <w:numPr>
          <w:ilvl w:val="0"/>
          <w:numId w:val="1"/>
        </w:numPr>
        <w:spacing w:line="600" w:lineRule="exact"/>
        <w:ind w:firstLineChars="0"/>
        <w:outlineLvl w:val="1"/>
        <w:rPr>
          <w:rStyle w:val="27"/>
          <w:rFonts w:ascii="黑体" w:hAnsi="黑体" w:eastAsia="黑体"/>
          <w:b w:val="0"/>
        </w:rPr>
      </w:pPr>
      <w:bookmarkStart w:id="32" w:name="_Toc15396605"/>
      <w:bookmarkStart w:id="33" w:name="_Toc15377207"/>
      <w:r>
        <w:rPr>
          <w:rFonts w:hint="eastAsia" w:ascii="黑体" w:hAnsi="黑体" w:eastAsia="黑体"/>
          <w:sz w:val="32"/>
          <w:szCs w:val="32"/>
        </w:rPr>
        <w:t>支</w:t>
      </w:r>
      <w:r>
        <w:rPr>
          <w:rStyle w:val="27"/>
          <w:rFonts w:hint="eastAsia" w:ascii="黑体" w:hAnsi="黑体" w:eastAsia="黑体"/>
          <w:b w:val="0"/>
        </w:rPr>
        <w:t>出决算情况说明</w:t>
      </w:r>
      <w:bookmarkEnd w:id="32"/>
      <w:bookmarkEnd w:id="33"/>
    </w:p>
    <w:p w14:paraId="59B94C06">
      <w:pPr>
        <w:spacing w:line="600" w:lineRule="exact"/>
        <w:ind w:firstLine="640" w:firstLineChars="200"/>
        <w:outlineLvl w:val="1"/>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21年本年支出合计</w:t>
      </w:r>
      <w:r>
        <w:rPr>
          <w:rFonts w:hint="eastAsia" w:ascii="仿宋" w:hAnsi="仿宋" w:eastAsia="仿宋"/>
          <w:sz w:val="32"/>
          <w:szCs w:val="32"/>
          <w:lang w:val="en-US" w:eastAsia="zh-CN"/>
        </w:rPr>
        <w:t>513.50</w:t>
      </w:r>
      <w:r>
        <w:rPr>
          <w:rFonts w:hint="eastAsia" w:ascii="仿宋" w:hAnsi="仿宋" w:eastAsia="仿宋"/>
          <w:sz w:val="32"/>
          <w:szCs w:val="32"/>
        </w:rPr>
        <w:t>万元，其中：基本支出</w:t>
      </w:r>
      <w:r>
        <w:rPr>
          <w:rFonts w:hint="eastAsia" w:ascii="仿宋" w:hAnsi="仿宋" w:eastAsia="仿宋"/>
          <w:sz w:val="32"/>
          <w:szCs w:val="32"/>
          <w:lang w:val="en-US" w:eastAsia="zh-CN"/>
        </w:rPr>
        <w:t>291.50</w:t>
      </w:r>
      <w:r>
        <w:rPr>
          <w:rFonts w:hint="eastAsia" w:ascii="仿宋" w:hAnsi="仿宋" w:eastAsia="仿宋"/>
          <w:sz w:val="32"/>
          <w:szCs w:val="32"/>
        </w:rPr>
        <w:t>万元，占</w:t>
      </w:r>
      <w:r>
        <w:rPr>
          <w:rFonts w:hint="eastAsia" w:ascii="仿宋" w:hAnsi="仿宋" w:eastAsia="仿宋"/>
          <w:sz w:val="32"/>
          <w:szCs w:val="32"/>
          <w:lang w:val="en-US" w:eastAsia="zh-CN"/>
        </w:rPr>
        <w:t>57</w:t>
      </w:r>
      <w:r>
        <w:rPr>
          <w:rFonts w:ascii="仿宋" w:hAnsi="仿宋" w:eastAsia="仿宋"/>
          <w:sz w:val="32"/>
          <w:szCs w:val="32"/>
        </w:rPr>
        <w:t>%</w:t>
      </w:r>
      <w:r>
        <w:rPr>
          <w:rFonts w:hint="eastAsia" w:ascii="仿宋" w:hAnsi="仿宋" w:eastAsia="仿宋"/>
          <w:sz w:val="32"/>
          <w:szCs w:val="32"/>
        </w:rPr>
        <w:t>；项目支出</w:t>
      </w:r>
      <w:r>
        <w:rPr>
          <w:rFonts w:hint="eastAsia" w:ascii="仿宋" w:hAnsi="仿宋" w:eastAsia="仿宋"/>
          <w:sz w:val="32"/>
          <w:szCs w:val="32"/>
          <w:lang w:val="en-US" w:eastAsia="zh-CN"/>
        </w:rPr>
        <w:t>222.00</w:t>
      </w:r>
      <w:r>
        <w:rPr>
          <w:rFonts w:hint="eastAsia" w:ascii="仿宋" w:hAnsi="仿宋" w:eastAsia="仿宋"/>
          <w:sz w:val="32"/>
          <w:szCs w:val="32"/>
        </w:rPr>
        <w:t>万元，占</w:t>
      </w:r>
      <w:r>
        <w:rPr>
          <w:rFonts w:hint="eastAsia" w:ascii="仿宋" w:hAnsi="仿宋" w:eastAsia="仿宋"/>
          <w:sz w:val="32"/>
          <w:szCs w:val="32"/>
          <w:lang w:val="en-US" w:eastAsia="zh-CN"/>
        </w:rPr>
        <w:t>43</w:t>
      </w:r>
      <w:r>
        <w:rPr>
          <w:rFonts w:ascii="仿宋" w:hAnsi="仿宋" w:eastAsia="仿宋"/>
          <w:sz w:val="32"/>
          <w:szCs w:val="32"/>
        </w:rPr>
        <w:t>%</w:t>
      </w:r>
      <w:r>
        <w:rPr>
          <w:rFonts w:hint="eastAsia" w:ascii="仿宋" w:hAnsi="仿宋" w:eastAsia="仿宋"/>
          <w:sz w:val="32"/>
          <w:szCs w:val="32"/>
        </w:rPr>
        <w:t>；上缴上级支出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；经营支出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；对附属单位补助支出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p>
    <w:p w14:paraId="7DA21E9E">
      <w:pPr>
        <w:spacing w:line="600" w:lineRule="exact"/>
        <w:ind w:firstLine="640"/>
        <w:rPr>
          <w:rFonts w:ascii="仿宋" w:hAnsi="仿宋" w:eastAsia="仿宋"/>
          <w:sz w:val="32"/>
          <w:szCs w:val="32"/>
          <w:shd w:val="pct10" w:color="auto" w:fill="FFFFFF"/>
        </w:rPr>
      </w:pPr>
    </w:p>
    <w:p w14:paraId="053DC3CF">
      <w:pPr>
        <w:spacing w:line="240" w:lineRule="auto"/>
        <w:ind w:firstLine="640" w:firstLineChars="200"/>
        <w:rPr>
          <w:rFonts w:hint="eastAsia" w:ascii="仿宋_GB2312" w:eastAsia="仿宋_GB2312"/>
          <w:sz w:val="32"/>
          <w:szCs w:val="32"/>
          <w:lang w:eastAsia="zh-CN"/>
        </w:rPr>
      </w:pPr>
      <w:r>
        <w:rPr>
          <w:rFonts w:hint="eastAsia" w:ascii="仿宋_GB2312" w:eastAsia="仿宋_GB2312"/>
          <w:sz w:val="32"/>
          <w:szCs w:val="32"/>
          <w:lang w:eastAsia="zh-CN"/>
        </w:rPr>
        <w:drawing>
          <wp:inline distT="0" distB="0" distL="114300" distR="114300">
            <wp:extent cx="4584065" cy="2755265"/>
            <wp:effectExtent l="0" t="0" r="6985" b="6985"/>
            <wp:docPr id="3" name="图片 3" descr="支出决算结构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支出决算结构图"/>
                    <pic:cNvPicPr>
                      <a:picLocks noChangeAspect="1"/>
                    </pic:cNvPicPr>
                  </pic:nvPicPr>
                  <pic:blipFill>
                    <a:blip r:embed="rId8"/>
                    <a:stretch>
                      <a:fillRect/>
                    </a:stretch>
                  </pic:blipFill>
                  <pic:spPr>
                    <a:xfrm>
                      <a:off x="0" y="0"/>
                      <a:ext cx="4584065" cy="2755265"/>
                    </a:xfrm>
                    <a:prstGeom prst="rect">
                      <a:avLst/>
                    </a:prstGeom>
                  </pic:spPr>
                </pic:pic>
              </a:graphicData>
            </a:graphic>
          </wp:inline>
        </w:drawing>
      </w:r>
    </w:p>
    <w:p w14:paraId="601A80CA">
      <w:pPr>
        <w:spacing w:line="600" w:lineRule="exact"/>
        <w:ind w:firstLine="640" w:firstLineChars="200"/>
        <w:outlineLvl w:val="1"/>
        <w:rPr>
          <w:rStyle w:val="27"/>
          <w:rFonts w:ascii="黑体" w:hAnsi="黑体" w:eastAsia="黑体"/>
          <w:b w:val="0"/>
        </w:rPr>
      </w:pPr>
      <w:bookmarkStart w:id="34" w:name="_Toc15377208"/>
      <w:bookmarkStart w:id="35" w:name="_Toc15396606"/>
      <w:r>
        <w:rPr>
          <w:rFonts w:hint="eastAsia" w:ascii="黑体" w:hAnsi="黑体" w:eastAsia="黑体"/>
          <w:sz w:val="32"/>
          <w:szCs w:val="32"/>
        </w:rPr>
        <w:t>四、财</w:t>
      </w:r>
      <w:r>
        <w:rPr>
          <w:rStyle w:val="27"/>
          <w:rFonts w:hint="eastAsia" w:ascii="黑体" w:hAnsi="黑体" w:eastAsia="黑体"/>
          <w:b w:val="0"/>
        </w:rPr>
        <w:t>政拨款收入支出决算总体情况说明</w:t>
      </w:r>
      <w:bookmarkEnd w:id="34"/>
      <w:bookmarkEnd w:id="35"/>
    </w:p>
    <w:p w14:paraId="56461769">
      <w:pPr>
        <w:spacing w:line="600" w:lineRule="exact"/>
        <w:ind w:firstLine="640" w:firstLineChars="20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21年财政拨款收、支总计</w:t>
      </w:r>
      <w:r>
        <w:rPr>
          <w:rFonts w:hint="eastAsia" w:ascii="仿宋" w:hAnsi="仿宋" w:eastAsia="仿宋"/>
          <w:sz w:val="32"/>
          <w:szCs w:val="32"/>
          <w:lang w:val="en-US" w:eastAsia="zh-CN"/>
        </w:rPr>
        <w:t>513.50</w:t>
      </w:r>
      <w:r>
        <w:rPr>
          <w:rFonts w:hint="eastAsia" w:ascii="仿宋" w:hAnsi="仿宋" w:eastAsia="仿宋"/>
          <w:sz w:val="32"/>
          <w:szCs w:val="32"/>
        </w:rPr>
        <w:t>万元。与</w:t>
      </w:r>
      <w:r>
        <w:rPr>
          <w:rFonts w:ascii="仿宋" w:hAnsi="仿宋" w:eastAsia="仿宋"/>
          <w:sz w:val="32"/>
          <w:szCs w:val="32"/>
        </w:rPr>
        <w:t>20</w:t>
      </w:r>
      <w:r>
        <w:rPr>
          <w:rFonts w:hint="eastAsia" w:ascii="仿宋" w:hAnsi="仿宋" w:eastAsia="仿宋"/>
          <w:sz w:val="32"/>
          <w:szCs w:val="32"/>
        </w:rPr>
        <w:t>20年相比，财政拨款收、支总计各增加</w:t>
      </w:r>
      <w:r>
        <w:rPr>
          <w:rFonts w:hint="eastAsia" w:ascii="仿宋" w:hAnsi="仿宋" w:eastAsia="仿宋"/>
          <w:sz w:val="32"/>
          <w:szCs w:val="32"/>
          <w:lang w:val="en-US" w:eastAsia="zh-CN"/>
        </w:rPr>
        <w:t>113.54</w:t>
      </w:r>
      <w:r>
        <w:rPr>
          <w:rFonts w:hint="eastAsia" w:ascii="仿宋" w:hAnsi="仿宋" w:eastAsia="仿宋"/>
          <w:sz w:val="32"/>
          <w:szCs w:val="32"/>
        </w:rPr>
        <w:t>万元，增长</w:t>
      </w:r>
      <w:r>
        <w:rPr>
          <w:rFonts w:hint="eastAsia" w:ascii="仿宋" w:hAnsi="仿宋" w:eastAsia="仿宋"/>
          <w:sz w:val="32"/>
          <w:szCs w:val="32"/>
          <w:lang w:val="en-US" w:eastAsia="zh-CN"/>
        </w:rPr>
        <w:t>22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根据当年具体工作情况，增加了项目并且我单位</w:t>
      </w:r>
      <w:r>
        <w:rPr>
          <w:rFonts w:hint="eastAsia" w:ascii="仿宋" w:hAnsi="仿宋" w:eastAsia="仿宋"/>
          <w:sz w:val="32"/>
          <w:szCs w:val="32"/>
          <w:lang w:val="en-US" w:eastAsia="zh-CN"/>
        </w:rPr>
        <w:t>10月调入人员增加了人员相关经费等。</w:t>
      </w:r>
    </w:p>
    <w:p w14:paraId="09070E72">
      <w:pPr>
        <w:pStyle w:val="2"/>
      </w:pPr>
      <w:r>
        <w:drawing>
          <wp:inline distT="0" distB="0" distL="114300" distR="114300">
            <wp:extent cx="5033645" cy="2755265"/>
            <wp:effectExtent l="0" t="0" r="14605" b="6985"/>
            <wp:docPr id="4" name="图片 4" descr="财政拨款收、支决算总计变动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财政拨款收、支决算总计变动情况"/>
                    <pic:cNvPicPr>
                      <a:picLocks noChangeAspect="1"/>
                    </pic:cNvPicPr>
                  </pic:nvPicPr>
                  <pic:blipFill>
                    <a:blip r:embed="rId9"/>
                    <a:stretch>
                      <a:fillRect/>
                    </a:stretch>
                  </pic:blipFill>
                  <pic:spPr>
                    <a:xfrm>
                      <a:off x="0" y="0"/>
                      <a:ext cx="5033645" cy="2755265"/>
                    </a:xfrm>
                    <a:prstGeom prst="rect">
                      <a:avLst/>
                    </a:prstGeom>
                  </pic:spPr>
                </pic:pic>
              </a:graphicData>
            </a:graphic>
          </wp:inline>
        </w:drawing>
      </w:r>
    </w:p>
    <w:p w14:paraId="68E78CB2">
      <w:pPr>
        <w:spacing w:line="600" w:lineRule="exact"/>
        <w:ind w:firstLine="640" w:firstLineChars="200"/>
        <w:outlineLvl w:val="1"/>
        <w:rPr>
          <w:rStyle w:val="27"/>
          <w:rFonts w:ascii="黑体" w:hAnsi="黑体" w:eastAsia="黑体"/>
          <w:b w:val="0"/>
        </w:rPr>
      </w:pPr>
      <w:bookmarkStart w:id="36" w:name="_Toc15377209"/>
      <w:bookmarkStart w:id="37" w:name="_Toc15396607"/>
      <w:r>
        <w:rPr>
          <w:rFonts w:hint="eastAsia" w:ascii="黑体" w:hAnsi="黑体" w:eastAsia="黑体"/>
          <w:sz w:val="32"/>
          <w:szCs w:val="32"/>
        </w:rPr>
        <w:t>五、</w:t>
      </w:r>
      <w:r>
        <w:rPr>
          <w:rFonts w:hint="eastAsia" w:ascii="黑体" w:hAnsi="黑体" w:eastAsia="黑体"/>
          <w:b/>
          <w:sz w:val="32"/>
          <w:szCs w:val="32"/>
        </w:rPr>
        <w:t>一</w:t>
      </w:r>
      <w:r>
        <w:rPr>
          <w:rStyle w:val="27"/>
          <w:rFonts w:hint="eastAsia" w:ascii="黑体" w:hAnsi="黑体" w:eastAsia="黑体"/>
          <w:b w:val="0"/>
        </w:rPr>
        <w:t>般公共预算财政拨款支出决算情况说明</w:t>
      </w:r>
      <w:bookmarkEnd w:id="36"/>
      <w:bookmarkEnd w:id="37"/>
    </w:p>
    <w:p w14:paraId="75392D67">
      <w:pPr>
        <w:spacing w:line="600" w:lineRule="exact"/>
        <w:ind w:firstLine="643" w:firstLineChars="200"/>
        <w:outlineLvl w:val="2"/>
        <w:rPr>
          <w:rFonts w:ascii="仿宋" w:hAnsi="仿宋" w:eastAsia="仿宋"/>
          <w:b/>
          <w:sz w:val="32"/>
          <w:szCs w:val="32"/>
        </w:rPr>
      </w:pPr>
      <w:bookmarkStart w:id="38" w:name="_Toc15377210"/>
      <w:r>
        <w:rPr>
          <w:rFonts w:hint="eastAsia" w:ascii="仿宋" w:hAnsi="仿宋" w:eastAsia="仿宋"/>
          <w:b/>
          <w:sz w:val="32"/>
          <w:szCs w:val="32"/>
        </w:rPr>
        <w:t>（一）一般公共预算财政拨款支出决算总体情况</w:t>
      </w:r>
      <w:bookmarkEnd w:id="38"/>
    </w:p>
    <w:p w14:paraId="35DE3ECA">
      <w:pPr>
        <w:spacing w:line="600" w:lineRule="exact"/>
        <w:ind w:firstLine="640" w:firstLineChars="200"/>
        <w:rPr>
          <w:rFonts w:hint="eastAsia" w:ascii="仿宋" w:hAnsi="仿宋" w:eastAsia="仿宋"/>
          <w:sz w:val="32"/>
          <w:szCs w:val="32"/>
          <w:lang w:val="en-US" w:eastAsia="zh-CN"/>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513.50</w:t>
      </w:r>
      <w:r>
        <w:rPr>
          <w:rFonts w:hint="eastAsia" w:ascii="仿宋" w:hAnsi="仿宋" w:eastAsia="仿宋"/>
          <w:sz w:val="32"/>
          <w:szCs w:val="32"/>
        </w:rPr>
        <w:t>万元，占本年支出合计的</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。与</w:t>
      </w:r>
      <w:r>
        <w:rPr>
          <w:rFonts w:ascii="仿宋" w:hAnsi="仿宋" w:eastAsia="仿宋"/>
          <w:sz w:val="32"/>
          <w:szCs w:val="32"/>
        </w:rPr>
        <w:t>20</w:t>
      </w:r>
      <w:r>
        <w:rPr>
          <w:rFonts w:hint="eastAsia" w:ascii="仿宋" w:hAnsi="仿宋" w:eastAsia="仿宋"/>
          <w:sz w:val="32"/>
          <w:szCs w:val="32"/>
        </w:rPr>
        <w:t>20年相比，一般公共预算财政拨款支出增加</w:t>
      </w:r>
      <w:r>
        <w:rPr>
          <w:rFonts w:hint="eastAsia" w:ascii="仿宋" w:hAnsi="仿宋" w:eastAsia="仿宋"/>
          <w:sz w:val="32"/>
          <w:szCs w:val="32"/>
          <w:lang w:val="en-US" w:eastAsia="zh-CN"/>
        </w:rPr>
        <w:t>113.54</w:t>
      </w:r>
      <w:r>
        <w:rPr>
          <w:rFonts w:hint="eastAsia" w:ascii="仿宋" w:hAnsi="仿宋" w:eastAsia="仿宋"/>
          <w:sz w:val="32"/>
          <w:szCs w:val="32"/>
        </w:rPr>
        <w:t>万元，增长</w:t>
      </w:r>
      <w:r>
        <w:rPr>
          <w:rFonts w:hint="eastAsia" w:ascii="仿宋" w:hAnsi="仿宋" w:eastAsia="仿宋"/>
          <w:sz w:val="32"/>
          <w:szCs w:val="32"/>
          <w:lang w:val="en-US" w:eastAsia="zh-CN"/>
        </w:rPr>
        <w:t>22</w:t>
      </w:r>
      <w:r>
        <w:rPr>
          <w:rFonts w:ascii="仿宋" w:hAnsi="仿宋" w:eastAsia="仿宋"/>
          <w:sz w:val="32"/>
          <w:szCs w:val="32"/>
        </w:rPr>
        <w:t>%</w:t>
      </w:r>
      <w:r>
        <w:rPr>
          <w:rFonts w:hint="eastAsia" w:ascii="仿宋" w:hAnsi="仿宋" w:eastAsia="仿宋"/>
          <w:sz w:val="32"/>
          <w:szCs w:val="32"/>
        </w:rPr>
        <w:t>。主要变动原因是</w:t>
      </w:r>
      <w:r>
        <w:rPr>
          <w:rFonts w:hint="eastAsia" w:ascii="仿宋" w:hAnsi="仿宋" w:eastAsia="仿宋"/>
          <w:sz w:val="32"/>
          <w:szCs w:val="32"/>
          <w:lang w:eastAsia="zh-CN"/>
        </w:rPr>
        <w:t>根据当年具体工作情况，增加了项目并且我单位</w:t>
      </w:r>
      <w:r>
        <w:rPr>
          <w:rFonts w:hint="eastAsia" w:ascii="仿宋" w:hAnsi="仿宋" w:eastAsia="仿宋"/>
          <w:sz w:val="32"/>
          <w:szCs w:val="32"/>
          <w:lang w:val="en-US" w:eastAsia="zh-CN"/>
        </w:rPr>
        <w:t>10月调入人员增加了人员相关经费等。</w:t>
      </w:r>
    </w:p>
    <w:p w14:paraId="0D678C30">
      <w:pPr>
        <w:spacing w:line="600" w:lineRule="exact"/>
        <w:ind w:firstLine="640" w:firstLineChars="200"/>
        <w:rPr>
          <w:rFonts w:ascii="仿宋" w:hAnsi="仿宋" w:eastAsia="仿宋"/>
          <w:sz w:val="32"/>
          <w:szCs w:val="32"/>
        </w:rPr>
      </w:pPr>
    </w:p>
    <w:p w14:paraId="316B8760">
      <w:pPr>
        <w:spacing w:line="240" w:lineRule="auto"/>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584065" cy="2755265"/>
            <wp:effectExtent l="0" t="0" r="6985" b="6985"/>
            <wp:docPr id="5" name="图片 5" descr="一般公共预算财政拨款支出决算变动情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一般公共预算财政拨款支出决算变动情况"/>
                    <pic:cNvPicPr>
                      <a:picLocks noChangeAspect="1"/>
                    </pic:cNvPicPr>
                  </pic:nvPicPr>
                  <pic:blipFill>
                    <a:blip r:embed="rId10"/>
                    <a:stretch>
                      <a:fillRect/>
                    </a:stretch>
                  </pic:blipFill>
                  <pic:spPr>
                    <a:xfrm>
                      <a:off x="0" y="0"/>
                      <a:ext cx="4584065" cy="2755265"/>
                    </a:xfrm>
                    <a:prstGeom prst="rect">
                      <a:avLst/>
                    </a:prstGeom>
                  </pic:spPr>
                </pic:pic>
              </a:graphicData>
            </a:graphic>
          </wp:inline>
        </w:drawing>
      </w:r>
    </w:p>
    <w:p w14:paraId="5E2F9703">
      <w:pPr>
        <w:spacing w:line="600" w:lineRule="exact"/>
        <w:ind w:firstLine="643" w:firstLineChars="200"/>
        <w:outlineLvl w:val="2"/>
        <w:rPr>
          <w:rFonts w:ascii="仿宋" w:hAnsi="仿宋" w:eastAsia="仿宋"/>
          <w:b/>
          <w:sz w:val="32"/>
          <w:szCs w:val="32"/>
        </w:rPr>
      </w:pPr>
      <w:bookmarkStart w:id="39" w:name="_Toc15377211"/>
      <w:r>
        <w:rPr>
          <w:rFonts w:hint="eastAsia" w:ascii="仿宋" w:hAnsi="仿宋" w:eastAsia="仿宋"/>
          <w:b/>
          <w:sz w:val="32"/>
          <w:szCs w:val="32"/>
        </w:rPr>
        <w:t>（二）一般公共预算财政拨款支出决算结构情况</w:t>
      </w:r>
      <w:bookmarkEnd w:id="39"/>
    </w:p>
    <w:p w14:paraId="2D190FD7">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hint="eastAsia" w:ascii="仿宋" w:hAnsi="仿宋" w:eastAsia="仿宋"/>
          <w:sz w:val="32"/>
          <w:szCs w:val="32"/>
          <w:lang w:val="en-US" w:eastAsia="zh-CN"/>
        </w:rPr>
        <w:t>513.50</w:t>
      </w:r>
      <w:r>
        <w:rPr>
          <w:rFonts w:hint="eastAsia" w:ascii="仿宋" w:hAnsi="仿宋" w:eastAsia="仿宋"/>
          <w:sz w:val="32"/>
          <w:szCs w:val="32"/>
        </w:rPr>
        <w:t>万元，主要用于以下方面</w:t>
      </w:r>
      <w:r>
        <w:rPr>
          <w:rFonts w:ascii="仿宋" w:hAnsi="仿宋" w:eastAsia="仿宋"/>
          <w:sz w:val="32"/>
          <w:szCs w:val="32"/>
        </w:rPr>
        <w:t>:</w:t>
      </w:r>
      <w:r>
        <w:rPr>
          <w:rFonts w:hint="eastAsia" w:ascii="仿宋" w:hAnsi="仿宋" w:eastAsia="仿宋"/>
          <w:b/>
          <w:sz w:val="32"/>
          <w:szCs w:val="32"/>
        </w:rPr>
        <w:t>一般公共服务（类）</w:t>
      </w:r>
      <w:r>
        <w:rPr>
          <w:rFonts w:hint="eastAsia" w:ascii="仿宋" w:hAnsi="仿宋" w:eastAsia="仿宋"/>
          <w:sz w:val="32"/>
          <w:szCs w:val="32"/>
        </w:rPr>
        <w:t>支出</w:t>
      </w:r>
      <w:r>
        <w:rPr>
          <w:rFonts w:hint="eastAsia" w:ascii="仿宋" w:hAnsi="仿宋" w:eastAsia="仿宋"/>
          <w:sz w:val="32"/>
          <w:szCs w:val="32"/>
          <w:lang w:val="en-US" w:eastAsia="zh-CN"/>
        </w:rPr>
        <w:t>421.44</w:t>
      </w:r>
      <w:r>
        <w:rPr>
          <w:rFonts w:hint="eastAsia" w:ascii="仿宋" w:hAnsi="仿宋" w:eastAsia="仿宋"/>
          <w:sz w:val="32"/>
          <w:szCs w:val="32"/>
        </w:rPr>
        <w:t>万元，占</w:t>
      </w:r>
      <w:r>
        <w:rPr>
          <w:rFonts w:hint="eastAsia" w:ascii="仿宋" w:hAnsi="仿宋" w:eastAsia="仿宋"/>
          <w:sz w:val="32"/>
          <w:szCs w:val="32"/>
          <w:lang w:val="en-US" w:eastAsia="zh-CN"/>
        </w:rPr>
        <w:t>82</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教育支出（类）</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sz w:val="32"/>
          <w:szCs w:val="32"/>
        </w:rPr>
        <w:t>科学技术（类）</w:t>
      </w:r>
      <w:r>
        <w:rPr>
          <w:rFonts w:hint="eastAsia" w:ascii="仿宋" w:hAnsi="仿宋" w:eastAsia="仿宋"/>
          <w:sz w:val="32"/>
          <w:szCs w:val="32"/>
        </w:rPr>
        <w:t>支出</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b/>
          <w:bCs/>
          <w:sz w:val="32"/>
          <w:szCs w:val="32"/>
        </w:rPr>
        <w:t>文化旅游体育与传媒（类）支出</w:t>
      </w:r>
      <w:r>
        <w:rPr>
          <w:rFonts w:hint="eastAsia" w:ascii="仿宋" w:hAnsi="仿宋" w:eastAsia="仿宋"/>
          <w:b/>
          <w:bCs/>
          <w:sz w:val="32"/>
          <w:szCs w:val="32"/>
          <w:lang w:val="en-US" w:eastAsia="zh-CN"/>
        </w:rPr>
        <w:t>0</w:t>
      </w:r>
      <w:r>
        <w:rPr>
          <w:rFonts w:hint="eastAsia" w:ascii="仿宋" w:hAnsi="仿宋" w:eastAsia="仿宋"/>
          <w:b/>
          <w:bCs/>
          <w:sz w:val="32"/>
          <w:szCs w:val="32"/>
        </w:rPr>
        <w:t>万元，占</w:t>
      </w:r>
      <w:r>
        <w:rPr>
          <w:rFonts w:hint="eastAsia" w:ascii="仿宋" w:hAnsi="仿宋" w:eastAsia="仿宋"/>
          <w:b/>
          <w:bCs/>
          <w:sz w:val="32"/>
          <w:szCs w:val="32"/>
          <w:lang w:val="en-US" w:eastAsia="zh-CN"/>
        </w:rPr>
        <w:t>0</w:t>
      </w:r>
      <w:r>
        <w:rPr>
          <w:rFonts w:ascii="仿宋" w:hAnsi="仿宋" w:eastAsia="仿宋"/>
          <w:b/>
          <w:bCs/>
          <w:sz w:val="32"/>
          <w:szCs w:val="32"/>
        </w:rPr>
        <w:t>%</w:t>
      </w:r>
      <w:r>
        <w:rPr>
          <w:rFonts w:hint="eastAsia" w:ascii="仿宋" w:hAnsi="仿宋" w:eastAsia="仿宋"/>
          <w:sz w:val="32"/>
          <w:szCs w:val="32"/>
        </w:rPr>
        <w:t>；</w:t>
      </w:r>
      <w:r>
        <w:rPr>
          <w:rFonts w:hint="eastAsia" w:ascii="仿宋" w:hAnsi="仿宋" w:eastAsia="仿宋"/>
          <w:b/>
          <w:sz w:val="32"/>
          <w:szCs w:val="32"/>
        </w:rPr>
        <w:t>社会保障和就业（类）</w:t>
      </w:r>
      <w:r>
        <w:rPr>
          <w:rFonts w:hint="eastAsia" w:ascii="仿宋" w:hAnsi="仿宋" w:eastAsia="仿宋"/>
          <w:sz w:val="32"/>
          <w:szCs w:val="32"/>
        </w:rPr>
        <w:t>支出</w:t>
      </w:r>
      <w:r>
        <w:rPr>
          <w:rFonts w:hint="eastAsia" w:ascii="仿宋" w:hAnsi="仿宋" w:eastAsia="仿宋"/>
          <w:sz w:val="32"/>
          <w:szCs w:val="32"/>
          <w:lang w:val="en-US" w:eastAsia="zh-CN"/>
        </w:rPr>
        <w:t>64.05</w:t>
      </w:r>
      <w:r>
        <w:rPr>
          <w:rFonts w:hint="eastAsia" w:ascii="仿宋" w:hAnsi="仿宋" w:eastAsia="仿宋"/>
          <w:sz w:val="32"/>
          <w:szCs w:val="32"/>
        </w:rPr>
        <w:t>万元</w:t>
      </w:r>
      <w:r>
        <w:rPr>
          <w:rFonts w:hint="eastAsia" w:ascii="仿宋" w:hAnsi="仿宋" w:eastAsia="仿宋"/>
          <w:sz w:val="32"/>
          <w:szCs w:val="32"/>
          <w:highlight w:val="none"/>
        </w:rPr>
        <w:t>，占</w:t>
      </w:r>
      <w:r>
        <w:rPr>
          <w:rFonts w:hint="eastAsia" w:ascii="仿宋" w:hAnsi="仿宋" w:eastAsia="仿宋"/>
          <w:sz w:val="32"/>
          <w:szCs w:val="32"/>
          <w:highlight w:val="none"/>
          <w:lang w:val="en-US" w:eastAsia="zh-CN"/>
        </w:rPr>
        <w:t>13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b/>
          <w:bCs/>
          <w:sz w:val="32"/>
          <w:szCs w:val="32"/>
          <w:highlight w:val="none"/>
        </w:rPr>
        <w:t>卫生健康支出</w:t>
      </w:r>
      <w:r>
        <w:rPr>
          <w:rFonts w:hint="eastAsia" w:ascii="仿宋" w:hAnsi="仿宋" w:eastAsia="仿宋"/>
          <w:sz w:val="32"/>
          <w:szCs w:val="32"/>
          <w:highlight w:val="none"/>
          <w:lang w:val="en-US" w:eastAsia="zh-CN"/>
        </w:rPr>
        <w:t>7.14</w:t>
      </w:r>
      <w:r>
        <w:rPr>
          <w:rFonts w:hint="eastAsia" w:ascii="仿宋" w:hAnsi="仿宋" w:eastAsia="仿宋"/>
          <w:sz w:val="32"/>
          <w:szCs w:val="32"/>
          <w:highlight w:val="none"/>
        </w:rPr>
        <w:t>万元，占</w:t>
      </w:r>
      <w:r>
        <w:rPr>
          <w:rFonts w:hint="eastAsia" w:ascii="仿宋" w:hAnsi="仿宋" w:eastAsia="仿宋"/>
          <w:sz w:val="32"/>
          <w:szCs w:val="32"/>
          <w:highlight w:val="none"/>
          <w:lang w:val="en-US" w:eastAsia="zh-CN"/>
        </w:rPr>
        <w:t>1</w:t>
      </w:r>
      <w:r>
        <w:rPr>
          <w:rFonts w:ascii="仿宋" w:hAnsi="仿宋" w:eastAsia="仿宋"/>
          <w:sz w:val="32"/>
          <w:szCs w:val="32"/>
          <w:highlight w:val="none"/>
        </w:rPr>
        <w:t>%</w:t>
      </w:r>
      <w:r>
        <w:rPr>
          <w:rFonts w:hint="eastAsia" w:ascii="仿宋" w:hAnsi="仿宋" w:eastAsia="仿宋"/>
          <w:sz w:val="32"/>
          <w:szCs w:val="32"/>
          <w:highlight w:val="none"/>
        </w:rPr>
        <w:t>；住房保障支出</w:t>
      </w:r>
      <w:r>
        <w:rPr>
          <w:rFonts w:hint="eastAsia" w:ascii="仿宋" w:hAnsi="仿宋" w:eastAsia="仿宋"/>
          <w:sz w:val="32"/>
          <w:szCs w:val="32"/>
          <w:highlight w:val="none"/>
          <w:lang w:val="en-US" w:eastAsia="zh-CN"/>
        </w:rPr>
        <w:t>20.87</w:t>
      </w:r>
      <w:r>
        <w:rPr>
          <w:rFonts w:hint="eastAsia" w:ascii="仿宋" w:hAnsi="仿宋" w:eastAsia="仿宋"/>
          <w:sz w:val="32"/>
          <w:szCs w:val="32"/>
          <w:highlight w:val="none"/>
        </w:rPr>
        <w:t>万</w:t>
      </w:r>
      <w:r>
        <w:rPr>
          <w:rFonts w:hint="eastAsia" w:ascii="仿宋" w:hAnsi="仿宋" w:eastAsia="仿宋"/>
          <w:sz w:val="32"/>
          <w:szCs w:val="32"/>
        </w:rPr>
        <w:t>元，占</w:t>
      </w:r>
      <w:r>
        <w:rPr>
          <w:rFonts w:hint="eastAsia" w:ascii="仿宋" w:hAnsi="仿宋" w:eastAsia="仿宋"/>
          <w:sz w:val="32"/>
          <w:szCs w:val="32"/>
          <w:lang w:val="en-US" w:eastAsia="zh-CN"/>
        </w:rPr>
        <w:t>4</w:t>
      </w:r>
      <w:r>
        <w:rPr>
          <w:rFonts w:ascii="仿宋" w:hAnsi="仿宋" w:eastAsia="仿宋"/>
          <w:sz w:val="32"/>
          <w:szCs w:val="32"/>
        </w:rPr>
        <w:t>%</w:t>
      </w:r>
      <w:r>
        <w:rPr>
          <w:rFonts w:hint="eastAsia" w:ascii="仿宋" w:hAnsi="仿宋" w:eastAsia="仿宋"/>
          <w:sz w:val="32"/>
          <w:szCs w:val="32"/>
        </w:rPr>
        <w:t>。</w:t>
      </w:r>
    </w:p>
    <w:p w14:paraId="248D3C51">
      <w:pPr>
        <w:spacing w:line="240" w:lineRule="auto"/>
        <w:ind w:firstLine="640"/>
        <w:rPr>
          <w:rFonts w:hint="eastAsia" w:ascii="仿宋" w:hAnsi="仿宋" w:eastAsia="仿宋"/>
          <w:sz w:val="32"/>
          <w:szCs w:val="32"/>
          <w:lang w:eastAsia="zh-CN"/>
        </w:rPr>
      </w:pPr>
      <w:r>
        <w:rPr>
          <w:rFonts w:hint="eastAsia" w:ascii="仿宋" w:hAnsi="仿宋" w:eastAsia="仿宋"/>
          <w:sz w:val="32"/>
          <w:szCs w:val="32"/>
          <w:lang w:eastAsia="zh-CN"/>
        </w:rPr>
        <w:drawing>
          <wp:inline distT="0" distB="0" distL="114300" distR="114300">
            <wp:extent cx="4584065" cy="2755265"/>
            <wp:effectExtent l="0" t="0" r="6985" b="6985"/>
            <wp:docPr id="6" name="图片 6" descr="一般公共预算财政拨款支出决算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一般公共预算财政拨款支出决算结构"/>
                    <pic:cNvPicPr>
                      <a:picLocks noChangeAspect="1"/>
                    </pic:cNvPicPr>
                  </pic:nvPicPr>
                  <pic:blipFill>
                    <a:blip r:embed="rId11"/>
                    <a:stretch>
                      <a:fillRect/>
                    </a:stretch>
                  </pic:blipFill>
                  <pic:spPr>
                    <a:xfrm>
                      <a:off x="0" y="0"/>
                      <a:ext cx="4584065" cy="2755265"/>
                    </a:xfrm>
                    <a:prstGeom prst="rect">
                      <a:avLst/>
                    </a:prstGeom>
                  </pic:spPr>
                </pic:pic>
              </a:graphicData>
            </a:graphic>
          </wp:inline>
        </w:drawing>
      </w:r>
    </w:p>
    <w:p w14:paraId="3AE687BD">
      <w:pPr>
        <w:spacing w:line="600" w:lineRule="exact"/>
        <w:ind w:firstLine="640" w:firstLineChars="200"/>
        <w:rPr>
          <w:rFonts w:ascii="仿宋" w:hAnsi="仿宋" w:eastAsia="仿宋"/>
          <w:sz w:val="32"/>
          <w:szCs w:val="32"/>
        </w:rPr>
      </w:pPr>
    </w:p>
    <w:p w14:paraId="3A993A5A">
      <w:pPr>
        <w:spacing w:line="600" w:lineRule="exact"/>
        <w:ind w:firstLine="643" w:firstLineChars="200"/>
        <w:outlineLvl w:val="2"/>
        <w:rPr>
          <w:rFonts w:ascii="仿宋" w:hAnsi="仿宋" w:eastAsia="仿宋"/>
          <w:b/>
          <w:sz w:val="32"/>
          <w:szCs w:val="32"/>
        </w:rPr>
      </w:pPr>
      <w:bookmarkStart w:id="40" w:name="_Toc15377212"/>
      <w:r>
        <w:rPr>
          <w:rFonts w:hint="eastAsia" w:ascii="仿宋" w:hAnsi="仿宋" w:eastAsia="仿宋"/>
          <w:b/>
          <w:sz w:val="32"/>
          <w:szCs w:val="32"/>
        </w:rPr>
        <w:t>（三）一般公共预算财政拨款支出决算具体情况</w:t>
      </w:r>
      <w:bookmarkEnd w:id="40"/>
    </w:p>
    <w:p w14:paraId="71DAF913">
      <w:pPr>
        <w:spacing w:line="600" w:lineRule="exact"/>
        <w:ind w:firstLine="643" w:firstLineChars="200"/>
        <w:outlineLvl w:val="2"/>
        <w:rPr>
          <w:rFonts w:ascii="仿宋" w:hAnsi="仿宋" w:eastAsia="仿宋"/>
          <w:sz w:val="32"/>
          <w:szCs w:val="32"/>
        </w:rPr>
      </w:pPr>
      <w:bookmarkStart w:id="41" w:name="_Toc15377213"/>
      <w:bookmarkStart w:id="42" w:name="_Toc15377444"/>
      <w:bookmarkStart w:id="43" w:name="_Toc15378460"/>
      <w:r>
        <w:rPr>
          <w:rFonts w:hint="eastAsia" w:ascii="仿宋" w:hAnsi="仿宋" w:eastAsia="仿宋"/>
          <w:b/>
          <w:sz w:val="32"/>
          <w:szCs w:val="32"/>
        </w:rPr>
        <w:t>2021年一般公共预算支出决算数为</w:t>
      </w:r>
      <w:r>
        <w:rPr>
          <w:rFonts w:hint="eastAsia" w:ascii="仿宋" w:hAnsi="仿宋" w:eastAsia="仿宋"/>
          <w:b/>
          <w:sz w:val="32"/>
          <w:szCs w:val="32"/>
          <w:lang w:val="en-US" w:eastAsia="zh-CN"/>
        </w:rPr>
        <w:t>513.50</w:t>
      </w:r>
      <w:r>
        <w:rPr>
          <w:rFonts w:hint="eastAsia" w:ascii="仿宋" w:hAnsi="仿宋" w:eastAsia="仿宋"/>
          <w:sz w:val="32"/>
          <w:szCs w:val="32"/>
        </w:rPr>
        <w:t>，</w:t>
      </w:r>
      <w:r>
        <w:rPr>
          <w:rStyle w:val="15"/>
          <w:rFonts w:hint="eastAsia" w:ascii="仿宋" w:hAnsi="仿宋" w:eastAsia="仿宋"/>
          <w:bCs/>
          <w:sz w:val="32"/>
          <w:szCs w:val="32"/>
        </w:rPr>
        <w:t>完成预算</w:t>
      </w:r>
      <w:r>
        <w:rPr>
          <w:rStyle w:val="15"/>
          <w:rFonts w:hint="eastAsia" w:ascii="仿宋" w:hAnsi="仿宋" w:eastAsia="仿宋"/>
          <w:bCs/>
          <w:sz w:val="32"/>
          <w:szCs w:val="32"/>
          <w:lang w:val="en-US" w:eastAsia="zh-CN"/>
        </w:rPr>
        <w:t>100</w:t>
      </w:r>
      <w:r>
        <w:rPr>
          <w:rStyle w:val="15"/>
          <w:rFonts w:ascii="仿宋" w:hAnsi="仿宋" w:eastAsia="仿宋"/>
          <w:bCs/>
          <w:sz w:val="32"/>
          <w:szCs w:val="32"/>
        </w:rPr>
        <w:t>%</w:t>
      </w:r>
      <w:r>
        <w:rPr>
          <w:rStyle w:val="15"/>
          <w:rFonts w:hint="eastAsia" w:ascii="仿宋" w:hAnsi="仿宋" w:eastAsia="仿宋"/>
          <w:bCs/>
          <w:sz w:val="32"/>
          <w:szCs w:val="32"/>
        </w:rPr>
        <w:t>。其中：</w:t>
      </w:r>
      <w:bookmarkEnd w:id="41"/>
      <w:bookmarkEnd w:id="42"/>
      <w:bookmarkEnd w:id="43"/>
    </w:p>
    <w:p w14:paraId="3429A0D9">
      <w:pPr>
        <w:numPr>
          <w:ilvl w:val="0"/>
          <w:numId w:val="2"/>
        </w:numPr>
        <w:spacing w:line="600" w:lineRule="exact"/>
        <w:ind w:firstLine="643" w:firstLineChars="200"/>
        <w:rPr>
          <w:rFonts w:hint="eastAsia" w:ascii="仿宋" w:hAnsi="仿宋" w:eastAsia="仿宋" w:cs="仿宋"/>
          <w:bCs/>
          <w:color w:val="000000"/>
          <w:sz w:val="32"/>
          <w:szCs w:val="32"/>
        </w:rPr>
      </w:pPr>
      <w:r>
        <w:rPr>
          <w:rStyle w:val="15"/>
          <w:rFonts w:hint="eastAsia" w:ascii="仿宋" w:hAnsi="仿宋" w:eastAsia="仿宋" w:cs="仿宋"/>
          <w:bCs/>
          <w:color w:val="000000"/>
          <w:sz w:val="32"/>
          <w:szCs w:val="32"/>
        </w:rPr>
        <w:t>一般公共服务支出:</w:t>
      </w:r>
      <w:r>
        <w:rPr>
          <w:rStyle w:val="15"/>
          <w:rFonts w:hint="eastAsia" w:ascii="仿宋" w:hAnsi="仿宋" w:eastAsia="仿宋" w:cs="仿宋"/>
          <w:b w:val="0"/>
          <w:bCs/>
          <w:color w:val="000000"/>
          <w:sz w:val="32"/>
          <w:szCs w:val="32"/>
        </w:rPr>
        <w:t xml:space="preserve"> </w:t>
      </w:r>
      <w:r>
        <w:rPr>
          <w:rFonts w:hint="eastAsia" w:ascii="仿宋" w:hAnsi="仿宋" w:eastAsia="仿宋" w:cs="仿宋"/>
          <w:bCs/>
          <w:color w:val="000000"/>
          <w:sz w:val="32"/>
          <w:szCs w:val="32"/>
        </w:rPr>
        <w:t>支出决算为</w:t>
      </w:r>
      <w:r>
        <w:rPr>
          <w:rFonts w:hint="eastAsia" w:ascii="仿宋" w:hAnsi="仿宋" w:eastAsia="仿宋" w:cs="仿宋"/>
          <w:bCs/>
          <w:color w:val="000000"/>
          <w:sz w:val="32"/>
          <w:szCs w:val="32"/>
          <w:lang w:val="en-US" w:eastAsia="zh-CN"/>
        </w:rPr>
        <w:t>513.50</w:t>
      </w:r>
      <w:r>
        <w:rPr>
          <w:rFonts w:hint="eastAsia" w:ascii="仿宋" w:hAnsi="仿宋" w:eastAsia="仿宋" w:cs="仿宋"/>
          <w:bCs/>
          <w:color w:val="000000"/>
          <w:sz w:val="32"/>
          <w:szCs w:val="32"/>
        </w:rPr>
        <w:t>万元。其中：2012899-其他民主党派及工商联事务支出决算数</w:t>
      </w:r>
      <w:r>
        <w:rPr>
          <w:rFonts w:hint="eastAsia" w:ascii="仿宋" w:hAnsi="仿宋" w:eastAsia="仿宋" w:cs="仿宋"/>
          <w:bCs/>
          <w:color w:val="000000"/>
          <w:sz w:val="32"/>
          <w:szCs w:val="32"/>
          <w:lang w:val="en-US" w:eastAsia="zh-CN"/>
        </w:rPr>
        <w:t>12.71</w:t>
      </w:r>
      <w:r>
        <w:rPr>
          <w:rFonts w:hint="eastAsia" w:ascii="仿宋" w:hAnsi="仿宋" w:eastAsia="仿宋" w:cs="仿宋"/>
          <w:bCs/>
          <w:color w:val="000000"/>
          <w:sz w:val="32"/>
          <w:szCs w:val="32"/>
        </w:rPr>
        <w:t>万元，完成运算100%；2013401-行政运行，支出决算为</w:t>
      </w:r>
      <w:r>
        <w:rPr>
          <w:rFonts w:hint="eastAsia" w:ascii="仿宋" w:hAnsi="仿宋" w:eastAsia="仿宋" w:cs="仿宋"/>
          <w:bCs/>
          <w:color w:val="000000"/>
          <w:sz w:val="32"/>
          <w:szCs w:val="32"/>
          <w:lang w:val="en-US" w:eastAsia="zh-CN"/>
        </w:rPr>
        <w:t>187.62</w:t>
      </w:r>
      <w:r>
        <w:rPr>
          <w:rFonts w:hint="eastAsia" w:ascii="仿宋" w:hAnsi="仿宋" w:eastAsia="仿宋" w:cs="仿宋"/>
          <w:bCs/>
          <w:color w:val="000000"/>
          <w:sz w:val="32"/>
          <w:szCs w:val="32"/>
        </w:rPr>
        <w:t>万元，完成预算100%；2013402-一般行政管理事务，支出决算为</w:t>
      </w:r>
      <w:r>
        <w:rPr>
          <w:rFonts w:hint="eastAsia" w:ascii="仿宋" w:hAnsi="仿宋" w:eastAsia="仿宋" w:cs="仿宋"/>
          <w:bCs/>
          <w:color w:val="000000"/>
          <w:sz w:val="32"/>
          <w:szCs w:val="32"/>
          <w:lang w:val="en-US" w:eastAsia="zh-CN"/>
        </w:rPr>
        <w:t>47.40</w:t>
      </w:r>
      <w:r>
        <w:rPr>
          <w:rFonts w:hint="eastAsia" w:ascii="仿宋" w:hAnsi="仿宋" w:eastAsia="仿宋" w:cs="仿宋"/>
          <w:bCs/>
          <w:color w:val="000000"/>
          <w:sz w:val="32"/>
          <w:szCs w:val="32"/>
        </w:rPr>
        <w:t>万元，完成预算100%；2013404-宗教事务支出决算数</w:t>
      </w:r>
      <w:r>
        <w:rPr>
          <w:rFonts w:hint="eastAsia" w:ascii="仿宋" w:hAnsi="仿宋" w:eastAsia="仿宋" w:cs="仿宋"/>
          <w:bCs/>
          <w:color w:val="000000"/>
          <w:sz w:val="32"/>
          <w:szCs w:val="32"/>
          <w:lang w:val="en-US" w:eastAsia="zh-CN"/>
        </w:rPr>
        <w:t>136.00</w:t>
      </w:r>
      <w:r>
        <w:rPr>
          <w:rFonts w:hint="eastAsia" w:ascii="仿宋" w:hAnsi="仿宋" w:eastAsia="仿宋" w:cs="仿宋"/>
          <w:bCs/>
          <w:color w:val="000000"/>
          <w:sz w:val="32"/>
          <w:szCs w:val="32"/>
        </w:rPr>
        <w:t>万元，完成预算100%；2013405-华侨事务支出决算数5.9</w:t>
      </w:r>
      <w:r>
        <w:rPr>
          <w:rFonts w:hint="eastAsia" w:ascii="仿宋" w:hAnsi="仿宋" w:eastAsia="仿宋" w:cs="仿宋"/>
          <w:bCs/>
          <w:color w:val="000000"/>
          <w:sz w:val="32"/>
          <w:szCs w:val="32"/>
          <w:lang w:val="en-US" w:eastAsia="zh-CN"/>
        </w:rPr>
        <w:t>0</w:t>
      </w:r>
      <w:r>
        <w:rPr>
          <w:rFonts w:hint="eastAsia" w:ascii="仿宋" w:hAnsi="仿宋" w:eastAsia="仿宋" w:cs="仿宋"/>
          <w:bCs/>
          <w:color w:val="000000"/>
          <w:sz w:val="32"/>
          <w:szCs w:val="32"/>
        </w:rPr>
        <w:t>万元，完成预算100%；2013450-事业运行支出决算数</w:t>
      </w:r>
      <w:r>
        <w:rPr>
          <w:rFonts w:hint="eastAsia" w:ascii="仿宋" w:hAnsi="仿宋" w:eastAsia="仿宋" w:cs="仿宋"/>
          <w:bCs/>
          <w:color w:val="000000"/>
          <w:sz w:val="32"/>
          <w:szCs w:val="32"/>
          <w:lang w:val="en-US" w:eastAsia="zh-CN"/>
        </w:rPr>
        <w:t>11.83</w:t>
      </w:r>
      <w:r>
        <w:rPr>
          <w:rFonts w:hint="eastAsia" w:ascii="仿宋" w:hAnsi="仿宋" w:eastAsia="仿宋" w:cs="仿宋"/>
          <w:bCs/>
          <w:color w:val="000000"/>
          <w:sz w:val="32"/>
          <w:szCs w:val="32"/>
        </w:rPr>
        <w:t>万元，完成预算100%；决算数与预算数一致。</w:t>
      </w:r>
    </w:p>
    <w:p w14:paraId="4208A2A1">
      <w:pPr>
        <w:spacing w:line="600" w:lineRule="exact"/>
        <w:ind w:firstLine="643" w:firstLineChars="200"/>
        <w:rPr>
          <w:rFonts w:ascii="仿宋" w:hAnsi="仿宋" w:eastAsia="仿宋"/>
          <w:b/>
          <w:sz w:val="32"/>
          <w:szCs w:val="32"/>
        </w:rPr>
      </w:pPr>
      <w:r>
        <w:rPr>
          <w:rStyle w:val="15"/>
          <w:rFonts w:ascii="仿宋" w:hAnsi="仿宋" w:eastAsia="仿宋"/>
          <w:bCs/>
          <w:sz w:val="32"/>
          <w:szCs w:val="32"/>
        </w:rPr>
        <w:t>2.</w:t>
      </w:r>
      <w:r>
        <w:rPr>
          <w:rStyle w:val="15"/>
          <w:rFonts w:hint="eastAsia" w:ascii="仿宋" w:hAnsi="仿宋" w:eastAsia="仿宋" w:cs="仿宋"/>
          <w:bCs/>
          <w:color w:val="000000"/>
          <w:sz w:val="32"/>
          <w:szCs w:val="32"/>
        </w:rPr>
        <w:t>教育类支出:</w:t>
      </w:r>
      <w:r>
        <w:rPr>
          <w:rStyle w:val="15"/>
          <w:rFonts w:hint="eastAsia" w:ascii="仿宋" w:hAnsi="仿宋" w:eastAsia="仿宋" w:cs="仿宋"/>
          <w:b w:val="0"/>
          <w:bCs/>
          <w:color w:val="000000"/>
          <w:sz w:val="32"/>
          <w:szCs w:val="32"/>
        </w:rPr>
        <w:t xml:space="preserve"> </w:t>
      </w:r>
      <w:r>
        <w:rPr>
          <w:rStyle w:val="15"/>
          <w:rFonts w:hint="eastAsia" w:ascii="仿宋" w:hAnsi="仿宋" w:eastAsia="仿宋" w:cs="仿宋"/>
          <w:b w:val="0"/>
          <w:color w:val="000000"/>
          <w:sz w:val="32"/>
          <w:szCs w:val="32"/>
        </w:rPr>
        <w:t>支出决算为0万元，完成预算100%，决算数与预算数一致</w:t>
      </w:r>
      <w:r>
        <w:rPr>
          <w:rStyle w:val="15"/>
          <w:rFonts w:hint="eastAsia" w:ascii="仿宋" w:hAnsi="仿宋" w:eastAsia="仿宋"/>
          <w:b w:val="0"/>
          <w:bCs/>
          <w:sz w:val="32"/>
          <w:szCs w:val="32"/>
        </w:rPr>
        <w:t>。</w:t>
      </w:r>
    </w:p>
    <w:p w14:paraId="66E5C13B">
      <w:pPr>
        <w:spacing w:line="600" w:lineRule="exact"/>
        <w:ind w:firstLine="643" w:firstLineChars="200"/>
        <w:rPr>
          <w:rFonts w:hint="eastAsia" w:ascii="仿宋" w:hAnsi="仿宋" w:eastAsia="仿宋" w:cs="仿宋"/>
          <w:b/>
          <w:color w:val="000000"/>
          <w:sz w:val="32"/>
          <w:szCs w:val="32"/>
        </w:rPr>
      </w:pPr>
      <w:r>
        <w:rPr>
          <w:rStyle w:val="15"/>
          <w:rFonts w:hint="eastAsia" w:ascii="仿宋" w:hAnsi="仿宋" w:eastAsia="仿宋" w:cs="仿宋"/>
          <w:color w:val="000000"/>
          <w:sz w:val="32"/>
          <w:szCs w:val="32"/>
        </w:rPr>
        <w:t>3.科学技术支出:</w:t>
      </w:r>
      <w:r>
        <w:rPr>
          <w:rStyle w:val="15"/>
          <w:rFonts w:hint="eastAsia" w:ascii="仿宋" w:hAnsi="仿宋" w:eastAsia="仿宋" w:cs="仿宋"/>
          <w:b w:val="0"/>
          <w:color w:val="000000"/>
          <w:sz w:val="32"/>
          <w:szCs w:val="32"/>
        </w:rPr>
        <w:t xml:space="preserve"> 支出决算为0万元，完成预算100%，决算数与预算数一致。</w:t>
      </w:r>
    </w:p>
    <w:p w14:paraId="2A22481E">
      <w:pPr>
        <w:spacing w:line="600" w:lineRule="exact"/>
        <w:ind w:firstLine="643" w:firstLineChars="200"/>
        <w:rPr>
          <w:rFonts w:hint="eastAsia" w:ascii="仿宋" w:hAnsi="仿宋" w:eastAsia="仿宋" w:cs="仿宋"/>
          <w:b/>
          <w:color w:val="000000"/>
          <w:sz w:val="32"/>
          <w:szCs w:val="32"/>
        </w:rPr>
      </w:pPr>
      <w:r>
        <w:rPr>
          <w:rStyle w:val="15"/>
          <w:rFonts w:hint="eastAsia" w:ascii="仿宋" w:hAnsi="仿宋" w:eastAsia="仿宋" w:cs="仿宋"/>
          <w:color w:val="000000"/>
          <w:sz w:val="32"/>
          <w:szCs w:val="32"/>
        </w:rPr>
        <w:t>4.文化体育与传媒支出:</w:t>
      </w:r>
      <w:r>
        <w:rPr>
          <w:rStyle w:val="15"/>
          <w:rFonts w:hint="eastAsia" w:ascii="仿宋" w:hAnsi="仿宋" w:eastAsia="仿宋" w:cs="仿宋"/>
          <w:b w:val="0"/>
          <w:color w:val="000000"/>
          <w:sz w:val="32"/>
          <w:szCs w:val="32"/>
        </w:rPr>
        <w:t xml:space="preserve"> 支出决算为0万元，完成预算100%，决算数与预算数一致。</w:t>
      </w:r>
    </w:p>
    <w:p w14:paraId="1A728FCD">
      <w:pPr>
        <w:spacing w:line="600" w:lineRule="exact"/>
        <w:ind w:firstLine="643" w:firstLineChars="200"/>
        <w:rPr>
          <w:rFonts w:hint="eastAsia" w:ascii="仿宋" w:hAnsi="仿宋" w:eastAsia="仿宋"/>
          <w:b/>
          <w:sz w:val="32"/>
          <w:szCs w:val="32"/>
          <w:lang w:eastAsia="zh-CN"/>
        </w:rPr>
      </w:pPr>
      <w:r>
        <w:rPr>
          <w:rStyle w:val="15"/>
          <w:rFonts w:hint="eastAsia" w:ascii="仿宋_GB2312" w:eastAsia="仿宋_GB2312"/>
          <w:color w:val="000000"/>
          <w:sz w:val="32"/>
          <w:szCs w:val="32"/>
        </w:rPr>
        <w:t>5.社会保障和就业支出:</w:t>
      </w:r>
      <w:r>
        <w:rPr>
          <w:rStyle w:val="15"/>
          <w:rFonts w:hint="eastAsia" w:ascii="仿宋_GB2312" w:eastAsia="仿宋_GB2312"/>
          <w:b w:val="0"/>
          <w:color w:val="000000"/>
          <w:sz w:val="32"/>
          <w:szCs w:val="32"/>
        </w:rPr>
        <w:t xml:space="preserve"> </w:t>
      </w:r>
      <w:r>
        <w:rPr>
          <w:rStyle w:val="15"/>
          <w:rFonts w:hint="eastAsia" w:ascii="仿宋" w:hAnsi="仿宋" w:eastAsia="仿宋" w:cs="仿宋"/>
          <w:b w:val="0"/>
          <w:color w:val="000000"/>
          <w:sz w:val="32"/>
          <w:szCs w:val="32"/>
        </w:rPr>
        <w:t>支出决算为</w:t>
      </w:r>
      <w:r>
        <w:rPr>
          <w:rStyle w:val="15"/>
          <w:rFonts w:hint="eastAsia" w:ascii="仿宋" w:hAnsi="仿宋" w:eastAsia="仿宋" w:cs="仿宋"/>
          <w:b w:val="0"/>
          <w:color w:val="000000"/>
          <w:sz w:val="32"/>
          <w:szCs w:val="32"/>
          <w:lang w:val="en-US" w:eastAsia="zh-CN"/>
        </w:rPr>
        <w:t>64.05</w:t>
      </w:r>
      <w:r>
        <w:rPr>
          <w:rStyle w:val="15"/>
          <w:rFonts w:hint="eastAsia" w:ascii="仿宋" w:hAnsi="仿宋" w:eastAsia="仿宋" w:cs="仿宋"/>
          <w:b w:val="0"/>
          <w:color w:val="000000"/>
          <w:sz w:val="32"/>
          <w:szCs w:val="32"/>
        </w:rPr>
        <w:t>万元，完成预算100%，其中：2080505-机关事业单位基本养老保险缴费支出决算数为</w:t>
      </w:r>
      <w:r>
        <w:rPr>
          <w:rStyle w:val="15"/>
          <w:rFonts w:hint="eastAsia" w:ascii="仿宋" w:hAnsi="仿宋" w:eastAsia="仿宋" w:cs="仿宋"/>
          <w:b w:val="0"/>
          <w:color w:val="000000"/>
          <w:sz w:val="32"/>
          <w:szCs w:val="32"/>
          <w:lang w:val="en-US" w:eastAsia="zh-CN"/>
        </w:rPr>
        <w:t>15.93</w:t>
      </w:r>
      <w:r>
        <w:rPr>
          <w:rStyle w:val="15"/>
          <w:rFonts w:hint="eastAsia" w:ascii="仿宋" w:hAnsi="仿宋" w:eastAsia="仿宋" w:cs="仿宋"/>
          <w:b w:val="0"/>
          <w:color w:val="000000"/>
          <w:sz w:val="32"/>
          <w:szCs w:val="32"/>
        </w:rPr>
        <w:t>万元；2080506-机关事业单位职业年金缴费支出决算数为7.</w:t>
      </w:r>
      <w:r>
        <w:rPr>
          <w:rStyle w:val="15"/>
          <w:rFonts w:hint="eastAsia" w:ascii="仿宋" w:hAnsi="仿宋" w:eastAsia="仿宋" w:cs="仿宋"/>
          <w:b w:val="0"/>
          <w:color w:val="000000"/>
          <w:sz w:val="32"/>
          <w:szCs w:val="32"/>
          <w:lang w:val="en-US" w:eastAsia="zh-CN"/>
        </w:rPr>
        <w:t>96</w:t>
      </w:r>
      <w:r>
        <w:rPr>
          <w:rStyle w:val="15"/>
          <w:rFonts w:hint="eastAsia" w:ascii="仿宋" w:hAnsi="仿宋" w:eastAsia="仿宋" w:cs="仿宋"/>
          <w:b w:val="0"/>
          <w:color w:val="000000"/>
          <w:sz w:val="32"/>
          <w:szCs w:val="32"/>
        </w:rPr>
        <w:t>万元；2080599-其他行政事业单位离退休支出决算数为</w:t>
      </w:r>
      <w:r>
        <w:rPr>
          <w:rStyle w:val="15"/>
          <w:rFonts w:hint="eastAsia" w:ascii="仿宋" w:hAnsi="仿宋" w:eastAsia="仿宋" w:cs="仿宋"/>
          <w:b w:val="0"/>
          <w:color w:val="000000"/>
          <w:sz w:val="32"/>
          <w:szCs w:val="32"/>
          <w:lang w:val="en-US" w:eastAsia="zh-CN"/>
        </w:rPr>
        <w:t>40.16</w:t>
      </w:r>
      <w:r>
        <w:rPr>
          <w:rStyle w:val="15"/>
          <w:rFonts w:hint="eastAsia" w:ascii="仿宋" w:hAnsi="仿宋" w:eastAsia="仿宋" w:cs="仿宋"/>
          <w:b w:val="0"/>
          <w:color w:val="000000"/>
          <w:sz w:val="32"/>
          <w:szCs w:val="32"/>
        </w:rPr>
        <w:t>万元。决算数与预算数一致</w:t>
      </w:r>
      <w:r>
        <w:rPr>
          <w:rStyle w:val="15"/>
          <w:rFonts w:hint="eastAsia" w:ascii="仿宋" w:hAnsi="仿宋" w:eastAsia="仿宋" w:cs="仿宋"/>
          <w:b w:val="0"/>
          <w:color w:val="000000"/>
          <w:sz w:val="32"/>
          <w:szCs w:val="32"/>
          <w:lang w:eastAsia="zh-CN"/>
        </w:rPr>
        <w:t>。</w:t>
      </w:r>
    </w:p>
    <w:p w14:paraId="603C99A0">
      <w:pPr>
        <w:spacing w:line="600" w:lineRule="exact"/>
        <w:ind w:firstLine="643" w:firstLineChars="200"/>
        <w:rPr>
          <w:rStyle w:val="15"/>
          <w:rFonts w:hint="eastAsia" w:ascii="仿宋" w:hAnsi="仿宋" w:eastAsia="仿宋" w:cs="仿宋"/>
          <w:b w:val="0"/>
          <w:color w:val="000000"/>
          <w:sz w:val="32"/>
          <w:szCs w:val="32"/>
        </w:rPr>
      </w:pPr>
      <w:r>
        <w:rPr>
          <w:rStyle w:val="15"/>
          <w:rFonts w:hint="eastAsia" w:ascii="仿宋" w:hAnsi="仿宋" w:eastAsia="仿宋" w:cs="仿宋"/>
          <w:bCs/>
          <w:color w:val="000000"/>
          <w:sz w:val="32"/>
          <w:szCs w:val="32"/>
        </w:rPr>
        <w:t>6.</w:t>
      </w:r>
      <w:r>
        <w:rPr>
          <w:rFonts w:hint="eastAsia" w:ascii="仿宋" w:hAnsi="仿宋" w:eastAsia="仿宋" w:cs="仿宋"/>
          <w:b/>
          <w:bCs/>
          <w:color w:val="000000"/>
          <w:sz w:val="32"/>
          <w:szCs w:val="32"/>
        </w:rPr>
        <w:t>卫生健康</w:t>
      </w:r>
      <w:r>
        <w:rPr>
          <w:rStyle w:val="15"/>
          <w:rFonts w:hint="eastAsia" w:ascii="仿宋" w:hAnsi="仿宋" w:eastAsia="仿宋" w:cs="仿宋"/>
          <w:bCs/>
          <w:color w:val="000000"/>
          <w:sz w:val="32"/>
          <w:szCs w:val="32"/>
        </w:rPr>
        <w:t>类支出:</w:t>
      </w:r>
      <w:r>
        <w:rPr>
          <w:rStyle w:val="15"/>
          <w:rFonts w:hint="eastAsia" w:ascii="仿宋" w:hAnsi="仿宋" w:eastAsia="仿宋" w:cs="仿宋"/>
          <w:b w:val="0"/>
          <w:bCs/>
          <w:color w:val="000000"/>
          <w:sz w:val="32"/>
          <w:szCs w:val="32"/>
        </w:rPr>
        <w:t>支出决算为</w:t>
      </w:r>
      <w:r>
        <w:rPr>
          <w:rStyle w:val="15"/>
          <w:rFonts w:hint="eastAsia" w:ascii="仿宋" w:hAnsi="仿宋" w:eastAsia="仿宋" w:cs="仿宋"/>
          <w:b w:val="0"/>
          <w:bCs/>
          <w:color w:val="000000"/>
          <w:sz w:val="32"/>
          <w:szCs w:val="32"/>
          <w:lang w:val="en-US" w:eastAsia="zh-CN"/>
        </w:rPr>
        <w:t>7.14</w:t>
      </w:r>
      <w:r>
        <w:rPr>
          <w:rStyle w:val="15"/>
          <w:rFonts w:hint="eastAsia" w:ascii="仿宋" w:hAnsi="仿宋" w:eastAsia="仿宋" w:cs="仿宋"/>
          <w:b w:val="0"/>
          <w:bCs/>
          <w:color w:val="000000"/>
          <w:sz w:val="32"/>
          <w:szCs w:val="32"/>
        </w:rPr>
        <w:t>万元，</w:t>
      </w:r>
      <w:r>
        <w:rPr>
          <w:rStyle w:val="15"/>
          <w:rFonts w:hint="eastAsia" w:ascii="仿宋" w:hAnsi="仿宋" w:eastAsia="仿宋" w:cs="仿宋"/>
          <w:b w:val="0"/>
          <w:color w:val="000000"/>
          <w:sz w:val="32"/>
          <w:szCs w:val="32"/>
        </w:rPr>
        <w:t>完成预算100%，其中：2101101-行政单位医疗支出决算数为</w:t>
      </w:r>
      <w:r>
        <w:rPr>
          <w:rStyle w:val="15"/>
          <w:rFonts w:hint="eastAsia" w:ascii="仿宋" w:hAnsi="仿宋" w:eastAsia="仿宋" w:cs="仿宋"/>
          <w:b w:val="0"/>
          <w:color w:val="000000"/>
          <w:sz w:val="32"/>
          <w:szCs w:val="32"/>
          <w:lang w:val="en-US" w:eastAsia="zh-CN"/>
        </w:rPr>
        <w:t>6.27</w:t>
      </w:r>
      <w:r>
        <w:rPr>
          <w:rStyle w:val="15"/>
          <w:rFonts w:hint="eastAsia" w:ascii="仿宋" w:hAnsi="仿宋" w:eastAsia="仿宋" w:cs="仿宋"/>
          <w:b w:val="0"/>
          <w:color w:val="000000"/>
          <w:sz w:val="32"/>
          <w:szCs w:val="32"/>
        </w:rPr>
        <w:t>万元；2101102-事业单位医疗支出决算数0.</w:t>
      </w:r>
      <w:r>
        <w:rPr>
          <w:rStyle w:val="15"/>
          <w:rFonts w:hint="eastAsia" w:ascii="仿宋" w:hAnsi="仿宋" w:eastAsia="仿宋" w:cs="仿宋"/>
          <w:b w:val="0"/>
          <w:color w:val="000000"/>
          <w:sz w:val="32"/>
          <w:szCs w:val="32"/>
          <w:lang w:val="en-US" w:eastAsia="zh-CN"/>
        </w:rPr>
        <w:t>87</w:t>
      </w:r>
      <w:r>
        <w:rPr>
          <w:rStyle w:val="15"/>
          <w:rFonts w:hint="eastAsia" w:ascii="仿宋" w:hAnsi="仿宋" w:eastAsia="仿宋" w:cs="仿宋"/>
          <w:b w:val="0"/>
          <w:color w:val="000000"/>
          <w:sz w:val="32"/>
          <w:szCs w:val="32"/>
        </w:rPr>
        <w:t>万元。决算数与预算数一致。</w:t>
      </w:r>
    </w:p>
    <w:p w14:paraId="55BA0508">
      <w:pPr>
        <w:spacing w:line="600" w:lineRule="exact"/>
        <w:ind w:firstLine="643" w:firstLineChars="200"/>
        <w:rPr>
          <w:rStyle w:val="15"/>
          <w:rFonts w:hint="eastAsia" w:ascii="仿宋" w:hAnsi="仿宋" w:eastAsia="仿宋" w:cs="仿宋"/>
          <w:b w:val="0"/>
          <w:color w:val="000000"/>
          <w:sz w:val="32"/>
          <w:szCs w:val="32"/>
        </w:rPr>
      </w:pPr>
      <w:r>
        <w:rPr>
          <w:rStyle w:val="15"/>
          <w:rFonts w:hint="eastAsia" w:ascii="仿宋" w:hAnsi="仿宋" w:eastAsia="仿宋" w:cs="仿宋"/>
          <w:color w:val="000000"/>
          <w:sz w:val="32"/>
          <w:szCs w:val="32"/>
        </w:rPr>
        <w:t>7.住房保障支出</w:t>
      </w:r>
      <w:r>
        <w:rPr>
          <w:rStyle w:val="15"/>
          <w:rFonts w:hint="eastAsia" w:ascii="仿宋" w:hAnsi="仿宋" w:eastAsia="仿宋" w:cs="仿宋"/>
          <w:b w:val="0"/>
          <w:color w:val="000000"/>
          <w:sz w:val="32"/>
          <w:szCs w:val="32"/>
        </w:rPr>
        <w:t>：支出决算为</w:t>
      </w:r>
      <w:r>
        <w:rPr>
          <w:rStyle w:val="15"/>
          <w:rFonts w:hint="eastAsia" w:ascii="仿宋" w:hAnsi="仿宋" w:eastAsia="仿宋" w:cs="仿宋"/>
          <w:b w:val="0"/>
          <w:color w:val="000000"/>
          <w:sz w:val="32"/>
          <w:szCs w:val="32"/>
          <w:lang w:val="en-US" w:eastAsia="zh-CN"/>
        </w:rPr>
        <w:t>20.87</w:t>
      </w:r>
      <w:r>
        <w:rPr>
          <w:rStyle w:val="15"/>
          <w:rFonts w:hint="eastAsia" w:ascii="仿宋" w:hAnsi="仿宋" w:eastAsia="仿宋" w:cs="仿宋"/>
          <w:b w:val="0"/>
          <w:color w:val="000000"/>
          <w:sz w:val="32"/>
          <w:szCs w:val="32"/>
        </w:rPr>
        <w:t>万元，完成运算100%。其中2210201-住房公积金支出决算数为</w:t>
      </w:r>
      <w:r>
        <w:rPr>
          <w:rStyle w:val="15"/>
          <w:rFonts w:hint="eastAsia" w:ascii="仿宋" w:hAnsi="仿宋" w:eastAsia="仿宋" w:cs="仿宋"/>
          <w:b w:val="0"/>
          <w:color w:val="000000"/>
          <w:sz w:val="32"/>
          <w:szCs w:val="32"/>
          <w:lang w:val="en-US" w:eastAsia="zh-CN"/>
        </w:rPr>
        <w:t>20.87</w:t>
      </w:r>
      <w:r>
        <w:rPr>
          <w:rStyle w:val="15"/>
          <w:rFonts w:hint="eastAsia" w:ascii="仿宋" w:hAnsi="仿宋" w:eastAsia="仿宋" w:cs="仿宋"/>
          <w:b w:val="0"/>
          <w:color w:val="000000"/>
          <w:sz w:val="32"/>
          <w:szCs w:val="32"/>
        </w:rPr>
        <w:t>万元。决算数与预算数一致。</w:t>
      </w:r>
    </w:p>
    <w:p w14:paraId="094E7D77">
      <w:pPr>
        <w:tabs>
          <w:tab w:val="right" w:pos="8306"/>
        </w:tabs>
        <w:spacing w:line="600" w:lineRule="exact"/>
        <w:ind w:firstLine="640"/>
        <w:outlineLvl w:val="1"/>
        <w:rPr>
          <w:rStyle w:val="27"/>
        </w:rPr>
      </w:pPr>
      <w:bookmarkStart w:id="44" w:name="_Toc15396608"/>
      <w:bookmarkStart w:id="45" w:name="_Toc15377214"/>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7"/>
          <w:rFonts w:hint="eastAsia" w:ascii="黑体" w:hAnsi="黑体" w:eastAsia="黑体"/>
          <w:b w:val="0"/>
        </w:rPr>
        <w:t>般公共预算财政拨款基本支出决算情况说明</w:t>
      </w:r>
      <w:bookmarkEnd w:id="44"/>
      <w:bookmarkEnd w:id="45"/>
      <w:r>
        <w:rPr>
          <w:rStyle w:val="27"/>
          <w:rFonts w:ascii="黑体" w:hAnsi="黑体" w:eastAsia="黑体"/>
          <w:b w:val="0"/>
        </w:rPr>
        <w:tab/>
      </w:r>
    </w:p>
    <w:p w14:paraId="0DDE768D">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hint="eastAsia" w:ascii="仿宋" w:hAnsi="仿宋" w:eastAsia="仿宋"/>
          <w:sz w:val="32"/>
          <w:szCs w:val="32"/>
          <w:lang w:val="en-US" w:eastAsia="zh-CN"/>
        </w:rPr>
        <w:t>291.50</w:t>
      </w:r>
      <w:r>
        <w:rPr>
          <w:rFonts w:hint="eastAsia" w:ascii="仿宋" w:hAnsi="仿宋" w:eastAsia="仿宋"/>
          <w:sz w:val="32"/>
          <w:szCs w:val="32"/>
        </w:rPr>
        <w:t>万元，其中：</w:t>
      </w:r>
    </w:p>
    <w:p w14:paraId="1A509CEE">
      <w:pPr>
        <w:spacing w:line="600" w:lineRule="exact"/>
        <w:ind w:firstLine="645"/>
        <w:rPr>
          <w:rFonts w:hint="eastAsia" w:ascii="仿宋" w:hAnsi="仿宋" w:eastAsia="仿宋"/>
          <w:sz w:val="32"/>
          <w:szCs w:val="32"/>
          <w:lang w:eastAsia="zh-CN"/>
        </w:rPr>
      </w:pPr>
      <w:r>
        <w:rPr>
          <w:rFonts w:hint="eastAsia" w:ascii="仿宋" w:hAnsi="仿宋" w:eastAsia="仿宋"/>
          <w:sz w:val="32"/>
          <w:szCs w:val="32"/>
        </w:rPr>
        <w:t>人员</w:t>
      </w:r>
      <w:r>
        <w:rPr>
          <w:rFonts w:hint="eastAsia" w:ascii="仿宋" w:hAnsi="仿宋" w:eastAsia="仿宋"/>
          <w:sz w:val="32"/>
          <w:szCs w:val="32"/>
          <w:highlight w:val="none"/>
        </w:rPr>
        <w:t>经费</w:t>
      </w:r>
      <w:r>
        <w:rPr>
          <w:rFonts w:hint="eastAsia" w:ascii="仿宋" w:hAnsi="仿宋" w:eastAsia="仿宋"/>
          <w:sz w:val="32"/>
          <w:szCs w:val="32"/>
          <w:highlight w:val="none"/>
          <w:lang w:val="en-US" w:eastAsia="zh-CN"/>
        </w:rPr>
        <w:t>259.24</w:t>
      </w:r>
      <w:r>
        <w:rPr>
          <w:rFonts w:hint="eastAsia" w:ascii="仿宋" w:hAnsi="仿宋" w:eastAsia="仿宋"/>
          <w:sz w:val="32"/>
          <w:szCs w:val="32"/>
          <w:highlight w:val="none"/>
        </w:rPr>
        <w:t>万</w:t>
      </w:r>
      <w:r>
        <w:rPr>
          <w:rFonts w:hint="eastAsia" w:ascii="仿宋" w:hAnsi="仿宋" w:eastAsia="仿宋"/>
          <w:sz w:val="32"/>
          <w:szCs w:val="32"/>
        </w:rPr>
        <w:t>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14:paraId="50DE5225">
      <w:pPr>
        <w:spacing w:line="600" w:lineRule="exact"/>
        <w:ind w:firstLine="645"/>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lang w:val="en-US" w:eastAsia="zh-CN"/>
        </w:rPr>
        <w:t>32.26</w:t>
      </w:r>
      <w:r>
        <w:rPr>
          <w:rFonts w:hint="eastAsia" w:ascii="仿宋" w:hAnsi="仿宋" w:eastAsia="仿宋"/>
          <w:sz w:val="32"/>
          <w:szCs w:val="32"/>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14:paraId="0A0D2F9F">
      <w:pPr>
        <w:spacing w:line="600" w:lineRule="exact"/>
        <w:ind w:firstLine="640"/>
        <w:outlineLvl w:val="1"/>
        <w:rPr>
          <w:rStyle w:val="27"/>
          <w:rFonts w:ascii="黑体" w:hAnsi="黑体" w:eastAsia="黑体"/>
          <w:b w:val="0"/>
        </w:rPr>
      </w:pPr>
      <w:bookmarkStart w:id="46" w:name="_Toc15377215"/>
      <w:bookmarkStart w:id="47" w:name="_Toc15396609"/>
      <w:r>
        <w:rPr>
          <w:rFonts w:hint="eastAsia" w:ascii="黑体" w:eastAsia="黑体"/>
          <w:sz w:val="32"/>
          <w:szCs w:val="32"/>
        </w:rPr>
        <w:t>七、</w:t>
      </w:r>
      <w:r>
        <w:rPr>
          <w:rStyle w:val="27"/>
          <w:rFonts w:hint="eastAsia" w:ascii="黑体" w:hAnsi="黑体" w:eastAsia="黑体"/>
        </w:rPr>
        <w:t>“</w:t>
      </w:r>
      <w:r>
        <w:rPr>
          <w:rStyle w:val="27"/>
          <w:rFonts w:hint="eastAsia" w:ascii="黑体" w:hAnsi="黑体" w:eastAsia="黑体"/>
          <w:b w:val="0"/>
        </w:rPr>
        <w:t>三公”经费财政拨款支出决算情况说明</w:t>
      </w:r>
      <w:bookmarkEnd w:id="46"/>
      <w:bookmarkEnd w:id="47"/>
    </w:p>
    <w:p w14:paraId="1B453D85">
      <w:pPr>
        <w:spacing w:line="600" w:lineRule="exact"/>
        <w:ind w:firstLine="640"/>
        <w:outlineLvl w:val="2"/>
        <w:rPr>
          <w:rFonts w:ascii="仿宋" w:hAnsi="仿宋" w:eastAsia="仿宋"/>
          <w:b/>
          <w:sz w:val="32"/>
          <w:szCs w:val="32"/>
        </w:rPr>
      </w:pPr>
      <w:bookmarkStart w:id="48" w:name="_Toc15377216"/>
      <w:r>
        <w:rPr>
          <w:rFonts w:hint="eastAsia" w:ascii="仿宋" w:hAnsi="仿宋" w:eastAsia="仿宋"/>
          <w:b/>
          <w:sz w:val="32"/>
          <w:szCs w:val="32"/>
        </w:rPr>
        <w:t>（一）“三公”经费财政拨款支出决算总体情况说明</w:t>
      </w:r>
      <w:bookmarkEnd w:id="48"/>
    </w:p>
    <w:p w14:paraId="20DCBA7F">
      <w:pPr>
        <w:spacing w:line="600" w:lineRule="exact"/>
        <w:ind w:firstLine="640"/>
        <w:rPr>
          <w:rFonts w:hint="eastAsia" w:ascii="仿宋" w:hAnsi="仿宋" w:eastAsia="仿宋"/>
          <w:color w:val="000000"/>
          <w:sz w:val="32"/>
          <w:szCs w:val="32"/>
          <w:lang w:val="en-US" w:eastAsia="zh-CN"/>
        </w:rPr>
      </w:pPr>
      <w:r>
        <w:rPr>
          <w:rFonts w:ascii="仿宋" w:hAnsi="仿宋" w:eastAsia="仿宋"/>
          <w:sz w:val="32"/>
          <w:szCs w:val="32"/>
        </w:rPr>
        <w:t>20</w:t>
      </w:r>
      <w:r>
        <w:rPr>
          <w:rFonts w:hint="eastAsia" w:ascii="仿宋" w:hAnsi="仿宋" w:eastAsia="仿宋"/>
          <w:sz w:val="32"/>
          <w:szCs w:val="32"/>
        </w:rPr>
        <w:t>21年“三公”经费财政拨款支出决算为</w:t>
      </w:r>
      <w:r>
        <w:rPr>
          <w:rFonts w:hint="eastAsia" w:ascii="仿宋" w:hAnsi="仿宋" w:eastAsia="仿宋"/>
          <w:sz w:val="32"/>
          <w:szCs w:val="32"/>
          <w:lang w:val="en-US" w:eastAsia="zh-CN"/>
        </w:rPr>
        <w:t>2</w:t>
      </w:r>
      <w:r>
        <w:rPr>
          <w:rFonts w:hint="eastAsia" w:ascii="仿宋" w:hAnsi="仿宋" w:eastAsia="仿宋"/>
          <w:sz w:val="32"/>
          <w:szCs w:val="32"/>
        </w:rPr>
        <w:t>万元，完成预算</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w:t>
      </w:r>
      <w:r>
        <w:rPr>
          <w:rFonts w:hint="eastAsia" w:ascii="仿宋" w:hAnsi="仿宋" w:eastAsia="仿宋"/>
          <w:color w:val="000000"/>
          <w:sz w:val="32"/>
          <w:szCs w:val="32"/>
        </w:rPr>
        <w:t>决算数与预算数持平</w:t>
      </w:r>
      <w:r>
        <w:rPr>
          <w:rFonts w:hint="eastAsia" w:ascii="仿宋" w:hAnsi="仿宋" w:eastAsia="仿宋"/>
          <w:color w:val="000000"/>
          <w:sz w:val="32"/>
          <w:szCs w:val="32"/>
          <w:lang w:val="en-US" w:eastAsia="zh-CN"/>
        </w:rPr>
        <w:t>.</w:t>
      </w:r>
    </w:p>
    <w:p w14:paraId="17350F2A">
      <w:pPr>
        <w:spacing w:line="600" w:lineRule="exact"/>
        <w:ind w:firstLine="640"/>
        <w:outlineLvl w:val="2"/>
        <w:rPr>
          <w:rFonts w:ascii="仿宋" w:hAnsi="仿宋" w:eastAsia="仿宋"/>
          <w:b/>
          <w:sz w:val="32"/>
          <w:szCs w:val="32"/>
        </w:rPr>
      </w:pPr>
      <w:bookmarkStart w:id="49" w:name="_Toc15377217"/>
      <w:r>
        <w:rPr>
          <w:rFonts w:hint="eastAsia" w:ascii="仿宋" w:hAnsi="仿宋" w:eastAsia="仿宋"/>
          <w:b/>
          <w:sz w:val="32"/>
          <w:szCs w:val="32"/>
        </w:rPr>
        <w:t>（二）“三公”经费财政拨款支出决算具体情况说明</w:t>
      </w:r>
      <w:bookmarkEnd w:id="49"/>
    </w:p>
    <w:p w14:paraId="7D74F0E5">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；公务用车购置及运行维护费支出决算</w:t>
      </w:r>
      <w:r>
        <w:rPr>
          <w:rFonts w:hint="eastAsia" w:ascii="仿宋" w:hAnsi="仿宋" w:eastAsia="仿宋"/>
          <w:sz w:val="32"/>
          <w:szCs w:val="32"/>
          <w:lang w:val="en-US" w:eastAsia="zh-CN"/>
        </w:rPr>
        <w:t>0</w:t>
      </w:r>
      <w:r>
        <w:rPr>
          <w:rFonts w:hint="eastAsia" w:ascii="仿宋" w:hAnsi="仿宋" w:eastAsia="仿宋"/>
          <w:sz w:val="32"/>
          <w:szCs w:val="32"/>
        </w:rPr>
        <w:t>万元，占</w:t>
      </w:r>
      <w:r>
        <w:rPr>
          <w:rFonts w:hint="eastAsia" w:ascii="仿宋" w:hAnsi="仿宋" w:eastAsia="仿宋"/>
          <w:sz w:val="32"/>
          <w:szCs w:val="32"/>
          <w:lang w:val="en-US" w:eastAsia="zh-CN"/>
        </w:rPr>
        <w:t>0</w:t>
      </w:r>
      <w:r>
        <w:rPr>
          <w:rFonts w:ascii="仿宋" w:hAnsi="仿宋" w:eastAsia="仿宋"/>
          <w:sz w:val="32"/>
          <w:szCs w:val="32"/>
        </w:rPr>
        <w:t>%</w:t>
      </w:r>
      <w:r>
        <w:rPr>
          <w:rFonts w:hint="eastAsia" w:ascii="仿宋" w:hAnsi="仿宋" w:eastAsia="仿宋"/>
          <w:sz w:val="32"/>
          <w:szCs w:val="32"/>
        </w:rPr>
        <w:t>；公务接待费支出决算</w:t>
      </w:r>
      <w:r>
        <w:rPr>
          <w:rFonts w:hint="eastAsia" w:ascii="仿宋" w:hAnsi="仿宋" w:eastAsia="仿宋"/>
          <w:sz w:val="32"/>
          <w:szCs w:val="32"/>
          <w:lang w:val="en-US" w:eastAsia="zh-CN"/>
        </w:rPr>
        <w:t>2</w:t>
      </w:r>
      <w:r>
        <w:rPr>
          <w:rFonts w:hint="eastAsia" w:ascii="仿宋" w:hAnsi="仿宋" w:eastAsia="仿宋"/>
          <w:sz w:val="32"/>
          <w:szCs w:val="32"/>
        </w:rPr>
        <w:t>万元，占</w:t>
      </w:r>
      <w:r>
        <w:rPr>
          <w:rFonts w:hint="eastAsia" w:ascii="仿宋" w:hAnsi="仿宋" w:eastAsia="仿宋"/>
          <w:sz w:val="32"/>
          <w:szCs w:val="32"/>
          <w:lang w:val="en-US" w:eastAsia="zh-CN"/>
        </w:rPr>
        <w:t>100</w:t>
      </w:r>
      <w:r>
        <w:rPr>
          <w:rFonts w:ascii="仿宋" w:hAnsi="仿宋" w:eastAsia="仿宋"/>
          <w:sz w:val="32"/>
          <w:szCs w:val="32"/>
        </w:rPr>
        <w:t>%</w:t>
      </w:r>
      <w:r>
        <w:rPr>
          <w:rFonts w:hint="eastAsia" w:ascii="仿宋" w:hAnsi="仿宋" w:eastAsia="仿宋"/>
          <w:sz w:val="32"/>
          <w:szCs w:val="32"/>
        </w:rPr>
        <w:t>。具体情况如下：</w:t>
      </w:r>
    </w:p>
    <w:p w14:paraId="54094FF4">
      <w:pPr>
        <w:spacing w:line="240" w:lineRule="auto"/>
        <w:ind w:firstLine="640"/>
        <w:rPr>
          <w:rFonts w:hint="eastAsia" w:ascii="仿宋_GB2312" w:eastAsia="仿宋_GB2312"/>
          <w:b/>
          <w:sz w:val="32"/>
          <w:szCs w:val="32"/>
          <w:lang w:eastAsia="zh-CN"/>
        </w:rPr>
      </w:pPr>
      <w:r>
        <w:rPr>
          <w:rFonts w:hint="eastAsia" w:ascii="仿宋_GB2312" w:eastAsia="仿宋_GB2312"/>
          <w:b/>
          <w:sz w:val="32"/>
          <w:szCs w:val="32"/>
          <w:lang w:eastAsia="zh-CN"/>
        </w:rPr>
        <w:drawing>
          <wp:inline distT="0" distB="0" distL="114300" distR="114300">
            <wp:extent cx="4584065" cy="2755265"/>
            <wp:effectExtent l="0" t="0" r="6985" b="6985"/>
            <wp:docPr id="7" name="图片 7" descr="“三公”经费财政拨款支出结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三公”经费财政拨款支出结构"/>
                    <pic:cNvPicPr>
                      <a:picLocks noChangeAspect="1"/>
                    </pic:cNvPicPr>
                  </pic:nvPicPr>
                  <pic:blipFill>
                    <a:blip r:embed="rId12"/>
                    <a:stretch>
                      <a:fillRect/>
                    </a:stretch>
                  </pic:blipFill>
                  <pic:spPr>
                    <a:xfrm>
                      <a:off x="0" y="0"/>
                      <a:ext cx="4584065" cy="2755265"/>
                    </a:xfrm>
                    <a:prstGeom prst="rect">
                      <a:avLst/>
                    </a:prstGeom>
                  </pic:spPr>
                </pic:pic>
              </a:graphicData>
            </a:graphic>
          </wp:inline>
        </w:drawing>
      </w:r>
    </w:p>
    <w:p w14:paraId="66DF0E37">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w:t>
      </w:r>
      <w:r>
        <w:rPr>
          <w:rFonts w:hint="eastAsia" w:ascii="仿宋_GB2312" w:eastAsia="仿宋_GB2312"/>
          <w:sz w:val="32"/>
          <w:szCs w:val="32"/>
          <w:lang w:val="en-US" w:eastAsia="zh-CN"/>
        </w:rPr>
        <w:t>0</w:t>
      </w:r>
      <w:r>
        <w:rPr>
          <w:rFonts w:hint="eastAsia" w:ascii="仿宋_GB2312" w:eastAsia="仿宋_GB2312"/>
          <w:sz w:val="32"/>
          <w:szCs w:val="32"/>
        </w:rPr>
        <w:t>次，出国（境）</w:t>
      </w:r>
      <w:r>
        <w:rPr>
          <w:rFonts w:hint="eastAsia" w:ascii="仿宋_GB2312" w:eastAsia="仿宋_GB2312"/>
          <w:sz w:val="32"/>
          <w:szCs w:val="32"/>
          <w:lang w:val="en-US" w:eastAsia="zh-CN"/>
        </w:rPr>
        <w:t>0</w:t>
      </w:r>
      <w:r>
        <w:rPr>
          <w:rFonts w:hint="eastAsia" w:ascii="仿宋_GB2312" w:eastAsia="仿宋_GB2312"/>
          <w:sz w:val="32"/>
          <w:szCs w:val="32"/>
        </w:rPr>
        <w:t>人。</w:t>
      </w:r>
    </w:p>
    <w:p w14:paraId="0DAE8F1C">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0</w:t>
      </w:r>
      <w:r>
        <w:rPr>
          <w:rStyle w:val="15"/>
          <w:rFonts w:ascii="仿宋" w:hAnsi="仿宋" w:eastAsia="仿宋"/>
          <w:b w:val="0"/>
          <w:bCs/>
          <w:sz w:val="32"/>
          <w:szCs w:val="32"/>
        </w:rPr>
        <w:t>%</w:t>
      </w:r>
      <w:r>
        <w:rPr>
          <w:rStyle w:val="15"/>
          <w:rFonts w:hint="eastAsia" w:ascii="仿宋" w:hAnsi="仿宋" w:eastAsia="仿宋"/>
          <w:b w:val="0"/>
          <w:bCs/>
          <w:sz w:val="32"/>
          <w:szCs w:val="32"/>
        </w:rPr>
        <w:t>。</w:t>
      </w:r>
    </w:p>
    <w:p w14:paraId="09693A7C">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hint="eastAsia" w:ascii="仿宋_GB2312" w:eastAsia="仿宋_GB2312"/>
          <w:sz w:val="32"/>
          <w:szCs w:val="32"/>
          <w:lang w:val="en-US" w:eastAsia="zh-CN"/>
        </w:rPr>
        <w:t>0</w:t>
      </w:r>
      <w:r>
        <w:rPr>
          <w:rFonts w:hint="eastAsia" w:ascii="仿宋_GB2312" w:eastAsia="仿宋_GB2312"/>
          <w:sz w:val="32"/>
          <w:szCs w:val="32"/>
        </w:rPr>
        <w:t>万元。全年按规定更新购置公务用车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万元，越野车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万元，载客汽车</w:t>
      </w:r>
      <w:r>
        <w:rPr>
          <w:rFonts w:hint="eastAsia" w:ascii="仿宋_GB2312" w:eastAsia="仿宋_GB2312"/>
          <w:sz w:val="32"/>
          <w:szCs w:val="32"/>
          <w:lang w:val="en-US" w:eastAsia="zh-CN"/>
        </w:rPr>
        <w:t>0</w:t>
      </w:r>
      <w:r>
        <w:rPr>
          <w:rFonts w:hint="eastAsia" w:ascii="仿宋_GB2312" w:eastAsia="仿宋_GB2312"/>
          <w:sz w:val="32"/>
          <w:szCs w:val="32"/>
        </w:rPr>
        <w:t>辆、金额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val="en-US" w:eastAsia="zh-CN"/>
        </w:rPr>
        <w:t>.</w:t>
      </w: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月底，单位共有公务用车</w:t>
      </w:r>
      <w:r>
        <w:rPr>
          <w:rFonts w:hint="eastAsia" w:ascii="仿宋_GB2312" w:eastAsia="仿宋_GB2312"/>
          <w:sz w:val="32"/>
          <w:szCs w:val="32"/>
          <w:lang w:val="en-US" w:eastAsia="zh-CN"/>
        </w:rPr>
        <w:t>0</w:t>
      </w:r>
      <w:r>
        <w:rPr>
          <w:rFonts w:hint="eastAsia" w:ascii="仿宋_GB2312" w:eastAsia="仿宋_GB2312"/>
          <w:sz w:val="32"/>
          <w:szCs w:val="32"/>
        </w:rPr>
        <w:t>辆，其中：轿车</w:t>
      </w:r>
      <w:r>
        <w:rPr>
          <w:rFonts w:hint="eastAsia" w:ascii="仿宋_GB2312" w:eastAsia="仿宋_GB2312"/>
          <w:sz w:val="32"/>
          <w:szCs w:val="32"/>
          <w:lang w:val="en-US" w:eastAsia="zh-CN"/>
        </w:rPr>
        <w:t>0</w:t>
      </w:r>
      <w:r>
        <w:rPr>
          <w:rFonts w:hint="eastAsia" w:ascii="仿宋_GB2312" w:eastAsia="仿宋_GB2312"/>
          <w:sz w:val="32"/>
          <w:szCs w:val="32"/>
        </w:rPr>
        <w:t>辆、越野车</w:t>
      </w:r>
      <w:r>
        <w:rPr>
          <w:rFonts w:hint="eastAsia" w:ascii="仿宋_GB2312" w:eastAsia="仿宋_GB2312"/>
          <w:sz w:val="32"/>
          <w:szCs w:val="32"/>
          <w:lang w:val="en-US" w:eastAsia="zh-CN"/>
        </w:rPr>
        <w:t>0</w:t>
      </w:r>
      <w:r>
        <w:rPr>
          <w:rFonts w:hint="eastAsia" w:ascii="仿宋_GB2312" w:eastAsia="仿宋_GB2312"/>
          <w:sz w:val="32"/>
          <w:szCs w:val="32"/>
        </w:rPr>
        <w:t>辆、载客汽车</w:t>
      </w:r>
      <w:r>
        <w:rPr>
          <w:rFonts w:hint="eastAsia" w:ascii="仿宋_GB2312" w:eastAsia="仿宋_GB2312"/>
          <w:sz w:val="32"/>
          <w:szCs w:val="32"/>
          <w:lang w:val="en-US" w:eastAsia="zh-CN"/>
        </w:rPr>
        <w:t>0</w:t>
      </w:r>
      <w:r>
        <w:rPr>
          <w:rFonts w:hint="eastAsia" w:ascii="仿宋_GB2312" w:eastAsia="仿宋_GB2312"/>
          <w:sz w:val="32"/>
          <w:szCs w:val="32"/>
        </w:rPr>
        <w:t>辆。</w:t>
      </w:r>
    </w:p>
    <w:p w14:paraId="7AC0357F">
      <w:pPr>
        <w:spacing w:line="600" w:lineRule="exact"/>
        <w:ind w:firstLine="640"/>
        <w:rPr>
          <w:rFonts w:hint="eastAsia" w:ascii="仿宋_GB2312" w:eastAsia="仿宋_GB2312"/>
          <w:sz w:val="32"/>
          <w:szCs w:val="32"/>
        </w:rPr>
      </w:pPr>
      <w:r>
        <w:rPr>
          <w:rFonts w:hint="eastAsia" w:ascii="仿宋_GB2312" w:eastAsia="仿宋_GB2312"/>
          <w:b/>
          <w:sz w:val="32"/>
          <w:szCs w:val="32"/>
        </w:rPr>
        <w:t>公务用车运行维护费支出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41068B41">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hint="eastAsia" w:ascii="仿宋_GB2312" w:eastAsia="仿宋_GB2312"/>
          <w:sz w:val="32"/>
          <w:szCs w:val="32"/>
          <w:lang w:val="en-US" w:eastAsia="zh-CN"/>
        </w:rPr>
        <w:t>2</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hint="eastAsia" w:ascii="仿宋" w:hAnsi="仿宋" w:eastAsia="仿宋"/>
          <w:b w:val="0"/>
          <w:bCs/>
          <w:sz w:val="32"/>
          <w:szCs w:val="32"/>
          <w:lang w:val="en-US" w:eastAsia="zh-CN"/>
        </w:rPr>
        <w:t>100</w:t>
      </w:r>
      <w:r>
        <w:rPr>
          <w:rStyle w:val="15"/>
          <w:rFonts w:ascii="仿宋" w:hAnsi="仿宋" w:eastAsia="仿宋"/>
          <w:b w:val="0"/>
          <w:bCs/>
          <w:sz w:val="32"/>
          <w:szCs w:val="32"/>
        </w:rPr>
        <w:t>%</w:t>
      </w:r>
      <w:r>
        <w:rPr>
          <w:rStyle w:val="15"/>
          <w:rFonts w:hint="eastAsia" w:ascii="仿宋" w:hAnsi="仿宋" w:eastAsia="仿宋"/>
          <w:b w:val="0"/>
          <w:bCs/>
          <w:sz w:val="32"/>
          <w:szCs w:val="32"/>
        </w:rPr>
        <w:t>。</w:t>
      </w:r>
      <w:r>
        <w:rPr>
          <w:rFonts w:hint="eastAsia" w:ascii="仿宋_GB2312" w:eastAsia="仿宋_GB2312"/>
          <w:sz w:val="32"/>
          <w:szCs w:val="32"/>
        </w:rPr>
        <w:t>公务接待费支出决算</w:t>
      </w:r>
      <w:r>
        <w:rPr>
          <w:rFonts w:hint="eastAsia" w:ascii="仿宋_GB2312" w:eastAsia="仿宋_GB2312"/>
          <w:sz w:val="32"/>
          <w:szCs w:val="32"/>
          <w:lang w:eastAsia="zh-CN"/>
        </w:rPr>
        <w:t>与</w:t>
      </w:r>
      <w:r>
        <w:rPr>
          <w:rFonts w:ascii="仿宋_GB2312" w:eastAsia="仿宋_GB2312"/>
          <w:sz w:val="32"/>
          <w:szCs w:val="32"/>
        </w:rPr>
        <w:t>20</w:t>
      </w:r>
      <w:r>
        <w:rPr>
          <w:rFonts w:hint="eastAsia" w:ascii="仿宋_GB2312" w:eastAsia="仿宋_GB2312"/>
          <w:sz w:val="32"/>
          <w:szCs w:val="32"/>
        </w:rPr>
        <w:t>20年</w:t>
      </w:r>
      <w:r>
        <w:rPr>
          <w:rFonts w:hint="eastAsia" w:ascii="仿宋_GB2312" w:eastAsia="仿宋_GB2312"/>
          <w:sz w:val="32"/>
          <w:szCs w:val="32"/>
          <w:lang w:eastAsia="zh-CN"/>
        </w:rPr>
        <w:t>持平。</w:t>
      </w:r>
    </w:p>
    <w:p w14:paraId="31D2170A">
      <w:pPr>
        <w:spacing w:line="600" w:lineRule="exact"/>
        <w:ind w:firstLine="640"/>
        <w:rPr>
          <w:rFonts w:hint="eastAsia" w:ascii="仿宋_GB2312" w:eastAsia="仿宋_GB2312"/>
          <w:sz w:val="32"/>
          <w:szCs w:val="32"/>
          <w:lang w:eastAsia="zh-CN"/>
        </w:rPr>
      </w:pPr>
      <w:r>
        <w:rPr>
          <w:rFonts w:hint="eastAsia" w:ascii="仿宋" w:hAnsi="仿宋" w:eastAsia="仿宋"/>
          <w:b/>
          <w:sz w:val="32"/>
          <w:szCs w:val="32"/>
        </w:rPr>
        <w:t>国内公务接待支出</w:t>
      </w:r>
      <w:r>
        <w:rPr>
          <w:rFonts w:hint="eastAsia" w:ascii="仿宋" w:hAnsi="仿宋" w:eastAsia="仿宋"/>
          <w:sz w:val="32"/>
          <w:szCs w:val="32"/>
          <w:lang w:val="en-US" w:eastAsia="zh-CN"/>
        </w:rPr>
        <w:t>2</w:t>
      </w:r>
      <w:r>
        <w:rPr>
          <w:rFonts w:hint="eastAsia" w:ascii="仿宋_GB2312" w:eastAsia="仿宋_GB2312"/>
          <w:sz w:val="32"/>
          <w:szCs w:val="32"/>
        </w:rPr>
        <w:t>万元，主要用于</w:t>
      </w:r>
      <w:r>
        <w:rPr>
          <w:rFonts w:hint="eastAsia" w:ascii="仿宋_GB2312" w:eastAsia="仿宋_GB2312"/>
          <w:sz w:val="32"/>
          <w:szCs w:val="32"/>
          <w:lang w:eastAsia="zh-CN"/>
        </w:rPr>
        <w:t>统战部、民宗局等</w:t>
      </w:r>
      <w:r>
        <w:rPr>
          <w:rFonts w:hint="eastAsia" w:ascii="仿宋_GB2312" w:eastAsia="仿宋_GB2312"/>
          <w:sz w:val="32"/>
          <w:szCs w:val="32"/>
        </w:rPr>
        <w:t>开展业务活动开支的用餐费等。国内公务接待</w:t>
      </w:r>
      <w:r>
        <w:rPr>
          <w:rFonts w:hint="eastAsia" w:ascii="仿宋_GB2312" w:eastAsia="仿宋_GB2312"/>
          <w:sz w:val="32"/>
          <w:szCs w:val="32"/>
          <w:lang w:val="en-US" w:eastAsia="zh-CN"/>
        </w:rPr>
        <w:t>19</w:t>
      </w:r>
      <w:r>
        <w:rPr>
          <w:rFonts w:hint="eastAsia" w:ascii="仿宋_GB2312" w:eastAsia="仿宋_GB2312"/>
          <w:sz w:val="32"/>
          <w:szCs w:val="32"/>
        </w:rPr>
        <w:t>批次，</w:t>
      </w:r>
      <w:r>
        <w:rPr>
          <w:rFonts w:hint="eastAsia" w:ascii="仿宋_GB2312" w:eastAsia="仿宋_GB2312"/>
          <w:sz w:val="32"/>
          <w:szCs w:val="32"/>
          <w:lang w:val="en-US" w:eastAsia="zh-CN"/>
        </w:rPr>
        <w:t>60</w:t>
      </w:r>
      <w:r>
        <w:rPr>
          <w:rFonts w:hint="eastAsia" w:ascii="仿宋_GB2312" w:eastAsia="仿宋_GB2312"/>
          <w:sz w:val="32"/>
          <w:szCs w:val="32"/>
        </w:rPr>
        <w:t>人次（不包括陪同人员），共计支出</w:t>
      </w:r>
      <w:r>
        <w:rPr>
          <w:rFonts w:hint="eastAsia" w:ascii="仿宋_GB2312" w:eastAsia="仿宋_GB2312"/>
          <w:sz w:val="32"/>
          <w:szCs w:val="32"/>
          <w:lang w:val="en-US" w:eastAsia="zh-CN"/>
        </w:rPr>
        <w:t>2</w:t>
      </w:r>
      <w:r>
        <w:rPr>
          <w:rFonts w:hint="eastAsia" w:ascii="仿宋_GB2312" w:eastAsia="仿宋_GB2312"/>
          <w:sz w:val="32"/>
          <w:szCs w:val="32"/>
        </w:rPr>
        <w:t>万元</w:t>
      </w:r>
      <w:r>
        <w:rPr>
          <w:rFonts w:hint="eastAsia" w:ascii="仿宋_GB2312" w:eastAsia="仿宋_GB2312"/>
          <w:sz w:val="32"/>
          <w:szCs w:val="32"/>
          <w:lang w:eastAsia="zh-CN"/>
        </w:rPr>
        <w:t>。</w:t>
      </w:r>
    </w:p>
    <w:p w14:paraId="4F50FA97">
      <w:pPr>
        <w:spacing w:line="600" w:lineRule="exact"/>
        <w:ind w:firstLine="643" w:firstLineChars="200"/>
        <w:rPr>
          <w:rFonts w:hint="eastAsia" w:ascii="仿宋_GB2312" w:eastAsia="仿宋_GB2312"/>
          <w:sz w:val="32"/>
          <w:szCs w:val="32"/>
          <w:lang w:eastAsia="zh-CN"/>
        </w:rPr>
      </w:pPr>
      <w:r>
        <w:rPr>
          <w:rFonts w:hint="eastAsia" w:ascii="仿宋" w:hAnsi="仿宋" w:eastAsia="仿宋"/>
          <w:b/>
          <w:sz w:val="32"/>
          <w:szCs w:val="32"/>
        </w:rPr>
        <w:t>外事接待支出</w:t>
      </w:r>
      <w:r>
        <w:rPr>
          <w:rFonts w:hint="eastAsia" w:ascii="仿宋" w:hAnsi="仿宋" w:eastAsia="仿宋"/>
          <w:sz w:val="32"/>
          <w:szCs w:val="32"/>
          <w:lang w:val="en-US" w:eastAsia="zh-CN"/>
        </w:rPr>
        <w:t>0</w:t>
      </w:r>
      <w:r>
        <w:rPr>
          <w:rFonts w:hint="eastAsia" w:ascii="仿宋_GB2312" w:eastAsia="仿宋_GB2312"/>
          <w:sz w:val="32"/>
          <w:szCs w:val="32"/>
        </w:rPr>
        <w:t>万元，外事接待</w:t>
      </w:r>
      <w:r>
        <w:rPr>
          <w:rFonts w:hint="eastAsia" w:ascii="仿宋_GB2312" w:eastAsia="仿宋_GB2312"/>
          <w:sz w:val="32"/>
          <w:szCs w:val="32"/>
          <w:lang w:val="en-US" w:eastAsia="zh-CN"/>
        </w:rPr>
        <w:t>0</w:t>
      </w:r>
      <w:r>
        <w:rPr>
          <w:rFonts w:hint="eastAsia" w:ascii="仿宋_GB2312" w:eastAsia="仿宋_GB2312"/>
          <w:sz w:val="32"/>
          <w:szCs w:val="32"/>
        </w:rPr>
        <w:t>批次，</w:t>
      </w:r>
      <w:r>
        <w:rPr>
          <w:rFonts w:hint="eastAsia" w:ascii="仿宋_GB2312" w:eastAsia="仿宋_GB2312"/>
          <w:sz w:val="32"/>
          <w:szCs w:val="32"/>
          <w:lang w:val="en-US" w:eastAsia="zh-CN"/>
        </w:rPr>
        <w:t>0</w:t>
      </w:r>
      <w:r>
        <w:rPr>
          <w:rFonts w:hint="eastAsia" w:ascii="仿宋_GB2312" w:eastAsia="仿宋_GB2312"/>
          <w:sz w:val="32"/>
          <w:szCs w:val="32"/>
        </w:rPr>
        <w:t>人，共计支出</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p w14:paraId="385C1FE8">
      <w:pPr>
        <w:spacing w:line="600" w:lineRule="exact"/>
        <w:ind w:firstLine="640" w:firstLineChars="200"/>
        <w:outlineLvl w:val="1"/>
        <w:rPr>
          <w:rStyle w:val="27"/>
          <w:rFonts w:ascii="黑体" w:hAnsi="黑体" w:eastAsia="黑体"/>
        </w:rPr>
      </w:pPr>
      <w:bookmarkStart w:id="50" w:name="_Toc15377218"/>
      <w:bookmarkStart w:id="51" w:name="_Toc15396610"/>
      <w:r>
        <w:rPr>
          <w:rFonts w:hint="eastAsia" w:ascii="黑体" w:eastAsia="黑体"/>
          <w:sz w:val="32"/>
          <w:szCs w:val="32"/>
        </w:rPr>
        <w:t>八、</w:t>
      </w:r>
      <w:r>
        <w:rPr>
          <w:rStyle w:val="27"/>
          <w:rFonts w:hint="eastAsia" w:ascii="黑体" w:hAnsi="黑体" w:eastAsia="黑体"/>
          <w:b w:val="0"/>
        </w:rPr>
        <w:t>政府性基金预算支出决算情况说明</w:t>
      </w:r>
      <w:bookmarkEnd w:id="50"/>
      <w:bookmarkEnd w:id="51"/>
    </w:p>
    <w:p w14:paraId="46B89280">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3A90CC35">
      <w:pPr>
        <w:numPr>
          <w:ilvl w:val="0"/>
          <w:numId w:val="3"/>
        </w:numPr>
        <w:spacing w:line="600" w:lineRule="exact"/>
        <w:ind w:firstLine="640"/>
        <w:outlineLvl w:val="1"/>
        <w:rPr>
          <w:rStyle w:val="27"/>
          <w:rFonts w:ascii="黑体" w:hAnsi="黑体" w:eastAsia="黑体"/>
          <w:b w:val="0"/>
        </w:rPr>
      </w:pPr>
      <w:bookmarkStart w:id="52" w:name="_Toc15377219"/>
      <w:bookmarkStart w:id="53" w:name="_Toc15396611"/>
      <w:r>
        <w:rPr>
          <w:rStyle w:val="27"/>
          <w:rFonts w:hint="eastAsia" w:ascii="黑体" w:hAnsi="黑体" w:eastAsia="黑体"/>
          <w:b w:val="0"/>
        </w:rPr>
        <w:t>国有资本经营预算支出决算情况说明</w:t>
      </w:r>
      <w:bookmarkEnd w:id="52"/>
      <w:bookmarkEnd w:id="53"/>
    </w:p>
    <w:p w14:paraId="641F474E">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hint="eastAsia" w:ascii="仿宋_GB2312" w:eastAsia="仿宋_GB2312"/>
          <w:sz w:val="32"/>
          <w:szCs w:val="32"/>
          <w:lang w:val="en-US" w:eastAsia="zh-CN"/>
        </w:rPr>
        <w:t>0</w:t>
      </w:r>
      <w:r>
        <w:rPr>
          <w:rFonts w:hint="eastAsia" w:ascii="仿宋_GB2312" w:eastAsia="仿宋_GB2312"/>
          <w:sz w:val="32"/>
          <w:szCs w:val="32"/>
        </w:rPr>
        <w:t>万元。</w:t>
      </w:r>
    </w:p>
    <w:p w14:paraId="68BEDE50">
      <w:pPr>
        <w:numPr>
          <w:ilvl w:val="0"/>
          <w:numId w:val="3"/>
        </w:numPr>
        <w:spacing w:line="600" w:lineRule="exact"/>
        <w:ind w:firstLine="640"/>
        <w:outlineLvl w:val="1"/>
        <w:rPr>
          <w:rStyle w:val="27"/>
          <w:rFonts w:ascii="黑体" w:hAnsi="黑体" w:eastAsia="黑体"/>
          <w:b w:val="0"/>
        </w:rPr>
      </w:pPr>
      <w:bookmarkStart w:id="54" w:name="_Toc15377221"/>
      <w:bookmarkStart w:id="55" w:name="_Toc15396612"/>
      <w:r>
        <w:rPr>
          <w:rStyle w:val="27"/>
          <w:rFonts w:hint="eastAsia" w:ascii="黑体" w:hAnsi="黑体" w:eastAsia="黑体"/>
          <w:b w:val="0"/>
        </w:rPr>
        <w:t>其他重要事项的情况说明</w:t>
      </w:r>
      <w:bookmarkEnd w:id="54"/>
      <w:bookmarkEnd w:id="55"/>
    </w:p>
    <w:p w14:paraId="2C061C72">
      <w:pPr>
        <w:spacing w:line="600" w:lineRule="exact"/>
        <w:ind w:firstLine="643" w:firstLineChars="200"/>
        <w:outlineLvl w:val="2"/>
        <w:rPr>
          <w:rFonts w:ascii="仿宋" w:hAnsi="仿宋" w:eastAsia="仿宋"/>
          <w:sz w:val="32"/>
          <w:szCs w:val="32"/>
        </w:rPr>
      </w:pPr>
      <w:bookmarkStart w:id="56" w:name="_Toc15377222"/>
      <w:r>
        <w:rPr>
          <w:rFonts w:hint="eastAsia" w:ascii="仿宋" w:hAnsi="仿宋" w:eastAsia="仿宋"/>
          <w:b/>
          <w:sz w:val="32"/>
          <w:szCs w:val="32"/>
        </w:rPr>
        <w:t>（一）机关运行经费支出情况</w:t>
      </w:r>
      <w:bookmarkEnd w:id="56"/>
    </w:p>
    <w:p w14:paraId="3C3FA8BC">
      <w:pPr>
        <w:spacing w:line="600" w:lineRule="exact"/>
        <w:ind w:firstLine="640" w:firstLineChars="200"/>
        <w:rPr>
          <w:rFonts w:hint="eastAsia" w:ascii="仿宋_GB2312" w:eastAsia="仿宋_GB2312"/>
          <w:sz w:val="32"/>
          <w:szCs w:val="32"/>
          <w:lang w:eastAsia="zh-CN"/>
        </w:rPr>
      </w:pPr>
      <w:r>
        <w:rPr>
          <w:rFonts w:ascii="仿宋_GB2312" w:eastAsia="仿宋_GB2312"/>
          <w:sz w:val="32"/>
          <w:szCs w:val="32"/>
        </w:rPr>
        <w:t>20</w:t>
      </w:r>
      <w:r>
        <w:rPr>
          <w:rFonts w:hint="eastAsia" w:ascii="仿宋_GB2312" w:eastAsia="仿宋_GB2312"/>
          <w:sz w:val="32"/>
          <w:szCs w:val="32"/>
        </w:rPr>
        <w:t>21年，</w:t>
      </w:r>
      <w:r>
        <w:rPr>
          <w:rFonts w:hint="eastAsia" w:ascii="仿宋_GB2312" w:eastAsia="仿宋_GB2312"/>
          <w:sz w:val="32"/>
          <w:szCs w:val="32"/>
          <w:lang w:eastAsia="zh-CN"/>
        </w:rPr>
        <w:t>统战部</w:t>
      </w:r>
      <w:r>
        <w:rPr>
          <w:rFonts w:hint="eastAsia" w:ascii="仿宋_GB2312" w:eastAsia="仿宋_GB2312"/>
          <w:sz w:val="32"/>
          <w:szCs w:val="32"/>
        </w:rPr>
        <w:t>机关运行经费支出</w:t>
      </w:r>
      <w:r>
        <w:rPr>
          <w:rFonts w:hint="eastAsia" w:ascii="仿宋_GB2312" w:eastAsia="仿宋_GB2312"/>
          <w:sz w:val="32"/>
          <w:szCs w:val="32"/>
          <w:lang w:val="en-US" w:eastAsia="zh-CN"/>
        </w:rPr>
        <w:t>32.26</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20年增加</w:t>
      </w:r>
      <w:r>
        <w:rPr>
          <w:rFonts w:hint="eastAsia" w:ascii="仿宋_GB2312" w:eastAsia="仿宋_GB2312"/>
          <w:sz w:val="32"/>
          <w:szCs w:val="32"/>
          <w:lang w:val="en-US" w:eastAsia="zh-CN"/>
        </w:rPr>
        <w:t>1.42</w:t>
      </w:r>
      <w:r>
        <w:rPr>
          <w:rFonts w:hint="eastAsia" w:ascii="仿宋_GB2312" w:eastAsia="仿宋_GB2312"/>
          <w:sz w:val="32"/>
          <w:szCs w:val="32"/>
        </w:rPr>
        <w:t>万元，增长</w:t>
      </w:r>
      <w:r>
        <w:rPr>
          <w:rFonts w:hint="eastAsia" w:ascii="仿宋_GB2312" w:eastAsia="仿宋_GB2312"/>
          <w:sz w:val="32"/>
          <w:szCs w:val="32"/>
          <w:lang w:val="en-US" w:eastAsia="zh-CN"/>
        </w:rPr>
        <w:t>4</w:t>
      </w:r>
      <w:r>
        <w:rPr>
          <w:rFonts w:ascii="仿宋_GB2312" w:eastAsia="仿宋_GB2312"/>
          <w:sz w:val="32"/>
          <w:szCs w:val="32"/>
        </w:rPr>
        <w:t>%</w:t>
      </w:r>
      <w:r>
        <w:rPr>
          <w:rFonts w:hint="eastAsia" w:ascii="仿宋_GB2312" w:eastAsia="仿宋_GB2312"/>
          <w:sz w:val="32"/>
          <w:szCs w:val="32"/>
        </w:rPr>
        <w:t>。主要原因是</w:t>
      </w:r>
      <w:r>
        <w:rPr>
          <w:rFonts w:hint="eastAsia" w:ascii="仿宋_GB2312" w:eastAsia="仿宋_GB2312"/>
          <w:sz w:val="32"/>
          <w:szCs w:val="32"/>
          <w:lang w:eastAsia="zh-CN"/>
        </w:rPr>
        <w:t>人员增加，办公费用增加。</w:t>
      </w:r>
    </w:p>
    <w:p w14:paraId="07D23C04">
      <w:pPr>
        <w:autoSpaceDE w:val="0"/>
        <w:autoSpaceDN w:val="0"/>
        <w:adjustRightInd w:val="0"/>
        <w:spacing w:line="600" w:lineRule="exact"/>
        <w:ind w:firstLine="643" w:firstLineChars="200"/>
        <w:jc w:val="left"/>
        <w:outlineLvl w:val="2"/>
        <w:rPr>
          <w:rFonts w:ascii="仿宋" w:hAnsi="仿宋" w:eastAsia="仿宋"/>
          <w:b/>
          <w:sz w:val="32"/>
          <w:szCs w:val="32"/>
        </w:rPr>
      </w:pPr>
      <w:bookmarkStart w:id="57" w:name="_Toc15377223"/>
      <w:r>
        <w:rPr>
          <w:rFonts w:hint="eastAsia" w:ascii="仿宋" w:hAnsi="仿宋" w:eastAsia="仿宋"/>
          <w:b/>
          <w:sz w:val="32"/>
          <w:szCs w:val="32"/>
        </w:rPr>
        <w:t>（二）政府采购支出情况</w:t>
      </w:r>
      <w:bookmarkEnd w:id="57"/>
    </w:p>
    <w:p w14:paraId="18E06717">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21年，政府采购支出总额</w:t>
      </w:r>
      <w:r>
        <w:rPr>
          <w:rFonts w:hint="eastAsia" w:ascii="仿宋_GB2312" w:eastAsia="仿宋_GB2312"/>
          <w:sz w:val="32"/>
          <w:szCs w:val="32"/>
          <w:lang w:val="en-US" w:eastAsia="zh-CN"/>
        </w:rPr>
        <w:t>0</w:t>
      </w:r>
      <w:r>
        <w:rPr>
          <w:rFonts w:hint="eastAsia" w:ascii="仿宋_GB2312" w:eastAsia="仿宋_GB2312"/>
          <w:sz w:val="32"/>
          <w:szCs w:val="32"/>
        </w:rPr>
        <w:t>万元，其中：政府采购货物支出</w:t>
      </w:r>
      <w:r>
        <w:rPr>
          <w:rFonts w:hint="eastAsia" w:ascii="仿宋_GB2312" w:eastAsia="仿宋_GB2312"/>
          <w:sz w:val="32"/>
          <w:szCs w:val="32"/>
          <w:lang w:val="en-US" w:eastAsia="zh-CN"/>
        </w:rPr>
        <w:t>0</w:t>
      </w:r>
      <w:r>
        <w:rPr>
          <w:rFonts w:hint="eastAsia" w:ascii="仿宋_GB2312" w:eastAsia="仿宋_GB2312"/>
          <w:sz w:val="32"/>
          <w:szCs w:val="32"/>
        </w:rPr>
        <w:t>万元、政府采购工程支出</w:t>
      </w:r>
      <w:r>
        <w:rPr>
          <w:rFonts w:hint="eastAsia" w:ascii="仿宋_GB2312" w:eastAsia="仿宋_GB2312"/>
          <w:sz w:val="32"/>
          <w:szCs w:val="32"/>
          <w:lang w:val="en-US" w:eastAsia="zh-CN"/>
        </w:rPr>
        <w:t>0</w:t>
      </w:r>
      <w:r>
        <w:rPr>
          <w:rFonts w:hint="eastAsia" w:ascii="仿宋_GB2312" w:eastAsia="仿宋_GB2312"/>
          <w:sz w:val="32"/>
          <w:szCs w:val="32"/>
        </w:rPr>
        <w:t>万元、政府采购服务支出</w:t>
      </w:r>
      <w:r>
        <w:rPr>
          <w:rFonts w:hint="eastAsia" w:ascii="仿宋_GB2312" w:eastAsia="仿宋_GB2312"/>
          <w:sz w:val="32"/>
          <w:szCs w:val="32"/>
          <w:lang w:val="en-US" w:eastAsia="zh-CN"/>
        </w:rPr>
        <w:t>0</w:t>
      </w:r>
      <w:r>
        <w:rPr>
          <w:rFonts w:hint="eastAsia" w:ascii="仿宋_GB2312" w:eastAsia="仿宋_GB2312"/>
          <w:sz w:val="32"/>
          <w:szCs w:val="32"/>
        </w:rPr>
        <w:t>万元。授予中小企业合同金额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ascii="仿宋_GB2312" w:eastAsia="仿宋_GB2312"/>
          <w:sz w:val="32"/>
          <w:szCs w:val="32"/>
        </w:rPr>
        <w:t>%</w:t>
      </w:r>
      <w:r>
        <w:rPr>
          <w:rFonts w:hint="eastAsia" w:ascii="仿宋_GB2312" w:eastAsia="仿宋_GB2312"/>
          <w:sz w:val="32"/>
          <w:szCs w:val="32"/>
        </w:rPr>
        <w:t>。</w:t>
      </w:r>
    </w:p>
    <w:p w14:paraId="6BC6A992">
      <w:pPr>
        <w:autoSpaceDE w:val="0"/>
        <w:autoSpaceDN w:val="0"/>
        <w:adjustRightInd w:val="0"/>
        <w:spacing w:line="600" w:lineRule="exact"/>
        <w:ind w:firstLine="643" w:firstLineChars="200"/>
        <w:jc w:val="left"/>
        <w:outlineLvl w:val="2"/>
        <w:rPr>
          <w:rFonts w:ascii="仿宋" w:hAnsi="仿宋" w:eastAsia="仿宋"/>
          <w:b/>
          <w:sz w:val="32"/>
          <w:szCs w:val="32"/>
        </w:rPr>
      </w:pPr>
      <w:bookmarkStart w:id="58" w:name="_Toc15377224"/>
      <w:r>
        <w:rPr>
          <w:rFonts w:hint="eastAsia" w:ascii="仿宋" w:hAnsi="仿宋" w:eastAsia="仿宋"/>
          <w:b/>
          <w:sz w:val="32"/>
          <w:szCs w:val="32"/>
        </w:rPr>
        <w:t>（三）国有资产占有使用情况</w:t>
      </w:r>
      <w:bookmarkEnd w:id="58"/>
    </w:p>
    <w:p w14:paraId="2E5EA702">
      <w:pPr>
        <w:autoSpaceDE w:val="0"/>
        <w:autoSpaceDN w:val="0"/>
        <w:adjustRightInd w:val="0"/>
        <w:spacing w:line="600" w:lineRule="exact"/>
        <w:ind w:firstLine="640" w:firstLineChars="200"/>
        <w:jc w:val="left"/>
        <w:rPr>
          <w:rFonts w:ascii="仿宋_GB2312" w:eastAsia="仿宋_GB2312"/>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日，共有车辆</w:t>
      </w:r>
      <w:r>
        <w:rPr>
          <w:rFonts w:hint="eastAsia" w:ascii="仿宋_GB2312" w:eastAsia="仿宋_GB2312"/>
          <w:sz w:val="32"/>
          <w:szCs w:val="32"/>
          <w:lang w:val="en-US" w:eastAsia="zh-CN"/>
        </w:rPr>
        <w:t>0</w:t>
      </w:r>
      <w:r>
        <w:rPr>
          <w:rFonts w:hint="eastAsia" w:ascii="仿宋_GB2312" w:eastAsia="仿宋_GB2312"/>
          <w:sz w:val="32"/>
          <w:szCs w:val="32"/>
        </w:rPr>
        <w:t>辆，其中：主要领导干部用车</w:t>
      </w:r>
      <w:r>
        <w:rPr>
          <w:rFonts w:hint="eastAsia" w:ascii="仿宋_GB2312" w:eastAsia="仿宋_GB2312"/>
          <w:sz w:val="32"/>
          <w:szCs w:val="32"/>
          <w:lang w:val="en-US" w:eastAsia="zh-CN"/>
        </w:rPr>
        <w:t>0</w:t>
      </w:r>
      <w:r>
        <w:rPr>
          <w:rFonts w:hint="eastAsia" w:ascii="仿宋_GB2312" w:eastAsia="仿宋_GB2312"/>
          <w:sz w:val="32"/>
          <w:szCs w:val="32"/>
        </w:rPr>
        <w:t>辆、机要通信用车</w:t>
      </w:r>
      <w:r>
        <w:rPr>
          <w:rFonts w:hint="eastAsia" w:ascii="仿宋_GB2312" w:eastAsia="仿宋_GB2312"/>
          <w:sz w:val="32"/>
          <w:szCs w:val="32"/>
          <w:lang w:val="en-US" w:eastAsia="zh-CN"/>
        </w:rPr>
        <w:t>0</w:t>
      </w:r>
      <w:r>
        <w:rPr>
          <w:rFonts w:hint="eastAsia" w:ascii="仿宋_GB2312" w:eastAsia="仿宋_GB2312"/>
          <w:sz w:val="32"/>
          <w:szCs w:val="32"/>
        </w:rPr>
        <w:t>辆、应急保障用车</w:t>
      </w:r>
      <w:r>
        <w:rPr>
          <w:rFonts w:hint="eastAsia" w:ascii="仿宋_GB2312" w:eastAsia="仿宋_GB2312"/>
          <w:sz w:val="32"/>
          <w:szCs w:val="32"/>
          <w:lang w:val="en-US" w:eastAsia="zh-CN"/>
        </w:rPr>
        <w:t>0</w:t>
      </w:r>
      <w:r>
        <w:rPr>
          <w:rFonts w:hint="eastAsia" w:ascii="仿宋_GB2312" w:eastAsia="仿宋_GB2312"/>
          <w:sz w:val="32"/>
          <w:szCs w:val="32"/>
        </w:rPr>
        <w:t>辆、其他用车</w:t>
      </w:r>
      <w:r>
        <w:rPr>
          <w:rFonts w:hint="eastAsia" w:ascii="仿宋_GB2312" w:eastAsia="仿宋_GB2312"/>
          <w:sz w:val="32"/>
          <w:szCs w:val="32"/>
          <w:lang w:val="en-US" w:eastAsia="zh-CN"/>
        </w:rPr>
        <w:t>0</w:t>
      </w:r>
      <w:r>
        <w:rPr>
          <w:rFonts w:hint="eastAsia" w:ascii="仿宋_GB2312" w:eastAsia="仿宋_GB2312"/>
          <w:sz w:val="32"/>
          <w:szCs w:val="32"/>
        </w:rPr>
        <w:t>辆</w:t>
      </w:r>
      <w:r>
        <w:rPr>
          <w:rFonts w:hint="eastAsia" w:ascii="仿宋_GB2312" w:eastAsia="仿宋_GB2312"/>
          <w:sz w:val="32"/>
          <w:szCs w:val="32"/>
          <w:lang w:eastAsia="zh-CN"/>
        </w:rPr>
        <w:t>，</w:t>
      </w:r>
      <w:r>
        <w:rPr>
          <w:rFonts w:hint="eastAsia" w:ascii="仿宋_GB2312" w:eastAsia="仿宋_GB2312"/>
          <w:sz w:val="32"/>
          <w:szCs w:val="32"/>
        </w:rPr>
        <w:t>单价</w:t>
      </w:r>
      <w:r>
        <w:rPr>
          <w:rFonts w:ascii="仿宋_GB2312" w:eastAsia="仿宋_GB2312"/>
          <w:sz w:val="32"/>
          <w:szCs w:val="32"/>
        </w:rPr>
        <w:t>50</w:t>
      </w:r>
      <w:r>
        <w:rPr>
          <w:rFonts w:hint="eastAsia" w:ascii="仿宋_GB2312" w:eastAsia="仿宋_GB2312"/>
          <w:sz w:val="32"/>
          <w:szCs w:val="32"/>
        </w:rPr>
        <w:t>万元以上通用设备</w:t>
      </w:r>
      <w:r>
        <w:rPr>
          <w:rFonts w:hint="eastAsia" w:ascii="仿宋_GB2312" w:eastAsia="仿宋_GB2312"/>
          <w:sz w:val="32"/>
          <w:szCs w:val="32"/>
          <w:lang w:val="en-US" w:eastAsia="zh-CN"/>
        </w:rPr>
        <w:t>,0</w:t>
      </w:r>
      <w:r>
        <w:rPr>
          <w:rFonts w:hint="eastAsia" w:ascii="仿宋_GB2312" w:eastAsia="仿宋_GB2312"/>
          <w:sz w:val="32"/>
          <w:szCs w:val="32"/>
        </w:rPr>
        <w:t>台（套），单价</w:t>
      </w:r>
      <w:r>
        <w:rPr>
          <w:rFonts w:ascii="仿宋_GB2312" w:eastAsia="仿宋_GB2312"/>
          <w:sz w:val="32"/>
          <w:szCs w:val="32"/>
        </w:rPr>
        <w:t>100</w:t>
      </w:r>
      <w:r>
        <w:rPr>
          <w:rFonts w:hint="eastAsia" w:ascii="仿宋_GB2312" w:eastAsia="仿宋_GB2312"/>
          <w:sz w:val="32"/>
          <w:szCs w:val="32"/>
        </w:rPr>
        <w:t>万元以上专用设备</w:t>
      </w:r>
      <w:r>
        <w:rPr>
          <w:rFonts w:hint="eastAsia" w:ascii="仿宋_GB2312" w:eastAsia="仿宋_GB2312"/>
          <w:sz w:val="32"/>
          <w:szCs w:val="32"/>
          <w:lang w:val="en-US" w:eastAsia="zh-CN"/>
        </w:rPr>
        <w:t>0</w:t>
      </w:r>
      <w:r>
        <w:rPr>
          <w:rFonts w:hint="eastAsia" w:ascii="仿宋_GB2312" w:eastAsia="仿宋_GB2312"/>
          <w:sz w:val="32"/>
          <w:szCs w:val="32"/>
        </w:rPr>
        <w:t>台（套）。</w:t>
      </w:r>
    </w:p>
    <w:p w14:paraId="1148FBE5">
      <w:pPr>
        <w:autoSpaceDE w:val="0"/>
        <w:autoSpaceDN w:val="0"/>
        <w:adjustRightInd w:val="0"/>
        <w:spacing w:line="600" w:lineRule="exact"/>
        <w:ind w:firstLine="643"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14:paraId="1F0A8089">
      <w:pPr>
        <w:spacing w:line="580"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sz w:val="32"/>
          <w:szCs w:val="32"/>
        </w:rPr>
        <w:t>根据预算绩效管理要求，本部门在2021年度预算编制阶段，组织对</w:t>
      </w:r>
      <w:r>
        <w:rPr>
          <w:rFonts w:hint="eastAsia" w:ascii="仿宋_GB2312" w:hAnsi="仿宋_GB2312" w:eastAsia="仿宋_GB2312" w:cs="仿宋_GB2312"/>
          <w:sz w:val="32"/>
          <w:szCs w:val="32"/>
          <w:lang w:eastAsia="zh-CN"/>
        </w:rPr>
        <w:t>九三学社工作经费、统战部培训费、侨联项目经费</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个项目开展了预算事前绩效评估，对</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个项目编制了绩效目标，预算执行过程中，选取</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个项目开展绩效</w:t>
      </w:r>
      <w:r>
        <w:rPr>
          <w:rFonts w:hint="eastAsia" w:ascii="仿宋_GB2312" w:hAnsi="仿宋_GB2312" w:eastAsia="仿宋_GB2312" w:cs="仿宋_GB2312"/>
          <w:color w:val="auto"/>
          <w:sz w:val="32"/>
          <w:szCs w:val="32"/>
        </w:rPr>
        <w:t>监控，年终执行完毕后，对</w:t>
      </w:r>
      <w:r>
        <w:rPr>
          <w:rFonts w:hint="eastAsia" w:ascii="仿宋_GB2312" w:hAnsi="仿宋_GB2312" w:eastAsia="仿宋_GB2312" w:cs="仿宋_GB2312"/>
          <w:color w:val="auto"/>
          <w:sz w:val="32"/>
          <w:szCs w:val="32"/>
          <w:lang w:val="en-US" w:eastAsia="zh-CN"/>
        </w:rPr>
        <w:t>20</w:t>
      </w:r>
      <w:r>
        <w:rPr>
          <w:rFonts w:hint="eastAsia" w:ascii="仿宋_GB2312" w:hAnsi="仿宋_GB2312" w:eastAsia="仿宋_GB2312" w:cs="仿宋_GB2312"/>
          <w:color w:val="auto"/>
          <w:sz w:val="32"/>
          <w:szCs w:val="32"/>
        </w:rPr>
        <w:t>个项目开展了绩效自评。同时，本部门对2021年部门整体开展绩效自评，《2021年</w:t>
      </w:r>
      <w:r>
        <w:rPr>
          <w:rFonts w:hint="eastAsia" w:ascii="仿宋_GB2312" w:hAnsi="仿宋_GB2312" w:eastAsia="仿宋_GB2312" w:cs="仿宋_GB2312"/>
          <w:color w:val="auto"/>
          <w:sz w:val="32"/>
          <w:szCs w:val="32"/>
          <w:lang w:eastAsia="zh-CN"/>
        </w:rPr>
        <w:t>统战部</w:t>
      </w:r>
      <w:r>
        <w:rPr>
          <w:rFonts w:hint="eastAsia" w:ascii="仿宋_GB2312" w:hAnsi="仿宋_GB2312" w:eastAsia="仿宋_GB2312" w:cs="仿宋_GB2312"/>
          <w:color w:val="auto"/>
          <w:sz w:val="32"/>
          <w:szCs w:val="32"/>
        </w:rPr>
        <w:t>部门整体绩效评价报告》、2021年项目绩效评价报告及绩效目标自评表见附件（第四部分）。</w:t>
      </w:r>
    </w:p>
    <w:p w14:paraId="54F1795C">
      <w:pPr>
        <w:widowControl/>
        <w:jc w:val="left"/>
        <w:rPr>
          <w:rFonts w:ascii="仿宋_GB2312" w:eastAsia="仿宋_GB2312"/>
          <w:b/>
          <w:color w:val="auto"/>
          <w:sz w:val="32"/>
          <w:szCs w:val="32"/>
        </w:rPr>
      </w:pPr>
      <w:r>
        <w:rPr>
          <w:rFonts w:ascii="仿宋_GB2312" w:eastAsia="仿宋_GB2312"/>
          <w:b/>
          <w:color w:val="auto"/>
          <w:sz w:val="32"/>
          <w:szCs w:val="32"/>
        </w:rPr>
        <w:br w:type="page"/>
      </w:r>
    </w:p>
    <w:p w14:paraId="40901208">
      <w:pPr>
        <w:numPr>
          <w:ilvl w:val="0"/>
          <w:numId w:val="4"/>
        </w:numPr>
        <w:spacing w:line="600" w:lineRule="exact"/>
        <w:ind w:firstLine="660" w:firstLineChars="150"/>
        <w:jc w:val="center"/>
        <w:outlineLvl w:val="0"/>
        <w:rPr>
          <w:rStyle w:val="26"/>
          <w:rFonts w:ascii="黑体" w:hAnsi="黑体" w:eastAsia="黑体"/>
          <w:b w:val="0"/>
        </w:rPr>
      </w:pPr>
      <w:bookmarkStart w:id="59" w:name="_Toc15396613"/>
      <w:bookmarkStart w:id="60" w:name="_Toc15377225"/>
      <w:r>
        <w:rPr>
          <w:rFonts w:hint="eastAsia" w:ascii="黑体" w:hAnsi="黑体" w:eastAsia="黑体"/>
          <w:sz w:val="44"/>
          <w:szCs w:val="44"/>
        </w:rPr>
        <w:t>名</w:t>
      </w:r>
      <w:r>
        <w:rPr>
          <w:rStyle w:val="26"/>
          <w:rFonts w:hint="eastAsia" w:ascii="黑体" w:hAnsi="黑体" w:eastAsia="黑体"/>
          <w:b w:val="0"/>
        </w:rPr>
        <w:t>词解释</w:t>
      </w:r>
      <w:bookmarkEnd w:id="59"/>
      <w:bookmarkEnd w:id="60"/>
    </w:p>
    <w:p w14:paraId="7B6D78DA">
      <w:pPr>
        <w:spacing w:line="600" w:lineRule="exact"/>
        <w:jc w:val="left"/>
        <w:rPr>
          <w:rFonts w:ascii="宋体"/>
          <w:b/>
          <w:sz w:val="44"/>
          <w:szCs w:val="44"/>
        </w:rPr>
      </w:pPr>
    </w:p>
    <w:p w14:paraId="55C3F3D8">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1.</w:t>
      </w:r>
      <w:r>
        <w:rPr>
          <w:rFonts w:hint="eastAsia" w:ascii="仿宋_GB2312" w:eastAsia="仿宋_GB2312"/>
          <w:color w:val="auto"/>
          <w:sz w:val="32"/>
          <w:szCs w:val="32"/>
        </w:rPr>
        <w:t>财政拨款收入：指单位从同级财政部门取得的财政预算资金。</w:t>
      </w:r>
    </w:p>
    <w:p w14:paraId="59A91FC9">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2.</w:t>
      </w:r>
      <w:r>
        <w:rPr>
          <w:rFonts w:hint="eastAsia" w:ascii="仿宋_GB2312" w:eastAsia="仿宋_GB2312"/>
          <w:color w:val="auto"/>
          <w:sz w:val="32"/>
          <w:szCs w:val="32"/>
        </w:rPr>
        <w:t>事业收入：指事业单位开展专业业务活动及辅助活动取得的收入。</w:t>
      </w:r>
    </w:p>
    <w:p w14:paraId="5CA43912">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3.</w:t>
      </w:r>
      <w:r>
        <w:rPr>
          <w:rFonts w:hint="eastAsia" w:ascii="仿宋_GB2312" w:eastAsia="仿宋_GB2312"/>
          <w:color w:val="auto"/>
          <w:sz w:val="32"/>
          <w:szCs w:val="32"/>
        </w:rPr>
        <w:t>经营收入：指事业单位在专业业务活动及其辅助活动之外开展非独立核算经营活动取得的收入。</w:t>
      </w:r>
    </w:p>
    <w:p w14:paraId="32080DE8">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4.</w:t>
      </w:r>
      <w:r>
        <w:rPr>
          <w:rFonts w:hint="eastAsia" w:ascii="仿宋_GB2312" w:eastAsia="仿宋_GB2312"/>
          <w:color w:val="auto"/>
          <w:sz w:val="32"/>
          <w:szCs w:val="32"/>
        </w:rPr>
        <w:t>其他收入：指单位取得的除上述收入以外的各项收入。</w:t>
      </w:r>
      <w:r>
        <w:rPr>
          <w:rFonts w:ascii="仿宋_GB2312" w:eastAsia="仿宋_GB2312"/>
          <w:color w:val="auto"/>
          <w:sz w:val="32"/>
          <w:szCs w:val="32"/>
        </w:rPr>
        <w:t xml:space="preserve"> </w:t>
      </w:r>
    </w:p>
    <w:p w14:paraId="4E6B5D4A">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5.</w:t>
      </w:r>
      <w:r>
        <w:rPr>
          <w:rFonts w:hint="eastAsia" w:ascii="仿宋_GB2312" w:eastAsia="仿宋_GB2312"/>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14:paraId="7272B21E">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6.</w:t>
      </w:r>
      <w:r>
        <w:rPr>
          <w:rFonts w:hint="eastAsia" w:ascii="仿宋_GB2312" w:eastAsia="仿宋_GB2312"/>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14:paraId="51302EBC">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7.</w:t>
      </w:r>
      <w:r>
        <w:rPr>
          <w:rFonts w:hint="eastAsia" w:ascii="仿宋_GB2312" w:eastAsia="仿宋_GB2312"/>
          <w:color w:val="auto"/>
          <w:sz w:val="32"/>
          <w:szCs w:val="32"/>
        </w:rPr>
        <w:t>结余分配：指事业单位按照会计制度规定缴纳的所得税、提取的专用结余以及转入非财政拨款结余的金额等。</w:t>
      </w:r>
    </w:p>
    <w:p w14:paraId="7D3F8843">
      <w:pPr>
        <w:pStyle w:val="24"/>
        <w:spacing w:line="560" w:lineRule="exact"/>
        <w:ind w:firstLine="640" w:firstLineChars="200"/>
        <w:rPr>
          <w:rFonts w:ascii="仿宋_GB2312" w:eastAsia="仿宋_GB2312"/>
          <w:color w:val="auto"/>
          <w:sz w:val="32"/>
          <w:szCs w:val="32"/>
        </w:rPr>
      </w:pPr>
      <w:r>
        <w:rPr>
          <w:rFonts w:ascii="仿宋_GB2312" w:eastAsia="仿宋_GB2312"/>
          <w:color w:val="auto"/>
          <w:sz w:val="32"/>
          <w:szCs w:val="32"/>
        </w:rPr>
        <w:t>8</w:t>
      </w:r>
      <w:r>
        <w:rPr>
          <w:rFonts w:hint="eastAsia" w:ascii="仿宋_GB2312" w:eastAsia="仿宋_GB2312"/>
          <w:color w:val="auto"/>
          <w:sz w:val="32"/>
          <w:szCs w:val="32"/>
        </w:rPr>
        <w:t>、年末结转和结余：指单位按有关规定结转到下年或以后年度继续使用的资金。</w:t>
      </w:r>
    </w:p>
    <w:p w14:paraId="09224DDA">
      <w:pPr>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9.一般公共服务（类）其他共产党事务支出（款）行政运行（项）：指行政单位的基本支出。一般行政管理事务（项）：指基本支出外的其他支出。</w:t>
      </w:r>
    </w:p>
    <w:p w14:paraId="65938C37">
      <w:pPr>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10.教育（类）进修及培训（款）干部教育（项）：指各类培训支出。</w:t>
      </w:r>
    </w:p>
    <w:p w14:paraId="0A446EB8">
      <w:pPr>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11. 社会保障和就业（类）行政事业单位离退休（款）机关事业单位基本养老保险缴费支出（项）：指财政对机关事业单位职工养老保险补助支出。社会保障和就业（类）行政事业单位离退休（款）机关事业单位职业年金缴费支出（项）：指财政对机关事业单位职工职业年金补助支出</w:t>
      </w:r>
    </w:p>
    <w:p w14:paraId="13DD1B00">
      <w:pPr>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12. 医疗卫生与计划生育（类）医疗保障（款）行政单位医疗（项）:指财政部门集中安排的行政单位基本医疗保险缴费经费。医疗卫生与计划生育（类）医疗保障（款）事业单位医疗（项）：财政部门集中安排的事业单位基本医疗保险缴费经费。其他医疗保险支出：指除上述以外其他医疗保障方面支出。</w:t>
      </w:r>
    </w:p>
    <w:p w14:paraId="6077D159">
      <w:pPr>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13.住房保障（类）住房改革（款）住房公积金（项）：指行政事业单位按人力资源和社会保障部、财政部规定的基本工资和津补贴以及规定比例为职工缴纳的住房公积金。</w:t>
      </w:r>
    </w:p>
    <w:p w14:paraId="7BB0F90B">
      <w:pPr>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14.基本支出：指为保障机构正常运转、完成日常工作任务而发生的人员支出和公用支出。</w:t>
      </w:r>
    </w:p>
    <w:p w14:paraId="282BE90D">
      <w:pPr>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15.项目支出：指在基本支出之外为完成特定行政任务和事业发展目标所发生的支出。 </w:t>
      </w:r>
    </w:p>
    <w:p w14:paraId="1F7ED6F9">
      <w:pPr>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16.经营支出：指事业单位在专业业务活动及其辅助活动之外开展非独立核算经营活动发生的支出。</w:t>
      </w:r>
    </w:p>
    <w:p w14:paraId="38A25026">
      <w:pPr>
        <w:pStyle w:val="24"/>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17.“三公”经费：纳入省级财政预决算管理的“三公”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D928592">
      <w:pPr>
        <w:pStyle w:val="24"/>
        <w:spacing w:line="560" w:lineRule="exact"/>
        <w:ind w:firstLine="640" w:firstLineChars="200"/>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18.机关运行经费：为保障行政单位（含参照公务员法管理的事业单位）运行用于购买货物和服务的各项资金，包括办公费、印刷费、邮电费、差旅费、会议费、福利费、日常维修费及一般设备购置费、办公用房水电费、办公用房物业管理费、公务用车运行维护费以及其他费用。</w:t>
      </w:r>
    </w:p>
    <w:p w14:paraId="5D6C60B6">
      <w:pPr>
        <w:spacing w:line="600" w:lineRule="exact"/>
        <w:jc w:val="center"/>
        <w:outlineLvl w:val="0"/>
        <w:rPr>
          <w:rStyle w:val="26"/>
          <w:rFonts w:ascii="黑体" w:hAnsi="黑体" w:eastAsia="黑体"/>
          <w:b w:val="0"/>
        </w:rPr>
      </w:pPr>
      <w:bookmarkStart w:id="61" w:name="_Toc15377226"/>
      <w:r>
        <w:rPr>
          <w:rFonts w:ascii="宋体"/>
          <w:b/>
          <w:sz w:val="44"/>
          <w:szCs w:val="44"/>
        </w:rPr>
        <w:br w:type="page"/>
      </w:r>
      <w:bookmarkStart w:id="62" w:name="_Toc15396614"/>
      <w:r>
        <w:rPr>
          <w:rFonts w:hint="eastAsia" w:ascii="黑体" w:hAnsi="黑体" w:eastAsia="黑体"/>
          <w:sz w:val="44"/>
          <w:szCs w:val="44"/>
        </w:rPr>
        <w:t>第</w:t>
      </w:r>
      <w:r>
        <w:rPr>
          <w:rStyle w:val="26"/>
          <w:rFonts w:hint="eastAsia" w:ascii="黑体" w:hAnsi="黑体" w:eastAsia="黑体"/>
          <w:b w:val="0"/>
        </w:rPr>
        <w:t>四部分 附件</w:t>
      </w:r>
      <w:bookmarkEnd w:id="62"/>
    </w:p>
    <w:p w14:paraId="734C00DD">
      <w:pPr>
        <w:spacing w:line="572" w:lineRule="exact"/>
        <w:jc w:val="left"/>
        <w:outlineLvl w:val="0"/>
        <w:rPr>
          <w:rFonts w:ascii="方正小标宋简体" w:hAnsi="方正小标宋简体" w:eastAsia="方正小标宋简体" w:cs="方正小标宋简体"/>
          <w:sz w:val="44"/>
          <w:szCs w:val="44"/>
        </w:rPr>
      </w:pPr>
      <w:r>
        <w:rPr>
          <w:rFonts w:hint="eastAsia" w:ascii="黑体" w:hAnsi="黑体" w:eastAsia="黑体" w:cs="黑体"/>
          <w:sz w:val="32"/>
          <w:szCs w:val="32"/>
        </w:rPr>
        <w:t>附件</w:t>
      </w:r>
    </w:p>
    <w:p w14:paraId="7DA63B22">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outlineLvl w:val="9"/>
        <w:rPr>
          <w:rFonts w:hint="eastAsia" w:ascii="仿宋" w:hAnsi="仿宋" w:eastAsia="仿宋" w:cs="仿宋"/>
          <w:b/>
          <w:sz w:val="44"/>
          <w:szCs w:val="44"/>
          <w:shd w:val="clear" w:color="auto" w:fill="FFFFFF"/>
          <w:lang w:eastAsia="zh-CN"/>
        </w:rPr>
      </w:pPr>
      <w:r>
        <w:rPr>
          <w:rFonts w:hint="eastAsia" w:ascii="仿宋" w:hAnsi="仿宋" w:eastAsia="仿宋" w:cs="仿宋"/>
          <w:b/>
          <w:sz w:val="44"/>
          <w:szCs w:val="44"/>
          <w:shd w:val="clear" w:color="auto" w:fill="FFFFFF"/>
          <w:lang w:eastAsia="zh-CN"/>
        </w:rPr>
        <w:t>绵竹市委统战部</w:t>
      </w:r>
    </w:p>
    <w:p w14:paraId="2F2F1259">
      <w:pPr>
        <w:keepNext w:val="0"/>
        <w:keepLines w:val="0"/>
        <w:pageBreakBefore w:val="0"/>
        <w:widowControl/>
        <w:kinsoku/>
        <w:wordWrap/>
        <w:overflowPunct/>
        <w:topLinePunct w:val="0"/>
        <w:autoSpaceDE/>
        <w:autoSpaceDN/>
        <w:bidi w:val="0"/>
        <w:adjustRightInd/>
        <w:snapToGrid/>
        <w:spacing w:line="560" w:lineRule="exact"/>
        <w:ind w:left="0" w:leftChars="0"/>
        <w:jc w:val="center"/>
        <w:textAlignment w:val="auto"/>
        <w:outlineLvl w:val="9"/>
        <w:rPr>
          <w:rFonts w:hint="eastAsia" w:ascii="仿宋" w:hAnsi="仿宋" w:eastAsia="仿宋" w:cs="仿宋"/>
          <w:b/>
          <w:sz w:val="44"/>
          <w:szCs w:val="44"/>
          <w:shd w:val="clear" w:color="auto" w:fill="FFFFFF"/>
        </w:rPr>
      </w:pPr>
      <w:r>
        <w:rPr>
          <w:rFonts w:hint="eastAsia" w:ascii="仿宋" w:hAnsi="仿宋" w:eastAsia="仿宋" w:cs="仿宋"/>
          <w:b/>
          <w:sz w:val="44"/>
          <w:szCs w:val="44"/>
          <w:shd w:val="clear" w:color="auto" w:fill="FFFFFF"/>
        </w:rPr>
        <w:t>20</w:t>
      </w:r>
      <w:r>
        <w:rPr>
          <w:rFonts w:hint="eastAsia" w:ascii="仿宋" w:hAnsi="仿宋" w:eastAsia="仿宋" w:cs="仿宋"/>
          <w:b/>
          <w:sz w:val="44"/>
          <w:szCs w:val="44"/>
          <w:shd w:val="clear" w:color="auto" w:fill="FFFFFF"/>
          <w:lang w:val="en-US" w:eastAsia="zh-CN"/>
        </w:rPr>
        <w:t>21</w:t>
      </w:r>
      <w:r>
        <w:rPr>
          <w:rFonts w:hint="eastAsia" w:ascii="仿宋" w:hAnsi="仿宋" w:eastAsia="仿宋" w:cs="仿宋"/>
          <w:b/>
          <w:sz w:val="44"/>
          <w:szCs w:val="44"/>
          <w:shd w:val="clear" w:color="auto" w:fill="FFFFFF"/>
        </w:rPr>
        <w:t>年预算支出绩效报告</w:t>
      </w:r>
    </w:p>
    <w:p w14:paraId="7617B77E">
      <w:pPr>
        <w:widowControl/>
        <w:adjustRightInd w:val="0"/>
        <w:snapToGrid w:val="0"/>
        <w:spacing w:line="540" w:lineRule="exact"/>
        <w:jc w:val="left"/>
        <w:rPr>
          <w:rFonts w:hint="eastAsia" w:ascii="仿宋_GB2312" w:hAnsi="Calibri" w:eastAsia="仿宋_GB2312" w:cs="仿宋"/>
          <w:color w:val="auto"/>
          <w:kern w:val="0"/>
          <w:sz w:val="32"/>
          <w:szCs w:val="32"/>
          <w:lang w:val="en-US" w:eastAsia="zh-CN" w:bidi="ar-SA"/>
        </w:rPr>
      </w:pPr>
    </w:p>
    <w:p w14:paraId="733EF8B3">
      <w:pPr>
        <w:widowControl/>
        <w:adjustRightInd w:val="0"/>
        <w:snapToGrid w:val="0"/>
        <w:spacing w:line="54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一、</w:t>
      </w:r>
      <w:r>
        <w:rPr>
          <w:rFonts w:hint="eastAsia" w:ascii="仿宋_GB2312" w:hAnsi="Calibri" w:eastAsia="仿宋_GB2312" w:cs="仿宋"/>
          <w:color w:val="auto"/>
          <w:kern w:val="0"/>
          <w:sz w:val="32"/>
          <w:szCs w:val="32"/>
          <w:lang w:val="zh-CN" w:eastAsia="zh-CN" w:bidi="ar-SA"/>
        </w:rPr>
        <w:t>部门（单位）概况</w:t>
      </w:r>
    </w:p>
    <w:p w14:paraId="44F4BC2B">
      <w:pPr>
        <w:widowControl/>
        <w:adjustRightInd w:val="0"/>
        <w:snapToGrid w:val="0"/>
        <w:spacing w:line="54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（一）机构组成。</w:t>
      </w:r>
    </w:p>
    <w:p w14:paraId="75F1B28D">
      <w:pPr>
        <w:widowControl/>
        <w:adjustRightInd w:val="0"/>
        <w:snapToGrid w:val="0"/>
        <w:spacing w:line="54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绵竹市委统战部是财政全额拨款的一级预算行政单位。绵竹市侨联、民宗局与统战部合并预算。</w:t>
      </w:r>
    </w:p>
    <w:p w14:paraId="2A1B5C26">
      <w:pPr>
        <w:widowControl/>
        <w:adjustRightInd w:val="0"/>
        <w:snapToGrid w:val="0"/>
        <w:spacing w:line="54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二</w:t>
      </w:r>
      <w:r>
        <w:rPr>
          <w:rFonts w:hint="eastAsia" w:ascii="仿宋_GB2312" w:hAnsi="Calibri" w:eastAsia="仿宋_GB2312" w:cs="仿宋"/>
          <w:color w:val="auto"/>
          <w:kern w:val="0"/>
          <w:sz w:val="32"/>
          <w:szCs w:val="32"/>
          <w:lang w:val="zh-CN" w:eastAsia="zh-CN" w:bidi="ar-SA"/>
        </w:rPr>
        <w:t>）机构职能。</w:t>
      </w:r>
    </w:p>
    <w:p w14:paraId="1DE12A79">
      <w:pPr>
        <w:widowControl/>
        <w:adjustRightInd w:val="0"/>
        <w:snapToGrid w:val="0"/>
        <w:spacing w:line="540" w:lineRule="exact"/>
        <w:ind w:firstLine="640" w:firstLineChars="20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1、负责牵头、协调、监督和检查全市统一战线工作，贯彻执行中、省、市的方针、政策。</w:t>
      </w:r>
    </w:p>
    <w:p w14:paraId="046148BB">
      <w:pPr>
        <w:keepNext w:val="0"/>
        <w:keepLines w:val="0"/>
        <w:pageBreakBefore w:val="0"/>
        <w:widowControl w:val="0"/>
        <w:kinsoku/>
        <w:wordWrap/>
        <w:overflowPunct/>
        <w:topLinePunct w:val="0"/>
        <w:autoSpaceDE/>
        <w:autoSpaceDN/>
        <w:bidi w:val="0"/>
        <w:adjustRightInd/>
        <w:snapToGrid/>
        <w:spacing w:line="560" w:lineRule="atLeast"/>
        <w:ind w:left="-269" w:leftChars="0" w:right="0" w:rightChars="0" w:firstLine="640" w:firstLineChars="200"/>
        <w:jc w:val="both"/>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2、负责联系各民主党派和无党派代表人士，及时通报情况，反映他们的意见和建议；贯彻党领导的多党合作和政治协商制度；落实中央关于发挥民主党派和无党派代表人士参政议政、民主监督作用的工作；为市委同市各民主党派进行政治协商做好组织联系工作；受市委委托，召开市各民主党派、无党派人士通报会、座谈会；支持帮助各民主党派加强自身建设，选拔培养新一代代表人物；协助有关部门帮助民主党派改善工作条件。 </w:t>
      </w:r>
    </w:p>
    <w:p w14:paraId="34DFC894">
      <w:pPr>
        <w:keepNext w:val="0"/>
        <w:keepLines w:val="0"/>
        <w:pageBreakBefore w:val="0"/>
        <w:widowControl w:val="0"/>
        <w:kinsoku/>
        <w:wordWrap/>
        <w:overflowPunct/>
        <w:topLinePunct w:val="0"/>
        <w:autoSpaceDE/>
        <w:autoSpaceDN/>
        <w:bidi w:val="0"/>
        <w:adjustRightInd/>
        <w:snapToGrid/>
        <w:spacing w:line="560" w:lineRule="atLeast"/>
        <w:ind w:left="-269" w:leftChars="0" w:right="0" w:rightChars="0" w:firstLine="640" w:firstLineChars="200"/>
        <w:jc w:val="both"/>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3、负责调查研究，贯彻执行民族、宗教方面的方针政策、法律法规，加强对民族宗教事务管理；联系少数民族和宗教界的代表人士；协助有关部门做好少数民族干部培养选拔工作；协助有关部门打击邪教和境外宗教敌对势力分裂祖国的活动。 </w:t>
      </w:r>
    </w:p>
    <w:p w14:paraId="1EBF4AC7">
      <w:pPr>
        <w:keepNext w:val="0"/>
        <w:keepLines w:val="0"/>
        <w:pageBreakBefore w:val="0"/>
        <w:widowControl w:val="0"/>
        <w:kinsoku/>
        <w:wordWrap/>
        <w:overflowPunct/>
        <w:topLinePunct w:val="0"/>
        <w:autoSpaceDE/>
        <w:autoSpaceDN/>
        <w:bidi w:val="0"/>
        <w:adjustRightInd/>
        <w:snapToGrid/>
        <w:spacing w:line="560" w:lineRule="atLeast"/>
        <w:ind w:left="-269" w:leftChars="0" w:right="0" w:rightChars="0" w:firstLine="640" w:firstLineChars="200"/>
        <w:jc w:val="both"/>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4、负责开展以祖国统一为重点的海外统战工作；联系香港、澳门和海外有关社团及代表人士；做好台、侨工作。 </w:t>
      </w:r>
    </w:p>
    <w:p w14:paraId="50BAA772">
      <w:pPr>
        <w:keepNext w:val="0"/>
        <w:keepLines w:val="0"/>
        <w:pageBreakBefore w:val="0"/>
        <w:widowControl w:val="0"/>
        <w:kinsoku/>
        <w:wordWrap/>
        <w:overflowPunct/>
        <w:topLinePunct w:val="0"/>
        <w:autoSpaceDE/>
        <w:autoSpaceDN/>
        <w:bidi w:val="0"/>
        <w:adjustRightInd/>
        <w:snapToGrid/>
        <w:spacing w:line="560" w:lineRule="atLeast"/>
        <w:ind w:left="-269" w:leftChars="0" w:right="0" w:rightChars="0" w:firstLine="640" w:firstLineChars="200"/>
        <w:jc w:val="both"/>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5、负责党外代表人士的政治安排；会同有关部门做好党外干部的考察，推荐和实职安排，负责党外人大代表及常委会组成人员的推荐，负责市政协委员人事安排方案的制定，人选的推荐工作。</w:t>
      </w:r>
    </w:p>
    <w:p w14:paraId="303ECB7F">
      <w:pPr>
        <w:keepNext w:val="0"/>
        <w:keepLines w:val="0"/>
        <w:pageBreakBefore w:val="0"/>
        <w:widowControl w:val="0"/>
        <w:kinsoku/>
        <w:wordWrap/>
        <w:overflowPunct/>
        <w:topLinePunct w:val="0"/>
        <w:autoSpaceDE/>
        <w:autoSpaceDN/>
        <w:bidi w:val="0"/>
        <w:adjustRightInd/>
        <w:snapToGrid/>
        <w:spacing w:line="560" w:lineRule="atLeast"/>
        <w:ind w:left="-269" w:leftChars="0" w:right="0" w:rightChars="0" w:firstLine="640" w:firstLineChars="200"/>
        <w:jc w:val="both"/>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6、受市委委托，领导工商联党委。调查研究并反映本市非公有制经济代表人士的情况，协调关系，提出有关政策建议；认真贯彻“团结、帮助、引导、教育”的方针，积极开展非公有制经济代表人士思想政治工作，引导其参加社会公益事业。 </w:t>
      </w:r>
    </w:p>
    <w:p w14:paraId="63D0562D">
      <w:pPr>
        <w:keepNext w:val="0"/>
        <w:keepLines w:val="0"/>
        <w:pageBreakBefore w:val="0"/>
        <w:widowControl w:val="0"/>
        <w:kinsoku/>
        <w:wordWrap/>
        <w:overflowPunct/>
        <w:topLinePunct w:val="0"/>
        <w:autoSpaceDE/>
        <w:autoSpaceDN/>
        <w:bidi w:val="0"/>
        <w:adjustRightInd/>
        <w:snapToGrid/>
        <w:spacing w:line="560" w:lineRule="atLeast"/>
        <w:ind w:left="-211" w:leftChars="0" w:right="0" w:rightChars="0" w:firstLine="640" w:firstLineChars="200"/>
        <w:jc w:val="both"/>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7、调查研究党外知识分子的情况，反映意见，协调关系，提出有关政策建议；联系并培养党外知识分子的代表人士。 </w:t>
      </w:r>
    </w:p>
    <w:p w14:paraId="7630B4AD">
      <w:pPr>
        <w:keepNext w:val="0"/>
        <w:keepLines w:val="0"/>
        <w:pageBreakBefore w:val="0"/>
        <w:widowControl w:val="0"/>
        <w:kinsoku/>
        <w:wordWrap/>
        <w:overflowPunct/>
        <w:topLinePunct w:val="0"/>
        <w:autoSpaceDE/>
        <w:autoSpaceDN/>
        <w:bidi w:val="0"/>
        <w:adjustRightInd/>
        <w:snapToGrid/>
        <w:spacing w:line="560" w:lineRule="atLeast"/>
        <w:ind w:left="-211" w:leftChars="0" w:right="0" w:rightChars="0" w:firstLine="640" w:firstLineChars="200"/>
        <w:jc w:val="both"/>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8、承担团结联系新的社会阶层人士的相关统战工作，开展调查研究，掌握基本情况，牵头协调建立健全工作机制，加强对新的社会阶层人士联谊交友和教育培训工作。</w:t>
      </w:r>
    </w:p>
    <w:p w14:paraId="6516D904">
      <w:pPr>
        <w:keepNext w:val="0"/>
        <w:keepLines w:val="0"/>
        <w:pageBreakBefore w:val="0"/>
        <w:widowControl w:val="0"/>
        <w:kinsoku/>
        <w:wordWrap/>
        <w:overflowPunct/>
        <w:topLinePunct w:val="0"/>
        <w:autoSpaceDE/>
        <w:autoSpaceDN/>
        <w:bidi w:val="0"/>
        <w:adjustRightInd/>
        <w:snapToGrid/>
        <w:spacing w:line="560" w:lineRule="atLeast"/>
        <w:ind w:right="0" w:rightChars="0" w:firstLine="320" w:firstLineChars="100"/>
        <w:jc w:val="both"/>
        <w:textAlignment w:val="auto"/>
        <w:outlineLvl w:val="9"/>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9、完成市委、市政府交办的其他工作任务。</w:t>
      </w:r>
    </w:p>
    <w:p w14:paraId="08457017">
      <w:pPr>
        <w:widowControl/>
        <w:numPr>
          <w:numId w:val="0"/>
        </w:numPr>
        <w:adjustRightInd w:val="0"/>
        <w:snapToGrid w:val="0"/>
        <w:spacing w:line="540" w:lineRule="exact"/>
        <w:ind w:firstLine="640" w:firstLineChars="20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三</w:t>
      </w:r>
      <w:r>
        <w:rPr>
          <w:rFonts w:hint="eastAsia" w:ascii="仿宋_GB2312" w:hAnsi="Calibri" w:eastAsia="仿宋_GB2312" w:cs="仿宋"/>
          <w:color w:val="auto"/>
          <w:kern w:val="0"/>
          <w:sz w:val="32"/>
          <w:szCs w:val="32"/>
          <w:lang w:val="zh-CN" w:eastAsia="zh-CN" w:bidi="ar-SA"/>
        </w:rPr>
        <w:t>）人员概况。</w:t>
      </w:r>
    </w:p>
    <w:p w14:paraId="62AA9105">
      <w:pPr>
        <w:keepNext w:val="0"/>
        <w:keepLines w:val="0"/>
        <w:pageBreakBefore w:val="0"/>
        <w:kinsoku/>
        <w:wordWrap/>
        <w:overflowPunct/>
        <w:topLinePunct w:val="0"/>
        <w:autoSpaceDE w:val="0"/>
        <w:autoSpaceDN w:val="0"/>
        <w:bidi w:val="0"/>
        <w:adjustRightInd w:val="0"/>
        <w:spacing w:line="560" w:lineRule="atLeast"/>
        <w:ind w:left="0" w:leftChars="0" w:firstLine="640" w:firstLineChars="200"/>
        <w:jc w:val="left"/>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统战部（含侨联、民宗局）2021年编制人数为18人，其中行政12人、工勤1人、事业5人。2021年底实有在职人数14名。行政11人，工勤1人,事业2人。</w:t>
      </w:r>
    </w:p>
    <w:p w14:paraId="02C241A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二、部门财政资金收支情况</w:t>
      </w:r>
    </w:p>
    <w:p w14:paraId="07EE911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（一）部门财政资金收入情况。</w:t>
      </w:r>
    </w:p>
    <w:p w14:paraId="53ED09F3">
      <w:pPr>
        <w:keepNext w:val="0"/>
        <w:keepLines w:val="0"/>
        <w:pageBreakBefore w:val="0"/>
        <w:widowControl/>
        <w:kinsoku/>
        <w:wordWrap/>
        <w:overflowPunct/>
        <w:topLinePunct w:val="0"/>
        <w:bidi w:val="0"/>
        <w:adjustRightInd w:val="0"/>
        <w:snapToGrid w:val="0"/>
        <w:spacing w:line="560" w:lineRule="atLeast"/>
        <w:ind w:left="0" w:leftChars="0" w:firstLine="720"/>
        <w:jc w:val="left"/>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2021年统战部财政拨款收入决算总额为513.49万元，均为当年财政拨款收入</w:t>
      </w:r>
    </w:p>
    <w:p w14:paraId="026D8716">
      <w:pPr>
        <w:widowControl/>
        <w:numPr>
          <w:ilvl w:val="0"/>
          <w:numId w:val="5"/>
        </w:numPr>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部门财政资金支出情况。</w:t>
      </w:r>
    </w:p>
    <w:p w14:paraId="0B99D27D">
      <w:pPr>
        <w:keepNext w:val="0"/>
        <w:keepLines w:val="0"/>
        <w:pageBreakBefore w:val="0"/>
        <w:kinsoku/>
        <w:wordWrap/>
        <w:overflowPunct/>
        <w:topLinePunct w:val="0"/>
        <w:bidi w:val="0"/>
        <w:spacing w:line="560" w:lineRule="atLeast"/>
        <w:ind w:left="0" w:leftChars="0" w:firstLine="640" w:firstLineChars="200"/>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1、按支出性质和经济分类主要用于以下方面</w:t>
      </w:r>
    </w:p>
    <w:p w14:paraId="57D5CE88">
      <w:pPr>
        <w:keepNext w:val="0"/>
        <w:keepLines w:val="0"/>
        <w:pageBreakBefore w:val="0"/>
        <w:kinsoku/>
        <w:wordWrap/>
        <w:overflowPunct/>
        <w:topLinePunct w:val="0"/>
        <w:bidi w:val="0"/>
        <w:spacing w:line="560" w:lineRule="atLeast"/>
        <w:ind w:left="0" w:leftChars="0" w:firstLine="640" w:firstLineChars="200"/>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（1）基本支出，是用于保障我部、民宗局、侨联等机构正常运转的日常支出，包括基本工资、津贴补贴等人员经费以及办公费、邮电费、培训费、劳务费等人员经费和日常公用经费。</w:t>
      </w:r>
    </w:p>
    <w:p w14:paraId="3F4B7178">
      <w:pPr>
        <w:keepNext w:val="0"/>
        <w:keepLines w:val="0"/>
        <w:pageBreakBefore w:val="0"/>
        <w:kinsoku/>
        <w:wordWrap/>
        <w:overflowPunct/>
        <w:topLinePunct w:val="0"/>
        <w:bidi w:val="0"/>
        <w:spacing w:line="560" w:lineRule="atLeast"/>
        <w:ind w:left="0" w:leftChars="0" w:firstLine="640" w:firstLineChars="200"/>
        <w:textAlignment w:val="auto"/>
        <w:outlineLvl w:val="9"/>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（2）项目支出，是用于保障我部、民宗局、侨联等机构的专项支出。</w:t>
      </w:r>
    </w:p>
    <w:p w14:paraId="679878A5">
      <w:pPr>
        <w:keepNext w:val="0"/>
        <w:keepLines w:val="0"/>
        <w:pageBreakBefore w:val="0"/>
        <w:kinsoku/>
        <w:wordWrap/>
        <w:overflowPunct/>
        <w:topLinePunct w:val="0"/>
        <w:bidi w:val="0"/>
        <w:spacing w:line="560" w:lineRule="atLeast"/>
        <w:ind w:left="0" w:leftChars="0" w:firstLine="640" w:firstLineChars="200"/>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2、按支出功能分类主要用于以下方面</w:t>
      </w:r>
    </w:p>
    <w:p w14:paraId="7F3975C4">
      <w:pPr>
        <w:keepNext w:val="0"/>
        <w:keepLines w:val="0"/>
        <w:pageBreakBefore w:val="0"/>
        <w:widowControl/>
        <w:kinsoku/>
        <w:wordWrap/>
        <w:overflowPunct/>
        <w:topLinePunct w:val="0"/>
        <w:bidi w:val="0"/>
        <w:adjustRightInd w:val="0"/>
        <w:snapToGrid w:val="0"/>
        <w:spacing w:line="560" w:lineRule="atLeast"/>
        <w:ind w:left="0" w:leftChars="0" w:firstLine="720"/>
        <w:jc w:val="left"/>
        <w:textAlignment w:val="auto"/>
        <w:outlineLvl w:val="9"/>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zh-CN" w:eastAsia="zh-CN" w:bidi="ar-SA"/>
        </w:rPr>
        <w:t>20</w:t>
      </w:r>
      <w:r>
        <w:rPr>
          <w:rFonts w:hint="eastAsia" w:ascii="仿宋_GB2312" w:hAnsi="Calibri" w:eastAsia="仿宋_GB2312" w:cs="仿宋"/>
          <w:color w:val="auto"/>
          <w:kern w:val="0"/>
          <w:sz w:val="32"/>
          <w:szCs w:val="32"/>
          <w:lang w:val="en-US" w:eastAsia="zh-CN" w:bidi="ar-SA"/>
        </w:rPr>
        <w:t>21</w:t>
      </w:r>
      <w:r>
        <w:rPr>
          <w:rFonts w:hint="eastAsia" w:ascii="仿宋_GB2312" w:hAnsi="Calibri" w:eastAsia="仿宋_GB2312" w:cs="仿宋"/>
          <w:color w:val="auto"/>
          <w:kern w:val="0"/>
          <w:sz w:val="32"/>
          <w:szCs w:val="32"/>
          <w:lang w:val="zh-CN" w:eastAsia="zh-CN" w:bidi="ar-SA"/>
        </w:rPr>
        <w:t>年统战部财政拨款支出决算</w:t>
      </w:r>
      <w:r>
        <w:rPr>
          <w:rFonts w:hint="eastAsia" w:ascii="仿宋_GB2312" w:hAnsi="Calibri" w:eastAsia="仿宋_GB2312" w:cs="仿宋"/>
          <w:color w:val="auto"/>
          <w:kern w:val="0"/>
          <w:sz w:val="32"/>
          <w:szCs w:val="32"/>
          <w:lang w:val="en-US" w:eastAsia="zh-CN" w:bidi="ar-SA"/>
        </w:rPr>
        <w:t>513.49万</w:t>
      </w:r>
      <w:r>
        <w:rPr>
          <w:rFonts w:hint="eastAsia" w:ascii="仿宋_GB2312" w:hAnsi="Calibri" w:eastAsia="仿宋_GB2312" w:cs="仿宋"/>
          <w:color w:val="auto"/>
          <w:kern w:val="0"/>
          <w:sz w:val="32"/>
          <w:szCs w:val="32"/>
          <w:lang w:val="zh-CN" w:eastAsia="zh-CN" w:bidi="ar-SA"/>
        </w:rPr>
        <w:t>元，其中：一般公共服务</w:t>
      </w:r>
      <w:r>
        <w:rPr>
          <w:rFonts w:hint="eastAsia" w:ascii="仿宋_GB2312" w:hAnsi="Calibri" w:eastAsia="仿宋_GB2312" w:cs="仿宋"/>
          <w:color w:val="auto"/>
          <w:kern w:val="0"/>
          <w:sz w:val="32"/>
          <w:szCs w:val="32"/>
          <w:lang w:val="en-US" w:eastAsia="zh-CN" w:bidi="ar-SA"/>
        </w:rPr>
        <w:t>421.44</w:t>
      </w:r>
      <w:r>
        <w:rPr>
          <w:rFonts w:hint="eastAsia" w:ascii="仿宋_GB2312" w:hAnsi="Calibri" w:eastAsia="仿宋_GB2312" w:cs="仿宋"/>
          <w:color w:val="auto"/>
          <w:kern w:val="0"/>
          <w:sz w:val="32"/>
          <w:szCs w:val="32"/>
          <w:lang w:val="zh-CN" w:eastAsia="zh-CN" w:bidi="ar-SA"/>
        </w:rPr>
        <w:t>万元，社会保障和就业支出</w:t>
      </w:r>
      <w:r>
        <w:rPr>
          <w:rFonts w:hint="eastAsia" w:ascii="仿宋_GB2312" w:hAnsi="Calibri" w:eastAsia="仿宋_GB2312" w:cs="仿宋"/>
          <w:color w:val="auto"/>
          <w:kern w:val="0"/>
          <w:sz w:val="32"/>
          <w:szCs w:val="32"/>
          <w:lang w:val="en-US" w:eastAsia="zh-CN" w:bidi="ar-SA"/>
        </w:rPr>
        <w:t>64.05</w:t>
      </w:r>
      <w:r>
        <w:rPr>
          <w:rFonts w:hint="eastAsia" w:ascii="仿宋_GB2312" w:hAnsi="Calibri" w:eastAsia="仿宋_GB2312" w:cs="仿宋"/>
          <w:color w:val="auto"/>
          <w:kern w:val="0"/>
          <w:sz w:val="32"/>
          <w:szCs w:val="32"/>
          <w:lang w:val="zh-CN" w:eastAsia="zh-CN" w:bidi="ar-SA"/>
        </w:rPr>
        <w:t>万元，医疗卫生</w:t>
      </w:r>
      <w:r>
        <w:rPr>
          <w:rFonts w:hint="eastAsia" w:ascii="仿宋_GB2312" w:hAnsi="Calibri" w:eastAsia="仿宋_GB2312" w:cs="仿宋"/>
          <w:color w:val="auto"/>
          <w:kern w:val="0"/>
          <w:sz w:val="32"/>
          <w:szCs w:val="32"/>
          <w:lang w:val="en-US" w:eastAsia="zh-CN" w:bidi="ar-SA"/>
        </w:rPr>
        <w:t>7.14</w:t>
      </w:r>
      <w:r>
        <w:rPr>
          <w:rFonts w:hint="eastAsia" w:ascii="仿宋_GB2312" w:hAnsi="Calibri" w:eastAsia="仿宋_GB2312" w:cs="仿宋"/>
          <w:color w:val="auto"/>
          <w:kern w:val="0"/>
          <w:sz w:val="32"/>
          <w:szCs w:val="32"/>
          <w:lang w:val="zh-CN" w:eastAsia="zh-CN" w:bidi="ar-SA"/>
        </w:rPr>
        <w:t>万元，住房公积金</w:t>
      </w:r>
      <w:r>
        <w:rPr>
          <w:rFonts w:hint="eastAsia" w:ascii="仿宋_GB2312" w:hAnsi="Calibri" w:eastAsia="仿宋_GB2312" w:cs="仿宋"/>
          <w:color w:val="auto"/>
          <w:kern w:val="0"/>
          <w:sz w:val="32"/>
          <w:szCs w:val="32"/>
          <w:lang w:val="en-US" w:eastAsia="zh-CN" w:bidi="ar-SA"/>
        </w:rPr>
        <w:t>20.85</w:t>
      </w:r>
      <w:r>
        <w:rPr>
          <w:rFonts w:hint="eastAsia" w:ascii="仿宋_GB2312" w:hAnsi="Calibri" w:eastAsia="仿宋_GB2312" w:cs="仿宋"/>
          <w:color w:val="auto"/>
          <w:kern w:val="0"/>
          <w:sz w:val="32"/>
          <w:szCs w:val="32"/>
          <w:lang w:val="zh-CN" w:eastAsia="zh-CN" w:bidi="ar-SA"/>
        </w:rPr>
        <w:t>万元。</w:t>
      </w:r>
    </w:p>
    <w:p w14:paraId="5D24D10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三、部门财政支出管理情况</w:t>
      </w:r>
    </w:p>
    <w:p w14:paraId="22BB748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（一）预算编制情况。</w:t>
      </w:r>
    </w:p>
    <w:p w14:paraId="7C620243">
      <w:pPr>
        <w:keepNext w:val="0"/>
        <w:keepLines w:val="0"/>
        <w:pageBreakBefore w:val="0"/>
        <w:widowControl/>
        <w:kinsoku/>
        <w:wordWrap/>
        <w:overflowPunct/>
        <w:topLinePunct w:val="0"/>
        <w:bidi w:val="0"/>
        <w:adjustRightInd w:val="0"/>
        <w:snapToGrid w:val="0"/>
        <w:spacing w:line="560" w:lineRule="atLeast"/>
        <w:ind w:left="0" w:leftChars="0" w:firstLine="720"/>
        <w:jc w:val="left"/>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20</w:t>
      </w:r>
      <w:r>
        <w:rPr>
          <w:rFonts w:hint="eastAsia" w:ascii="仿宋_GB2312" w:hAnsi="Calibri" w:eastAsia="仿宋_GB2312" w:cs="仿宋"/>
          <w:color w:val="auto"/>
          <w:kern w:val="0"/>
          <w:sz w:val="32"/>
          <w:szCs w:val="32"/>
          <w:lang w:val="en-US" w:eastAsia="zh-CN" w:bidi="ar-SA"/>
        </w:rPr>
        <w:t>22</w:t>
      </w:r>
      <w:r>
        <w:rPr>
          <w:rFonts w:hint="eastAsia" w:ascii="仿宋_GB2312" w:hAnsi="Calibri" w:eastAsia="仿宋_GB2312" w:cs="仿宋"/>
          <w:color w:val="auto"/>
          <w:kern w:val="0"/>
          <w:sz w:val="32"/>
          <w:szCs w:val="32"/>
          <w:lang w:val="zh-CN" w:eastAsia="zh-CN" w:bidi="ar-SA"/>
        </w:rPr>
        <w:t>年依据统战部履职要求和年度工作计划，按照市财政局《关于编制20</w:t>
      </w:r>
      <w:r>
        <w:rPr>
          <w:rFonts w:hint="eastAsia" w:ascii="仿宋_GB2312" w:hAnsi="Calibri" w:eastAsia="仿宋_GB2312" w:cs="仿宋"/>
          <w:color w:val="auto"/>
          <w:kern w:val="0"/>
          <w:sz w:val="32"/>
          <w:szCs w:val="32"/>
          <w:lang w:val="en-US" w:eastAsia="zh-CN" w:bidi="ar-SA"/>
        </w:rPr>
        <w:t>22</w:t>
      </w:r>
      <w:r>
        <w:rPr>
          <w:rFonts w:hint="eastAsia" w:ascii="仿宋_GB2312" w:hAnsi="Calibri" w:eastAsia="仿宋_GB2312" w:cs="仿宋"/>
          <w:color w:val="auto"/>
          <w:kern w:val="0"/>
          <w:sz w:val="32"/>
          <w:szCs w:val="32"/>
          <w:lang w:val="zh-CN" w:eastAsia="zh-CN" w:bidi="ar-SA"/>
        </w:rPr>
        <w:t>年部门预算的通知》要求，在下达控制数内按时完成部门预算草案的编制工作，努力做到各项收入、支出预算的编制完整、准确、规范，确保不重不漏，无部门预算以外保留的其他收支项目。</w:t>
      </w:r>
    </w:p>
    <w:p w14:paraId="3BD6B408">
      <w:pPr>
        <w:keepNext w:val="0"/>
        <w:keepLines w:val="0"/>
        <w:pageBreakBefore w:val="0"/>
        <w:widowControl/>
        <w:kinsoku/>
        <w:wordWrap/>
        <w:overflowPunct/>
        <w:topLinePunct w:val="0"/>
        <w:bidi w:val="0"/>
        <w:adjustRightInd w:val="0"/>
        <w:snapToGrid w:val="0"/>
        <w:spacing w:line="560" w:lineRule="atLeast"/>
        <w:ind w:left="0" w:leftChars="0" w:firstLine="720"/>
        <w:jc w:val="left"/>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在预算编制中，支出预算严格按照“零基预算”方法，人员经费按标准、日常公用经费按定额、专项支出按项目分别编制。</w:t>
      </w:r>
    </w:p>
    <w:p w14:paraId="2D5EB119">
      <w:pPr>
        <w:keepNext w:val="0"/>
        <w:keepLines w:val="0"/>
        <w:pageBreakBefore w:val="0"/>
        <w:widowControl/>
        <w:kinsoku/>
        <w:wordWrap/>
        <w:overflowPunct/>
        <w:topLinePunct w:val="0"/>
        <w:bidi w:val="0"/>
        <w:adjustRightInd w:val="0"/>
        <w:snapToGrid w:val="0"/>
        <w:spacing w:line="560" w:lineRule="atLeast"/>
        <w:ind w:left="0" w:leftChars="0" w:firstLine="720"/>
        <w:jc w:val="left"/>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对于项目支出预算，一是参考20</w:t>
      </w:r>
      <w:r>
        <w:rPr>
          <w:rFonts w:hint="eastAsia" w:ascii="仿宋_GB2312" w:hAnsi="Calibri" w:eastAsia="仿宋_GB2312" w:cs="仿宋"/>
          <w:color w:val="auto"/>
          <w:kern w:val="0"/>
          <w:sz w:val="32"/>
          <w:szCs w:val="32"/>
          <w:lang w:val="en-US" w:eastAsia="zh-CN" w:bidi="ar-SA"/>
        </w:rPr>
        <w:t>21</w:t>
      </w:r>
      <w:r>
        <w:rPr>
          <w:rFonts w:hint="eastAsia" w:ascii="仿宋_GB2312" w:hAnsi="Calibri" w:eastAsia="仿宋_GB2312" w:cs="仿宋"/>
          <w:color w:val="auto"/>
          <w:kern w:val="0"/>
          <w:sz w:val="32"/>
          <w:szCs w:val="32"/>
          <w:lang w:val="zh-CN" w:eastAsia="zh-CN" w:bidi="ar-SA"/>
        </w:rPr>
        <w:t>年实际支出情况并结合20</w:t>
      </w:r>
      <w:r>
        <w:rPr>
          <w:rFonts w:hint="eastAsia" w:ascii="仿宋_GB2312" w:hAnsi="Calibri" w:eastAsia="仿宋_GB2312" w:cs="仿宋"/>
          <w:color w:val="auto"/>
          <w:kern w:val="0"/>
          <w:sz w:val="32"/>
          <w:szCs w:val="32"/>
          <w:lang w:val="en-US" w:eastAsia="zh-CN" w:bidi="ar-SA"/>
        </w:rPr>
        <w:t>22</w:t>
      </w:r>
      <w:r>
        <w:rPr>
          <w:rFonts w:hint="eastAsia" w:ascii="仿宋_GB2312" w:hAnsi="Calibri" w:eastAsia="仿宋_GB2312" w:cs="仿宋"/>
          <w:color w:val="auto"/>
          <w:kern w:val="0"/>
          <w:sz w:val="32"/>
          <w:szCs w:val="32"/>
          <w:lang w:val="zh-CN" w:eastAsia="zh-CN" w:bidi="ar-SA"/>
        </w:rPr>
        <w:t>年工作安排，对符合政策规定和统战部推进各项事业发展规划的项目，合理界定经常性项目和非经常行项目，纳入项目库，完整准确填报项目信息。二是项目绩效目标编制详细反映了工作任务保障完成目标、经费预算的测算过程及预期达成效果。同时，按照市政府统一部署和财政局的具体要求，统战部在政务公开信息网站按时主动公开了20</w:t>
      </w:r>
      <w:r>
        <w:rPr>
          <w:rFonts w:hint="eastAsia" w:ascii="仿宋_GB2312" w:hAnsi="Calibri" w:eastAsia="仿宋_GB2312" w:cs="仿宋"/>
          <w:color w:val="auto"/>
          <w:kern w:val="0"/>
          <w:sz w:val="32"/>
          <w:szCs w:val="32"/>
          <w:lang w:val="en-US" w:eastAsia="zh-CN" w:bidi="ar-SA"/>
        </w:rPr>
        <w:t>21</w:t>
      </w:r>
      <w:r>
        <w:rPr>
          <w:rFonts w:hint="eastAsia" w:ascii="仿宋_GB2312" w:hAnsi="Calibri" w:eastAsia="仿宋_GB2312" w:cs="仿宋"/>
          <w:color w:val="auto"/>
          <w:kern w:val="0"/>
          <w:sz w:val="32"/>
          <w:szCs w:val="32"/>
          <w:lang w:val="zh-CN" w:eastAsia="zh-CN" w:bidi="ar-SA"/>
        </w:rPr>
        <w:t>年部门预算编制说明和财政拨款“三公”经费预算情况说明。三是专项项目预算提前细化，将专项预算细化到经济分类科目。</w:t>
      </w:r>
    </w:p>
    <w:p w14:paraId="36EEC1AD">
      <w:pPr>
        <w:keepNext w:val="0"/>
        <w:keepLines w:val="0"/>
        <w:pageBreakBefore w:val="0"/>
        <w:widowControl/>
        <w:kinsoku/>
        <w:wordWrap/>
        <w:overflowPunct/>
        <w:topLinePunct w:val="0"/>
        <w:bidi w:val="0"/>
        <w:adjustRightInd w:val="0"/>
        <w:snapToGrid w:val="0"/>
        <w:spacing w:line="560" w:lineRule="atLeast"/>
        <w:ind w:left="0" w:leftChars="0" w:firstLine="720"/>
        <w:jc w:val="left"/>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（二）执行管理情况。</w:t>
      </w:r>
    </w:p>
    <w:p w14:paraId="69C43A36">
      <w:pPr>
        <w:keepNext w:val="0"/>
        <w:keepLines w:val="0"/>
        <w:pageBreakBefore w:val="0"/>
        <w:widowControl/>
        <w:kinsoku/>
        <w:wordWrap/>
        <w:overflowPunct/>
        <w:topLinePunct w:val="0"/>
        <w:bidi w:val="0"/>
        <w:adjustRightInd w:val="0"/>
        <w:snapToGrid w:val="0"/>
        <w:spacing w:line="560" w:lineRule="atLeast"/>
        <w:ind w:left="0" w:leftChars="0" w:firstLine="720"/>
        <w:jc w:val="left"/>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20</w:t>
      </w:r>
      <w:r>
        <w:rPr>
          <w:rFonts w:hint="eastAsia" w:ascii="仿宋_GB2312" w:hAnsi="Calibri" w:eastAsia="仿宋_GB2312" w:cs="仿宋"/>
          <w:color w:val="auto"/>
          <w:kern w:val="0"/>
          <w:sz w:val="32"/>
          <w:szCs w:val="32"/>
          <w:lang w:val="en-US" w:eastAsia="zh-CN" w:bidi="ar-SA"/>
        </w:rPr>
        <w:t>22</w:t>
      </w:r>
      <w:r>
        <w:rPr>
          <w:rFonts w:hint="eastAsia" w:ascii="仿宋_GB2312" w:hAnsi="Calibri" w:eastAsia="仿宋_GB2312" w:cs="仿宋"/>
          <w:color w:val="auto"/>
          <w:kern w:val="0"/>
          <w:sz w:val="32"/>
          <w:szCs w:val="32"/>
          <w:lang w:val="zh-CN" w:eastAsia="zh-CN" w:bidi="ar-SA"/>
        </w:rPr>
        <w:t>年继续加强预算执行管理。</w:t>
      </w:r>
    </w:p>
    <w:p w14:paraId="5AF4BE1F">
      <w:pPr>
        <w:keepNext w:val="0"/>
        <w:keepLines w:val="0"/>
        <w:pageBreakBefore w:val="0"/>
        <w:widowControl/>
        <w:kinsoku/>
        <w:wordWrap/>
        <w:overflowPunct/>
        <w:topLinePunct w:val="0"/>
        <w:bidi w:val="0"/>
        <w:adjustRightInd w:val="0"/>
        <w:snapToGrid w:val="0"/>
        <w:spacing w:line="560" w:lineRule="atLeast"/>
        <w:ind w:left="0" w:leftChars="0" w:firstLine="720"/>
        <w:jc w:val="left"/>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是严格执行批复预算，按照收支平衡的原则，合理安排各项资金，根据执行进度对基本支出按照月度均衡原则、项目支出按实际需要及时申请用款计划，确保足额支出安排，无超预算支出。保证了部门的正常运行和日常工作任务的顺利开展。</w:t>
      </w:r>
    </w:p>
    <w:p w14:paraId="4ECA6503">
      <w:pPr>
        <w:keepNext w:val="0"/>
        <w:keepLines w:val="0"/>
        <w:pageBreakBefore w:val="0"/>
        <w:widowControl/>
        <w:kinsoku/>
        <w:wordWrap/>
        <w:overflowPunct/>
        <w:topLinePunct w:val="0"/>
        <w:bidi w:val="0"/>
        <w:adjustRightInd w:val="0"/>
        <w:snapToGrid w:val="0"/>
        <w:spacing w:line="560" w:lineRule="atLeast"/>
        <w:ind w:left="0" w:leftChars="0" w:firstLine="720"/>
        <w:jc w:val="left"/>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是加强支出绩效管理，对纳入部门预算批复管理的项目经费，在年度执行中，随时跟踪了解每一项目的进展情况，及时申请用款计划，保证各项款项及时支付。年中按照《市级预算执行中期评估工作方案》的要求，对上年结转和当年预算安排的项目开展了预算执行中期评估，对经确认暂时不支出、当年执行有结余的项目予以了调整，用于安排解决其他急需的项目，做到了中期评估动态调整到位，提高了资金使用效率，全年预算执行率均达到目标要求。</w:t>
      </w:r>
    </w:p>
    <w:p w14:paraId="568B20B5">
      <w:pPr>
        <w:keepNext w:val="0"/>
        <w:keepLines w:val="0"/>
        <w:pageBreakBefore w:val="0"/>
        <w:widowControl/>
        <w:kinsoku/>
        <w:wordWrap/>
        <w:overflowPunct/>
        <w:topLinePunct w:val="0"/>
        <w:bidi w:val="0"/>
        <w:adjustRightInd w:val="0"/>
        <w:snapToGrid w:val="0"/>
        <w:spacing w:line="560" w:lineRule="atLeast"/>
        <w:ind w:left="0" w:leftChars="0" w:firstLine="720"/>
        <w:jc w:val="left"/>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（三）综合管理情况。</w:t>
      </w:r>
    </w:p>
    <w:p w14:paraId="258EA911">
      <w:pPr>
        <w:keepNext w:val="0"/>
        <w:keepLines w:val="0"/>
        <w:pageBreakBefore w:val="0"/>
        <w:widowControl/>
        <w:kinsoku/>
        <w:wordWrap/>
        <w:overflowPunct/>
        <w:topLinePunct w:val="0"/>
        <w:bidi w:val="0"/>
        <w:adjustRightInd w:val="0"/>
        <w:snapToGrid w:val="0"/>
        <w:spacing w:line="560" w:lineRule="atLeast"/>
        <w:ind w:left="0" w:leftChars="0" w:firstLine="720"/>
        <w:jc w:val="left"/>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20</w:t>
      </w:r>
      <w:r>
        <w:rPr>
          <w:rFonts w:hint="eastAsia" w:ascii="仿宋_GB2312" w:hAnsi="Calibri" w:eastAsia="仿宋_GB2312" w:cs="仿宋"/>
          <w:color w:val="auto"/>
          <w:kern w:val="0"/>
          <w:sz w:val="32"/>
          <w:szCs w:val="32"/>
          <w:lang w:val="en-US" w:eastAsia="zh-CN" w:bidi="ar-SA"/>
        </w:rPr>
        <w:t>21</w:t>
      </w:r>
      <w:r>
        <w:rPr>
          <w:rFonts w:hint="eastAsia" w:ascii="仿宋_GB2312" w:hAnsi="Calibri" w:eastAsia="仿宋_GB2312" w:cs="仿宋"/>
          <w:color w:val="auto"/>
          <w:kern w:val="0"/>
          <w:sz w:val="32"/>
          <w:szCs w:val="32"/>
          <w:lang w:val="zh-CN" w:eastAsia="zh-CN" w:bidi="ar-SA"/>
        </w:rPr>
        <w:t>年度无非税收入，无政策采购计划，资产管理、内部控制制度健全，预算、决算均按要求公开，依法接受财政监督。</w:t>
      </w:r>
    </w:p>
    <w:p w14:paraId="1A85FAB1">
      <w:pPr>
        <w:keepNext w:val="0"/>
        <w:keepLines w:val="0"/>
        <w:pageBreakBefore w:val="0"/>
        <w:widowControl/>
        <w:kinsoku/>
        <w:wordWrap/>
        <w:overflowPunct/>
        <w:topLinePunct w:val="0"/>
        <w:bidi w:val="0"/>
        <w:adjustRightInd w:val="0"/>
        <w:snapToGrid w:val="0"/>
        <w:spacing w:line="560" w:lineRule="atLeast"/>
        <w:ind w:left="0" w:leftChars="0" w:firstLine="720"/>
        <w:jc w:val="left"/>
        <w:textAlignment w:val="auto"/>
        <w:outlineLvl w:val="9"/>
        <w:rPr>
          <w:rFonts w:hint="eastAsia" w:ascii="仿宋_GB2312" w:hAnsi="Calibri" w:eastAsia="仿宋_GB2312" w:cs="仿宋"/>
          <w:color w:val="auto"/>
          <w:kern w:val="0"/>
          <w:sz w:val="32"/>
          <w:szCs w:val="32"/>
          <w:lang w:val="zh-CN" w:eastAsia="zh-CN" w:bidi="ar-SA"/>
        </w:rPr>
      </w:pPr>
    </w:p>
    <w:p w14:paraId="25631D96">
      <w:pPr>
        <w:keepNext w:val="0"/>
        <w:keepLines w:val="0"/>
        <w:pageBreakBefore w:val="0"/>
        <w:widowControl/>
        <w:kinsoku/>
        <w:wordWrap/>
        <w:overflowPunct/>
        <w:topLinePunct w:val="0"/>
        <w:bidi w:val="0"/>
        <w:adjustRightInd w:val="0"/>
        <w:snapToGrid w:val="0"/>
        <w:spacing w:line="560" w:lineRule="atLeast"/>
        <w:ind w:left="0" w:leftChars="0" w:firstLine="720"/>
        <w:jc w:val="left"/>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整体绩效。</w:t>
      </w:r>
    </w:p>
    <w:p w14:paraId="3DD79F2D">
      <w:pPr>
        <w:keepNext w:val="0"/>
        <w:keepLines w:val="0"/>
        <w:pageBreakBefore w:val="0"/>
        <w:widowControl/>
        <w:kinsoku/>
        <w:wordWrap/>
        <w:overflowPunct/>
        <w:topLinePunct w:val="0"/>
        <w:bidi w:val="0"/>
        <w:adjustRightInd w:val="0"/>
        <w:snapToGrid w:val="0"/>
        <w:spacing w:line="560" w:lineRule="atLeast"/>
        <w:ind w:left="0" w:leftChars="0" w:firstLine="720"/>
        <w:jc w:val="left"/>
        <w:textAlignment w:val="auto"/>
        <w:outlineLvl w:val="9"/>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全力推进《条例》贯彻落实，着力构建大统战格局。一是及时将《条例》纳入市委常委会、市委理论学习中心组、党校教学内容以及各类学习培训中，推动《条例》学习贯彻在绵竹落地生根。二是畅通党外人士的发声渠道，圆满完成换届各项工作，推荐产生82名市工商联执委；221名人大代表中党外人士80名，占比36.2%；223名市政协委员中党外人士134人，占比60.1%；法检“两院”均配备有党外副职；3人担任部门正职。三是将《条例》执行情况纳入考核和巡察监督内容，12个镇（街道）、153个村（社区）配备统战委员和统战联络员，在省社会主义学院举办统战系统提升专题培训班。</w:t>
      </w:r>
    </w:p>
    <w:p w14:paraId="44F03BF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（二）扎实推进“四史”学习教育，凝聚广泛的思想共识。举办“同心向党庆华诞·</w:t>
      </w:r>
      <w:r>
        <w:rPr>
          <w:rFonts w:hint="eastAsia" w:ascii="仿宋" w:hAnsi="仿宋" w:eastAsia="仿宋" w:cs="仿宋"/>
          <w:color w:val="000000"/>
          <w:kern w:val="0"/>
          <w:szCs w:val="32"/>
          <w:shd w:val="clear" w:color="auto" w:fill="FFFFFF"/>
          <w:lang w:val="zh-CN"/>
        </w:rPr>
        <w:t>统</w:t>
      </w:r>
      <w:r>
        <w:rPr>
          <w:rFonts w:hint="eastAsia" w:ascii="仿宋_GB2312" w:hAnsi="Calibri" w:eastAsia="仿宋_GB2312" w:cs="仿宋"/>
          <w:color w:val="auto"/>
          <w:kern w:val="0"/>
          <w:sz w:val="32"/>
          <w:szCs w:val="32"/>
          <w:lang w:val="zh-CN" w:eastAsia="zh-CN" w:bidi="ar-SA"/>
        </w:rPr>
        <w:t>战人说统战事”“爱党爱国·同心同向” “听党话、感党恩、跟党走”等庆祝建党100周年文艺汇演、书画展、红色之旅等系列活动，与四川文化传媒职业学院联合举办“颂党恩·共筑民族魂”校园民族文化交流活动，有序推进党外人士“四史”学习教育。</w:t>
      </w:r>
    </w:p>
    <w:p w14:paraId="0A64C4D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着力推进多党合作，营造和衷共济的政治氛围。推荐44名民主党派成员作为德阳、绵竹人大代表、政协委员人选。制定出台年度政党协商计划，引导各民主党派积极建言献策，围绕企业创新、文旅产业、城市建设等方面提出了30份提案建议，形成《关于绵竹市人才与产业发展的调研报告》《固基强链发挥优势全力推进精细化工产业高质量发展》等调研成果。</w:t>
      </w:r>
    </w:p>
    <w:p w14:paraId="732A108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四）强化思想政治引领，抓好党外代表人士队伍建设。一是加强对代表人士的培养选拔和推荐挂职锻炼，全市配备副县级党外干部5人、科级党外干部18人；向德阳推荐无党派人士33名。二是强化党外人士思想政治引领，市知联会、市新联会通过开讲座、送义诊等活动在甘洛县全域进行结对帮扶，捐赠价值7万元的物资；为绵竹市特殊教育中心校捐赠价值1.3万余元校服，引入社会资源实施“春蕾计划”；助力孝德年画村与中江挂面村缔结联谊村关系；引导会员积极参与全市疫情防控工作。</w:t>
      </w:r>
    </w:p>
    <w:p w14:paraId="54A35C3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五）促进“两个健康”，不断激活非公经济新动力。一是以“6·26”民营经济发展系列活动为契机，先后组织130余名企业代表人士参加第22届立嘉国际智能装备展览会、2021首届成渝地区双城经济圈制造业博览会、四川大学智能制造产业科技成果对接活动、乐山市新生代企业家商会交流互学活动；举办健康知识培训、安全生产主题讲座等培训9场次。二是围绕营商环境打造等开展专题调研，开展涉及企业前景、经济形势、企业转型升级的主题讨论，形成《倡导尊商重企崇尚创新创造进一步扶持我市民营企业健康发展》等调研文章4篇。三是制定出台《绵竹市2021年干部联系服务企业活动工作方案》，推动落实市级领导和市级部门走访企业长效工作机制。开展“春雨润苗”行动，引导民营经济人士依法理性反映诉求、维护权益。</w:t>
      </w:r>
    </w:p>
    <w:p w14:paraId="4212428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六）助推社会和谐，维护民族团结促进宗教和顺。一是落实宗教工作“六个纳入”和民族工作“四个纳入”，持续推进“法律进宗教活动场所”“宗教政策法规学习月”“民族团结进步宣传月”等活动，发放《宗教事务条例》等资料2万余份。二是将宗教团体经费和场所维修资金列入财政预算，向上争取60万元维修资金，本级落实维修资金和团体经费11万元。坚持我国宗教中国化方向，以开展“爱国爱教爱家乡”为抓手，持续推进宗教活动场所“五进”活动，完成绵竹市吉祥寺宗教中国化示范寺庙建设。扎实开展基督教领域非法活动专项治理行动，成功处置“6·16”利用“女士营”培训进行的基督教非法传教活动。持续巩固深化中央宗教工作督查反馈问题整改成效，积极推进宗教场所骨灰存放设施后续治理探索、民间小庙治理等工作。三是贯彻落实中央民族工作会议精神，推进铸牢中华民族共同体意识责任分工落实，推动学校开展主题教育实践活动，常态化开展民族团结进步教育。指导绵竹市职业中专学校成功创建第六批全省民族团结进步示范单位，有序推进德阿产业园争创省级民族团结进步示范单位。向上争取110万元资金，实施金色清平羌族特色文化长廊等5个专项资金项目。连续7年举办羌历年庆祝活动，“九顶山羌汉山歌”传承人入选省级“非遗传承人”名单。为全市47名困难少数民族发放2.82万元帮扶资金，为19个宗教活动场所送去慰问金1.14万元和口罩、米、油等物资。</w:t>
      </w:r>
    </w:p>
    <w:p w14:paraId="26FE94F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七）培育台侨资源，扎实做好海外统战工作。一是有序推进涉台教育、侨法进机关、进企业、进学校、进社区等，加强与港华燃气、光大城乡再生能源等港资企业的走访联系；邀请20余位侨眷属参观乡村振兴、旅游发展成果。二是先后为10名台属送去5000元慰问金，组织台属、侨眷代表参加德阳市2021年中秋联谊会，组织开展绵竹市统一战线庆祝中国共产党成立100周年座谈会、绵竹市2022年侨界人士迎新春联谊活动等系列活动。协调解决3名华侨疫苗接种、回家探亲等事宜。三是开展港人情况摸底，形成侨眷属信息库，收集两岸婚姻情况22对，组织侨企参加成都市成华区海外赤子创业家互动大会。四是圆满完成“追梦中华·侨瞧同城化”2021海外华文媒体采访团、第八届“两岸同根·致力为公”活动接待工作。动员绵竹市剑龙粮油有限责任公司加入川渝—粤港澳企业家合作联盟。</w:t>
      </w:r>
    </w:p>
    <w:p w14:paraId="2422314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四、评价结论及建议</w:t>
      </w:r>
    </w:p>
    <w:p w14:paraId="5FF9FB4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（一）评价结论。</w:t>
      </w:r>
    </w:p>
    <w:p w14:paraId="7CAB6FA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全年基本支出保证了统战部的正常运行和日常工作任务的顺利完成。全年项目支出达到预期绩效目标。</w:t>
      </w:r>
    </w:p>
    <w:p w14:paraId="63C1CB9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20</w:t>
      </w:r>
      <w:r>
        <w:rPr>
          <w:rFonts w:hint="eastAsia" w:ascii="仿宋_GB2312" w:hAnsi="Calibri" w:eastAsia="仿宋_GB2312" w:cs="仿宋"/>
          <w:color w:val="auto"/>
          <w:kern w:val="0"/>
          <w:sz w:val="32"/>
          <w:szCs w:val="32"/>
          <w:lang w:val="en-US" w:eastAsia="zh-CN" w:bidi="ar-SA"/>
        </w:rPr>
        <w:t>21</w:t>
      </w:r>
      <w:r>
        <w:rPr>
          <w:rFonts w:hint="eastAsia" w:ascii="仿宋_GB2312" w:hAnsi="Calibri" w:eastAsia="仿宋_GB2312" w:cs="仿宋"/>
          <w:color w:val="auto"/>
          <w:kern w:val="0"/>
          <w:sz w:val="32"/>
          <w:szCs w:val="32"/>
          <w:lang w:val="zh-CN" w:eastAsia="zh-CN" w:bidi="ar-SA"/>
        </w:rPr>
        <w:t>年认真做好年度财政资金的预算编制工作。在资金使用和管理方面，进一步强化资金统筹，优化资金结构，明确开支范围，细化资金用途，以有限的资金保证统战部的正常运转。资金收支管理及会计核算较规范，能够按照相关会计制度和财务管理办法进行核算。认真落实财政政策，优化支出结构，深化管理改革，圆满完成各项目标任务。</w:t>
      </w:r>
    </w:p>
    <w:p w14:paraId="6F15EB0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存在问题。</w:t>
      </w:r>
    </w:p>
    <w:p w14:paraId="38AC427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暂时未发现问题，但在一些业务专业程度上还不够。</w:t>
      </w:r>
    </w:p>
    <w:p w14:paraId="468E1F2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改进建议。</w:t>
      </w:r>
    </w:p>
    <w:p w14:paraId="4B9C90E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1、加强学习财务知识，及时了解当前的政策、法规。</w:t>
      </w:r>
    </w:p>
    <w:p w14:paraId="6D31F8A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 </w:t>
      </w:r>
      <w:r>
        <w:rPr>
          <w:rFonts w:hint="eastAsia" w:ascii="仿宋_GB2312" w:hAnsi="Calibri" w:eastAsia="仿宋_GB2312" w:cs="仿宋"/>
          <w:color w:val="auto"/>
          <w:kern w:val="0"/>
          <w:sz w:val="32"/>
          <w:szCs w:val="32"/>
          <w:lang w:val="en-US" w:eastAsia="zh-CN" w:bidi="ar-SA"/>
        </w:rPr>
        <w:t xml:space="preserve">   </w:t>
      </w:r>
      <w:r>
        <w:rPr>
          <w:rFonts w:hint="eastAsia" w:ascii="仿宋_GB2312" w:hAnsi="Calibri" w:eastAsia="仿宋_GB2312" w:cs="仿宋"/>
          <w:color w:val="auto"/>
          <w:kern w:val="0"/>
          <w:sz w:val="32"/>
          <w:szCs w:val="32"/>
          <w:lang w:val="zh-CN" w:eastAsia="zh-CN" w:bidi="ar-SA"/>
        </w:rPr>
        <w:t> 2、工作要有热情，要用积极的心态去工作。</w:t>
      </w:r>
    </w:p>
    <w:p w14:paraId="2E58E41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 </w:t>
      </w:r>
      <w:r>
        <w:rPr>
          <w:rFonts w:hint="eastAsia" w:ascii="仿宋_GB2312" w:hAnsi="Calibri" w:eastAsia="仿宋_GB2312" w:cs="仿宋"/>
          <w:color w:val="auto"/>
          <w:kern w:val="0"/>
          <w:sz w:val="32"/>
          <w:szCs w:val="32"/>
          <w:lang w:val="en-US" w:eastAsia="zh-CN" w:bidi="ar-SA"/>
        </w:rPr>
        <w:t xml:space="preserve"> </w:t>
      </w:r>
      <w:r>
        <w:rPr>
          <w:rFonts w:hint="eastAsia" w:ascii="仿宋_GB2312" w:hAnsi="Calibri" w:eastAsia="仿宋_GB2312" w:cs="仿宋"/>
          <w:color w:val="auto"/>
          <w:kern w:val="0"/>
          <w:sz w:val="32"/>
          <w:szCs w:val="32"/>
          <w:lang w:val="zh-CN" w:eastAsia="zh-CN" w:bidi="ar-SA"/>
        </w:rPr>
        <w:t> </w:t>
      </w:r>
      <w:r>
        <w:rPr>
          <w:rFonts w:hint="eastAsia" w:ascii="仿宋_GB2312" w:hAnsi="Calibri" w:eastAsia="仿宋_GB2312" w:cs="仿宋"/>
          <w:color w:val="auto"/>
          <w:kern w:val="0"/>
          <w:sz w:val="32"/>
          <w:szCs w:val="32"/>
          <w:lang w:val="en-US" w:eastAsia="zh-CN" w:bidi="ar-SA"/>
        </w:rPr>
        <w:t xml:space="preserve">  </w:t>
      </w:r>
      <w:r>
        <w:rPr>
          <w:rFonts w:hint="eastAsia" w:ascii="仿宋_GB2312" w:hAnsi="Calibri" w:eastAsia="仿宋_GB2312" w:cs="仿宋"/>
          <w:color w:val="auto"/>
          <w:kern w:val="0"/>
          <w:sz w:val="32"/>
          <w:szCs w:val="32"/>
          <w:lang w:val="zh-CN" w:eastAsia="zh-CN" w:bidi="ar-SA"/>
        </w:rPr>
        <w:t>3、对业务上的事要多加练习，遇到不懂的地方要虚心请教。</w:t>
      </w:r>
    </w:p>
    <w:p w14:paraId="1596D54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5BE3D6F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w:t>
      </w:r>
    </w:p>
    <w:p w14:paraId="2964E457">
      <w:pPr>
        <w:pStyle w:val="6"/>
        <w:rPr>
          <w:rFonts w:hint="eastAsia" w:ascii="仿宋_GB2312" w:hAnsi="Calibri" w:eastAsia="仿宋_GB2312" w:cs="仿宋"/>
          <w:color w:val="auto"/>
          <w:kern w:val="0"/>
          <w:sz w:val="32"/>
          <w:szCs w:val="32"/>
          <w:lang w:val="en-US" w:eastAsia="zh-CN" w:bidi="ar-SA"/>
        </w:rPr>
      </w:pPr>
    </w:p>
    <w:p w14:paraId="7CEBEE22">
      <w:pPr>
        <w:rPr>
          <w:rFonts w:hint="eastAsia" w:ascii="仿宋_GB2312" w:hAnsi="Calibri" w:eastAsia="仿宋_GB2312" w:cs="仿宋"/>
          <w:color w:val="auto"/>
          <w:kern w:val="0"/>
          <w:sz w:val="32"/>
          <w:szCs w:val="32"/>
          <w:lang w:val="en-US" w:eastAsia="zh-CN" w:bidi="ar-SA"/>
        </w:rPr>
      </w:pPr>
    </w:p>
    <w:p w14:paraId="0C2048AC">
      <w:pPr>
        <w:pStyle w:val="6"/>
        <w:rPr>
          <w:rFonts w:hint="eastAsia" w:ascii="仿宋_GB2312" w:hAnsi="Calibri" w:eastAsia="仿宋_GB2312" w:cs="仿宋"/>
          <w:color w:val="auto"/>
          <w:kern w:val="0"/>
          <w:sz w:val="32"/>
          <w:szCs w:val="32"/>
          <w:lang w:val="en-US" w:eastAsia="zh-CN" w:bidi="ar-SA"/>
        </w:rPr>
      </w:pPr>
    </w:p>
    <w:p w14:paraId="06FDF2E4">
      <w:pPr>
        <w:rPr>
          <w:rFonts w:hint="eastAsia" w:ascii="仿宋_GB2312" w:hAnsi="Calibri" w:eastAsia="仿宋_GB2312" w:cs="仿宋"/>
          <w:color w:val="auto"/>
          <w:kern w:val="0"/>
          <w:sz w:val="32"/>
          <w:szCs w:val="32"/>
          <w:lang w:val="en-US" w:eastAsia="zh-CN" w:bidi="ar-SA"/>
        </w:rPr>
      </w:pPr>
    </w:p>
    <w:p w14:paraId="64D549EA">
      <w:pPr>
        <w:pStyle w:val="6"/>
        <w:rPr>
          <w:rFonts w:hint="eastAsia" w:ascii="仿宋_GB2312" w:hAnsi="Calibri" w:eastAsia="仿宋_GB2312" w:cs="仿宋"/>
          <w:color w:val="auto"/>
          <w:kern w:val="0"/>
          <w:sz w:val="32"/>
          <w:szCs w:val="32"/>
          <w:lang w:val="en-US" w:eastAsia="zh-CN" w:bidi="ar-SA"/>
        </w:rPr>
      </w:pPr>
    </w:p>
    <w:p w14:paraId="40786E98">
      <w:pPr>
        <w:rPr>
          <w:rFonts w:hint="eastAsia" w:ascii="仿宋_GB2312" w:hAnsi="Calibri" w:eastAsia="仿宋_GB2312" w:cs="仿宋"/>
          <w:color w:val="auto"/>
          <w:kern w:val="0"/>
          <w:sz w:val="32"/>
          <w:szCs w:val="32"/>
          <w:lang w:val="en-US" w:eastAsia="zh-CN" w:bidi="ar-SA"/>
        </w:rPr>
      </w:pPr>
    </w:p>
    <w:p w14:paraId="7D87790F">
      <w:pPr>
        <w:pStyle w:val="6"/>
        <w:rPr>
          <w:rFonts w:hint="eastAsia" w:ascii="仿宋_GB2312" w:hAnsi="Calibri" w:eastAsia="仿宋_GB2312" w:cs="仿宋"/>
          <w:color w:val="auto"/>
          <w:kern w:val="0"/>
          <w:sz w:val="32"/>
          <w:szCs w:val="32"/>
          <w:lang w:val="en-US" w:eastAsia="zh-CN" w:bidi="ar-SA"/>
        </w:rPr>
      </w:pPr>
    </w:p>
    <w:p w14:paraId="3299AEFF">
      <w:pPr>
        <w:rPr>
          <w:rFonts w:hint="eastAsia"/>
          <w:lang w:val="en-US" w:eastAsia="zh-CN"/>
        </w:rPr>
      </w:pPr>
    </w:p>
    <w:p w14:paraId="77FFBFD6">
      <w:pPr>
        <w:rPr>
          <w:rFonts w:hint="default"/>
          <w:lang w:val="en-US" w:eastAsia="zh-CN"/>
        </w:rPr>
      </w:pPr>
    </w:p>
    <w:p w14:paraId="3C414BEF">
      <w:pPr>
        <w:pStyle w:val="2"/>
        <w:spacing w:before="93"/>
        <w:rPr>
          <w:lang w:val="zh-CN"/>
        </w:rPr>
      </w:pPr>
      <w:r>
        <w:rPr>
          <w:rFonts w:hint="eastAsia" w:hAnsi="宋体" w:cs="宋体"/>
          <w:sz w:val="32"/>
          <w:szCs w:val="32"/>
          <w:shd w:val="clear" w:color="auto" w:fill="FFFFFF"/>
          <w:lang w:val="zh-CN"/>
        </w:rPr>
        <w:t>附件</w:t>
      </w:r>
    </w:p>
    <w:p w14:paraId="6E5ED6E1">
      <w:pPr>
        <w:widowControl/>
        <w:adjustRightInd w:val="0"/>
        <w:snapToGrid w:val="0"/>
        <w:spacing w:line="540" w:lineRule="exact"/>
        <w:ind w:firstLine="720"/>
        <w:jc w:val="left"/>
        <w:rPr>
          <w:rFonts w:hint="eastAsia" w:ascii="仿宋_GB2312" w:hAnsi="Calibri" w:eastAsia="仿宋_GB2312" w:cs="仿宋"/>
          <w:b/>
          <w:bCs/>
          <w:color w:val="auto"/>
          <w:kern w:val="0"/>
          <w:sz w:val="44"/>
          <w:szCs w:val="44"/>
          <w:lang w:val="zh-CN" w:eastAsia="zh-CN" w:bidi="ar-SA"/>
        </w:rPr>
      </w:pPr>
      <w:r>
        <w:rPr>
          <w:rFonts w:hint="eastAsia" w:ascii="仿宋_GB2312" w:hAnsi="Calibri" w:eastAsia="仿宋_GB2312" w:cs="仿宋"/>
          <w:b/>
          <w:bCs/>
          <w:color w:val="auto"/>
          <w:kern w:val="0"/>
          <w:sz w:val="44"/>
          <w:szCs w:val="44"/>
          <w:lang w:val="zh-CN" w:eastAsia="zh-CN" w:bidi="ar-SA"/>
        </w:rPr>
        <w:t>绵竹市委统战部项目支出绩效自评报告</w:t>
      </w:r>
    </w:p>
    <w:p w14:paraId="4699B429">
      <w:pPr>
        <w:widowControl/>
        <w:adjustRightInd w:val="0"/>
        <w:snapToGrid w:val="0"/>
        <w:spacing w:line="540" w:lineRule="exact"/>
        <w:ind w:firstLine="720"/>
        <w:jc w:val="center"/>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（九三学社项目经费）</w:t>
      </w:r>
    </w:p>
    <w:p w14:paraId="58760F9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一、项目概况</w:t>
      </w:r>
    </w:p>
    <w:p w14:paraId="2C0234F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（一）项目基本情况。</w:t>
      </w:r>
    </w:p>
    <w:p w14:paraId="43B7F63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九三学社绵竹支社在统战部的领导下开展日常调研活动，发挥民主党派建言献策，参政议政的作用。</w:t>
      </w:r>
    </w:p>
    <w:p w14:paraId="71E4738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资金管理办法制定情况，资金支持具体项目的条件、范围与支持方式概况。</w:t>
      </w:r>
    </w:p>
    <w:p w14:paraId="79F3932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九三学社项目经费支出与我部其他项目支出一样，严格执行预算管理和财务收支管理制度，项目的组织由市委统战部负责。资金实行专款专用，仅支持和保障民革绵竹总支的日常活动开展，支持方式为据实全部保障兑付。</w:t>
      </w:r>
    </w:p>
    <w:p w14:paraId="7472A7E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资金分配的原则及考虑因素。</w:t>
      </w:r>
    </w:p>
    <w:p w14:paraId="6CEDBB3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严格按照预算进行分配。</w:t>
      </w:r>
    </w:p>
    <w:p w14:paraId="54D3B35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（二）项目绩效目标。</w:t>
      </w:r>
    </w:p>
    <w:p w14:paraId="10EBF90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1．项目主要内容。</w:t>
      </w:r>
    </w:p>
    <w:p w14:paraId="37D991F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用于九三学社绵竹支社开展调研、各区县支部交流学习、外出考察学习等日常费用。</w:t>
      </w:r>
    </w:p>
    <w:p w14:paraId="3185EA4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项目应实现的具体绩效目标，包括目标的量化、细化情况以及项目实施进度计划等。</w:t>
      </w:r>
    </w:p>
    <w:p w14:paraId="7C9304E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主要用于活动开展所需的场地费、餐饮费用、办公用品费用、会议费等。</w:t>
      </w:r>
    </w:p>
    <w:p w14:paraId="430FF22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分析评价申报内容是否与实际相符，申报目标是否合理可行。</w:t>
      </w:r>
    </w:p>
    <w:p w14:paraId="17CB4E8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评价申报内容与项目实际实施相符，申报目标合理可行。</w:t>
      </w:r>
    </w:p>
    <w:p w14:paraId="21C4F5D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4F900E3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（三）项目自评步骤及方法。</w:t>
      </w:r>
    </w:p>
    <w:p w14:paraId="6767BE3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说明项目绩效自评采用的组织实施步骤及方法。</w:t>
      </w:r>
    </w:p>
    <w:p w14:paraId="03B7C8E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为开展好本次项目自评工作，根据文件要求，按以下四个步骤开展绩效自评：</w:t>
      </w:r>
    </w:p>
    <w:p w14:paraId="45433D8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1.成立项目自评小组；</w:t>
      </w:r>
    </w:p>
    <w:p w14:paraId="6815479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2.收集项目相关资料，如预算资料，财务资料，文件依据资料等。最终形成项目绩效评价材料；</w:t>
      </w:r>
    </w:p>
    <w:p w14:paraId="2166483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3.开展绩效评价，形成自评报告初稿;</w:t>
      </w:r>
    </w:p>
    <w:p w14:paraId="5EE2E77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4.征求相关部门意见，形成自评报告。</w:t>
      </w:r>
    </w:p>
    <w:p w14:paraId="720FEC5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二、项目资金申报及使用情况</w:t>
      </w:r>
    </w:p>
    <w:p w14:paraId="40739E3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（一）项目资金申报及批复情况。</w:t>
      </w:r>
    </w:p>
    <w:p w14:paraId="4C444A6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九三学社项目经费预算申报金额</w:t>
      </w:r>
      <w:r>
        <w:rPr>
          <w:rFonts w:hint="eastAsia" w:ascii="仿宋_GB2312" w:hAnsi="Calibri" w:eastAsia="仿宋_GB2312" w:cs="仿宋"/>
          <w:color w:val="auto"/>
          <w:kern w:val="0"/>
          <w:sz w:val="32"/>
          <w:szCs w:val="32"/>
          <w:lang w:val="en-US" w:eastAsia="zh-CN" w:bidi="ar-SA"/>
        </w:rPr>
        <w:t>3</w:t>
      </w:r>
      <w:r>
        <w:rPr>
          <w:rFonts w:hint="eastAsia" w:ascii="仿宋_GB2312" w:hAnsi="Calibri" w:eastAsia="仿宋_GB2312" w:cs="仿宋"/>
          <w:color w:val="auto"/>
          <w:kern w:val="0"/>
          <w:sz w:val="32"/>
          <w:szCs w:val="32"/>
          <w:lang w:val="zh-CN" w:eastAsia="zh-CN" w:bidi="ar-SA"/>
        </w:rPr>
        <w:t>万元，财政批复</w:t>
      </w:r>
      <w:r>
        <w:rPr>
          <w:rFonts w:hint="eastAsia" w:ascii="仿宋_GB2312" w:hAnsi="Calibri" w:eastAsia="仿宋_GB2312" w:cs="仿宋"/>
          <w:color w:val="auto"/>
          <w:kern w:val="0"/>
          <w:sz w:val="32"/>
          <w:szCs w:val="32"/>
          <w:lang w:val="en-US" w:eastAsia="zh-CN" w:bidi="ar-SA"/>
        </w:rPr>
        <w:t>3</w:t>
      </w:r>
      <w:r>
        <w:rPr>
          <w:rFonts w:hint="eastAsia" w:ascii="仿宋_GB2312" w:hAnsi="Calibri" w:eastAsia="仿宋_GB2312" w:cs="仿宋"/>
          <w:color w:val="auto"/>
          <w:kern w:val="0"/>
          <w:sz w:val="32"/>
          <w:szCs w:val="32"/>
          <w:lang w:val="zh-CN" w:eastAsia="zh-CN" w:bidi="ar-SA"/>
        </w:rPr>
        <w:t>万元。符合资金管理办法等相关规定。</w:t>
      </w:r>
    </w:p>
    <w:p w14:paraId="66E203B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（二）资金计划、到位及使用情况（可用表格形式反映）。</w:t>
      </w:r>
    </w:p>
    <w:p w14:paraId="2AEC92F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1．资金计划。九三学社项目经费资金全部来源为本级财政拨款，纳入20</w:t>
      </w:r>
      <w:r>
        <w:rPr>
          <w:rFonts w:hint="eastAsia" w:ascii="仿宋_GB2312" w:hAnsi="Calibri" w:eastAsia="仿宋_GB2312" w:cs="仿宋"/>
          <w:color w:val="auto"/>
          <w:kern w:val="0"/>
          <w:sz w:val="32"/>
          <w:szCs w:val="32"/>
          <w:lang w:val="en-US" w:eastAsia="zh-CN" w:bidi="ar-SA"/>
        </w:rPr>
        <w:t>21</w:t>
      </w:r>
      <w:r>
        <w:rPr>
          <w:rFonts w:hint="eastAsia" w:ascii="仿宋_GB2312" w:hAnsi="Calibri" w:eastAsia="仿宋_GB2312" w:cs="仿宋"/>
          <w:color w:val="auto"/>
          <w:kern w:val="0"/>
          <w:sz w:val="32"/>
          <w:szCs w:val="32"/>
          <w:lang w:val="zh-CN" w:eastAsia="zh-CN" w:bidi="ar-SA"/>
        </w:rPr>
        <w:t>年部门预算，经市人大审批，市财政局批复后已全部及时拨付到位，到位率100%。</w:t>
      </w:r>
    </w:p>
    <w:p w14:paraId="2ACB7B2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2．资金到位。截止评价时点该项目全部资金</w:t>
      </w:r>
      <w:r>
        <w:rPr>
          <w:rFonts w:hint="eastAsia" w:ascii="仿宋_GB2312" w:hAnsi="Calibri" w:eastAsia="仿宋_GB2312" w:cs="仿宋"/>
          <w:color w:val="auto"/>
          <w:kern w:val="0"/>
          <w:sz w:val="32"/>
          <w:szCs w:val="32"/>
          <w:lang w:val="en-US" w:eastAsia="zh-CN" w:bidi="ar-SA"/>
        </w:rPr>
        <w:t>3</w:t>
      </w:r>
      <w:r>
        <w:rPr>
          <w:rFonts w:hint="eastAsia" w:ascii="仿宋_GB2312" w:hAnsi="Calibri" w:eastAsia="仿宋_GB2312" w:cs="仿宋"/>
          <w:color w:val="auto"/>
          <w:kern w:val="0"/>
          <w:sz w:val="32"/>
          <w:szCs w:val="32"/>
          <w:lang w:val="zh-CN" w:eastAsia="zh-CN" w:bidi="ar-SA"/>
        </w:rPr>
        <w:t>万元已全部通过大平台申请拨付到位，到位率100%。</w:t>
      </w:r>
    </w:p>
    <w:p w14:paraId="7F1B627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3．资金使用。截止评价时点项目资金实际支出</w:t>
      </w:r>
      <w:r>
        <w:rPr>
          <w:rFonts w:hint="eastAsia" w:ascii="仿宋_GB2312" w:hAnsi="Calibri" w:eastAsia="仿宋_GB2312" w:cs="仿宋"/>
          <w:color w:val="auto"/>
          <w:kern w:val="0"/>
          <w:sz w:val="32"/>
          <w:szCs w:val="32"/>
          <w:lang w:val="en-US" w:eastAsia="zh-CN" w:bidi="ar-SA"/>
        </w:rPr>
        <w:t>3</w:t>
      </w:r>
      <w:r>
        <w:rPr>
          <w:rFonts w:hint="eastAsia" w:ascii="仿宋_GB2312" w:hAnsi="Calibri" w:eastAsia="仿宋_GB2312" w:cs="仿宋"/>
          <w:color w:val="auto"/>
          <w:kern w:val="0"/>
          <w:sz w:val="32"/>
          <w:szCs w:val="32"/>
          <w:lang w:val="zh-CN" w:eastAsia="zh-CN" w:bidi="ar-SA"/>
        </w:rPr>
        <w:t>万，主要用于九三学社绵竹支社开展活动所产生的一系列费用等。全部费用于12月底前全部支付。支付依据合规合法，资金支付与预算相符。</w:t>
      </w:r>
    </w:p>
    <w:p w14:paraId="7066F26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（三）项目财务管理情况。</w:t>
      </w:r>
    </w:p>
    <w:p w14:paraId="351EB3E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支出一样，严格执行预算管理和财务收支管理制度，根据项目进度，向财务室提出资金使用申请，按照市财政局项目资金使用管理办法进行网上申报用款额度指标，在资金使用环节，严格遵守财政资金支出审批管理办法，严格按照机关资金财务审批流程办理款项支付。在会计核算环节，对本项目资金实际单独核算，确保专款专用。通过以上措施，杜绝挪用、挤占、截留项目资金的现象发生，保证财政资金安全高效使用。</w:t>
      </w:r>
    </w:p>
    <w:p w14:paraId="5DEB03F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三、项目实施及管理情况</w:t>
      </w:r>
    </w:p>
    <w:p w14:paraId="144382A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项目组织架构及实施流程。</w:t>
      </w:r>
    </w:p>
    <w:p w14:paraId="64924F2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的收支由财务室负责。根据项目进度，向财务室提出资金使用申请，按照市财政局项目资金使用管理办法进行网上申报用款额度指标，严格遵守财政资金支出审批管理办法，严格按照机关资金财务审批流程办理款项支付。</w:t>
      </w:r>
    </w:p>
    <w:p w14:paraId="021CAF5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项目管理情况。</w:t>
      </w:r>
    </w:p>
    <w:p w14:paraId="1E2A66C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用于九三学社绵竹支社日常活动费用。全部费用于12月底前全部支付。</w:t>
      </w:r>
    </w:p>
    <w:p w14:paraId="3BC46C5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项目监管情况。</w:t>
      </w:r>
    </w:p>
    <w:p w14:paraId="779B181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该项目与我部其他项目进行预决算公示，接受大众监督。</w:t>
      </w:r>
    </w:p>
    <w:p w14:paraId="5657706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四、项目绩效情况</w:t>
      </w:r>
      <w:r>
        <w:rPr>
          <w:rFonts w:hint="eastAsia" w:ascii="仿宋_GB2312" w:hAnsi="Calibri" w:eastAsia="仿宋_GB2312" w:cs="仿宋"/>
          <w:color w:val="auto"/>
          <w:kern w:val="0"/>
          <w:sz w:val="32"/>
          <w:szCs w:val="32"/>
          <w:lang w:val="zh-CN" w:eastAsia="zh-CN" w:bidi="ar-SA"/>
        </w:rPr>
        <w:tab/>
      </w:r>
    </w:p>
    <w:p w14:paraId="668189A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（一）项目完成情况。</w:t>
      </w:r>
    </w:p>
    <w:p w14:paraId="73023A9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对照项目计划完成目标，截止评价时点完成度100%，完成质量良好。</w:t>
      </w:r>
    </w:p>
    <w:p w14:paraId="274456A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（二）项目效益情况。</w:t>
      </w:r>
    </w:p>
    <w:p w14:paraId="05EC90C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市委统战部项目申报内容与具体实施内容相符、申报目标合理可行。项目内容全部按照申报时的名称、标准进行。项目社会效益达到，保证了党外人士以及新的社会阶层人士有活动有组织，更好的团结在党组织周围。</w:t>
      </w:r>
    </w:p>
    <w:p w14:paraId="334D280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五、评价结论及建议</w:t>
      </w:r>
    </w:p>
    <w:p w14:paraId="3FE5325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（一）评价结论。</w:t>
      </w:r>
    </w:p>
    <w:p w14:paraId="33C5842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九三学社项目决策依据充分，项目管理规范，项目绩效明显，总体评价该项目为优良。</w:t>
      </w:r>
    </w:p>
    <w:p w14:paraId="2C3D9D5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（二）存在的问题。</w:t>
      </w:r>
    </w:p>
    <w:p w14:paraId="6911E4F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在实施的过程中，对九三学社财务人员业务水平需要进一步提高。</w:t>
      </w:r>
    </w:p>
    <w:p w14:paraId="1AFF757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（三）相关建议。</w:t>
      </w:r>
    </w:p>
    <w:p w14:paraId="0BC3479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加强预算和支出管理，强化业务水平</w:t>
      </w:r>
    </w:p>
    <w:p w14:paraId="4B4A2170">
      <w:pPr>
        <w:pStyle w:val="6"/>
        <w:rPr>
          <w:rFonts w:hint="eastAsia" w:ascii="仿宋_GB2312" w:hAnsi="Calibri" w:eastAsia="仿宋_GB2312" w:cs="仿宋"/>
          <w:color w:val="auto"/>
          <w:kern w:val="0"/>
          <w:sz w:val="32"/>
          <w:szCs w:val="32"/>
          <w:lang w:val="zh-CN" w:eastAsia="zh-CN" w:bidi="ar-SA"/>
        </w:rPr>
      </w:pPr>
    </w:p>
    <w:p w14:paraId="1DB751B3">
      <w:pPr>
        <w:rPr>
          <w:rFonts w:hint="eastAsia"/>
          <w:lang w:val="zh-CN" w:eastAsia="zh-CN"/>
        </w:rPr>
      </w:pPr>
    </w:p>
    <w:p w14:paraId="181AFB6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02C35E3F">
      <w:pPr>
        <w:pStyle w:val="6"/>
        <w:rPr>
          <w:rFonts w:hint="eastAsia" w:ascii="仿宋_GB2312" w:hAnsi="Calibri" w:eastAsia="仿宋_GB2312" w:cs="仿宋"/>
          <w:color w:val="auto"/>
          <w:kern w:val="0"/>
          <w:sz w:val="32"/>
          <w:szCs w:val="32"/>
          <w:lang w:val="zh-CN" w:eastAsia="zh-CN" w:bidi="ar-SA"/>
        </w:rPr>
      </w:pPr>
    </w:p>
    <w:p w14:paraId="66AF5DBF">
      <w:pPr>
        <w:rPr>
          <w:rFonts w:hint="eastAsia" w:ascii="仿宋_GB2312" w:hAnsi="Calibri" w:eastAsia="仿宋_GB2312" w:cs="仿宋"/>
          <w:color w:val="auto"/>
          <w:kern w:val="0"/>
          <w:sz w:val="32"/>
          <w:szCs w:val="32"/>
          <w:lang w:val="zh-CN" w:eastAsia="zh-CN" w:bidi="ar-SA"/>
        </w:rPr>
      </w:pPr>
    </w:p>
    <w:p w14:paraId="01A5DC41">
      <w:pPr>
        <w:pStyle w:val="6"/>
        <w:rPr>
          <w:rFonts w:hint="eastAsia" w:ascii="仿宋_GB2312" w:hAnsi="Calibri" w:eastAsia="仿宋_GB2312" w:cs="仿宋"/>
          <w:color w:val="auto"/>
          <w:kern w:val="0"/>
          <w:sz w:val="32"/>
          <w:szCs w:val="32"/>
          <w:lang w:val="zh-CN" w:eastAsia="zh-CN" w:bidi="ar-SA"/>
        </w:rPr>
      </w:pPr>
    </w:p>
    <w:p w14:paraId="1D9FD6CF">
      <w:pPr>
        <w:rPr>
          <w:rFonts w:hint="eastAsia" w:ascii="仿宋_GB2312" w:hAnsi="Calibri" w:eastAsia="仿宋_GB2312" w:cs="仿宋"/>
          <w:color w:val="auto"/>
          <w:kern w:val="0"/>
          <w:sz w:val="32"/>
          <w:szCs w:val="32"/>
          <w:lang w:val="zh-CN" w:eastAsia="zh-CN" w:bidi="ar-SA"/>
        </w:rPr>
      </w:pPr>
    </w:p>
    <w:p w14:paraId="4C3F9EF9">
      <w:pPr>
        <w:widowControl/>
        <w:adjustRightInd w:val="0"/>
        <w:snapToGrid w:val="0"/>
        <w:spacing w:line="540" w:lineRule="exact"/>
        <w:ind w:firstLine="720"/>
        <w:jc w:val="left"/>
        <w:rPr>
          <w:rFonts w:hint="eastAsia" w:ascii="仿宋_GB2312" w:hAnsi="Calibri" w:eastAsia="仿宋_GB2312" w:cs="仿宋"/>
          <w:b/>
          <w:bCs/>
          <w:color w:val="auto"/>
          <w:kern w:val="0"/>
          <w:sz w:val="44"/>
          <w:szCs w:val="44"/>
          <w:lang w:val="zh-CN" w:eastAsia="zh-CN" w:bidi="ar-SA"/>
        </w:rPr>
      </w:pPr>
    </w:p>
    <w:p w14:paraId="11980BE0">
      <w:pPr>
        <w:widowControl/>
        <w:adjustRightInd w:val="0"/>
        <w:snapToGrid w:val="0"/>
        <w:spacing w:line="540" w:lineRule="exact"/>
        <w:ind w:firstLine="720"/>
        <w:jc w:val="left"/>
        <w:rPr>
          <w:rFonts w:hint="eastAsia" w:ascii="仿宋_GB2312" w:hAnsi="Calibri" w:eastAsia="仿宋_GB2312" w:cs="仿宋"/>
          <w:b/>
          <w:bCs/>
          <w:color w:val="auto"/>
          <w:kern w:val="0"/>
          <w:sz w:val="44"/>
          <w:szCs w:val="44"/>
          <w:lang w:val="zh-CN" w:eastAsia="zh-CN" w:bidi="ar-SA"/>
        </w:rPr>
      </w:pPr>
    </w:p>
    <w:p w14:paraId="65666B4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b/>
          <w:bCs/>
          <w:color w:val="auto"/>
          <w:kern w:val="0"/>
          <w:sz w:val="44"/>
          <w:szCs w:val="44"/>
          <w:lang w:val="zh-CN" w:eastAsia="zh-CN" w:bidi="ar-SA"/>
        </w:rPr>
        <w:t>绵竹市委统战部项目支出绩效自评报告</w:t>
      </w:r>
    </w:p>
    <w:p w14:paraId="619330BF">
      <w:pPr>
        <w:widowControl/>
        <w:adjustRightInd w:val="0"/>
        <w:snapToGrid w:val="0"/>
        <w:spacing w:line="540" w:lineRule="exact"/>
        <w:ind w:firstLine="720"/>
        <w:jc w:val="center"/>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（联谊会项目）</w:t>
      </w:r>
    </w:p>
    <w:p w14:paraId="3324AF4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一、项目概况</w:t>
      </w:r>
    </w:p>
    <w:p w14:paraId="0CD4CB3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（一）项目基本情况。</w:t>
      </w:r>
    </w:p>
    <w:p w14:paraId="2BFF1EC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绵竹市成立了党外知识分子联谊会、新的社会阶层人士联谊会，在统战部的领导下开展活动，发挥联谊会的作用。</w:t>
      </w:r>
    </w:p>
    <w:p w14:paraId="2148A19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资金管理办法制定情况，资金支持具体项目的条件、范围与支持方式概况。</w:t>
      </w:r>
    </w:p>
    <w:p w14:paraId="77E5F66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联谊会经费支出与我部其他项目支出一样，严格执行预算管理和财务收支管理制度，项目的组织由市委统战部负责。资金实行专款专用，仅支持和保障联谊会的日常活动开展，支持方式为据实全部保障兑付。</w:t>
      </w:r>
    </w:p>
    <w:p w14:paraId="59CEE6C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资金分配的原则及考虑因素。</w:t>
      </w:r>
    </w:p>
    <w:p w14:paraId="7841EDE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严格按照预算进行分配。</w:t>
      </w:r>
    </w:p>
    <w:p w14:paraId="112A052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（二）项目绩效目标。</w:t>
      </w:r>
    </w:p>
    <w:p w14:paraId="331ACD1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1．项目主要内容。</w:t>
      </w:r>
    </w:p>
    <w:p w14:paraId="452A048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用于知联会和新联会日常开展活动。</w:t>
      </w:r>
    </w:p>
    <w:p w14:paraId="1A79C7F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项目应实现的具体绩效目标，包括目标的量化、细化情况以及项目实施进度计划等。</w:t>
      </w:r>
    </w:p>
    <w:p w14:paraId="73A6736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主要用于活动的场地费、办公用品费用、会议费等。</w:t>
      </w:r>
    </w:p>
    <w:p w14:paraId="7BACF41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分析评价申报内容是否与实际相符，申报目标是否合理可行。</w:t>
      </w:r>
    </w:p>
    <w:p w14:paraId="16284B0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评价申报内容与项目实际实施相符，申报目标合理可行。</w:t>
      </w:r>
    </w:p>
    <w:p w14:paraId="5E23B1C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3AF9A86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（三）项目自评步骤及方法。</w:t>
      </w:r>
    </w:p>
    <w:p w14:paraId="7613E2E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说明项目绩效自评采用的组织实施步骤及方法。</w:t>
      </w:r>
    </w:p>
    <w:p w14:paraId="27C99CE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为开展好本次项目自评工作，根据文件要求，按以下四个步骤开展绩效自评：</w:t>
      </w:r>
    </w:p>
    <w:p w14:paraId="49D16FD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1.成立项目自评小组；</w:t>
      </w:r>
    </w:p>
    <w:p w14:paraId="210CA80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2.收集项目相关资料，如预算资料，财务资料，文件依据资料等。最终形成项目绩效评价材料；</w:t>
      </w:r>
    </w:p>
    <w:p w14:paraId="31673CF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3.开展绩效评价，形成自评报告初稿;</w:t>
      </w:r>
    </w:p>
    <w:p w14:paraId="35E9D97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4.征求相关部门意见，形成自评报告。</w:t>
      </w:r>
    </w:p>
    <w:p w14:paraId="788D9C4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二、项目资金申报及使用情况</w:t>
      </w:r>
    </w:p>
    <w:p w14:paraId="465E9B3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（一）项目资金申报及批复情况。</w:t>
      </w:r>
    </w:p>
    <w:p w14:paraId="064AFA2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联谊会经费预算申报金额</w:t>
      </w:r>
      <w:r>
        <w:rPr>
          <w:rFonts w:hint="eastAsia" w:ascii="仿宋_GB2312" w:hAnsi="Calibri" w:eastAsia="仿宋_GB2312" w:cs="仿宋"/>
          <w:color w:val="auto"/>
          <w:kern w:val="0"/>
          <w:sz w:val="32"/>
          <w:szCs w:val="32"/>
          <w:lang w:val="en-US" w:eastAsia="zh-CN" w:bidi="ar-SA"/>
        </w:rPr>
        <w:t>6</w:t>
      </w:r>
      <w:r>
        <w:rPr>
          <w:rFonts w:hint="eastAsia" w:ascii="仿宋_GB2312" w:hAnsi="Calibri" w:eastAsia="仿宋_GB2312" w:cs="仿宋"/>
          <w:color w:val="auto"/>
          <w:kern w:val="0"/>
          <w:sz w:val="32"/>
          <w:szCs w:val="32"/>
          <w:lang w:val="zh-CN" w:eastAsia="zh-CN" w:bidi="ar-SA"/>
        </w:rPr>
        <w:t>万元，财政批复</w:t>
      </w:r>
      <w:r>
        <w:rPr>
          <w:rFonts w:hint="eastAsia" w:ascii="仿宋_GB2312" w:hAnsi="Calibri" w:eastAsia="仿宋_GB2312" w:cs="仿宋"/>
          <w:color w:val="auto"/>
          <w:kern w:val="0"/>
          <w:sz w:val="32"/>
          <w:szCs w:val="32"/>
          <w:lang w:val="en-US" w:eastAsia="zh-CN" w:bidi="ar-SA"/>
        </w:rPr>
        <w:t>6</w:t>
      </w:r>
      <w:r>
        <w:rPr>
          <w:rFonts w:hint="eastAsia" w:ascii="仿宋_GB2312" w:hAnsi="Calibri" w:eastAsia="仿宋_GB2312" w:cs="仿宋"/>
          <w:color w:val="auto"/>
          <w:kern w:val="0"/>
          <w:sz w:val="32"/>
          <w:szCs w:val="32"/>
          <w:lang w:val="zh-CN" w:eastAsia="zh-CN" w:bidi="ar-SA"/>
        </w:rPr>
        <w:t>万元。符合资金管理办法等相关规定。</w:t>
      </w:r>
    </w:p>
    <w:p w14:paraId="4D328E3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（二）资金计划、到位及使用情况（可用表格形式反映）。</w:t>
      </w:r>
    </w:p>
    <w:p w14:paraId="6DFA78D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1．资金计划。联谊会经费资金全部来源为本级财政拨款，纳入20</w:t>
      </w:r>
      <w:r>
        <w:rPr>
          <w:rFonts w:hint="eastAsia" w:ascii="仿宋_GB2312" w:hAnsi="Calibri" w:eastAsia="仿宋_GB2312" w:cs="仿宋"/>
          <w:color w:val="auto"/>
          <w:kern w:val="0"/>
          <w:sz w:val="32"/>
          <w:szCs w:val="32"/>
          <w:lang w:val="en-US" w:eastAsia="zh-CN" w:bidi="ar-SA"/>
        </w:rPr>
        <w:t>21</w:t>
      </w:r>
      <w:r>
        <w:rPr>
          <w:rFonts w:hint="eastAsia" w:ascii="仿宋_GB2312" w:hAnsi="Calibri" w:eastAsia="仿宋_GB2312" w:cs="仿宋"/>
          <w:color w:val="auto"/>
          <w:kern w:val="0"/>
          <w:sz w:val="32"/>
          <w:szCs w:val="32"/>
          <w:lang w:val="zh-CN" w:eastAsia="zh-CN" w:bidi="ar-SA"/>
        </w:rPr>
        <w:t>年部门预算，经市人大审批，市财政局批复后已全部及时拨付到位，到位率100%。</w:t>
      </w:r>
    </w:p>
    <w:p w14:paraId="5BC2E13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2．资金到位。截止评价时点该项目全部资金</w:t>
      </w:r>
      <w:r>
        <w:rPr>
          <w:rFonts w:hint="eastAsia" w:ascii="仿宋_GB2312" w:hAnsi="Calibri" w:eastAsia="仿宋_GB2312" w:cs="仿宋"/>
          <w:color w:val="auto"/>
          <w:kern w:val="0"/>
          <w:sz w:val="32"/>
          <w:szCs w:val="32"/>
          <w:lang w:val="en-US" w:eastAsia="zh-CN" w:bidi="ar-SA"/>
        </w:rPr>
        <w:t>6</w:t>
      </w:r>
      <w:r>
        <w:rPr>
          <w:rFonts w:hint="eastAsia" w:ascii="仿宋_GB2312" w:hAnsi="Calibri" w:eastAsia="仿宋_GB2312" w:cs="仿宋"/>
          <w:color w:val="auto"/>
          <w:kern w:val="0"/>
          <w:sz w:val="32"/>
          <w:szCs w:val="32"/>
          <w:lang w:val="zh-CN" w:eastAsia="zh-CN" w:bidi="ar-SA"/>
        </w:rPr>
        <w:t>万元已全部通过大平台申请拨付到位，到位率100%。</w:t>
      </w:r>
    </w:p>
    <w:p w14:paraId="13ED2C4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3．资金使用。截止评价时点项目资金实际支出</w:t>
      </w:r>
      <w:r>
        <w:rPr>
          <w:rFonts w:hint="eastAsia" w:ascii="仿宋_GB2312" w:hAnsi="Calibri" w:eastAsia="仿宋_GB2312" w:cs="仿宋"/>
          <w:color w:val="auto"/>
          <w:kern w:val="0"/>
          <w:sz w:val="32"/>
          <w:szCs w:val="32"/>
          <w:lang w:val="en-US" w:eastAsia="zh-CN" w:bidi="ar-SA"/>
        </w:rPr>
        <w:t>6</w:t>
      </w:r>
      <w:r>
        <w:rPr>
          <w:rFonts w:hint="eastAsia" w:ascii="仿宋_GB2312" w:hAnsi="Calibri" w:eastAsia="仿宋_GB2312" w:cs="仿宋"/>
          <w:color w:val="auto"/>
          <w:kern w:val="0"/>
          <w:sz w:val="32"/>
          <w:szCs w:val="32"/>
          <w:lang w:val="zh-CN" w:eastAsia="zh-CN" w:bidi="ar-SA"/>
        </w:rPr>
        <w:t>万，主要用于知联会和新联会开展活动所产生的一系列费用等。全部费用于12月底前全部支付。支付依据合规合法，资金支付与预算相符。</w:t>
      </w:r>
    </w:p>
    <w:p w14:paraId="28CA539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（三）项目财务管理情况。</w:t>
      </w:r>
    </w:p>
    <w:p w14:paraId="41FBA26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办其他项目支出一样，严格执行预算管理和财务收支管理制度，根据项目进度，向财务室提出资金使用申请，按照市财政局项目资金使用管理办法进行网上申报用款额度指标，在资金使用环节，严格遵守财政资金支出审批管理办法，严格按照机关资金财务审批流程办理款项支付。在会计核算环节，对本项目资金实际单独核算，确保专款专用。通过以上措施，杜绝挪用、挤占、截留项目资金的现象发生，保证财政资金安全高效使用。</w:t>
      </w:r>
    </w:p>
    <w:p w14:paraId="5BC35F0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三、项目实施及管理情况</w:t>
      </w:r>
    </w:p>
    <w:p w14:paraId="0944F2A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项目组织架构及实施流程。</w:t>
      </w:r>
    </w:p>
    <w:p w14:paraId="0195ACB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的收支由财务室负责。根据项目进度，向财务室提出资金使用申请，按照市财政局项目资金使用管理办法进行网上申报用款额度指标，严格遵守财政资金支出审批管理办法，严格按照机关资金财务审批流程办理款项支付。</w:t>
      </w:r>
    </w:p>
    <w:p w14:paraId="4F449C4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项目管理情况。</w:t>
      </w:r>
    </w:p>
    <w:p w14:paraId="0B71BC8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用于知联会和新联会日常活动费用。全部费用于12月底前全部支付。</w:t>
      </w:r>
    </w:p>
    <w:p w14:paraId="242C355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项目监管情况。</w:t>
      </w:r>
    </w:p>
    <w:p w14:paraId="0916B66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该项目与我部其他项目进行预决算公示，接受大众监督。</w:t>
      </w:r>
    </w:p>
    <w:p w14:paraId="4B30E8A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四、项目绩效情况</w:t>
      </w:r>
      <w:r>
        <w:rPr>
          <w:rFonts w:hint="eastAsia" w:ascii="仿宋_GB2312" w:hAnsi="Calibri" w:eastAsia="仿宋_GB2312" w:cs="仿宋"/>
          <w:color w:val="auto"/>
          <w:kern w:val="0"/>
          <w:sz w:val="32"/>
          <w:szCs w:val="32"/>
          <w:lang w:val="zh-CN" w:eastAsia="zh-CN" w:bidi="ar-SA"/>
        </w:rPr>
        <w:tab/>
      </w:r>
    </w:p>
    <w:p w14:paraId="0079E8C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（一）项目完成情况。</w:t>
      </w:r>
    </w:p>
    <w:p w14:paraId="63E9213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对照项目计划完成目标，截止评价时点完成度100%，完成质量良好。</w:t>
      </w:r>
    </w:p>
    <w:p w14:paraId="00DF9FE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（二）项目效益情况。</w:t>
      </w:r>
    </w:p>
    <w:p w14:paraId="555E0C0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市委统战部项目申报内容与具体实施内容相符、申报目标合理可行。项目内容全部按照申报时的名称、标准进行。项目社会效益达到，保证了党外人士以及新的社会阶层人士有活动有组织，更好的团结在党组织周围。</w:t>
      </w:r>
    </w:p>
    <w:p w14:paraId="06491CE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五、评价结论及建议</w:t>
      </w:r>
    </w:p>
    <w:p w14:paraId="358A328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（一）评价结论。</w:t>
      </w:r>
    </w:p>
    <w:p w14:paraId="66C7A53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联谊会项目决策依据充分，项目管理规范，项目绩效明显，总体评价该项目为优良。</w:t>
      </w:r>
    </w:p>
    <w:p w14:paraId="3155073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（二）存在的问题。</w:t>
      </w:r>
    </w:p>
    <w:p w14:paraId="1C5B934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在实施的过程中，对联谊会人员财务管理水平需要进一步提高。</w:t>
      </w:r>
    </w:p>
    <w:p w14:paraId="2D1AB03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（三）相关建议。</w:t>
      </w:r>
    </w:p>
    <w:p w14:paraId="2B2A360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加强预算和支出管理，强化业务水平</w:t>
      </w:r>
    </w:p>
    <w:p w14:paraId="12F3510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53E7D765">
      <w:pPr>
        <w:pStyle w:val="6"/>
        <w:rPr>
          <w:rFonts w:hint="eastAsia" w:ascii="仿宋_GB2312" w:hAnsi="Calibri" w:eastAsia="仿宋_GB2312" w:cs="仿宋"/>
          <w:color w:val="auto"/>
          <w:kern w:val="0"/>
          <w:sz w:val="32"/>
          <w:szCs w:val="32"/>
          <w:lang w:val="zh-CN" w:eastAsia="zh-CN" w:bidi="ar-SA"/>
        </w:rPr>
      </w:pPr>
    </w:p>
    <w:p w14:paraId="0E820AD4">
      <w:pPr>
        <w:rPr>
          <w:rFonts w:hint="eastAsia" w:ascii="仿宋_GB2312" w:hAnsi="Calibri" w:eastAsia="仿宋_GB2312" w:cs="仿宋"/>
          <w:color w:val="auto"/>
          <w:kern w:val="0"/>
          <w:sz w:val="32"/>
          <w:szCs w:val="32"/>
          <w:lang w:val="zh-CN" w:eastAsia="zh-CN" w:bidi="ar-SA"/>
        </w:rPr>
      </w:pPr>
    </w:p>
    <w:p w14:paraId="7C9898DB">
      <w:pPr>
        <w:spacing w:line="560" w:lineRule="exact"/>
        <w:jc w:val="center"/>
        <w:rPr>
          <w:rFonts w:hint="eastAsia" w:ascii="仿宋_GB2312" w:hAnsi="仿宋_GB2312" w:cs="仿宋_GB2312"/>
          <w:b/>
          <w:sz w:val="44"/>
          <w:szCs w:val="44"/>
        </w:rPr>
      </w:pPr>
      <w:r>
        <w:rPr>
          <w:rFonts w:hint="eastAsia" w:ascii="仿宋_GB2312" w:hAnsi="仿宋_GB2312" w:cs="仿宋_GB2312"/>
          <w:b/>
          <w:sz w:val="44"/>
          <w:szCs w:val="44"/>
          <w:lang w:val="en-US" w:eastAsia="zh-CN"/>
        </w:rPr>
        <w:t xml:space="preserve"> </w:t>
      </w:r>
      <w:r>
        <w:rPr>
          <w:rFonts w:hint="eastAsia" w:ascii="仿宋_GB2312" w:hAnsi="仿宋_GB2312" w:cs="仿宋_GB2312"/>
          <w:b/>
          <w:sz w:val="44"/>
          <w:szCs w:val="44"/>
        </w:rPr>
        <w:t>绵竹市委统战部项目支出绩效自评报告</w:t>
      </w:r>
    </w:p>
    <w:p w14:paraId="7BCF5DC4">
      <w:pPr>
        <w:pStyle w:val="32"/>
        <w:spacing w:line="580" w:lineRule="exact"/>
        <w:ind w:firstLine="640"/>
        <w:jc w:val="center"/>
        <w:rPr>
          <w:rFonts w:hint="eastAsia" w:ascii="宋体" w:eastAsia="宋体"/>
          <w:color w:val="auto"/>
          <w:kern w:val="2"/>
          <w:sz w:val="32"/>
          <w:szCs w:val="32"/>
          <w:lang w:val="en-US" w:eastAsia="zh-CN"/>
        </w:rPr>
      </w:pPr>
      <w:r>
        <w:rPr>
          <w:rFonts w:hint="eastAsia" w:ascii="宋体"/>
          <w:color w:val="auto"/>
          <w:kern w:val="2"/>
          <w:sz w:val="32"/>
          <w:szCs w:val="32"/>
          <w:lang w:val="en-US" w:eastAsia="zh-CN"/>
        </w:rPr>
        <w:t>（民革项目经费）</w:t>
      </w:r>
    </w:p>
    <w:p w14:paraId="6EB20EC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一、项目概况</w:t>
      </w:r>
    </w:p>
    <w:p w14:paraId="41D05D5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（一）项目基本情况。</w:t>
      </w:r>
    </w:p>
    <w:p w14:paraId="24FA96F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民革绵竹总支在统战部的领导下开展日常调研活动，发挥民主党派建言献策，参政议政的作用。</w:t>
      </w:r>
    </w:p>
    <w:p w14:paraId="4149ECD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资金管理办法制定情况，资金支持具体项目的条件、范围与支持方式概况。</w:t>
      </w:r>
    </w:p>
    <w:p w14:paraId="35A736D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民革项目经费支出与我部其他项目支出一样，严格执行预算管理和财务收支管理制度，项目的组织由市委统战部负责。资金实行专款专用，仅支持和保障民革绵竹总支的日常活动开展，支持方式为据实全部保障兑付。</w:t>
      </w:r>
    </w:p>
    <w:p w14:paraId="28270DA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资金分配的原则及考虑因素。</w:t>
      </w:r>
    </w:p>
    <w:p w14:paraId="05CE666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严格按照预算进行分配。</w:t>
      </w:r>
    </w:p>
    <w:p w14:paraId="5B1EDAF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（二）项目绩效目标。</w:t>
      </w:r>
    </w:p>
    <w:p w14:paraId="026A324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1．项目主要内容。</w:t>
      </w:r>
    </w:p>
    <w:p w14:paraId="32DB7D3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用于民革绵竹总支开展调研、各区县支部交流学习、外出考察学习等日常费用。</w:t>
      </w:r>
    </w:p>
    <w:p w14:paraId="0345877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项目应实现的具体绩效目标，包括目标的量化、细化情况以及项目实施进度计划等。</w:t>
      </w:r>
    </w:p>
    <w:p w14:paraId="477DACE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主要用于活动开展所需的场地费、餐饮费用、办公用品费用、会议费等。</w:t>
      </w:r>
    </w:p>
    <w:p w14:paraId="16FA015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分析评价申报内容是否与实际相符，申报目标是否合理可行。</w:t>
      </w:r>
    </w:p>
    <w:p w14:paraId="18FF00A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评价申报内容与项目实际实施相符，申报目标合理可行。</w:t>
      </w:r>
    </w:p>
    <w:p w14:paraId="01A5E7D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081B086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（三）项目自评步骤及方法。</w:t>
      </w:r>
    </w:p>
    <w:p w14:paraId="0CD0F0B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说明项目绩效自评采用的组织实施步骤及方法。</w:t>
      </w:r>
    </w:p>
    <w:p w14:paraId="02AABA1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为开展好本次项目自评工作，根据文件要求，按以下四个步骤开展绩效自评：</w:t>
      </w:r>
    </w:p>
    <w:p w14:paraId="0B9CF41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1.成立项目自评小组；</w:t>
      </w:r>
    </w:p>
    <w:p w14:paraId="4E15865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2.收集项目相关资料，如预算资料，财务资料，文件依据资料等。最终形成项目绩效评价材料；</w:t>
      </w:r>
    </w:p>
    <w:p w14:paraId="1AA8AEC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3.开展绩效评价，形成自评报告初稿;</w:t>
      </w:r>
    </w:p>
    <w:p w14:paraId="18A32C4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4.征求相关部门意见，形成自评报告。</w:t>
      </w:r>
    </w:p>
    <w:p w14:paraId="079D7EF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二、项目资金申报及使用情况</w:t>
      </w:r>
    </w:p>
    <w:p w14:paraId="58B7869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（一）项目资金申报及批复情况。</w:t>
      </w:r>
    </w:p>
    <w:p w14:paraId="1771463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民革项目经费预算申报金额</w:t>
      </w:r>
      <w:r>
        <w:rPr>
          <w:rFonts w:hint="eastAsia" w:ascii="仿宋_GB2312" w:hAnsi="Calibri" w:eastAsia="仿宋_GB2312" w:cs="仿宋"/>
          <w:color w:val="auto"/>
          <w:kern w:val="0"/>
          <w:sz w:val="32"/>
          <w:szCs w:val="32"/>
          <w:lang w:val="en-US" w:eastAsia="zh-CN" w:bidi="ar-SA"/>
        </w:rPr>
        <w:t>3.5</w:t>
      </w:r>
      <w:r>
        <w:rPr>
          <w:rFonts w:hint="eastAsia" w:ascii="仿宋_GB2312" w:hAnsi="Calibri" w:eastAsia="仿宋_GB2312" w:cs="仿宋"/>
          <w:color w:val="auto"/>
          <w:kern w:val="0"/>
          <w:sz w:val="32"/>
          <w:szCs w:val="32"/>
          <w:lang w:val="zh-CN" w:eastAsia="zh-CN" w:bidi="ar-SA"/>
        </w:rPr>
        <w:t>万元，财政批复</w:t>
      </w:r>
      <w:r>
        <w:rPr>
          <w:rFonts w:hint="eastAsia" w:ascii="仿宋_GB2312" w:hAnsi="Calibri" w:eastAsia="仿宋_GB2312" w:cs="仿宋"/>
          <w:color w:val="auto"/>
          <w:kern w:val="0"/>
          <w:sz w:val="32"/>
          <w:szCs w:val="32"/>
          <w:lang w:val="en-US" w:eastAsia="zh-CN" w:bidi="ar-SA"/>
        </w:rPr>
        <w:t>3.5</w:t>
      </w:r>
      <w:r>
        <w:rPr>
          <w:rFonts w:hint="eastAsia" w:ascii="仿宋_GB2312" w:hAnsi="Calibri" w:eastAsia="仿宋_GB2312" w:cs="仿宋"/>
          <w:color w:val="auto"/>
          <w:kern w:val="0"/>
          <w:sz w:val="32"/>
          <w:szCs w:val="32"/>
          <w:lang w:val="zh-CN" w:eastAsia="zh-CN" w:bidi="ar-SA"/>
        </w:rPr>
        <w:t>万元。符合资金管理办法等相关规定。</w:t>
      </w:r>
    </w:p>
    <w:p w14:paraId="025D7AF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（二）资金计划、到位及使用情况（可用表格形式反映）。</w:t>
      </w:r>
    </w:p>
    <w:p w14:paraId="409A21C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1．资金计划。民革项目经费资金全部来源为本级财政拨款，纳入20</w:t>
      </w:r>
      <w:r>
        <w:rPr>
          <w:rFonts w:hint="eastAsia" w:ascii="仿宋_GB2312" w:hAnsi="Calibri" w:eastAsia="仿宋_GB2312" w:cs="仿宋"/>
          <w:color w:val="auto"/>
          <w:kern w:val="0"/>
          <w:sz w:val="32"/>
          <w:szCs w:val="32"/>
          <w:lang w:val="en-US" w:eastAsia="zh-CN" w:bidi="ar-SA"/>
        </w:rPr>
        <w:t>21</w:t>
      </w:r>
      <w:r>
        <w:rPr>
          <w:rFonts w:hint="eastAsia" w:ascii="仿宋_GB2312" w:hAnsi="Calibri" w:eastAsia="仿宋_GB2312" w:cs="仿宋"/>
          <w:color w:val="auto"/>
          <w:kern w:val="0"/>
          <w:sz w:val="32"/>
          <w:szCs w:val="32"/>
          <w:lang w:val="zh-CN" w:eastAsia="zh-CN" w:bidi="ar-SA"/>
        </w:rPr>
        <w:t>年部门预算，经市人大审批，市财政局批复后已全部及时拨付到位，到位率100%。</w:t>
      </w:r>
    </w:p>
    <w:p w14:paraId="0CD9BC7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2．资金到位。截止评价时点该项目全部资金</w:t>
      </w:r>
      <w:r>
        <w:rPr>
          <w:rFonts w:hint="eastAsia" w:ascii="仿宋_GB2312" w:hAnsi="Calibri" w:eastAsia="仿宋_GB2312" w:cs="仿宋"/>
          <w:color w:val="auto"/>
          <w:kern w:val="0"/>
          <w:sz w:val="32"/>
          <w:szCs w:val="32"/>
          <w:lang w:val="en-US" w:eastAsia="zh-CN" w:bidi="ar-SA"/>
        </w:rPr>
        <w:t>3.5</w:t>
      </w:r>
      <w:r>
        <w:rPr>
          <w:rFonts w:hint="eastAsia" w:ascii="仿宋_GB2312" w:hAnsi="Calibri" w:eastAsia="仿宋_GB2312" w:cs="仿宋"/>
          <w:color w:val="auto"/>
          <w:kern w:val="0"/>
          <w:sz w:val="32"/>
          <w:szCs w:val="32"/>
          <w:lang w:val="zh-CN" w:eastAsia="zh-CN" w:bidi="ar-SA"/>
        </w:rPr>
        <w:t>万元已全部通过大平台申请拨付到位，到位率100%。</w:t>
      </w:r>
    </w:p>
    <w:p w14:paraId="3ABAD44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3．资金使用。截止评价时点项目资金实际支出</w:t>
      </w:r>
      <w:r>
        <w:rPr>
          <w:rFonts w:hint="eastAsia" w:ascii="仿宋_GB2312" w:hAnsi="Calibri" w:eastAsia="仿宋_GB2312" w:cs="仿宋"/>
          <w:color w:val="auto"/>
          <w:kern w:val="0"/>
          <w:sz w:val="32"/>
          <w:szCs w:val="32"/>
          <w:lang w:val="en-US" w:eastAsia="zh-CN" w:bidi="ar-SA"/>
        </w:rPr>
        <w:t>3.5</w:t>
      </w:r>
      <w:r>
        <w:rPr>
          <w:rFonts w:hint="eastAsia" w:ascii="仿宋_GB2312" w:hAnsi="Calibri" w:eastAsia="仿宋_GB2312" w:cs="仿宋"/>
          <w:color w:val="auto"/>
          <w:kern w:val="0"/>
          <w:sz w:val="32"/>
          <w:szCs w:val="32"/>
          <w:lang w:val="zh-CN" w:eastAsia="zh-CN" w:bidi="ar-SA"/>
        </w:rPr>
        <w:t>万，主要用于民革绵竹总支开展活动所产生的一系列费用等。全部费用于12月底前全部支付。支付依据合规合法，资金支付与预算相符。</w:t>
      </w:r>
    </w:p>
    <w:p w14:paraId="17C1A85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（三）项目财务管理情况。</w:t>
      </w:r>
    </w:p>
    <w:p w14:paraId="4A57B4E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支出一样，严格执行预算管理和财务收支管理制度，根据项目进度，向财务室提出资金使用申请，按照市财政局项目资金使用管理办法进行网上申报用款额度指标，在资金使用环节，严格遵守财政资金支出审批管理办法，严格按照机关资金财务审批流程办理款项支付。在会计核算环节，对本项目资金实际单独核算，确保专款专用。通过以上措施，杜绝挪用、挤占、截留项目资金的现象发生，保证财政资金安全高效使用。</w:t>
      </w:r>
    </w:p>
    <w:p w14:paraId="1190F96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三、项目实施及管理情况</w:t>
      </w:r>
    </w:p>
    <w:p w14:paraId="5F990DE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项目组织架构及实施流程。</w:t>
      </w:r>
    </w:p>
    <w:p w14:paraId="600DDA1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的收支由财务室负责。根据项目进度，向财务室提出资金使用申请，按照市财政局项目资金使用管理办法进行网上申报用款额度指标，严格遵守财政资金支出审批管理办法，严格按照机关资金财务审批流程办理款项支付。</w:t>
      </w:r>
    </w:p>
    <w:p w14:paraId="27F36FC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项目管理情况。</w:t>
      </w:r>
    </w:p>
    <w:p w14:paraId="784557C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用于民革绵竹总支日常活动费用。全部费用于12月底前全部支付。</w:t>
      </w:r>
    </w:p>
    <w:p w14:paraId="4417654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项目监管情况。</w:t>
      </w:r>
    </w:p>
    <w:p w14:paraId="1BFB55D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该项目与我部其他项目进行预决算公示，接受大众监督。</w:t>
      </w:r>
    </w:p>
    <w:p w14:paraId="24FD1A6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四、项目绩效情况</w:t>
      </w:r>
      <w:r>
        <w:rPr>
          <w:rFonts w:hint="eastAsia" w:ascii="仿宋_GB2312" w:hAnsi="Calibri" w:eastAsia="仿宋_GB2312" w:cs="仿宋"/>
          <w:color w:val="auto"/>
          <w:kern w:val="0"/>
          <w:sz w:val="32"/>
          <w:szCs w:val="32"/>
          <w:lang w:val="zh-CN" w:eastAsia="zh-CN" w:bidi="ar-SA"/>
        </w:rPr>
        <w:tab/>
      </w:r>
    </w:p>
    <w:p w14:paraId="6C6E861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（一）项目完成情况。</w:t>
      </w:r>
    </w:p>
    <w:p w14:paraId="1749C2F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对照项目计划完成目标，截止评价时点完成度100%，完成质量良好。</w:t>
      </w:r>
    </w:p>
    <w:p w14:paraId="5C35A75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（二）项目效益情况。</w:t>
      </w:r>
    </w:p>
    <w:p w14:paraId="42AEA22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市委统战部项目申报内容与具体实施内容相符、申报目标合理可行。项目内容全部按照申报时的名称、标准进行。项目社会效益达到，保证了党外人士以及新的社会阶层人士有活动有组织，更好的团结在党组织周围。</w:t>
      </w:r>
    </w:p>
    <w:p w14:paraId="192E838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五、评价结论及建议</w:t>
      </w:r>
    </w:p>
    <w:p w14:paraId="3B9355F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（一）评价结论。</w:t>
      </w:r>
    </w:p>
    <w:p w14:paraId="59CBB58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民革项目决策依据充分，项目管理规范，项目绩效明显，总体评价该项目为优良。</w:t>
      </w:r>
    </w:p>
    <w:p w14:paraId="3B4890E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（二）存在的问题。</w:t>
      </w:r>
    </w:p>
    <w:p w14:paraId="76C09EC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在实施的过程中，对民革财务人员业务水平需要进一步提高。</w:t>
      </w:r>
    </w:p>
    <w:p w14:paraId="1311F4B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（三）相关建议。</w:t>
      </w:r>
    </w:p>
    <w:p w14:paraId="5ADC072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加强预算和支出管理，强化业务水平</w:t>
      </w:r>
    </w:p>
    <w:p w14:paraId="50D7A227">
      <w:pPr>
        <w:pStyle w:val="6"/>
        <w:rPr>
          <w:rFonts w:hint="eastAsia"/>
          <w:lang w:val="zh-CN" w:eastAsia="zh-CN"/>
        </w:rPr>
      </w:pPr>
    </w:p>
    <w:p w14:paraId="4704EDA7">
      <w:pPr>
        <w:adjustRightInd w:val="0"/>
        <w:snapToGrid w:val="0"/>
        <w:spacing w:line="580" w:lineRule="exact"/>
        <w:ind w:firstLine="420" w:firstLineChars="200"/>
        <w:rPr>
          <w:rFonts w:ascii="仿宋_GB2312" w:hAnsi="宋体"/>
          <w:lang w:val="zh-CN"/>
        </w:rPr>
      </w:pPr>
    </w:p>
    <w:p w14:paraId="27357F94">
      <w:pPr>
        <w:spacing w:line="560" w:lineRule="exact"/>
        <w:jc w:val="center"/>
        <w:rPr>
          <w:rFonts w:hint="eastAsia" w:ascii="仿宋_GB2312" w:hAnsi="仿宋_GB2312" w:cs="仿宋_GB2312"/>
          <w:b/>
          <w:sz w:val="44"/>
          <w:szCs w:val="44"/>
        </w:rPr>
      </w:pPr>
      <w:r>
        <w:rPr>
          <w:rFonts w:hint="eastAsia" w:ascii="仿宋_GB2312" w:hAnsi="仿宋_GB2312" w:cs="仿宋_GB2312"/>
          <w:b/>
          <w:sz w:val="44"/>
          <w:szCs w:val="44"/>
        </w:rPr>
        <w:t>绵竹市委统战部项目支出绩效自评报告</w:t>
      </w:r>
    </w:p>
    <w:p w14:paraId="5E4C54E4">
      <w:pPr>
        <w:pStyle w:val="32"/>
        <w:spacing w:line="580" w:lineRule="exact"/>
        <w:ind w:firstLine="640"/>
        <w:jc w:val="center"/>
        <w:rPr>
          <w:rFonts w:hint="eastAsia" w:ascii="宋体" w:eastAsia="宋体"/>
          <w:color w:val="auto"/>
          <w:kern w:val="2"/>
          <w:sz w:val="32"/>
          <w:szCs w:val="32"/>
          <w:lang w:val="en-US" w:eastAsia="zh-CN"/>
        </w:rPr>
      </w:pPr>
      <w:r>
        <w:rPr>
          <w:rFonts w:hint="eastAsia" w:ascii="宋体"/>
          <w:color w:val="auto"/>
          <w:kern w:val="2"/>
          <w:sz w:val="32"/>
          <w:szCs w:val="32"/>
          <w:lang w:val="en-US" w:eastAsia="zh-CN"/>
        </w:rPr>
        <w:t>（民盟项目经费）</w:t>
      </w:r>
    </w:p>
    <w:p w14:paraId="616ACB2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一、项目概况</w:t>
      </w:r>
    </w:p>
    <w:p w14:paraId="17D772F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（一）项目基本情况。</w:t>
      </w:r>
    </w:p>
    <w:p w14:paraId="2D058FA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民盟绵竹总支在统战部的领导下开展日常调研活动，发挥民主党派建言献策，参政议政的作用。</w:t>
      </w:r>
    </w:p>
    <w:p w14:paraId="6A37AC2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资金管理办法制定情况，资金支持具体项目的条件、范围与支持方式概况。</w:t>
      </w:r>
    </w:p>
    <w:p w14:paraId="59B855A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民盟项目经费支出与我部其他项目支出一样，严格执行预算管理和财务收支管理制度，项目的组织由市委统战部负责。资金实行专款专用，仅支持和保障民革绵竹总支的日常活动开展，支持方式为据实全部保障兑付。</w:t>
      </w:r>
    </w:p>
    <w:p w14:paraId="767A031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资金分配的原则及考虑因素。</w:t>
      </w:r>
    </w:p>
    <w:p w14:paraId="1DFAA22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严格按照预算进行分配。</w:t>
      </w:r>
    </w:p>
    <w:p w14:paraId="0A0E170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（二）项目绩效目标。</w:t>
      </w:r>
    </w:p>
    <w:p w14:paraId="30589B2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1．项目主要内容。</w:t>
      </w:r>
    </w:p>
    <w:p w14:paraId="0224892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用于民盟绵竹总支开展调研、各区县支部交流学习、外出考察学习等日常费用。</w:t>
      </w:r>
    </w:p>
    <w:p w14:paraId="0F02D7C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项目应实现的具体绩效目标，包括目标的量化、细化情况以及项目实施进度计划等。</w:t>
      </w:r>
    </w:p>
    <w:p w14:paraId="730CF7B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主要用于活动开展所需的场地费、餐饮费用、办公用品费用、会议费等。</w:t>
      </w:r>
    </w:p>
    <w:p w14:paraId="195073F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分析评价申报内容是否与实际相符，申报目标是否合理可行。</w:t>
      </w:r>
    </w:p>
    <w:p w14:paraId="041B119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评价申报内容与项目实际实施相符，申报目标合理可行。</w:t>
      </w:r>
    </w:p>
    <w:p w14:paraId="255A00F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6F9B0FC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（三）项目自评步骤及方法。</w:t>
      </w:r>
    </w:p>
    <w:p w14:paraId="4CFE95F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说明项目绩效自评采用的组织实施步骤及方法。</w:t>
      </w:r>
    </w:p>
    <w:p w14:paraId="5279091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为开展好本次项目自评工作，根据文件要求，按以下四个步骤开展绩效自评：</w:t>
      </w:r>
    </w:p>
    <w:p w14:paraId="2EDA497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1.成立项目自评小组；</w:t>
      </w:r>
    </w:p>
    <w:p w14:paraId="0531C9E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2.收集项目相关资料，如预算资料，财务资料，文件依据资料等。最终形成项目绩效评价材料；</w:t>
      </w:r>
    </w:p>
    <w:p w14:paraId="67F25B5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3.开展绩效评价，形成自评报告初稿;</w:t>
      </w:r>
    </w:p>
    <w:p w14:paraId="13749C7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4.征求相关部门意见，形成自评报告。</w:t>
      </w:r>
    </w:p>
    <w:p w14:paraId="2B34513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二、项目资金申报及使用情况</w:t>
      </w:r>
    </w:p>
    <w:p w14:paraId="1085CA3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（一）项目资金申报及批复情况。</w:t>
      </w:r>
    </w:p>
    <w:p w14:paraId="502CE99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民盟项目经费预算申报金额</w:t>
      </w:r>
      <w:r>
        <w:rPr>
          <w:rFonts w:hint="eastAsia" w:ascii="仿宋_GB2312" w:hAnsi="Calibri" w:eastAsia="仿宋_GB2312" w:cs="仿宋"/>
          <w:color w:val="auto"/>
          <w:kern w:val="0"/>
          <w:sz w:val="32"/>
          <w:szCs w:val="32"/>
          <w:lang w:val="en-US" w:eastAsia="zh-CN" w:bidi="ar-SA"/>
        </w:rPr>
        <w:t>3.5</w:t>
      </w:r>
      <w:r>
        <w:rPr>
          <w:rFonts w:hint="eastAsia" w:ascii="仿宋_GB2312" w:hAnsi="Calibri" w:eastAsia="仿宋_GB2312" w:cs="仿宋"/>
          <w:color w:val="auto"/>
          <w:kern w:val="0"/>
          <w:sz w:val="32"/>
          <w:szCs w:val="32"/>
          <w:lang w:val="zh-CN" w:eastAsia="zh-CN" w:bidi="ar-SA"/>
        </w:rPr>
        <w:t>万元，财政批复</w:t>
      </w:r>
      <w:r>
        <w:rPr>
          <w:rFonts w:hint="eastAsia" w:ascii="仿宋_GB2312" w:hAnsi="Calibri" w:eastAsia="仿宋_GB2312" w:cs="仿宋"/>
          <w:color w:val="auto"/>
          <w:kern w:val="0"/>
          <w:sz w:val="32"/>
          <w:szCs w:val="32"/>
          <w:lang w:val="en-US" w:eastAsia="zh-CN" w:bidi="ar-SA"/>
        </w:rPr>
        <w:t>3.5</w:t>
      </w:r>
      <w:r>
        <w:rPr>
          <w:rFonts w:hint="eastAsia" w:ascii="仿宋_GB2312" w:hAnsi="Calibri" w:eastAsia="仿宋_GB2312" w:cs="仿宋"/>
          <w:color w:val="auto"/>
          <w:kern w:val="0"/>
          <w:sz w:val="32"/>
          <w:szCs w:val="32"/>
          <w:lang w:val="zh-CN" w:eastAsia="zh-CN" w:bidi="ar-SA"/>
        </w:rPr>
        <w:t>万元。符合资金管理办法等相关规定。</w:t>
      </w:r>
    </w:p>
    <w:p w14:paraId="5F72A26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（二）资金计划、到位及使用情况（可用表格形式反映）。</w:t>
      </w:r>
    </w:p>
    <w:p w14:paraId="62337CD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1．资金计划。民革项目经费资金全部来源为本级财政拨款，纳入20</w:t>
      </w:r>
      <w:r>
        <w:rPr>
          <w:rFonts w:hint="eastAsia" w:ascii="仿宋_GB2312" w:hAnsi="Calibri" w:eastAsia="仿宋_GB2312" w:cs="仿宋"/>
          <w:color w:val="auto"/>
          <w:kern w:val="0"/>
          <w:sz w:val="32"/>
          <w:szCs w:val="32"/>
          <w:lang w:val="en-US" w:eastAsia="zh-CN" w:bidi="ar-SA"/>
        </w:rPr>
        <w:t>21</w:t>
      </w:r>
      <w:r>
        <w:rPr>
          <w:rFonts w:hint="eastAsia" w:ascii="仿宋_GB2312" w:hAnsi="Calibri" w:eastAsia="仿宋_GB2312" w:cs="仿宋"/>
          <w:color w:val="auto"/>
          <w:kern w:val="0"/>
          <w:sz w:val="32"/>
          <w:szCs w:val="32"/>
          <w:lang w:val="zh-CN" w:eastAsia="zh-CN" w:bidi="ar-SA"/>
        </w:rPr>
        <w:t>年部门预算，经市人大审批，市财政局批复后已全部及时拨付到位，到位率100%。</w:t>
      </w:r>
    </w:p>
    <w:p w14:paraId="02F22F9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2．资金到位。截止评价时点该项目全部资金</w:t>
      </w:r>
      <w:r>
        <w:rPr>
          <w:rFonts w:hint="eastAsia" w:ascii="仿宋_GB2312" w:hAnsi="Calibri" w:eastAsia="仿宋_GB2312" w:cs="仿宋"/>
          <w:color w:val="auto"/>
          <w:kern w:val="0"/>
          <w:sz w:val="32"/>
          <w:szCs w:val="32"/>
          <w:lang w:val="en-US" w:eastAsia="zh-CN" w:bidi="ar-SA"/>
        </w:rPr>
        <w:t>3.5</w:t>
      </w:r>
      <w:r>
        <w:rPr>
          <w:rFonts w:hint="eastAsia" w:ascii="仿宋_GB2312" w:hAnsi="Calibri" w:eastAsia="仿宋_GB2312" w:cs="仿宋"/>
          <w:color w:val="auto"/>
          <w:kern w:val="0"/>
          <w:sz w:val="32"/>
          <w:szCs w:val="32"/>
          <w:lang w:val="zh-CN" w:eastAsia="zh-CN" w:bidi="ar-SA"/>
        </w:rPr>
        <w:t>万元已全部通过大平台申请拨付到位，到位率100%。</w:t>
      </w:r>
    </w:p>
    <w:p w14:paraId="5EA2443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3．资金使用。截止评价时点项目资金实际支出</w:t>
      </w:r>
      <w:r>
        <w:rPr>
          <w:rFonts w:hint="eastAsia" w:ascii="仿宋_GB2312" w:hAnsi="Calibri" w:eastAsia="仿宋_GB2312" w:cs="仿宋"/>
          <w:color w:val="auto"/>
          <w:kern w:val="0"/>
          <w:sz w:val="32"/>
          <w:szCs w:val="32"/>
          <w:lang w:val="en-US" w:eastAsia="zh-CN" w:bidi="ar-SA"/>
        </w:rPr>
        <w:t>3.5</w:t>
      </w:r>
      <w:r>
        <w:rPr>
          <w:rFonts w:hint="eastAsia" w:ascii="仿宋_GB2312" w:hAnsi="Calibri" w:eastAsia="仿宋_GB2312" w:cs="仿宋"/>
          <w:color w:val="auto"/>
          <w:kern w:val="0"/>
          <w:sz w:val="32"/>
          <w:szCs w:val="32"/>
          <w:lang w:val="zh-CN" w:eastAsia="zh-CN" w:bidi="ar-SA"/>
        </w:rPr>
        <w:t>万，主要用于民盟绵竹总支开展活动所产生的一系列费用等。全部费用于12月底前全部支付。支付依据合规合法，资金支付与预算相符。</w:t>
      </w:r>
    </w:p>
    <w:p w14:paraId="7DB44E3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（三）项目财务管理情况。</w:t>
      </w:r>
    </w:p>
    <w:p w14:paraId="035CD56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支出一样，严格执行预算管理和财务收支管理制度，根据项目进度，向财务室提出资金使用申请，按照市财政局项目资金使用管理办法进行网上申报用款额度指标，在资金使用环节，严格遵守财政资金支出审批管理办法，严格按照机关资金财务审批流程办理款项支付。在会计核算环节，对本项目资金实际单独核算，确保专款专用。通过以上措施，杜绝挪用、挤占、截留项目资金的现象发生，保证财政资金安全高效使用。</w:t>
      </w:r>
    </w:p>
    <w:p w14:paraId="775E110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三、项目实施及管理情况</w:t>
      </w:r>
    </w:p>
    <w:p w14:paraId="1F4D047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项目组织架构及实施流程。</w:t>
      </w:r>
    </w:p>
    <w:p w14:paraId="74ABEDA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的收支由财务室负责。根据项目进度，向财务室提出资金使用申请，按照市财政局项目资金使用管理办法进行网上申报用款额度指标，严格遵守财政资金支出审批管理办法，严格按照机关资金财务审批流程办理款项支付。</w:t>
      </w:r>
    </w:p>
    <w:p w14:paraId="499A593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项目管理情况。</w:t>
      </w:r>
    </w:p>
    <w:p w14:paraId="3883A5F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用于民盟绵竹总支日常活动费用。全部费用于12月底前全部支付。</w:t>
      </w:r>
    </w:p>
    <w:p w14:paraId="502C7AD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项目监管情况。</w:t>
      </w:r>
    </w:p>
    <w:p w14:paraId="6559927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该项目与我部其他项目进行预决算公示，接受大众监督。</w:t>
      </w:r>
    </w:p>
    <w:p w14:paraId="2458115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四、项目绩效情况</w:t>
      </w:r>
      <w:r>
        <w:rPr>
          <w:rFonts w:hint="eastAsia" w:ascii="仿宋_GB2312" w:hAnsi="Calibri" w:eastAsia="仿宋_GB2312" w:cs="仿宋"/>
          <w:color w:val="auto"/>
          <w:kern w:val="0"/>
          <w:sz w:val="32"/>
          <w:szCs w:val="32"/>
          <w:lang w:val="zh-CN" w:eastAsia="zh-CN" w:bidi="ar-SA"/>
        </w:rPr>
        <w:tab/>
      </w:r>
    </w:p>
    <w:p w14:paraId="15F9FE3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（一）项目完成情况。</w:t>
      </w:r>
    </w:p>
    <w:p w14:paraId="197CD42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对照项目计划完成目标，截止评价时点完成度100%，完成质量良好。</w:t>
      </w:r>
    </w:p>
    <w:p w14:paraId="557E363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（二）项目效益情况。</w:t>
      </w:r>
    </w:p>
    <w:p w14:paraId="5A778B4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市委统战部项目申报内容与具体实施内容相符、申报目标合理可行。项目内容全部按照申报时的名称、标准进行。项目社会效益达到，保证了党外人士以及新的社会阶层人士有活动有组织，更好的团结在党组织周围。</w:t>
      </w:r>
    </w:p>
    <w:p w14:paraId="25894FF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五、评价结论及建议</w:t>
      </w:r>
    </w:p>
    <w:p w14:paraId="43AEEF9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（一）评价结论。</w:t>
      </w:r>
    </w:p>
    <w:p w14:paraId="2361854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民盟项目决策依据充分，项目管理规范，项目绩效明显，总体评价该项目为优良。</w:t>
      </w:r>
    </w:p>
    <w:p w14:paraId="1DC5DDC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（二）存在的问题。</w:t>
      </w:r>
    </w:p>
    <w:p w14:paraId="0CFFE72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在实施的过程中，对民革财务人员业务水平需要进一步提高。</w:t>
      </w:r>
    </w:p>
    <w:p w14:paraId="4802726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（三）相关建议。</w:t>
      </w:r>
    </w:p>
    <w:p w14:paraId="773FBDA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加强预算和支出管理，强化业务水平</w:t>
      </w:r>
    </w:p>
    <w:p w14:paraId="4826640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26EACF26">
      <w:pPr>
        <w:pStyle w:val="6"/>
        <w:rPr>
          <w:rFonts w:hint="eastAsia" w:ascii="仿宋_GB2312" w:hAnsi="Calibri" w:eastAsia="仿宋_GB2312" w:cs="仿宋"/>
          <w:color w:val="auto"/>
          <w:kern w:val="0"/>
          <w:sz w:val="32"/>
          <w:szCs w:val="32"/>
          <w:lang w:val="zh-CN" w:eastAsia="zh-CN" w:bidi="ar-SA"/>
        </w:rPr>
      </w:pPr>
    </w:p>
    <w:p w14:paraId="51CE99E0">
      <w:pPr>
        <w:rPr>
          <w:rFonts w:hint="eastAsia" w:ascii="仿宋_GB2312" w:hAnsi="Calibri" w:eastAsia="仿宋_GB2312" w:cs="仿宋"/>
          <w:color w:val="auto"/>
          <w:kern w:val="0"/>
          <w:sz w:val="32"/>
          <w:szCs w:val="32"/>
          <w:lang w:val="zh-CN" w:eastAsia="zh-CN" w:bidi="ar-SA"/>
        </w:rPr>
      </w:pPr>
    </w:p>
    <w:p w14:paraId="5C718268">
      <w:pPr>
        <w:pStyle w:val="6"/>
        <w:rPr>
          <w:rFonts w:hint="eastAsia"/>
          <w:lang w:val="zh-CN" w:eastAsia="zh-CN"/>
        </w:rPr>
      </w:pPr>
    </w:p>
    <w:p w14:paraId="478EEFC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64059E48">
      <w:pPr>
        <w:spacing w:line="560" w:lineRule="exact"/>
        <w:jc w:val="center"/>
        <w:rPr>
          <w:rFonts w:hint="eastAsia" w:ascii="仿宋_GB2312" w:hAnsi="仿宋_GB2312" w:cs="仿宋_GB2312"/>
          <w:b/>
          <w:sz w:val="44"/>
          <w:szCs w:val="44"/>
        </w:rPr>
      </w:pPr>
      <w:r>
        <w:rPr>
          <w:rFonts w:hint="eastAsia" w:ascii="仿宋_GB2312" w:hAnsi="仿宋_GB2312" w:cs="仿宋_GB2312"/>
          <w:b/>
          <w:sz w:val="44"/>
          <w:szCs w:val="44"/>
        </w:rPr>
        <w:t>绵竹市委统战部项目支出绩效自评报告</w:t>
      </w:r>
    </w:p>
    <w:p w14:paraId="1B33B90D">
      <w:pPr>
        <w:pStyle w:val="32"/>
        <w:spacing w:line="580" w:lineRule="exact"/>
        <w:ind w:firstLine="640"/>
        <w:jc w:val="center"/>
        <w:rPr>
          <w:rFonts w:hint="eastAsia" w:ascii="宋体" w:eastAsia="宋体"/>
          <w:color w:val="auto"/>
          <w:kern w:val="2"/>
          <w:sz w:val="32"/>
          <w:szCs w:val="32"/>
          <w:lang w:val="en-US" w:eastAsia="zh-CN"/>
        </w:rPr>
      </w:pPr>
      <w:r>
        <w:rPr>
          <w:rFonts w:hint="eastAsia" w:ascii="宋体"/>
          <w:color w:val="auto"/>
          <w:kern w:val="2"/>
          <w:sz w:val="32"/>
          <w:szCs w:val="32"/>
          <w:lang w:val="en-US" w:eastAsia="zh-CN"/>
        </w:rPr>
        <w:t>（农工党项目经费）</w:t>
      </w:r>
    </w:p>
    <w:p w14:paraId="58EB608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一、项目概况</w:t>
      </w:r>
    </w:p>
    <w:p w14:paraId="286BC21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（一）项目基本情况。</w:t>
      </w:r>
    </w:p>
    <w:p w14:paraId="4D61C73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农工党绵竹支部在统战部的领导下开展日常调研活动，发挥民主党派建言献策，参政议政的作用。</w:t>
      </w:r>
    </w:p>
    <w:p w14:paraId="2D8245E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资金管理办法制定情况，资金支持具体项目的条件、范围与支持方式概况。</w:t>
      </w:r>
    </w:p>
    <w:p w14:paraId="2216A11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农工党项目经费</w:t>
      </w:r>
      <w:r>
        <w:rPr>
          <w:rFonts w:hint="eastAsia" w:ascii="仿宋_GB2312" w:hAnsi="Calibri" w:eastAsia="仿宋_GB2312" w:cs="仿宋"/>
          <w:color w:val="auto"/>
          <w:kern w:val="0"/>
          <w:sz w:val="32"/>
          <w:szCs w:val="32"/>
          <w:lang w:val="zh-CN" w:eastAsia="zh-CN" w:bidi="ar-SA"/>
        </w:rPr>
        <w:t>支出与我部其他项目支出一样，严格执行预算管理和财务收支管理制度，项目的组织由市委统战部负责。资金实行专款专用，仅支持和保障民革绵竹总支的日常活动开展，支持方式为据实全部保障兑付。</w:t>
      </w:r>
    </w:p>
    <w:p w14:paraId="42B4308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资金分配的原则及考虑因素。</w:t>
      </w:r>
    </w:p>
    <w:p w14:paraId="60862CD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严格按照预算进行分配。</w:t>
      </w:r>
    </w:p>
    <w:p w14:paraId="6AC2EAE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（二）项目绩效目标。</w:t>
      </w:r>
    </w:p>
    <w:p w14:paraId="798E5A0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1．项目主要内容。</w:t>
      </w:r>
    </w:p>
    <w:p w14:paraId="18F3818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w:t>
      </w:r>
      <w:r>
        <w:rPr>
          <w:rFonts w:hint="eastAsia" w:ascii="仿宋_GB2312" w:hAnsi="Calibri" w:eastAsia="仿宋_GB2312" w:cs="仿宋"/>
          <w:color w:val="auto"/>
          <w:kern w:val="0"/>
          <w:sz w:val="32"/>
          <w:szCs w:val="32"/>
          <w:lang w:val="en-US" w:eastAsia="zh-CN" w:bidi="ar-SA"/>
        </w:rPr>
        <w:t>农工党绵竹支部</w:t>
      </w:r>
      <w:r>
        <w:rPr>
          <w:rFonts w:hint="eastAsia" w:ascii="仿宋_GB2312" w:hAnsi="Calibri" w:eastAsia="仿宋_GB2312" w:cs="仿宋"/>
          <w:color w:val="auto"/>
          <w:kern w:val="0"/>
          <w:sz w:val="32"/>
          <w:szCs w:val="32"/>
          <w:lang w:val="zh-CN" w:eastAsia="zh-CN" w:bidi="ar-SA"/>
        </w:rPr>
        <w:t>开展调研、各区县支部交流学习、外出考察学习等日常费用。</w:t>
      </w:r>
    </w:p>
    <w:p w14:paraId="1212643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项目应实现的具体绩效目标，包括目标的量化、细化情况以及项目实施进度计划等。</w:t>
      </w:r>
    </w:p>
    <w:p w14:paraId="47EE514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主要用于活动开展所需的场地费、餐饮费用、办公用品费用、会议费等。</w:t>
      </w:r>
    </w:p>
    <w:p w14:paraId="3FA920C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分析评价申报内容是否与实际相符，申报目标是否合理可行。</w:t>
      </w:r>
    </w:p>
    <w:p w14:paraId="5C57AC3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评价申报内容与项目实际实施相符，申报目标合理可行。</w:t>
      </w:r>
    </w:p>
    <w:p w14:paraId="538F80C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6F70B54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（三）项目自评步骤及方法。</w:t>
      </w:r>
    </w:p>
    <w:p w14:paraId="667E681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说明项目绩效自评采用的组织实施步骤及方法。</w:t>
      </w:r>
    </w:p>
    <w:p w14:paraId="0282109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为开展好本次项目自评工作，根据文件要求，按以下四个步骤开展绩效自评：</w:t>
      </w:r>
    </w:p>
    <w:p w14:paraId="2C18E72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1.成立项目自评小组；</w:t>
      </w:r>
    </w:p>
    <w:p w14:paraId="14036E1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2.收集项目相关资料，如预算资料，财务资料，文件依据资料等。最终形成项目绩效评价材料；</w:t>
      </w:r>
    </w:p>
    <w:p w14:paraId="7733C32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3.开展绩效评价，形成自评报告初稿;</w:t>
      </w:r>
    </w:p>
    <w:p w14:paraId="550D3E3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4.征求相关部门意见，形成自评报告。</w:t>
      </w:r>
    </w:p>
    <w:p w14:paraId="7BB65BE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二、项目资金申报及使用情况</w:t>
      </w:r>
    </w:p>
    <w:p w14:paraId="35DF62F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（一）项目资金申报及批复情况。</w:t>
      </w:r>
    </w:p>
    <w:p w14:paraId="4B5DED1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农工党项目经费</w:t>
      </w:r>
      <w:r>
        <w:rPr>
          <w:rFonts w:hint="eastAsia" w:ascii="仿宋_GB2312" w:hAnsi="Calibri" w:eastAsia="仿宋_GB2312" w:cs="仿宋"/>
          <w:color w:val="auto"/>
          <w:kern w:val="0"/>
          <w:sz w:val="32"/>
          <w:szCs w:val="32"/>
          <w:lang w:val="zh-CN" w:eastAsia="zh-CN" w:bidi="ar-SA"/>
        </w:rPr>
        <w:t>预算申报金额</w:t>
      </w:r>
      <w:r>
        <w:rPr>
          <w:rFonts w:hint="eastAsia" w:ascii="仿宋_GB2312" w:hAnsi="Calibri" w:eastAsia="仿宋_GB2312" w:cs="仿宋"/>
          <w:color w:val="auto"/>
          <w:kern w:val="0"/>
          <w:sz w:val="32"/>
          <w:szCs w:val="32"/>
          <w:lang w:val="en-US" w:eastAsia="zh-CN" w:bidi="ar-SA"/>
        </w:rPr>
        <w:t>3</w:t>
      </w:r>
      <w:r>
        <w:rPr>
          <w:rFonts w:hint="eastAsia" w:ascii="仿宋_GB2312" w:hAnsi="Calibri" w:eastAsia="仿宋_GB2312" w:cs="仿宋"/>
          <w:color w:val="auto"/>
          <w:kern w:val="0"/>
          <w:sz w:val="32"/>
          <w:szCs w:val="32"/>
          <w:lang w:val="zh-CN" w:eastAsia="zh-CN" w:bidi="ar-SA"/>
        </w:rPr>
        <w:t>万元，财政批复</w:t>
      </w:r>
      <w:r>
        <w:rPr>
          <w:rFonts w:hint="eastAsia" w:ascii="仿宋_GB2312" w:hAnsi="Calibri" w:eastAsia="仿宋_GB2312" w:cs="仿宋"/>
          <w:color w:val="auto"/>
          <w:kern w:val="0"/>
          <w:sz w:val="32"/>
          <w:szCs w:val="32"/>
          <w:lang w:val="en-US" w:eastAsia="zh-CN" w:bidi="ar-SA"/>
        </w:rPr>
        <w:t>3</w:t>
      </w:r>
      <w:r>
        <w:rPr>
          <w:rFonts w:hint="eastAsia" w:ascii="仿宋_GB2312" w:hAnsi="Calibri" w:eastAsia="仿宋_GB2312" w:cs="仿宋"/>
          <w:color w:val="auto"/>
          <w:kern w:val="0"/>
          <w:sz w:val="32"/>
          <w:szCs w:val="32"/>
          <w:lang w:val="zh-CN" w:eastAsia="zh-CN" w:bidi="ar-SA"/>
        </w:rPr>
        <w:t>万元。符合资金管理办法等相关规定。</w:t>
      </w:r>
    </w:p>
    <w:p w14:paraId="4A3DB4E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（二）资金计划、到位及使用情况（可用表格形式反映）。</w:t>
      </w:r>
    </w:p>
    <w:p w14:paraId="1A6230A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1．资金计划。</w:t>
      </w:r>
      <w:r>
        <w:rPr>
          <w:rFonts w:hint="eastAsia" w:ascii="仿宋_GB2312" w:hAnsi="Calibri" w:eastAsia="仿宋_GB2312" w:cs="仿宋"/>
          <w:color w:val="auto"/>
          <w:kern w:val="0"/>
          <w:sz w:val="32"/>
          <w:szCs w:val="32"/>
          <w:lang w:val="en-US" w:eastAsia="zh-CN" w:bidi="ar-SA"/>
        </w:rPr>
        <w:t>农工党项目经费</w:t>
      </w:r>
      <w:r>
        <w:rPr>
          <w:rFonts w:hint="eastAsia" w:ascii="仿宋_GB2312" w:hAnsi="Calibri" w:eastAsia="仿宋_GB2312" w:cs="仿宋"/>
          <w:color w:val="auto"/>
          <w:kern w:val="0"/>
          <w:sz w:val="32"/>
          <w:szCs w:val="32"/>
          <w:lang w:val="zh-CN" w:eastAsia="zh-CN" w:bidi="ar-SA"/>
        </w:rPr>
        <w:t>经费资金全部来源为本级财政拨款，纳入20</w:t>
      </w:r>
      <w:r>
        <w:rPr>
          <w:rFonts w:hint="eastAsia" w:ascii="仿宋_GB2312" w:hAnsi="Calibri" w:eastAsia="仿宋_GB2312" w:cs="仿宋"/>
          <w:color w:val="auto"/>
          <w:kern w:val="0"/>
          <w:sz w:val="32"/>
          <w:szCs w:val="32"/>
          <w:lang w:val="en-US" w:eastAsia="zh-CN" w:bidi="ar-SA"/>
        </w:rPr>
        <w:t>21</w:t>
      </w:r>
      <w:r>
        <w:rPr>
          <w:rFonts w:hint="eastAsia" w:ascii="仿宋_GB2312" w:hAnsi="Calibri" w:eastAsia="仿宋_GB2312" w:cs="仿宋"/>
          <w:color w:val="auto"/>
          <w:kern w:val="0"/>
          <w:sz w:val="32"/>
          <w:szCs w:val="32"/>
          <w:lang w:val="zh-CN" w:eastAsia="zh-CN" w:bidi="ar-SA"/>
        </w:rPr>
        <w:t>年部门预算，经市人大审批，市财政局批复后已全部及时拨付到位，到位率100%。</w:t>
      </w:r>
    </w:p>
    <w:p w14:paraId="6ECA7FA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2．资金到位。截止评价时点该项目全部资金</w:t>
      </w:r>
      <w:r>
        <w:rPr>
          <w:rFonts w:hint="eastAsia" w:ascii="仿宋_GB2312" w:hAnsi="Calibri" w:eastAsia="仿宋_GB2312" w:cs="仿宋"/>
          <w:color w:val="auto"/>
          <w:kern w:val="0"/>
          <w:sz w:val="32"/>
          <w:szCs w:val="32"/>
          <w:lang w:val="en-US" w:eastAsia="zh-CN" w:bidi="ar-SA"/>
        </w:rPr>
        <w:t>3</w:t>
      </w:r>
      <w:r>
        <w:rPr>
          <w:rFonts w:hint="eastAsia" w:ascii="仿宋_GB2312" w:hAnsi="Calibri" w:eastAsia="仿宋_GB2312" w:cs="仿宋"/>
          <w:color w:val="auto"/>
          <w:kern w:val="0"/>
          <w:sz w:val="32"/>
          <w:szCs w:val="32"/>
          <w:lang w:val="zh-CN" w:eastAsia="zh-CN" w:bidi="ar-SA"/>
        </w:rPr>
        <w:t>万元已全部通过大平台申请拨付到位，到位率100%。</w:t>
      </w:r>
    </w:p>
    <w:p w14:paraId="3E7778E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3．资金使用。截止评价时点项目资金实际支出</w:t>
      </w:r>
      <w:r>
        <w:rPr>
          <w:rFonts w:hint="eastAsia" w:ascii="仿宋_GB2312" w:hAnsi="Calibri" w:eastAsia="仿宋_GB2312" w:cs="仿宋"/>
          <w:color w:val="auto"/>
          <w:kern w:val="0"/>
          <w:sz w:val="32"/>
          <w:szCs w:val="32"/>
          <w:lang w:val="en-US" w:eastAsia="zh-CN" w:bidi="ar-SA"/>
        </w:rPr>
        <w:t>3</w:t>
      </w:r>
      <w:r>
        <w:rPr>
          <w:rFonts w:hint="eastAsia" w:ascii="仿宋_GB2312" w:hAnsi="Calibri" w:eastAsia="仿宋_GB2312" w:cs="仿宋"/>
          <w:color w:val="auto"/>
          <w:kern w:val="0"/>
          <w:sz w:val="32"/>
          <w:szCs w:val="32"/>
          <w:lang w:val="zh-CN" w:eastAsia="zh-CN" w:bidi="ar-SA"/>
        </w:rPr>
        <w:t>万，主要用于</w:t>
      </w:r>
      <w:r>
        <w:rPr>
          <w:rFonts w:hint="eastAsia" w:ascii="仿宋_GB2312" w:hAnsi="Calibri" w:eastAsia="仿宋_GB2312" w:cs="仿宋"/>
          <w:color w:val="auto"/>
          <w:kern w:val="0"/>
          <w:sz w:val="32"/>
          <w:szCs w:val="32"/>
          <w:lang w:val="en-US" w:eastAsia="zh-CN" w:bidi="ar-SA"/>
        </w:rPr>
        <w:t>农工党绵竹支部</w:t>
      </w:r>
      <w:r>
        <w:rPr>
          <w:rFonts w:hint="eastAsia" w:ascii="仿宋_GB2312" w:hAnsi="Calibri" w:eastAsia="仿宋_GB2312" w:cs="仿宋"/>
          <w:color w:val="auto"/>
          <w:kern w:val="0"/>
          <w:sz w:val="32"/>
          <w:szCs w:val="32"/>
          <w:lang w:val="zh-CN" w:eastAsia="zh-CN" w:bidi="ar-SA"/>
        </w:rPr>
        <w:t>开展活动所产生的一系列费用等。全部费用于12月底前全部支付。支付依据合规合法，资金支付与预算相符。</w:t>
      </w:r>
    </w:p>
    <w:p w14:paraId="163620D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（三）项目财务管理情况。</w:t>
      </w:r>
    </w:p>
    <w:p w14:paraId="04621B5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支出一样，严格执行预算管理和财务收支管理制度，根据项目进度，向财务室提出资金使用申请，按照市财政局项目资金使用管理办法进行网上申报用款额度指标，在资金使用环节，严格遵守财政资金支出审批管理办法，严格按照机关资金财务审批流程办理款项支付。在会计核算环节，对本项目资金实际单独核算，确保专款专用。通过以上措施，杜绝挪用、挤占、截留项目资金的现象发生，保证财政资金安全高效使用。</w:t>
      </w:r>
    </w:p>
    <w:p w14:paraId="7DD196B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三、项目实施及管理情况</w:t>
      </w:r>
    </w:p>
    <w:p w14:paraId="2B0696E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项目组织架构及实施流程。</w:t>
      </w:r>
    </w:p>
    <w:p w14:paraId="1B0DE00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的收支由财务室负责。根据项目进度，向财务室提出资金使用申请，按照市财政局项目资金使用管理办法进行网上申报用款额度指标，严格遵守财政资金支出审批管理办法，严格按照机关资金财务审批流程办理款项支付。</w:t>
      </w:r>
    </w:p>
    <w:p w14:paraId="453DCFA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项目管理情况。</w:t>
      </w:r>
    </w:p>
    <w:p w14:paraId="7B4619E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w:t>
      </w:r>
      <w:r>
        <w:rPr>
          <w:rFonts w:hint="eastAsia" w:ascii="仿宋_GB2312" w:hAnsi="Calibri" w:eastAsia="仿宋_GB2312" w:cs="仿宋"/>
          <w:color w:val="auto"/>
          <w:kern w:val="0"/>
          <w:sz w:val="32"/>
          <w:szCs w:val="32"/>
          <w:lang w:val="en-US" w:eastAsia="zh-CN" w:bidi="ar-SA"/>
        </w:rPr>
        <w:t>农工党绵竹支部</w:t>
      </w:r>
      <w:r>
        <w:rPr>
          <w:rFonts w:hint="eastAsia" w:ascii="仿宋_GB2312" w:hAnsi="Calibri" w:eastAsia="仿宋_GB2312" w:cs="仿宋"/>
          <w:color w:val="auto"/>
          <w:kern w:val="0"/>
          <w:sz w:val="32"/>
          <w:szCs w:val="32"/>
          <w:lang w:val="zh-CN" w:eastAsia="zh-CN" w:bidi="ar-SA"/>
        </w:rPr>
        <w:t>日常活动费用。全部费用于12月底前全部支付。</w:t>
      </w:r>
    </w:p>
    <w:p w14:paraId="0396E2C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项目监管情况。</w:t>
      </w:r>
    </w:p>
    <w:p w14:paraId="2E6EAA4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该项目与我部其他项目进行预决算公示，接受大众监督。</w:t>
      </w:r>
    </w:p>
    <w:p w14:paraId="1F34031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四、项目绩效情况</w:t>
      </w:r>
      <w:r>
        <w:rPr>
          <w:rFonts w:hint="eastAsia" w:ascii="仿宋_GB2312" w:hAnsi="Calibri" w:eastAsia="仿宋_GB2312" w:cs="仿宋"/>
          <w:color w:val="auto"/>
          <w:kern w:val="0"/>
          <w:sz w:val="32"/>
          <w:szCs w:val="32"/>
          <w:lang w:val="zh-CN" w:eastAsia="zh-CN" w:bidi="ar-SA"/>
        </w:rPr>
        <w:tab/>
      </w:r>
    </w:p>
    <w:p w14:paraId="52A01EA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（一）项目完成情况。</w:t>
      </w:r>
    </w:p>
    <w:p w14:paraId="12039CF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对照项目计划完成目标，截止评价时点完成度100%，完成质量良好。</w:t>
      </w:r>
    </w:p>
    <w:p w14:paraId="6D40FF1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（二）项目效益情况。</w:t>
      </w:r>
    </w:p>
    <w:p w14:paraId="05FD453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市委统战部项目申报内容与具体实施内容相符、申报目标合理可行。项目内容全部按照申报时的名称、标准进行。项目社会效益达到，保证了党外人士以及新的社会阶层人士有活动有组织，更好的团结在党组织周围。</w:t>
      </w:r>
    </w:p>
    <w:p w14:paraId="60039CB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五、评价结论及建议</w:t>
      </w:r>
    </w:p>
    <w:p w14:paraId="47C416B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（一）评价结论。</w:t>
      </w:r>
    </w:p>
    <w:p w14:paraId="7132E8C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农工党项目</w:t>
      </w:r>
      <w:r>
        <w:rPr>
          <w:rFonts w:hint="eastAsia" w:ascii="仿宋_GB2312" w:hAnsi="Calibri" w:eastAsia="仿宋_GB2312" w:cs="仿宋"/>
          <w:color w:val="auto"/>
          <w:kern w:val="0"/>
          <w:sz w:val="32"/>
          <w:szCs w:val="32"/>
          <w:lang w:val="zh-CN" w:eastAsia="zh-CN" w:bidi="ar-SA"/>
        </w:rPr>
        <w:t>决策依据充分，项目管理规范，项目绩效明显，总体评价该项目为优良。</w:t>
      </w:r>
    </w:p>
    <w:p w14:paraId="5B85007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（二）存在的问题。</w:t>
      </w:r>
    </w:p>
    <w:p w14:paraId="629A7A3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在实施的过程中，对农工党财务人员业务水平需要进一步提高。</w:t>
      </w:r>
    </w:p>
    <w:p w14:paraId="0DEACCB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（三）相关建议。</w:t>
      </w:r>
    </w:p>
    <w:p w14:paraId="5F12D0B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加强预算和支出管理，强化业务水平</w:t>
      </w:r>
    </w:p>
    <w:p w14:paraId="2988BA7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1349BB31">
      <w:pPr>
        <w:spacing w:line="560" w:lineRule="exact"/>
        <w:jc w:val="center"/>
        <w:rPr>
          <w:rFonts w:hint="eastAsia" w:ascii="仿宋_GB2312" w:hAnsi="仿宋_GB2312" w:cs="仿宋_GB2312"/>
          <w:b/>
          <w:sz w:val="44"/>
          <w:szCs w:val="44"/>
        </w:rPr>
      </w:pPr>
      <w:r>
        <w:rPr>
          <w:rFonts w:hint="eastAsia" w:ascii="仿宋_GB2312" w:hAnsi="仿宋_GB2312" w:cs="仿宋_GB2312"/>
          <w:b/>
          <w:sz w:val="44"/>
          <w:szCs w:val="44"/>
        </w:rPr>
        <w:t>绵竹市委统战部项目支出绩效自评报告</w:t>
      </w:r>
    </w:p>
    <w:p w14:paraId="2A5B397C">
      <w:pPr>
        <w:pStyle w:val="32"/>
        <w:spacing w:line="580" w:lineRule="exact"/>
        <w:ind w:firstLine="640"/>
        <w:jc w:val="center"/>
        <w:rPr>
          <w:rFonts w:hint="eastAsia" w:ascii="宋体" w:eastAsia="宋体"/>
          <w:color w:val="auto"/>
          <w:kern w:val="2"/>
          <w:sz w:val="32"/>
          <w:szCs w:val="32"/>
          <w:lang w:val="en-US" w:eastAsia="zh-CN"/>
        </w:rPr>
      </w:pPr>
      <w:r>
        <w:rPr>
          <w:rFonts w:hint="eastAsia" w:ascii="宋体"/>
          <w:color w:val="auto"/>
          <w:kern w:val="2"/>
          <w:sz w:val="32"/>
          <w:szCs w:val="32"/>
          <w:lang w:val="en-US" w:eastAsia="zh-CN"/>
        </w:rPr>
        <w:t>（统战部对外宣传项目）</w:t>
      </w:r>
    </w:p>
    <w:p w14:paraId="6A3C313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一、项目概况</w:t>
      </w:r>
    </w:p>
    <w:p w14:paraId="11B6248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（一）项目基本情况。</w:t>
      </w:r>
    </w:p>
    <w:p w14:paraId="19DF125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组织协调机构、具体执行机构、督促检查机构，承担了解情况、掌握政策、协调关系、安排人事、增进共识、加强团结等职责，积极促进政党关系、民族关系、宗教关系、阶层关系、海内外同胞关系和谐，巩固和发展最广泛的爱国统一战线</w:t>
      </w:r>
    </w:p>
    <w:p w14:paraId="44C7CB0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资金管理办法制定情况，资金支持具体项目的条件、范围与支持方式概况。</w:t>
      </w:r>
    </w:p>
    <w:p w14:paraId="2EA099F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统战部对外宣传经费支出与我部其他项目支出一样，严格执行预算管理和财务收支管理制度，项目的组织由市委统战部负责。资金实行专款专用，仅支持和保障专业培训活动的开展，支持方式为据实全部保障兑付。</w:t>
      </w:r>
    </w:p>
    <w:p w14:paraId="656DBF0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资金分配的原则及考虑因素。</w:t>
      </w:r>
    </w:p>
    <w:p w14:paraId="3759C0C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严格按照预算进行分配。</w:t>
      </w:r>
    </w:p>
    <w:p w14:paraId="3831241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（二）项目绩效目标。</w:t>
      </w:r>
    </w:p>
    <w:p w14:paraId="0EC6522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1．项目主要内容。</w:t>
      </w:r>
    </w:p>
    <w:p w14:paraId="28C031B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用于开展全市统一战线工作人员的培训、业务能力提升活动。</w:t>
      </w:r>
    </w:p>
    <w:p w14:paraId="4164C3E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项目应实现的具体绩效目标，包括目标的量化、细化情况以及项目实施进度计划等。</w:t>
      </w:r>
    </w:p>
    <w:p w14:paraId="6200462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主要用于宣传工作的资料印刷、活动开展、办公等。</w:t>
      </w:r>
    </w:p>
    <w:p w14:paraId="5AFF30C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分析评价申报内容是否与实际相符，申报目标是否合理可行。</w:t>
      </w:r>
    </w:p>
    <w:p w14:paraId="6633DD8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评价申报内容与项目实际实施相符，申报目标合理可行。</w:t>
      </w:r>
    </w:p>
    <w:p w14:paraId="69120DF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4AA2AD5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（三）项目自评步骤及方法。</w:t>
      </w:r>
    </w:p>
    <w:p w14:paraId="11E4FA4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说明项目绩效自评采用的组织实施步骤及方法。</w:t>
      </w:r>
    </w:p>
    <w:p w14:paraId="69D2F66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为开展好本次项目自评工作，根据文件要求，按以下四个步骤开展绩效自评：</w:t>
      </w:r>
    </w:p>
    <w:p w14:paraId="6D1C641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1.成立项目自评小组；</w:t>
      </w:r>
    </w:p>
    <w:p w14:paraId="30FF3BB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2.收集项目相关资料，如预算资料，财务资料，文件依据资料等。最终形成项目绩效评价材料；</w:t>
      </w:r>
    </w:p>
    <w:p w14:paraId="5F513A6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3.开展绩效评价，形成自评报告初稿;</w:t>
      </w:r>
    </w:p>
    <w:p w14:paraId="4D71A18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4.征求相关部门意见，形成自评报告。</w:t>
      </w:r>
    </w:p>
    <w:p w14:paraId="1CB563C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二、项目资金申报及使用情况</w:t>
      </w:r>
    </w:p>
    <w:p w14:paraId="61E700C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（一）项目资金申报及批复情况。</w:t>
      </w:r>
    </w:p>
    <w:p w14:paraId="7FC298A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统战部培训经费预算申报金额</w:t>
      </w:r>
      <w:r>
        <w:rPr>
          <w:rFonts w:hint="eastAsia" w:ascii="仿宋_GB2312" w:hAnsi="Calibri" w:eastAsia="仿宋_GB2312" w:cs="仿宋"/>
          <w:color w:val="auto"/>
          <w:kern w:val="0"/>
          <w:sz w:val="32"/>
          <w:szCs w:val="32"/>
          <w:lang w:val="en-US" w:eastAsia="zh-CN" w:bidi="ar-SA"/>
        </w:rPr>
        <w:t>5</w:t>
      </w:r>
      <w:r>
        <w:rPr>
          <w:rFonts w:hint="eastAsia" w:ascii="仿宋_GB2312" w:hAnsi="Calibri" w:eastAsia="仿宋_GB2312" w:cs="仿宋"/>
          <w:color w:val="auto"/>
          <w:kern w:val="0"/>
          <w:sz w:val="32"/>
          <w:szCs w:val="32"/>
          <w:lang w:val="zh-CN" w:eastAsia="zh-CN" w:bidi="ar-SA"/>
        </w:rPr>
        <w:t>万元，财政批复</w:t>
      </w:r>
      <w:r>
        <w:rPr>
          <w:rFonts w:hint="eastAsia" w:ascii="仿宋_GB2312" w:hAnsi="Calibri" w:eastAsia="仿宋_GB2312" w:cs="仿宋"/>
          <w:color w:val="auto"/>
          <w:kern w:val="0"/>
          <w:sz w:val="32"/>
          <w:szCs w:val="32"/>
          <w:lang w:val="en-US" w:eastAsia="zh-CN" w:bidi="ar-SA"/>
        </w:rPr>
        <w:t>5</w:t>
      </w:r>
      <w:r>
        <w:rPr>
          <w:rFonts w:hint="eastAsia" w:ascii="仿宋_GB2312" w:hAnsi="Calibri" w:eastAsia="仿宋_GB2312" w:cs="仿宋"/>
          <w:color w:val="auto"/>
          <w:kern w:val="0"/>
          <w:sz w:val="32"/>
          <w:szCs w:val="32"/>
          <w:lang w:val="zh-CN" w:eastAsia="zh-CN" w:bidi="ar-SA"/>
        </w:rPr>
        <w:t>万元。符合资金管理办法等相关规定。</w:t>
      </w:r>
    </w:p>
    <w:p w14:paraId="395809B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（二）资金计划、到位及使用情况（可用表格形式反映）。</w:t>
      </w:r>
    </w:p>
    <w:p w14:paraId="6AE729D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1．资金计划。统战部培训经费资金全部来源为本级财政拨款，纳入20</w:t>
      </w:r>
      <w:r>
        <w:rPr>
          <w:rFonts w:hint="eastAsia" w:ascii="仿宋_GB2312" w:hAnsi="Calibri" w:eastAsia="仿宋_GB2312" w:cs="仿宋"/>
          <w:color w:val="auto"/>
          <w:kern w:val="0"/>
          <w:sz w:val="32"/>
          <w:szCs w:val="32"/>
          <w:lang w:val="en-US" w:eastAsia="zh-CN" w:bidi="ar-SA"/>
        </w:rPr>
        <w:t>21</w:t>
      </w:r>
      <w:r>
        <w:rPr>
          <w:rFonts w:hint="eastAsia" w:ascii="仿宋_GB2312" w:hAnsi="Calibri" w:eastAsia="仿宋_GB2312" w:cs="仿宋"/>
          <w:color w:val="auto"/>
          <w:kern w:val="0"/>
          <w:sz w:val="32"/>
          <w:szCs w:val="32"/>
          <w:lang w:val="zh-CN" w:eastAsia="zh-CN" w:bidi="ar-SA"/>
        </w:rPr>
        <w:t>年部门预算，经市人大审批，市财政局批复后已全部及时拨付到位，到位率100%。</w:t>
      </w:r>
    </w:p>
    <w:p w14:paraId="5F64B84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2．资金到位。截止评价时点该项目全部资金</w:t>
      </w:r>
      <w:r>
        <w:rPr>
          <w:rFonts w:hint="eastAsia" w:ascii="仿宋_GB2312" w:hAnsi="Calibri" w:eastAsia="仿宋_GB2312" w:cs="仿宋"/>
          <w:color w:val="auto"/>
          <w:kern w:val="0"/>
          <w:sz w:val="32"/>
          <w:szCs w:val="32"/>
          <w:lang w:val="en-US" w:eastAsia="zh-CN" w:bidi="ar-SA"/>
        </w:rPr>
        <w:t>5</w:t>
      </w:r>
      <w:r>
        <w:rPr>
          <w:rFonts w:hint="eastAsia" w:ascii="仿宋_GB2312" w:hAnsi="Calibri" w:eastAsia="仿宋_GB2312" w:cs="仿宋"/>
          <w:color w:val="auto"/>
          <w:kern w:val="0"/>
          <w:sz w:val="32"/>
          <w:szCs w:val="32"/>
          <w:lang w:val="zh-CN" w:eastAsia="zh-CN" w:bidi="ar-SA"/>
        </w:rPr>
        <w:t>万元已全部通过大平台申请拨付到位，到位率100%。</w:t>
      </w:r>
    </w:p>
    <w:p w14:paraId="28A8108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3．资金使用。截止评价时点项目资金实际支出</w:t>
      </w:r>
      <w:r>
        <w:rPr>
          <w:rFonts w:hint="eastAsia" w:ascii="仿宋_GB2312" w:hAnsi="Calibri" w:eastAsia="仿宋_GB2312" w:cs="仿宋"/>
          <w:color w:val="auto"/>
          <w:kern w:val="0"/>
          <w:sz w:val="32"/>
          <w:szCs w:val="32"/>
          <w:lang w:val="en-US" w:eastAsia="zh-CN" w:bidi="ar-SA"/>
        </w:rPr>
        <w:t>5</w:t>
      </w:r>
      <w:r>
        <w:rPr>
          <w:rFonts w:hint="eastAsia" w:ascii="仿宋_GB2312" w:hAnsi="Calibri" w:eastAsia="仿宋_GB2312" w:cs="仿宋"/>
          <w:color w:val="auto"/>
          <w:kern w:val="0"/>
          <w:sz w:val="32"/>
          <w:szCs w:val="32"/>
          <w:lang w:val="zh-CN" w:eastAsia="zh-CN" w:bidi="ar-SA"/>
        </w:rPr>
        <w:t>万，主要用于统战部宣传工作费用。全部费用于12月底前全部支付。支付依据合规合法，资金支付与预算相符。</w:t>
      </w:r>
    </w:p>
    <w:p w14:paraId="664FD26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（三）项目财务管理情况。</w:t>
      </w:r>
    </w:p>
    <w:p w14:paraId="0CA69DC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支出一样，严格执行预算管理和财务收支管理制度，根据项目进度，向财务室提出资金使用申请，按照市财政局项目资金使用管理办法进行网上申报用款额度指标，在资金使用环节，严格遵守财政资金支出审批管理办法，严格按照机关资金财务审批流程办理款项支付。在会计核算环节，对本项目资金实际单独核算，确保专款专用。通过以上措施，杜绝挪用、挤占、截留项目资金的现象发生，保证财政资金安全高效使用。</w:t>
      </w:r>
    </w:p>
    <w:p w14:paraId="32A3677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三、项目实施及管理情况</w:t>
      </w:r>
    </w:p>
    <w:p w14:paraId="17A8F01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项目组织架构及实施流程。</w:t>
      </w:r>
    </w:p>
    <w:p w14:paraId="36F67EE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的收支由财务室负责。根据项目进度，向财务室提出资金使用申请，按照市财政局项目资金使用管理办法进行网上申报用款额度指标，严格遵守财政资金支出审批管理办法，严格按照机关资金财务审批流程办理款项支付。</w:t>
      </w:r>
    </w:p>
    <w:p w14:paraId="2F61EB8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项目管理情况。</w:t>
      </w:r>
    </w:p>
    <w:p w14:paraId="7DBE3D3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用于统战部对外宣传统一战线所产生的费用。全部费用于12月底前全部支付。</w:t>
      </w:r>
    </w:p>
    <w:p w14:paraId="14EEEBC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项目监管情况。</w:t>
      </w:r>
    </w:p>
    <w:p w14:paraId="66E4BFA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该项目与我部其他项目进行预决算公示，接受大众监督。</w:t>
      </w:r>
    </w:p>
    <w:p w14:paraId="3101625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四、项目绩效情况</w:t>
      </w:r>
      <w:r>
        <w:rPr>
          <w:rFonts w:hint="eastAsia" w:ascii="仿宋_GB2312" w:hAnsi="Calibri" w:eastAsia="仿宋_GB2312" w:cs="仿宋"/>
          <w:color w:val="auto"/>
          <w:kern w:val="0"/>
          <w:sz w:val="32"/>
          <w:szCs w:val="32"/>
          <w:lang w:val="zh-CN" w:eastAsia="zh-CN" w:bidi="ar-SA"/>
        </w:rPr>
        <w:tab/>
      </w:r>
    </w:p>
    <w:p w14:paraId="16A5E55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（一）项目完成情况。</w:t>
      </w:r>
    </w:p>
    <w:p w14:paraId="292A7BA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对照项目计划完成目标，截止评价时点完成度100%，完成质量良好。</w:t>
      </w:r>
    </w:p>
    <w:p w14:paraId="6F345B7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（二）项目效益情况。</w:t>
      </w:r>
    </w:p>
    <w:p w14:paraId="13BCEDE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市委统战部项目申报内容与具体实施内容相符、申报目标合理可行。项目内容全部按照申报时的名称、标准进行。项目社会效益达到，保证了统战工作专业性以及让从事统战工作的工作人员得到最新最全面的业务知识。</w:t>
      </w:r>
    </w:p>
    <w:p w14:paraId="3571BB7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五、评价结论及建议</w:t>
      </w:r>
    </w:p>
    <w:p w14:paraId="6EF444F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（一）评价结论。</w:t>
      </w:r>
    </w:p>
    <w:p w14:paraId="704E1F5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对外宣传项目决策依据充分，项目管理规范，项目绩效明显，总体评价该项目为优良。</w:t>
      </w:r>
    </w:p>
    <w:p w14:paraId="4FB1B8E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（二）存在的问题。</w:t>
      </w:r>
    </w:p>
    <w:p w14:paraId="5902B11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在实施的过程中，对资金监管力度需要进一步提高。</w:t>
      </w:r>
    </w:p>
    <w:p w14:paraId="5E75B08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（三）相关建议。</w:t>
      </w:r>
    </w:p>
    <w:p w14:paraId="64FFA81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加强预算和支出管理，强化业务水平</w:t>
      </w:r>
    </w:p>
    <w:p w14:paraId="38F3FAB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184B72B1">
      <w:pPr>
        <w:rPr>
          <w:rFonts w:hint="eastAsia"/>
          <w:lang w:val="zh-CN" w:eastAsia="zh-CN"/>
        </w:rPr>
      </w:pPr>
    </w:p>
    <w:p w14:paraId="0D0B76A7">
      <w:pPr>
        <w:spacing w:line="560" w:lineRule="exact"/>
        <w:jc w:val="center"/>
        <w:rPr>
          <w:rFonts w:hint="eastAsia" w:ascii="仿宋_GB2312" w:hAnsi="仿宋_GB2312" w:cs="仿宋_GB2312"/>
          <w:b/>
          <w:sz w:val="44"/>
          <w:szCs w:val="44"/>
        </w:rPr>
      </w:pPr>
      <w:r>
        <w:rPr>
          <w:rFonts w:hint="eastAsia" w:ascii="仿宋_GB2312" w:hAnsi="仿宋_GB2312" w:cs="仿宋_GB2312"/>
          <w:b/>
          <w:sz w:val="44"/>
          <w:szCs w:val="44"/>
        </w:rPr>
        <w:t>绵竹市委统战部项目支出绩效自评报告</w:t>
      </w:r>
    </w:p>
    <w:p w14:paraId="1548E4B9">
      <w:pPr>
        <w:pStyle w:val="32"/>
        <w:spacing w:line="580" w:lineRule="exact"/>
        <w:ind w:firstLine="640"/>
        <w:jc w:val="center"/>
        <w:rPr>
          <w:rFonts w:hint="eastAsia" w:ascii="宋体" w:eastAsia="宋体"/>
          <w:color w:val="auto"/>
          <w:kern w:val="2"/>
          <w:sz w:val="32"/>
          <w:szCs w:val="32"/>
          <w:lang w:val="en-US" w:eastAsia="zh-CN"/>
        </w:rPr>
      </w:pPr>
      <w:r>
        <w:rPr>
          <w:rFonts w:hint="eastAsia" w:ascii="宋体"/>
          <w:color w:val="auto"/>
          <w:kern w:val="2"/>
          <w:sz w:val="32"/>
          <w:szCs w:val="32"/>
          <w:lang w:val="en-US" w:eastAsia="zh-CN"/>
        </w:rPr>
        <w:t>（统战部培训项目）</w:t>
      </w:r>
    </w:p>
    <w:p w14:paraId="1077969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一、项目概况</w:t>
      </w:r>
    </w:p>
    <w:p w14:paraId="2C7A8CD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（一）项目基本情况。</w:t>
      </w:r>
    </w:p>
    <w:p w14:paraId="1049928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市委统战部每年组织部门统战工作相关领导、镇乡统战委员、民主党派及党外人士代表针对统战工作进行专业知识培训。</w:t>
      </w:r>
    </w:p>
    <w:p w14:paraId="6A30A96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资金管理办法制定情况，资金支持具体项目的条件、范围与支持方式概况。</w:t>
      </w:r>
    </w:p>
    <w:p w14:paraId="3A04B17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统战部培训经费支出与我部其他项目支出一样，严格执行预算管理和财务收支管理制度，项目的组织由市委统战部负责。资金实行专款专用，仅支持和保障专业培训活动的开展，支持方式为据实全部保障兑付。</w:t>
      </w:r>
    </w:p>
    <w:p w14:paraId="13822F0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资金分配的原则及考虑因素。</w:t>
      </w:r>
    </w:p>
    <w:p w14:paraId="62BC775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严格按照预算进行分配。</w:t>
      </w:r>
    </w:p>
    <w:p w14:paraId="3359E2F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（二）项目绩效目标。</w:t>
      </w:r>
    </w:p>
    <w:p w14:paraId="0BFA72E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1．项目主要内容。</w:t>
      </w:r>
    </w:p>
    <w:p w14:paraId="76D9EDF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用于开展全市统一战线工作人员的培训、业务能力提升活动。</w:t>
      </w:r>
    </w:p>
    <w:p w14:paraId="05FEDA8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项目应实现的具体绩效目标，包括目标的量化、细化情况以及项目实施进度计划等。</w:t>
      </w:r>
    </w:p>
    <w:p w14:paraId="4203104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主要用于培训的场地费、培训师资费用、材料费等。</w:t>
      </w:r>
    </w:p>
    <w:p w14:paraId="7014EDA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分析评价申报内容是否与实际相符，申报目标是否合理可行。</w:t>
      </w:r>
    </w:p>
    <w:p w14:paraId="1FA9EF0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评价申报内容与项目实际实施相符，申报目标合理可行。</w:t>
      </w:r>
    </w:p>
    <w:p w14:paraId="0650E0D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455AD0E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（三）项目自评步骤及方法。</w:t>
      </w:r>
    </w:p>
    <w:p w14:paraId="0C56995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说明项目绩效自评采用的组织实施步骤及方法。</w:t>
      </w:r>
    </w:p>
    <w:p w14:paraId="2708EF7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为开展好本次项目自评工作，根据文件要求，按以下四个步骤开展绩效自评：</w:t>
      </w:r>
    </w:p>
    <w:p w14:paraId="306D86B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1.成立项目自评小组；</w:t>
      </w:r>
    </w:p>
    <w:p w14:paraId="0F79359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2.收集项目相关资料，如预算资料，财务资料，文件依据资料等。最终形成项目绩效评价材料；</w:t>
      </w:r>
    </w:p>
    <w:p w14:paraId="4D62CB9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3.开展绩效评价，形成自评报告初稿;</w:t>
      </w:r>
    </w:p>
    <w:p w14:paraId="4B5DF4A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4.征求相关部门意见，形成自评报告。</w:t>
      </w:r>
    </w:p>
    <w:p w14:paraId="72A64A3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二、项目资金申报及使用情况</w:t>
      </w:r>
    </w:p>
    <w:p w14:paraId="5736EF0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（一）项目资金申报及批复情况。</w:t>
      </w:r>
    </w:p>
    <w:p w14:paraId="14A87F9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统战部培训经费预算申报金额</w:t>
      </w:r>
      <w:r>
        <w:rPr>
          <w:rFonts w:hint="eastAsia" w:ascii="仿宋_GB2312" w:hAnsi="Calibri" w:eastAsia="仿宋_GB2312" w:cs="仿宋"/>
          <w:color w:val="auto"/>
          <w:kern w:val="0"/>
          <w:sz w:val="32"/>
          <w:szCs w:val="32"/>
          <w:lang w:val="en-US" w:eastAsia="zh-CN" w:bidi="ar-SA"/>
        </w:rPr>
        <w:t>10</w:t>
      </w:r>
      <w:r>
        <w:rPr>
          <w:rFonts w:hint="eastAsia" w:ascii="仿宋_GB2312" w:hAnsi="Calibri" w:eastAsia="仿宋_GB2312" w:cs="仿宋"/>
          <w:color w:val="auto"/>
          <w:kern w:val="0"/>
          <w:sz w:val="32"/>
          <w:szCs w:val="32"/>
          <w:lang w:val="zh-CN" w:eastAsia="zh-CN" w:bidi="ar-SA"/>
        </w:rPr>
        <w:t>万元，财政批复</w:t>
      </w:r>
      <w:r>
        <w:rPr>
          <w:rFonts w:hint="eastAsia" w:ascii="仿宋_GB2312" w:hAnsi="Calibri" w:eastAsia="仿宋_GB2312" w:cs="仿宋"/>
          <w:color w:val="auto"/>
          <w:kern w:val="0"/>
          <w:sz w:val="32"/>
          <w:szCs w:val="32"/>
          <w:lang w:val="en-US" w:eastAsia="zh-CN" w:bidi="ar-SA"/>
        </w:rPr>
        <w:t>10</w:t>
      </w:r>
      <w:r>
        <w:rPr>
          <w:rFonts w:hint="eastAsia" w:ascii="仿宋_GB2312" w:hAnsi="Calibri" w:eastAsia="仿宋_GB2312" w:cs="仿宋"/>
          <w:color w:val="auto"/>
          <w:kern w:val="0"/>
          <w:sz w:val="32"/>
          <w:szCs w:val="32"/>
          <w:lang w:val="zh-CN" w:eastAsia="zh-CN" w:bidi="ar-SA"/>
        </w:rPr>
        <w:t>万元。符合资金管理办法等相关规定。</w:t>
      </w:r>
    </w:p>
    <w:p w14:paraId="75C2CD5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（二）资金计划、到位及使用情况（可用表格形式反映）。</w:t>
      </w:r>
    </w:p>
    <w:p w14:paraId="7CE3581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1．资金计划。统战部培训经费资金全部来源为本级财政拨款，纳入20</w:t>
      </w:r>
      <w:r>
        <w:rPr>
          <w:rFonts w:hint="eastAsia" w:ascii="仿宋_GB2312" w:hAnsi="Calibri" w:eastAsia="仿宋_GB2312" w:cs="仿宋"/>
          <w:color w:val="auto"/>
          <w:kern w:val="0"/>
          <w:sz w:val="32"/>
          <w:szCs w:val="32"/>
          <w:lang w:val="en-US" w:eastAsia="zh-CN" w:bidi="ar-SA"/>
        </w:rPr>
        <w:t>21</w:t>
      </w:r>
      <w:r>
        <w:rPr>
          <w:rFonts w:hint="eastAsia" w:ascii="仿宋_GB2312" w:hAnsi="Calibri" w:eastAsia="仿宋_GB2312" w:cs="仿宋"/>
          <w:color w:val="auto"/>
          <w:kern w:val="0"/>
          <w:sz w:val="32"/>
          <w:szCs w:val="32"/>
          <w:lang w:val="zh-CN" w:eastAsia="zh-CN" w:bidi="ar-SA"/>
        </w:rPr>
        <w:t>年部门预算，经市人大审批，市财政局批复后已全部及时拨付到位，到位率100%。</w:t>
      </w:r>
    </w:p>
    <w:p w14:paraId="7ABBC87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2．资金到位。截止评价时点该项目全部资金</w:t>
      </w:r>
      <w:r>
        <w:rPr>
          <w:rFonts w:hint="eastAsia" w:ascii="仿宋_GB2312" w:hAnsi="Calibri" w:eastAsia="仿宋_GB2312" w:cs="仿宋"/>
          <w:color w:val="auto"/>
          <w:kern w:val="0"/>
          <w:sz w:val="32"/>
          <w:szCs w:val="32"/>
          <w:lang w:val="en-US" w:eastAsia="zh-CN" w:bidi="ar-SA"/>
        </w:rPr>
        <w:t>10</w:t>
      </w:r>
      <w:r>
        <w:rPr>
          <w:rFonts w:hint="eastAsia" w:ascii="仿宋_GB2312" w:hAnsi="Calibri" w:eastAsia="仿宋_GB2312" w:cs="仿宋"/>
          <w:color w:val="auto"/>
          <w:kern w:val="0"/>
          <w:sz w:val="32"/>
          <w:szCs w:val="32"/>
          <w:lang w:val="zh-CN" w:eastAsia="zh-CN" w:bidi="ar-SA"/>
        </w:rPr>
        <w:t>万元已全部通过大平台申请拨付到位，到位率100%。</w:t>
      </w:r>
    </w:p>
    <w:p w14:paraId="79EDD38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3．资金使用。截止评价时点项目资金实际支出</w:t>
      </w:r>
      <w:r>
        <w:rPr>
          <w:rFonts w:hint="eastAsia" w:ascii="仿宋_GB2312" w:hAnsi="Calibri" w:eastAsia="仿宋_GB2312" w:cs="仿宋"/>
          <w:color w:val="auto"/>
          <w:kern w:val="0"/>
          <w:sz w:val="32"/>
          <w:szCs w:val="32"/>
          <w:lang w:val="en-US" w:eastAsia="zh-CN" w:bidi="ar-SA"/>
        </w:rPr>
        <w:t>10</w:t>
      </w:r>
      <w:r>
        <w:rPr>
          <w:rFonts w:hint="eastAsia" w:ascii="仿宋_GB2312" w:hAnsi="Calibri" w:eastAsia="仿宋_GB2312" w:cs="仿宋"/>
          <w:color w:val="auto"/>
          <w:kern w:val="0"/>
          <w:sz w:val="32"/>
          <w:szCs w:val="32"/>
          <w:lang w:val="zh-CN" w:eastAsia="zh-CN" w:bidi="ar-SA"/>
        </w:rPr>
        <w:t>万，主要用于统战部组织的专业知识培训等一系列费用。全部费用于12月底前全部支付。支付依据合规合法，资金支付与预算相符。</w:t>
      </w:r>
    </w:p>
    <w:p w14:paraId="1188C6B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（三）项目财务管理情况。</w:t>
      </w:r>
    </w:p>
    <w:p w14:paraId="7B2B2CB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支出一样，严格执行预算管理和财务收支管理制度，根据项目进度，向财务室提出资金使用申请，按照市财政局项目资金使用管理办法进行网上申报用款额度指标，在资金使用环节，严格遵守财政资金支出审批管理办法，严格按照机关资金财务审批流程办理款项支付。在会计核算环节，对本项目资金实际单独核算，确保专款专用。通过以上措施，杜绝挪用、挤占、截留项目资金的现象发生，保证财政资金安全高效使用。</w:t>
      </w:r>
    </w:p>
    <w:p w14:paraId="40642BC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三、项目实施及管理情况</w:t>
      </w:r>
    </w:p>
    <w:p w14:paraId="64DA00B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项目组织架构及实施流程。</w:t>
      </w:r>
    </w:p>
    <w:p w14:paraId="49FC917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的收支由财务室负责。根据项目进度，向财务室提出资金使用申请，按照市财政局项目资金使用管理办法进行网上申报用款额度指标，严格遵守财政资金支出审批管理办法，严格按照机关资金财务审批流程办理款项支付。</w:t>
      </w:r>
    </w:p>
    <w:p w14:paraId="6AF0270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项目管理情况。</w:t>
      </w:r>
    </w:p>
    <w:p w14:paraId="142F374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用于统战部组织业务培训所产生的费用。全部费用于12月底前全部支付。</w:t>
      </w:r>
    </w:p>
    <w:p w14:paraId="247D842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项目监管情况。</w:t>
      </w:r>
    </w:p>
    <w:p w14:paraId="3F18DFE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该项目与我部其他项目进行预决算公示，接受大众监督。</w:t>
      </w:r>
    </w:p>
    <w:p w14:paraId="3FEB536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四、项目绩效情况</w:t>
      </w:r>
      <w:r>
        <w:rPr>
          <w:rFonts w:hint="eastAsia" w:ascii="仿宋_GB2312" w:hAnsi="Calibri" w:eastAsia="仿宋_GB2312" w:cs="仿宋"/>
          <w:color w:val="auto"/>
          <w:kern w:val="0"/>
          <w:sz w:val="32"/>
          <w:szCs w:val="32"/>
          <w:lang w:val="zh-CN" w:eastAsia="zh-CN" w:bidi="ar-SA"/>
        </w:rPr>
        <w:tab/>
      </w:r>
    </w:p>
    <w:p w14:paraId="0F71EA9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（一）项目完成情况。</w:t>
      </w:r>
    </w:p>
    <w:p w14:paraId="04E868A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对照项目计划完成目标，截止评价时点完成度100%，完成质量良好。</w:t>
      </w:r>
    </w:p>
    <w:p w14:paraId="1497A65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（二）项目效益情况。</w:t>
      </w:r>
    </w:p>
    <w:p w14:paraId="30EE462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市委统战部项目申报内容与具体实施内容相符、申报目标合理可行。项目内容全部按照申报时的名称、标准进行。项目社会效益达到，保证了统战工作专业性以及让从事统战工作的工作人员得到最新最全面的业务知识。</w:t>
      </w:r>
    </w:p>
    <w:p w14:paraId="710878A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五、评价结论及建议</w:t>
      </w:r>
    </w:p>
    <w:p w14:paraId="4793BC8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（一）评价结论。</w:t>
      </w:r>
    </w:p>
    <w:p w14:paraId="70E1C51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培训项目决策依据充分，项目管理规范，项目绩效明显，总体评价该项目为优良。</w:t>
      </w:r>
    </w:p>
    <w:p w14:paraId="1A22A4E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（二）存在的问题。</w:t>
      </w:r>
    </w:p>
    <w:p w14:paraId="36FE2F9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在实施的过程中，对资金监管力度需要进一步提高。</w:t>
      </w:r>
    </w:p>
    <w:p w14:paraId="7EC30E1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（三）相关建议。</w:t>
      </w:r>
    </w:p>
    <w:p w14:paraId="3DC9BC9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加强预算和支出管理，强化业务水平</w:t>
      </w:r>
    </w:p>
    <w:p w14:paraId="5D0A9CF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17A7346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2F1A416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4A1842C9">
      <w:pPr>
        <w:spacing w:line="560" w:lineRule="exact"/>
        <w:jc w:val="center"/>
        <w:rPr>
          <w:rFonts w:hint="eastAsia" w:ascii="仿宋_GB2312" w:hAnsi="仿宋_GB2312" w:cs="仿宋_GB2312"/>
          <w:b/>
          <w:sz w:val="44"/>
          <w:szCs w:val="44"/>
        </w:rPr>
      </w:pPr>
      <w:r>
        <w:rPr>
          <w:rFonts w:hint="eastAsia" w:ascii="仿宋_GB2312" w:hAnsi="仿宋_GB2312" w:cs="仿宋_GB2312"/>
          <w:b/>
          <w:sz w:val="44"/>
          <w:szCs w:val="44"/>
        </w:rPr>
        <w:t>绵竹市委统战部项目支出绩效自评报告</w:t>
      </w:r>
    </w:p>
    <w:p w14:paraId="445C30DE">
      <w:pPr>
        <w:pStyle w:val="32"/>
        <w:spacing w:line="580" w:lineRule="exact"/>
        <w:ind w:firstLine="640"/>
        <w:jc w:val="center"/>
        <w:rPr>
          <w:rFonts w:hint="eastAsia" w:ascii="宋体" w:eastAsia="宋体"/>
          <w:color w:val="auto"/>
          <w:kern w:val="2"/>
          <w:sz w:val="32"/>
          <w:szCs w:val="32"/>
          <w:lang w:val="en-US" w:eastAsia="zh-CN"/>
        </w:rPr>
      </w:pPr>
      <w:r>
        <w:rPr>
          <w:rFonts w:hint="eastAsia" w:ascii="宋体"/>
          <w:color w:val="auto"/>
          <w:kern w:val="2"/>
          <w:sz w:val="32"/>
          <w:szCs w:val="32"/>
          <w:lang w:val="en-US" w:eastAsia="zh-CN"/>
        </w:rPr>
        <w:t>（统战部培训项目）</w:t>
      </w:r>
    </w:p>
    <w:p w14:paraId="5F07384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一、项目概况</w:t>
      </w:r>
    </w:p>
    <w:p w14:paraId="260C39B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（一）项目基本情况。</w:t>
      </w:r>
    </w:p>
    <w:p w14:paraId="3F3C873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市委统战部每年组织部门统战工作相关领导、镇乡统战委员、民主党派及党外人士代表针对统战工作进行专业知识培训。</w:t>
      </w:r>
    </w:p>
    <w:p w14:paraId="6C06422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资金管理办法制定情况，资金支持具体项目的条件、范围与支持方式概况。</w:t>
      </w:r>
    </w:p>
    <w:p w14:paraId="65F91DE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统战部培训经费支出与我部其他项目支出一样，严格执行预算管理和财务收支管理制度，项目的组织由市委统战部负责。资金实行专款专用，仅支持和保障专业培训活动的开展，支持方式为据实全部保障兑付。</w:t>
      </w:r>
    </w:p>
    <w:p w14:paraId="147E599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资金分配的原则及考虑因素。</w:t>
      </w:r>
    </w:p>
    <w:p w14:paraId="7E47DC8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严格按照预算进行分配。</w:t>
      </w:r>
    </w:p>
    <w:p w14:paraId="29A36BD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（二）项目绩效目标。</w:t>
      </w:r>
    </w:p>
    <w:p w14:paraId="73A503B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1．项目主要内容。</w:t>
      </w:r>
    </w:p>
    <w:p w14:paraId="57901B1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用于开展全市统一战线工作人员的培训、业务能力提升活动。</w:t>
      </w:r>
    </w:p>
    <w:p w14:paraId="0C1D09E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项目应实现的具体绩效目标，包括目标的量化、细化情况以及项目实施进度计划等。</w:t>
      </w:r>
    </w:p>
    <w:p w14:paraId="74454BB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主要用于培训的场地费、培训师资费用、材料费等。</w:t>
      </w:r>
    </w:p>
    <w:p w14:paraId="6748555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分析评价申报内容是否与实际相符，申报目标是否合理可行。</w:t>
      </w:r>
    </w:p>
    <w:p w14:paraId="10E8FB2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评价申报内容与项目实际实施相符，申报目标合理可行。</w:t>
      </w:r>
    </w:p>
    <w:p w14:paraId="02AC77C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5404BB1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（三）项目自评步骤及方法。</w:t>
      </w:r>
    </w:p>
    <w:p w14:paraId="1507A4F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说明项目绩效自评采用的组织实施步骤及方法。</w:t>
      </w:r>
    </w:p>
    <w:p w14:paraId="5EEBDFF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为开展好本次项目自评工作，根据文件要求，按以下四个步骤开展绩效自评：</w:t>
      </w:r>
    </w:p>
    <w:p w14:paraId="6577D0C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1.成立项目自评小组；</w:t>
      </w:r>
    </w:p>
    <w:p w14:paraId="0C2EED7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2.收集项目相关资料，如预算资料，财务资料，文件依据资料等。最终形成项目绩效评价材料；</w:t>
      </w:r>
    </w:p>
    <w:p w14:paraId="7B98502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3.开展绩效评价，形成自评报告初稿;</w:t>
      </w:r>
    </w:p>
    <w:p w14:paraId="520D02E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4.征求相关部门意见，形成自评报告。</w:t>
      </w:r>
    </w:p>
    <w:p w14:paraId="5101492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二、项目资金申报及使用情况</w:t>
      </w:r>
    </w:p>
    <w:p w14:paraId="1F3C553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（一）项目资金申报及批复情况。</w:t>
      </w:r>
    </w:p>
    <w:p w14:paraId="7ADA8D0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统战部培训经费预算申报金额</w:t>
      </w:r>
      <w:r>
        <w:rPr>
          <w:rFonts w:hint="eastAsia" w:ascii="仿宋_GB2312" w:hAnsi="Calibri" w:eastAsia="仿宋_GB2312" w:cs="仿宋"/>
          <w:color w:val="auto"/>
          <w:kern w:val="0"/>
          <w:sz w:val="32"/>
          <w:szCs w:val="32"/>
          <w:lang w:val="en-US" w:eastAsia="zh-CN" w:bidi="ar-SA"/>
        </w:rPr>
        <w:t>10</w:t>
      </w:r>
      <w:r>
        <w:rPr>
          <w:rFonts w:hint="eastAsia" w:ascii="仿宋_GB2312" w:hAnsi="Calibri" w:eastAsia="仿宋_GB2312" w:cs="仿宋"/>
          <w:color w:val="auto"/>
          <w:kern w:val="0"/>
          <w:sz w:val="32"/>
          <w:szCs w:val="32"/>
          <w:lang w:val="zh-CN" w:eastAsia="zh-CN" w:bidi="ar-SA"/>
        </w:rPr>
        <w:t>万元，财政批复</w:t>
      </w:r>
      <w:r>
        <w:rPr>
          <w:rFonts w:hint="eastAsia" w:ascii="仿宋_GB2312" w:hAnsi="Calibri" w:eastAsia="仿宋_GB2312" w:cs="仿宋"/>
          <w:color w:val="auto"/>
          <w:kern w:val="0"/>
          <w:sz w:val="32"/>
          <w:szCs w:val="32"/>
          <w:lang w:val="en-US" w:eastAsia="zh-CN" w:bidi="ar-SA"/>
        </w:rPr>
        <w:t>10</w:t>
      </w:r>
      <w:r>
        <w:rPr>
          <w:rFonts w:hint="eastAsia" w:ascii="仿宋_GB2312" w:hAnsi="Calibri" w:eastAsia="仿宋_GB2312" w:cs="仿宋"/>
          <w:color w:val="auto"/>
          <w:kern w:val="0"/>
          <w:sz w:val="32"/>
          <w:szCs w:val="32"/>
          <w:lang w:val="zh-CN" w:eastAsia="zh-CN" w:bidi="ar-SA"/>
        </w:rPr>
        <w:t>万元。符合资金管理办法等相关规定。</w:t>
      </w:r>
    </w:p>
    <w:p w14:paraId="17344FB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（二）资金计划、到位及使用情况（可用表格形式反映）。</w:t>
      </w:r>
    </w:p>
    <w:p w14:paraId="2628208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1．资金计划。统战部培训经费资金全部来源为本级财政拨款，纳入20</w:t>
      </w:r>
      <w:r>
        <w:rPr>
          <w:rFonts w:hint="eastAsia" w:ascii="仿宋_GB2312" w:hAnsi="Calibri" w:eastAsia="仿宋_GB2312" w:cs="仿宋"/>
          <w:color w:val="auto"/>
          <w:kern w:val="0"/>
          <w:sz w:val="32"/>
          <w:szCs w:val="32"/>
          <w:lang w:val="en-US" w:eastAsia="zh-CN" w:bidi="ar-SA"/>
        </w:rPr>
        <w:t>21</w:t>
      </w:r>
      <w:r>
        <w:rPr>
          <w:rFonts w:hint="eastAsia" w:ascii="仿宋_GB2312" w:hAnsi="Calibri" w:eastAsia="仿宋_GB2312" w:cs="仿宋"/>
          <w:color w:val="auto"/>
          <w:kern w:val="0"/>
          <w:sz w:val="32"/>
          <w:szCs w:val="32"/>
          <w:lang w:val="zh-CN" w:eastAsia="zh-CN" w:bidi="ar-SA"/>
        </w:rPr>
        <w:t>年部门预算，经市人大审批，市财政局批复后已全部及时拨付到位，到位率100%。</w:t>
      </w:r>
    </w:p>
    <w:p w14:paraId="06CB168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2．资金到位。截止评价时点该项目全部资金</w:t>
      </w:r>
      <w:r>
        <w:rPr>
          <w:rFonts w:hint="eastAsia" w:ascii="仿宋_GB2312" w:hAnsi="Calibri" w:eastAsia="仿宋_GB2312" w:cs="仿宋"/>
          <w:color w:val="auto"/>
          <w:kern w:val="0"/>
          <w:sz w:val="32"/>
          <w:szCs w:val="32"/>
          <w:lang w:val="en-US" w:eastAsia="zh-CN" w:bidi="ar-SA"/>
        </w:rPr>
        <w:t>10</w:t>
      </w:r>
      <w:r>
        <w:rPr>
          <w:rFonts w:hint="eastAsia" w:ascii="仿宋_GB2312" w:hAnsi="Calibri" w:eastAsia="仿宋_GB2312" w:cs="仿宋"/>
          <w:color w:val="auto"/>
          <w:kern w:val="0"/>
          <w:sz w:val="32"/>
          <w:szCs w:val="32"/>
          <w:lang w:val="zh-CN" w:eastAsia="zh-CN" w:bidi="ar-SA"/>
        </w:rPr>
        <w:t>万元已全部通过大平台申请拨付到位，到位率100%。</w:t>
      </w:r>
    </w:p>
    <w:p w14:paraId="151AF9E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3．资金使用。截止评价时点项目资金实际支出</w:t>
      </w:r>
      <w:r>
        <w:rPr>
          <w:rFonts w:hint="eastAsia" w:ascii="仿宋_GB2312" w:hAnsi="Calibri" w:eastAsia="仿宋_GB2312" w:cs="仿宋"/>
          <w:color w:val="auto"/>
          <w:kern w:val="0"/>
          <w:sz w:val="32"/>
          <w:szCs w:val="32"/>
          <w:lang w:val="en-US" w:eastAsia="zh-CN" w:bidi="ar-SA"/>
        </w:rPr>
        <w:t>10</w:t>
      </w:r>
      <w:r>
        <w:rPr>
          <w:rFonts w:hint="eastAsia" w:ascii="仿宋_GB2312" w:hAnsi="Calibri" w:eastAsia="仿宋_GB2312" w:cs="仿宋"/>
          <w:color w:val="auto"/>
          <w:kern w:val="0"/>
          <w:sz w:val="32"/>
          <w:szCs w:val="32"/>
          <w:lang w:val="zh-CN" w:eastAsia="zh-CN" w:bidi="ar-SA"/>
        </w:rPr>
        <w:t>万，主要用于统战部组织的专业知识培训等一系列费用。全部费用于12月底前全部支付。支付依据合规合法，资金支付与预算相符。</w:t>
      </w:r>
    </w:p>
    <w:p w14:paraId="3A44134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（三）项目财务管理情况。</w:t>
      </w:r>
    </w:p>
    <w:p w14:paraId="2D7EAE8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支出一样，严格执行预算管理和财务收支管理制度，根据项目进度，向财务室提出资金使用申请，按照市财政局项目资金使用管理办法进行网上申报用款额度指标，在资金使用环节，严格遵守财政资金支出审批管理办法，严格按照机关资金财务审批流程办理款项支付。在会计核算环节，对本项目资金实际单独核算，确保专款专用。通过以上措施，杜绝挪用、挤占、截留项目资金的现象发生，保证财政资金安全高效使用。</w:t>
      </w:r>
    </w:p>
    <w:p w14:paraId="28D378C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三、项目实施及管理情况</w:t>
      </w:r>
    </w:p>
    <w:p w14:paraId="38804E1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项目组织架构及实施流程。</w:t>
      </w:r>
    </w:p>
    <w:p w14:paraId="734FC47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的收支由财务室负责。根据项目进度，向财务室提出资金使用申请，按照市财政局项目资金使用管理办法进行网上申报用款额度指标，严格遵守财政资金支出审批管理办法，严格按照机关资金财务审批流程办理款项支付。</w:t>
      </w:r>
    </w:p>
    <w:p w14:paraId="4CEB085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项目管理情况。</w:t>
      </w:r>
    </w:p>
    <w:p w14:paraId="231A422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用于统战部组织业务培训所产生的费用。全部费用于12月底前全部支付。</w:t>
      </w:r>
    </w:p>
    <w:p w14:paraId="3B2A751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项目监管情况。</w:t>
      </w:r>
    </w:p>
    <w:p w14:paraId="47EC830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该项目与我部其他项目进行预决算公示，接受大众监督。</w:t>
      </w:r>
    </w:p>
    <w:p w14:paraId="2698735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四、项目绩效情况</w:t>
      </w:r>
      <w:r>
        <w:rPr>
          <w:rFonts w:hint="eastAsia" w:ascii="仿宋_GB2312" w:hAnsi="Calibri" w:eastAsia="仿宋_GB2312" w:cs="仿宋"/>
          <w:color w:val="auto"/>
          <w:kern w:val="0"/>
          <w:sz w:val="32"/>
          <w:szCs w:val="32"/>
          <w:lang w:val="zh-CN" w:eastAsia="zh-CN" w:bidi="ar-SA"/>
        </w:rPr>
        <w:tab/>
      </w:r>
    </w:p>
    <w:p w14:paraId="646FB38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（一）项目完成情况。</w:t>
      </w:r>
    </w:p>
    <w:p w14:paraId="0C17B59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对照项目计划完成目标，截止评价时点完成度100%，完成质量良好。</w:t>
      </w:r>
    </w:p>
    <w:p w14:paraId="303A912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（二）项目效益情况。</w:t>
      </w:r>
    </w:p>
    <w:p w14:paraId="6B62719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市委统战部项目申报内容与具体实施内容相符、申报目标合理可行。项目内容全部按照申报时的名称、标准进行。项目社会效益达到，保证了统战工作专业性以及让从事统战工作的工作人员得到最新最全面的业务知识。</w:t>
      </w:r>
    </w:p>
    <w:p w14:paraId="47C3A84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五、评价结论及建议</w:t>
      </w:r>
    </w:p>
    <w:p w14:paraId="3EC78F4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（一）评价结论。</w:t>
      </w:r>
    </w:p>
    <w:p w14:paraId="0A9540D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培训项目决策依据充分，项目管理规范，项目绩效明显，总体评价该项目为优良。</w:t>
      </w:r>
    </w:p>
    <w:p w14:paraId="4C3E587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（二）存在的问题。</w:t>
      </w:r>
    </w:p>
    <w:p w14:paraId="0FAA33F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在实施的过程中，对资金监管力度需要进一步提高。</w:t>
      </w:r>
    </w:p>
    <w:p w14:paraId="09EC038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（三）相关建议。</w:t>
      </w:r>
    </w:p>
    <w:p w14:paraId="707E1C1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加强预算和支出管理，强化业务水平</w:t>
      </w:r>
    </w:p>
    <w:p w14:paraId="2223F36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339580FE">
      <w:pPr>
        <w:pStyle w:val="6"/>
        <w:rPr>
          <w:rFonts w:hint="eastAsia"/>
          <w:lang w:val="zh-CN" w:eastAsia="zh-CN"/>
        </w:rPr>
      </w:pPr>
    </w:p>
    <w:p w14:paraId="70D825F4">
      <w:pPr>
        <w:rPr>
          <w:rFonts w:hint="eastAsia"/>
          <w:lang w:val="zh-CN" w:eastAsia="zh-CN"/>
        </w:rPr>
      </w:pPr>
    </w:p>
    <w:p w14:paraId="12728B06">
      <w:pPr>
        <w:spacing w:line="560" w:lineRule="exact"/>
        <w:jc w:val="center"/>
        <w:rPr>
          <w:rFonts w:hint="eastAsia" w:ascii="仿宋_GB2312" w:hAnsi="仿宋_GB2312" w:cs="仿宋_GB2312"/>
          <w:b/>
          <w:sz w:val="44"/>
          <w:szCs w:val="44"/>
        </w:rPr>
      </w:pPr>
      <w:r>
        <w:rPr>
          <w:rFonts w:hint="eastAsia" w:ascii="仿宋_GB2312" w:hAnsi="仿宋_GB2312" w:cs="仿宋_GB2312"/>
          <w:b/>
          <w:sz w:val="44"/>
          <w:szCs w:val="44"/>
        </w:rPr>
        <w:t>绵竹市委统战部项目支出绩效自评报告</w:t>
      </w:r>
    </w:p>
    <w:p w14:paraId="2D33A158">
      <w:pPr>
        <w:pStyle w:val="32"/>
        <w:spacing w:line="580" w:lineRule="exact"/>
        <w:ind w:firstLine="640"/>
        <w:jc w:val="center"/>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（向上争取工作经费）</w:t>
      </w:r>
    </w:p>
    <w:p w14:paraId="3B7DE6C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一、项目概况</w:t>
      </w:r>
    </w:p>
    <w:p w14:paraId="25F65D3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（一）项目基本情况。</w:t>
      </w:r>
    </w:p>
    <w:p w14:paraId="2E72D3D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该项目为财政奖励去年向上级部门争取专项资金，用于同上级部门开展日常工作交流。</w:t>
      </w:r>
    </w:p>
    <w:p w14:paraId="1A9A95C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资金管理办法制定情况，资金支持具体项目的条件、范围与支持方式概况。</w:t>
      </w:r>
    </w:p>
    <w:p w14:paraId="2F209D1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统战部项目经费支出与我部其他项目支出一样，严格执行预算管理和财务收支管理制度，项目的组织由市委统战部负责。资金实行专款专用，仅支持和保障专业培训活动的开展，支持方式为据实全部保障兑付。</w:t>
      </w:r>
    </w:p>
    <w:p w14:paraId="41DACF4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资金分配的原则及考虑因素。</w:t>
      </w:r>
    </w:p>
    <w:p w14:paraId="063036B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严格按照预算进行分配。</w:t>
      </w:r>
    </w:p>
    <w:p w14:paraId="74B7EBE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（二）项目绩效目标。</w:t>
      </w:r>
    </w:p>
    <w:p w14:paraId="5BF37B0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1．项目主要内容。</w:t>
      </w:r>
    </w:p>
    <w:p w14:paraId="340F8CB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该项目为财政奖励去年向上级部门争取专项资金，用于同上级部门开展日常工作交流。</w:t>
      </w:r>
    </w:p>
    <w:p w14:paraId="39CD958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项目应实现的具体绩效目标，包括目标的量化、细化情况以及项目实施进度计划等。</w:t>
      </w:r>
    </w:p>
    <w:p w14:paraId="6955583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主要用于电脑耗材、日常办公用品。</w:t>
      </w:r>
    </w:p>
    <w:p w14:paraId="02BD481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分析评价申报内容是否与实际相符，申报目标是否合理可行。</w:t>
      </w:r>
    </w:p>
    <w:p w14:paraId="6871B1F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评价申报内容与项目实际实施相符，申报目标合理可行。</w:t>
      </w:r>
    </w:p>
    <w:p w14:paraId="67A233C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7A23BE9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（三）项目自评步骤及方法。</w:t>
      </w:r>
    </w:p>
    <w:p w14:paraId="4629B7C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说明项目绩效自评采用的组织实施步骤及方法。</w:t>
      </w:r>
    </w:p>
    <w:p w14:paraId="24DCB45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为开展好本次项目自评工作，根据文件要求，按以下四个步骤开展绩效自评：</w:t>
      </w:r>
    </w:p>
    <w:p w14:paraId="39890BE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1.成立项目自评小组；</w:t>
      </w:r>
    </w:p>
    <w:p w14:paraId="0D7C215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2.收集项目相关资料，如预算资料，财务资料，文件依据资料等。最终形成项目绩效评价材料；</w:t>
      </w:r>
    </w:p>
    <w:p w14:paraId="4822116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3.开展绩效评价，形成自评报告初稿;</w:t>
      </w:r>
    </w:p>
    <w:p w14:paraId="1957765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4.征求相关部门意见，形成自评报告。</w:t>
      </w:r>
    </w:p>
    <w:p w14:paraId="0FBBB98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二、项目资金申报及使用情况</w:t>
      </w:r>
    </w:p>
    <w:p w14:paraId="1DF3D97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（一）项目资金申报及批复情况。</w:t>
      </w:r>
    </w:p>
    <w:p w14:paraId="3EDB646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统战部培训经费预算申报金额</w:t>
      </w: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万元，财政批复</w:t>
      </w: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万元。符合资金管理办法等相关规定。</w:t>
      </w:r>
    </w:p>
    <w:p w14:paraId="106E1C9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（二）资金计划、到位及使用情况（可用表格形式反映）。</w:t>
      </w:r>
    </w:p>
    <w:p w14:paraId="1A6654C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1．资金计划。统战部培训经费资金全部来源为本级财政拨款，纳入20</w:t>
      </w:r>
      <w:r>
        <w:rPr>
          <w:rFonts w:hint="eastAsia" w:ascii="仿宋_GB2312" w:hAnsi="Calibri" w:eastAsia="仿宋_GB2312" w:cs="仿宋"/>
          <w:color w:val="auto"/>
          <w:kern w:val="0"/>
          <w:sz w:val="32"/>
          <w:szCs w:val="32"/>
          <w:lang w:val="en-US" w:eastAsia="zh-CN" w:bidi="ar-SA"/>
        </w:rPr>
        <w:t>21</w:t>
      </w:r>
      <w:r>
        <w:rPr>
          <w:rFonts w:hint="eastAsia" w:ascii="仿宋_GB2312" w:hAnsi="Calibri" w:eastAsia="仿宋_GB2312" w:cs="仿宋"/>
          <w:color w:val="auto"/>
          <w:kern w:val="0"/>
          <w:sz w:val="32"/>
          <w:szCs w:val="32"/>
          <w:lang w:val="zh-CN" w:eastAsia="zh-CN" w:bidi="ar-SA"/>
        </w:rPr>
        <w:t>年部门预算，经市人大审批，市财政局批复后已全部及时拨付到位，到位率100%。</w:t>
      </w:r>
    </w:p>
    <w:p w14:paraId="44ED542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2．资金到位。截止评价时点该项目全部资金</w:t>
      </w: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万元已全部通过大平台申请拨付到位，到位率100%。</w:t>
      </w:r>
    </w:p>
    <w:p w14:paraId="6168A2E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3．资金使用。截止评价时点项目资金实际支出</w:t>
      </w:r>
      <w:r>
        <w:rPr>
          <w:rFonts w:hint="eastAsia" w:ascii="仿宋_GB2312" w:hAnsi="Calibri" w:eastAsia="仿宋_GB2312" w:cs="仿宋"/>
          <w:color w:val="auto"/>
          <w:kern w:val="0"/>
          <w:sz w:val="32"/>
          <w:szCs w:val="32"/>
          <w:lang w:val="en-US" w:eastAsia="zh-CN" w:bidi="ar-SA"/>
        </w:rPr>
        <w:t>1</w:t>
      </w:r>
      <w:r>
        <w:rPr>
          <w:rFonts w:hint="eastAsia" w:ascii="仿宋_GB2312" w:hAnsi="Calibri" w:eastAsia="仿宋_GB2312" w:cs="仿宋"/>
          <w:color w:val="auto"/>
          <w:kern w:val="0"/>
          <w:sz w:val="32"/>
          <w:szCs w:val="32"/>
          <w:lang w:val="zh-CN" w:eastAsia="zh-CN" w:bidi="ar-SA"/>
        </w:rPr>
        <w:t>万，主要用于统战部组织的专业知识培训等一系列费用。全部费用于12月底前全部支付。支付依据合规合法，资金支付与预算相符。</w:t>
      </w:r>
    </w:p>
    <w:p w14:paraId="4CCD884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（三）项目财务管理情况。</w:t>
      </w:r>
    </w:p>
    <w:p w14:paraId="08A3F91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支出一样，严格执行预算管理和财务收支管理制度，根据项目进度，向财务室提出资金使用申请，按照市财政局项目资金使用管理办法进行网上申报用款额度指标，在资金使用环节，严格遵守财政资金支出审批管理办法，严格按照机关资金财务审批流程办理款项支付。在会计核算环节，对本项目资金实际单独核算，确保专款专用。通过以上措施，杜绝挪用、挤占、截留项目资金的现象发生，保证财政资金安全高效使用。</w:t>
      </w:r>
    </w:p>
    <w:p w14:paraId="1E347C9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三、项目实施及管理情况</w:t>
      </w:r>
    </w:p>
    <w:p w14:paraId="4F744D8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项目组织架构及实施流程。</w:t>
      </w:r>
    </w:p>
    <w:p w14:paraId="0F0099F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的收支由财务室负责。根据项目进度，向财务室提出资金使用申请，按照市财政局项目资金使用管理办法进行网上申报用款额度指标，严格遵守财政资金支出审批管理办法，严格按照机关资金财务审批流程办理款项支付。</w:t>
      </w:r>
    </w:p>
    <w:p w14:paraId="4DE1F40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项目管理情况。</w:t>
      </w:r>
    </w:p>
    <w:p w14:paraId="7217AE5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用于统战部日常办公费用。全部费用于12月底前全部支付。</w:t>
      </w:r>
    </w:p>
    <w:p w14:paraId="49E3F3F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项目监管情况。</w:t>
      </w:r>
    </w:p>
    <w:p w14:paraId="5A8FCC1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该项目与我部其他项目进行预决算公示，接受大众监督。</w:t>
      </w:r>
    </w:p>
    <w:p w14:paraId="1FC6D74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四、项目绩效情况</w:t>
      </w:r>
      <w:r>
        <w:rPr>
          <w:rFonts w:hint="eastAsia" w:ascii="仿宋_GB2312" w:hAnsi="Calibri" w:eastAsia="仿宋_GB2312" w:cs="仿宋"/>
          <w:color w:val="auto"/>
          <w:kern w:val="0"/>
          <w:sz w:val="32"/>
          <w:szCs w:val="32"/>
          <w:lang w:val="zh-CN" w:eastAsia="zh-CN" w:bidi="ar-SA"/>
        </w:rPr>
        <w:tab/>
      </w:r>
    </w:p>
    <w:p w14:paraId="358EA94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（一）项目完成情况。</w:t>
      </w:r>
    </w:p>
    <w:p w14:paraId="1739A7A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对照项目计划完成目标，截止评价时点完成度100%，完成质量良好。</w:t>
      </w:r>
    </w:p>
    <w:p w14:paraId="5504A6F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（二）项目效益情况。</w:t>
      </w:r>
    </w:p>
    <w:p w14:paraId="6BB720D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市委统战部项目申报内容与具体实施内容相符、申报目标合理可行。项目内容全部按照申报时的名称、标准进行。项目社会效益达到，保证了统战工作专业性以及让从事统战工作的工作人员得到最新最全面的业务知识。</w:t>
      </w:r>
    </w:p>
    <w:p w14:paraId="0E924E6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五、评价结论及建议</w:t>
      </w:r>
    </w:p>
    <w:p w14:paraId="4C6B392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（一）评价结论。</w:t>
      </w:r>
    </w:p>
    <w:p w14:paraId="5A07270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统战部项目决策依据充分，项目管理规范，项目绩效明显，总体评价该项目为优良。</w:t>
      </w:r>
    </w:p>
    <w:p w14:paraId="5D3DD37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（二）存在的问题。</w:t>
      </w:r>
    </w:p>
    <w:p w14:paraId="02C9929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在实施的过程中，对资金监管力度需要进一步提高。</w:t>
      </w:r>
    </w:p>
    <w:p w14:paraId="68E91C2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（三）相关建议。</w:t>
      </w:r>
    </w:p>
    <w:p w14:paraId="26A6FAE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加强预算和支出管理，强化业务水平</w:t>
      </w:r>
    </w:p>
    <w:p w14:paraId="13AE881D">
      <w:pPr>
        <w:pStyle w:val="6"/>
        <w:rPr>
          <w:rFonts w:hint="eastAsia"/>
          <w:lang w:val="zh-CN" w:eastAsia="zh-CN"/>
        </w:rPr>
      </w:pPr>
    </w:p>
    <w:p w14:paraId="3672BE6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7CF7FBFF">
      <w:pPr>
        <w:spacing w:line="560" w:lineRule="exact"/>
        <w:jc w:val="center"/>
        <w:rPr>
          <w:rFonts w:hint="eastAsia" w:ascii="仿宋_GB2312" w:hAnsi="仿宋_GB2312" w:cs="仿宋_GB2312"/>
          <w:b/>
          <w:sz w:val="44"/>
          <w:szCs w:val="44"/>
        </w:rPr>
      </w:pPr>
      <w:r>
        <w:rPr>
          <w:rFonts w:hint="eastAsia" w:ascii="仿宋_GB2312" w:hAnsi="仿宋_GB2312" w:cs="仿宋_GB2312"/>
          <w:b/>
          <w:sz w:val="44"/>
          <w:szCs w:val="44"/>
        </w:rPr>
        <w:t>绵竹市委统战部项目支出绩效自评报告</w:t>
      </w:r>
    </w:p>
    <w:p w14:paraId="000DFBC3">
      <w:pPr>
        <w:pStyle w:val="32"/>
        <w:spacing w:line="580" w:lineRule="exact"/>
        <w:ind w:firstLine="640"/>
        <w:jc w:val="center"/>
        <w:rPr>
          <w:rFonts w:hint="eastAsia" w:ascii="宋体" w:eastAsia="宋体"/>
          <w:color w:val="auto"/>
          <w:kern w:val="2"/>
          <w:sz w:val="32"/>
          <w:szCs w:val="32"/>
          <w:lang w:val="en-US" w:eastAsia="zh-CN"/>
        </w:rPr>
      </w:pPr>
      <w:r>
        <w:rPr>
          <w:rFonts w:hint="eastAsia" w:ascii="宋体"/>
          <w:color w:val="auto"/>
          <w:kern w:val="2"/>
          <w:sz w:val="32"/>
          <w:szCs w:val="32"/>
          <w:lang w:val="en-US" w:eastAsia="zh-CN"/>
        </w:rPr>
        <w:t>（宗教界政协委员生活补助项目经费）</w:t>
      </w:r>
    </w:p>
    <w:p w14:paraId="4F87549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一、项目概况</w:t>
      </w:r>
    </w:p>
    <w:p w14:paraId="5810061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（一）项目基本情况。</w:t>
      </w:r>
    </w:p>
    <w:p w14:paraId="0B2A283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按省市文件精神，对宗教界的政协委员进行生活补助，鼓励大家建言献策、积极参与到参政议政中。</w:t>
      </w:r>
    </w:p>
    <w:p w14:paraId="5FDA15B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资金管理办法制定情况，资金支持具体项目的条件、范围与支持方式概况。</w:t>
      </w:r>
    </w:p>
    <w:p w14:paraId="102F912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宗教界政协委员生活补助项目经费</w:t>
      </w:r>
      <w:r>
        <w:rPr>
          <w:rFonts w:hint="eastAsia" w:ascii="仿宋_GB2312" w:hAnsi="Calibri" w:eastAsia="仿宋_GB2312" w:cs="仿宋"/>
          <w:color w:val="auto"/>
          <w:kern w:val="0"/>
          <w:sz w:val="32"/>
          <w:szCs w:val="32"/>
          <w:lang w:val="zh-CN" w:eastAsia="zh-CN" w:bidi="ar-SA"/>
        </w:rPr>
        <w:t>支出与我部其他项目支出一样，严格执行预算管理和财务收支管理制度，项目的组织由市委统战部负责。资金实行专款专用，仅支持和保障联谊会的日常活动开展，支持方式为据实全部保障兑付。</w:t>
      </w:r>
    </w:p>
    <w:p w14:paraId="749574E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资金分配的原则及考虑因素。</w:t>
      </w:r>
    </w:p>
    <w:p w14:paraId="4861E66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严格按照预算进行分配。</w:t>
      </w:r>
    </w:p>
    <w:p w14:paraId="4DD7D2C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（二）项目绩效目标。</w:t>
      </w:r>
    </w:p>
    <w:p w14:paraId="22B513C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1．项目主要内容。</w:t>
      </w:r>
    </w:p>
    <w:p w14:paraId="69199F0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宗教界政协委员生活补助经费的列支</w:t>
      </w:r>
      <w:r>
        <w:rPr>
          <w:rFonts w:hint="eastAsia" w:ascii="仿宋_GB2312" w:hAnsi="Calibri" w:eastAsia="仿宋_GB2312" w:cs="仿宋"/>
          <w:color w:val="auto"/>
          <w:kern w:val="0"/>
          <w:sz w:val="32"/>
          <w:szCs w:val="32"/>
          <w:lang w:val="zh-CN" w:eastAsia="zh-CN" w:bidi="ar-SA"/>
        </w:rPr>
        <w:t>。</w:t>
      </w:r>
    </w:p>
    <w:p w14:paraId="3159B93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2.</w:t>
      </w:r>
      <w:r>
        <w:rPr>
          <w:rFonts w:hint="eastAsia" w:ascii="仿宋_GB2312" w:hAnsi="Calibri" w:eastAsia="仿宋_GB2312" w:cs="仿宋"/>
          <w:color w:val="auto"/>
          <w:kern w:val="0"/>
          <w:sz w:val="32"/>
          <w:szCs w:val="32"/>
          <w:lang w:val="zh-CN" w:eastAsia="zh-CN" w:bidi="ar-SA"/>
        </w:rPr>
        <w:t>项目应实现的具体绩效目标，包括目标的量化、细化情况以及项目实施进度计划等。</w:t>
      </w:r>
    </w:p>
    <w:p w14:paraId="511D7DF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主要用于宗教界政协委员生活补助。</w:t>
      </w:r>
    </w:p>
    <w:p w14:paraId="628302B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分析评价申报内容是否与实际相符，申报目标是否合理可行。</w:t>
      </w:r>
    </w:p>
    <w:p w14:paraId="27238C4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评价申报内容与项目实际实施相符，申报目标合理可行。</w:t>
      </w:r>
    </w:p>
    <w:p w14:paraId="7524089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08F5C9BE">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（三）项目自评步骤及方法。</w:t>
      </w:r>
    </w:p>
    <w:p w14:paraId="73D02D8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说明项目绩效自评采用的组织实施步骤及方法。</w:t>
      </w:r>
    </w:p>
    <w:p w14:paraId="0DFCBBC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为开展好本次项目自评工作，根据文件要求，按以下四个步骤开展绩效自评：</w:t>
      </w:r>
    </w:p>
    <w:p w14:paraId="439253B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1.成立项目自评小组；</w:t>
      </w:r>
    </w:p>
    <w:p w14:paraId="3A23DE8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2.收集项目相关资料，如预算资料，财务资料，文件依据资料等。最终形成项目绩效评价材料；</w:t>
      </w:r>
    </w:p>
    <w:p w14:paraId="3512744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3.开展绩效评价，形成自评报告初稿;</w:t>
      </w:r>
    </w:p>
    <w:p w14:paraId="238ADD2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4.征求相关部门意见，形成自评报告。</w:t>
      </w:r>
    </w:p>
    <w:p w14:paraId="7FAA620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二、项目资金申报及使用情况</w:t>
      </w:r>
    </w:p>
    <w:p w14:paraId="52D08B3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（一）项目资金申报及批复情况。</w:t>
      </w:r>
    </w:p>
    <w:p w14:paraId="3C657C2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宗教界政协委员生活补助项目经费</w:t>
      </w:r>
      <w:r>
        <w:rPr>
          <w:rFonts w:hint="eastAsia" w:ascii="仿宋_GB2312" w:hAnsi="Calibri" w:eastAsia="仿宋_GB2312" w:cs="仿宋"/>
          <w:color w:val="auto"/>
          <w:kern w:val="0"/>
          <w:sz w:val="32"/>
          <w:szCs w:val="32"/>
          <w:lang w:val="zh-CN" w:eastAsia="zh-CN" w:bidi="ar-SA"/>
        </w:rPr>
        <w:t>预算申报金额</w:t>
      </w:r>
      <w:r>
        <w:rPr>
          <w:rFonts w:hint="eastAsia" w:ascii="仿宋_GB2312" w:hAnsi="Calibri" w:eastAsia="仿宋_GB2312" w:cs="仿宋"/>
          <w:color w:val="auto"/>
          <w:kern w:val="0"/>
          <w:sz w:val="32"/>
          <w:szCs w:val="32"/>
          <w:lang w:val="en-US" w:eastAsia="zh-CN" w:bidi="ar-SA"/>
        </w:rPr>
        <w:t>5.5</w:t>
      </w:r>
      <w:r>
        <w:rPr>
          <w:rFonts w:hint="eastAsia" w:ascii="仿宋_GB2312" w:hAnsi="Calibri" w:eastAsia="仿宋_GB2312" w:cs="仿宋"/>
          <w:color w:val="auto"/>
          <w:kern w:val="0"/>
          <w:sz w:val="32"/>
          <w:szCs w:val="32"/>
          <w:lang w:val="zh-CN" w:eastAsia="zh-CN" w:bidi="ar-SA"/>
        </w:rPr>
        <w:t>万元，财政批复</w:t>
      </w:r>
      <w:r>
        <w:rPr>
          <w:rFonts w:hint="eastAsia" w:ascii="仿宋_GB2312" w:hAnsi="Calibri" w:eastAsia="仿宋_GB2312" w:cs="仿宋"/>
          <w:color w:val="auto"/>
          <w:kern w:val="0"/>
          <w:sz w:val="32"/>
          <w:szCs w:val="32"/>
          <w:lang w:val="en-US" w:eastAsia="zh-CN" w:bidi="ar-SA"/>
        </w:rPr>
        <w:t>5.5</w:t>
      </w:r>
      <w:r>
        <w:rPr>
          <w:rFonts w:hint="eastAsia" w:ascii="仿宋_GB2312" w:hAnsi="Calibri" w:eastAsia="仿宋_GB2312" w:cs="仿宋"/>
          <w:color w:val="auto"/>
          <w:kern w:val="0"/>
          <w:sz w:val="32"/>
          <w:szCs w:val="32"/>
          <w:lang w:val="zh-CN" w:eastAsia="zh-CN" w:bidi="ar-SA"/>
        </w:rPr>
        <w:t>万元。符合资金管理办法等相关规定。</w:t>
      </w:r>
    </w:p>
    <w:p w14:paraId="205C775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（二）资金计划、到位及使用情况（可用表格形式反映）。</w:t>
      </w:r>
    </w:p>
    <w:p w14:paraId="5481C8C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1．资金计划。联谊会经费资金全部来源为本级财政拨款，纳入20</w:t>
      </w:r>
      <w:r>
        <w:rPr>
          <w:rFonts w:hint="eastAsia" w:ascii="仿宋_GB2312" w:hAnsi="Calibri" w:eastAsia="仿宋_GB2312" w:cs="仿宋"/>
          <w:color w:val="auto"/>
          <w:kern w:val="0"/>
          <w:sz w:val="32"/>
          <w:szCs w:val="32"/>
          <w:lang w:val="en-US" w:eastAsia="zh-CN" w:bidi="ar-SA"/>
        </w:rPr>
        <w:t>21</w:t>
      </w:r>
      <w:r>
        <w:rPr>
          <w:rFonts w:hint="eastAsia" w:ascii="仿宋_GB2312" w:hAnsi="Calibri" w:eastAsia="仿宋_GB2312" w:cs="仿宋"/>
          <w:color w:val="auto"/>
          <w:kern w:val="0"/>
          <w:sz w:val="32"/>
          <w:szCs w:val="32"/>
          <w:lang w:val="zh-CN" w:eastAsia="zh-CN" w:bidi="ar-SA"/>
        </w:rPr>
        <w:t>年部门预算，经市人大审批，市财政局批复后已全部及时拨付到位，到位率100%。</w:t>
      </w:r>
    </w:p>
    <w:p w14:paraId="12DFD59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2．资金到位。截止评价时点该项目全部资金</w:t>
      </w:r>
      <w:r>
        <w:rPr>
          <w:rFonts w:hint="eastAsia" w:ascii="仿宋_GB2312" w:hAnsi="Calibri" w:eastAsia="仿宋_GB2312" w:cs="仿宋"/>
          <w:color w:val="auto"/>
          <w:kern w:val="0"/>
          <w:sz w:val="32"/>
          <w:szCs w:val="32"/>
          <w:lang w:val="en-US" w:eastAsia="zh-CN" w:bidi="ar-SA"/>
        </w:rPr>
        <w:t>4.59</w:t>
      </w:r>
      <w:r>
        <w:rPr>
          <w:rFonts w:hint="eastAsia" w:ascii="仿宋_GB2312" w:hAnsi="Calibri" w:eastAsia="仿宋_GB2312" w:cs="仿宋"/>
          <w:color w:val="auto"/>
          <w:kern w:val="0"/>
          <w:sz w:val="32"/>
          <w:szCs w:val="32"/>
          <w:lang w:val="zh-CN" w:eastAsia="zh-CN" w:bidi="ar-SA"/>
        </w:rPr>
        <w:t>万元已全部通过大平台申请拨付到位，到位率100%。</w:t>
      </w:r>
    </w:p>
    <w:p w14:paraId="1372CE6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3．资金使用。截止评价时点项目资金实际支出</w:t>
      </w:r>
      <w:r>
        <w:rPr>
          <w:rFonts w:hint="eastAsia" w:ascii="仿宋_GB2312" w:hAnsi="Calibri" w:eastAsia="仿宋_GB2312" w:cs="仿宋"/>
          <w:color w:val="auto"/>
          <w:kern w:val="0"/>
          <w:sz w:val="32"/>
          <w:szCs w:val="32"/>
          <w:lang w:val="en-US" w:eastAsia="zh-CN" w:bidi="ar-SA"/>
        </w:rPr>
        <w:t>4.59</w:t>
      </w:r>
      <w:r>
        <w:rPr>
          <w:rFonts w:hint="eastAsia" w:ascii="仿宋_GB2312" w:hAnsi="Calibri" w:eastAsia="仿宋_GB2312" w:cs="仿宋"/>
          <w:color w:val="auto"/>
          <w:kern w:val="0"/>
          <w:sz w:val="32"/>
          <w:szCs w:val="32"/>
          <w:lang w:val="zh-CN" w:eastAsia="zh-CN" w:bidi="ar-SA"/>
        </w:rPr>
        <w:t>万，主要用于</w:t>
      </w:r>
      <w:r>
        <w:rPr>
          <w:rFonts w:hint="eastAsia" w:ascii="仿宋_GB2312" w:hAnsi="Calibri" w:eastAsia="仿宋_GB2312" w:cs="仿宋"/>
          <w:color w:val="auto"/>
          <w:kern w:val="0"/>
          <w:sz w:val="32"/>
          <w:szCs w:val="32"/>
          <w:lang w:val="en-US" w:eastAsia="zh-CN" w:bidi="ar-SA"/>
        </w:rPr>
        <w:t>宗教界政协委员生活补助</w:t>
      </w:r>
      <w:r>
        <w:rPr>
          <w:rFonts w:hint="eastAsia" w:ascii="仿宋_GB2312" w:hAnsi="Calibri" w:eastAsia="仿宋_GB2312" w:cs="仿宋"/>
          <w:color w:val="auto"/>
          <w:kern w:val="0"/>
          <w:sz w:val="32"/>
          <w:szCs w:val="32"/>
          <w:lang w:val="zh-CN" w:eastAsia="zh-CN" w:bidi="ar-SA"/>
        </w:rPr>
        <w:t>费用。全部费用于12月底前全部支付。支付依据合规合法，资金支付与预算相符。</w:t>
      </w:r>
    </w:p>
    <w:p w14:paraId="78D70DF3">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（三）项目财务管理情况。</w:t>
      </w:r>
    </w:p>
    <w:p w14:paraId="4159438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办其他项目支出一样，严格执行预算管理和财务收支管理制度，根据项目进度，向财务室提出资金使用申请，按照市财政局项目资金使用管理办法进行网上申报用款额度指标，在资金使用环节，严格遵守财政资金支出审批管理办法，严格按照机关资金财务审批流程办理款项支付。在会计核算环节，对本项目资金实际单独核算，确保专款专用。通过以上措施，杜绝挪用、挤占、截留项目资金的现象发生，保证财政资金安全高效使用。</w:t>
      </w:r>
    </w:p>
    <w:p w14:paraId="03C5F6E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三、项目实施及管理情况</w:t>
      </w:r>
    </w:p>
    <w:p w14:paraId="62B8BC2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项目组织架构及实施流程。</w:t>
      </w:r>
    </w:p>
    <w:p w14:paraId="70A0F7C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资金的收支由财务室负责。根据项目进度，向财务室提出资金使用申请，按照市财政局项目资金使用管理办法进行网上申报用款额度指标，严格遵守财政资金支出审批管理办法，严格按照机关资金财务审批流程办理款项支付。</w:t>
      </w:r>
    </w:p>
    <w:p w14:paraId="0576B6C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项目管理情况。</w:t>
      </w:r>
    </w:p>
    <w:p w14:paraId="4B944B9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用于</w:t>
      </w:r>
      <w:r>
        <w:rPr>
          <w:rFonts w:hint="eastAsia" w:ascii="仿宋_GB2312" w:hAnsi="Calibri" w:eastAsia="仿宋_GB2312" w:cs="仿宋"/>
          <w:color w:val="auto"/>
          <w:kern w:val="0"/>
          <w:sz w:val="32"/>
          <w:szCs w:val="32"/>
          <w:lang w:val="en-US" w:eastAsia="zh-CN" w:bidi="ar-SA"/>
        </w:rPr>
        <w:t>宗教界政协委员生活补助</w:t>
      </w:r>
      <w:r>
        <w:rPr>
          <w:rFonts w:hint="eastAsia" w:ascii="仿宋_GB2312" w:hAnsi="Calibri" w:eastAsia="仿宋_GB2312" w:cs="仿宋"/>
          <w:color w:val="auto"/>
          <w:kern w:val="0"/>
          <w:sz w:val="32"/>
          <w:szCs w:val="32"/>
          <w:lang w:val="zh-CN" w:eastAsia="zh-CN" w:bidi="ar-SA"/>
        </w:rPr>
        <w:t>费用。全部费用于12月底前全部支付。</w:t>
      </w:r>
    </w:p>
    <w:p w14:paraId="7F0E1CB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项目监管情况。</w:t>
      </w:r>
    </w:p>
    <w:p w14:paraId="37CAA6A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该项目与我部其他项目进行预决算公示，接受大众监督。</w:t>
      </w:r>
    </w:p>
    <w:p w14:paraId="52EB3B8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四、项目绩效情况</w:t>
      </w:r>
      <w:r>
        <w:rPr>
          <w:rFonts w:hint="eastAsia" w:ascii="仿宋_GB2312" w:hAnsi="Calibri" w:eastAsia="仿宋_GB2312" w:cs="仿宋"/>
          <w:color w:val="auto"/>
          <w:kern w:val="0"/>
          <w:sz w:val="32"/>
          <w:szCs w:val="32"/>
          <w:lang w:val="zh-CN" w:eastAsia="zh-CN" w:bidi="ar-SA"/>
        </w:rPr>
        <w:tab/>
      </w:r>
    </w:p>
    <w:p w14:paraId="4B34E79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（一）项目完成情况。</w:t>
      </w:r>
    </w:p>
    <w:p w14:paraId="04D89E5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对照项目计划完成目标，截止评价时点完成度100%，完成质量良好。</w:t>
      </w:r>
    </w:p>
    <w:p w14:paraId="4D722AA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（二）项目效益情况。</w:t>
      </w:r>
    </w:p>
    <w:p w14:paraId="1ADA022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市委统战部项目申报内容与具体实施内容相符、申报目标合理可行。项目内容全部按照申报时的名称、标准进行。项目社会效益达到，保证了党外人士以及新的社会阶层人士有活动有组织，更好的团结在党组织周围。</w:t>
      </w:r>
    </w:p>
    <w:p w14:paraId="0152589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五、评价结论及建议</w:t>
      </w:r>
    </w:p>
    <w:p w14:paraId="4D5C06A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（一）评价结论。</w:t>
      </w:r>
    </w:p>
    <w:p w14:paraId="0D7C465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en-US" w:eastAsia="zh-CN" w:bidi="ar-SA"/>
        </w:rPr>
        <w:t>宗教界政协委员生活补助</w:t>
      </w:r>
      <w:r>
        <w:rPr>
          <w:rFonts w:hint="eastAsia" w:ascii="仿宋_GB2312" w:hAnsi="Calibri" w:eastAsia="仿宋_GB2312" w:cs="仿宋"/>
          <w:color w:val="auto"/>
          <w:kern w:val="0"/>
          <w:sz w:val="32"/>
          <w:szCs w:val="32"/>
          <w:lang w:val="zh-CN" w:eastAsia="zh-CN" w:bidi="ar-SA"/>
        </w:rPr>
        <w:t>项目决策依据充分，项目管理规范，项目绩效明显，总体评价该项目为优良。</w:t>
      </w:r>
    </w:p>
    <w:p w14:paraId="141B804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（二）存在的问题。</w:t>
      </w:r>
    </w:p>
    <w:p w14:paraId="219BD8A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无。</w:t>
      </w:r>
    </w:p>
    <w:p w14:paraId="5C8DEB5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（三）相关建议。</w:t>
      </w:r>
    </w:p>
    <w:p w14:paraId="0E0A621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r>
        <w:rPr>
          <w:rFonts w:hint="eastAsia" w:ascii="仿宋_GB2312" w:hAnsi="Calibri" w:eastAsia="仿宋_GB2312" w:cs="仿宋"/>
          <w:color w:val="auto"/>
          <w:kern w:val="0"/>
          <w:sz w:val="32"/>
          <w:szCs w:val="32"/>
          <w:lang w:val="zh-CN" w:eastAsia="zh-CN" w:bidi="ar-SA"/>
        </w:rPr>
        <w:t>加强预算和支出管理，强化业务水平</w:t>
      </w:r>
    </w:p>
    <w:p w14:paraId="0B79ADC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047239A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zh-CN" w:eastAsia="zh-CN" w:bidi="ar-SA"/>
        </w:rPr>
      </w:pPr>
    </w:p>
    <w:p w14:paraId="76ECB291">
      <w:pPr>
        <w:rPr>
          <w:rFonts w:hint="eastAsia"/>
          <w:lang w:val="zh-CN" w:eastAsia="zh-CN"/>
        </w:rPr>
      </w:pPr>
    </w:p>
    <w:p w14:paraId="5D9DE679">
      <w:pPr>
        <w:widowControl w:val="0"/>
        <w:wordWrap/>
        <w:adjustRightInd/>
        <w:snapToGrid/>
        <w:spacing w:line="600" w:lineRule="exact"/>
        <w:jc w:val="center"/>
        <w:textAlignment w:val="auto"/>
        <w:outlineLvl w:val="9"/>
        <w:rPr>
          <w:rFonts w:hint="eastAsia" w:ascii="宋体" w:hAnsi="宋体" w:eastAsia="宋体" w:cs="宋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项目支出绩效自评报告</w:t>
      </w:r>
    </w:p>
    <w:p w14:paraId="0B445518">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——民族宗教事务经费项目</w:t>
      </w:r>
    </w:p>
    <w:p w14:paraId="72502F17">
      <w:pPr>
        <w:widowControl w:val="0"/>
        <w:numPr>
          <w:ilvl w:val="0"/>
          <w:numId w:val="0"/>
        </w:numPr>
        <w:wordWrap/>
        <w:spacing w:line="600" w:lineRule="exact"/>
        <w:ind w:left="0" w:leftChars="0" w:right="0"/>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default" w:ascii="Times New Roman" w:hAnsi="Times New Roman" w:eastAsia="方正仿宋简体" w:cs="Times New Roman"/>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p>
    <w:p w14:paraId="481F08EB">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Calibri" w:eastAsia="仿宋_GB2312" w:cs="仿宋"/>
          <w:color w:val="auto"/>
          <w:kern w:val="0"/>
          <w:sz w:val="32"/>
          <w:szCs w:val="32"/>
          <w:lang w:val="en-US" w:eastAsia="zh-CN" w:bidi="ar-SA"/>
        </w:rPr>
        <w:t xml:space="preserve">  一、项目概况</w:t>
      </w:r>
    </w:p>
    <w:p w14:paraId="399CE2DD">
      <w:pPr>
        <w:widowControl/>
        <w:adjustRightInd w:val="0"/>
        <w:snapToGrid w:val="0"/>
        <w:spacing w:line="540" w:lineRule="exact"/>
        <w:ind w:firstLine="72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民族宗教事务工作，</w:t>
      </w:r>
      <w:r>
        <w:rPr>
          <w:rFonts w:hint="eastAsia" w:ascii="仿宋_GB2312" w:hAnsi="Calibri" w:eastAsia="仿宋_GB2312" w:cs="仿宋"/>
          <w:color w:val="auto"/>
          <w:kern w:val="0"/>
          <w:sz w:val="32"/>
          <w:szCs w:val="32"/>
          <w:lang w:val="zh-CN" w:eastAsia="zh-CN" w:bidi="ar-SA"/>
        </w:rPr>
        <w:t>是贯彻执行党和国家民族宗教工作的方针政策和法律法规；宣传党和国家的民族宗教理论、政策法规；做好民族关系、宗教关系的协调，维护民族宗教界的稳定；维护少数民族群众的合法权益，维护公民</w:t>
      </w:r>
      <w:r>
        <w:rPr>
          <w:rFonts w:hint="eastAsia" w:ascii="仿宋_GB2312" w:hAnsi="Calibri" w:eastAsia="仿宋_GB2312" w:cs="仿宋"/>
          <w:color w:val="auto"/>
          <w:kern w:val="0"/>
          <w:sz w:val="32"/>
          <w:szCs w:val="32"/>
          <w:lang w:val="zh-CN" w:eastAsia="zh-CN" w:bidi="ar-SA"/>
        </w:rPr>
        <w:fldChar w:fldCharType="begin"/>
      </w:r>
      <w:r>
        <w:rPr>
          <w:rFonts w:hint="eastAsia" w:ascii="仿宋_GB2312" w:hAnsi="Calibri" w:eastAsia="仿宋_GB2312" w:cs="仿宋"/>
          <w:color w:val="auto"/>
          <w:kern w:val="0"/>
          <w:sz w:val="32"/>
          <w:szCs w:val="32"/>
          <w:lang w:val="zh-CN" w:eastAsia="zh-CN" w:bidi="ar-SA"/>
        </w:rPr>
        <w:instrText xml:space="preserve"> HYPERLINK "https://baike.baidu.com/item/%E5%AE%97%E6%95%99%E4%BF%A1%E4%BB%B0%E8%87%AA%E7%94%B1/5297381" \t "https://baike.baidu.com/item/_blank" </w:instrText>
      </w:r>
      <w:r>
        <w:rPr>
          <w:rFonts w:hint="eastAsia" w:ascii="仿宋_GB2312" w:hAnsi="Calibri" w:eastAsia="仿宋_GB2312" w:cs="仿宋"/>
          <w:color w:val="auto"/>
          <w:kern w:val="0"/>
          <w:sz w:val="32"/>
          <w:szCs w:val="32"/>
          <w:lang w:val="zh-CN" w:eastAsia="zh-CN" w:bidi="ar-SA"/>
        </w:rPr>
        <w:fldChar w:fldCharType="separate"/>
      </w:r>
      <w:r>
        <w:rPr>
          <w:rFonts w:hint="eastAsia" w:ascii="仿宋_GB2312" w:hAnsi="Calibri" w:eastAsia="仿宋_GB2312" w:cs="仿宋"/>
          <w:color w:val="auto"/>
          <w:kern w:val="0"/>
          <w:sz w:val="32"/>
          <w:szCs w:val="32"/>
          <w:lang w:val="zh-CN" w:eastAsia="zh-CN" w:bidi="ar-SA"/>
        </w:rPr>
        <w:t>宗教信仰自由</w:t>
      </w:r>
      <w:r>
        <w:rPr>
          <w:rFonts w:hint="eastAsia" w:ascii="仿宋_GB2312" w:hAnsi="Calibri" w:eastAsia="仿宋_GB2312" w:cs="仿宋"/>
          <w:color w:val="auto"/>
          <w:kern w:val="0"/>
          <w:sz w:val="32"/>
          <w:szCs w:val="32"/>
          <w:lang w:val="zh-CN" w:eastAsia="zh-CN" w:bidi="ar-SA"/>
        </w:rPr>
        <w:fldChar w:fldCharType="end"/>
      </w:r>
      <w:r>
        <w:rPr>
          <w:rFonts w:hint="eastAsia" w:ascii="仿宋_GB2312" w:hAnsi="Calibri" w:eastAsia="仿宋_GB2312" w:cs="仿宋"/>
          <w:color w:val="auto"/>
          <w:kern w:val="0"/>
          <w:sz w:val="32"/>
          <w:szCs w:val="32"/>
          <w:lang w:val="zh-CN" w:eastAsia="zh-CN" w:bidi="ar-SA"/>
        </w:rPr>
        <w:t>权利以及</w:t>
      </w:r>
      <w:r>
        <w:rPr>
          <w:rFonts w:hint="eastAsia" w:ascii="仿宋_GB2312" w:hAnsi="Calibri" w:eastAsia="仿宋_GB2312" w:cs="仿宋"/>
          <w:color w:val="auto"/>
          <w:kern w:val="0"/>
          <w:sz w:val="32"/>
          <w:szCs w:val="32"/>
          <w:lang w:val="zh-CN" w:eastAsia="zh-CN" w:bidi="ar-SA"/>
        </w:rPr>
        <w:fldChar w:fldCharType="begin"/>
      </w:r>
      <w:r>
        <w:rPr>
          <w:rFonts w:hint="eastAsia" w:ascii="仿宋_GB2312" w:hAnsi="Calibri" w:eastAsia="仿宋_GB2312" w:cs="仿宋"/>
          <w:color w:val="auto"/>
          <w:kern w:val="0"/>
          <w:sz w:val="32"/>
          <w:szCs w:val="32"/>
          <w:lang w:val="zh-CN" w:eastAsia="zh-CN" w:bidi="ar-SA"/>
        </w:rPr>
        <w:instrText xml:space="preserve"> HYPERLINK "https://baike.baidu.com/item/%E5%AE%97%E6%95%99%E5%9B%A2%E4%BD%93" \t "https://baike.baidu.com/item/_blank" </w:instrText>
      </w:r>
      <w:r>
        <w:rPr>
          <w:rFonts w:hint="eastAsia" w:ascii="仿宋_GB2312" w:hAnsi="Calibri" w:eastAsia="仿宋_GB2312" w:cs="仿宋"/>
          <w:color w:val="auto"/>
          <w:kern w:val="0"/>
          <w:sz w:val="32"/>
          <w:szCs w:val="32"/>
          <w:lang w:val="zh-CN" w:eastAsia="zh-CN" w:bidi="ar-SA"/>
        </w:rPr>
        <w:fldChar w:fldCharType="separate"/>
      </w:r>
      <w:r>
        <w:rPr>
          <w:rFonts w:hint="eastAsia" w:ascii="仿宋_GB2312" w:hAnsi="Calibri" w:eastAsia="仿宋_GB2312" w:cs="仿宋"/>
          <w:color w:val="auto"/>
          <w:kern w:val="0"/>
          <w:sz w:val="32"/>
          <w:szCs w:val="32"/>
          <w:lang w:val="zh-CN" w:eastAsia="zh-CN" w:bidi="ar-SA"/>
        </w:rPr>
        <w:t>宗教团体</w:t>
      </w:r>
      <w:r>
        <w:rPr>
          <w:rFonts w:hint="eastAsia" w:ascii="仿宋_GB2312" w:hAnsi="Calibri" w:eastAsia="仿宋_GB2312" w:cs="仿宋"/>
          <w:color w:val="auto"/>
          <w:kern w:val="0"/>
          <w:sz w:val="32"/>
          <w:szCs w:val="32"/>
          <w:lang w:val="zh-CN" w:eastAsia="zh-CN" w:bidi="ar-SA"/>
        </w:rPr>
        <w:fldChar w:fldCharType="end"/>
      </w:r>
      <w:r>
        <w:rPr>
          <w:rFonts w:hint="eastAsia" w:ascii="仿宋_GB2312" w:hAnsi="Calibri" w:eastAsia="仿宋_GB2312" w:cs="仿宋"/>
          <w:color w:val="auto"/>
          <w:kern w:val="0"/>
          <w:sz w:val="32"/>
          <w:szCs w:val="32"/>
          <w:lang w:val="zh-CN" w:eastAsia="zh-CN" w:bidi="ar-SA"/>
        </w:rPr>
        <w:t>和宗教活动场所的合法权益，加强宗教活动场所和宗教活动的管理，指导帮助宗教团体搞好自身建设，积极引导宗教与</w:t>
      </w:r>
      <w:r>
        <w:rPr>
          <w:rFonts w:hint="eastAsia" w:ascii="仿宋_GB2312" w:hAnsi="Calibri" w:eastAsia="仿宋_GB2312" w:cs="仿宋"/>
          <w:color w:val="auto"/>
          <w:kern w:val="0"/>
          <w:sz w:val="32"/>
          <w:szCs w:val="32"/>
          <w:lang w:val="zh-CN" w:eastAsia="zh-CN" w:bidi="ar-SA"/>
        </w:rPr>
        <w:fldChar w:fldCharType="begin"/>
      </w:r>
      <w:r>
        <w:rPr>
          <w:rFonts w:hint="eastAsia" w:ascii="仿宋_GB2312" w:hAnsi="Calibri" w:eastAsia="仿宋_GB2312" w:cs="仿宋"/>
          <w:color w:val="auto"/>
          <w:kern w:val="0"/>
          <w:sz w:val="32"/>
          <w:szCs w:val="32"/>
          <w:lang w:val="zh-CN" w:eastAsia="zh-CN" w:bidi="ar-SA"/>
        </w:rPr>
        <w:instrText xml:space="preserve"> HYPERLINK "https://baike.baidu.com/item/%E7%A4%BE%E4%BC%9A%E4%B8%BB%E4%B9%89%E7%A4%BE%E4%BC%9A/1583500" \t "https://baike.baidu.com/item/_blank" </w:instrText>
      </w:r>
      <w:r>
        <w:rPr>
          <w:rFonts w:hint="eastAsia" w:ascii="仿宋_GB2312" w:hAnsi="Calibri" w:eastAsia="仿宋_GB2312" w:cs="仿宋"/>
          <w:color w:val="auto"/>
          <w:kern w:val="0"/>
          <w:sz w:val="32"/>
          <w:szCs w:val="32"/>
          <w:lang w:val="zh-CN" w:eastAsia="zh-CN" w:bidi="ar-SA"/>
        </w:rPr>
        <w:fldChar w:fldCharType="separate"/>
      </w:r>
      <w:r>
        <w:rPr>
          <w:rFonts w:hint="eastAsia" w:ascii="仿宋_GB2312" w:hAnsi="Calibri" w:eastAsia="仿宋_GB2312" w:cs="仿宋"/>
          <w:color w:val="auto"/>
          <w:kern w:val="0"/>
          <w:sz w:val="32"/>
          <w:szCs w:val="32"/>
          <w:lang w:val="zh-CN" w:eastAsia="zh-CN" w:bidi="ar-SA"/>
        </w:rPr>
        <w:t>社会主义社会</w:t>
      </w:r>
      <w:r>
        <w:rPr>
          <w:rFonts w:hint="eastAsia" w:ascii="仿宋_GB2312" w:hAnsi="Calibri" w:eastAsia="仿宋_GB2312" w:cs="仿宋"/>
          <w:color w:val="auto"/>
          <w:kern w:val="0"/>
          <w:sz w:val="32"/>
          <w:szCs w:val="32"/>
          <w:lang w:val="zh-CN" w:eastAsia="zh-CN" w:bidi="ar-SA"/>
        </w:rPr>
        <w:fldChar w:fldCharType="end"/>
      </w:r>
      <w:r>
        <w:rPr>
          <w:rFonts w:hint="eastAsia" w:ascii="仿宋_GB2312" w:hAnsi="Calibri" w:eastAsia="仿宋_GB2312" w:cs="仿宋"/>
          <w:color w:val="auto"/>
          <w:kern w:val="0"/>
          <w:sz w:val="32"/>
          <w:szCs w:val="32"/>
          <w:lang w:val="zh-CN" w:eastAsia="zh-CN" w:bidi="ar-SA"/>
        </w:rPr>
        <w:t>相适应</w:t>
      </w:r>
      <w:r>
        <w:rPr>
          <w:rFonts w:hint="eastAsia" w:ascii="仿宋_GB2312" w:hAnsi="Calibri" w:eastAsia="仿宋_GB2312" w:cs="仿宋"/>
          <w:color w:val="auto"/>
          <w:kern w:val="0"/>
          <w:sz w:val="32"/>
          <w:szCs w:val="32"/>
          <w:lang w:val="en-US" w:eastAsia="zh-CN" w:bidi="ar-SA"/>
        </w:rPr>
        <w:t>的一项重要工作</w:t>
      </w:r>
      <w:r>
        <w:rPr>
          <w:rFonts w:hint="eastAsia" w:ascii="仿宋_GB2312" w:hAnsi="Calibri" w:eastAsia="仿宋_GB2312" w:cs="仿宋"/>
          <w:color w:val="auto"/>
          <w:kern w:val="0"/>
          <w:sz w:val="32"/>
          <w:szCs w:val="32"/>
          <w:lang w:val="zh-CN" w:eastAsia="zh-CN" w:bidi="ar-SA"/>
        </w:rPr>
        <w:t>。</w:t>
      </w:r>
      <w:r>
        <w:rPr>
          <w:rFonts w:hint="eastAsia" w:ascii="仿宋_GB2312" w:hAnsi="Calibri" w:eastAsia="仿宋_GB2312" w:cs="仿宋"/>
          <w:color w:val="auto"/>
          <w:kern w:val="0"/>
          <w:sz w:val="32"/>
          <w:szCs w:val="32"/>
          <w:lang w:val="en-US" w:eastAsia="zh-CN" w:bidi="ar-SA"/>
        </w:rPr>
        <w:t>2021年度安排民族宗教事务经费5万元列入了财政预算。对更好地做好我市的民族宗教事务工作发挥了重要作用。</w:t>
      </w:r>
    </w:p>
    <w:p w14:paraId="4EECEEC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（一）项目绩效目标</w:t>
      </w:r>
    </w:p>
    <w:p w14:paraId="787BAE5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民族宗教事务经费”是绵竹市民族宗教事务的工作经费，主要用于对全市宗教团体、宗教活动场所的法律服务；开展宗教教职人员和少数民族群众的学习培训；进行宗教活动场所安全宣传教育培训和督导检查等工作。</w:t>
      </w:r>
    </w:p>
    <w:p w14:paraId="59279D2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（二）项目资金申报相符性</w:t>
      </w:r>
    </w:p>
    <w:p w14:paraId="7A71B2B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市委、市政府高度重视民族宗教工作，把民族宗教事务经费列入市级财政年度预算，对有力推进全市民族宗教工作有序开展具有重要作用。</w:t>
      </w:r>
    </w:p>
    <w:p w14:paraId="2C0821DC">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二、项目实施及管理情况</w:t>
      </w:r>
    </w:p>
    <w:p w14:paraId="7CF16EC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（一）资金计划、到位及使用情况</w:t>
      </w:r>
    </w:p>
    <w:p w14:paraId="7DBFCD05">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1.资金计划及到位。2021年，民族宗教事务经费5万元作为年初预算到位及时。</w:t>
      </w:r>
    </w:p>
    <w:p w14:paraId="45CB137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2.资金使用。民族宗教事业经费5万元按年初预算严格列支。资金的使用符合法律法规和相关政策要求。</w:t>
      </w:r>
    </w:p>
    <w:p w14:paraId="60672F4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（二）项目组织实施情况</w:t>
      </w:r>
    </w:p>
    <w:p w14:paraId="6126CBE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项目按年初下达目标管理任务，有计划认真开展各项工作。在实施项目过程中严格执行项目管理制度，及时反馈执行情况并纠正相关措施。全年执行情况良好，聘请的专业律师担任法律顾问，开展专项法律法规培训5次，进行有关合同法律咨询3次；实施各类安全宣传和培训6场，进行新冠疫情防控，开展宗教场所安全检查；进行少数民族产业发展技术培训，推进少数民族产业发展示范基地建设等。</w:t>
      </w:r>
    </w:p>
    <w:p w14:paraId="20B0B1D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三、项目绩效情况</w:t>
      </w:r>
    </w:p>
    <w:p w14:paraId="285B263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（一）项目完成情况</w:t>
      </w:r>
    </w:p>
    <w:p w14:paraId="052E672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1.加强法律服务和法律法规宣传。</w:t>
      </w:r>
      <w:r>
        <w:rPr>
          <w:rFonts w:hint="default" w:ascii="仿宋_GB2312" w:hAnsi="Calibri" w:eastAsia="仿宋_GB2312" w:cs="仿宋"/>
          <w:color w:val="auto"/>
          <w:kern w:val="0"/>
          <w:sz w:val="32"/>
          <w:szCs w:val="32"/>
          <w:lang w:val="en-US" w:eastAsia="zh-CN" w:bidi="ar-SA"/>
        </w:rPr>
        <w:t>一是</w:t>
      </w:r>
      <w:r>
        <w:rPr>
          <w:rFonts w:hint="eastAsia" w:ascii="仿宋_GB2312" w:hAnsi="Calibri" w:eastAsia="仿宋_GB2312" w:cs="仿宋"/>
          <w:color w:val="auto"/>
          <w:kern w:val="0"/>
          <w:sz w:val="32"/>
          <w:szCs w:val="32"/>
          <w:lang w:val="en-US" w:eastAsia="zh-CN" w:bidi="ar-SA"/>
        </w:rPr>
        <w:t>聘请了四川宗元律师事务所律师袁长平担任绵竹市民族宗教事务局的常年法律顾问。二是利用每季度工作例会进行有关法律知识培训，提高宗教活动场所及其负责人的法制意识，全年实施法律法规和法律知识培训5次。三是认真开展民族宗教法律法规的宣传教育。四是充分利用好专业律师服务于民族宗教工作，在草拟、制订、审查或修改合同、规范性文件，进行业务磋商、谈判，处理各类纠纷中充分听取律师意见和建议。</w:t>
      </w:r>
    </w:p>
    <w:p w14:paraId="7DD5968D">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扎实做好宗教活动场所的安全工作。一是加强宣传培训，每季度召开一次安全培训会，学习安全法律法规和安全知识。二是在每季度和重大节假日进行安全联合检查，查找安全隐患，进行及时整改，确保场所安全。三是认真按照疫情防控要求，关闭场所、停止宗教活动，扎实做好新冠疫情的防控。</w:t>
      </w:r>
    </w:p>
    <w:p w14:paraId="59BED615">
      <w:pPr>
        <w:widowControl/>
        <w:adjustRightInd w:val="0"/>
        <w:snapToGrid w:val="0"/>
        <w:spacing w:line="540" w:lineRule="exact"/>
        <w:ind w:firstLine="72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3.认真做好民族工作。一是做好民族团结进步创建工作，巩固民族团结进步创建成果，培育新的民族团结进步创建单位。二是加强少数民族产业发展示范基地建设，树立了麓棠镇以黄军为代表的少数民族产业发展大户，开展了少数民族产业发展技术培训。三是进行困难少数民族慰问工作，在春节期间进行对全市困难少数民族家庭进行了慰问，送去了党和政府对少数民族关怀和温暖</w:t>
      </w:r>
      <w:r>
        <w:rPr>
          <w:rFonts w:hint="default" w:ascii="仿宋_GB2312" w:hAnsi="Calibri" w:eastAsia="仿宋_GB2312" w:cs="仿宋"/>
          <w:color w:val="auto"/>
          <w:kern w:val="0"/>
          <w:sz w:val="32"/>
          <w:szCs w:val="32"/>
          <w:lang w:val="en-US" w:eastAsia="zh-CN" w:bidi="ar-SA"/>
        </w:rPr>
        <w:t>。</w:t>
      </w:r>
    </w:p>
    <w:p w14:paraId="0A10529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（二）项目效益情况</w:t>
      </w:r>
    </w:p>
    <w:p w14:paraId="5FA06740">
      <w:pPr>
        <w:widowControl/>
        <w:adjustRightInd w:val="0"/>
        <w:snapToGrid w:val="0"/>
        <w:spacing w:line="540" w:lineRule="exact"/>
        <w:ind w:firstLine="72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通过项目实施，增强了宗教活动场所及宗教教职人员的法律意识，推进了依法从事宗教活动，依法管理宗教事务的进程，减少了因缺乏法律意识和法律知识引起的各类纠纷；确保了场所的安全稳定，全年未发生安全责任事故，新冠疫情有效防控，未有在宗教活动场所传播；民族团结进步创建工作取得新成效，少数民族产业示范基地建设有了新的发展。</w:t>
      </w:r>
    </w:p>
    <w:p w14:paraId="3D8E9EF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四、问题及建议</w:t>
      </w:r>
    </w:p>
    <w:p w14:paraId="04529E26">
      <w:pPr>
        <w:widowControl/>
        <w:adjustRightInd w:val="0"/>
        <w:snapToGrid w:val="0"/>
        <w:spacing w:line="540" w:lineRule="exact"/>
        <w:ind w:firstLine="72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一）存在的问题。民族宗教事务涉及面宽，工作较为复杂，在强化宗教活动场所依法管理，加强宗教教职人员教育培训，做好宗教场所安全，推进全市民族团结进步创建活动，加强少数民族产业发展等方面还有很多工作需要做。</w:t>
      </w:r>
    </w:p>
    <w:p w14:paraId="0810F994">
      <w:pPr>
        <w:widowControl/>
        <w:adjustRightInd w:val="0"/>
        <w:snapToGrid w:val="0"/>
        <w:spacing w:line="540" w:lineRule="exact"/>
        <w:ind w:firstLine="72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（二）相关建议。适当增加民族宗教事务经费，以更好地推进全市民族宗教事业的发展。</w:t>
      </w:r>
    </w:p>
    <w:p w14:paraId="176B650E">
      <w:pPr>
        <w:pStyle w:val="6"/>
        <w:rPr>
          <w:rFonts w:hint="eastAsia"/>
          <w:lang w:val="zh-CN" w:eastAsia="zh-CN"/>
        </w:rPr>
      </w:pPr>
    </w:p>
    <w:p w14:paraId="662A9995">
      <w:pPr>
        <w:rPr>
          <w:rFonts w:hint="eastAsia"/>
          <w:lang w:val="zh-CN" w:eastAsia="zh-CN"/>
        </w:rPr>
      </w:pPr>
    </w:p>
    <w:p w14:paraId="4FFFBF40">
      <w:pPr>
        <w:widowControl w:val="0"/>
        <w:wordWrap/>
        <w:adjustRightInd/>
        <w:snapToGrid/>
        <w:spacing w:line="600" w:lineRule="exact"/>
        <w:jc w:val="center"/>
        <w:textAlignment w:val="auto"/>
        <w:outlineLvl w:val="9"/>
        <w:rPr>
          <w:rFonts w:hint="eastAsia" w:ascii="宋体" w:hAnsi="宋体" w:eastAsia="宋体" w:cs="宋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项目支出绩效自评报告</w:t>
      </w:r>
    </w:p>
    <w:p w14:paraId="7CD579D3">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——寺观教堂维修补助资金项目</w:t>
      </w:r>
    </w:p>
    <w:p w14:paraId="6556161E">
      <w:pPr>
        <w:widowControl w:val="0"/>
        <w:numPr>
          <w:ilvl w:val="0"/>
          <w:numId w:val="0"/>
        </w:numPr>
        <w:wordWrap/>
        <w:spacing w:line="600" w:lineRule="exact"/>
        <w:ind w:left="0" w:leftChars="0" w:right="0"/>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default" w:ascii="Times New Roman" w:hAnsi="Times New Roman" w:eastAsia="方正仿宋简体" w:cs="Times New Roman"/>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p>
    <w:p w14:paraId="33E2EA18">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Calibri" w:eastAsia="仿宋_GB2312" w:cs="仿宋"/>
          <w:color w:val="auto"/>
          <w:kern w:val="0"/>
          <w:sz w:val="32"/>
          <w:szCs w:val="32"/>
          <w:lang w:val="en-US" w:eastAsia="zh-CN" w:bidi="ar-SA"/>
        </w:rPr>
        <w:t xml:space="preserve"> 一、项目概况</w:t>
      </w:r>
    </w:p>
    <w:p w14:paraId="73F0AA8C">
      <w:pPr>
        <w:widowControl/>
        <w:adjustRightInd w:val="0"/>
        <w:snapToGrid w:val="0"/>
        <w:spacing w:line="540" w:lineRule="exact"/>
        <w:ind w:firstLine="72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寺观教堂是信教公民开展集体宗教活动的宗教活动场所，是一人员集中密集的公共场所。加强其殿堂、房屋及相关设施的日常维修维护，确保其安全，显得尤其重要和必须。2021年度我市向省争取到寺观教堂维修补助资金60万元。</w:t>
      </w:r>
    </w:p>
    <w:p w14:paraId="6906B9F4">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（一）项目绩效目标</w:t>
      </w:r>
    </w:p>
    <w:p w14:paraId="1E7A0A54">
      <w:pPr>
        <w:widowControl/>
        <w:adjustRightInd w:val="0"/>
        <w:snapToGrid w:val="0"/>
        <w:spacing w:line="540" w:lineRule="exact"/>
        <w:ind w:firstLine="72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w:t>
      </w:r>
      <w:r>
        <w:rPr>
          <w:rFonts w:hint="default" w:ascii="仿宋_GB2312" w:hAnsi="Calibri" w:eastAsia="仿宋_GB2312" w:cs="仿宋"/>
          <w:color w:val="auto"/>
          <w:kern w:val="0"/>
          <w:sz w:val="32"/>
          <w:szCs w:val="32"/>
          <w:lang w:val="en-US" w:eastAsia="zh-CN" w:bidi="ar-SA"/>
        </w:rPr>
        <w:t>“</w:t>
      </w:r>
      <w:r>
        <w:rPr>
          <w:rFonts w:hint="eastAsia" w:ascii="仿宋_GB2312" w:hAnsi="Calibri" w:eastAsia="仿宋_GB2312" w:cs="仿宋"/>
          <w:color w:val="auto"/>
          <w:kern w:val="0"/>
          <w:sz w:val="32"/>
          <w:szCs w:val="32"/>
          <w:lang w:val="en-US" w:eastAsia="zh-CN" w:bidi="ar-SA"/>
        </w:rPr>
        <w:t>寺观教堂维修补助资金</w:t>
      </w:r>
      <w:r>
        <w:rPr>
          <w:rFonts w:hint="default" w:ascii="仿宋_GB2312" w:hAnsi="Calibri" w:eastAsia="仿宋_GB2312" w:cs="仿宋"/>
          <w:color w:val="auto"/>
          <w:kern w:val="0"/>
          <w:sz w:val="32"/>
          <w:szCs w:val="32"/>
          <w:lang w:val="en-US" w:eastAsia="zh-CN" w:bidi="ar-SA"/>
        </w:rPr>
        <w:t>”</w:t>
      </w:r>
      <w:r>
        <w:rPr>
          <w:rFonts w:hint="eastAsia" w:ascii="仿宋_GB2312" w:hAnsi="Calibri" w:eastAsia="仿宋_GB2312" w:cs="仿宋"/>
          <w:color w:val="auto"/>
          <w:kern w:val="0"/>
          <w:sz w:val="32"/>
          <w:szCs w:val="32"/>
          <w:lang w:val="en-US" w:eastAsia="zh-CN" w:bidi="ar-SA"/>
        </w:rPr>
        <w:t>是专项用于具体寺观教堂内殿堂、房屋及相关宗教设施维修的补助资金。须按项目规划设计及具体实施方案进行施工，专款专用，按时完成。</w:t>
      </w:r>
    </w:p>
    <w:p w14:paraId="2498294A">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（二）项目资金申报相符性</w:t>
      </w:r>
    </w:p>
    <w:p w14:paraId="7CA134D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项目根据《省民宗委2020年度宗教资金项目指南》进行申报，四川省财政厅、四川省民族宗教事务委员会以川财行〔2019〕196号下达计划。</w:t>
      </w:r>
    </w:p>
    <w:p w14:paraId="1C530061">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二、项目实施及管理情况</w:t>
      </w:r>
    </w:p>
    <w:p w14:paraId="41CD075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（一）资金计划、到位及使用情况</w:t>
      </w:r>
    </w:p>
    <w:p w14:paraId="06A9887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1.资金计划及到位。2021年度寺观教堂维修补助资金，以四川省财政厅、四川省民族宗教事务委员会川财行〔2019〕196号下达计划60万元，其中绵竹市吉祥寺20万元，绵竹市严仙观20万元、绵竹市广化院20万。本级财政按要求及时拨付到项目单位。</w:t>
      </w:r>
    </w:p>
    <w:p w14:paraId="2128D277">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2.资金使用。项目资金按照《四川省寺观教堂维修补助资金管理办法》（川财行〔2018〕216号）规定进行严格管理，资金的使用符合法律法规和相关政策要求。</w:t>
      </w:r>
    </w:p>
    <w:p w14:paraId="45F725DF">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（二）项目组织实施情况</w:t>
      </w:r>
    </w:p>
    <w:p w14:paraId="0E03293B">
      <w:pPr>
        <w:widowControl/>
        <w:adjustRightInd w:val="0"/>
        <w:snapToGrid w:val="0"/>
        <w:spacing w:line="540" w:lineRule="exact"/>
        <w:ind w:firstLine="72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项目按照省上下达计划，用于绵竹市吉祥寺、广化院、严仙观殿堂、僧住房的维修及消防设施设备建设维修。</w:t>
      </w:r>
    </w:p>
    <w:p w14:paraId="0D5C3620">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三、项目绩效情况</w:t>
      </w:r>
    </w:p>
    <w:p w14:paraId="242F80A2">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（一）项目完成情况</w:t>
      </w:r>
    </w:p>
    <w:p w14:paraId="635FB888">
      <w:pPr>
        <w:widowControl/>
        <w:adjustRightInd w:val="0"/>
        <w:snapToGrid w:val="0"/>
        <w:spacing w:line="540" w:lineRule="exact"/>
        <w:ind w:firstLine="72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三处场所进行维修建设，修补屋面，实施全面盖瓦防雨作业；二是维修装配了墙群，使大殿得以正常使用；三是对大殿柱体、墙面、门窗进行油漆装饰；四是对供电线路、消防设施设备进行了整改维修。</w:t>
      </w:r>
    </w:p>
    <w:p w14:paraId="03E3AD39">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（二）项目效益情况</w:t>
      </w:r>
    </w:p>
    <w:p w14:paraId="56F86B11">
      <w:pPr>
        <w:widowControl/>
        <w:adjustRightInd w:val="0"/>
        <w:snapToGrid w:val="0"/>
        <w:spacing w:line="540" w:lineRule="exact"/>
        <w:ind w:firstLine="72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通过项目实施，消除了两场所有关殿堂建筑的安全隐患，增添了安全防范设施设备，提高了寺庙的安全水平，增强宗教活动场所及宗教教职人员的安全意识，消除了安全事故的发生，确保了场所的安全稳定。</w:t>
      </w:r>
    </w:p>
    <w:p w14:paraId="7E55E6F6">
      <w:pPr>
        <w:widowControl/>
        <w:adjustRightInd w:val="0"/>
        <w:snapToGrid w:val="0"/>
        <w:spacing w:line="540" w:lineRule="exact"/>
        <w:ind w:firstLine="720"/>
        <w:jc w:val="left"/>
        <w:rPr>
          <w:rFonts w:hint="eastAsia"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四、问题及建议</w:t>
      </w:r>
    </w:p>
    <w:p w14:paraId="0625549E">
      <w:pPr>
        <w:widowControl/>
        <w:adjustRightInd w:val="0"/>
        <w:snapToGrid w:val="0"/>
        <w:spacing w:line="540" w:lineRule="exact"/>
        <w:ind w:firstLine="72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（一）存在的问题。无。</w:t>
      </w:r>
    </w:p>
    <w:p w14:paraId="1F895EFF">
      <w:pPr>
        <w:widowControl/>
        <w:adjustRightInd w:val="0"/>
        <w:snapToGrid w:val="0"/>
        <w:spacing w:line="540" w:lineRule="exact"/>
        <w:ind w:firstLine="720"/>
        <w:jc w:val="left"/>
        <w:rPr>
          <w:rFonts w:hint="default" w:ascii="仿宋_GB2312" w:hAnsi="Calibri" w:eastAsia="仿宋_GB2312" w:cs="仿宋"/>
          <w:color w:val="auto"/>
          <w:kern w:val="0"/>
          <w:sz w:val="32"/>
          <w:szCs w:val="32"/>
          <w:lang w:val="en-US" w:eastAsia="zh-CN" w:bidi="ar-SA"/>
        </w:rPr>
      </w:pPr>
      <w:r>
        <w:rPr>
          <w:rFonts w:hint="eastAsia" w:ascii="仿宋_GB2312" w:hAnsi="Calibri" w:eastAsia="仿宋_GB2312" w:cs="仿宋"/>
          <w:color w:val="auto"/>
          <w:kern w:val="0"/>
          <w:sz w:val="32"/>
          <w:szCs w:val="32"/>
          <w:lang w:val="en-US" w:eastAsia="zh-CN" w:bidi="ar-SA"/>
        </w:rPr>
        <w:t xml:space="preserve">    （二）相关建议。无。</w:t>
      </w:r>
    </w:p>
    <w:p w14:paraId="790BB682">
      <w:pPr>
        <w:widowControl w:val="0"/>
        <w:numPr>
          <w:ilvl w:val="0"/>
          <w:numId w:val="0"/>
        </w:numPr>
        <w:wordWrap/>
        <w:spacing w:line="600" w:lineRule="exact"/>
        <w:ind w:left="0" w:leftChars="0" w:right="0"/>
        <w:jc w:val="left"/>
        <w:textAlignment w:val="auto"/>
        <w:rPr>
          <w:rFonts w:hint="eastAsia" w:ascii="仿宋_GB2312" w:hAnsi="仿宋_GB2312" w:eastAsia="仿宋_GB2312" w:cs="仿宋_GB2312"/>
          <w:b w:val="0"/>
          <w:bCs w:val="0"/>
          <w:sz w:val="32"/>
          <w:szCs w:val="32"/>
          <w:lang w:val="en-US" w:eastAsia="zh-CN"/>
        </w:rPr>
      </w:pPr>
    </w:p>
    <w:p w14:paraId="7F9907F2">
      <w:pPr>
        <w:pStyle w:val="2"/>
        <w:rPr>
          <w:rFonts w:hint="eastAsia" w:ascii="仿宋_GB2312" w:hAnsi="仿宋_GB2312" w:eastAsia="仿宋_GB2312" w:cs="仿宋_GB2312"/>
          <w:b w:val="0"/>
          <w:bCs w:val="0"/>
          <w:sz w:val="32"/>
          <w:szCs w:val="32"/>
          <w:lang w:val="en-US" w:eastAsia="zh-CN"/>
        </w:rPr>
      </w:pPr>
    </w:p>
    <w:p w14:paraId="3CE3564E">
      <w:pPr>
        <w:pStyle w:val="2"/>
        <w:rPr>
          <w:rFonts w:hint="eastAsia" w:ascii="仿宋_GB2312" w:hAnsi="仿宋_GB2312" w:eastAsia="仿宋_GB2312" w:cs="仿宋_GB2312"/>
          <w:b w:val="0"/>
          <w:bCs w:val="0"/>
          <w:sz w:val="32"/>
          <w:szCs w:val="32"/>
          <w:lang w:val="en-US" w:eastAsia="zh-CN"/>
        </w:rPr>
      </w:pPr>
    </w:p>
    <w:p w14:paraId="55B81349">
      <w:pPr>
        <w:widowControl w:val="0"/>
        <w:wordWrap/>
        <w:adjustRightInd/>
        <w:snapToGrid/>
        <w:spacing w:line="600" w:lineRule="exact"/>
        <w:jc w:val="center"/>
        <w:textAlignment w:val="auto"/>
        <w:outlineLvl w:val="9"/>
        <w:rPr>
          <w:rFonts w:hint="eastAsia" w:ascii="宋体" w:hAnsi="宋体" w:eastAsia="宋体" w:cs="宋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项目支出绩效自评报告</w:t>
      </w:r>
    </w:p>
    <w:p w14:paraId="2B15B709">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——宗教团体经费项目</w:t>
      </w:r>
    </w:p>
    <w:p w14:paraId="4DF32569">
      <w:pPr>
        <w:widowControl w:val="0"/>
        <w:numPr>
          <w:ilvl w:val="0"/>
          <w:numId w:val="0"/>
        </w:numPr>
        <w:wordWrap/>
        <w:spacing w:line="600" w:lineRule="exact"/>
        <w:ind w:left="0" w:leftChars="0" w:right="0"/>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default" w:ascii="Times New Roman" w:hAnsi="Times New Roman" w:eastAsia="方正仿宋简体" w:cs="Times New Roman"/>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p>
    <w:p w14:paraId="4C00CA1C">
      <w:pPr>
        <w:widowControl w:val="0"/>
        <w:numPr>
          <w:ilvl w:val="0"/>
          <w:numId w:val="0"/>
        </w:numPr>
        <w:wordWrap/>
        <w:spacing w:line="600" w:lineRule="exact"/>
        <w:ind w:left="0" w:leftChars="0" w:right="0"/>
        <w:jc w:val="left"/>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一、项目概况</w:t>
      </w:r>
    </w:p>
    <w:p w14:paraId="27B48425">
      <w:pPr>
        <w:widowControl w:val="0"/>
        <w:numPr>
          <w:ilvl w:val="0"/>
          <w:numId w:val="0"/>
        </w:numPr>
        <w:wordWrap/>
        <w:spacing w:line="600" w:lineRule="exact"/>
        <w:ind w:left="0" w:leftChars="0" w:right="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宗教团体，是信教公民自愿组成，为团结信教公民爱国爱教、促进宗教健康发展，按照其章程开展活动的非营利性社会组织。宗教团体是中国共产党和人民政府团结、联系宗教界人士和广大信教公民的桥梁和纽带。</w:t>
      </w:r>
      <w:r>
        <w:rPr>
          <w:rFonts w:hint="eastAsia" w:ascii="仿宋_GB2312" w:hAnsi="仿宋_GB2312" w:eastAsia="仿宋_GB2312" w:cs="仿宋_GB2312"/>
          <w:i w:val="0"/>
          <w:iCs w:val="0"/>
          <w:caps w:val="0"/>
          <w:color w:val="333333"/>
          <w:spacing w:val="0"/>
          <w:sz w:val="32"/>
          <w:szCs w:val="32"/>
          <w:shd w:val="clear" w:fill="FFFFFF"/>
          <w:lang w:val="en-US" w:eastAsia="zh-CN"/>
        </w:rPr>
        <w:t>2021年度</w:t>
      </w:r>
      <w:r>
        <w:rPr>
          <w:rFonts w:hint="eastAsia" w:ascii="仿宋_GB2312" w:hAnsi="仿宋_GB2312" w:eastAsia="仿宋_GB2312" w:cs="仿宋_GB2312"/>
          <w:sz w:val="32"/>
          <w:szCs w:val="32"/>
          <w:lang w:val="en-US" w:eastAsia="zh-CN"/>
        </w:rPr>
        <w:t>安排宗教团体经费3万元列入了财政预算。</w:t>
      </w:r>
      <w:r>
        <w:rPr>
          <w:rFonts w:hint="eastAsia" w:ascii="仿宋_GB2312" w:hAnsi="仿宋_GB2312" w:eastAsia="仿宋_GB2312" w:cs="仿宋_GB2312"/>
          <w:i w:val="0"/>
          <w:iCs w:val="0"/>
          <w:caps w:val="0"/>
          <w:color w:val="333333"/>
          <w:spacing w:val="0"/>
          <w:sz w:val="32"/>
          <w:szCs w:val="32"/>
          <w:shd w:val="clear" w:fill="FFFFFF"/>
          <w:lang w:val="en-US" w:eastAsia="zh-CN"/>
        </w:rPr>
        <w:t>为确保宗教团体工作正常运行，更好地</w:t>
      </w:r>
      <w:r>
        <w:rPr>
          <w:rFonts w:hint="eastAsia" w:ascii="仿宋_GB2312" w:hAnsi="仿宋_GB2312" w:eastAsia="仿宋_GB2312" w:cs="仿宋_GB2312"/>
          <w:sz w:val="32"/>
          <w:szCs w:val="32"/>
          <w:lang w:val="en-US" w:eastAsia="zh-CN"/>
        </w:rPr>
        <w:t>有效</w:t>
      </w:r>
      <w:r>
        <w:rPr>
          <w:rFonts w:hint="eastAsia" w:ascii="仿宋_GB2312" w:hAnsi="仿宋_GB2312" w:eastAsia="仿宋_GB2312" w:cs="仿宋_GB2312"/>
          <w:i w:val="0"/>
          <w:iCs w:val="0"/>
          <w:caps w:val="0"/>
          <w:color w:val="333333"/>
          <w:spacing w:val="0"/>
          <w:sz w:val="32"/>
          <w:szCs w:val="32"/>
          <w:shd w:val="clear" w:fill="FFFFFF"/>
          <w:lang w:val="en-US" w:eastAsia="zh-CN"/>
        </w:rPr>
        <w:t>地开展工作发挥了积极作用。</w:t>
      </w:r>
    </w:p>
    <w:p w14:paraId="6B1910E0">
      <w:pPr>
        <w:widowControl w:val="0"/>
        <w:numPr>
          <w:ilvl w:val="0"/>
          <w:numId w:val="0"/>
        </w:numPr>
        <w:wordWrap/>
        <w:spacing w:line="600" w:lineRule="exact"/>
        <w:ind w:left="0" w:leftChars="0" w:right="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（一）项目绩效目标</w:t>
      </w:r>
    </w:p>
    <w:p w14:paraId="3C22DA00">
      <w:pPr>
        <w:numPr>
          <w:ilvl w:val="0"/>
          <w:numId w:val="0"/>
        </w:numPr>
        <w:ind w:leftChars="0"/>
        <w:rPr>
          <w:rFonts w:hint="eastAsia" w:ascii="仿宋_GB2312" w:hAnsi="仿宋_GB2312" w:eastAsia="仿宋_GB2312" w:cs="仿宋_GB2312"/>
          <w:i w:val="0"/>
          <w:caps w:val="0"/>
          <w:color w:val="auto"/>
          <w:spacing w:val="0"/>
          <w:sz w:val="32"/>
          <w:szCs w:val="32"/>
          <w:shd w:val="clear" w:color="070000" w:fill="FFFFFF"/>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i w:val="0"/>
          <w:caps w:val="0"/>
          <w:color w:val="auto"/>
          <w:spacing w:val="0"/>
          <w:sz w:val="32"/>
          <w:szCs w:val="32"/>
          <w:shd w:val="clear" w:color="070000" w:fill="FFFFFF"/>
          <w:lang w:val="en-US" w:eastAsia="zh-CN"/>
        </w:rPr>
        <w:t>“宗教团体经费”是补助给绵竹市各宗教团体的工作经费项目，主要用于各宗教团体日常办公、团体活动、各类会议及宗教教职人员培训、宗教活动场所安全督导检查等活动。</w:t>
      </w:r>
    </w:p>
    <w:p w14:paraId="7C62F3F3">
      <w:pPr>
        <w:widowControl w:val="0"/>
        <w:numPr>
          <w:ilvl w:val="0"/>
          <w:numId w:val="0"/>
        </w:numPr>
        <w:wordWrap/>
        <w:adjustRightInd w:val="0"/>
        <w:snapToGrid w:val="0"/>
        <w:spacing w:line="600" w:lineRule="exact"/>
        <w:ind w:left="0" w:leftChars="0" w:right="0"/>
        <w:jc w:val="left"/>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（二）项目资金申报相符性</w:t>
      </w:r>
    </w:p>
    <w:p w14:paraId="1AFDB1FE">
      <w:pPr>
        <w:widowControl w:val="0"/>
        <w:numPr>
          <w:ilvl w:val="0"/>
          <w:numId w:val="0"/>
        </w:numPr>
        <w:wordWrap/>
        <w:adjustRightInd w:val="0"/>
        <w:snapToGrid w:val="0"/>
        <w:spacing w:line="600" w:lineRule="exact"/>
        <w:ind w:left="0" w:leftChars="0" w:right="0" w:firstLine="640"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市委、市政府高度重视宗教工作，把宗教团体经费列入市级财政年度预算，促进宗教团体工作有序开展。</w:t>
      </w:r>
    </w:p>
    <w:p w14:paraId="2670868D">
      <w:pPr>
        <w:widowControl w:val="0"/>
        <w:numPr>
          <w:ilvl w:val="0"/>
          <w:numId w:val="0"/>
        </w:numPr>
        <w:wordWrap/>
        <w:spacing w:line="600" w:lineRule="exact"/>
        <w:ind w:left="0" w:leftChars="0" w:right="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二、项目实施及管理情况</w:t>
      </w:r>
    </w:p>
    <w:p w14:paraId="0EF096CA">
      <w:pPr>
        <w:widowControl w:val="0"/>
        <w:numPr>
          <w:ilvl w:val="0"/>
          <w:numId w:val="0"/>
        </w:numPr>
        <w:wordWrap/>
        <w:spacing w:line="600" w:lineRule="exact"/>
        <w:ind w:left="0" w:leftChars="0" w:right="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（一）资金计划、到位及使用情况</w:t>
      </w:r>
    </w:p>
    <w:p w14:paraId="5926A2BF">
      <w:pPr>
        <w:widowControl w:val="0"/>
        <w:numPr>
          <w:ilvl w:val="0"/>
          <w:numId w:val="0"/>
        </w:numPr>
        <w:wordWrap/>
        <w:spacing w:line="600" w:lineRule="exact"/>
        <w:ind w:left="0" w:leftChars="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1.资金计划及到位。2021年，宗教团体经费3万元作为年初预算到位及时。</w:t>
      </w:r>
    </w:p>
    <w:p w14:paraId="44D345F2">
      <w:pPr>
        <w:numPr>
          <w:ilvl w:val="0"/>
          <w:numId w:val="0"/>
        </w:numPr>
        <w:ind w:leftChars="0"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2.资金使用。宗教团体经费3万元按年初预算严格列支。其中拨付绵竹市佛教协会2.2万元，绵竹市天主教爱国会0.4万元，绵竹市基督教三自爱国会0.4万元。资金的使用符合法律法规和相关政策要求。</w:t>
      </w:r>
    </w:p>
    <w:p w14:paraId="72825A24">
      <w:pPr>
        <w:numPr>
          <w:ilvl w:val="0"/>
          <w:numId w:val="0"/>
        </w:numPr>
        <w:ind w:leftChars="0"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（二）项目组织实施情况</w:t>
      </w:r>
    </w:p>
    <w:p w14:paraId="6E96BC24">
      <w:pPr>
        <w:numPr>
          <w:ilvl w:val="0"/>
          <w:numId w:val="0"/>
        </w:numPr>
        <w:ind w:leftChars="0"/>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项目按年初下达目标管理任务，有计划认真开展各项工作。在实施项目过程中严格执行项目管理制度，及时反馈执行情况并纠正相关措施。全年执行情况良好，各团体累计开展各类宣传和培训10余场，进行新冠疫情防控，开展宗教场所安全检查，实施慈善扶困等，确保了宗教团体工作正常有序的开展。</w:t>
      </w:r>
    </w:p>
    <w:p w14:paraId="00FD7CF8">
      <w:pPr>
        <w:widowControl w:val="0"/>
        <w:numPr>
          <w:ilvl w:val="0"/>
          <w:numId w:val="0"/>
        </w:numPr>
        <w:wordWrap/>
        <w:spacing w:line="600" w:lineRule="exact"/>
        <w:ind w:left="0" w:leftChars="0" w:right="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val="0"/>
          <w:bCs w:val="0"/>
          <w:sz w:val="32"/>
          <w:szCs w:val="32"/>
          <w:lang w:val="en-US" w:eastAsia="zh-CN"/>
        </w:rPr>
        <w:t>三、项目绩效情况</w:t>
      </w:r>
    </w:p>
    <w:p w14:paraId="66D72370">
      <w:pPr>
        <w:numPr>
          <w:ilvl w:val="0"/>
          <w:numId w:val="0"/>
        </w:numPr>
        <w:ind w:leftChars="0"/>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w:t>
      </w:r>
      <w:r>
        <w:rPr>
          <w:rFonts w:hint="eastAsia" w:ascii="仿宋_GB2312" w:hAnsi="仿宋_GB2312" w:eastAsia="仿宋_GB2312" w:cs="仿宋_GB2312"/>
          <w:b/>
          <w:bCs/>
          <w:i w:val="0"/>
          <w:caps w:val="0"/>
          <w:color w:val="333333"/>
          <w:spacing w:val="0"/>
          <w:sz w:val="32"/>
          <w:szCs w:val="32"/>
          <w:shd w:val="clear" w:color="070000" w:fill="FFFFFF"/>
          <w:lang w:val="en-US" w:eastAsia="zh-CN"/>
        </w:rPr>
        <w:t>（一）项目完成情况</w:t>
      </w:r>
    </w:p>
    <w:p w14:paraId="02321045">
      <w:pPr>
        <w:numPr>
          <w:ilvl w:val="0"/>
          <w:numId w:val="0"/>
        </w:numPr>
        <w:ind w:leftChars="0" w:firstLine="640"/>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1.搞好培训，提高会员素质。绵竹市佛教协会组织全市佛教界人士进行了宗教法律法规、安全法律法规、安全防范知识、依法从事宗教活动、宗教教规教仪等方面的培训6次；绵竹市天主教爱国会认真做好民族宗教政策宣传教育，制作了宣传栏，标语等，把其纳入日常的宗教活动中；基督教三自爱国会每季度都要召开培训会，把学习法律法规、安全知识纳入宗教活动中，增强意识，提高水平。</w:t>
      </w:r>
    </w:p>
    <w:p w14:paraId="29CB8AF3">
      <w:pPr>
        <w:pStyle w:val="2"/>
        <w:ind w:left="0" w:leftChars="0" w:firstLine="640" w:firstLineChars="0"/>
        <w:rPr>
          <w:rFonts w:hint="eastAsia"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2.</w:t>
      </w:r>
      <w:r>
        <w:rPr>
          <w:rFonts w:hint="eastAsia" w:cs="仿宋_GB2312"/>
          <w:i w:val="0"/>
          <w:caps w:val="0"/>
          <w:color w:val="333333"/>
          <w:spacing w:val="0"/>
          <w:sz w:val="32"/>
          <w:szCs w:val="32"/>
          <w:shd w:val="clear" w:color="070000" w:fill="FFFFFF"/>
          <w:lang w:val="en-US" w:eastAsia="zh-CN"/>
        </w:rPr>
        <w:t>围绕</w:t>
      </w:r>
      <w:r>
        <w:rPr>
          <w:rFonts w:hint="default" w:ascii="仿宋_GB2312" w:hAnsi="仿宋_GB2312" w:eastAsia="仿宋_GB2312" w:cs="仿宋_GB2312"/>
          <w:i w:val="0"/>
          <w:caps w:val="0"/>
          <w:color w:val="333333"/>
          <w:spacing w:val="0"/>
          <w:sz w:val="32"/>
          <w:szCs w:val="32"/>
          <w:shd w:val="clear" w:color="070000" w:fill="FFFFFF"/>
          <w:lang w:val="en-US" w:eastAsia="zh-CN"/>
        </w:rPr>
        <w:t>中心</w:t>
      </w:r>
      <w:r>
        <w:rPr>
          <w:rFonts w:hint="eastAsia" w:cs="仿宋_GB2312"/>
          <w:i w:val="0"/>
          <w:caps w:val="0"/>
          <w:color w:val="333333"/>
          <w:spacing w:val="0"/>
          <w:sz w:val="32"/>
          <w:szCs w:val="32"/>
          <w:shd w:val="clear" w:color="070000" w:fill="FFFFFF"/>
          <w:lang w:val="en-US" w:eastAsia="zh-CN"/>
        </w:rPr>
        <w:t>，</w:t>
      </w:r>
      <w:r>
        <w:rPr>
          <w:rFonts w:hint="default" w:ascii="仿宋_GB2312" w:hAnsi="仿宋_GB2312" w:eastAsia="仿宋_GB2312" w:cs="仿宋_GB2312"/>
          <w:i w:val="0"/>
          <w:caps w:val="0"/>
          <w:color w:val="333333"/>
          <w:spacing w:val="0"/>
          <w:sz w:val="32"/>
          <w:szCs w:val="32"/>
          <w:shd w:val="clear" w:color="070000" w:fill="FFFFFF"/>
          <w:lang w:val="en-US" w:eastAsia="zh-CN"/>
        </w:rPr>
        <w:t>服务大局</w:t>
      </w:r>
      <w:r>
        <w:rPr>
          <w:rFonts w:hint="eastAsia" w:cs="仿宋_GB2312"/>
          <w:i w:val="0"/>
          <w:caps w:val="0"/>
          <w:color w:val="333333"/>
          <w:spacing w:val="0"/>
          <w:sz w:val="32"/>
          <w:szCs w:val="32"/>
          <w:shd w:val="clear" w:color="070000" w:fill="FFFFFF"/>
          <w:lang w:val="en-US" w:eastAsia="zh-CN"/>
        </w:rPr>
        <w:t>。一是针对今年了疫情防控工作，开展检查督促，进行宣传教育，给会员单位及会员送去防疫物资和宣传资料等。二是强化安全防范，做好安全相关工作。佛教协会进行了消防安全演练，天主教爱国会增添了消防物资，基督教三自爱国会增添了安全防护设施。</w:t>
      </w:r>
    </w:p>
    <w:p w14:paraId="43E7CA3F">
      <w:pPr>
        <w:pStyle w:val="2"/>
        <w:ind w:left="0" w:leftChars="0" w:firstLine="640" w:firstLineChars="0"/>
        <w:rPr>
          <w:rFonts w:hint="default"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3.</w:t>
      </w:r>
      <w:r>
        <w:rPr>
          <w:rFonts w:hint="default" w:ascii="仿宋_GB2312" w:hAnsi="仿宋_GB2312" w:eastAsia="仿宋_GB2312" w:cs="仿宋_GB2312"/>
          <w:i w:val="0"/>
          <w:caps w:val="0"/>
          <w:color w:val="333333"/>
          <w:spacing w:val="0"/>
          <w:sz w:val="32"/>
          <w:szCs w:val="32"/>
          <w:shd w:val="clear" w:color="070000" w:fill="FFFFFF"/>
          <w:lang w:val="en-US" w:eastAsia="zh-CN"/>
        </w:rPr>
        <w:t>强化自身建设</w:t>
      </w:r>
      <w:r>
        <w:rPr>
          <w:rFonts w:hint="eastAsia" w:cs="仿宋_GB2312"/>
          <w:i w:val="0"/>
          <w:caps w:val="0"/>
          <w:color w:val="333333"/>
          <w:spacing w:val="0"/>
          <w:sz w:val="32"/>
          <w:szCs w:val="32"/>
          <w:shd w:val="clear" w:color="070000" w:fill="FFFFFF"/>
          <w:lang w:val="en-US" w:eastAsia="zh-CN"/>
        </w:rPr>
        <w:t>，搞好业务工作。佛教协会积极做好宗教教职人员备案工作，同时组织外出调研学习，开展学术活动等；天主教爱国会添加办公设施，做好外出交流学习；基督教三自爱国会积极开展交流活动。</w:t>
      </w:r>
    </w:p>
    <w:p w14:paraId="6B1B5C4F">
      <w:pPr>
        <w:numPr>
          <w:ilvl w:val="0"/>
          <w:numId w:val="0"/>
        </w:numPr>
        <w:ind w:leftChars="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w:t>
      </w:r>
      <w:r>
        <w:rPr>
          <w:rFonts w:hint="eastAsia" w:ascii="仿宋_GB2312" w:hAnsi="仿宋_GB2312" w:eastAsia="仿宋_GB2312" w:cs="仿宋_GB2312"/>
          <w:b/>
          <w:bCs/>
          <w:sz w:val="32"/>
          <w:szCs w:val="32"/>
          <w:lang w:val="en-US" w:eastAsia="zh-CN"/>
        </w:rPr>
        <w:t>（二）项目效益情况</w:t>
      </w:r>
    </w:p>
    <w:p w14:paraId="55674316">
      <w:pPr>
        <w:widowControl w:val="0"/>
        <w:numPr>
          <w:ilvl w:val="0"/>
          <w:numId w:val="0"/>
        </w:numPr>
        <w:wordWrap/>
        <w:spacing w:line="600" w:lineRule="exact"/>
        <w:ind w:right="0" w:firstLine="642"/>
        <w:jc w:val="left"/>
        <w:textAlignment w:val="auto"/>
        <w:rPr>
          <w:rFonts w:hint="eastAsia" w:ascii="仿宋_GB2312" w:hAnsi="仿宋_GB2312" w:eastAsia="仿宋_GB2312" w:cs="仿宋_GB2312"/>
          <w:b w:val="0"/>
          <w:i w:val="0"/>
          <w:caps w:val="0"/>
          <w:color w:val="auto"/>
          <w:spacing w:val="0"/>
          <w:sz w:val="32"/>
          <w:szCs w:val="32"/>
          <w:lang w:val="en-US" w:eastAsia="zh-CN"/>
        </w:rPr>
      </w:pPr>
      <w:r>
        <w:rPr>
          <w:rFonts w:hint="eastAsia" w:ascii="仿宋_GB2312" w:hAnsi="仿宋_GB2312" w:eastAsia="仿宋_GB2312" w:cs="仿宋_GB2312"/>
          <w:b w:val="0"/>
          <w:bCs w:val="0"/>
          <w:sz w:val="32"/>
          <w:szCs w:val="32"/>
          <w:lang w:val="en-US" w:eastAsia="zh-CN"/>
        </w:rPr>
        <w:t>通过法律法规的学习培训，增强宗教活动场所及宗教教职人员的法制意识，促进了宗教团体依法依规管理的进程；通过安全及疫情防控的督导检查，推动了全市宗教活动场所安全管理工作，确保了场所的安全稳定；通过办公设施的添置，业务能力的提升，加快了宗教团体规范建设的步伐。</w:t>
      </w:r>
    </w:p>
    <w:p w14:paraId="3A69930F">
      <w:pPr>
        <w:widowControl w:val="0"/>
        <w:numPr>
          <w:ilvl w:val="0"/>
          <w:numId w:val="0"/>
        </w:numPr>
        <w:wordWrap/>
        <w:spacing w:line="600" w:lineRule="exact"/>
        <w:ind w:left="0" w:leftChars="0" w:righ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四、问题及建议</w:t>
      </w:r>
    </w:p>
    <w:p w14:paraId="090B2875">
      <w:pPr>
        <w:widowControl w:val="0"/>
        <w:numPr>
          <w:ilvl w:val="0"/>
          <w:numId w:val="0"/>
        </w:numPr>
        <w:wordWrap/>
        <w:spacing w:line="600" w:lineRule="exact"/>
        <w:ind w:left="0" w:leftChars="0" w:right="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（一）存在的问题。</w:t>
      </w:r>
      <w:r>
        <w:rPr>
          <w:rFonts w:hint="eastAsia" w:ascii="仿宋_GB2312" w:hAnsi="仿宋_GB2312" w:eastAsia="仿宋_GB2312" w:cs="仿宋_GB2312"/>
          <w:b w:val="0"/>
          <w:bCs w:val="0"/>
          <w:sz w:val="32"/>
          <w:szCs w:val="32"/>
          <w:lang w:val="en-US" w:eastAsia="zh-CN"/>
        </w:rPr>
        <w:t>绵竹市宗教活动场所数量较多，管理任务较重；宗教教职人员年龄偏大，文化程度偏低，业务水平不高，需要加强培训，引进人才；绵竹市道教协会还未成立，需要加快筹备成立步伐。</w:t>
      </w:r>
    </w:p>
    <w:p w14:paraId="30CFAD38">
      <w:pPr>
        <w:widowControl w:val="0"/>
        <w:numPr>
          <w:ilvl w:val="0"/>
          <w:numId w:val="0"/>
        </w:numPr>
        <w:wordWrap/>
        <w:spacing w:line="600" w:lineRule="exact"/>
        <w:ind w:left="0" w:leftChars="0" w:right="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（二）相关建议。</w:t>
      </w:r>
      <w:r>
        <w:rPr>
          <w:rFonts w:hint="eastAsia" w:ascii="仿宋_GB2312" w:hAnsi="仿宋_GB2312" w:eastAsia="仿宋_GB2312" w:cs="仿宋_GB2312"/>
          <w:b w:val="0"/>
          <w:bCs w:val="0"/>
          <w:sz w:val="32"/>
          <w:szCs w:val="32"/>
          <w:lang w:val="en-US" w:eastAsia="zh-CN"/>
        </w:rPr>
        <w:t>适当增加宗教团体办公经费。</w:t>
      </w:r>
    </w:p>
    <w:p w14:paraId="4CCB2A74">
      <w:pPr>
        <w:widowControl w:val="0"/>
        <w:numPr>
          <w:ilvl w:val="0"/>
          <w:numId w:val="0"/>
        </w:numPr>
        <w:wordWrap/>
        <w:spacing w:line="600" w:lineRule="exact"/>
        <w:ind w:left="0" w:leftChars="0" w:right="0"/>
        <w:jc w:val="left"/>
        <w:textAlignment w:val="auto"/>
        <w:rPr>
          <w:rFonts w:hint="eastAsia" w:ascii="仿宋_GB2312" w:hAnsi="仿宋_GB2312" w:eastAsia="仿宋_GB2312" w:cs="仿宋_GB2312"/>
          <w:b w:val="0"/>
          <w:bCs w:val="0"/>
          <w:sz w:val="32"/>
          <w:szCs w:val="32"/>
          <w:lang w:val="en-US" w:eastAsia="zh-CN"/>
        </w:rPr>
      </w:pPr>
    </w:p>
    <w:p w14:paraId="0EBA0D75">
      <w:pPr>
        <w:pStyle w:val="2"/>
        <w:rPr>
          <w:rFonts w:hint="eastAsia" w:ascii="仿宋_GB2312" w:hAnsi="仿宋_GB2312" w:eastAsia="仿宋_GB2312" w:cs="仿宋_GB2312"/>
          <w:b w:val="0"/>
          <w:bCs w:val="0"/>
          <w:sz w:val="32"/>
          <w:szCs w:val="32"/>
          <w:lang w:val="en-US" w:eastAsia="zh-CN"/>
        </w:rPr>
      </w:pPr>
    </w:p>
    <w:p w14:paraId="507933CA">
      <w:pPr>
        <w:pStyle w:val="2"/>
        <w:rPr>
          <w:rFonts w:hint="eastAsia"/>
          <w:lang w:val="zh-CN" w:eastAsia="zh-CN"/>
        </w:rPr>
      </w:pPr>
    </w:p>
    <w:p w14:paraId="78452D97">
      <w:pPr>
        <w:pStyle w:val="2"/>
        <w:rPr>
          <w:rFonts w:hint="eastAsia"/>
          <w:lang w:val="zh-CN" w:eastAsia="zh-CN"/>
        </w:rPr>
      </w:pPr>
    </w:p>
    <w:p w14:paraId="48D4C62B">
      <w:pPr>
        <w:jc w:val="center"/>
        <w:rPr>
          <w:rFonts w:ascii="宋体" w:hAnsi="宋体" w:cs="宋体"/>
          <w:b/>
          <w:bCs/>
          <w:sz w:val="44"/>
          <w:szCs w:val="44"/>
        </w:rPr>
      </w:pPr>
      <w:r>
        <w:rPr>
          <w:rFonts w:hint="eastAsia" w:ascii="宋体" w:hAnsi="宋体" w:cs="宋体"/>
          <w:b/>
          <w:bCs/>
          <w:sz w:val="44"/>
          <w:szCs w:val="44"/>
        </w:rPr>
        <w:t>202</w:t>
      </w:r>
      <w:r>
        <w:rPr>
          <w:rFonts w:hint="eastAsia" w:ascii="宋体" w:hAnsi="宋体" w:cs="宋体"/>
          <w:b/>
          <w:bCs/>
          <w:sz w:val="44"/>
          <w:szCs w:val="44"/>
          <w:lang w:val="en-US" w:eastAsia="zh-CN"/>
        </w:rPr>
        <w:t>1</w:t>
      </w:r>
      <w:r>
        <w:rPr>
          <w:rFonts w:hint="eastAsia" w:ascii="宋体" w:hAnsi="宋体" w:cs="宋体"/>
          <w:b/>
          <w:bCs/>
          <w:sz w:val="44"/>
          <w:szCs w:val="44"/>
        </w:rPr>
        <w:t>年侨联项目支出绩效自评报告</w:t>
      </w:r>
    </w:p>
    <w:p w14:paraId="45CF9A40">
      <w:pPr>
        <w:jc w:val="center"/>
        <w:rPr>
          <w:rFonts w:ascii="宋体" w:hAnsi="宋体" w:cs="宋体"/>
          <w:b/>
          <w:bCs/>
          <w:sz w:val="44"/>
          <w:szCs w:val="44"/>
        </w:rPr>
      </w:pPr>
      <w:r>
        <w:rPr>
          <w:rFonts w:hint="eastAsia" w:ascii="宋体" w:hAnsi="宋体" w:cs="宋体"/>
          <w:b/>
          <w:bCs/>
          <w:sz w:val="44"/>
          <w:szCs w:val="44"/>
        </w:rPr>
        <w:t>专项业务经费项目</w:t>
      </w:r>
    </w:p>
    <w:p w14:paraId="364CAF8E">
      <w:pPr>
        <w:spacing w:line="600" w:lineRule="exact"/>
        <w:jc w:val="left"/>
        <w:rPr>
          <w:rFonts w:ascii="仿宋_GB2312" w:hAnsi="仿宋_GB2312" w:eastAsia="仿宋_GB2312" w:cs="仿宋_GB2312"/>
          <w:sz w:val="32"/>
          <w:szCs w:val="32"/>
        </w:rPr>
      </w:pPr>
    </w:p>
    <w:p w14:paraId="6527A86E">
      <w:pPr>
        <w:spacing w:line="600" w:lineRule="exact"/>
        <w:jc w:val="left"/>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仿宋_GB2312" w:eastAsia="仿宋_GB2312" w:cs="仿宋_GB2312"/>
          <w:b/>
          <w:bCs/>
          <w:sz w:val="32"/>
          <w:szCs w:val="32"/>
        </w:rPr>
        <w:t xml:space="preserve"> </w:t>
      </w:r>
      <w:r>
        <w:rPr>
          <w:rFonts w:hint="eastAsia" w:ascii="仿宋_GB2312" w:hAnsi="仿宋_GB2312" w:eastAsia="仿宋_GB2312" w:cs="仿宋_GB2312"/>
          <w:b/>
          <w:bCs/>
          <w:sz w:val="32"/>
          <w:szCs w:val="32"/>
          <w:lang w:val="en-US" w:eastAsia="zh-CN"/>
        </w:rPr>
        <w:t xml:space="preserve">  </w:t>
      </w: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一、项目概况</w:t>
      </w:r>
    </w:p>
    <w:p w14:paraId="587581E9">
      <w:pPr>
        <w:spacing w:line="600" w:lineRule="exact"/>
        <w:ind w:firstLine="640" w:firstLineChars="200"/>
        <w:jc w:val="left"/>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 xml:space="preserve">2021年，绵竹市侨联在市委市政府的坚强领导下，坚持围绕中心服务大局，充分发挥侨界资源优势，大力拓展海外联谊和新侨工作，编织情感纽带，以心聚侨、以情连侨，引领广大归侨、侨眷属旗帜鲜明讲政治、目标明确促发展，为我市经济社会发展献出了侨界力量。为保障侨联各项工作更好地、有序地开展，2021年安排项目经费4万元列入财政预算。 </w:t>
      </w:r>
    </w:p>
    <w:p w14:paraId="3469FC6B">
      <w:pPr>
        <w:spacing w:line="600" w:lineRule="exact"/>
        <w:ind w:firstLine="640" w:firstLineChars="200"/>
        <w:jc w:val="left"/>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（一）项目绩效目标</w:t>
      </w:r>
    </w:p>
    <w:p w14:paraId="1223EB1E">
      <w:pPr>
        <w:spacing w:line="600" w:lineRule="exact"/>
        <w:ind w:firstLine="640" w:firstLineChars="200"/>
        <w:jc w:val="left"/>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“侨联项目经费”是侨联主要工作项目经费，主要用于侨联开展联络联谊、交流走访等侨联专项活动。</w:t>
      </w:r>
    </w:p>
    <w:p w14:paraId="65686ED6">
      <w:pPr>
        <w:spacing w:line="600" w:lineRule="exact"/>
        <w:ind w:firstLine="640" w:firstLineChars="200"/>
        <w:jc w:val="left"/>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（二）项目资金申报相符性</w:t>
      </w:r>
    </w:p>
    <w:p w14:paraId="711489C5">
      <w:pPr>
        <w:spacing w:line="600" w:lineRule="exact"/>
        <w:ind w:firstLine="640" w:firstLineChars="200"/>
        <w:jc w:val="left"/>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市委、市政府高度重视和支持侨联工作，把侨联项目经费列入市级财政年度预算，有力保证了侨联工作有序地开展。</w:t>
      </w:r>
    </w:p>
    <w:p w14:paraId="026D3E9E">
      <w:pPr>
        <w:spacing w:line="600" w:lineRule="exact"/>
        <w:ind w:firstLine="640" w:firstLineChars="200"/>
        <w:jc w:val="left"/>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二、项目实施及管理情况。</w:t>
      </w:r>
    </w:p>
    <w:p w14:paraId="6D87750B">
      <w:pPr>
        <w:spacing w:line="600" w:lineRule="exact"/>
        <w:ind w:firstLine="640" w:firstLineChars="200"/>
        <w:jc w:val="left"/>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（一）资金计划、到位及使用情况</w:t>
      </w:r>
    </w:p>
    <w:p w14:paraId="7DD0CEB7">
      <w:pPr>
        <w:spacing w:line="600" w:lineRule="exact"/>
        <w:ind w:firstLine="640" w:firstLineChars="200"/>
        <w:jc w:val="left"/>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1.资金计划及到位。2021年，侨联项目经费4万元作为年初预算到位及时。</w:t>
      </w:r>
    </w:p>
    <w:p w14:paraId="794BF913">
      <w:pPr>
        <w:spacing w:line="600" w:lineRule="exact"/>
        <w:ind w:firstLine="640" w:firstLineChars="200"/>
        <w:jc w:val="left"/>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2.资金使用。侨联项目经费4万元按年初预算严格列支。资金的使用符合法律法规和相关政策要求。</w:t>
      </w:r>
    </w:p>
    <w:p w14:paraId="7044D596">
      <w:pPr>
        <w:spacing w:line="600" w:lineRule="exact"/>
        <w:ind w:firstLine="640" w:firstLineChars="200"/>
        <w:jc w:val="left"/>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（二）项目组织实施情况</w:t>
      </w:r>
    </w:p>
    <w:p w14:paraId="5D587657">
      <w:pPr>
        <w:spacing w:line="600" w:lineRule="exact"/>
        <w:ind w:firstLine="640" w:firstLineChars="200"/>
        <w:jc w:val="left"/>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项目按年初下达目标管理任务，有计划按月分季度认真开展各项工作。在实施项目过程中严格执行项目管理制度，及时反馈执行情况并纠正相关措施,全年执行情况良好。2021年组织实施情况如下：一是组织广大侨眷属学习贯彻党的十九大、十九届四中、五中、六中全会，省委十一届八次、九次全会，德阳市委八届十五次会议和第九次党代会，以及绵竹市十三届十三次会议、第十四次党代会精神，按照“学懂、弄通、做实”要求，切实把侨界群众的思想和行动统一到中央、省委和市委的要求上来。二是借助“侨之家”联络联谊基地，将两会精神对侨眷属代表及滨河西路社区群众进行了传达和学习，现场就《政府工作报告》和《向人民报告》画册展开讨论，组织侨眷属们前往市中心广场观看全市2020年政务工作图片展。三是为隆重纪念中国共产党建党100周年，进一步凝聚侨心、汇聚侨力，举行了“弘扬抗震救灾精神，感悟初心使命”活动，组织观看抗震救灾主题电影《一百零八》，参观了汉旺地震遗址公园，主席刘应波同志还现场讲了党课。四是组织侨界政协委员参加市政协“永远跟党走，同心铸辉煌”庆祝中国共产党建党100周年活动。组织侨眷属代表观看了电影《1921》和纪念辛亥革命110周年大会，激发侨眷属为实现中华民族伟大复兴而共同奋斗的决心和信心。五是凝侨心，做好疫情防控常态化工作，结合新冠疫情防控需要，在“侨之家</w:t>
      </w:r>
      <w:bookmarkStart w:id="78" w:name="_GoBack"/>
      <w:bookmarkEnd w:id="78"/>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联络联谊基地张贴常规化疫情防控宣传单、发放宣册，借助网络新媒体与侨眷属及海外华人华侨紧密互动，分享抗疫知识和经验，并就疫情防控最新动态、国内疫情防控形势、疫苗接种相关知识等不定时进行转发，号召各侨界人士加强防控，不造谣、不信谣、不传谣。引导广大归侨侨眷和海外侨胞遵守疫情防控规定，科学防疫。</w:t>
      </w:r>
    </w:p>
    <w:p w14:paraId="1EB0A9BE">
      <w:pPr>
        <w:ind w:firstLine="632"/>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三、项目绩效情况</w:t>
      </w:r>
    </w:p>
    <w:p w14:paraId="1C7CFDA0">
      <w:pPr>
        <w:ind w:firstLine="56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（一）完成情况</w:t>
      </w:r>
    </w:p>
    <w:p w14:paraId="14D37C12">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一是夯实平台，维护侨益，尽力排查化解矛盾纠纷。为加快推进涉侨纠纷在线诉调对接工作，市侨联积极与市法院联系协调，正式建立涉侨纠纷调解组织入驻了绵竹市人民法院调解平台，并派选有司法工作经历和调解经验的侨界人士负责调解业务的沟通、协调和对接，为侨界群众提供经济、便捷、高效、可信任的一站式解纷服务。选派工作人员参加四川省基层侨联组织“法治中国，你我同行”2021年侨界法治学习活动，在滨河西路社区及“侨之家”联络联谊基地进行了涉侨法律法规宣传活动，发放《四川省华侨权益保护条例》、《涉侨法律法规选编（一）》等宣传资料500余册（份）。</w:t>
      </w:r>
    </w:p>
    <w:p w14:paraId="42523151">
      <w:pPr>
        <w:ind w:firstLine="634"/>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二是充分利用新媒体，与时俱进促交流。通过“绵竹侨爱之家”微信群，不定期向侨眷属及海外（境外）华人华侨发送绵竹的风土人情、旅游资源和经济社会发展成果。为更好的展现绵竹乡村振兴成果、加快绵竹旅游发展，邀请20余位侨眷属前往清平镇参观，并通过网络新媒体与海外（境外）华人华侨展开讨论，带领大家通过新媒体看绵竹变化、听绵竹声音、讲绵竹故事。</w:t>
      </w:r>
    </w:p>
    <w:p w14:paraId="0E52856B">
      <w:pPr>
        <w:ind w:firstLine="634"/>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三是加强与周边县市侨联互动，共享资源促进步。邀请并接待什邡市侨联、旌阳区侨联来绵竹“侨之家”联络联谊活动基地参观交流，共商“侨之家”建设和活动开展，着力将绵竹“侨之家”建设成为阵地坚实、活动丰富、联络广泛的特色基地。</w:t>
      </w:r>
    </w:p>
    <w:p w14:paraId="4886CB54">
      <w:pPr>
        <w:ind w:firstLine="634"/>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四是主动融入成德眉资同城化，努力画好“侨同心圆”。6月，与成都市成华区侨联、洪雅县侨联、安岳县侨联缔结友好侨联；7月，组织涉侨企业参加成华区侨联举办的海外赤子创业家互动大会；9月组织侨眷属赵正恩、张进砂参加成华区侨联主办的“同心成华，侨连万家”庆祝中国共产党成立100周年美术书法摄影优秀作品联展；组织参加成华区侨联组织的“推动驻区高校互通互联，促进校园地企协同发展”产业推介暨“迎中秋，庆国庆”联谊会，会上与成华区侨联进行了友好合作联盟活动轮执地交接仪式。</w:t>
      </w:r>
    </w:p>
    <w:p w14:paraId="6AF4356E">
      <w:pPr>
        <w:ind w:firstLine="634"/>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五是侨眷属间增强交流，以侨带侨成就“侨之大家”。除了每周三“侨之家”固定活动外，市侨联将在12月中旬举办绵竹市侨界人士2022年迎新春联谊活动，邀请归侨侨眷属代表参与联谊座谈，进一步为凝聚侨心、汇聚侨力、发出侨声、发挥侨势奠定基础。</w:t>
      </w:r>
    </w:p>
    <w:p w14:paraId="7AA44892">
      <w:pPr>
        <w:numPr>
          <w:ilvl w:val="0"/>
          <w:numId w:val="0"/>
        </w:num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（三）项目效益情况</w:t>
      </w:r>
    </w:p>
    <w:p w14:paraId="6E71466B">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2021年市侨联通过各项活动的开展，主要取得了以下成效：1、进一步拓展了海外联谊和新侨工作，2、更加紧密地编织了以心聚侨、以情连侨的情感纽带，3、引领广大归侨、侨眷属旗帜鲜明讲政治、切实把侨界群众的思想和行动统一到中央、省委和市委的要求上来。4、激发侨眷属为实现中华民族伟大复兴而共同奋斗的决心和信心。为我市经济社会发展献出了侨界力量。</w:t>
      </w:r>
    </w:p>
    <w:p w14:paraId="1FB9B64C">
      <w:pPr>
        <w:spacing w:line="600" w:lineRule="exact"/>
        <w:ind w:firstLine="640" w:firstLineChars="200"/>
        <w:jc w:val="left"/>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四、问题及建议</w:t>
      </w:r>
    </w:p>
    <w:p w14:paraId="4DEBD374">
      <w:pPr>
        <w:spacing w:line="600" w:lineRule="exact"/>
        <w:jc w:val="left"/>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 xml:space="preserve">    （一）存在的问题。无</w:t>
      </w:r>
    </w:p>
    <w:p w14:paraId="00181061">
      <w:pPr>
        <w:spacing w:line="600" w:lineRule="exact"/>
        <w:jc w:val="left"/>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 xml:space="preserve">    （二）相关建议。无</w:t>
      </w:r>
    </w:p>
    <w:p w14:paraId="2861AE4A">
      <w:pPr>
        <w:spacing w:line="600" w:lineRule="exact"/>
        <w:jc w:val="left"/>
        <w:rPr>
          <w:rFonts w:ascii="仿宋_GB2312" w:hAnsi="仿宋_GB2312" w:eastAsia="仿宋_GB2312" w:cs="仿宋_GB2312"/>
          <w:sz w:val="32"/>
          <w:szCs w:val="32"/>
        </w:rPr>
      </w:pPr>
    </w:p>
    <w:p w14:paraId="46A3530C">
      <w:pPr>
        <w:jc w:val="center"/>
        <w:rPr>
          <w:b/>
          <w:bCs/>
          <w:sz w:val="36"/>
          <w:szCs w:val="36"/>
        </w:rPr>
      </w:pPr>
      <w:r>
        <w:rPr>
          <w:rFonts w:hint="eastAsia"/>
          <w:b/>
          <w:bCs/>
          <w:sz w:val="36"/>
          <w:szCs w:val="36"/>
        </w:rPr>
        <w:t>侨联“侨之家”项目经费自评报告</w:t>
      </w:r>
    </w:p>
    <w:p w14:paraId="38512A64">
      <w:pPr>
        <w:jc w:val="center"/>
        <w:rPr>
          <w:sz w:val="36"/>
          <w:szCs w:val="36"/>
        </w:rPr>
      </w:pPr>
    </w:p>
    <w:p w14:paraId="7AF14DED">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一、项目概况</w:t>
      </w:r>
    </w:p>
    <w:p w14:paraId="1DA8D4FB">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为更好地为广大归侨侨眷交流联谊，丰富广大侨胞的业余文化生活，吸引更多的侨界人士、海外留学生及海外创业人员参与到侨爱之家活动中来，更好的利益于广大侨眷属及我市经济文化的建设与发展。并及时学习、宣传、贯彻党的方针、政策，在实践中凝聚侨界力量，确保“侨爱之家”活动阵地有效运转，2021年初市财政安排“侨之家”专项业务经费2万元列入财政预算。</w:t>
      </w:r>
    </w:p>
    <w:p w14:paraId="61C0FC0B">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（一）项目绩效目标</w:t>
      </w:r>
    </w:p>
    <w:p w14:paraId="1A5B0576">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 xml:space="preserve">      “侨之家”专项业务经费”是市侨联“侨之家”工作主要经费来源，用于侨联开展“侨之家”专项活动。</w:t>
      </w:r>
    </w:p>
    <w:p w14:paraId="2B0B4570">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（二）项目资金申报相符性</w:t>
      </w:r>
    </w:p>
    <w:p w14:paraId="0BA446A4">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 xml:space="preserve">     市委、市政府高度重视和支持侨联工作，把“侨之家”专项业务经费列入市级财政年度预算，有力保证了“侨之家”活动阵地有效运转。</w:t>
      </w:r>
    </w:p>
    <w:p w14:paraId="5B5C7BC6">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二、项目实施及管理情况。</w:t>
      </w:r>
    </w:p>
    <w:p w14:paraId="0F596F16">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（一）资金计划、到位及使用情况</w:t>
      </w:r>
    </w:p>
    <w:p w14:paraId="02FA3E68">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1.资金计划及到位。2021年“侨之家”专项业务经费2万元年初预算到位及时。</w:t>
      </w:r>
    </w:p>
    <w:p w14:paraId="360001D0">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 xml:space="preserve"> 2.资金使用。“侨之家”专项业务经费2万元按年初预算严格列支。资金的使用符合法律法规和相关政策要求。</w:t>
      </w:r>
    </w:p>
    <w:p w14:paraId="07F3515E">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（二）项目组织实施情况</w:t>
      </w:r>
    </w:p>
    <w:p w14:paraId="3B7FD015">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项目按年初下达目标管理任务，有计划按月分季度认真开展各项工作。在实施项目过程中严格执行项目管理制度，及时反馈执行情况并纠正相关措施，全年执行情况良好。组织实施情况：1、着力加强思想政治建设，2021绵竹市侨联把广大侨界群众的思想和行动统一到中央、省委和市委的要求上作为全年活动的基调。首先组织学习宣传贯彻党的十九大、十九届四中、五中、六中全会，省委十一届九次、十次全会，德阳市委八届十五次会议和第九次党代会，绵竹市委十三届十三次会议和第十四次党代会精神作为首要政治任务。全年组织开展各种学习活动共10余次。其次组织侨眷属学习</w:t>
      </w:r>
      <w:r>
        <w:rPr>
          <w:rFonts w:hint="eastAsia" w:ascii="仿宋_GB2312" w:eastAsia="仿宋_GB2312" w:cs="仿宋_GB2312"/>
          <w:i w:val="0"/>
          <w:caps w:val="0"/>
          <w:color w:val="333333"/>
          <w:spacing w:val="0"/>
          <w:kern w:val="0"/>
          <w:sz w:val="32"/>
          <w:szCs w:val="32"/>
          <w:shd w:val="clear" w:color="070000" w:fill="FFFFFF"/>
          <w:lang w:val="en-US" w:eastAsia="zh-CN" w:bidi="ar-SA"/>
        </w:rPr>
        <w:t>防泄密文件通知</w:t>
      </w: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提醒侨眷属注意网络安全、远离非法组织。与市委统战部一起对抗战先烈进行缅怀和纪念，号召侨界群众不忘党史、铭记党恩。2、借助“侨之家”联络联谊基地，将两会精神对侨眷属代表及滨河西路社区群众进行了传达和学习，现场就《政府工作报告》和《向人民报告》画册展开讨论。3、为隆重纪念中国共产党建党100周年，进一步凝聚侨心、汇聚侨力，举行了“弘扬抗震救灾精神，感悟初心使命”活动，组织观看抗震救灾主题电影《一百零八》，参观了汉旺地震遗址公园，主席刘应波同志还现场讲了题为《百年党史，有侨同行》的党课。4、组织侨界政协委员参加市政协“永远跟党走，同心铸辉煌”庆祝中国共产党建党100周年活动。5、组织侨眷属代表观看了电影《1921》和纪念辛亥革命110周年大会，激发侨眷属为实现中华民族伟大复兴而共同奋斗的决心和信心。</w:t>
      </w:r>
    </w:p>
    <w:p w14:paraId="1F2DD86D">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三、项目绩效情况</w:t>
      </w:r>
    </w:p>
    <w:p w14:paraId="16483438">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（一）完成情况</w:t>
      </w:r>
    </w:p>
    <w:p w14:paraId="2B22612C">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一是充分利用新媒体，与时俱进促交流。通过“绵竹侨爱之家”微信群，不定期向侨眷属及海外华人华通过“绵竹侨爱之家”微信群，不定期向侨眷属及海外华人华侨发送绵竹的风土人情、旅游资源和经济社会发展成果。为更好展现绵竹乡村振兴成果，加快绵竹文旅融合发展，邀请20余位侨眷属前往清平镇参观，并通过网络新媒体与海外华人华侨展开讨论，带领大家通过新媒体看绵竹变化、听绵竹声音、讲绵竹故事。</w:t>
      </w:r>
    </w:p>
    <w:p w14:paraId="239CA332">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二是</w:t>
      </w:r>
      <w:bookmarkStart w:id="63" w:name="_Hlk90300084"/>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加强与周边县市侨联互动，共享资源促进步。2021年7月邀请并接待什邡市侨联、旌阳区侨联来绵竹“侨之家”联络联谊活动基地参观交流，共商“侨之家”建设和活动开展，着力将绵竹“侨之家”建设成为阵地坚实、活动丰富、联络广泛的特色基地。</w:t>
      </w:r>
    </w:p>
    <w:p w14:paraId="3D1F0098">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三是主动融入成德眉资同城化，努力画好“侨同心圆”。2021年4月，市侨联与成都市成华区侨联、洪雅县侨联、安岳县侨联缔结友好侨联；7月，组织涉侨企业参加成华区侨联举办的海外赤子创业家互动大会；9月组织侨眷属参加成华区侨联主办的“同心成华，侨连万家”庆祝中国共产党成立100周年美术书法摄影优秀作品联展；组织参加成华区侨联组织的“推动驻区高校互通互联，促进校园地企协同发展”产业推介暨“迎中秋，庆国庆”联谊会，会上与成华区侨联进行了友好合作联盟活动轮执地交接仪式，相约2022年做为联盟活动轮执地，将邀请友好侨联士来我市实地参观考察、交流互动，进一步提升绵竹对外形象。</w:t>
      </w:r>
      <w:bookmarkEnd w:id="63"/>
    </w:p>
    <w:p w14:paraId="6EB21BEB">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四是侨眷属间增强交流，以侨带侨成就“侨之大家”。除了每周三“侨之家”固定活动外，市侨联于12月中旬举办绵竹市侨界人士2022年迎新春联谊活动，邀请50余位归侨、侨眷属、涉侨企业代表参加联谊座谈，分享海内外见闻，为进一步凝聚侨心、汇聚侨力、发出侨声、发挥侨势奠定基础。</w:t>
      </w:r>
    </w:p>
    <w:p w14:paraId="1021FC86">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（二）项目效益情况</w:t>
      </w:r>
    </w:p>
    <w:p w14:paraId="1FDE9697">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2021年通过“侨之家”的各项活动的开展，取得了以下成效：1、进一步拓展了海外联谊和新侨工作，2、更加紧密地编织了以心聚侨、以情连侨的情感纽带，3、引领广大归侨、侨眷属旗帜鲜明讲政治、切实把侨界群众的思想和行动统一到中央、省委和市委的要求上来。4、激发侨眷属为实现中华民族伟大复兴而共同奋斗的决心和信心。为我市经济社会发展献出了侨界力量。</w:t>
      </w:r>
    </w:p>
    <w:p w14:paraId="3E298738">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四、问题及建议</w:t>
      </w:r>
    </w:p>
    <w:p w14:paraId="07743A20">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（一）存在的问题。无</w:t>
      </w:r>
    </w:p>
    <w:p w14:paraId="56998D5C">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（二）相关建议。无</w:t>
      </w:r>
    </w:p>
    <w:p w14:paraId="3DF6D9F2">
      <w:pPr>
        <w:spacing w:line="600" w:lineRule="exact"/>
        <w:jc w:val="left"/>
        <w:rPr>
          <w:rFonts w:hint="eastAsia" w:asciiTheme="minorEastAsia" w:hAnsiTheme="minorEastAsia" w:eastAsiaTheme="minorEastAsia" w:cstheme="minorEastAsia"/>
          <w:sz w:val="28"/>
          <w:szCs w:val="28"/>
        </w:rPr>
      </w:pPr>
    </w:p>
    <w:p w14:paraId="6C4122CC">
      <w:pPr>
        <w:pStyle w:val="2"/>
        <w:rPr>
          <w:rFonts w:hint="eastAsia"/>
          <w:lang w:val="zh-CN" w:eastAsia="zh-CN"/>
        </w:rPr>
      </w:pPr>
    </w:p>
    <w:p w14:paraId="16738324">
      <w:pPr>
        <w:spacing w:line="600" w:lineRule="exact"/>
        <w:jc w:val="center"/>
        <w:rPr>
          <w:rFonts w:hint="eastAsia" w:ascii="方正小标宋简体" w:hAnsi="仿宋" w:eastAsia="方正小标宋简体" w:cs="宋体"/>
          <w:b/>
          <w:bCs/>
          <w:sz w:val="44"/>
          <w:szCs w:val="44"/>
        </w:rPr>
      </w:pPr>
      <w:r>
        <w:rPr>
          <w:rFonts w:hint="eastAsia" w:ascii="方正小标宋简体" w:hAnsi="仿宋" w:eastAsia="方正小标宋简体" w:cs="方正小标宋简体"/>
          <w:sz w:val="44"/>
          <w:szCs w:val="44"/>
        </w:rPr>
        <w:t>项目支出绩效自评报告</w:t>
      </w:r>
    </w:p>
    <w:p w14:paraId="5EEDE663">
      <w:pPr>
        <w:spacing w:line="600" w:lineRule="exact"/>
        <w:jc w:val="center"/>
        <w:rPr>
          <w:rFonts w:hint="eastAsia" w:ascii="方正小标宋简体" w:hAnsi="仿宋" w:eastAsia="方正小标宋简体" w:cs="方正小标宋简体"/>
          <w:sz w:val="44"/>
          <w:szCs w:val="44"/>
        </w:rPr>
      </w:pPr>
      <w:r>
        <w:rPr>
          <w:rFonts w:hint="eastAsia" w:ascii="方正小标宋简体" w:hAnsi="仿宋" w:eastAsia="方正小标宋简体" w:cs="方正小标宋简体"/>
          <w:sz w:val="44"/>
          <w:szCs w:val="44"/>
        </w:rPr>
        <w:t>——</w:t>
      </w:r>
      <w:r>
        <w:rPr>
          <w:rFonts w:hint="eastAsia" w:ascii="方正小标宋简体" w:hAnsi="方正小标宋简体" w:eastAsia="方正小标宋简体" w:cs="方正小标宋简体"/>
          <w:sz w:val="44"/>
          <w:szCs w:val="44"/>
        </w:rPr>
        <w:t>四川民族事业发展专项资金</w:t>
      </w:r>
    </w:p>
    <w:p w14:paraId="0AC80431">
      <w:pPr>
        <w:spacing w:line="600" w:lineRule="exact"/>
        <w:jc w:val="left"/>
        <w:rPr>
          <w:rFonts w:ascii="仿宋" w:hAnsi="仿宋" w:eastAsia="仿宋" w:cs="仿宋_GB2312"/>
          <w:sz w:val="32"/>
          <w:szCs w:val="32"/>
        </w:rPr>
      </w:pPr>
      <w:r>
        <w:rPr>
          <w:rFonts w:hint="eastAsia" w:ascii="仿宋" w:hAnsi="仿宋" w:eastAsia="仿宋"/>
          <w:sz w:val="32"/>
          <w:szCs w:val="32"/>
        </w:rPr>
        <w:t xml:space="preserve"> </w:t>
      </w:r>
      <w:r>
        <w:rPr>
          <w:rFonts w:ascii="仿宋" w:hAnsi="仿宋" w:eastAsia="仿宋" w:cs="Times New Roman"/>
          <w:sz w:val="32"/>
          <w:szCs w:val="32"/>
        </w:rPr>
        <w:t xml:space="preserve">  </w:t>
      </w:r>
      <w:r>
        <w:rPr>
          <w:rFonts w:hint="eastAsia" w:ascii="仿宋" w:hAnsi="仿宋" w:eastAsia="仿宋" w:cs="仿宋_GB2312"/>
          <w:sz w:val="32"/>
          <w:szCs w:val="32"/>
        </w:rPr>
        <w:t xml:space="preserve"> </w:t>
      </w:r>
    </w:p>
    <w:p w14:paraId="5A5C1B3E">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一、项目概况</w:t>
      </w:r>
    </w:p>
    <w:p w14:paraId="46AAD379">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德阿产业园区以宣传造势为重点，将藏羌人文融入绵竹年画创作、张贴民族团结进步宣传画、制作展板宣传栏、大屏幕滚动播放藏区羌地人文景观等，通过制作宣传资料、开展征文比赛等活动，多形式宣传国家法律法规和民族政策。以典型带动为引领，着力打造“四川思特瑞锂业有限公司”等企业，为园区民族团结进步示范企业，加大对民族团结进步示范创建先进典型的选育，发挥模范效应，引导园区企业职工树牢促进民族团结意识。四川思特瑞锂业有限公司率先吸纳12名少数民族员工，在园区给入驻企业中起到了良好典型示范作用。</w:t>
      </w:r>
    </w:p>
    <w:p w14:paraId="73440CE2">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（一）项目绩效目标</w:t>
      </w:r>
    </w:p>
    <w:p w14:paraId="1A5425E0">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“民族事业发展经费”是德阿产业园区民族事业发展的工作经费，主要用于对园区全面建设发展中的民族团结事业服务；开展各类形式的宣传活动、制作宣传资料；促进民族团结示范单位创建工作。</w:t>
      </w:r>
    </w:p>
    <w:p w14:paraId="5C6BA46A">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（二）项目资金申报相符性</w:t>
      </w:r>
    </w:p>
    <w:p w14:paraId="4D32D5D1">
      <w:pPr>
        <w:ind w:firstLine="640" w:firstLineChars="2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德阿产业园区高度重视民族团结工作，把民族事业经费列入财政年度预算，对有力推进园区民族团结进步创建工作有序开展具有重要作用。</w:t>
      </w:r>
    </w:p>
    <w:p w14:paraId="57D5AE7E">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二、项目实施及管理情况</w:t>
      </w:r>
    </w:p>
    <w:p w14:paraId="52EB3F7D">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（一）资金计划、到位及使用情况</w:t>
      </w:r>
    </w:p>
    <w:p w14:paraId="77901064">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1.资金计划及到位。2021年民族事业发展经费20万元作为年初申报到位及时。</w:t>
      </w:r>
    </w:p>
    <w:p w14:paraId="5947AD0C">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2.资金使用。民族事业发展经费20万元按年初预算严格列支。资金的使用符合法律法规和相关政策要求。</w:t>
      </w:r>
    </w:p>
    <w:p w14:paraId="311DD9CE">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（二）项目组织实施情况</w:t>
      </w:r>
    </w:p>
    <w:p w14:paraId="7848D0DA">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 xml:space="preserve">    项目按申报省民族事业发展下达目标管理任务，有计划认真开展各项工作。在实施项目过程中严格执行项目管理制度，及时反馈执行情况并纠正相关措施。全年执行情况良好，推进各类宣传活动和宣传资料制作，少数民族产业发展示范基地建设等。</w:t>
      </w:r>
    </w:p>
    <w:p w14:paraId="20CD6FDA">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 xml:space="preserve">    三、项目绩效情况</w:t>
      </w:r>
    </w:p>
    <w:p w14:paraId="7F1285D0">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 xml:space="preserve">    （一）项目完成情况</w:t>
      </w:r>
    </w:p>
    <w:p w14:paraId="7F10EFF9">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1. 开展德阿文化宣传活动。制作各类文化展板和宣传展板，并参加绵竹市委统筹的“三比三看”活动周，全面展示园区建设发展和民族团结事业蓬勃发展。积极开展“德阿杯” 全国文学作品有奖征文活动，用文学的形式反映德阿（德阳--阿坝）生态经济产业园区发展历程、先进理念、人文情怀、精神风貌、民族团结等，充分展现园区多元发展业态，丰富园区文化，提高园区知名度，促进园区招商引资工作。</w:t>
      </w:r>
    </w:p>
    <w:p w14:paraId="3F6DBF45">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2. 拍摄宣传片、制作宣传册等资料。为提高园区知名度，加大园区民族团结事业发展浓厚氛围，先后制作完成了园区宣传片、宣传册、推介PPT等宣传资料，在丰富宣传方式的同时，向全社会大力推广宣传德阿产业园区民族事业发展。</w:t>
      </w:r>
    </w:p>
    <w:p w14:paraId="48D45A84">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 xml:space="preserve">    （二）项目效益情况</w:t>
      </w:r>
    </w:p>
    <w:p w14:paraId="45902959">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通过民族团结进步示范单位的创建，实现园区及园区企业形成浓厚的民族团结进步创建氛围，进一步增强园区广大干部职工及企业民族团结进步创建的意识，推动园区民族团结文化发展，进一步转变思想，转变观念提高园区各企业创建理念，建设民族团结典范。</w:t>
      </w:r>
    </w:p>
    <w:p w14:paraId="6C749288">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四、存在问题</w:t>
      </w:r>
    </w:p>
    <w:p w14:paraId="1EAE1121">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r>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t xml:space="preserve">    民族事业发展涉及面宽，工作较为复杂，在强化民族大团结，加强民族大融合，做好一切工作的根本前提和保障，推进园区民族团结进步创建，推动德阿共建、产业发展，还需持续加大力度，下足功夫，为民族团结进步贡献园区力量。</w:t>
      </w:r>
    </w:p>
    <w:p w14:paraId="59F8D003">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en-US" w:eastAsia="zh-CN" w:bidi="ar-SA"/>
        </w:rPr>
      </w:pPr>
    </w:p>
    <w:p w14:paraId="19917C5D">
      <w:pPr>
        <w:widowControl w:val="0"/>
        <w:wordWrap/>
        <w:adjustRightInd/>
        <w:snapToGrid/>
        <w:spacing w:line="600" w:lineRule="exact"/>
        <w:jc w:val="center"/>
        <w:textAlignment w:val="auto"/>
        <w:outlineLvl w:val="9"/>
        <w:rPr>
          <w:rFonts w:hint="eastAsia" w:ascii="宋体" w:hAnsi="宋体" w:eastAsia="宋体" w:cs="宋体"/>
          <w:b/>
          <w:bCs/>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项目支出绩效自评报告</w:t>
      </w:r>
    </w:p>
    <w:p w14:paraId="4960E911">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——寺观教堂维修补助资金项目</w:t>
      </w:r>
    </w:p>
    <w:p w14:paraId="5806F958">
      <w:pPr>
        <w:widowControl w:val="0"/>
        <w:numPr>
          <w:ilvl w:val="0"/>
          <w:numId w:val="0"/>
        </w:numPr>
        <w:wordWrap/>
        <w:spacing w:line="600" w:lineRule="exact"/>
        <w:ind w:left="0" w:leftChars="0" w:right="0"/>
        <w:jc w:val="left"/>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lang w:val="en-US" w:eastAsia="zh-CN"/>
        </w:rPr>
        <w:t xml:space="preserve"> </w:t>
      </w:r>
      <w:r>
        <w:rPr>
          <w:rFonts w:hint="default" w:ascii="Times New Roman" w:hAnsi="Times New Roman" w:eastAsia="方正仿宋简体" w:cs="Times New Roman"/>
          <w:b w:val="0"/>
          <w:bCs w:val="0"/>
          <w:sz w:val="32"/>
          <w:szCs w:val="32"/>
          <w:lang w:val="en-US" w:eastAsia="zh-CN"/>
        </w:rPr>
        <w:t xml:space="preserve">  </w:t>
      </w:r>
      <w:r>
        <w:rPr>
          <w:rFonts w:hint="eastAsia" w:ascii="仿宋_GB2312" w:hAnsi="仿宋_GB2312" w:eastAsia="仿宋_GB2312" w:cs="仿宋_GB2312"/>
          <w:b w:val="0"/>
          <w:bCs w:val="0"/>
          <w:sz w:val="32"/>
          <w:szCs w:val="32"/>
          <w:lang w:val="en-US" w:eastAsia="zh-CN"/>
        </w:rPr>
        <w:t xml:space="preserve"> </w:t>
      </w:r>
    </w:p>
    <w:p w14:paraId="6CA8CF0E">
      <w:pPr>
        <w:widowControl w:val="0"/>
        <w:numPr>
          <w:ilvl w:val="0"/>
          <w:numId w:val="0"/>
        </w:numPr>
        <w:wordWrap/>
        <w:spacing w:line="600" w:lineRule="exact"/>
        <w:ind w:left="0" w:leftChars="0" w:right="0"/>
        <w:jc w:val="left"/>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 xml:space="preserve"> 一、项目概况</w:t>
      </w:r>
    </w:p>
    <w:p w14:paraId="345AF712">
      <w:pPr>
        <w:widowControl w:val="0"/>
        <w:numPr>
          <w:ilvl w:val="0"/>
          <w:numId w:val="0"/>
        </w:numPr>
        <w:wordWrap/>
        <w:spacing w:line="600" w:lineRule="exact"/>
        <w:ind w:left="0" w:leftChars="0" w:right="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i w:val="0"/>
          <w:iCs w:val="0"/>
          <w:caps w:val="0"/>
          <w:color w:val="333333"/>
          <w:spacing w:val="0"/>
          <w:sz w:val="32"/>
          <w:szCs w:val="32"/>
          <w:shd w:val="clear" w:fill="FFFFFF"/>
        </w:rPr>
        <w:t>寺观教堂</w:t>
      </w:r>
      <w:r>
        <w:rPr>
          <w:rFonts w:hint="eastAsia" w:ascii="仿宋_GB2312" w:hAnsi="仿宋_GB2312" w:eastAsia="仿宋_GB2312" w:cs="仿宋_GB2312"/>
          <w:i w:val="0"/>
          <w:iCs w:val="0"/>
          <w:caps w:val="0"/>
          <w:color w:val="333333"/>
          <w:spacing w:val="0"/>
          <w:sz w:val="32"/>
          <w:szCs w:val="32"/>
          <w:shd w:val="clear" w:fill="FFFFFF"/>
          <w:lang w:val="en-US" w:eastAsia="zh-CN"/>
        </w:rPr>
        <w:t>是</w:t>
      </w:r>
      <w:r>
        <w:rPr>
          <w:rFonts w:hint="eastAsia" w:ascii="仿宋_GB2312" w:hAnsi="仿宋_GB2312" w:eastAsia="仿宋_GB2312" w:cs="仿宋_GB2312"/>
          <w:i w:val="0"/>
          <w:iCs w:val="0"/>
          <w:caps w:val="0"/>
          <w:color w:val="333333"/>
          <w:spacing w:val="0"/>
          <w:sz w:val="32"/>
          <w:szCs w:val="32"/>
          <w:shd w:val="clear" w:fill="FFFFFF"/>
        </w:rPr>
        <w:t>信教公民开展集体宗教活动的宗教活动场所</w:t>
      </w:r>
      <w:r>
        <w:rPr>
          <w:rFonts w:hint="eastAsia" w:ascii="仿宋_GB2312" w:hAnsi="仿宋_GB2312" w:eastAsia="仿宋_GB2312" w:cs="仿宋_GB2312"/>
          <w:i w:val="0"/>
          <w:iCs w:val="0"/>
          <w:caps w:val="0"/>
          <w:color w:val="333333"/>
          <w:spacing w:val="0"/>
          <w:sz w:val="32"/>
          <w:szCs w:val="32"/>
          <w:shd w:val="clear" w:fill="FFFFFF"/>
          <w:lang w:eastAsia="zh-CN"/>
        </w:rPr>
        <w:t>，</w:t>
      </w:r>
      <w:r>
        <w:rPr>
          <w:rFonts w:hint="eastAsia" w:ascii="仿宋_GB2312" w:hAnsi="仿宋_GB2312" w:eastAsia="仿宋_GB2312" w:cs="仿宋_GB2312"/>
          <w:i w:val="0"/>
          <w:iCs w:val="0"/>
          <w:caps w:val="0"/>
          <w:color w:val="333333"/>
          <w:spacing w:val="0"/>
          <w:sz w:val="32"/>
          <w:szCs w:val="32"/>
          <w:shd w:val="clear" w:fill="FFFFFF"/>
          <w:lang w:val="en-US" w:eastAsia="zh-CN"/>
        </w:rPr>
        <w:t>是一人员集中密集的公共场所。加强其殿堂、房屋及相关设施的日常维修维护，确保其安全，显得尤其重要和必须</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2021年度我市本级寺观教堂维修补助资金为8万元。</w:t>
      </w:r>
    </w:p>
    <w:p w14:paraId="2773D914">
      <w:pPr>
        <w:numPr>
          <w:ilvl w:val="0"/>
          <w:numId w:val="0"/>
        </w:numPr>
        <w:ind w:leftChars="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寺观教堂维修补助资金</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i w:val="0"/>
          <w:caps w:val="0"/>
          <w:color w:val="auto"/>
          <w:spacing w:val="0"/>
          <w:sz w:val="32"/>
          <w:szCs w:val="32"/>
          <w:shd w:val="clear" w:color="070000" w:fill="FFFFFF"/>
          <w:lang w:val="en-US" w:eastAsia="zh-CN"/>
        </w:rPr>
        <w:t>是专项用于具体寺观教堂内殿堂、房屋及相关宗教设施维修的补助资金。须按项目规划设计及具体实施方案进行施工，专款专用，按时完成。</w:t>
      </w:r>
    </w:p>
    <w:p w14:paraId="26CD24B0">
      <w:pPr>
        <w:widowControl w:val="0"/>
        <w:numPr>
          <w:ilvl w:val="0"/>
          <w:numId w:val="0"/>
        </w:numPr>
        <w:wordWrap/>
        <w:spacing w:line="600" w:lineRule="exact"/>
        <w:ind w:left="0" w:leftChars="0" w:right="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黑体" w:hAnsi="黑体" w:eastAsia="黑体" w:cs="黑体"/>
          <w:b w:val="0"/>
          <w:bCs w:val="0"/>
          <w:sz w:val="32"/>
          <w:szCs w:val="32"/>
          <w:lang w:val="en-US" w:eastAsia="zh-CN"/>
        </w:rPr>
        <w:t>二、项目实施及管理情况</w:t>
      </w:r>
    </w:p>
    <w:p w14:paraId="2816E08A">
      <w:pPr>
        <w:widowControl w:val="0"/>
        <w:numPr>
          <w:ilvl w:val="0"/>
          <w:numId w:val="0"/>
        </w:numPr>
        <w:wordWrap/>
        <w:spacing w:line="600" w:lineRule="exact"/>
        <w:ind w:left="0" w:leftChars="0" w:right="0" w:firstLine="643" w:firstLineChars="20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（一）资金计划、到位及使用情况</w:t>
      </w:r>
    </w:p>
    <w:p w14:paraId="556235B0">
      <w:pPr>
        <w:widowControl w:val="0"/>
        <w:numPr>
          <w:ilvl w:val="0"/>
          <w:numId w:val="0"/>
        </w:numPr>
        <w:wordWrap/>
        <w:spacing w:line="600" w:lineRule="exact"/>
        <w:ind w:left="0" w:leftChars="0" w:right="0" w:firstLine="640" w:firstLineChars="20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1.资金计划及到位。2021年度寺观教堂维修补助资金，由绵竹市财政局下达计划8万元，其中绵竹市吉祥寺3万元，绵竹市严仙观3万元、绵竹市广化院2万。本级财政按要求及时拨付到项目单位。</w:t>
      </w:r>
    </w:p>
    <w:p w14:paraId="2A69A6F2">
      <w:pPr>
        <w:numPr>
          <w:ilvl w:val="0"/>
          <w:numId w:val="0"/>
        </w:numPr>
        <w:ind w:leftChars="0" w:firstLine="64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2.资金使用。项目资金按照《四川省寺观教堂维修补助资金管理办法》（川财行〔2018〕216号）规定进行严格管理，资金的使用符合法律法规和相关政策要求。</w:t>
      </w:r>
    </w:p>
    <w:p w14:paraId="16FF698F">
      <w:pPr>
        <w:numPr>
          <w:ilvl w:val="0"/>
          <w:numId w:val="0"/>
        </w:numPr>
        <w:ind w:leftChars="0" w:firstLine="64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（二）项目组织实施情况</w:t>
      </w:r>
    </w:p>
    <w:p w14:paraId="5208AFB5">
      <w:pPr>
        <w:numPr>
          <w:ilvl w:val="0"/>
          <w:numId w:val="0"/>
        </w:numPr>
        <w:ind w:leftChars="0"/>
        <w:rPr>
          <w:rFonts w:hint="default"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项目按照省上下达计划，用于绵竹市吉祥寺、广化院、严仙观殿堂和僧住房的修缮。</w:t>
      </w:r>
    </w:p>
    <w:p w14:paraId="61FE7696">
      <w:pPr>
        <w:widowControl w:val="0"/>
        <w:numPr>
          <w:ilvl w:val="0"/>
          <w:numId w:val="0"/>
        </w:numPr>
        <w:wordWrap/>
        <w:spacing w:line="600" w:lineRule="exact"/>
        <w:ind w:left="0" w:leftChars="0" w:right="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bCs/>
          <w:sz w:val="32"/>
          <w:szCs w:val="32"/>
          <w:lang w:val="en-US" w:eastAsia="zh-CN"/>
        </w:rPr>
        <w:t xml:space="preserve"> </w:t>
      </w:r>
      <w:r>
        <w:rPr>
          <w:rFonts w:hint="eastAsia" w:ascii="黑体" w:hAnsi="黑体" w:eastAsia="黑体" w:cs="黑体"/>
          <w:b w:val="0"/>
          <w:bCs w:val="0"/>
          <w:sz w:val="32"/>
          <w:szCs w:val="32"/>
          <w:lang w:val="en-US" w:eastAsia="zh-CN"/>
        </w:rPr>
        <w:t>三、项目绩效情况</w:t>
      </w:r>
    </w:p>
    <w:p w14:paraId="49A3E9B3">
      <w:pPr>
        <w:numPr>
          <w:ilvl w:val="0"/>
          <w:numId w:val="0"/>
        </w:numPr>
        <w:ind w:leftChars="0"/>
        <w:rPr>
          <w:rFonts w:hint="eastAsia" w:ascii="仿宋_GB2312" w:hAnsi="仿宋_GB2312" w:eastAsia="仿宋_GB2312" w:cs="仿宋_GB2312"/>
          <w:i w:val="0"/>
          <w:caps w:val="0"/>
          <w:color w:val="333333"/>
          <w:spacing w:val="0"/>
          <w:sz w:val="32"/>
          <w:szCs w:val="32"/>
          <w:shd w:val="clear" w:color="070000" w:fill="FFFFFF"/>
          <w:lang w:val="en-US" w:eastAsia="zh-CN"/>
        </w:rPr>
      </w:pPr>
      <w:r>
        <w:rPr>
          <w:rFonts w:hint="eastAsia" w:ascii="仿宋_GB2312" w:hAnsi="仿宋_GB2312" w:eastAsia="仿宋_GB2312" w:cs="仿宋_GB2312"/>
          <w:i w:val="0"/>
          <w:caps w:val="0"/>
          <w:color w:val="333333"/>
          <w:spacing w:val="0"/>
          <w:sz w:val="32"/>
          <w:szCs w:val="32"/>
          <w:shd w:val="clear" w:color="070000" w:fill="FFFFFF"/>
          <w:lang w:val="en-US" w:eastAsia="zh-CN"/>
        </w:rPr>
        <w:t xml:space="preserve">    </w:t>
      </w:r>
      <w:r>
        <w:rPr>
          <w:rFonts w:hint="eastAsia" w:ascii="仿宋_GB2312" w:hAnsi="仿宋_GB2312" w:eastAsia="仿宋_GB2312" w:cs="仿宋_GB2312"/>
          <w:b/>
          <w:bCs/>
          <w:i w:val="0"/>
          <w:caps w:val="0"/>
          <w:color w:val="333333"/>
          <w:spacing w:val="0"/>
          <w:sz w:val="32"/>
          <w:szCs w:val="32"/>
          <w:shd w:val="clear" w:color="070000" w:fill="FFFFFF"/>
          <w:lang w:val="en-US" w:eastAsia="zh-CN"/>
        </w:rPr>
        <w:t>（一）项目完成情况</w:t>
      </w:r>
    </w:p>
    <w:p w14:paraId="321EFE4A">
      <w:pPr>
        <w:pStyle w:val="2"/>
        <w:ind w:left="0" w:leftChars="0" w:firstLine="640" w:firstLineChars="200"/>
        <w:rPr>
          <w:rFonts w:hint="default" w:ascii="仿宋_GB2312" w:hAnsi="仿宋_GB2312" w:eastAsia="仿宋_GB2312" w:cs="仿宋_GB2312"/>
          <w:i w:val="0"/>
          <w:caps w:val="0"/>
          <w:color w:val="333333"/>
          <w:spacing w:val="0"/>
          <w:sz w:val="32"/>
          <w:szCs w:val="32"/>
          <w:shd w:val="clear" w:color="070000" w:fill="FFFFFF"/>
          <w:lang w:val="en-US" w:eastAsia="zh-CN"/>
        </w:rPr>
      </w:pPr>
      <w:r>
        <w:rPr>
          <w:rFonts w:hint="eastAsia" w:cs="仿宋_GB2312"/>
          <w:i w:val="0"/>
          <w:caps w:val="0"/>
          <w:color w:val="333333"/>
          <w:spacing w:val="0"/>
          <w:sz w:val="32"/>
          <w:szCs w:val="32"/>
          <w:shd w:val="clear" w:color="070000" w:fill="FFFFFF"/>
          <w:lang w:val="en-US" w:eastAsia="zh-CN"/>
        </w:rPr>
        <w:t>一是吉祥寺完成了观音的部分修缮；二是严仙观完成三清殿墙体的修复和柱子的维修；三是广化院西厢房完成屋面的防漏修复。</w:t>
      </w:r>
    </w:p>
    <w:p w14:paraId="3403E029">
      <w:pPr>
        <w:widowControl w:val="0"/>
        <w:numPr>
          <w:ilvl w:val="0"/>
          <w:numId w:val="0"/>
        </w:numPr>
        <w:wordWrap/>
        <w:spacing w:line="600" w:lineRule="exact"/>
        <w:ind w:right="0"/>
        <w:jc w:val="lef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（二）项目效益情况</w:t>
      </w:r>
    </w:p>
    <w:p w14:paraId="22D3EC1A">
      <w:pPr>
        <w:widowControl w:val="0"/>
        <w:numPr>
          <w:ilvl w:val="0"/>
          <w:numId w:val="0"/>
        </w:numPr>
        <w:wordWrap/>
        <w:spacing w:line="600" w:lineRule="exact"/>
        <w:ind w:right="0" w:firstLine="642"/>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通过项目实施，消除了三处场所有关殿堂建筑的安全隐患，提高了寺庙的房屋安全整体水平，增强宗教活动场所及宗教教职人员的安全意识，消除了安全事故的发生，确保了场所的安全稳定。</w:t>
      </w:r>
    </w:p>
    <w:p w14:paraId="0FFC93CE">
      <w:pPr>
        <w:widowControl w:val="0"/>
        <w:numPr>
          <w:ilvl w:val="0"/>
          <w:numId w:val="0"/>
        </w:numPr>
        <w:wordWrap/>
        <w:spacing w:line="600" w:lineRule="exact"/>
        <w:ind w:left="0" w:leftChars="0" w:righ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四、问题及建议</w:t>
      </w:r>
    </w:p>
    <w:p w14:paraId="4DB97395">
      <w:pPr>
        <w:widowControl w:val="0"/>
        <w:numPr>
          <w:ilvl w:val="0"/>
          <w:numId w:val="0"/>
        </w:numPr>
        <w:wordWrap/>
        <w:spacing w:line="600" w:lineRule="exact"/>
        <w:ind w:left="0" w:leftChars="0" w:right="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（一）存在的问题。无</w:t>
      </w:r>
      <w:r>
        <w:rPr>
          <w:rFonts w:hint="eastAsia" w:ascii="仿宋_GB2312" w:hAnsi="仿宋_GB2312" w:eastAsia="仿宋_GB2312" w:cs="仿宋_GB2312"/>
          <w:b w:val="0"/>
          <w:bCs w:val="0"/>
          <w:sz w:val="32"/>
          <w:szCs w:val="32"/>
          <w:lang w:val="en-US" w:eastAsia="zh-CN"/>
        </w:rPr>
        <w:t>。</w:t>
      </w:r>
    </w:p>
    <w:p w14:paraId="0E94DF00">
      <w:pPr>
        <w:widowControl w:val="0"/>
        <w:numPr>
          <w:ilvl w:val="0"/>
          <w:numId w:val="0"/>
        </w:numPr>
        <w:wordWrap/>
        <w:spacing w:line="600" w:lineRule="exact"/>
        <w:ind w:left="0" w:leftChars="0" w:right="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（二）相关建议。无</w:t>
      </w:r>
      <w:r>
        <w:rPr>
          <w:rFonts w:hint="eastAsia" w:ascii="仿宋_GB2312" w:hAnsi="仿宋_GB2312" w:eastAsia="仿宋_GB2312" w:cs="仿宋_GB2312"/>
          <w:b w:val="0"/>
          <w:bCs w:val="0"/>
          <w:sz w:val="32"/>
          <w:szCs w:val="32"/>
          <w:lang w:val="en-US" w:eastAsia="zh-CN"/>
        </w:rPr>
        <w:t>。</w:t>
      </w:r>
    </w:p>
    <w:p w14:paraId="40DCA628">
      <w:pPr>
        <w:ind w:firstLine="1280" w:firstLineChars="400"/>
        <w:rPr>
          <w:rFonts w:hint="eastAsia" w:ascii="仿宋_GB2312" w:hAnsi="Times New Roman" w:eastAsia="仿宋_GB2312" w:cs="仿宋_GB2312"/>
          <w:i w:val="0"/>
          <w:caps w:val="0"/>
          <w:color w:val="333333"/>
          <w:spacing w:val="0"/>
          <w:kern w:val="0"/>
          <w:sz w:val="32"/>
          <w:szCs w:val="32"/>
          <w:shd w:val="clear" w:color="070000" w:fill="FFFFFF"/>
          <w:lang w:val="zh-CN" w:eastAsia="zh-CN" w:bidi="ar-SA"/>
        </w:rPr>
      </w:pPr>
    </w:p>
    <w:p w14:paraId="31892585">
      <w:pPr>
        <w:pStyle w:val="2"/>
        <w:rPr>
          <w:rFonts w:hint="eastAsia" w:ascii="仿宋_GB2312" w:hAnsi="Times New Roman" w:eastAsia="仿宋_GB2312" w:cs="仿宋_GB2312"/>
          <w:i w:val="0"/>
          <w:caps w:val="0"/>
          <w:color w:val="333333"/>
          <w:spacing w:val="0"/>
          <w:kern w:val="0"/>
          <w:sz w:val="32"/>
          <w:szCs w:val="32"/>
          <w:shd w:val="clear" w:color="070000" w:fill="FFFFFF"/>
          <w:lang w:val="zh-CN" w:eastAsia="zh-CN" w:bidi="ar-SA"/>
        </w:rPr>
      </w:pPr>
    </w:p>
    <w:p w14:paraId="6560F3F7">
      <w:pPr>
        <w:spacing w:line="600" w:lineRule="exact"/>
        <w:jc w:val="center"/>
        <w:rPr>
          <w:rFonts w:ascii="宋体" w:hAnsi="宋体" w:cs="宋体"/>
          <w:b/>
          <w:bCs/>
          <w:sz w:val="44"/>
          <w:szCs w:val="44"/>
        </w:rPr>
      </w:pPr>
      <w:r>
        <w:rPr>
          <w:rFonts w:hint="eastAsia" w:ascii="方正小标宋简体" w:hAnsi="方正小标宋简体" w:eastAsia="方正小标宋简体" w:cs="方正小标宋简体"/>
          <w:sz w:val="44"/>
          <w:szCs w:val="44"/>
        </w:rPr>
        <w:t>项目支出绩效自评报告</w:t>
      </w:r>
    </w:p>
    <w:p w14:paraId="69BE461E">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——四川民族事业发展专项资金</w:t>
      </w:r>
    </w:p>
    <w:p w14:paraId="67552B13">
      <w:pPr>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2021年绵竹市民族事业发展项目工作在市委、市政府的正确领导和上级民宗局的指导下，在涉及镇党委、政府和村组的大力支持下，全力推进了我市民族事业发展的项目工作，项目顺利完成，项目效益初步显现。现将2021年民族事业发展资金绩效自评情况报告如下：</w:t>
      </w:r>
    </w:p>
    <w:p w14:paraId="19DDCFD6">
      <w:pPr>
        <w:spacing w:line="60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一、项目基本情况</w:t>
      </w:r>
    </w:p>
    <w:p w14:paraId="509F9753">
      <w:pPr>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绵竹市2021年完成民族团结保障经费工作共计投入资金60万元，其中麓棠镇少数民族培训项目20万元，清平镇羌汉民族文化阵地建设及非物质文化遗产进景区项目40万。</w:t>
      </w:r>
    </w:p>
    <w:p w14:paraId="403D65AD">
      <w:pPr>
        <w:spacing w:line="600" w:lineRule="exact"/>
        <w:ind w:firstLine="640" w:firstLineChars="20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二、项目绩效自评工作开展情况</w:t>
      </w:r>
    </w:p>
    <w:p w14:paraId="33B3A19B">
      <w:pPr>
        <w:ind w:firstLine="643"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b/>
          <w:bCs/>
          <w:sz w:val="32"/>
          <w:szCs w:val="32"/>
          <w:lang w:val="en-US" w:eastAsia="zh-CN"/>
        </w:rPr>
        <w:t>（一）统一思想，提高认识。</w:t>
      </w:r>
      <w:r>
        <w:rPr>
          <w:rFonts w:hint="eastAsia" w:ascii="仿宋_GB2312" w:hAnsi="仿宋_GB2312" w:eastAsia="仿宋_GB2312" w:cs="仿宋_GB2312"/>
          <w:kern w:val="2"/>
          <w:sz w:val="32"/>
          <w:szCs w:val="32"/>
          <w:shd w:val="clear" w:color="auto" w:fill="FFFFFF"/>
          <w:lang w:val="en-US" w:eastAsia="zh-CN" w:bidi="ar-SA"/>
        </w:rPr>
        <w:t>为做好2021年民族团结保障绩效自评工作，市民宗局召开会议，领会文件精神，积极部署，安排专人负责绩效自评工作，把全局思想认识统一到全县开展机关绩效评价工作的决策部署上来，保证各项任务的落实到位。</w:t>
      </w:r>
    </w:p>
    <w:p w14:paraId="52801F51">
      <w:pPr>
        <w:ind w:firstLine="643"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b/>
          <w:bCs/>
          <w:sz w:val="32"/>
          <w:szCs w:val="32"/>
          <w:lang w:val="en-US" w:eastAsia="zh-CN"/>
        </w:rPr>
        <w:t>（二）加强领导，精心组织。</w:t>
      </w:r>
      <w:r>
        <w:rPr>
          <w:rFonts w:hint="eastAsia" w:ascii="仿宋_GB2312" w:hAnsi="仿宋_GB2312" w:eastAsia="仿宋_GB2312" w:cs="仿宋_GB2312"/>
          <w:kern w:val="2"/>
          <w:sz w:val="32"/>
          <w:szCs w:val="32"/>
          <w:shd w:val="clear" w:color="auto" w:fill="FFFFFF"/>
          <w:lang w:val="en-US" w:eastAsia="zh-CN" w:bidi="ar-SA"/>
        </w:rPr>
        <w:t>成立以领导绩效评价工作领导小组，认真梳理了所实施的项目基本情况，并对指标数据进行归类梳理，促进评价方式方法的规范化、科学化、制度化，确保各项目标任务的顺利实现和数据的真实、准确、及时。</w:t>
      </w:r>
    </w:p>
    <w:p w14:paraId="49514E8D">
      <w:pPr>
        <w:ind w:firstLine="643"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b/>
          <w:bCs/>
          <w:sz w:val="32"/>
          <w:szCs w:val="32"/>
          <w:lang w:val="en-US" w:eastAsia="zh-CN"/>
        </w:rPr>
        <w:t>（三）严格程序，认真自评。</w:t>
      </w:r>
      <w:r>
        <w:rPr>
          <w:rFonts w:hint="eastAsia" w:ascii="仿宋_GB2312" w:hAnsi="仿宋_GB2312" w:eastAsia="仿宋_GB2312" w:cs="仿宋_GB2312"/>
          <w:kern w:val="2"/>
          <w:sz w:val="32"/>
          <w:szCs w:val="32"/>
          <w:shd w:val="clear" w:color="auto" w:fill="FFFFFF"/>
          <w:lang w:val="en-US" w:eastAsia="zh-CN" w:bidi="ar-SA"/>
        </w:rPr>
        <w:t>在年度绩效评价过程中，我局以认真负责的态度和求真务实的精神，对各项指标按规范程序及时梳理并检验核定。在此基础上做好我局自评工作，做到实事求是，数据不虚报、不瞒报。</w:t>
      </w:r>
    </w:p>
    <w:p w14:paraId="30C3AAD9">
      <w:pPr>
        <w:widowControl w:val="0"/>
        <w:numPr>
          <w:ilvl w:val="0"/>
          <w:numId w:val="0"/>
        </w:numPr>
        <w:wordWrap/>
        <w:spacing w:line="600" w:lineRule="exact"/>
        <w:ind w:left="0" w:leftChars="0" w:right="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三、项目绩效实现情况</w:t>
      </w:r>
    </w:p>
    <w:p w14:paraId="53845EC2">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（一）项目资金情况</w:t>
      </w:r>
    </w:p>
    <w:p w14:paraId="27D76878">
      <w:pPr>
        <w:ind w:firstLine="643" w:firstLineChars="200"/>
        <w:rPr>
          <w:rFonts w:hint="eastAsia" w:ascii="仿宋_GB2312" w:hAnsi="仿宋_GB2312" w:eastAsia="仿宋_GB2312" w:cs="仿宋_GB2312"/>
          <w:b/>
          <w:bCs/>
          <w:kern w:val="2"/>
          <w:sz w:val="32"/>
          <w:szCs w:val="32"/>
          <w:shd w:val="clear" w:color="auto" w:fill="FFFFFF"/>
          <w:lang w:val="en-US" w:eastAsia="zh-CN" w:bidi="ar-SA"/>
        </w:rPr>
      </w:pPr>
      <w:r>
        <w:rPr>
          <w:rFonts w:hint="eastAsia" w:ascii="仿宋_GB2312" w:hAnsi="仿宋_GB2312" w:eastAsia="仿宋_GB2312" w:cs="仿宋_GB2312"/>
          <w:b/>
          <w:bCs/>
          <w:kern w:val="2"/>
          <w:sz w:val="32"/>
          <w:szCs w:val="32"/>
          <w:shd w:val="clear" w:color="auto" w:fill="FFFFFF"/>
          <w:lang w:val="en-US" w:eastAsia="zh-CN" w:bidi="ar-SA"/>
        </w:rPr>
        <w:t>1．项目资金到位情况。</w:t>
      </w:r>
    </w:p>
    <w:p w14:paraId="444A68D6">
      <w:pPr>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经对项目实施单位资金拨付相关凭证、票据进行查看，所实施的民族事业发展项目都严格按照实施方案和项目进度及时拨付项目资金，资金到位率100%。</w:t>
      </w:r>
    </w:p>
    <w:p w14:paraId="7D3137AB">
      <w:pPr>
        <w:ind w:firstLine="643" w:firstLineChars="200"/>
        <w:rPr>
          <w:rFonts w:hint="eastAsia" w:ascii="仿宋_GB2312" w:hAnsi="仿宋_GB2312" w:eastAsia="仿宋_GB2312" w:cs="仿宋_GB2312"/>
          <w:b/>
          <w:bCs/>
          <w:kern w:val="2"/>
          <w:sz w:val="32"/>
          <w:szCs w:val="32"/>
          <w:shd w:val="clear" w:color="auto" w:fill="FFFFFF"/>
          <w:lang w:val="en-US" w:eastAsia="zh-CN" w:bidi="ar-SA"/>
        </w:rPr>
      </w:pPr>
      <w:r>
        <w:rPr>
          <w:rFonts w:hint="eastAsia" w:ascii="仿宋_GB2312" w:hAnsi="仿宋_GB2312" w:eastAsia="仿宋_GB2312" w:cs="仿宋_GB2312"/>
          <w:b/>
          <w:bCs/>
          <w:kern w:val="2"/>
          <w:sz w:val="32"/>
          <w:szCs w:val="32"/>
          <w:shd w:val="clear" w:color="auto" w:fill="FFFFFF"/>
          <w:lang w:val="en-US" w:eastAsia="zh-CN" w:bidi="ar-SA"/>
        </w:rPr>
        <w:t>2.项目资金执行情况。</w:t>
      </w:r>
    </w:p>
    <w:p w14:paraId="78AFB499">
      <w:pPr>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绵竹市2021年完成民族事业发展项目共计投入资金60万元。其中</w:t>
      </w:r>
      <w:r>
        <w:rPr>
          <w:rFonts w:hint="eastAsia" w:ascii="仿宋_GB2312" w:hAnsi="仿宋_GB2312" w:eastAsia="仿宋_GB2312" w:cs="仿宋_GB2312"/>
          <w:b/>
          <w:bCs/>
          <w:kern w:val="2"/>
          <w:sz w:val="32"/>
          <w:szCs w:val="32"/>
          <w:shd w:val="clear" w:color="auto" w:fill="FFFFFF"/>
          <w:lang w:val="en-US" w:eastAsia="zh-CN" w:bidi="ar-SA"/>
        </w:rPr>
        <w:t>麓棠镇</w:t>
      </w:r>
      <w:r>
        <w:rPr>
          <w:rFonts w:hint="eastAsia" w:ascii="仿宋_GB2312" w:hAnsi="仿宋_GB2312" w:eastAsia="仿宋_GB2312" w:cs="仿宋_GB2312"/>
          <w:kern w:val="2"/>
          <w:sz w:val="32"/>
          <w:szCs w:val="32"/>
          <w:shd w:val="clear" w:color="auto" w:fill="FFFFFF"/>
          <w:lang w:val="en-US" w:eastAsia="zh-CN" w:bidi="ar-SA"/>
        </w:rPr>
        <w:t>少数民族培训项目</w:t>
      </w:r>
      <w:r>
        <w:rPr>
          <w:rFonts w:hint="eastAsia" w:ascii="仿宋_GB2312" w:hAnsi="仿宋_GB2312" w:eastAsia="仿宋_GB2312" w:cs="仿宋_GB2312"/>
          <w:b/>
          <w:bCs/>
          <w:kern w:val="2"/>
          <w:sz w:val="32"/>
          <w:szCs w:val="32"/>
          <w:shd w:val="clear" w:color="auto" w:fill="FFFFFF"/>
          <w:lang w:val="en-US" w:eastAsia="zh-CN" w:bidi="ar-SA"/>
        </w:rPr>
        <w:t>20万</w:t>
      </w:r>
      <w:r>
        <w:rPr>
          <w:rFonts w:hint="eastAsia" w:ascii="仿宋_GB2312" w:hAnsi="仿宋_GB2312" w:eastAsia="仿宋_GB2312" w:cs="仿宋_GB2312"/>
          <w:kern w:val="2"/>
          <w:sz w:val="32"/>
          <w:szCs w:val="32"/>
          <w:shd w:val="clear" w:color="auto" w:fill="FFFFFF"/>
          <w:lang w:val="en-US" w:eastAsia="zh-CN" w:bidi="ar-SA"/>
        </w:rPr>
        <w:t>元，共计开展了6次培训，培训人次达1500余人次，</w:t>
      </w:r>
      <w:r>
        <w:rPr>
          <w:rFonts w:hint="eastAsia" w:ascii="仿宋_GB2312" w:hAnsi="仿宋_GB2312" w:eastAsia="仿宋_GB2312" w:cs="仿宋_GB2312"/>
          <w:sz w:val="32"/>
          <w:szCs w:val="32"/>
          <w:shd w:val="clear" w:color="070000" w:fill="FFFFFF"/>
        </w:rPr>
        <w:t>主要用于对镇上少数民族种植、养殖户等开展畜牧技术培训和农业技术培训</w:t>
      </w:r>
      <w:r>
        <w:rPr>
          <w:rFonts w:hint="eastAsia" w:ascii="仿宋_GB2312" w:hAnsi="仿宋_GB2312" w:eastAsia="仿宋_GB2312" w:cs="仿宋_GB2312"/>
          <w:sz w:val="32"/>
          <w:szCs w:val="32"/>
          <w:shd w:val="clear" w:color="070000" w:fill="FFFFFF"/>
          <w:lang w:eastAsia="zh-CN"/>
        </w:rPr>
        <w:t>，通过培训进一步增强少数民族致富能力，让其能够更好的融入当地生活，增强与当地群众的团结，共同构建平等互助、幸福美丽家园</w:t>
      </w:r>
      <w:r>
        <w:rPr>
          <w:rFonts w:hint="eastAsia" w:ascii="仿宋_GB2312" w:hAnsi="仿宋_GB2312" w:eastAsia="仿宋_GB2312" w:cs="仿宋_GB2312"/>
          <w:sz w:val="32"/>
          <w:szCs w:val="32"/>
          <w:shd w:val="clear" w:color="070000" w:fill="FFFFFF"/>
        </w:rPr>
        <w:t>。</w:t>
      </w:r>
      <w:r>
        <w:rPr>
          <w:rFonts w:hint="eastAsia" w:ascii="仿宋_GB2312" w:hAnsi="仿宋_GB2312" w:eastAsia="仿宋_GB2312" w:cs="仿宋_GB2312"/>
          <w:b/>
          <w:bCs/>
          <w:kern w:val="2"/>
          <w:sz w:val="32"/>
          <w:szCs w:val="32"/>
          <w:shd w:val="clear" w:color="auto" w:fill="FFFFFF"/>
          <w:lang w:val="en-US" w:eastAsia="zh-CN" w:bidi="ar-SA"/>
        </w:rPr>
        <w:t>清平镇</w:t>
      </w:r>
      <w:r>
        <w:rPr>
          <w:rFonts w:hint="eastAsia" w:ascii="仿宋_GB2312" w:hAnsi="仿宋_GB2312" w:eastAsia="仿宋_GB2312" w:cs="仿宋_GB2312"/>
          <w:kern w:val="2"/>
          <w:sz w:val="32"/>
          <w:szCs w:val="32"/>
          <w:shd w:val="clear" w:color="auto" w:fill="FFFFFF"/>
          <w:lang w:val="en-US" w:eastAsia="zh-CN" w:bidi="ar-SA"/>
        </w:rPr>
        <w:t>羌汉民族文化阵地建设及非物质文化遗产进景区项目</w:t>
      </w:r>
      <w:r>
        <w:rPr>
          <w:rFonts w:hint="eastAsia" w:ascii="仿宋_GB2312" w:hAnsi="仿宋_GB2312" w:eastAsia="仿宋_GB2312" w:cs="仿宋_GB2312"/>
          <w:b/>
          <w:bCs/>
          <w:kern w:val="2"/>
          <w:sz w:val="32"/>
          <w:szCs w:val="32"/>
          <w:shd w:val="clear" w:color="auto" w:fill="FFFFFF"/>
          <w:lang w:val="en-US" w:eastAsia="zh-CN" w:bidi="ar-SA"/>
        </w:rPr>
        <w:t>40万</w:t>
      </w:r>
      <w:r>
        <w:rPr>
          <w:rFonts w:hint="eastAsia" w:ascii="仿宋_GB2312" w:hAnsi="仿宋_GB2312" w:eastAsia="仿宋_GB2312" w:cs="仿宋_GB2312"/>
          <w:kern w:val="2"/>
          <w:sz w:val="32"/>
          <w:szCs w:val="32"/>
          <w:shd w:val="clear" w:color="auto" w:fill="FFFFFF"/>
          <w:lang w:val="en-US" w:eastAsia="zh-CN" w:bidi="ar-SA"/>
        </w:rPr>
        <w:t>，该项目的实施，有力推动羌汉文化同民族习惯、文艺宣讲、生产场景、时代脉地相融，更好地传承民族民间优秀传统文化，提升了羌汉特色文化影响力，并助推金色清平景区的知名度和自我发展能力提升。</w:t>
      </w:r>
    </w:p>
    <w:p w14:paraId="3B7A1313">
      <w:pPr>
        <w:ind w:firstLine="643" w:firstLineChars="200"/>
        <w:rPr>
          <w:rFonts w:hint="eastAsia" w:ascii="仿宋_GB2312" w:hAnsi="仿宋_GB2312" w:eastAsia="仿宋_GB2312" w:cs="仿宋_GB2312"/>
          <w:b/>
          <w:bCs/>
          <w:kern w:val="2"/>
          <w:sz w:val="32"/>
          <w:szCs w:val="32"/>
          <w:shd w:val="clear" w:color="auto" w:fill="FFFFFF"/>
          <w:lang w:val="en-US" w:eastAsia="zh-CN" w:bidi="ar-SA"/>
        </w:rPr>
      </w:pPr>
      <w:r>
        <w:rPr>
          <w:rFonts w:hint="eastAsia" w:ascii="仿宋_GB2312" w:hAnsi="仿宋_GB2312" w:eastAsia="仿宋_GB2312" w:cs="仿宋_GB2312"/>
          <w:b/>
          <w:bCs/>
          <w:kern w:val="2"/>
          <w:sz w:val="32"/>
          <w:szCs w:val="32"/>
          <w:shd w:val="clear" w:color="auto" w:fill="FFFFFF"/>
          <w:lang w:val="en-US" w:eastAsia="zh-CN" w:bidi="ar-SA"/>
        </w:rPr>
        <w:t>3.项目资金管理情况。</w:t>
      </w:r>
    </w:p>
    <w:p w14:paraId="5E310B06">
      <w:pPr>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2021年实施的民族事业发展项目，一是严格执行项目实施方案规定的财务管理规定，并符合相关的财务管理制度的规定。二是在其实施项目过程中，严格执行国家的财经法规和财务管理制度以及有关专项资金管理办法的规定，项目资金会计核算符合《会计法》和相关会计制度。三是严格执行项目资金监管的相关规定。</w:t>
      </w:r>
    </w:p>
    <w:p w14:paraId="4A9BC3BE">
      <w:pPr>
        <w:ind w:firstLine="643" w:firstLineChars="200"/>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（二）项目绩效指标完成情况</w:t>
      </w:r>
    </w:p>
    <w:p w14:paraId="4240710E">
      <w:pPr>
        <w:ind w:firstLine="643" w:firstLineChars="200"/>
        <w:rPr>
          <w:rFonts w:hint="eastAsia" w:ascii="仿宋_GB2312" w:hAnsi="仿宋_GB2312" w:eastAsia="仿宋_GB2312" w:cs="仿宋_GB2312"/>
          <w:b/>
          <w:bCs/>
          <w:kern w:val="2"/>
          <w:sz w:val="32"/>
          <w:szCs w:val="32"/>
          <w:shd w:val="clear" w:color="auto" w:fill="FFFFFF"/>
          <w:lang w:val="en-US" w:eastAsia="zh-CN" w:bidi="ar-SA"/>
        </w:rPr>
      </w:pPr>
      <w:r>
        <w:rPr>
          <w:rFonts w:hint="eastAsia" w:ascii="仿宋_GB2312" w:hAnsi="仿宋_GB2312" w:eastAsia="仿宋_GB2312" w:cs="仿宋_GB2312"/>
          <w:b/>
          <w:bCs/>
          <w:kern w:val="2"/>
          <w:sz w:val="32"/>
          <w:szCs w:val="32"/>
          <w:shd w:val="clear" w:color="auto" w:fill="FFFFFF"/>
          <w:lang w:val="en-US" w:eastAsia="zh-CN" w:bidi="ar-SA"/>
        </w:rPr>
        <w:t>1．产出指标完成情况。</w:t>
      </w:r>
    </w:p>
    <w:p w14:paraId="0F5A5B41">
      <w:pPr>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通过民族事业发展项目的实施，使民族团结进步理念和中华民族共同体意识真正体现在各部门各行业各领域工作中，在各族群众生产生活实践中,努力形成全市各民族共生共荣、和谐共进局面。</w:t>
      </w:r>
    </w:p>
    <w:p w14:paraId="65B5BB23">
      <w:pPr>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2</w:t>
      </w:r>
      <w:r>
        <w:rPr>
          <w:rFonts w:hint="eastAsia" w:ascii="仿宋_GB2312" w:hAnsi="仿宋_GB2312" w:eastAsia="仿宋_GB2312" w:cs="仿宋_GB2312"/>
          <w:b/>
          <w:bCs/>
          <w:kern w:val="2"/>
          <w:sz w:val="32"/>
          <w:szCs w:val="32"/>
          <w:shd w:val="clear" w:color="auto" w:fill="FFFFFF"/>
          <w:lang w:val="en-US" w:eastAsia="zh-CN" w:bidi="ar-SA"/>
        </w:rPr>
        <w:t>．效益指标完成情况。</w:t>
      </w:r>
      <w:r>
        <w:rPr>
          <w:rFonts w:hint="eastAsia" w:ascii="仿宋_GB2312" w:hAnsi="仿宋_GB2312" w:eastAsia="仿宋_GB2312" w:cs="仿宋_GB2312"/>
          <w:kern w:val="2"/>
          <w:sz w:val="32"/>
          <w:szCs w:val="32"/>
          <w:shd w:val="clear" w:color="auto" w:fill="FFFFFF"/>
          <w:lang w:val="en-US" w:eastAsia="zh-CN" w:bidi="ar-SA"/>
        </w:rPr>
        <w:t>项目实施后，有效推进项目实施地的经济社会发展，为实现各民族团结、经济社会同步发展奠定了基础。</w:t>
      </w:r>
    </w:p>
    <w:p w14:paraId="0C94233F">
      <w:pPr>
        <w:ind w:firstLine="643"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b/>
          <w:bCs/>
          <w:kern w:val="2"/>
          <w:sz w:val="32"/>
          <w:szCs w:val="32"/>
          <w:shd w:val="clear" w:color="auto" w:fill="FFFFFF"/>
          <w:lang w:val="en-US" w:eastAsia="zh-CN" w:bidi="ar-SA"/>
        </w:rPr>
        <w:t>3．满意度指标完成情况。</w:t>
      </w:r>
      <w:r>
        <w:rPr>
          <w:rFonts w:hint="eastAsia" w:ascii="仿宋_GB2312" w:hAnsi="仿宋_GB2312" w:eastAsia="仿宋_GB2312" w:cs="仿宋_GB2312"/>
          <w:kern w:val="2"/>
          <w:sz w:val="32"/>
          <w:szCs w:val="32"/>
          <w:shd w:val="clear" w:color="auto" w:fill="FFFFFF"/>
          <w:lang w:val="en-US" w:eastAsia="zh-CN" w:bidi="ar-SA"/>
        </w:rPr>
        <w:t>对服务对象进行满意度调查，服务对象满意度为100%。</w:t>
      </w:r>
    </w:p>
    <w:p w14:paraId="17A07DA3">
      <w:pPr>
        <w:widowControl w:val="0"/>
        <w:numPr>
          <w:ilvl w:val="0"/>
          <w:numId w:val="0"/>
        </w:numPr>
        <w:wordWrap/>
        <w:spacing w:line="600" w:lineRule="exact"/>
        <w:ind w:left="0" w:leftChars="0" w:right="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四、绩效自评结果</w:t>
      </w:r>
    </w:p>
    <w:p w14:paraId="308ED2A6">
      <w:pPr>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产出指标自评分50分；效益指标自评分30分；满意度指标自评分20分；项目指标自评分99分。</w:t>
      </w:r>
    </w:p>
    <w:p w14:paraId="60BBC204">
      <w:pPr>
        <w:widowControl w:val="0"/>
        <w:numPr>
          <w:ilvl w:val="0"/>
          <w:numId w:val="0"/>
        </w:numPr>
        <w:wordWrap/>
        <w:spacing w:line="600" w:lineRule="exact"/>
        <w:ind w:left="0" w:leftChars="0" w:right="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五、结果公开情况和应用打算</w:t>
      </w:r>
    </w:p>
    <w:p w14:paraId="09C07C87">
      <w:pPr>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我单位将按要求对项目绩效自评结果进行公开。对自评过程中发现的问题进行整改，为以后年度项目实施提供经验，将绩效评价工作贯穿于整个项目实施过程。</w:t>
      </w:r>
    </w:p>
    <w:p w14:paraId="4FCD1E09">
      <w:pPr>
        <w:widowControl w:val="0"/>
        <w:numPr>
          <w:ilvl w:val="0"/>
          <w:numId w:val="0"/>
        </w:numPr>
        <w:wordWrap/>
        <w:spacing w:line="600" w:lineRule="exact"/>
        <w:ind w:left="0" w:leftChars="0" w:righ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六、绩效自评工作的建议</w:t>
      </w:r>
    </w:p>
    <w:p w14:paraId="737438D0">
      <w:pPr>
        <w:ind w:firstLine="640" w:firstLineChars="2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一是对项目绩效目标进一步细化、量化，形成相互间可独立考核、科学合理的项目绩效指标；二是细化部门考核机制，对绩效指标的考核应详细具体，可量化，便于考核。</w:t>
      </w:r>
    </w:p>
    <w:p w14:paraId="28349AB5">
      <w:pPr>
        <w:widowControl w:val="0"/>
        <w:numPr>
          <w:ilvl w:val="0"/>
          <w:numId w:val="0"/>
        </w:numPr>
        <w:wordWrap/>
        <w:spacing w:line="600" w:lineRule="exact"/>
        <w:ind w:left="0" w:leftChars="0" w:right="0" w:firstLine="640" w:firstLineChars="200"/>
        <w:jc w:val="left"/>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七、其他需说明的问题</w:t>
      </w:r>
    </w:p>
    <w:p w14:paraId="0FA70299">
      <w:pPr>
        <w:ind w:firstLine="960" w:firstLineChars="300"/>
        <w:rPr>
          <w:rFonts w:hint="eastAsia" w:ascii="仿宋_GB2312" w:hAnsi="仿宋_GB2312" w:eastAsia="仿宋_GB2312" w:cs="仿宋_GB2312"/>
          <w:kern w:val="2"/>
          <w:sz w:val="32"/>
          <w:szCs w:val="32"/>
          <w:shd w:val="clear" w:color="auto" w:fill="FFFFFF"/>
          <w:lang w:val="en-US" w:eastAsia="zh-CN" w:bidi="ar-SA"/>
        </w:rPr>
      </w:pPr>
      <w:r>
        <w:rPr>
          <w:rFonts w:hint="eastAsia" w:ascii="仿宋_GB2312" w:hAnsi="仿宋_GB2312" w:eastAsia="仿宋_GB2312" w:cs="仿宋_GB2312"/>
          <w:kern w:val="2"/>
          <w:sz w:val="32"/>
          <w:szCs w:val="32"/>
          <w:shd w:val="clear" w:color="auto" w:fill="FFFFFF"/>
          <w:lang w:val="en-US" w:eastAsia="zh-CN" w:bidi="ar-SA"/>
        </w:rPr>
        <w:t>无</w:t>
      </w:r>
    </w:p>
    <w:p w14:paraId="6D43E6F6">
      <w:pPr>
        <w:pStyle w:val="2"/>
        <w:rPr>
          <w:rFonts w:hint="eastAsia" w:ascii="仿宋_GB2312" w:hAnsi="Times New Roman" w:eastAsia="仿宋_GB2312" w:cs="仿宋_GB2312"/>
          <w:i w:val="0"/>
          <w:caps w:val="0"/>
          <w:color w:val="333333"/>
          <w:spacing w:val="0"/>
          <w:kern w:val="0"/>
          <w:sz w:val="32"/>
          <w:szCs w:val="32"/>
          <w:shd w:val="clear" w:color="070000" w:fill="FFFFFF"/>
          <w:lang w:val="zh-CN" w:eastAsia="zh-CN" w:bidi="ar-SA"/>
        </w:rPr>
      </w:pPr>
    </w:p>
    <w:p w14:paraId="7737321E">
      <w:pPr>
        <w:pStyle w:val="2"/>
        <w:rPr>
          <w:rFonts w:hint="eastAsia"/>
          <w:lang w:val="zh-CN" w:eastAsia="zh-CN"/>
        </w:rPr>
      </w:pPr>
    </w:p>
    <w:p w14:paraId="5164799D">
      <w:pPr>
        <w:pStyle w:val="2"/>
        <w:rPr>
          <w:rFonts w:hint="eastAsia"/>
          <w:lang w:val="zh-CN" w:eastAsia="zh-CN"/>
        </w:rPr>
      </w:pPr>
    </w:p>
    <w:p w14:paraId="42C7684E">
      <w:pPr>
        <w:pStyle w:val="2"/>
        <w:rPr>
          <w:rFonts w:hint="eastAsia"/>
          <w:lang w:val="zh-CN" w:eastAsia="zh-CN"/>
        </w:rPr>
      </w:pPr>
    </w:p>
    <w:p w14:paraId="64B3982D">
      <w:pPr>
        <w:pStyle w:val="2"/>
        <w:rPr>
          <w:rFonts w:hint="eastAsia"/>
          <w:lang w:val="zh-CN" w:eastAsia="zh-CN"/>
        </w:rPr>
      </w:pPr>
    </w:p>
    <w:p w14:paraId="7C129E25">
      <w:pPr>
        <w:pStyle w:val="2"/>
        <w:rPr>
          <w:rFonts w:hint="eastAsia"/>
          <w:lang w:val="zh-CN" w:eastAsia="zh-CN"/>
        </w:rPr>
      </w:pPr>
    </w:p>
    <w:p w14:paraId="4EF98AF2">
      <w:pPr>
        <w:pStyle w:val="2"/>
        <w:spacing w:before="93"/>
      </w:pPr>
      <w:r>
        <w:object>
          <v:shape id="_x0000_i1025" o:spt="75" type="#_x0000_t75" style="height:748.45pt;width:414.95pt;" o:ole="t" filled="f" o:preferrelative="t" stroked="f" coordsize="21600,21600">
            <v:path/>
            <v:fill on="f" focussize="0,0"/>
            <v:stroke on="f"/>
            <v:imagedata r:id="rId14" o:title=""/>
            <o:lock v:ext="edit" aspectratio="f"/>
            <w10:wrap type="none"/>
            <w10:anchorlock/>
          </v:shape>
          <o:OLEObject Type="Embed" ProgID="Excel.Sheet.12" ShapeID="_x0000_i1025" DrawAspect="Content" ObjectID="_1468075725" r:id="rId13">
            <o:LockedField>false</o:LockedField>
          </o:OLEObject>
        </w:object>
      </w:r>
    </w:p>
    <w:p w14:paraId="42492057">
      <w:pPr>
        <w:pStyle w:val="2"/>
        <w:spacing w:before="93"/>
        <w:rPr>
          <w:lang w:val="zh-CN"/>
        </w:rPr>
      </w:pPr>
      <w:r>
        <w:rPr>
          <w:lang w:val="zh-CN"/>
        </w:rPr>
        <w:object>
          <v:shape id="_x0000_i1026" o:spt="75" type="#_x0000_t75" style="height:466.95pt;width:414.85pt;" o:ole="t" filled="f" o:preferrelative="t" stroked="f" coordsize="21600,21600">
            <v:path/>
            <v:fill on="f" focussize="0,0"/>
            <v:stroke on="f"/>
            <v:imagedata r:id="rId16" o:title=""/>
            <o:lock v:ext="edit" aspectratio="f"/>
            <w10:wrap type="none"/>
            <w10:anchorlock/>
          </v:shape>
          <o:OLEObject Type="Embed" ProgID="Excel.Sheet.12" ShapeID="_x0000_i1026" DrawAspect="Content" ObjectID="_1468075726" r:id="rId15">
            <o:LockedField>false</o:LockedField>
          </o:OLEObject>
        </w:object>
      </w:r>
    </w:p>
    <w:p w14:paraId="4255C4F7">
      <w:pPr>
        <w:pStyle w:val="2"/>
        <w:spacing w:before="93"/>
        <w:rPr>
          <w:lang w:val="zh-CN"/>
        </w:rPr>
      </w:pPr>
    </w:p>
    <w:p w14:paraId="2BE2C7AA">
      <w:pPr>
        <w:pStyle w:val="2"/>
        <w:spacing w:before="93"/>
        <w:rPr>
          <w:lang w:val="zh-CN"/>
        </w:rPr>
      </w:pPr>
    </w:p>
    <w:p w14:paraId="78B9D48D">
      <w:pPr>
        <w:pStyle w:val="2"/>
        <w:spacing w:before="93"/>
        <w:rPr>
          <w:lang w:val="zh-CN"/>
        </w:rPr>
      </w:pPr>
    </w:p>
    <w:p w14:paraId="04E32DC6">
      <w:pPr>
        <w:pStyle w:val="2"/>
        <w:spacing w:before="93"/>
        <w:rPr>
          <w:lang w:val="zh-CN"/>
        </w:rPr>
      </w:pPr>
    </w:p>
    <w:p w14:paraId="6D84905A">
      <w:pPr>
        <w:pStyle w:val="2"/>
        <w:spacing w:before="93"/>
        <w:rPr>
          <w:lang w:val="zh-CN"/>
        </w:rPr>
      </w:pPr>
    </w:p>
    <w:p w14:paraId="1B87DA61">
      <w:pPr>
        <w:pStyle w:val="2"/>
        <w:spacing w:before="93"/>
        <w:rPr>
          <w:lang w:val="zh-CN"/>
        </w:rPr>
      </w:pPr>
    </w:p>
    <w:p w14:paraId="441A445A">
      <w:pPr>
        <w:pStyle w:val="2"/>
        <w:spacing w:before="93"/>
        <w:rPr>
          <w:lang w:val="zh-CN"/>
        </w:rPr>
      </w:pPr>
      <w:r>
        <w:rPr>
          <w:lang w:val="zh-CN"/>
        </w:rPr>
        <w:object>
          <v:shape id="_x0000_i1027" o:spt="75" type="#_x0000_t75" style="height:475.95pt;width:414.85pt;" o:ole="t" filled="f" o:preferrelative="t" stroked="f" coordsize="21600,21600">
            <v:path/>
            <v:fill on="f" focussize="0,0"/>
            <v:stroke on="f"/>
            <v:imagedata r:id="rId18" o:title=""/>
            <o:lock v:ext="edit" aspectratio="f"/>
            <w10:wrap type="none"/>
            <w10:anchorlock/>
          </v:shape>
          <o:OLEObject Type="Embed" ProgID="Excel.Sheet.12" ShapeID="_x0000_i1027" DrawAspect="Content" ObjectID="_1468075727" r:id="rId17">
            <o:LockedField>false</o:LockedField>
          </o:OLEObject>
        </w:object>
      </w:r>
    </w:p>
    <w:p w14:paraId="79862C6F">
      <w:pPr>
        <w:pStyle w:val="2"/>
        <w:spacing w:before="93"/>
        <w:rPr>
          <w:lang w:val="zh-CN"/>
        </w:rPr>
      </w:pPr>
    </w:p>
    <w:p w14:paraId="57920A9F">
      <w:pPr>
        <w:pStyle w:val="2"/>
        <w:spacing w:before="93"/>
        <w:rPr>
          <w:lang w:val="zh-CN"/>
        </w:rPr>
      </w:pPr>
    </w:p>
    <w:p w14:paraId="25E912EF">
      <w:pPr>
        <w:pStyle w:val="2"/>
        <w:spacing w:before="93"/>
        <w:rPr>
          <w:lang w:val="zh-CN"/>
        </w:rPr>
      </w:pPr>
    </w:p>
    <w:p w14:paraId="159DB9B7">
      <w:pPr>
        <w:pStyle w:val="2"/>
        <w:spacing w:before="93"/>
        <w:rPr>
          <w:lang w:val="zh-CN"/>
        </w:rPr>
      </w:pPr>
    </w:p>
    <w:p w14:paraId="57CFB142">
      <w:pPr>
        <w:pStyle w:val="2"/>
        <w:spacing w:before="93"/>
        <w:rPr>
          <w:lang w:val="zh-CN"/>
        </w:rPr>
      </w:pPr>
    </w:p>
    <w:p w14:paraId="022D71ED">
      <w:pPr>
        <w:pStyle w:val="2"/>
        <w:spacing w:before="93"/>
        <w:rPr>
          <w:lang w:val="zh-CN"/>
        </w:rPr>
      </w:pPr>
    </w:p>
    <w:p w14:paraId="05E85018">
      <w:pPr>
        <w:pStyle w:val="2"/>
        <w:spacing w:before="93"/>
        <w:rPr>
          <w:lang w:val="zh-CN"/>
        </w:rPr>
      </w:pPr>
      <w:r>
        <w:rPr>
          <w:lang w:val="zh-CN"/>
        </w:rPr>
        <w:object>
          <v:shape id="_x0000_i1028" o:spt="75" type="#_x0000_t75" style="height:475.95pt;width:414.85pt;" o:ole="t" filled="f" o:preferrelative="t" stroked="f" coordsize="21600,21600">
            <v:path/>
            <v:fill on="f" focussize="0,0"/>
            <v:stroke on="f"/>
            <v:imagedata r:id="rId20" o:title=""/>
            <o:lock v:ext="edit" aspectratio="f"/>
            <w10:wrap type="none"/>
            <w10:anchorlock/>
          </v:shape>
          <o:OLEObject Type="Embed" ProgID="Excel.Sheet.12" ShapeID="_x0000_i1028" DrawAspect="Content" ObjectID="_1468075728" r:id="rId19">
            <o:LockedField>false</o:LockedField>
          </o:OLEObject>
        </w:object>
      </w:r>
    </w:p>
    <w:p w14:paraId="60AAADCF">
      <w:pPr>
        <w:pStyle w:val="2"/>
        <w:spacing w:before="93"/>
        <w:rPr>
          <w:lang w:val="zh-CN"/>
        </w:rPr>
      </w:pPr>
    </w:p>
    <w:p w14:paraId="0C489946">
      <w:pPr>
        <w:pStyle w:val="2"/>
        <w:spacing w:before="93"/>
        <w:rPr>
          <w:lang w:val="zh-CN"/>
        </w:rPr>
      </w:pPr>
    </w:p>
    <w:p w14:paraId="326FF703">
      <w:pPr>
        <w:pStyle w:val="2"/>
        <w:spacing w:before="93"/>
        <w:rPr>
          <w:lang w:val="zh-CN"/>
        </w:rPr>
      </w:pPr>
    </w:p>
    <w:p w14:paraId="3465C20D">
      <w:pPr>
        <w:pStyle w:val="2"/>
        <w:spacing w:before="93"/>
        <w:rPr>
          <w:lang w:val="zh-CN"/>
        </w:rPr>
      </w:pPr>
    </w:p>
    <w:p w14:paraId="0922E0A3">
      <w:pPr>
        <w:pStyle w:val="2"/>
        <w:spacing w:before="93"/>
        <w:rPr>
          <w:lang w:val="zh-CN"/>
        </w:rPr>
      </w:pPr>
    </w:p>
    <w:p w14:paraId="33345689">
      <w:pPr>
        <w:pStyle w:val="2"/>
        <w:spacing w:before="93"/>
        <w:rPr>
          <w:lang w:val="zh-CN"/>
        </w:rPr>
      </w:pPr>
    </w:p>
    <w:p w14:paraId="7ED2E11D">
      <w:pPr>
        <w:pStyle w:val="2"/>
        <w:spacing w:before="93"/>
        <w:rPr>
          <w:lang w:val="zh-CN"/>
        </w:rPr>
      </w:pPr>
      <w:r>
        <w:rPr>
          <w:lang w:val="zh-CN"/>
        </w:rPr>
        <w:object>
          <v:shape id="_x0000_i1029" o:spt="75" type="#_x0000_t75" style="height:475.95pt;width:414.85pt;" o:ole="t" filled="f" o:preferrelative="t" stroked="f" coordsize="21600,21600">
            <v:path/>
            <v:fill on="f" focussize="0,0"/>
            <v:stroke on="f"/>
            <v:imagedata r:id="rId22" o:title=""/>
            <o:lock v:ext="edit" aspectratio="f"/>
            <w10:wrap type="none"/>
            <w10:anchorlock/>
          </v:shape>
          <o:OLEObject Type="Embed" ProgID="Excel.Sheet.12" ShapeID="_x0000_i1029" DrawAspect="Content" ObjectID="_1468075729" r:id="rId21">
            <o:LockedField>false</o:LockedField>
          </o:OLEObject>
        </w:object>
      </w:r>
    </w:p>
    <w:p w14:paraId="1839DD22">
      <w:pPr>
        <w:pStyle w:val="2"/>
        <w:spacing w:before="93"/>
        <w:rPr>
          <w:lang w:val="zh-CN"/>
        </w:rPr>
      </w:pPr>
    </w:p>
    <w:p w14:paraId="598F3E25">
      <w:pPr>
        <w:pStyle w:val="2"/>
        <w:spacing w:before="93"/>
        <w:rPr>
          <w:lang w:val="zh-CN"/>
        </w:rPr>
      </w:pPr>
    </w:p>
    <w:p w14:paraId="1D43D298">
      <w:pPr>
        <w:pStyle w:val="2"/>
        <w:spacing w:before="93"/>
        <w:rPr>
          <w:lang w:val="zh-CN"/>
        </w:rPr>
      </w:pPr>
    </w:p>
    <w:p w14:paraId="6F7A2DA0">
      <w:pPr>
        <w:pStyle w:val="2"/>
        <w:spacing w:before="93"/>
        <w:rPr>
          <w:lang w:val="zh-CN"/>
        </w:rPr>
      </w:pPr>
    </w:p>
    <w:p w14:paraId="1FD3634A">
      <w:pPr>
        <w:pStyle w:val="2"/>
        <w:spacing w:before="93"/>
        <w:rPr>
          <w:lang w:val="zh-CN"/>
        </w:rPr>
      </w:pPr>
    </w:p>
    <w:p w14:paraId="0223294A">
      <w:pPr>
        <w:pStyle w:val="2"/>
        <w:spacing w:before="93"/>
        <w:rPr>
          <w:lang w:val="zh-CN"/>
        </w:rPr>
      </w:pPr>
    </w:p>
    <w:p w14:paraId="16773675">
      <w:pPr>
        <w:pStyle w:val="2"/>
        <w:spacing w:before="93"/>
        <w:rPr>
          <w:lang w:val="zh-CN"/>
        </w:rPr>
      </w:pPr>
      <w:r>
        <w:rPr>
          <w:lang w:val="zh-CN"/>
        </w:rPr>
        <w:object>
          <v:shape id="_x0000_i1030" o:spt="75" type="#_x0000_t75" style="height:475.95pt;width:414.85pt;" o:ole="t" filled="f" o:preferrelative="t" stroked="f" coordsize="21600,21600">
            <v:path/>
            <v:fill on="f" focussize="0,0"/>
            <v:stroke on="f"/>
            <v:imagedata r:id="rId24" o:title=""/>
            <o:lock v:ext="edit" aspectratio="f"/>
            <w10:wrap type="none"/>
            <w10:anchorlock/>
          </v:shape>
          <o:OLEObject Type="Embed" ProgID="Excel.Sheet.12" ShapeID="_x0000_i1030" DrawAspect="Content" ObjectID="_1468075730" r:id="rId23">
            <o:LockedField>false</o:LockedField>
          </o:OLEObject>
        </w:object>
      </w:r>
    </w:p>
    <w:p w14:paraId="4910993B">
      <w:pPr>
        <w:pStyle w:val="2"/>
        <w:spacing w:before="93"/>
        <w:rPr>
          <w:lang w:val="zh-CN"/>
        </w:rPr>
      </w:pPr>
    </w:p>
    <w:p w14:paraId="109EA51E">
      <w:pPr>
        <w:pStyle w:val="2"/>
        <w:spacing w:before="93"/>
        <w:rPr>
          <w:lang w:val="zh-CN"/>
        </w:rPr>
      </w:pPr>
    </w:p>
    <w:p w14:paraId="744D91E9">
      <w:pPr>
        <w:pStyle w:val="2"/>
        <w:spacing w:before="93"/>
        <w:rPr>
          <w:lang w:val="zh-CN"/>
        </w:rPr>
      </w:pPr>
    </w:p>
    <w:p w14:paraId="27FA62E9">
      <w:pPr>
        <w:pStyle w:val="2"/>
        <w:spacing w:before="93"/>
        <w:rPr>
          <w:lang w:val="zh-CN"/>
        </w:rPr>
      </w:pPr>
    </w:p>
    <w:p w14:paraId="0A018A9C">
      <w:pPr>
        <w:pStyle w:val="2"/>
        <w:spacing w:before="93"/>
        <w:rPr>
          <w:lang w:val="zh-CN"/>
        </w:rPr>
      </w:pPr>
    </w:p>
    <w:p w14:paraId="5ADF7546">
      <w:pPr>
        <w:pStyle w:val="2"/>
        <w:spacing w:before="93"/>
        <w:rPr>
          <w:lang w:val="zh-CN"/>
        </w:rPr>
      </w:pPr>
    </w:p>
    <w:p w14:paraId="1FD0FE03">
      <w:pPr>
        <w:pStyle w:val="2"/>
        <w:spacing w:before="93"/>
        <w:rPr>
          <w:lang w:val="zh-CN"/>
        </w:rPr>
      </w:pPr>
      <w:r>
        <w:rPr>
          <w:lang w:val="zh-CN"/>
        </w:rPr>
        <w:object>
          <v:shape id="_x0000_i1031" o:spt="75" type="#_x0000_t75" style="height:475.95pt;width:414.85pt;" o:ole="t" filled="f" o:preferrelative="t" stroked="f" coordsize="21600,21600">
            <v:path/>
            <v:fill on="f" focussize="0,0"/>
            <v:stroke on="f"/>
            <v:imagedata r:id="rId26" o:title=""/>
            <o:lock v:ext="edit" aspectratio="f"/>
            <w10:wrap type="none"/>
            <w10:anchorlock/>
          </v:shape>
          <o:OLEObject Type="Embed" ProgID="Excel.Sheet.12" ShapeID="_x0000_i1031" DrawAspect="Content" ObjectID="_1468075731" r:id="rId25">
            <o:LockedField>false</o:LockedField>
          </o:OLEObject>
        </w:object>
      </w:r>
    </w:p>
    <w:p w14:paraId="29E44BFF">
      <w:pPr>
        <w:pStyle w:val="2"/>
        <w:spacing w:before="93"/>
        <w:rPr>
          <w:lang w:val="zh-CN"/>
        </w:rPr>
      </w:pPr>
    </w:p>
    <w:p w14:paraId="375C4461">
      <w:pPr>
        <w:pStyle w:val="2"/>
        <w:spacing w:before="93"/>
        <w:rPr>
          <w:lang w:val="zh-CN"/>
        </w:rPr>
      </w:pPr>
    </w:p>
    <w:p w14:paraId="4A21C25C">
      <w:pPr>
        <w:pStyle w:val="2"/>
        <w:spacing w:before="93"/>
        <w:rPr>
          <w:lang w:val="zh-CN"/>
        </w:rPr>
      </w:pPr>
    </w:p>
    <w:p w14:paraId="09ED355F">
      <w:pPr>
        <w:pStyle w:val="2"/>
        <w:spacing w:before="93"/>
        <w:rPr>
          <w:lang w:val="zh-CN"/>
        </w:rPr>
      </w:pPr>
    </w:p>
    <w:p w14:paraId="109A0D68">
      <w:pPr>
        <w:pStyle w:val="2"/>
        <w:spacing w:before="93"/>
        <w:rPr>
          <w:lang w:val="zh-CN"/>
        </w:rPr>
      </w:pPr>
    </w:p>
    <w:p w14:paraId="3BB5762E">
      <w:pPr>
        <w:pStyle w:val="2"/>
        <w:spacing w:before="93"/>
        <w:rPr>
          <w:lang w:val="zh-CN"/>
        </w:rPr>
      </w:pPr>
    </w:p>
    <w:p w14:paraId="48FBF318">
      <w:pPr>
        <w:pStyle w:val="2"/>
        <w:spacing w:before="93"/>
        <w:rPr>
          <w:lang w:val="zh-CN"/>
        </w:rPr>
      </w:pPr>
      <w:r>
        <w:rPr>
          <w:lang w:val="zh-CN"/>
        </w:rPr>
        <w:object>
          <v:shape id="_x0000_i1032" o:spt="75" type="#_x0000_t75" style="height:475.95pt;width:414.85pt;" o:ole="t" filled="f" o:preferrelative="t" stroked="f" coordsize="21600,21600">
            <v:path/>
            <v:fill on="f" focussize="0,0"/>
            <v:stroke on="f"/>
            <v:imagedata r:id="rId28" o:title=""/>
            <o:lock v:ext="edit" aspectratio="f"/>
            <w10:wrap type="none"/>
            <w10:anchorlock/>
          </v:shape>
          <o:OLEObject Type="Embed" ProgID="Excel.Sheet.12" ShapeID="_x0000_i1032" DrawAspect="Content" ObjectID="_1468075732" r:id="rId27">
            <o:LockedField>false</o:LockedField>
          </o:OLEObject>
        </w:object>
      </w:r>
    </w:p>
    <w:p w14:paraId="35F2F3EF">
      <w:pPr>
        <w:pStyle w:val="2"/>
        <w:spacing w:before="93"/>
        <w:rPr>
          <w:lang w:val="zh-CN"/>
        </w:rPr>
      </w:pPr>
    </w:p>
    <w:p w14:paraId="186E68DA">
      <w:pPr>
        <w:pStyle w:val="2"/>
        <w:spacing w:before="93"/>
        <w:rPr>
          <w:lang w:val="zh-CN"/>
        </w:rPr>
      </w:pPr>
    </w:p>
    <w:p w14:paraId="562BE308">
      <w:pPr>
        <w:pStyle w:val="2"/>
        <w:spacing w:before="93"/>
        <w:rPr>
          <w:lang w:val="zh-CN"/>
        </w:rPr>
      </w:pPr>
    </w:p>
    <w:p w14:paraId="2F7F6849">
      <w:pPr>
        <w:pStyle w:val="2"/>
        <w:spacing w:before="93"/>
        <w:rPr>
          <w:lang w:val="zh-CN"/>
        </w:rPr>
      </w:pPr>
    </w:p>
    <w:p w14:paraId="36AE7B9D">
      <w:pPr>
        <w:pStyle w:val="2"/>
        <w:spacing w:before="93"/>
        <w:rPr>
          <w:lang w:val="zh-CN"/>
        </w:rPr>
      </w:pPr>
    </w:p>
    <w:p w14:paraId="4FF6A1F0">
      <w:pPr>
        <w:pStyle w:val="2"/>
        <w:spacing w:before="93"/>
        <w:rPr>
          <w:lang w:val="zh-CN"/>
        </w:rPr>
      </w:pPr>
    </w:p>
    <w:p w14:paraId="0EC560BE">
      <w:pPr>
        <w:pStyle w:val="2"/>
        <w:spacing w:before="93"/>
        <w:rPr>
          <w:lang w:val="zh-CN"/>
        </w:rPr>
      </w:pPr>
      <w:r>
        <w:rPr>
          <w:lang w:val="zh-CN"/>
        </w:rPr>
        <w:object>
          <v:shape id="_x0000_i1033" o:spt="75" type="#_x0000_t75" style="height:492pt;width:414.85pt;" o:ole="t" filled="f" o:preferrelative="t" stroked="f" coordsize="21600,21600">
            <v:path/>
            <v:fill on="f" focussize="0,0"/>
            <v:stroke on="f"/>
            <v:imagedata r:id="rId30" o:title=""/>
            <o:lock v:ext="edit" aspectratio="f"/>
            <w10:wrap type="none"/>
            <w10:anchorlock/>
          </v:shape>
          <o:OLEObject Type="Embed" ProgID="Excel.Sheet.12" ShapeID="_x0000_i1033" DrawAspect="Content" ObjectID="_1468075733" r:id="rId29">
            <o:LockedField>false</o:LockedField>
          </o:OLEObject>
        </w:object>
      </w:r>
    </w:p>
    <w:p w14:paraId="793884BB">
      <w:pPr>
        <w:pStyle w:val="2"/>
        <w:spacing w:before="93"/>
        <w:rPr>
          <w:lang w:val="zh-CN"/>
        </w:rPr>
      </w:pPr>
    </w:p>
    <w:p w14:paraId="09A3C204">
      <w:pPr>
        <w:pStyle w:val="2"/>
        <w:spacing w:before="93"/>
        <w:rPr>
          <w:lang w:val="zh-CN"/>
        </w:rPr>
      </w:pPr>
    </w:p>
    <w:p w14:paraId="6450F655">
      <w:pPr>
        <w:pStyle w:val="2"/>
        <w:spacing w:before="93"/>
        <w:rPr>
          <w:lang w:val="zh-CN"/>
        </w:rPr>
      </w:pPr>
    </w:p>
    <w:p w14:paraId="21FD68DB">
      <w:pPr>
        <w:pStyle w:val="2"/>
        <w:spacing w:before="93"/>
        <w:rPr>
          <w:lang w:val="zh-CN"/>
        </w:rPr>
      </w:pPr>
    </w:p>
    <w:p w14:paraId="62F17267">
      <w:pPr>
        <w:pStyle w:val="2"/>
        <w:spacing w:before="93"/>
        <w:rPr>
          <w:lang w:val="zh-CN"/>
        </w:rPr>
      </w:pPr>
    </w:p>
    <w:p w14:paraId="46905D6C">
      <w:pPr>
        <w:pStyle w:val="2"/>
        <w:spacing w:before="93"/>
        <w:rPr>
          <w:lang w:val="zh-CN"/>
        </w:rPr>
      </w:pPr>
      <w:r>
        <w:rPr>
          <w:lang w:val="zh-CN"/>
        </w:rPr>
        <w:object>
          <v:shape id="_x0000_i1034" o:spt="75" type="#_x0000_t75" style="height:475.95pt;width:414.85pt;" o:ole="t" filled="f" o:preferrelative="t" stroked="f" coordsize="21600,21600">
            <v:path/>
            <v:fill on="f" focussize="0,0"/>
            <v:stroke on="f"/>
            <v:imagedata r:id="rId32" o:title=""/>
            <o:lock v:ext="edit" aspectratio="f"/>
            <w10:wrap type="none"/>
            <w10:anchorlock/>
          </v:shape>
          <o:OLEObject Type="Embed" ProgID="Excel.Sheet.12" ShapeID="_x0000_i1034" DrawAspect="Content" ObjectID="_1468075734" r:id="rId31">
            <o:LockedField>false</o:LockedField>
          </o:OLEObject>
        </w:object>
      </w:r>
    </w:p>
    <w:p w14:paraId="08791E8C">
      <w:pPr>
        <w:pStyle w:val="2"/>
        <w:spacing w:before="93"/>
        <w:rPr>
          <w:lang w:val="zh-CN"/>
        </w:rPr>
      </w:pPr>
    </w:p>
    <w:p w14:paraId="1761795E">
      <w:pPr>
        <w:pStyle w:val="2"/>
        <w:spacing w:before="93"/>
        <w:rPr>
          <w:lang w:val="zh-CN"/>
        </w:rPr>
      </w:pPr>
    </w:p>
    <w:p w14:paraId="0BC2615E">
      <w:pPr>
        <w:pStyle w:val="2"/>
        <w:spacing w:before="93"/>
        <w:rPr>
          <w:lang w:val="zh-CN"/>
        </w:rPr>
      </w:pPr>
    </w:p>
    <w:p w14:paraId="39769E63">
      <w:pPr>
        <w:pStyle w:val="2"/>
        <w:spacing w:before="93"/>
        <w:rPr>
          <w:lang w:val="zh-CN"/>
        </w:rPr>
      </w:pPr>
    </w:p>
    <w:p w14:paraId="62C6EDEE">
      <w:pPr>
        <w:pStyle w:val="2"/>
        <w:spacing w:before="93"/>
        <w:rPr>
          <w:lang w:val="zh-CN"/>
        </w:rPr>
      </w:pPr>
    </w:p>
    <w:p w14:paraId="4544FF6C">
      <w:pPr>
        <w:pStyle w:val="2"/>
        <w:spacing w:before="93"/>
        <w:rPr>
          <w:lang w:val="zh-CN"/>
        </w:rPr>
      </w:pPr>
    </w:p>
    <w:p w14:paraId="5CAB7ABF">
      <w:pPr>
        <w:pStyle w:val="2"/>
        <w:spacing w:before="93"/>
        <w:rPr>
          <w:lang w:val="zh-CN"/>
        </w:rPr>
      </w:pPr>
      <w:r>
        <w:rPr>
          <w:lang w:val="zh-CN"/>
        </w:rPr>
        <w:object>
          <v:shape id="_x0000_i1035" o:spt="75" type="#_x0000_t75" style="height:475.95pt;width:414.85pt;" o:ole="t" filled="f" o:preferrelative="t" stroked="f" coordsize="21600,21600">
            <v:path/>
            <v:fill on="f" focussize="0,0"/>
            <v:stroke on="f"/>
            <v:imagedata r:id="rId34" o:title=""/>
            <o:lock v:ext="edit" aspectratio="f"/>
            <w10:wrap type="none"/>
            <w10:anchorlock/>
          </v:shape>
          <o:OLEObject Type="Embed" ProgID="Excel.Sheet.12" ShapeID="_x0000_i1035" DrawAspect="Content" ObjectID="_1468075735" r:id="rId33">
            <o:LockedField>false</o:LockedField>
          </o:OLEObject>
        </w:object>
      </w:r>
    </w:p>
    <w:p w14:paraId="5077BACC">
      <w:pPr>
        <w:pStyle w:val="2"/>
        <w:spacing w:before="93"/>
        <w:rPr>
          <w:lang w:val="zh-CN"/>
        </w:rPr>
      </w:pPr>
    </w:p>
    <w:p w14:paraId="6A191DC8">
      <w:pPr>
        <w:pStyle w:val="2"/>
        <w:spacing w:before="93"/>
        <w:rPr>
          <w:lang w:val="zh-CN"/>
        </w:rPr>
      </w:pPr>
    </w:p>
    <w:p w14:paraId="19E2FE4B">
      <w:pPr>
        <w:pStyle w:val="2"/>
        <w:spacing w:before="93"/>
        <w:rPr>
          <w:lang w:val="zh-CN"/>
        </w:rPr>
      </w:pPr>
    </w:p>
    <w:p w14:paraId="14940B3C">
      <w:pPr>
        <w:pStyle w:val="2"/>
        <w:spacing w:before="93"/>
        <w:rPr>
          <w:lang w:val="zh-CN"/>
        </w:rPr>
      </w:pPr>
    </w:p>
    <w:p w14:paraId="7ED7EF29">
      <w:pPr>
        <w:pStyle w:val="2"/>
        <w:spacing w:before="93"/>
        <w:rPr>
          <w:lang w:val="zh-CN"/>
        </w:rPr>
      </w:pPr>
    </w:p>
    <w:p w14:paraId="1B1E530C">
      <w:pPr>
        <w:pStyle w:val="2"/>
        <w:spacing w:before="93"/>
        <w:rPr>
          <w:lang w:val="zh-CN"/>
        </w:rPr>
      </w:pPr>
    </w:p>
    <w:p w14:paraId="7F3A49F4">
      <w:pPr>
        <w:pStyle w:val="2"/>
        <w:spacing w:before="93"/>
        <w:rPr>
          <w:lang w:val="zh-CN"/>
        </w:rPr>
      </w:pPr>
      <w:r>
        <w:rPr>
          <w:lang w:val="zh-CN"/>
        </w:rPr>
        <w:object>
          <v:shape id="_x0000_i1036" o:spt="75" type="#_x0000_t75" style="height:475.95pt;width:414.85pt;" o:ole="t" filled="f" o:preferrelative="t" stroked="f" coordsize="21600,21600">
            <v:path/>
            <v:fill on="f" focussize="0,0"/>
            <v:stroke on="f"/>
            <v:imagedata r:id="rId36" o:title=""/>
            <o:lock v:ext="edit" aspectratio="f"/>
            <w10:wrap type="none"/>
            <w10:anchorlock/>
          </v:shape>
          <o:OLEObject Type="Embed" ProgID="Excel.Sheet.12" ShapeID="_x0000_i1036" DrawAspect="Content" ObjectID="_1468075736" r:id="rId35">
            <o:LockedField>false</o:LockedField>
          </o:OLEObject>
        </w:object>
      </w:r>
    </w:p>
    <w:p w14:paraId="39E1A56B">
      <w:pPr>
        <w:pStyle w:val="2"/>
        <w:spacing w:before="93"/>
        <w:rPr>
          <w:lang w:val="zh-CN"/>
        </w:rPr>
      </w:pPr>
    </w:p>
    <w:p w14:paraId="33843C03">
      <w:pPr>
        <w:pStyle w:val="2"/>
        <w:spacing w:before="93"/>
        <w:rPr>
          <w:lang w:val="zh-CN"/>
        </w:rPr>
      </w:pPr>
    </w:p>
    <w:p w14:paraId="14A9C862">
      <w:pPr>
        <w:pStyle w:val="2"/>
        <w:spacing w:before="93"/>
        <w:rPr>
          <w:lang w:val="zh-CN"/>
        </w:rPr>
      </w:pPr>
    </w:p>
    <w:p w14:paraId="0219F130">
      <w:pPr>
        <w:pStyle w:val="2"/>
        <w:spacing w:before="93"/>
        <w:rPr>
          <w:lang w:val="zh-CN"/>
        </w:rPr>
      </w:pPr>
    </w:p>
    <w:p w14:paraId="6A673727">
      <w:pPr>
        <w:pStyle w:val="2"/>
        <w:spacing w:before="93"/>
        <w:rPr>
          <w:lang w:val="zh-CN"/>
        </w:rPr>
      </w:pPr>
    </w:p>
    <w:p w14:paraId="00454FC5">
      <w:pPr>
        <w:pStyle w:val="2"/>
        <w:spacing w:before="93"/>
        <w:rPr>
          <w:lang w:val="zh-CN"/>
        </w:rPr>
      </w:pPr>
    </w:p>
    <w:p w14:paraId="63E68402">
      <w:pPr>
        <w:pStyle w:val="2"/>
        <w:spacing w:before="93"/>
        <w:rPr>
          <w:lang w:val="zh-CN"/>
        </w:rPr>
      </w:pPr>
      <w:r>
        <w:rPr>
          <w:lang w:val="zh-CN"/>
        </w:rPr>
        <w:object>
          <v:shape id="_x0000_i1037" o:spt="75" type="#_x0000_t75" style="height:475.95pt;width:414.85pt;" o:ole="t" filled="f" o:preferrelative="t" stroked="f" coordsize="21600,21600">
            <v:path/>
            <v:fill on="f" focussize="0,0"/>
            <v:stroke on="f"/>
            <v:imagedata r:id="rId38" o:title=""/>
            <o:lock v:ext="edit" aspectratio="f"/>
            <w10:wrap type="none"/>
            <w10:anchorlock/>
          </v:shape>
          <o:OLEObject Type="Embed" ProgID="Excel.Sheet.12" ShapeID="_x0000_i1037" DrawAspect="Content" ObjectID="_1468075737" r:id="rId37">
            <o:LockedField>false</o:LockedField>
          </o:OLEObject>
        </w:object>
      </w:r>
    </w:p>
    <w:p w14:paraId="5C1FBB57">
      <w:pPr>
        <w:pStyle w:val="2"/>
        <w:spacing w:before="93"/>
        <w:rPr>
          <w:lang w:val="zh-CN"/>
        </w:rPr>
      </w:pPr>
    </w:p>
    <w:p w14:paraId="3467AA65">
      <w:pPr>
        <w:pStyle w:val="2"/>
        <w:spacing w:before="93"/>
        <w:rPr>
          <w:lang w:val="zh-CN"/>
        </w:rPr>
      </w:pPr>
    </w:p>
    <w:p w14:paraId="4D4BD082">
      <w:pPr>
        <w:pStyle w:val="2"/>
        <w:spacing w:before="93"/>
        <w:rPr>
          <w:lang w:val="zh-CN"/>
        </w:rPr>
      </w:pPr>
    </w:p>
    <w:p w14:paraId="40232EFD">
      <w:pPr>
        <w:pStyle w:val="2"/>
        <w:spacing w:before="93"/>
        <w:rPr>
          <w:lang w:val="zh-CN"/>
        </w:rPr>
      </w:pPr>
    </w:p>
    <w:p w14:paraId="561C5F02">
      <w:pPr>
        <w:pStyle w:val="2"/>
        <w:spacing w:before="93"/>
        <w:rPr>
          <w:lang w:val="zh-CN"/>
        </w:rPr>
      </w:pPr>
    </w:p>
    <w:p w14:paraId="1DE0DFC3">
      <w:pPr>
        <w:pStyle w:val="2"/>
        <w:spacing w:before="93"/>
        <w:rPr>
          <w:lang w:val="zh-CN"/>
        </w:rPr>
      </w:pPr>
    </w:p>
    <w:p w14:paraId="289AF6A3">
      <w:pPr>
        <w:pStyle w:val="2"/>
        <w:spacing w:before="93"/>
        <w:rPr>
          <w:lang w:val="zh-CN"/>
        </w:rPr>
      </w:pPr>
      <w:r>
        <w:rPr>
          <w:lang w:val="zh-CN"/>
        </w:rPr>
        <w:object>
          <v:shape id="_x0000_i1038" o:spt="75" type="#_x0000_t75" style="height:475.95pt;width:414.85pt;" o:ole="t" filled="f" o:preferrelative="t" stroked="f" coordsize="21600,21600">
            <v:path/>
            <v:fill on="f" focussize="0,0"/>
            <v:stroke on="f"/>
            <v:imagedata r:id="rId40" o:title=""/>
            <o:lock v:ext="edit" aspectratio="f"/>
            <w10:wrap type="none"/>
            <w10:anchorlock/>
          </v:shape>
          <o:OLEObject Type="Embed" ProgID="Excel.Sheet.12" ShapeID="_x0000_i1038" DrawAspect="Content" ObjectID="_1468075738" r:id="rId39">
            <o:LockedField>false</o:LockedField>
          </o:OLEObject>
        </w:object>
      </w:r>
    </w:p>
    <w:p w14:paraId="2A5D9D46">
      <w:pPr>
        <w:pStyle w:val="2"/>
        <w:spacing w:before="93"/>
        <w:rPr>
          <w:lang w:val="zh-CN"/>
        </w:rPr>
      </w:pPr>
    </w:p>
    <w:p w14:paraId="685D9D50">
      <w:pPr>
        <w:pStyle w:val="2"/>
        <w:spacing w:before="93"/>
        <w:rPr>
          <w:lang w:val="zh-CN"/>
        </w:rPr>
      </w:pPr>
    </w:p>
    <w:p w14:paraId="0407567A">
      <w:pPr>
        <w:pStyle w:val="2"/>
        <w:spacing w:before="93"/>
        <w:rPr>
          <w:lang w:val="zh-CN"/>
        </w:rPr>
      </w:pPr>
    </w:p>
    <w:p w14:paraId="22BE1DCC">
      <w:pPr>
        <w:pStyle w:val="2"/>
        <w:spacing w:before="93"/>
        <w:rPr>
          <w:lang w:val="zh-CN"/>
        </w:rPr>
      </w:pPr>
    </w:p>
    <w:p w14:paraId="0FF59A68">
      <w:pPr>
        <w:pStyle w:val="2"/>
        <w:spacing w:before="93"/>
        <w:rPr>
          <w:lang w:val="zh-CN"/>
        </w:rPr>
      </w:pPr>
    </w:p>
    <w:p w14:paraId="27ECF262">
      <w:pPr>
        <w:pStyle w:val="2"/>
        <w:spacing w:before="93"/>
        <w:rPr>
          <w:lang w:val="zh-CN"/>
        </w:rPr>
      </w:pPr>
    </w:p>
    <w:p w14:paraId="2F2E8ABC">
      <w:pPr>
        <w:pStyle w:val="2"/>
        <w:spacing w:before="93"/>
        <w:rPr>
          <w:lang w:val="zh-CN"/>
        </w:rPr>
      </w:pPr>
      <w:r>
        <w:rPr>
          <w:lang w:val="zh-CN"/>
        </w:rPr>
        <w:object>
          <v:shape id="_x0000_i1039" o:spt="75" type="#_x0000_t75" style="height:475.95pt;width:414.85pt;" o:ole="t" filled="f" o:preferrelative="t" stroked="f" coordsize="21600,21600">
            <v:path/>
            <v:fill on="f" focussize="0,0"/>
            <v:stroke on="f"/>
            <v:imagedata r:id="rId42" o:title=""/>
            <o:lock v:ext="edit" aspectratio="f"/>
            <w10:wrap type="none"/>
            <w10:anchorlock/>
          </v:shape>
          <o:OLEObject Type="Embed" ProgID="Excel.Sheet.12" ShapeID="_x0000_i1039" DrawAspect="Content" ObjectID="_1468075739" r:id="rId41">
            <o:LockedField>false</o:LockedField>
          </o:OLEObject>
        </w:object>
      </w:r>
    </w:p>
    <w:p w14:paraId="0DE5590C">
      <w:pPr>
        <w:widowControl/>
        <w:jc w:val="left"/>
        <w:rPr>
          <w:rStyle w:val="26"/>
          <w:rFonts w:ascii="黑体" w:hAnsi="黑体" w:eastAsia="黑体"/>
          <w:b w:val="0"/>
        </w:rPr>
      </w:pPr>
      <w:r>
        <w:rPr>
          <w:rStyle w:val="26"/>
          <w:rFonts w:ascii="黑体" w:hAnsi="黑体" w:eastAsia="黑体"/>
          <w:b w:val="0"/>
        </w:rPr>
        <w:br w:type="page"/>
      </w:r>
    </w:p>
    <w:p w14:paraId="0063D785">
      <w:pPr>
        <w:pStyle w:val="2"/>
        <w:rPr>
          <w:rStyle w:val="26"/>
          <w:rFonts w:ascii="黑体" w:hAnsi="黑体" w:eastAsia="黑体"/>
          <w:b w:val="0"/>
        </w:rPr>
      </w:pPr>
    </w:p>
    <w:p w14:paraId="5B1F5A25">
      <w:pPr>
        <w:pStyle w:val="2"/>
        <w:rPr>
          <w:rStyle w:val="26"/>
          <w:rFonts w:ascii="黑体" w:hAnsi="黑体" w:eastAsia="黑体"/>
          <w:b w:val="0"/>
        </w:rPr>
      </w:pPr>
      <w:r>
        <w:rPr>
          <w:rStyle w:val="26"/>
          <w:rFonts w:ascii="黑体" w:hAnsi="黑体" w:eastAsia="黑体"/>
          <w:b w:val="0"/>
        </w:rPr>
        <w:object>
          <v:shape id="_x0000_i1040" o:spt="75" type="#_x0000_t75" style="height:475.95pt;width:414.85pt;" o:ole="t" filled="f" o:preferrelative="t" stroked="f" coordsize="21600,21600">
            <v:path/>
            <v:fill on="f" focussize="0,0"/>
            <v:stroke on="f"/>
            <v:imagedata r:id="rId44" o:title=""/>
            <o:lock v:ext="edit" aspectratio="f"/>
            <w10:wrap type="none"/>
            <w10:anchorlock/>
          </v:shape>
          <o:OLEObject Type="Embed" ProgID="Excel.Sheet.12" ShapeID="_x0000_i1040" DrawAspect="Content" ObjectID="_1468075740" r:id="rId43">
            <o:LockedField>false</o:LockedField>
          </o:OLEObject>
        </w:object>
      </w:r>
    </w:p>
    <w:p w14:paraId="0E832CF8">
      <w:pPr>
        <w:pStyle w:val="2"/>
        <w:rPr>
          <w:rStyle w:val="26"/>
          <w:rFonts w:ascii="黑体" w:hAnsi="黑体" w:eastAsia="黑体"/>
          <w:b w:val="0"/>
        </w:rPr>
      </w:pPr>
    </w:p>
    <w:p w14:paraId="7E6BE9EB">
      <w:pPr>
        <w:pStyle w:val="2"/>
        <w:rPr>
          <w:rStyle w:val="26"/>
          <w:rFonts w:ascii="黑体" w:hAnsi="黑体" w:eastAsia="黑体"/>
          <w:b w:val="0"/>
        </w:rPr>
      </w:pPr>
    </w:p>
    <w:p w14:paraId="02224BF7">
      <w:pPr>
        <w:pStyle w:val="2"/>
        <w:rPr>
          <w:rStyle w:val="26"/>
          <w:rFonts w:ascii="黑体" w:hAnsi="黑体" w:eastAsia="黑体"/>
          <w:b w:val="0"/>
        </w:rPr>
      </w:pPr>
    </w:p>
    <w:p w14:paraId="7C949933">
      <w:pPr>
        <w:pStyle w:val="2"/>
        <w:rPr>
          <w:rStyle w:val="26"/>
          <w:rFonts w:ascii="黑体" w:hAnsi="黑体" w:eastAsia="黑体"/>
          <w:b w:val="0"/>
        </w:rPr>
      </w:pPr>
    </w:p>
    <w:p w14:paraId="7D2414C6">
      <w:pPr>
        <w:pStyle w:val="2"/>
        <w:rPr>
          <w:rStyle w:val="26"/>
          <w:rFonts w:ascii="黑体" w:hAnsi="黑体" w:eastAsia="黑体"/>
          <w:b w:val="0"/>
        </w:rPr>
      </w:pPr>
    </w:p>
    <w:p w14:paraId="321F6164">
      <w:pPr>
        <w:pStyle w:val="2"/>
        <w:rPr>
          <w:rStyle w:val="26"/>
          <w:rFonts w:ascii="黑体" w:hAnsi="黑体" w:eastAsia="黑体"/>
          <w:b w:val="0"/>
        </w:rPr>
      </w:pPr>
      <w:r>
        <w:rPr>
          <w:rStyle w:val="26"/>
          <w:rFonts w:ascii="黑体" w:hAnsi="黑体" w:eastAsia="黑体"/>
          <w:b w:val="0"/>
        </w:rPr>
        <w:object>
          <v:shape id="_x0000_i1041" o:spt="75" type="#_x0000_t75" style="height:475.95pt;width:414.85pt;" o:ole="t" filled="f" o:preferrelative="t" stroked="f" coordsize="21600,21600">
            <v:path/>
            <v:fill on="f" focussize="0,0"/>
            <v:stroke on="f"/>
            <v:imagedata r:id="rId46" o:title=""/>
            <o:lock v:ext="edit" aspectratio="f"/>
            <w10:wrap type="none"/>
            <w10:anchorlock/>
          </v:shape>
          <o:OLEObject Type="Embed" ProgID="Excel.Sheet.12" ShapeID="_x0000_i1041" DrawAspect="Content" ObjectID="_1468075741" r:id="rId45">
            <o:LockedField>false</o:LockedField>
          </o:OLEObject>
        </w:object>
      </w:r>
    </w:p>
    <w:p w14:paraId="59C998A4">
      <w:pPr>
        <w:pStyle w:val="2"/>
        <w:rPr>
          <w:rStyle w:val="26"/>
          <w:rFonts w:ascii="黑体" w:hAnsi="黑体" w:eastAsia="黑体"/>
          <w:b w:val="0"/>
        </w:rPr>
      </w:pPr>
    </w:p>
    <w:p w14:paraId="16F5632B">
      <w:pPr>
        <w:pStyle w:val="2"/>
        <w:rPr>
          <w:rStyle w:val="26"/>
          <w:rFonts w:ascii="黑体" w:hAnsi="黑体" w:eastAsia="黑体"/>
          <w:b w:val="0"/>
        </w:rPr>
      </w:pPr>
    </w:p>
    <w:p w14:paraId="1FF41978">
      <w:pPr>
        <w:pStyle w:val="2"/>
        <w:rPr>
          <w:rStyle w:val="26"/>
          <w:rFonts w:ascii="黑体" w:hAnsi="黑体" w:eastAsia="黑体"/>
          <w:b w:val="0"/>
        </w:rPr>
      </w:pPr>
    </w:p>
    <w:p w14:paraId="63A2E0A8">
      <w:pPr>
        <w:pStyle w:val="2"/>
        <w:rPr>
          <w:rStyle w:val="26"/>
          <w:rFonts w:ascii="黑体" w:hAnsi="黑体" w:eastAsia="黑体"/>
          <w:b w:val="0"/>
        </w:rPr>
      </w:pPr>
    </w:p>
    <w:p w14:paraId="7FFDE335">
      <w:pPr>
        <w:pStyle w:val="2"/>
        <w:rPr>
          <w:rStyle w:val="26"/>
          <w:rFonts w:ascii="黑体" w:hAnsi="黑体" w:eastAsia="黑体"/>
          <w:b w:val="0"/>
        </w:rPr>
      </w:pPr>
    </w:p>
    <w:p w14:paraId="2FD77F3C">
      <w:pPr>
        <w:pStyle w:val="2"/>
        <w:rPr>
          <w:rStyle w:val="26"/>
          <w:rFonts w:ascii="黑体" w:hAnsi="黑体" w:eastAsia="黑体"/>
          <w:b w:val="0"/>
        </w:rPr>
      </w:pPr>
    </w:p>
    <w:p w14:paraId="153149E0">
      <w:pPr>
        <w:pStyle w:val="2"/>
        <w:rPr>
          <w:rStyle w:val="26"/>
          <w:rFonts w:ascii="黑体" w:hAnsi="黑体" w:eastAsia="黑体"/>
          <w:b w:val="0"/>
        </w:rPr>
      </w:pPr>
      <w:r>
        <w:rPr>
          <w:rStyle w:val="26"/>
          <w:rFonts w:ascii="黑体" w:hAnsi="黑体" w:eastAsia="黑体"/>
          <w:b w:val="0"/>
        </w:rPr>
        <w:object>
          <v:shape id="_x0000_i1042" o:spt="75" type="#_x0000_t75" style="height:475.95pt;width:414.85pt;" o:ole="t" filled="f" o:preferrelative="t" stroked="f" coordsize="21600,21600">
            <v:path/>
            <v:fill on="f" focussize="0,0"/>
            <v:stroke on="f"/>
            <v:imagedata r:id="rId48" o:title=""/>
            <o:lock v:ext="edit" aspectratio="f"/>
            <w10:wrap type="none"/>
            <w10:anchorlock/>
          </v:shape>
          <o:OLEObject Type="Embed" ProgID="Excel.Sheet.12" ShapeID="_x0000_i1042" DrawAspect="Content" ObjectID="_1468075742" r:id="rId47">
            <o:LockedField>false</o:LockedField>
          </o:OLEObject>
        </w:object>
      </w:r>
    </w:p>
    <w:p w14:paraId="34044A06">
      <w:pPr>
        <w:pStyle w:val="2"/>
        <w:rPr>
          <w:rStyle w:val="26"/>
          <w:rFonts w:ascii="黑体" w:hAnsi="黑体" w:eastAsia="黑体"/>
          <w:b w:val="0"/>
        </w:rPr>
      </w:pPr>
    </w:p>
    <w:p w14:paraId="419EDE92">
      <w:pPr>
        <w:pStyle w:val="2"/>
        <w:rPr>
          <w:rStyle w:val="26"/>
          <w:rFonts w:ascii="黑体" w:hAnsi="黑体" w:eastAsia="黑体"/>
          <w:b w:val="0"/>
        </w:rPr>
      </w:pPr>
    </w:p>
    <w:p w14:paraId="727291C1">
      <w:pPr>
        <w:pStyle w:val="2"/>
        <w:rPr>
          <w:rStyle w:val="26"/>
          <w:rFonts w:ascii="黑体" w:hAnsi="黑体" w:eastAsia="黑体"/>
          <w:b w:val="0"/>
        </w:rPr>
      </w:pPr>
    </w:p>
    <w:p w14:paraId="72C53FE8">
      <w:pPr>
        <w:pStyle w:val="2"/>
        <w:rPr>
          <w:rStyle w:val="26"/>
          <w:rFonts w:ascii="黑体" w:hAnsi="黑体" w:eastAsia="黑体"/>
          <w:b w:val="0"/>
        </w:rPr>
      </w:pPr>
    </w:p>
    <w:p w14:paraId="291F16B9">
      <w:pPr>
        <w:pStyle w:val="2"/>
        <w:rPr>
          <w:rStyle w:val="26"/>
          <w:rFonts w:ascii="黑体" w:hAnsi="黑体" w:eastAsia="黑体"/>
          <w:b w:val="0"/>
        </w:rPr>
      </w:pPr>
    </w:p>
    <w:p w14:paraId="2AB51272">
      <w:pPr>
        <w:pStyle w:val="2"/>
        <w:rPr>
          <w:rStyle w:val="26"/>
          <w:rFonts w:ascii="黑体" w:hAnsi="黑体" w:eastAsia="黑体"/>
          <w:b w:val="0"/>
        </w:rPr>
      </w:pPr>
    </w:p>
    <w:p w14:paraId="37ACD7D6">
      <w:pPr>
        <w:pStyle w:val="2"/>
        <w:rPr>
          <w:rStyle w:val="26"/>
          <w:rFonts w:ascii="黑体" w:hAnsi="黑体" w:eastAsia="黑体"/>
          <w:b w:val="0"/>
        </w:rPr>
      </w:pPr>
      <w:r>
        <w:rPr>
          <w:rStyle w:val="26"/>
          <w:rFonts w:ascii="黑体" w:hAnsi="黑体" w:eastAsia="黑体"/>
          <w:b w:val="0"/>
        </w:rPr>
        <w:object>
          <v:shape id="_x0000_i1043" o:spt="75" type="#_x0000_t75" style="height:475.95pt;width:414.85pt;" o:ole="t" filled="f" o:preferrelative="t" stroked="f" coordsize="21600,21600">
            <v:path/>
            <v:fill on="f" focussize="0,0"/>
            <v:stroke on="f"/>
            <v:imagedata r:id="rId50" o:title=""/>
            <o:lock v:ext="edit" aspectratio="f"/>
            <w10:wrap type="none"/>
            <w10:anchorlock/>
          </v:shape>
          <o:OLEObject Type="Embed" ProgID="Excel.Sheet.12" ShapeID="_x0000_i1043" DrawAspect="Content" ObjectID="_1468075743" r:id="rId49">
            <o:LockedField>false</o:LockedField>
          </o:OLEObject>
        </w:object>
      </w:r>
    </w:p>
    <w:p w14:paraId="65496F3E">
      <w:pPr>
        <w:pStyle w:val="2"/>
        <w:rPr>
          <w:rStyle w:val="26"/>
          <w:rFonts w:ascii="黑体" w:hAnsi="黑体" w:eastAsia="黑体"/>
          <w:b w:val="0"/>
        </w:rPr>
      </w:pPr>
    </w:p>
    <w:p w14:paraId="272C9F54">
      <w:pPr>
        <w:pStyle w:val="2"/>
        <w:rPr>
          <w:rStyle w:val="26"/>
          <w:rFonts w:ascii="黑体" w:hAnsi="黑体" w:eastAsia="黑体"/>
          <w:b w:val="0"/>
        </w:rPr>
      </w:pPr>
    </w:p>
    <w:p w14:paraId="74A10203">
      <w:pPr>
        <w:pStyle w:val="2"/>
        <w:rPr>
          <w:rStyle w:val="26"/>
          <w:rFonts w:ascii="黑体" w:hAnsi="黑体" w:eastAsia="黑体"/>
          <w:b w:val="0"/>
        </w:rPr>
      </w:pPr>
    </w:p>
    <w:p w14:paraId="72B6A7BB">
      <w:pPr>
        <w:pStyle w:val="2"/>
        <w:rPr>
          <w:rStyle w:val="26"/>
          <w:rFonts w:ascii="黑体" w:hAnsi="黑体" w:eastAsia="黑体"/>
          <w:b w:val="0"/>
        </w:rPr>
      </w:pPr>
    </w:p>
    <w:p w14:paraId="2D07E451">
      <w:pPr>
        <w:pStyle w:val="2"/>
        <w:rPr>
          <w:rStyle w:val="26"/>
          <w:rFonts w:ascii="黑体" w:hAnsi="黑体" w:eastAsia="黑体"/>
          <w:b w:val="0"/>
        </w:rPr>
      </w:pPr>
    </w:p>
    <w:p w14:paraId="6F059269">
      <w:pPr>
        <w:pStyle w:val="2"/>
        <w:rPr>
          <w:rStyle w:val="26"/>
          <w:rFonts w:ascii="黑体" w:hAnsi="黑体" w:eastAsia="黑体"/>
          <w:b w:val="0"/>
        </w:rPr>
      </w:pPr>
    </w:p>
    <w:p w14:paraId="5E68896A">
      <w:pPr>
        <w:pStyle w:val="2"/>
        <w:rPr>
          <w:rStyle w:val="26"/>
          <w:rFonts w:ascii="黑体" w:hAnsi="黑体" w:eastAsia="黑体"/>
          <w:b w:val="0"/>
        </w:rPr>
      </w:pPr>
      <w:r>
        <w:rPr>
          <w:rStyle w:val="26"/>
          <w:rFonts w:ascii="黑体" w:hAnsi="黑体" w:eastAsia="黑体"/>
          <w:b w:val="0"/>
        </w:rPr>
        <w:object>
          <v:shape id="_x0000_i1044" o:spt="75" type="#_x0000_t75" style="height:475.95pt;width:414.85pt;" o:ole="t" filled="f" o:preferrelative="t" stroked="f" coordsize="21600,21600">
            <v:path/>
            <v:fill on="f" focussize="0,0"/>
            <v:stroke on="f"/>
            <v:imagedata r:id="rId52" o:title=""/>
            <o:lock v:ext="edit" aspectratio="f"/>
            <w10:wrap type="none"/>
            <w10:anchorlock/>
          </v:shape>
          <o:OLEObject Type="Embed" ProgID="Excel.Sheet.12" ShapeID="_x0000_i1044" DrawAspect="Content" ObjectID="_1468075744" r:id="rId51">
            <o:LockedField>false</o:LockedField>
          </o:OLEObject>
        </w:object>
      </w:r>
    </w:p>
    <w:p w14:paraId="760BB789">
      <w:pPr>
        <w:pStyle w:val="2"/>
        <w:rPr>
          <w:rStyle w:val="26"/>
          <w:rFonts w:ascii="黑体" w:hAnsi="黑体" w:eastAsia="黑体"/>
          <w:b w:val="0"/>
        </w:rPr>
      </w:pPr>
    </w:p>
    <w:p w14:paraId="72AD0984">
      <w:pPr>
        <w:pStyle w:val="2"/>
        <w:rPr>
          <w:rStyle w:val="26"/>
          <w:rFonts w:ascii="黑体" w:hAnsi="黑体" w:eastAsia="黑体"/>
          <w:b w:val="0"/>
        </w:rPr>
      </w:pPr>
    </w:p>
    <w:p w14:paraId="68836F8F">
      <w:pPr>
        <w:pStyle w:val="2"/>
        <w:rPr>
          <w:rStyle w:val="26"/>
          <w:rFonts w:ascii="黑体" w:hAnsi="黑体" w:eastAsia="黑体"/>
          <w:b w:val="0"/>
        </w:rPr>
      </w:pPr>
    </w:p>
    <w:p w14:paraId="627901D6">
      <w:pPr>
        <w:pStyle w:val="2"/>
        <w:rPr>
          <w:rStyle w:val="26"/>
          <w:rFonts w:ascii="黑体" w:hAnsi="黑体" w:eastAsia="黑体"/>
          <w:b w:val="0"/>
        </w:rPr>
      </w:pPr>
    </w:p>
    <w:p w14:paraId="671100B8">
      <w:pPr>
        <w:pStyle w:val="2"/>
        <w:rPr>
          <w:rStyle w:val="26"/>
          <w:rFonts w:ascii="黑体" w:hAnsi="黑体" w:eastAsia="黑体"/>
          <w:b w:val="0"/>
        </w:rPr>
      </w:pPr>
    </w:p>
    <w:p w14:paraId="234EE7AC">
      <w:pPr>
        <w:pStyle w:val="2"/>
        <w:rPr>
          <w:rStyle w:val="26"/>
          <w:rFonts w:ascii="黑体" w:hAnsi="黑体" w:eastAsia="黑体"/>
          <w:b w:val="0"/>
        </w:rPr>
      </w:pPr>
    </w:p>
    <w:p w14:paraId="1F912DDD">
      <w:pPr>
        <w:spacing w:line="600" w:lineRule="exact"/>
        <w:jc w:val="center"/>
        <w:outlineLvl w:val="0"/>
        <w:rPr>
          <w:rFonts w:ascii="仿宋" w:hAnsi="仿宋" w:eastAsia="仿宋"/>
        </w:rPr>
      </w:pPr>
      <w:bookmarkStart w:id="64" w:name="_Toc15396618"/>
      <w:r>
        <w:rPr>
          <w:rFonts w:hint="eastAsia" w:ascii="黑体" w:hAnsi="黑体" w:eastAsia="黑体"/>
          <w:sz w:val="44"/>
          <w:szCs w:val="44"/>
        </w:rPr>
        <w:t>第</w:t>
      </w:r>
      <w:r>
        <w:rPr>
          <w:rStyle w:val="26"/>
          <w:rFonts w:hint="eastAsia" w:ascii="黑体" w:hAnsi="黑体" w:eastAsia="黑体"/>
          <w:b w:val="0"/>
        </w:rPr>
        <w:t>五部分 附表</w:t>
      </w:r>
      <w:bookmarkEnd w:id="61"/>
      <w:bookmarkEnd w:id="64"/>
      <w:bookmarkStart w:id="65" w:name="_Toc15396619"/>
    </w:p>
    <w:p w14:paraId="7473854F">
      <w:pPr>
        <w:pStyle w:val="4"/>
        <w:rPr>
          <w:rFonts w:ascii="仿宋" w:hAnsi="仿宋" w:eastAsia="仿宋"/>
        </w:rPr>
      </w:pPr>
      <w:r>
        <w:rPr>
          <w:rFonts w:hint="eastAsia" w:ascii="仿宋" w:hAnsi="仿宋" w:eastAsia="仿宋"/>
          <w:b w:val="0"/>
        </w:rPr>
        <w:t>一、收</w:t>
      </w:r>
      <w:r>
        <w:rPr>
          <w:rStyle w:val="27"/>
          <w:rFonts w:hint="eastAsia" w:ascii="仿宋" w:hAnsi="仿宋" w:eastAsia="仿宋"/>
          <w:b w:val="0"/>
          <w:bCs w:val="0"/>
        </w:rPr>
        <w:t>入支出决算总表</w:t>
      </w:r>
      <w:bookmarkEnd w:id="65"/>
    </w:p>
    <w:p w14:paraId="55E017E1">
      <w:pPr>
        <w:pStyle w:val="4"/>
        <w:rPr>
          <w:rFonts w:ascii="仿宋" w:hAnsi="仿宋" w:eastAsia="仿宋"/>
        </w:rPr>
      </w:pPr>
      <w:bookmarkStart w:id="66" w:name="_Toc15396620"/>
      <w:r>
        <w:rPr>
          <w:rFonts w:hint="eastAsia" w:ascii="仿宋" w:hAnsi="仿宋" w:eastAsia="仿宋"/>
          <w:b w:val="0"/>
        </w:rPr>
        <w:t>二、收</w:t>
      </w:r>
      <w:r>
        <w:rPr>
          <w:rStyle w:val="27"/>
          <w:rFonts w:hint="eastAsia" w:ascii="仿宋" w:hAnsi="仿宋" w:eastAsia="仿宋"/>
          <w:b w:val="0"/>
          <w:bCs w:val="0"/>
        </w:rPr>
        <w:t>入决算表</w:t>
      </w:r>
      <w:bookmarkEnd w:id="66"/>
    </w:p>
    <w:p w14:paraId="7D2EF1D5">
      <w:pPr>
        <w:pStyle w:val="4"/>
        <w:rPr>
          <w:rFonts w:ascii="仿宋" w:hAnsi="仿宋" w:eastAsia="仿宋"/>
        </w:rPr>
      </w:pPr>
      <w:bookmarkStart w:id="67" w:name="_Toc15396621"/>
      <w:r>
        <w:rPr>
          <w:rStyle w:val="27"/>
          <w:rFonts w:hint="eastAsia" w:ascii="仿宋" w:hAnsi="仿宋" w:eastAsia="仿宋"/>
          <w:b w:val="0"/>
          <w:bCs w:val="0"/>
        </w:rPr>
        <w:t>三、</w:t>
      </w:r>
      <w:r>
        <w:rPr>
          <w:rFonts w:hint="eastAsia" w:ascii="仿宋" w:hAnsi="仿宋" w:eastAsia="仿宋"/>
          <w:b w:val="0"/>
        </w:rPr>
        <w:t>支</w:t>
      </w:r>
      <w:r>
        <w:rPr>
          <w:rStyle w:val="27"/>
          <w:rFonts w:hint="eastAsia" w:ascii="仿宋" w:hAnsi="仿宋" w:eastAsia="仿宋"/>
          <w:b w:val="0"/>
          <w:bCs w:val="0"/>
        </w:rPr>
        <w:t>出决算表</w:t>
      </w:r>
      <w:bookmarkEnd w:id="67"/>
    </w:p>
    <w:p w14:paraId="3F22FDAF">
      <w:pPr>
        <w:pStyle w:val="4"/>
        <w:rPr>
          <w:rFonts w:ascii="仿宋" w:hAnsi="仿宋" w:eastAsia="仿宋"/>
          <w:b w:val="0"/>
        </w:rPr>
      </w:pPr>
      <w:bookmarkStart w:id="68" w:name="_Toc15396622"/>
      <w:r>
        <w:rPr>
          <w:rStyle w:val="27"/>
          <w:rFonts w:hint="eastAsia" w:ascii="仿宋" w:hAnsi="仿宋" w:eastAsia="仿宋"/>
          <w:b w:val="0"/>
          <w:bCs w:val="0"/>
        </w:rPr>
        <w:t>四、</w:t>
      </w:r>
      <w:r>
        <w:rPr>
          <w:rFonts w:hint="eastAsia" w:ascii="仿宋" w:hAnsi="仿宋" w:eastAsia="仿宋"/>
          <w:b w:val="0"/>
        </w:rPr>
        <w:t>财</w:t>
      </w:r>
      <w:r>
        <w:rPr>
          <w:rStyle w:val="27"/>
          <w:rFonts w:hint="eastAsia" w:ascii="仿宋" w:hAnsi="仿宋" w:eastAsia="仿宋"/>
          <w:b w:val="0"/>
          <w:bCs w:val="0"/>
        </w:rPr>
        <w:t>政拨款收入支出决算总表</w:t>
      </w:r>
      <w:bookmarkEnd w:id="68"/>
    </w:p>
    <w:p w14:paraId="6F9386A8">
      <w:pPr>
        <w:pStyle w:val="4"/>
        <w:rPr>
          <w:rStyle w:val="27"/>
          <w:rFonts w:ascii="仿宋" w:hAnsi="仿宋" w:eastAsia="仿宋"/>
          <w:b w:val="0"/>
          <w:bCs w:val="0"/>
        </w:rPr>
      </w:pPr>
      <w:bookmarkStart w:id="69" w:name="_Toc15396623"/>
      <w:r>
        <w:rPr>
          <w:rStyle w:val="27"/>
          <w:rFonts w:hint="eastAsia" w:ascii="仿宋" w:hAnsi="仿宋" w:eastAsia="仿宋"/>
          <w:b w:val="0"/>
          <w:bCs w:val="0"/>
        </w:rPr>
        <w:t>五、</w:t>
      </w:r>
      <w:r>
        <w:rPr>
          <w:rFonts w:hint="eastAsia" w:ascii="仿宋" w:hAnsi="仿宋" w:eastAsia="仿宋"/>
          <w:b w:val="0"/>
        </w:rPr>
        <w:t>财</w:t>
      </w:r>
      <w:r>
        <w:rPr>
          <w:rStyle w:val="27"/>
          <w:rFonts w:hint="eastAsia" w:ascii="仿宋" w:hAnsi="仿宋" w:eastAsia="仿宋"/>
          <w:b w:val="0"/>
          <w:bCs w:val="0"/>
        </w:rPr>
        <w:t>政拨款支出决算明细表</w:t>
      </w:r>
      <w:bookmarkEnd w:id="69"/>
      <w:bookmarkStart w:id="70" w:name="_Toc15396624"/>
    </w:p>
    <w:p w14:paraId="62E84A13">
      <w:pPr>
        <w:pStyle w:val="4"/>
        <w:rPr>
          <w:rFonts w:ascii="仿宋" w:hAnsi="仿宋" w:eastAsia="仿宋"/>
        </w:rPr>
      </w:pPr>
      <w:r>
        <w:rPr>
          <w:rStyle w:val="27"/>
          <w:rFonts w:hint="eastAsia" w:ascii="仿宋" w:hAnsi="仿宋" w:eastAsia="仿宋"/>
          <w:b w:val="0"/>
          <w:bCs w:val="0"/>
        </w:rPr>
        <w:t>六、</w:t>
      </w:r>
      <w:r>
        <w:rPr>
          <w:rFonts w:hint="eastAsia" w:ascii="仿宋" w:hAnsi="仿宋" w:eastAsia="仿宋"/>
          <w:b w:val="0"/>
        </w:rPr>
        <w:t>一</w:t>
      </w:r>
      <w:r>
        <w:rPr>
          <w:rStyle w:val="27"/>
          <w:rFonts w:hint="eastAsia" w:ascii="仿宋" w:hAnsi="仿宋" w:eastAsia="仿宋"/>
          <w:b w:val="0"/>
          <w:bCs w:val="0"/>
        </w:rPr>
        <w:t>般公共预算财政拨款支出决算表</w:t>
      </w:r>
      <w:bookmarkEnd w:id="70"/>
    </w:p>
    <w:p w14:paraId="580DDB7C">
      <w:pPr>
        <w:pStyle w:val="4"/>
        <w:rPr>
          <w:rFonts w:ascii="仿宋" w:hAnsi="仿宋" w:eastAsia="仿宋"/>
        </w:rPr>
      </w:pPr>
      <w:bookmarkStart w:id="71" w:name="_Toc15396625"/>
      <w:r>
        <w:rPr>
          <w:rStyle w:val="27"/>
          <w:rFonts w:hint="eastAsia" w:ascii="仿宋" w:hAnsi="仿宋" w:eastAsia="仿宋"/>
          <w:b w:val="0"/>
          <w:bCs w:val="0"/>
        </w:rPr>
        <w:t>七、</w:t>
      </w:r>
      <w:r>
        <w:rPr>
          <w:rFonts w:hint="eastAsia" w:ascii="仿宋" w:hAnsi="仿宋" w:eastAsia="仿宋"/>
          <w:b w:val="0"/>
        </w:rPr>
        <w:t>一</w:t>
      </w:r>
      <w:r>
        <w:rPr>
          <w:rStyle w:val="27"/>
          <w:rFonts w:hint="eastAsia" w:ascii="仿宋" w:hAnsi="仿宋" w:eastAsia="仿宋"/>
          <w:b w:val="0"/>
          <w:bCs w:val="0"/>
        </w:rPr>
        <w:t>般公共预算财政拨款支出决算明细表</w:t>
      </w:r>
      <w:bookmarkEnd w:id="71"/>
    </w:p>
    <w:p w14:paraId="6809D1F3">
      <w:pPr>
        <w:pStyle w:val="4"/>
        <w:rPr>
          <w:rFonts w:ascii="仿宋" w:hAnsi="仿宋" w:eastAsia="仿宋"/>
        </w:rPr>
      </w:pPr>
      <w:bookmarkStart w:id="72" w:name="_Toc15396626"/>
      <w:r>
        <w:rPr>
          <w:rStyle w:val="27"/>
          <w:rFonts w:hint="eastAsia" w:ascii="仿宋" w:hAnsi="仿宋" w:eastAsia="仿宋"/>
          <w:b w:val="0"/>
          <w:bCs w:val="0"/>
        </w:rPr>
        <w:t>八、</w:t>
      </w:r>
      <w:r>
        <w:rPr>
          <w:rFonts w:hint="eastAsia" w:ascii="仿宋" w:hAnsi="仿宋" w:eastAsia="仿宋"/>
          <w:b w:val="0"/>
        </w:rPr>
        <w:t>一</w:t>
      </w:r>
      <w:r>
        <w:rPr>
          <w:rStyle w:val="27"/>
          <w:rFonts w:hint="eastAsia" w:ascii="仿宋" w:hAnsi="仿宋" w:eastAsia="仿宋"/>
          <w:b w:val="0"/>
          <w:bCs w:val="0"/>
        </w:rPr>
        <w:t>般公共预算财政拨款基本支出决算表</w:t>
      </w:r>
      <w:bookmarkEnd w:id="72"/>
    </w:p>
    <w:p w14:paraId="2815A472">
      <w:pPr>
        <w:pStyle w:val="4"/>
        <w:rPr>
          <w:rFonts w:ascii="仿宋" w:hAnsi="仿宋" w:eastAsia="仿宋"/>
        </w:rPr>
      </w:pPr>
      <w:bookmarkStart w:id="73" w:name="_Toc15396627"/>
      <w:r>
        <w:rPr>
          <w:rStyle w:val="27"/>
          <w:rFonts w:hint="eastAsia" w:ascii="仿宋" w:hAnsi="仿宋" w:eastAsia="仿宋"/>
          <w:b w:val="0"/>
          <w:bCs w:val="0"/>
        </w:rPr>
        <w:t>九、</w:t>
      </w:r>
      <w:r>
        <w:rPr>
          <w:rFonts w:hint="eastAsia" w:ascii="仿宋" w:hAnsi="仿宋" w:eastAsia="仿宋"/>
          <w:b w:val="0"/>
        </w:rPr>
        <w:t>一</w:t>
      </w:r>
      <w:r>
        <w:rPr>
          <w:rStyle w:val="27"/>
          <w:rFonts w:hint="eastAsia" w:ascii="仿宋" w:hAnsi="仿宋" w:eastAsia="仿宋"/>
          <w:b w:val="0"/>
          <w:bCs w:val="0"/>
        </w:rPr>
        <w:t>般公共预算财政拨款项目支出决算表</w:t>
      </w:r>
      <w:bookmarkEnd w:id="73"/>
    </w:p>
    <w:p w14:paraId="03F96C31">
      <w:pPr>
        <w:pStyle w:val="4"/>
        <w:rPr>
          <w:rFonts w:ascii="仿宋" w:hAnsi="仿宋" w:eastAsia="仿宋"/>
        </w:rPr>
      </w:pPr>
      <w:bookmarkStart w:id="74" w:name="_Toc15396628"/>
      <w:r>
        <w:rPr>
          <w:rStyle w:val="27"/>
          <w:rFonts w:hint="eastAsia" w:ascii="仿宋" w:hAnsi="仿宋" w:eastAsia="仿宋"/>
          <w:b w:val="0"/>
          <w:bCs w:val="0"/>
        </w:rPr>
        <w:t>十、</w:t>
      </w:r>
      <w:r>
        <w:rPr>
          <w:rFonts w:hint="eastAsia" w:ascii="仿宋" w:hAnsi="仿宋" w:eastAsia="仿宋"/>
          <w:b w:val="0"/>
        </w:rPr>
        <w:t>一</w:t>
      </w:r>
      <w:r>
        <w:rPr>
          <w:rStyle w:val="27"/>
          <w:rFonts w:hint="eastAsia" w:ascii="仿宋" w:hAnsi="仿宋" w:eastAsia="仿宋"/>
          <w:b w:val="0"/>
          <w:bCs w:val="0"/>
        </w:rPr>
        <w:t>般公共预算财政拨款“三公”经费支出决算表</w:t>
      </w:r>
      <w:bookmarkEnd w:id="74"/>
    </w:p>
    <w:p w14:paraId="354C240F">
      <w:pPr>
        <w:pStyle w:val="4"/>
        <w:rPr>
          <w:rFonts w:ascii="仿宋" w:hAnsi="仿宋" w:eastAsia="仿宋"/>
        </w:rPr>
      </w:pPr>
      <w:bookmarkStart w:id="75" w:name="_Toc15396629"/>
      <w:r>
        <w:rPr>
          <w:rStyle w:val="27"/>
          <w:rFonts w:hint="eastAsia" w:ascii="仿宋" w:hAnsi="仿宋" w:eastAsia="仿宋"/>
          <w:b w:val="0"/>
          <w:bCs w:val="0"/>
        </w:rPr>
        <w:t>十一、</w:t>
      </w:r>
      <w:r>
        <w:rPr>
          <w:rFonts w:hint="eastAsia" w:ascii="仿宋" w:hAnsi="仿宋" w:eastAsia="仿宋"/>
          <w:b w:val="0"/>
        </w:rPr>
        <w:t>政</w:t>
      </w:r>
      <w:r>
        <w:rPr>
          <w:rStyle w:val="27"/>
          <w:rFonts w:hint="eastAsia" w:ascii="仿宋" w:hAnsi="仿宋" w:eastAsia="仿宋"/>
          <w:b w:val="0"/>
          <w:bCs w:val="0"/>
        </w:rPr>
        <w:t>府性基金预算财政拨款收入支出决算表</w:t>
      </w:r>
      <w:bookmarkEnd w:id="75"/>
    </w:p>
    <w:p w14:paraId="5DB86DB4">
      <w:pPr>
        <w:pStyle w:val="4"/>
        <w:rPr>
          <w:rFonts w:ascii="仿宋" w:hAnsi="仿宋" w:eastAsia="仿宋"/>
        </w:rPr>
      </w:pPr>
      <w:bookmarkStart w:id="76" w:name="_Toc15396630"/>
      <w:r>
        <w:rPr>
          <w:rStyle w:val="27"/>
          <w:rFonts w:hint="eastAsia" w:ascii="仿宋" w:hAnsi="仿宋" w:eastAsia="仿宋"/>
          <w:b w:val="0"/>
          <w:bCs w:val="0"/>
        </w:rPr>
        <w:t>十二、</w:t>
      </w:r>
      <w:r>
        <w:rPr>
          <w:rFonts w:hint="eastAsia" w:ascii="仿宋" w:hAnsi="仿宋" w:eastAsia="仿宋"/>
          <w:b w:val="0"/>
        </w:rPr>
        <w:t>政</w:t>
      </w:r>
      <w:r>
        <w:rPr>
          <w:rStyle w:val="27"/>
          <w:rFonts w:hint="eastAsia" w:ascii="仿宋" w:hAnsi="仿宋" w:eastAsia="仿宋"/>
          <w:b w:val="0"/>
          <w:bCs w:val="0"/>
        </w:rPr>
        <w:t>府性基金预算财政拨款“三公”经费支出决算表</w:t>
      </w:r>
      <w:bookmarkEnd w:id="76"/>
    </w:p>
    <w:p w14:paraId="256EFD9F">
      <w:pPr>
        <w:pStyle w:val="4"/>
        <w:rPr>
          <w:rStyle w:val="27"/>
          <w:rFonts w:ascii="仿宋" w:hAnsi="仿宋" w:eastAsia="仿宋"/>
          <w:b w:val="0"/>
          <w:bCs w:val="0"/>
        </w:rPr>
      </w:pPr>
      <w:bookmarkStart w:id="77" w:name="_Toc15396631"/>
      <w:r>
        <w:rPr>
          <w:rStyle w:val="27"/>
          <w:rFonts w:hint="eastAsia" w:ascii="仿宋" w:hAnsi="仿宋" w:eastAsia="仿宋"/>
          <w:b w:val="0"/>
          <w:bCs w:val="0"/>
        </w:rPr>
        <w:t>十三、</w:t>
      </w:r>
      <w:r>
        <w:rPr>
          <w:rFonts w:hint="eastAsia" w:ascii="仿宋" w:hAnsi="仿宋" w:eastAsia="仿宋"/>
          <w:b w:val="0"/>
        </w:rPr>
        <w:t>国</w:t>
      </w:r>
      <w:r>
        <w:rPr>
          <w:rStyle w:val="27"/>
          <w:rFonts w:hint="eastAsia" w:ascii="仿宋" w:hAnsi="仿宋" w:eastAsia="仿宋"/>
          <w:b w:val="0"/>
          <w:bCs w:val="0"/>
        </w:rPr>
        <w:t>有资本经营预算财政拨款收入支出决算表</w:t>
      </w:r>
      <w:bookmarkEnd w:id="77"/>
    </w:p>
    <w:p w14:paraId="3DFE6843">
      <w:pPr>
        <w:rPr>
          <w:rFonts w:eastAsia="仿宋"/>
        </w:rPr>
      </w:pPr>
      <w:r>
        <w:rPr>
          <w:rStyle w:val="27"/>
          <w:rFonts w:hint="eastAsia" w:ascii="仿宋" w:hAnsi="仿宋" w:eastAsia="仿宋"/>
          <w:b w:val="0"/>
          <w:bCs w:val="0"/>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14:paraId="09204C3C">
        <w:pPr>
          <w:pStyle w:val="9"/>
          <w:jc w:val="center"/>
        </w:pPr>
        <w:r>
          <w:fldChar w:fldCharType="begin"/>
        </w:r>
        <w:r>
          <w:instrText xml:space="preserve">PAGE   \* MERGEFORMAT</w:instrText>
        </w:r>
        <w:r>
          <w:fldChar w:fldCharType="separate"/>
        </w:r>
        <w:r>
          <w:rPr>
            <w:lang w:val="zh-CN"/>
          </w:rPr>
          <w:t>21</w:t>
        </w:r>
        <w:r>
          <w:fldChar w:fldCharType="end"/>
        </w:r>
      </w:p>
    </w:sdtContent>
  </w:sdt>
  <w:p w14:paraId="03692F23">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049095">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rPr>
    </w:lvl>
  </w:abstractNum>
  <w:abstractNum w:abstractNumId="2">
    <w:nsid w:val="0BC50CCE"/>
    <w:multiLevelType w:val="singleLevel"/>
    <w:tmpl w:val="0BC50CCE"/>
    <w:lvl w:ilvl="0" w:tentative="0">
      <w:start w:val="1"/>
      <w:numFmt w:val="decimal"/>
      <w:lvlText w:val="%1."/>
      <w:lvlJc w:val="left"/>
      <w:pPr>
        <w:tabs>
          <w:tab w:val="left" w:pos="312"/>
        </w:tabs>
      </w:pPr>
    </w:lvl>
  </w:abstractNum>
  <w:abstractNum w:abstractNumId="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4">
    <w:nsid w:val="6723C77B"/>
    <w:multiLevelType w:val="singleLevel"/>
    <w:tmpl w:val="6723C77B"/>
    <w:lvl w:ilvl="0" w:tentative="0">
      <w:start w:val="2"/>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mOGM2YjgwODE5NmMzYzEzZmY3MWZiMmNiYWE4Y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A1375"/>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07B8F"/>
    <w:rsid w:val="004223DE"/>
    <w:rsid w:val="00434489"/>
    <w:rsid w:val="00437085"/>
    <w:rsid w:val="00443880"/>
    <w:rsid w:val="004464F4"/>
    <w:rsid w:val="00471401"/>
    <w:rsid w:val="00473F31"/>
    <w:rsid w:val="0048263A"/>
    <w:rsid w:val="00487E5D"/>
    <w:rsid w:val="004A711F"/>
    <w:rsid w:val="004B199D"/>
    <w:rsid w:val="004B4690"/>
    <w:rsid w:val="004B5132"/>
    <w:rsid w:val="004E0A2D"/>
    <w:rsid w:val="004E206B"/>
    <w:rsid w:val="004E6DF7"/>
    <w:rsid w:val="004F0FBD"/>
    <w:rsid w:val="00505A47"/>
    <w:rsid w:val="00512FDA"/>
    <w:rsid w:val="00520DA0"/>
    <w:rsid w:val="00533F7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8DD"/>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0D4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57943"/>
    <w:rsid w:val="00A67AB5"/>
    <w:rsid w:val="00A733B2"/>
    <w:rsid w:val="00A741C2"/>
    <w:rsid w:val="00A91760"/>
    <w:rsid w:val="00A93B00"/>
    <w:rsid w:val="00A93C21"/>
    <w:rsid w:val="00AB64C9"/>
    <w:rsid w:val="00AC3C6A"/>
    <w:rsid w:val="00AD5620"/>
    <w:rsid w:val="00AD656B"/>
    <w:rsid w:val="00AD7C1B"/>
    <w:rsid w:val="00AE16BA"/>
    <w:rsid w:val="00AE1EBE"/>
    <w:rsid w:val="00AF609A"/>
    <w:rsid w:val="00B03C9D"/>
    <w:rsid w:val="00B05549"/>
    <w:rsid w:val="00B060AE"/>
    <w:rsid w:val="00B10517"/>
    <w:rsid w:val="00B14E76"/>
    <w:rsid w:val="00B161B8"/>
    <w:rsid w:val="00B2048C"/>
    <w:rsid w:val="00B310B9"/>
    <w:rsid w:val="00B35F3F"/>
    <w:rsid w:val="00B36CBB"/>
    <w:rsid w:val="00B425E0"/>
    <w:rsid w:val="00B440AA"/>
    <w:rsid w:val="00B44B70"/>
    <w:rsid w:val="00B53C56"/>
    <w:rsid w:val="00B5501E"/>
    <w:rsid w:val="00B57DAF"/>
    <w:rsid w:val="00B77EA6"/>
    <w:rsid w:val="00B81598"/>
    <w:rsid w:val="00B841F1"/>
    <w:rsid w:val="00B944D6"/>
    <w:rsid w:val="00BB4DF0"/>
    <w:rsid w:val="00BC289F"/>
    <w:rsid w:val="00BC2D50"/>
    <w:rsid w:val="00BC3F91"/>
    <w:rsid w:val="00BC5361"/>
    <w:rsid w:val="00BC5460"/>
    <w:rsid w:val="00BC6B50"/>
    <w:rsid w:val="00BD0E25"/>
    <w:rsid w:val="00BF5BD6"/>
    <w:rsid w:val="00C03E31"/>
    <w:rsid w:val="00C33E72"/>
    <w:rsid w:val="00C354B2"/>
    <w:rsid w:val="00C35554"/>
    <w:rsid w:val="00C42709"/>
    <w:rsid w:val="00C44A32"/>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6E66"/>
    <w:rsid w:val="00F87E96"/>
    <w:rsid w:val="00FA23E8"/>
    <w:rsid w:val="00FD3CC1"/>
    <w:rsid w:val="00FF1E02"/>
    <w:rsid w:val="00FF30B4"/>
    <w:rsid w:val="066E0107"/>
    <w:rsid w:val="07996F6E"/>
    <w:rsid w:val="09C66B74"/>
    <w:rsid w:val="0A2032A3"/>
    <w:rsid w:val="101860EC"/>
    <w:rsid w:val="10C055FF"/>
    <w:rsid w:val="118107EC"/>
    <w:rsid w:val="13D50BC4"/>
    <w:rsid w:val="16BB723D"/>
    <w:rsid w:val="16F15525"/>
    <w:rsid w:val="1BE8440E"/>
    <w:rsid w:val="1D155CEE"/>
    <w:rsid w:val="23860B96"/>
    <w:rsid w:val="240371BF"/>
    <w:rsid w:val="29851DBA"/>
    <w:rsid w:val="29FD04D3"/>
    <w:rsid w:val="2C8A61B5"/>
    <w:rsid w:val="2DF04E50"/>
    <w:rsid w:val="2FB51CEC"/>
    <w:rsid w:val="319F7F4E"/>
    <w:rsid w:val="335441E0"/>
    <w:rsid w:val="36AA5135"/>
    <w:rsid w:val="36BD48F4"/>
    <w:rsid w:val="37E16F03"/>
    <w:rsid w:val="3D8A3F82"/>
    <w:rsid w:val="3D98207C"/>
    <w:rsid w:val="40E108BE"/>
    <w:rsid w:val="42EB4309"/>
    <w:rsid w:val="44E268DA"/>
    <w:rsid w:val="45F428E0"/>
    <w:rsid w:val="4A627F82"/>
    <w:rsid w:val="4B4F25DA"/>
    <w:rsid w:val="4BE068DB"/>
    <w:rsid w:val="4D577224"/>
    <w:rsid w:val="4EAB630A"/>
    <w:rsid w:val="4ECE2238"/>
    <w:rsid w:val="555B66AB"/>
    <w:rsid w:val="593C6082"/>
    <w:rsid w:val="5A6220B6"/>
    <w:rsid w:val="5AF92295"/>
    <w:rsid w:val="5CD71FC4"/>
    <w:rsid w:val="5E01027E"/>
    <w:rsid w:val="62897E70"/>
    <w:rsid w:val="65924B57"/>
    <w:rsid w:val="678A453E"/>
    <w:rsid w:val="6C4A05C8"/>
    <w:rsid w:val="6E7E3605"/>
    <w:rsid w:val="6FF5CC65"/>
    <w:rsid w:val="715C0E4B"/>
    <w:rsid w:val="72734D90"/>
    <w:rsid w:val="73AD73D5"/>
    <w:rsid w:val="73B6EB34"/>
    <w:rsid w:val="746D116A"/>
    <w:rsid w:val="79EE5BA4"/>
    <w:rsid w:val="7A894339"/>
    <w:rsid w:val="7D9121E7"/>
    <w:rsid w:val="7EEF11D3"/>
    <w:rsid w:val="7F2A6733"/>
    <w:rsid w:val="7FA30C79"/>
    <w:rsid w:val="7FC96657"/>
    <w:rsid w:val="7FFC4290"/>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6"/>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33"/>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0"/>
    <w:unhideWhenUsed/>
    <w:qFormat/>
    <w:uiPriority w:val="9"/>
    <w:pPr>
      <w:keepNext/>
      <w:keepLines/>
      <w:spacing w:before="260" w:after="260" w:line="416" w:lineRule="auto"/>
      <w:outlineLvl w:val="2"/>
    </w:pPr>
    <w:rPr>
      <w:b/>
      <w:bCs/>
      <w:sz w:val="32"/>
      <w:szCs w:val="32"/>
    </w:rPr>
  </w:style>
  <w:style w:type="paragraph" w:styleId="6">
    <w:name w:val="heading 4"/>
    <w:basedOn w:val="4"/>
    <w:next w:val="1"/>
    <w:qFormat/>
    <w:uiPriority w:val="0"/>
    <w:pPr>
      <w:outlineLvl w:val="3"/>
    </w:pPr>
    <w:rPr>
      <w:rFonts w:eastAsia="仿宋_GB2312"/>
      <w:sz w:val="28"/>
      <w:szCs w:val="28"/>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2">
    <w:name w:val="Body Text"/>
    <w:basedOn w:val="1"/>
    <w:link w:val="23"/>
    <w:qFormat/>
    <w:uiPriority w:val="99"/>
    <w:pPr>
      <w:spacing w:beforeLines="30"/>
    </w:pPr>
    <w:rPr>
      <w:rFonts w:ascii="仿宋_GB2312" w:eastAsia="仿宋_GB2312"/>
      <w:kern w:val="0"/>
      <w:sz w:val="30"/>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29"/>
    <w:semiHidden/>
    <w:unhideWhenUsed/>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19"/>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basedOn w:val="14"/>
    <w:qFormat/>
    <w:uiPriority w:val="99"/>
    <w:rPr>
      <w:b/>
    </w:rPr>
  </w:style>
  <w:style w:type="character" w:styleId="16">
    <w:name w:val="page number"/>
    <w:basedOn w:val="14"/>
    <w:qFormat/>
    <w:uiPriority w:val="0"/>
  </w:style>
  <w:style w:type="character" w:styleId="17">
    <w:name w:val="Hyperlink"/>
    <w:basedOn w:val="14"/>
    <w:unhideWhenUsed/>
    <w:qFormat/>
    <w:uiPriority w:val="99"/>
    <w:rPr>
      <w:color w:val="0000FF" w:themeColor="hyperlink"/>
      <w:u w:val="single"/>
      <w14:textFill>
        <w14:solidFill>
          <w14:schemeClr w14:val="hlink"/>
        </w14:solidFill>
      </w14:textFill>
    </w:rPr>
  </w:style>
  <w:style w:type="character" w:customStyle="1" w:styleId="18">
    <w:name w:val="Header Char"/>
    <w:basedOn w:val="14"/>
    <w:semiHidden/>
    <w:qFormat/>
    <w:uiPriority w:val="99"/>
    <w:rPr>
      <w:rFonts w:ascii="Times New Roman" w:hAnsi="Times New Roman"/>
      <w:sz w:val="18"/>
      <w:szCs w:val="18"/>
    </w:rPr>
  </w:style>
  <w:style w:type="character" w:customStyle="1" w:styleId="19">
    <w:name w:val="页眉 Char"/>
    <w:link w:val="10"/>
    <w:semiHidden/>
    <w:qFormat/>
    <w:locked/>
    <w:uiPriority w:val="99"/>
    <w:rPr>
      <w:sz w:val="18"/>
    </w:rPr>
  </w:style>
  <w:style w:type="character" w:customStyle="1" w:styleId="20">
    <w:name w:val="Footer Char"/>
    <w:basedOn w:val="14"/>
    <w:semiHidden/>
    <w:qFormat/>
    <w:uiPriority w:val="99"/>
    <w:rPr>
      <w:rFonts w:ascii="Times New Roman" w:hAnsi="Times New Roman"/>
      <w:sz w:val="18"/>
      <w:szCs w:val="18"/>
    </w:rPr>
  </w:style>
  <w:style w:type="character" w:customStyle="1" w:styleId="21">
    <w:name w:val="页脚 Char"/>
    <w:link w:val="9"/>
    <w:qFormat/>
    <w:locked/>
    <w:uiPriority w:val="99"/>
    <w:rPr>
      <w:sz w:val="18"/>
    </w:rPr>
  </w:style>
  <w:style w:type="character" w:customStyle="1" w:styleId="22">
    <w:name w:val="Body Text Char"/>
    <w:basedOn w:val="14"/>
    <w:semiHidden/>
    <w:qFormat/>
    <w:uiPriority w:val="99"/>
    <w:rPr>
      <w:rFonts w:ascii="Times New Roman" w:hAnsi="Times New Roman"/>
      <w:szCs w:val="24"/>
    </w:rPr>
  </w:style>
  <w:style w:type="character" w:customStyle="1" w:styleId="23">
    <w:name w:val="正文文本 Char"/>
    <w:link w:val="2"/>
    <w:qFormat/>
    <w:locked/>
    <w:uiPriority w:val="99"/>
    <w:rPr>
      <w:rFonts w:ascii="仿宋_GB2312" w:hAnsi="Times New Roman" w:eastAsia="仿宋_GB2312"/>
      <w:sz w:val="24"/>
    </w:r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List Paragraph"/>
    <w:basedOn w:val="1"/>
    <w:qFormat/>
    <w:uiPriority w:val="34"/>
    <w:pPr>
      <w:ind w:firstLine="420" w:firstLineChars="200"/>
    </w:pPr>
  </w:style>
  <w:style w:type="character" w:customStyle="1" w:styleId="26">
    <w:name w:val="标题 1 Char"/>
    <w:basedOn w:val="14"/>
    <w:link w:val="3"/>
    <w:qFormat/>
    <w:uiPriority w:val="9"/>
    <w:rPr>
      <w:rFonts w:ascii="Times New Roman" w:hAnsi="Times New Roman"/>
      <w:b/>
      <w:bCs/>
      <w:kern w:val="44"/>
      <w:sz w:val="44"/>
      <w:szCs w:val="44"/>
    </w:rPr>
  </w:style>
  <w:style w:type="character" w:customStyle="1" w:styleId="27">
    <w:name w:val="标题 2 Char"/>
    <w:basedOn w:val="14"/>
    <w:link w:val="4"/>
    <w:qFormat/>
    <w:uiPriority w:val="9"/>
    <w:rPr>
      <w:rFonts w:asciiTheme="majorHAnsi" w:hAnsiTheme="majorHAnsi" w:eastAsiaTheme="majorEastAsia" w:cstheme="majorBidi"/>
      <w:b/>
      <w:bCs/>
      <w:kern w:val="2"/>
      <w:sz w:val="32"/>
      <w:szCs w:val="32"/>
    </w:rPr>
  </w:style>
  <w:style w:type="paragraph" w:customStyle="1" w:styleId="28">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9">
    <w:name w:val="批注框文本 Char"/>
    <w:basedOn w:val="14"/>
    <w:link w:val="8"/>
    <w:semiHidden/>
    <w:qFormat/>
    <w:uiPriority w:val="99"/>
    <w:rPr>
      <w:rFonts w:ascii="Times New Roman" w:hAnsi="Times New Roman"/>
      <w:kern w:val="2"/>
      <w:sz w:val="18"/>
      <w:szCs w:val="18"/>
    </w:rPr>
  </w:style>
  <w:style w:type="character" w:customStyle="1" w:styleId="30">
    <w:name w:val="标题 3 Char"/>
    <w:basedOn w:val="14"/>
    <w:link w:val="5"/>
    <w:qFormat/>
    <w:uiPriority w:val="9"/>
    <w:rPr>
      <w:rFonts w:ascii="Times New Roman" w:hAnsi="Times New Roman"/>
      <w:b/>
      <w:bCs/>
      <w:kern w:val="2"/>
      <w:sz w:val="32"/>
      <w:szCs w:val="32"/>
    </w:rPr>
  </w:style>
  <w:style w:type="paragraph" w:customStyle="1" w:styleId="31">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2">
    <w:name w:val="四号正文"/>
    <w:basedOn w:val="1"/>
    <w:qFormat/>
    <w:uiPriority w:val="99"/>
    <w:pPr>
      <w:spacing w:line="360" w:lineRule="auto"/>
    </w:pPr>
    <w:rPr>
      <w:rFonts w:ascii="??" w:hAnsi="??" w:eastAsia="宋体"/>
      <w:color w:val="000000"/>
      <w:kern w:val="0"/>
      <w:sz w:val="28"/>
      <w:szCs w:val="21"/>
    </w:rPr>
  </w:style>
  <w:style w:type="character" w:customStyle="1" w:styleId="33">
    <w:name w:val="标题 2 字符"/>
    <w:basedOn w:val="14"/>
    <w:link w:val="4"/>
    <w:qFormat/>
    <w:uiPriority w:val="9"/>
    <w:rPr>
      <w:rFonts w:ascii="Times New Roman" w:hAnsi="Times New Roman" w:eastAsia="楷体" w:cstheme="majorBidi"/>
      <w:b/>
      <w:bCs/>
      <w:sz w:val="32"/>
      <w:szCs w:val="32"/>
    </w:rPr>
  </w:style>
  <w:style w:type="character" w:customStyle="1" w:styleId="34">
    <w:name w:val="font21"/>
    <w:basedOn w:val="14"/>
    <w:qFormat/>
    <w:uiPriority w:val="0"/>
    <w:rPr>
      <w:rFonts w:hint="eastAsia" w:ascii="宋体" w:hAnsi="宋体" w:eastAsia="宋体" w:cs="宋体"/>
      <w:color w:val="000000"/>
      <w:sz w:val="24"/>
      <w:szCs w:val="24"/>
      <w:u w:val="none"/>
    </w:rPr>
  </w:style>
  <w:style w:type="character" w:customStyle="1" w:styleId="35">
    <w:name w:val="font41"/>
    <w:basedOn w:val="14"/>
    <w:qFormat/>
    <w:uiPriority w:val="0"/>
    <w:rPr>
      <w:rFonts w:hint="default" w:ascii="Times New Roman" w:hAnsi="Times New Roman" w:cs="Times New Roman"/>
      <w:color w:val="000000"/>
      <w:sz w:val="24"/>
      <w:szCs w:val="24"/>
      <w:u w:val="none"/>
    </w:rPr>
  </w:style>
  <w:style w:type="character" w:customStyle="1" w:styleId="36">
    <w:name w:val="font51"/>
    <w:basedOn w:val="14"/>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4" Type="http://schemas.openxmlformats.org/officeDocument/2006/relationships/fontTable" Target="fontTable.xml"/><Relationship Id="rId53" Type="http://schemas.openxmlformats.org/officeDocument/2006/relationships/numbering" Target="numbering.xml"/><Relationship Id="rId52" Type="http://schemas.openxmlformats.org/officeDocument/2006/relationships/image" Target="media/image27.emf"/><Relationship Id="rId51" Type="http://schemas.openxmlformats.org/officeDocument/2006/relationships/oleObject" Target="embeddings/oleObject20.bin"/><Relationship Id="rId50" Type="http://schemas.openxmlformats.org/officeDocument/2006/relationships/image" Target="media/image26.emf"/><Relationship Id="rId5" Type="http://schemas.openxmlformats.org/officeDocument/2006/relationships/theme" Target="theme/theme1.xml"/><Relationship Id="rId49" Type="http://schemas.openxmlformats.org/officeDocument/2006/relationships/oleObject" Target="embeddings/oleObject19.bin"/><Relationship Id="rId48" Type="http://schemas.openxmlformats.org/officeDocument/2006/relationships/image" Target="media/image25.emf"/><Relationship Id="rId47" Type="http://schemas.openxmlformats.org/officeDocument/2006/relationships/oleObject" Target="embeddings/oleObject18.bin"/><Relationship Id="rId46" Type="http://schemas.openxmlformats.org/officeDocument/2006/relationships/image" Target="media/image24.emf"/><Relationship Id="rId45" Type="http://schemas.openxmlformats.org/officeDocument/2006/relationships/oleObject" Target="embeddings/oleObject17.bin"/><Relationship Id="rId44" Type="http://schemas.openxmlformats.org/officeDocument/2006/relationships/image" Target="media/image23.emf"/><Relationship Id="rId43" Type="http://schemas.openxmlformats.org/officeDocument/2006/relationships/oleObject" Target="embeddings/oleObject16.bin"/><Relationship Id="rId42" Type="http://schemas.openxmlformats.org/officeDocument/2006/relationships/image" Target="media/image22.emf"/><Relationship Id="rId41" Type="http://schemas.openxmlformats.org/officeDocument/2006/relationships/oleObject" Target="embeddings/oleObject15.bin"/><Relationship Id="rId40" Type="http://schemas.openxmlformats.org/officeDocument/2006/relationships/image" Target="media/image21.emf"/><Relationship Id="rId4" Type="http://schemas.openxmlformats.org/officeDocument/2006/relationships/footer" Target="footer1.xml"/><Relationship Id="rId39" Type="http://schemas.openxmlformats.org/officeDocument/2006/relationships/oleObject" Target="embeddings/oleObject14.bin"/><Relationship Id="rId38" Type="http://schemas.openxmlformats.org/officeDocument/2006/relationships/image" Target="media/image20.emf"/><Relationship Id="rId37" Type="http://schemas.openxmlformats.org/officeDocument/2006/relationships/oleObject" Target="embeddings/oleObject13.bin"/><Relationship Id="rId36" Type="http://schemas.openxmlformats.org/officeDocument/2006/relationships/image" Target="media/image19.emf"/><Relationship Id="rId35" Type="http://schemas.openxmlformats.org/officeDocument/2006/relationships/oleObject" Target="embeddings/oleObject12.bin"/><Relationship Id="rId34" Type="http://schemas.openxmlformats.org/officeDocument/2006/relationships/image" Target="media/image18.emf"/><Relationship Id="rId33" Type="http://schemas.openxmlformats.org/officeDocument/2006/relationships/oleObject" Target="embeddings/oleObject11.bin"/><Relationship Id="rId32" Type="http://schemas.openxmlformats.org/officeDocument/2006/relationships/image" Target="media/image17.emf"/><Relationship Id="rId31" Type="http://schemas.openxmlformats.org/officeDocument/2006/relationships/oleObject" Target="embeddings/oleObject10.bin"/><Relationship Id="rId30" Type="http://schemas.openxmlformats.org/officeDocument/2006/relationships/image" Target="media/image16.emf"/><Relationship Id="rId3" Type="http://schemas.openxmlformats.org/officeDocument/2006/relationships/header" Target="header1.xml"/><Relationship Id="rId29" Type="http://schemas.openxmlformats.org/officeDocument/2006/relationships/oleObject" Target="embeddings/oleObject9.bin"/><Relationship Id="rId28" Type="http://schemas.openxmlformats.org/officeDocument/2006/relationships/image" Target="media/image15.emf"/><Relationship Id="rId27" Type="http://schemas.openxmlformats.org/officeDocument/2006/relationships/oleObject" Target="embeddings/oleObject8.bin"/><Relationship Id="rId26" Type="http://schemas.openxmlformats.org/officeDocument/2006/relationships/image" Target="media/image14.emf"/><Relationship Id="rId25" Type="http://schemas.openxmlformats.org/officeDocument/2006/relationships/oleObject" Target="embeddings/oleObject7.bin"/><Relationship Id="rId24" Type="http://schemas.openxmlformats.org/officeDocument/2006/relationships/image" Target="media/image13.emf"/><Relationship Id="rId23" Type="http://schemas.openxmlformats.org/officeDocument/2006/relationships/oleObject" Target="embeddings/oleObject6.bin"/><Relationship Id="rId22" Type="http://schemas.openxmlformats.org/officeDocument/2006/relationships/image" Target="media/image12.emf"/><Relationship Id="rId21" Type="http://schemas.openxmlformats.org/officeDocument/2006/relationships/oleObject" Target="embeddings/oleObject5.bin"/><Relationship Id="rId20" Type="http://schemas.openxmlformats.org/officeDocument/2006/relationships/image" Target="media/image11.emf"/><Relationship Id="rId2" Type="http://schemas.openxmlformats.org/officeDocument/2006/relationships/settings" Target="settings.xml"/><Relationship Id="rId19" Type="http://schemas.openxmlformats.org/officeDocument/2006/relationships/oleObject" Target="embeddings/oleObject4.bin"/><Relationship Id="rId18" Type="http://schemas.openxmlformats.org/officeDocument/2006/relationships/image" Target="media/image10.emf"/><Relationship Id="rId17" Type="http://schemas.openxmlformats.org/officeDocument/2006/relationships/oleObject" Target="embeddings/oleObject3.bin"/><Relationship Id="rId16" Type="http://schemas.openxmlformats.org/officeDocument/2006/relationships/image" Target="media/image9.emf"/><Relationship Id="rId15" Type="http://schemas.openxmlformats.org/officeDocument/2006/relationships/oleObject" Target="embeddings/oleObject2.bin"/><Relationship Id="rId14" Type="http://schemas.openxmlformats.org/officeDocument/2006/relationships/image" Target="media/image8.emf"/><Relationship Id="rId13" Type="http://schemas.openxmlformats.org/officeDocument/2006/relationships/oleObject" Target="embeddings/oleObject1.bin"/><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四川省财政厅</Company>
  <Pages>113</Pages>
  <Words>3157</Words>
  <Characters>4124</Characters>
  <Lines>57</Lines>
  <Paragraphs>16</Paragraphs>
  <TotalTime>25</TotalTime>
  <ScaleCrop>false</ScaleCrop>
  <LinksUpToDate>false</LinksUpToDate>
  <CharactersWithSpaces>4138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2022-09-09T07:27:00Z</dcterms:created>
  <dc:creator>曹颖</dc:creator>
  <cp:lastModifiedBy>Administrator</cp:lastModifiedBy>
  <cp:lastPrinted>2022-08-08T09:11:00Z</cp:lastPrinted>
  <dcterms:modified xsi:type="dcterms:W3CDTF">2025-03-21T08:24:04Z</dcterms:modified>
  <dc:title>四川省***</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69648A347CCF421FBB33DAC5AF5D7DDC_13</vt:lpwstr>
  </property>
  <property fmtid="{D5CDD505-2E9C-101B-9397-08002B2CF9AE}" pid="4" name="KSOTemplateDocerSaveRecord">
    <vt:lpwstr>eyJoZGlkIjoiZGQyYzNjMDE2YjM1YTI0Mjg0N2U2NDIzNzQ1Zjk0ZjkifQ==</vt:lpwstr>
  </property>
</Properties>
</file>