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after="156"/>
        <w:ind w:firstLine="640"/>
        <w:rPr>
          <w:rFonts w:cs="Times New Roman"/>
        </w:rPr>
      </w:pPr>
    </w:p>
    <w:p>
      <w:pPr>
        <w:autoSpaceDE w:val="0"/>
        <w:autoSpaceDN w:val="0"/>
        <w:adjustRightInd w:val="0"/>
        <w:spacing w:before="156" w:after="156"/>
        <w:ind w:firstLine="198" w:firstLineChars="55"/>
        <w:jc w:val="center"/>
        <w:rPr>
          <w:rFonts w:eastAsia="方正小标宋_GBK" w:cs="Times New Roman"/>
          <w:sz w:val="36"/>
          <w:szCs w:val="36"/>
        </w:rPr>
      </w:pPr>
    </w:p>
    <w:p>
      <w:pPr>
        <w:autoSpaceDE w:val="0"/>
        <w:autoSpaceDN w:val="0"/>
        <w:adjustRightInd w:val="0"/>
        <w:spacing w:after="0" w:afterLines="0" w:line="600" w:lineRule="exact"/>
        <w:ind w:firstLine="0" w:firstLineChars="0"/>
        <w:jc w:val="left"/>
        <w:rPr>
          <w:rFonts w:eastAsia="方正小标宋_GBK" w:cs="Times New Roman"/>
          <w:sz w:val="36"/>
          <w:szCs w:val="36"/>
        </w:rPr>
      </w:pPr>
    </w:p>
    <w:p>
      <w:pPr>
        <w:autoSpaceDE w:val="0"/>
        <w:autoSpaceDN w:val="0"/>
        <w:adjustRightInd w:val="0"/>
        <w:spacing w:after="0" w:afterLines="0" w:line="600" w:lineRule="exact"/>
        <w:ind w:firstLine="0" w:firstLineChars="0"/>
        <w:jc w:val="center"/>
        <w:rPr>
          <w:rFonts w:eastAsia="方正小标宋_GBK" w:cs="Times New Roman"/>
          <w:sz w:val="44"/>
          <w:szCs w:val="44"/>
        </w:rPr>
      </w:pPr>
      <w:r>
        <w:rPr>
          <w:rFonts w:hint="eastAsia" w:eastAsia="方正小标宋_GBK" w:cs="Times New Roman"/>
          <w:sz w:val="44"/>
          <w:szCs w:val="44"/>
        </w:rPr>
        <w:t>绵竹市</w:t>
      </w:r>
      <w:r>
        <w:rPr>
          <w:rFonts w:eastAsia="方正小标宋_GBK" w:cs="Times New Roman"/>
          <w:sz w:val="44"/>
          <w:szCs w:val="44"/>
        </w:rPr>
        <w:t>2020年养老服务体系项目</w:t>
      </w:r>
    </w:p>
    <w:p>
      <w:pPr>
        <w:autoSpaceDE w:val="0"/>
        <w:autoSpaceDN w:val="0"/>
        <w:adjustRightInd w:val="0"/>
        <w:spacing w:after="0" w:afterLines="0" w:line="600" w:lineRule="exact"/>
        <w:ind w:firstLine="0" w:firstLineChars="0"/>
        <w:jc w:val="center"/>
        <w:rPr>
          <w:rFonts w:eastAsia="方正小标宋_GBK" w:cs="Times New Roman"/>
          <w:sz w:val="44"/>
          <w:szCs w:val="44"/>
        </w:rPr>
      </w:pPr>
      <w:r>
        <w:rPr>
          <w:rFonts w:eastAsia="方正小标宋_GBK" w:cs="Times New Roman"/>
          <w:sz w:val="44"/>
          <w:szCs w:val="44"/>
        </w:rPr>
        <w:t>支出绩效评价报告</w:t>
      </w:r>
    </w:p>
    <w:p>
      <w:pPr>
        <w:autoSpaceDE w:val="0"/>
        <w:autoSpaceDN w:val="0"/>
        <w:adjustRightInd w:val="0"/>
        <w:spacing w:after="0" w:afterLines="0" w:line="600" w:lineRule="exact"/>
        <w:ind w:firstLine="0" w:firstLineChars="0"/>
        <w:jc w:val="center"/>
        <w:rPr>
          <w:rFonts w:eastAsia="方正小标宋_GBK" w:cs="Times New Roman"/>
          <w:sz w:val="44"/>
          <w:szCs w:val="44"/>
        </w:rPr>
      </w:pPr>
    </w:p>
    <w:p>
      <w:pPr>
        <w:autoSpaceDE w:val="0"/>
        <w:autoSpaceDN w:val="0"/>
        <w:adjustRightInd w:val="0"/>
        <w:spacing w:after="0" w:afterLines="0" w:line="600" w:lineRule="exact"/>
        <w:ind w:firstLine="0" w:firstLineChars="0"/>
        <w:jc w:val="center"/>
        <w:rPr>
          <w:rFonts w:eastAsia="方正小标宋_GBK" w:cs="Times New Roman"/>
          <w:sz w:val="44"/>
          <w:szCs w:val="44"/>
        </w:rPr>
      </w:pPr>
    </w:p>
    <w:p>
      <w:pPr>
        <w:autoSpaceDE w:val="0"/>
        <w:autoSpaceDN w:val="0"/>
        <w:adjustRightInd w:val="0"/>
        <w:spacing w:after="0" w:afterLines="0" w:line="600" w:lineRule="exact"/>
        <w:ind w:firstLine="0" w:firstLineChars="0"/>
        <w:jc w:val="center"/>
        <w:rPr>
          <w:rFonts w:eastAsia="方正小标宋_GBK" w:cs="Times New Roman"/>
          <w:sz w:val="44"/>
          <w:szCs w:val="44"/>
        </w:rPr>
      </w:pPr>
    </w:p>
    <w:p>
      <w:pPr>
        <w:autoSpaceDE w:val="0"/>
        <w:autoSpaceDN w:val="0"/>
        <w:adjustRightInd w:val="0"/>
        <w:spacing w:after="0" w:afterLines="0" w:line="600" w:lineRule="exact"/>
        <w:ind w:firstLine="0" w:firstLineChars="0"/>
        <w:jc w:val="center"/>
        <w:rPr>
          <w:rFonts w:eastAsia="方正小标宋_GBK" w:cs="Times New Roman"/>
          <w:sz w:val="44"/>
          <w:szCs w:val="44"/>
        </w:rPr>
      </w:pPr>
    </w:p>
    <w:p>
      <w:pPr>
        <w:autoSpaceDE w:val="0"/>
        <w:autoSpaceDN w:val="0"/>
        <w:adjustRightInd w:val="0"/>
        <w:spacing w:after="0" w:afterLines="0" w:line="600" w:lineRule="exact"/>
        <w:ind w:firstLine="0" w:firstLineChars="0"/>
        <w:jc w:val="center"/>
        <w:rPr>
          <w:rFonts w:eastAsia="方正小标宋_GBK" w:cs="Times New Roman"/>
          <w:sz w:val="44"/>
          <w:szCs w:val="44"/>
        </w:rPr>
      </w:pPr>
    </w:p>
    <w:p>
      <w:pPr>
        <w:spacing w:before="120" w:after="0" w:afterLines="0" w:line="600" w:lineRule="exact"/>
        <w:ind w:firstLine="0" w:firstLineChars="0"/>
        <w:jc w:val="left"/>
        <w:rPr>
          <w:rFonts w:eastAsia="方正小标宋_GBK" w:cs="Times New Roman"/>
          <w:sz w:val="44"/>
          <w:szCs w:val="44"/>
        </w:rPr>
      </w:pPr>
    </w:p>
    <w:p>
      <w:pPr>
        <w:spacing w:before="120" w:after="0" w:afterLines="0" w:line="600" w:lineRule="exact"/>
        <w:ind w:firstLine="0" w:firstLineChars="0"/>
        <w:jc w:val="center"/>
        <w:rPr>
          <w:rFonts w:eastAsia="小标宋" w:cs="Times New Roman"/>
          <w:b/>
          <w:kern w:val="0"/>
          <w:sz w:val="28"/>
          <w:szCs w:val="24"/>
          <w:lang w:val="zh-CN"/>
        </w:rPr>
      </w:pPr>
      <w:r>
        <w:rPr>
          <w:rFonts w:eastAsia="小标宋" w:cs="Times New Roman"/>
          <w:b/>
          <w:kern w:val="0"/>
          <w:sz w:val="28"/>
          <w:szCs w:val="24"/>
          <w:lang w:val="zh-CN"/>
        </w:rPr>
        <w:t>被评单位：绵竹市民政局</w:t>
      </w:r>
    </w:p>
    <w:p>
      <w:pPr>
        <w:spacing w:before="120" w:after="0" w:afterLines="0" w:line="600" w:lineRule="exact"/>
        <w:ind w:left="2560" w:leftChars="800" w:firstLine="0" w:firstLineChars="0"/>
        <w:jc w:val="left"/>
        <w:rPr>
          <w:rFonts w:eastAsia="小标宋" w:cs="Times New Roman"/>
          <w:b/>
          <w:kern w:val="0"/>
          <w:sz w:val="28"/>
          <w:szCs w:val="24"/>
          <w:lang w:val="zh-CN"/>
        </w:rPr>
      </w:pPr>
      <w:r>
        <w:rPr>
          <w:rFonts w:eastAsia="小标宋" w:cs="Times New Roman"/>
          <w:b/>
          <w:kern w:val="0"/>
          <w:sz w:val="28"/>
          <w:szCs w:val="24"/>
          <w:lang w:val="zh-CN"/>
        </w:rPr>
        <w:t>委托单位：绵竹市财政局</w:t>
      </w:r>
    </w:p>
    <w:p>
      <w:pPr>
        <w:spacing w:before="120" w:after="0" w:afterLines="0" w:line="600" w:lineRule="exact"/>
        <w:ind w:left="2560" w:leftChars="800" w:firstLine="0" w:firstLineChars="0"/>
        <w:jc w:val="left"/>
        <w:rPr>
          <w:rFonts w:eastAsia="小标宋" w:cs="Times New Roman"/>
          <w:b/>
          <w:kern w:val="0"/>
          <w:sz w:val="28"/>
          <w:szCs w:val="24"/>
          <w:lang w:val="zh-CN"/>
        </w:rPr>
      </w:pPr>
      <w:r>
        <w:rPr>
          <w:rFonts w:eastAsia="小标宋" w:cs="Times New Roman"/>
          <w:b/>
          <w:kern w:val="0"/>
          <w:sz w:val="28"/>
          <w:szCs w:val="24"/>
          <w:lang w:val="zh-CN"/>
        </w:rPr>
        <w:t>评价机构：北京零点市场调查有限公司</w:t>
      </w:r>
    </w:p>
    <w:p>
      <w:pPr>
        <w:spacing w:before="120" w:after="0" w:afterLines="0" w:line="600" w:lineRule="exact"/>
        <w:ind w:firstLine="0" w:firstLineChars="0"/>
        <w:rPr>
          <w:rFonts w:eastAsia="方正小标宋_GBK" w:cs="Times New Roman"/>
          <w:b/>
          <w:kern w:val="0"/>
          <w:sz w:val="44"/>
          <w:szCs w:val="44"/>
        </w:rPr>
      </w:pPr>
    </w:p>
    <w:p>
      <w:pPr>
        <w:spacing w:before="120" w:after="0" w:afterLines="0" w:line="600" w:lineRule="exact"/>
        <w:ind w:firstLine="0" w:firstLineChars="0"/>
        <w:jc w:val="center"/>
        <w:rPr>
          <w:rFonts w:eastAsia="小标宋" w:cs="Times New Roman"/>
          <w:b/>
          <w:kern w:val="0"/>
          <w:sz w:val="28"/>
          <w:szCs w:val="24"/>
          <w:lang w:val="zh-CN"/>
        </w:rPr>
      </w:pPr>
      <w:r>
        <w:rPr>
          <w:rFonts w:eastAsia="小标宋" w:cs="Times New Roman"/>
          <w:b/>
          <w:kern w:val="0"/>
          <w:sz w:val="28"/>
          <w:szCs w:val="24"/>
          <w:lang w:val="zh-CN"/>
        </w:rPr>
        <w:t>2021年6月30日</w:t>
      </w:r>
    </w:p>
    <w:p>
      <w:pPr>
        <w:tabs>
          <w:tab w:val="left" w:pos="1270"/>
          <w:tab w:val="center" w:pos="4153"/>
        </w:tabs>
        <w:autoSpaceDE w:val="0"/>
        <w:autoSpaceDN w:val="0"/>
        <w:adjustRightInd w:val="0"/>
        <w:spacing w:after="0" w:afterLines="0" w:line="240" w:lineRule="auto"/>
        <w:ind w:firstLine="0" w:firstLineChars="0"/>
        <w:jc w:val="left"/>
        <w:rPr>
          <w:rFonts w:eastAsia="方正小标宋_GBK" w:cs="Times New Roman"/>
          <w:sz w:val="44"/>
          <w:szCs w:val="44"/>
        </w:rPr>
      </w:pPr>
      <w:r>
        <w:rPr>
          <w:rFonts w:eastAsia="方正小标宋_GBK" w:cs="Times New Roman"/>
          <w:sz w:val="44"/>
          <w:szCs w:val="44"/>
        </w:rPr>
        <w:tab/>
      </w:r>
    </w:p>
    <w:p>
      <w:pPr>
        <w:widowControl/>
        <w:spacing w:after="0" w:afterLines="0" w:line="240" w:lineRule="auto"/>
        <w:ind w:firstLine="0" w:firstLineChars="0"/>
        <w:jc w:val="left"/>
        <w:rPr>
          <w:rFonts w:eastAsia="方正小标宋_GBK" w:cs="Times New Roman"/>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14"/>
        <w:spacing w:before="156" w:after="156"/>
        <w:ind w:firstLine="0" w:firstLineChars="0"/>
        <w:jc w:val="center"/>
        <w:rPr>
          <w:rFonts w:ascii="Times New Roman" w:eastAsia="黑体" w:cs="Times New Roman"/>
          <w:sz w:val="32"/>
          <w:szCs w:val="32"/>
        </w:rPr>
      </w:pPr>
      <w:r>
        <w:rPr>
          <w:rFonts w:ascii="Times New Roman" w:eastAsia="黑体" w:cs="Times New Roman"/>
          <w:sz w:val="32"/>
          <w:szCs w:val="32"/>
        </w:rPr>
        <w:t>目  录</w:t>
      </w:r>
    </w:p>
    <w:p>
      <w:pPr>
        <w:pStyle w:val="14"/>
        <w:tabs>
          <w:tab w:val="right" w:leader="dot" w:pos="8296"/>
        </w:tabs>
        <w:spacing w:before="0" w:after="0" w:afterLines="0" w:line="480" w:lineRule="exact"/>
        <w:ind w:firstLine="480"/>
        <w:rPr>
          <w:rFonts w:ascii="Times New Roman" w:eastAsia="宋体" w:cs="Times New Roman"/>
          <w:b w:val="0"/>
          <w:bCs w:val="0"/>
          <w:caps w:val="0"/>
          <w:sz w:val="24"/>
          <w:szCs w:val="24"/>
        </w:rPr>
      </w:pPr>
      <w:r>
        <w:rPr>
          <w:rFonts w:ascii="Times New Roman" w:eastAsia="宋体" w:cs="Times New Roman"/>
          <w:b w:val="0"/>
          <w:bCs w:val="0"/>
          <w:caps w:val="0"/>
          <w:sz w:val="24"/>
          <w:szCs w:val="24"/>
        </w:rPr>
        <w:fldChar w:fldCharType="begin"/>
      </w:r>
      <w:r>
        <w:rPr>
          <w:rFonts w:ascii="Times New Roman" w:eastAsia="宋体" w:cs="Times New Roman"/>
          <w:b w:val="0"/>
          <w:bCs w:val="0"/>
          <w:caps w:val="0"/>
          <w:sz w:val="24"/>
          <w:szCs w:val="24"/>
        </w:rPr>
        <w:instrText xml:space="preserve"> TOC \o "1-3" \h \z \u </w:instrText>
      </w:r>
      <w:r>
        <w:rPr>
          <w:rFonts w:ascii="Times New Roman" w:eastAsia="宋体" w:cs="Times New Roman"/>
          <w:b w:val="0"/>
          <w:bCs w:val="0"/>
          <w:caps w:val="0"/>
          <w:sz w:val="24"/>
          <w:szCs w:val="24"/>
        </w:rPr>
        <w:fldChar w:fldCharType="separate"/>
      </w:r>
      <w:r>
        <w:fldChar w:fldCharType="begin"/>
      </w:r>
      <w:r>
        <w:instrText xml:space="preserve"> HYPERLINK \l "_Toc76931007" </w:instrText>
      </w:r>
      <w:r>
        <w:fldChar w:fldCharType="separate"/>
      </w:r>
      <w:r>
        <w:rPr>
          <w:rStyle w:val="24"/>
          <w:rFonts w:ascii="Times New Roman" w:eastAsia="宋体" w:cs="Times New Roman"/>
          <w:sz w:val="24"/>
          <w:szCs w:val="24"/>
        </w:rPr>
        <w:t>一、项目基本情况</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_Toc76931007 \h </w:instrText>
      </w:r>
      <w:r>
        <w:rPr>
          <w:rFonts w:ascii="Times New Roman" w:eastAsia="宋体" w:cs="Times New Roman"/>
          <w:sz w:val="24"/>
          <w:szCs w:val="24"/>
        </w:rPr>
        <w:fldChar w:fldCharType="separate"/>
      </w:r>
      <w:r>
        <w:rPr>
          <w:rFonts w:ascii="Times New Roman" w:eastAsia="宋体" w:cs="Times New Roman"/>
          <w:sz w:val="24"/>
          <w:szCs w:val="24"/>
        </w:rPr>
        <w:t>3</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afterLines="0" w:line="480" w:lineRule="exact"/>
        <w:ind w:firstLine="400"/>
        <w:rPr>
          <w:rFonts w:ascii="Times New Roman" w:eastAsia="宋体" w:cs="Times New Roman"/>
          <w:smallCaps w:val="0"/>
          <w:sz w:val="24"/>
          <w:szCs w:val="24"/>
        </w:rPr>
      </w:pPr>
      <w:r>
        <w:fldChar w:fldCharType="begin"/>
      </w:r>
      <w:r>
        <w:instrText xml:space="preserve"> HYPERLINK \l "_Toc76931008" </w:instrText>
      </w:r>
      <w:r>
        <w:fldChar w:fldCharType="separate"/>
      </w:r>
      <w:r>
        <w:rPr>
          <w:rStyle w:val="24"/>
          <w:rFonts w:ascii="Times New Roman" w:eastAsia="宋体" w:cs="Times New Roman"/>
          <w:sz w:val="24"/>
          <w:szCs w:val="24"/>
        </w:rPr>
        <w:t>（一）项目立项背景</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_Toc76931008 \h </w:instrText>
      </w:r>
      <w:r>
        <w:rPr>
          <w:rFonts w:ascii="Times New Roman" w:eastAsia="宋体" w:cs="Times New Roman"/>
          <w:sz w:val="24"/>
          <w:szCs w:val="24"/>
        </w:rPr>
        <w:fldChar w:fldCharType="separate"/>
      </w:r>
      <w:r>
        <w:rPr>
          <w:rFonts w:ascii="Times New Roman" w:eastAsia="宋体" w:cs="Times New Roman"/>
          <w:sz w:val="24"/>
          <w:szCs w:val="24"/>
        </w:rPr>
        <w:t>3</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afterLines="0" w:line="480" w:lineRule="exact"/>
        <w:ind w:firstLine="400"/>
        <w:rPr>
          <w:rFonts w:ascii="Times New Roman" w:eastAsia="宋体" w:cs="Times New Roman"/>
          <w:smallCaps w:val="0"/>
          <w:sz w:val="24"/>
          <w:szCs w:val="24"/>
        </w:rPr>
      </w:pPr>
      <w:r>
        <w:fldChar w:fldCharType="begin"/>
      </w:r>
      <w:r>
        <w:instrText xml:space="preserve"> HYPERLINK \l "_Toc76931009" </w:instrText>
      </w:r>
      <w:r>
        <w:fldChar w:fldCharType="separate"/>
      </w:r>
      <w:r>
        <w:rPr>
          <w:rStyle w:val="24"/>
          <w:rFonts w:ascii="Times New Roman" w:eastAsia="宋体" w:cs="Times New Roman"/>
          <w:sz w:val="24"/>
          <w:szCs w:val="24"/>
        </w:rPr>
        <w:t>（二）项目主要内容及实施情况</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_Toc76931009 \h </w:instrText>
      </w:r>
      <w:r>
        <w:rPr>
          <w:rFonts w:ascii="Times New Roman" w:eastAsia="宋体" w:cs="Times New Roman"/>
          <w:sz w:val="24"/>
          <w:szCs w:val="24"/>
        </w:rPr>
        <w:fldChar w:fldCharType="separate"/>
      </w:r>
      <w:r>
        <w:rPr>
          <w:rFonts w:ascii="Times New Roman" w:eastAsia="宋体" w:cs="Times New Roman"/>
          <w:sz w:val="24"/>
          <w:szCs w:val="24"/>
        </w:rPr>
        <w:t>3</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afterLines="0" w:line="480" w:lineRule="exact"/>
        <w:ind w:firstLine="400"/>
        <w:rPr>
          <w:rFonts w:ascii="Times New Roman" w:eastAsia="宋体" w:cs="Times New Roman"/>
          <w:smallCaps w:val="0"/>
          <w:sz w:val="24"/>
          <w:szCs w:val="24"/>
        </w:rPr>
      </w:pPr>
      <w:r>
        <w:fldChar w:fldCharType="begin"/>
      </w:r>
      <w:r>
        <w:instrText xml:space="preserve"> HYPERLINK \l "_Toc76931010" </w:instrText>
      </w:r>
      <w:r>
        <w:fldChar w:fldCharType="separate"/>
      </w:r>
      <w:r>
        <w:rPr>
          <w:rStyle w:val="24"/>
          <w:rFonts w:ascii="Times New Roman" w:eastAsia="宋体" w:cs="Times New Roman"/>
          <w:sz w:val="24"/>
          <w:szCs w:val="24"/>
        </w:rPr>
        <w:t>（三）资金管理及使用情况</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_Toc76931010 \h </w:instrText>
      </w:r>
      <w:r>
        <w:rPr>
          <w:rFonts w:ascii="Times New Roman" w:eastAsia="宋体" w:cs="Times New Roman"/>
          <w:sz w:val="24"/>
          <w:szCs w:val="24"/>
        </w:rPr>
        <w:fldChar w:fldCharType="separate"/>
      </w:r>
      <w:r>
        <w:rPr>
          <w:rFonts w:ascii="Times New Roman" w:eastAsia="宋体" w:cs="Times New Roman"/>
          <w:sz w:val="24"/>
          <w:szCs w:val="24"/>
        </w:rPr>
        <w:t>6</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9"/>
        <w:tabs>
          <w:tab w:val="right" w:leader="dot" w:pos="8296"/>
        </w:tabs>
        <w:spacing w:afterLines="0" w:line="480" w:lineRule="exact"/>
        <w:ind w:firstLine="400"/>
        <w:rPr>
          <w:rFonts w:ascii="Times New Roman" w:eastAsia="宋体" w:cs="Times New Roman"/>
          <w:i w:val="0"/>
          <w:iCs w:val="0"/>
          <w:sz w:val="24"/>
          <w:szCs w:val="24"/>
        </w:rPr>
      </w:pPr>
      <w:r>
        <w:fldChar w:fldCharType="begin"/>
      </w:r>
      <w:r>
        <w:instrText xml:space="preserve"> HYPERLINK \l "_Toc76931011" </w:instrText>
      </w:r>
      <w:r>
        <w:fldChar w:fldCharType="separate"/>
      </w:r>
      <w:r>
        <w:rPr>
          <w:rStyle w:val="24"/>
          <w:rFonts w:ascii="Times New Roman" w:eastAsia="宋体" w:cs="Times New Roman"/>
          <w:i w:val="0"/>
          <w:iCs w:val="0"/>
          <w:sz w:val="24"/>
          <w:szCs w:val="24"/>
        </w:rPr>
        <w:t>1. 资金管理办法制定情况</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_Toc76931011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6</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9"/>
        <w:tabs>
          <w:tab w:val="right" w:leader="dot" w:pos="8296"/>
        </w:tabs>
        <w:spacing w:afterLines="0" w:line="480" w:lineRule="exact"/>
        <w:ind w:firstLine="400"/>
        <w:rPr>
          <w:rFonts w:ascii="Times New Roman" w:eastAsia="宋体" w:cs="Times New Roman"/>
          <w:i w:val="0"/>
          <w:iCs w:val="0"/>
          <w:sz w:val="24"/>
          <w:szCs w:val="24"/>
        </w:rPr>
      </w:pPr>
      <w:r>
        <w:fldChar w:fldCharType="begin"/>
      </w:r>
      <w:r>
        <w:instrText xml:space="preserve"> HYPERLINK \l "_Toc76931012" </w:instrText>
      </w:r>
      <w:r>
        <w:fldChar w:fldCharType="separate"/>
      </w:r>
      <w:r>
        <w:rPr>
          <w:rStyle w:val="24"/>
          <w:rFonts w:ascii="Times New Roman" w:eastAsia="宋体" w:cs="Times New Roman"/>
          <w:i w:val="0"/>
          <w:iCs w:val="0"/>
          <w:sz w:val="24"/>
          <w:szCs w:val="24"/>
        </w:rPr>
        <w:t>2. 项目资金来源与使用情况</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_Toc76931012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7</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14"/>
        <w:tabs>
          <w:tab w:val="right" w:leader="dot" w:pos="8296"/>
        </w:tabs>
        <w:spacing w:before="0" w:after="0" w:afterLines="0" w:line="480" w:lineRule="exact"/>
        <w:ind w:firstLine="400"/>
        <w:rPr>
          <w:rFonts w:ascii="Times New Roman" w:eastAsia="宋体" w:cs="Times New Roman"/>
          <w:b w:val="0"/>
          <w:bCs w:val="0"/>
          <w:caps w:val="0"/>
          <w:sz w:val="24"/>
          <w:szCs w:val="24"/>
        </w:rPr>
      </w:pPr>
      <w:r>
        <w:fldChar w:fldCharType="begin"/>
      </w:r>
      <w:r>
        <w:instrText xml:space="preserve"> HYPERLINK \l "_Toc76931013" </w:instrText>
      </w:r>
      <w:r>
        <w:fldChar w:fldCharType="separate"/>
      </w:r>
      <w:r>
        <w:rPr>
          <w:rStyle w:val="24"/>
          <w:rFonts w:ascii="Times New Roman" w:eastAsia="宋体" w:cs="Times New Roman"/>
          <w:sz w:val="24"/>
          <w:szCs w:val="24"/>
        </w:rPr>
        <w:t>二、评价工作基本情况</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_Toc76931013 \h </w:instrText>
      </w:r>
      <w:r>
        <w:rPr>
          <w:rFonts w:ascii="Times New Roman" w:eastAsia="宋体" w:cs="Times New Roman"/>
          <w:sz w:val="24"/>
          <w:szCs w:val="24"/>
        </w:rPr>
        <w:fldChar w:fldCharType="separate"/>
      </w:r>
      <w:r>
        <w:rPr>
          <w:rFonts w:ascii="Times New Roman" w:eastAsia="宋体" w:cs="Times New Roman"/>
          <w:sz w:val="24"/>
          <w:szCs w:val="24"/>
        </w:rPr>
        <w:t>9</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afterLines="0" w:line="480" w:lineRule="exact"/>
        <w:ind w:firstLine="400"/>
        <w:rPr>
          <w:rFonts w:ascii="Times New Roman" w:eastAsia="宋体" w:cs="Times New Roman"/>
          <w:smallCaps w:val="0"/>
          <w:sz w:val="24"/>
          <w:szCs w:val="24"/>
        </w:rPr>
      </w:pPr>
      <w:r>
        <w:fldChar w:fldCharType="begin"/>
      </w:r>
      <w:r>
        <w:instrText xml:space="preserve"> HYPERLINK \l "_Toc76931014" </w:instrText>
      </w:r>
      <w:r>
        <w:fldChar w:fldCharType="separate"/>
      </w:r>
      <w:r>
        <w:rPr>
          <w:rStyle w:val="24"/>
          <w:rFonts w:ascii="Times New Roman" w:eastAsia="宋体" w:cs="Times New Roman"/>
          <w:sz w:val="24"/>
          <w:szCs w:val="24"/>
        </w:rPr>
        <w:t>（一）评价方法</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_Toc76931014 \h </w:instrText>
      </w:r>
      <w:r>
        <w:rPr>
          <w:rFonts w:ascii="Times New Roman" w:eastAsia="宋体" w:cs="Times New Roman"/>
          <w:sz w:val="24"/>
          <w:szCs w:val="24"/>
        </w:rPr>
        <w:fldChar w:fldCharType="separate"/>
      </w:r>
      <w:r>
        <w:rPr>
          <w:rFonts w:ascii="Times New Roman" w:eastAsia="宋体" w:cs="Times New Roman"/>
          <w:sz w:val="24"/>
          <w:szCs w:val="24"/>
        </w:rPr>
        <w:t>9</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9"/>
        <w:tabs>
          <w:tab w:val="right" w:leader="dot" w:pos="8296"/>
        </w:tabs>
        <w:spacing w:afterLines="0" w:line="480" w:lineRule="exact"/>
        <w:ind w:firstLine="400"/>
        <w:rPr>
          <w:rFonts w:ascii="Times New Roman" w:eastAsia="宋体" w:cs="Times New Roman"/>
          <w:i w:val="0"/>
          <w:iCs w:val="0"/>
          <w:sz w:val="24"/>
          <w:szCs w:val="24"/>
        </w:rPr>
      </w:pPr>
      <w:r>
        <w:fldChar w:fldCharType="begin"/>
      </w:r>
      <w:r>
        <w:instrText xml:space="preserve"> HYPERLINK \l "_Toc76931015" </w:instrText>
      </w:r>
      <w:r>
        <w:fldChar w:fldCharType="separate"/>
      </w:r>
      <w:r>
        <w:rPr>
          <w:rStyle w:val="24"/>
          <w:rFonts w:ascii="Times New Roman" w:eastAsia="宋体" w:cs="Times New Roman"/>
          <w:i w:val="0"/>
          <w:iCs w:val="0"/>
          <w:sz w:val="24"/>
          <w:szCs w:val="24"/>
        </w:rPr>
        <w:t>1. 查资料—案卷研究法</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_Toc76931015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9</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9"/>
        <w:tabs>
          <w:tab w:val="right" w:leader="dot" w:pos="8296"/>
        </w:tabs>
        <w:spacing w:afterLines="0" w:line="480" w:lineRule="exact"/>
        <w:ind w:firstLine="400"/>
        <w:rPr>
          <w:rFonts w:ascii="Times New Roman" w:eastAsia="宋体" w:cs="Times New Roman"/>
          <w:i w:val="0"/>
          <w:iCs w:val="0"/>
          <w:sz w:val="24"/>
          <w:szCs w:val="24"/>
        </w:rPr>
      </w:pPr>
      <w:r>
        <w:fldChar w:fldCharType="begin"/>
      </w:r>
      <w:r>
        <w:instrText xml:space="preserve"> HYPERLINK \l "_Toc76931016" </w:instrText>
      </w:r>
      <w:r>
        <w:fldChar w:fldCharType="separate"/>
      </w:r>
      <w:r>
        <w:rPr>
          <w:rStyle w:val="24"/>
          <w:rFonts w:ascii="Times New Roman" w:eastAsia="宋体" w:cs="Times New Roman"/>
          <w:i w:val="0"/>
          <w:iCs w:val="0"/>
          <w:sz w:val="24"/>
          <w:szCs w:val="24"/>
        </w:rPr>
        <w:t>2. 访对象—深度访谈</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_Toc76931016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10</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9"/>
        <w:tabs>
          <w:tab w:val="right" w:leader="dot" w:pos="8296"/>
        </w:tabs>
        <w:spacing w:afterLines="0" w:line="480" w:lineRule="exact"/>
        <w:ind w:firstLine="400"/>
        <w:rPr>
          <w:rFonts w:ascii="Times New Roman" w:eastAsia="宋体" w:cs="Times New Roman"/>
          <w:i w:val="0"/>
          <w:iCs w:val="0"/>
          <w:sz w:val="24"/>
          <w:szCs w:val="24"/>
        </w:rPr>
      </w:pPr>
      <w:r>
        <w:fldChar w:fldCharType="begin"/>
      </w:r>
      <w:r>
        <w:instrText xml:space="preserve"> HYPERLINK \l "_Toc76931017" </w:instrText>
      </w:r>
      <w:r>
        <w:fldChar w:fldCharType="separate"/>
      </w:r>
      <w:r>
        <w:rPr>
          <w:rStyle w:val="24"/>
          <w:rFonts w:ascii="Times New Roman" w:eastAsia="宋体" w:cs="Times New Roman"/>
          <w:i w:val="0"/>
          <w:iCs w:val="0"/>
          <w:sz w:val="24"/>
          <w:szCs w:val="24"/>
        </w:rPr>
        <w:t>3. 核落实—书面评审+现场核查</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_Toc76931017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10</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18"/>
        <w:tabs>
          <w:tab w:val="right" w:leader="dot" w:pos="8296"/>
        </w:tabs>
        <w:spacing w:afterLines="0" w:line="480" w:lineRule="exact"/>
        <w:ind w:firstLine="400"/>
        <w:rPr>
          <w:rFonts w:ascii="Times New Roman" w:eastAsia="宋体" w:cs="Times New Roman"/>
          <w:smallCaps w:val="0"/>
          <w:sz w:val="24"/>
          <w:szCs w:val="24"/>
        </w:rPr>
      </w:pPr>
      <w:r>
        <w:fldChar w:fldCharType="begin"/>
      </w:r>
      <w:r>
        <w:instrText xml:space="preserve"> HYPERLINK \l "_Toc76931018" </w:instrText>
      </w:r>
      <w:r>
        <w:fldChar w:fldCharType="separate"/>
      </w:r>
      <w:r>
        <w:rPr>
          <w:rStyle w:val="24"/>
          <w:rFonts w:ascii="Times New Roman" w:eastAsia="宋体" w:cs="Times New Roman"/>
          <w:sz w:val="24"/>
          <w:szCs w:val="24"/>
        </w:rPr>
        <w:t>（二）评价指标</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_Toc76931018 \h </w:instrText>
      </w:r>
      <w:r>
        <w:rPr>
          <w:rFonts w:ascii="Times New Roman" w:eastAsia="宋体" w:cs="Times New Roman"/>
          <w:sz w:val="24"/>
          <w:szCs w:val="24"/>
        </w:rPr>
        <w:fldChar w:fldCharType="separate"/>
      </w:r>
      <w:r>
        <w:rPr>
          <w:rFonts w:ascii="Times New Roman" w:eastAsia="宋体" w:cs="Times New Roman"/>
          <w:sz w:val="24"/>
          <w:szCs w:val="24"/>
        </w:rPr>
        <w:t>11</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4"/>
        <w:tabs>
          <w:tab w:val="right" w:leader="dot" w:pos="8296"/>
        </w:tabs>
        <w:spacing w:before="0" w:after="0" w:afterLines="0" w:line="480" w:lineRule="exact"/>
        <w:ind w:firstLine="400"/>
        <w:rPr>
          <w:rFonts w:ascii="Times New Roman" w:eastAsia="宋体" w:cs="Times New Roman"/>
          <w:b w:val="0"/>
          <w:bCs w:val="0"/>
          <w:caps w:val="0"/>
          <w:sz w:val="24"/>
          <w:szCs w:val="24"/>
        </w:rPr>
      </w:pPr>
      <w:r>
        <w:fldChar w:fldCharType="begin"/>
      </w:r>
      <w:r>
        <w:instrText xml:space="preserve"> HYPERLINK \l "_Toc76931019" </w:instrText>
      </w:r>
      <w:r>
        <w:fldChar w:fldCharType="separate"/>
      </w:r>
      <w:r>
        <w:rPr>
          <w:rStyle w:val="24"/>
          <w:rFonts w:ascii="Times New Roman" w:eastAsia="宋体" w:cs="Times New Roman"/>
          <w:sz w:val="24"/>
          <w:szCs w:val="24"/>
        </w:rPr>
        <w:t>三、评价结论及绩效分析</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_Toc76931019 \h </w:instrText>
      </w:r>
      <w:r>
        <w:rPr>
          <w:rFonts w:ascii="Times New Roman" w:eastAsia="宋体" w:cs="Times New Roman"/>
          <w:sz w:val="24"/>
          <w:szCs w:val="24"/>
        </w:rPr>
        <w:fldChar w:fldCharType="separate"/>
      </w:r>
      <w:r>
        <w:rPr>
          <w:rFonts w:ascii="Times New Roman" w:eastAsia="宋体" w:cs="Times New Roman"/>
          <w:sz w:val="24"/>
          <w:szCs w:val="24"/>
        </w:rPr>
        <w:t>11</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afterLines="0" w:line="480" w:lineRule="exact"/>
        <w:ind w:firstLine="400"/>
        <w:rPr>
          <w:rFonts w:ascii="Times New Roman" w:eastAsia="宋体" w:cs="Times New Roman"/>
          <w:smallCaps w:val="0"/>
          <w:sz w:val="24"/>
          <w:szCs w:val="24"/>
        </w:rPr>
      </w:pPr>
      <w:r>
        <w:fldChar w:fldCharType="begin"/>
      </w:r>
      <w:r>
        <w:instrText xml:space="preserve"> HYPERLINK \l "_Toc76931020" </w:instrText>
      </w:r>
      <w:r>
        <w:fldChar w:fldCharType="separate"/>
      </w:r>
      <w:r>
        <w:rPr>
          <w:rStyle w:val="24"/>
          <w:rFonts w:ascii="Times New Roman" w:eastAsia="宋体" w:cs="Times New Roman"/>
          <w:sz w:val="24"/>
          <w:szCs w:val="24"/>
        </w:rPr>
        <w:t>（一）评价结论</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_Toc76931020 \h </w:instrText>
      </w:r>
      <w:r>
        <w:rPr>
          <w:rFonts w:ascii="Times New Roman" w:eastAsia="宋体" w:cs="Times New Roman"/>
          <w:sz w:val="24"/>
          <w:szCs w:val="24"/>
        </w:rPr>
        <w:fldChar w:fldCharType="separate"/>
      </w:r>
      <w:r>
        <w:rPr>
          <w:rFonts w:ascii="Times New Roman" w:eastAsia="宋体" w:cs="Times New Roman"/>
          <w:sz w:val="24"/>
          <w:szCs w:val="24"/>
        </w:rPr>
        <w:t>11</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afterLines="0" w:line="480" w:lineRule="exact"/>
        <w:ind w:firstLine="400"/>
        <w:rPr>
          <w:rFonts w:ascii="Times New Roman" w:eastAsia="宋体" w:cs="Times New Roman"/>
          <w:smallCaps w:val="0"/>
          <w:sz w:val="24"/>
          <w:szCs w:val="24"/>
        </w:rPr>
      </w:pPr>
      <w:r>
        <w:fldChar w:fldCharType="begin"/>
      </w:r>
      <w:r>
        <w:instrText xml:space="preserve"> HYPERLINK \l "_Toc76931021" </w:instrText>
      </w:r>
      <w:r>
        <w:fldChar w:fldCharType="separate"/>
      </w:r>
      <w:r>
        <w:rPr>
          <w:rStyle w:val="24"/>
          <w:rFonts w:ascii="Times New Roman" w:eastAsia="宋体" w:cs="Times New Roman"/>
          <w:sz w:val="24"/>
          <w:szCs w:val="24"/>
        </w:rPr>
        <w:t>（二）绩效分析</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_Toc76931021 \h </w:instrText>
      </w:r>
      <w:r>
        <w:rPr>
          <w:rFonts w:ascii="Times New Roman" w:eastAsia="宋体" w:cs="Times New Roman"/>
          <w:sz w:val="24"/>
          <w:szCs w:val="24"/>
        </w:rPr>
        <w:fldChar w:fldCharType="separate"/>
      </w:r>
      <w:r>
        <w:rPr>
          <w:rFonts w:ascii="Times New Roman" w:eastAsia="宋体" w:cs="Times New Roman"/>
          <w:sz w:val="24"/>
          <w:szCs w:val="24"/>
        </w:rPr>
        <w:t>14</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9"/>
        <w:tabs>
          <w:tab w:val="right" w:leader="dot" w:pos="8296"/>
        </w:tabs>
        <w:spacing w:afterLines="0" w:line="480" w:lineRule="exact"/>
        <w:ind w:firstLine="400"/>
        <w:rPr>
          <w:rFonts w:ascii="Times New Roman" w:eastAsia="宋体" w:cs="Times New Roman"/>
          <w:i w:val="0"/>
          <w:iCs w:val="0"/>
          <w:sz w:val="24"/>
          <w:szCs w:val="24"/>
        </w:rPr>
      </w:pPr>
      <w:r>
        <w:fldChar w:fldCharType="begin"/>
      </w:r>
      <w:r>
        <w:instrText xml:space="preserve"> HYPERLINK \l "_Toc76931022" </w:instrText>
      </w:r>
      <w:r>
        <w:fldChar w:fldCharType="separate"/>
      </w:r>
      <w:r>
        <w:rPr>
          <w:rStyle w:val="24"/>
          <w:rFonts w:ascii="Times New Roman" w:eastAsia="宋体" w:cs="Times New Roman"/>
          <w:i w:val="0"/>
          <w:iCs w:val="0"/>
          <w:sz w:val="24"/>
          <w:szCs w:val="24"/>
        </w:rPr>
        <w:t>1. 项目决策指标分析</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_Toc76931022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14</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9"/>
        <w:tabs>
          <w:tab w:val="right" w:leader="dot" w:pos="8296"/>
        </w:tabs>
        <w:spacing w:afterLines="0" w:line="480" w:lineRule="exact"/>
        <w:ind w:firstLine="400"/>
        <w:rPr>
          <w:rFonts w:ascii="Times New Roman" w:eastAsia="宋体" w:cs="Times New Roman"/>
          <w:i w:val="0"/>
          <w:iCs w:val="0"/>
          <w:sz w:val="24"/>
          <w:szCs w:val="24"/>
        </w:rPr>
      </w:pPr>
      <w:r>
        <w:fldChar w:fldCharType="begin"/>
      </w:r>
      <w:r>
        <w:instrText xml:space="preserve"> HYPERLINK \l "_Toc76931023" </w:instrText>
      </w:r>
      <w:r>
        <w:fldChar w:fldCharType="separate"/>
      </w:r>
      <w:r>
        <w:rPr>
          <w:rStyle w:val="24"/>
          <w:rFonts w:ascii="Times New Roman" w:eastAsia="宋体" w:cs="Times New Roman"/>
          <w:i w:val="0"/>
          <w:iCs w:val="0"/>
          <w:sz w:val="24"/>
          <w:szCs w:val="24"/>
        </w:rPr>
        <w:t>2. 项目实施指标分析</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_Toc76931023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16</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9"/>
        <w:tabs>
          <w:tab w:val="right" w:leader="dot" w:pos="8296"/>
        </w:tabs>
        <w:spacing w:afterLines="0" w:line="480" w:lineRule="exact"/>
        <w:ind w:firstLine="400"/>
        <w:rPr>
          <w:rFonts w:ascii="Times New Roman" w:eastAsia="宋体" w:cs="Times New Roman"/>
          <w:i w:val="0"/>
          <w:iCs w:val="0"/>
          <w:sz w:val="24"/>
          <w:szCs w:val="24"/>
        </w:rPr>
      </w:pPr>
      <w:r>
        <w:fldChar w:fldCharType="begin"/>
      </w:r>
      <w:r>
        <w:instrText xml:space="preserve"> HYPERLINK \l "_Toc76931024" </w:instrText>
      </w:r>
      <w:r>
        <w:fldChar w:fldCharType="separate"/>
      </w:r>
      <w:r>
        <w:rPr>
          <w:rStyle w:val="24"/>
          <w:rFonts w:ascii="Times New Roman" w:eastAsia="宋体" w:cs="Times New Roman"/>
          <w:i w:val="0"/>
          <w:iCs w:val="0"/>
          <w:sz w:val="24"/>
          <w:szCs w:val="24"/>
        </w:rPr>
        <w:t>3. 项目产出指标分析</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_Toc76931024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18</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9"/>
        <w:tabs>
          <w:tab w:val="right" w:leader="dot" w:pos="8296"/>
        </w:tabs>
        <w:spacing w:afterLines="0" w:line="480" w:lineRule="exact"/>
        <w:ind w:firstLine="400"/>
        <w:rPr>
          <w:rFonts w:ascii="Times New Roman" w:eastAsia="宋体" w:cs="Times New Roman"/>
          <w:i w:val="0"/>
          <w:iCs w:val="0"/>
          <w:sz w:val="24"/>
          <w:szCs w:val="24"/>
        </w:rPr>
      </w:pPr>
      <w:r>
        <w:fldChar w:fldCharType="begin"/>
      </w:r>
      <w:r>
        <w:instrText xml:space="preserve"> HYPERLINK \l "_Toc76931025" </w:instrText>
      </w:r>
      <w:r>
        <w:fldChar w:fldCharType="separate"/>
      </w:r>
      <w:r>
        <w:rPr>
          <w:rStyle w:val="24"/>
          <w:rFonts w:ascii="Times New Roman" w:eastAsia="宋体" w:cs="Times New Roman"/>
          <w:i w:val="0"/>
          <w:iCs w:val="0"/>
          <w:sz w:val="24"/>
          <w:szCs w:val="24"/>
        </w:rPr>
        <w:t>4. 项目效果指标分析</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_Toc76931025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20</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14"/>
        <w:tabs>
          <w:tab w:val="right" w:leader="dot" w:pos="8296"/>
        </w:tabs>
        <w:spacing w:before="0" w:after="0" w:afterLines="0" w:line="480" w:lineRule="exact"/>
        <w:ind w:firstLine="400"/>
        <w:rPr>
          <w:rFonts w:ascii="Times New Roman" w:eastAsia="宋体" w:cs="Times New Roman"/>
          <w:b w:val="0"/>
          <w:bCs w:val="0"/>
          <w:caps w:val="0"/>
          <w:sz w:val="24"/>
          <w:szCs w:val="24"/>
        </w:rPr>
      </w:pPr>
      <w:r>
        <w:fldChar w:fldCharType="begin"/>
      </w:r>
      <w:r>
        <w:instrText xml:space="preserve"> HYPERLINK \l "_Toc76931026" </w:instrText>
      </w:r>
      <w:r>
        <w:fldChar w:fldCharType="separate"/>
      </w:r>
      <w:r>
        <w:rPr>
          <w:rStyle w:val="24"/>
          <w:rFonts w:ascii="Times New Roman" w:eastAsia="宋体" w:cs="Times New Roman"/>
          <w:sz w:val="24"/>
          <w:szCs w:val="24"/>
        </w:rPr>
        <w:t>四、存在主要问题</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_Toc76931026 \h </w:instrText>
      </w:r>
      <w:r>
        <w:rPr>
          <w:rFonts w:ascii="Times New Roman" w:eastAsia="宋体" w:cs="Times New Roman"/>
          <w:sz w:val="24"/>
          <w:szCs w:val="24"/>
        </w:rPr>
        <w:fldChar w:fldCharType="separate"/>
      </w:r>
      <w:r>
        <w:rPr>
          <w:rFonts w:ascii="Times New Roman" w:eastAsia="宋体" w:cs="Times New Roman"/>
          <w:sz w:val="24"/>
          <w:szCs w:val="24"/>
        </w:rPr>
        <w:t>21</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afterLines="0" w:line="480" w:lineRule="exact"/>
        <w:ind w:firstLine="400"/>
        <w:rPr>
          <w:rFonts w:ascii="Times New Roman" w:eastAsia="宋体" w:cs="Times New Roman"/>
          <w:smallCaps w:val="0"/>
          <w:sz w:val="24"/>
          <w:szCs w:val="24"/>
        </w:rPr>
      </w:pPr>
      <w:r>
        <w:fldChar w:fldCharType="begin"/>
      </w:r>
      <w:r>
        <w:instrText xml:space="preserve"> HYPERLINK \l "_Toc76931027" </w:instrText>
      </w:r>
      <w:r>
        <w:fldChar w:fldCharType="separate"/>
      </w:r>
      <w:r>
        <w:rPr>
          <w:rStyle w:val="24"/>
          <w:rFonts w:ascii="Times New Roman" w:eastAsia="宋体" w:cs="Times New Roman"/>
          <w:sz w:val="24"/>
          <w:szCs w:val="24"/>
        </w:rPr>
        <w:t>（一）前期调研效率较低，项目进度较滞缓</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_Toc76931027 \h </w:instrText>
      </w:r>
      <w:r>
        <w:rPr>
          <w:rFonts w:ascii="Times New Roman" w:eastAsia="宋体" w:cs="Times New Roman"/>
          <w:sz w:val="24"/>
          <w:szCs w:val="24"/>
        </w:rPr>
        <w:fldChar w:fldCharType="separate"/>
      </w:r>
      <w:r>
        <w:rPr>
          <w:rFonts w:ascii="Times New Roman" w:eastAsia="宋体" w:cs="Times New Roman"/>
          <w:sz w:val="24"/>
          <w:szCs w:val="24"/>
        </w:rPr>
        <w:t>21</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afterLines="0" w:line="480" w:lineRule="exact"/>
        <w:ind w:firstLine="400"/>
        <w:rPr>
          <w:rFonts w:ascii="Times New Roman" w:eastAsia="宋体" w:cs="Times New Roman"/>
          <w:smallCaps w:val="0"/>
          <w:sz w:val="24"/>
          <w:szCs w:val="24"/>
        </w:rPr>
      </w:pPr>
      <w:r>
        <w:fldChar w:fldCharType="begin"/>
      </w:r>
      <w:r>
        <w:instrText xml:space="preserve"> HYPERLINK \l "_Toc76931028" </w:instrText>
      </w:r>
      <w:r>
        <w:fldChar w:fldCharType="separate"/>
      </w:r>
      <w:r>
        <w:rPr>
          <w:rStyle w:val="24"/>
          <w:rFonts w:ascii="Times New Roman" w:eastAsia="宋体" w:cs="Times New Roman"/>
          <w:sz w:val="24"/>
          <w:szCs w:val="24"/>
        </w:rPr>
        <w:t>（二）受疫情影响较明显，子项目资金使用率有待提高</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_Toc76931028 \h </w:instrText>
      </w:r>
      <w:r>
        <w:rPr>
          <w:rFonts w:ascii="Times New Roman" w:eastAsia="宋体" w:cs="Times New Roman"/>
          <w:sz w:val="24"/>
          <w:szCs w:val="24"/>
        </w:rPr>
        <w:fldChar w:fldCharType="separate"/>
      </w:r>
      <w:r>
        <w:rPr>
          <w:rFonts w:ascii="Times New Roman" w:eastAsia="宋体" w:cs="Times New Roman"/>
          <w:sz w:val="24"/>
          <w:szCs w:val="24"/>
        </w:rPr>
        <w:t>22</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afterLines="0" w:line="480" w:lineRule="exact"/>
        <w:ind w:firstLine="400"/>
        <w:rPr>
          <w:rFonts w:ascii="Times New Roman" w:eastAsia="宋体" w:cs="Times New Roman"/>
          <w:smallCaps w:val="0"/>
          <w:sz w:val="24"/>
          <w:szCs w:val="24"/>
        </w:rPr>
      </w:pPr>
      <w:r>
        <w:fldChar w:fldCharType="begin"/>
      </w:r>
      <w:r>
        <w:instrText xml:space="preserve"> HYPERLINK \l "_Toc76931029" </w:instrText>
      </w:r>
      <w:r>
        <w:fldChar w:fldCharType="separate"/>
      </w:r>
      <w:r>
        <w:rPr>
          <w:rStyle w:val="24"/>
          <w:rFonts w:ascii="Times New Roman" w:eastAsia="宋体" w:cs="Times New Roman"/>
          <w:sz w:val="24"/>
          <w:szCs w:val="24"/>
        </w:rPr>
        <w:t>（三）政府购买服务绩效管理欠缺，项目实施效果欠佳</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_Toc76931029 \h </w:instrText>
      </w:r>
      <w:r>
        <w:rPr>
          <w:rFonts w:ascii="Times New Roman" w:eastAsia="宋体" w:cs="Times New Roman"/>
          <w:sz w:val="24"/>
          <w:szCs w:val="24"/>
        </w:rPr>
        <w:fldChar w:fldCharType="separate"/>
      </w:r>
      <w:r>
        <w:rPr>
          <w:rFonts w:ascii="Times New Roman" w:eastAsia="宋体" w:cs="Times New Roman"/>
          <w:sz w:val="24"/>
          <w:szCs w:val="24"/>
        </w:rPr>
        <w:t>22</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4"/>
        <w:tabs>
          <w:tab w:val="right" w:leader="dot" w:pos="8296"/>
        </w:tabs>
        <w:spacing w:before="0" w:after="0" w:afterLines="0" w:line="480" w:lineRule="exact"/>
        <w:ind w:firstLine="400"/>
        <w:rPr>
          <w:rFonts w:ascii="Times New Roman" w:eastAsia="宋体" w:cs="Times New Roman"/>
          <w:b w:val="0"/>
          <w:bCs w:val="0"/>
          <w:caps w:val="0"/>
          <w:sz w:val="24"/>
          <w:szCs w:val="24"/>
        </w:rPr>
      </w:pPr>
      <w:r>
        <w:fldChar w:fldCharType="begin"/>
      </w:r>
      <w:r>
        <w:instrText xml:space="preserve"> HYPERLINK \l "_Toc76931030" </w:instrText>
      </w:r>
      <w:r>
        <w:fldChar w:fldCharType="separate"/>
      </w:r>
      <w:r>
        <w:rPr>
          <w:rStyle w:val="24"/>
          <w:rFonts w:ascii="Times New Roman" w:eastAsia="宋体" w:cs="Times New Roman"/>
          <w:sz w:val="24"/>
          <w:szCs w:val="24"/>
        </w:rPr>
        <w:t>五、相关措施建议</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_Toc76931030 \h </w:instrText>
      </w:r>
      <w:r>
        <w:rPr>
          <w:rFonts w:ascii="Times New Roman" w:eastAsia="宋体" w:cs="Times New Roman"/>
          <w:sz w:val="24"/>
          <w:szCs w:val="24"/>
        </w:rPr>
        <w:fldChar w:fldCharType="separate"/>
      </w:r>
      <w:r>
        <w:rPr>
          <w:rFonts w:ascii="Times New Roman" w:eastAsia="宋体" w:cs="Times New Roman"/>
          <w:sz w:val="24"/>
          <w:szCs w:val="24"/>
        </w:rPr>
        <w:t>23</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afterLines="0" w:line="480" w:lineRule="exact"/>
        <w:ind w:firstLine="400"/>
        <w:rPr>
          <w:rFonts w:ascii="Times New Roman" w:eastAsia="宋体" w:cs="Times New Roman"/>
          <w:smallCaps w:val="0"/>
          <w:sz w:val="24"/>
          <w:szCs w:val="24"/>
        </w:rPr>
      </w:pPr>
      <w:r>
        <w:fldChar w:fldCharType="begin"/>
      </w:r>
      <w:r>
        <w:instrText xml:space="preserve"> HYPERLINK \l "_Toc76931031" </w:instrText>
      </w:r>
      <w:r>
        <w:fldChar w:fldCharType="separate"/>
      </w:r>
      <w:r>
        <w:rPr>
          <w:rStyle w:val="24"/>
          <w:rFonts w:ascii="Times New Roman" w:eastAsia="宋体" w:cs="Times New Roman"/>
          <w:sz w:val="24"/>
          <w:szCs w:val="24"/>
        </w:rPr>
        <w:t>（一）加强项目管理，合理规划建设进度</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_Toc76931031 \h </w:instrText>
      </w:r>
      <w:r>
        <w:rPr>
          <w:rFonts w:ascii="Times New Roman" w:eastAsia="宋体" w:cs="Times New Roman"/>
          <w:sz w:val="24"/>
          <w:szCs w:val="24"/>
        </w:rPr>
        <w:fldChar w:fldCharType="separate"/>
      </w:r>
      <w:r>
        <w:rPr>
          <w:rFonts w:ascii="Times New Roman" w:eastAsia="宋体" w:cs="Times New Roman"/>
          <w:sz w:val="24"/>
          <w:szCs w:val="24"/>
        </w:rPr>
        <w:t>23</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afterLines="0" w:line="480" w:lineRule="exact"/>
        <w:ind w:firstLine="400"/>
        <w:rPr>
          <w:rFonts w:ascii="Times New Roman" w:eastAsia="宋体" w:cs="Times New Roman"/>
          <w:smallCaps w:val="0"/>
          <w:sz w:val="24"/>
          <w:szCs w:val="24"/>
        </w:rPr>
      </w:pPr>
      <w:r>
        <w:fldChar w:fldCharType="begin"/>
      </w:r>
      <w:r>
        <w:instrText xml:space="preserve"> HYPERLINK \l "_Toc76931032" </w:instrText>
      </w:r>
      <w:r>
        <w:fldChar w:fldCharType="separate"/>
      </w:r>
      <w:r>
        <w:rPr>
          <w:rStyle w:val="24"/>
          <w:rFonts w:ascii="Times New Roman" w:eastAsia="宋体" w:cs="Times New Roman"/>
          <w:sz w:val="24"/>
          <w:szCs w:val="24"/>
        </w:rPr>
        <w:t>（二）积极开展工作，发挥监管与支持助力作用</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_Toc76931032 \h </w:instrText>
      </w:r>
      <w:r>
        <w:rPr>
          <w:rFonts w:ascii="Times New Roman" w:eastAsia="宋体" w:cs="Times New Roman"/>
          <w:sz w:val="24"/>
          <w:szCs w:val="24"/>
        </w:rPr>
        <w:fldChar w:fldCharType="separate"/>
      </w:r>
      <w:r>
        <w:rPr>
          <w:rFonts w:ascii="Times New Roman" w:eastAsia="宋体" w:cs="Times New Roman"/>
          <w:sz w:val="24"/>
          <w:szCs w:val="24"/>
        </w:rPr>
        <w:t>23</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afterLines="0" w:line="480" w:lineRule="exact"/>
        <w:ind w:firstLine="400"/>
        <w:rPr>
          <w:rFonts w:ascii="Times New Roman" w:eastAsia="宋体" w:cs="Times New Roman"/>
          <w:smallCaps w:val="0"/>
          <w:sz w:val="24"/>
          <w:szCs w:val="24"/>
        </w:rPr>
      </w:pPr>
      <w:r>
        <w:fldChar w:fldCharType="begin"/>
      </w:r>
      <w:r>
        <w:instrText xml:space="preserve"> HYPERLINK \l "_Toc76931033" </w:instrText>
      </w:r>
      <w:r>
        <w:fldChar w:fldCharType="separate"/>
      </w:r>
      <w:r>
        <w:rPr>
          <w:rStyle w:val="24"/>
          <w:rFonts w:ascii="Times New Roman" w:eastAsia="宋体" w:cs="Times New Roman"/>
          <w:sz w:val="24"/>
          <w:szCs w:val="24"/>
        </w:rPr>
        <w:t>（三）依照相关规定进行政府采购，加强绩效管理监控</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_Toc76931033 \h </w:instrText>
      </w:r>
      <w:r>
        <w:rPr>
          <w:rFonts w:ascii="Times New Roman" w:eastAsia="宋体" w:cs="Times New Roman"/>
          <w:sz w:val="24"/>
          <w:szCs w:val="24"/>
        </w:rPr>
        <w:fldChar w:fldCharType="separate"/>
      </w:r>
      <w:r>
        <w:rPr>
          <w:rFonts w:ascii="Times New Roman" w:eastAsia="宋体" w:cs="Times New Roman"/>
          <w:sz w:val="24"/>
          <w:szCs w:val="24"/>
        </w:rPr>
        <w:t>24</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4"/>
        <w:tabs>
          <w:tab w:val="right" w:leader="dot" w:pos="8296"/>
        </w:tabs>
        <w:spacing w:before="0" w:after="0" w:afterLines="0" w:line="480" w:lineRule="exact"/>
        <w:ind w:firstLine="400"/>
        <w:rPr>
          <w:rFonts w:ascii="Times New Roman" w:eastAsia="宋体" w:cs="Times New Roman"/>
          <w:b w:val="0"/>
          <w:bCs w:val="0"/>
          <w:caps w:val="0"/>
          <w:sz w:val="24"/>
          <w:szCs w:val="24"/>
        </w:rPr>
      </w:pPr>
      <w:r>
        <w:fldChar w:fldCharType="begin"/>
      </w:r>
      <w:r>
        <w:instrText xml:space="preserve"> HYPERLINK \l "_Toc76931034" </w:instrText>
      </w:r>
      <w:r>
        <w:fldChar w:fldCharType="separate"/>
      </w:r>
      <w:r>
        <w:rPr>
          <w:rStyle w:val="24"/>
          <w:rFonts w:ascii="Times New Roman" w:eastAsia="宋体" w:cs="Times New Roman"/>
          <w:sz w:val="24"/>
          <w:szCs w:val="24"/>
        </w:rPr>
        <w:t>附件 绵竹市2020年养老服务体系项目支出绩效评价得分表</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_Toc76931034 \h </w:instrText>
      </w:r>
      <w:r>
        <w:rPr>
          <w:rFonts w:ascii="Times New Roman" w:eastAsia="宋体" w:cs="Times New Roman"/>
          <w:sz w:val="24"/>
          <w:szCs w:val="24"/>
        </w:rPr>
        <w:fldChar w:fldCharType="separate"/>
      </w:r>
      <w:r>
        <w:rPr>
          <w:rFonts w:ascii="Times New Roman" w:eastAsia="宋体" w:cs="Times New Roman"/>
          <w:sz w:val="24"/>
          <w:szCs w:val="24"/>
        </w:rPr>
        <w:t>25</w:t>
      </w:r>
      <w:r>
        <w:rPr>
          <w:rFonts w:ascii="Times New Roman" w:eastAsia="宋体" w:cs="Times New Roman"/>
          <w:sz w:val="24"/>
          <w:szCs w:val="24"/>
        </w:rPr>
        <w:fldChar w:fldCharType="end"/>
      </w:r>
      <w:r>
        <w:rPr>
          <w:rFonts w:ascii="Times New Roman" w:eastAsia="宋体" w:cs="Times New Roman"/>
          <w:sz w:val="24"/>
          <w:szCs w:val="24"/>
        </w:rPr>
        <w:fldChar w:fldCharType="end"/>
      </w:r>
    </w:p>
    <w:p>
      <w:pPr>
        <w:widowControl/>
        <w:spacing w:after="0" w:afterLines="0" w:line="480" w:lineRule="exact"/>
        <w:ind w:firstLine="0" w:firstLineChars="0"/>
        <w:jc w:val="left"/>
        <w:rPr>
          <w:rFonts w:eastAsia="宋体" w:cs="Times New Roman"/>
          <w:sz w:val="24"/>
          <w:szCs w:val="24"/>
        </w:rPr>
      </w:pPr>
      <w:r>
        <w:rPr>
          <w:rFonts w:eastAsia="宋体" w:cs="Times New Roman"/>
          <w:b/>
          <w:bCs/>
          <w:caps/>
          <w:sz w:val="24"/>
          <w:szCs w:val="24"/>
        </w:rPr>
        <w:fldChar w:fldCharType="end"/>
      </w:r>
    </w:p>
    <w:p>
      <w:pPr>
        <w:widowControl/>
        <w:spacing w:after="0" w:afterLines="0" w:line="480" w:lineRule="exact"/>
        <w:ind w:firstLine="0" w:firstLineChars="0"/>
        <w:jc w:val="left"/>
        <w:rPr>
          <w:rFonts w:eastAsia="宋体" w:cs="Times New Roman"/>
          <w:sz w:val="24"/>
          <w:szCs w:val="24"/>
        </w:rPr>
      </w:pPr>
    </w:p>
    <w:p>
      <w:pPr>
        <w:widowControl/>
        <w:spacing w:after="0" w:afterLines="0" w:line="480" w:lineRule="exact"/>
        <w:ind w:firstLine="0" w:firstLineChars="0"/>
        <w:jc w:val="left"/>
        <w:rPr>
          <w:rFonts w:eastAsia="宋体" w:cs="Times New Roman"/>
          <w:sz w:val="24"/>
          <w:szCs w:val="24"/>
        </w:rPr>
      </w:pPr>
    </w:p>
    <w:p>
      <w:pPr>
        <w:autoSpaceDE w:val="0"/>
        <w:autoSpaceDN w:val="0"/>
        <w:adjustRightInd w:val="0"/>
        <w:spacing w:before="156" w:after="156"/>
        <w:ind w:firstLine="198" w:firstLineChars="55"/>
        <w:rPr>
          <w:rFonts w:eastAsia="方正小标宋_GBK" w:cs="Times New Roman"/>
          <w:b/>
          <w:bCs/>
          <w:sz w:val="36"/>
          <w:szCs w:val="36"/>
        </w:rPr>
        <w:sectPr>
          <w:footerReference r:id="rId11" w:type="default"/>
          <w:pgSz w:w="11906" w:h="16838"/>
          <w:pgMar w:top="1440" w:right="1800" w:bottom="1440" w:left="1800" w:header="851" w:footer="992" w:gutter="0"/>
          <w:pgNumType w:fmt="lowerRoman" w:start="1"/>
          <w:cols w:space="425" w:num="1"/>
          <w:docGrid w:type="lines" w:linePitch="312" w:charSpace="0"/>
        </w:sectPr>
      </w:pPr>
    </w:p>
    <w:p>
      <w:pPr>
        <w:autoSpaceDE w:val="0"/>
        <w:autoSpaceDN w:val="0"/>
        <w:adjustRightInd w:val="0"/>
        <w:spacing w:before="217" w:after="217"/>
        <w:ind w:firstLine="0" w:firstLineChars="0"/>
        <w:jc w:val="center"/>
        <w:rPr>
          <w:rFonts w:eastAsia="方正小标宋_GBK" w:cs="Times New Roman"/>
          <w:b/>
          <w:bCs/>
          <w:sz w:val="44"/>
          <w:szCs w:val="44"/>
        </w:rPr>
      </w:pPr>
      <w:r>
        <w:rPr>
          <w:rFonts w:hint="eastAsia" w:eastAsia="方正小标宋_GBK" w:cs="Times New Roman"/>
          <w:b/>
          <w:bCs/>
          <w:sz w:val="44"/>
          <w:szCs w:val="44"/>
        </w:rPr>
        <w:t>绵竹市</w:t>
      </w:r>
      <w:r>
        <w:rPr>
          <w:rFonts w:eastAsia="方正小标宋_GBK" w:cs="Times New Roman"/>
          <w:b/>
          <w:bCs/>
          <w:sz w:val="44"/>
          <w:szCs w:val="44"/>
        </w:rPr>
        <w:t>2020年养老服务体系项目</w:t>
      </w:r>
    </w:p>
    <w:p>
      <w:pPr>
        <w:autoSpaceDE w:val="0"/>
        <w:autoSpaceDN w:val="0"/>
        <w:adjustRightInd w:val="0"/>
        <w:spacing w:before="217" w:after="217"/>
        <w:ind w:firstLine="0" w:firstLineChars="0"/>
        <w:jc w:val="center"/>
        <w:rPr>
          <w:rFonts w:eastAsia="方正小标宋_GBK" w:cs="Times New Roman"/>
          <w:b/>
          <w:bCs/>
          <w:sz w:val="44"/>
          <w:szCs w:val="44"/>
        </w:rPr>
      </w:pPr>
      <w:r>
        <w:rPr>
          <w:rFonts w:eastAsia="方正小标宋_GBK" w:cs="Times New Roman"/>
          <w:b/>
          <w:bCs/>
          <w:sz w:val="44"/>
          <w:szCs w:val="44"/>
        </w:rPr>
        <w:t>支出绩效评价报告</w:t>
      </w:r>
    </w:p>
    <w:p>
      <w:pPr>
        <w:spacing w:after="0" w:afterLines="0"/>
        <w:ind w:firstLine="640"/>
        <w:rPr>
          <w:rFonts w:cs="Times New Roman"/>
        </w:rPr>
      </w:pPr>
      <w:r>
        <w:rPr>
          <w:rFonts w:cs="Times New Roman"/>
        </w:rPr>
        <w:t>按照《绵竹市财政局关于开展2021年财政支出绩效评价工作的通知》（竹财监〔2021〕145号），我们接受绵竹市财政局委托，于2021年6月7日至6月10日对绵竹市民政局养老服务体系项目开展绩效评价，踏勘了汉旺镇、富新镇和紫岩街道3个样本点，进行了2次座谈会、10人次深度访谈</w:t>
      </w:r>
      <w:bookmarkStart w:id="0" w:name="_Hlk76506483"/>
      <w:r>
        <w:rPr>
          <w:rFonts w:cs="Times New Roman"/>
        </w:rPr>
        <w:t>并查阅项目相关台账资料</w:t>
      </w:r>
      <w:bookmarkEnd w:id="0"/>
      <w:r>
        <w:rPr>
          <w:rFonts w:cs="Times New Roman"/>
        </w:rPr>
        <w:t>。具体情况如下。</w:t>
      </w:r>
    </w:p>
    <w:p>
      <w:pPr>
        <w:pStyle w:val="2"/>
        <w:spacing w:after="0" w:afterLines="0"/>
        <w:ind w:firstLine="723"/>
        <w:rPr>
          <w:rFonts w:cs="Times New Roman"/>
        </w:rPr>
      </w:pPr>
      <w:bookmarkStart w:id="1" w:name="_Toc75524247"/>
      <w:bookmarkStart w:id="2" w:name="_Toc76931007"/>
      <w:r>
        <w:rPr>
          <w:rFonts w:cs="Times New Roman"/>
        </w:rPr>
        <w:t>一、项目基本情况</w:t>
      </w:r>
      <w:bookmarkEnd w:id="1"/>
      <w:bookmarkEnd w:id="2"/>
    </w:p>
    <w:p>
      <w:pPr>
        <w:pStyle w:val="3"/>
        <w:spacing w:after="0" w:afterLines="0"/>
        <w:ind w:firstLine="643"/>
        <w:rPr>
          <w:rFonts w:cs="Times New Roman"/>
        </w:rPr>
      </w:pPr>
      <w:bookmarkStart w:id="3" w:name="_Toc75524248"/>
      <w:bookmarkStart w:id="4" w:name="_Toc76931008"/>
      <w:r>
        <w:rPr>
          <w:rFonts w:cs="Times New Roman"/>
        </w:rPr>
        <w:t>（一）项目立项背景</w:t>
      </w:r>
      <w:bookmarkEnd w:id="3"/>
      <w:bookmarkEnd w:id="4"/>
    </w:p>
    <w:p>
      <w:pPr>
        <w:spacing w:after="0" w:afterLines="0"/>
        <w:ind w:firstLine="640"/>
        <w:rPr>
          <w:rFonts w:cs="Times New Roman"/>
          <w:lang w:val="zh-CN"/>
        </w:rPr>
      </w:pPr>
      <w:bookmarkStart w:id="5" w:name="_Toc75524249"/>
      <w:r>
        <w:rPr>
          <w:rFonts w:cs="Times New Roman"/>
          <w:lang w:val="zh-CN"/>
        </w:rPr>
        <w:t>为贯彻落实党中央国务院、省委省政府和市委市政府关于加强养老服务工作的重大决策部署，进一步理顺政府、市场、社会的职责定位，创新推动养老服务体系建设和养老服务高质量发展，</w:t>
      </w:r>
      <w:r>
        <w:rPr>
          <w:rFonts w:cs="Times New Roman"/>
        </w:rPr>
        <w:t>绵竹市民政局（以下简称市民政局）作为市养老服务体系项目的主管部门，承担着</w:t>
      </w:r>
      <w:r>
        <w:rPr>
          <w:rFonts w:cs="Times New Roman"/>
          <w:lang w:val="zh-CN"/>
        </w:rPr>
        <w:t>拟订</w:t>
      </w:r>
      <w:r>
        <w:rPr>
          <w:rFonts w:cs="Times New Roman"/>
        </w:rPr>
        <w:t>本市</w:t>
      </w:r>
      <w:r>
        <w:rPr>
          <w:rFonts w:cs="Times New Roman"/>
          <w:lang w:val="zh-CN"/>
        </w:rPr>
        <w:t>养老服务体系建设规划、政策、标准，指导、监督养老服务、老年人福利、特困人员供养机构管理，</w:t>
      </w:r>
      <w:r>
        <w:rPr>
          <w:rFonts w:cs="Times New Roman"/>
        </w:rPr>
        <w:t>监督管理</w:t>
      </w:r>
      <w:r>
        <w:rPr>
          <w:rFonts w:cs="Times New Roman"/>
          <w:lang w:val="zh-CN"/>
        </w:rPr>
        <w:t>养老机构安全生产</w:t>
      </w:r>
      <w:r>
        <w:rPr>
          <w:rFonts w:cs="Times New Roman"/>
        </w:rPr>
        <w:t>的重要职责</w:t>
      </w:r>
      <w:r>
        <w:rPr>
          <w:rFonts w:cs="Times New Roman"/>
          <w:lang w:val="zh-CN"/>
        </w:rPr>
        <w:t>。</w:t>
      </w:r>
    </w:p>
    <w:p>
      <w:pPr>
        <w:pStyle w:val="3"/>
        <w:spacing w:after="0" w:afterLines="0"/>
        <w:ind w:firstLine="643"/>
        <w:rPr>
          <w:rFonts w:cs="Times New Roman"/>
        </w:rPr>
      </w:pPr>
      <w:bookmarkStart w:id="6" w:name="_Toc76931009"/>
      <w:r>
        <w:rPr>
          <w:rFonts w:cs="Times New Roman"/>
        </w:rPr>
        <w:t>（二）项目主要</w:t>
      </w:r>
      <w:bookmarkEnd w:id="5"/>
      <w:r>
        <w:rPr>
          <w:rFonts w:cs="Times New Roman"/>
        </w:rPr>
        <w:t>内容及实施情况</w:t>
      </w:r>
      <w:bookmarkEnd w:id="6"/>
    </w:p>
    <w:p>
      <w:pPr>
        <w:spacing w:after="0" w:afterLines="0"/>
        <w:ind w:firstLine="640"/>
        <w:rPr>
          <w:rFonts w:cs="Times New Roman"/>
        </w:rPr>
      </w:pPr>
      <w:r>
        <w:rPr>
          <w:rFonts w:cs="Times New Roman"/>
          <w:lang w:val="zh-CN"/>
        </w:rPr>
        <w:t>根据《国务院关于加快发展养老服务业的若干意见》（国发〔2013〕35号）、《四川省人民政府办公厅关于推进四川养老服务发展的实施意见》（川办发〔2020〕9号）、《四川省民政厅关于印发2020年民政专项资金项目安排表的通知》（川民发〔2020〕72号）、《四川省民政厅关于做好2020年养老服务业发展补助重点项目的通知》（川民发〔2020〕74号）、《德阳市人民政府办公室关于印发〈德阳养老服务发展重点任务清单〉的通知》（德办发〔2020〕40号）等文件要求，市民政局2020年安排养老服务体系项目</w:t>
      </w:r>
      <w:r>
        <w:rPr>
          <w:rFonts w:cs="Times New Roman"/>
        </w:rPr>
        <w:t>如下：</w:t>
      </w:r>
    </w:p>
    <w:p>
      <w:pPr>
        <w:spacing w:after="0" w:afterLines="0"/>
        <w:ind w:firstLine="0" w:firstLineChars="0"/>
        <w:jc w:val="center"/>
        <w:rPr>
          <w:rFonts w:eastAsia="幼圆" w:cs="Times New Roman"/>
          <w:b/>
          <w:bCs/>
          <w:sz w:val="28"/>
          <w:szCs w:val="28"/>
        </w:rPr>
      </w:pPr>
      <w:r>
        <w:rPr>
          <w:rFonts w:eastAsia="幼圆" w:cs="Times New Roman"/>
          <w:b/>
          <w:bCs/>
          <w:sz w:val="28"/>
          <w:szCs w:val="28"/>
        </w:rPr>
        <w:t>附表 绵竹市2020年养老服务体系项目清单</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5"/>
        <w:gridCol w:w="3724"/>
        <w:gridCol w:w="3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blHeader/>
          <w:jc w:val="center"/>
        </w:trPr>
        <w:tc>
          <w:tcPr>
            <w:tcW w:w="631" w:type="pct"/>
            <w:tcBorders>
              <w:top w:val="single" w:color="auto" w:sz="4" w:space="0"/>
              <w:left w:val="single" w:color="auto" w:sz="4" w:space="0"/>
              <w:bottom w:val="double" w:color="auto" w:sz="4" w:space="0"/>
              <w:right w:val="single" w:color="auto" w:sz="4" w:space="0"/>
              <w:tl2br w:val="nil"/>
              <w:tr2bl w:val="nil"/>
            </w:tcBorders>
            <w:shd w:val="clear" w:color="auto" w:fill="00516B"/>
            <w:vAlign w:val="center"/>
          </w:tcPr>
          <w:p>
            <w:pPr>
              <w:widowControl/>
              <w:spacing w:after="217" w:line="280" w:lineRule="exact"/>
              <w:ind w:firstLine="0" w:firstLineChars="0"/>
              <w:rPr>
                <w:rFonts w:eastAsia="宋体" w:cs="Times New Roman"/>
                <w:b/>
                <w:bCs/>
                <w:color w:val="000000" w:themeColor="text1"/>
                <w:kern w:val="0"/>
                <w:sz w:val="20"/>
                <w:szCs w:val="20"/>
                <w14:textFill>
                  <w14:solidFill>
                    <w14:schemeClr w14:val="tx1"/>
                  </w14:solidFill>
                </w14:textFill>
              </w:rPr>
            </w:pPr>
            <w:r>
              <w:rPr>
                <w:rFonts w:eastAsia="宋体" w:cs="Times New Roman"/>
                <w:b/>
                <w:bCs/>
                <w:color w:val="FFFFFF" w:themeColor="background1"/>
                <w:kern w:val="0"/>
                <w:sz w:val="20"/>
                <w:szCs w:val="20"/>
                <w14:textFill>
                  <w14:solidFill>
                    <w14:schemeClr w14:val="bg1"/>
                  </w14:solidFill>
                </w14:textFill>
              </w:rPr>
              <w:t>项目名称</w:t>
            </w:r>
          </w:p>
        </w:tc>
        <w:tc>
          <w:tcPr>
            <w:tcW w:w="2185" w:type="pct"/>
            <w:tcBorders>
              <w:top w:val="single" w:color="auto" w:sz="4" w:space="0"/>
              <w:left w:val="single" w:color="auto" w:sz="4" w:space="0"/>
              <w:bottom w:val="double" w:color="auto" w:sz="4" w:space="0"/>
              <w:right w:val="single" w:color="auto" w:sz="4" w:space="0"/>
              <w:tl2br w:val="nil"/>
              <w:tr2bl w:val="nil"/>
            </w:tcBorders>
            <w:shd w:val="clear" w:color="auto" w:fill="00516B"/>
            <w:vAlign w:val="center"/>
          </w:tcPr>
          <w:p>
            <w:pPr>
              <w:widowControl/>
              <w:spacing w:after="217" w:line="280" w:lineRule="exact"/>
              <w:ind w:firstLine="402"/>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项目内容</w:t>
            </w:r>
          </w:p>
        </w:tc>
        <w:tc>
          <w:tcPr>
            <w:tcW w:w="2184" w:type="pct"/>
            <w:tcBorders>
              <w:top w:val="single" w:color="auto" w:sz="4" w:space="0"/>
              <w:left w:val="single" w:color="auto" w:sz="4" w:space="0"/>
              <w:bottom w:val="double" w:color="auto" w:sz="4" w:space="0"/>
              <w:right w:val="single" w:color="auto" w:sz="4" w:space="0"/>
              <w:tl2br w:val="nil"/>
              <w:tr2bl w:val="nil"/>
            </w:tcBorders>
            <w:shd w:val="clear" w:color="auto" w:fill="00516B"/>
            <w:vAlign w:val="center"/>
          </w:tcPr>
          <w:p>
            <w:pPr>
              <w:widowControl/>
              <w:spacing w:after="217" w:line="280" w:lineRule="exact"/>
              <w:ind w:firstLine="402"/>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atLeast"/>
          <w:jc w:val="center"/>
        </w:trPr>
        <w:tc>
          <w:tcPr>
            <w:tcW w:w="631" w:type="pct"/>
            <w:tcBorders>
              <w:top w:val="doub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lang w:val="zh-CN"/>
                <w14:textFill>
                  <w14:solidFill>
                    <w14:schemeClr w14:val="tx1"/>
                  </w14:solidFill>
                </w14:textFill>
              </w:rPr>
              <w:t>疫情期间养老机构一次性运营补贴</w:t>
            </w:r>
          </w:p>
        </w:tc>
        <w:tc>
          <w:tcPr>
            <w:tcW w:w="2185" w:type="pct"/>
            <w:tcBorders>
              <w:top w:val="doub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lang w:val="zh-CN"/>
                <w14:textFill>
                  <w14:solidFill>
                    <w14:schemeClr w14:val="tx1"/>
                  </w14:solidFill>
                </w14:textFill>
              </w:rPr>
              <w:t>按照疫情期间养老机构入住老人数量，以100元/人为标准，对养老机构发放一次性营运补贴，主要用于购置必要的防疫物资等。</w:t>
            </w:r>
            <w:r>
              <w:rPr>
                <w:rFonts w:eastAsia="宋体" w:cs="Times New Roman"/>
                <w:color w:val="000000" w:themeColor="text1"/>
                <w:kern w:val="0"/>
                <w:sz w:val="20"/>
                <w:szCs w:val="20"/>
                <w14:textFill>
                  <w14:solidFill>
                    <w14:schemeClr w14:val="tx1"/>
                  </w14:solidFill>
                </w14:textFill>
              </w:rPr>
              <w:t>全市共21家养老机构，公办20所（其中19家敬老院，1家县级福利院），民办1所（福寿苑）</w:t>
            </w:r>
          </w:p>
        </w:tc>
        <w:tc>
          <w:tcPr>
            <w:tcW w:w="2184" w:type="pct"/>
            <w:tcBorders>
              <w:top w:val="doub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lang w:val="zh-CN"/>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截止2020年底实际支出6.71万元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1"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养老机构疫情物资储备</w:t>
            </w:r>
          </w:p>
        </w:tc>
        <w:tc>
          <w:tcPr>
            <w:tcW w:w="2185"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供养老机构购买办公、疫情物资</w:t>
            </w:r>
          </w:p>
        </w:tc>
        <w:tc>
          <w:tcPr>
            <w:tcW w:w="2184"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截止2020年底实际支出5,795万元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1"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政府购买居家养老服务</w:t>
            </w:r>
          </w:p>
        </w:tc>
        <w:tc>
          <w:tcPr>
            <w:tcW w:w="2185"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属于上门服务，为全市居家养老困难家庭中的特困、失能、失智、残疾、独居、计划生育特殊老年人购买助洁、助餐、助浴、助行、助医等服务</w:t>
            </w:r>
          </w:p>
        </w:tc>
        <w:tc>
          <w:tcPr>
            <w:tcW w:w="2184"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沿用2014年至今的资金使用方案。以乡镇为单位，民政局将资金按年一次性拨付下达。由12个乡镇招标为老人提供服务，再按进度验收支付。在乡镇一级，项目实施进度缓慢，受疫情影响，2020年度未完成居家养老服务延至2021年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1"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特殊困难老年人家庭适老化改造</w:t>
            </w:r>
          </w:p>
        </w:tc>
        <w:tc>
          <w:tcPr>
            <w:tcW w:w="2185"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为具备绵竹市户籍的纳入分散供养特困人员和建档立卡贫困人口范围的高龄（80周岁以上）、失能、残疾老年人提供地面改造、卧室改造、如厕洗浴设备改造、老年用品配置等适老化改造服务。该项目以前由残联负责，称为</w:t>
            </w:r>
            <w:r>
              <w:rPr>
                <w:rFonts w:hint="eastAsia" w:eastAsia="宋体" w:cs="Times New Roman"/>
                <w:color w:val="000000" w:themeColor="text1"/>
                <w:kern w:val="0"/>
                <w:sz w:val="20"/>
                <w:szCs w:val="20"/>
                <w14:textFill>
                  <w14:solidFill>
                    <w14:schemeClr w14:val="tx1"/>
                  </w14:solidFill>
                </w14:textFill>
              </w:rPr>
              <w:t>“</w:t>
            </w:r>
            <w:r>
              <w:rPr>
                <w:rFonts w:eastAsia="宋体" w:cs="Times New Roman"/>
                <w:color w:val="000000" w:themeColor="text1"/>
                <w:kern w:val="0"/>
                <w:sz w:val="20"/>
                <w:szCs w:val="20"/>
                <w14:textFill>
                  <w14:solidFill>
                    <w14:schemeClr w14:val="tx1"/>
                  </w14:solidFill>
                </w14:textFill>
              </w:rPr>
              <w:t>特殊困难老人家庭无障碍改造</w:t>
            </w:r>
            <w:r>
              <w:rPr>
                <w:rFonts w:hint="eastAsia" w:eastAsia="宋体" w:cs="Times New Roman"/>
                <w:color w:val="000000" w:themeColor="text1"/>
                <w:kern w:val="0"/>
                <w:sz w:val="20"/>
                <w:szCs w:val="20"/>
                <w14:textFill>
                  <w14:solidFill>
                    <w14:schemeClr w14:val="tx1"/>
                  </w14:solidFill>
                </w14:textFill>
              </w:rPr>
              <w:t>”</w:t>
            </w:r>
            <w:r>
              <w:rPr>
                <w:rFonts w:eastAsia="宋体" w:cs="Times New Roman"/>
                <w:color w:val="000000" w:themeColor="text1"/>
                <w:kern w:val="0"/>
                <w:sz w:val="20"/>
                <w:szCs w:val="20"/>
                <w14:textFill>
                  <w14:solidFill>
                    <w14:schemeClr w14:val="tx1"/>
                  </w14:solidFill>
                </w14:textFill>
              </w:rPr>
              <w:t>，后由民政局负责，改为</w:t>
            </w:r>
            <w:r>
              <w:rPr>
                <w:rFonts w:hint="eastAsia" w:eastAsia="宋体" w:cs="Times New Roman"/>
                <w:color w:val="000000" w:themeColor="text1"/>
                <w:kern w:val="0"/>
                <w:sz w:val="20"/>
                <w:szCs w:val="20"/>
                <w14:textFill>
                  <w14:solidFill>
                    <w14:schemeClr w14:val="tx1"/>
                  </w14:solidFill>
                </w14:textFill>
              </w:rPr>
              <w:t>“</w:t>
            </w:r>
            <w:r>
              <w:rPr>
                <w:rFonts w:eastAsia="宋体" w:cs="Times New Roman"/>
                <w:color w:val="000000" w:themeColor="text1"/>
                <w:kern w:val="0"/>
                <w:sz w:val="20"/>
                <w:szCs w:val="20"/>
                <w14:textFill>
                  <w14:solidFill>
                    <w14:schemeClr w14:val="tx1"/>
                  </w14:solidFill>
                </w14:textFill>
              </w:rPr>
              <w:t>特殊困难老年人家庭适老化改造</w:t>
            </w:r>
            <w:r>
              <w:rPr>
                <w:rFonts w:hint="eastAsia" w:eastAsia="宋体" w:cs="Times New Roman"/>
                <w:color w:val="000000" w:themeColor="text1"/>
                <w:kern w:val="0"/>
                <w:sz w:val="20"/>
                <w:szCs w:val="20"/>
                <w14:textFill>
                  <w14:solidFill>
                    <w14:schemeClr w14:val="tx1"/>
                  </w14:solidFill>
                </w14:textFill>
              </w:rPr>
              <w:t>”</w:t>
            </w:r>
          </w:p>
        </w:tc>
        <w:tc>
          <w:tcPr>
            <w:tcW w:w="2184"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属于绵竹市民政局第一年开展的新任务，探索期长，项目开展进度较慢，目前已完成前期的需求排摸任务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31"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社区养老服务设施建设运营补贴</w:t>
            </w:r>
          </w:p>
        </w:tc>
        <w:tc>
          <w:tcPr>
            <w:tcW w:w="2185"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建设社区养老服务综合体和日间照料中心等社区养老服务设施，为正在运营的社区日间照料中心发放运营补贴</w:t>
            </w:r>
          </w:p>
        </w:tc>
        <w:tc>
          <w:tcPr>
            <w:tcW w:w="2184"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只针对在运营的单位进行补贴发放</w:t>
            </w:r>
          </w:p>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因疫情原因，60家日间照料中心只有15家在正常运营。资金使用进度缓慢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1"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养老机构消防设施改造</w:t>
            </w:r>
          </w:p>
        </w:tc>
        <w:tc>
          <w:tcPr>
            <w:tcW w:w="2185"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根据三年消防专项整治行动的要求，对全市公办养老机构消防设施和安全隐患点进行改造</w:t>
            </w:r>
          </w:p>
        </w:tc>
        <w:tc>
          <w:tcPr>
            <w:tcW w:w="2184"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截止2020年底实际支出24.06万元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1"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民办养老机构运营补贴</w:t>
            </w:r>
          </w:p>
        </w:tc>
        <w:tc>
          <w:tcPr>
            <w:tcW w:w="2185"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为民办养老机构收住德阳市户籍的老人按照50元/人/月的标准发放运营补贴</w:t>
            </w:r>
          </w:p>
        </w:tc>
        <w:tc>
          <w:tcPr>
            <w:tcW w:w="2184"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全市只有1家民办养老机构（福寿苑），6月</w:t>
            </w:r>
            <w:r>
              <w:rPr>
                <w:rFonts w:hint="eastAsia" w:eastAsia="宋体" w:cs="Times New Roman"/>
                <w:color w:val="000000" w:themeColor="text1"/>
                <w:kern w:val="0"/>
                <w:sz w:val="20"/>
                <w:szCs w:val="20"/>
                <w:lang w:eastAsia="zh-CN"/>
                <w14:textFill>
                  <w14:solidFill>
                    <w14:schemeClr w14:val="tx1"/>
                  </w14:solidFill>
                </w14:textFill>
              </w:rPr>
              <w:t>、</w:t>
            </w:r>
            <w:bookmarkStart w:id="54" w:name="_GoBack"/>
            <w:bookmarkEnd w:id="54"/>
            <w:r>
              <w:rPr>
                <w:rFonts w:eastAsia="宋体" w:cs="Times New Roman"/>
                <w:color w:val="000000" w:themeColor="text1"/>
                <w:kern w:val="0"/>
                <w:sz w:val="20"/>
                <w:szCs w:val="20"/>
                <w14:textFill>
                  <w14:solidFill>
                    <w14:schemeClr w14:val="tx1"/>
                  </w14:solidFill>
                </w14:textFill>
              </w:rPr>
              <w:t>12月各报1次资金补贴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1"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养老机构责任险</w:t>
            </w:r>
          </w:p>
        </w:tc>
        <w:tc>
          <w:tcPr>
            <w:tcW w:w="2185"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为全市公办养老机构购买养老机构责任险，减轻院内老人发生事故时机构存在的运营风险</w:t>
            </w:r>
          </w:p>
        </w:tc>
        <w:tc>
          <w:tcPr>
            <w:tcW w:w="2184"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截止2020年底实际支出9.45万元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631"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紫岩街道茂泉社区养老服务综合体</w:t>
            </w:r>
          </w:p>
        </w:tc>
        <w:tc>
          <w:tcPr>
            <w:tcW w:w="2185"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综合型养老服务设施，集合原社区、街道的休闲、娱乐功能进行嵌入式开发。社区为直接管理单位，集合社区功能更多的开展公益活动。紫岩街道茂泉社区养老服务综合体项目为绵竹民政局申请的省级试点项目</w:t>
            </w:r>
          </w:p>
        </w:tc>
        <w:tc>
          <w:tcPr>
            <w:tcW w:w="2184"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处于实施阶段，计划于2021年7月完工，进度较缓</w:t>
            </w:r>
          </w:p>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①</w:t>
            </w:r>
            <w:r>
              <w:rPr>
                <w:rFonts w:eastAsia="宋体" w:cs="Times New Roman"/>
                <w:color w:val="000000" w:themeColor="text1"/>
                <w:kern w:val="0"/>
                <w:sz w:val="20"/>
                <w:szCs w:val="20"/>
                <w14:textFill>
                  <w14:solidFill>
                    <w14:schemeClr w14:val="tx1"/>
                  </w14:solidFill>
                </w14:textFill>
              </w:rPr>
              <w:t>为试点工作，设计方案耗时长</w:t>
            </w:r>
          </w:p>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②</w:t>
            </w:r>
            <w:r>
              <w:rPr>
                <w:rFonts w:eastAsia="宋体" w:cs="Times New Roman"/>
                <w:color w:val="000000" w:themeColor="text1"/>
                <w:kern w:val="0"/>
                <w:sz w:val="20"/>
                <w:szCs w:val="20"/>
                <w14:textFill>
                  <w14:solidFill>
                    <w14:schemeClr w14:val="tx1"/>
                  </w14:solidFill>
                </w14:textFill>
              </w:rPr>
              <w:t>原有房屋为援建工程，原有建筑验收报告缺失，设计单位缺少参考资料</w:t>
            </w:r>
          </w:p>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③</w:t>
            </w:r>
            <w:r>
              <w:rPr>
                <w:rFonts w:eastAsia="宋体" w:cs="Times New Roman"/>
                <w:color w:val="000000" w:themeColor="text1"/>
                <w:kern w:val="0"/>
                <w:sz w:val="20"/>
                <w:szCs w:val="20"/>
                <w14:textFill>
                  <w14:solidFill>
                    <w14:schemeClr w14:val="tx1"/>
                  </w14:solidFill>
                </w14:textFill>
              </w:rPr>
              <w:t>原有建筑没有消防设施，方案经过多轮更改后于2020年11月才成功立项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631"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养老机构核酸检测</w:t>
            </w:r>
          </w:p>
        </w:tc>
        <w:tc>
          <w:tcPr>
            <w:tcW w:w="2185"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根据养老机构防疫指南，为全市养老机构工作人员和老人核酸检测支持费用</w:t>
            </w:r>
          </w:p>
        </w:tc>
        <w:tc>
          <w:tcPr>
            <w:tcW w:w="2184"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lang w:val="zh-CN"/>
                <w14:textFill>
                  <w14:solidFill>
                    <w14:schemeClr w14:val="tx1"/>
                  </w14:solidFill>
                </w14:textFill>
              </w:rPr>
              <w:t>卫健直接申报财政资金，未到</w:t>
            </w:r>
            <w:r>
              <w:rPr>
                <w:rFonts w:eastAsia="宋体" w:cs="Times New Roman"/>
                <w:color w:val="000000" w:themeColor="text1"/>
                <w:kern w:val="0"/>
                <w:sz w:val="20"/>
                <w:szCs w:val="20"/>
                <w14:textFill>
                  <w14:solidFill>
                    <w14:schemeClr w14:val="tx1"/>
                  </w14:solidFill>
                </w14:textFill>
              </w:rPr>
              <w:t>民政局</w:t>
            </w:r>
            <w:r>
              <w:rPr>
                <w:rFonts w:eastAsia="宋体" w:cs="Times New Roman"/>
                <w:color w:val="000000" w:themeColor="text1"/>
                <w:kern w:val="0"/>
                <w:sz w:val="20"/>
                <w:szCs w:val="20"/>
                <w:lang w:val="zh-CN"/>
                <w14:textFill>
                  <w14:solidFill>
                    <w14:schemeClr w14:val="tx1"/>
                  </w14:solidFill>
                </w14:textFill>
              </w:rPr>
              <w:t>拨付核酸检测费用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631"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养老人才培训</w:t>
            </w:r>
          </w:p>
        </w:tc>
        <w:tc>
          <w:tcPr>
            <w:tcW w:w="2185"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400"/>
              <w:jc w:val="center"/>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w:t>
            </w:r>
          </w:p>
        </w:tc>
        <w:tc>
          <w:tcPr>
            <w:tcW w:w="2184"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因人社局2020年设立了专门的培训项目，无需民政局再组织培训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1"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养老服务评估</w:t>
            </w:r>
          </w:p>
        </w:tc>
        <w:tc>
          <w:tcPr>
            <w:tcW w:w="2185"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对全市经村（社区）、镇（街道）初步筛选出具备一定失能情况的特困人员，通过购买第三方专业评估服务的形式，评估失能情况。</w:t>
            </w:r>
            <w:r>
              <w:rPr>
                <w:rFonts w:eastAsia="宋体" w:cs="Times New Roman"/>
                <w:color w:val="000000" w:themeColor="text1"/>
                <w:kern w:val="0"/>
                <w:sz w:val="20"/>
                <w:szCs w:val="20"/>
                <w:lang w:val="zh-CN"/>
                <w14:textFill>
                  <w14:solidFill>
                    <w14:schemeClr w14:val="tx1"/>
                  </w14:solidFill>
                </w14:textFill>
              </w:rPr>
              <w:t>根据要求</w:t>
            </w:r>
            <w:r>
              <w:rPr>
                <w:rFonts w:eastAsia="宋体" w:cs="Times New Roman"/>
                <w:color w:val="000000" w:themeColor="text1"/>
                <w:kern w:val="0"/>
                <w:sz w:val="20"/>
                <w:szCs w:val="20"/>
                <w14:textFill>
                  <w14:solidFill>
                    <w14:schemeClr w14:val="tx1"/>
                  </w14:solidFill>
                </w14:textFill>
              </w:rPr>
              <w:t>该项目</w:t>
            </w:r>
            <w:r>
              <w:rPr>
                <w:rFonts w:eastAsia="宋体" w:cs="Times New Roman"/>
                <w:color w:val="000000" w:themeColor="text1"/>
                <w:kern w:val="0"/>
                <w:sz w:val="20"/>
                <w:szCs w:val="20"/>
                <w:lang w:val="zh-CN"/>
                <w14:textFill>
                  <w14:solidFill>
                    <w14:schemeClr w14:val="tx1"/>
                  </w14:solidFill>
                </w14:textFill>
              </w:rPr>
              <w:t>需对全市养老机构评星定级</w:t>
            </w:r>
          </w:p>
        </w:tc>
        <w:tc>
          <w:tcPr>
            <w:tcW w:w="2184" w:type="pct"/>
            <w:tcBorders>
              <w:top w:val="single" w:color="auto" w:sz="4" w:space="0"/>
              <w:left w:val="single" w:color="auto" w:sz="4" w:space="0"/>
              <w:bottom w:val="single" w:color="auto" w:sz="4" w:space="0"/>
              <w:right w:val="single" w:color="auto" w:sz="4" w:space="0"/>
              <w:tl2br w:val="nil"/>
              <w:tr2bl w:val="nil"/>
            </w:tcBorders>
            <w:vAlign w:val="center"/>
          </w:tcPr>
          <w:p>
            <w:pPr>
              <w:widowControl/>
              <w:spacing w:after="217" w:line="280" w:lineRule="exact"/>
              <w:ind w:firstLine="0" w:firstLineChars="0"/>
              <w:jc w:val="left"/>
              <w:rPr>
                <w:rFonts w:eastAsia="宋体" w:cs="Times New Roman"/>
                <w:color w:val="000000" w:themeColor="text1"/>
                <w:kern w:val="0"/>
                <w:sz w:val="20"/>
                <w:szCs w:val="20"/>
                <w14:textFill>
                  <w14:solidFill>
                    <w14:schemeClr w14:val="tx1"/>
                  </w14:solidFill>
                </w14:textFill>
              </w:rPr>
            </w:pPr>
            <w:r>
              <w:rPr>
                <w:rFonts w:eastAsia="宋体" w:cs="Times New Roman"/>
                <w:color w:val="000000" w:themeColor="text1"/>
                <w:kern w:val="0"/>
                <w:sz w:val="20"/>
                <w:szCs w:val="20"/>
                <w14:textFill>
                  <w14:solidFill>
                    <w14:schemeClr w14:val="tx1"/>
                  </w14:solidFill>
                </w14:textFill>
              </w:rPr>
              <w:t>由德阳市统一评级，绵竹市民政局已停止该项目</w:t>
            </w:r>
          </w:p>
        </w:tc>
      </w:tr>
    </w:tbl>
    <w:p>
      <w:pPr>
        <w:spacing w:after="217"/>
        <w:ind w:firstLine="640"/>
      </w:pPr>
    </w:p>
    <w:p>
      <w:pPr>
        <w:spacing w:after="0" w:afterLines="0"/>
        <w:ind w:firstLine="640"/>
      </w:pPr>
      <w:r>
        <w:t>2020年计划开展12个项目，市民政局实际执行10个项目。其中，养老服务评估项目由德阳市统一评级，绵竹市民政局已暂停该项目；核酸检测、养老人才培训项目分别由卫健局和人社局负责实施；部分项目实施进度较慢。</w:t>
      </w:r>
    </w:p>
    <w:p>
      <w:pPr>
        <w:pStyle w:val="3"/>
        <w:spacing w:after="0" w:afterLines="0"/>
        <w:ind w:firstLine="643"/>
      </w:pPr>
      <w:bookmarkStart w:id="7" w:name="_Toc75524250"/>
      <w:bookmarkStart w:id="8" w:name="_Toc76931010"/>
      <w:r>
        <w:t>（三）资金管理</w:t>
      </w:r>
      <w:bookmarkEnd w:id="7"/>
      <w:r>
        <w:t>及使用情况</w:t>
      </w:r>
      <w:bookmarkEnd w:id="8"/>
    </w:p>
    <w:p>
      <w:pPr>
        <w:pStyle w:val="4"/>
        <w:spacing w:after="0" w:afterLines="0"/>
        <w:ind w:firstLine="643"/>
      </w:pPr>
      <w:bookmarkStart w:id="9" w:name="_Toc76931011"/>
      <w:bookmarkStart w:id="10" w:name="_Toc75524251"/>
      <w:r>
        <w:t>1. 资金管理办法制定情况</w:t>
      </w:r>
      <w:bookmarkEnd w:id="9"/>
      <w:bookmarkEnd w:id="10"/>
    </w:p>
    <w:p>
      <w:pPr>
        <w:spacing w:after="0" w:afterLines="0"/>
        <w:ind w:firstLine="640"/>
      </w:pPr>
      <w:bookmarkStart w:id="11" w:name="_Toc75524252"/>
      <w:r>
        <w:t>根据《绵竹市2015-2017年养老服务体系建设审查任务安排意见》的通知（竹府办〔2015〕36号）和《绵竹市加快发展养老服务业的实施意见》（竹府办〔2014〕73号）文件，结合市养老服务体系建设实际，市财政局和市民政局制定了《绵竹市社会养老服务体系建设专项资金使用管理暂行办法》（竹财〔2015〕172号）文件以进一步规范社会养老服务体系专项资金（以下简称</w:t>
      </w:r>
      <w:r>
        <w:rPr>
          <w:rFonts w:hint="eastAsia"/>
        </w:rPr>
        <w:t>“</w:t>
      </w:r>
      <w:r>
        <w:t>专项资金</w:t>
      </w:r>
      <w:r>
        <w:rPr>
          <w:rFonts w:hint="eastAsia"/>
        </w:rPr>
        <w:t>”</w:t>
      </w:r>
      <w:r>
        <w:t>）的使用和管理。专项资金（含福利彩票公益金）主要用于支持地方建设以居家为基础、社区为依托、机构为支撑的社会养老服务体系建设。</w:t>
      </w:r>
    </w:p>
    <w:p>
      <w:pPr>
        <w:spacing w:after="0" w:afterLines="0"/>
        <w:ind w:firstLine="640"/>
        <w:rPr>
          <w:b/>
          <w:bCs/>
        </w:rPr>
      </w:pPr>
      <w:r>
        <w:t>按照《国务院关于加快发展养老服务业的若干意见》（国发〔2013〕35号）、《四川省人民政府办公厅关于推进四川养老服务发展的实施意见》（川办发〔2020〕9号）、《四川省民政厅关于印发2020年民政专项资金项目安排表的通知》（川民发〔2020〕72号）、《四川省民政厅关于做好2020年养老服务业发展补助重点项目的通知》（川民发〔2020〕74号）等有关文件要求，市财政局和民政局负责对养老服务体系资金的使用进行监管，推动专项资金制度建设，按照省、市资金管理要求进行使用和拨付，各镇（街道）负责具体项目的推进，达到相关标准和条件后，市民政局拨付项目建设补助资金。</w:t>
      </w:r>
    </w:p>
    <w:p>
      <w:pPr>
        <w:pStyle w:val="4"/>
        <w:spacing w:after="0" w:afterLines="0"/>
        <w:ind w:firstLine="643"/>
        <w:rPr>
          <w:rFonts w:cs="Times New Roman"/>
        </w:rPr>
      </w:pPr>
      <w:bookmarkStart w:id="12" w:name="_Toc76931012"/>
      <w:r>
        <w:rPr>
          <w:rFonts w:cs="Times New Roman"/>
        </w:rPr>
        <w:t>2.</w:t>
      </w:r>
      <w:bookmarkEnd w:id="11"/>
      <w:r>
        <w:rPr>
          <w:rFonts w:cs="Times New Roman"/>
        </w:rPr>
        <w:t xml:space="preserve"> 项目资金来源与使用情况</w:t>
      </w:r>
      <w:bookmarkEnd w:id="12"/>
    </w:p>
    <w:p>
      <w:pPr>
        <w:spacing w:after="0" w:afterLines="0"/>
        <w:ind w:firstLine="640"/>
        <w:rPr>
          <w:rFonts w:cs="Times New Roman"/>
        </w:rPr>
      </w:pPr>
      <w:r>
        <w:rPr>
          <w:rFonts w:cs="Times New Roman"/>
        </w:rPr>
        <w:drawing>
          <wp:anchor distT="0" distB="0" distL="114300" distR="114300" simplePos="0" relativeHeight="251659264" behindDoc="0" locked="0" layoutInCell="1" allowOverlap="1">
            <wp:simplePos x="0" y="0"/>
            <wp:positionH relativeFrom="column">
              <wp:posOffset>134620</wp:posOffset>
            </wp:positionH>
            <wp:positionV relativeFrom="paragraph">
              <wp:posOffset>2247900</wp:posOffset>
            </wp:positionV>
            <wp:extent cx="5274310" cy="2364740"/>
            <wp:effectExtent l="0" t="0" r="2540" b="0"/>
            <wp:wrapTopAndBottom/>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cs="Times New Roman"/>
        </w:rPr>
        <w:t>2020年养老服务体系项目资金计划数为515.39万元，年初预算数为515.39万元，资金到位率100.00%。其中，省级安排专项资金449.00万元，本级财政安排福彩公益金66.39万元。该项目年初预算数为515.39万元，截止2020年12月30日，预算支出数为347.51万元，资金结余167.88万元，资金执行率仅67.43%。</w:t>
      </w:r>
    </w:p>
    <w:p>
      <w:pPr>
        <w:spacing w:before="156" w:after="217"/>
        <w:ind w:firstLine="0" w:firstLineChars="0"/>
        <w:jc w:val="center"/>
        <w:rPr>
          <w:rFonts w:eastAsia="幼圆" w:cs="Times New Roman"/>
          <w:b/>
          <w:bCs/>
          <w:sz w:val="28"/>
          <w:szCs w:val="21"/>
        </w:rPr>
      </w:pPr>
      <w:r>
        <w:rPr>
          <w:rFonts w:eastAsia="幼圆" w:cs="Times New Roman"/>
          <w:b/>
          <w:bCs/>
          <w:sz w:val="28"/>
          <w:szCs w:val="21"/>
        </w:rPr>
        <w:t>附图 2020年绵竹市养老服务体系资金来源与执行情况（万元）</w:t>
      </w:r>
    </w:p>
    <w:p>
      <w:pPr>
        <w:spacing w:after="0" w:afterLines="0"/>
        <w:ind w:firstLine="640"/>
        <w:rPr>
          <w:rFonts w:cs="Times New Roman"/>
        </w:rPr>
      </w:pPr>
      <w:r>
        <w:rPr>
          <w:rFonts w:cs="Times New Roman"/>
        </w:rPr>
        <w:t>从资金使用方向看，该项目主要用于民办及公办养老机构运营补贴，政府购买居家养老服务、特殊困难老年人家庭适老化改造、社区养老服务设施建设及运营补贴、养老机构消防设施改造、养老机构责任险、养老服务评估等。</w:t>
      </w:r>
    </w:p>
    <w:p>
      <w:pPr>
        <w:spacing w:after="0" w:afterLines="0"/>
        <w:ind w:firstLine="0" w:firstLineChars="0"/>
        <w:jc w:val="center"/>
        <w:rPr>
          <w:rFonts w:cs="Times New Roman"/>
        </w:rPr>
      </w:pPr>
      <w:r>
        <w:rPr>
          <w:rFonts w:eastAsia="幼圆" w:cs="Times New Roman"/>
          <w:b/>
          <w:bCs/>
          <w:sz w:val="28"/>
          <w:szCs w:val="28"/>
        </w:rPr>
        <w:t>附表 2020年绵竹市养老服务体系资金使用情况（万元）</w:t>
      </w:r>
    </w:p>
    <w:tbl>
      <w:tblPr>
        <w:tblStyle w:val="21"/>
        <w:tblW w:w="5000" w:type="pct"/>
        <w:jc w:val="center"/>
        <w:tblLayout w:type="fixed"/>
        <w:tblCellMar>
          <w:top w:w="0" w:type="dxa"/>
          <w:left w:w="108" w:type="dxa"/>
          <w:bottom w:w="0" w:type="dxa"/>
          <w:right w:w="108" w:type="dxa"/>
        </w:tblCellMar>
      </w:tblPr>
      <w:tblGrid>
        <w:gridCol w:w="1744"/>
        <w:gridCol w:w="1020"/>
        <w:gridCol w:w="874"/>
        <w:gridCol w:w="726"/>
        <w:gridCol w:w="727"/>
        <w:gridCol w:w="727"/>
        <w:gridCol w:w="874"/>
        <w:gridCol w:w="874"/>
        <w:gridCol w:w="954"/>
      </w:tblGrid>
      <w:tr>
        <w:tblPrEx>
          <w:tblCellMar>
            <w:top w:w="0" w:type="dxa"/>
            <w:left w:w="108" w:type="dxa"/>
            <w:bottom w:w="0" w:type="dxa"/>
            <w:right w:w="108" w:type="dxa"/>
          </w:tblCellMar>
        </w:tblPrEx>
        <w:trPr>
          <w:trHeight w:val="994" w:hRule="atLeast"/>
          <w:tblHeader/>
          <w:jc w:val="center"/>
        </w:trPr>
        <w:tc>
          <w:tcPr>
            <w:tcW w:w="1023" w:type="pct"/>
            <w:vMerge w:val="restart"/>
            <w:tcBorders>
              <w:top w:val="single" w:color="000000" w:sz="4" w:space="0"/>
              <w:left w:val="single" w:color="000000" w:sz="4" w:space="0"/>
              <w:right w:val="single" w:color="000000" w:sz="4" w:space="0"/>
            </w:tcBorders>
            <w:shd w:val="clear" w:color="auto" w:fill="00516B"/>
            <w:vAlign w:val="center"/>
          </w:tcPr>
          <w:p>
            <w:pPr>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项目</w:t>
            </w:r>
          </w:p>
        </w:tc>
        <w:tc>
          <w:tcPr>
            <w:tcW w:w="1537" w:type="pct"/>
            <w:gridSpan w:val="3"/>
            <w:tcBorders>
              <w:top w:val="single" w:color="000000" w:sz="4" w:space="0"/>
              <w:left w:val="single" w:color="000000" w:sz="4" w:space="0"/>
              <w:bottom w:val="single" w:color="000000" w:sz="4" w:space="0"/>
              <w:right w:val="single" w:color="000000" w:sz="4" w:space="0"/>
            </w:tcBorders>
            <w:shd w:val="clear" w:color="auto" w:fill="00516B"/>
            <w:vAlign w:val="center"/>
          </w:tcPr>
          <w:p>
            <w:pPr>
              <w:widowControl/>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省级资金</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00516B"/>
            <w:vAlign w:val="center"/>
          </w:tcPr>
          <w:p>
            <w:pPr>
              <w:widowControl/>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本级配套</w:t>
            </w:r>
          </w:p>
        </w:tc>
        <w:tc>
          <w:tcPr>
            <w:tcW w:w="513" w:type="pct"/>
            <w:vMerge w:val="restart"/>
            <w:tcBorders>
              <w:top w:val="single" w:color="000000" w:sz="4" w:space="0"/>
              <w:left w:val="single" w:color="000000" w:sz="4" w:space="0"/>
              <w:right w:val="single" w:color="000000" w:sz="4" w:space="0"/>
            </w:tcBorders>
            <w:shd w:val="clear" w:color="auto" w:fill="00516B"/>
            <w:vAlign w:val="center"/>
          </w:tcPr>
          <w:p>
            <w:pPr>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年初</w:t>
            </w:r>
          </w:p>
          <w:p>
            <w:pPr>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预算数</w:t>
            </w:r>
          </w:p>
        </w:tc>
        <w:tc>
          <w:tcPr>
            <w:tcW w:w="513" w:type="pct"/>
            <w:vMerge w:val="restart"/>
            <w:tcBorders>
              <w:top w:val="single" w:color="000000" w:sz="4" w:space="0"/>
              <w:left w:val="single" w:color="000000" w:sz="4" w:space="0"/>
              <w:right w:val="single" w:color="000000" w:sz="4" w:space="0"/>
            </w:tcBorders>
            <w:shd w:val="clear" w:color="auto" w:fill="00516B"/>
            <w:vAlign w:val="center"/>
          </w:tcPr>
          <w:p>
            <w:pPr>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2020年预算支出数</w:t>
            </w:r>
          </w:p>
        </w:tc>
        <w:tc>
          <w:tcPr>
            <w:tcW w:w="560" w:type="pct"/>
            <w:vMerge w:val="restart"/>
            <w:tcBorders>
              <w:top w:val="single" w:color="000000" w:sz="4" w:space="0"/>
              <w:left w:val="single" w:color="000000" w:sz="4" w:space="0"/>
              <w:right w:val="single" w:color="000000" w:sz="4" w:space="0"/>
            </w:tcBorders>
            <w:shd w:val="clear" w:color="auto" w:fill="00516B"/>
            <w:vAlign w:val="center"/>
          </w:tcPr>
          <w:p>
            <w:pPr>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截止2021年6月8日支出</w:t>
            </w:r>
          </w:p>
        </w:tc>
      </w:tr>
      <w:tr>
        <w:tblPrEx>
          <w:tblCellMar>
            <w:top w:w="0" w:type="dxa"/>
            <w:left w:w="108" w:type="dxa"/>
            <w:bottom w:w="0" w:type="dxa"/>
            <w:right w:w="108" w:type="dxa"/>
          </w:tblCellMar>
        </w:tblPrEx>
        <w:trPr>
          <w:trHeight w:val="1312" w:hRule="atLeast"/>
          <w:tblHeader/>
          <w:jc w:val="center"/>
        </w:trPr>
        <w:tc>
          <w:tcPr>
            <w:tcW w:w="1023" w:type="pct"/>
            <w:vMerge w:val="continue"/>
            <w:tcBorders>
              <w:left w:val="single" w:color="000000" w:sz="4" w:space="0"/>
              <w:bottom w:val="single" w:color="000000" w:sz="4" w:space="0"/>
              <w:right w:val="single" w:color="000000" w:sz="4" w:space="0"/>
            </w:tcBorders>
            <w:shd w:val="clear" w:color="auto" w:fill="00516B"/>
            <w:vAlign w:val="center"/>
          </w:tcPr>
          <w:p>
            <w:pPr>
              <w:widowControl/>
              <w:spacing w:after="0" w:afterLines="0" w:line="240" w:lineRule="auto"/>
              <w:ind w:firstLine="0" w:firstLineChars="0"/>
              <w:jc w:val="center"/>
              <w:rPr>
                <w:rFonts w:eastAsia="宋体" w:cs="Times New Roman"/>
                <w:b/>
                <w:bCs/>
                <w:color w:val="FFFFFF"/>
                <w:kern w:val="0"/>
                <w:sz w:val="20"/>
                <w:szCs w:val="20"/>
              </w:rPr>
            </w:pPr>
          </w:p>
        </w:tc>
        <w:tc>
          <w:tcPr>
            <w:tcW w:w="598" w:type="pct"/>
            <w:tcBorders>
              <w:top w:val="single" w:color="000000" w:sz="4" w:space="0"/>
              <w:left w:val="single" w:color="000000" w:sz="4" w:space="0"/>
              <w:bottom w:val="single" w:color="000000" w:sz="4" w:space="0"/>
              <w:right w:val="single" w:color="000000" w:sz="4" w:space="0"/>
            </w:tcBorders>
            <w:shd w:val="clear" w:color="auto" w:fill="00516B"/>
            <w:vAlign w:val="center"/>
          </w:tcPr>
          <w:p>
            <w:pPr>
              <w:widowControl/>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省级资金</w:t>
            </w:r>
          </w:p>
        </w:tc>
        <w:tc>
          <w:tcPr>
            <w:tcW w:w="513" w:type="pct"/>
            <w:tcBorders>
              <w:top w:val="single" w:color="000000" w:sz="4" w:space="0"/>
              <w:left w:val="single" w:color="000000" w:sz="4" w:space="0"/>
              <w:bottom w:val="single" w:color="000000" w:sz="4" w:space="0"/>
              <w:right w:val="single" w:color="000000" w:sz="4" w:space="0"/>
            </w:tcBorders>
            <w:shd w:val="clear" w:color="auto" w:fill="00516B"/>
            <w:vAlign w:val="center"/>
          </w:tcPr>
          <w:p>
            <w:pPr>
              <w:widowControl/>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2020年支出数</w:t>
            </w:r>
          </w:p>
        </w:tc>
        <w:tc>
          <w:tcPr>
            <w:tcW w:w="426" w:type="pct"/>
            <w:tcBorders>
              <w:top w:val="single" w:color="000000" w:sz="4" w:space="0"/>
              <w:left w:val="single" w:color="000000" w:sz="4" w:space="0"/>
              <w:bottom w:val="single" w:color="000000" w:sz="4" w:space="0"/>
              <w:right w:val="single" w:color="000000" w:sz="4" w:space="0"/>
            </w:tcBorders>
            <w:shd w:val="clear" w:color="auto" w:fill="00516B"/>
            <w:vAlign w:val="center"/>
          </w:tcPr>
          <w:p>
            <w:pPr>
              <w:widowControl/>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2021年支出数</w:t>
            </w:r>
          </w:p>
        </w:tc>
        <w:tc>
          <w:tcPr>
            <w:tcW w:w="427" w:type="pct"/>
            <w:tcBorders>
              <w:top w:val="single" w:color="000000" w:sz="4" w:space="0"/>
              <w:left w:val="single" w:color="000000" w:sz="4" w:space="0"/>
              <w:bottom w:val="single" w:color="000000" w:sz="4" w:space="0"/>
              <w:right w:val="single" w:color="000000" w:sz="4" w:space="0"/>
            </w:tcBorders>
            <w:shd w:val="clear" w:color="auto" w:fill="00516B"/>
            <w:vAlign w:val="center"/>
          </w:tcPr>
          <w:p>
            <w:pPr>
              <w:widowControl/>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本级</w:t>
            </w:r>
          </w:p>
          <w:p>
            <w:pPr>
              <w:widowControl/>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配套资金</w:t>
            </w:r>
          </w:p>
        </w:tc>
        <w:tc>
          <w:tcPr>
            <w:tcW w:w="427" w:type="pct"/>
            <w:tcBorders>
              <w:top w:val="single" w:color="000000" w:sz="4" w:space="0"/>
              <w:left w:val="single" w:color="000000" w:sz="4" w:space="0"/>
              <w:bottom w:val="single" w:color="000000" w:sz="4" w:space="0"/>
              <w:right w:val="single" w:color="000000" w:sz="4" w:space="0"/>
            </w:tcBorders>
            <w:shd w:val="clear" w:color="auto" w:fill="00516B"/>
            <w:vAlign w:val="center"/>
          </w:tcPr>
          <w:p>
            <w:pPr>
              <w:widowControl/>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2020年支出数</w:t>
            </w:r>
          </w:p>
        </w:tc>
        <w:tc>
          <w:tcPr>
            <w:tcW w:w="513" w:type="pct"/>
            <w:vMerge w:val="continue"/>
            <w:tcBorders>
              <w:left w:val="single" w:color="000000" w:sz="4" w:space="0"/>
              <w:bottom w:val="single" w:color="000000" w:sz="4" w:space="0"/>
              <w:right w:val="single" w:color="000000" w:sz="4" w:space="0"/>
            </w:tcBorders>
            <w:shd w:val="clear" w:color="auto" w:fill="00516B"/>
            <w:vAlign w:val="center"/>
          </w:tcPr>
          <w:p>
            <w:pPr>
              <w:widowControl/>
              <w:spacing w:after="0" w:afterLines="0" w:line="240" w:lineRule="auto"/>
              <w:ind w:firstLine="0" w:firstLineChars="0"/>
              <w:jc w:val="center"/>
              <w:rPr>
                <w:rFonts w:eastAsia="宋体" w:cs="Times New Roman"/>
                <w:b/>
                <w:bCs/>
                <w:color w:val="FFFFFF"/>
                <w:kern w:val="0"/>
                <w:sz w:val="20"/>
                <w:szCs w:val="20"/>
              </w:rPr>
            </w:pPr>
          </w:p>
        </w:tc>
        <w:tc>
          <w:tcPr>
            <w:tcW w:w="513" w:type="pct"/>
            <w:vMerge w:val="continue"/>
            <w:tcBorders>
              <w:left w:val="single" w:color="000000" w:sz="4" w:space="0"/>
              <w:bottom w:val="single" w:color="000000" w:sz="4" w:space="0"/>
              <w:right w:val="single" w:color="000000" w:sz="4" w:space="0"/>
            </w:tcBorders>
            <w:shd w:val="clear" w:color="auto" w:fill="00516B"/>
            <w:vAlign w:val="center"/>
          </w:tcPr>
          <w:p>
            <w:pPr>
              <w:widowControl/>
              <w:spacing w:after="0" w:afterLines="0" w:line="240" w:lineRule="auto"/>
              <w:ind w:firstLine="0" w:firstLineChars="0"/>
              <w:jc w:val="center"/>
              <w:rPr>
                <w:rFonts w:eastAsia="宋体" w:cs="Times New Roman"/>
                <w:b/>
                <w:bCs/>
                <w:color w:val="FFFFFF"/>
                <w:kern w:val="0"/>
                <w:sz w:val="20"/>
                <w:szCs w:val="20"/>
              </w:rPr>
            </w:pPr>
          </w:p>
        </w:tc>
        <w:tc>
          <w:tcPr>
            <w:tcW w:w="560" w:type="pct"/>
            <w:vMerge w:val="continue"/>
            <w:tcBorders>
              <w:left w:val="single" w:color="000000" w:sz="4" w:space="0"/>
              <w:bottom w:val="single" w:color="000000" w:sz="4" w:space="0"/>
              <w:right w:val="single" w:color="000000" w:sz="4" w:space="0"/>
            </w:tcBorders>
            <w:shd w:val="clear" w:color="auto" w:fill="00516B"/>
            <w:vAlign w:val="center"/>
          </w:tcPr>
          <w:p>
            <w:pPr>
              <w:widowControl/>
              <w:spacing w:after="0" w:afterLines="0" w:line="240" w:lineRule="auto"/>
              <w:ind w:firstLine="0" w:firstLineChars="0"/>
              <w:jc w:val="center"/>
              <w:rPr>
                <w:rFonts w:eastAsia="宋体" w:cs="Times New Roman"/>
                <w:b/>
                <w:bCs/>
                <w:color w:val="FFFFFF"/>
                <w:kern w:val="0"/>
                <w:sz w:val="20"/>
                <w:szCs w:val="20"/>
              </w:rPr>
            </w:pPr>
          </w:p>
        </w:tc>
      </w:tr>
      <w:tr>
        <w:trPr>
          <w:trHeight w:val="565" w:hRule="atLeast"/>
          <w:jc w:val="center"/>
        </w:trPr>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已计划</w:t>
            </w:r>
          </w:p>
        </w:tc>
        <w:tc>
          <w:tcPr>
            <w:tcW w:w="5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449.00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68.44</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517.44</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w:t>
            </w:r>
          </w:p>
        </w:tc>
      </w:tr>
      <w:tr>
        <w:tblPrEx>
          <w:tblCellMar>
            <w:top w:w="0" w:type="dxa"/>
            <w:left w:w="108" w:type="dxa"/>
            <w:bottom w:w="0" w:type="dxa"/>
            <w:right w:w="108" w:type="dxa"/>
          </w:tblCellMar>
        </w:tblPrEx>
        <w:trPr>
          <w:trHeight w:val="697" w:hRule="atLeast"/>
          <w:jc w:val="center"/>
        </w:trPr>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疫情期间养老机构一次性运营补贴</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7.00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6.71</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6.71</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6.71</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6.71</w:t>
            </w:r>
          </w:p>
        </w:tc>
      </w:tr>
      <w:tr>
        <w:tblPrEx>
          <w:tblCellMar>
            <w:top w:w="0" w:type="dxa"/>
            <w:left w:w="108" w:type="dxa"/>
            <w:bottom w:w="0" w:type="dxa"/>
            <w:right w:w="108" w:type="dxa"/>
          </w:tblCellMar>
        </w:tblPrEx>
        <w:trPr>
          <w:trHeight w:val="683" w:hRule="atLeast"/>
          <w:jc w:val="center"/>
        </w:trPr>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养老机构疫情物资储备</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5.80</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5.80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5.80</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5.80</w:t>
            </w:r>
          </w:p>
        </w:tc>
      </w:tr>
      <w:tr>
        <w:tblPrEx>
          <w:tblCellMar>
            <w:top w:w="0" w:type="dxa"/>
            <w:left w:w="108" w:type="dxa"/>
            <w:bottom w:w="0" w:type="dxa"/>
            <w:right w:w="108" w:type="dxa"/>
          </w:tblCellMar>
        </w:tblPrEx>
        <w:trPr>
          <w:trHeight w:val="719" w:hRule="atLeast"/>
          <w:jc w:val="center"/>
        </w:trPr>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政府购买居家养老服务</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41.00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40.93</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38.89</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38.89</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79.83</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79.83</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79.83</w:t>
            </w:r>
          </w:p>
        </w:tc>
      </w:tr>
      <w:tr>
        <w:tblPrEx>
          <w:tblCellMar>
            <w:top w:w="0" w:type="dxa"/>
            <w:left w:w="108" w:type="dxa"/>
            <w:bottom w:w="0" w:type="dxa"/>
            <w:right w:w="108" w:type="dxa"/>
          </w:tblCellMar>
        </w:tblPrEx>
        <w:trPr>
          <w:trHeight w:val="666" w:hRule="atLeast"/>
          <w:jc w:val="center"/>
        </w:trPr>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特殊困难老年人家庭适老化改造</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40.00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11.76</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39.20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11.76</w:t>
            </w:r>
          </w:p>
        </w:tc>
      </w:tr>
      <w:tr>
        <w:trPr>
          <w:trHeight w:val="743" w:hRule="atLeast"/>
          <w:jc w:val="center"/>
        </w:trPr>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社区养老服务设施建设运营补贴</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87.50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36.50</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27.50</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27.50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64.00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64.00</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64.00</w:t>
            </w:r>
          </w:p>
        </w:tc>
      </w:tr>
      <w:tr>
        <w:trPr>
          <w:trHeight w:val="659" w:hRule="atLeast"/>
          <w:jc w:val="center"/>
        </w:trPr>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养老机构消防设施改造</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25.00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24.06</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24.06</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24.06</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24.06</w:t>
            </w:r>
          </w:p>
        </w:tc>
      </w:tr>
      <w:tr>
        <w:tblPrEx>
          <w:tblCellMar>
            <w:top w:w="0" w:type="dxa"/>
            <w:left w:w="108" w:type="dxa"/>
            <w:bottom w:w="0" w:type="dxa"/>
            <w:right w:w="108" w:type="dxa"/>
          </w:tblCellMar>
        </w:tblPrEx>
        <w:trPr>
          <w:trHeight w:val="495" w:hRule="atLeast"/>
          <w:jc w:val="center"/>
        </w:trPr>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养老机构责任险</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9.45</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9.45</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9.45</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9.45</w:t>
            </w:r>
          </w:p>
        </w:tc>
      </w:tr>
      <w:tr>
        <w:tblPrEx>
          <w:tblCellMar>
            <w:top w:w="0" w:type="dxa"/>
            <w:left w:w="108" w:type="dxa"/>
            <w:bottom w:w="0" w:type="dxa"/>
            <w:right w:w="108" w:type="dxa"/>
          </w:tblCellMar>
        </w:tblPrEx>
        <w:trPr>
          <w:trHeight w:val="695" w:hRule="atLeast"/>
          <w:jc w:val="center"/>
        </w:trPr>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民办养老机构运营补贴</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7.00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3.30</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3.15</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6.45</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3.30</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6.45</w:t>
            </w:r>
          </w:p>
        </w:tc>
      </w:tr>
      <w:tr>
        <w:tblPrEx>
          <w:tblCellMar>
            <w:top w:w="0" w:type="dxa"/>
            <w:left w:w="108" w:type="dxa"/>
            <w:bottom w:w="0" w:type="dxa"/>
            <w:right w:w="108" w:type="dxa"/>
          </w:tblCellMar>
        </w:tblPrEx>
        <w:trPr>
          <w:trHeight w:val="549" w:hRule="atLeast"/>
          <w:jc w:val="center"/>
        </w:trPr>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养老服务评估</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7.50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4.37</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4.37</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4.37</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4.37</w:t>
            </w:r>
          </w:p>
        </w:tc>
      </w:tr>
      <w:tr>
        <w:tblPrEx>
          <w:tblCellMar>
            <w:top w:w="0" w:type="dxa"/>
            <w:left w:w="108" w:type="dxa"/>
            <w:bottom w:w="0" w:type="dxa"/>
            <w:right w:w="108" w:type="dxa"/>
          </w:tblCellMar>
        </w:tblPrEx>
        <w:trPr>
          <w:trHeight w:val="623" w:hRule="atLeast"/>
          <w:jc w:val="center"/>
        </w:trPr>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紫岩街道茂泉社区养老服务综合体</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200.00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150.00</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200.00</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150.00</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150.00</w:t>
            </w:r>
          </w:p>
        </w:tc>
      </w:tr>
      <w:tr>
        <w:tblPrEx>
          <w:tblCellMar>
            <w:top w:w="0" w:type="dxa"/>
            <w:left w:w="108" w:type="dxa"/>
            <w:bottom w:w="0" w:type="dxa"/>
            <w:right w:w="108" w:type="dxa"/>
          </w:tblCellMar>
        </w:tblPrEx>
        <w:trPr>
          <w:trHeight w:val="655" w:hRule="atLeast"/>
          <w:jc w:val="center"/>
        </w:trPr>
        <w:tc>
          <w:tcPr>
            <w:tcW w:w="1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合计</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449</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281.12</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14.91</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66.39</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66.39</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515.39</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347.51</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362.42</w:t>
            </w:r>
          </w:p>
        </w:tc>
      </w:tr>
    </w:tbl>
    <w:p>
      <w:pPr>
        <w:spacing w:after="217"/>
        <w:ind w:firstLine="640"/>
      </w:pPr>
      <w:bookmarkStart w:id="13" w:name="_Toc75524254"/>
    </w:p>
    <w:p>
      <w:pPr>
        <w:pStyle w:val="2"/>
        <w:spacing w:after="0" w:afterLines="0"/>
        <w:ind w:firstLine="361" w:firstLineChars="100"/>
        <w:rPr>
          <w:rFonts w:cs="Times New Roman"/>
        </w:rPr>
      </w:pPr>
      <w:bookmarkStart w:id="14" w:name="_Toc76931013"/>
      <w:r>
        <w:rPr>
          <w:rFonts w:cs="Times New Roman"/>
        </w:rPr>
        <w:t>二、评价工作基本情况</w:t>
      </w:r>
      <w:bookmarkEnd w:id="13"/>
      <w:bookmarkEnd w:id="14"/>
    </w:p>
    <w:p>
      <w:pPr>
        <w:pStyle w:val="3"/>
        <w:spacing w:after="0" w:afterLines="0"/>
        <w:ind w:firstLine="643"/>
        <w:rPr>
          <w:rFonts w:cs="Times New Roman"/>
        </w:rPr>
      </w:pPr>
      <w:bookmarkStart w:id="15" w:name="_Toc75524255"/>
      <w:bookmarkStart w:id="16" w:name="_Toc76931014"/>
      <w:r>
        <w:rPr>
          <w:rFonts w:cs="Times New Roman"/>
        </w:rPr>
        <w:t>（一）评价方法</w:t>
      </w:r>
      <w:bookmarkEnd w:id="15"/>
      <w:bookmarkEnd w:id="16"/>
    </w:p>
    <w:p>
      <w:pPr>
        <w:spacing w:after="0" w:afterLines="0"/>
        <w:ind w:firstLine="640"/>
      </w:pPr>
      <w:r>
        <w:t>本次养老服务体系项目</w:t>
      </w:r>
      <w:r>
        <w:rPr>
          <w:rFonts w:hint="eastAsia"/>
        </w:rPr>
        <w:t>支出</w:t>
      </w:r>
      <w:r>
        <w:t>绩效评价主要采用了案卷研究法、现场核查法和深度访谈法进行综合评价。</w:t>
      </w:r>
    </w:p>
    <w:p>
      <w:pPr>
        <w:pStyle w:val="4"/>
        <w:spacing w:after="0" w:afterLines="0"/>
        <w:ind w:firstLine="643"/>
      </w:pPr>
      <w:bookmarkStart w:id="17" w:name="_Toc76931015"/>
      <w:r>
        <w:t>1. 查资料—案卷研究法</w:t>
      </w:r>
      <w:bookmarkEnd w:id="17"/>
    </w:p>
    <w:p>
      <w:pPr>
        <w:spacing w:after="0" w:afterLines="0"/>
        <w:ind w:firstLine="640"/>
      </w:pPr>
      <w:r>
        <w:t>通过深入研究《国务院关于加快发展养老服务业的若干意见》（国发〔2013〕35号）、《四川省人民政府办公厅关于推进四川养老服务发展的实施意见》（川办发〔2020〕9号）、《四川省民政厅关于印发2020年民政专项资金项目安排表的通知》（川民发〔2020〕72号）、《四川省民政厅关于做好2020年养老服务业发展补助重点项目的通知》（川民发〔2020〕74号）等文件，全方位了解养老服务体系特点和资金使用规范等，梳理项目涉及部门及职能职责，并对养老服务体系资金管理等做出判断。</w:t>
      </w:r>
    </w:p>
    <w:p>
      <w:pPr>
        <w:pStyle w:val="4"/>
        <w:spacing w:after="0" w:afterLines="0"/>
        <w:ind w:firstLine="643"/>
      </w:pPr>
      <w:bookmarkStart w:id="18" w:name="_Toc76931016"/>
      <w:r>
        <w:t>2. 访对象—深度访谈</w:t>
      </w:r>
      <w:bookmarkEnd w:id="18"/>
    </w:p>
    <w:p>
      <w:pPr>
        <w:spacing w:after="0" w:afterLines="0"/>
        <w:ind w:firstLine="640"/>
      </w:pPr>
      <w:r>
        <w:t>访对象指走访项目主管部门（单位）和项目点，听取养老服务体系项目资金使用情况和资金拨付进度等项目管理情况，首先对民政局部门（单位）1名分管领导、1名财务负责人和2名业务负责人，汉旺镇、富兴镇和紫岩街道6名相关项目负责人进行访谈，了解养老服务体系项目的资金使用和管理规范，并探寻养老服务体系项目的资金使用过程中的困难和挑战，为提高养老服务体系的资金管理和风险控制提供经验借鉴。在本绩效评价中，将在现场核查时使用一对一深访的形式，访谈内容包括但不限于：</w:t>
      </w:r>
    </w:p>
    <w:p>
      <w:pPr>
        <w:spacing w:after="0" w:afterLines="0"/>
        <w:ind w:firstLine="640"/>
      </w:pPr>
      <w:r>
        <w:t>（1）养老服务体系项目管理制度完善性，如养老服务体系项目立项依据、资金管理办法、项目开展模式及工作实施方案等；</w:t>
      </w:r>
    </w:p>
    <w:p>
      <w:pPr>
        <w:spacing w:after="0" w:afterLines="0"/>
        <w:ind w:firstLine="640"/>
      </w:pPr>
      <w:r>
        <w:t>（2）养老服务体系项目的资金使用规范性和效率性，如养老服务体系项目资金支出情况和项目收益情况；</w:t>
      </w:r>
    </w:p>
    <w:p>
      <w:pPr>
        <w:spacing w:after="0" w:afterLines="0"/>
        <w:ind w:firstLine="640"/>
      </w:pPr>
      <w:r>
        <w:t>（3）现阶段养老服务体系项目的经验、不足以及相关建议等。</w:t>
      </w:r>
    </w:p>
    <w:p>
      <w:pPr>
        <w:pStyle w:val="4"/>
        <w:spacing w:after="0" w:afterLines="0"/>
        <w:ind w:firstLine="643"/>
      </w:pPr>
      <w:bookmarkStart w:id="19" w:name="_Toc76931017"/>
      <w:r>
        <w:t>3. 核落实—书面评审+现场核查</w:t>
      </w:r>
      <w:bookmarkEnd w:id="19"/>
    </w:p>
    <w:p>
      <w:pPr>
        <w:spacing w:after="0" w:afterLines="0"/>
        <w:ind w:firstLine="640"/>
      </w:pPr>
      <w:r>
        <w:t>一是书面评审。书面评审工作将通过对项目总体情况、绩效情况等内容进行评审，并根据书面评审和现场评价结果，提出存在问题及相关建议，及时反馈至公司，进一步补充、调整材料，并根据评价指标进行初步打分。主要包括材料初审、模块审核、指标评分、汇总核查、总结反馈、最终归档等六个步骤。</w:t>
      </w:r>
    </w:p>
    <w:p>
      <w:pPr>
        <w:spacing w:after="0" w:afterLines="0"/>
        <w:ind w:firstLine="640"/>
      </w:pPr>
      <w:r>
        <w:t>二是现场核查。现场核查主要包括对财务原件审核、资料核查、项目实施点实地勘察工作。</w:t>
      </w:r>
    </w:p>
    <w:p>
      <w:pPr>
        <w:spacing w:after="0" w:afterLines="0"/>
        <w:ind w:firstLine="640"/>
        <w:rPr>
          <w:rFonts w:cs="Times New Roman"/>
        </w:rPr>
      </w:pPr>
      <w:r>
        <w:rPr>
          <w:rFonts w:cs="Times New Roman"/>
        </w:rPr>
        <w:t>养老服务体系项目现场核查内容包括且不限于：</w:t>
      </w:r>
    </w:p>
    <w:p>
      <w:pPr>
        <w:spacing w:after="0" w:afterLines="0"/>
        <w:ind w:firstLine="640"/>
        <w:rPr>
          <w:rFonts w:cs="Times New Roman"/>
        </w:rPr>
      </w:pPr>
      <w:r>
        <w:rPr>
          <w:rFonts w:cs="Times New Roman"/>
        </w:rPr>
        <w:t>（1）养老服务体系项目资金的收支情况和凭证；</w:t>
      </w:r>
    </w:p>
    <w:p>
      <w:pPr>
        <w:spacing w:after="0" w:afterLines="0"/>
        <w:ind w:firstLine="640"/>
        <w:rPr>
          <w:rFonts w:cs="Times New Roman"/>
        </w:rPr>
      </w:pPr>
      <w:r>
        <w:rPr>
          <w:rFonts w:cs="Times New Roman"/>
        </w:rPr>
        <w:t>（2）养老服务体系项目资金管理机制建立情况；</w:t>
      </w:r>
    </w:p>
    <w:p>
      <w:pPr>
        <w:spacing w:after="0" w:afterLines="0"/>
        <w:ind w:firstLine="640"/>
        <w:rPr>
          <w:rFonts w:cs="Times New Roman"/>
        </w:rPr>
      </w:pPr>
      <w:r>
        <w:rPr>
          <w:rFonts w:cs="Times New Roman"/>
        </w:rPr>
        <w:t>（3）项目预期补助情况、结余资金收益情况；</w:t>
      </w:r>
    </w:p>
    <w:p>
      <w:pPr>
        <w:spacing w:after="0" w:afterLines="0"/>
        <w:ind w:firstLine="640"/>
        <w:rPr>
          <w:rFonts w:cs="Times New Roman"/>
        </w:rPr>
      </w:pPr>
      <w:r>
        <w:rPr>
          <w:rFonts w:cs="Times New Roman"/>
        </w:rPr>
        <w:t>（4）项目完成的产出和绩效。</w:t>
      </w:r>
    </w:p>
    <w:p>
      <w:pPr>
        <w:pStyle w:val="3"/>
        <w:spacing w:after="0" w:afterLines="0"/>
        <w:ind w:firstLine="643"/>
        <w:rPr>
          <w:rFonts w:cs="Times New Roman"/>
        </w:rPr>
      </w:pPr>
      <w:bookmarkStart w:id="20" w:name="_Toc76931018"/>
      <w:bookmarkStart w:id="21" w:name="_Toc75524256"/>
      <w:r>
        <w:rPr>
          <w:rFonts w:cs="Times New Roman"/>
        </w:rPr>
        <w:t>（二）评价指标</w:t>
      </w:r>
      <w:bookmarkEnd w:id="20"/>
      <w:bookmarkEnd w:id="21"/>
    </w:p>
    <w:p>
      <w:pPr>
        <w:spacing w:after="0" w:afterLines="0"/>
        <w:ind w:firstLine="640"/>
        <w:rPr>
          <w:rFonts w:cs="Times New Roman"/>
        </w:rPr>
      </w:pPr>
      <w:r>
        <w:rPr>
          <w:rFonts w:cs="Times New Roman"/>
        </w:rPr>
        <w:t>在评价指标的设计中，以目标为导向，共性指标和个性指标性相结合，确定绩效评价的指标体系，对指标进行赋权，明确指标的解释和评价标准，选取合理的评价对象，确定出评价的证据、证据来源和证据的收集方法。本次评价指标体系设计，本着广泛覆盖、重点突出的原则，从项目决策、项目实施、项目产出、项目效果4方面进行评价，共构建4个一级指标，10个二级指标，19个三级个性指标。</w:t>
      </w:r>
    </w:p>
    <w:p>
      <w:pPr>
        <w:pStyle w:val="2"/>
        <w:spacing w:after="0" w:afterLines="0"/>
        <w:ind w:firstLine="723"/>
        <w:rPr>
          <w:rFonts w:cs="Times New Roman"/>
        </w:rPr>
      </w:pPr>
      <w:bookmarkStart w:id="22" w:name="_Toc75524257"/>
      <w:bookmarkStart w:id="23" w:name="_Toc76931019"/>
      <w:r>
        <w:rPr>
          <w:rFonts w:cs="Times New Roman"/>
        </w:rPr>
        <w:t>三、评价结论及绩效分析</w:t>
      </w:r>
      <w:bookmarkEnd w:id="22"/>
      <w:bookmarkEnd w:id="23"/>
    </w:p>
    <w:p>
      <w:pPr>
        <w:pStyle w:val="3"/>
        <w:spacing w:after="0" w:afterLines="0"/>
        <w:ind w:firstLine="643"/>
        <w:rPr>
          <w:rFonts w:cs="Times New Roman"/>
        </w:rPr>
      </w:pPr>
      <w:bookmarkStart w:id="24" w:name="_Toc75524258"/>
      <w:bookmarkStart w:id="25" w:name="_Toc76931020"/>
      <w:r>
        <w:rPr>
          <w:rFonts w:cs="Times New Roman"/>
        </w:rPr>
        <w:t>（一）评价结论</w:t>
      </w:r>
      <w:bookmarkEnd w:id="24"/>
      <w:bookmarkEnd w:id="25"/>
    </w:p>
    <w:p>
      <w:pPr>
        <w:spacing w:after="0" w:afterLines="0"/>
        <w:ind w:firstLine="643"/>
        <w:rPr>
          <w:rFonts w:cs="Times New Roman"/>
          <w:b/>
          <w:bCs/>
        </w:rPr>
      </w:pPr>
      <w:r>
        <w:rPr>
          <w:rFonts w:cs="Times New Roman"/>
          <w:b/>
          <w:bCs/>
        </w:rPr>
        <w:t>2020年绵竹市养老服务体系项目绩效评价得分为81.38分，等级判定为：良</w:t>
      </w:r>
      <w:r>
        <w:rPr>
          <w:rStyle w:val="26"/>
          <w:rFonts w:cs="Times New Roman"/>
          <w:b/>
          <w:bCs/>
        </w:rPr>
        <w:footnoteReference w:id="0"/>
      </w:r>
      <w:r>
        <w:rPr>
          <w:rFonts w:cs="Times New Roman"/>
          <w:b/>
          <w:bCs/>
        </w:rPr>
        <w:t>。</w:t>
      </w:r>
    </w:p>
    <w:p>
      <w:pPr>
        <w:spacing w:after="0" w:afterLines="0"/>
        <w:ind w:firstLine="640"/>
      </w:pPr>
      <w:r>
        <w:t>总体而言，养老服务体系在项目决策和项目实施方面表现较好，项目执行相对有效且目标完成度较高。但在项目管理及项目产出方面还存在不足，一是受疫情影响，部分项目出现不同程度地滞后，执行进度较慢；二是就项目产出而言，疫情或政策调整变动，导致项目未按照年初计划开展和完成。</w:t>
      </w:r>
    </w:p>
    <w:p>
      <w:pPr>
        <w:spacing w:after="0" w:afterLines="0"/>
        <w:ind w:firstLine="640"/>
      </w:pPr>
      <w:r>
        <w:t>本次评价综合运用案卷研究、深度访谈、书面评审、现场评价及问卷调查等方法进行多源数据采集，依据评价指标进行打分，一级指标得分情况如下：项目决策18.00分，实际得分15.00分，得分率83.33%；项目实施38.00分，实际得分32.00分，得分率84.21%；项目产出30.00分，实际得分21.38分，得分率71.27%；项目效果14.00分，实际得分13.00分，得分率92.86%。</w:t>
      </w:r>
      <w:r>
        <w:rPr>
          <w:b/>
          <w:bCs/>
        </w:rPr>
        <w:t>整体指标得分详情如下：</w:t>
      </w:r>
    </w:p>
    <w:p>
      <w:pPr>
        <w:spacing w:after="217"/>
        <w:ind w:firstLine="0" w:firstLineChars="0"/>
        <w:jc w:val="center"/>
        <w:rPr>
          <w:rFonts w:eastAsia="幼圆" w:cs="Times New Roman"/>
          <w:b/>
          <w:sz w:val="28"/>
          <w:szCs w:val="28"/>
        </w:rPr>
      </w:pPr>
      <w:r>
        <w:rPr>
          <w:rFonts w:eastAsia="幼圆" w:cs="Times New Roman"/>
          <w:b/>
          <w:sz w:val="28"/>
          <w:szCs w:val="28"/>
        </w:rPr>
        <w:t>附表 养老服务体系项目绩效评价指标得分情况</w:t>
      </w:r>
      <w:r>
        <w:rPr>
          <w:rFonts w:eastAsia="幼圆" w:cs="Times New Roman"/>
          <w:b/>
          <w:sz w:val="28"/>
          <w:szCs w:val="28"/>
          <w:vertAlign w:val="superscript"/>
        </w:rPr>
        <w:footnoteReference w:id="1"/>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9"/>
        <w:gridCol w:w="1314"/>
        <w:gridCol w:w="2620"/>
        <w:gridCol w:w="1019"/>
        <w:gridCol w:w="881"/>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blHeader/>
          <w:jc w:val="center"/>
        </w:trPr>
        <w:tc>
          <w:tcPr>
            <w:tcW w:w="850"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bookmarkStart w:id="26" w:name="_Hlk74510742"/>
            <w:r>
              <w:rPr>
                <w:rFonts w:eastAsia="宋体" w:cs="Times New Roman"/>
                <w:b/>
                <w:bCs/>
                <w:color w:val="FFFFFF"/>
                <w:kern w:val="0"/>
                <w:sz w:val="20"/>
                <w:szCs w:val="20"/>
              </w:rPr>
              <w:t>一级指标</w:t>
            </w:r>
          </w:p>
        </w:tc>
        <w:tc>
          <w:tcPr>
            <w:tcW w:w="771"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537"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598"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分值</w:t>
            </w:r>
          </w:p>
        </w:tc>
        <w:tc>
          <w:tcPr>
            <w:tcW w:w="517" w:type="pct"/>
            <w:shd w:val="clear" w:color="000000" w:fill="00516B"/>
            <w:vAlign w:val="center"/>
          </w:tcPr>
          <w:p>
            <w:pPr>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727" w:type="pct"/>
            <w:shd w:val="clear" w:color="000000" w:fill="00516B"/>
            <w:vAlign w:val="center"/>
          </w:tcPr>
          <w:p>
            <w:pPr>
              <w:spacing w:after="217" w:line="280" w:lineRule="exact"/>
              <w:ind w:firstLine="191" w:firstLineChars="95"/>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850" w:type="pct"/>
            <w:vMerge w:val="restart"/>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项目决策</w:t>
            </w:r>
          </w:p>
        </w:tc>
        <w:tc>
          <w:tcPr>
            <w:tcW w:w="771"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程序严密</w:t>
            </w: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项目依据充分性</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5.00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5.00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850"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771" w:type="pct"/>
            <w:vMerge w:val="restar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规划合理</w:t>
            </w: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目标与规划匹配性</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5.00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3.00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50"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color w:val="000000"/>
                <w:kern w:val="0"/>
                <w:sz w:val="20"/>
                <w:szCs w:val="20"/>
              </w:rPr>
            </w:pP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绩效目标合理性</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8.00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7.00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87.50%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850" w:type="pct"/>
            <w:vMerge w:val="restart"/>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项目实施　</w:t>
            </w:r>
          </w:p>
        </w:tc>
        <w:tc>
          <w:tcPr>
            <w:tcW w:w="771" w:type="pct"/>
            <w:vMerge w:val="restar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分配合理</w:t>
            </w: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分配及时性</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5.00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5.00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850" w:type="pct"/>
            <w:vMerge w:val="continue"/>
            <w:vAlign w:val="center"/>
          </w:tcPr>
          <w:p>
            <w:pPr>
              <w:spacing w:after="217" w:line="280" w:lineRule="exact"/>
              <w:ind w:firstLine="402"/>
              <w:jc w:val="center"/>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color w:val="000000"/>
                <w:kern w:val="0"/>
                <w:sz w:val="20"/>
                <w:szCs w:val="20"/>
              </w:rPr>
            </w:pP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分配结果与计划一致性</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6.00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3.50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58.33%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850" w:type="pct"/>
            <w:vMerge w:val="continue"/>
            <w:vAlign w:val="center"/>
          </w:tcPr>
          <w:p>
            <w:pPr>
              <w:spacing w:after="217" w:line="280" w:lineRule="exact"/>
              <w:ind w:firstLine="402"/>
              <w:jc w:val="center"/>
              <w:rPr>
                <w:rFonts w:eastAsia="宋体" w:cs="Times New Roman"/>
                <w:b/>
                <w:bCs/>
                <w:color w:val="000000"/>
                <w:kern w:val="0"/>
                <w:sz w:val="20"/>
                <w:szCs w:val="20"/>
              </w:rPr>
            </w:pPr>
          </w:p>
        </w:tc>
        <w:tc>
          <w:tcPr>
            <w:tcW w:w="771"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使用合规</w:t>
            </w: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资金使用合规性</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8.00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8.00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850" w:type="pct"/>
            <w:vMerge w:val="continue"/>
            <w:vAlign w:val="center"/>
          </w:tcPr>
          <w:p>
            <w:pPr>
              <w:spacing w:after="217" w:line="280" w:lineRule="exact"/>
              <w:ind w:firstLine="402"/>
              <w:jc w:val="center"/>
              <w:rPr>
                <w:rFonts w:eastAsia="宋体" w:cs="Times New Roman"/>
                <w:b/>
                <w:bCs/>
                <w:color w:val="000000"/>
                <w:kern w:val="0"/>
                <w:sz w:val="20"/>
                <w:szCs w:val="20"/>
              </w:rPr>
            </w:pPr>
          </w:p>
        </w:tc>
        <w:tc>
          <w:tcPr>
            <w:tcW w:w="771" w:type="pct"/>
            <w:vMerge w:val="restar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执行有效</w:t>
            </w: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管理制度健全性</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5.00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5.00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50" w:type="pct"/>
            <w:vMerge w:val="continue"/>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color w:val="000000"/>
                <w:kern w:val="0"/>
                <w:sz w:val="20"/>
                <w:szCs w:val="20"/>
              </w:rPr>
            </w:pP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制度执行有效性</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6.00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5.00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50" w:type="pct"/>
            <w:vMerge w:val="continue"/>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color w:val="000000"/>
                <w:kern w:val="0"/>
                <w:sz w:val="20"/>
                <w:szCs w:val="20"/>
              </w:rPr>
            </w:pP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项目实施及时性</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sz w:val="20"/>
                <w:szCs w:val="20"/>
              </w:rPr>
            </w:pPr>
            <w:r>
              <w:rPr>
                <w:rFonts w:eastAsia="等线" w:cs="Times New Roman"/>
                <w:color w:val="000000"/>
                <w:sz w:val="20"/>
                <w:szCs w:val="20"/>
              </w:rPr>
              <w:t>5.00</w:t>
            </w:r>
          </w:p>
        </w:tc>
        <w:tc>
          <w:tcPr>
            <w:tcW w:w="517" w:type="pct"/>
            <w:shd w:val="clear" w:color="000000" w:fill="FFFFFF"/>
            <w:vAlign w:val="center"/>
          </w:tcPr>
          <w:p>
            <w:pPr>
              <w:widowControl/>
              <w:spacing w:after="217" w:line="280" w:lineRule="exact"/>
              <w:ind w:firstLine="0" w:firstLineChars="0"/>
              <w:jc w:val="center"/>
              <w:rPr>
                <w:rFonts w:eastAsia="宋体" w:cs="Times New Roman"/>
                <w:sz w:val="20"/>
                <w:szCs w:val="20"/>
              </w:rPr>
            </w:pPr>
            <w:r>
              <w:rPr>
                <w:rFonts w:eastAsia="等线" w:cs="Times New Roman"/>
                <w:color w:val="000000"/>
                <w:sz w:val="20"/>
                <w:szCs w:val="20"/>
              </w:rPr>
              <w:t>3.50</w:t>
            </w:r>
          </w:p>
        </w:tc>
        <w:tc>
          <w:tcPr>
            <w:tcW w:w="727" w:type="pct"/>
            <w:shd w:val="clear" w:color="000000" w:fill="FFFFFF"/>
            <w:vAlign w:val="center"/>
          </w:tcPr>
          <w:p>
            <w:pPr>
              <w:widowControl/>
              <w:spacing w:after="217" w:line="280" w:lineRule="exact"/>
              <w:ind w:firstLine="0" w:firstLineChars="0"/>
              <w:jc w:val="center"/>
              <w:rPr>
                <w:rFonts w:eastAsia="宋体" w:cs="Times New Roman"/>
                <w:sz w:val="20"/>
                <w:szCs w:val="20"/>
              </w:rPr>
            </w:pPr>
            <w:r>
              <w:rPr>
                <w:rFonts w:eastAsia="等线" w:cs="Times New Roman"/>
                <w:color w:val="000000"/>
                <w:sz w:val="20"/>
                <w:szCs w:val="20"/>
              </w:rPr>
              <w:t>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850" w:type="pct"/>
            <w:vMerge w:val="continue"/>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color w:val="000000"/>
                <w:kern w:val="0"/>
                <w:sz w:val="20"/>
                <w:szCs w:val="20"/>
              </w:rPr>
            </w:pP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政府购买服务程序的规范性</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sz w:val="20"/>
                <w:szCs w:val="20"/>
              </w:rPr>
            </w:pPr>
            <w:r>
              <w:rPr>
                <w:rFonts w:eastAsia="等线" w:cs="Times New Roman"/>
                <w:color w:val="000000"/>
                <w:sz w:val="20"/>
                <w:szCs w:val="20"/>
              </w:rPr>
              <w:t>3.00</w:t>
            </w:r>
          </w:p>
        </w:tc>
        <w:tc>
          <w:tcPr>
            <w:tcW w:w="517" w:type="pct"/>
            <w:shd w:val="clear" w:color="000000" w:fill="FFFFFF"/>
            <w:vAlign w:val="center"/>
          </w:tcPr>
          <w:p>
            <w:pPr>
              <w:widowControl/>
              <w:spacing w:after="217" w:line="280" w:lineRule="exact"/>
              <w:ind w:firstLine="0" w:firstLineChars="0"/>
              <w:jc w:val="center"/>
              <w:rPr>
                <w:rFonts w:eastAsia="宋体" w:cs="Times New Roman"/>
                <w:sz w:val="20"/>
                <w:szCs w:val="20"/>
              </w:rPr>
            </w:pPr>
            <w:r>
              <w:rPr>
                <w:rFonts w:eastAsia="等线" w:cs="Times New Roman"/>
                <w:color w:val="000000"/>
                <w:sz w:val="20"/>
                <w:szCs w:val="20"/>
              </w:rPr>
              <w:t>2.00</w:t>
            </w:r>
          </w:p>
        </w:tc>
        <w:tc>
          <w:tcPr>
            <w:tcW w:w="727" w:type="pct"/>
            <w:shd w:val="clear" w:color="000000" w:fill="FFFFFF"/>
            <w:vAlign w:val="center"/>
          </w:tcPr>
          <w:p>
            <w:pPr>
              <w:widowControl/>
              <w:spacing w:after="217" w:line="280" w:lineRule="exact"/>
              <w:ind w:firstLine="0" w:firstLineChars="0"/>
              <w:jc w:val="center"/>
              <w:rPr>
                <w:rFonts w:eastAsia="宋体" w:cs="Times New Roman"/>
                <w:sz w:val="20"/>
                <w:szCs w:val="20"/>
              </w:rPr>
            </w:pPr>
            <w:r>
              <w:rPr>
                <w:rFonts w:eastAsia="等线" w:cs="Times New Roman"/>
                <w:color w:val="000000"/>
                <w:sz w:val="20"/>
                <w:szCs w:val="20"/>
              </w:rPr>
              <w:t>66.67%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50" w:type="pct"/>
            <w:vMerge w:val="restart"/>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项目产出</w:t>
            </w:r>
          </w:p>
        </w:tc>
        <w:tc>
          <w:tcPr>
            <w:tcW w:w="771"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预算完成</w:t>
            </w: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资金执行率</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6.00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4.05</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67.50%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50"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771" w:type="pct"/>
            <w:vMerge w:val="restar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结果符合</w:t>
            </w: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新建和改造机构完成数量</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3.00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2.50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850"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color w:val="000000"/>
                <w:kern w:val="0"/>
                <w:sz w:val="20"/>
                <w:szCs w:val="20"/>
              </w:rPr>
            </w:pP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养老机构运营补贴完成数量</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3.00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1.33</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44.33%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850"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color w:val="000000"/>
                <w:kern w:val="0"/>
                <w:sz w:val="20"/>
                <w:szCs w:val="20"/>
              </w:rPr>
            </w:pP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养老服务培训完成数量</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sz w:val="20"/>
                <w:szCs w:val="20"/>
              </w:rPr>
            </w:pPr>
            <w:r>
              <w:rPr>
                <w:rFonts w:eastAsia="等线" w:cs="Times New Roman"/>
                <w:color w:val="000000"/>
                <w:sz w:val="20"/>
                <w:szCs w:val="20"/>
              </w:rPr>
              <w:t>3.00</w:t>
            </w:r>
          </w:p>
        </w:tc>
        <w:tc>
          <w:tcPr>
            <w:tcW w:w="517" w:type="pct"/>
            <w:shd w:val="clear" w:color="000000" w:fill="FFFFFF"/>
            <w:vAlign w:val="center"/>
          </w:tcPr>
          <w:p>
            <w:pPr>
              <w:widowControl/>
              <w:spacing w:after="217" w:line="280" w:lineRule="exact"/>
              <w:ind w:firstLine="0" w:firstLineChars="0"/>
              <w:jc w:val="center"/>
              <w:rPr>
                <w:rFonts w:eastAsia="宋体" w:cs="Times New Roman"/>
                <w:sz w:val="20"/>
                <w:szCs w:val="20"/>
              </w:rPr>
            </w:pPr>
            <w:r>
              <w:rPr>
                <w:rFonts w:eastAsia="等线" w:cs="Times New Roman"/>
                <w:color w:val="000000"/>
                <w:sz w:val="20"/>
                <w:szCs w:val="20"/>
              </w:rPr>
              <w:t>0.00</w:t>
            </w:r>
          </w:p>
        </w:tc>
        <w:tc>
          <w:tcPr>
            <w:tcW w:w="727" w:type="pct"/>
            <w:shd w:val="clear" w:color="000000" w:fill="FFFFFF"/>
            <w:vAlign w:val="center"/>
          </w:tcPr>
          <w:p>
            <w:pPr>
              <w:widowControl/>
              <w:spacing w:after="217" w:line="280" w:lineRule="exact"/>
              <w:ind w:firstLine="0" w:firstLineChars="0"/>
              <w:jc w:val="center"/>
              <w:rPr>
                <w:rFonts w:eastAsia="宋体" w:cs="Times New Roman"/>
                <w:sz w:val="20"/>
                <w:szCs w:val="20"/>
              </w:rPr>
            </w:pPr>
            <w:r>
              <w:rPr>
                <w:rFonts w:eastAsia="等线" w:cs="Times New Roman"/>
                <w:color w:val="000000"/>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850"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color w:val="000000"/>
                <w:kern w:val="0"/>
                <w:sz w:val="20"/>
                <w:szCs w:val="20"/>
              </w:rPr>
            </w:pP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项目完工及时性</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5.00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3.50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50"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771"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质量完成</w:t>
            </w: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项目验收合格率</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sz w:val="20"/>
                <w:szCs w:val="20"/>
              </w:rPr>
            </w:pPr>
            <w:r>
              <w:rPr>
                <w:rFonts w:eastAsia="等线" w:cs="Times New Roman"/>
                <w:color w:val="000000"/>
                <w:sz w:val="20"/>
                <w:szCs w:val="20"/>
              </w:rPr>
              <w:t>5.00</w:t>
            </w:r>
          </w:p>
        </w:tc>
        <w:tc>
          <w:tcPr>
            <w:tcW w:w="517" w:type="pct"/>
            <w:shd w:val="clear" w:color="000000" w:fill="FFFFFF"/>
            <w:vAlign w:val="center"/>
          </w:tcPr>
          <w:p>
            <w:pPr>
              <w:widowControl/>
              <w:spacing w:after="217" w:line="280" w:lineRule="exact"/>
              <w:ind w:firstLine="0" w:firstLineChars="0"/>
              <w:jc w:val="center"/>
              <w:rPr>
                <w:rFonts w:eastAsia="宋体" w:cs="Times New Roman"/>
                <w:sz w:val="20"/>
                <w:szCs w:val="20"/>
              </w:rPr>
            </w:pPr>
            <w:r>
              <w:rPr>
                <w:rFonts w:eastAsia="等线" w:cs="Times New Roman"/>
                <w:color w:val="000000"/>
                <w:sz w:val="20"/>
                <w:szCs w:val="20"/>
              </w:rPr>
              <w:t>5.00</w:t>
            </w:r>
          </w:p>
        </w:tc>
        <w:tc>
          <w:tcPr>
            <w:tcW w:w="727" w:type="pct"/>
            <w:shd w:val="clear" w:color="000000" w:fill="FFFFFF"/>
            <w:vAlign w:val="center"/>
          </w:tcPr>
          <w:p>
            <w:pPr>
              <w:widowControl/>
              <w:spacing w:after="217" w:line="280" w:lineRule="exact"/>
              <w:ind w:firstLine="0" w:firstLineChars="0"/>
              <w:jc w:val="center"/>
              <w:rPr>
                <w:rFonts w:eastAsia="宋体" w:cs="Times New Roman"/>
                <w:sz w:val="20"/>
                <w:szCs w:val="20"/>
              </w:rPr>
            </w:pPr>
            <w:r>
              <w:rPr>
                <w:rFonts w:eastAsia="等线" w:cs="Times New Roman"/>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50"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771"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违规记录</w:t>
            </w: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违纪记录</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5.00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5.00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850" w:type="pct"/>
            <w:vMerge w:val="restart"/>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项目效果</w:t>
            </w:r>
          </w:p>
        </w:tc>
        <w:tc>
          <w:tcPr>
            <w:tcW w:w="771" w:type="pct"/>
            <w:vMerge w:val="restart"/>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社会效益</w:t>
            </w:r>
          </w:p>
        </w:tc>
        <w:tc>
          <w:tcPr>
            <w:tcW w:w="153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老年人生活便利度</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7.00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7.00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50" w:type="pct"/>
            <w:vMerge w:val="continue"/>
            <w:vAlign w:val="center"/>
          </w:tcPr>
          <w:p>
            <w:pPr>
              <w:spacing w:after="217" w:line="280" w:lineRule="exact"/>
              <w:ind w:firstLine="402"/>
              <w:jc w:val="center"/>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1537" w:type="pct"/>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设施使用率</w:t>
            </w:r>
          </w:p>
        </w:tc>
        <w:tc>
          <w:tcPr>
            <w:tcW w:w="59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7.00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6.00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85.71%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3158" w:type="pct"/>
            <w:gridSpan w:val="3"/>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合计</w:t>
            </w:r>
          </w:p>
        </w:tc>
        <w:tc>
          <w:tcPr>
            <w:tcW w:w="598" w:type="pct"/>
            <w:shd w:val="clear" w:color="auto" w:fill="auto"/>
            <w:vAlign w:val="center"/>
          </w:tcPr>
          <w:p>
            <w:pPr>
              <w:widowControl/>
              <w:spacing w:after="217" w:line="280" w:lineRule="exact"/>
              <w:ind w:firstLine="0" w:firstLineChars="0"/>
              <w:jc w:val="center"/>
              <w:rPr>
                <w:rFonts w:eastAsia="宋体" w:cs="Times New Roman"/>
                <w:b/>
                <w:bCs/>
                <w:color w:val="000000"/>
                <w:sz w:val="20"/>
                <w:szCs w:val="20"/>
              </w:rPr>
            </w:pPr>
            <w:r>
              <w:rPr>
                <w:rFonts w:eastAsia="宋体" w:cs="Times New Roman"/>
                <w:b/>
                <w:bCs/>
                <w:color w:val="000000"/>
                <w:sz w:val="20"/>
                <w:szCs w:val="20"/>
              </w:rPr>
              <w:t>100</w:t>
            </w:r>
          </w:p>
        </w:tc>
        <w:tc>
          <w:tcPr>
            <w:tcW w:w="517" w:type="pct"/>
            <w:vAlign w:val="center"/>
          </w:tcPr>
          <w:p>
            <w:pPr>
              <w:widowControl/>
              <w:spacing w:after="217" w:line="280" w:lineRule="exact"/>
              <w:ind w:firstLine="0" w:firstLineChars="0"/>
              <w:jc w:val="center"/>
              <w:rPr>
                <w:rFonts w:eastAsia="宋体" w:cs="Times New Roman"/>
                <w:b/>
                <w:bCs/>
                <w:sz w:val="20"/>
                <w:szCs w:val="20"/>
              </w:rPr>
            </w:pPr>
            <w:r>
              <w:rPr>
                <w:rFonts w:eastAsia="宋体" w:cs="Times New Roman"/>
                <w:b/>
                <w:bCs/>
                <w:sz w:val="20"/>
                <w:szCs w:val="20"/>
              </w:rPr>
              <w:t>81.38</w:t>
            </w:r>
          </w:p>
        </w:tc>
        <w:tc>
          <w:tcPr>
            <w:tcW w:w="727" w:type="pct"/>
            <w:vAlign w:val="center"/>
          </w:tcPr>
          <w:p>
            <w:pPr>
              <w:widowControl/>
              <w:spacing w:after="217" w:line="280" w:lineRule="exact"/>
              <w:ind w:firstLine="0" w:firstLineChars="0"/>
              <w:jc w:val="center"/>
              <w:rPr>
                <w:rFonts w:eastAsia="宋体" w:cs="Times New Roman"/>
                <w:b/>
                <w:bCs/>
                <w:sz w:val="20"/>
                <w:szCs w:val="20"/>
              </w:rPr>
            </w:pPr>
            <w:r>
              <w:rPr>
                <w:rFonts w:eastAsia="宋体" w:cs="Times New Roman"/>
                <w:b/>
                <w:bCs/>
                <w:sz w:val="20"/>
                <w:szCs w:val="20"/>
              </w:rPr>
              <w:t>81.38%</w:t>
            </w:r>
          </w:p>
        </w:tc>
      </w:tr>
      <w:bookmarkEnd w:id="26"/>
    </w:tbl>
    <w:p>
      <w:pPr>
        <w:spacing w:before="217" w:after="217"/>
        <w:ind w:firstLine="0" w:firstLineChars="0"/>
        <w:rPr>
          <w:rFonts w:cs="Times New Roman"/>
        </w:rPr>
      </w:pPr>
    </w:p>
    <w:p>
      <w:pPr>
        <w:pStyle w:val="3"/>
        <w:spacing w:after="0" w:afterLines="0"/>
        <w:ind w:firstLine="643"/>
      </w:pPr>
      <w:bookmarkStart w:id="27" w:name="_Toc76931021"/>
      <w:bookmarkStart w:id="28" w:name="_Toc75524259"/>
      <w:r>
        <w:t>（二）绩效分析</w:t>
      </w:r>
      <w:bookmarkEnd w:id="27"/>
      <w:bookmarkEnd w:id="28"/>
    </w:p>
    <w:p>
      <w:pPr>
        <w:pStyle w:val="4"/>
        <w:spacing w:after="0" w:afterLines="0"/>
        <w:ind w:firstLine="643"/>
      </w:pPr>
      <w:bookmarkStart w:id="29" w:name="_Toc76931022"/>
      <w:bookmarkStart w:id="30" w:name="_Toc75524260"/>
      <w:r>
        <w:t>1. 项目决策指标分析</w:t>
      </w:r>
      <w:bookmarkEnd w:id="29"/>
      <w:bookmarkEnd w:id="30"/>
    </w:p>
    <w:p>
      <w:pPr>
        <w:spacing w:after="0" w:afterLines="0"/>
        <w:ind w:firstLine="640"/>
      </w:pPr>
      <w:r>
        <w:t>在项目决策指标上，设置了项目依据充分性、目标与规划匹配性、绩效目标合理性3个三级指标。</w:t>
      </w:r>
    </w:p>
    <w:p>
      <w:pPr>
        <w:widowControl/>
        <w:spacing w:after="0" w:afterLines="0" w:line="600" w:lineRule="exact"/>
        <w:ind w:firstLine="0" w:firstLineChars="0"/>
        <w:jc w:val="center"/>
        <w:rPr>
          <w:rFonts w:eastAsia="幼圆" w:cs="Times New Roman"/>
          <w:b/>
          <w:sz w:val="28"/>
          <w:szCs w:val="28"/>
        </w:rPr>
      </w:pPr>
      <w:r>
        <w:rPr>
          <w:rFonts w:eastAsia="幼圆" w:cs="Times New Roman"/>
          <w:b/>
          <w:sz w:val="28"/>
          <w:szCs w:val="28"/>
        </w:rPr>
        <w:t>附表 项目决策指标得分情况</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9"/>
        <w:gridCol w:w="1314"/>
        <w:gridCol w:w="2476"/>
        <w:gridCol w:w="1023"/>
        <w:gridCol w:w="1021"/>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blHeader/>
          <w:jc w:val="center"/>
        </w:trPr>
        <w:tc>
          <w:tcPr>
            <w:tcW w:w="850" w:type="pct"/>
            <w:shd w:val="clear" w:color="000000" w:fill="00516B"/>
            <w:vAlign w:val="center"/>
          </w:tcPr>
          <w:p>
            <w:pPr>
              <w:widowControl/>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771" w:type="pct"/>
            <w:shd w:val="clear" w:color="000000" w:fill="00516B"/>
            <w:vAlign w:val="center"/>
          </w:tcPr>
          <w:p>
            <w:pPr>
              <w:widowControl/>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453" w:type="pct"/>
            <w:shd w:val="clear" w:color="000000" w:fill="00516B"/>
            <w:vAlign w:val="center"/>
          </w:tcPr>
          <w:p>
            <w:pPr>
              <w:widowControl/>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600" w:type="pct"/>
            <w:shd w:val="clear" w:color="000000" w:fill="00516B"/>
            <w:vAlign w:val="center"/>
          </w:tcPr>
          <w:p>
            <w:pPr>
              <w:widowControl/>
              <w:spacing w:after="0" w:afterLines="0"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分值</w:t>
            </w:r>
          </w:p>
        </w:tc>
        <w:tc>
          <w:tcPr>
            <w:tcW w:w="599" w:type="pct"/>
            <w:shd w:val="clear" w:color="000000" w:fill="00516B"/>
            <w:vAlign w:val="center"/>
          </w:tcPr>
          <w:p>
            <w:pPr>
              <w:spacing w:before="217" w:after="217"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727" w:type="pct"/>
            <w:shd w:val="clear" w:color="000000" w:fill="00516B"/>
            <w:vAlign w:val="center"/>
          </w:tcPr>
          <w:p>
            <w:pPr>
              <w:spacing w:before="217" w:after="217" w:line="240" w:lineRule="auto"/>
              <w:ind w:firstLine="191" w:firstLineChars="95"/>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850" w:type="pct"/>
            <w:vMerge w:val="restart"/>
            <w:shd w:val="clear" w:color="auto" w:fill="auto"/>
            <w:vAlign w:val="center"/>
          </w:tcPr>
          <w:p>
            <w:pPr>
              <w:widowControl/>
              <w:spacing w:after="0" w:afterLines="0"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项目决策</w:t>
            </w:r>
          </w:p>
        </w:tc>
        <w:tc>
          <w:tcPr>
            <w:tcW w:w="771" w:type="pct"/>
            <w:shd w:val="clear" w:color="000000" w:fill="FFFFFF"/>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程序严密</w:t>
            </w:r>
          </w:p>
        </w:tc>
        <w:tc>
          <w:tcPr>
            <w:tcW w:w="1453" w:type="pct"/>
            <w:shd w:val="clear" w:color="000000" w:fill="FFFFFF"/>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项目依据充分性</w:t>
            </w:r>
          </w:p>
        </w:tc>
        <w:tc>
          <w:tcPr>
            <w:tcW w:w="600" w:type="pct"/>
            <w:shd w:val="clear" w:color="000000" w:fill="FFFFFF"/>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等线" w:cs="Times New Roman"/>
                <w:color w:val="000000"/>
                <w:sz w:val="20"/>
                <w:szCs w:val="20"/>
              </w:rPr>
              <w:t>5</w:t>
            </w:r>
            <w:r>
              <w:rPr>
                <w:rFonts w:eastAsia="宋体" w:cs="Times New Roman"/>
                <w:color w:val="000000"/>
                <w:kern w:val="0"/>
                <w:sz w:val="20"/>
                <w:szCs w:val="20"/>
              </w:rPr>
              <w:t>.00</w:t>
            </w:r>
          </w:p>
        </w:tc>
        <w:tc>
          <w:tcPr>
            <w:tcW w:w="599" w:type="pct"/>
            <w:shd w:val="clear" w:color="000000" w:fill="FFFFFF"/>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等线" w:cs="Times New Roman"/>
                <w:color w:val="000000"/>
                <w:sz w:val="20"/>
                <w:szCs w:val="20"/>
              </w:rPr>
              <w:t>5</w:t>
            </w:r>
            <w:r>
              <w:rPr>
                <w:rFonts w:eastAsia="宋体" w:cs="Times New Roman"/>
                <w:color w:val="000000"/>
                <w:kern w:val="0"/>
                <w:sz w:val="20"/>
                <w:szCs w:val="20"/>
              </w:rPr>
              <w:t>.00</w:t>
            </w:r>
          </w:p>
        </w:tc>
        <w:tc>
          <w:tcPr>
            <w:tcW w:w="727" w:type="pct"/>
            <w:shd w:val="clear" w:color="000000" w:fill="FFFFFF"/>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等线" w:cs="Times New Roman"/>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50" w:type="pct"/>
            <w:vMerge w:val="continue"/>
            <w:vAlign w:val="center"/>
          </w:tcPr>
          <w:p>
            <w:pPr>
              <w:widowControl/>
              <w:spacing w:after="0" w:afterLines="0" w:line="240" w:lineRule="auto"/>
              <w:ind w:firstLine="0" w:firstLineChars="0"/>
              <w:jc w:val="left"/>
              <w:rPr>
                <w:rFonts w:eastAsia="宋体" w:cs="Times New Roman"/>
                <w:b/>
                <w:bCs/>
                <w:color w:val="000000"/>
                <w:kern w:val="0"/>
                <w:sz w:val="20"/>
                <w:szCs w:val="20"/>
              </w:rPr>
            </w:pPr>
          </w:p>
        </w:tc>
        <w:tc>
          <w:tcPr>
            <w:tcW w:w="771" w:type="pct"/>
            <w:vMerge w:val="restart"/>
            <w:shd w:val="clear" w:color="000000" w:fill="FFFFFF"/>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规划合理</w:t>
            </w:r>
          </w:p>
        </w:tc>
        <w:tc>
          <w:tcPr>
            <w:tcW w:w="1453" w:type="pct"/>
            <w:shd w:val="clear" w:color="000000" w:fill="FFFFFF"/>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目标与规划匹配性</w:t>
            </w:r>
          </w:p>
        </w:tc>
        <w:tc>
          <w:tcPr>
            <w:tcW w:w="600" w:type="pct"/>
            <w:shd w:val="clear" w:color="000000" w:fill="FFFFFF"/>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等线" w:cs="Times New Roman"/>
                <w:color w:val="000000"/>
                <w:sz w:val="20"/>
                <w:szCs w:val="20"/>
              </w:rPr>
              <w:t>5</w:t>
            </w:r>
            <w:r>
              <w:rPr>
                <w:rFonts w:eastAsia="宋体" w:cs="Times New Roman"/>
                <w:color w:val="000000"/>
                <w:kern w:val="0"/>
                <w:sz w:val="20"/>
                <w:szCs w:val="20"/>
              </w:rPr>
              <w:t>.00</w:t>
            </w:r>
          </w:p>
        </w:tc>
        <w:tc>
          <w:tcPr>
            <w:tcW w:w="599" w:type="pct"/>
            <w:shd w:val="clear" w:color="000000" w:fill="FFFFFF"/>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等线" w:cs="Times New Roman"/>
                <w:color w:val="000000"/>
                <w:sz w:val="20"/>
                <w:szCs w:val="20"/>
              </w:rPr>
              <w:t>3</w:t>
            </w:r>
            <w:r>
              <w:rPr>
                <w:rFonts w:eastAsia="宋体" w:cs="Times New Roman"/>
                <w:color w:val="000000"/>
                <w:kern w:val="0"/>
                <w:sz w:val="20"/>
                <w:szCs w:val="20"/>
              </w:rPr>
              <w:t>.00</w:t>
            </w:r>
          </w:p>
        </w:tc>
        <w:tc>
          <w:tcPr>
            <w:tcW w:w="727" w:type="pct"/>
            <w:shd w:val="clear" w:color="000000" w:fill="FFFFFF"/>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等线" w:cs="Times New Roman"/>
                <w:color w:val="000000"/>
                <w:sz w:val="20"/>
                <w:szCs w:val="20"/>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850" w:type="pct"/>
            <w:vMerge w:val="continue"/>
            <w:vAlign w:val="center"/>
          </w:tcPr>
          <w:p>
            <w:pPr>
              <w:widowControl/>
              <w:spacing w:after="0" w:afterLines="0" w:line="240" w:lineRule="auto"/>
              <w:ind w:firstLine="0" w:firstLineChars="0"/>
              <w:jc w:val="left"/>
              <w:rPr>
                <w:rFonts w:eastAsia="宋体" w:cs="Times New Roman"/>
                <w:b/>
                <w:bCs/>
                <w:color w:val="000000"/>
                <w:kern w:val="0"/>
                <w:sz w:val="20"/>
                <w:szCs w:val="20"/>
              </w:rPr>
            </w:pPr>
          </w:p>
        </w:tc>
        <w:tc>
          <w:tcPr>
            <w:tcW w:w="771" w:type="pct"/>
            <w:vMerge w:val="continue"/>
            <w:vAlign w:val="center"/>
          </w:tcPr>
          <w:p>
            <w:pPr>
              <w:widowControl/>
              <w:spacing w:after="0" w:afterLines="0" w:line="240" w:lineRule="auto"/>
              <w:ind w:firstLine="0" w:firstLineChars="0"/>
              <w:jc w:val="left"/>
              <w:rPr>
                <w:rFonts w:eastAsia="宋体" w:cs="Times New Roman"/>
                <w:color w:val="000000"/>
                <w:kern w:val="0"/>
                <w:sz w:val="20"/>
                <w:szCs w:val="20"/>
              </w:rPr>
            </w:pPr>
          </w:p>
        </w:tc>
        <w:tc>
          <w:tcPr>
            <w:tcW w:w="1453" w:type="pct"/>
            <w:shd w:val="clear" w:color="000000" w:fill="FFFFFF"/>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绩效目标合理性</w:t>
            </w:r>
          </w:p>
        </w:tc>
        <w:tc>
          <w:tcPr>
            <w:tcW w:w="600" w:type="pct"/>
            <w:shd w:val="clear" w:color="000000" w:fill="FFFFFF"/>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等线" w:cs="Times New Roman"/>
                <w:color w:val="000000"/>
                <w:sz w:val="20"/>
                <w:szCs w:val="20"/>
              </w:rPr>
              <w:t>8</w:t>
            </w:r>
            <w:r>
              <w:rPr>
                <w:rFonts w:eastAsia="宋体" w:cs="Times New Roman"/>
                <w:color w:val="000000"/>
                <w:kern w:val="0"/>
                <w:sz w:val="20"/>
                <w:szCs w:val="20"/>
              </w:rPr>
              <w:t>.00</w:t>
            </w:r>
          </w:p>
        </w:tc>
        <w:tc>
          <w:tcPr>
            <w:tcW w:w="599" w:type="pct"/>
            <w:shd w:val="clear" w:color="000000" w:fill="FFFFFF"/>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等线" w:cs="Times New Roman"/>
                <w:color w:val="000000"/>
                <w:sz w:val="20"/>
                <w:szCs w:val="20"/>
              </w:rPr>
              <w:t>7</w:t>
            </w:r>
            <w:r>
              <w:rPr>
                <w:rFonts w:eastAsia="宋体" w:cs="Times New Roman"/>
                <w:color w:val="000000"/>
                <w:kern w:val="0"/>
                <w:sz w:val="20"/>
                <w:szCs w:val="20"/>
              </w:rPr>
              <w:t>.00</w:t>
            </w:r>
          </w:p>
        </w:tc>
        <w:tc>
          <w:tcPr>
            <w:tcW w:w="727" w:type="pct"/>
            <w:shd w:val="clear" w:color="000000" w:fill="FFFFFF"/>
            <w:vAlign w:val="center"/>
          </w:tcPr>
          <w:p>
            <w:pPr>
              <w:widowControl/>
              <w:spacing w:after="0" w:afterLines="0" w:line="240" w:lineRule="auto"/>
              <w:ind w:firstLine="0" w:firstLineChars="0"/>
              <w:jc w:val="center"/>
              <w:rPr>
                <w:rFonts w:eastAsia="宋体" w:cs="Times New Roman"/>
                <w:color w:val="000000"/>
                <w:kern w:val="0"/>
                <w:sz w:val="20"/>
                <w:szCs w:val="20"/>
              </w:rPr>
            </w:pPr>
            <w:r>
              <w:rPr>
                <w:rFonts w:eastAsia="等线" w:cs="Times New Roman"/>
                <w:color w:val="000000"/>
                <w:sz w:val="20"/>
                <w:szCs w:val="20"/>
              </w:rPr>
              <w:t>87.50%</w:t>
            </w:r>
          </w:p>
        </w:tc>
      </w:tr>
    </w:tbl>
    <w:p>
      <w:pPr>
        <w:spacing w:after="0" w:afterLines="0"/>
        <w:ind w:firstLine="640"/>
        <w:rPr>
          <w:rFonts w:cs="Times New Roman"/>
        </w:rPr>
      </w:pPr>
    </w:p>
    <w:p>
      <w:pPr>
        <w:spacing w:after="0" w:afterLines="0"/>
        <w:ind w:firstLine="640"/>
        <w:rPr>
          <w:rFonts w:cs="Times New Roman"/>
        </w:rPr>
      </w:pPr>
      <w:r>
        <w:rPr>
          <w:rFonts w:cs="Times New Roman"/>
        </w:rPr>
        <w:t>（1）项目依据充分性</w:t>
      </w:r>
    </w:p>
    <w:p>
      <w:pPr>
        <w:spacing w:after="0" w:afterLines="0"/>
        <w:ind w:firstLine="640"/>
      </w:pPr>
      <w:r>
        <w:t>项目依据充分性权重5.00分，实际得分5.00分，得分率100.00%。民政局计划养老服务体系资金项目总共12个，根据《国务院关于加快发展养老服务业的若干意见》（国发〔2013〕35号）、《四川省人民政府办公厅关于推进四川养老服务发展的实施意见》（川办发〔2020〕9号）、《四川省民政厅关于印发2020年民政专项资金项目安排表的通知》（川民发〔2020〕72号）、《四川省民政厅关于做好2020年养老服务业发展补助重点项目的通知》（川民发〔2020〕74号）、《德阳市人民政府办公室关于印发〈德阳养老服务发展重点任务清单〉的通知》（德办发〔2020〕40号）文件要求设立项。其中，子项目分别依据《绵竹市政府购买居家养老服务实施办法（试行）的通知》（竹财社〔2014〕131号）、《关于加快实施老年人居家适老化改造工程的指导意见》（民发〔2020〕86号）、《四川省民政厅办公室关于做好民办养老机构运营补贴和社区老年人日间照料中心运营补贴工作的通知》（厅办〔2018〕47号）和《德阳市人民政府办公室关于加快推进社区老年人日间照料中心建设发展的通知》（德办函〔2016〕94号）等上级文件安排，故未扣分。</w:t>
      </w:r>
    </w:p>
    <w:p>
      <w:pPr>
        <w:spacing w:after="0" w:afterLines="0"/>
        <w:ind w:firstLine="640"/>
        <w:rPr>
          <w:rFonts w:cs="Times New Roman"/>
          <w:kern w:val="0"/>
          <w:szCs w:val="24"/>
        </w:rPr>
      </w:pPr>
      <w:r>
        <w:rPr>
          <w:rFonts w:cs="Times New Roman"/>
          <w:kern w:val="0"/>
          <w:szCs w:val="24"/>
        </w:rPr>
        <w:t>（2）目标与规划匹配性</w:t>
      </w:r>
    </w:p>
    <w:p>
      <w:pPr>
        <w:spacing w:after="0" w:afterLines="0"/>
        <w:ind w:firstLine="640"/>
      </w:pPr>
      <w:r>
        <w:t>目标与规划匹配性权重5.00分，实际得分3.00分，得分率60.00%。养老服务体系计划开展12个子项目，民政局实际开展10个项目，实际负责有效项目9个。其中，疫情核酸检测由卫健局负责；人才培训项目由人社局负责；养老服务评估项目前期由民政局开展，后被终止，由德阳市统一开展，故扣2.00分。</w:t>
      </w:r>
    </w:p>
    <w:p>
      <w:pPr>
        <w:spacing w:after="0" w:afterLines="0"/>
        <w:ind w:firstLine="640"/>
        <w:rPr>
          <w:rFonts w:cs="Times New Roman"/>
          <w:kern w:val="0"/>
          <w:szCs w:val="24"/>
        </w:rPr>
      </w:pPr>
      <w:r>
        <w:rPr>
          <w:rFonts w:cs="Times New Roman"/>
          <w:kern w:val="0"/>
          <w:szCs w:val="24"/>
        </w:rPr>
        <w:t>（3）绩效目标合理性</w:t>
      </w:r>
    </w:p>
    <w:p>
      <w:pPr>
        <w:spacing w:after="0" w:afterLines="0"/>
        <w:ind w:firstLine="640"/>
      </w:pPr>
      <w:r>
        <w:t>绩效目标合理性权重8.00分，实际得分7.00分，得分率87.5</w:t>
      </w:r>
      <w:r>
        <w:rPr>
          <w:rFonts w:hint="eastAsia"/>
        </w:rPr>
        <w:t>0</w:t>
      </w:r>
      <w:r>
        <w:t>%。计划12个项目，只设立了11个项目的绩效目标。、养老人才培训项目未设绩效目标，故扣1.00分。</w:t>
      </w:r>
    </w:p>
    <w:p>
      <w:pPr>
        <w:pStyle w:val="4"/>
        <w:spacing w:after="0" w:afterLines="0"/>
        <w:ind w:firstLine="643"/>
        <w:rPr>
          <w:rFonts w:cs="Times New Roman"/>
        </w:rPr>
      </w:pPr>
      <w:bookmarkStart w:id="31" w:name="_Toc75524261"/>
      <w:bookmarkStart w:id="32" w:name="_Toc76931023"/>
      <w:r>
        <w:rPr>
          <w:rFonts w:cs="Times New Roman"/>
        </w:rPr>
        <w:t>2. 项目实施指标分析</w:t>
      </w:r>
      <w:bookmarkEnd w:id="31"/>
      <w:bookmarkEnd w:id="32"/>
    </w:p>
    <w:p>
      <w:pPr>
        <w:spacing w:after="0" w:afterLines="0"/>
        <w:ind w:firstLine="640"/>
      </w:pPr>
      <w:r>
        <w:t>在项目实施指标上，设置了分配及时性、分配结果与计划一致性、资金使用合规性、管理制度健全性、制度执行有效性、项目实施及时性、政府购买服务程序的规范性7个三级指标。</w:t>
      </w:r>
    </w:p>
    <w:p>
      <w:pPr>
        <w:spacing w:after="0" w:afterLines="0"/>
        <w:ind w:firstLine="0" w:firstLineChars="0"/>
        <w:jc w:val="center"/>
      </w:pPr>
      <w:r>
        <w:rPr>
          <w:rFonts w:eastAsia="幼圆" w:cs="Times New Roman"/>
          <w:b/>
          <w:sz w:val="28"/>
          <w:szCs w:val="28"/>
        </w:rPr>
        <w:t>附表 项目实施指标得分情况</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9"/>
        <w:gridCol w:w="1314"/>
        <w:gridCol w:w="2476"/>
        <w:gridCol w:w="1023"/>
        <w:gridCol w:w="1021"/>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850"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771"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453"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600"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分值</w:t>
            </w:r>
          </w:p>
        </w:tc>
        <w:tc>
          <w:tcPr>
            <w:tcW w:w="599" w:type="pct"/>
            <w:shd w:val="clear" w:color="000000" w:fill="00516B"/>
            <w:vAlign w:val="center"/>
          </w:tcPr>
          <w:p>
            <w:pPr>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727" w:type="pct"/>
            <w:shd w:val="clear" w:color="000000" w:fill="00516B"/>
            <w:vAlign w:val="center"/>
          </w:tcPr>
          <w:p>
            <w:pPr>
              <w:spacing w:after="217" w:line="280" w:lineRule="exact"/>
              <w:ind w:firstLine="191" w:firstLineChars="95"/>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850" w:type="pct"/>
            <w:vMerge w:val="restart"/>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项目实施　</w:t>
            </w:r>
          </w:p>
        </w:tc>
        <w:tc>
          <w:tcPr>
            <w:tcW w:w="771" w:type="pct"/>
            <w:vMerge w:val="restar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分配合理</w:t>
            </w:r>
          </w:p>
        </w:tc>
        <w:tc>
          <w:tcPr>
            <w:tcW w:w="145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分配及时性</w:t>
            </w:r>
          </w:p>
        </w:tc>
        <w:tc>
          <w:tcPr>
            <w:tcW w:w="600"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5.00</w:t>
            </w:r>
          </w:p>
        </w:tc>
        <w:tc>
          <w:tcPr>
            <w:tcW w:w="599"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5.00</w:t>
            </w:r>
          </w:p>
        </w:tc>
        <w:tc>
          <w:tcPr>
            <w:tcW w:w="727"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850" w:type="pct"/>
            <w:vMerge w:val="continue"/>
            <w:vAlign w:val="center"/>
          </w:tcPr>
          <w:p>
            <w:pPr>
              <w:spacing w:after="217" w:line="280" w:lineRule="exact"/>
              <w:ind w:firstLine="402"/>
              <w:jc w:val="center"/>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color w:val="000000"/>
                <w:kern w:val="0"/>
                <w:sz w:val="20"/>
                <w:szCs w:val="20"/>
              </w:rPr>
            </w:pPr>
          </w:p>
        </w:tc>
        <w:tc>
          <w:tcPr>
            <w:tcW w:w="145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分配结果与计划一致性</w:t>
            </w:r>
          </w:p>
        </w:tc>
        <w:tc>
          <w:tcPr>
            <w:tcW w:w="600"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6.00</w:t>
            </w:r>
          </w:p>
        </w:tc>
        <w:tc>
          <w:tcPr>
            <w:tcW w:w="599"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3.50</w:t>
            </w:r>
          </w:p>
        </w:tc>
        <w:tc>
          <w:tcPr>
            <w:tcW w:w="727"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58.33%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850" w:type="pct"/>
            <w:vMerge w:val="continue"/>
            <w:vAlign w:val="center"/>
          </w:tcPr>
          <w:p>
            <w:pPr>
              <w:spacing w:after="217" w:line="280" w:lineRule="exact"/>
              <w:ind w:firstLine="402"/>
              <w:jc w:val="center"/>
              <w:rPr>
                <w:rFonts w:eastAsia="宋体" w:cs="Times New Roman"/>
                <w:b/>
                <w:bCs/>
                <w:color w:val="000000"/>
                <w:kern w:val="0"/>
                <w:sz w:val="20"/>
                <w:szCs w:val="20"/>
              </w:rPr>
            </w:pPr>
          </w:p>
        </w:tc>
        <w:tc>
          <w:tcPr>
            <w:tcW w:w="771" w:type="pct"/>
            <w:tcBorders>
              <w:bottom w:val="single" w:color="auto" w:sz="4" w:space="0"/>
            </w:tcBorders>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使用合规</w:t>
            </w:r>
          </w:p>
        </w:tc>
        <w:tc>
          <w:tcPr>
            <w:tcW w:w="145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资金使用合规性</w:t>
            </w:r>
          </w:p>
        </w:tc>
        <w:tc>
          <w:tcPr>
            <w:tcW w:w="600"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8.00</w:t>
            </w:r>
          </w:p>
        </w:tc>
        <w:tc>
          <w:tcPr>
            <w:tcW w:w="599"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8.00</w:t>
            </w:r>
          </w:p>
        </w:tc>
        <w:tc>
          <w:tcPr>
            <w:tcW w:w="727"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850" w:type="pct"/>
            <w:vMerge w:val="continue"/>
            <w:vAlign w:val="center"/>
          </w:tcPr>
          <w:p>
            <w:pPr>
              <w:spacing w:after="217" w:line="280" w:lineRule="exact"/>
              <w:ind w:firstLine="402"/>
              <w:jc w:val="center"/>
              <w:rPr>
                <w:rFonts w:eastAsia="宋体" w:cs="Times New Roman"/>
                <w:b/>
                <w:bCs/>
                <w:color w:val="000000"/>
                <w:kern w:val="0"/>
                <w:sz w:val="20"/>
                <w:szCs w:val="20"/>
              </w:rPr>
            </w:pPr>
          </w:p>
        </w:tc>
        <w:tc>
          <w:tcPr>
            <w:tcW w:w="771" w:type="pct"/>
            <w:vMerge w:val="restar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执行有效</w:t>
            </w:r>
          </w:p>
        </w:tc>
        <w:tc>
          <w:tcPr>
            <w:tcW w:w="145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管理制度健全性</w:t>
            </w:r>
          </w:p>
        </w:tc>
        <w:tc>
          <w:tcPr>
            <w:tcW w:w="600"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5.00</w:t>
            </w:r>
          </w:p>
        </w:tc>
        <w:tc>
          <w:tcPr>
            <w:tcW w:w="599"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5.00</w:t>
            </w:r>
          </w:p>
        </w:tc>
        <w:tc>
          <w:tcPr>
            <w:tcW w:w="727"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50" w:type="pct"/>
            <w:vMerge w:val="continue"/>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color w:val="000000"/>
                <w:kern w:val="0"/>
                <w:sz w:val="20"/>
                <w:szCs w:val="20"/>
              </w:rPr>
            </w:pPr>
          </w:p>
        </w:tc>
        <w:tc>
          <w:tcPr>
            <w:tcW w:w="145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制度执行有效性</w:t>
            </w:r>
          </w:p>
        </w:tc>
        <w:tc>
          <w:tcPr>
            <w:tcW w:w="600"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等线" w:cs="Times New Roman"/>
                <w:color w:val="000000"/>
                <w:sz w:val="20"/>
                <w:szCs w:val="20"/>
              </w:rPr>
              <w:t>6.00</w:t>
            </w:r>
          </w:p>
        </w:tc>
        <w:tc>
          <w:tcPr>
            <w:tcW w:w="599"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5.00</w:t>
            </w:r>
          </w:p>
        </w:tc>
        <w:tc>
          <w:tcPr>
            <w:tcW w:w="727"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50" w:type="pct"/>
            <w:vMerge w:val="continue"/>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color w:val="000000"/>
                <w:kern w:val="0"/>
                <w:sz w:val="20"/>
                <w:szCs w:val="20"/>
              </w:rPr>
            </w:pPr>
          </w:p>
        </w:tc>
        <w:tc>
          <w:tcPr>
            <w:tcW w:w="145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项目实施及时性</w:t>
            </w:r>
          </w:p>
        </w:tc>
        <w:tc>
          <w:tcPr>
            <w:tcW w:w="600"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5.00</w:t>
            </w:r>
          </w:p>
        </w:tc>
        <w:tc>
          <w:tcPr>
            <w:tcW w:w="599"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3.50</w:t>
            </w:r>
          </w:p>
        </w:tc>
        <w:tc>
          <w:tcPr>
            <w:tcW w:w="727"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50" w:type="pct"/>
            <w:vMerge w:val="continue"/>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771" w:type="pct"/>
            <w:vMerge w:val="continue"/>
            <w:tcBorders>
              <w:bottom w:val="single" w:color="auto" w:sz="4" w:space="0"/>
            </w:tcBorders>
            <w:vAlign w:val="center"/>
          </w:tcPr>
          <w:p>
            <w:pPr>
              <w:widowControl/>
              <w:spacing w:after="217" w:line="280" w:lineRule="exact"/>
              <w:ind w:firstLine="0" w:firstLineChars="0"/>
              <w:jc w:val="left"/>
              <w:rPr>
                <w:rFonts w:eastAsia="宋体" w:cs="Times New Roman"/>
                <w:color w:val="000000"/>
                <w:kern w:val="0"/>
                <w:sz w:val="20"/>
                <w:szCs w:val="20"/>
              </w:rPr>
            </w:pPr>
          </w:p>
        </w:tc>
        <w:tc>
          <w:tcPr>
            <w:tcW w:w="145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政府购买服务程序的规范性</w:t>
            </w:r>
          </w:p>
        </w:tc>
        <w:tc>
          <w:tcPr>
            <w:tcW w:w="600"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3.00</w:t>
            </w:r>
          </w:p>
        </w:tc>
        <w:tc>
          <w:tcPr>
            <w:tcW w:w="599"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2.00</w:t>
            </w:r>
          </w:p>
        </w:tc>
        <w:tc>
          <w:tcPr>
            <w:tcW w:w="727" w:type="pct"/>
            <w:shd w:val="clear" w:color="000000" w:fill="FFFFFF"/>
            <w:vAlign w:val="center"/>
          </w:tcPr>
          <w:p>
            <w:pPr>
              <w:widowControl/>
              <w:spacing w:after="217" w:line="280" w:lineRule="exact"/>
              <w:ind w:firstLine="0" w:firstLineChars="0"/>
              <w:jc w:val="center"/>
              <w:rPr>
                <w:rFonts w:eastAsia="微软雅黑" w:cs="Times New Roman"/>
                <w:color w:val="000000"/>
                <w:sz w:val="20"/>
                <w:szCs w:val="20"/>
              </w:rPr>
            </w:pPr>
            <w:r>
              <w:rPr>
                <w:rFonts w:eastAsia="等线" w:cs="Times New Roman"/>
                <w:color w:val="000000"/>
                <w:sz w:val="20"/>
                <w:szCs w:val="20"/>
              </w:rPr>
              <w:t>66.67%</w:t>
            </w:r>
          </w:p>
        </w:tc>
      </w:tr>
    </w:tbl>
    <w:p>
      <w:pPr>
        <w:spacing w:after="217"/>
        <w:ind w:firstLine="640"/>
        <w:rPr>
          <w:rFonts w:cs="Times New Roman"/>
          <w:kern w:val="0"/>
          <w:szCs w:val="24"/>
        </w:rPr>
      </w:pPr>
    </w:p>
    <w:p>
      <w:pPr>
        <w:spacing w:after="0" w:afterLines="0"/>
        <w:ind w:firstLine="640"/>
        <w:rPr>
          <w:rFonts w:cs="Times New Roman"/>
        </w:rPr>
      </w:pPr>
      <w:r>
        <w:rPr>
          <w:rFonts w:cs="Times New Roman"/>
          <w:kern w:val="0"/>
          <w:szCs w:val="24"/>
        </w:rPr>
        <w:t>（1）</w:t>
      </w:r>
      <w:r>
        <w:rPr>
          <w:rFonts w:cs="Times New Roman"/>
        </w:rPr>
        <w:t>分配及时性</w:t>
      </w:r>
    </w:p>
    <w:p>
      <w:pPr>
        <w:spacing w:after="0" w:afterLines="0"/>
        <w:ind w:firstLine="640"/>
      </w:pPr>
      <w:r>
        <w:t>分配及时性权重5.00分，实际得分5.00分，得分率100.00%。养老服务体系专项资金按规定及时分配专项预算资金，故未扣分。</w:t>
      </w:r>
    </w:p>
    <w:p>
      <w:pPr>
        <w:spacing w:after="0" w:afterLines="0"/>
        <w:ind w:firstLine="640"/>
        <w:rPr>
          <w:rFonts w:cs="Times New Roman"/>
          <w:kern w:val="0"/>
          <w:szCs w:val="24"/>
        </w:rPr>
      </w:pPr>
      <w:r>
        <w:rPr>
          <w:rFonts w:cs="Times New Roman"/>
          <w:kern w:val="0"/>
          <w:szCs w:val="24"/>
        </w:rPr>
        <w:t>（2）</w:t>
      </w:r>
      <w:r>
        <w:rPr>
          <w:rFonts w:cs="Times New Roman"/>
        </w:rPr>
        <w:t>分配结果与计划一致性</w:t>
      </w:r>
    </w:p>
    <w:p>
      <w:pPr>
        <w:spacing w:after="0" w:afterLines="0"/>
        <w:ind w:firstLine="640"/>
        <w:rPr>
          <w:rFonts w:cs="Times New Roman"/>
          <w:kern w:val="0"/>
          <w:szCs w:val="24"/>
        </w:rPr>
      </w:pPr>
      <w:r>
        <w:rPr>
          <w:rFonts w:cs="Times New Roman"/>
        </w:rPr>
        <w:t>分配结果与计划一致性</w:t>
      </w:r>
      <w:r>
        <w:rPr>
          <w:rFonts w:cs="Times New Roman"/>
          <w:kern w:val="0"/>
          <w:szCs w:val="24"/>
        </w:rPr>
        <w:t>权重6.00分，实际得分3.50分，得分率58.33%。2020年养老服务体系共有12个子项目，分配结果与计划规划不一致的项目有5个，具体如下：未开展项目2个，被暂停项目1个，实际分配资金不到计划资金50%的项目有2个：特困老人家庭适老化改造项目（2020年分配资金40</w:t>
      </w:r>
      <w:r>
        <w:rPr>
          <w:rFonts w:hint="eastAsia" w:cs="Times New Roman"/>
          <w:kern w:val="0"/>
          <w:szCs w:val="24"/>
        </w:rPr>
        <w:t>.00</w:t>
      </w:r>
      <w:r>
        <w:rPr>
          <w:rFonts w:cs="Times New Roman"/>
          <w:kern w:val="0"/>
          <w:szCs w:val="24"/>
        </w:rPr>
        <w:t>万，实际无支出）、社区养老服务设施建设运营补贴项目（省级资金使用小于预算的50</w:t>
      </w:r>
      <w:r>
        <w:rPr>
          <w:rFonts w:hint="eastAsia" w:cs="Times New Roman"/>
          <w:kern w:val="0"/>
          <w:szCs w:val="24"/>
        </w:rPr>
        <w:t>.00</w:t>
      </w:r>
      <w:r>
        <w:rPr>
          <w:rFonts w:cs="Times New Roman"/>
          <w:kern w:val="0"/>
          <w:szCs w:val="24"/>
        </w:rPr>
        <w:t>%），故扣2.50分。</w:t>
      </w:r>
    </w:p>
    <w:p>
      <w:pPr>
        <w:spacing w:after="0" w:afterLines="0"/>
        <w:ind w:firstLine="640"/>
        <w:rPr>
          <w:rFonts w:cs="Times New Roman"/>
          <w:kern w:val="0"/>
          <w:szCs w:val="24"/>
        </w:rPr>
      </w:pPr>
      <w:r>
        <w:rPr>
          <w:rFonts w:cs="Times New Roman"/>
          <w:kern w:val="0"/>
          <w:szCs w:val="24"/>
        </w:rPr>
        <w:t>（3）</w:t>
      </w:r>
      <w:r>
        <w:rPr>
          <w:rFonts w:cs="Times New Roman"/>
        </w:rPr>
        <w:t>资金使用合规性</w:t>
      </w:r>
    </w:p>
    <w:p>
      <w:pPr>
        <w:spacing w:after="0" w:afterLines="0"/>
        <w:ind w:firstLine="640"/>
        <w:rPr>
          <w:rFonts w:cs="Times New Roman"/>
          <w:kern w:val="0"/>
          <w:szCs w:val="24"/>
        </w:rPr>
      </w:pPr>
      <w:r>
        <w:rPr>
          <w:rFonts w:cs="Times New Roman"/>
        </w:rPr>
        <w:t>资金使用合规性</w:t>
      </w:r>
      <w:r>
        <w:rPr>
          <w:rFonts w:cs="Times New Roman"/>
          <w:kern w:val="0"/>
          <w:szCs w:val="24"/>
        </w:rPr>
        <w:t>权重8.00分，实际得分8.00分，得分率100.00%。调研中未发现资金使用不合规的情况，且能做到资金专款专用，故未扣分。</w:t>
      </w:r>
    </w:p>
    <w:p>
      <w:pPr>
        <w:spacing w:after="0" w:afterLines="0"/>
        <w:ind w:firstLine="640"/>
        <w:rPr>
          <w:rFonts w:cs="Times New Roman"/>
        </w:rPr>
      </w:pPr>
      <w:r>
        <w:rPr>
          <w:rFonts w:cs="Times New Roman"/>
        </w:rPr>
        <w:t>（4）管理制度健全性</w:t>
      </w:r>
    </w:p>
    <w:p>
      <w:pPr>
        <w:spacing w:after="0" w:afterLines="0"/>
        <w:ind w:firstLine="640"/>
        <w:rPr>
          <w:rFonts w:cs="Times New Roman"/>
          <w:kern w:val="0"/>
          <w:szCs w:val="24"/>
        </w:rPr>
      </w:pPr>
      <w:r>
        <w:rPr>
          <w:rFonts w:cs="Times New Roman"/>
        </w:rPr>
        <w:t>管理制度健全性</w:t>
      </w:r>
      <w:r>
        <w:rPr>
          <w:rFonts w:cs="Times New Roman"/>
          <w:kern w:val="0"/>
          <w:szCs w:val="24"/>
        </w:rPr>
        <w:t>权重5.00分，实际得分5.00分，得分率100.00%。调研发现，项目实施单位的业务管理制度基本健全，如集汉旺镇贤社区日照中心拥有：《健身室制度》、《室外活动室制度》、《老年人安全应急避险机制》等，故未扣分。</w:t>
      </w:r>
    </w:p>
    <w:p>
      <w:pPr>
        <w:spacing w:after="0" w:afterLines="0"/>
        <w:ind w:firstLine="640"/>
        <w:rPr>
          <w:rFonts w:cs="Times New Roman"/>
        </w:rPr>
      </w:pPr>
      <w:r>
        <w:rPr>
          <w:rFonts w:cs="Times New Roman"/>
        </w:rPr>
        <w:t>（5）制度执行有效性</w:t>
      </w:r>
    </w:p>
    <w:p>
      <w:pPr>
        <w:spacing w:after="0" w:afterLines="0"/>
        <w:ind w:firstLine="640"/>
        <w:rPr>
          <w:rFonts w:cs="Times New Roman"/>
        </w:rPr>
      </w:pPr>
      <w:r>
        <w:rPr>
          <w:rFonts w:cs="Times New Roman"/>
        </w:rPr>
        <w:t>制度执行有效性权重6.00分，实际得分5.00分，得分率83.33%。根据汉旺镇和富兴镇社区居家养老老人深度访谈发现，政府购买居家养老服务项目存在规定和执行不一致的情况。服务人员离服务对象相对较远，且自行排班和确定上门服务时间，未能及时和准确提供老人真正所需的服务，目前项目执行效果有待提升，故扣1.00分。</w:t>
      </w:r>
    </w:p>
    <w:p>
      <w:pPr>
        <w:pStyle w:val="4"/>
        <w:spacing w:after="0" w:afterLines="0"/>
        <w:ind w:firstLine="643"/>
        <w:rPr>
          <w:rFonts w:cs="Times New Roman"/>
        </w:rPr>
      </w:pPr>
      <w:bookmarkStart w:id="33" w:name="_Toc75524262"/>
      <w:bookmarkStart w:id="34" w:name="_Toc76931024"/>
      <w:r>
        <w:rPr>
          <w:rFonts w:cs="Times New Roman"/>
        </w:rPr>
        <w:t>3. 项目产出指标分析</w:t>
      </w:r>
      <w:bookmarkEnd w:id="33"/>
      <w:bookmarkEnd w:id="34"/>
    </w:p>
    <w:p>
      <w:pPr>
        <w:spacing w:after="0" w:afterLines="0"/>
        <w:ind w:firstLine="640"/>
      </w:pPr>
      <w:r>
        <w:t>在项目产出指标上，设置了资金执行率、新建和改造机构完成数量、养老机构运营补贴完成数量、养老服务培训完成数量、项目完工及时性、项目验收合格率、违纪记录7个三级指标。</w:t>
      </w:r>
    </w:p>
    <w:p>
      <w:pPr>
        <w:spacing w:after="0" w:afterLines="0"/>
        <w:ind w:firstLine="0" w:firstLineChars="0"/>
        <w:jc w:val="center"/>
      </w:pPr>
      <w:r>
        <w:rPr>
          <w:rFonts w:eastAsia="幼圆" w:cs="Times New Roman"/>
          <w:b/>
          <w:sz w:val="28"/>
          <w:szCs w:val="28"/>
        </w:rPr>
        <w:t>附表 项目产出指标得分情况</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9"/>
        <w:gridCol w:w="1314"/>
        <w:gridCol w:w="2765"/>
        <w:gridCol w:w="873"/>
        <w:gridCol w:w="881"/>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blHeader/>
          <w:jc w:val="center"/>
        </w:trPr>
        <w:tc>
          <w:tcPr>
            <w:tcW w:w="850"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771"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622"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512"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分值</w:t>
            </w:r>
          </w:p>
        </w:tc>
        <w:tc>
          <w:tcPr>
            <w:tcW w:w="517" w:type="pct"/>
            <w:shd w:val="clear" w:color="000000" w:fill="00516B"/>
            <w:vAlign w:val="center"/>
          </w:tcPr>
          <w:p>
            <w:pPr>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727" w:type="pct"/>
            <w:shd w:val="clear" w:color="000000" w:fill="00516B"/>
            <w:vAlign w:val="center"/>
          </w:tcPr>
          <w:p>
            <w:pPr>
              <w:spacing w:after="217" w:line="280" w:lineRule="exact"/>
              <w:ind w:firstLine="191" w:firstLineChars="95"/>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50" w:type="pct"/>
            <w:vMerge w:val="restart"/>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项目产出</w:t>
            </w:r>
          </w:p>
        </w:tc>
        <w:tc>
          <w:tcPr>
            <w:tcW w:w="771"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预算完成</w:t>
            </w:r>
          </w:p>
        </w:tc>
        <w:tc>
          <w:tcPr>
            <w:tcW w:w="162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资金执行率</w:t>
            </w:r>
          </w:p>
        </w:tc>
        <w:tc>
          <w:tcPr>
            <w:tcW w:w="51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6</w:t>
            </w:r>
            <w:r>
              <w:rPr>
                <w:rFonts w:eastAsia="宋体" w:cs="Times New Roman"/>
                <w:color w:val="000000"/>
                <w:kern w:val="0"/>
                <w:sz w:val="20"/>
                <w:szCs w:val="20"/>
              </w:rPr>
              <w:t>.00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4.05</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67.50%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50"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771" w:type="pct"/>
            <w:vMerge w:val="restar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结果符合</w:t>
            </w:r>
          </w:p>
        </w:tc>
        <w:tc>
          <w:tcPr>
            <w:tcW w:w="162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新建和改造机构完成数量</w:t>
            </w:r>
          </w:p>
        </w:tc>
        <w:tc>
          <w:tcPr>
            <w:tcW w:w="51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3</w:t>
            </w:r>
            <w:r>
              <w:rPr>
                <w:rFonts w:eastAsia="宋体" w:cs="Times New Roman"/>
                <w:color w:val="000000"/>
                <w:kern w:val="0"/>
                <w:sz w:val="20"/>
                <w:szCs w:val="20"/>
              </w:rPr>
              <w:t>.00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2.50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8" w:hRule="atLeast"/>
          <w:jc w:val="center"/>
        </w:trPr>
        <w:tc>
          <w:tcPr>
            <w:tcW w:w="850"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color w:val="000000"/>
                <w:kern w:val="0"/>
                <w:sz w:val="20"/>
                <w:szCs w:val="20"/>
              </w:rPr>
            </w:pPr>
          </w:p>
        </w:tc>
        <w:tc>
          <w:tcPr>
            <w:tcW w:w="162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养老机构运营补贴完成数量</w:t>
            </w:r>
          </w:p>
        </w:tc>
        <w:tc>
          <w:tcPr>
            <w:tcW w:w="51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3</w:t>
            </w:r>
            <w:r>
              <w:rPr>
                <w:rFonts w:eastAsia="宋体" w:cs="Times New Roman"/>
                <w:color w:val="000000"/>
                <w:kern w:val="0"/>
                <w:sz w:val="20"/>
                <w:szCs w:val="20"/>
              </w:rPr>
              <w:t>.00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1.33</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44.33%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850"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color w:val="000000"/>
                <w:kern w:val="0"/>
                <w:sz w:val="20"/>
                <w:szCs w:val="20"/>
              </w:rPr>
            </w:pPr>
          </w:p>
        </w:tc>
        <w:tc>
          <w:tcPr>
            <w:tcW w:w="162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养老服务培训完成数量</w:t>
            </w:r>
          </w:p>
        </w:tc>
        <w:tc>
          <w:tcPr>
            <w:tcW w:w="51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3</w:t>
            </w:r>
            <w:r>
              <w:rPr>
                <w:rFonts w:eastAsia="宋体" w:cs="Times New Roman"/>
                <w:color w:val="000000"/>
                <w:kern w:val="0"/>
                <w:sz w:val="20"/>
                <w:szCs w:val="20"/>
              </w:rPr>
              <w:t>.00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0</w:t>
            </w:r>
            <w:r>
              <w:rPr>
                <w:rFonts w:eastAsia="宋体" w:cs="Times New Roman"/>
                <w:color w:val="000000"/>
                <w:kern w:val="0"/>
                <w:sz w:val="20"/>
                <w:szCs w:val="20"/>
              </w:rPr>
              <w:t>.00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850"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color w:val="000000"/>
                <w:kern w:val="0"/>
                <w:sz w:val="20"/>
                <w:szCs w:val="20"/>
              </w:rPr>
            </w:pPr>
          </w:p>
        </w:tc>
        <w:tc>
          <w:tcPr>
            <w:tcW w:w="162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项目完工及时性</w:t>
            </w:r>
          </w:p>
        </w:tc>
        <w:tc>
          <w:tcPr>
            <w:tcW w:w="51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5</w:t>
            </w:r>
            <w:r>
              <w:rPr>
                <w:rFonts w:eastAsia="宋体" w:cs="Times New Roman"/>
                <w:color w:val="000000"/>
                <w:kern w:val="0"/>
                <w:sz w:val="20"/>
                <w:szCs w:val="20"/>
              </w:rPr>
              <w:t>.00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sz w:val="20"/>
                <w:szCs w:val="20"/>
              </w:rPr>
            </w:pPr>
            <w:r>
              <w:rPr>
                <w:rFonts w:eastAsia="宋体" w:cs="Times New Roman"/>
                <w:color w:val="000000"/>
                <w:sz w:val="20"/>
                <w:szCs w:val="20"/>
              </w:rPr>
              <w:t>3.50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sz w:val="20"/>
                <w:szCs w:val="20"/>
              </w:rPr>
            </w:pPr>
            <w:r>
              <w:rPr>
                <w:rFonts w:eastAsia="宋体" w:cs="Times New Roman"/>
                <w:color w:val="000000"/>
                <w:sz w:val="20"/>
                <w:szCs w:val="20"/>
              </w:rPr>
              <w:t>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850"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color w:val="000000"/>
                <w:kern w:val="0"/>
                <w:sz w:val="20"/>
                <w:szCs w:val="20"/>
              </w:rPr>
            </w:pPr>
          </w:p>
        </w:tc>
        <w:tc>
          <w:tcPr>
            <w:tcW w:w="162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项目验收合格率</w:t>
            </w:r>
          </w:p>
        </w:tc>
        <w:tc>
          <w:tcPr>
            <w:tcW w:w="51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5</w:t>
            </w:r>
            <w:r>
              <w:rPr>
                <w:rFonts w:eastAsia="宋体" w:cs="Times New Roman"/>
                <w:color w:val="000000"/>
                <w:kern w:val="0"/>
                <w:sz w:val="20"/>
                <w:szCs w:val="20"/>
              </w:rPr>
              <w:t>.00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sz w:val="20"/>
                <w:szCs w:val="20"/>
              </w:rPr>
            </w:pPr>
            <w:r>
              <w:rPr>
                <w:rFonts w:eastAsia="宋体" w:cs="Times New Roman"/>
                <w:color w:val="000000"/>
                <w:sz w:val="20"/>
                <w:szCs w:val="20"/>
              </w:rPr>
              <w:t>5</w:t>
            </w:r>
            <w:r>
              <w:rPr>
                <w:rFonts w:eastAsia="宋体" w:cs="Times New Roman"/>
                <w:color w:val="000000"/>
                <w:kern w:val="0"/>
                <w:sz w:val="20"/>
                <w:szCs w:val="20"/>
              </w:rPr>
              <w:t>.00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sz w:val="20"/>
                <w:szCs w:val="20"/>
              </w:rPr>
            </w:pPr>
            <w:r>
              <w:rPr>
                <w:rFonts w:eastAsia="宋体" w:cs="Times New Roman"/>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50"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771"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违规记录</w:t>
            </w:r>
          </w:p>
        </w:tc>
        <w:tc>
          <w:tcPr>
            <w:tcW w:w="162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违纪记录</w:t>
            </w:r>
          </w:p>
        </w:tc>
        <w:tc>
          <w:tcPr>
            <w:tcW w:w="51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5</w:t>
            </w:r>
            <w:r>
              <w:rPr>
                <w:rFonts w:eastAsia="宋体" w:cs="Times New Roman"/>
                <w:color w:val="000000"/>
                <w:kern w:val="0"/>
                <w:sz w:val="20"/>
                <w:szCs w:val="20"/>
              </w:rPr>
              <w:t>.00</w:t>
            </w:r>
          </w:p>
        </w:tc>
        <w:tc>
          <w:tcPr>
            <w:tcW w:w="51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5</w:t>
            </w:r>
            <w:r>
              <w:rPr>
                <w:rFonts w:eastAsia="宋体" w:cs="Times New Roman"/>
                <w:color w:val="000000"/>
                <w:kern w:val="0"/>
                <w:sz w:val="20"/>
                <w:szCs w:val="20"/>
              </w:rPr>
              <w:t>.00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100.00%</w:t>
            </w:r>
          </w:p>
        </w:tc>
      </w:tr>
    </w:tbl>
    <w:p>
      <w:pPr>
        <w:spacing w:after="217"/>
        <w:ind w:firstLine="640"/>
        <w:rPr>
          <w:rFonts w:cs="Times New Roman"/>
          <w:kern w:val="0"/>
          <w:szCs w:val="24"/>
        </w:rPr>
      </w:pPr>
      <w:bookmarkStart w:id="35" w:name="_Hlk74514600"/>
    </w:p>
    <w:p>
      <w:pPr>
        <w:spacing w:after="0" w:afterLines="0"/>
        <w:ind w:firstLine="640"/>
        <w:rPr>
          <w:rFonts w:cs="Times New Roman"/>
        </w:rPr>
      </w:pPr>
      <w:r>
        <w:rPr>
          <w:rFonts w:cs="Times New Roman"/>
          <w:kern w:val="0"/>
          <w:szCs w:val="24"/>
        </w:rPr>
        <w:t>（1）</w:t>
      </w:r>
      <w:r>
        <w:rPr>
          <w:rFonts w:cs="Times New Roman"/>
        </w:rPr>
        <w:t>资金执行率</w:t>
      </w:r>
    </w:p>
    <w:p>
      <w:pPr>
        <w:spacing w:after="0" w:afterLines="0"/>
        <w:ind w:firstLine="640"/>
        <w:rPr>
          <w:rFonts w:cs="Times New Roman"/>
          <w:kern w:val="0"/>
          <w:szCs w:val="24"/>
        </w:rPr>
      </w:pPr>
      <w:r>
        <w:rPr>
          <w:rFonts w:cs="Times New Roman"/>
          <w:kern w:val="0"/>
          <w:szCs w:val="24"/>
        </w:rPr>
        <w:t>资金执行率权重6.00分，实际得分4.05分，得分率67.50%。具体来看，2020年收入决算数为515.39万元，2020年实际支出数为347.51万元，资金执行率为67.43 %，根据指标分值，计算得4.05分，故扣1.95分。</w:t>
      </w:r>
    </w:p>
    <w:p>
      <w:pPr>
        <w:spacing w:after="0" w:afterLines="0"/>
        <w:ind w:firstLine="640"/>
        <w:rPr>
          <w:rFonts w:cs="Times New Roman"/>
          <w:kern w:val="0"/>
          <w:szCs w:val="24"/>
        </w:rPr>
      </w:pPr>
      <w:r>
        <w:rPr>
          <w:rFonts w:cs="Times New Roman"/>
          <w:kern w:val="0"/>
          <w:szCs w:val="24"/>
        </w:rPr>
        <w:t>（2）新建和改造机构完成数量</w:t>
      </w:r>
    </w:p>
    <w:p>
      <w:pPr>
        <w:spacing w:after="0" w:afterLines="0"/>
        <w:ind w:firstLine="640"/>
        <w:rPr>
          <w:rFonts w:cs="Times New Roman"/>
          <w:kern w:val="0"/>
          <w:szCs w:val="24"/>
        </w:rPr>
      </w:pPr>
      <w:r>
        <w:rPr>
          <w:rFonts w:cs="Times New Roman"/>
          <w:kern w:val="0"/>
          <w:szCs w:val="24"/>
        </w:rPr>
        <w:t>新建和改造机构完成数量权重3.00分，实际得分2.50分，得分率83.33%。调研发现，计划完成2间日照中心建设，1个养老服务综合体建设10个敬老院消防设施改造；实际完成2个日间照料中心建设，10个敬老院消防改造。养老服务综合体建设为未在2020年度完成，故扣0.50分。</w:t>
      </w:r>
    </w:p>
    <w:p>
      <w:pPr>
        <w:spacing w:after="0" w:afterLines="0"/>
        <w:ind w:firstLine="640"/>
        <w:rPr>
          <w:rFonts w:cs="Times New Roman"/>
        </w:rPr>
      </w:pPr>
      <w:r>
        <w:rPr>
          <w:rFonts w:cs="Times New Roman"/>
          <w:kern w:val="0"/>
          <w:szCs w:val="24"/>
        </w:rPr>
        <w:t>（3）</w:t>
      </w:r>
      <w:r>
        <w:rPr>
          <w:rFonts w:cs="Times New Roman"/>
        </w:rPr>
        <w:t>养老机构运营补贴完成数量</w:t>
      </w:r>
    </w:p>
    <w:p>
      <w:pPr>
        <w:spacing w:after="0" w:afterLines="0"/>
        <w:ind w:firstLine="640"/>
        <w:rPr>
          <w:rFonts w:cs="Times New Roman"/>
        </w:rPr>
      </w:pPr>
      <w:r>
        <w:rPr>
          <w:rFonts w:cs="Times New Roman"/>
        </w:rPr>
        <w:t>养老机构运营补贴完成数量</w:t>
      </w:r>
      <w:r>
        <w:rPr>
          <w:rFonts w:cs="Times New Roman"/>
          <w:kern w:val="0"/>
          <w:szCs w:val="24"/>
        </w:rPr>
        <w:t>权重3.00分，实际得分1.33分，得分率44.33%。2020年，60个养老机构中只有15个养老机构在运营。只针对在运营的单位进行补贴发放，计算得1.33分，故扣1.67分。</w:t>
      </w:r>
    </w:p>
    <w:p>
      <w:pPr>
        <w:spacing w:after="0" w:afterLines="0"/>
        <w:ind w:firstLine="640"/>
      </w:pPr>
      <w:r>
        <w:t>（4）养老服务培训完成数量</w:t>
      </w:r>
    </w:p>
    <w:p>
      <w:pPr>
        <w:spacing w:after="0" w:afterLines="0"/>
        <w:ind w:firstLine="640"/>
        <w:rPr>
          <w:kern w:val="0"/>
          <w:szCs w:val="24"/>
        </w:rPr>
      </w:pPr>
      <w:r>
        <w:t>养老服务培训完成数量</w:t>
      </w:r>
      <w:r>
        <w:rPr>
          <w:kern w:val="0"/>
          <w:szCs w:val="24"/>
        </w:rPr>
        <w:t>权重3.00分，实际得分0.00分，得分率0.00%。截止2020年12月底，养老服务培训由市人社局开展，市民政局未实施该项目，故扣3.00分。</w:t>
      </w:r>
    </w:p>
    <w:p>
      <w:pPr>
        <w:spacing w:after="0" w:afterLines="0"/>
        <w:ind w:firstLine="640"/>
      </w:pPr>
      <w:r>
        <w:t>（5）项目完工及时性</w:t>
      </w:r>
    </w:p>
    <w:p>
      <w:pPr>
        <w:spacing w:after="0" w:afterLines="0"/>
        <w:ind w:firstLine="640"/>
      </w:pPr>
      <w:r>
        <w:t>项目验收合格率权重5.00分，实际得分3.50分，得分率70.00%。一是政府购买居家养老服务在乡镇一级，项目实施进度缓慢，受疫情影响，2020年度未完成。居家养老服务延至2021年开展。二是特殊困难老年人家庭适老化改造项目。2020年未开展，未完成。2021年才完成前期的需求排摸任务进度缓慢。三是紫岩街道茂泉社区养老服务综合体项目。2020年未完成。2020年11月才成功立项，计划于2021年7月完工。以上3个项目未及时完工，故扣1.50分。</w:t>
      </w:r>
    </w:p>
    <w:p>
      <w:pPr>
        <w:spacing w:after="0" w:afterLines="0"/>
        <w:ind w:firstLine="640"/>
        <w:rPr>
          <w:rFonts w:cs="Times New Roman"/>
        </w:rPr>
      </w:pPr>
      <w:r>
        <w:rPr>
          <w:rFonts w:cs="Times New Roman"/>
        </w:rPr>
        <w:t>（6）项目验收合格率</w:t>
      </w:r>
    </w:p>
    <w:p>
      <w:pPr>
        <w:spacing w:after="0" w:afterLines="0"/>
        <w:ind w:firstLine="640"/>
        <w:rPr>
          <w:rFonts w:cs="Times New Roman"/>
        </w:rPr>
      </w:pPr>
      <w:r>
        <w:rPr>
          <w:rFonts w:cs="Times New Roman"/>
        </w:rPr>
        <w:t>项目验收合格率权重5.00分，实际得分5.00分，得分率100.00%。实地勘察发现，完工项目均通过验收，故未扣分。</w:t>
      </w:r>
    </w:p>
    <w:p>
      <w:pPr>
        <w:spacing w:after="0" w:afterLines="0"/>
        <w:ind w:firstLine="640"/>
        <w:rPr>
          <w:rFonts w:cs="Times New Roman"/>
        </w:rPr>
      </w:pPr>
      <w:r>
        <w:rPr>
          <w:rFonts w:cs="Times New Roman"/>
        </w:rPr>
        <w:t>（7）违纪记录</w:t>
      </w:r>
    </w:p>
    <w:p>
      <w:pPr>
        <w:spacing w:after="0" w:afterLines="0"/>
        <w:ind w:firstLine="640"/>
        <w:rPr>
          <w:rFonts w:cs="Times New Roman"/>
        </w:rPr>
      </w:pPr>
      <w:r>
        <w:rPr>
          <w:rFonts w:cs="Times New Roman"/>
        </w:rPr>
        <w:t>违纪记录权重5.00分，实际得分5.00分，得分率100.00%</w:t>
      </w:r>
      <w:bookmarkEnd w:id="35"/>
      <w:r>
        <w:rPr>
          <w:rFonts w:cs="Times New Roman"/>
        </w:rPr>
        <w:t>。调研中未发现有违规记录情况，故未扣分。</w:t>
      </w:r>
    </w:p>
    <w:p>
      <w:pPr>
        <w:pStyle w:val="4"/>
        <w:spacing w:after="0" w:afterLines="0"/>
        <w:ind w:firstLine="643"/>
      </w:pPr>
      <w:bookmarkStart w:id="36" w:name="_Toc75524263"/>
      <w:bookmarkStart w:id="37" w:name="_Toc76931025"/>
      <w:r>
        <w:t>4. 项目效果指标分析</w:t>
      </w:r>
      <w:bookmarkEnd w:id="36"/>
      <w:bookmarkEnd w:id="37"/>
    </w:p>
    <w:p>
      <w:pPr>
        <w:spacing w:after="0" w:afterLines="0"/>
        <w:ind w:firstLine="640"/>
      </w:pPr>
      <w:r>
        <w:t>在项目效果指标上，设置了老年人生活便利度和设施使用率2个三级指标。</w:t>
      </w:r>
    </w:p>
    <w:p>
      <w:pPr>
        <w:spacing w:after="0" w:afterLines="0"/>
        <w:ind w:firstLine="0" w:firstLineChars="0"/>
        <w:jc w:val="center"/>
        <w:rPr>
          <w:sz w:val="28"/>
          <w:szCs w:val="21"/>
        </w:rPr>
      </w:pPr>
      <w:r>
        <w:rPr>
          <w:rFonts w:eastAsia="幼圆" w:cs="Times New Roman"/>
          <w:b/>
          <w:sz w:val="28"/>
          <w:szCs w:val="28"/>
        </w:rPr>
        <w:t>附表 项目效果指标得分情况</w:t>
      </w:r>
    </w:p>
    <w:tbl>
      <w:tblPr>
        <w:tblStyle w:val="21"/>
        <w:tblW w:w="518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0"/>
        <w:gridCol w:w="1362"/>
        <w:gridCol w:w="2566"/>
        <w:gridCol w:w="1060"/>
        <w:gridCol w:w="1058"/>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tblHeader/>
          <w:jc w:val="center"/>
        </w:trPr>
        <w:tc>
          <w:tcPr>
            <w:tcW w:w="850"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771"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453"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600"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分值</w:t>
            </w:r>
          </w:p>
        </w:tc>
        <w:tc>
          <w:tcPr>
            <w:tcW w:w="599" w:type="pct"/>
            <w:shd w:val="clear" w:color="000000" w:fill="00516B"/>
            <w:vAlign w:val="center"/>
          </w:tcPr>
          <w:p>
            <w:pPr>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727" w:type="pct"/>
            <w:shd w:val="clear" w:color="000000" w:fill="00516B"/>
            <w:vAlign w:val="center"/>
          </w:tcPr>
          <w:p>
            <w:pPr>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850" w:type="pct"/>
            <w:vMerge w:val="restart"/>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项目效果</w:t>
            </w:r>
          </w:p>
        </w:tc>
        <w:tc>
          <w:tcPr>
            <w:tcW w:w="771" w:type="pct"/>
            <w:vMerge w:val="restart"/>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社会效益</w:t>
            </w:r>
          </w:p>
        </w:tc>
        <w:tc>
          <w:tcPr>
            <w:tcW w:w="145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老年人生活便利度</w:t>
            </w:r>
          </w:p>
        </w:tc>
        <w:tc>
          <w:tcPr>
            <w:tcW w:w="600"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7.00</w:t>
            </w:r>
          </w:p>
        </w:tc>
        <w:tc>
          <w:tcPr>
            <w:tcW w:w="5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7.00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850" w:type="pct"/>
            <w:vMerge w:val="continue"/>
            <w:vAlign w:val="center"/>
          </w:tcPr>
          <w:p>
            <w:pPr>
              <w:spacing w:after="217" w:line="280" w:lineRule="exact"/>
              <w:ind w:firstLine="402"/>
              <w:jc w:val="center"/>
              <w:rPr>
                <w:rFonts w:eastAsia="宋体" w:cs="Times New Roman"/>
                <w:b/>
                <w:bCs/>
                <w:color w:val="000000"/>
                <w:kern w:val="0"/>
                <w:sz w:val="20"/>
                <w:szCs w:val="20"/>
              </w:rPr>
            </w:pPr>
          </w:p>
        </w:tc>
        <w:tc>
          <w:tcPr>
            <w:tcW w:w="771" w:type="pct"/>
            <w:vMerge w:val="continue"/>
            <w:vAlign w:val="center"/>
          </w:tcPr>
          <w:p>
            <w:pPr>
              <w:widowControl/>
              <w:spacing w:after="217" w:line="280" w:lineRule="exact"/>
              <w:ind w:firstLine="0" w:firstLineChars="0"/>
              <w:jc w:val="left"/>
              <w:rPr>
                <w:rFonts w:eastAsia="宋体" w:cs="Times New Roman"/>
                <w:b/>
                <w:bCs/>
                <w:color w:val="000000"/>
                <w:kern w:val="0"/>
                <w:sz w:val="20"/>
                <w:szCs w:val="20"/>
              </w:rPr>
            </w:pPr>
          </w:p>
        </w:tc>
        <w:tc>
          <w:tcPr>
            <w:tcW w:w="1453" w:type="pct"/>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设施使用率</w:t>
            </w:r>
          </w:p>
        </w:tc>
        <w:tc>
          <w:tcPr>
            <w:tcW w:w="600"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7.00</w:t>
            </w:r>
          </w:p>
        </w:tc>
        <w:tc>
          <w:tcPr>
            <w:tcW w:w="5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6.00</w:t>
            </w:r>
          </w:p>
        </w:tc>
        <w:tc>
          <w:tcPr>
            <w:tcW w:w="7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sz w:val="20"/>
                <w:szCs w:val="20"/>
              </w:rPr>
              <w:t>85.71%</w:t>
            </w:r>
          </w:p>
        </w:tc>
      </w:tr>
    </w:tbl>
    <w:p>
      <w:pPr>
        <w:spacing w:after="0" w:afterLines="0"/>
        <w:ind w:firstLine="640"/>
        <w:rPr>
          <w:rFonts w:cs="Times New Roman"/>
        </w:rPr>
      </w:pPr>
      <w:r>
        <w:rPr>
          <w:rFonts w:cs="Times New Roman"/>
          <w:kern w:val="0"/>
          <w:szCs w:val="24"/>
        </w:rPr>
        <w:t>（1）</w:t>
      </w:r>
      <w:r>
        <w:rPr>
          <w:rFonts w:cs="Times New Roman"/>
        </w:rPr>
        <w:t>老年人生活便利度</w:t>
      </w:r>
    </w:p>
    <w:p>
      <w:pPr>
        <w:spacing w:after="0" w:afterLines="0"/>
        <w:ind w:firstLine="640"/>
        <w:rPr>
          <w:rFonts w:cs="Times New Roman"/>
        </w:rPr>
      </w:pPr>
      <w:r>
        <w:rPr>
          <w:rFonts w:cs="Times New Roman"/>
        </w:rPr>
        <w:t>老年人生活便利度</w:t>
      </w:r>
      <w:r>
        <w:rPr>
          <w:rFonts w:cs="Times New Roman"/>
          <w:kern w:val="0"/>
          <w:szCs w:val="24"/>
        </w:rPr>
        <w:t>权重7.00分，实际得分7.00分，得分率100.00%。根据项目点走访发现，适老化改造方便了特殊困难老人的日常生活。比如为如厕不便的老人修建清洁厕所等改善了生活环境，故未扣分。</w:t>
      </w:r>
    </w:p>
    <w:p>
      <w:pPr>
        <w:spacing w:after="0" w:afterLines="0"/>
        <w:ind w:firstLine="640"/>
        <w:rPr>
          <w:rFonts w:cs="Times New Roman"/>
        </w:rPr>
      </w:pPr>
      <w:r>
        <w:rPr>
          <w:rFonts w:cs="Times New Roman"/>
          <w:kern w:val="0"/>
          <w:szCs w:val="24"/>
        </w:rPr>
        <w:t>（2）</w:t>
      </w:r>
      <w:r>
        <w:rPr>
          <w:rFonts w:cs="Times New Roman"/>
        </w:rPr>
        <w:t>设施使用率</w:t>
      </w:r>
    </w:p>
    <w:p>
      <w:pPr>
        <w:spacing w:after="0" w:afterLines="0"/>
        <w:ind w:firstLine="640"/>
        <w:rPr>
          <w:rFonts w:cs="Times New Roman"/>
        </w:rPr>
      </w:pPr>
      <w:r>
        <w:rPr>
          <w:rFonts w:cs="Times New Roman"/>
        </w:rPr>
        <w:t>设施使用率</w:t>
      </w:r>
      <w:r>
        <w:rPr>
          <w:rFonts w:cs="Times New Roman"/>
          <w:kern w:val="0"/>
          <w:szCs w:val="24"/>
        </w:rPr>
        <w:t>权重7.00分，实际得分6.00分，得分率85.71%。调研发现，汉旺镇集贤社区日照中心，项目点棋牌室和舞蹈室并未有老年人使用，老年人集中在楼上的其他活动室，据反映一般没有人使用，使用率小于60</w:t>
      </w:r>
      <w:r>
        <w:rPr>
          <w:rFonts w:hint="eastAsia" w:cs="Times New Roman"/>
          <w:kern w:val="0"/>
          <w:szCs w:val="24"/>
        </w:rPr>
        <w:t>.00</w:t>
      </w:r>
      <w:r>
        <w:rPr>
          <w:rFonts w:cs="Times New Roman"/>
          <w:kern w:val="0"/>
          <w:szCs w:val="24"/>
        </w:rPr>
        <w:t>%，故扣1.00分。</w:t>
      </w:r>
    </w:p>
    <w:p>
      <w:pPr>
        <w:pStyle w:val="2"/>
        <w:spacing w:after="0" w:afterLines="0"/>
        <w:ind w:firstLine="723"/>
        <w:rPr>
          <w:rFonts w:cs="Times New Roman"/>
        </w:rPr>
      </w:pPr>
      <w:bookmarkStart w:id="38" w:name="_Toc75524264"/>
      <w:bookmarkStart w:id="39" w:name="_Toc76931026"/>
      <w:r>
        <w:rPr>
          <w:rFonts w:cs="Times New Roman"/>
        </w:rPr>
        <w:t>四、存在主要问题</w:t>
      </w:r>
      <w:bookmarkEnd w:id="38"/>
      <w:bookmarkEnd w:id="39"/>
    </w:p>
    <w:p>
      <w:pPr>
        <w:pStyle w:val="3"/>
        <w:spacing w:after="0" w:afterLines="0"/>
        <w:ind w:firstLine="643"/>
      </w:pPr>
      <w:bookmarkStart w:id="40" w:name="_Toc75524265"/>
      <w:bookmarkStart w:id="41" w:name="_Toc76931027"/>
      <w:r>
        <w:t>（一）</w:t>
      </w:r>
      <w:bookmarkEnd w:id="40"/>
      <w:r>
        <w:t>前期调研</w:t>
      </w:r>
      <w:r>
        <w:rPr>
          <w:rFonts w:hint="eastAsia"/>
        </w:rPr>
        <w:t>效率较低</w:t>
      </w:r>
      <w:r>
        <w:t>，项目</w:t>
      </w:r>
      <w:r>
        <w:rPr>
          <w:rFonts w:hint="eastAsia"/>
        </w:rPr>
        <w:t>进度较滞缓</w:t>
      </w:r>
      <w:bookmarkEnd w:id="41"/>
    </w:p>
    <w:p>
      <w:pPr>
        <w:spacing w:after="0" w:afterLines="0"/>
        <w:ind w:firstLine="640"/>
      </w:pPr>
      <w:bookmarkStart w:id="42" w:name="_Toc75524266"/>
      <w:r>
        <w:t>部分新任务新试点项目前期</w:t>
      </w:r>
      <w:r>
        <w:rPr>
          <w:rFonts w:hint="eastAsia"/>
        </w:rPr>
        <w:t>推进效率较低</w:t>
      </w:r>
      <w:r>
        <w:t>，出现项目实施进度较为缓慢的情况。例如，一是特殊困难老年人家庭适老化改造项目以前由市残联负责，2020年由市民政局负责实施，从“特殊困难老人家庭无障碍改造”到“特殊困难老年人家庭适老化改造”，该项目涉及前期的家庭调查和后期工程实施两部分。目前仅完成需求排摸，</w:t>
      </w:r>
      <w:r>
        <w:rPr>
          <w:rFonts w:hint="eastAsia"/>
        </w:rPr>
        <w:t>刚进入</w:t>
      </w:r>
      <w:r>
        <w:t>实施阶段。二是紫岩街道茂泉社区养老服务综合体项目为省级试点工作，设计方案耗时长，由于缺少原有建筑的设计资料且涉及到新增消防设施建设，综合体建设方案经过多轮更改后于2020年11月才成功立项，目前正处于实施阶段，项目未按原计划如期开展</w:t>
      </w:r>
      <w:r>
        <w:rPr>
          <w:rFonts w:hint="eastAsia"/>
          <w:szCs w:val="32"/>
        </w:rPr>
        <w:t>。</w:t>
      </w:r>
    </w:p>
    <w:p>
      <w:pPr>
        <w:pStyle w:val="3"/>
        <w:spacing w:after="0" w:afterLines="0"/>
        <w:ind w:firstLine="643"/>
      </w:pPr>
      <w:bookmarkStart w:id="43" w:name="_Toc76931028"/>
      <w:r>
        <w:t>（二）</w:t>
      </w:r>
      <w:bookmarkEnd w:id="42"/>
      <w:r>
        <w:t>受疫情影响较明显，子项目资金使用率有待提高</w:t>
      </w:r>
      <w:bookmarkEnd w:id="43"/>
    </w:p>
    <w:p>
      <w:pPr>
        <w:spacing w:after="0" w:afterLines="0"/>
        <w:ind w:firstLine="640"/>
      </w:pPr>
      <w:r>
        <w:rPr>
          <w:szCs w:val="32"/>
        </w:rPr>
        <w:t>项目年初预算数为515.39万元，预算支出数为347.51万元，资金执行率仅67.43%，主要表现：</w:t>
      </w:r>
      <w:r>
        <w:t>一是受疫情影响居家养老服务未能开展。2020年政府购买居家养老服务项目资金是由市民政局于2020年12月一次性下达到各乡镇（街道），由12个乡镇（街道）组织自行组织招标，选择合适的供应商为老人提供上门服务，再按项目进度及质量验收情况进行支付。二是部分养老机构处于半营运半关闭状态。社区养老服务设施建设运营补贴项目只针对在运营的单位进行补贴发放，因疫情影响，60家日间照料中心仅有15家在正常运营，所以运营补贴未能按计划全部拨付。</w:t>
      </w:r>
    </w:p>
    <w:p>
      <w:pPr>
        <w:pStyle w:val="3"/>
        <w:spacing w:after="0" w:afterLines="0"/>
        <w:ind w:firstLine="643"/>
      </w:pPr>
      <w:bookmarkStart w:id="44" w:name="_Toc76931029"/>
      <w:r>
        <w:t>（三）政府购买服务</w:t>
      </w:r>
      <w:r>
        <w:rPr>
          <w:rFonts w:hint="eastAsia"/>
        </w:rPr>
        <w:t>绩效管理欠缺</w:t>
      </w:r>
      <w:r>
        <w:t>，项目</w:t>
      </w:r>
      <w:r>
        <w:rPr>
          <w:rFonts w:hint="eastAsia"/>
        </w:rPr>
        <w:t>实施效果欠佳</w:t>
      </w:r>
      <w:bookmarkEnd w:id="44"/>
    </w:p>
    <w:p>
      <w:pPr>
        <w:spacing w:after="0" w:afterLines="0"/>
        <w:ind w:firstLine="640"/>
      </w:pPr>
      <w:r>
        <w:t>政府购买服务项目中，存在购买程序规范性不足，</w:t>
      </w:r>
      <w:r>
        <w:rPr>
          <w:rFonts w:hint="eastAsia"/>
        </w:rPr>
        <w:t>承接机构</w:t>
      </w:r>
      <w:r>
        <w:t>项目效果欠佳的情况。一是部分乡镇（街道）采购程序有待进一步规范。一方面，消防池改造项目中与服务公司签订的合同中均缺少签订时间；另一方面，部分中标的高资质供应商采取层层分包的方式，将项目转包给当地小资质服务公司，导致外包服务质量参差不齐。二是</w:t>
      </w:r>
      <w:r>
        <w:rPr>
          <w:rFonts w:hint="eastAsia"/>
        </w:rPr>
        <w:t>对</w:t>
      </w:r>
      <w:r>
        <w:t>购买服务约束性不强，项目效果有待提升。</w:t>
      </w:r>
      <w:r>
        <w:rPr>
          <w:rFonts w:hint="eastAsia"/>
        </w:rPr>
        <w:t>调研发现，</w:t>
      </w:r>
      <w:r>
        <w:t>外包服务工作人员自行安排上门时间，</w:t>
      </w:r>
      <w:r>
        <w:rPr>
          <w:rFonts w:hint="eastAsia"/>
        </w:rPr>
        <w:t>集中一个镇村提供服务，可能出现老人真正需要服务时未享受相应服务的情况，其次，调研发现外包服务人员一般指定服务项，比如扫地、洗衣服等供未老人选择，</w:t>
      </w:r>
      <w:r>
        <w:t>可能出现提供的部分上门服务与老人真正需求有差异。</w:t>
      </w:r>
    </w:p>
    <w:p>
      <w:pPr>
        <w:pStyle w:val="2"/>
        <w:spacing w:after="0" w:afterLines="0"/>
        <w:ind w:firstLine="723"/>
        <w:rPr>
          <w:rFonts w:cs="Times New Roman"/>
        </w:rPr>
      </w:pPr>
      <w:bookmarkStart w:id="45" w:name="_Toc75524268"/>
      <w:bookmarkStart w:id="46" w:name="_Toc76931030"/>
      <w:r>
        <w:rPr>
          <w:rFonts w:cs="Times New Roman"/>
        </w:rPr>
        <w:t>五、相关措施建议</w:t>
      </w:r>
      <w:bookmarkEnd w:id="45"/>
      <w:bookmarkEnd w:id="46"/>
    </w:p>
    <w:p>
      <w:pPr>
        <w:pStyle w:val="3"/>
        <w:spacing w:after="0" w:afterLines="0"/>
        <w:ind w:firstLine="643"/>
        <w:rPr>
          <w:rFonts w:cs="Times New Roman"/>
        </w:rPr>
      </w:pPr>
      <w:bookmarkStart w:id="47" w:name="_Toc75524269"/>
      <w:bookmarkStart w:id="48" w:name="_Toc76931031"/>
      <w:r>
        <w:rPr>
          <w:rFonts w:cs="Times New Roman"/>
        </w:rPr>
        <w:t>（一）</w:t>
      </w:r>
      <w:bookmarkEnd w:id="47"/>
      <w:r>
        <w:rPr>
          <w:rFonts w:cs="Times New Roman"/>
        </w:rPr>
        <w:t>加强项目管理，合理规划建设进度</w:t>
      </w:r>
      <w:bookmarkEnd w:id="48"/>
    </w:p>
    <w:p>
      <w:pPr>
        <w:spacing w:after="0" w:afterLines="0"/>
        <w:ind w:firstLine="640"/>
        <w:rPr>
          <w:rFonts w:cs="Times New Roman"/>
        </w:rPr>
      </w:pPr>
      <w:r>
        <w:rPr>
          <w:rFonts w:cs="Times New Roman"/>
        </w:rPr>
        <w:t>项目管理着力抓管理人员业务能力提升，左立抓关键节点督导，竭力加快项目进度。一是建议相关股室研究制定科学合理进度目标。健全相关股室联系重点项目和部门并联集中会商审批项目制度，加快项目审批，统筹安排项目建设条件；二是建议每月定期统计子项目进度，详细准确地掌握每个项目的进展情况及存在的困难和问题，积极督促指导各项目责任单位制定具体实施方案。对未开工的项目，注重抓好前期工作，明确各个重要节点工作完成时限，落实具体协调单位，强化责任落实，努力达到国家规定的项目前期工作要求，尽快开工建设。</w:t>
      </w:r>
    </w:p>
    <w:p>
      <w:pPr>
        <w:pStyle w:val="3"/>
        <w:spacing w:after="0" w:afterLines="0"/>
        <w:ind w:firstLine="643"/>
        <w:rPr>
          <w:rFonts w:cs="Times New Roman"/>
        </w:rPr>
      </w:pPr>
      <w:bookmarkStart w:id="49" w:name="_Toc76931032"/>
      <w:r>
        <w:rPr>
          <w:rFonts w:cs="Times New Roman"/>
        </w:rPr>
        <w:t>（二）积极开展工作，发挥监管与支持助力作用</w:t>
      </w:r>
      <w:bookmarkEnd w:id="49"/>
    </w:p>
    <w:p>
      <w:pPr>
        <w:spacing w:after="0" w:afterLines="0"/>
        <w:ind w:firstLine="640"/>
        <w:rPr>
          <w:rFonts w:cs="Times New Roman"/>
        </w:rPr>
      </w:pPr>
      <w:bookmarkStart w:id="50" w:name="_Toc75524271"/>
      <w:r>
        <w:rPr>
          <w:rFonts w:cs="Times New Roman"/>
        </w:rPr>
        <w:t>紧密结合当前形势，聚焦于更充分发挥就地就近财政监管本职作用。一方面，重点推动疫情防控财政政策执行与资金拨付情况监控以及财政贴息资金使用绩效监控。加强与属地有关单位的沟通协调，密切关注财政支持疫情防控政策在大连的执行情况，另一方面，深入挖掘总结，主动开展相关调研与情况反映。要求有关处室及时调研了解疫情对经济、财政、金融、民生、就业等各方面的影响，疫情防治中突出问题、风险、群众期盼等，汇总分析，提出建议，形成信息上报。</w:t>
      </w:r>
    </w:p>
    <w:p>
      <w:pPr>
        <w:pStyle w:val="3"/>
        <w:spacing w:after="0" w:afterLines="0"/>
        <w:ind w:firstLine="643"/>
        <w:rPr>
          <w:rFonts w:cs="Times New Roman"/>
        </w:rPr>
      </w:pPr>
      <w:bookmarkStart w:id="51" w:name="_Toc76931033"/>
      <w:r>
        <w:rPr>
          <w:rFonts w:cs="Times New Roman"/>
        </w:rPr>
        <w:t>（三）</w:t>
      </w:r>
      <w:bookmarkEnd w:id="50"/>
      <w:bookmarkStart w:id="52" w:name="_Toc75524272"/>
      <w:r>
        <w:rPr>
          <w:rFonts w:cs="Times New Roman"/>
        </w:rPr>
        <w:t>依照相关规定进行政府采购，加强绩效管理监控</w:t>
      </w:r>
      <w:bookmarkEnd w:id="51"/>
    </w:p>
    <w:p>
      <w:pPr>
        <w:spacing w:after="0" w:afterLines="0"/>
        <w:ind w:firstLine="640"/>
        <w:rPr>
          <w:rFonts w:cs="Times New Roman"/>
        </w:rPr>
        <w:sectPr>
          <w:footerReference r:id="rId12" w:type="default"/>
          <w:pgSz w:w="11906" w:h="16838"/>
          <w:pgMar w:top="1440" w:right="1800" w:bottom="1440" w:left="1800" w:header="851" w:footer="992" w:gutter="0"/>
          <w:cols w:space="425" w:num="1"/>
          <w:docGrid w:type="lines" w:linePitch="435" w:charSpace="0"/>
        </w:sectPr>
      </w:pPr>
      <w:r>
        <w:rPr>
          <w:rFonts w:cs="Times New Roman"/>
        </w:rPr>
        <w:t>一是建议相关股室依照《中华人民共和国政府采购法》通过多种方式，如公开招标、竞争性磋商、比价询价等进行政府采购。二是建议加强资金拨付监控，确保疫情防控资金及时到位、政策不折不扣落实，并按财政</w:t>
      </w:r>
      <w:r>
        <w:rPr>
          <w:rFonts w:hint="eastAsia" w:cs="Times New Roman"/>
        </w:rPr>
        <w:t>局</w:t>
      </w:r>
      <w:r>
        <w:rPr>
          <w:rFonts w:cs="Times New Roman"/>
        </w:rPr>
        <w:t>统一部署，做好相关绩效评价工作。</w:t>
      </w:r>
    </w:p>
    <w:p>
      <w:pPr>
        <w:pStyle w:val="2"/>
        <w:spacing w:before="217" w:after="217"/>
        <w:ind w:firstLine="723"/>
        <w:rPr>
          <w:rFonts w:cs="Times New Roman"/>
        </w:rPr>
      </w:pPr>
      <w:bookmarkStart w:id="53" w:name="_Toc76931034"/>
      <w:r>
        <w:rPr>
          <w:rFonts w:cs="Times New Roman"/>
        </w:rPr>
        <w:t xml:space="preserve">附件 </w:t>
      </w:r>
      <w:r>
        <w:rPr>
          <w:rFonts w:hint="eastAsia" w:cs="Times New Roman"/>
        </w:rPr>
        <w:t>绵竹市2</w:t>
      </w:r>
      <w:r>
        <w:rPr>
          <w:rFonts w:cs="Times New Roman"/>
        </w:rPr>
        <w:t>020</w:t>
      </w:r>
      <w:r>
        <w:rPr>
          <w:rFonts w:hint="eastAsia" w:cs="Times New Roman"/>
        </w:rPr>
        <w:t>年</w:t>
      </w:r>
      <w:r>
        <w:rPr>
          <w:rFonts w:cs="Times New Roman"/>
        </w:rPr>
        <w:t>养老服务体系项目支出绩效评价</w:t>
      </w:r>
      <w:bookmarkEnd w:id="52"/>
      <w:r>
        <w:rPr>
          <w:rFonts w:cs="Times New Roman"/>
        </w:rPr>
        <w:t>得分表</w:t>
      </w:r>
      <w:bookmarkEnd w:id="53"/>
    </w:p>
    <w:tbl>
      <w:tblPr>
        <w:tblStyle w:val="21"/>
        <w:tblW w:w="502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9"/>
        <w:gridCol w:w="433"/>
        <w:gridCol w:w="718"/>
        <w:gridCol w:w="869"/>
        <w:gridCol w:w="433"/>
        <w:gridCol w:w="433"/>
        <w:gridCol w:w="576"/>
        <w:gridCol w:w="576"/>
        <w:gridCol w:w="576"/>
        <w:gridCol w:w="433"/>
        <w:gridCol w:w="1151"/>
        <w:gridCol w:w="1442"/>
        <w:gridCol w:w="718"/>
        <w:gridCol w:w="722"/>
        <w:gridCol w:w="1006"/>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blHeader/>
        </w:trPr>
        <w:tc>
          <w:tcPr>
            <w:tcW w:w="909" w:type="pct"/>
            <w:gridSpan w:val="4"/>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分层指标</w:t>
            </w:r>
          </w:p>
        </w:tc>
        <w:tc>
          <w:tcPr>
            <w:tcW w:w="1062" w:type="pct"/>
            <w:gridSpan w:val="6"/>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评分方法</w:t>
            </w:r>
          </w:p>
        </w:tc>
        <w:tc>
          <w:tcPr>
            <w:tcW w:w="404" w:type="pct"/>
            <w:vMerge w:val="restart"/>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评价要点及说明</w:t>
            </w:r>
          </w:p>
        </w:tc>
        <w:tc>
          <w:tcPr>
            <w:tcW w:w="506" w:type="pct"/>
            <w:vMerge w:val="restart"/>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数据来源及数据获取方式</w:t>
            </w:r>
          </w:p>
        </w:tc>
        <w:tc>
          <w:tcPr>
            <w:tcW w:w="252" w:type="pct"/>
            <w:vMerge w:val="restart"/>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分值</w:t>
            </w:r>
          </w:p>
        </w:tc>
        <w:tc>
          <w:tcPr>
            <w:tcW w:w="253" w:type="pct"/>
            <w:vMerge w:val="restart"/>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得分</w:t>
            </w:r>
          </w:p>
        </w:tc>
        <w:tc>
          <w:tcPr>
            <w:tcW w:w="353" w:type="pct"/>
            <w:vMerge w:val="restart"/>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得分率</w:t>
            </w:r>
          </w:p>
        </w:tc>
        <w:tc>
          <w:tcPr>
            <w:tcW w:w="1261" w:type="pct"/>
            <w:vMerge w:val="restart"/>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得分/扣分依据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blHeader/>
        </w:trPr>
        <w:tc>
          <w:tcPr>
            <w:tcW w:w="200" w:type="pct"/>
            <w:vMerge w:val="restart"/>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一级指标</w:t>
            </w:r>
          </w:p>
        </w:tc>
        <w:tc>
          <w:tcPr>
            <w:tcW w:w="152" w:type="pct"/>
            <w:vMerge w:val="restart"/>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二级指标</w:t>
            </w:r>
          </w:p>
        </w:tc>
        <w:tc>
          <w:tcPr>
            <w:tcW w:w="252" w:type="pct"/>
            <w:vMerge w:val="restart"/>
            <w:shd w:val="clear" w:color="000000" w:fill="00516B"/>
            <w:vAlign w:val="center"/>
          </w:tcPr>
          <w:p>
            <w:pPr>
              <w:widowControl/>
              <w:spacing w:after="217" w:line="280" w:lineRule="exact"/>
              <w:ind w:firstLine="0" w:firstLineChars="0"/>
              <w:jc w:val="left"/>
              <w:rPr>
                <w:rFonts w:eastAsia="宋体" w:cs="Times New Roman"/>
                <w:b/>
                <w:bCs/>
                <w:kern w:val="0"/>
                <w:sz w:val="20"/>
                <w:szCs w:val="20"/>
              </w:rPr>
            </w:pPr>
            <w:r>
              <w:rPr>
                <w:rFonts w:eastAsia="宋体" w:cs="Times New Roman"/>
                <w:b/>
                <w:bCs/>
                <w:kern w:val="0"/>
                <w:sz w:val="20"/>
                <w:szCs w:val="20"/>
              </w:rPr>
              <w:t>三级指标</w:t>
            </w:r>
          </w:p>
        </w:tc>
        <w:tc>
          <w:tcPr>
            <w:tcW w:w="304" w:type="pct"/>
            <w:vMerge w:val="restart"/>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指标</w:t>
            </w:r>
          </w:p>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解释</w:t>
            </w:r>
          </w:p>
        </w:tc>
        <w:tc>
          <w:tcPr>
            <w:tcW w:w="152" w:type="pct"/>
            <w:vMerge w:val="restart"/>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方法归类</w:t>
            </w:r>
          </w:p>
        </w:tc>
        <w:tc>
          <w:tcPr>
            <w:tcW w:w="910" w:type="pct"/>
            <w:gridSpan w:val="5"/>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计算公式</w:t>
            </w:r>
          </w:p>
        </w:tc>
        <w:tc>
          <w:tcPr>
            <w:tcW w:w="404"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506"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252"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253"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353"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261" w:type="pct"/>
            <w:vMerge w:val="continue"/>
            <w:vAlign w:val="center"/>
          </w:tcPr>
          <w:p>
            <w:pPr>
              <w:widowControl/>
              <w:spacing w:after="217" w:line="280" w:lineRule="exact"/>
              <w:ind w:firstLine="0" w:firstLineChars="0"/>
              <w:jc w:val="left"/>
              <w:rPr>
                <w:rFonts w:eastAsia="宋体" w:cs="Times New Roman"/>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blHeader/>
        </w:trPr>
        <w:tc>
          <w:tcPr>
            <w:tcW w:w="200"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252"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304"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0</w:t>
            </w:r>
          </w:p>
        </w:tc>
        <w:tc>
          <w:tcPr>
            <w:tcW w:w="202" w:type="pct"/>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0.3</w:t>
            </w:r>
          </w:p>
        </w:tc>
        <w:tc>
          <w:tcPr>
            <w:tcW w:w="202" w:type="pct"/>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0.6</w:t>
            </w:r>
          </w:p>
        </w:tc>
        <w:tc>
          <w:tcPr>
            <w:tcW w:w="202" w:type="pct"/>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0.8</w:t>
            </w:r>
          </w:p>
        </w:tc>
        <w:tc>
          <w:tcPr>
            <w:tcW w:w="152" w:type="pct"/>
            <w:shd w:val="clear" w:color="000000" w:fill="00516B"/>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1</w:t>
            </w:r>
          </w:p>
        </w:tc>
        <w:tc>
          <w:tcPr>
            <w:tcW w:w="404" w:type="pct"/>
            <w:vMerge w:val="continue"/>
            <w:shd w:val="clear" w:color="auto" w:fill="00516B"/>
            <w:vAlign w:val="center"/>
          </w:tcPr>
          <w:p>
            <w:pPr>
              <w:widowControl/>
              <w:spacing w:after="217" w:line="280" w:lineRule="exact"/>
              <w:ind w:firstLine="0" w:firstLineChars="0"/>
              <w:jc w:val="left"/>
              <w:rPr>
                <w:rFonts w:eastAsia="宋体" w:cs="Times New Roman"/>
                <w:b/>
                <w:bCs/>
                <w:kern w:val="0"/>
                <w:sz w:val="20"/>
                <w:szCs w:val="20"/>
              </w:rPr>
            </w:pPr>
          </w:p>
        </w:tc>
        <w:tc>
          <w:tcPr>
            <w:tcW w:w="506" w:type="pct"/>
            <w:vMerge w:val="continue"/>
            <w:shd w:val="clear" w:color="auto" w:fill="00516B"/>
            <w:vAlign w:val="center"/>
          </w:tcPr>
          <w:p>
            <w:pPr>
              <w:widowControl/>
              <w:spacing w:after="217" w:line="280" w:lineRule="exact"/>
              <w:ind w:firstLine="0" w:firstLineChars="0"/>
              <w:jc w:val="left"/>
              <w:rPr>
                <w:rFonts w:eastAsia="宋体" w:cs="Times New Roman"/>
                <w:b/>
                <w:bCs/>
                <w:kern w:val="0"/>
                <w:sz w:val="20"/>
                <w:szCs w:val="20"/>
              </w:rPr>
            </w:pPr>
          </w:p>
        </w:tc>
        <w:tc>
          <w:tcPr>
            <w:tcW w:w="252" w:type="pct"/>
            <w:vMerge w:val="continue"/>
            <w:shd w:val="clear" w:color="auto" w:fill="00516B"/>
            <w:vAlign w:val="center"/>
          </w:tcPr>
          <w:p>
            <w:pPr>
              <w:widowControl/>
              <w:spacing w:after="217" w:line="280" w:lineRule="exact"/>
              <w:ind w:firstLine="0" w:firstLineChars="0"/>
              <w:jc w:val="left"/>
              <w:rPr>
                <w:rFonts w:eastAsia="宋体" w:cs="Times New Roman"/>
                <w:b/>
                <w:bCs/>
                <w:kern w:val="0"/>
                <w:sz w:val="20"/>
                <w:szCs w:val="20"/>
              </w:rPr>
            </w:pPr>
          </w:p>
        </w:tc>
        <w:tc>
          <w:tcPr>
            <w:tcW w:w="253" w:type="pct"/>
            <w:vMerge w:val="continue"/>
            <w:shd w:val="clear" w:color="auto" w:fill="00516B"/>
            <w:vAlign w:val="center"/>
          </w:tcPr>
          <w:p>
            <w:pPr>
              <w:widowControl/>
              <w:spacing w:after="217" w:line="280" w:lineRule="exact"/>
              <w:ind w:firstLine="0" w:firstLineChars="0"/>
              <w:jc w:val="left"/>
              <w:rPr>
                <w:rFonts w:eastAsia="宋体" w:cs="Times New Roman"/>
                <w:b/>
                <w:bCs/>
                <w:kern w:val="0"/>
                <w:sz w:val="20"/>
                <w:szCs w:val="20"/>
              </w:rPr>
            </w:pPr>
          </w:p>
        </w:tc>
        <w:tc>
          <w:tcPr>
            <w:tcW w:w="353" w:type="pct"/>
            <w:vMerge w:val="continue"/>
            <w:shd w:val="clear" w:color="auto" w:fill="00516B"/>
            <w:vAlign w:val="center"/>
          </w:tcPr>
          <w:p>
            <w:pPr>
              <w:widowControl/>
              <w:spacing w:after="217" w:line="280" w:lineRule="exact"/>
              <w:ind w:firstLine="0" w:firstLineChars="0"/>
              <w:jc w:val="left"/>
              <w:rPr>
                <w:rFonts w:eastAsia="宋体" w:cs="Times New Roman"/>
                <w:b/>
                <w:bCs/>
                <w:kern w:val="0"/>
                <w:sz w:val="20"/>
                <w:szCs w:val="20"/>
              </w:rPr>
            </w:pPr>
          </w:p>
        </w:tc>
        <w:tc>
          <w:tcPr>
            <w:tcW w:w="1261" w:type="pct"/>
            <w:vMerge w:val="continue"/>
            <w:shd w:val="clear" w:color="auto" w:fill="00516B"/>
            <w:vAlign w:val="center"/>
          </w:tcPr>
          <w:p>
            <w:pPr>
              <w:widowControl/>
              <w:spacing w:after="217" w:line="280" w:lineRule="exact"/>
              <w:ind w:firstLine="0" w:firstLineChars="0"/>
              <w:jc w:val="left"/>
              <w:rPr>
                <w:rFonts w:eastAsia="宋体" w:cs="Times New Roman"/>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200" w:type="pct"/>
            <w:vMerge w:val="restart"/>
            <w:shd w:val="clear" w:color="auto" w:fill="auto"/>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项目决策</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程序严密</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项目依据充分性</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项目设立是否经过合理的程序或明确依据</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分级评分法</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不严密</w:t>
            </w:r>
          </w:p>
        </w:tc>
        <w:tc>
          <w:tcPr>
            <w:tcW w:w="20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3</w:t>
            </w:r>
          </w:p>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处及以上不严密</w:t>
            </w:r>
          </w:p>
        </w:tc>
        <w:tc>
          <w:tcPr>
            <w:tcW w:w="20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2</w:t>
            </w:r>
          </w:p>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处不严密</w:t>
            </w:r>
          </w:p>
        </w:tc>
        <w:tc>
          <w:tcPr>
            <w:tcW w:w="20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1处不严密</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严密</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主要查看项目设立时是否经过事前合理的程序或明确依据</w:t>
            </w:r>
          </w:p>
        </w:tc>
        <w:tc>
          <w:tcPr>
            <w:tcW w:w="506"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通过案卷研究、座谈会及深度访谈、专家评价法，收集相关政策计划文件分析，判断项目规划是否符合当地实际需求</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253"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满分。项目设立都是依据上级文件安排。民政局计划养老服务体系资金项目总共12个。根据《国务院关于加快发展养老服务业的若干意见》（国发〔2013〕35号）、《四川省人民政府办公厅关于推进四川养老服务发展的实施意见》（川办发〔2020〕9号）、《四川省民政厅关于印发2020年民政专项资金项目安排表的通知》（川民发〔2020〕72号）、《四川省民政厅关于做好2020年养老服务业发展补助重点项目的通知》（川民发〔2020〕74号）、《德阳市人民政府办公室关于印发〈德阳养老服务发展重点任务清单〉的通知》（德办发〔2020〕40号）等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2" w:hRule="atLeast"/>
        </w:trPr>
        <w:tc>
          <w:tcPr>
            <w:tcW w:w="200"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vMerge w:val="restar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规划合理</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目标与规划匹配性</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项目规划是否符合市委、市政府重大决策部署</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分级评分法</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不合理</w:t>
            </w:r>
          </w:p>
        </w:tc>
        <w:tc>
          <w:tcPr>
            <w:tcW w:w="20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3处及以上不合理</w:t>
            </w:r>
          </w:p>
        </w:tc>
        <w:tc>
          <w:tcPr>
            <w:tcW w:w="20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2处不合理</w:t>
            </w:r>
          </w:p>
        </w:tc>
        <w:tc>
          <w:tcPr>
            <w:tcW w:w="20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1处不合理</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合理</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主要查看项目设立依据是否充分，符合省委、省政府重大决策部署和宏观政策规划，项目年度绩效目标与中长期规划是否一致</w:t>
            </w:r>
          </w:p>
        </w:tc>
        <w:tc>
          <w:tcPr>
            <w:tcW w:w="506"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通过调查问卷和访谈、案卷研究、专家评价方法等方法对相关政策计划文件分析</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253"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60.00%</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在项目设置上有三处不合理，按30%计算。计划项目12个，民政局开展项目10个，实际负责有效项目9个（疫情核酸检测由卫健局负责。人才培训项目由人社局负责。养老服务评估项目前期由民政局开展，后被终止，由德阳市统一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200"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vMerge w:val="continue"/>
            <w:vAlign w:val="center"/>
          </w:tcPr>
          <w:p>
            <w:pPr>
              <w:widowControl/>
              <w:spacing w:after="217" w:line="280" w:lineRule="exact"/>
              <w:ind w:firstLine="0" w:firstLineChars="0"/>
              <w:jc w:val="left"/>
              <w:rPr>
                <w:rFonts w:eastAsia="宋体" w:cs="Times New Roman"/>
                <w:kern w:val="0"/>
                <w:sz w:val="20"/>
                <w:szCs w:val="20"/>
              </w:rPr>
            </w:pPr>
          </w:p>
        </w:tc>
        <w:tc>
          <w:tcPr>
            <w:tcW w:w="25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绩效目标合理性</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考察项目单位设置的项目绩效目标是否合理</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错项扣分法</w:t>
            </w:r>
          </w:p>
        </w:tc>
        <w:tc>
          <w:tcPr>
            <w:tcW w:w="910" w:type="pct"/>
            <w:gridSpan w:val="5"/>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发现一处政策不合理之处，扣1</w:t>
            </w:r>
            <w:r>
              <w:rPr>
                <w:rFonts w:hint="eastAsia" w:eastAsia="宋体" w:cs="Times New Roman"/>
                <w:kern w:val="0"/>
                <w:sz w:val="20"/>
                <w:szCs w:val="20"/>
              </w:rPr>
              <w:t>.00</w:t>
            </w:r>
            <w:r>
              <w:rPr>
                <w:rFonts w:eastAsia="宋体" w:cs="Times New Roman"/>
                <w:kern w:val="0"/>
                <w:sz w:val="20"/>
                <w:szCs w:val="20"/>
              </w:rPr>
              <w:t>分</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主要查看项目设立绩效目标是否与项目工作内容高度相关，是否与年度目标一致</w:t>
            </w:r>
          </w:p>
        </w:tc>
        <w:tc>
          <w:tcPr>
            <w:tcW w:w="506" w:type="pct"/>
            <w:vAlign w:val="center"/>
          </w:tcPr>
          <w:p>
            <w:pPr>
              <w:widowControl/>
              <w:spacing w:after="217" w:line="280" w:lineRule="exact"/>
              <w:ind w:firstLine="0" w:firstLineChars="0"/>
              <w:jc w:val="left"/>
              <w:rPr>
                <w:rFonts w:eastAsia="宋体" w:cs="Times New Roman"/>
                <w:kern w:val="0"/>
                <w:sz w:val="20"/>
                <w:szCs w:val="20"/>
              </w:rPr>
            </w:pP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8.00</w:t>
            </w:r>
          </w:p>
        </w:tc>
        <w:tc>
          <w:tcPr>
            <w:tcW w:w="253"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7.00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87.50%</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扣:1</w:t>
            </w:r>
            <w:r>
              <w:rPr>
                <w:rFonts w:hint="eastAsia" w:eastAsia="宋体" w:cs="Times New Roman"/>
                <w:kern w:val="0"/>
                <w:sz w:val="20"/>
                <w:szCs w:val="20"/>
              </w:rPr>
              <w:t>.00</w:t>
            </w:r>
            <w:r>
              <w:rPr>
                <w:rFonts w:eastAsia="宋体" w:cs="Times New Roman"/>
                <w:kern w:val="0"/>
                <w:sz w:val="20"/>
                <w:szCs w:val="20"/>
              </w:rPr>
              <w:t>分。扣分点：计划12个项目，只设立了11个项目的绩效目标。其中养老人才培训项目未设绩效目标。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00" w:type="pct"/>
            <w:vMerge w:val="restart"/>
            <w:shd w:val="clear" w:color="auto" w:fill="auto"/>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项目实施</w:t>
            </w:r>
          </w:p>
        </w:tc>
        <w:tc>
          <w:tcPr>
            <w:tcW w:w="152" w:type="pct"/>
            <w:vMerge w:val="restar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分配合理</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分配及时性</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是否按规定及时分配专项预算资金，考察养老体系专项资金分配效率</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是否评分法</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否</w:t>
            </w:r>
          </w:p>
        </w:tc>
        <w:tc>
          <w:tcPr>
            <w:tcW w:w="20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　</w:t>
            </w:r>
          </w:p>
        </w:tc>
        <w:tc>
          <w:tcPr>
            <w:tcW w:w="20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　</w:t>
            </w:r>
          </w:p>
        </w:tc>
        <w:tc>
          <w:tcPr>
            <w:tcW w:w="20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　</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是</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 xml:space="preserve">县级以上地方各级预算安排对下级政府的一般性转移支付和专项转移支付，应当分别在本级人民代表大会批准预算后的30日和60日内正式下达 </w:t>
            </w:r>
          </w:p>
        </w:tc>
        <w:tc>
          <w:tcPr>
            <w:tcW w:w="506"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通过调查问卷和访谈、基础数据表等对资金管理情况进行分析</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253"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满分。按规定及时分配专项预算资金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200"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vMerge w:val="continue"/>
            <w:vAlign w:val="center"/>
          </w:tcPr>
          <w:p>
            <w:pPr>
              <w:widowControl/>
              <w:spacing w:after="217" w:line="280" w:lineRule="exact"/>
              <w:ind w:firstLine="0" w:firstLineChars="0"/>
              <w:jc w:val="left"/>
              <w:rPr>
                <w:rFonts w:eastAsia="宋体" w:cs="Times New Roman"/>
                <w:kern w:val="0"/>
                <w:sz w:val="20"/>
                <w:szCs w:val="20"/>
              </w:rPr>
            </w:pP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分配结果与计划一致性</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项目资金分配结果是否与规划计划一致</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是否评分法</w:t>
            </w:r>
          </w:p>
        </w:tc>
        <w:tc>
          <w:tcPr>
            <w:tcW w:w="910" w:type="pct"/>
            <w:gridSpan w:val="5"/>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发现一处分配结果与计划不符合之处，扣0.5分</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按项目法分配的项目，以所有项目点实施完成情况与规划计划情况进行对比。</w:t>
            </w:r>
          </w:p>
        </w:tc>
        <w:tc>
          <w:tcPr>
            <w:tcW w:w="506" w:type="pct"/>
            <w:vMerge w:val="restart"/>
            <w:vAlign w:val="center"/>
          </w:tcPr>
          <w:p>
            <w:pPr>
              <w:widowControl/>
              <w:spacing w:after="217" w:line="280" w:lineRule="exact"/>
              <w:ind w:firstLine="0" w:firstLineChars="0"/>
              <w:jc w:val="left"/>
              <w:rPr>
                <w:rFonts w:eastAsia="宋体" w:cs="Times New Roman"/>
                <w:kern w:val="0"/>
                <w:sz w:val="20"/>
                <w:szCs w:val="20"/>
              </w:rPr>
            </w:pP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6.00</w:t>
            </w:r>
          </w:p>
        </w:tc>
        <w:tc>
          <w:tcPr>
            <w:tcW w:w="253"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3.50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58.33%</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扣2.5</w:t>
            </w:r>
            <w:r>
              <w:rPr>
                <w:rFonts w:hint="eastAsia" w:eastAsia="宋体" w:cs="Times New Roman"/>
                <w:kern w:val="0"/>
                <w:sz w:val="20"/>
                <w:szCs w:val="20"/>
              </w:rPr>
              <w:t>0</w:t>
            </w:r>
            <w:r>
              <w:rPr>
                <w:rFonts w:eastAsia="宋体" w:cs="Times New Roman"/>
                <w:kern w:val="0"/>
                <w:sz w:val="20"/>
                <w:szCs w:val="20"/>
              </w:rPr>
              <w:t>分。12个项目，分配结果与计划规划不一致的项目共</w:t>
            </w:r>
            <w:r>
              <w:rPr>
                <w:rFonts w:eastAsia="宋体" w:cs="Times New Roman"/>
                <w:b/>
                <w:bCs/>
                <w:kern w:val="0"/>
                <w:sz w:val="20"/>
                <w:szCs w:val="20"/>
              </w:rPr>
              <w:t>5个，如下：</w:t>
            </w:r>
            <w:r>
              <w:rPr>
                <w:rFonts w:eastAsia="宋体" w:cs="Times New Roman"/>
                <w:kern w:val="0"/>
                <w:sz w:val="20"/>
                <w:szCs w:val="20"/>
              </w:rPr>
              <w:br w:type="textWrapping"/>
            </w:r>
            <w:r>
              <w:rPr>
                <w:rFonts w:eastAsia="宋体" w:cs="Times New Roman"/>
                <w:kern w:val="0"/>
                <w:sz w:val="20"/>
                <w:szCs w:val="20"/>
              </w:rPr>
              <w:t>未开展项目2个，被暂停项目1个，剩余项目中，资金分配结果与计划规划不一致实际分配资金不到规划计划资金50</w:t>
            </w:r>
            <w:r>
              <w:rPr>
                <w:rFonts w:hint="eastAsia" w:eastAsia="宋体" w:cs="Times New Roman"/>
                <w:kern w:val="0"/>
                <w:sz w:val="20"/>
                <w:szCs w:val="20"/>
              </w:rPr>
              <w:t>.00</w:t>
            </w:r>
            <w:r>
              <w:rPr>
                <w:rFonts w:eastAsia="宋体" w:cs="Times New Roman"/>
                <w:kern w:val="0"/>
                <w:sz w:val="20"/>
                <w:szCs w:val="20"/>
              </w:rPr>
              <w:t>%的项目有2个：特困老人家庭适老化改造2020年分配资金40</w:t>
            </w:r>
            <w:r>
              <w:rPr>
                <w:rFonts w:hint="eastAsia" w:eastAsia="宋体" w:cs="Times New Roman"/>
                <w:kern w:val="0"/>
                <w:sz w:val="20"/>
                <w:szCs w:val="20"/>
              </w:rPr>
              <w:t>.00</w:t>
            </w:r>
            <w:r>
              <w:rPr>
                <w:rFonts w:eastAsia="宋体" w:cs="Times New Roman"/>
                <w:kern w:val="0"/>
                <w:sz w:val="20"/>
                <w:szCs w:val="20"/>
              </w:rPr>
              <w:t>万，实际无支出。社区养老服务设施建设运营补贴项目省级资金使用小于预算的50%。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00"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使用合规</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资金使用合规性</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项目资金使用是否符合相关的财务管理制度规定</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缺（错）项扣分法</w:t>
            </w:r>
          </w:p>
        </w:tc>
        <w:tc>
          <w:tcPr>
            <w:tcW w:w="910" w:type="pct"/>
            <w:gridSpan w:val="5"/>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发现一处不合规扣1</w:t>
            </w:r>
            <w:r>
              <w:rPr>
                <w:rFonts w:hint="eastAsia" w:eastAsia="宋体" w:cs="Times New Roman"/>
                <w:kern w:val="0"/>
                <w:sz w:val="20"/>
                <w:szCs w:val="20"/>
              </w:rPr>
              <w:t>.00</w:t>
            </w:r>
            <w:r>
              <w:rPr>
                <w:rFonts w:eastAsia="宋体" w:cs="Times New Roman"/>
                <w:kern w:val="0"/>
                <w:sz w:val="20"/>
                <w:szCs w:val="20"/>
              </w:rPr>
              <w:t>分，直至扣完</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项目实施单位的财务制度是否健全，项目资金使用是否符合相关的财务管理制度规定，用以反映和考核财务管理制度对资金规范、安全运行情况</w:t>
            </w:r>
          </w:p>
        </w:tc>
        <w:tc>
          <w:tcPr>
            <w:tcW w:w="506" w:type="pct"/>
            <w:vMerge w:val="continue"/>
            <w:vAlign w:val="center"/>
          </w:tcPr>
          <w:p>
            <w:pPr>
              <w:widowControl/>
              <w:spacing w:after="217" w:line="280" w:lineRule="exact"/>
              <w:ind w:firstLine="0" w:firstLineChars="0"/>
              <w:jc w:val="left"/>
              <w:rPr>
                <w:rFonts w:eastAsia="宋体" w:cs="Times New Roman"/>
                <w:kern w:val="0"/>
                <w:sz w:val="20"/>
                <w:szCs w:val="20"/>
              </w:rPr>
            </w:pP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8.00</w:t>
            </w:r>
          </w:p>
        </w:tc>
        <w:tc>
          <w:tcPr>
            <w:tcW w:w="253"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8.00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满分。未发现不合规情况。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200"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vMerge w:val="restar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执行有效</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管理制度健全性</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项目实施单位的业务管理制度是否健全</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缺（错）项扣分法</w:t>
            </w:r>
          </w:p>
        </w:tc>
        <w:tc>
          <w:tcPr>
            <w:tcW w:w="910" w:type="pct"/>
            <w:gridSpan w:val="5"/>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发现一处制度不健全、不完善扣0.5</w:t>
            </w:r>
            <w:r>
              <w:rPr>
                <w:rFonts w:hint="eastAsia" w:eastAsia="宋体" w:cs="Times New Roman"/>
                <w:kern w:val="0"/>
                <w:sz w:val="20"/>
                <w:szCs w:val="20"/>
              </w:rPr>
              <w:t>0</w:t>
            </w:r>
            <w:r>
              <w:rPr>
                <w:rFonts w:eastAsia="宋体" w:cs="Times New Roman"/>
                <w:kern w:val="0"/>
                <w:sz w:val="20"/>
                <w:szCs w:val="20"/>
              </w:rPr>
              <w:t>分，直至扣完</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用以反映和考核业务管理制度对项目顺利实施的保障情况</w:t>
            </w:r>
          </w:p>
        </w:tc>
        <w:tc>
          <w:tcPr>
            <w:tcW w:w="506" w:type="pct"/>
            <w:vMerge w:val="continue"/>
            <w:vAlign w:val="center"/>
          </w:tcPr>
          <w:p>
            <w:pPr>
              <w:widowControl/>
              <w:spacing w:after="217" w:line="280" w:lineRule="exact"/>
              <w:ind w:firstLine="0" w:firstLineChars="0"/>
              <w:jc w:val="left"/>
              <w:rPr>
                <w:rFonts w:eastAsia="宋体" w:cs="Times New Roman"/>
                <w:kern w:val="0"/>
                <w:sz w:val="20"/>
                <w:szCs w:val="20"/>
              </w:rPr>
            </w:pP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253"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满分。如集汉旺镇贤社区日照中心拥有：《健身室制度》《室外活动室制度》《老年人安全应急避险机制》等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200"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vMerge w:val="continue"/>
            <w:vAlign w:val="center"/>
          </w:tcPr>
          <w:p>
            <w:pPr>
              <w:widowControl/>
              <w:spacing w:after="217" w:line="280" w:lineRule="exact"/>
              <w:ind w:firstLine="0" w:firstLineChars="0"/>
              <w:jc w:val="left"/>
              <w:rPr>
                <w:rFonts w:eastAsia="宋体" w:cs="Times New Roman"/>
                <w:kern w:val="0"/>
                <w:sz w:val="20"/>
                <w:szCs w:val="20"/>
              </w:rPr>
            </w:pP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制度执行有效性</w:t>
            </w:r>
          </w:p>
        </w:tc>
        <w:tc>
          <w:tcPr>
            <w:tcW w:w="304" w:type="pct"/>
            <w:shd w:val="clear" w:color="auto" w:fill="auto"/>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项目实施的人员条件、场地设备、信息支撑等是否落实到位</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缺（错）项扣分法</w:t>
            </w:r>
          </w:p>
        </w:tc>
        <w:tc>
          <w:tcPr>
            <w:tcW w:w="910" w:type="pct"/>
            <w:gridSpan w:val="5"/>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发现一处执行无效扣0.5</w:t>
            </w:r>
            <w:r>
              <w:rPr>
                <w:rFonts w:hint="eastAsia" w:eastAsia="宋体" w:cs="Times New Roman"/>
                <w:kern w:val="0"/>
                <w:sz w:val="20"/>
                <w:szCs w:val="20"/>
              </w:rPr>
              <w:t>0</w:t>
            </w:r>
            <w:r>
              <w:rPr>
                <w:rFonts w:eastAsia="宋体" w:cs="Times New Roman"/>
                <w:kern w:val="0"/>
                <w:sz w:val="20"/>
                <w:szCs w:val="20"/>
              </w:rPr>
              <w:t>分，直至扣完</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主要查看制度执行</w:t>
            </w:r>
          </w:p>
        </w:tc>
        <w:tc>
          <w:tcPr>
            <w:tcW w:w="506"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部门访谈、现场勘查、相关群体访谈等。</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6.00</w:t>
            </w:r>
          </w:p>
        </w:tc>
        <w:tc>
          <w:tcPr>
            <w:tcW w:w="253"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83.33%</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扣0.5</w:t>
            </w:r>
            <w:r>
              <w:rPr>
                <w:rFonts w:hint="eastAsia" w:eastAsia="宋体" w:cs="Times New Roman"/>
                <w:kern w:val="0"/>
                <w:sz w:val="20"/>
                <w:szCs w:val="20"/>
              </w:rPr>
              <w:t>0</w:t>
            </w:r>
            <w:r>
              <w:rPr>
                <w:rFonts w:eastAsia="宋体" w:cs="Times New Roman"/>
                <w:kern w:val="0"/>
                <w:sz w:val="20"/>
                <w:szCs w:val="20"/>
              </w:rPr>
              <w:t>分。根据对大柏林社区居家养老老人的深度访谈发现，政府购买居家养老服务项目存在规定和执行不一致的情况。服务人员离服务对象相对较远，且自行排班和确定上门服务时间，未能及时和准确提供老人真正所需的服务，目前项目执行效果有待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200"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vMerge w:val="continue"/>
            <w:vAlign w:val="center"/>
          </w:tcPr>
          <w:p>
            <w:pPr>
              <w:widowControl/>
              <w:spacing w:after="217" w:line="280" w:lineRule="exact"/>
              <w:ind w:firstLine="0" w:firstLineChars="0"/>
              <w:jc w:val="left"/>
              <w:rPr>
                <w:rFonts w:eastAsia="宋体" w:cs="Times New Roman"/>
                <w:kern w:val="0"/>
                <w:sz w:val="20"/>
                <w:szCs w:val="20"/>
              </w:rPr>
            </w:pP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项目实施及时性</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项目是否按照计划时间开工</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是否评分法</w:t>
            </w:r>
          </w:p>
        </w:tc>
        <w:tc>
          <w:tcPr>
            <w:tcW w:w="910" w:type="pct"/>
            <w:gridSpan w:val="5"/>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发现一处不及时扣0.5</w:t>
            </w:r>
            <w:r>
              <w:rPr>
                <w:rFonts w:hint="eastAsia" w:eastAsia="宋体" w:cs="Times New Roman"/>
                <w:kern w:val="0"/>
                <w:sz w:val="20"/>
                <w:szCs w:val="20"/>
              </w:rPr>
              <w:t>0</w:t>
            </w:r>
            <w:r>
              <w:rPr>
                <w:rFonts w:eastAsia="宋体" w:cs="Times New Roman"/>
                <w:kern w:val="0"/>
                <w:sz w:val="20"/>
                <w:szCs w:val="20"/>
              </w:rPr>
              <w:t>分，直至扣完</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项目实际开工时间是否在方案计划时间之前（含计划时间当日）</w:t>
            </w:r>
          </w:p>
        </w:tc>
        <w:tc>
          <w:tcPr>
            <w:tcW w:w="506"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访谈、项目方案等</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2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3.50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70.00%</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三个项目严重滞后，扣1.5</w:t>
            </w:r>
            <w:r>
              <w:rPr>
                <w:rFonts w:hint="eastAsia" w:eastAsia="宋体" w:cs="Times New Roman"/>
                <w:kern w:val="0"/>
                <w:sz w:val="20"/>
                <w:szCs w:val="20"/>
              </w:rPr>
              <w:t>0</w:t>
            </w:r>
            <w:r>
              <w:rPr>
                <w:rFonts w:eastAsia="宋体" w:cs="Times New Roman"/>
                <w:kern w:val="0"/>
                <w:sz w:val="20"/>
                <w:szCs w:val="20"/>
              </w:rPr>
              <w:t>分。</w:t>
            </w:r>
            <w:r>
              <w:rPr>
                <w:rFonts w:eastAsia="宋体" w:cs="Times New Roman"/>
                <w:kern w:val="0"/>
                <w:sz w:val="20"/>
                <w:szCs w:val="20"/>
              </w:rPr>
              <w:br w:type="textWrapping"/>
            </w:r>
            <w:r>
              <w:rPr>
                <w:rFonts w:eastAsia="宋体" w:cs="Times New Roman"/>
                <w:kern w:val="0"/>
                <w:sz w:val="20"/>
                <w:szCs w:val="20"/>
              </w:rPr>
              <w:t>如下：政府购买居家养老服务在乡镇一级，项目实施进度缓慢，受疫情影响，2020年度未完成居家养老服务延至2021年开展。</w:t>
            </w:r>
            <w:r>
              <w:rPr>
                <w:rFonts w:eastAsia="宋体" w:cs="Times New Roman"/>
                <w:kern w:val="0"/>
                <w:sz w:val="20"/>
                <w:szCs w:val="20"/>
              </w:rPr>
              <w:br w:type="textWrapping"/>
            </w:r>
            <w:r>
              <w:rPr>
                <w:rFonts w:eastAsia="宋体" w:cs="Times New Roman"/>
                <w:kern w:val="0"/>
                <w:sz w:val="20"/>
                <w:szCs w:val="20"/>
              </w:rPr>
              <w:t>特殊困难老年人家庭适老化改造项目2020年未开展，2021年才完成前期的需求排摸任务进度缓慢。紫岩街道茂泉社区养老服务综合体项目2020年11月才成功立项，计划于2021年7月完工。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00" w:type="pct"/>
            <w:shd w:val="clear" w:color="auto" w:fill="auto"/>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　</w:t>
            </w:r>
          </w:p>
        </w:tc>
        <w:tc>
          <w:tcPr>
            <w:tcW w:w="152" w:type="pct"/>
            <w:vMerge w:val="continue"/>
            <w:vAlign w:val="center"/>
          </w:tcPr>
          <w:p>
            <w:pPr>
              <w:widowControl/>
              <w:spacing w:after="217" w:line="280" w:lineRule="exact"/>
              <w:ind w:firstLine="0" w:firstLineChars="0"/>
              <w:jc w:val="left"/>
              <w:rPr>
                <w:rFonts w:eastAsia="宋体" w:cs="Times New Roman"/>
                <w:kern w:val="0"/>
                <w:sz w:val="20"/>
                <w:szCs w:val="20"/>
              </w:rPr>
            </w:pP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政府购买服务程序的规范性</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选择承接主体是否按照竞争择优原则;是否体现公平、公正的原则；购买程序是否符合购买服务相关要求</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缺（错）项扣分法</w:t>
            </w:r>
          </w:p>
        </w:tc>
        <w:tc>
          <w:tcPr>
            <w:tcW w:w="910" w:type="pct"/>
            <w:gridSpan w:val="5"/>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选择承接主体未按照竞争择优原则，无理由通过直接委托等方式购买服务，不符合体现公平、公正原则的不得分；购买程序不符合购买服务相关要求，发现一处扣</w:t>
            </w:r>
            <w:r>
              <w:rPr>
                <w:rFonts w:hint="eastAsia" w:eastAsia="宋体" w:cs="Times New Roman"/>
                <w:kern w:val="0"/>
                <w:sz w:val="20"/>
                <w:szCs w:val="20"/>
              </w:rPr>
              <w:t>1</w:t>
            </w:r>
            <w:r>
              <w:rPr>
                <w:rFonts w:eastAsia="宋体" w:cs="Times New Roman"/>
                <w:kern w:val="0"/>
                <w:sz w:val="20"/>
                <w:szCs w:val="20"/>
              </w:rPr>
              <w:t>分，直至扣完。</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主要考察《政府购买居家养老服务》《特殊困难老年人家庭适老化改造》《养老机构消防设施改造》三个项目的政府购买服务路程的规范情况</w:t>
            </w:r>
          </w:p>
        </w:tc>
        <w:tc>
          <w:tcPr>
            <w:tcW w:w="506"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查看三个项目的招投标文件、采购合同、过程监管文件等</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2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66.67%</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扣1</w:t>
            </w:r>
            <w:r>
              <w:rPr>
                <w:rFonts w:hint="eastAsia" w:eastAsia="宋体" w:cs="Times New Roman"/>
                <w:kern w:val="0"/>
                <w:sz w:val="20"/>
                <w:szCs w:val="20"/>
              </w:rPr>
              <w:t>.00</w:t>
            </w:r>
            <w:r>
              <w:rPr>
                <w:rFonts w:eastAsia="宋体" w:cs="Times New Roman"/>
                <w:kern w:val="0"/>
                <w:sz w:val="20"/>
                <w:szCs w:val="20"/>
              </w:rPr>
              <w:t>分。乡镇社区采购程序不规范。在现场评价环节，消防池改造项目中与服务公司签订的合同中都没有落款时间，也未提供验收报告。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200" w:type="pct"/>
            <w:vMerge w:val="restart"/>
            <w:shd w:val="clear" w:color="auto" w:fill="auto"/>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项目产出</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预算完成</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资金执行率</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项目资金支付使用情况</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比率分值法</w:t>
            </w:r>
          </w:p>
        </w:tc>
        <w:tc>
          <w:tcPr>
            <w:tcW w:w="910" w:type="pct"/>
            <w:gridSpan w:val="5"/>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指标得分=资金实际使用金额/资金实际拨付金额×100%*指标分值</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主要查看财政资金实际支付使用，是否存在因制度机制、操作流程、管理疏漏、数据缺失等导致的资金结余，闲置浪费的情况</w:t>
            </w:r>
          </w:p>
        </w:tc>
        <w:tc>
          <w:tcPr>
            <w:tcW w:w="506"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通过基础数据统计表、访谈调查表进行资料收集</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6.00</w:t>
            </w:r>
          </w:p>
        </w:tc>
        <w:tc>
          <w:tcPr>
            <w:tcW w:w="2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4.05</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67.50%</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得分：6×67.43%=4.05项目预算资金515.39万元，实际执行资金347.51万元，资金执行率67.43%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200"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vMerge w:val="restar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目标完成</w:t>
            </w:r>
          </w:p>
        </w:tc>
        <w:tc>
          <w:tcPr>
            <w:tcW w:w="252"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新建和改造机构完成数量</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实际完成新建和改造养老机构数量是否与规划计划一致</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比率分值法</w:t>
            </w:r>
          </w:p>
        </w:tc>
        <w:tc>
          <w:tcPr>
            <w:tcW w:w="910" w:type="pct"/>
            <w:gridSpan w:val="5"/>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指标得分=（实际新建养老数量/项目总规划数量+实际改造养老机构数量/项目总规划数量)/2×100%*指标分值</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按项目法分配的项目，以所有项目点实施完成情况与规划计划情况进行对比。</w:t>
            </w:r>
          </w:p>
        </w:tc>
        <w:tc>
          <w:tcPr>
            <w:tcW w:w="506"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通过调查问卷和访谈、案卷研究、专家评价方法等方法对相关政策计划文件分析</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2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2.50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83.33%</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得分：（2/3+1）/2×3=2.5</w:t>
            </w:r>
            <w:r>
              <w:rPr>
                <w:rFonts w:eastAsia="宋体" w:cs="Times New Roman"/>
                <w:kern w:val="0"/>
                <w:sz w:val="20"/>
                <w:szCs w:val="20"/>
              </w:rPr>
              <w:br w:type="textWrapping"/>
            </w:r>
            <w:r>
              <w:rPr>
                <w:rFonts w:eastAsia="宋体" w:cs="Times New Roman"/>
                <w:kern w:val="0"/>
                <w:sz w:val="20"/>
                <w:szCs w:val="20"/>
              </w:rPr>
              <w:t>计划完成2间日照中心建设，1个养老服务综合体建设10个敬老院消防设施改造。</w:t>
            </w:r>
            <w:r>
              <w:rPr>
                <w:rFonts w:eastAsia="宋体" w:cs="Times New Roman"/>
                <w:kern w:val="0"/>
                <w:sz w:val="20"/>
                <w:szCs w:val="20"/>
              </w:rPr>
              <w:br w:type="textWrapping"/>
            </w:r>
            <w:r>
              <w:rPr>
                <w:rFonts w:eastAsia="宋体" w:cs="Times New Roman"/>
                <w:kern w:val="0"/>
                <w:sz w:val="20"/>
                <w:szCs w:val="20"/>
              </w:rPr>
              <w:t>实际完成2个日间照料中心建设，10个敬老院消防改造。养老服务综合体建设为未在2020年度完成。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200"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vMerge w:val="continue"/>
            <w:vAlign w:val="center"/>
          </w:tcPr>
          <w:p>
            <w:pPr>
              <w:widowControl/>
              <w:spacing w:after="217" w:line="280" w:lineRule="exact"/>
              <w:ind w:firstLine="0" w:firstLineChars="0"/>
              <w:jc w:val="left"/>
              <w:rPr>
                <w:rFonts w:eastAsia="宋体" w:cs="Times New Roman"/>
                <w:kern w:val="0"/>
                <w:sz w:val="20"/>
                <w:szCs w:val="20"/>
              </w:rPr>
            </w:pPr>
          </w:p>
        </w:tc>
        <w:tc>
          <w:tcPr>
            <w:tcW w:w="252"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养老机构运营补贴完成数量</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实际完成养老机构运营补贴的机构数量是否与计划一致</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比率分值法</w:t>
            </w:r>
          </w:p>
        </w:tc>
        <w:tc>
          <w:tcPr>
            <w:tcW w:w="910" w:type="pct"/>
            <w:gridSpan w:val="5"/>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指标得分=（实际运营补贴养老机构数量/年初计划补贴机构数量)×100%*指标分值</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按项目法分配的项目，以所有项目点实施完成情况与规划计划情况进行对比。</w:t>
            </w:r>
          </w:p>
        </w:tc>
        <w:tc>
          <w:tcPr>
            <w:tcW w:w="506"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通过调查问卷和访谈、案卷研究、专家评价方法等方法对相关政策计划文件分析</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2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1.33</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44.33%</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得分：15/60×3≈1.33</w:t>
            </w:r>
            <w:r>
              <w:rPr>
                <w:rFonts w:eastAsia="宋体" w:cs="Times New Roman"/>
                <w:kern w:val="0"/>
                <w:sz w:val="20"/>
                <w:szCs w:val="20"/>
              </w:rPr>
              <w:br w:type="textWrapping"/>
            </w:r>
            <w:r>
              <w:rPr>
                <w:rFonts w:eastAsia="宋体" w:cs="Times New Roman"/>
                <w:kern w:val="0"/>
                <w:sz w:val="20"/>
                <w:szCs w:val="20"/>
              </w:rPr>
              <w:t>2020年，60个养老机构中只有15个养老机构在运营。只针对在运营的单位进行补贴发放。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00"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vMerge w:val="continue"/>
            <w:vAlign w:val="center"/>
          </w:tcPr>
          <w:p>
            <w:pPr>
              <w:widowControl/>
              <w:spacing w:after="217" w:line="280" w:lineRule="exact"/>
              <w:ind w:firstLine="0" w:firstLineChars="0"/>
              <w:jc w:val="left"/>
              <w:rPr>
                <w:rFonts w:eastAsia="宋体" w:cs="Times New Roman"/>
                <w:kern w:val="0"/>
                <w:sz w:val="20"/>
                <w:szCs w:val="20"/>
              </w:rPr>
            </w:pPr>
          </w:p>
        </w:tc>
        <w:tc>
          <w:tcPr>
            <w:tcW w:w="252"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养老服务培训完成数量</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养老服务培训人次</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比率分值法</w:t>
            </w:r>
          </w:p>
        </w:tc>
        <w:tc>
          <w:tcPr>
            <w:tcW w:w="910" w:type="pct"/>
            <w:gridSpan w:val="5"/>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指标得分=（实际运培训人次/年初计划培训人次)×100%*指标分值</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按项目法分配的项目，以所有项目点实施完成情况与规划计划情况进行对比。</w:t>
            </w:r>
          </w:p>
        </w:tc>
        <w:tc>
          <w:tcPr>
            <w:tcW w:w="506"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通过调查问卷和访谈、案卷研究、专家评价方法等方法对相关政策计划文件分析</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2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0.00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0.00%</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0</w:t>
            </w:r>
            <w:r>
              <w:rPr>
                <w:rFonts w:hint="eastAsia" w:eastAsia="宋体" w:cs="Times New Roman"/>
                <w:kern w:val="0"/>
                <w:sz w:val="20"/>
                <w:szCs w:val="20"/>
              </w:rPr>
              <w:t>.00</w:t>
            </w:r>
            <w:r>
              <w:rPr>
                <w:rFonts w:eastAsia="宋体" w:cs="Times New Roman"/>
                <w:kern w:val="0"/>
                <w:sz w:val="20"/>
                <w:szCs w:val="20"/>
              </w:rPr>
              <w:t>分，培训项目由人社局执行，市民政局未开展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trPr>
        <w:tc>
          <w:tcPr>
            <w:tcW w:w="200"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vMerge w:val="continue"/>
            <w:vAlign w:val="center"/>
          </w:tcPr>
          <w:p>
            <w:pPr>
              <w:widowControl/>
              <w:spacing w:after="217" w:line="280" w:lineRule="exact"/>
              <w:ind w:firstLine="0" w:firstLineChars="0"/>
              <w:jc w:val="left"/>
              <w:rPr>
                <w:rFonts w:eastAsia="宋体" w:cs="Times New Roman"/>
                <w:kern w:val="0"/>
                <w:sz w:val="20"/>
                <w:szCs w:val="20"/>
              </w:rPr>
            </w:pP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项目完工及时性</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项目是否在计划时间内完成</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是否评分法</w:t>
            </w:r>
          </w:p>
        </w:tc>
        <w:tc>
          <w:tcPr>
            <w:tcW w:w="910" w:type="pct"/>
            <w:gridSpan w:val="5"/>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若发现新建、改造养老服务项目的未按计划或上级文件规定的时间完工，发现一处扣0.5</w:t>
            </w:r>
            <w:r>
              <w:rPr>
                <w:rFonts w:hint="eastAsia" w:eastAsia="宋体" w:cs="Times New Roman"/>
                <w:kern w:val="0"/>
                <w:sz w:val="20"/>
                <w:szCs w:val="20"/>
              </w:rPr>
              <w:t>0</w:t>
            </w:r>
            <w:r>
              <w:rPr>
                <w:rFonts w:eastAsia="宋体" w:cs="Times New Roman"/>
                <w:kern w:val="0"/>
                <w:sz w:val="20"/>
                <w:szCs w:val="20"/>
              </w:rPr>
              <w:t>，直至扣完</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主要看养老服务项目是否如期完工，是否能在计划时间内完成</w:t>
            </w:r>
          </w:p>
        </w:tc>
        <w:tc>
          <w:tcPr>
            <w:tcW w:w="506"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访谈、项目方案等</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2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3.50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70.00%</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扣1.5</w:t>
            </w:r>
            <w:r>
              <w:rPr>
                <w:rFonts w:hint="eastAsia" w:eastAsia="宋体" w:cs="Times New Roman"/>
                <w:kern w:val="0"/>
                <w:sz w:val="20"/>
                <w:szCs w:val="20"/>
              </w:rPr>
              <w:t>0</w:t>
            </w:r>
            <w:r>
              <w:rPr>
                <w:rFonts w:eastAsia="宋体" w:cs="Times New Roman"/>
                <w:kern w:val="0"/>
                <w:sz w:val="20"/>
                <w:szCs w:val="20"/>
              </w:rPr>
              <w:t>分。</w:t>
            </w:r>
            <w:r>
              <w:rPr>
                <w:rFonts w:eastAsia="宋体" w:cs="Times New Roman"/>
                <w:kern w:val="0"/>
                <w:sz w:val="20"/>
                <w:szCs w:val="20"/>
              </w:rPr>
              <w:br w:type="textWrapping"/>
            </w:r>
            <w:r>
              <w:rPr>
                <w:rFonts w:eastAsia="宋体" w:cs="Times New Roman"/>
                <w:kern w:val="0"/>
                <w:sz w:val="20"/>
                <w:szCs w:val="20"/>
              </w:rPr>
              <w:t>政府购买居家养老服务在乡镇一级，项目实施进度缓慢，受疫情影响，2020年度未完成。居家养老服务延至2021年开展。</w:t>
            </w:r>
            <w:r>
              <w:rPr>
                <w:rFonts w:eastAsia="宋体" w:cs="Times New Roman"/>
                <w:kern w:val="0"/>
                <w:sz w:val="20"/>
                <w:szCs w:val="20"/>
              </w:rPr>
              <w:br w:type="textWrapping"/>
            </w:r>
            <w:r>
              <w:rPr>
                <w:rFonts w:eastAsia="宋体" w:cs="Times New Roman"/>
                <w:kern w:val="0"/>
                <w:sz w:val="20"/>
                <w:szCs w:val="20"/>
              </w:rPr>
              <w:t>特殊困难老年人家庭适老化改造项目2020年未开展，未完成。2021年才完成前期的需求排摸任务进度缓慢。</w:t>
            </w:r>
            <w:r>
              <w:rPr>
                <w:rFonts w:eastAsia="宋体" w:cs="Times New Roman"/>
                <w:kern w:val="0"/>
                <w:sz w:val="20"/>
                <w:szCs w:val="20"/>
              </w:rPr>
              <w:br w:type="textWrapping"/>
            </w:r>
            <w:r>
              <w:rPr>
                <w:rFonts w:eastAsia="宋体" w:cs="Times New Roman"/>
                <w:kern w:val="0"/>
                <w:sz w:val="20"/>
                <w:szCs w:val="20"/>
              </w:rPr>
              <w:t>紫岩街道茂泉社区养老服务综合体项目2020年未完成。2020年11月才成功立项，计划于2021年7月完工。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trPr>
        <w:tc>
          <w:tcPr>
            <w:tcW w:w="200"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质量完成</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项目验收合格率</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完工项目是否通过验收</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比率评分法</w:t>
            </w:r>
          </w:p>
        </w:tc>
        <w:tc>
          <w:tcPr>
            <w:tcW w:w="910" w:type="pct"/>
            <w:gridSpan w:val="5"/>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指标得分=（一次性通过验收项目数/完工项目数）*100%*指标分值</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按已完工项目验收情况得分。竣工未验收的，不扣分；验收不能一次通过的，按计算公式打分</w:t>
            </w:r>
          </w:p>
        </w:tc>
        <w:tc>
          <w:tcPr>
            <w:tcW w:w="506"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验报告</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2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完工项目均通过验收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200"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违规记录</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违纪记录</w:t>
            </w:r>
          </w:p>
        </w:tc>
        <w:tc>
          <w:tcPr>
            <w:tcW w:w="3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项目管理是否合规</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分级评分法</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不合规</w:t>
            </w:r>
          </w:p>
        </w:tc>
        <w:tc>
          <w:tcPr>
            <w:tcW w:w="20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3处及以上不合规</w:t>
            </w:r>
          </w:p>
        </w:tc>
        <w:tc>
          <w:tcPr>
            <w:tcW w:w="20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2处不合规</w:t>
            </w:r>
          </w:p>
        </w:tc>
        <w:tc>
          <w:tcPr>
            <w:tcW w:w="20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1处不合规</w:t>
            </w:r>
          </w:p>
        </w:tc>
        <w:tc>
          <w:tcPr>
            <w:tcW w:w="1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合规</w:t>
            </w:r>
          </w:p>
        </w:tc>
        <w:tc>
          <w:tcPr>
            <w:tcW w:w="404"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根据审计监督、财政检查结果、绩效评价结果反映项目管理是否合规</w:t>
            </w:r>
          </w:p>
        </w:tc>
        <w:tc>
          <w:tcPr>
            <w:tcW w:w="506"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通过基础数据统计表、访谈调查表进行资料收集</w:t>
            </w:r>
          </w:p>
        </w:tc>
        <w:tc>
          <w:tcPr>
            <w:tcW w:w="252" w:type="pct"/>
            <w:shd w:val="clear" w:color="000000" w:fill="FFFFFF"/>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2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261" w:type="pct"/>
            <w:shd w:val="clear" w:color="000000" w:fill="FFFFFF"/>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未发现违纪行为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200" w:type="pct"/>
            <w:vMerge w:val="restart"/>
            <w:shd w:val="clear" w:color="auto" w:fill="auto"/>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项目效果</w:t>
            </w:r>
          </w:p>
        </w:tc>
        <w:tc>
          <w:tcPr>
            <w:tcW w:w="152" w:type="pct"/>
            <w:vMerge w:val="restar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社会效益</w:t>
            </w:r>
          </w:p>
        </w:tc>
        <w:tc>
          <w:tcPr>
            <w:tcW w:w="25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老年人生活便利度</w:t>
            </w:r>
          </w:p>
        </w:tc>
        <w:tc>
          <w:tcPr>
            <w:tcW w:w="304"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通过项目是否提升了基础设施建设、便利了相关群体的生产生活。</w:t>
            </w:r>
          </w:p>
        </w:tc>
        <w:tc>
          <w:tcPr>
            <w:tcW w:w="15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分级评分法</w:t>
            </w:r>
          </w:p>
        </w:tc>
        <w:tc>
          <w:tcPr>
            <w:tcW w:w="15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无效益</w:t>
            </w:r>
          </w:p>
        </w:tc>
        <w:tc>
          <w:tcPr>
            <w:tcW w:w="20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效益较差</w:t>
            </w:r>
          </w:p>
        </w:tc>
        <w:tc>
          <w:tcPr>
            <w:tcW w:w="20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效益一般</w:t>
            </w:r>
          </w:p>
        </w:tc>
        <w:tc>
          <w:tcPr>
            <w:tcW w:w="20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效益较好</w:t>
            </w:r>
          </w:p>
        </w:tc>
        <w:tc>
          <w:tcPr>
            <w:tcW w:w="15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效益明显</w:t>
            </w:r>
          </w:p>
        </w:tc>
        <w:tc>
          <w:tcPr>
            <w:tcW w:w="404"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根据实地勘察情况和相关群体访谈，了解项目效益。</w:t>
            </w:r>
          </w:p>
        </w:tc>
        <w:tc>
          <w:tcPr>
            <w:tcW w:w="506"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通过实地勘察和相关群体访谈了解项目效益</w:t>
            </w:r>
          </w:p>
        </w:tc>
        <w:tc>
          <w:tcPr>
            <w:tcW w:w="25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7.00</w:t>
            </w:r>
          </w:p>
        </w:tc>
        <w:tc>
          <w:tcPr>
            <w:tcW w:w="2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7.00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261" w:type="pct"/>
            <w:shd w:val="clear" w:color="auto" w:fill="auto"/>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根据项目点走访发现，适老化改造方便了特殊困难老人的日常生活。比如为如厕不便的老人修建清洁厕所等改善了生活环境。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200" w:type="pct"/>
            <w:vMerge w:val="continue"/>
            <w:vAlign w:val="center"/>
          </w:tcPr>
          <w:p>
            <w:pPr>
              <w:widowControl/>
              <w:spacing w:after="217" w:line="280" w:lineRule="exact"/>
              <w:ind w:firstLine="0" w:firstLineChars="0"/>
              <w:jc w:val="left"/>
              <w:rPr>
                <w:rFonts w:eastAsia="宋体" w:cs="Times New Roman"/>
                <w:b/>
                <w:bCs/>
                <w:kern w:val="0"/>
                <w:sz w:val="20"/>
                <w:szCs w:val="20"/>
              </w:rPr>
            </w:pPr>
          </w:p>
        </w:tc>
        <w:tc>
          <w:tcPr>
            <w:tcW w:w="152" w:type="pct"/>
            <w:vMerge w:val="continue"/>
            <w:vAlign w:val="center"/>
          </w:tcPr>
          <w:p>
            <w:pPr>
              <w:widowControl/>
              <w:spacing w:after="217" w:line="280" w:lineRule="exact"/>
              <w:ind w:firstLine="0" w:firstLineChars="0"/>
              <w:jc w:val="left"/>
              <w:rPr>
                <w:rFonts w:eastAsia="宋体" w:cs="Times New Roman"/>
                <w:kern w:val="0"/>
                <w:sz w:val="20"/>
                <w:szCs w:val="20"/>
              </w:rPr>
            </w:pPr>
          </w:p>
        </w:tc>
        <w:tc>
          <w:tcPr>
            <w:tcW w:w="25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设施使用率</w:t>
            </w:r>
          </w:p>
        </w:tc>
        <w:tc>
          <w:tcPr>
            <w:tcW w:w="304"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考察项目对老年人服务产生带动作用，是否丰富老年人的日常生活。</w:t>
            </w:r>
          </w:p>
        </w:tc>
        <w:tc>
          <w:tcPr>
            <w:tcW w:w="15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分级评分法</w:t>
            </w:r>
          </w:p>
        </w:tc>
        <w:tc>
          <w:tcPr>
            <w:tcW w:w="15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新建和改造项目使用率＜60</w:t>
            </w:r>
            <w:r>
              <w:rPr>
                <w:rFonts w:hint="eastAsia" w:eastAsia="宋体" w:cs="Times New Roman"/>
                <w:kern w:val="0"/>
                <w:sz w:val="20"/>
                <w:szCs w:val="20"/>
              </w:rPr>
              <w:t>.00</w:t>
            </w:r>
            <w:r>
              <w:rPr>
                <w:rFonts w:eastAsia="宋体" w:cs="Times New Roman"/>
                <w:kern w:val="0"/>
                <w:sz w:val="20"/>
                <w:szCs w:val="20"/>
              </w:rPr>
              <w:t>%</w:t>
            </w:r>
          </w:p>
        </w:tc>
        <w:tc>
          <w:tcPr>
            <w:tcW w:w="20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70%＞使用率≥60%</w:t>
            </w:r>
          </w:p>
        </w:tc>
        <w:tc>
          <w:tcPr>
            <w:tcW w:w="20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80%＞使用率≥70%</w:t>
            </w:r>
          </w:p>
        </w:tc>
        <w:tc>
          <w:tcPr>
            <w:tcW w:w="20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90%＞使用率≥80%</w:t>
            </w:r>
          </w:p>
        </w:tc>
        <w:tc>
          <w:tcPr>
            <w:tcW w:w="15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使用率≥90%</w:t>
            </w:r>
          </w:p>
        </w:tc>
        <w:tc>
          <w:tcPr>
            <w:tcW w:w="404"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新建和改造项目个数之和取平均值。</w:t>
            </w:r>
          </w:p>
        </w:tc>
        <w:tc>
          <w:tcPr>
            <w:tcW w:w="506"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根据现场勘查、相关群体访谈和问卷调查，了解资金支持的文娱设施的使用情况。主要根据问卷相关问题权重得分衡量该指标。</w:t>
            </w:r>
          </w:p>
        </w:tc>
        <w:tc>
          <w:tcPr>
            <w:tcW w:w="252" w:type="pct"/>
            <w:shd w:val="clear" w:color="auto" w:fill="auto"/>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7.00</w:t>
            </w:r>
          </w:p>
        </w:tc>
        <w:tc>
          <w:tcPr>
            <w:tcW w:w="2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6.00</w:t>
            </w:r>
          </w:p>
        </w:tc>
        <w:tc>
          <w:tcPr>
            <w:tcW w:w="353" w:type="pct"/>
            <w:shd w:val="clear" w:color="auto" w:fill="auto"/>
            <w:noWrap/>
            <w:vAlign w:val="center"/>
          </w:tcPr>
          <w:p>
            <w:pPr>
              <w:widowControl/>
              <w:spacing w:after="217" w:line="280" w:lineRule="exact"/>
              <w:ind w:firstLine="0" w:firstLineChars="0"/>
              <w:jc w:val="center"/>
              <w:rPr>
                <w:rFonts w:eastAsia="宋体" w:cs="Times New Roman"/>
                <w:kern w:val="0"/>
                <w:sz w:val="20"/>
                <w:szCs w:val="20"/>
              </w:rPr>
            </w:pPr>
            <w:r>
              <w:rPr>
                <w:rFonts w:eastAsia="宋体" w:cs="Times New Roman"/>
                <w:kern w:val="0"/>
                <w:sz w:val="20"/>
                <w:szCs w:val="20"/>
              </w:rPr>
              <w:t>85.71%</w:t>
            </w:r>
          </w:p>
        </w:tc>
        <w:tc>
          <w:tcPr>
            <w:tcW w:w="1261" w:type="pct"/>
            <w:shd w:val="clear" w:color="auto" w:fill="auto"/>
            <w:vAlign w:val="center"/>
          </w:tcPr>
          <w:p>
            <w:pPr>
              <w:widowControl/>
              <w:spacing w:after="217" w:line="280" w:lineRule="exact"/>
              <w:ind w:firstLine="0" w:firstLineChars="0"/>
              <w:jc w:val="left"/>
              <w:rPr>
                <w:rFonts w:eastAsia="宋体" w:cs="Times New Roman"/>
                <w:kern w:val="0"/>
                <w:sz w:val="20"/>
                <w:szCs w:val="20"/>
              </w:rPr>
            </w:pPr>
            <w:r>
              <w:rPr>
                <w:rFonts w:eastAsia="宋体" w:cs="Times New Roman"/>
                <w:kern w:val="0"/>
                <w:sz w:val="20"/>
                <w:szCs w:val="20"/>
              </w:rPr>
              <w:t>扣分点：汉旺镇集贤社区日照中心，项目点棋牌室和舞蹈室并未有老年人使用，老年人集中在楼上的其他活动室，据反映一般没有人使用，使用率小于60</w:t>
            </w:r>
            <w:r>
              <w:rPr>
                <w:rFonts w:hint="eastAsia" w:eastAsia="宋体" w:cs="Times New Roman"/>
                <w:kern w:val="0"/>
                <w:sz w:val="20"/>
                <w:szCs w:val="20"/>
              </w:rPr>
              <w:t>.00</w:t>
            </w:r>
            <w:r>
              <w:rPr>
                <w:rFonts w:eastAsia="宋体" w:cs="Times New Roman"/>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2881" w:type="pct"/>
            <w:gridSpan w:val="12"/>
            <w:shd w:val="clear" w:color="auto" w:fill="auto"/>
            <w:noWrap/>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合计</w:t>
            </w:r>
          </w:p>
        </w:tc>
        <w:tc>
          <w:tcPr>
            <w:tcW w:w="252" w:type="pct"/>
            <w:shd w:val="clear" w:color="auto" w:fill="auto"/>
            <w:noWrap/>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100</w:t>
            </w:r>
            <w:r>
              <w:rPr>
                <w:rFonts w:hint="eastAsia" w:eastAsia="宋体" w:cs="Times New Roman"/>
                <w:b/>
                <w:bCs/>
                <w:kern w:val="0"/>
                <w:sz w:val="20"/>
                <w:szCs w:val="20"/>
              </w:rPr>
              <w:t>.00</w:t>
            </w:r>
          </w:p>
        </w:tc>
        <w:tc>
          <w:tcPr>
            <w:tcW w:w="253" w:type="pct"/>
            <w:shd w:val="clear" w:color="auto" w:fill="auto"/>
            <w:noWrap/>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81.38</w:t>
            </w:r>
          </w:p>
        </w:tc>
        <w:tc>
          <w:tcPr>
            <w:tcW w:w="353" w:type="pct"/>
            <w:shd w:val="clear" w:color="auto" w:fill="auto"/>
            <w:noWrap/>
            <w:vAlign w:val="center"/>
          </w:tcPr>
          <w:p>
            <w:pPr>
              <w:widowControl/>
              <w:spacing w:after="217" w:line="280" w:lineRule="exact"/>
              <w:ind w:firstLine="0" w:firstLineChars="0"/>
              <w:jc w:val="center"/>
              <w:rPr>
                <w:rFonts w:eastAsia="宋体" w:cs="Times New Roman"/>
                <w:b/>
                <w:bCs/>
                <w:kern w:val="0"/>
                <w:sz w:val="20"/>
                <w:szCs w:val="20"/>
              </w:rPr>
            </w:pPr>
            <w:r>
              <w:rPr>
                <w:rFonts w:eastAsia="宋体" w:cs="Times New Roman"/>
                <w:b/>
                <w:bCs/>
                <w:kern w:val="0"/>
                <w:sz w:val="20"/>
                <w:szCs w:val="20"/>
              </w:rPr>
              <w:t>81.38%</w:t>
            </w:r>
          </w:p>
        </w:tc>
        <w:tc>
          <w:tcPr>
            <w:tcW w:w="1261" w:type="pct"/>
            <w:shd w:val="clear" w:color="auto" w:fill="auto"/>
            <w:noWrap/>
            <w:vAlign w:val="center"/>
          </w:tcPr>
          <w:p>
            <w:pPr>
              <w:widowControl/>
              <w:spacing w:after="217" w:line="280" w:lineRule="exact"/>
              <w:ind w:firstLine="0" w:firstLineChars="0"/>
              <w:jc w:val="center"/>
              <w:rPr>
                <w:rFonts w:eastAsia="宋体" w:cs="Times New Roman"/>
                <w:b/>
                <w:bCs/>
                <w:kern w:val="0"/>
                <w:sz w:val="20"/>
                <w:szCs w:val="20"/>
              </w:rPr>
            </w:pPr>
            <w:r>
              <w:rPr>
                <w:rFonts w:hint="eastAsia" w:eastAsia="宋体" w:cs="Times New Roman"/>
                <w:b/>
                <w:bCs/>
                <w:kern w:val="0"/>
                <w:sz w:val="20"/>
                <w:szCs w:val="20"/>
              </w:rPr>
              <w:t>——</w:t>
            </w:r>
          </w:p>
        </w:tc>
      </w:tr>
    </w:tbl>
    <w:p>
      <w:pPr>
        <w:spacing w:before="217" w:after="217"/>
        <w:ind w:firstLine="0" w:firstLineChars="0"/>
        <w:rPr>
          <w:rFonts w:eastAsia="宋体" w:cs="Times New Roman"/>
          <w:szCs w:val="36"/>
        </w:rPr>
      </w:pPr>
    </w:p>
    <w:sectPr>
      <w:pgSz w:w="16838" w:h="11906" w:orient="landscape"/>
      <w:pgMar w:top="1800" w:right="1440" w:bottom="1800" w:left="1440"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00010" w:usb3="00000000" w:csb0="00040001" w:csb1="00000000"/>
  </w:font>
  <w:font w:name="小标宋">
    <w:altName w:val="宋体"/>
    <w:panose1 w:val="00000000000000000000"/>
    <w:charset w:val="86"/>
    <w:family w:val="roman"/>
    <w:pitch w:val="default"/>
    <w:sig w:usb0="00000000" w:usb1="00000000" w:usb2="00000000" w:usb3="00000000" w:csb0="00000000" w:csb1="00000000"/>
  </w:font>
  <w:font w:name="幼圆">
    <w:altName w:val="宋体"/>
    <w:panose1 w:val="02010509060101010101"/>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after="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1259095"/>
      <w:docPartObj>
        <w:docPartGallery w:val="AutoText"/>
      </w:docPartObj>
    </w:sdtPr>
    <w:sdtContent>
      <w:p>
        <w:pPr>
          <w:pStyle w:val="12"/>
          <w:spacing w:before="120" w:after="120"/>
          <w:ind w:firstLine="360"/>
          <w:jc w:val="center"/>
        </w:pPr>
        <w:r>
          <w:fldChar w:fldCharType="begin"/>
        </w:r>
        <w:r>
          <w:instrText xml:space="preserve">PAGE   \* MERGEFORMAT</w:instrText>
        </w:r>
        <w:r>
          <w:fldChar w:fldCharType="separate"/>
        </w:r>
        <w:r>
          <w:rPr>
            <w:lang w:val="zh-CN"/>
          </w:rPr>
          <w:t>ii</w:t>
        </w:r>
        <w:r>
          <w:fldChar w:fldCharType="end"/>
        </w:r>
      </w:p>
    </w:sdtContent>
  </w:sdt>
  <w:p>
    <w:pPr>
      <w:pStyle w:val="12"/>
      <w:spacing w:before="120" w:after="120"/>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5797241"/>
      <w:docPartObj>
        <w:docPartGallery w:val="AutoText"/>
      </w:docPartObj>
    </w:sdtPr>
    <w:sdtContent>
      <w:p>
        <w:pPr>
          <w:pStyle w:val="12"/>
          <w:spacing w:before="120" w:after="120"/>
          <w:ind w:firstLine="360"/>
          <w:jc w:val="center"/>
        </w:pPr>
        <w:r>
          <w:fldChar w:fldCharType="begin"/>
        </w:r>
        <w:r>
          <w:instrText xml:space="preserve">PAGE   \* MERGEFORMAT</w:instrText>
        </w:r>
        <w:r>
          <w:fldChar w:fldCharType="separate"/>
        </w:r>
        <w:r>
          <w:rPr>
            <w:lang w:val="zh-CN"/>
          </w:rPr>
          <w:t>36</w:t>
        </w:r>
        <w:r>
          <w:fldChar w:fldCharType="end"/>
        </w:r>
      </w:p>
    </w:sdtContent>
  </w:sdt>
  <w:p>
    <w:pPr>
      <w:pStyle w:val="12"/>
      <w:spacing w:before="120" w:after="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before="0" w:after="0" w:line="240" w:lineRule="auto"/>
        <w:ind w:firstLine="640"/>
      </w:pPr>
      <w:r>
        <w:separator/>
      </w:r>
    </w:p>
  </w:footnote>
  <w:footnote w:type="continuationSeparator" w:id="5">
    <w:p>
      <w:pPr>
        <w:spacing w:before="0" w:after="0" w:line="240" w:lineRule="auto"/>
        <w:ind w:firstLine="640"/>
      </w:pPr>
      <w:r>
        <w:continuationSeparator/>
      </w:r>
    </w:p>
  </w:footnote>
  <w:footnote w:id="0">
    <w:p>
      <w:pPr>
        <w:pStyle w:val="16"/>
        <w:spacing w:before="156" w:after="217"/>
        <w:ind w:firstLine="360"/>
      </w:pPr>
      <w:r>
        <w:rPr>
          <w:rStyle w:val="26"/>
        </w:rPr>
        <w:footnoteRef/>
      </w:r>
      <w:r>
        <w:t xml:space="preserve"> </w:t>
      </w:r>
      <w:r>
        <w:rPr>
          <w:rFonts w:hint="eastAsia" w:ascii="黑体" w:hAnsi="黑体" w:eastAsia="黑体"/>
        </w:rPr>
        <w:t>评价结果分为优、良、中、低、差五个档次。其中：优（得分</w:t>
      </w:r>
      <m:oMath>
        <m:r>
          <m:rPr>
            <m:sty m:val="p"/>
          </m:rPr>
          <w:rPr>
            <w:rFonts w:ascii="Cambria Math" w:hAnsi="Cambria Math" w:eastAsia="黑体"/>
          </w:rPr>
          <m:t>≥</m:t>
        </m:r>
      </m:oMath>
      <w:r>
        <w:rPr>
          <w:rFonts w:hint="eastAsia" w:ascii="黑体" w:hAnsi="黑体" w:eastAsia="黑体"/>
        </w:rPr>
        <w:t>90），良（90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80），中（80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70），低（70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50），差（得分</w:t>
      </w:r>
      <m:oMath>
        <m:r>
          <m:rPr>
            <m:sty m:val="p"/>
          </m:rPr>
          <w:rPr>
            <w:rFonts w:ascii="Cambria Math" w:hAnsi="Cambria Math" w:eastAsia="黑体"/>
          </w:rPr>
          <m:t>&lt;</m:t>
        </m:r>
      </m:oMath>
      <w:r>
        <w:rPr>
          <w:rFonts w:hint="eastAsia" w:ascii="黑体" w:hAnsi="黑体" w:eastAsia="黑体"/>
        </w:rPr>
        <w:t>50）。</w:t>
      </w:r>
    </w:p>
  </w:footnote>
  <w:footnote w:id="1">
    <w:p>
      <w:pPr>
        <w:pStyle w:val="16"/>
        <w:spacing w:before="217" w:after="217" w:line="276" w:lineRule="auto"/>
        <w:ind w:firstLine="360"/>
        <w:rPr>
          <w:rFonts w:ascii="黑体" w:hAnsi="黑体" w:eastAsia="黑体"/>
        </w:rPr>
      </w:pPr>
      <w:r>
        <w:rPr>
          <w:rStyle w:val="26"/>
          <w:rFonts w:ascii="黑体" w:hAnsi="黑体" w:eastAsia="黑体"/>
        </w:rPr>
        <w:footnoteRef/>
      </w:r>
      <w:r>
        <w:rPr>
          <w:rFonts w:ascii="黑体" w:hAnsi="黑体" w:eastAsia="黑体"/>
        </w:rPr>
        <w:t xml:space="preserve"> </w:t>
      </w:r>
      <w:r>
        <w:rPr>
          <w:rFonts w:hint="eastAsia" w:ascii="黑体" w:hAnsi="黑体" w:eastAsia="黑体"/>
        </w:rPr>
        <w:t>得分详情及评价情况见 附件</w:t>
      </w:r>
      <w:r>
        <w:rPr>
          <w:rFonts w:ascii="黑体" w:hAnsi="黑体" w:eastAsia="黑体"/>
        </w:rPr>
        <w:t xml:space="preserve"> </w:t>
      </w:r>
      <w:r>
        <w:rPr>
          <w:rFonts w:hint="eastAsia" w:ascii="黑体" w:hAnsi="黑体" w:eastAsia="黑体"/>
        </w:rPr>
        <w:t>城乡居民养老保险财政补助项目支出绩效评价指标得分表。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spacing w:before="120" w:after="120"/>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EE6"/>
    <w:rsid w:val="0001041D"/>
    <w:rsid w:val="00033F36"/>
    <w:rsid w:val="00051DF6"/>
    <w:rsid w:val="00054FAB"/>
    <w:rsid w:val="000577F7"/>
    <w:rsid w:val="0006250A"/>
    <w:rsid w:val="000641E7"/>
    <w:rsid w:val="000A2E46"/>
    <w:rsid w:val="000A305B"/>
    <w:rsid w:val="000A6410"/>
    <w:rsid w:val="0010571D"/>
    <w:rsid w:val="001130CA"/>
    <w:rsid w:val="00120BD8"/>
    <w:rsid w:val="00130C16"/>
    <w:rsid w:val="00134DB8"/>
    <w:rsid w:val="001469A7"/>
    <w:rsid w:val="00146F6F"/>
    <w:rsid w:val="00150662"/>
    <w:rsid w:val="00156198"/>
    <w:rsid w:val="00177350"/>
    <w:rsid w:val="00196CF4"/>
    <w:rsid w:val="001A5B95"/>
    <w:rsid w:val="001B1F0E"/>
    <w:rsid w:val="001B39A0"/>
    <w:rsid w:val="001C3C92"/>
    <w:rsid w:val="001D6D94"/>
    <w:rsid w:val="001E33CB"/>
    <w:rsid w:val="001E46F5"/>
    <w:rsid w:val="001E74B2"/>
    <w:rsid w:val="001F502C"/>
    <w:rsid w:val="00227A4D"/>
    <w:rsid w:val="00227B1C"/>
    <w:rsid w:val="00246A46"/>
    <w:rsid w:val="00260401"/>
    <w:rsid w:val="00270AFD"/>
    <w:rsid w:val="0027530B"/>
    <w:rsid w:val="00280A69"/>
    <w:rsid w:val="00284419"/>
    <w:rsid w:val="002A1534"/>
    <w:rsid w:val="002A2D81"/>
    <w:rsid w:val="002C6C3C"/>
    <w:rsid w:val="002D6E03"/>
    <w:rsid w:val="002D7C33"/>
    <w:rsid w:val="002E0C9A"/>
    <w:rsid w:val="002E22AC"/>
    <w:rsid w:val="002E6944"/>
    <w:rsid w:val="002F3368"/>
    <w:rsid w:val="0030600D"/>
    <w:rsid w:val="00306CDE"/>
    <w:rsid w:val="00310371"/>
    <w:rsid w:val="0031237A"/>
    <w:rsid w:val="00317F94"/>
    <w:rsid w:val="00333D02"/>
    <w:rsid w:val="00350E1E"/>
    <w:rsid w:val="00360508"/>
    <w:rsid w:val="003718BC"/>
    <w:rsid w:val="0038352A"/>
    <w:rsid w:val="00395B79"/>
    <w:rsid w:val="003A0D1F"/>
    <w:rsid w:val="003B0BAF"/>
    <w:rsid w:val="003B499D"/>
    <w:rsid w:val="003C228E"/>
    <w:rsid w:val="003C3F9C"/>
    <w:rsid w:val="003D42EF"/>
    <w:rsid w:val="003D6B9C"/>
    <w:rsid w:val="003E5B93"/>
    <w:rsid w:val="003F35D5"/>
    <w:rsid w:val="003F428D"/>
    <w:rsid w:val="00404F35"/>
    <w:rsid w:val="004069B2"/>
    <w:rsid w:val="0042480A"/>
    <w:rsid w:val="00425DCB"/>
    <w:rsid w:val="00426675"/>
    <w:rsid w:val="00433DAD"/>
    <w:rsid w:val="00440E57"/>
    <w:rsid w:val="0044619B"/>
    <w:rsid w:val="00450CCA"/>
    <w:rsid w:val="00451EE6"/>
    <w:rsid w:val="00456C1C"/>
    <w:rsid w:val="00474CF1"/>
    <w:rsid w:val="004752B2"/>
    <w:rsid w:val="00477DD1"/>
    <w:rsid w:val="00484D67"/>
    <w:rsid w:val="0049266C"/>
    <w:rsid w:val="00494023"/>
    <w:rsid w:val="00496A7B"/>
    <w:rsid w:val="004A293F"/>
    <w:rsid w:val="004A7E8E"/>
    <w:rsid w:val="004B4732"/>
    <w:rsid w:val="004C484E"/>
    <w:rsid w:val="004D48C4"/>
    <w:rsid w:val="004E3DF0"/>
    <w:rsid w:val="004F7638"/>
    <w:rsid w:val="00504880"/>
    <w:rsid w:val="00530D9E"/>
    <w:rsid w:val="00537030"/>
    <w:rsid w:val="00537663"/>
    <w:rsid w:val="005426F9"/>
    <w:rsid w:val="00555EA6"/>
    <w:rsid w:val="00563FB9"/>
    <w:rsid w:val="00567BBE"/>
    <w:rsid w:val="00577061"/>
    <w:rsid w:val="00583BEE"/>
    <w:rsid w:val="00584A04"/>
    <w:rsid w:val="005A6C1A"/>
    <w:rsid w:val="005C51F7"/>
    <w:rsid w:val="005C7F0C"/>
    <w:rsid w:val="005E36B2"/>
    <w:rsid w:val="00685D3D"/>
    <w:rsid w:val="006A6AB5"/>
    <w:rsid w:val="006C04C7"/>
    <w:rsid w:val="006C6992"/>
    <w:rsid w:val="006C6C45"/>
    <w:rsid w:val="00716C70"/>
    <w:rsid w:val="007215A1"/>
    <w:rsid w:val="00726293"/>
    <w:rsid w:val="0074033E"/>
    <w:rsid w:val="0074146B"/>
    <w:rsid w:val="00744E1A"/>
    <w:rsid w:val="00757CD3"/>
    <w:rsid w:val="007823B5"/>
    <w:rsid w:val="007913FB"/>
    <w:rsid w:val="0079469A"/>
    <w:rsid w:val="007C0228"/>
    <w:rsid w:val="007C1C44"/>
    <w:rsid w:val="007D020E"/>
    <w:rsid w:val="007E0584"/>
    <w:rsid w:val="007F08EF"/>
    <w:rsid w:val="007F2882"/>
    <w:rsid w:val="008164FF"/>
    <w:rsid w:val="00820EA0"/>
    <w:rsid w:val="00825BFA"/>
    <w:rsid w:val="00872CED"/>
    <w:rsid w:val="00882E0C"/>
    <w:rsid w:val="00892A7E"/>
    <w:rsid w:val="008A510B"/>
    <w:rsid w:val="008C1550"/>
    <w:rsid w:val="008C19DF"/>
    <w:rsid w:val="008C22D4"/>
    <w:rsid w:val="008D6C66"/>
    <w:rsid w:val="008F13B5"/>
    <w:rsid w:val="008F298A"/>
    <w:rsid w:val="00907F5B"/>
    <w:rsid w:val="00922AA5"/>
    <w:rsid w:val="0092422E"/>
    <w:rsid w:val="00941F5F"/>
    <w:rsid w:val="009435BD"/>
    <w:rsid w:val="00946A07"/>
    <w:rsid w:val="00946C0F"/>
    <w:rsid w:val="009502B9"/>
    <w:rsid w:val="009610F6"/>
    <w:rsid w:val="009626A8"/>
    <w:rsid w:val="0097471A"/>
    <w:rsid w:val="00980F5E"/>
    <w:rsid w:val="00986A36"/>
    <w:rsid w:val="0099260A"/>
    <w:rsid w:val="009967FB"/>
    <w:rsid w:val="009971F7"/>
    <w:rsid w:val="009A46AD"/>
    <w:rsid w:val="009B10C6"/>
    <w:rsid w:val="009B3562"/>
    <w:rsid w:val="009C3BBE"/>
    <w:rsid w:val="009D4F63"/>
    <w:rsid w:val="00A619BC"/>
    <w:rsid w:val="00A75D8E"/>
    <w:rsid w:val="00A75E09"/>
    <w:rsid w:val="00A86176"/>
    <w:rsid w:val="00AA0E97"/>
    <w:rsid w:val="00AA196E"/>
    <w:rsid w:val="00AA5B52"/>
    <w:rsid w:val="00AD255F"/>
    <w:rsid w:val="00AE3A7F"/>
    <w:rsid w:val="00AE77A3"/>
    <w:rsid w:val="00AF788C"/>
    <w:rsid w:val="00B2375D"/>
    <w:rsid w:val="00B602E0"/>
    <w:rsid w:val="00B60D7C"/>
    <w:rsid w:val="00B6116C"/>
    <w:rsid w:val="00B67737"/>
    <w:rsid w:val="00B70A5A"/>
    <w:rsid w:val="00B71B04"/>
    <w:rsid w:val="00B730D8"/>
    <w:rsid w:val="00B8588B"/>
    <w:rsid w:val="00BA58F2"/>
    <w:rsid w:val="00BA7809"/>
    <w:rsid w:val="00BC3F49"/>
    <w:rsid w:val="00BC6D0A"/>
    <w:rsid w:val="00BD752B"/>
    <w:rsid w:val="00BE1393"/>
    <w:rsid w:val="00BE2470"/>
    <w:rsid w:val="00BF62DC"/>
    <w:rsid w:val="00C1178F"/>
    <w:rsid w:val="00C247D5"/>
    <w:rsid w:val="00C30A9C"/>
    <w:rsid w:val="00C3529E"/>
    <w:rsid w:val="00C46DED"/>
    <w:rsid w:val="00C47841"/>
    <w:rsid w:val="00C56DB7"/>
    <w:rsid w:val="00C57725"/>
    <w:rsid w:val="00C75A21"/>
    <w:rsid w:val="00CA0C42"/>
    <w:rsid w:val="00CA7117"/>
    <w:rsid w:val="00CA7535"/>
    <w:rsid w:val="00CD048C"/>
    <w:rsid w:val="00CE703C"/>
    <w:rsid w:val="00D26F10"/>
    <w:rsid w:val="00D501F7"/>
    <w:rsid w:val="00D82179"/>
    <w:rsid w:val="00D9177F"/>
    <w:rsid w:val="00DA61D7"/>
    <w:rsid w:val="00DB2601"/>
    <w:rsid w:val="00DB290E"/>
    <w:rsid w:val="00DB46FA"/>
    <w:rsid w:val="00DC28DC"/>
    <w:rsid w:val="00DC7CA5"/>
    <w:rsid w:val="00DD0792"/>
    <w:rsid w:val="00DD5B12"/>
    <w:rsid w:val="00DF56D6"/>
    <w:rsid w:val="00E1581E"/>
    <w:rsid w:val="00E32D31"/>
    <w:rsid w:val="00E6415F"/>
    <w:rsid w:val="00E6696F"/>
    <w:rsid w:val="00E66F5B"/>
    <w:rsid w:val="00E852EB"/>
    <w:rsid w:val="00E9670F"/>
    <w:rsid w:val="00EB706D"/>
    <w:rsid w:val="00EC13AD"/>
    <w:rsid w:val="00ED0B94"/>
    <w:rsid w:val="00ED14AC"/>
    <w:rsid w:val="00EE697E"/>
    <w:rsid w:val="00F13660"/>
    <w:rsid w:val="00F176A8"/>
    <w:rsid w:val="00F46C85"/>
    <w:rsid w:val="00F51F7D"/>
    <w:rsid w:val="00F579BF"/>
    <w:rsid w:val="00F66ED5"/>
    <w:rsid w:val="00F85A9C"/>
    <w:rsid w:val="00F956A0"/>
    <w:rsid w:val="00FA3A46"/>
    <w:rsid w:val="00FA79B1"/>
    <w:rsid w:val="00FB23F0"/>
    <w:rsid w:val="00FB73AC"/>
    <w:rsid w:val="00FF03E3"/>
    <w:rsid w:val="00FF198E"/>
    <w:rsid w:val="00FF5A0B"/>
    <w:rsid w:val="16757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qFormat="1" w:uiPriority="39" w:semiHidden="0" w:name="toc 7"/>
    <w:lsdException w:uiPriority="39" w:semiHidden="0" w:name="toc 8"/>
    <w:lsdException w:qFormat="1" w:uiPriority="39" w:semiHidden="0" w:name="toc 9"/>
    <w:lsdException w:uiPriority="99" w:name="Normal Indent"/>
    <w:lsdException w:uiPriority="0"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0" w:semiHidden="0"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50" w:afterLines="50" w:line="56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link w:val="28"/>
    <w:qFormat/>
    <w:uiPriority w:val="9"/>
    <w:pPr>
      <w:keepNext/>
      <w:keepLines/>
      <w:outlineLvl w:val="0"/>
    </w:pPr>
    <w:rPr>
      <w:rFonts w:eastAsia="黑体"/>
      <w:b/>
      <w:bCs/>
      <w:kern w:val="44"/>
      <w:sz w:val="36"/>
      <w:szCs w:val="44"/>
    </w:rPr>
  </w:style>
  <w:style w:type="paragraph" w:styleId="3">
    <w:name w:val="heading 2"/>
    <w:basedOn w:val="1"/>
    <w:next w:val="1"/>
    <w:link w:val="27"/>
    <w:unhideWhenUsed/>
    <w:qFormat/>
    <w:uiPriority w:val="9"/>
    <w:pPr>
      <w:keepNext/>
      <w:keepLines/>
      <w:outlineLvl w:val="1"/>
    </w:pPr>
    <w:rPr>
      <w:rFonts w:eastAsia="楷体_GB2312" w:cstheme="majorBidi"/>
      <w:b/>
      <w:bCs/>
      <w:szCs w:val="32"/>
    </w:rPr>
  </w:style>
  <w:style w:type="paragraph" w:styleId="4">
    <w:name w:val="heading 3"/>
    <w:basedOn w:val="1"/>
    <w:next w:val="1"/>
    <w:link w:val="29"/>
    <w:unhideWhenUsed/>
    <w:qFormat/>
    <w:uiPriority w:val="9"/>
    <w:pPr>
      <w:keepNext/>
      <w:keepLines/>
      <w:outlineLvl w:val="2"/>
    </w:pPr>
    <w:rPr>
      <w:b/>
      <w:bCs/>
      <w:szCs w:val="32"/>
    </w:rPr>
  </w:style>
  <w:style w:type="paragraph" w:styleId="5">
    <w:name w:val="heading 4"/>
    <w:basedOn w:val="1"/>
    <w:next w:val="1"/>
    <w:link w:val="37"/>
    <w:unhideWhenUsed/>
    <w:qFormat/>
    <w:uiPriority w:val="9"/>
    <w:pPr>
      <w:keepNext/>
      <w:keepLines/>
      <w:spacing w:before="280" w:after="290" w:line="376" w:lineRule="atLeast"/>
      <w:outlineLvl w:val="3"/>
    </w:pPr>
    <w:rPr>
      <w:rFonts w:asciiTheme="majorHAnsi" w:hAnsiTheme="majorHAnsi" w:eastAsiaTheme="majorEastAsia" w:cstheme="majorBidi"/>
      <w:b/>
      <w:bCs/>
      <w:szCs w:val="28"/>
    </w:rPr>
  </w:style>
  <w:style w:type="character" w:default="1" w:styleId="23">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6">
    <w:name w:val="toc 7"/>
    <w:basedOn w:val="1"/>
    <w:next w:val="1"/>
    <w:unhideWhenUsed/>
    <w:qFormat/>
    <w:uiPriority w:val="39"/>
    <w:pPr>
      <w:spacing w:after="0"/>
      <w:ind w:left="1920"/>
      <w:jc w:val="left"/>
    </w:pPr>
    <w:rPr>
      <w:rFonts w:asciiTheme="minorHAnsi" w:eastAsiaTheme="minorHAnsi"/>
      <w:sz w:val="18"/>
      <w:szCs w:val="18"/>
    </w:rPr>
  </w:style>
  <w:style w:type="paragraph" w:styleId="7">
    <w:name w:val="annotation text"/>
    <w:basedOn w:val="1"/>
    <w:link w:val="36"/>
    <w:semiHidden/>
    <w:unhideWhenUsed/>
    <w:uiPriority w:val="99"/>
    <w:pPr>
      <w:jc w:val="left"/>
    </w:pPr>
  </w:style>
  <w:style w:type="paragraph" w:styleId="8">
    <w:name w:val="toc 5"/>
    <w:basedOn w:val="1"/>
    <w:next w:val="1"/>
    <w:unhideWhenUsed/>
    <w:uiPriority w:val="39"/>
    <w:pPr>
      <w:spacing w:after="0"/>
      <w:ind w:left="1280"/>
      <w:jc w:val="left"/>
    </w:pPr>
    <w:rPr>
      <w:rFonts w:asciiTheme="minorHAnsi" w:eastAsiaTheme="minorHAnsi"/>
      <w:sz w:val="18"/>
      <w:szCs w:val="18"/>
    </w:rPr>
  </w:style>
  <w:style w:type="paragraph" w:styleId="9">
    <w:name w:val="toc 3"/>
    <w:basedOn w:val="1"/>
    <w:next w:val="1"/>
    <w:unhideWhenUsed/>
    <w:uiPriority w:val="39"/>
    <w:pPr>
      <w:spacing w:after="0"/>
      <w:ind w:left="640"/>
      <w:jc w:val="left"/>
    </w:pPr>
    <w:rPr>
      <w:rFonts w:asciiTheme="minorHAnsi" w:eastAsiaTheme="minorHAnsi"/>
      <w:i/>
      <w:iCs/>
      <w:sz w:val="20"/>
      <w:szCs w:val="20"/>
    </w:rPr>
  </w:style>
  <w:style w:type="paragraph" w:styleId="10">
    <w:name w:val="toc 8"/>
    <w:basedOn w:val="1"/>
    <w:next w:val="1"/>
    <w:unhideWhenUsed/>
    <w:uiPriority w:val="39"/>
    <w:pPr>
      <w:spacing w:after="0"/>
      <w:ind w:left="2240"/>
      <w:jc w:val="left"/>
    </w:pPr>
    <w:rPr>
      <w:rFonts w:asciiTheme="minorHAnsi" w:eastAsiaTheme="minorHAnsi"/>
      <w:sz w:val="18"/>
      <w:szCs w:val="18"/>
    </w:rPr>
  </w:style>
  <w:style w:type="paragraph" w:styleId="11">
    <w:name w:val="Balloon Text"/>
    <w:basedOn w:val="1"/>
    <w:link w:val="32"/>
    <w:semiHidden/>
    <w:unhideWhenUsed/>
    <w:uiPriority w:val="99"/>
    <w:pPr>
      <w:spacing w:after="0" w:line="240" w:lineRule="auto"/>
    </w:pPr>
    <w:rPr>
      <w:sz w:val="18"/>
      <w:szCs w:val="18"/>
    </w:rPr>
  </w:style>
  <w:style w:type="paragraph" w:styleId="12">
    <w:name w:val="footer"/>
    <w:basedOn w:val="1"/>
    <w:link w:val="31"/>
    <w:unhideWhenUsed/>
    <w:uiPriority w:val="99"/>
    <w:pPr>
      <w:tabs>
        <w:tab w:val="center" w:pos="4153"/>
        <w:tab w:val="right" w:pos="8306"/>
      </w:tabs>
      <w:snapToGrid w:val="0"/>
      <w:jc w:val="left"/>
    </w:pPr>
    <w:rPr>
      <w:sz w:val="18"/>
      <w:szCs w:val="18"/>
    </w:rPr>
  </w:style>
  <w:style w:type="paragraph" w:styleId="13">
    <w:name w:val="header"/>
    <w:basedOn w:val="1"/>
    <w:link w:val="30"/>
    <w:unhideWhenUsed/>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spacing w:before="120" w:after="120"/>
      <w:jc w:val="left"/>
    </w:pPr>
    <w:rPr>
      <w:rFonts w:asciiTheme="minorHAnsi" w:eastAsiaTheme="minorHAnsi"/>
      <w:b/>
      <w:bCs/>
      <w:caps/>
      <w:sz w:val="20"/>
      <w:szCs w:val="20"/>
    </w:rPr>
  </w:style>
  <w:style w:type="paragraph" w:styleId="15">
    <w:name w:val="toc 4"/>
    <w:basedOn w:val="1"/>
    <w:next w:val="1"/>
    <w:unhideWhenUsed/>
    <w:uiPriority w:val="39"/>
    <w:pPr>
      <w:spacing w:after="0"/>
      <w:ind w:left="960"/>
      <w:jc w:val="left"/>
    </w:pPr>
    <w:rPr>
      <w:rFonts w:asciiTheme="minorHAnsi" w:eastAsiaTheme="minorHAnsi"/>
      <w:sz w:val="18"/>
      <w:szCs w:val="18"/>
    </w:rPr>
  </w:style>
  <w:style w:type="paragraph" w:styleId="16">
    <w:name w:val="footnote text"/>
    <w:basedOn w:val="1"/>
    <w:link w:val="33"/>
    <w:unhideWhenUsed/>
    <w:uiPriority w:val="0"/>
    <w:pPr>
      <w:snapToGrid w:val="0"/>
      <w:jc w:val="left"/>
    </w:pPr>
    <w:rPr>
      <w:sz w:val="18"/>
      <w:szCs w:val="18"/>
    </w:rPr>
  </w:style>
  <w:style w:type="paragraph" w:styleId="17">
    <w:name w:val="toc 6"/>
    <w:basedOn w:val="1"/>
    <w:next w:val="1"/>
    <w:unhideWhenUsed/>
    <w:uiPriority w:val="39"/>
    <w:pPr>
      <w:spacing w:after="0"/>
      <w:ind w:left="1600"/>
      <w:jc w:val="left"/>
    </w:pPr>
    <w:rPr>
      <w:rFonts w:asciiTheme="minorHAnsi" w:eastAsiaTheme="minorHAnsi"/>
      <w:sz w:val="18"/>
      <w:szCs w:val="18"/>
    </w:rPr>
  </w:style>
  <w:style w:type="paragraph" w:styleId="18">
    <w:name w:val="toc 2"/>
    <w:basedOn w:val="1"/>
    <w:next w:val="1"/>
    <w:unhideWhenUsed/>
    <w:uiPriority w:val="39"/>
    <w:pPr>
      <w:spacing w:after="0"/>
      <w:ind w:left="320"/>
      <w:jc w:val="left"/>
    </w:pPr>
    <w:rPr>
      <w:rFonts w:asciiTheme="minorHAnsi" w:eastAsiaTheme="minorHAnsi"/>
      <w:smallCaps/>
      <w:sz w:val="20"/>
      <w:szCs w:val="20"/>
    </w:rPr>
  </w:style>
  <w:style w:type="paragraph" w:styleId="19">
    <w:name w:val="toc 9"/>
    <w:basedOn w:val="1"/>
    <w:next w:val="1"/>
    <w:unhideWhenUsed/>
    <w:qFormat/>
    <w:uiPriority w:val="39"/>
    <w:pPr>
      <w:spacing w:after="0"/>
      <w:ind w:left="2560"/>
      <w:jc w:val="left"/>
    </w:pPr>
    <w:rPr>
      <w:rFonts w:asciiTheme="minorHAnsi" w:eastAsiaTheme="minorHAnsi"/>
      <w:sz w:val="18"/>
      <w:szCs w:val="18"/>
    </w:rPr>
  </w:style>
  <w:style w:type="paragraph" w:styleId="20">
    <w:name w:val="annotation subject"/>
    <w:basedOn w:val="7"/>
    <w:next w:val="7"/>
    <w:link w:val="38"/>
    <w:semiHidden/>
    <w:unhideWhenUsed/>
    <w:qFormat/>
    <w:uiPriority w:val="99"/>
    <w:rPr>
      <w:b/>
      <w:bCs/>
    </w:rPr>
  </w:style>
  <w:style w:type="table" w:styleId="22">
    <w:name w:val="Table Grid"/>
    <w:basedOn w:val="21"/>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unhideWhenUsed/>
    <w:uiPriority w:val="99"/>
    <w:rPr>
      <w:color w:val="0563C1" w:themeColor="hyperlink"/>
      <w:u w:val="single"/>
      <w14:textFill>
        <w14:solidFill>
          <w14:schemeClr w14:val="hlink"/>
        </w14:solidFill>
      </w14:textFill>
    </w:rPr>
  </w:style>
  <w:style w:type="character" w:styleId="25">
    <w:name w:val="annotation reference"/>
    <w:basedOn w:val="23"/>
    <w:uiPriority w:val="0"/>
    <w:rPr>
      <w:sz w:val="21"/>
      <w:szCs w:val="21"/>
    </w:rPr>
  </w:style>
  <w:style w:type="character" w:styleId="26">
    <w:name w:val="footnote reference"/>
    <w:basedOn w:val="23"/>
    <w:unhideWhenUsed/>
    <w:uiPriority w:val="0"/>
    <w:rPr>
      <w:vertAlign w:val="superscript"/>
    </w:rPr>
  </w:style>
  <w:style w:type="character" w:customStyle="1" w:styleId="27">
    <w:name w:val="标题 2 字符"/>
    <w:basedOn w:val="23"/>
    <w:link w:val="3"/>
    <w:qFormat/>
    <w:uiPriority w:val="9"/>
    <w:rPr>
      <w:rFonts w:ascii="Times New Roman" w:hAnsi="Times New Roman" w:eastAsia="楷体_GB2312" w:cstheme="majorBidi"/>
      <w:b/>
      <w:bCs/>
      <w:sz w:val="32"/>
      <w:szCs w:val="32"/>
    </w:rPr>
  </w:style>
  <w:style w:type="character" w:customStyle="1" w:styleId="28">
    <w:name w:val="标题 1 字符"/>
    <w:basedOn w:val="23"/>
    <w:link w:val="2"/>
    <w:uiPriority w:val="9"/>
    <w:rPr>
      <w:rFonts w:ascii="Times New Roman" w:hAnsi="Times New Roman" w:eastAsia="黑体"/>
      <w:b/>
      <w:bCs/>
      <w:kern w:val="44"/>
      <w:sz w:val="36"/>
      <w:szCs w:val="44"/>
    </w:rPr>
  </w:style>
  <w:style w:type="character" w:customStyle="1" w:styleId="29">
    <w:name w:val="标题 3 字符"/>
    <w:basedOn w:val="23"/>
    <w:link w:val="4"/>
    <w:uiPriority w:val="9"/>
    <w:rPr>
      <w:rFonts w:ascii="Times New Roman" w:hAnsi="Times New Roman" w:eastAsia="仿宋_GB2312"/>
      <w:b/>
      <w:bCs/>
      <w:sz w:val="28"/>
      <w:szCs w:val="32"/>
    </w:rPr>
  </w:style>
  <w:style w:type="character" w:customStyle="1" w:styleId="30">
    <w:name w:val="页眉 字符"/>
    <w:basedOn w:val="23"/>
    <w:link w:val="13"/>
    <w:uiPriority w:val="99"/>
    <w:rPr>
      <w:sz w:val="18"/>
      <w:szCs w:val="18"/>
    </w:rPr>
  </w:style>
  <w:style w:type="character" w:customStyle="1" w:styleId="31">
    <w:name w:val="页脚 字符"/>
    <w:basedOn w:val="23"/>
    <w:link w:val="12"/>
    <w:uiPriority w:val="99"/>
    <w:rPr>
      <w:sz w:val="18"/>
      <w:szCs w:val="18"/>
    </w:rPr>
  </w:style>
  <w:style w:type="character" w:customStyle="1" w:styleId="32">
    <w:name w:val="批注框文本 字符"/>
    <w:basedOn w:val="23"/>
    <w:link w:val="11"/>
    <w:semiHidden/>
    <w:qFormat/>
    <w:uiPriority w:val="99"/>
    <w:rPr>
      <w:rFonts w:ascii="Times New Roman" w:hAnsi="Times New Roman" w:eastAsia="仿宋_GB2312"/>
      <w:sz w:val="18"/>
      <w:szCs w:val="18"/>
    </w:rPr>
  </w:style>
  <w:style w:type="character" w:customStyle="1" w:styleId="33">
    <w:name w:val="脚注文本 字符"/>
    <w:basedOn w:val="23"/>
    <w:link w:val="16"/>
    <w:uiPriority w:val="0"/>
    <w:rPr>
      <w:rFonts w:ascii="Times New Roman" w:hAnsi="Times New Roman" w:eastAsia="仿宋_GB2312"/>
      <w:sz w:val="18"/>
      <w:szCs w:val="18"/>
    </w:rPr>
  </w:style>
  <w:style w:type="paragraph" w:customStyle="1" w:styleId="34">
    <w:name w:val="批注文字1"/>
    <w:basedOn w:val="1"/>
    <w:next w:val="7"/>
    <w:link w:val="35"/>
    <w:qFormat/>
    <w:uiPriority w:val="0"/>
    <w:pPr>
      <w:spacing w:after="0" w:afterLines="0" w:line="240" w:lineRule="auto"/>
      <w:ind w:firstLine="0" w:firstLineChars="0"/>
      <w:jc w:val="left"/>
    </w:pPr>
    <w:rPr>
      <w:rFonts w:ascii="Calibri" w:hAnsi="Calibri" w:eastAsia="宋体" w:cs="Times New Roman"/>
      <w:sz w:val="21"/>
      <w:szCs w:val="24"/>
    </w:rPr>
  </w:style>
  <w:style w:type="character" w:customStyle="1" w:styleId="35">
    <w:name w:val="批注文字 字符"/>
    <w:basedOn w:val="23"/>
    <w:link w:val="34"/>
    <w:qFormat/>
    <w:uiPriority w:val="0"/>
    <w:rPr>
      <w:rFonts w:ascii="Calibri" w:hAnsi="Calibri" w:eastAsia="宋体" w:cs="Times New Roman"/>
      <w:kern w:val="2"/>
      <w:sz w:val="21"/>
      <w:szCs w:val="24"/>
    </w:rPr>
  </w:style>
  <w:style w:type="character" w:customStyle="1" w:styleId="36">
    <w:name w:val="批注文字 字符1"/>
    <w:basedOn w:val="23"/>
    <w:link w:val="7"/>
    <w:semiHidden/>
    <w:qFormat/>
    <w:uiPriority w:val="99"/>
    <w:rPr>
      <w:rFonts w:ascii="Times New Roman" w:hAnsi="Times New Roman" w:eastAsia="仿宋_GB2312"/>
      <w:sz w:val="28"/>
    </w:rPr>
  </w:style>
  <w:style w:type="character" w:customStyle="1" w:styleId="37">
    <w:name w:val="标题 4 字符"/>
    <w:basedOn w:val="23"/>
    <w:link w:val="5"/>
    <w:qFormat/>
    <w:uiPriority w:val="9"/>
    <w:rPr>
      <w:rFonts w:asciiTheme="majorHAnsi" w:hAnsiTheme="majorHAnsi" w:eastAsiaTheme="majorEastAsia" w:cstheme="majorBidi"/>
      <w:b/>
      <w:bCs/>
      <w:sz w:val="28"/>
      <w:szCs w:val="28"/>
    </w:rPr>
  </w:style>
  <w:style w:type="character" w:customStyle="1" w:styleId="38">
    <w:name w:val="批注主题 字符"/>
    <w:basedOn w:val="36"/>
    <w:link w:val="20"/>
    <w:semiHidden/>
    <w:qFormat/>
    <w:uiPriority w:val="99"/>
    <w:rPr>
      <w:rFonts w:ascii="Times New Roman" w:hAnsi="Times New Roman" w:eastAsia="仿宋_GB2312"/>
      <w:b/>
      <w:bCs/>
      <w:sz w:val="28"/>
    </w:rPr>
  </w:style>
  <w:style w:type="character" w:customStyle="1" w:styleId="39">
    <w:name w:val="bjh-p"/>
    <w:basedOn w:val="23"/>
    <w:qFormat/>
    <w:uiPriority w:val="0"/>
  </w:style>
  <w:style w:type="paragraph" w:customStyle="1" w:styleId="40">
    <w:name w:val="列出段落1"/>
    <w:basedOn w:val="1"/>
    <w:unhideWhenUsed/>
    <w:qFormat/>
    <w:uiPriority w:val="0"/>
    <w:pPr>
      <w:spacing w:after="0" w:afterLines="0"/>
      <w:ind w:firstLine="420"/>
    </w:pPr>
    <w:rPr>
      <w:rFonts w:hint="eastAsia"/>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chart" Target="charts/chart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549903210088144"/>
          <c:y val="0.130804872301179"/>
          <c:w val="0.906483312509124"/>
          <c:h val="0.745944109927436"/>
        </c:manualLayout>
      </c:layout>
      <c:barChart>
        <c:barDir val="col"/>
        <c:grouping val="clustered"/>
        <c:varyColors val="0"/>
        <c:ser>
          <c:idx val="0"/>
          <c:order val="0"/>
          <c:tx>
            <c:strRef>
              <c:f>Sheet1!$A$2</c:f>
              <c:strCache>
                <c:ptCount val="1"/>
                <c:pt idx="0">
                  <c:v>年初预算数</c:v>
                </c:pt>
              </c:strCache>
            </c:strRef>
          </c:tx>
          <c:spPr>
            <a:solidFill>
              <a:srgbClr val="00516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Sheet1!$A$2:$A$4</c:f>
              <c:strCache>
                <c:ptCount val="3"/>
                <c:pt idx="0">
                  <c:v>年初预算数</c:v>
                </c:pt>
                <c:pt idx="1">
                  <c:v>预算支出数</c:v>
                </c:pt>
                <c:pt idx="2">
                  <c:v>资金结余数</c:v>
                </c:pt>
              </c:strCache>
            </c:strRef>
          </c:cat>
          <c:val>
            <c:numRef>
              <c:f>Sheet1!$B$2:$B$4</c:f>
              <c:numCache>
                <c:formatCode>General</c:formatCode>
                <c:ptCount val="3"/>
                <c:pt idx="0">
                  <c:v>515.39</c:v>
                </c:pt>
                <c:pt idx="1">
                  <c:v>347.51</c:v>
                </c:pt>
                <c:pt idx="2">
                  <c:v>167.88</c:v>
                </c:pt>
              </c:numCache>
            </c:numRef>
          </c:val>
        </c:ser>
        <c:ser>
          <c:idx val="1"/>
          <c:order val="1"/>
          <c:tx>
            <c:strRef>
              <c:f>Sheet1!$A$3</c:f>
              <c:strCache>
                <c:ptCount val="1"/>
                <c:pt idx="0">
                  <c:v>预算支出数</c:v>
                </c:pt>
              </c:strCache>
            </c:strRef>
          </c:tx>
          <c:spPr>
            <a:solidFill>
              <a:schemeClr val="accent5">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Sheet1!$A$2:$A$4</c:f>
              <c:strCache>
                <c:ptCount val="3"/>
                <c:pt idx="0">
                  <c:v>年初预算数</c:v>
                </c:pt>
                <c:pt idx="1">
                  <c:v>预算支出数</c:v>
                </c:pt>
                <c:pt idx="2">
                  <c:v>资金结余数</c:v>
                </c:pt>
              </c:strCache>
            </c:strRef>
          </c:cat>
          <c:val>
            <c:numRef>
              <c:f>Sheet1!$C$2:$C$4</c:f>
              <c:numCache>
                <c:formatCode>General</c:formatCode>
                <c:ptCount val="3"/>
                <c:pt idx="0">
                  <c:v>449</c:v>
                </c:pt>
              </c:numCache>
            </c:numRef>
          </c:val>
        </c:ser>
        <c:ser>
          <c:idx val="2"/>
          <c:order val="2"/>
          <c:tx>
            <c:strRef>
              <c:f>Sheet1!$A$4</c:f>
              <c:strCache>
                <c:ptCount val="1"/>
                <c:pt idx="0">
                  <c:v>资金结余数</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Sheet1!$A$2:$A$4</c:f>
              <c:strCache>
                <c:ptCount val="3"/>
                <c:pt idx="0">
                  <c:v>年初预算数</c:v>
                </c:pt>
                <c:pt idx="1">
                  <c:v>预算支出数</c:v>
                </c:pt>
                <c:pt idx="2">
                  <c:v>资金结余数</c:v>
                </c:pt>
              </c:strCache>
            </c:strRef>
          </c:cat>
          <c:val>
            <c:numRef>
              <c:f>Sheet1!$D$2:$D$4</c:f>
              <c:numCache>
                <c:formatCode>General</c:formatCode>
                <c:ptCount val="3"/>
                <c:pt idx="0">
                  <c:v>66.39</c:v>
                </c:pt>
              </c:numCache>
            </c:numRef>
          </c:val>
        </c:ser>
        <c:dLbls>
          <c:showLegendKey val="0"/>
          <c:showVal val="0"/>
          <c:showCatName val="0"/>
          <c:showSerName val="0"/>
          <c:showPercent val="0"/>
          <c:showBubbleSize val="0"/>
        </c:dLbls>
        <c:gapWidth val="219"/>
        <c:overlap val="-27"/>
        <c:axId val="537562496"/>
        <c:axId val="542229248"/>
      </c:barChart>
      <c:catAx>
        <c:axId val="537562496"/>
        <c:scaling>
          <c:orientation val="minMax"/>
        </c:scaling>
        <c:delete val="0"/>
        <c:axPos val="b"/>
        <c:numFmt formatCode="General" sourceLinked="1"/>
        <c:majorTickMark val="out"/>
        <c:minorTickMark val="out"/>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42229248"/>
        <c:crosses val="autoZero"/>
        <c:auto val="1"/>
        <c:lblAlgn val="ctr"/>
        <c:lblOffset val="100"/>
        <c:noMultiLvlLbl val="0"/>
      </c:catAx>
      <c:valAx>
        <c:axId val="542229248"/>
        <c:scaling>
          <c:orientation val="minMax"/>
        </c:scaling>
        <c:delete val="0"/>
        <c:axPos val="l"/>
        <c:numFmt formatCode="General" sourceLinked="1"/>
        <c:majorTickMark val="out"/>
        <c:minorTickMark val="out"/>
        <c:tickLblPos val="nextTo"/>
        <c:spPr>
          <a:noFill/>
          <a:ln w="6350" cap="flat" cmpd="sng" algn="ctr">
            <a:solidFill>
              <a:schemeClr val="bg2">
                <a:lumMod val="90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37562496"/>
        <c:crosses val="autoZero"/>
        <c:crossBetween val="between"/>
        <c:minorUnit val="50"/>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F6A4A9-9AB9-4DA9-AAE0-86EB49039D42}">
  <ds:schemaRefs/>
</ds:datastoreItem>
</file>

<file path=docProps/app.xml><?xml version="1.0" encoding="utf-8"?>
<Properties xmlns="http://schemas.openxmlformats.org/officeDocument/2006/extended-properties" xmlns:vt="http://schemas.openxmlformats.org/officeDocument/2006/docPropsVTypes">
  <Template>Normal.dotm</Template>
  <Pages>38</Pages>
  <Words>2702</Words>
  <Characters>15403</Characters>
  <Lines>128</Lines>
  <Paragraphs>36</Paragraphs>
  <TotalTime>17</TotalTime>
  <ScaleCrop>false</ScaleCrop>
  <LinksUpToDate>false</LinksUpToDate>
  <CharactersWithSpaces>18069</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2021-07-11T13:24:00Z</dcterms:created>
  <dc:creator>忠阳 李</dc:creator>
  <cp:lastModifiedBy>韩丽萍</cp:lastModifiedBy>
  <dcterms:modified xsi:type="dcterms:W3CDTF">2024-01-17T02:46:14Z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