
<file path=[Content_Types].xml><?xml version="1.0" encoding="utf-8"?>
<Types xmlns="http://schemas.openxmlformats.org/package/2006/content-types">
  <Default Extension="xml" ContentType="application/xml"/>
  <Default Extension="xlsx" ContentType="application/vnd.openxmlformats-officedocument.spreadsheetml.sheet"/>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theme/themeOverride1.xml" ContentType="application/vnd.openxmlformats-officedocument.themeOverrid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after="156"/>
        <w:ind w:firstLine="640"/>
        <w:rPr>
          <w:rFonts w:cs="Times New Roman"/>
        </w:rPr>
      </w:pPr>
    </w:p>
    <w:p>
      <w:pPr>
        <w:autoSpaceDE w:val="0"/>
        <w:autoSpaceDN w:val="0"/>
        <w:adjustRightInd w:val="0"/>
        <w:spacing w:before="156" w:after="156"/>
        <w:ind w:firstLine="720"/>
        <w:jc w:val="center"/>
        <w:rPr>
          <w:rFonts w:eastAsia="方正小标宋_GBK" w:cs="Times New Roman"/>
          <w:sz w:val="36"/>
          <w:szCs w:val="36"/>
        </w:rPr>
      </w:pPr>
    </w:p>
    <w:p>
      <w:pPr>
        <w:autoSpaceDE w:val="0"/>
        <w:autoSpaceDN w:val="0"/>
        <w:adjustRightInd w:val="0"/>
        <w:spacing w:line="600" w:lineRule="exact"/>
        <w:ind w:firstLine="0" w:firstLineChars="0"/>
        <w:rPr>
          <w:rFonts w:eastAsia="方正小标宋_GBK" w:cs="Times New Roman"/>
          <w:sz w:val="36"/>
          <w:szCs w:val="36"/>
        </w:rPr>
      </w:pPr>
    </w:p>
    <w:p>
      <w:pPr>
        <w:autoSpaceDE w:val="0"/>
        <w:autoSpaceDN w:val="0"/>
        <w:adjustRightInd w:val="0"/>
        <w:spacing w:line="600" w:lineRule="exact"/>
        <w:ind w:firstLine="0" w:firstLineChars="0"/>
        <w:jc w:val="center"/>
        <w:rPr>
          <w:rFonts w:eastAsia="方正小标宋_GBK" w:cs="Times New Roman"/>
          <w:sz w:val="44"/>
          <w:szCs w:val="44"/>
        </w:rPr>
      </w:pPr>
      <w:r>
        <w:rPr>
          <w:rFonts w:eastAsia="方正小标宋_GBK" w:cs="Times New Roman"/>
          <w:sz w:val="44"/>
          <w:szCs w:val="44"/>
        </w:rPr>
        <w:t>绵竹市2020年城乡居民养老保险财政补助项目支出绩效评价报告</w:t>
      </w:r>
    </w:p>
    <w:p>
      <w:pPr>
        <w:autoSpaceDE w:val="0"/>
        <w:autoSpaceDN w:val="0"/>
        <w:adjustRightInd w:val="0"/>
        <w:spacing w:line="600" w:lineRule="exact"/>
        <w:ind w:firstLine="0" w:firstLineChars="0"/>
        <w:jc w:val="center"/>
        <w:rPr>
          <w:rFonts w:eastAsia="方正小标宋_GBK" w:cs="Times New Roman"/>
          <w:sz w:val="44"/>
          <w:szCs w:val="44"/>
        </w:rPr>
      </w:pPr>
    </w:p>
    <w:p>
      <w:pPr>
        <w:autoSpaceDE w:val="0"/>
        <w:autoSpaceDN w:val="0"/>
        <w:adjustRightInd w:val="0"/>
        <w:spacing w:line="600" w:lineRule="exact"/>
        <w:ind w:firstLine="0" w:firstLineChars="0"/>
        <w:jc w:val="center"/>
        <w:rPr>
          <w:rFonts w:eastAsia="方正小标宋_GBK" w:cs="Times New Roman"/>
          <w:sz w:val="44"/>
          <w:szCs w:val="44"/>
        </w:rPr>
      </w:pPr>
    </w:p>
    <w:p>
      <w:pPr>
        <w:autoSpaceDE w:val="0"/>
        <w:autoSpaceDN w:val="0"/>
        <w:adjustRightInd w:val="0"/>
        <w:spacing w:line="600" w:lineRule="exact"/>
        <w:ind w:firstLine="0" w:firstLineChars="0"/>
        <w:jc w:val="center"/>
        <w:rPr>
          <w:rFonts w:eastAsia="方正小标宋_GBK" w:cs="Times New Roman"/>
          <w:sz w:val="44"/>
          <w:szCs w:val="44"/>
        </w:rPr>
      </w:pPr>
    </w:p>
    <w:p>
      <w:pPr>
        <w:autoSpaceDE w:val="0"/>
        <w:autoSpaceDN w:val="0"/>
        <w:adjustRightInd w:val="0"/>
        <w:spacing w:line="600" w:lineRule="exact"/>
        <w:ind w:firstLine="0" w:firstLineChars="0"/>
        <w:jc w:val="center"/>
        <w:rPr>
          <w:rFonts w:eastAsia="方正小标宋_GBK" w:cs="Times New Roman"/>
          <w:sz w:val="44"/>
          <w:szCs w:val="44"/>
        </w:rPr>
      </w:pPr>
    </w:p>
    <w:p>
      <w:pPr>
        <w:autoSpaceDE w:val="0"/>
        <w:autoSpaceDN w:val="0"/>
        <w:adjustRightInd w:val="0"/>
        <w:spacing w:line="600" w:lineRule="exact"/>
        <w:ind w:firstLine="0" w:firstLineChars="0"/>
        <w:jc w:val="center"/>
        <w:rPr>
          <w:rFonts w:eastAsia="方正小标宋_GBK" w:cs="Times New Roman"/>
          <w:sz w:val="44"/>
          <w:szCs w:val="44"/>
        </w:rPr>
      </w:pPr>
    </w:p>
    <w:p>
      <w:pPr>
        <w:spacing w:before="120" w:line="600" w:lineRule="exact"/>
        <w:ind w:firstLine="0" w:firstLineChars="0"/>
        <w:jc w:val="left"/>
        <w:rPr>
          <w:rFonts w:eastAsia="方正小标宋_GBK" w:cs="Times New Roman"/>
          <w:sz w:val="44"/>
          <w:szCs w:val="44"/>
        </w:rPr>
      </w:pPr>
    </w:p>
    <w:p>
      <w:pPr>
        <w:spacing w:before="120" w:line="600" w:lineRule="exact"/>
        <w:ind w:firstLine="0" w:firstLineChars="0"/>
        <w:jc w:val="center"/>
        <w:rPr>
          <w:rFonts w:eastAsia="小标宋" w:cs="Times New Roman"/>
          <w:b/>
          <w:kern w:val="0"/>
          <w:sz w:val="28"/>
          <w:szCs w:val="24"/>
          <w:lang w:val="zh-CN"/>
        </w:rPr>
      </w:pPr>
      <w:r>
        <w:rPr>
          <w:rFonts w:eastAsia="小标宋" w:cs="Times New Roman"/>
          <w:b/>
          <w:kern w:val="0"/>
          <w:sz w:val="28"/>
          <w:szCs w:val="24"/>
          <w:lang w:val="zh-CN"/>
        </w:rPr>
        <w:t>被评单位：绵竹市人力资源和社会保障局</w:t>
      </w:r>
    </w:p>
    <w:p>
      <w:pPr>
        <w:spacing w:before="120" w:line="600" w:lineRule="exact"/>
        <w:ind w:left="1600" w:leftChars="500" w:firstLine="0" w:firstLineChars="0"/>
        <w:jc w:val="left"/>
        <w:rPr>
          <w:rFonts w:eastAsia="小标宋" w:cs="Times New Roman"/>
          <w:b/>
          <w:kern w:val="0"/>
          <w:sz w:val="28"/>
          <w:szCs w:val="24"/>
          <w:lang w:val="zh-CN"/>
        </w:rPr>
      </w:pPr>
      <w:r>
        <w:rPr>
          <w:rFonts w:eastAsia="小标宋" w:cs="Times New Roman"/>
          <w:b/>
          <w:kern w:val="0"/>
          <w:sz w:val="28"/>
          <w:szCs w:val="24"/>
          <w:lang w:val="zh-CN"/>
        </w:rPr>
        <w:t>委托单位：绵竹市财政局</w:t>
      </w:r>
    </w:p>
    <w:p>
      <w:pPr>
        <w:spacing w:before="120" w:line="600" w:lineRule="exact"/>
        <w:ind w:left="1600" w:leftChars="500" w:firstLine="0" w:firstLineChars="0"/>
        <w:jc w:val="left"/>
        <w:rPr>
          <w:rFonts w:eastAsia="小标宋" w:cs="Times New Roman"/>
          <w:b/>
          <w:kern w:val="0"/>
          <w:sz w:val="28"/>
          <w:szCs w:val="24"/>
          <w:lang w:val="zh-CN"/>
        </w:rPr>
      </w:pPr>
      <w:r>
        <w:rPr>
          <w:rFonts w:eastAsia="小标宋" w:cs="Times New Roman"/>
          <w:b/>
          <w:kern w:val="0"/>
          <w:sz w:val="28"/>
          <w:szCs w:val="24"/>
          <w:lang w:val="zh-CN"/>
        </w:rPr>
        <w:t>评价机构：北京零点市场调查有限公司</w:t>
      </w:r>
    </w:p>
    <w:p>
      <w:pPr>
        <w:spacing w:before="120" w:line="600" w:lineRule="exact"/>
        <w:ind w:firstLine="0" w:firstLineChars="0"/>
        <w:rPr>
          <w:rFonts w:eastAsia="方正小标宋_GBK" w:cs="Times New Roman"/>
          <w:b/>
          <w:kern w:val="0"/>
          <w:sz w:val="44"/>
          <w:szCs w:val="44"/>
        </w:rPr>
      </w:pPr>
    </w:p>
    <w:p>
      <w:pPr>
        <w:spacing w:before="120" w:line="600" w:lineRule="exact"/>
        <w:ind w:firstLine="0" w:firstLineChars="0"/>
        <w:jc w:val="center"/>
        <w:rPr>
          <w:rFonts w:eastAsia="小标宋" w:cs="Times New Roman"/>
          <w:b/>
          <w:kern w:val="0"/>
          <w:sz w:val="28"/>
          <w:szCs w:val="24"/>
          <w:lang w:val="zh-CN"/>
        </w:rPr>
      </w:pPr>
      <w:r>
        <w:rPr>
          <w:rFonts w:eastAsia="小标宋" w:cs="Times New Roman"/>
          <w:b/>
          <w:kern w:val="0"/>
          <w:sz w:val="28"/>
          <w:szCs w:val="24"/>
          <w:lang w:val="zh-CN"/>
        </w:rPr>
        <w:t>2021年6月30日</w:t>
      </w:r>
    </w:p>
    <w:p>
      <w:pPr>
        <w:tabs>
          <w:tab w:val="left" w:pos="1270"/>
          <w:tab w:val="center" w:pos="4153"/>
        </w:tabs>
        <w:autoSpaceDE w:val="0"/>
        <w:autoSpaceDN w:val="0"/>
        <w:adjustRightInd w:val="0"/>
        <w:spacing w:line="240" w:lineRule="auto"/>
        <w:ind w:firstLine="0" w:firstLineChars="0"/>
        <w:jc w:val="left"/>
        <w:rPr>
          <w:rFonts w:eastAsia="方正小标宋_GBK" w:cs="Times New Roman"/>
          <w:sz w:val="44"/>
          <w:szCs w:val="44"/>
        </w:rPr>
      </w:pPr>
      <w:r>
        <w:rPr>
          <w:rFonts w:eastAsia="方正小标宋_GBK" w:cs="Times New Roman"/>
          <w:sz w:val="44"/>
          <w:szCs w:val="44"/>
        </w:rPr>
        <w:tab/>
      </w:r>
    </w:p>
    <w:p>
      <w:pPr>
        <w:widowControl/>
        <w:spacing w:line="240" w:lineRule="auto"/>
        <w:ind w:firstLine="0" w:firstLineChars="0"/>
        <w:jc w:val="left"/>
        <w:rPr>
          <w:rFonts w:eastAsia="方正小标宋_GBK" w:cs="Times New Roman"/>
          <w:sz w:val="36"/>
          <w:szCs w:val="36"/>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pPr>
        <w:pStyle w:val="14"/>
        <w:rPr>
          <w:rFonts w:ascii="Times New Roman" w:hAnsi="Times New Roman"/>
        </w:rPr>
      </w:pPr>
      <w:r>
        <w:rPr>
          <w:rFonts w:ascii="Times New Roman" w:hAnsi="Times New Roman"/>
        </w:rPr>
        <w:t>目  录</w:t>
      </w:r>
    </w:p>
    <w:p>
      <w:pPr>
        <w:pStyle w:val="14"/>
        <w:spacing w:before="0" w:after="0" w:line="480" w:lineRule="exact"/>
        <w:rPr>
          <w:rFonts w:ascii="Times New Roman" w:hAnsi="Times New Roman" w:eastAsia="宋体"/>
          <w:b w:val="0"/>
          <w:bCs w:val="0"/>
          <w:caps w:val="0"/>
          <w:sz w:val="24"/>
          <w:szCs w:val="24"/>
        </w:rPr>
      </w:pPr>
      <w:r>
        <w:rPr>
          <w:rFonts w:ascii="Times New Roman" w:hAnsi="Times New Roman" w:eastAsia="宋体"/>
          <w:sz w:val="20"/>
          <w:szCs w:val="20"/>
        </w:rPr>
        <w:fldChar w:fldCharType="begin"/>
      </w:r>
      <w:r>
        <w:rPr>
          <w:rFonts w:ascii="Times New Roman" w:hAnsi="Times New Roman" w:eastAsia="宋体"/>
          <w:sz w:val="20"/>
          <w:szCs w:val="20"/>
        </w:rPr>
        <w:instrText xml:space="preserve"> TOC \o "1-3" \h \z \u </w:instrText>
      </w:r>
      <w:r>
        <w:rPr>
          <w:rFonts w:ascii="Times New Roman" w:hAnsi="Times New Roman" w:eastAsia="宋体"/>
          <w:sz w:val="20"/>
          <w:szCs w:val="20"/>
        </w:rPr>
        <w:fldChar w:fldCharType="separate"/>
      </w:r>
      <w:r>
        <w:fldChar w:fldCharType="begin"/>
      </w:r>
      <w:r>
        <w:instrText xml:space="preserve"> HYPERLINK \l "_Toc76927018" </w:instrText>
      </w:r>
      <w:r>
        <w:fldChar w:fldCharType="separate"/>
      </w:r>
      <w:r>
        <w:rPr>
          <w:rStyle w:val="24"/>
          <w:rFonts w:ascii="Times New Roman" w:hAnsi="Times New Roman" w:eastAsia="宋体"/>
          <w:sz w:val="24"/>
          <w:szCs w:val="24"/>
        </w:rPr>
        <w:t>一、项目基本情况</w:t>
      </w:r>
      <w:r>
        <w:rPr>
          <w:rFonts w:ascii="Times New Roman" w:hAnsi="Times New Roman" w:eastAsia="宋体"/>
          <w:sz w:val="24"/>
          <w:szCs w:val="24"/>
        </w:rPr>
        <w:tab/>
      </w:r>
      <w:r>
        <w:rPr>
          <w:rFonts w:ascii="Times New Roman" w:hAnsi="Times New Roman" w:eastAsia="宋体"/>
          <w:sz w:val="24"/>
          <w:szCs w:val="24"/>
        </w:rPr>
        <w:fldChar w:fldCharType="begin"/>
      </w:r>
      <w:r>
        <w:rPr>
          <w:rFonts w:ascii="Times New Roman" w:hAnsi="Times New Roman" w:eastAsia="宋体"/>
          <w:sz w:val="24"/>
          <w:szCs w:val="24"/>
        </w:rPr>
        <w:instrText xml:space="preserve"> PAGEREF _Toc76927018 \h </w:instrText>
      </w:r>
      <w:r>
        <w:rPr>
          <w:rFonts w:ascii="Times New Roman" w:hAnsi="Times New Roman" w:eastAsia="宋体"/>
          <w:sz w:val="24"/>
          <w:szCs w:val="24"/>
        </w:rPr>
        <w:fldChar w:fldCharType="separate"/>
      </w:r>
      <w:r>
        <w:rPr>
          <w:rFonts w:ascii="Times New Roman" w:hAnsi="Times New Roman" w:eastAsia="宋体"/>
          <w:sz w:val="24"/>
          <w:szCs w:val="24"/>
        </w:rPr>
        <w:t>1</w:t>
      </w:r>
      <w:r>
        <w:rPr>
          <w:rFonts w:ascii="Times New Roman" w:hAnsi="Times New Roman" w:eastAsia="宋体"/>
          <w:sz w:val="24"/>
          <w:szCs w:val="24"/>
        </w:rPr>
        <w:fldChar w:fldCharType="end"/>
      </w:r>
      <w:r>
        <w:rPr>
          <w:rFonts w:ascii="Times New Roman" w:hAnsi="Times New Roman" w:eastAsia="宋体"/>
          <w:sz w:val="24"/>
          <w:szCs w:val="24"/>
        </w:rPr>
        <w:fldChar w:fldCharType="end"/>
      </w:r>
    </w:p>
    <w:p>
      <w:pPr>
        <w:pStyle w:val="18"/>
        <w:tabs>
          <w:tab w:val="right" w:leader="dot" w:pos="8296"/>
        </w:tabs>
        <w:spacing w:line="480" w:lineRule="exact"/>
        <w:ind w:firstLine="400"/>
        <w:rPr>
          <w:rFonts w:ascii="Times New Roman" w:eastAsia="宋体" w:cs="Times New Roman"/>
          <w:smallCaps w:val="0"/>
          <w:sz w:val="24"/>
          <w:szCs w:val="24"/>
        </w:rPr>
      </w:pPr>
      <w:r>
        <w:fldChar w:fldCharType="begin"/>
      </w:r>
      <w:r>
        <w:instrText xml:space="preserve"> HYPERLINK \l "_Toc76927019" </w:instrText>
      </w:r>
      <w:r>
        <w:fldChar w:fldCharType="separate"/>
      </w:r>
      <w:r>
        <w:rPr>
          <w:rStyle w:val="24"/>
          <w:rFonts w:ascii="Times New Roman" w:eastAsia="宋体" w:cs="Times New Roman"/>
          <w:sz w:val="24"/>
          <w:szCs w:val="24"/>
        </w:rPr>
        <w:t>（一）项目立项背景</w:t>
      </w:r>
      <w:r>
        <w:rPr>
          <w:rFonts w:ascii="Times New Roman" w:eastAsia="宋体" w:cs="Times New Roman"/>
          <w:sz w:val="24"/>
          <w:szCs w:val="24"/>
        </w:rPr>
        <w:tab/>
      </w:r>
      <w:r>
        <w:rPr>
          <w:rFonts w:ascii="Times New Roman" w:eastAsia="宋体" w:cs="Times New Roman"/>
          <w:sz w:val="24"/>
          <w:szCs w:val="24"/>
        </w:rPr>
        <w:fldChar w:fldCharType="begin"/>
      </w:r>
      <w:r>
        <w:rPr>
          <w:rFonts w:ascii="Times New Roman" w:eastAsia="宋体" w:cs="Times New Roman"/>
          <w:sz w:val="24"/>
          <w:szCs w:val="24"/>
        </w:rPr>
        <w:instrText xml:space="preserve"> PAGEREF _Toc76927019 \h </w:instrText>
      </w:r>
      <w:r>
        <w:rPr>
          <w:rFonts w:ascii="Times New Roman" w:eastAsia="宋体" w:cs="Times New Roman"/>
          <w:sz w:val="24"/>
          <w:szCs w:val="24"/>
        </w:rPr>
        <w:fldChar w:fldCharType="separate"/>
      </w:r>
      <w:r>
        <w:rPr>
          <w:rFonts w:ascii="Times New Roman" w:eastAsia="宋体" w:cs="Times New Roman"/>
          <w:sz w:val="24"/>
          <w:szCs w:val="24"/>
        </w:rPr>
        <w:t>1</w:t>
      </w:r>
      <w:r>
        <w:rPr>
          <w:rFonts w:ascii="Times New Roman" w:eastAsia="宋体" w:cs="Times New Roman"/>
          <w:sz w:val="24"/>
          <w:szCs w:val="24"/>
        </w:rPr>
        <w:fldChar w:fldCharType="end"/>
      </w:r>
      <w:r>
        <w:rPr>
          <w:rFonts w:ascii="Times New Roman" w:eastAsia="宋体" w:cs="Times New Roman"/>
          <w:sz w:val="24"/>
          <w:szCs w:val="24"/>
        </w:rPr>
        <w:fldChar w:fldCharType="end"/>
      </w:r>
    </w:p>
    <w:p>
      <w:pPr>
        <w:pStyle w:val="18"/>
        <w:tabs>
          <w:tab w:val="right" w:leader="dot" w:pos="8296"/>
        </w:tabs>
        <w:spacing w:line="480" w:lineRule="exact"/>
        <w:ind w:firstLine="400"/>
        <w:rPr>
          <w:rFonts w:ascii="Times New Roman" w:eastAsia="宋体" w:cs="Times New Roman"/>
          <w:smallCaps w:val="0"/>
          <w:sz w:val="24"/>
          <w:szCs w:val="24"/>
        </w:rPr>
      </w:pPr>
      <w:r>
        <w:fldChar w:fldCharType="begin"/>
      </w:r>
      <w:r>
        <w:instrText xml:space="preserve"> HYPERLINK \l "_Toc76927020" </w:instrText>
      </w:r>
      <w:r>
        <w:fldChar w:fldCharType="separate"/>
      </w:r>
      <w:r>
        <w:rPr>
          <w:rStyle w:val="24"/>
          <w:rFonts w:ascii="Times New Roman" w:eastAsia="宋体" w:cs="Times New Roman"/>
          <w:sz w:val="24"/>
          <w:szCs w:val="24"/>
        </w:rPr>
        <w:t>（二）项目主要任务及年度绩效目标</w:t>
      </w:r>
      <w:r>
        <w:rPr>
          <w:rFonts w:ascii="Times New Roman" w:eastAsia="宋体" w:cs="Times New Roman"/>
          <w:sz w:val="24"/>
          <w:szCs w:val="24"/>
        </w:rPr>
        <w:tab/>
      </w:r>
      <w:r>
        <w:rPr>
          <w:rFonts w:ascii="Times New Roman" w:eastAsia="宋体" w:cs="Times New Roman"/>
          <w:sz w:val="24"/>
          <w:szCs w:val="24"/>
        </w:rPr>
        <w:fldChar w:fldCharType="begin"/>
      </w:r>
      <w:r>
        <w:rPr>
          <w:rFonts w:ascii="Times New Roman" w:eastAsia="宋体" w:cs="Times New Roman"/>
          <w:sz w:val="24"/>
          <w:szCs w:val="24"/>
        </w:rPr>
        <w:instrText xml:space="preserve"> PAGEREF _Toc76927020 \h </w:instrText>
      </w:r>
      <w:r>
        <w:rPr>
          <w:rFonts w:ascii="Times New Roman" w:eastAsia="宋体" w:cs="Times New Roman"/>
          <w:sz w:val="24"/>
          <w:szCs w:val="24"/>
        </w:rPr>
        <w:fldChar w:fldCharType="separate"/>
      </w:r>
      <w:r>
        <w:rPr>
          <w:rFonts w:ascii="Times New Roman" w:eastAsia="宋体" w:cs="Times New Roman"/>
          <w:sz w:val="24"/>
          <w:szCs w:val="24"/>
        </w:rPr>
        <w:t>2</w:t>
      </w:r>
      <w:r>
        <w:rPr>
          <w:rFonts w:ascii="Times New Roman" w:eastAsia="宋体" w:cs="Times New Roman"/>
          <w:sz w:val="24"/>
          <w:szCs w:val="24"/>
        </w:rPr>
        <w:fldChar w:fldCharType="end"/>
      </w:r>
      <w:r>
        <w:rPr>
          <w:rFonts w:ascii="Times New Roman" w:eastAsia="宋体" w:cs="Times New Roman"/>
          <w:sz w:val="24"/>
          <w:szCs w:val="24"/>
        </w:rPr>
        <w:fldChar w:fldCharType="end"/>
      </w:r>
    </w:p>
    <w:p>
      <w:pPr>
        <w:pStyle w:val="18"/>
        <w:tabs>
          <w:tab w:val="right" w:leader="dot" w:pos="8296"/>
        </w:tabs>
        <w:spacing w:line="480" w:lineRule="exact"/>
        <w:ind w:firstLine="400"/>
        <w:rPr>
          <w:rFonts w:ascii="Times New Roman" w:eastAsia="宋体" w:cs="Times New Roman"/>
          <w:smallCaps w:val="0"/>
          <w:sz w:val="24"/>
          <w:szCs w:val="24"/>
        </w:rPr>
      </w:pPr>
      <w:r>
        <w:fldChar w:fldCharType="begin"/>
      </w:r>
      <w:r>
        <w:instrText xml:space="preserve"> HYPERLINK \l "_Toc76927021" </w:instrText>
      </w:r>
      <w:r>
        <w:fldChar w:fldCharType="separate"/>
      </w:r>
      <w:r>
        <w:rPr>
          <w:rStyle w:val="24"/>
          <w:rFonts w:ascii="Times New Roman" w:eastAsia="宋体" w:cs="Times New Roman"/>
          <w:sz w:val="24"/>
          <w:szCs w:val="24"/>
        </w:rPr>
        <w:t>（三）资金管理办法制定情况、基金管理、缴费范围与发放方式概况</w:t>
      </w:r>
      <w:r>
        <w:rPr>
          <w:rFonts w:ascii="Times New Roman" w:eastAsia="宋体" w:cs="Times New Roman"/>
          <w:sz w:val="24"/>
          <w:szCs w:val="24"/>
        </w:rPr>
        <w:tab/>
      </w:r>
      <w:r>
        <w:rPr>
          <w:rFonts w:ascii="Times New Roman" w:eastAsia="宋体" w:cs="Times New Roman"/>
          <w:sz w:val="24"/>
          <w:szCs w:val="24"/>
        </w:rPr>
        <w:fldChar w:fldCharType="begin"/>
      </w:r>
      <w:r>
        <w:rPr>
          <w:rFonts w:ascii="Times New Roman" w:eastAsia="宋体" w:cs="Times New Roman"/>
          <w:sz w:val="24"/>
          <w:szCs w:val="24"/>
        </w:rPr>
        <w:instrText xml:space="preserve"> PAGEREF _Toc76927021 \h </w:instrText>
      </w:r>
      <w:r>
        <w:rPr>
          <w:rFonts w:ascii="Times New Roman" w:eastAsia="宋体" w:cs="Times New Roman"/>
          <w:sz w:val="24"/>
          <w:szCs w:val="24"/>
        </w:rPr>
        <w:fldChar w:fldCharType="separate"/>
      </w:r>
      <w:r>
        <w:rPr>
          <w:rFonts w:ascii="Times New Roman" w:eastAsia="宋体" w:cs="Times New Roman"/>
          <w:sz w:val="24"/>
          <w:szCs w:val="24"/>
        </w:rPr>
        <w:t>4</w:t>
      </w:r>
      <w:r>
        <w:rPr>
          <w:rFonts w:ascii="Times New Roman" w:eastAsia="宋体" w:cs="Times New Roman"/>
          <w:sz w:val="24"/>
          <w:szCs w:val="24"/>
        </w:rPr>
        <w:fldChar w:fldCharType="end"/>
      </w:r>
      <w:r>
        <w:rPr>
          <w:rFonts w:ascii="Times New Roman" w:eastAsia="宋体" w:cs="Times New Roman"/>
          <w:sz w:val="24"/>
          <w:szCs w:val="24"/>
        </w:rPr>
        <w:fldChar w:fldCharType="end"/>
      </w:r>
    </w:p>
    <w:p>
      <w:pPr>
        <w:pStyle w:val="9"/>
        <w:tabs>
          <w:tab w:val="right" w:leader="dot" w:pos="8296"/>
        </w:tabs>
        <w:spacing w:line="480" w:lineRule="exact"/>
        <w:ind w:firstLine="400"/>
        <w:rPr>
          <w:rFonts w:ascii="Times New Roman" w:eastAsia="宋体" w:cs="Times New Roman"/>
          <w:i w:val="0"/>
          <w:iCs w:val="0"/>
          <w:sz w:val="24"/>
          <w:szCs w:val="24"/>
        </w:rPr>
      </w:pPr>
      <w:r>
        <w:fldChar w:fldCharType="begin"/>
      </w:r>
      <w:r>
        <w:instrText xml:space="preserve"> HYPERLINK \l "_Toc76927022" </w:instrText>
      </w:r>
      <w:r>
        <w:fldChar w:fldCharType="separate"/>
      </w:r>
      <w:r>
        <w:rPr>
          <w:rStyle w:val="24"/>
          <w:rFonts w:ascii="Times New Roman" w:eastAsia="宋体" w:cs="Times New Roman"/>
          <w:i w:val="0"/>
          <w:iCs w:val="0"/>
          <w:sz w:val="24"/>
          <w:szCs w:val="24"/>
        </w:rPr>
        <w:t>1. 资金管理办法制定情况</w:t>
      </w:r>
      <w:r>
        <w:rPr>
          <w:rFonts w:ascii="Times New Roman" w:eastAsia="宋体" w:cs="Times New Roman"/>
          <w:i w:val="0"/>
          <w:iCs w:val="0"/>
          <w:sz w:val="24"/>
          <w:szCs w:val="24"/>
        </w:rPr>
        <w:tab/>
      </w:r>
      <w:r>
        <w:rPr>
          <w:rFonts w:ascii="Times New Roman" w:eastAsia="宋体" w:cs="Times New Roman"/>
          <w:i w:val="0"/>
          <w:iCs w:val="0"/>
          <w:sz w:val="24"/>
          <w:szCs w:val="24"/>
        </w:rPr>
        <w:fldChar w:fldCharType="begin"/>
      </w:r>
      <w:r>
        <w:rPr>
          <w:rFonts w:ascii="Times New Roman" w:eastAsia="宋体" w:cs="Times New Roman"/>
          <w:i w:val="0"/>
          <w:iCs w:val="0"/>
          <w:sz w:val="24"/>
          <w:szCs w:val="24"/>
        </w:rPr>
        <w:instrText xml:space="preserve"> PAGEREF _Toc76927022 \h </w:instrText>
      </w:r>
      <w:r>
        <w:rPr>
          <w:rFonts w:ascii="Times New Roman" w:eastAsia="宋体" w:cs="Times New Roman"/>
          <w:i w:val="0"/>
          <w:iCs w:val="0"/>
          <w:sz w:val="24"/>
          <w:szCs w:val="24"/>
        </w:rPr>
        <w:fldChar w:fldCharType="separate"/>
      </w:r>
      <w:r>
        <w:rPr>
          <w:rFonts w:ascii="Times New Roman" w:eastAsia="宋体" w:cs="Times New Roman"/>
          <w:i w:val="0"/>
          <w:iCs w:val="0"/>
          <w:sz w:val="24"/>
          <w:szCs w:val="24"/>
        </w:rPr>
        <w:t>4</w:t>
      </w:r>
      <w:r>
        <w:rPr>
          <w:rFonts w:ascii="Times New Roman" w:eastAsia="宋体" w:cs="Times New Roman"/>
          <w:i w:val="0"/>
          <w:iCs w:val="0"/>
          <w:sz w:val="24"/>
          <w:szCs w:val="24"/>
        </w:rPr>
        <w:fldChar w:fldCharType="end"/>
      </w:r>
      <w:r>
        <w:rPr>
          <w:rFonts w:ascii="Times New Roman" w:eastAsia="宋体" w:cs="Times New Roman"/>
          <w:i w:val="0"/>
          <w:iCs w:val="0"/>
          <w:sz w:val="24"/>
          <w:szCs w:val="24"/>
        </w:rPr>
        <w:fldChar w:fldCharType="end"/>
      </w:r>
    </w:p>
    <w:p>
      <w:pPr>
        <w:pStyle w:val="9"/>
        <w:tabs>
          <w:tab w:val="right" w:leader="dot" w:pos="8296"/>
        </w:tabs>
        <w:spacing w:line="480" w:lineRule="exact"/>
        <w:ind w:firstLine="400"/>
        <w:rPr>
          <w:rFonts w:ascii="Times New Roman" w:eastAsia="宋体" w:cs="Times New Roman"/>
          <w:i w:val="0"/>
          <w:iCs w:val="0"/>
          <w:sz w:val="24"/>
          <w:szCs w:val="24"/>
        </w:rPr>
      </w:pPr>
      <w:r>
        <w:fldChar w:fldCharType="begin"/>
      </w:r>
      <w:r>
        <w:instrText xml:space="preserve"> HYPERLINK \l "_Toc76927023" </w:instrText>
      </w:r>
      <w:r>
        <w:fldChar w:fldCharType="separate"/>
      </w:r>
      <w:r>
        <w:rPr>
          <w:rStyle w:val="24"/>
          <w:rFonts w:ascii="Times New Roman" w:eastAsia="宋体" w:cs="Times New Roman"/>
          <w:i w:val="0"/>
          <w:iCs w:val="0"/>
          <w:sz w:val="24"/>
          <w:szCs w:val="24"/>
        </w:rPr>
        <w:t>2. 城乡居民养老保险的基金管理、缴费范围、发放方式</w:t>
      </w:r>
      <w:r>
        <w:rPr>
          <w:rFonts w:ascii="Times New Roman" w:eastAsia="宋体" w:cs="Times New Roman"/>
          <w:i w:val="0"/>
          <w:iCs w:val="0"/>
          <w:sz w:val="24"/>
          <w:szCs w:val="24"/>
        </w:rPr>
        <w:tab/>
      </w:r>
      <w:r>
        <w:rPr>
          <w:rFonts w:ascii="Times New Roman" w:eastAsia="宋体" w:cs="Times New Roman"/>
          <w:i w:val="0"/>
          <w:iCs w:val="0"/>
          <w:sz w:val="24"/>
          <w:szCs w:val="24"/>
        </w:rPr>
        <w:fldChar w:fldCharType="begin"/>
      </w:r>
      <w:r>
        <w:rPr>
          <w:rFonts w:ascii="Times New Roman" w:eastAsia="宋体" w:cs="Times New Roman"/>
          <w:i w:val="0"/>
          <w:iCs w:val="0"/>
          <w:sz w:val="24"/>
          <w:szCs w:val="24"/>
        </w:rPr>
        <w:instrText xml:space="preserve"> PAGEREF _Toc76927023 \h </w:instrText>
      </w:r>
      <w:r>
        <w:rPr>
          <w:rFonts w:ascii="Times New Roman" w:eastAsia="宋体" w:cs="Times New Roman"/>
          <w:i w:val="0"/>
          <w:iCs w:val="0"/>
          <w:sz w:val="24"/>
          <w:szCs w:val="24"/>
        </w:rPr>
        <w:fldChar w:fldCharType="separate"/>
      </w:r>
      <w:r>
        <w:rPr>
          <w:rFonts w:ascii="Times New Roman" w:eastAsia="宋体" w:cs="Times New Roman"/>
          <w:i w:val="0"/>
          <w:iCs w:val="0"/>
          <w:sz w:val="24"/>
          <w:szCs w:val="24"/>
        </w:rPr>
        <w:t>4</w:t>
      </w:r>
      <w:r>
        <w:rPr>
          <w:rFonts w:ascii="Times New Roman" w:eastAsia="宋体" w:cs="Times New Roman"/>
          <w:i w:val="0"/>
          <w:iCs w:val="0"/>
          <w:sz w:val="24"/>
          <w:szCs w:val="24"/>
        </w:rPr>
        <w:fldChar w:fldCharType="end"/>
      </w:r>
      <w:r>
        <w:rPr>
          <w:rFonts w:ascii="Times New Roman" w:eastAsia="宋体" w:cs="Times New Roman"/>
          <w:i w:val="0"/>
          <w:iCs w:val="0"/>
          <w:sz w:val="24"/>
          <w:szCs w:val="24"/>
        </w:rPr>
        <w:fldChar w:fldCharType="end"/>
      </w:r>
    </w:p>
    <w:p>
      <w:pPr>
        <w:pStyle w:val="9"/>
        <w:tabs>
          <w:tab w:val="right" w:leader="dot" w:pos="8296"/>
        </w:tabs>
        <w:spacing w:line="480" w:lineRule="exact"/>
        <w:ind w:firstLine="400"/>
        <w:rPr>
          <w:rFonts w:ascii="Times New Roman" w:eastAsia="宋体" w:cs="Times New Roman"/>
          <w:i w:val="0"/>
          <w:iCs w:val="0"/>
          <w:sz w:val="24"/>
          <w:szCs w:val="24"/>
        </w:rPr>
      </w:pPr>
      <w:r>
        <w:fldChar w:fldCharType="begin"/>
      </w:r>
      <w:r>
        <w:instrText xml:space="preserve"> HYPERLINK \l "_Toc76927024" </w:instrText>
      </w:r>
      <w:r>
        <w:fldChar w:fldCharType="separate"/>
      </w:r>
      <w:r>
        <w:rPr>
          <w:rStyle w:val="24"/>
          <w:rFonts w:ascii="Times New Roman" w:eastAsia="宋体" w:cs="Times New Roman"/>
          <w:i w:val="0"/>
          <w:iCs w:val="0"/>
          <w:sz w:val="24"/>
          <w:szCs w:val="24"/>
        </w:rPr>
        <w:t>3. 项目资金来源与使用情况</w:t>
      </w:r>
      <w:r>
        <w:rPr>
          <w:rFonts w:ascii="Times New Roman" w:eastAsia="宋体" w:cs="Times New Roman"/>
          <w:i w:val="0"/>
          <w:iCs w:val="0"/>
          <w:sz w:val="24"/>
          <w:szCs w:val="24"/>
        </w:rPr>
        <w:tab/>
      </w:r>
      <w:r>
        <w:rPr>
          <w:rFonts w:ascii="Times New Roman" w:eastAsia="宋体" w:cs="Times New Roman"/>
          <w:i w:val="0"/>
          <w:iCs w:val="0"/>
          <w:sz w:val="24"/>
          <w:szCs w:val="24"/>
        </w:rPr>
        <w:fldChar w:fldCharType="begin"/>
      </w:r>
      <w:r>
        <w:rPr>
          <w:rFonts w:ascii="Times New Roman" w:eastAsia="宋体" w:cs="Times New Roman"/>
          <w:i w:val="0"/>
          <w:iCs w:val="0"/>
          <w:sz w:val="24"/>
          <w:szCs w:val="24"/>
        </w:rPr>
        <w:instrText xml:space="preserve"> PAGEREF _Toc76927024 \h </w:instrText>
      </w:r>
      <w:r>
        <w:rPr>
          <w:rFonts w:ascii="Times New Roman" w:eastAsia="宋体" w:cs="Times New Roman"/>
          <w:i w:val="0"/>
          <w:iCs w:val="0"/>
          <w:sz w:val="24"/>
          <w:szCs w:val="24"/>
        </w:rPr>
        <w:fldChar w:fldCharType="separate"/>
      </w:r>
      <w:r>
        <w:rPr>
          <w:rFonts w:ascii="Times New Roman" w:eastAsia="宋体" w:cs="Times New Roman"/>
          <w:i w:val="0"/>
          <w:iCs w:val="0"/>
          <w:sz w:val="24"/>
          <w:szCs w:val="24"/>
        </w:rPr>
        <w:t>7</w:t>
      </w:r>
      <w:r>
        <w:rPr>
          <w:rFonts w:ascii="Times New Roman" w:eastAsia="宋体" w:cs="Times New Roman"/>
          <w:i w:val="0"/>
          <w:iCs w:val="0"/>
          <w:sz w:val="24"/>
          <w:szCs w:val="24"/>
        </w:rPr>
        <w:fldChar w:fldCharType="end"/>
      </w:r>
      <w:r>
        <w:rPr>
          <w:rFonts w:ascii="Times New Roman" w:eastAsia="宋体" w:cs="Times New Roman"/>
          <w:i w:val="0"/>
          <w:iCs w:val="0"/>
          <w:sz w:val="24"/>
          <w:szCs w:val="24"/>
        </w:rPr>
        <w:fldChar w:fldCharType="end"/>
      </w:r>
    </w:p>
    <w:p>
      <w:pPr>
        <w:pStyle w:val="14"/>
        <w:spacing w:before="0" w:after="0" w:line="480" w:lineRule="exact"/>
        <w:rPr>
          <w:rFonts w:ascii="Times New Roman" w:hAnsi="Times New Roman" w:eastAsia="宋体"/>
          <w:b w:val="0"/>
          <w:bCs w:val="0"/>
          <w:caps w:val="0"/>
          <w:sz w:val="24"/>
          <w:szCs w:val="24"/>
        </w:rPr>
      </w:pPr>
      <w:r>
        <w:fldChar w:fldCharType="begin"/>
      </w:r>
      <w:r>
        <w:instrText xml:space="preserve"> HYPERLINK \l "_Toc76927025" </w:instrText>
      </w:r>
      <w:r>
        <w:fldChar w:fldCharType="separate"/>
      </w:r>
      <w:r>
        <w:rPr>
          <w:rStyle w:val="24"/>
          <w:rFonts w:ascii="Times New Roman" w:hAnsi="Times New Roman" w:eastAsia="宋体"/>
          <w:sz w:val="24"/>
          <w:szCs w:val="24"/>
        </w:rPr>
        <w:t>二、评价工作基本情况</w:t>
      </w:r>
      <w:r>
        <w:rPr>
          <w:rFonts w:ascii="Times New Roman" w:hAnsi="Times New Roman" w:eastAsia="宋体"/>
          <w:sz w:val="24"/>
          <w:szCs w:val="24"/>
        </w:rPr>
        <w:tab/>
      </w:r>
      <w:r>
        <w:rPr>
          <w:rFonts w:ascii="Times New Roman" w:hAnsi="Times New Roman" w:eastAsia="宋体"/>
          <w:sz w:val="24"/>
          <w:szCs w:val="24"/>
        </w:rPr>
        <w:fldChar w:fldCharType="begin"/>
      </w:r>
      <w:r>
        <w:rPr>
          <w:rFonts w:ascii="Times New Roman" w:hAnsi="Times New Roman" w:eastAsia="宋体"/>
          <w:sz w:val="24"/>
          <w:szCs w:val="24"/>
        </w:rPr>
        <w:instrText xml:space="preserve"> PAGEREF _Toc76927025 \h </w:instrText>
      </w:r>
      <w:r>
        <w:rPr>
          <w:rFonts w:ascii="Times New Roman" w:hAnsi="Times New Roman" w:eastAsia="宋体"/>
          <w:sz w:val="24"/>
          <w:szCs w:val="24"/>
        </w:rPr>
        <w:fldChar w:fldCharType="separate"/>
      </w:r>
      <w:r>
        <w:rPr>
          <w:rFonts w:ascii="Times New Roman" w:hAnsi="Times New Roman" w:eastAsia="宋体"/>
          <w:sz w:val="24"/>
          <w:szCs w:val="24"/>
        </w:rPr>
        <w:t>8</w:t>
      </w:r>
      <w:r>
        <w:rPr>
          <w:rFonts w:ascii="Times New Roman" w:hAnsi="Times New Roman" w:eastAsia="宋体"/>
          <w:sz w:val="24"/>
          <w:szCs w:val="24"/>
        </w:rPr>
        <w:fldChar w:fldCharType="end"/>
      </w:r>
      <w:r>
        <w:rPr>
          <w:rFonts w:ascii="Times New Roman" w:hAnsi="Times New Roman" w:eastAsia="宋体"/>
          <w:sz w:val="24"/>
          <w:szCs w:val="24"/>
        </w:rPr>
        <w:fldChar w:fldCharType="end"/>
      </w:r>
    </w:p>
    <w:p>
      <w:pPr>
        <w:pStyle w:val="18"/>
        <w:tabs>
          <w:tab w:val="right" w:leader="dot" w:pos="8296"/>
        </w:tabs>
        <w:spacing w:line="480" w:lineRule="exact"/>
        <w:ind w:firstLine="400"/>
        <w:rPr>
          <w:rFonts w:ascii="Times New Roman" w:eastAsia="宋体" w:cs="Times New Roman"/>
          <w:smallCaps w:val="0"/>
          <w:sz w:val="24"/>
          <w:szCs w:val="24"/>
        </w:rPr>
      </w:pPr>
      <w:r>
        <w:fldChar w:fldCharType="begin"/>
      </w:r>
      <w:r>
        <w:instrText xml:space="preserve"> HYPERLINK \l "_Toc76927026" </w:instrText>
      </w:r>
      <w:r>
        <w:fldChar w:fldCharType="separate"/>
      </w:r>
      <w:r>
        <w:rPr>
          <w:rStyle w:val="24"/>
          <w:rFonts w:ascii="Times New Roman" w:eastAsia="宋体" w:cs="Times New Roman"/>
          <w:sz w:val="24"/>
          <w:szCs w:val="24"/>
        </w:rPr>
        <w:t>（一）评价方法</w:t>
      </w:r>
      <w:r>
        <w:rPr>
          <w:rFonts w:ascii="Times New Roman" w:eastAsia="宋体" w:cs="Times New Roman"/>
          <w:sz w:val="24"/>
          <w:szCs w:val="24"/>
        </w:rPr>
        <w:tab/>
      </w:r>
      <w:r>
        <w:rPr>
          <w:rFonts w:ascii="Times New Roman" w:eastAsia="宋体" w:cs="Times New Roman"/>
          <w:sz w:val="24"/>
          <w:szCs w:val="24"/>
        </w:rPr>
        <w:fldChar w:fldCharType="begin"/>
      </w:r>
      <w:r>
        <w:rPr>
          <w:rFonts w:ascii="Times New Roman" w:eastAsia="宋体" w:cs="Times New Roman"/>
          <w:sz w:val="24"/>
          <w:szCs w:val="24"/>
        </w:rPr>
        <w:instrText xml:space="preserve"> PAGEREF _Toc76927026 \h </w:instrText>
      </w:r>
      <w:r>
        <w:rPr>
          <w:rFonts w:ascii="Times New Roman" w:eastAsia="宋体" w:cs="Times New Roman"/>
          <w:sz w:val="24"/>
          <w:szCs w:val="24"/>
        </w:rPr>
        <w:fldChar w:fldCharType="separate"/>
      </w:r>
      <w:r>
        <w:rPr>
          <w:rFonts w:ascii="Times New Roman" w:eastAsia="宋体" w:cs="Times New Roman"/>
          <w:sz w:val="24"/>
          <w:szCs w:val="24"/>
        </w:rPr>
        <w:t>8</w:t>
      </w:r>
      <w:r>
        <w:rPr>
          <w:rFonts w:ascii="Times New Roman" w:eastAsia="宋体" w:cs="Times New Roman"/>
          <w:sz w:val="24"/>
          <w:szCs w:val="24"/>
        </w:rPr>
        <w:fldChar w:fldCharType="end"/>
      </w:r>
      <w:r>
        <w:rPr>
          <w:rFonts w:ascii="Times New Roman" w:eastAsia="宋体" w:cs="Times New Roman"/>
          <w:sz w:val="24"/>
          <w:szCs w:val="24"/>
        </w:rPr>
        <w:fldChar w:fldCharType="end"/>
      </w:r>
    </w:p>
    <w:p>
      <w:pPr>
        <w:pStyle w:val="9"/>
        <w:tabs>
          <w:tab w:val="right" w:leader="dot" w:pos="8296"/>
        </w:tabs>
        <w:spacing w:line="480" w:lineRule="exact"/>
        <w:ind w:firstLine="400"/>
        <w:rPr>
          <w:rFonts w:ascii="Times New Roman" w:eastAsia="宋体" w:cs="Times New Roman"/>
          <w:i w:val="0"/>
          <w:iCs w:val="0"/>
          <w:sz w:val="24"/>
          <w:szCs w:val="24"/>
        </w:rPr>
      </w:pPr>
      <w:r>
        <w:fldChar w:fldCharType="begin"/>
      </w:r>
      <w:r>
        <w:instrText xml:space="preserve"> HYPERLINK \l "_Toc76927027" </w:instrText>
      </w:r>
      <w:r>
        <w:fldChar w:fldCharType="separate"/>
      </w:r>
      <w:r>
        <w:rPr>
          <w:rStyle w:val="24"/>
          <w:rFonts w:ascii="Times New Roman" w:eastAsia="宋体" w:cs="Times New Roman"/>
          <w:i w:val="0"/>
          <w:iCs w:val="0"/>
          <w:sz w:val="24"/>
          <w:szCs w:val="24"/>
        </w:rPr>
        <w:t>1. 查资料—案卷研究法</w:t>
      </w:r>
      <w:r>
        <w:rPr>
          <w:rFonts w:ascii="Times New Roman" w:eastAsia="宋体" w:cs="Times New Roman"/>
          <w:i w:val="0"/>
          <w:iCs w:val="0"/>
          <w:sz w:val="24"/>
          <w:szCs w:val="24"/>
        </w:rPr>
        <w:tab/>
      </w:r>
      <w:r>
        <w:rPr>
          <w:rFonts w:ascii="Times New Roman" w:eastAsia="宋体" w:cs="Times New Roman"/>
          <w:i w:val="0"/>
          <w:iCs w:val="0"/>
          <w:sz w:val="24"/>
          <w:szCs w:val="24"/>
        </w:rPr>
        <w:fldChar w:fldCharType="begin"/>
      </w:r>
      <w:r>
        <w:rPr>
          <w:rFonts w:ascii="Times New Roman" w:eastAsia="宋体" w:cs="Times New Roman"/>
          <w:i w:val="0"/>
          <w:iCs w:val="0"/>
          <w:sz w:val="24"/>
          <w:szCs w:val="24"/>
        </w:rPr>
        <w:instrText xml:space="preserve"> PAGEREF _Toc76927027 \h </w:instrText>
      </w:r>
      <w:r>
        <w:rPr>
          <w:rFonts w:ascii="Times New Roman" w:eastAsia="宋体" w:cs="Times New Roman"/>
          <w:i w:val="0"/>
          <w:iCs w:val="0"/>
          <w:sz w:val="24"/>
          <w:szCs w:val="24"/>
        </w:rPr>
        <w:fldChar w:fldCharType="separate"/>
      </w:r>
      <w:r>
        <w:rPr>
          <w:rFonts w:ascii="Times New Roman" w:eastAsia="宋体" w:cs="Times New Roman"/>
          <w:i w:val="0"/>
          <w:iCs w:val="0"/>
          <w:sz w:val="24"/>
          <w:szCs w:val="24"/>
        </w:rPr>
        <w:t>8</w:t>
      </w:r>
      <w:r>
        <w:rPr>
          <w:rFonts w:ascii="Times New Roman" w:eastAsia="宋体" w:cs="Times New Roman"/>
          <w:i w:val="0"/>
          <w:iCs w:val="0"/>
          <w:sz w:val="24"/>
          <w:szCs w:val="24"/>
        </w:rPr>
        <w:fldChar w:fldCharType="end"/>
      </w:r>
      <w:r>
        <w:rPr>
          <w:rFonts w:ascii="Times New Roman" w:eastAsia="宋体" w:cs="Times New Roman"/>
          <w:i w:val="0"/>
          <w:iCs w:val="0"/>
          <w:sz w:val="24"/>
          <w:szCs w:val="24"/>
        </w:rPr>
        <w:fldChar w:fldCharType="end"/>
      </w:r>
    </w:p>
    <w:p>
      <w:pPr>
        <w:pStyle w:val="9"/>
        <w:tabs>
          <w:tab w:val="right" w:leader="dot" w:pos="8296"/>
        </w:tabs>
        <w:spacing w:line="480" w:lineRule="exact"/>
        <w:ind w:firstLine="400"/>
        <w:rPr>
          <w:rFonts w:ascii="Times New Roman" w:eastAsia="宋体" w:cs="Times New Roman"/>
          <w:i w:val="0"/>
          <w:iCs w:val="0"/>
          <w:sz w:val="24"/>
          <w:szCs w:val="24"/>
        </w:rPr>
      </w:pPr>
      <w:r>
        <w:fldChar w:fldCharType="begin"/>
      </w:r>
      <w:r>
        <w:instrText xml:space="preserve"> HYPERLINK \l "_Toc76927028" </w:instrText>
      </w:r>
      <w:r>
        <w:fldChar w:fldCharType="separate"/>
      </w:r>
      <w:r>
        <w:rPr>
          <w:rStyle w:val="24"/>
          <w:rFonts w:ascii="Times New Roman" w:eastAsia="宋体" w:cs="Times New Roman"/>
          <w:i w:val="0"/>
          <w:iCs w:val="0"/>
          <w:sz w:val="24"/>
          <w:szCs w:val="24"/>
        </w:rPr>
        <w:t>2. 访对象—深度访谈</w:t>
      </w:r>
      <w:r>
        <w:rPr>
          <w:rFonts w:ascii="Times New Roman" w:eastAsia="宋体" w:cs="Times New Roman"/>
          <w:i w:val="0"/>
          <w:iCs w:val="0"/>
          <w:sz w:val="24"/>
          <w:szCs w:val="24"/>
        </w:rPr>
        <w:tab/>
      </w:r>
      <w:r>
        <w:rPr>
          <w:rFonts w:ascii="Times New Roman" w:eastAsia="宋体" w:cs="Times New Roman"/>
          <w:i w:val="0"/>
          <w:iCs w:val="0"/>
          <w:sz w:val="24"/>
          <w:szCs w:val="24"/>
        </w:rPr>
        <w:fldChar w:fldCharType="begin"/>
      </w:r>
      <w:r>
        <w:rPr>
          <w:rFonts w:ascii="Times New Roman" w:eastAsia="宋体" w:cs="Times New Roman"/>
          <w:i w:val="0"/>
          <w:iCs w:val="0"/>
          <w:sz w:val="24"/>
          <w:szCs w:val="24"/>
        </w:rPr>
        <w:instrText xml:space="preserve"> PAGEREF _Toc76927028 \h </w:instrText>
      </w:r>
      <w:r>
        <w:rPr>
          <w:rFonts w:ascii="Times New Roman" w:eastAsia="宋体" w:cs="Times New Roman"/>
          <w:i w:val="0"/>
          <w:iCs w:val="0"/>
          <w:sz w:val="24"/>
          <w:szCs w:val="24"/>
        </w:rPr>
        <w:fldChar w:fldCharType="separate"/>
      </w:r>
      <w:r>
        <w:rPr>
          <w:rFonts w:ascii="Times New Roman" w:eastAsia="宋体" w:cs="Times New Roman"/>
          <w:i w:val="0"/>
          <w:iCs w:val="0"/>
          <w:sz w:val="24"/>
          <w:szCs w:val="24"/>
        </w:rPr>
        <w:t>9</w:t>
      </w:r>
      <w:r>
        <w:rPr>
          <w:rFonts w:ascii="Times New Roman" w:eastAsia="宋体" w:cs="Times New Roman"/>
          <w:i w:val="0"/>
          <w:iCs w:val="0"/>
          <w:sz w:val="24"/>
          <w:szCs w:val="24"/>
        </w:rPr>
        <w:fldChar w:fldCharType="end"/>
      </w:r>
      <w:r>
        <w:rPr>
          <w:rFonts w:ascii="Times New Roman" w:eastAsia="宋体" w:cs="Times New Roman"/>
          <w:i w:val="0"/>
          <w:iCs w:val="0"/>
          <w:sz w:val="24"/>
          <w:szCs w:val="24"/>
        </w:rPr>
        <w:fldChar w:fldCharType="end"/>
      </w:r>
    </w:p>
    <w:p>
      <w:pPr>
        <w:pStyle w:val="9"/>
        <w:tabs>
          <w:tab w:val="right" w:leader="dot" w:pos="8296"/>
        </w:tabs>
        <w:spacing w:line="480" w:lineRule="exact"/>
        <w:ind w:firstLine="400"/>
        <w:rPr>
          <w:rFonts w:ascii="Times New Roman" w:eastAsia="宋体" w:cs="Times New Roman"/>
          <w:i w:val="0"/>
          <w:iCs w:val="0"/>
          <w:sz w:val="24"/>
          <w:szCs w:val="24"/>
        </w:rPr>
      </w:pPr>
      <w:r>
        <w:fldChar w:fldCharType="begin"/>
      </w:r>
      <w:r>
        <w:instrText xml:space="preserve"> HYPERLINK \l "_Toc76927029" </w:instrText>
      </w:r>
      <w:r>
        <w:fldChar w:fldCharType="separate"/>
      </w:r>
      <w:r>
        <w:rPr>
          <w:rStyle w:val="24"/>
          <w:rFonts w:ascii="Times New Roman" w:eastAsia="宋体" w:cs="Times New Roman"/>
          <w:i w:val="0"/>
          <w:iCs w:val="0"/>
          <w:sz w:val="24"/>
          <w:szCs w:val="24"/>
        </w:rPr>
        <w:t>3. 核落实—书面评审+现场核查</w:t>
      </w:r>
      <w:r>
        <w:rPr>
          <w:rFonts w:ascii="Times New Roman" w:eastAsia="宋体" w:cs="Times New Roman"/>
          <w:i w:val="0"/>
          <w:iCs w:val="0"/>
          <w:sz w:val="24"/>
          <w:szCs w:val="24"/>
        </w:rPr>
        <w:tab/>
      </w:r>
      <w:r>
        <w:rPr>
          <w:rFonts w:ascii="Times New Roman" w:eastAsia="宋体" w:cs="Times New Roman"/>
          <w:i w:val="0"/>
          <w:iCs w:val="0"/>
          <w:sz w:val="24"/>
          <w:szCs w:val="24"/>
        </w:rPr>
        <w:fldChar w:fldCharType="begin"/>
      </w:r>
      <w:r>
        <w:rPr>
          <w:rFonts w:ascii="Times New Roman" w:eastAsia="宋体" w:cs="Times New Roman"/>
          <w:i w:val="0"/>
          <w:iCs w:val="0"/>
          <w:sz w:val="24"/>
          <w:szCs w:val="24"/>
        </w:rPr>
        <w:instrText xml:space="preserve"> PAGEREF _Toc76927029 \h </w:instrText>
      </w:r>
      <w:r>
        <w:rPr>
          <w:rFonts w:ascii="Times New Roman" w:eastAsia="宋体" w:cs="Times New Roman"/>
          <w:i w:val="0"/>
          <w:iCs w:val="0"/>
          <w:sz w:val="24"/>
          <w:szCs w:val="24"/>
        </w:rPr>
        <w:fldChar w:fldCharType="separate"/>
      </w:r>
      <w:r>
        <w:rPr>
          <w:rFonts w:ascii="Times New Roman" w:eastAsia="宋体" w:cs="Times New Roman"/>
          <w:i w:val="0"/>
          <w:iCs w:val="0"/>
          <w:sz w:val="24"/>
          <w:szCs w:val="24"/>
        </w:rPr>
        <w:t>9</w:t>
      </w:r>
      <w:r>
        <w:rPr>
          <w:rFonts w:ascii="Times New Roman" w:eastAsia="宋体" w:cs="Times New Roman"/>
          <w:i w:val="0"/>
          <w:iCs w:val="0"/>
          <w:sz w:val="24"/>
          <w:szCs w:val="24"/>
        </w:rPr>
        <w:fldChar w:fldCharType="end"/>
      </w:r>
      <w:r>
        <w:rPr>
          <w:rFonts w:ascii="Times New Roman" w:eastAsia="宋体" w:cs="Times New Roman"/>
          <w:i w:val="0"/>
          <w:iCs w:val="0"/>
          <w:sz w:val="24"/>
          <w:szCs w:val="24"/>
        </w:rPr>
        <w:fldChar w:fldCharType="end"/>
      </w:r>
    </w:p>
    <w:p>
      <w:pPr>
        <w:pStyle w:val="18"/>
        <w:tabs>
          <w:tab w:val="right" w:leader="dot" w:pos="8296"/>
        </w:tabs>
        <w:spacing w:line="480" w:lineRule="exact"/>
        <w:ind w:firstLine="400"/>
        <w:rPr>
          <w:rFonts w:ascii="Times New Roman" w:eastAsia="宋体" w:cs="Times New Roman"/>
          <w:smallCaps w:val="0"/>
          <w:sz w:val="24"/>
          <w:szCs w:val="24"/>
        </w:rPr>
      </w:pPr>
      <w:r>
        <w:fldChar w:fldCharType="begin"/>
      </w:r>
      <w:r>
        <w:instrText xml:space="preserve"> HYPERLINK \l "_Toc76927030" </w:instrText>
      </w:r>
      <w:r>
        <w:fldChar w:fldCharType="separate"/>
      </w:r>
      <w:r>
        <w:rPr>
          <w:rStyle w:val="24"/>
          <w:rFonts w:ascii="Times New Roman" w:eastAsia="宋体" w:cs="Times New Roman"/>
          <w:sz w:val="24"/>
          <w:szCs w:val="24"/>
        </w:rPr>
        <w:t>（二）评价指标</w:t>
      </w:r>
      <w:r>
        <w:rPr>
          <w:rFonts w:ascii="Times New Roman" w:eastAsia="宋体" w:cs="Times New Roman"/>
          <w:sz w:val="24"/>
          <w:szCs w:val="24"/>
        </w:rPr>
        <w:tab/>
      </w:r>
      <w:r>
        <w:rPr>
          <w:rFonts w:ascii="Times New Roman" w:eastAsia="宋体" w:cs="Times New Roman"/>
          <w:sz w:val="24"/>
          <w:szCs w:val="24"/>
        </w:rPr>
        <w:fldChar w:fldCharType="begin"/>
      </w:r>
      <w:r>
        <w:rPr>
          <w:rFonts w:ascii="Times New Roman" w:eastAsia="宋体" w:cs="Times New Roman"/>
          <w:sz w:val="24"/>
          <w:szCs w:val="24"/>
        </w:rPr>
        <w:instrText xml:space="preserve"> PAGEREF _Toc76927030 \h </w:instrText>
      </w:r>
      <w:r>
        <w:rPr>
          <w:rFonts w:ascii="Times New Roman" w:eastAsia="宋体" w:cs="Times New Roman"/>
          <w:sz w:val="24"/>
          <w:szCs w:val="24"/>
        </w:rPr>
        <w:fldChar w:fldCharType="separate"/>
      </w:r>
      <w:r>
        <w:rPr>
          <w:rFonts w:ascii="Times New Roman" w:eastAsia="宋体" w:cs="Times New Roman"/>
          <w:sz w:val="24"/>
          <w:szCs w:val="24"/>
        </w:rPr>
        <w:t>10</w:t>
      </w:r>
      <w:r>
        <w:rPr>
          <w:rFonts w:ascii="Times New Roman" w:eastAsia="宋体" w:cs="Times New Roman"/>
          <w:sz w:val="24"/>
          <w:szCs w:val="24"/>
        </w:rPr>
        <w:fldChar w:fldCharType="end"/>
      </w:r>
      <w:r>
        <w:rPr>
          <w:rFonts w:ascii="Times New Roman" w:eastAsia="宋体" w:cs="Times New Roman"/>
          <w:sz w:val="24"/>
          <w:szCs w:val="24"/>
        </w:rPr>
        <w:fldChar w:fldCharType="end"/>
      </w:r>
    </w:p>
    <w:p>
      <w:pPr>
        <w:pStyle w:val="14"/>
        <w:spacing w:before="0" w:after="0" w:line="480" w:lineRule="exact"/>
        <w:rPr>
          <w:rFonts w:ascii="Times New Roman" w:hAnsi="Times New Roman" w:eastAsia="宋体"/>
          <w:b w:val="0"/>
          <w:bCs w:val="0"/>
          <w:caps w:val="0"/>
          <w:sz w:val="24"/>
          <w:szCs w:val="24"/>
        </w:rPr>
      </w:pPr>
      <w:r>
        <w:fldChar w:fldCharType="begin"/>
      </w:r>
      <w:r>
        <w:instrText xml:space="preserve"> HYPERLINK \l "_Toc76927031" </w:instrText>
      </w:r>
      <w:r>
        <w:fldChar w:fldCharType="separate"/>
      </w:r>
      <w:r>
        <w:rPr>
          <w:rStyle w:val="24"/>
          <w:rFonts w:ascii="Times New Roman" w:hAnsi="Times New Roman" w:eastAsia="宋体"/>
          <w:sz w:val="24"/>
          <w:szCs w:val="24"/>
        </w:rPr>
        <w:t>三、评价结论及绩效分析</w:t>
      </w:r>
      <w:r>
        <w:rPr>
          <w:rFonts w:ascii="Times New Roman" w:hAnsi="Times New Roman" w:eastAsia="宋体"/>
          <w:sz w:val="24"/>
          <w:szCs w:val="24"/>
        </w:rPr>
        <w:tab/>
      </w:r>
      <w:r>
        <w:rPr>
          <w:rFonts w:ascii="Times New Roman" w:hAnsi="Times New Roman" w:eastAsia="宋体"/>
          <w:sz w:val="24"/>
          <w:szCs w:val="24"/>
        </w:rPr>
        <w:fldChar w:fldCharType="begin"/>
      </w:r>
      <w:r>
        <w:rPr>
          <w:rFonts w:ascii="Times New Roman" w:hAnsi="Times New Roman" w:eastAsia="宋体"/>
          <w:sz w:val="24"/>
          <w:szCs w:val="24"/>
        </w:rPr>
        <w:instrText xml:space="preserve"> PAGEREF _Toc76927031 \h </w:instrText>
      </w:r>
      <w:r>
        <w:rPr>
          <w:rFonts w:ascii="Times New Roman" w:hAnsi="Times New Roman" w:eastAsia="宋体"/>
          <w:sz w:val="24"/>
          <w:szCs w:val="24"/>
        </w:rPr>
        <w:fldChar w:fldCharType="separate"/>
      </w:r>
      <w:r>
        <w:rPr>
          <w:rFonts w:ascii="Times New Roman" w:hAnsi="Times New Roman" w:eastAsia="宋体"/>
          <w:sz w:val="24"/>
          <w:szCs w:val="24"/>
        </w:rPr>
        <w:t>11</w:t>
      </w:r>
      <w:r>
        <w:rPr>
          <w:rFonts w:ascii="Times New Roman" w:hAnsi="Times New Roman" w:eastAsia="宋体"/>
          <w:sz w:val="24"/>
          <w:szCs w:val="24"/>
        </w:rPr>
        <w:fldChar w:fldCharType="end"/>
      </w:r>
      <w:r>
        <w:rPr>
          <w:rFonts w:ascii="Times New Roman" w:hAnsi="Times New Roman" w:eastAsia="宋体"/>
          <w:sz w:val="24"/>
          <w:szCs w:val="24"/>
        </w:rPr>
        <w:fldChar w:fldCharType="end"/>
      </w:r>
    </w:p>
    <w:p>
      <w:pPr>
        <w:pStyle w:val="18"/>
        <w:tabs>
          <w:tab w:val="right" w:leader="dot" w:pos="8296"/>
        </w:tabs>
        <w:spacing w:line="480" w:lineRule="exact"/>
        <w:ind w:firstLine="400"/>
        <w:rPr>
          <w:rFonts w:ascii="Times New Roman" w:eastAsia="宋体" w:cs="Times New Roman"/>
          <w:smallCaps w:val="0"/>
          <w:sz w:val="24"/>
          <w:szCs w:val="24"/>
        </w:rPr>
      </w:pPr>
      <w:r>
        <w:fldChar w:fldCharType="begin"/>
      </w:r>
      <w:r>
        <w:instrText xml:space="preserve"> HYPERLINK \l "_Toc76927032" </w:instrText>
      </w:r>
      <w:r>
        <w:fldChar w:fldCharType="separate"/>
      </w:r>
      <w:r>
        <w:rPr>
          <w:rStyle w:val="24"/>
          <w:rFonts w:ascii="Times New Roman" w:eastAsia="宋体" w:cs="Times New Roman"/>
          <w:sz w:val="24"/>
          <w:szCs w:val="24"/>
        </w:rPr>
        <w:t>（一）评价结论</w:t>
      </w:r>
      <w:r>
        <w:rPr>
          <w:rFonts w:ascii="Times New Roman" w:eastAsia="宋体" w:cs="Times New Roman"/>
          <w:sz w:val="24"/>
          <w:szCs w:val="24"/>
        </w:rPr>
        <w:tab/>
      </w:r>
      <w:r>
        <w:rPr>
          <w:rFonts w:ascii="Times New Roman" w:eastAsia="宋体" w:cs="Times New Roman"/>
          <w:sz w:val="24"/>
          <w:szCs w:val="24"/>
        </w:rPr>
        <w:fldChar w:fldCharType="begin"/>
      </w:r>
      <w:r>
        <w:rPr>
          <w:rFonts w:ascii="Times New Roman" w:eastAsia="宋体" w:cs="Times New Roman"/>
          <w:sz w:val="24"/>
          <w:szCs w:val="24"/>
        </w:rPr>
        <w:instrText xml:space="preserve"> PAGEREF _Toc76927032 \h </w:instrText>
      </w:r>
      <w:r>
        <w:rPr>
          <w:rFonts w:ascii="Times New Roman" w:eastAsia="宋体" w:cs="Times New Roman"/>
          <w:sz w:val="24"/>
          <w:szCs w:val="24"/>
        </w:rPr>
        <w:fldChar w:fldCharType="separate"/>
      </w:r>
      <w:r>
        <w:rPr>
          <w:rFonts w:ascii="Times New Roman" w:eastAsia="宋体" w:cs="Times New Roman"/>
          <w:sz w:val="24"/>
          <w:szCs w:val="24"/>
        </w:rPr>
        <w:t>11</w:t>
      </w:r>
      <w:r>
        <w:rPr>
          <w:rFonts w:ascii="Times New Roman" w:eastAsia="宋体" w:cs="Times New Roman"/>
          <w:sz w:val="24"/>
          <w:szCs w:val="24"/>
        </w:rPr>
        <w:fldChar w:fldCharType="end"/>
      </w:r>
      <w:r>
        <w:rPr>
          <w:rFonts w:ascii="Times New Roman" w:eastAsia="宋体" w:cs="Times New Roman"/>
          <w:sz w:val="24"/>
          <w:szCs w:val="24"/>
        </w:rPr>
        <w:fldChar w:fldCharType="end"/>
      </w:r>
    </w:p>
    <w:p>
      <w:pPr>
        <w:pStyle w:val="18"/>
        <w:tabs>
          <w:tab w:val="right" w:leader="dot" w:pos="8296"/>
        </w:tabs>
        <w:spacing w:line="480" w:lineRule="exact"/>
        <w:ind w:firstLine="400"/>
        <w:rPr>
          <w:rFonts w:ascii="Times New Roman" w:eastAsia="宋体" w:cs="Times New Roman"/>
          <w:smallCaps w:val="0"/>
          <w:sz w:val="24"/>
          <w:szCs w:val="24"/>
        </w:rPr>
      </w:pPr>
      <w:r>
        <w:fldChar w:fldCharType="begin"/>
      </w:r>
      <w:r>
        <w:instrText xml:space="preserve"> HYPERLINK \l "_Toc76927033" </w:instrText>
      </w:r>
      <w:r>
        <w:fldChar w:fldCharType="separate"/>
      </w:r>
      <w:r>
        <w:rPr>
          <w:rStyle w:val="24"/>
          <w:rFonts w:ascii="Times New Roman" w:eastAsia="宋体" w:cs="Times New Roman"/>
          <w:sz w:val="24"/>
          <w:szCs w:val="24"/>
        </w:rPr>
        <w:t>（二）绩效分析</w:t>
      </w:r>
      <w:r>
        <w:rPr>
          <w:rFonts w:ascii="Times New Roman" w:eastAsia="宋体" w:cs="Times New Roman"/>
          <w:sz w:val="24"/>
          <w:szCs w:val="24"/>
        </w:rPr>
        <w:tab/>
      </w:r>
      <w:r>
        <w:rPr>
          <w:rFonts w:ascii="Times New Roman" w:eastAsia="宋体" w:cs="Times New Roman"/>
          <w:sz w:val="24"/>
          <w:szCs w:val="24"/>
        </w:rPr>
        <w:fldChar w:fldCharType="begin"/>
      </w:r>
      <w:r>
        <w:rPr>
          <w:rFonts w:ascii="Times New Roman" w:eastAsia="宋体" w:cs="Times New Roman"/>
          <w:sz w:val="24"/>
          <w:szCs w:val="24"/>
        </w:rPr>
        <w:instrText xml:space="preserve"> PAGEREF _Toc76927033 \h </w:instrText>
      </w:r>
      <w:r>
        <w:rPr>
          <w:rFonts w:ascii="Times New Roman" w:eastAsia="宋体" w:cs="Times New Roman"/>
          <w:sz w:val="24"/>
          <w:szCs w:val="24"/>
        </w:rPr>
        <w:fldChar w:fldCharType="separate"/>
      </w:r>
      <w:r>
        <w:rPr>
          <w:rFonts w:ascii="Times New Roman" w:eastAsia="宋体" w:cs="Times New Roman"/>
          <w:sz w:val="24"/>
          <w:szCs w:val="24"/>
        </w:rPr>
        <w:t>13</w:t>
      </w:r>
      <w:r>
        <w:rPr>
          <w:rFonts w:ascii="Times New Roman" w:eastAsia="宋体" w:cs="Times New Roman"/>
          <w:sz w:val="24"/>
          <w:szCs w:val="24"/>
        </w:rPr>
        <w:fldChar w:fldCharType="end"/>
      </w:r>
      <w:r>
        <w:rPr>
          <w:rFonts w:ascii="Times New Roman" w:eastAsia="宋体" w:cs="Times New Roman"/>
          <w:sz w:val="24"/>
          <w:szCs w:val="24"/>
        </w:rPr>
        <w:fldChar w:fldCharType="end"/>
      </w:r>
    </w:p>
    <w:p>
      <w:pPr>
        <w:pStyle w:val="9"/>
        <w:tabs>
          <w:tab w:val="right" w:leader="dot" w:pos="8296"/>
        </w:tabs>
        <w:spacing w:line="480" w:lineRule="exact"/>
        <w:ind w:firstLine="400"/>
        <w:rPr>
          <w:rFonts w:ascii="Times New Roman" w:eastAsia="宋体" w:cs="Times New Roman"/>
          <w:i w:val="0"/>
          <w:iCs w:val="0"/>
          <w:sz w:val="24"/>
          <w:szCs w:val="24"/>
        </w:rPr>
      </w:pPr>
      <w:r>
        <w:fldChar w:fldCharType="begin"/>
      </w:r>
      <w:r>
        <w:instrText xml:space="preserve"> HYPERLINK \l "_Toc76927034" </w:instrText>
      </w:r>
      <w:r>
        <w:fldChar w:fldCharType="separate"/>
      </w:r>
      <w:r>
        <w:rPr>
          <w:rStyle w:val="24"/>
          <w:rFonts w:ascii="Times New Roman" w:eastAsia="宋体" w:cs="Times New Roman"/>
          <w:i w:val="0"/>
          <w:iCs w:val="0"/>
          <w:sz w:val="24"/>
          <w:szCs w:val="24"/>
        </w:rPr>
        <w:t>1. 项目决策指标分析</w:t>
      </w:r>
      <w:r>
        <w:rPr>
          <w:rFonts w:ascii="Times New Roman" w:eastAsia="宋体" w:cs="Times New Roman"/>
          <w:i w:val="0"/>
          <w:iCs w:val="0"/>
          <w:sz w:val="24"/>
          <w:szCs w:val="24"/>
        </w:rPr>
        <w:tab/>
      </w:r>
      <w:r>
        <w:rPr>
          <w:rFonts w:ascii="Times New Roman" w:eastAsia="宋体" w:cs="Times New Roman"/>
          <w:i w:val="0"/>
          <w:iCs w:val="0"/>
          <w:sz w:val="24"/>
          <w:szCs w:val="24"/>
        </w:rPr>
        <w:fldChar w:fldCharType="begin"/>
      </w:r>
      <w:r>
        <w:rPr>
          <w:rFonts w:ascii="Times New Roman" w:eastAsia="宋体" w:cs="Times New Roman"/>
          <w:i w:val="0"/>
          <w:iCs w:val="0"/>
          <w:sz w:val="24"/>
          <w:szCs w:val="24"/>
        </w:rPr>
        <w:instrText xml:space="preserve"> PAGEREF _Toc76927034 \h </w:instrText>
      </w:r>
      <w:r>
        <w:rPr>
          <w:rFonts w:ascii="Times New Roman" w:eastAsia="宋体" w:cs="Times New Roman"/>
          <w:i w:val="0"/>
          <w:iCs w:val="0"/>
          <w:sz w:val="24"/>
          <w:szCs w:val="24"/>
        </w:rPr>
        <w:fldChar w:fldCharType="separate"/>
      </w:r>
      <w:r>
        <w:rPr>
          <w:rFonts w:ascii="Times New Roman" w:eastAsia="宋体" w:cs="Times New Roman"/>
          <w:i w:val="0"/>
          <w:iCs w:val="0"/>
          <w:sz w:val="24"/>
          <w:szCs w:val="24"/>
        </w:rPr>
        <w:t>13</w:t>
      </w:r>
      <w:r>
        <w:rPr>
          <w:rFonts w:ascii="Times New Roman" w:eastAsia="宋体" w:cs="Times New Roman"/>
          <w:i w:val="0"/>
          <w:iCs w:val="0"/>
          <w:sz w:val="24"/>
          <w:szCs w:val="24"/>
        </w:rPr>
        <w:fldChar w:fldCharType="end"/>
      </w:r>
      <w:r>
        <w:rPr>
          <w:rFonts w:ascii="Times New Roman" w:eastAsia="宋体" w:cs="Times New Roman"/>
          <w:i w:val="0"/>
          <w:iCs w:val="0"/>
          <w:sz w:val="24"/>
          <w:szCs w:val="24"/>
        </w:rPr>
        <w:fldChar w:fldCharType="end"/>
      </w:r>
    </w:p>
    <w:p>
      <w:pPr>
        <w:pStyle w:val="9"/>
        <w:tabs>
          <w:tab w:val="right" w:leader="dot" w:pos="8296"/>
        </w:tabs>
        <w:spacing w:line="480" w:lineRule="exact"/>
        <w:ind w:firstLine="400"/>
        <w:rPr>
          <w:rFonts w:ascii="Times New Roman" w:eastAsia="宋体" w:cs="Times New Roman"/>
          <w:i w:val="0"/>
          <w:iCs w:val="0"/>
          <w:sz w:val="24"/>
          <w:szCs w:val="24"/>
        </w:rPr>
      </w:pPr>
      <w:r>
        <w:fldChar w:fldCharType="begin"/>
      </w:r>
      <w:r>
        <w:instrText xml:space="preserve"> HYPERLINK \l "_Toc76927035" </w:instrText>
      </w:r>
      <w:r>
        <w:fldChar w:fldCharType="separate"/>
      </w:r>
      <w:r>
        <w:rPr>
          <w:rStyle w:val="24"/>
          <w:rFonts w:ascii="Times New Roman" w:eastAsia="宋体" w:cs="Times New Roman"/>
          <w:i w:val="0"/>
          <w:iCs w:val="0"/>
          <w:sz w:val="24"/>
          <w:szCs w:val="24"/>
        </w:rPr>
        <w:t>2. 项目实施指标分析</w:t>
      </w:r>
      <w:r>
        <w:rPr>
          <w:rFonts w:ascii="Times New Roman" w:eastAsia="宋体" w:cs="Times New Roman"/>
          <w:i w:val="0"/>
          <w:iCs w:val="0"/>
          <w:sz w:val="24"/>
          <w:szCs w:val="24"/>
        </w:rPr>
        <w:tab/>
      </w:r>
      <w:r>
        <w:rPr>
          <w:rFonts w:ascii="Times New Roman" w:eastAsia="宋体" w:cs="Times New Roman"/>
          <w:i w:val="0"/>
          <w:iCs w:val="0"/>
          <w:sz w:val="24"/>
          <w:szCs w:val="24"/>
        </w:rPr>
        <w:fldChar w:fldCharType="begin"/>
      </w:r>
      <w:r>
        <w:rPr>
          <w:rFonts w:ascii="Times New Roman" w:eastAsia="宋体" w:cs="Times New Roman"/>
          <w:i w:val="0"/>
          <w:iCs w:val="0"/>
          <w:sz w:val="24"/>
          <w:szCs w:val="24"/>
        </w:rPr>
        <w:instrText xml:space="preserve"> PAGEREF _Toc76927035 \h </w:instrText>
      </w:r>
      <w:r>
        <w:rPr>
          <w:rFonts w:ascii="Times New Roman" w:eastAsia="宋体" w:cs="Times New Roman"/>
          <w:i w:val="0"/>
          <w:iCs w:val="0"/>
          <w:sz w:val="24"/>
          <w:szCs w:val="24"/>
        </w:rPr>
        <w:fldChar w:fldCharType="separate"/>
      </w:r>
      <w:r>
        <w:rPr>
          <w:rFonts w:ascii="Times New Roman" w:eastAsia="宋体" w:cs="Times New Roman"/>
          <w:i w:val="0"/>
          <w:iCs w:val="0"/>
          <w:sz w:val="24"/>
          <w:szCs w:val="24"/>
        </w:rPr>
        <w:t>15</w:t>
      </w:r>
      <w:r>
        <w:rPr>
          <w:rFonts w:ascii="Times New Roman" w:eastAsia="宋体" w:cs="Times New Roman"/>
          <w:i w:val="0"/>
          <w:iCs w:val="0"/>
          <w:sz w:val="24"/>
          <w:szCs w:val="24"/>
        </w:rPr>
        <w:fldChar w:fldCharType="end"/>
      </w:r>
      <w:r>
        <w:rPr>
          <w:rFonts w:ascii="Times New Roman" w:eastAsia="宋体" w:cs="Times New Roman"/>
          <w:i w:val="0"/>
          <w:iCs w:val="0"/>
          <w:sz w:val="24"/>
          <w:szCs w:val="24"/>
        </w:rPr>
        <w:fldChar w:fldCharType="end"/>
      </w:r>
    </w:p>
    <w:p>
      <w:pPr>
        <w:pStyle w:val="9"/>
        <w:tabs>
          <w:tab w:val="right" w:leader="dot" w:pos="8296"/>
        </w:tabs>
        <w:spacing w:line="480" w:lineRule="exact"/>
        <w:ind w:firstLine="400"/>
        <w:rPr>
          <w:rFonts w:ascii="Times New Roman" w:eastAsia="宋体" w:cs="Times New Roman"/>
          <w:i w:val="0"/>
          <w:iCs w:val="0"/>
          <w:sz w:val="24"/>
          <w:szCs w:val="24"/>
        </w:rPr>
      </w:pPr>
      <w:r>
        <w:fldChar w:fldCharType="begin"/>
      </w:r>
      <w:r>
        <w:instrText xml:space="preserve"> HYPERLINK \l "_Toc76927036" </w:instrText>
      </w:r>
      <w:r>
        <w:fldChar w:fldCharType="separate"/>
      </w:r>
      <w:r>
        <w:rPr>
          <w:rStyle w:val="24"/>
          <w:rFonts w:ascii="Times New Roman" w:eastAsia="宋体" w:cs="Times New Roman"/>
          <w:i w:val="0"/>
          <w:iCs w:val="0"/>
          <w:sz w:val="24"/>
          <w:szCs w:val="24"/>
        </w:rPr>
        <w:t>3. 项目产出指标分析</w:t>
      </w:r>
      <w:r>
        <w:rPr>
          <w:rFonts w:ascii="Times New Roman" w:eastAsia="宋体" w:cs="Times New Roman"/>
          <w:i w:val="0"/>
          <w:iCs w:val="0"/>
          <w:sz w:val="24"/>
          <w:szCs w:val="24"/>
        </w:rPr>
        <w:tab/>
      </w:r>
      <w:r>
        <w:rPr>
          <w:rFonts w:ascii="Times New Roman" w:eastAsia="宋体" w:cs="Times New Roman"/>
          <w:i w:val="0"/>
          <w:iCs w:val="0"/>
          <w:sz w:val="24"/>
          <w:szCs w:val="24"/>
        </w:rPr>
        <w:fldChar w:fldCharType="begin"/>
      </w:r>
      <w:r>
        <w:rPr>
          <w:rFonts w:ascii="Times New Roman" w:eastAsia="宋体" w:cs="Times New Roman"/>
          <w:i w:val="0"/>
          <w:iCs w:val="0"/>
          <w:sz w:val="24"/>
          <w:szCs w:val="24"/>
        </w:rPr>
        <w:instrText xml:space="preserve"> PAGEREF _Toc76927036 \h </w:instrText>
      </w:r>
      <w:r>
        <w:rPr>
          <w:rFonts w:ascii="Times New Roman" w:eastAsia="宋体" w:cs="Times New Roman"/>
          <w:i w:val="0"/>
          <w:iCs w:val="0"/>
          <w:sz w:val="24"/>
          <w:szCs w:val="24"/>
        </w:rPr>
        <w:fldChar w:fldCharType="separate"/>
      </w:r>
      <w:r>
        <w:rPr>
          <w:rFonts w:ascii="Times New Roman" w:eastAsia="宋体" w:cs="Times New Roman"/>
          <w:i w:val="0"/>
          <w:iCs w:val="0"/>
          <w:sz w:val="24"/>
          <w:szCs w:val="24"/>
        </w:rPr>
        <w:t>17</w:t>
      </w:r>
      <w:r>
        <w:rPr>
          <w:rFonts w:ascii="Times New Roman" w:eastAsia="宋体" w:cs="Times New Roman"/>
          <w:i w:val="0"/>
          <w:iCs w:val="0"/>
          <w:sz w:val="24"/>
          <w:szCs w:val="24"/>
        </w:rPr>
        <w:fldChar w:fldCharType="end"/>
      </w:r>
      <w:r>
        <w:rPr>
          <w:rFonts w:ascii="Times New Roman" w:eastAsia="宋体" w:cs="Times New Roman"/>
          <w:i w:val="0"/>
          <w:iCs w:val="0"/>
          <w:sz w:val="24"/>
          <w:szCs w:val="24"/>
        </w:rPr>
        <w:fldChar w:fldCharType="end"/>
      </w:r>
    </w:p>
    <w:p>
      <w:pPr>
        <w:pStyle w:val="9"/>
        <w:tabs>
          <w:tab w:val="right" w:leader="dot" w:pos="8296"/>
        </w:tabs>
        <w:spacing w:line="480" w:lineRule="exact"/>
        <w:ind w:firstLine="400"/>
        <w:rPr>
          <w:rFonts w:ascii="Times New Roman" w:eastAsia="宋体" w:cs="Times New Roman"/>
          <w:i w:val="0"/>
          <w:iCs w:val="0"/>
          <w:sz w:val="24"/>
          <w:szCs w:val="24"/>
        </w:rPr>
      </w:pPr>
      <w:r>
        <w:fldChar w:fldCharType="begin"/>
      </w:r>
      <w:r>
        <w:instrText xml:space="preserve"> HYPERLINK \l "_Toc76927037" </w:instrText>
      </w:r>
      <w:r>
        <w:fldChar w:fldCharType="separate"/>
      </w:r>
      <w:r>
        <w:rPr>
          <w:rStyle w:val="24"/>
          <w:rFonts w:ascii="Times New Roman" w:eastAsia="宋体" w:cs="Times New Roman"/>
          <w:i w:val="0"/>
          <w:iCs w:val="0"/>
          <w:sz w:val="24"/>
          <w:szCs w:val="24"/>
        </w:rPr>
        <w:t>4. 项目效果指标分析</w:t>
      </w:r>
      <w:r>
        <w:rPr>
          <w:rFonts w:ascii="Times New Roman" w:eastAsia="宋体" w:cs="Times New Roman"/>
          <w:i w:val="0"/>
          <w:iCs w:val="0"/>
          <w:sz w:val="24"/>
          <w:szCs w:val="24"/>
        </w:rPr>
        <w:tab/>
      </w:r>
      <w:r>
        <w:rPr>
          <w:rFonts w:ascii="Times New Roman" w:eastAsia="宋体" w:cs="Times New Roman"/>
          <w:i w:val="0"/>
          <w:iCs w:val="0"/>
          <w:sz w:val="24"/>
          <w:szCs w:val="24"/>
        </w:rPr>
        <w:fldChar w:fldCharType="begin"/>
      </w:r>
      <w:r>
        <w:rPr>
          <w:rFonts w:ascii="Times New Roman" w:eastAsia="宋体" w:cs="Times New Roman"/>
          <w:i w:val="0"/>
          <w:iCs w:val="0"/>
          <w:sz w:val="24"/>
          <w:szCs w:val="24"/>
        </w:rPr>
        <w:instrText xml:space="preserve"> PAGEREF _Toc76927037 \h </w:instrText>
      </w:r>
      <w:r>
        <w:rPr>
          <w:rFonts w:ascii="Times New Roman" w:eastAsia="宋体" w:cs="Times New Roman"/>
          <w:i w:val="0"/>
          <w:iCs w:val="0"/>
          <w:sz w:val="24"/>
          <w:szCs w:val="24"/>
        </w:rPr>
        <w:fldChar w:fldCharType="separate"/>
      </w:r>
      <w:r>
        <w:rPr>
          <w:rFonts w:ascii="Times New Roman" w:eastAsia="宋体" w:cs="Times New Roman"/>
          <w:i w:val="0"/>
          <w:iCs w:val="0"/>
          <w:sz w:val="24"/>
          <w:szCs w:val="24"/>
        </w:rPr>
        <w:t>18</w:t>
      </w:r>
      <w:r>
        <w:rPr>
          <w:rFonts w:ascii="Times New Roman" w:eastAsia="宋体" w:cs="Times New Roman"/>
          <w:i w:val="0"/>
          <w:iCs w:val="0"/>
          <w:sz w:val="24"/>
          <w:szCs w:val="24"/>
        </w:rPr>
        <w:fldChar w:fldCharType="end"/>
      </w:r>
      <w:r>
        <w:rPr>
          <w:rFonts w:ascii="Times New Roman" w:eastAsia="宋体" w:cs="Times New Roman"/>
          <w:i w:val="0"/>
          <w:iCs w:val="0"/>
          <w:sz w:val="24"/>
          <w:szCs w:val="24"/>
        </w:rPr>
        <w:fldChar w:fldCharType="end"/>
      </w:r>
    </w:p>
    <w:p>
      <w:pPr>
        <w:pStyle w:val="14"/>
        <w:spacing w:before="0" w:after="0" w:line="480" w:lineRule="exact"/>
        <w:rPr>
          <w:rFonts w:ascii="Times New Roman" w:hAnsi="Times New Roman" w:eastAsia="宋体"/>
          <w:b w:val="0"/>
          <w:bCs w:val="0"/>
          <w:caps w:val="0"/>
          <w:sz w:val="24"/>
          <w:szCs w:val="24"/>
        </w:rPr>
      </w:pPr>
      <w:r>
        <w:fldChar w:fldCharType="begin"/>
      </w:r>
      <w:r>
        <w:instrText xml:space="preserve"> HYPERLINK \l "_Toc76927038" </w:instrText>
      </w:r>
      <w:r>
        <w:fldChar w:fldCharType="separate"/>
      </w:r>
      <w:r>
        <w:rPr>
          <w:rStyle w:val="24"/>
          <w:rFonts w:ascii="Times New Roman" w:hAnsi="Times New Roman" w:eastAsia="宋体"/>
          <w:sz w:val="24"/>
          <w:szCs w:val="24"/>
        </w:rPr>
        <w:t>四、存在主要问题</w:t>
      </w:r>
      <w:r>
        <w:rPr>
          <w:rFonts w:ascii="Times New Roman" w:hAnsi="Times New Roman" w:eastAsia="宋体"/>
          <w:sz w:val="24"/>
          <w:szCs w:val="24"/>
        </w:rPr>
        <w:tab/>
      </w:r>
      <w:r>
        <w:rPr>
          <w:rFonts w:ascii="Times New Roman" w:hAnsi="Times New Roman" w:eastAsia="宋体"/>
          <w:sz w:val="24"/>
          <w:szCs w:val="24"/>
        </w:rPr>
        <w:fldChar w:fldCharType="begin"/>
      </w:r>
      <w:r>
        <w:rPr>
          <w:rFonts w:ascii="Times New Roman" w:hAnsi="Times New Roman" w:eastAsia="宋体"/>
          <w:sz w:val="24"/>
          <w:szCs w:val="24"/>
        </w:rPr>
        <w:instrText xml:space="preserve"> PAGEREF _Toc76927038 \h </w:instrText>
      </w:r>
      <w:r>
        <w:rPr>
          <w:rFonts w:ascii="Times New Roman" w:hAnsi="Times New Roman" w:eastAsia="宋体"/>
          <w:sz w:val="24"/>
          <w:szCs w:val="24"/>
        </w:rPr>
        <w:fldChar w:fldCharType="separate"/>
      </w:r>
      <w:r>
        <w:rPr>
          <w:rFonts w:ascii="Times New Roman" w:hAnsi="Times New Roman" w:eastAsia="宋体"/>
          <w:sz w:val="24"/>
          <w:szCs w:val="24"/>
        </w:rPr>
        <w:t>20</w:t>
      </w:r>
      <w:r>
        <w:rPr>
          <w:rFonts w:ascii="Times New Roman" w:hAnsi="Times New Roman" w:eastAsia="宋体"/>
          <w:sz w:val="24"/>
          <w:szCs w:val="24"/>
        </w:rPr>
        <w:fldChar w:fldCharType="end"/>
      </w:r>
      <w:r>
        <w:rPr>
          <w:rFonts w:ascii="Times New Roman" w:hAnsi="Times New Roman" w:eastAsia="宋体"/>
          <w:sz w:val="24"/>
          <w:szCs w:val="24"/>
        </w:rPr>
        <w:fldChar w:fldCharType="end"/>
      </w:r>
    </w:p>
    <w:p>
      <w:pPr>
        <w:pStyle w:val="18"/>
        <w:tabs>
          <w:tab w:val="right" w:leader="dot" w:pos="8296"/>
        </w:tabs>
        <w:spacing w:line="480" w:lineRule="exact"/>
        <w:ind w:firstLine="400"/>
        <w:rPr>
          <w:rFonts w:ascii="Times New Roman" w:eastAsia="宋体" w:cs="Times New Roman"/>
          <w:smallCaps w:val="0"/>
          <w:sz w:val="24"/>
          <w:szCs w:val="24"/>
        </w:rPr>
      </w:pPr>
      <w:r>
        <w:fldChar w:fldCharType="begin"/>
      </w:r>
      <w:r>
        <w:instrText xml:space="preserve"> HYPERLINK \l "_Toc76927039" </w:instrText>
      </w:r>
      <w:r>
        <w:fldChar w:fldCharType="separate"/>
      </w:r>
      <w:r>
        <w:rPr>
          <w:rStyle w:val="24"/>
          <w:rFonts w:ascii="Times New Roman" w:eastAsia="宋体" w:cs="Times New Roman"/>
          <w:sz w:val="24"/>
          <w:szCs w:val="24"/>
        </w:rPr>
        <w:t>（一）未来基金筹集和给付能力存在风险</w:t>
      </w:r>
      <w:r>
        <w:rPr>
          <w:rFonts w:ascii="Times New Roman" w:eastAsia="宋体" w:cs="Times New Roman"/>
          <w:sz w:val="24"/>
          <w:szCs w:val="24"/>
        </w:rPr>
        <w:tab/>
      </w:r>
      <w:r>
        <w:rPr>
          <w:rFonts w:ascii="Times New Roman" w:eastAsia="宋体" w:cs="Times New Roman"/>
          <w:sz w:val="24"/>
          <w:szCs w:val="24"/>
        </w:rPr>
        <w:fldChar w:fldCharType="begin"/>
      </w:r>
      <w:r>
        <w:rPr>
          <w:rFonts w:ascii="Times New Roman" w:eastAsia="宋体" w:cs="Times New Roman"/>
          <w:sz w:val="24"/>
          <w:szCs w:val="24"/>
        </w:rPr>
        <w:instrText xml:space="preserve"> PAGEREF _Toc76927039 \h </w:instrText>
      </w:r>
      <w:r>
        <w:rPr>
          <w:rFonts w:ascii="Times New Roman" w:eastAsia="宋体" w:cs="Times New Roman"/>
          <w:sz w:val="24"/>
          <w:szCs w:val="24"/>
        </w:rPr>
        <w:fldChar w:fldCharType="separate"/>
      </w:r>
      <w:r>
        <w:rPr>
          <w:rFonts w:ascii="Times New Roman" w:eastAsia="宋体" w:cs="Times New Roman"/>
          <w:sz w:val="24"/>
          <w:szCs w:val="24"/>
        </w:rPr>
        <w:t>20</w:t>
      </w:r>
      <w:r>
        <w:rPr>
          <w:rFonts w:ascii="Times New Roman" w:eastAsia="宋体" w:cs="Times New Roman"/>
          <w:sz w:val="24"/>
          <w:szCs w:val="24"/>
        </w:rPr>
        <w:fldChar w:fldCharType="end"/>
      </w:r>
      <w:r>
        <w:rPr>
          <w:rFonts w:ascii="Times New Roman" w:eastAsia="宋体" w:cs="Times New Roman"/>
          <w:sz w:val="24"/>
          <w:szCs w:val="24"/>
        </w:rPr>
        <w:fldChar w:fldCharType="end"/>
      </w:r>
    </w:p>
    <w:p>
      <w:pPr>
        <w:pStyle w:val="18"/>
        <w:tabs>
          <w:tab w:val="right" w:leader="dot" w:pos="8296"/>
        </w:tabs>
        <w:spacing w:line="480" w:lineRule="exact"/>
        <w:ind w:firstLine="400"/>
        <w:rPr>
          <w:rFonts w:ascii="Times New Roman" w:eastAsia="宋体" w:cs="Times New Roman"/>
          <w:smallCaps w:val="0"/>
          <w:sz w:val="24"/>
          <w:szCs w:val="24"/>
        </w:rPr>
      </w:pPr>
      <w:r>
        <w:fldChar w:fldCharType="begin"/>
      </w:r>
      <w:r>
        <w:instrText xml:space="preserve"> HYPERLINK \l "_Toc76927040" </w:instrText>
      </w:r>
      <w:r>
        <w:fldChar w:fldCharType="separate"/>
      </w:r>
      <w:r>
        <w:rPr>
          <w:rStyle w:val="24"/>
          <w:rFonts w:ascii="Times New Roman" w:eastAsia="宋体" w:cs="Times New Roman"/>
          <w:sz w:val="24"/>
          <w:szCs w:val="24"/>
        </w:rPr>
        <w:t>（二）养老金领取资格认证方式薄弱点突出</w:t>
      </w:r>
      <w:r>
        <w:rPr>
          <w:rFonts w:ascii="Times New Roman" w:eastAsia="宋体" w:cs="Times New Roman"/>
          <w:sz w:val="24"/>
          <w:szCs w:val="24"/>
        </w:rPr>
        <w:tab/>
      </w:r>
      <w:r>
        <w:rPr>
          <w:rFonts w:ascii="Times New Roman" w:eastAsia="宋体" w:cs="Times New Roman"/>
          <w:sz w:val="24"/>
          <w:szCs w:val="24"/>
        </w:rPr>
        <w:fldChar w:fldCharType="begin"/>
      </w:r>
      <w:r>
        <w:rPr>
          <w:rFonts w:ascii="Times New Roman" w:eastAsia="宋体" w:cs="Times New Roman"/>
          <w:sz w:val="24"/>
          <w:szCs w:val="24"/>
        </w:rPr>
        <w:instrText xml:space="preserve"> PAGEREF _Toc76927040 \h </w:instrText>
      </w:r>
      <w:r>
        <w:rPr>
          <w:rFonts w:ascii="Times New Roman" w:eastAsia="宋体" w:cs="Times New Roman"/>
          <w:sz w:val="24"/>
          <w:szCs w:val="24"/>
        </w:rPr>
        <w:fldChar w:fldCharType="separate"/>
      </w:r>
      <w:r>
        <w:rPr>
          <w:rFonts w:ascii="Times New Roman" w:eastAsia="宋体" w:cs="Times New Roman"/>
          <w:sz w:val="24"/>
          <w:szCs w:val="24"/>
        </w:rPr>
        <w:t>22</w:t>
      </w:r>
      <w:r>
        <w:rPr>
          <w:rFonts w:ascii="Times New Roman" w:eastAsia="宋体" w:cs="Times New Roman"/>
          <w:sz w:val="24"/>
          <w:szCs w:val="24"/>
        </w:rPr>
        <w:fldChar w:fldCharType="end"/>
      </w:r>
      <w:r>
        <w:rPr>
          <w:rFonts w:ascii="Times New Roman" w:eastAsia="宋体" w:cs="Times New Roman"/>
          <w:sz w:val="24"/>
          <w:szCs w:val="24"/>
        </w:rPr>
        <w:fldChar w:fldCharType="end"/>
      </w:r>
    </w:p>
    <w:p>
      <w:pPr>
        <w:pStyle w:val="18"/>
        <w:tabs>
          <w:tab w:val="right" w:leader="dot" w:pos="8296"/>
        </w:tabs>
        <w:spacing w:line="480" w:lineRule="exact"/>
        <w:ind w:firstLine="400"/>
        <w:rPr>
          <w:rFonts w:ascii="Times New Roman" w:eastAsia="宋体" w:cs="Times New Roman"/>
          <w:smallCaps w:val="0"/>
          <w:sz w:val="24"/>
          <w:szCs w:val="24"/>
        </w:rPr>
      </w:pPr>
      <w:r>
        <w:fldChar w:fldCharType="begin"/>
      </w:r>
      <w:r>
        <w:instrText xml:space="preserve"> HYPERLINK \l "_Toc76927041" </w:instrText>
      </w:r>
      <w:r>
        <w:fldChar w:fldCharType="separate"/>
      </w:r>
      <w:r>
        <w:rPr>
          <w:rStyle w:val="24"/>
          <w:rFonts w:ascii="Times New Roman" w:eastAsia="宋体" w:cs="Times New Roman"/>
          <w:sz w:val="24"/>
          <w:szCs w:val="24"/>
        </w:rPr>
        <w:t>（三）绩效目标设置与实际情况偏离度较高</w:t>
      </w:r>
      <w:r>
        <w:rPr>
          <w:rFonts w:ascii="Times New Roman" w:eastAsia="宋体" w:cs="Times New Roman"/>
          <w:sz w:val="24"/>
          <w:szCs w:val="24"/>
        </w:rPr>
        <w:tab/>
      </w:r>
      <w:r>
        <w:rPr>
          <w:rFonts w:ascii="Times New Roman" w:eastAsia="宋体" w:cs="Times New Roman"/>
          <w:sz w:val="24"/>
          <w:szCs w:val="24"/>
        </w:rPr>
        <w:fldChar w:fldCharType="begin"/>
      </w:r>
      <w:r>
        <w:rPr>
          <w:rFonts w:ascii="Times New Roman" w:eastAsia="宋体" w:cs="Times New Roman"/>
          <w:sz w:val="24"/>
          <w:szCs w:val="24"/>
        </w:rPr>
        <w:instrText xml:space="preserve"> PAGEREF _Toc76927041 \h </w:instrText>
      </w:r>
      <w:r>
        <w:rPr>
          <w:rFonts w:ascii="Times New Roman" w:eastAsia="宋体" w:cs="Times New Roman"/>
          <w:sz w:val="24"/>
          <w:szCs w:val="24"/>
        </w:rPr>
        <w:fldChar w:fldCharType="separate"/>
      </w:r>
      <w:r>
        <w:rPr>
          <w:rFonts w:ascii="Times New Roman" w:eastAsia="宋体" w:cs="Times New Roman"/>
          <w:sz w:val="24"/>
          <w:szCs w:val="24"/>
        </w:rPr>
        <w:t>22</w:t>
      </w:r>
      <w:r>
        <w:rPr>
          <w:rFonts w:ascii="Times New Roman" w:eastAsia="宋体" w:cs="Times New Roman"/>
          <w:sz w:val="24"/>
          <w:szCs w:val="24"/>
        </w:rPr>
        <w:fldChar w:fldCharType="end"/>
      </w:r>
      <w:r>
        <w:rPr>
          <w:rFonts w:ascii="Times New Roman" w:eastAsia="宋体" w:cs="Times New Roman"/>
          <w:sz w:val="24"/>
          <w:szCs w:val="24"/>
        </w:rPr>
        <w:fldChar w:fldCharType="end"/>
      </w:r>
    </w:p>
    <w:p>
      <w:pPr>
        <w:pStyle w:val="14"/>
        <w:spacing w:before="0" w:after="0" w:line="480" w:lineRule="exact"/>
        <w:rPr>
          <w:rFonts w:ascii="Times New Roman" w:hAnsi="Times New Roman" w:eastAsia="宋体"/>
          <w:b w:val="0"/>
          <w:bCs w:val="0"/>
          <w:caps w:val="0"/>
          <w:sz w:val="24"/>
          <w:szCs w:val="24"/>
        </w:rPr>
      </w:pPr>
      <w:r>
        <w:fldChar w:fldCharType="begin"/>
      </w:r>
      <w:r>
        <w:instrText xml:space="preserve"> HYPERLINK \l "_Toc76927042" </w:instrText>
      </w:r>
      <w:r>
        <w:fldChar w:fldCharType="separate"/>
      </w:r>
      <w:r>
        <w:rPr>
          <w:rStyle w:val="24"/>
          <w:rFonts w:ascii="Times New Roman" w:hAnsi="Times New Roman" w:eastAsia="宋体"/>
          <w:sz w:val="24"/>
          <w:szCs w:val="24"/>
        </w:rPr>
        <w:t>五、相关措施建议</w:t>
      </w:r>
      <w:r>
        <w:rPr>
          <w:rFonts w:ascii="Times New Roman" w:hAnsi="Times New Roman" w:eastAsia="宋体"/>
          <w:sz w:val="24"/>
          <w:szCs w:val="24"/>
        </w:rPr>
        <w:tab/>
      </w:r>
      <w:r>
        <w:rPr>
          <w:rFonts w:ascii="Times New Roman" w:hAnsi="Times New Roman" w:eastAsia="宋体"/>
          <w:sz w:val="24"/>
          <w:szCs w:val="24"/>
        </w:rPr>
        <w:fldChar w:fldCharType="begin"/>
      </w:r>
      <w:r>
        <w:rPr>
          <w:rFonts w:ascii="Times New Roman" w:hAnsi="Times New Roman" w:eastAsia="宋体"/>
          <w:sz w:val="24"/>
          <w:szCs w:val="24"/>
        </w:rPr>
        <w:instrText xml:space="preserve"> PAGEREF _Toc76927042 \h </w:instrText>
      </w:r>
      <w:r>
        <w:rPr>
          <w:rFonts w:ascii="Times New Roman" w:hAnsi="Times New Roman" w:eastAsia="宋体"/>
          <w:sz w:val="24"/>
          <w:szCs w:val="24"/>
        </w:rPr>
        <w:fldChar w:fldCharType="separate"/>
      </w:r>
      <w:r>
        <w:rPr>
          <w:rFonts w:ascii="Times New Roman" w:hAnsi="Times New Roman" w:eastAsia="宋体"/>
          <w:sz w:val="24"/>
          <w:szCs w:val="24"/>
        </w:rPr>
        <w:t>23</w:t>
      </w:r>
      <w:r>
        <w:rPr>
          <w:rFonts w:ascii="Times New Roman" w:hAnsi="Times New Roman" w:eastAsia="宋体"/>
          <w:sz w:val="24"/>
          <w:szCs w:val="24"/>
        </w:rPr>
        <w:fldChar w:fldCharType="end"/>
      </w:r>
      <w:r>
        <w:rPr>
          <w:rFonts w:ascii="Times New Roman" w:hAnsi="Times New Roman" w:eastAsia="宋体"/>
          <w:sz w:val="24"/>
          <w:szCs w:val="24"/>
        </w:rPr>
        <w:fldChar w:fldCharType="end"/>
      </w:r>
    </w:p>
    <w:p>
      <w:pPr>
        <w:pStyle w:val="18"/>
        <w:tabs>
          <w:tab w:val="right" w:leader="dot" w:pos="8296"/>
        </w:tabs>
        <w:spacing w:line="480" w:lineRule="exact"/>
        <w:ind w:firstLine="400"/>
        <w:rPr>
          <w:rFonts w:ascii="Times New Roman" w:eastAsia="宋体" w:cs="Times New Roman"/>
          <w:smallCaps w:val="0"/>
          <w:sz w:val="24"/>
          <w:szCs w:val="24"/>
        </w:rPr>
      </w:pPr>
      <w:r>
        <w:fldChar w:fldCharType="begin"/>
      </w:r>
      <w:r>
        <w:instrText xml:space="preserve"> HYPERLINK \l "_Toc76927043" </w:instrText>
      </w:r>
      <w:r>
        <w:fldChar w:fldCharType="separate"/>
      </w:r>
      <w:r>
        <w:rPr>
          <w:rStyle w:val="24"/>
          <w:rFonts w:ascii="Times New Roman" w:eastAsia="宋体" w:cs="Times New Roman"/>
          <w:sz w:val="24"/>
          <w:szCs w:val="24"/>
        </w:rPr>
        <w:t>（一）加大政策宣传力度，提升居民参保意愿</w:t>
      </w:r>
      <w:r>
        <w:rPr>
          <w:rFonts w:ascii="Times New Roman" w:eastAsia="宋体" w:cs="Times New Roman"/>
          <w:sz w:val="24"/>
          <w:szCs w:val="24"/>
        </w:rPr>
        <w:tab/>
      </w:r>
      <w:r>
        <w:rPr>
          <w:rFonts w:ascii="Times New Roman" w:eastAsia="宋体" w:cs="Times New Roman"/>
          <w:sz w:val="24"/>
          <w:szCs w:val="24"/>
        </w:rPr>
        <w:fldChar w:fldCharType="begin"/>
      </w:r>
      <w:r>
        <w:rPr>
          <w:rFonts w:ascii="Times New Roman" w:eastAsia="宋体" w:cs="Times New Roman"/>
          <w:sz w:val="24"/>
          <w:szCs w:val="24"/>
        </w:rPr>
        <w:instrText xml:space="preserve"> PAGEREF _Toc76927043 \h </w:instrText>
      </w:r>
      <w:r>
        <w:rPr>
          <w:rFonts w:ascii="Times New Roman" w:eastAsia="宋体" w:cs="Times New Roman"/>
          <w:sz w:val="24"/>
          <w:szCs w:val="24"/>
        </w:rPr>
        <w:fldChar w:fldCharType="separate"/>
      </w:r>
      <w:r>
        <w:rPr>
          <w:rFonts w:ascii="Times New Roman" w:eastAsia="宋体" w:cs="Times New Roman"/>
          <w:sz w:val="24"/>
          <w:szCs w:val="24"/>
        </w:rPr>
        <w:t>23</w:t>
      </w:r>
      <w:r>
        <w:rPr>
          <w:rFonts w:ascii="Times New Roman" w:eastAsia="宋体" w:cs="Times New Roman"/>
          <w:sz w:val="24"/>
          <w:szCs w:val="24"/>
        </w:rPr>
        <w:fldChar w:fldCharType="end"/>
      </w:r>
      <w:r>
        <w:rPr>
          <w:rFonts w:ascii="Times New Roman" w:eastAsia="宋体" w:cs="Times New Roman"/>
          <w:sz w:val="24"/>
          <w:szCs w:val="24"/>
        </w:rPr>
        <w:fldChar w:fldCharType="end"/>
      </w:r>
    </w:p>
    <w:p>
      <w:pPr>
        <w:pStyle w:val="18"/>
        <w:tabs>
          <w:tab w:val="right" w:leader="dot" w:pos="8296"/>
        </w:tabs>
        <w:spacing w:line="480" w:lineRule="exact"/>
        <w:ind w:firstLine="400"/>
        <w:rPr>
          <w:rFonts w:ascii="Times New Roman" w:eastAsia="宋体" w:cs="Times New Roman"/>
          <w:smallCaps w:val="0"/>
          <w:sz w:val="24"/>
          <w:szCs w:val="24"/>
        </w:rPr>
      </w:pPr>
      <w:r>
        <w:fldChar w:fldCharType="begin"/>
      </w:r>
      <w:r>
        <w:instrText xml:space="preserve"> HYPERLINK \l "_Toc76927044" </w:instrText>
      </w:r>
      <w:r>
        <w:fldChar w:fldCharType="separate"/>
      </w:r>
      <w:r>
        <w:rPr>
          <w:rStyle w:val="24"/>
          <w:rFonts w:ascii="Times New Roman" w:eastAsia="宋体" w:cs="Times New Roman"/>
          <w:sz w:val="24"/>
          <w:szCs w:val="24"/>
        </w:rPr>
        <w:t>（二）强化基金数据管理，加强社会监督机制</w:t>
      </w:r>
      <w:r>
        <w:rPr>
          <w:rFonts w:ascii="Times New Roman" w:eastAsia="宋体" w:cs="Times New Roman"/>
          <w:sz w:val="24"/>
          <w:szCs w:val="24"/>
        </w:rPr>
        <w:tab/>
      </w:r>
      <w:r>
        <w:rPr>
          <w:rFonts w:ascii="Times New Roman" w:eastAsia="宋体" w:cs="Times New Roman"/>
          <w:sz w:val="24"/>
          <w:szCs w:val="24"/>
        </w:rPr>
        <w:fldChar w:fldCharType="begin"/>
      </w:r>
      <w:r>
        <w:rPr>
          <w:rFonts w:ascii="Times New Roman" w:eastAsia="宋体" w:cs="Times New Roman"/>
          <w:sz w:val="24"/>
          <w:szCs w:val="24"/>
        </w:rPr>
        <w:instrText xml:space="preserve"> PAGEREF _Toc76927044 \h </w:instrText>
      </w:r>
      <w:r>
        <w:rPr>
          <w:rFonts w:ascii="Times New Roman" w:eastAsia="宋体" w:cs="Times New Roman"/>
          <w:sz w:val="24"/>
          <w:szCs w:val="24"/>
        </w:rPr>
        <w:fldChar w:fldCharType="separate"/>
      </w:r>
      <w:r>
        <w:rPr>
          <w:rFonts w:ascii="Times New Roman" w:eastAsia="宋体" w:cs="Times New Roman"/>
          <w:sz w:val="24"/>
          <w:szCs w:val="24"/>
        </w:rPr>
        <w:t>23</w:t>
      </w:r>
      <w:r>
        <w:rPr>
          <w:rFonts w:ascii="Times New Roman" w:eastAsia="宋体" w:cs="Times New Roman"/>
          <w:sz w:val="24"/>
          <w:szCs w:val="24"/>
        </w:rPr>
        <w:fldChar w:fldCharType="end"/>
      </w:r>
      <w:r>
        <w:rPr>
          <w:rFonts w:ascii="Times New Roman" w:eastAsia="宋体" w:cs="Times New Roman"/>
          <w:sz w:val="24"/>
          <w:szCs w:val="24"/>
        </w:rPr>
        <w:fldChar w:fldCharType="end"/>
      </w:r>
    </w:p>
    <w:p>
      <w:pPr>
        <w:pStyle w:val="18"/>
        <w:tabs>
          <w:tab w:val="right" w:leader="dot" w:pos="8296"/>
        </w:tabs>
        <w:spacing w:line="480" w:lineRule="exact"/>
        <w:ind w:firstLine="400"/>
        <w:rPr>
          <w:rFonts w:ascii="Times New Roman" w:eastAsia="宋体" w:cs="Times New Roman"/>
          <w:smallCaps w:val="0"/>
          <w:sz w:val="24"/>
          <w:szCs w:val="24"/>
        </w:rPr>
      </w:pPr>
      <w:r>
        <w:fldChar w:fldCharType="begin"/>
      </w:r>
      <w:r>
        <w:instrText xml:space="preserve"> HYPERLINK \l "_Toc76927045" </w:instrText>
      </w:r>
      <w:r>
        <w:fldChar w:fldCharType="separate"/>
      </w:r>
      <w:r>
        <w:rPr>
          <w:rStyle w:val="24"/>
          <w:rFonts w:ascii="Times New Roman" w:eastAsia="宋体" w:cs="Times New Roman"/>
          <w:sz w:val="24"/>
          <w:szCs w:val="24"/>
        </w:rPr>
        <w:t>（三）加强财务人员绩效培训，提高编制科学合理性</w:t>
      </w:r>
      <w:r>
        <w:rPr>
          <w:rFonts w:ascii="Times New Roman" w:eastAsia="宋体" w:cs="Times New Roman"/>
          <w:sz w:val="24"/>
          <w:szCs w:val="24"/>
        </w:rPr>
        <w:tab/>
      </w:r>
      <w:r>
        <w:rPr>
          <w:rFonts w:ascii="Times New Roman" w:eastAsia="宋体" w:cs="Times New Roman"/>
          <w:sz w:val="24"/>
          <w:szCs w:val="24"/>
        </w:rPr>
        <w:fldChar w:fldCharType="begin"/>
      </w:r>
      <w:r>
        <w:rPr>
          <w:rFonts w:ascii="Times New Roman" w:eastAsia="宋体" w:cs="Times New Roman"/>
          <w:sz w:val="24"/>
          <w:szCs w:val="24"/>
        </w:rPr>
        <w:instrText xml:space="preserve"> PAGEREF _Toc76927045 \h </w:instrText>
      </w:r>
      <w:r>
        <w:rPr>
          <w:rFonts w:ascii="Times New Roman" w:eastAsia="宋体" w:cs="Times New Roman"/>
          <w:sz w:val="24"/>
          <w:szCs w:val="24"/>
        </w:rPr>
        <w:fldChar w:fldCharType="separate"/>
      </w:r>
      <w:r>
        <w:rPr>
          <w:rFonts w:ascii="Times New Roman" w:eastAsia="宋体" w:cs="Times New Roman"/>
          <w:sz w:val="24"/>
          <w:szCs w:val="24"/>
        </w:rPr>
        <w:t>24</w:t>
      </w:r>
      <w:r>
        <w:rPr>
          <w:rFonts w:ascii="Times New Roman" w:eastAsia="宋体" w:cs="Times New Roman"/>
          <w:sz w:val="24"/>
          <w:szCs w:val="24"/>
        </w:rPr>
        <w:fldChar w:fldCharType="end"/>
      </w:r>
      <w:r>
        <w:rPr>
          <w:rFonts w:ascii="Times New Roman" w:eastAsia="宋体" w:cs="Times New Roman"/>
          <w:sz w:val="24"/>
          <w:szCs w:val="24"/>
        </w:rPr>
        <w:fldChar w:fldCharType="end"/>
      </w:r>
    </w:p>
    <w:p>
      <w:pPr>
        <w:pStyle w:val="14"/>
        <w:spacing w:before="0" w:after="0" w:line="480" w:lineRule="exact"/>
        <w:rPr>
          <w:rFonts w:asciiTheme="minorHAnsi" w:hAnsiTheme="minorHAnsi" w:eastAsiaTheme="minorEastAsia" w:cstheme="minorBidi"/>
          <w:b w:val="0"/>
          <w:bCs w:val="0"/>
          <w:caps w:val="0"/>
          <w:sz w:val="21"/>
          <w:szCs w:val="22"/>
        </w:rPr>
      </w:pPr>
      <w:r>
        <w:fldChar w:fldCharType="begin"/>
      </w:r>
      <w:r>
        <w:instrText xml:space="preserve"> HYPERLINK \l "_Toc76927046" </w:instrText>
      </w:r>
      <w:r>
        <w:fldChar w:fldCharType="separate"/>
      </w:r>
      <w:r>
        <w:rPr>
          <w:rStyle w:val="24"/>
          <w:rFonts w:ascii="Times New Roman" w:hAnsi="Times New Roman" w:eastAsia="宋体"/>
          <w:sz w:val="24"/>
          <w:szCs w:val="24"/>
        </w:rPr>
        <w:t>附件 绵竹市2020年城乡居民养老保险财政补助项目支出绩效评价得分表</w:t>
      </w:r>
      <w:r>
        <w:rPr>
          <w:rFonts w:ascii="Times New Roman" w:hAnsi="Times New Roman" w:eastAsia="宋体"/>
          <w:sz w:val="24"/>
          <w:szCs w:val="24"/>
        </w:rPr>
        <w:tab/>
      </w:r>
      <w:r>
        <w:rPr>
          <w:rFonts w:ascii="Times New Roman" w:hAnsi="Times New Roman" w:eastAsia="宋体"/>
          <w:sz w:val="24"/>
          <w:szCs w:val="24"/>
        </w:rPr>
        <w:fldChar w:fldCharType="begin"/>
      </w:r>
      <w:r>
        <w:rPr>
          <w:rFonts w:ascii="Times New Roman" w:hAnsi="Times New Roman" w:eastAsia="宋体"/>
          <w:sz w:val="24"/>
          <w:szCs w:val="24"/>
        </w:rPr>
        <w:instrText xml:space="preserve"> PAGEREF _Toc76927046 \h </w:instrText>
      </w:r>
      <w:r>
        <w:rPr>
          <w:rFonts w:ascii="Times New Roman" w:hAnsi="Times New Roman" w:eastAsia="宋体"/>
          <w:sz w:val="24"/>
          <w:szCs w:val="24"/>
        </w:rPr>
        <w:fldChar w:fldCharType="separate"/>
      </w:r>
      <w:r>
        <w:rPr>
          <w:rFonts w:ascii="Times New Roman" w:hAnsi="Times New Roman" w:eastAsia="宋体"/>
          <w:sz w:val="24"/>
          <w:szCs w:val="24"/>
        </w:rPr>
        <w:t>25</w:t>
      </w:r>
      <w:r>
        <w:rPr>
          <w:rFonts w:ascii="Times New Roman" w:hAnsi="Times New Roman" w:eastAsia="宋体"/>
          <w:sz w:val="24"/>
          <w:szCs w:val="24"/>
        </w:rPr>
        <w:fldChar w:fldCharType="end"/>
      </w:r>
      <w:r>
        <w:rPr>
          <w:rFonts w:ascii="Times New Roman" w:hAnsi="Times New Roman" w:eastAsia="宋体"/>
          <w:sz w:val="24"/>
          <w:szCs w:val="24"/>
        </w:rPr>
        <w:fldChar w:fldCharType="end"/>
      </w:r>
    </w:p>
    <w:p>
      <w:pPr>
        <w:widowControl/>
        <w:spacing w:line="480" w:lineRule="exact"/>
        <w:ind w:firstLine="0" w:firstLineChars="0"/>
        <w:jc w:val="left"/>
        <w:rPr>
          <w:rFonts w:eastAsia="宋体" w:cs="Times New Roman"/>
          <w:sz w:val="20"/>
          <w:szCs w:val="20"/>
        </w:rPr>
      </w:pPr>
      <w:r>
        <w:rPr>
          <w:rFonts w:eastAsia="宋体" w:cs="Times New Roman"/>
          <w:sz w:val="20"/>
          <w:szCs w:val="20"/>
        </w:rPr>
        <w:fldChar w:fldCharType="end"/>
      </w:r>
    </w:p>
    <w:p>
      <w:pPr>
        <w:autoSpaceDE w:val="0"/>
        <w:autoSpaceDN w:val="0"/>
        <w:adjustRightInd w:val="0"/>
        <w:spacing w:before="156" w:after="156"/>
        <w:ind w:firstLine="0" w:firstLineChars="0"/>
        <w:jc w:val="center"/>
        <w:rPr>
          <w:rFonts w:eastAsia="方正小标宋_GBK" w:cs="Times New Roman"/>
          <w:b/>
          <w:bCs/>
          <w:sz w:val="44"/>
          <w:szCs w:val="44"/>
        </w:rPr>
        <w:sectPr>
          <w:footerReference r:id="rId11" w:type="default"/>
          <w:pgSz w:w="11906" w:h="16838"/>
          <w:pgMar w:top="1440" w:right="1800" w:bottom="1440" w:left="1800" w:header="851" w:footer="992" w:gutter="0"/>
          <w:pgNumType w:start="1"/>
          <w:cols w:space="425" w:num="1"/>
          <w:docGrid w:type="lines" w:linePitch="312" w:charSpace="0"/>
        </w:sectPr>
      </w:pPr>
    </w:p>
    <w:p>
      <w:pPr>
        <w:autoSpaceDE w:val="0"/>
        <w:autoSpaceDN w:val="0"/>
        <w:adjustRightInd w:val="0"/>
        <w:spacing w:before="156" w:after="156"/>
        <w:ind w:firstLine="0" w:firstLineChars="0"/>
        <w:jc w:val="center"/>
        <w:rPr>
          <w:rFonts w:eastAsia="方正小标宋_GBK" w:cs="Times New Roman"/>
          <w:b/>
          <w:bCs/>
          <w:sz w:val="44"/>
          <w:szCs w:val="44"/>
        </w:rPr>
      </w:pPr>
      <w:r>
        <w:rPr>
          <w:rFonts w:hint="eastAsia" w:eastAsia="方正小标宋_GBK" w:cs="Times New Roman"/>
          <w:b/>
          <w:bCs/>
          <w:sz w:val="44"/>
          <w:szCs w:val="44"/>
        </w:rPr>
        <w:t>绵竹市</w:t>
      </w:r>
      <w:r>
        <w:rPr>
          <w:rFonts w:eastAsia="方正小标宋_GBK" w:cs="Times New Roman"/>
          <w:b/>
          <w:bCs/>
          <w:sz w:val="44"/>
          <w:szCs w:val="44"/>
        </w:rPr>
        <w:t>2020年城乡居民养老保险财政补助项目支出绩效评价报告</w:t>
      </w:r>
    </w:p>
    <w:p>
      <w:pPr>
        <w:ind w:firstLine="640"/>
      </w:pPr>
      <w:r>
        <w:t>按照《绵竹市财政局关于开展2021年财政支出绩效评价工作的通知》（竹财监〔2021〕145号），我们接受绵竹市财政局委托，于2021年5月26日至5月30日对绵竹市人力资源和社会保障局城乡居民养老保险财政补助项目开展绩效评价，踏勘了麓棠镇、广济镇和剑南街道3个样本点，进行了1次座谈会、4人次深度访谈，开展</w:t>
      </w:r>
      <w:r>
        <w:rPr>
          <w:rFonts w:hint="eastAsia"/>
        </w:rPr>
        <w:t>了</w:t>
      </w:r>
      <w:r>
        <w:t>103份问卷调查。具体情况如下。</w:t>
      </w:r>
    </w:p>
    <w:p>
      <w:pPr>
        <w:pStyle w:val="2"/>
        <w:ind w:firstLine="723"/>
        <w:rPr>
          <w:rFonts w:cs="Times New Roman"/>
        </w:rPr>
      </w:pPr>
      <w:bookmarkStart w:id="0" w:name="_Toc76927018"/>
      <w:r>
        <w:rPr>
          <w:rFonts w:cs="Times New Roman"/>
        </w:rPr>
        <w:t>一、项目基本情况</w:t>
      </w:r>
      <w:bookmarkEnd w:id="0"/>
    </w:p>
    <w:p>
      <w:pPr>
        <w:pStyle w:val="3"/>
        <w:spacing w:line="560" w:lineRule="exact"/>
        <w:ind w:firstLine="643"/>
        <w:rPr>
          <w:rFonts w:cs="Times New Roman"/>
        </w:rPr>
      </w:pPr>
      <w:bookmarkStart w:id="1" w:name="_Toc76927019"/>
      <w:r>
        <w:rPr>
          <w:rFonts w:cs="Times New Roman"/>
        </w:rPr>
        <w:t>（一）项目立项背景</w:t>
      </w:r>
      <w:bookmarkEnd w:id="1"/>
    </w:p>
    <w:p>
      <w:pPr>
        <w:ind w:firstLine="640"/>
        <w:rPr>
          <w:rFonts w:cs="Times New Roman"/>
        </w:rPr>
      </w:pPr>
      <w:r>
        <w:rPr>
          <w:rFonts w:cs="Times New Roman"/>
        </w:rPr>
        <w:t>当今社会，人口老龄化已经成为社会瞩目的焦点，保障好老年生活，实现“老有所养，老有所依”成为人们更加关心的问题。城乡居民养老保险制度作为一项保障居民基本老年生活为目标的兜底性制度，越来越引起人们的重视。结合绵竹市实际，</w:t>
      </w:r>
      <w:r>
        <w:rPr>
          <w:rFonts w:hint="eastAsia" w:cs="Times New Roman"/>
        </w:rPr>
        <w:t>绵竹市</w:t>
      </w:r>
      <w:r>
        <w:rPr>
          <w:rFonts w:cs="Times New Roman"/>
        </w:rPr>
        <w:t>人力资源和社会保障局（以下简称为</w:t>
      </w:r>
      <w:r>
        <w:rPr>
          <w:rFonts w:hint="eastAsia" w:cs="Times New Roman"/>
        </w:rPr>
        <w:t>市</w:t>
      </w:r>
      <w:r>
        <w:rPr>
          <w:rFonts w:cs="Times New Roman"/>
        </w:rPr>
        <w:t>人社局）实施城乡居民养老保险财政补助项目，旨在保证城乡居民养老保险制度的稳定性，保证城乡居民基本生活需求。</w:t>
      </w:r>
    </w:p>
    <w:p>
      <w:pPr>
        <w:ind w:firstLine="640"/>
      </w:pPr>
      <w:r>
        <w:t>城乡居民养老保险财政补助项目资金由绵竹市人民政府设立，本级财政和人社</w:t>
      </w:r>
      <w:r>
        <w:rPr>
          <w:rFonts w:hint="eastAsia"/>
        </w:rPr>
        <w:t>部门</w:t>
      </w:r>
      <w:r>
        <w:t>共同管理，用于基本养老金补贴及缴费补贴。市级财政对符合领取城乡居民养老保险待遇条件的参保人支付部分基础养老金补贴，同时对参保缴费人员给予部分缴费补贴。资金来源主要是中央、省级和市本级财政预算安排，市人社局农村社会养老保险局根据当地城乡居民参保的工作落实和变化情况，直接会同当地财政向省级、中央申请后，再转移拨付至本市城乡居民养老保险机构。</w:t>
      </w:r>
    </w:p>
    <w:p>
      <w:pPr>
        <w:pStyle w:val="3"/>
        <w:spacing w:line="560" w:lineRule="exact"/>
        <w:ind w:firstLine="643"/>
        <w:rPr>
          <w:rFonts w:cs="Times New Roman"/>
        </w:rPr>
      </w:pPr>
      <w:bookmarkStart w:id="2" w:name="_Toc76927020"/>
      <w:r>
        <w:rPr>
          <w:rFonts w:cs="Times New Roman"/>
        </w:rPr>
        <w:t>（二）项目主要任务及年度绩效目标</w:t>
      </w:r>
      <w:bookmarkEnd w:id="2"/>
    </w:p>
    <w:p>
      <w:pPr>
        <w:ind w:firstLine="640"/>
        <w:rPr>
          <w:rFonts w:cs="Times New Roman"/>
        </w:rPr>
      </w:pPr>
      <w:r>
        <w:rPr>
          <w:rFonts w:cs="Times New Roman"/>
        </w:rPr>
        <w:t>根据《国务院关于建立统一的城乡居民基本养老保险制度的意见》（国发〔2014〕8号）、《人力资源社会保障部 财政部关于建立城乡居民基本养老保险待遇确定和基础养老金正常调整机制的指导意见》（人社部发〔2018〕21号）、《四川省完善城乡居民基本养老保险制度的实施方案》（川人社办发〔2020〕10号）、《四川省城乡居民基本养老保险经办规程》（川人社办发〔2020〕125号）等文件精神，城乡居民养老保险的主要任务有以下三个方面：</w:t>
      </w:r>
    </w:p>
    <w:p>
      <w:pPr>
        <w:ind w:firstLine="643"/>
        <w:rPr>
          <w:rFonts w:cs="Times New Roman"/>
        </w:rPr>
      </w:pPr>
      <w:r>
        <w:rPr>
          <w:rFonts w:cs="Times New Roman"/>
          <w:b/>
          <w:bCs/>
        </w:rPr>
        <w:t>1.完善待遇确定机制。</w:t>
      </w:r>
      <w:r>
        <w:rPr>
          <w:rFonts w:cs="Times New Roman"/>
        </w:rPr>
        <w:t>绵竹市实行社会统筹和个人账户相结合的制度模式，与家庭养老、社会救助等其他社会保障相配套的政策措施，逐步建立健全个人缴费、集体补助和其他资助、政府补贴相结合的居民基本养老保险制度，通过增加城乡养老保险财政支出，以财政补助资金的形式对城乡居民因年老而退出劳动力市场或丧失劳动能力而减少或没有收入的人群给予一定生活保障。</w:t>
      </w:r>
    </w:p>
    <w:p>
      <w:pPr>
        <w:ind w:firstLine="643"/>
        <w:rPr>
          <w:rFonts w:cs="Times New Roman"/>
        </w:rPr>
      </w:pPr>
      <w:r>
        <w:rPr>
          <w:rFonts w:cs="Times New Roman"/>
          <w:b/>
          <w:bCs/>
        </w:rPr>
        <w:t>2.建立基础养老金正常调整机制。</w:t>
      </w:r>
      <w:r>
        <w:rPr>
          <w:rFonts w:cs="Times New Roman"/>
        </w:rPr>
        <w:t>城乡居民基本养老保险待遇统筹考虑了地方经济发展、居民收入增长、物价变动、财力状况。所需资金由省、市（州）、县（市、区）三级财政共同负担，在中央和省级确定的基础养老金最低标准基础上逐步提高。</w:t>
      </w:r>
    </w:p>
    <w:p>
      <w:pPr>
        <w:ind w:firstLine="643"/>
      </w:pPr>
      <w:r>
        <w:rPr>
          <w:b/>
          <w:bCs/>
        </w:rPr>
        <w:t>3.调整优化个人缴费档次和缴费补贴标准。</w:t>
      </w:r>
      <w:r>
        <w:t xml:space="preserve">根据城乡居民收入增长情况，绵竹市沿用四川省城乡居民基本养老保险缴费档次调整标准。各市（州）人民政府可根据实际情况增设最高缴费档次，增设部分的缴费补贴由当地政府自行负担。 </w:t>
      </w:r>
    </w:p>
    <w:p>
      <w:pPr>
        <w:ind w:firstLine="0" w:firstLineChars="0"/>
        <w:jc w:val="center"/>
        <w:rPr>
          <w:rFonts w:eastAsia="幼圆" w:cs="Times New Roman"/>
          <w:b/>
          <w:bCs/>
          <w:sz w:val="28"/>
          <w:szCs w:val="28"/>
        </w:rPr>
      </w:pPr>
      <w:r>
        <w:rPr>
          <w:rFonts w:eastAsia="幼圆" w:cs="Times New Roman"/>
          <w:b/>
          <w:bCs/>
          <w:sz w:val="28"/>
          <w:szCs w:val="28"/>
        </w:rPr>
        <w:t>附表 城乡居民基本养老保险缴费档次标准</w:t>
      </w:r>
      <w:r>
        <w:rPr>
          <w:rStyle w:val="26"/>
          <w:rFonts w:eastAsia="幼圆" w:cs="Times New Roman"/>
          <w:b/>
          <w:bCs/>
          <w:sz w:val="28"/>
          <w:szCs w:val="28"/>
        </w:rPr>
        <w:footnoteReference w:id="0"/>
      </w:r>
    </w:p>
    <w:tbl>
      <w:tblPr>
        <w:tblStyle w:val="22"/>
        <w:tblW w:w="48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75"/>
        <w:gridCol w:w="4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1134" w:type="dxa"/>
            <w:shd w:val="clear" w:color="auto" w:fill="00516B"/>
            <w:vAlign w:val="center"/>
          </w:tcPr>
          <w:p>
            <w:pPr>
              <w:spacing w:before="100" w:beforeAutospacing="1" w:after="100" w:afterAutospacing="1" w:line="240" w:lineRule="auto"/>
              <w:ind w:firstLine="0" w:firstLineChars="0"/>
              <w:jc w:val="center"/>
              <w:rPr>
                <w:rFonts w:eastAsia="宋体" w:cs="Times New Roman"/>
                <w:b/>
                <w:bCs/>
                <w:sz w:val="20"/>
                <w:szCs w:val="20"/>
              </w:rPr>
            </w:pPr>
            <w:r>
              <w:rPr>
                <w:rFonts w:eastAsia="宋体" w:cs="Times New Roman"/>
                <w:b/>
                <w:bCs/>
                <w:sz w:val="20"/>
                <w:szCs w:val="20"/>
              </w:rPr>
              <w:t>个人缴纳金额（元/年）</w:t>
            </w:r>
          </w:p>
        </w:tc>
        <w:tc>
          <w:tcPr>
            <w:tcW w:w="1134" w:type="dxa"/>
            <w:shd w:val="clear" w:color="auto" w:fill="00516B"/>
            <w:vAlign w:val="center"/>
          </w:tcPr>
          <w:p>
            <w:pPr>
              <w:spacing w:before="100" w:beforeAutospacing="1" w:after="100" w:afterAutospacing="1" w:line="240" w:lineRule="auto"/>
              <w:ind w:firstLine="0" w:firstLineChars="0"/>
              <w:jc w:val="center"/>
              <w:rPr>
                <w:rFonts w:eastAsia="宋体" w:cs="Times New Roman"/>
                <w:b/>
                <w:bCs/>
                <w:sz w:val="20"/>
                <w:szCs w:val="20"/>
              </w:rPr>
            </w:pPr>
            <w:r>
              <w:rPr>
                <w:rFonts w:eastAsia="宋体" w:cs="Times New Roman"/>
                <w:b/>
                <w:bCs/>
                <w:sz w:val="20"/>
                <w:szCs w:val="20"/>
              </w:rPr>
              <w:t>对应政府补贴金额（元/年）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34" w:type="dxa"/>
            <w:vAlign w:val="center"/>
          </w:tcPr>
          <w:p>
            <w:pPr>
              <w:spacing w:before="100" w:beforeAutospacing="1" w:after="100" w:afterAutospacing="1" w:line="240" w:lineRule="auto"/>
              <w:ind w:firstLine="0" w:firstLineChars="0"/>
              <w:jc w:val="center"/>
              <w:rPr>
                <w:rFonts w:eastAsia="宋体" w:cs="Times New Roman"/>
                <w:sz w:val="22"/>
                <w:szCs w:val="20"/>
              </w:rPr>
            </w:pPr>
            <w:r>
              <w:rPr>
                <w:rFonts w:eastAsia="宋体" w:cs="Times New Roman"/>
                <w:sz w:val="22"/>
                <w:szCs w:val="20"/>
              </w:rPr>
              <w:t>200</w:t>
            </w:r>
          </w:p>
        </w:tc>
        <w:tc>
          <w:tcPr>
            <w:tcW w:w="1134" w:type="dxa"/>
            <w:vAlign w:val="center"/>
          </w:tcPr>
          <w:p>
            <w:pPr>
              <w:spacing w:before="100" w:beforeAutospacing="1" w:after="100" w:afterAutospacing="1" w:line="240" w:lineRule="auto"/>
              <w:ind w:firstLine="0" w:firstLineChars="0"/>
              <w:jc w:val="center"/>
              <w:rPr>
                <w:rFonts w:eastAsia="宋体" w:cs="Times New Roman"/>
                <w:sz w:val="22"/>
                <w:szCs w:val="20"/>
              </w:rPr>
            </w:pPr>
            <w:r>
              <w:rPr>
                <w:rFonts w:eastAsia="宋体" w:cs="Times New Roman"/>
                <w:sz w:val="22"/>
                <w:szCs w:val="20"/>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34" w:type="dxa"/>
            <w:vAlign w:val="center"/>
          </w:tcPr>
          <w:p>
            <w:pPr>
              <w:spacing w:before="100" w:beforeAutospacing="1" w:after="100" w:afterAutospacing="1" w:line="240" w:lineRule="auto"/>
              <w:ind w:firstLine="0" w:firstLineChars="0"/>
              <w:jc w:val="center"/>
              <w:rPr>
                <w:rFonts w:eastAsia="宋体" w:cs="Times New Roman"/>
                <w:sz w:val="22"/>
                <w:szCs w:val="20"/>
              </w:rPr>
            </w:pPr>
            <w:r>
              <w:rPr>
                <w:rFonts w:eastAsia="宋体" w:cs="Times New Roman"/>
                <w:sz w:val="22"/>
                <w:szCs w:val="20"/>
              </w:rPr>
              <w:t>300</w:t>
            </w:r>
          </w:p>
        </w:tc>
        <w:tc>
          <w:tcPr>
            <w:tcW w:w="1134" w:type="dxa"/>
            <w:vAlign w:val="center"/>
          </w:tcPr>
          <w:p>
            <w:pPr>
              <w:spacing w:before="100" w:beforeAutospacing="1" w:after="100" w:afterAutospacing="1" w:line="240" w:lineRule="auto"/>
              <w:ind w:firstLine="0" w:firstLineChars="0"/>
              <w:jc w:val="center"/>
              <w:rPr>
                <w:rFonts w:eastAsia="宋体" w:cs="Times New Roman"/>
                <w:sz w:val="22"/>
                <w:szCs w:val="20"/>
              </w:rPr>
            </w:pPr>
            <w:r>
              <w:rPr>
                <w:rFonts w:eastAsia="宋体" w:cs="Times New Roman"/>
                <w:sz w:val="22"/>
                <w:szCs w:val="20"/>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34" w:type="dxa"/>
            <w:vAlign w:val="center"/>
          </w:tcPr>
          <w:p>
            <w:pPr>
              <w:spacing w:before="100" w:beforeAutospacing="1" w:after="100" w:afterAutospacing="1" w:line="240" w:lineRule="auto"/>
              <w:ind w:firstLine="0" w:firstLineChars="0"/>
              <w:jc w:val="center"/>
              <w:rPr>
                <w:rFonts w:eastAsia="宋体" w:cs="Times New Roman"/>
                <w:sz w:val="22"/>
                <w:szCs w:val="20"/>
              </w:rPr>
            </w:pPr>
            <w:r>
              <w:rPr>
                <w:rFonts w:eastAsia="宋体" w:cs="Times New Roman"/>
                <w:sz w:val="22"/>
                <w:szCs w:val="20"/>
              </w:rPr>
              <w:t>400</w:t>
            </w:r>
          </w:p>
        </w:tc>
        <w:tc>
          <w:tcPr>
            <w:tcW w:w="1134" w:type="dxa"/>
            <w:vAlign w:val="center"/>
          </w:tcPr>
          <w:p>
            <w:pPr>
              <w:spacing w:before="100" w:beforeAutospacing="1" w:after="100" w:afterAutospacing="1" w:line="240" w:lineRule="auto"/>
              <w:ind w:firstLine="0" w:firstLineChars="0"/>
              <w:jc w:val="center"/>
              <w:rPr>
                <w:rFonts w:eastAsia="宋体" w:cs="Times New Roman"/>
                <w:sz w:val="22"/>
                <w:szCs w:val="20"/>
              </w:rPr>
            </w:pPr>
            <w:r>
              <w:rPr>
                <w:rFonts w:eastAsia="宋体" w:cs="Times New Roman"/>
                <w:sz w:val="22"/>
                <w:szCs w:val="20"/>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34" w:type="dxa"/>
            <w:vAlign w:val="center"/>
          </w:tcPr>
          <w:p>
            <w:pPr>
              <w:spacing w:before="100" w:beforeAutospacing="1" w:after="100" w:afterAutospacing="1" w:line="240" w:lineRule="auto"/>
              <w:ind w:firstLine="0" w:firstLineChars="0"/>
              <w:jc w:val="center"/>
              <w:rPr>
                <w:rFonts w:eastAsia="宋体" w:cs="Times New Roman"/>
                <w:sz w:val="22"/>
                <w:szCs w:val="20"/>
              </w:rPr>
            </w:pPr>
            <w:r>
              <w:rPr>
                <w:rFonts w:eastAsia="宋体" w:cs="Times New Roman"/>
                <w:sz w:val="22"/>
                <w:szCs w:val="20"/>
              </w:rPr>
              <w:t>500</w:t>
            </w:r>
          </w:p>
        </w:tc>
        <w:tc>
          <w:tcPr>
            <w:tcW w:w="1134" w:type="dxa"/>
            <w:vAlign w:val="center"/>
          </w:tcPr>
          <w:p>
            <w:pPr>
              <w:spacing w:before="100" w:beforeAutospacing="1" w:after="100" w:afterAutospacing="1" w:line="240" w:lineRule="auto"/>
              <w:ind w:firstLine="0" w:firstLineChars="0"/>
              <w:jc w:val="center"/>
              <w:rPr>
                <w:rFonts w:eastAsia="宋体" w:cs="Times New Roman"/>
                <w:sz w:val="22"/>
                <w:szCs w:val="20"/>
              </w:rPr>
            </w:pPr>
            <w:r>
              <w:rPr>
                <w:rFonts w:eastAsia="宋体" w:cs="Times New Roman"/>
                <w:sz w:val="22"/>
                <w:szCs w:val="20"/>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34" w:type="dxa"/>
            <w:vAlign w:val="center"/>
          </w:tcPr>
          <w:p>
            <w:pPr>
              <w:spacing w:before="100" w:beforeAutospacing="1" w:after="100" w:afterAutospacing="1" w:line="240" w:lineRule="auto"/>
              <w:ind w:firstLine="0" w:firstLineChars="0"/>
              <w:jc w:val="center"/>
              <w:rPr>
                <w:rFonts w:eastAsia="宋体" w:cs="Times New Roman"/>
                <w:sz w:val="22"/>
                <w:szCs w:val="20"/>
              </w:rPr>
            </w:pPr>
            <w:r>
              <w:rPr>
                <w:rFonts w:eastAsia="宋体" w:cs="Times New Roman"/>
                <w:sz w:val="22"/>
                <w:szCs w:val="20"/>
              </w:rPr>
              <w:t>600</w:t>
            </w:r>
          </w:p>
        </w:tc>
        <w:tc>
          <w:tcPr>
            <w:tcW w:w="1134" w:type="dxa"/>
            <w:vAlign w:val="center"/>
          </w:tcPr>
          <w:p>
            <w:pPr>
              <w:spacing w:before="100" w:beforeAutospacing="1" w:after="100" w:afterAutospacing="1" w:line="240" w:lineRule="auto"/>
              <w:ind w:firstLine="0" w:firstLineChars="0"/>
              <w:jc w:val="center"/>
              <w:rPr>
                <w:rFonts w:eastAsia="宋体" w:cs="Times New Roman"/>
                <w:sz w:val="22"/>
                <w:szCs w:val="20"/>
              </w:rPr>
            </w:pPr>
            <w:r>
              <w:rPr>
                <w:rFonts w:eastAsia="宋体" w:cs="Times New Roman"/>
                <w:sz w:val="22"/>
                <w:szCs w:val="20"/>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34" w:type="dxa"/>
            <w:vAlign w:val="center"/>
          </w:tcPr>
          <w:p>
            <w:pPr>
              <w:spacing w:before="100" w:beforeAutospacing="1" w:after="100" w:afterAutospacing="1" w:line="240" w:lineRule="auto"/>
              <w:ind w:firstLine="0" w:firstLineChars="0"/>
              <w:jc w:val="center"/>
              <w:rPr>
                <w:rFonts w:eastAsia="宋体" w:cs="Times New Roman"/>
                <w:sz w:val="22"/>
                <w:szCs w:val="20"/>
              </w:rPr>
            </w:pPr>
            <w:r>
              <w:rPr>
                <w:rFonts w:eastAsia="宋体" w:cs="Times New Roman"/>
                <w:sz w:val="22"/>
                <w:szCs w:val="20"/>
              </w:rPr>
              <w:t>700</w:t>
            </w:r>
          </w:p>
        </w:tc>
        <w:tc>
          <w:tcPr>
            <w:tcW w:w="1134" w:type="dxa"/>
            <w:vAlign w:val="center"/>
          </w:tcPr>
          <w:p>
            <w:pPr>
              <w:spacing w:before="100" w:beforeAutospacing="1" w:after="100" w:afterAutospacing="1" w:line="240" w:lineRule="auto"/>
              <w:ind w:firstLine="0" w:firstLineChars="0"/>
              <w:jc w:val="center"/>
              <w:rPr>
                <w:rFonts w:eastAsia="宋体" w:cs="Times New Roman"/>
                <w:sz w:val="22"/>
                <w:szCs w:val="20"/>
              </w:rPr>
            </w:pPr>
            <w:r>
              <w:rPr>
                <w:rFonts w:eastAsia="宋体" w:cs="Times New Roman"/>
                <w:sz w:val="22"/>
                <w:szCs w:val="20"/>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34" w:type="dxa"/>
            <w:vAlign w:val="center"/>
          </w:tcPr>
          <w:p>
            <w:pPr>
              <w:spacing w:before="100" w:beforeAutospacing="1" w:after="100" w:afterAutospacing="1" w:line="240" w:lineRule="auto"/>
              <w:ind w:firstLine="0" w:firstLineChars="0"/>
              <w:jc w:val="center"/>
              <w:rPr>
                <w:rFonts w:eastAsia="宋体" w:cs="Times New Roman"/>
                <w:sz w:val="22"/>
                <w:szCs w:val="20"/>
              </w:rPr>
            </w:pPr>
            <w:r>
              <w:rPr>
                <w:rFonts w:eastAsia="宋体" w:cs="Times New Roman"/>
                <w:sz w:val="22"/>
                <w:szCs w:val="20"/>
              </w:rPr>
              <w:t>800</w:t>
            </w:r>
          </w:p>
        </w:tc>
        <w:tc>
          <w:tcPr>
            <w:tcW w:w="1134" w:type="dxa"/>
            <w:vAlign w:val="center"/>
          </w:tcPr>
          <w:p>
            <w:pPr>
              <w:spacing w:before="100" w:beforeAutospacing="1" w:after="100" w:afterAutospacing="1" w:line="240" w:lineRule="auto"/>
              <w:ind w:firstLine="0" w:firstLineChars="0"/>
              <w:jc w:val="center"/>
              <w:rPr>
                <w:rFonts w:eastAsia="宋体" w:cs="Times New Roman"/>
                <w:sz w:val="22"/>
                <w:szCs w:val="20"/>
              </w:rPr>
            </w:pPr>
            <w:r>
              <w:rPr>
                <w:rFonts w:eastAsia="宋体" w:cs="Times New Roman"/>
                <w:sz w:val="22"/>
                <w:szCs w:val="20"/>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34" w:type="dxa"/>
            <w:vAlign w:val="center"/>
          </w:tcPr>
          <w:p>
            <w:pPr>
              <w:spacing w:before="100" w:beforeAutospacing="1" w:after="100" w:afterAutospacing="1" w:line="240" w:lineRule="auto"/>
              <w:ind w:firstLine="0" w:firstLineChars="0"/>
              <w:jc w:val="center"/>
              <w:rPr>
                <w:rFonts w:eastAsia="宋体" w:cs="Times New Roman"/>
                <w:sz w:val="22"/>
                <w:szCs w:val="20"/>
              </w:rPr>
            </w:pPr>
            <w:r>
              <w:rPr>
                <w:rFonts w:eastAsia="宋体" w:cs="Times New Roman"/>
                <w:sz w:val="22"/>
                <w:szCs w:val="20"/>
              </w:rPr>
              <w:t>900</w:t>
            </w:r>
          </w:p>
        </w:tc>
        <w:tc>
          <w:tcPr>
            <w:tcW w:w="1134" w:type="dxa"/>
            <w:vAlign w:val="center"/>
          </w:tcPr>
          <w:p>
            <w:pPr>
              <w:spacing w:before="100" w:beforeAutospacing="1" w:after="100" w:afterAutospacing="1" w:line="240" w:lineRule="auto"/>
              <w:ind w:firstLine="0" w:firstLineChars="0"/>
              <w:jc w:val="center"/>
              <w:rPr>
                <w:rFonts w:eastAsia="宋体" w:cs="Times New Roman"/>
                <w:sz w:val="22"/>
                <w:szCs w:val="20"/>
              </w:rPr>
            </w:pPr>
            <w:r>
              <w:rPr>
                <w:rFonts w:eastAsia="宋体" w:cs="Times New Roman"/>
                <w:sz w:val="22"/>
                <w:szCs w:val="20"/>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34" w:type="dxa"/>
            <w:vAlign w:val="center"/>
          </w:tcPr>
          <w:p>
            <w:pPr>
              <w:spacing w:before="100" w:beforeAutospacing="1" w:after="100" w:afterAutospacing="1" w:line="240" w:lineRule="auto"/>
              <w:ind w:firstLine="0" w:firstLineChars="0"/>
              <w:jc w:val="center"/>
              <w:rPr>
                <w:rFonts w:eastAsia="宋体" w:cs="Times New Roman"/>
                <w:sz w:val="22"/>
                <w:szCs w:val="20"/>
              </w:rPr>
            </w:pPr>
            <w:r>
              <w:rPr>
                <w:rFonts w:eastAsia="宋体" w:cs="Times New Roman"/>
                <w:sz w:val="22"/>
                <w:szCs w:val="20"/>
              </w:rPr>
              <w:t>1000</w:t>
            </w:r>
          </w:p>
        </w:tc>
        <w:tc>
          <w:tcPr>
            <w:tcW w:w="1134" w:type="dxa"/>
            <w:vAlign w:val="center"/>
          </w:tcPr>
          <w:p>
            <w:pPr>
              <w:spacing w:before="100" w:beforeAutospacing="1" w:after="100" w:afterAutospacing="1" w:line="240" w:lineRule="auto"/>
              <w:ind w:firstLine="0" w:firstLineChars="0"/>
              <w:jc w:val="center"/>
              <w:rPr>
                <w:rFonts w:eastAsia="宋体" w:cs="Times New Roman"/>
                <w:sz w:val="22"/>
                <w:szCs w:val="20"/>
              </w:rPr>
            </w:pPr>
            <w:r>
              <w:rPr>
                <w:rFonts w:eastAsia="宋体" w:cs="Times New Roman"/>
                <w:sz w:val="22"/>
                <w:szCs w:val="20"/>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34" w:type="dxa"/>
            <w:vAlign w:val="center"/>
          </w:tcPr>
          <w:p>
            <w:pPr>
              <w:spacing w:before="100" w:beforeAutospacing="1" w:after="100" w:afterAutospacing="1" w:line="240" w:lineRule="auto"/>
              <w:ind w:firstLine="0" w:firstLineChars="0"/>
              <w:jc w:val="center"/>
              <w:rPr>
                <w:rFonts w:eastAsia="宋体" w:cs="Times New Roman"/>
                <w:sz w:val="22"/>
                <w:szCs w:val="20"/>
              </w:rPr>
            </w:pPr>
            <w:r>
              <w:rPr>
                <w:rFonts w:eastAsia="宋体" w:cs="Times New Roman"/>
                <w:sz w:val="22"/>
                <w:szCs w:val="20"/>
              </w:rPr>
              <w:t>1500</w:t>
            </w:r>
          </w:p>
        </w:tc>
        <w:tc>
          <w:tcPr>
            <w:tcW w:w="1134" w:type="dxa"/>
            <w:vAlign w:val="center"/>
          </w:tcPr>
          <w:p>
            <w:pPr>
              <w:spacing w:before="100" w:beforeAutospacing="1" w:after="100" w:afterAutospacing="1" w:line="240" w:lineRule="auto"/>
              <w:ind w:firstLine="0" w:firstLineChars="0"/>
              <w:jc w:val="center"/>
              <w:rPr>
                <w:rFonts w:eastAsia="宋体" w:cs="Times New Roman"/>
                <w:sz w:val="22"/>
                <w:szCs w:val="20"/>
              </w:rPr>
            </w:pPr>
            <w:r>
              <w:rPr>
                <w:rFonts w:eastAsia="宋体" w:cs="Times New Roman"/>
                <w:sz w:val="22"/>
                <w:szCs w:val="2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34" w:type="dxa"/>
            <w:vAlign w:val="center"/>
          </w:tcPr>
          <w:p>
            <w:pPr>
              <w:spacing w:before="100" w:beforeAutospacing="1" w:after="100" w:afterAutospacing="1" w:line="240" w:lineRule="auto"/>
              <w:ind w:firstLine="0" w:firstLineChars="0"/>
              <w:jc w:val="center"/>
              <w:rPr>
                <w:rFonts w:eastAsia="宋体" w:cs="Times New Roman"/>
                <w:sz w:val="22"/>
                <w:szCs w:val="20"/>
              </w:rPr>
            </w:pPr>
            <w:r>
              <w:rPr>
                <w:rFonts w:eastAsia="宋体" w:cs="Times New Roman"/>
                <w:sz w:val="22"/>
                <w:szCs w:val="20"/>
              </w:rPr>
              <w:t>2000</w:t>
            </w:r>
          </w:p>
        </w:tc>
        <w:tc>
          <w:tcPr>
            <w:tcW w:w="1134" w:type="dxa"/>
            <w:vAlign w:val="center"/>
          </w:tcPr>
          <w:p>
            <w:pPr>
              <w:spacing w:before="100" w:beforeAutospacing="1" w:after="100" w:afterAutospacing="1" w:line="240" w:lineRule="auto"/>
              <w:ind w:firstLine="0" w:firstLineChars="0"/>
              <w:jc w:val="center"/>
              <w:rPr>
                <w:rFonts w:eastAsia="宋体" w:cs="Times New Roman"/>
                <w:sz w:val="22"/>
                <w:szCs w:val="20"/>
              </w:rPr>
            </w:pPr>
            <w:r>
              <w:rPr>
                <w:rFonts w:eastAsia="宋体" w:cs="Times New Roman"/>
                <w:sz w:val="22"/>
                <w:szCs w:val="20"/>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34" w:type="dxa"/>
            <w:vAlign w:val="center"/>
          </w:tcPr>
          <w:p>
            <w:pPr>
              <w:spacing w:before="100" w:beforeAutospacing="1" w:after="100" w:afterAutospacing="1" w:line="240" w:lineRule="auto"/>
              <w:ind w:firstLine="0" w:firstLineChars="0"/>
              <w:jc w:val="center"/>
              <w:rPr>
                <w:rFonts w:eastAsia="宋体" w:cs="Times New Roman"/>
                <w:sz w:val="22"/>
                <w:szCs w:val="20"/>
              </w:rPr>
            </w:pPr>
            <w:r>
              <w:rPr>
                <w:rFonts w:eastAsia="宋体" w:cs="Times New Roman"/>
                <w:sz w:val="22"/>
                <w:szCs w:val="20"/>
              </w:rPr>
              <w:t>3000</w:t>
            </w:r>
          </w:p>
        </w:tc>
        <w:tc>
          <w:tcPr>
            <w:tcW w:w="1134" w:type="dxa"/>
            <w:vAlign w:val="center"/>
          </w:tcPr>
          <w:p>
            <w:pPr>
              <w:spacing w:before="100" w:beforeAutospacing="1" w:after="100" w:afterAutospacing="1" w:line="240" w:lineRule="auto"/>
              <w:ind w:firstLine="0" w:firstLineChars="0"/>
              <w:jc w:val="center"/>
              <w:rPr>
                <w:rFonts w:eastAsia="宋体" w:cs="Times New Roman"/>
                <w:sz w:val="22"/>
                <w:szCs w:val="20"/>
              </w:rPr>
            </w:pPr>
            <w:r>
              <w:rPr>
                <w:rFonts w:eastAsia="宋体" w:cs="Times New Roman"/>
                <w:sz w:val="22"/>
                <w:szCs w:val="20"/>
              </w:rPr>
              <w:t>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34" w:type="dxa"/>
            <w:vAlign w:val="center"/>
          </w:tcPr>
          <w:p>
            <w:pPr>
              <w:spacing w:before="100" w:beforeAutospacing="1" w:after="100" w:afterAutospacing="1" w:line="240" w:lineRule="auto"/>
              <w:ind w:firstLine="0" w:firstLineChars="0"/>
              <w:jc w:val="center"/>
              <w:rPr>
                <w:rFonts w:eastAsia="宋体" w:cs="Times New Roman"/>
                <w:sz w:val="22"/>
                <w:szCs w:val="20"/>
              </w:rPr>
            </w:pPr>
            <w:r>
              <w:rPr>
                <w:rFonts w:eastAsia="宋体" w:cs="Times New Roman"/>
                <w:sz w:val="22"/>
                <w:szCs w:val="20"/>
              </w:rPr>
              <w:t>4000</w:t>
            </w:r>
          </w:p>
        </w:tc>
        <w:tc>
          <w:tcPr>
            <w:tcW w:w="1134" w:type="dxa"/>
            <w:vAlign w:val="center"/>
          </w:tcPr>
          <w:p>
            <w:pPr>
              <w:spacing w:before="100" w:beforeAutospacing="1" w:after="100" w:afterAutospacing="1" w:line="240" w:lineRule="auto"/>
              <w:ind w:firstLine="0" w:firstLineChars="0"/>
              <w:jc w:val="center"/>
              <w:rPr>
                <w:rFonts w:eastAsia="宋体" w:cs="Times New Roman"/>
                <w:sz w:val="22"/>
                <w:szCs w:val="20"/>
              </w:rPr>
            </w:pPr>
            <w:r>
              <w:rPr>
                <w:rFonts w:eastAsia="宋体" w:cs="Times New Roman"/>
                <w:sz w:val="22"/>
                <w:szCs w:val="20"/>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34" w:type="dxa"/>
            <w:vAlign w:val="center"/>
          </w:tcPr>
          <w:p>
            <w:pPr>
              <w:spacing w:before="100" w:beforeAutospacing="1" w:after="100" w:afterAutospacing="1" w:line="240" w:lineRule="auto"/>
              <w:ind w:firstLine="0" w:firstLineChars="0"/>
              <w:jc w:val="center"/>
              <w:rPr>
                <w:rFonts w:eastAsia="宋体" w:cs="Times New Roman"/>
                <w:sz w:val="22"/>
                <w:szCs w:val="20"/>
              </w:rPr>
            </w:pPr>
            <w:r>
              <w:rPr>
                <w:rFonts w:eastAsia="宋体" w:cs="Times New Roman"/>
                <w:sz w:val="22"/>
                <w:szCs w:val="20"/>
              </w:rPr>
              <w:t>100（政府为困难群体代缴）</w:t>
            </w:r>
          </w:p>
        </w:tc>
        <w:tc>
          <w:tcPr>
            <w:tcW w:w="1134" w:type="dxa"/>
            <w:vAlign w:val="center"/>
          </w:tcPr>
          <w:p>
            <w:pPr>
              <w:spacing w:before="100" w:beforeAutospacing="1" w:after="100" w:afterAutospacing="1" w:line="240" w:lineRule="auto"/>
              <w:ind w:firstLine="0" w:firstLineChars="0"/>
              <w:jc w:val="center"/>
              <w:rPr>
                <w:rFonts w:eastAsia="宋体" w:cs="Times New Roman"/>
                <w:sz w:val="22"/>
                <w:szCs w:val="20"/>
              </w:rPr>
            </w:pPr>
            <w:r>
              <w:rPr>
                <w:rFonts w:eastAsia="宋体" w:cs="Times New Roman"/>
                <w:sz w:val="22"/>
                <w:szCs w:val="20"/>
              </w:rPr>
              <w:t>40</w:t>
            </w:r>
          </w:p>
        </w:tc>
      </w:tr>
    </w:tbl>
    <w:p>
      <w:pPr>
        <w:ind w:firstLine="640"/>
        <w:rPr>
          <w:rFonts w:cs="Times New Roman"/>
        </w:rPr>
      </w:pPr>
    </w:p>
    <w:p>
      <w:pPr>
        <w:ind w:firstLine="640"/>
        <w:rPr>
          <w:rFonts w:cs="Times New Roman"/>
          <w:szCs w:val="28"/>
        </w:rPr>
      </w:pPr>
      <w:r>
        <w:rPr>
          <w:rFonts w:cs="Times New Roman"/>
        </w:rPr>
        <w:t>城乡居民养老保险制度是我国社会保障体系的重要组成部分。按照上级文件要求，市人社局农村社会养老保险局2020年城乡居民养老保险工作的目标任务是进一步完善法规政策，健全工作机制，拓宽服务渠道、推广养老保险尽可能实现“四川人社、四川E社保、支付宝”等手机APP线上办理，严格规范管理，加强能力建设，全面落实困难人员兜底保障政策，2020年完成德阳市下达为困难群体城乡居民代缴养老保险5500人的任务，提高城乡居民养老保险保障水平，切实维护困难群众基本生活权益。</w:t>
      </w:r>
    </w:p>
    <w:p>
      <w:pPr>
        <w:pStyle w:val="3"/>
        <w:ind w:firstLine="643"/>
        <w:rPr>
          <w:rFonts w:cs="Times New Roman"/>
        </w:rPr>
      </w:pPr>
      <w:bookmarkStart w:id="3" w:name="_Toc76927021"/>
      <w:r>
        <w:rPr>
          <w:rFonts w:cs="Times New Roman"/>
        </w:rPr>
        <w:t>（三）资金管理办法制定情况、基金管理、缴费范围与发放方式概况</w:t>
      </w:r>
      <w:bookmarkEnd w:id="3"/>
    </w:p>
    <w:p>
      <w:pPr>
        <w:pStyle w:val="4"/>
        <w:ind w:firstLine="643"/>
        <w:rPr>
          <w:rFonts w:cs="Times New Roman"/>
        </w:rPr>
      </w:pPr>
      <w:bookmarkStart w:id="4" w:name="_Toc76927022"/>
      <w:r>
        <w:rPr>
          <w:rFonts w:cs="Times New Roman"/>
        </w:rPr>
        <w:t>1. 资金管理办法制定情况</w:t>
      </w:r>
      <w:bookmarkEnd w:id="4"/>
    </w:p>
    <w:p>
      <w:pPr>
        <w:ind w:firstLine="640"/>
        <w:rPr>
          <w:rFonts w:cs="Times New Roman"/>
        </w:rPr>
      </w:pPr>
      <w:r>
        <w:rPr>
          <w:rFonts w:cs="Times New Roman"/>
        </w:rPr>
        <w:t>为完善城乡居民养老保险财政补助项目管理，2020年四川省人力资源和社会保障厅和四川省财政厅制定《四川省完善城乡居民基本养老保险制度的实施方案》（川人社办发〔2020〕10号）、《四川省城乡居民基本养老保险经办规程》（川人社办发〔2020〕125号）等相关政策规范城乡居民养老保险财政补助的资金管理。绵竹市本级沿用上级部门文件精神，尚未制定相应本级管理文件。</w:t>
      </w:r>
    </w:p>
    <w:p>
      <w:pPr>
        <w:pStyle w:val="4"/>
        <w:ind w:firstLine="643"/>
        <w:rPr>
          <w:rFonts w:cs="Times New Roman"/>
        </w:rPr>
      </w:pPr>
      <w:bookmarkStart w:id="5" w:name="_Toc76927023"/>
      <w:r>
        <w:rPr>
          <w:rFonts w:cs="Times New Roman"/>
        </w:rPr>
        <w:t>2. 城乡居民养老保险的基金管理、缴费范围、发放方式</w:t>
      </w:r>
      <w:bookmarkEnd w:id="5"/>
    </w:p>
    <w:p>
      <w:pPr>
        <w:ind w:firstLine="643"/>
        <w:rPr>
          <w:rFonts w:cs="Times New Roman"/>
        </w:rPr>
      </w:pPr>
      <w:r>
        <w:rPr>
          <w:rFonts w:cs="Times New Roman"/>
          <w:b/>
          <w:bCs/>
        </w:rPr>
        <w:t>基金管理：</w:t>
      </w:r>
      <w:r>
        <w:rPr>
          <w:rFonts w:cs="Times New Roman"/>
        </w:rPr>
        <w:t>城乡居民养老保险实行属地化管理，社保机构、乡镇（街道）服务中心具体经办，村（社区）协办员协助办理，其基金收入户、支出户、财政专户在县（市、区）级人力资源社会保障部门、财政部门共同认定的金融机构开设。收入户用于归集城乡居民养老保险基金，暂存该账户的利息收入及其他收入，除向财政专户划转基金、向上级社保机构缴拨基金、原渠道退回保险费收入外，不得发生其他支付业务，原则上月末无余额。支出户用于支付和转出城乡居民养老保险基金，除接收财政专户拨入的基金、上级社保机构拨付基金、暂存该账户的利息收入、原渠道退回支付资金外，不得发生其他收入业务。支出户应预留1到2个月的周转资金，确保城乡居民养老保险待遇按时足额发放。</w:t>
      </w:r>
    </w:p>
    <w:p>
      <w:pPr>
        <w:ind w:firstLine="643"/>
        <w:rPr>
          <w:rFonts w:cs="Times New Roman"/>
        </w:rPr>
      </w:pPr>
      <w:r>
        <w:rPr>
          <w:rFonts w:cs="Times New Roman"/>
          <w:b/>
          <w:bCs/>
        </w:rPr>
        <w:t>缴费范围：</w:t>
      </w:r>
      <w:r>
        <w:rPr>
          <w:rFonts w:cs="Times New Roman"/>
        </w:rPr>
        <w:t>城乡居民养老保险费实行按自然年度缴纳，参保人员可自主选择缴费档次，确定缴费金额，并按下列规定办理：</w:t>
      </w:r>
    </w:p>
    <w:p>
      <w:pPr>
        <w:ind w:firstLine="640"/>
        <w:rPr>
          <w:rFonts w:cs="Times New Roman"/>
        </w:rPr>
      </w:pPr>
      <w:r>
        <w:rPr>
          <w:rFonts w:cs="Times New Roman"/>
        </w:rPr>
        <w:t>（一）新型农村社会养老保险或城镇居民社会养老保险制度实施时，距领取年龄不足15年的参保人员，应按规定逐年缴费，年满60周岁时，可补缴至满15年。</w:t>
      </w:r>
    </w:p>
    <w:p>
      <w:pPr>
        <w:ind w:firstLine="640"/>
        <w:rPr>
          <w:rFonts w:cs="Times New Roman"/>
        </w:rPr>
      </w:pPr>
      <w:r>
        <w:rPr>
          <w:rFonts w:cs="Times New Roman"/>
        </w:rPr>
        <w:t>（二）新型农村社会养老保险或城镇居民社会养老保险制度实施时，距领取年龄超过15年的参保人员，应按规定按年缴费，并享受相应的缴费补贴，累计缴费不少于15年。</w:t>
      </w:r>
    </w:p>
    <w:p>
      <w:pPr>
        <w:ind w:firstLine="640"/>
        <w:rPr>
          <w:rFonts w:cs="Times New Roman"/>
        </w:rPr>
      </w:pPr>
      <w:r>
        <w:rPr>
          <w:rFonts w:cs="Times New Roman"/>
        </w:rPr>
        <w:t>根据以上要求，参保人员应按规定逐年缴费，年度内可自愿调整提高本年度已缴费档次标准；符合待遇领取条件时，可根据缴费档次自愿进行补缴，若缴费年度的缴费标准根据政策有所提高，补缴不享受缴费补贴。</w:t>
      </w:r>
    </w:p>
    <w:p>
      <w:pPr>
        <w:ind w:firstLine="640"/>
        <w:rPr>
          <w:rFonts w:cs="Times New Roman"/>
        </w:rPr>
      </w:pPr>
      <w:r>
        <w:rPr>
          <w:rFonts w:cs="Times New Roman"/>
        </w:rPr>
        <w:drawing>
          <wp:anchor distT="0" distB="0" distL="114300" distR="114300" simplePos="0" relativeHeight="251660288" behindDoc="0" locked="0" layoutInCell="1" allowOverlap="1">
            <wp:simplePos x="0" y="0"/>
            <wp:positionH relativeFrom="margin">
              <wp:posOffset>153035</wp:posOffset>
            </wp:positionH>
            <wp:positionV relativeFrom="paragraph">
              <wp:posOffset>4923155</wp:posOffset>
            </wp:positionV>
            <wp:extent cx="4991100" cy="2522220"/>
            <wp:effectExtent l="0" t="0" r="0" b="0"/>
            <wp:wrapTopAndBottom/>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4991100" cy="2522220"/>
                    </a:xfrm>
                    <a:prstGeom prst="rect">
                      <a:avLst/>
                    </a:prstGeom>
                    <a:noFill/>
                  </pic:spPr>
                </pic:pic>
              </a:graphicData>
            </a:graphic>
          </wp:anchor>
        </w:drawing>
      </w:r>
      <w:r>
        <w:rPr>
          <w:rFonts w:cs="Times New Roman"/>
          <w:b/>
          <w:bCs/>
        </w:rPr>
        <w:t>发放方式：</w:t>
      </w:r>
      <w:r>
        <w:rPr>
          <w:rFonts w:cs="Times New Roman"/>
        </w:rPr>
        <w:t>《工作规程》第三十三条规定社保机构应从参保人员符合待遇领取条件的次月开始发放城乡居民养老保险待遇。县（市、区）级社保机构应允许达到待遇领取年龄的参保人员通过互联网服务渠道上传有效身份证件，提出待遇领取申请，或参保人员本人携带有效身份证件，通过线下服务渠道现场办理。城乡居民养老保险待遇通过社会保障卡实行社会化发放。县（市、区）级社保机构应在待遇发放前2个工作日内将发放资金从支出户划拨至城乡居民养老保险待遇社会化发放协议服务金融机构（以下简称协议金融机构），并将待遇支付明细通过社银接口传输给协议金融机构。协议金融机构应在规定时间内将支付金额划入待遇领取人员社会保障卡银行账户，并通过社银联网接口实时传输资金明细给县（市、区）级社保机构。</w:t>
      </w:r>
    </w:p>
    <w:p>
      <w:pPr>
        <w:ind w:firstLine="0" w:firstLineChars="0"/>
        <w:jc w:val="center"/>
        <w:rPr>
          <w:rFonts w:eastAsia="幼圆" w:cs="Times New Roman"/>
          <w:b/>
          <w:bCs/>
          <w:sz w:val="28"/>
        </w:rPr>
      </w:pPr>
      <w:r>
        <w:rPr>
          <w:rFonts w:eastAsia="幼圆" w:cs="Times New Roman"/>
          <w:b/>
          <w:bCs/>
          <w:sz w:val="28"/>
        </w:rPr>
        <w:t>附图 城乡居民养老保险发放待遇流程</w:t>
      </w:r>
    </w:p>
    <w:p>
      <w:pPr>
        <w:pStyle w:val="4"/>
        <w:ind w:firstLine="643"/>
        <w:rPr>
          <w:rFonts w:cs="Times New Roman"/>
        </w:rPr>
        <w:sectPr>
          <w:footerReference r:id="rId12" w:type="default"/>
          <w:pgSz w:w="11906" w:h="16838"/>
          <w:pgMar w:top="1440" w:right="1800" w:bottom="1440" w:left="1800" w:header="851" w:footer="992" w:gutter="0"/>
          <w:pgNumType w:start="1"/>
          <w:cols w:space="425" w:num="1"/>
          <w:docGrid w:type="lines" w:linePitch="312" w:charSpace="0"/>
        </w:sectPr>
      </w:pPr>
    </w:p>
    <w:p>
      <w:pPr>
        <w:pStyle w:val="4"/>
        <w:ind w:firstLine="643"/>
        <w:rPr>
          <w:rFonts w:cs="Times New Roman"/>
        </w:rPr>
      </w:pPr>
      <w:bookmarkStart w:id="6" w:name="_Toc76927024"/>
      <w:r>
        <w:rPr>
          <w:rFonts w:cs="Times New Roman"/>
        </w:rPr>
        <w:t>3. 项目资金来源与使用情况</w:t>
      </w:r>
      <w:bookmarkEnd w:id="6"/>
    </w:p>
    <w:p>
      <w:pPr>
        <w:ind w:firstLine="640"/>
        <w:rPr>
          <w:rFonts w:cs="Times New Roman"/>
        </w:rPr>
      </w:pPr>
      <w:r>
        <w:rPr>
          <w:rFonts w:cs="Times New Roman"/>
        </w:rPr>
        <w:t>（1）项目资金来源</w:t>
      </w:r>
    </w:p>
    <w:p>
      <w:pPr>
        <w:ind w:firstLine="640"/>
      </w:pPr>
      <w:r>
        <w:t>2020年财政补贴收入为11162.93万元，由缴费补贴收入（389.98万元，占比3.49%）、基础养老金补助收入（10772.95万元，占比96.50%）两部分构成。其中，缴费补贴收入包含省级财政补贴为139.98万元，县级财政补贴为250.00万元；基础养老金补助收入中央财政补助9519.37万元，省级财政补助893.58万元，县级财政补助360.00万元。</w:t>
      </w:r>
    </w:p>
    <w:p>
      <w:pPr>
        <w:ind w:firstLine="0" w:firstLineChars="0"/>
        <w:jc w:val="center"/>
        <w:rPr>
          <w:rFonts w:cs="Times New Roman"/>
          <w:sz w:val="36"/>
          <w:szCs w:val="24"/>
        </w:rPr>
      </w:pPr>
      <w:r>
        <w:rPr>
          <w:rFonts w:cs="Times New Roman"/>
          <w:sz w:val="36"/>
          <w:szCs w:val="24"/>
        </w:rPr>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5274310" cy="3076575"/>
            <wp:effectExtent l="0" t="0" r="2540" b="0"/>
            <wp:wrapTopAndBottom/>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anchor>
        </w:drawing>
      </w:r>
      <w:r>
        <w:rPr>
          <w:rFonts w:eastAsia="幼圆" w:cs="Times New Roman"/>
          <w:b/>
          <w:bCs/>
          <w:sz w:val="28"/>
          <w:szCs w:val="28"/>
        </w:rPr>
        <w:t>附图 2020年城乡居民养老保险财政补贴收入（按层级和类别）</w:t>
      </w:r>
    </w:p>
    <w:p>
      <w:pPr>
        <w:ind w:firstLine="640"/>
        <w:rPr>
          <w:rFonts w:cs="Times New Roman"/>
        </w:rPr>
      </w:pPr>
    </w:p>
    <w:p>
      <w:pPr>
        <w:ind w:firstLine="640"/>
        <w:rPr>
          <w:rFonts w:cs="Times New Roman"/>
        </w:rPr>
      </w:pPr>
      <w:r>
        <w:rPr>
          <w:rFonts w:cs="Times New Roman"/>
        </w:rPr>
        <w:t>（2）项目资金年度预算、实际执行、执行率情况</w:t>
      </w:r>
    </w:p>
    <w:p>
      <w:pPr>
        <w:ind w:firstLine="640"/>
      </w:pPr>
      <w:r>
        <w:t>从2020年城乡居民养老保险基金预算表看出，2020年财政补贴收入年初预算数为10045.99万元，2020年收入决算数为11162.93万元，2020年实际支出数为10967.83万元，资金执行率为98.25%。</w:t>
      </w:r>
    </w:p>
    <w:p>
      <w:pPr>
        <w:ind w:firstLine="0" w:firstLineChars="0"/>
        <w:jc w:val="center"/>
        <w:rPr>
          <w:rFonts w:eastAsia="幼圆" w:cs="Times New Roman"/>
          <w:b/>
          <w:bCs/>
          <w:sz w:val="28"/>
          <w:szCs w:val="24"/>
        </w:rPr>
      </w:pPr>
      <w:r>
        <w:rPr>
          <w:rFonts w:eastAsia="幼圆" w:cs="Times New Roman"/>
          <w:b/>
          <w:bCs/>
          <w:sz w:val="28"/>
          <w:szCs w:val="24"/>
        </w:rPr>
        <w:t>附表 2020年城乡居民养老财政补助项目资金收支情况表</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5"/>
        <w:gridCol w:w="1275"/>
        <w:gridCol w:w="1418"/>
        <w:gridCol w:w="1417"/>
        <w:gridCol w:w="1418"/>
        <w:gridCol w:w="1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555" w:type="dxa"/>
            <w:shd w:val="clear" w:color="auto" w:fill="00516B"/>
            <w:vAlign w:val="center"/>
          </w:tcPr>
          <w:p>
            <w:pPr>
              <w:spacing w:line="320" w:lineRule="exact"/>
              <w:ind w:firstLine="0" w:firstLineChars="0"/>
              <w:jc w:val="center"/>
              <w:rPr>
                <w:rFonts w:eastAsia="宋体" w:cs="Times New Roman"/>
                <w:b/>
                <w:bCs/>
                <w:color w:val="FFFFFF" w:themeColor="background1"/>
                <w:sz w:val="20"/>
                <w:szCs w:val="20"/>
                <w14:textFill>
                  <w14:solidFill>
                    <w14:schemeClr w14:val="bg1"/>
                  </w14:solidFill>
                </w14:textFill>
              </w:rPr>
            </w:pPr>
            <w:r>
              <w:rPr>
                <w:rFonts w:eastAsia="宋体" w:cs="Times New Roman"/>
                <w:b/>
                <w:bCs/>
                <w:color w:val="FFFFFF" w:themeColor="background1"/>
                <w:sz w:val="20"/>
                <w:szCs w:val="20"/>
                <w14:textFill>
                  <w14:solidFill>
                    <w14:schemeClr w14:val="bg1"/>
                  </w14:solidFill>
                </w14:textFill>
              </w:rPr>
              <w:t>项目</w:t>
            </w:r>
          </w:p>
        </w:tc>
        <w:tc>
          <w:tcPr>
            <w:tcW w:w="1275" w:type="dxa"/>
            <w:shd w:val="clear" w:color="auto" w:fill="00516B"/>
            <w:vAlign w:val="center"/>
          </w:tcPr>
          <w:p>
            <w:pPr>
              <w:spacing w:line="320" w:lineRule="exact"/>
              <w:ind w:firstLine="0" w:firstLineChars="0"/>
              <w:jc w:val="center"/>
              <w:rPr>
                <w:rFonts w:eastAsia="宋体" w:cs="Times New Roman"/>
                <w:b/>
                <w:bCs/>
                <w:color w:val="FFFFFF" w:themeColor="background1"/>
                <w:sz w:val="20"/>
                <w:szCs w:val="20"/>
                <w14:textFill>
                  <w14:solidFill>
                    <w14:schemeClr w14:val="bg1"/>
                  </w14:solidFill>
                </w14:textFill>
              </w:rPr>
            </w:pPr>
            <w:r>
              <w:rPr>
                <w:rFonts w:eastAsia="宋体" w:cs="Times New Roman"/>
                <w:b/>
                <w:bCs/>
                <w:color w:val="FFFFFF" w:themeColor="background1"/>
                <w:sz w:val="20"/>
                <w:szCs w:val="20"/>
                <w14:textFill>
                  <w14:solidFill>
                    <w14:schemeClr w14:val="bg1"/>
                  </w14:solidFill>
                </w14:textFill>
              </w:rPr>
              <w:t>年初预算数（万元）</w:t>
            </w:r>
          </w:p>
        </w:tc>
        <w:tc>
          <w:tcPr>
            <w:tcW w:w="1418" w:type="dxa"/>
            <w:shd w:val="clear" w:color="auto" w:fill="00516B"/>
            <w:vAlign w:val="center"/>
          </w:tcPr>
          <w:p>
            <w:pPr>
              <w:spacing w:line="320" w:lineRule="exact"/>
              <w:ind w:firstLine="0" w:firstLineChars="0"/>
              <w:jc w:val="center"/>
              <w:rPr>
                <w:rFonts w:eastAsia="宋体" w:cs="Times New Roman"/>
                <w:b/>
                <w:bCs/>
                <w:color w:val="FFFFFF" w:themeColor="background1"/>
                <w:sz w:val="20"/>
                <w:szCs w:val="20"/>
                <w14:textFill>
                  <w14:solidFill>
                    <w14:schemeClr w14:val="bg1"/>
                  </w14:solidFill>
                </w14:textFill>
              </w:rPr>
            </w:pPr>
            <w:r>
              <w:rPr>
                <w:rFonts w:eastAsia="宋体" w:cs="Times New Roman"/>
                <w:b/>
                <w:bCs/>
                <w:color w:val="FFFFFF" w:themeColor="background1"/>
                <w:sz w:val="20"/>
                <w:szCs w:val="20"/>
                <w14:textFill>
                  <w14:solidFill>
                    <w14:schemeClr w14:val="bg1"/>
                  </w14:solidFill>
                </w14:textFill>
              </w:rPr>
              <w:t>收入决算数（万元）</w:t>
            </w:r>
          </w:p>
        </w:tc>
        <w:tc>
          <w:tcPr>
            <w:tcW w:w="1417" w:type="dxa"/>
            <w:shd w:val="clear" w:color="auto" w:fill="00516B"/>
            <w:vAlign w:val="center"/>
          </w:tcPr>
          <w:p>
            <w:pPr>
              <w:spacing w:line="320" w:lineRule="exact"/>
              <w:ind w:firstLine="0" w:firstLineChars="0"/>
              <w:jc w:val="center"/>
              <w:rPr>
                <w:rFonts w:eastAsia="宋体" w:cs="Times New Roman"/>
                <w:b/>
                <w:bCs/>
                <w:color w:val="FFFFFF" w:themeColor="background1"/>
                <w:sz w:val="20"/>
                <w:szCs w:val="20"/>
                <w14:textFill>
                  <w14:solidFill>
                    <w14:schemeClr w14:val="bg1"/>
                  </w14:solidFill>
                </w14:textFill>
              </w:rPr>
            </w:pPr>
            <w:r>
              <w:rPr>
                <w:rFonts w:eastAsia="宋体" w:cs="Times New Roman"/>
                <w:b/>
                <w:bCs/>
                <w:color w:val="FFFFFF" w:themeColor="background1"/>
                <w:sz w:val="20"/>
                <w:szCs w:val="20"/>
                <w14:textFill>
                  <w14:solidFill>
                    <w14:schemeClr w14:val="bg1"/>
                  </w14:solidFill>
                </w14:textFill>
              </w:rPr>
              <w:t>支出决算数（万元）</w:t>
            </w:r>
          </w:p>
        </w:tc>
        <w:tc>
          <w:tcPr>
            <w:tcW w:w="1418" w:type="dxa"/>
            <w:shd w:val="clear" w:color="auto" w:fill="00516B"/>
            <w:vAlign w:val="center"/>
          </w:tcPr>
          <w:p>
            <w:pPr>
              <w:spacing w:line="320" w:lineRule="exact"/>
              <w:ind w:firstLine="0" w:firstLineChars="0"/>
              <w:jc w:val="center"/>
              <w:rPr>
                <w:rFonts w:eastAsia="宋体" w:cs="Times New Roman"/>
                <w:b/>
                <w:bCs/>
                <w:color w:val="FFFFFF" w:themeColor="background1"/>
                <w:sz w:val="20"/>
                <w:szCs w:val="20"/>
                <w14:textFill>
                  <w14:solidFill>
                    <w14:schemeClr w14:val="bg1"/>
                  </w14:solidFill>
                </w14:textFill>
              </w:rPr>
            </w:pPr>
            <w:r>
              <w:rPr>
                <w:rFonts w:eastAsia="宋体" w:cs="Times New Roman"/>
                <w:b/>
                <w:bCs/>
                <w:color w:val="FFFFFF" w:themeColor="background1"/>
                <w:sz w:val="20"/>
                <w:szCs w:val="20"/>
                <w14:textFill>
                  <w14:solidFill>
                    <w14:schemeClr w14:val="bg1"/>
                  </w14:solidFill>
                </w14:textFill>
              </w:rPr>
              <w:t>收支结余</w:t>
            </w:r>
          </w:p>
          <w:p>
            <w:pPr>
              <w:spacing w:line="320" w:lineRule="exact"/>
              <w:ind w:firstLine="0" w:firstLineChars="0"/>
              <w:jc w:val="center"/>
              <w:rPr>
                <w:rFonts w:eastAsia="宋体" w:cs="Times New Roman"/>
                <w:b/>
                <w:bCs/>
                <w:color w:val="FFFFFF" w:themeColor="background1"/>
                <w:sz w:val="20"/>
                <w:szCs w:val="20"/>
                <w14:textFill>
                  <w14:solidFill>
                    <w14:schemeClr w14:val="bg1"/>
                  </w14:solidFill>
                </w14:textFill>
              </w:rPr>
            </w:pPr>
            <w:r>
              <w:rPr>
                <w:rFonts w:eastAsia="宋体" w:cs="Times New Roman"/>
                <w:b/>
                <w:bCs/>
                <w:color w:val="FFFFFF" w:themeColor="background1"/>
                <w:sz w:val="20"/>
                <w:szCs w:val="20"/>
                <w14:textFill>
                  <w14:solidFill>
                    <w14:schemeClr w14:val="bg1"/>
                  </w14:solidFill>
                </w14:textFill>
              </w:rPr>
              <w:t>（万元）</w:t>
            </w:r>
          </w:p>
        </w:tc>
        <w:tc>
          <w:tcPr>
            <w:tcW w:w="1213" w:type="dxa"/>
            <w:shd w:val="clear" w:color="auto" w:fill="00516B"/>
            <w:vAlign w:val="center"/>
          </w:tcPr>
          <w:p>
            <w:pPr>
              <w:spacing w:line="320" w:lineRule="exact"/>
              <w:ind w:firstLine="0" w:firstLineChars="0"/>
              <w:jc w:val="center"/>
              <w:rPr>
                <w:rFonts w:eastAsia="宋体" w:cs="Times New Roman"/>
                <w:b/>
                <w:bCs/>
                <w:color w:val="FFFFFF" w:themeColor="background1"/>
                <w:sz w:val="20"/>
                <w:szCs w:val="20"/>
                <w14:textFill>
                  <w14:solidFill>
                    <w14:schemeClr w14:val="bg1"/>
                  </w14:solidFill>
                </w14:textFill>
              </w:rPr>
            </w:pPr>
            <w:r>
              <w:rPr>
                <w:rFonts w:eastAsia="宋体" w:cs="Times New Roman"/>
                <w:b/>
                <w:bCs/>
                <w:color w:val="FFFFFF" w:themeColor="background1"/>
                <w:sz w:val="20"/>
                <w:szCs w:val="20"/>
                <w14:textFill>
                  <w14:solidFill>
                    <w14:schemeClr w14:val="bg1"/>
                  </w14:solidFill>
                </w14:textFill>
              </w:rPr>
              <w:t>执行率（%）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vAlign w:val="center"/>
          </w:tcPr>
          <w:p>
            <w:pPr>
              <w:spacing w:line="320" w:lineRule="exact"/>
              <w:ind w:firstLine="0" w:firstLineChars="0"/>
              <w:rPr>
                <w:rFonts w:eastAsia="宋体" w:cs="Times New Roman"/>
                <w:sz w:val="20"/>
                <w:szCs w:val="20"/>
              </w:rPr>
            </w:pPr>
            <w:r>
              <w:rPr>
                <w:rFonts w:eastAsia="宋体" w:cs="Times New Roman"/>
                <w:sz w:val="20"/>
                <w:szCs w:val="20"/>
              </w:rPr>
              <w:t>2020年小计</w:t>
            </w:r>
          </w:p>
        </w:tc>
        <w:tc>
          <w:tcPr>
            <w:tcW w:w="1275" w:type="dxa"/>
            <w:vAlign w:val="center"/>
          </w:tcPr>
          <w:p>
            <w:pPr>
              <w:spacing w:line="320" w:lineRule="exact"/>
              <w:ind w:firstLine="0" w:firstLineChars="0"/>
              <w:jc w:val="center"/>
              <w:rPr>
                <w:rFonts w:eastAsia="宋体" w:cs="Times New Roman"/>
                <w:sz w:val="20"/>
                <w:szCs w:val="20"/>
              </w:rPr>
            </w:pPr>
            <w:r>
              <w:rPr>
                <w:rFonts w:eastAsia="宋体" w:cs="Times New Roman"/>
                <w:sz w:val="20"/>
                <w:szCs w:val="20"/>
              </w:rPr>
              <w:t>12574.05</w:t>
            </w:r>
          </w:p>
        </w:tc>
        <w:tc>
          <w:tcPr>
            <w:tcW w:w="1418" w:type="dxa"/>
            <w:vAlign w:val="center"/>
          </w:tcPr>
          <w:p>
            <w:pPr>
              <w:spacing w:line="320" w:lineRule="exact"/>
              <w:ind w:firstLine="0" w:firstLineChars="0"/>
              <w:jc w:val="center"/>
              <w:rPr>
                <w:rFonts w:eastAsia="宋体" w:cs="Times New Roman"/>
                <w:sz w:val="20"/>
                <w:szCs w:val="20"/>
              </w:rPr>
            </w:pPr>
            <w:r>
              <w:rPr>
                <w:rFonts w:eastAsia="宋体" w:cs="Times New Roman"/>
                <w:sz w:val="20"/>
                <w:szCs w:val="20"/>
              </w:rPr>
              <w:t>16604.70</w:t>
            </w:r>
          </w:p>
        </w:tc>
        <w:tc>
          <w:tcPr>
            <w:tcW w:w="1417" w:type="dxa"/>
            <w:vAlign w:val="center"/>
          </w:tcPr>
          <w:p>
            <w:pPr>
              <w:spacing w:line="320" w:lineRule="exact"/>
              <w:ind w:firstLine="0" w:firstLineChars="0"/>
              <w:jc w:val="center"/>
              <w:rPr>
                <w:rFonts w:eastAsia="宋体" w:cs="Times New Roman"/>
                <w:sz w:val="20"/>
                <w:szCs w:val="20"/>
              </w:rPr>
            </w:pPr>
            <w:r>
              <w:rPr>
                <w:rFonts w:eastAsia="宋体" w:cs="Times New Roman"/>
                <w:sz w:val="20"/>
                <w:szCs w:val="20"/>
              </w:rPr>
              <w:t>11048.72</w:t>
            </w:r>
          </w:p>
        </w:tc>
        <w:tc>
          <w:tcPr>
            <w:tcW w:w="1418" w:type="dxa"/>
            <w:vAlign w:val="center"/>
          </w:tcPr>
          <w:p>
            <w:pPr>
              <w:spacing w:line="320" w:lineRule="exact"/>
              <w:ind w:firstLine="0" w:firstLineChars="0"/>
              <w:jc w:val="center"/>
              <w:rPr>
                <w:rFonts w:eastAsia="宋体" w:cs="Times New Roman"/>
                <w:sz w:val="20"/>
                <w:szCs w:val="20"/>
              </w:rPr>
            </w:pPr>
            <w:r>
              <w:rPr>
                <w:rFonts w:eastAsia="宋体" w:cs="Times New Roman"/>
                <w:sz w:val="20"/>
                <w:szCs w:val="20"/>
              </w:rPr>
              <w:t>5555.99</w:t>
            </w:r>
          </w:p>
        </w:tc>
        <w:tc>
          <w:tcPr>
            <w:tcW w:w="1213" w:type="dxa"/>
            <w:vAlign w:val="center"/>
          </w:tcPr>
          <w:p>
            <w:pPr>
              <w:spacing w:line="320" w:lineRule="exact"/>
              <w:ind w:firstLine="0" w:firstLineChars="0"/>
              <w:jc w:val="center"/>
              <w:rPr>
                <w:rFonts w:eastAsia="宋体" w:cs="Times New Roman"/>
                <w:sz w:val="20"/>
                <w:szCs w:val="20"/>
              </w:rPr>
            </w:pPr>
            <w:r>
              <w:rPr>
                <w:rFonts w:eastAsia="宋体" w:cs="Times New Roman"/>
                <w:sz w:val="20"/>
                <w:szCs w:val="20"/>
              </w:rPr>
              <w:t>66.54%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6" w:hRule="atLeast"/>
          <w:jc w:val="center"/>
        </w:trPr>
        <w:tc>
          <w:tcPr>
            <w:tcW w:w="1555" w:type="dxa"/>
            <w:vAlign w:val="center"/>
          </w:tcPr>
          <w:p>
            <w:pPr>
              <w:spacing w:line="320" w:lineRule="exact"/>
              <w:ind w:firstLine="0" w:firstLineChars="0"/>
              <w:rPr>
                <w:rFonts w:eastAsia="宋体" w:cs="Times New Roman"/>
                <w:sz w:val="20"/>
                <w:szCs w:val="20"/>
              </w:rPr>
            </w:pPr>
            <w:r>
              <w:rPr>
                <w:rFonts w:eastAsia="宋体" w:cs="Times New Roman"/>
                <w:sz w:val="20"/>
                <w:szCs w:val="20"/>
              </w:rPr>
              <w:t>其中：财政补贴收入</w:t>
            </w:r>
          </w:p>
        </w:tc>
        <w:tc>
          <w:tcPr>
            <w:tcW w:w="1275" w:type="dxa"/>
            <w:vAlign w:val="center"/>
          </w:tcPr>
          <w:p>
            <w:pPr>
              <w:spacing w:line="320" w:lineRule="exact"/>
              <w:ind w:firstLine="0" w:firstLineChars="0"/>
              <w:jc w:val="center"/>
              <w:rPr>
                <w:rFonts w:eastAsia="宋体" w:cs="Times New Roman"/>
                <w:sz w:val="20"/>
                <w:szCs w:val="20"/>
              </w:rPr>
            </w:pPr>
            <w:r>
              <w:rPr>
                <w:rFonts w:eastAsia="宋体" w:cs="Times New Roman"/>
                <w:sz w:val="20"/>
                <w:szCs w:val="20"/>
              </w:rPr>
              <w:t>10045.99</w:t>
            </w:r>
          </w:p>
        </w:tc>
        <w:tc>
          <w:tcPr>
            <w:tcW w:w="1418" w:type="dxa"/>
            <w:vAlign w:val="center"/>
          </w:tcPr>
          <w:p>
            <w:pPr>
              <w:spacing w:line="320" w:lineRule="exact"/>
              <w:ind w:firstLine="0" w:firstLineChars="0"/>
              <w:jc w:val="center"/>
              <w:rPr>
                <w:rFonts w:eastAsia="宋体" w:cs="Times New Roman"/>
                <w:sz w:val="20"/>
                <w:szCs w:val="20"/>
              </w:rPr>
            </w:pPr>
            <w:r>
              <w:rPr>
                <w:rFonts w:eastAsia="宋体" w:cs="Times New Roman"/>
                <w:sz w:val="20"/>
                <w:szCs w:val="20"/>
              </w:rPr>
              <w:t>11162.93</w:t>
            </w:r>
          </w:p>
        </w:tc>
        <w:tc>
          <w:tcPr>
            <w:tcW w:w="1417" w:type="dxa"/>
            <w:vAlign w:val="center"/>
          </w:tcPr>
          <w:p>
            <w:pPr>
              <w:spacing w:line="320" w:lineRule="exact"/>
              <w:ind w:firstLine="0" w:firstLineChars="0"/>
              <w:jc w:val="center"/>
              <w:rPr>
                <w:rFonts w:eastAsia="宋体" w:cs="Times New Roman"/>
                <w:sz w:val="20"/>
                <w:szCs w:val="20"/>
              </w:rPr>
            </w:pPr>
            <w:r>
              <w:rPr>
                <w:rFonts w:eastAsia="宋体" w:cs="Times New Roman"/>
                <w:sz w:val="20"/>
                <w:szCs w:val="20"/>
              </w:rPr>
              <w:t>10967.83</w:t>
            </w:r>
          </w:p>
        </w:tc>
        <w:tc>
          <w:tcPr>
            <w:tcW w:w="1418" w:type="dxa"/>
            <w:vAlign w:val="center"/>
          </w:tcPr>
          <w:p>
            <w:pPr>
              <w:spacing w:line="320" w:lineRule="exact"/>
              <w:ind w:firstLine="0" w:firstLineChars="0"/>
              <w:jc w:val="center"/>
              <w:rPr>
                <w:rFonts w:eastAsia="宋体" w:cs="Times New Roman"/>
                <w:sz w:val="20"/>
                <w:szCs w:val="20"/>
              </w:rPr>
            </w:pPr>
            <w:r>
              <w:rPr>
                <w:rFonts w:eastAsia="宋体" w:cs="Times New Roman"/>
                <w:sz w:val="20"/>
                <w:szCs w:val="20"/>
              </w:rPr>
              <w:t>195.10</w:t>
            </w:r>
          </w:p>
        </w:tc>
        <w:tc>
          <w:tcPr>
            <w:tcW w:w="1213" w:type="dxa"/>
            <w:vAlign w:val="center"/>
          </w:tcPr>
          <w:p>
            <w:pPr>
              <w:spacing w:line="320" w:lineRule="exact"/>
              <w:ind w:firstLine="0" w:firstLineChars="0"/>
              <w:jc w:val="center"/>
              <w:rPr>
                <w:rFonts w:eastAsia="宋体" w:cs="Times New Roman"/>
                <w:sz w:val="20"/>
                <w:szCs w:val="20"/>
              </w:rPr>
            </w:pPr>
            <w:r>
              <w:rPr>
                <w:rFonts w:eastAsia="宋体" w:cs="Times New Roman"/>
                <w:sz w:val="20"/>
                <w:szCs w:val="20"/>
              </w:rPr>
              <w:t>98.25%</w:t>
            </w:r>
          </w:p>
        </w:tc>
      </w:tr>
    </w:tbl>
    <w:p>
      <w:pPr>
        <w:spacing w:before="156" w:after="156"/>
        <w:ind w:firstLine="640"/>
        <w:rPr>
          <w:rFonts w:cs="Times New Roman"/>
        </w:rPr>
      </w:pPr>
    </w:p>
    <w:p>
      <w:pPr>
        <w:pStyle w:val="2"/>
        <w:ind w:firstLine="361" w:firstLineChars="100"/>
        <w:rPr>
          <w:rFonts w:cs="Times New Roman"/>
        </w:rPr>
      </w:pPr>
      <w:bookmarkStart w:id="7" w:name="_Toc76927025"/>
      <w:r>
        <w:rPr>
          <w:rFonts w:cs="Times New Roman"/>
        </w:rPr>
        <w:t>二、评价工作基本情况</w:t>
      </w:r>
      <w:bookmarkEnd w:id="7"/>
    </w:p>
    <w:p>
      <w:pPr>
        <w:pStyle w:val="3"/>
        <w:ind w:firstLine="643"/>
        <w:rPr>
          <w:rFonts w:cs="Times New Roman"/>
        </w:rPr>
      </w:pPr>
      <w:bookmarkStart w:id="8" w:name="_Toc76927026"/>
      <w:r>
        <w:rPr>
          <w:rFonts w:cs="Times New Roman"/>
        </w:rPr>
        <w:t>（一）评价方法</w:t>
      </w:r>
      <w:bookmarkEnd w:id="8"/>
    </w:p>
    <w:p>
      <w:pPr>
        <w:ind w:firstLine="640"/>
        <w:rPr>
          <w:rFonts w:cs="Times New Roman"/>
        </w:rPr>
      </w:pPr>
      <w:r>
        <w:rPr>
          <w:rFonts w:cs="Times New Roman"/>
        </w:rPr>
        <w:t>本次城乡居民养老保险财政补助项目</w:t>
      </w:r>
      <w:r>
        <w:rPr>
          <w:rFonts w:hint="eastAsia" w:cs="Times New Roman"/>
        </w:rPr>
        <w:t>支出</w:t>
      </w:r>
      <w:r>
        <w:rPr>
          <w:rFonts w:cs="Times New Roman"/>
        </w:rPr>
        <w:t>绩效评价主要采用了案卷研究法、现场核查法和深度访谈法进行综合评价。</w:t>
      </w:r>
    </w:p>
    <w:p>
      <w:pPr>
        <w:pStyle w:val="4"/>
        <w:ind w:firstLine="643"/>
        <w:rPr>
          <w:rFonts w:cs="Times New Roman"/>
        </w:rPr>
      </w:pPr>
      <w:bookmarkStart w:id="9" w:name="_Toc76927027"/>
      <w:r>
        <w:rPr>
          <w:rFonts w:cs="Times New Roman"/>
        </w:rPr>
        <w:t>1. 查资料—案卷研究法</w:t>
      </w:r>
      <w:bookmarkEnd w:id="9"/>
    </w:p>
    <w:p>
      <w:pPr>
        <w:ind w:firstLine="640"/>
        <w:jc w:val="left"/>
        <w:rPr>
          <w:rFonts w:cs="Times New Roman"/>
        </w:rPr>
      </w:pPr>
      <w:r>
        <w:rPr>
          <w:rFonts w:cs="Times New Roman"/>
        </w:rPr>
        <w:t>通过文献和相关政策</w:t>
      </w:r>
      <w:r>
        <w:rPr>
          <w:rFonts w:hint="eastAsia" w:cs="Times New Roman"/>
        </w:rPr>
        <w:t>梳理</w:t>
      </w:r>
      <w:r>
        <w:rPr>
          <w:rFonts w:cs="Times New Roman"/>
        </w:rPr>
        <w:t>，深入研究了《国务院关于建立统一的城乡居民基本养老保险制度的意见》（国发〔2014〕8号）、《人力资源社会保障部 财政部关于建立城乡居民基本养老保险待遇确定和基础养老金正常调整机制的指导意见》（人社部发〔2018〕21号）、《四川省完善城乡居民基本养老保险制度的实施方案》（川人社办发〔2020〕10号）、《四川省城乡居民基本养老保险经办规程》（川人社办发〔2020〕125号）等文件，全方位了解养老保险基金特性和使用规范等，梳理项目涉及部门及职能职责，并对养老保险资金管理等做出判断。</w:t>
      </w:r>
    </w:p>
    <w:p>
      <w:pPr>
        <w:pStyle w:val="4"/>
        <w:ind w:firstLine="643"/>
        <w:rPr>
          <w:rFonts w:cs="Times New Roman"/>
        </w:rPr>
      </w:pPr>
      <w:bookmarkStart w:id="10" w:name="_Toc76927028"/>
      <w:r>
        <w:rPr>
          <w:rFonts w:cs="Times New Roman"/>
        </w:rPr>
        <w:t>2. 访对象—深度访谈</w:t>
      </w:r>
      <w:bookmarkEnd w:id="10"/>
    </w:p>
    <w:p>
      <w:pPr>
        <w:ind w:firstLine="640"/>
        <w:rPr>
          <w:rFonts w:cs="Times New Roman"/>
        </w:rPr>
      </w:pPr>
      <w:r>
        <w:rPr>
          <w:rFonts w:cs="Times New Roman"/>
        </w:rPr>
        <w:t>访对象指走访项目主管部门（单位），听取城乡居民养老保险财政补助项目资金使用情况和资金拨付进度等项目管理情况，主要对人社局部门（单位）1名分管领导、1名财务负责人和2名业务负责人等进行访谈，了解城乡居民养老保险资金使用和管理规范，并探寻养老保险财政补助资金使用过程中的困难和挑战，为提高养老保险资金管理和风险控制提供经验借鉴。在本绩效评价中，将在现场核查时使用一对一深访的形式，访谈内容包括但不限于：</w:t>
      </w:r>
    </w:p>
    <w:p>
      <w:pPr>
        <w:ind w:firstLine="640"/>
        <w:rPr>
          <w:rFonts w:cs="Times New Roman"/>
        </w:rPr>
      </w:pPr>
      <w:r>
        <w:rPr>
          <w:rFonts w:cs="Times New Roman"/>
        </w:rPr>
        <w:t>（1）城乡居民养老保险财政补助项目管理制度完善性，如城乡居民养老保险项目立项依据、资金管理办法、项目融资规定、风险评估工作实施方案等；</w:t>
      </w:r>
    </w:p>
    <w:p>
      <w:pPr>
        <w:ind w:firstLine="640"/>
        <w:rPr>
          <w:rFonts w:cs="Times New Roman"/>
        </w:rPr>
      </w:pPr>
      <w:r>
        <w:rPr>
          <w:rFonts w:cs="Times New Roman"/>
        </w:rPr>
        <w:t>（2）城乡居民养老保险财政补助资金使用规范性和效率性，如城乡居民养老保险财政补助资金支出情况和项目收益情况；</w:t>
      </w:r>
    </w:p>
    <w:p>
      <w:pPr>
        <w:ind w:firstLine="640"/>
        <w:rPr>
          <w:rFonts w:cs="Times New Roman"/>
        </w:rPr>
      </w:pPr>
      <w:r>
        <w:rPr>
          <w:rFonts w:cs="Times New Roman"/>
        </w:rPr>
        <w:t>（3）现阶段城乡居民养老保险财政补助项目的经验、不足以及相关建议等。</w:t>
      </w:r>
    </w:p>
    <w:p>
      <w:pPr>
        <w:pStyle w:val="4"/>
        <w:ind w:firstLine="643"/>
        <w:rPr>
          <w:rFonts w:cs="Times New Roman"/>
        </w:rPr>
      </w:pPr>
      <w:bookmarkStart w:id="11" w:name="_Toc76927029"/>
      <w:r>
        <w:rPr>
          <w:rFonts w:cs="Times New Roman"/>
        </w:rPr>
        <w:t>3. 核落实—书面评审+现场核查</w:t>
      </w:r>
      <w:bookmarkEnd w:id="11"/>
    </w:p>
    <w:p>
      <w:pPr>
        <w:ind w:firstLine="640"/>
        <w:rPr>
          <w:rFonts w:cs="Times New Roman"/>
        </w:rPr>
      </w:pPr>
      <w:r>
        <w:rPr>
          <w:rFonts w:cs="Times New Roman"/>
        </w:rPr>
        <w:t>一是书面评审。书面评审工作将通过对项目总体情况、绩效情况等内容进行评审，并根据书面评审和现场评价结果，提出存在问题及相关建议，及时反馈至公司，进一步补充、调整材料，并根据评价指标进行初步打分。主要包括材料初审、模块审核、指标评分、汇总核查、总结反馈、最终归档等六个步骤。</w:t>
      </w:r>
    </w:p>
    <w:p>
      <w:pPr>
        <w:ind w:firstLine="640"/>
        <w:rPr>
          <w:rFonts w:cs="Times New Roman"/>
        </w:rPr>
      </w:pPr>
      <w:r>
        <w:rPr>
          <w:rFonts w:cs="Times New Roman"/>
        </w:rPr>
        <w:t>二是现场核查。现场核查主要包括对财务原件审核、资料核查、项目实施点实地勘察工作。</w:t>
      </w:r>
    </w:p>
    <w:p>
      <w:pPr>
        <w:ind w:firstLine="640"/>
        <w:rPr>
          <w:rFonts w:cs="Times New Roman"/>
        </w:rPr>
      </w:pPr>
      <w:r>
        <w:rPr>
          <w:rFonts w:cs="Times New Roman"/>
        </w:rPr>
        <w:t>城乡居民养老保险财政补助项目现场核查内容包括且不限于：</w:t>
      </w:r>
    </w:p>
    <w:p>
      <w:pPr>
        <w:ind w:firstLine="640"/>
        <w:rPr>
          <w:rFonts w:cs="Times New Roman"/>
        </w:rPr>
      </w:pPr>
      <w:r>
        <w:rPr>
          <w:rFonts w:cs="Times New Roman"/>
        </w:rPr>
        <w:t>（1）城乡居民养老保险财政补助项目资金的收支情况和凭证；</w:t>
      </w:r>
    </w:p>
    <w:p>
      <w:pPr>
        <w:ind w:firstLine="640"/>
        <w:rPr>
          <w:rFonts w:cs="Times New Roman"/>
        </w:rPr>
      </w:pPr>
      <w:r>
        <w:rPr>
          <w:rFonts w:cs="Times New Roman"/>
        </w:rPr>
        <w:t>（2）城乡居民养老保险财政补助项目资金管理机制建立情况；</w:t>
      </w:r>
    </w:p>
    <w:p>
      <w:pPr>
        <w:ind w:firstLine="640"/>
        <w:rPr>
          <w:rFonts w:cs="Times New Roman"/>
        </w:rPr>
      </w:pPr>
      <w:r>
        <w:rPr>
          <w:rFonts w:cs="Times New Roman"/>
        </w:rPr>
        <w:t>（3）项目预期补助情况、结余资金收益情况；</w:t>
      </w:r>
    </w:p>
    <w:p>
      <w:pPr>
        <w:ind w:firstLine="640"/>
        <w:rPr>
          <w:rFonts w:cs="Times New Roman"/>
        </w:rPr>
      </w:pPr>
      <w:r>
        <w:rPr>
          <w:rFonts w:cs="Times New Roman"/>
        </w:rPr>
        <w:t>（4）项目完成的产出和绩效。</w:t>
      </w:r>
    </w:p>
    <w:p>
      <w:pPr>
        <w:pStyle w:val="3"/>
        <w:ind w:firstLine="643"/>
        <w:rPr>
          <w:rFonts w:cs="Times New Roman"/>
        </w:rPr>
      </w:pPr>
      <w:bookmarkStart w:id="12" w:name="_Toc76927030"/>
      <w:r>
        <w:rPr>
          <w:rFonts w:cs="Times New Roman"/>
        </w:rPr>
        <w:t>（二）评价指标</w:t>
      </w:r>
      <w:bookmarkEnd w:id="12"/>
    </w:p>
    <w:p>
      <w:pPr>
        <w:ind w:firstLine="640"/>
        <w:rPr>
          <w:rFonts w:cs="Times New Roman"/>
        </w:rPr>
      </w:pPr>
      <w:r>
        <w:rPr>
          <w:rFonts w:cs="Times New Roman"/>
        </w:rPr>
        <w:t>在评价指标的设计中，以目标为导向，共性指标和个性指标性相结合，确定绩效评价的指标体系，对指标进行赋权，明确指标的解释和评价标准，选取合理的评价对象，确定出评价的证据、证据来源和证据的收集方法。本次评价指标体系设计，本着广泛覆盖、重点突出的原则，从项目决策、项目实施、项目产出、项目效果4方面进行评价，共构建4个一级指标，10个二级指标，17个三级个性指标。</w:t>
      </w:r>
    </w:p>
    <w:p>
      <w:pPr>
        <w:pStyle w:val="2"/>
        <w:ind w:firstLine="723"/>
        <w:rPr>
          <w:rFonts w:cs="Times New Roman"/>
        </w:rPr>
      </w:pPr>
      <w:bookmarkStart w:id="13" w:name="_Toc76927031"/>
      <w:r>
        <w:rPr>
          <w:rFonts w:cs="Times New Roman"/>
        </w:rPr>
        <w:t>三、评价结论及绩效分析</w:t>
      </w:r>
      <w:bookmarkEnd w:id="13"/>
    </w:p>
    <w:p>
      <w:pPr>
        <w:pStyle w:val="3"/>
        <w:ind w:firstLine="643"/>
        <w:rPr>
          <w:rFonts w:cs="Times New Roman"/>
        </w:rPr>
      </w:pPr>
      <w:bookmarkStart w:id="14" w:name="_Toc76927032"/>
      <w:r>
        <w:rPr>
          <w:rFonts w:cs="Times New Roman"/>
        </w:rPr>
        <w:t>（一）评价结论</w:t>
      </w:r>
      <w:bookmarkEnd w:id="14"/>
    </w:p>
    <w:p>
      <w:pPr>
        <w:ind w:firstLine="643"/>
        <w:rPr>
          <w:rFonts w:cs="Times New Roman"/>
          <w:b/>
          <w:bCs/>
        </w:rPr>
      </w:pPr>
      <w:r>
        <w:rPr>
          <w:rFonts w:cs="Times New Roman"/>
          <w:b/>
          <w:bCs/>
        </w:rPr>
        <w:t>绵竹市2020年城乡居民养老保险财政补助项目绩效评价得分为93.00分，等级判定为：优</w:t>
      </w:r>
      <w:r>
        <w:rPr>
          <w:rStyle w:val="26"/>
          <w:rFonts w:cs="Times New Roman"/>
          <w:b/>
          <w:bCs/>
        </w:rPr>
        <w:footnoteReference w:id="1"/>
      </w:r>
      <w:r>
        <w:rPr>
          <w:rFonts w:cs="Times New Roman"/>
          <w:b/>
          <w:bCs/>
        </w:rPr>
        <w:t>。</w:t>
      </w:r>
    </w:p>
    <w:p>
      <w:pPr>
        <w:ind w:firstLine="640"/>
        <w:rPr>
          <w:rFonts w:cs="Times New Roman"/>
        </w:rPr>
      </w:pPr>
      <w:r>
        <w:rPr>
          <w:rFonts w:cs="Times New Roman"/>
        </w:rPr>
        <w:t>总体而言，城乡居民养老保险财政补助在项目实施和项目产出方面表现较好，项目执行相对有效且目标完成度较高。但在项目决策及项目管理方面还存在不足，一是由于绩效目标设置不合理出现项目效果难以有效管理；二是就项目效果而言，城乡居民参保数和政策宣传效果有待进一步提升。</w:t>
      </w:r>
    </w:p>
    <w:p>
      <w:pPr>
        <w:ind w:firstLine="640"/>
        <w:sectPr>
          <w:pgSz w:w="11906" w:h="16838"/>
          <w:pgMar w:top="1440" w:right="1800" w:bottom="1440" w:left="1800" w:header="851" w:footer="992" w:gutter="0"/>
          <w:cols w:space="425" w:num="1"/>
          <w:docGrid w:type="lines" w:linePitch="312" w:charSpace="0"/>
        </w:sectPr>
      </w:pPr>
      <w:r>
        <w:t>本次评价综合运用案卷研究、深度访谈、书面评审、现场评价及问卷调查等方法进行多源数据采集，依据评价指标进行打分，一级指标得分情况如下：项目决策15.00分，实际得分13.50分，得分率90.00%；项目实施25.00分，实际得分23.00分，得分率90.00%；项目产出25.00分，实际得分23.90分，得分率95.60%；项目效果35.00分，实际得分32.60分，得分率93.14%。</w:t>
      </w:r>
      <w:r>
        <w:rPr>
          <w:b/>
          <w:bCs/>
        </w:rPr>
        <w:t>整体指标得分详情如下：</w:t>
      </w:r>
    </w:p>
    <w:p>
      <w:pPr>
        <w:ind w:firstLine="562"/>
        <w:jc w:val="center"/>
        <w:rPr>
          <w:rFonts w:eastAsia="幼圆" w:cs="Times New Roman"/>
          <w:b/>
          <w:sz w:val="28"/>
          <w:szCs w:val="28"/>
        </w:rPr>
      </w:pPr>
      <w:r>
        <w:rPr>
          <w:rFonts w:eastAsia="幼圆" w:cs="Times New Roman"/>
          <w:b/>
          <w:sz w:val="28"/>
          <w:szCs w:val="28"/>
        </w:rPr>
        <w:t>附表 城乡居民养老保险财政补助项目绩效评价指标得分情况</w:t>
      </w:r>
      <w:r>
        <w:rPr>
          <w:rFonts w:eastAsia="幼圆" w:cs="Times New Roman"/>
          <w:b/>
          <w:sz w:val="28"/>
          <w:szCs w:val="28"/>
          <w:vertAlign w:val="superscript"/>
        </w:rPr>
        <w:footnoteReference w:id="2"/>
      </w:r>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9"/>
        <w:gridCol w:w="1312"/>
        <w:gridCol w:w="2768"/>
        <w:gridCol w:w="1023"/>
        <w:gridCol w:w="1021"/>
        <w:gridCol w:w="1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blHeader/>
          <w:jc w:val="center"/>
        </w:trPr>
        <w:tc>
          <w:tcPr>
            <w:tcW w:w="680" w:type="pct"/>
            <w:shd w:val="clear" w:color="000000" w:fill="00516B"/>
            <w:vAlign w:val="center"/>
          </w:tcPr>
          <w:p>
            <w:pPr>
              <w:widowControl/>
              <w:spacing w:line="240" w:lineRule="auto"/>
              <w:ind w:firstLine="0" w:firstLineChars="0"/>
              <w:jc w:val="center"/>
              <w:rPr>
                <w:rFonts w:eastAsia="宋体" w:cs="Times New Roman"/>
                <w:b/>
                <w:bCs/>
                <w:color w:val="FFFFFF"/>
                <w:kern w:val="0"/>
                <w:sz w:val="20"/>
                <w:szCs w:val="20"/>
              </w:rPr>
            </w:pPr>
            <w:bookmarkStart w:id="15" w:name="_Hlk74510742"/>
            <w:r>
              <w:rPr>
                <w:rFonts w:eastAsia="宋体" w:cs="Times New Roman"/>
                <w:b/>
                <w:bCs/>
                <w:color w:val="FFFFFF"/>
                <w:kern w:val="0"/>
                <w:sz w:val="20"/>
                <w:szCs w:val="20"/>
              </w:rPr>
              <w:t>一级指标</w:t>
            </w:r>
          </w:p>
        </w:tc>
        <w:tc>
          <w:tcPr>
            <w:tcW w:w="770" w:type="pct"/>
            <w:shd w:val="clear" w:color="000000" w:fill="00516B"/>
            <w:vAlign w:val="center"/>
          </w:tcPr>
          <w:p>
            <w:pPr>
              <w:widowControl/>
              <w:spacing w:line="240" w:lineRule="auto"/>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二级指标</w:t>
            </w:r>
          </w:p>
        </w:tc>
        <w:tc>
          <w:tcPr>
            <w:tcW w:w="1624" w:type="pct"/>
            <w:shd w:val="clear" w:color="000000" w:fill="00516B"/>
            <w:vAlign w:val="center"/>
          </w:tcPr>
          <w:p>
            <w:pPr>
              <w:widowControl/>
              <w:spacing w:line="240" w:lineRule="auto"/>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三级指标</w:t>
            </w:r>
          </w:p>
        </w:tc>
        <w:tc>
          <w:tcPr>
            <w:tcW w:w="600" w:type="pct"/>
            <w:shd w:val="clear" w:color="000000" w:fill="00516B"/>
            <w:vAlign w:val="center"/>
          </w:tcPr>
          <w:p>
            <w:pPr>
              <w:widowControl/>
              <w:spacing w:line="240" w:lineRule="auto"/>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分值</w:t>
            </w:r>
          </w:p>
        </w:tc>
        <w:tc>
          <w:tcPr>
            <w:tcW w:w="599" w:type="pct"/>
            <w:shd w:val="clear" w:color="000000" w:fill="00516B"/>
            <w:vAlign w:val="center"/>
          </w:tcPr>
          <w:p>
            <w:pPr>
              <w:spacing w:before="217" w:after="217" w:line="240" w:lineRule="auto"/>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得分</w:t>
            </w:r>
          </w:p>
        </w:tc>
        <w:tc>
          <w:tcPr>
            <w:tcW w:w="727" w:type="pct"/>
            <w:shd w:val="clear" w:color="000000" w:fill="00516B"/>
            <w:vAlign w:val="center"/>
          </w:tcPr>
          <w:p>
            <w:pPr>
              <w:spacing w:before="217" w:after="217" w:line="240" w:lineRule="auto"/>
              <w:ind w:firstLine="191" w:firstLineChars="95"/>
              <w:jc w:val="center"/>
              <w:rPr>
                <w:rFonts w:eastAsia="宋体" w:cs="Times New Roman"/>
                <w:b/>
                <w:bCs/>
                <w:color w:val="FFFFFF"/>
                <w:kern w:val="0"/>
                <w:sz w:val="20"/>
                <w:szCs w:val="20"/>
              </w:rPr>
            </w:pPr>
            <w:r>
              <w:rPr>
                <w:rFonts w:eastAsia="宋体" w:cs="Times New Roman"/>
                <w:b/>
                <w:bCs/>
                <w:color w:val="FFFFFF"/>
                <w:kern w:val="0"/>
                <w:sz w:val="20"/>
                <w:szCs w:val="20"/>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jc w:val="center"/>
        </w:trPr>
        <w:tc>
          <w:tcPr>
            <w:tcW w:w="680" w:type="pct"/>
            <w:vMerge w:val="restart"/>
            <w:shd w:val="clear" w:color="auto" w:fill="auto"/>
            <w:vAlign w:val="center"/>
          </w:tcPr>
          <w:p>
            <w:pPr>
              <w:widowControl/>
              <w:spacing w:line="240" w:lineRule="auto"/>
              <w:ind w:firstLine="0" w:firstLineChars="0"/>
              <w:jc w:val="center"/>
              <w:rPr>
                <w:rFonts w:eastAsia="宋体" w:cs="Times New Roman"/>
                <w:b/>
                <w:bCs/>
                <w:color w:val="000000"/>
                <w:kern w:val="0"/>
                <w:sz w:val="20"/>
                <w:szCs w:val="20"/>
              </w:rPr>
            </w:pPr>
            <w:r>
              <w:rPr>
                <w:rFonts w:eastAsia="宋体" w:cs="Times New Roman"/>
                <w:b/>
                <w:bCs/>
                <w:color w:val="000000"/>
                <w:kern w:val="0"/>
                <w:sz w:val="20"/>
                <w:szCs w:val="20"/>
              </w:rPr>
              <w:t>项目决策</w:t>
            </w:r>
          </w:p>
        </w:tc>
        <w:tc>
          <w:tcPr>
            <w:tcW w:w="770"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程序严密</w:t>
            </w:r>
          </w:p>
        </w:tc>
        <w:tc>
          <w:tcPr>
            <w:tcW w:w="1624"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项目依据充分性</w:t>
            </w:r>
          </w:p>
        </w:tc>
        <w:tc>
          <w:tcPr>
            <w:tcW w:w="600"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微软雅黑" w:cs="Times New Roman"/>
                <w:color w:val="000000"/>
                <w:sz w:val="20"/>
                <w:szCs w:val="20"/>
              </w:rPr>
              <w:t>5.00</w:t>
            </w:r>
          </w:p>
        </w:tc>
        <w:tc>
          <w:tcPr>
            <w:tcW w:w="599"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cs="Times New Roman"/>
                <w:sz w:val="20"/>
                <w:szCs w:val="20"/>
              </w:rPr>
              <w:t>5</w:t>
            </w:r>
            <w:r>
              <w:rPr>
                <w:rFonts w:eastAsia="微软雅黑" w:cs="Times New Roman"/>
                <w:color w:val="000000"/>
                <w:sz w:val="20"/>
                <w:szCs w:val="20"/>
              </w:rPr>
              <w:t>.00</w:t>
            </w:r>
          </w:p>
        </w:tc>
        <w:tc>
          <w:tcPr>
            <w:tcW w:w="727"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cs="Times New Roman"/>
                <w:sz w:val="20"/>
                <w:szCs w:val="20"/>
              </w:rPr>
              <w:t>100</w:t>
            </w:r>
            <w:r>
              <w:rPr>
                <w:rFonts w:eastAsia="微软雅黑" w:cs="Times New Roman"/>
                <w:color w:val="000000"/>
                <w:sz w:val="20"/>
                <w:szCs w:val="20"/>
              </w:rPr>
              <w:t>.00</w:t>
            </w:r>
            <w:r>
              <w:rPr>
                <w:rFonts w:cs="Times New Roman"/>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jc w:val="center"/>
        </w:trPr>
        <w:tc>
          <w:tcPr>
            <w:tcW w:w="680" w:type="pct"/>
            <w:vMerge w:val="continue"/>
            <w:vAlign w:val="center"/>
          </w:tcPr>
          <w:p>
            <w:pPr>
              <w:widowControl/>
              <w:spacing w:line="240" w:lineRule="auto"/>
              <w:ind w:firstLine="0" w:firstLineChars="0"/>
              <w:jc w:val="left"/>
              <w:rPr>
                <w:rFonts w:eastAsia="宋体" w:cs="Times New Roman"/>
                <w:b/>
                <w:bCs/>
                <w:color w:val="000000"/>
                <w:kern w:val="0"/>
                <w:sz w:val="20"/>
                <w:szCs w:val="20"/>
              </w:rPr>
            </w:pPr>
          </w:p>
        </w:tc>
        <w:tc>
          <w:tcPr>
            <w:tcW w:w="770" w:type="pct"/>
            <w:vMerge w:val="restar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规划合理</w:t>
            </w:r>
          </w:p>
        </w:tc>
        <w:tc>
          <w:tcPr>
            <w:tcW w:w="1624"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目标与规划匹配性</w:t>
            </w:r>
          </w:p>
        </w:tc>
        <w:tc>
          <w:tcPr>
            <w:tcW w:w="600"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微软雅黑" w:cs="Times New Roman"/>
                <w:color w:val="000000"/>
                <w:sz w:val="20"/>
                <w:szCs w:val="20"/>
              </w:rPr>
              <w:t>4.00</w:t>
            </w:r>
          </w:p>
        </w:tc>
        <w:tc>
          <w:tcPr>
            <w:tcW w:w="599"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cs="Times New Roman"/>
                <w:sz w:val="20"/>
                <w:szCs w:val="20"/>
              </w:rPr>
              <w:t>4</w:t>
            </w:r>
            <w:r>
              <w:rPr>
                <w:rFonts w:eastAsia="微软雅黑" w:cs="Times New Roman"/>
                <w:color w:val="000000"/>
                <w:sz w:val="20"/>
                <w:szCs w:val="20"/>
              </w:rPr>
              <w:t>.00</w:t>
            </w:r>
          </w:p>
        </w:tc>
        <w:tc>
          <w:tcPr>
            <w:tcW w:w="727"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cs="Times New Roman"/>
                <w:sz w:val="20"/>
                <w:szCs w:val="20"/>
              </w:rPr>
              <w:t>100</w:t>
            </w:r>
            <w:r>
              <w:rPr>
                <w:rFonts w:eastAsia="微软雅黑" w:cs="Times New Roman"/>
                <w:color w:val="000000"/>
                <w:sz w:val="20"/>
                <w:szCs w:val="20"/>
              </w:rPr>
              <w:t>.00</w:t>
            </w:r>
            <w:r>
              <w:rPr>
                <w:rFonts w:cs="Times New Roman"/>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680" w:type="pct"/>
            <w:vMerge w:val="continue"/>
            <w:vAlign w:val="center"/>
          </w:tcPr>
          <w:p>
            <w:pPr>
              <w:widowControl/>
              <w:spacing w:line="240" w:lineRule="auto"/>
              <w:ind w:firstLine="0" w:firstLineChars="0"/>
              <w:jc w:val="left"/>
              <w:rPr>
                <w:rFonts w:eastAsia="宋体" w:cs="Times New Roman"/>
                <w:b/>
                <w:bCs/>
                <w:color w:val="000000"/>
                <w:kern w:val="0"/>
                <w:sz w:val="20"/>
                <w:szCs w:val="20"/>
              </w:rPr>
            </w:pPr>
          </w:p>
        </w:tc>
        <w:tc>
          <w:tcPr>
            <w:tcW w:w="770" w:type="pct"/>
            <w:vMerge w:val="continue"/>
            <w:vAlign w:val="center"/>
          </w:tcPr>
          <w:p>
            <w:pPr>
              <w:widowControl/>
              <w:spacing w:line="240" w:lineRule="auto"/>
              <w:ind w:firstLine="0" w:firstLineChars="0"/>
              <w:jc w:val="left"/>
              <w:rPr>
                <w:rFonts w:eastAsia="宋体" w:cs="Times New Roman"/>
                <w:color w:val="000000"/>
                <w:kern w:val="0"/>
                <w:sz w:val="20"/>
                <w:szCs w:val="20"/>
              </w:rPr>
            </w:pPr>
          </w:p>
        </w:tc>
        <w:tc>
          <w:tcPr>
            <w:tcW w:w="1624"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绩效目标合理性</w:t>
            </w:r>
          </w:p>
        </w:tc>
        <w:tc>
          <w:tcPr>
            <w:tcW w:w="600"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微软雅黑" w:cs="Times New Roman"/>
                <w:color w:val="000000"/>
                <w:sz w:val="20"/>
                <w:szCs w:val="20"/>
              </w:rPr>
              <w:t>6.00</w:t>
            </w:r>
          </w:p>
        </w:tc>
        <w:tc>
          <w:tcPr>
            <w:tcW w:w="599"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cs="Times New Roman"/>
                <w:sz w:val="20"/>
                <w:szCs w:val="20"/>
              </w:rPr>
              <w:t>4.50</w:t>
            </w:r>
          </w:p>
        </w:tc>
        <w:tc>
          <w:tcPr>
            <w:tcW w:w="727"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cs="Times New Roman"/>
                <w:sz w:val="20"/>
                <w:szCs w:val="20"/>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680" w:type="pct"/>
            <w:vMerge w:val="restart"/>
            <w:shd w:val="clear" w:color="auto" w:fill="auto"/>
            <w:vAlign w:val="center"/>
          </w:tcPr>
          <w:p>
            <w:pPr>
              <w:widowControl/>
              <w:spacing w:line="240" w:lineRule="auto"/>
              <w:ind w:firstLine="0" w:firstLineChars="0"/>
              <w:jc w:val="center"/>
              <w:rPr>
                <w:rFonts w:eastAsia="宋体" w:cs="Times New Roman"/>
                <w:b/>
                <w:bCs/>
                <w:color w:val="000000"/>
                <w:kern w:val="0"/>
                <w:sz w:val="20"/>
                <w:szCs w:val="20"/>
              </w:rPr>
            </w:pPr>
            <w:r>
              <w:rPr>
                <w:rFonts w:eastAsia="宋体" w:cs="Times New Roman"/>
                <w:b/>
                <w:bCs/>
                <w:color w:val="000000"/>
                <w:kern w:val="0"/>
                <w:sz w:val="20"/>
                <w:szCs w:val="20"/>
              </w:rPr>
              <w:t>项目实施</w:t>
            </w:r>
          </w:p>
        </w:tc>
        <w:tc>
          <w:tcPr>
            <w:tcW w:w="770" w:type="pct"/>
            <w:vMerge w:val="restar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分配合理</w:t>
            </w:r>
          </w:p>
        </w:tc>
        <w:tc>
          <w:tcPr>
            <w:tcW w:w="1624"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分配及时性</w:t>
            </w:r>
          </w:p>
        </w:tc>
        <w:tc>
          <w:tcPr>
            <w:tcW w:w="600"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微软雅黑" w:cs="Times New Roman"/>
                <w:color w:val="000000"/>
                <w:sz w:val="20"/>
                <w:szCs w:val="20"/>
              </w:rPr>
              <w:t>5.00</w:t>
            </w:r>
          </w:p>
        </w:tc>
        <w:tc>
          <w:tcPr>
            <w:tcW w:w="599"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cs="Times New Roman"/>
                <w:sz w:val="20"/>
                <w:szCs w:val="20"/>
              </w:rPr>
              <w:t>5</w:t>
            </w:r>
            <w:r>
              <w:rPr>
                <w:rFonts w:eastAsia="微软雅黑" w:cs="Times New Roman"/>
                <w:color w:val="000000"/>
                <w:sz w:val="20"/>
                <w:szCs w:val="20"/>
              </w:rPr>
              <w:t>.00</w:t>
            </w:r>
          </w:p>
        </w:tc>
        <w:tc>
          <w:tcPr>
            <w:tcW w:w="727"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cs="Times New Roman"/>
                <w:sz w:val="20"/>
                <w:szCs w:val="20"/>
              </w:rPr>
              <w:t>100</w:t>
            </w:r>
            <w:r>
              <w:rPr>
                <w:rFonts w:eastAsia="微软雅黑" w:cs="Times New Roman"/>
                <w:color w:val="000000"/>
                <w:sz w:val="20"/>
                <w:szCs w:val="20"/>
              </w:rPr>
              <w:t>.00</w:t>
            </w:r>
            <w:r>
              <w:rPr>
                <w:rFonts w:cs="Times New Roman"/>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680" w:type="pct"/>
            <w:vMerge w:val="continue"/>
            <w:vAlign w:val="center"/>
          </w:tcPr>
          <w:p>
            <w:pPr>
              <w:spacing w:before="217" w:after="217" w:line="240" w:lineRule="auto"/>
              <w:ind w:firstLine="402"/>
              <w:jc w:val="center"/>
              <w:rPr>
                <w:rFonts w:eastAsia="宋体" w:cs="Times New Roman"/>
                <w:b/>
                <w:bCs/>
                <w:color w:val="000000"/>
                <w:kern w:val="0"/>
                <w:sz w:val="20"/>
                <w:szCs w:val="20"/>
              </w:rPr>
            </w:pPr>
          </w:p>
        </w:tc>
        <w:tc>
          <w:tcPr>
            <w:tcW w:w="770" w:type="pct"/>
            <w:vMerge w:val="continue"/>
            <w:vAlign w:val="center"/>
          </w:tcPr>
          <w:p>
            <w:pPr>
              <w:widowControl/>
              <w:spacing w:line="240" w:lineRule="auto"/>
              <w:ind w:firstLine="0" w:firstLineChars="0"/>
              <w:jc w:val="left"/>
              <w:rPr>
                <w:rFonts w:eastAsia="宋体" w:cs="Times New Roman"/>
                <w:color w:val="000000"/>
                <w:kern w:val="0"/>
                <w:sz w:val="20"/>
                <w:szCs w:val="20"/>
              </w:rPr>
            </w:pPr>
          </w:p>
        </w:tc>
        <w:tc>
          <w:tcPr>
            <w:tcW w:w="1624"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分配结果与计划一致性</w:t>
            </w:r>
          </w:p>
        </w:tc>
        <w:tc>
          <w:tcPr>
            <w:tcW w:w="600"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微软雅黑" w:cs="Times New Roman"/>
                <w:color w:val="000000"/>
                <w:sz w:val="20"/>
                <w:szCs w:val="20"/>
              </w:rPr>
              <w:t>5.00</w:t>
            </w:r>
          </w:p>
        </w:tc>
        <w:tc>
          <w:tcPr>
            <w:tcW w:w="599"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cs="Times New Roman"/>
                <w:sz w:val="20"/>
                <w:szCs w:val="20"/>
              </w:rPr>
              <w:t>5</w:t>
            </w:r>
            <w:r>
              <w:rPr>
                <w:rFonts w:eastAsia="微软雅黑" w:cs="Times New Roman"/>
                <w:color w:val="000000"/>
                <w:sz w:val="20"/>
                <w:szCs w:val="20"/>
              </w:rPr>
              <w:t>.00</w:t>
            </w:r>
          </w:p>
        </w:tc>
        <w:tc>
          <w:tcPr>
            <w:tcW w:w="727"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cs="Times New Roman"/>
                <w:sz w:val="20"/>
                <w:szCs w:val="20"/>
              </w:rPr>
              <w:t>100</w:t>
            </w:r>
            <w:r>
              <w:rPr>
                <w:rFonts w:eastAsia="微软雅黑" w:cs="Times New Roman"/>
                <w:color w:val="000000"/>
                <w:sz w:val="20"/>
                <w:szCs w:val="20"/>
              </w:rPr>
              <w:t>.00</w:t>
            </w:r>
            <w:r>
              <w:rPr>
                <w:rFonts w:cs="Times New Roman"/>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680" w:type="pct"/>
            <w:vMerge w:val="continue"/>
            <w:vAlign w:val="center"/>
          </w:tcPr>
          <w:p>
            <w:pPr>
              <w:spacing w:before="217" w:after="217" w:line="240" w:lineRule="auto"/>
              <w:ind w:firstLine="402"/>
              <w:jc w:val="center"/>
              <w:rPr>
                <w:rFonts w:eastAsia="宋体" w:cs="Times New Roman"/>
                <w:b/>
                <w:bCs/>
                <w:color w:val="000000"/>
                <w:kern w:val="0"/>
                <w:sz w:val="20"/>
                <w:szCs w:val="20"/>
              </w:rPr>
            </w:pPr>
          </w:p>
        </w:tc>
        <w:tc>
          <w:tcPr>
            <w:tcW w:w="770"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使用合规</w:t>
            </w:r>
          </w:p>
        </w:tc>
        <w:tc>
          <w:tcPr>
            <w:tcW w:w="1624"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资金使用合规性</w:t>
            </w:r>
          </w:p>
        </w:tc>
        <w:tc>
          <w:tcPr>
            <w:tcW w:w="600"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微软雅黑" w:cs="Times New Roman"/>
                <w:color w:val="000000"/>
                <w:sz w:val="20"/>
                <w:szCs w:val="20"/>
              </w:rPr>
              <w:t>5.00</w:t>
            </w:r>
          </w:p>
        </w:tc>
        <w:tc>
          <w:tcPr>
            <w:tcW w:w="599"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cs="Times New Roman"/>
                <w:sz w:val="20"/>
                <w:szCs w:val="20"/>
              </w:rPr>
              <w:t>5</w:t>
            </w:r>
            <w:r>
              <w:rPr>
                <w:rFonts w:eastAsia="微软雅黑" w:cs="Times New Roman"/>
                <w:color w:val="000000"/>
                <w:sz w:val="20"/>
                <w:szCs w:val="20"/>
              </w:rPr>
              <w:t>.00</w:t>
            </w:r>
          </w:p>
        </w:tc>
        <w:tc>
          <w:tcPr>
            <w:tcW w:w="727"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cs="Times New Roman"/>
                <w:sz w:val="20"/>
                <w:szCs w:val="20"/>
              </w:rPr>
              <w:t>100</w:t>
            </w:r>
            <w:r>
              <w:rPr>
                <w:rFonts w:eastAsia="微软雅黑" w:cs="Times New Roman"/>
                <w:color w:val="000000"/>
                <w:sz w:val="20"/>
                <w:szCs w:val="20"/>
              </w:rPr>
              <w:t>.00</w:t>
            </w:r>
            <w:r>
              <w:rPr>
                <w:rFonts w:cs="Times New Roman"/>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jc w:val="center"/>
        </w:trPr>
        <w:tc>
          <w:tcPr>
            <w:tcW w:w="680" w:type="pct"/>
            <w:vMerge w:val="continue"/>
            <w:vAlign w:val="center"/>
          </w:tcPr>
          <w:p>
            <w:pPr>
              <w:spacing w:before="217" w:after="217" w:line="240" w:lineRule="auto"/>
              <w:ind w:firstLine="402"/>
              <w:jc w:val="center"/>
              <w:rPr>
                <w:rFonts w:eastAsia="宋体" w:cs="Times New Roman"/>
                <w:b/>
                <w:bCs/>
                <w:color w:val="000000"/>
                <w:kern w:val="0"/>
                <w:sz w:val="20"/>
                <w:szCs w:val="20"/>
              </w:rPr>
            </w:pPr>
          </w:p>
        </w:tc>
        <w:tc>
          <w:tcPr>
            <w:tcW w:w="770" w:type="pct"/>
            <w:vMerge w:val="restar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执行有效</w:t>
            </w:r>
          </w:p>
        </w:tc>
        <w:tc>
          <w:tcPr>
            <w:tcW w:w="1624"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管理制度健全性</w:t>
            </w:r>
          </w:p>
        </w:tc>
        <w:tc>
          <w:tcPr>
            <w:tcW w:w="600"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微软雅黑" w:cs="Times New Roman"/>
                <w:color w:val="000000"/>
                <w:sz w:val="20"/>
                <w:szCs w:val="20"/>
              </w:rPr>
              <w:t>5.00</w:t>
            </w:r>
          </w:p>
        </w:tc>
        <w:tc>
          <w:tcPr>
            <w:tcW w:w="599"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cs="Times New Roman"/>
                <w:sz w:val="20"/>
                <w:szCs w:val="20"/>
              </w:rPr>
              <w:t>4</w:t>
            </w:r>
            <w:r>
              <w:rPr>
                <w:rFonts w:eastAsia="微软雅黑" w:cs="Times New Roman"/>
                <w:color w:val="000000"/>
                <w:sz w:val="20"/>
                <w:szCs w:val="20"/>
              </w:rPr>
              <w:t>.00</w:t>
            </w:r>
          </w:p>
        </w:tc>
        <w:tc>
          <w:tcPr>
            <w:tcW w:w="727"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cs="Times New Roman"/>
                <w:sz w:val="20"/>
                <w:szCs w:val="20"/>
              </w:rPr>
              <w:t>80</w:t>
            </w:r>
            <w:r>
              <w:rPr>
                <w:rFonts w:eastAsia="微软雅黑" w:cs="Times New Roman"/>
                <w:color w:val="000000"/>
                <w:sz w:val="20"/>
                <w:szCs w:val="20"/>
              </w:rPr>
              <w:t>.00</w:t>
            </w:r>
            <w:r>
              <w:rPr>
                <w:rFonts w:cs="Times New Roman"/>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680" w:type="pct"/>
            <w:vMerge w:val="continue"/>
            <w:shd w:val="clear" w:color="auto" w:fill="auto"/>
            <w:vAlign w:val="center"/>
          </w:tcPr>
          <w:p>
            <w:pPr>
              <w:widowControl/>
              <w:spacing w:line="240" w:lineRule="auto"/>
              <w:ind w:firstLine="0" w:firstLineChars="0"/>
              <w:jc w:val="center"/>
              <w:rPr>
                <w:rFonts w:eastAsia="宋体" w:cs="Times New Roman"/>
                <w:b/>
                <w:bCs/>
                <w:color w:val="000000"/>
                <w:kern w:val="0"/>
                <w:sz w:val="20"/>
                <w:szCs w:val="20"/>
              </w:rPr>
            </w:pPr>
          </w:p>
        </w:tc>
        <w:tc>
          <w:tcPr>
            <w:tcW w:w="770" w:type="pct"/>
            <w:vMerge w:val="continue"/>
            <w:vAlign w:val="center"/>
          </w:tcPr>
          <w:p>
            <w:pPr>
              <w:widowControl/>
              <w:spacing w:line="240" w:lineRule="auto"/>
              <w:ind w:firstLine="0" w:firstLineChars="0"/>
              <w:jc w:val="left"/>
              <w:rPr>
                <w:rFonts w:eastAsia="宋体" w:cs="Times New Roman"/>
                <w:color w:val="000000"/>
                <w:kern w:val="0"/>
                <w:sz w:val="20"/>
                <w:szCs w:val="20"/>
              </w:rPr>
            </w:pPr>
          </w:p>
        </w:tc>
        <w:tc>
          <w:tcPr>
            <w:tcW w:w="1624"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制度执行有效性</w:t>
            </w:r>
          </w:p>
        </w:tc>
        <w:tc>
          <w:tcPr>
            <w:tcW w:w="600"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微软雅黑" w:cs="Times New Roman"/>
                <w:color w:val="000000"/>
                <w:sz w:val="20"/>
                <w:szCs w:val="20"/>
              </w:rPr>
              <w:t>5.00</w:t>
            </w:r>
          </w:p>
        </w:tc>
        <w:tc>
          <w:tcPr>
            <w:tcW w:w="599"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cs="Times New Roman"/>
                <w:sz w:val="20"/>
                <w:szCs w:val="20"/>
              </w:rPr>
              <w:t>5</w:t>
            </w:r>
            <w:r>
              <w:rPr>
                <w:rFonts w:eastAsia="微软雅黑" w:cs="Times New Roman"/>
                <w:color w:val="000000"/>
                <w:sz w:val="20"/>
                <w:szCs w:val="20"/>
              </w:rPr>
              <w:t>.00</w:t>
            </w:r>
          </w:p>
        </w:tc>
        <w:tc>
          <w:tcPr>
            <w:tcW w:w="727"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cs="Times New Roman"/>
                <w:sz w:val="20"/>
                <w:szCs w:val="20"/>
              </w:rPr>
              <w:t>100</w:t>
            </w:r>
            <w:r>
              <w:rPr>
                <w:rFonts w:eastAsia="微软雅黑" w:cs="Times New Roman"/>
                <w:color w:val="000000"/>
                <w:sz w:val="20"/>
                <w:szCs w:val="20"/>
              </w:rPr>
              <w:t>.00</w:t>
            </w:r>
            <w:r>
              <w:rPr>
                <w:rFonts w:cs="Times New Roman"/>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680" w:type="pct"/>
            <w:vMerge w:val="restart"/>
            <w:shd w:val="clear" w:color="auto" w:fill="auto"/>
            <w:vAlign w:val="center"/>
          </w:tcPr>
          <w:p>
            <w:pPr>
              <w:widowControl/>
              <w:spacing w:line="240" w:lineRule="auto"/>
              <w:ind w:firstLine="0" w:firstLineChars="0"/>
              <w:jc w:val="center"/>
              <w:rPr>
                <w:rFonts w:eastAsia="宋体" w:cs="Times New Roman"/>
                <w:b/>
                <w:bCs/>
                <w:color w:val="000000"/>
                <w:kern w:val="0"/>
                <w:sz w:val="20"/>
                <w:szCs w:val="20"/>
              </w:rPr>
            </w:pPr>
            <w:r>
              <w:rPr>
                <w:rFonts w:eastAsia="宋体" w:cs="Times New Roman"/>
                <w:b/>
                <w:bCs/>
                <w:color w:val="000000"/>
                <w:kern w:val="0"/>
                <w:sz w:val="20"/>
                <w:szCs w:val="20"/>
              </w:rPr>
              <w:t>项目产出</w:t>
            </w:r>
          </w:p>
        </w:tc>
        <w:tc>
          <w:tcPr>
            <w:tcW w:w="770"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预算完成</w:t>
            </w:r>
          </w:p>
        </w:tc>
        <w:tc>
          <w:tcPr>
            <w:tcW w:w="1624"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资金使用率</w:t>
            </w:r>
          </w:p>
        </w:tc>
        <w:tc>
          <w:tcPr>
            <w:tcW w:w="600"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微软雅黑" w:cs="Times New Roman"/>
                <w:color w:val="000000"/>
                <w:sz w:val="20"/>
                <w:szCs w:val="20"/>
              </w:rPr>
              <w:t>5.00</w:t>
            </w:r>
          </w:p>
        </w:tc>
        <w:tc>
          <w:tcPr>
            <w:tcW w:w="599"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cs="Times New Roman"/>
                <w:sz w:val="20"/>
                <w:szCs w:val="20"/>
              </w:rPr>
              <w:t>4.90</w:t>
            </w:r>
          </w:p>
        </w:tc>
        <w:tc>
          <w:tcPr>
            <w:tcW w:w="727"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cs="Times New Roman"/>
                <w:sz w:val="20"/>
                <w:szCs w:val="20"/>
              </w:rPr>
              <w:t>98</w:t>
            </w:r>
            <w:r>
              <w:rPr>
                <w:rFonts w:eastAsia="微软雅黑" w:cs="Times New Roman"/>
                <w:color w:val="000000"/>
                <w:sz w:val="20"/>
                <w:szCs w:val="20"/>
              </w:rPr>
              <w:t>.00</w:t>
            </w:r>
            <w:r>
              <w:rPr>
                <w:rFonts w:cs="Times New Roman"/>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680" w:type="pct"/>
            <w:vMerge w:val="continue"/>
            <w:vAlign w:val="center"/>
          </w:tcPr>
          <w:p>
            <w:pPr>
              <w:widowControl/>
              <w:spacing w:line="240" w:lineRule="auto"/>
              <w:ind w:firstLine="0" w:firstLineChars="0"/>
              <w:jc w:val="left"/>
              <w:rPr>
                <w:rFonts w:eastAsia="宋体" w:cs="Times New Roman"/>
                <w:b/>
                <w:bCs/>
                <w:color w:val="000000"/>
                <w:kern w:val="0"/>
                <w:sz w:val="20"/>
                <w:szCs w:val="20"/>
              </w:rPr>
            </w:pPr>
          </w:p>
        </w:tc>
        <w:tc>
          <w:tcPr>
            <w:tcW w:w="770" w:type="pct"/>
            <w:vMerge w:val="restar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目标完成</w:t>
            </w:r>
          </w:p>
        </w:tc>
        <w:tc>
          <w:tcPr>
            <w:tcW w:w="1624"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结果符合</w:t>
            </w:r>
          </w:p>
        </w:tc>
        <w:tc>
          <w:tcPr>
            <w:tcW w:w="600"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微软雅黑" w:cs="Times New Roman"/>
                <w:color w:val="000000"/>
                <w:sz w:val="20"/>
                <w:szCs w:val="20"/>
              </w:rPr>
              <w:t>5.00</w:t>
            </w:r>
          </w:p>
        </w:tc>
        <w:tc>
          <w:tcPr>
            <w:tcW w:w="599"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cs="Times New Roman"/>
                <w:sz w:val="20"/>
                <w:szCs w:val="20"/>
              </w:rPr>
              <w:t>4</w:t>
            </w:r>
            <w:r>
              <w:rPr>
                <w:rFonts w:eastAsia="微软雅黑" w:cs="Times New Roman"/>
                <w:color w:val="000000"/>
                <w:sz w:val="20"/>
                <w:szCs w:val="20"/>
              </w:rPr>
              <w:t>.00</w:t>
            </w:r>
          </w:p>
        </w:tc>
        <w:tc>
          <w:tcPr>
            <w:tcW w:w="727"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cs="Times New Roman"/>
                <w:sz w:val="20"/>
                <w:szCs w:val="20"/>
              </w:rPr>
              <w:t>80</w:t>
            </w:r>
            <w:r>
              <w:rPr>
                <w:rFonts w:eastAsia="微软雅黑" w:cs="Times New Roman"/>
                <w:color w:val="000000"/>
                <w:sz w:val="20"/>
                <w:szCs w:val="20"/>
              </w:rPr>
              <w:t>.00</w:t>
            </w:r>
            <w:r>
              <w:rPr>
                <w:rFonts w:cs="Times New Roman"/>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8" w:hRule="atLeast"/>
          <w:jc w:val="center"/>
        </w:trPr>
        <w:tc>
          <w:tcPr>
            <w:tcW w:w="680" w:type="pct"/>
            <w:vMerge w:val="continue"/>
            <w:vAlign w:val="center"/>
          </w:tcPr>
          <w:p>
            <w:pPr>
              <w:widowControl/>
              <w:spacing w:line="240" w:lineRule="auto"/>
              <w:ind w:firstLine="0" w:firstLineChars="0"/>
              <w:jc w:val="left"/>
              <w:rPr>
                <w:rFonts w:eastAsia="宋体" w:cs="Times New Roman"/>
                <w:b/>
                <w:bCs/>
                <w:color w:val="000000"/>
                <w:kern w:val="0"/>
                <w:sz w:val="20"/>
                <w:szCs w:val="20"/>
              </w:rPr>
            </w:pPr>
          </w:p>
        </w:tc>
        <w:tc>
          <w:tcPr>
            <w:tcW w:w="770" w:type="pct"/>
            <w:vMerge w:val="continue"/>
            <w:vAlign w:val="center"/>
          </w:tcPr>
          <w:p>
            <w:pPr>
              <w:widowControl/>
              <w:spacing w:line="240" w:lineRule="auto"/>
              <w:ind w:firstLine="0" w:firstLineChars="0"/>
              <w:jc w:val="left"/>
              <w:rPr>
                <w:rFonts w:eastAsia="宋体" w:cs="Times New Roman"/>
                <w:color w:val="000000"/>
                <w:kern w:val="0"/>
                <w:sz w:val="20"/>
                <w:szCs w:val="20"/>
              </w:rPr>
            </w:pPr>
          </w:p>
        </w:tc>
        <w:tc>
          <w:tcPr>
            <w:tcW w:w="1624"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城乡居民基本养老保障待遇人数</w:t>
            </w:r>
          </w:p>
        </w:tc>
        <w:tc>
          <w:tcPr>
            <w:tcW w:w="600"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微软雅黑" w:cs="Times New Roman"/>
                <w:color w:val="000000"/>
                <w:sz w:val="20"/>
                <w:szCs w:val="20"/>
              </w:rPr>
              <w:t>5.00</w:t>
            </w:r>
          </w:p>
        </w:tc>
        <w:tc>
          <w:tcPr>
            <w:tcW w:w="599"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cs="Times New Roman"/>
                <w:sz w:val="20"/>
                <w:szCs w:val="20"/>
              </w:rPr>
              <w:t>5</w:t>
            </w:r>
            <w:r>
              <w:rPr>
                <w:rFonts w:eastAsia="微软雅黑" w:cs="Times New Roman"/>
                <w:color w:val="000000"/>
                <w:sz w:val="20"/>
                <w:szCs w:val="20"/>
              </w:rPr>
              <w:t>.00</w:t>
            </w:r>
          </w:p>
        </w:tc>
        <w:tc>
          <w:tcPr>
            <w:tcW w:w="727"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cs="Times New Roman"/>
                <w:sz w:val="20"/>
                <w:szCs w:val="20"/>
              </w:rPr>
              <w:t>100</w:t>
            </w:r>
            <w:r>
              <w:rPr>
                <w:rFonts w:eastAsia="微软雅黑" w:cs="Times New Roman"/>
                <w:color w:val="000000"/>
                <w:sz w:val="20"/>
                <w:szCs w:val="20"/>
              </w:rPr>
              <w:t>.00</w:t>
            </w:r>
            <w:r>
              <w:rPr>
                <w:rFonts w:cs="Times New Roman"/>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jc w:val="center"/>
        </w:trPr>
        <w:tc>
          <w:tcPr>
            <w:tcW w:w="680" w:type="pct"/>
            <w:vMerge w:val="continue"/>
            <w:vAlign w:val="center"/>
          </w:tcPr>
          <w:p>
            <w:pPr>
              <w:widowControl/>
              <w:spacing w:line="240" w:lineRule="auto"/>
              <w:ind w:firstLine="0" w:firstLineChars="0"/>
              <w:jc w:val="left"/>
              <w:rPr>
                <w:rFonts w:eastAsia="宋体" w:cs="Times New Roman"/>
                <w:b/>
                <w:bCs/>
                <w:color w:val="000000"/>
                <w:kern w:val="0"/>
                <w:sz w:val="20"/>
                <w:szCs w:val="20"/>
              </w:rPr>
            </w:pPr>
          </w:p>
        </w:tc>
        <w:tc>
          <w:tcPr>
            <w:tcW w:w="770" w:type="pct"/>
            <w:vMerge w:val="continue"/>
            <w:vAlign w:val="center"/>
          </w:tcPr>
          <w:p>
            <w:pPr>
              <w:widowControl/>
              <w:spacing w:line="240" w:lineRule="auto"/>
              <w:ind w:firstLine="0" w:firstLineChars="0"/>
              <w:jc w:val="left"/>
              <w:rPr>
                <w:rFonts w:eastAsia="宋体" w:cs="Times New Roman"/>
                <w:color w:val="000000"/>
                <w:kern w:val="0"/>
                <w:sz w:val="20"/>
                <w:szCs w:val="20"/>
              </w:rPr>
            </w:pPr>
          </w:p>
        </w:tc>
        <w:tc>
          <w:tcPr>
            <w:tcW w:w="1624"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困难群体待缴人数</w:t>
            </w:r>
          </w:p>
        </w:tc>
        <w:tc>
          <w:tcPr>
            <w:tcW w:w="600"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微软雅黑" w:cs="Times New Roman"/>
                <w:color w:val="000000"/>
                <w:sz w:val="20"/>
                <w:szCs w:val="20"/>
              </w:rPr>
              <w:t>5.00</w:t>
            </w:r>
          </w:p>
        </w:tc>
        <w:tc>
          <w:tcPr>
            <w:tcW w:w="599"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cs="Times New Roman"/>
                <w:sz w:val="20"/>
                <w:szCs w:val="20"/>
              </w:rPr>
              <w:t>5</w:t>
            </w:r>
            <w:r>
              <w:rPr>
                <w:rFonts w:eastAsia="微软雅黑" w:cs="Times New Roman"/>
                <w:color w:val="000000"/>
                <w:sz w:val="20"/>
                <w:szCs w:val="20"/>
              </w:rPr>
              <w:t>.00</w:t>
            </w:r>
          </w:p>
        </w:tc>
        <w:tc>
          <w:tcPr>
            <w:tcW w:w="727"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cs="Times New Roman"/>
                <w:sz w:val="20"/>
                <w:szCs w:val="20"/>
              </w:rPr>
              <w:t>100</w:t>
            </w:r>
            <w:r>
              <w:rPr>
                <w:rFonts w:eastAsia="微软雅黑" w:cs="Times New Roman"/>
                <w:color w:val="000000"/>
                <w:sz w:val="20"/>
                <w:szCs w:val="20"/>
              </w:rPr>
              <w:t>.00</w:t>
            </w:r>
            <w:r>
              <w:rPr>
                <w:rFonts w:cs="Times New Roman"/>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680" w:type="pct"/>
            <w:vMerge w:val="continue"/>
            <w:vAlign w:val="center"/>
          </w:tcPr>
          <w:p>
            <w:pPr>
              <w:widowControl/>
              <w:spacing w:line="240" w:lineRule="auto"/>
              <w:ind w:firstLine="0" w:firstLineChars="0"/>
              <w:jc w:val="left"/>
              <w:rPr>
                <w:rFonts w:eastAsia="宋体" w:cs="Times New Roman"/>
                <w:b/>
                <w:bCs/>
                <w:color w:val="000000"/>
                <w:kern w:val="0"/>
                <w:sz w:val="20"/>
                <w:szCs w:val="20"/>
              </w:rPr>
            </w:pPr>
          </w:p>
        </w:tc>
        <w:tc>
          <w:tcPr>
            <w:tcW w:w="770"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违规记录</w:t>
            </w:r>
          </w:p>
        </w:tc>
        <w:tc>
          <w:tcPr>
            <w:tcW w:w="1624"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违纪记录</w:t>
            </w:r>
          </w:p>
        </w:tc>
        <w:tc>
          <w:tcPr>
            <w:tcW w:w="600"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微软雅黑" w:cs="Times New Roman"/>
                <w:color w:val="000000"/>
                <w:sz w:val="20"/>
                <w:szCs w:val="20"/>
              </w:rPr>
              <w:t>5.00</w:t>
            </w:r>
          </w:p>
        </w:tc>
        <w:tc>
          <w:tcPr>
            <w:tcW w:w="599"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cs="Times New Roman"/>
                <w:sz w:val="20"/>
                <w:szCs w:val="20"/>
              </w:rPr>
              <w:t>5</w:t>
            </w:r>
            <w:r>
              <w:rPr>
                <w:rFonts w:eastAsia="微软雅黑" w:cs="Times New Roman"/>
                <w:color w:val="000000"/>
                <w:sz w:val="20"/>
                <w:szCs w:val="20"/>
              </w:rPr>
              <w:t>.00</w:t>
            </w:r>
          </w:p>
        </w:tc>
        <w:tc>
          <w:tcPr>
            <w:tcW w:w="727"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cs="Times New Roman"/>
                <w:sz w:val="20"/>
                <w:szCs w:val="20"/>
              </w:rPr>
              <w:t>100</w:t>
            </w:r>
            <w:r>
              <w:rPr>
                <w:rFonts w:eastAsia="微软雅黑" w:cs="Times New Roman"/>
                <w:color w:val="000000"/>
                <w:sz w:val="20"/>
                <w:szCs w:val="20"/>
              </w:rPr>
              <w:t>.00</w:t>
            </w:r>
            <w:r>
              <w:rPr>
                <w:rFonts w:cs="Times New Roman"/>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680" w:type="pct"/>
            <w:vMerge w:val="restart"/>
            <w:shd w:val="clear" w:color="auto" w:fill="auto"/>
            <w:vAlign w:val="center"/>
          </w:tcPr>
          <w:p>
            <w:pPr>
              <w:widowControl/>
              <w:spacing w:line="240" w:lineRule="auto"/>
              <w:ind w:firstLine="0" w:firstLineChars="0"/>
              <w:jc w:val="center"/>
              <w:rPr>
                <w:rFonts w:eastAsia="宋体" w:cs="Times New Roman"/>
                <w:b/>
                <w:bCs/>
                <w:color w:val="000000"/>
                <w:kern w:val="0"/>
                <w:sz w:val="20"/>
                <w:szCs w:val="20"/>
              </w:rPr>
            </w:pPr>
            <w:r>
              <w:rPr>
                <w:rFonts w:eastAsia="宋体" w:cs="Times New Roman"/>
                <w:b/>
                <w:bCs/>
                <w:color w:val="000000"/>
                <w:kern w:val="0"/>
                <w:sz w:val="20"/>
                <w:szCs w:val="20"/>
              </w:rPr>
              <w:t>项目效果</w:t>
            </w:r>
          </w:p>
        </w:tc>
        <w:tc>
          <w:tcPr>
            <w:tcW w:w="770" w:type="pct"/>
            <w:vMerge w:val="restart"/>
            <w:shd w:val="clear" w:color="auto" w:fill="auto"/>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社会效益</w:t>
            </w:r>
          </w:p>
        </w:tc>
        <w:tc>
          <w:tcPr>
            <w:tcW w:w="1624"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城乡居民参保提升率</w:t>
            </w:r>
          </w:p>
        </w:tc>
        <w:tc>
          <w:tcPr>
            <w:tcW w:w="600"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微软雅黑" w:cs="Times New Roman"/>
                <w:color w:val="000000"/>
                <w:sz w:val="20"/>
                <w:szCs w:val="20"/>
              </w:rPr>
              <w:t>8.00</w:t>
            </w:r>
          </w:p>
        </w:tc>
        <w:tc>
          <w:tcPr>
            <w:tcW w:w="599"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cs="Times New Roman"/>
                <w:sz w:val="20"/>
                <w:szCs w:val="20"/>
              </w:rPr>
              <w:t>7.60</w:t>
            </w:r>
          </w:p>
        </w:tc>
        <w:tc>
          <w:tcPr>
            <w:tcW w:w="727"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cs="Times New Roman"/>
                <w:sz w:val="20"/>
                <w:szCs w:val="20"/>
              </w:rPr>
              <w:t>95</w:t>
            </w:r>
            <w:r>
              <w:rPr>
                <w:rFonts w:eastAsia="微软雅黑" w:cs="Times New Roman"/>
                <w:color w:val="000000"/>
                <w:sz w:val="20"/>
                <w:szCs w:val="20"/>
              </w:rPr>
              <w:t>.00</w:t>
            </w:r>
            <w:r>
              <w:rPr>
                <w:rFonts w:cs="Times New Roman"/>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680" w:type="pct"/>
            <w:vMerge w:val="continue"/>
            <w:vAlign w:val="center"/>
          </w:tcPr>
          <w:p>
            <w:pPr>
              <w:spacing w:before="217" w:after="217" w:line="240" w:lineRule="auto"/>
              <w:ind w:firstLine="402"/>
              <w:jc w:val="center"/>
              <w:rPr>
                <w:rFonts w:eastAsia="宋体" w:cs="Times New Roman"/>
                <w:b/>
                <w:bCs/>
                <w:color w:val="000000"/>
                <w:kern w:val="0"/>
                <w:sz w:val="20"/>
                <w:szCs w:val="20"/>
              </w:rPr>
            </w:pPr>
          </w:p>
        </w:tc>
        <w:tc>
          <w:tcPr>
            <w:tcW w:w="770" w:type="pct"/>
            <w:vMerge w:val="continue"/>
            <w:vAlign w:val="center"/>
          </w:tcPr>
          <w:p>
            <w:pPr>
              <w:widowControl/>
              <w:spacing w:line="240" w:lineRule="auto"/>
              <w:ind w:firstLine="0" w:firstLineChars="0"/>
              <w:jc w:val="left"/>
              <w:rPr>
                <w:rFonts w:eastAsia="宋体" w:cs="Times New Roman"/>
                <w:b/>
                <w:bCs/>
                <w:color w:val="000000"/>
                <w:kern w:val="0"/>
                <w:sz w:val="20"/>
                <w:szCs w:val="20"/>
              </w:rPr>
            </w:pPr>
          </w:p>
        </w:tc>
        <w:tc>
          <w:tcPr>
            <w:tcW w:w="1624" w:type="pct"/>
            <w:shd w:val="clear" w:color="auto" w:fill="auto"/>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城乡居保覆盖率</w:t>
            </w:r>
          </w:p>
        </w:tc>
        <w:tc>
          <w:tcPr>
            <w:tcW w:w="600"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微软雅黑" w:cs="Times New Roman"/>
                <w:color w:val="000000"/>
                <w:sz w:val="20"/>
                <w:szCs w:val="20"/>
              </w:rPr>
              <w:t>9.00</w:t>
            </w:r>
          </w:p>
        </w:tc>
        <w:tc>
          <w:tcPr>
            <w:tcW w:w="599"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cs="Times New Roman"/>
                <w:sz w:val="20"/>
                <w:szCs w:val="20"/>
              </w:rPr>
              <w:t>8.73</w:t>
            </w:r>
          </w:p>
        </w:tc>
        <w:tc>
          <w:tcPr>
            <w:tcW w:w="727"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cs="Times New Roman"/>
                <w:sz w:val="20"/>
                <w:szCs w:val="20"/>
              </w:rPr>
              <w:t>97</w:t>
            </w:r>
            <w:r>
              <w:rPr>
                <w:rFonts w:eastAsia="微软雅黑" w:cs="Times New Roman"/>
                <w:color w:val="000000"/>
                <w:sz w:val="20"/>
                <w:szCs w:val="20"/>
              </w:rPr>
              <w:t>.00</w:t>
            </w:r>
            <w:r>
              <w:rPr>
                <w:rFonts w:cs="Times New Roman"/>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jc w:val="center"/>
        </w:trPr>
        <w:tc>
          <w:tcPr>
            <w:tcW w:w="680" w:type="pct"/>
            <w:vMerge w:val="continue"/>
            <w:vAlign w:val="center"/>
          </w:tcPr>
          <w:p>
            <w:pPr>
              <w:spacing w:before="217" w:after="217" w:line="240" w:lineRule="auto"/>
              <w:ind w:firstLine="402"/>
              <w:jc w:val="center"/>
              <w:rPr>
                <w:rFonts w:eastAsia="宋体" w:cs="Times New Roman"/>
                <w:b/>
                <w:bCs/>
                <w:color w:val="000000"/>
                <w:kern w:val="0"/>
                <w:sz w:val="20"/>
                <w:szCs w:val="20"/>
              </w:rPr>
            </w:pPr>
          </w:p>
        </w:tc>
        <w:tc>
          <w:tcPr>
            <w:tcW w:w="770" w:type="pct"/>
            <w:vMerge w:val="continue"/>
            <w:vAlign w:val="center"/>
          </w:tcPr>
          <w:p>
            <w:pPr>
              <w:widowControl/>
              <w:spacing w:line="240" w:lineRule="auto"/>
              <w:ind w:firstLine="0" w:firstLineChars="0"/>
              <w:jc w:val="left"/>
              <w:rPr>
                <w:rFonts w:eastAsia="宋体" w:cs="Times New Roman"/>
                <w:b/>
                <w:bCs/>
                <w:color w:val="000000"/>
                <w:kern w:val="0"/>
                <w:sz w:val="20"/>
                <w:szCs w:val="20"/>
              </w:rPr>
            </w:pPr>
          </w:p>
        </w:tc>
        <w:tc>
          <w:tcPr>
            <w:tcW w:w="1624" w:type="pct"/>
            <w:shd w:val="clear" w:color="auto" w:fill="auto"/>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政策宣传普及执行率</w:t>
            </w:r>
          </w:p>
        </w:tc>
        <w:tc>
          <w:tcPr>
            <w:tcW w:w="600"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微软雅黑" w:cs="Times New Roman"/>
                <w:color w:val="000000"/>
                <w:sz w:val="20"/>
                <w:szCs w:val="20"/>
              </w:rPr>
              <w:t>8.00</w:t>
            </w:r>
          </w:p>
        </w:tc>
        <w:tc>
          <w:tcPr>
            <w:tcW w:w="599"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cs="Times New Roman"/>
                <w:sz w:val="20"/>
                <w:szCs w:val="20"/>
              </w:rPr>
              <w:t>7.50</w:t>
            </w:r>
          </w:p>
        </w:tc>
        <w:tc>
          <w:tcPr>
            <w:tcW w:w="727"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cs="Times New Roman"/>
                <w:sz w:val="20"/>
                <w:szCs w:val="20"/>
              </w:rPr>
              <w:t>93.75%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680" w:type="pct"/>
            <w:vMerge w:val="continue"/>
            <w:shd w:val="clear" w:color="auto" w:fill="auto"/>
            <w:vAlign w:val="center"/>
          </w:tcPr>
          <w:p>
            <w:pPr>
              <w:widowControl/>
              <w:spacing w:line="240" w:lineRule="auto"/>
              <w:ind w:firstLine="0" w:firstLineChars="0"/>
              <w:jc w:val="center"/>
              <w:rPr>
                <w:rFonts w:eastAsia="宋体" w:cs="Times New Roman"/>
                <w:b/>
                <w:bCs/>
                <w:color w:val="000000"/>
                <w:kern w:val="0"/>
                <w:sz w:val="20"/>
                <w:szCs w:val="20"/>
              </w:rPr>
            </w:pPr>
          </w:p>
        </w:tc>
        <w:tc>
          <w:tcPr>
            <w:tcW w:w="770" w:type="pct"/>
            <w:shd w:val="clear" w:color="auto" w:fill="auto"/>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服务对象满意度</w:t>
            </w:r>
          </w:p>
        </w:tc>
        <w:tc>
          <w:tcPr>
            <w:tcW w:w="1624" w:type="pct"/>
            <w:shd w:val="clear" w:color="auto" w:fill="auto"/>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城乡居民满意度</w:t>
            </w:r>
          </w:p>
        </w:tc>
        <w:tc>
          <w:tcPr>
            <w:tcW w:w="600" w:type="pct"/>
            <w:shd w:val="clear" w:color="auto" w:fill="auto"/>
            <w:vAlign w:val="center"/>
          </w:tcPr>
          <w:p>
            <w:pPr>
              <w:widowControl/>
              <w:spacing w:line="240" w:lineRule="auto"/>
              <w:ind w:firstLine="0" w:firstLineChars="0"/>
              <w:jc w:val="center"/>
              <w:rPr>
                <w:rFonts w:eastAsia="宋体" w:cs="Times New Roman"/>
                <w:color w:val="000000"/>
                <w:kern w:val="0"/>
                <w:sz w:val="20"/>
                <w:szCs w:val="20"/>
              </w:rPr>
            </w:pPr>
            <w:r>
              <w:rPr>
                <w:rFonts w:eastAsia="微软雅黑" w:cs="Times New Roman"/>
                <w:color w:val="000000"/>
                <w:sz w:val="20"/>
                <w:szCs w:val="20"/>
              </w:rPr>
              <w:t>10.00</w:t>
            </w:r>
          </w:p>
        </w:tc>
        <w:tc>
          <w:tcPr>
            <w:tcW w:w="599" w:type="pct"/>
            <w:vAlign w:val="center"/>
          </w:tcPr>
          <w:p>
            <w:pPr>
              <w:widowControl/>
              <w:spacing w:line="240" w:lineRule="auto"/>
              <w:ind w:firstLine="0" w:firstLineChars="0"/>
              <w:jc w:val="center"/>
              <w:rPr>
                <w:rFonts w:eastAsia="宋体" w:cs="Times New Roman"/>
                <w:color w:val="000000"/>
                <w:kern w:val="0"/>
                <w:sz w:val="20"/>
                <w:szCs w:val="20"/>
              </w:rPr>
            </w:pPr>
            <w:r>
              <w:rPr>
                <w:rFonts w:cs="Times New Roman"/>
                <w:sz w:val="20"/>
                <w:szCs w:val="20"/>
              </w:rPr>
              <w:t>8</w:t>
            </w:r>
            <w:r>
              <w:rPr>
                <w:rFonts w:eastAsia="微软雅黑" w:cs="Times New Roman"/>
                <w:color w:val="000000"/>
                <w:sz w:val="20"/>
                <w:szCs w:val="20"/>
              </w:rPr>
              <w:t>.00</w:t>
            </w:r>
          </w:p>
        </w:tc>
        <w:tc>
          <w:tcPr>
            <w:tcW w:w="727" w:type="pct"/>
            <w:vAlign w:val="center"/>
          </w:tcPr>
          <w:p>
            <w:pPr>
              <w:widowControl/>
              <w:spacing w:line="240" w:lineRule="auto"/>
              <w:ind w:firstLine="0" w:firstLineChars="0"/>
              <w:jc w:val="center"/>
              <w:rPr>
                <w:rFonts w:eastAsia="宋体" w:cs="Times New Roman"/>
                <w:color w:val="000000"/>
                <w:kern w:val="0"/>
                <w:sz w:val="20"/>
                <w:szCs w:val="20"/>
              </w:rPr>
            </w:pPr>
            <w:r>
              <w:rPr>
                <w:rFonts w:cs="Times New Roman"/>
                <w:sz w:val="20"/>
                <w:szCs w:val="20"/>
              </w:rPr>
              <w:t>80</w:t>
            </w:r>
            <w:r>
              <w:rPr>
                <w:rFonts w:eastAsia="微软雅黑" w:cs="Times New Roman"/>
                <w:color w:val="000000"/>
                <w:sz w:val="20"/>
                <w:szCs w:val="20"/>
              </w:rPr>
              <w:t>.00</w:t>
            </w:r>
            <w:r>
              <w:rPr>
                <w:rFonts w:cs="Times New Roman"/>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3074" w:type="pct"/>
            <w:gridSpan w:val="3"/>
            <w:shd w:val="clear" w:color="auto" w:fill="auto"/>
            <w:vAlign w:val="center"/>
          </w:tcPr>
          <w:p>
            <w:pPr>
              <w:widowControl/>
              <w:spacing w:line="240" w:lineRule="auto"/>
              <w:ind w:firstLine="0" w:firstLineChars="0"/>
              <w:jc w:val="center"/>
              <w:rPr>
                <w:rFonts w:eastAsia="宋体" w:cs="Times New Roman"/>
                <w:b/>
                <w:bCs/>
                <w:color w:val="000000"/>
                <w:kern w:val="0"/>
                <w:sz w:val="20"/>
                <w:szCs w:val="20"/>
              </w:rPr>
            </w:pPr>
            <w:r>
              <w:rPr>
                <w:rFonts w:eastAsia="宋体" w:cs="Times New Roman"/>
                <w:b/>
                <w:bCs/>
                <w:color w:val="000000"/>
                <w:kern w:val="0"/>
                <w:sz w:val="20"/>
                <w:szCs w:val="20"/>
              </w:rPr>
              <w:t>合计</w:t>
            </w:r>
          </w:p>
        </w:tc>
        <w:tc>
          <w:tcPr>
            <w:tcW w:w="600" w:type="pct"/>
            <w:shd w:val="clear" w:color="auto" w:fill="auto"/>
            <w:vAlign w:val="center"/>
          </w:tcPr>
          <w:p>
            <w:pPr>
              <w:widowControl/>
              <w:spacing w:line="240" w:lineRule="auto"/>
              <w:ind w:firstLine="0" w:firstLineChars="0"/>
              <w:jc w:val="center"/>
              <w:rPr>
                <w:rFonts w:eastAsia="微软雅黑" w:cs="Times New Roman"/>
                <w:color w:val="000000"/>
                <w:sz w:val="20"/>
                <w:szCs w:val="20"/>
              </w:rPr>
            </w:pPr>
            <w:r>
              <w:rPr>
                <w:rFonts w:eastAsia="微软雅黑" w:cs="Times New Roman"/>
                <w:color w:val="000000"/>
                <w:sz w:val="20"/>
                <w:szCs w:val="20"/>
              </w:rPr>
              <w:t>100.00</w:t>
            </w:r>
          </w:p>
        </w:tc>
        <w:tc>
          <w:tcPr>
            <w:tcW w:w="599" w:type="pct"/>
            <w:vAlign w:val="center"/>
          </w:tcPr>
          <w:p>
            <w:pPr>
              <w:widowControl/>
              <w:spacing w:line="240" w:lineRule="auto"/>
              <w:ind w:firstLine="0" w:firstLineChars="0"/>
              <w:jc w:val="center"/>
              <w:rPr>
                <w:rFonts w:cs="Times New Roman"/>
                <w:sz w:val="20"/>
                <w:szCs w:val="20"/>
              </w:rPr>
            </w:pPr>
            <w:r>
              <w:rPr>
                <w:rFonts w:cs="Times New Roman"/>
                <w:sz w:val="20"/>
                <w:szCs w:val="20"/>
              </w:rPr>
              <w:t>93</w:t>
            </w:r>
            <w:r>
              <w:rPr>
                <w:rFonts w:eastAsia="微软雅黑" w:cs="Times New Roman"/>
                <w:color w:val="000000"/>
                <w:sz w:val="20"/>
                <w:szCs w:val="20"/>
              </w:rPr>
              <w:t>.23</w:t>
            </w:r>
          </w:p>
        </w:tc>
        <w:tc>
          <w:tcPr>
            <w:tcW w:w="727" w:type="pct"/>
            <w:vAlign w:val="center"/>
          </w:tcPr>
          <w:p>
            <w:pPr>
              <w:widowControl/>
              <w:spacing w:line="240" w:lineRule="auto"/>
              <w:ind w:firstLine="0" w:firstLineChars="0"/>
              <w:jc w:val="center"/>
              <w:rPr>
                <w:rFonts w:cs="Times New Roman"/>
                <w:sz w:val="20"/>
                <w:szCs w:val="20"/>
              </w:rPr>
            </w:pPr>
            <w:r>
              <w:rPr>
                <w:rFonts w:cs="Times New Roman"/>
                <w:sz w:val="20"/>
                <w:szCs w:val="20"/>
              </w:rPr>
              <w:t>93</w:t>
            </w:r>
            <w:r>
              <w:rPr>
                <w:rFonts w:eastAsia="微软雅黑" w:cs="Times New Roman"/>
                <w:color w:val="000000"/>
                <w:sz w:val="20"/>
                <w:szCs w:val="20"/>
              </w:rPr>
              <w:t>.23</w:t>
            </w:r>
            <w:r>
              <w:rPr>
                <w:rFonts w:cs="Times New Roman"/>
                <w:sz w:val="20"/>
                <w:szCs w:val="20"/>
              </w:rPr>
              <w:t>%</w:t>
            </w:r>
          </w:p>
        </w:tc>
      </w:tr>
      <w:bookmarkEnd w:id="15"/>
    </w:tbl>
    <w:p>
      <w:pPr>
        <w:ind w:firstLine="0" w:firstLineChars="0"/>
        <w:rPr>
          <w:rFonts w:cs="Times New Roman"/>
        </w:rPr>
      </w:pPr>
    </w:p>
    <w:p>
      <w:pPr>
        <w:pStyle w:val="3"/>
        <w:ind w:firstLine="321" w:firstLineChars="100"/>
        <w:rPr>
          <w:rFonts w:cs="Times New Roman"/>
        </w:rPr>
      </w:pPr>
      <w:bookmarkStart w:id="16" w:name="_Toc76927033"/>
      <w:r>
        <w:rPr>
          <w:rFonts w:cs="Times New Roman"/>
        </w:rPr>
        <w:t>（二）绩效分析</w:t>
      </w:r>
      <w:bookmarkEnd w:id="16"/>
    </w:p>
    <w:p>
      <w:pPr>
        <w:pStyle w:val="4"/>
        <w:ind w:firstLine="643"/>
        <w:rPr>
          <w:rFonts w:cs="Times New Roman"/>
        </w:rPr>
      </w:pPr>
      <w:bookmarkStart w:id="17" w:name="_Toc76927034"/>
      <w:r>
        <w:rPr>
          <w:rFonts w:cs="Times New Roman"/>
        </w:rPr>
        <w:t>1. 项目决策指标分析</w:t>
      </w:r>
      <w:bookmarkEnd w:id="17"/>
    </w:p>
    <w:p>
      <w:pPr>
        <w:ind w:firstLine="640"/>
        <w:rPr>
          <w:rFonts w:cs="Times New Roman"/>
        </w:rPr>
      </w:pPr>
      <w:r>
        <w:rPr>
          <w:rFonts w:cs="Times New Roman"/>
        </w:rPr>
        <w:t>在项目决策指标上，设置了项目依据充分性、目标与规划匹配性、绩效目标合理性3个三级指标。</w:t>
      </w:r>
    </w:p>
    <w:p>
      <w:pPr>
        <w:widowControl/>
        <w:spacing w:line="600" w:lineRule="exact"/>
        <w:ind w:firstLine="562"/>
        <w:jc w:val="center"/>
        <w:rPr>
          <w:rFonts w:eastAsia="幼圆" w:cs="Times New Roman"/>
          <w:b/>
          <w:sz w:val="28"/>
          <w:szCs w:val="28"/>
        </w:rPr>
      </w:pPr>
      <w:r>
        <w:rPr>
          <w:rFonts w:eastAsia="幼圆" w:cs="Times New Roman"/>
          <w:b/>
          <w:sz w:val="28"/>
          <w:szCs w:val="28"/>
        </w:rPr>
        <w:t>附表 项目决策指标得分情况</w:t>
      </w:r>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9"/>
        <w:gridCol w:w="1314"/>
        <w:gridCol w:w="2476"/>
        <w:gridCol w:w="1023"/>
        <w:gridCol w:w="1021"/>
        <w:gridCol w:w="1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tblHeader/>
          <w:jc w:val="center"/>
        </w:trPr>
        <w:tc>
          <w:tcPr>
            <w:tcW w:w="850" w:type="pct"/>
            <w:shd w:val="clear" w:color="000000" w:fill="00516B"/>
            <w:vAlign w:val="center"/>
          </w:tcPr>
          <w:p>
            <w:pPr>
              <w:widowControl/>
              <w:spacing w:line="240" w:lineRule="auto"/>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一级指标</w:t>
            </w:r>
          </w:p>
        </w:tc>
        <w:tc>
          <w:tcPr>
            <w:tcW w:w="771" w:type="pct"/>
            <w:shd w:val="clear" w:color="000000" w:fill="00516B"/>
            <w:vAlign w:val="center"/>
          </w:tcPr>
          <w:p>
            <w:pPr>
              <w:widowControl/>
              <w:spacing w:line="240" w:lineRule="auto"/>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二级指标</w:t>
            </w:r>
          </w:p>
        </w:tc>
        <w:tc>
          <w:tcPr>
            <w:tcW w:w="1453" w:type="pct"/>
            <w:shd w:val="clear" w:color="000000" w:fill="00516B"/>
            <w:vAlign w:val="center"/>
          </w:tcPr>
          <w:p>
            <w:pPr>
              <w:widowControl/>
              <w:spacing w:line="240" w:lineRule="auto"/>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三级指标</w:t>
            </w:r>
          </w:p>
        </w:tc>
        <w:tc>
          <w:tcPr>
            <w:tcW w:w="600" w:type="pct"/>
            <w:shd w:val="clear" w:color="000000" w:fill="00516B"/>
            <w:vAlign w:val="center"/>
          </w:tcPr>
          <w:p>
            <w:pPr>
              <w:widowControl/>
              <w:spacing w:line="240" w:lineRule="auto"/>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分值</w:t>
            </w:r>
          </w:p>
        </w:tc>
        <w:tc>
          <w:tcPr>
            <w:tcW w:w="599" w:type="pct"/>
            <w:shd w:val="clear" w:color="000000" w:fill="00516B"/>
            <w:vAlign w:val="center"/>
          </w:tcPr>
          <w:p>
            <w:pPr>
              <w:spacing w:before="217" w:after="217" w:line="240" w:lineRule="auto"/>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得分</w:t>
            </w:r>
          </w:p>
        </w:tc>
        <w:tc>
          <w:tcPr>
            <w:tcW w:w="727" w:type="pct"/>
            <w:shd w:val="clear" w:color="000000" w:fill="00516B"/>
            <w:vAlign w:val="center"/>
          </w:tcPr>
          <w:p>
            <w:pPr>
              <w:spacing w:before="217" w:after="217" w:line="240" w:lineRule="auto"/>
              <w:ind w:firstLine="191" w:firstLineChars="95"/>
              <w:jc w:val="center"/>
              <w:rPr>
                <w:rFonts w:eastAsia="宋体" w:cs="Times New Roman"/>
                <w:b/>
                <w:bCs/>
                <w:color w:val="FFFFFF"/>
                <w:kern w:val="0"/>
                <w:sz w:val="20"/>
                <w:szCs w:val="20"/>
              </w:rPr>
            </w:pPr>
            <w:r>
              <w:rPr>
                <w:rFonts w:eastAsia="宋体" w:cs="Times New Roman"/>
                <w:b/>
                <w:bCs/>
                <w:color w:val="FFFFFF"/>
                <w:kern w:val="0"/>
                <w:sz w:val="20"/>
                <w:szCs w:val="20"/>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850" w:type="pct"/>
            <w:vMerge w:val="restart"/>
            <w:shd w:val="clear" w:color="auto" w:fill="auto"/>
            <w:vAlign w:val="center"/>
          </w:tcPr>
          <w:p>
            <w:pPr>
              <w:widowControl/>
              <w:spacing w:line="240" w:lineRule="auto"/>
              <w:ind w:firstLine="0" w:firstLineChars="0"/>
              <w:jc w:val="center"/>
              <w:rPr>
                <w:rFonts w:eastAsia="宋体" w:cs="Times New Roman"/>
                <w:b/>
                <w:bCs/>
                <w:color w:val="000000"/>
                <w:kern w:val="0"/>
                <w:sz w:val="20"/>
                <w:szCs w:val="20"/>
              </w:rPr>
            </w:pPr>
            <w:r>
              <w:rPr>
                <w:rFonts w:eastAsia="宋体" w:cs="Times New Roman"/>
                <w:b/>
                <w:bCs/>
                <w:color w:val="000000"/>
                <w:kern w:val="0"/>
                <w:sz w:val="20"/>
                <w:szCs w:val="20"/>
              </w:rPr>
              <w:t>项目决策</w:t>
            </w:r>
          </w:p>
        </w:tc>
        <w:tc>
          <w:tcPr>
            <w:tcW w:w="771"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程序严密</w:t>
            </w:r>
          </w:p>
        </w:tc>
        <w:tc>
          <w:tcPr>
            <w:tcW w:w="1453"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项目依据充分性</w:t>
            </w:r>
          </w:p>
        </w:tc>
        <w:tc>
          <w:tcPr>
            <w:tcW w:w="600"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微软雅黑" w:cs="Times New Roman"/>
                <w:color w:val="000000"/>
                <w:sz w:val="20"/>
                <w:szCs w:val="20"/>
              </w:rPr>
              <w:t>5.00</w:t>
            </w:r>
          </w:p>
        </w:tc>
        <w:tc>
          <w:tcPr>
            <w:tcW w:w="599"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cs="Times New Roman"/>
                <w:sz w:val="20"/>
                <w:szCs w:val="20"/>
              </w:rPr>
              <w:t>5</w:t>
            </w:r>
            <w:r>
              <w:rPr>
                <w:rFonts w:eastAsia="微软雅黑" w:cs="Times New Roman"/>
                <w:color w:val="000000"/>
                <w:sz w:val="20"/>
                <w:szCs w:val="20"/>
              </w:rPr>
              <w:t>.00</w:t>
            </w:r>
          </w:p>
        </w:tc>
        <w:tc>
          <w:tcPr>
            <w:tcW w:w="727"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cs="Times New Roman"/>
                <w:sz w:val="20"/>
                <w:szCs w:val="20"/>
              </w:rPr>
              <w:t>100</w:t>
            </w:r>
            <w:r>
              <w:rPr>
                <w:rFonts w:eastAsia="微软雅黑" w:cs="Times New Roman"/>
                <w:color w:val="000000"/>
                <w:sz w:val="20"/>
                <w:szCs w:val="20"/>
              </w:rPr>
              <w:t>.00</w:t>
            </w:r>
            <w:r>
              <w:rPr>
                <w:rFonts w:cs="Times New Roman"/>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850" w:type="pct"/>
            <w:vMerge w:val="continue"/>
            <w:vAlign w:val="center"/>
          </w:tcPr>
          <w:p>
            <w:pPr>
              <w:widowControl/>
              <w:spacing w:line="240" w:lineRule="auto"/>
              <w:ind w:firstLine="0" w:firstLineChars="0"/>
              <w:jc w:val="left"/>
              <w:rPr>
                <w:rFonts w:eastAsia="宋体" w:cs="Times New Roman"/>
                <w:b/>
                <w:bCs/>
                <w:color w:val="000000"/>
                <w:kern w:val="0"/>
                <w:sz w:val="20"/>
                <w:szCs w:val="20"/>
              </w:rPr>
            </w:pPr>
          </w:p>
        </w:tc>
        <w:tc>
          <w:tcPr>
            <w:tcW w:w="771" w:type="pct"/>
            <w:vMerge w:val="restar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规划合理</w:t>
            </w:r>
          </w:p>
        </w:tc>
        <w:tc>
          <w:tcPr>
            <w:tcW w:w="1453"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目标与规划匹配性</w:t>
            </w:r>
          </w:p>
        </w:tc>
        <w:tc>
          <w:tcPr>
            <w:tcW w:w="600"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微软雅黑" w:cs="Times New Roman"/>
                <w:color w:val="000000"/>
                <w:sz w:val="20"/>
                <w:szCs w:val="20"/>
              </w:rPr>
              <w:t>4.00</w:t>
            </w:r>
          </w:p>
        </w:tc>
        <w:tc>
          <w:tcPr>
            <w:tcW w:w="599"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cs="Times New Roman"/>
                <w:sz w:val="20"/>
                <w:szCs w:val="20"/>
              </w:rPr>
              <w:t>4</w:t>
            </w:r>
            <w:r>
              <w:rPr>
                <w:rFonts w:eastAsia="微软雅黑" w:cs="Times New Roman"/>
                <w:color w:val="000000"/>
                <w:sz w:val="20"/>
                <w:szCs w:val="20"/>
              </w:rPr>
              <w:t>.00</w:t>
            </w:r>
          </w:p>
        </w:tc>
        <w:tc>
          <w:tcPr>
            <w:tcW w:w="727"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cs="Times New Roman"/>
                <w:sz w:val="20"/>
                <w:szCs w:val="20"/>
              </w:rPr>
              <w:t>100</w:t>
            </w:r>
            <w:r>
              <w:rPr>
                <w:rFonts w:eastAsia="微软雅黑" w:cs="Times New Roman"/>
                <w:color w:val="000000"/>
                <w:sz w:val="20"/>
                <w:szCs w:val="20"/>
              </w:rPr>
              <w:t>.00</w:t>
            </w:r>
            <w:r>
              <w:rPr>
                <w:rFonts w:cs="Times New Roman"/>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jc w:val="center"/>
        </w:trPr>
        <w:tc>
          <w:tcPr>
            <w:tcW w:w="850" w:type="pct"/>
            <w:vMerge w:val="continue"/>
            <w:vAlign w:val="center"/>
          </w:tcPr>
          <w:p>
            <w:pPr>
              <w:widowControl/>
              <w:spacing w:line="240" w:lineRule="auto"/>
              <w:ind w:firstLine="0" w:firstLineChars="0"/>
              <w:jc w:val="left"/>
              <w:rPr>
                <w:rFonts w:eastAsia="宋体" w:cs="Times New Roman"/>
                <w:b/>
                <w:bCs/>
                <w:color w:val="000000"/>
                <w:kern w:val="0"/>
                <w:sz w:val="20"/>
                <w:szCs w:val="20"/>
              </w:rPr>
            </w:pPr>
          </w:p>
        </w:tc>
        <w:tc>
          <w:tcPr>
            <w:tcW w:w="771" w:type="pct"/>
            <w:vMerge w:val="continue"/>
            <w:vAlign w:val="center"/>
          </w:tcPr>
          <w:p>
            <w:pPr>
              <w:widowControl/>
              <w:spacing w:line="240" w:lineRule="auto"/>
              <w:ind w:firstLine="0" w:firstLineChars="0"/>
              <w:jc w:val="left"/>
              <w:rPr>
                <w:rFonts w:eastAsia="宋体" w:cs="Times New Roman"/>
                <w:color w:val="000000"/>
                <w:kern w:val="0"/>
                <w:sz w:val="20"/>
                <w:szCs w:val="20"/>
              </w:rPr>
            </w:pPr>
          </w:p>
        </w:tc>
        <w:tc>
          <w:tcPr>
            <w:tcW w:w="1453"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绩效目标合理性</w:t>
            </w:r>
          </w:p>
        </w:tc>
        <w:tc>
          <w:tcPr>
            <w:tcW w:w="600"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微软雅黑" w:cs="Times New Roman"/>
                <w:color w:val="000000"/>
                <w:sz w:val="20"/>
                <w:szCs w:val="20"/>
              </w:rPr>
              <w:t>6.00</w:t>
            </w:r>
          </w:p>
        </w:tc>
        <w:tc>
          <w:tcPr>
            <w:tcW w:w="599"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cs="Times New Roman"/>
                <w:sz w:val="20"/>
                <w:szCs w:val="20"/>
              </w:rPr>
              <w:t>4.50</w:t>
            </w:r>
          </w:p>
        </w:tc>
        <w:tc>
          <w:tcPr>
            <w:tcW w:w="727"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cs="Times New Roman"/>
                <w:sz w:val="20"/>
                <w:szCs w:val="20"/>
              </w:rPr>
              <w:t>75</w:t>
            </w:r>
            <w:r>
              <w:rPr>
                <w:rFonts w:eastAsia="微软雅黑" w:cs="Times New Roman"/>
                <w:color w:val="000000"/>
                <w:sz w:val="20"/>
                <w:szCs w:val="20"/>
              </w:rPr>
              <w:t>.00</w:t>
            </w:r>
            <w:r>
              <w:rPr>
                <w:rFonts w:cs="Times New Roman"/>
                <w:sz w:val="20"/>
                <w:szCs w:val="20"/>
              </w:rPr>
              <w:t>%</w:t>
            </w:r>
          </w:p>
        </w:tc>
      </w:tr>
    </w:tbl>
    <w:p>
      <w:pPr>
        <w:ind w:firstLine="640"/>
        <w:rPr>
          <w:rFonts w:cs="Times New Roman"/>
        </w:rPr>
      </w:pPr>
    </w:p>
    <w:p>
      <w:pPr>
        <w:ind w:firstLine="640"/>
        <w:rPr>
          <w:rFonts w:cs="Times New Roman"/>
        </w:rPr>
      </w:pPr>
      <w:r>
        <w:rPr>
          <w:rFonts w:cs="Times New Roman"/>
        </w:rPr>
        <w:t>（1）项目依据充分性</w:t>
      </w:r>
    </w:p>
    <w:p>
      <w:pPr>
        <w:adjustRightInd w:val="0"/>
        <w:snapToGrid w:val="0"/>
        <w:spacing w:line="600" w:lineRule="exact"/>
        <w:ind w:firstLine="640"/>
        <w:rPr>
          <w:rFonts w:cs="Times New Roman"/>
          <w:kern w:val="0"/>
          <w:szCs w:val="24"/>
        </w:rPr>
      </w:pPr>
      <w:r>
        <w:rPr>
          <w:rFonts w:cs="Times New Roman"/>
          <w:kern w:val="0"/>
          <w:szCs w:val="24"/>
        </w:rPr>
        <w:t>项目依据充分性权重5.00分，实际得分5.00分，得分率100.00%。绵竹市城乡居民养老保险财政补助项目设立是贯彻自上而下的国家惠民利民政策而设立的。根据《国务院关于建立统一的城乡居民基本养老保险制度的意见》（国发〔2014〕8号）、《人力资源社会保障部 财政部关于建立城乡居民基本养老保险待遇确定和基础养老金正常调整机制的指导意见》（人社部发〔2018〕21号）、《四川省完善城乡居民基本养老保险制度的实施方案》（川人社办发〔2020〕10号）、《四川省城乡居民基本养老保险经办规程》（川人社办发〔2020〕125号）等文件精神，绵竹市人社局每年直接会同当地财政向省级、中央申请后，再转移拨付至本市城乡居保机构，故未扣分。</w:t>
      </w:r>
    </w:p>
    <w:p>
      <w:pPr>
        <w:adjustRightInd w:val="0"/>
        <w:snapToGrid w:val="0"/>
        <w:spacing w:line="600" w:lineRule="exact"/>
        <w:ind w:firstLine="640"/>
        <w:rPr>
          <w:rFonts w:cs="Times New Roman"/>
          <w:kern w:val="0"/>
          <w:szCs w:val="24"/>
        </w:rPr>
      </w:pPr>
      <w:r>
        <w:rPr>
          <w:rFonts w:cs="Times New Roman"/>
          <w:kern w:val="0"/>
          <w:szCs w:val="24"/>
        </w:rPr>
        <w:t>（2）目标与规划匹配性</w:t>
      </w:r>
    </w:p>
    <w:p>
      <w:pPr>
        <w:adjustRightInd w:val="0"/>
        <w:snapToGrid w:val="0"/>
        <w:spacing w:line="600" w:lineRule="exact"/>
        <w:ind w:firstLine="640"/>
        <w:rPr>
          <w:rFonts w:cs="Times New Roman"/>
          <w:kern w:val="0"/>
          <w:szCs w:val="24"/>
        </w:rPr>
      </w:pPr>
      <w:r>
        <w:rPr>
          <w:rFonts w:cs="Times New Roman"/>
          <w:kern w:val="0"/>
          <w:szCs w:val="24"/>
        </w:rPr>
        <w:t>目标与规划匹配性权重4.00分，实际得分4.00分，得分率100.00%。项目规划符合市委、市政府重大决策部署。2020年提高城乡居民基本养老保险基础养老金标准旨在体现省委、省政府对65周岁及以上老年居民的关心和重视。而绵竹市作为扩权县，主要沿用国家和省级的政策文件，故未扣分。</w:t>
      </w:r>
    </w:p>
    <w:p>
      <w:pPr>
        <w:adjustRightInd w:val="0"/>
        <w:snapToGrid w:val="0"/>
        <w:spacing w:line="600" w:lineRule="exact"/>
        <w:ind w:firstLine="640"/>
        <w:rPr>
          <w:rFonts w:cs="Times New Roman"/>
          <w:kern w:val="0"/>
          <w:szCs w:val="24"/>
        </w:rPr>
      </w:pPr>
      <w:r>
        <w:rPr>
          <w:rFonts w:cs="Times New Roman"/>
          <w:kern w:val="0"/>
          <w:szCs w:val="24"/>
        </w:rPr>
        <w:t>（3）绩效目标合理性</w:t>
      </w:r>
    </w:p>
    <w:p>
      <w:pPr>
        <w:ind w:firstLine="640"/>
        <w:rPr>
          <w:rFonts w:cs="Times New Roman"/>
        </w:rPr>
      </w:pPr>
      <w:r>
        <w:rPr>
          <w:rFonts w:cs="Times New Roman"/>
        </w:rPr>
        <w:t>绩效目标合理性权重6</w:t>
      </w:r>
      <w:r>
        <w:rPr>
          <w:rFonts w:cs="Times New Roman"/>
          <w:kern w:val="0"/>
          <w:szCs w:val="24"/>
        </w:rPr>
        <w:t>.00</w:t>
      </w:r>
      <w:r>
        <w:rPr>
          <w:rFonts w:cs="Times New Roman"/>
        </w:rPr>
        <w:t>分，实际得分4.50分，得分率75</w:t>
      </w:r>
      <w:r>
        <w:rPr>
          <w:rFonts w:cs="Times New Roman"/>
          <w:kern w:val="0"/>
          <w:szCs w:val="24"/>
        </w:rPr>
        <w:t>.00</w:t>
      </w:r>
      <w:r>
        <w:rPr>
          <w:rFonts w:cs="Times New Roman"/>
        </w:rPr>
        <w:t>%。从2020年城乡居民基本养老保险中央财政补助资金所附的绵竹市2020年项目支出绩效目标表可以看出，该项目绩效目标设置存在以下不足：一是指标设置相关性不强。</w:t>
      </w:r>
      <w:r>
        <w:rPr>
          <w:rFonts w:hint="eastAsia" w:cs="Times New Roman"/>
        </w:rPr>
        <w:t>“</w:t>
      </w:r>
      <w:r>
        <w:rPr>
          <w:rFonts w:cs="Times New Roman"/>
        </w:rPr>
        <w:t>时效指标</w:t>
      </w:r>
      <w:r>
        <w:rPr>
          <w:rFonts w:hint="eastAsia" w:cs="Times New Roman"/>
        </w:rPr>
        <w:t>”</w:t>
      </w:r>
      <w:r>
        <w:rPr>
          <w:rFonts w:cs="Times New Roman"/>
        </w:rPr>
        <w:t>下设三级指标</w:t>
      </w:r>
      <w:r>
        <w:rPr>
          <w:rFonts w:hint="eastAsia" w:cs="Times New Roman"/>
        </w:rPr>
        <w:t>“</w:t>
      </w:r>
      <w:r>
        <w:rPr>
          <w:rFonts w:cs="Times New Roman"/>
        </w:rPr>
        <w:t>项目完成成本</w:t>
      </w:r>
      <w:r>
        <w:rPr>
          <w:rFonts w:hint="eastAsia" w:cs="Times New Roman"/>
        </w:rPr>
        <w:t>”</w:t>
      </w:r>
      <w:r>
        <w:rPr>
          <w:rFonts w:cs="Times New Roman"/>
        </w:rPr>
        <w:t>为263.33万元，该补助项目不涉及成本，指标值与指标名称不匹配。二是养老补助补贴不涉及经济效益和生态效益，因此</w:t>
      </w:r>
      <w:r>
        <w:rPr>
          <w:rFonts w:hint="eastAsia" w:cs="Times New Roman"/>
        </w:rPr>
        <w:t>“</w:t>
      </w:r>
      <w:r>
        <w:rPr>
          <w:rFonts w:cs="Times New Roman"/>
        </w:rPr>
        <w:t>经济效益指标</w:t>
      </w:r>
      <w:r>
        <w:rPr>
          <w:rFonts w:hint="eastAsia" w:cs="Times New Roman"/>
        </w:rPr>
        <w:t>”</w:t>
      </w:r>
      <w:r>
        <w:rPr>
          <w:rFonts w:cs="Times New Roman"/>
        </w:rPr>
        <w:t>下设三级指标</w:t>
      </w:r>
      <w:r>
        <w:rPr>
          <w:rFonts w:hint="eastAsia" w:cs="Times New Roman"/>
        </w:rPr>
        <w:t>“</w:t>
      </w:r>
      <w:r>
        <w:rPr>
          <w:rFonts w:cs="Times New Roman"/>
        </w:rPr>
        <w:t>保障城乡养老参保者生活水平</w:t>
      </w:r>
      <w:r>
        <w:rPr>
          <w:rFonts w:hint="eastAsia" w:cs="Times New Roman"/>
        </w:rPr>
        <w:t>”</w:t>
      </w:r>
      <w:r>
        <w:rPr>
          <w:rFonts w:cs="Times New Roman"/>
        </w:rPr>
        <w:t>和</w:t>
      </w:r>
      <w:r>
        <w:rPr>
          <w:rFonts w:hint="eastAsia" w:cs="Times New Roman"/>
        </w:rPr>
        <w:t>“</w:t>
      </w:r>
      <w:r>
        <w:rPr>
          <w:rFonts w:cs="Times New Roman"/>
        </w:rPr>
        <w:t>生态效益</w:t>
      </w:r>
      <w:r>
        <w:rPr>
          <w:rFonts w:hint="eastAsia" w:cs="Times New Roman"/>
        </w:rPr>
        <w:t>”</w:t>
      </w:r>
      <w:r>
        <w:rPr>
          <w:rFonts w:cs="Times New Roman"/>
        </w:rPr>
        <w:t>下设</w:t>
      </w:r>
      <w:r>
        <w:rPr>
          <w:rFonts w:hint="eastAsia" w:cs="Times New Roman"/>
        </w:rPr>
        <w:t>“</w:t>
      </w:r>
      <w:r>
        <w:rPr>
          <w:rFonts w:cs="Times New Roman"/>
        </w:rPr>
        <w:t>提高城乡养老服务能力</w:t>
      </w:r>
      <w:r>
        <w:rPr>
          <w:rFonts w:hint="eastAsia" w:cs="Times New Roman"/>
        </w:rPr>
        <w:t>”</w:t>
      </w:r>
      <w:r>
        <w:rPr>
          <w:rFonts w:cs="Times New Roman"/>
        </w:rPr>
        <w:t>均为无效指标。三是绩效目标指标值设计不合理。“质量指标”中“项目执行标准”指标值设置为92.31万元/月，这是数量指标的表述而非质量指标。以上发现3处绩效目标不合理，故扣1.50分。</w:t>
      </w:r>
    </w:p>
    <w:p>
      <w:pPr>
        <w:pStyle w:val="4"/>
        <w:ind w:firstLine="643"/>
        <w:rPr>
          <w:rFonts w:cs="Times New Roman"/>
        </w:rPr>
      </w:pPr>
      <w:bookmarkStart w:id="18" w:name="_Toc76927035"/>
      <w:r>
        <w:rPr>
          <w:rFonts w:cs="Times New Roman"/>
        </w:rPr>
        <w:t>2. 项目实施指标分析</w:t>
      </w:r>
      <w:bookmarkEnd w:id="18"/>
    </w:p>
    <w:p>
      <w:pPr>
        <w:ind w:firstLine="640"/>
        <w:rPr>
          <w:rFonts w:cs="Times New Roman"/>
        </w:rPr>
      </w:pPr>
      <w:r>
        <w:rPr>
          <w:rFonts w:cs="Times New Roman"/>
        </w:rPr>
        <w:t>在项目实施指标上，设置了分配及时性、分配结果与计划一致性、资金使用合规性、管理制度健全性、制度执行有效性5个三级指标。</w:t>
      </w:r>
    </w:p>
    <w:p>
      <w:pPr>
        <w:widowControl/>
        <w:ind w:firstLine="562"/>
        <w:jc w:val="center"/>
        <w:rPr>
          <w:rFonts w:eastAsia="幼圆" w:cs="Times New Roman"/>
          <w:b/>
          <w:sz w:val="28"/>
          <w:szCs w:val="28"/>
        </w:rPr>
      </w:pPr>
      <w:r>
        <w:rPr>
          <w:rFonts w:eastAsia="幼圆" w:cs="Times New Roman"/>
          <w:b/>
          <w:sz w:val="28"/>
          <w:szCs w:val="28"/>
        </w:rPr>
        <w:t>附表 项目实施指标得分情况</w:t>
      </w:r>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9"/>
        <w:gridCol w:w="1314"/>
        <w:gridCol w:w="2476"/>
        <w:gridCol w:w="1023"/>
        <w:gridCol w:w="1021"/>
        <w:gridCol w:w="1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 w:hRule="atLeast"/>
          <w:tblHeader/>
          <w:jc w:val="center"/>
        </w:trPr>
        <w:tc>
          <w:tcPr>
            <w:tcW w:w="850" w:type="pct"/>
            <w:shd w:val="clear" w:color="000000" w:fill="00516B"/>
            <w:vAlign w:val="center"/>
          </w:tcPr>
          <w:p>
            <w:pPr>
              <w:widowControl/>
              <w:spacing w:line="240" w:lineRule="auto"/>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一级指标</w:t>
            </w:r>
          </w:p>
        </w:tc>
        <w:tc>
          <w:tcPr>
            <w:tcW w:w="771" w:type="pct"/>
            <w:shd w:val="clear" w:color="000000" w:fill="00516B"/>
            <w:vAlign w:val="center"/>
          </w:tcPr>
          <w:p>
            <w:pPr>
              <w:widowControl/>
              <w:spacing w:line="240" w:lineRule="auto"/>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二级指标</w:t>
            </w:r>
          </w:p>
        </w:tc>
        <w:tc>
          <w:tcPr>
            <w:tcW w:w="1453" w:type="pct"/>
            <w:shd w:val="clear" w:color="000000" w:fill="00516B"/>
            <w:vAlign w:val="center"/>
          </w:tcPr>
          <w:p>
            <w:pPr>
              <w:widowControl/>
              <w:spacing w:line="240" w:lineRule="auto"/>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三级指标</w:t>
            </w:r>
          </w:p>
        </w:tc>
        <w:tc>
          <w:tcPr>
            <w:tcW w:w="600" w:type="pct"/>
            <w:shd w:val="clear" w:color="000000" w:fill="00516B"/>
            <w:vAlign w:val="center"/>
          </w:tcPr>
          <w:p>
            <w:pPr>
              <w:widowControl/>
              <w:spacing w:line="240" w:lineRule="auto"/>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分值</w:t>
            </w:r>
          </w:p>
        </w:tc>
        <w:tc>
          <w:tcPr>
            <w:tcW w:w="599" w:type="pct"/>
            <w:shd w:val="clear" w:color="000000" w:fill="00516B"/>
            <w:vAlign w:val="center"/>
          </w:tcPr>
          <w:p>
            <w:pPr>
              <w:spacing w:before="217" w:after="217" w:line="240" w:lineRule="auto"/>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得分</w:t>
            </w:r>
          </w:p>
        </w:tc>
        <w:tc>
          <w:tcPr>
            <w:tcW w:w="727" w:type="pct"/>
            <w:shd w:val="clear" w:color="000000" w:fill="00516B"/>
            <w:vAlign w:val="center"/>
          </w:tcPr>
          <w:p>
            <w:pPr>
              <w:spacing w:before="217" w:after="217" w:line="240" w:lineRule="auto"/>
              <w:ind w:firstLine="191" w:firstLineChars="95"/>
              <w:jc w:val="center"/>
              <w:rPr>
                <w:rFonts w:eastAsia="宋体" w:cs="Times New Roman"/>
                <w:b/>
                <w:bCs/>
                <w:color w:val="FFFFFF"/>
                <w:kern w:val="0"/>
                <w:sz w:val="20"/>
                <w:szCs w:val="20"/>
              </w:rPr>
            </w:pPr>
            <w:r>
              <w:rPr>
                <w:rFonts w:eastAsia="宋体" w:cs="Times New Roman"/>
                <w:b/>
                <w:bCs/>
                <w:color w:val="FFFFFF"/>
                <w:kern w:val="0"/>
                <w:sz w:val="20"/>
                <w:szCs w:val="20"/>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850" w:type="pct"/>
            <w:vMerge w:val="restart"/>
            <w:shd w:val="clear" w:color="auto" w:fill="auto"/>
            <w:vAlign w:val="center"/>
          </w:tcPr>
          <w:p>
            <w:pPr>
              <w:widowControl/>
              <w:spacing w:line="240" w:lineRule="auto"/>
              <w:ind w:firstLine="0" w:firstLineChars="0"/>
              <w:jc w:val="center"/>
              <w:rPr>
                <w:rFonts w:eastAsia="宋体" w:cs="Times New Roman"/>
                <w:b/>
                <w:bCs/>
                <w:color w:val="000000"/>
                <w:kern w:val="0"/>
                <w:sz w:val="20"/>
                <w:szCs w:val="20"/>
              </w:rPr>
            </w:pPr>
            <w:r>
              <w:rPr>
                <w:rFonts w:eastAsia="宋体" w:cs="Times New Roman"/>
                <w:b/>
                <w:bCs/>
                <w:color w:val="000000"/>
                <w:kern w:val="0"/>
                <w:sz w:val="20"/>
                <w:szCs w:val="20"/>
              </w:rPr>
              <w:t>项目实施</w:t>
            </w:r>
          </w:p>
        </w:tc>
        <w:tc>
          <w:tcPr>
            <w:tcW w:w="771" w:type="pct"/>
            <w:vMerge w:val="restar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分配合理</w:t>
            </w:r>
          </w:p>
        </w:tc>
        <w:tc>
          <w:tcPr>
            <w:tcW w:w="1453"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分配及时性</w:t>
            </w:r>
          </w:p>
        </w:tc>
        <w:tc>
          <w:tcPr>
            <w:tcW w:w="600"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微软雅黑" w:cs="Times New Roman"/>
                <w:color w:val="000000"/>
                <w:sz w:val="20"/>
                <w:szCs w:val="20"/>
              </w:rPr>
              <w:t>5.00</w:t>
            </w:r>
          </w:p>
        </w:tc>
        <w:tc>
          <w:tcPr>
            <w:tcW w:w="599" w:type="pct"/>
            <w:shd w:val="clear" w:color="000000" w:fill="FFFFFF"/>
            <w:vAlign w:val="center"/>
          </w:tcPr>
          <w:p>
            <w:pPr>
              <w:widowControl/>
              <w:spacing w:line="240" w:lineRule="auto"/>
              <w:ind w:firstLine="0" w:firstLineChars="0"/>
              <w:jc w:val="center"/>
              <w:rPr>
                <w:rFonts w:eastAsia="微软雅黑" w:cs="Times New Roman"/>
                <w:color w:val="000000"/>
                <w:sz w:val="20"/>
                <w:szCs w:val="20"/>
              </w:rPr>
            </w:pPr>
            <w:r>
              <w:rPr>
                <w:rFonts w:eastAsia="微软雅黑" w:cs="Times New Roman"/>
                <w:color w:val="000000"/>
                <w:sz w:val="20"/>
                <w:szCs w:val="20"/>
              </w:rPr>
              <w:t>5.00</w:t>
            </w:r>
          </w:p>
        </w:tc>
        <w:tc>
          <w:tcPr>
            <w:tcW w:w="727" w:type="pct"/>
            <w:shd w:val="clear" w:color="000000" w:fill="FFFFFF"/>
            <w:vAlign w:val="center"/>
          </w:tcPr>
          <w:p>
            <w:pPr>
              <w:widowControl/>
              <w:spacing w:line="240" w:lineRule="auto"/>
              <w:ind w:firstLine="0" w:firstLineChars="0"/>
              <w:jc w:val="center"/>
              <w:rPr>
                <w:rFonts w:eastAsia="微软雅黑" w:cs="Times New Roman"/>
                <w:color w:val="000000"/>
                <w:sz w:val="20"/>
                <w:szCs w:val="20"/>
              </w:rPr>
            </w:pPr>
            <w:r>
              <w:rPr>
                <w:rFonts w:eastAsia="微软雅黑" w:cs="Times New Roman"/>
                <w:color w:val="000000"/>
                <w:sz w:val="20"/>
                <w:szCs w:val="2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atLeast"/>
          <w:jc w:val="center"/>
        </w:trPr>
        <w:tc>
          <w:tcPr>
            <w:tcW w:w="850" w:type="pct"/>
            <w:vMerge w:val="continue"/>
            <w:vAlign w:val="center"/>
          </w:tcPr>
          <w:p>
            <w:pPr>
              <w:spacing w:before="217" w:after="217" w:line="240" w:lineRule="auto"/>
              <w:ind w:firstLine="402"/>
              <w:jc w:val="center"/>
              <w:rPr>
                <w:rFonts w:eastAsia="宋体" w:cs="Times New Roman"/>
                <w:b/>
                <w:bCs/>
                <w:color w:val="000000"/>
                <w:kern w:val="0"/>
                <w:sz w:val="20"/>
                <w:szCs w:val="20"/>
              </w:rPr>
            </w:pPr>
          </w:p>
        </w:tc>
        <w:tc>
          <w:tcPr>
            <w:tcW w:w="771" w:type="pct"/>
            <w:vMerge w:val="continue"/>
            <w:vAlign w:val="center"/>
          </w:tcPr>
          <w:p>
            <w:pPr>
              <w:widowControl/>
              <w:spacing w:line="240" w:lineRule="auto"/>
              <w:ind w:firstLine="0" w:firstLineChars="0"/>
              <w:jc w:val="center"/>
              <w:rPr>
                <w:rFonts w:eastAsia="宋体" w:cs="Times New Roman"/>
                <w:color w:val="000000"/>
                <w:kern w:val="0"/>
                <w:sz w:val="20"/>
                <w:szCs w:val="20"/>
              </w:rPr>
            </w:pPr>
          </w:p>
        </w:tc>
        <w:tc>
          <w:tcPr>
            <w:tcW w:w="1453"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分配结果与计划一致性</w:t>
            </w:r>
          </w:p>
        </w:tc>
        <w:tc>
          <w:tcPr>
            <w:tcW w:w="600"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微软雅黑" w:cs="Times New Roman"/>
                <w:color w:val="000000"/>
                <w:sz w:val="20"/>
                <w:szCs w:val="20"/>
              </w:rPr>
              <w:t>5.00</w:t>
            </w:r>
          </w:p>
        </w:tc>
        <w:tc>
          <w:tcPr>
            <w:tcW w:w="599" w:type="pct"/>
            <w:shd w:val="clear" w:color="000000" w:fill="FFFFFF"/>
            <w:vAlign w:val="center"/>
          </w:tcPr>
          <w:p>
            <w:pPr>
              <w:widowControl/>
              <w:spacing w:line="240" w:lineRule="auto"/>
              <w:ind w:firstLine="0" w:firstLineChars="0"/>
              <w:jc w:val="center"/>
              <w:rPr>
                <w:rFonts w:eastAsia="微软雅黑" w:cs="Times New Roman"/>
                <w:color w:val="000000"/>
                <w:sz w:val="20"/>
                <w:szCs w:val="20"/>
              </w:rPr>
            </w:pPr>
            <w:r>
              <w:rPr>
                <w:rFonts w:eastAsia="微软雅黑" w:cs="Times New Roman"/>
                <w:color w:val="000000"/>
                <w:sz w:val="20"/>
                <w:szCs w:val="20"/>
              </w:rPr>
              <w:t>5.00</w:t>
            </w:r>
          </w:p>
        </w:tc>
        <w:tc>
          <w:tcPr>
            <w:tcW w:w="727" w:type="pct"/>
            <w:shd w:val="clear" w:color="000000" w:fill="FFFFFF"/>
            <w:vAlign w:val="center"/>
          </w:tcPr>
          <w:p>
            <w:pPr>
              <w:widowControl/>
              <w:spacing w:line="240" w:lineRule="auto"/>
              <w:ind w:firstLine="0" w:firstLineChars="0"/>
              <w:jc w:val="center"/>
              <w:rPr>
                <w:rFonts w:eastAsia="微软雅黑" w:cs="Times New Roman"/>
                <w:color w:val="000000"/>
                <w:sz w:val="20"/>
                <w:szCs w:val="20"/>
              </w:rPr>
            </w:pPr>
            <w:r>
              <w:rPr>
                <w:rFonts w:eastAsia="微软雅黑" w:cs="Times New Roman"/>
                <w:color w:val="000000"/>
                <w:sz w:val="20"/>
                <w:szCs w:val="2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50" w:type="pct"/>
            <w:vMerge w:val="continue"/>
            <w:vAlign w:val="center"/>
          </w:tcPr>
          <w:p>
            <w:pPr>
              <w:spacing w:before="217" w:after="217" w:line="240" w:lineRule="auto"/>
              <w:ind w:firstLine="402"/>
              <w:jc w:val="center"/>
              <w:rPr>
                <w:rFonts w:eastAsia="宋体" w:cs="Times New Roman"/>
                <w:b/>
                <w:bCs/>
                <w:color w:val="000000"/>
                <w:kern w:val="0"/>
                <w:sz w:val="20"/>
                <w:szCs w:val="20"/>
              </w:rPr>
            </w:pPr>
          </w:p>
        </w:tc>
        <w:tc>
          <w:tcPr>
            <w:tcW w:w="771" w:type="pct"/>
            <w:tcBorders>
              <w:bottom w:val="single" w:color="auto" w:sz="4" w:space="0"/>
            </w:tcBorders>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使用合规</w:t>
            </w:r>
          </w:p>
        </w:tc>
        <w:tc>
          <w:tcPr>
            <w:tcW w:w="1453"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资金使用合规性</w:t>
            </w:r>
          </w:p>
        </w:tc>
        <w:tc>
          <w:tcPr>
            <w:tcW w:w="600"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微软雅黑" w:cs="Times New Roman"/>
                <w:color w:val="000000"/>
                <w:sz w:val="20"/>
                <w:szCs w:val="20"/>
              </w:rPr>
              <w:t>5.00</w:t>
            </w:r>
          </w:p>
        </w:tc>
        <w:tc>
          <w:tcPr>
            <w:tcW w:w="599" w:type="pct"/>
            <w:shd w:val="clear" w:color="000000" w:fill="FFFFFF"/>
            <w:vAlign w:val="center"/>
          </w:tcPr>
          <w:p>
            <w:pPr>
              <w:widowControl/>
              <w:spacing w:line="240" w:lineRule="auto"/>
              <w:ind w:firstLine="0" w:firstLineChars="0"/>
              <w:jc w:val="center"/>
              <w:rPr>
                <w:rFonts w:eastAsia="微软雅黑" w:cs="Times New Roman"/>
                <w:color w:val="000000"/>
                <w:sz w:val="20"/>
                <w:szCs w:val="20"/>
              </w:rPr>
            </w:pPr>
            <w:r>
              <w:rPr>
                <w:rFonts w:eastAsia="微软雅黑" w:cs="Times New Roman"/>
                <w:color w:val="000000"/>
                <w:sz w:val="20"/>
                <w:szCs w:val="20"/>
              </w:rPr>
              <w:t>5.00</w:t>
            </w:r>
          </w:p>
        </w:tc>
        <w:tc>
          <w:tcPr>
            <w:tcW w:w="727" w:type="pct"/>
            <w:shd w:val="clear" w:color="000000" w:fill="FFFFFF"/>
            <w:vAlign w:val="center"/>
          </w:tcPr>
          <w:p>
            <w:pPr>
              <w:widowControl/>
              <w:spacing w:line="240" w:lineRule="auto"/>
              <w:ind w:firstLine="0" w:firstLineChars="0"/>
              <w:jc w:val="center"/>
              <w:rPr>
                <w:rFonts w:eastAsia="微软雅黑" w:cs="Times New Roman"/>
                <w:color w:val="000000"/>
                <w:sz w:val="20"/>
                <w:szCs w:val="20"/>
              </w:rPr>
            </w:pPr>
            <w:r>
              <w:rPr>
                <w:rFonts w:eastAsia="微软雅黑" w:cs="Times New Roman"/>
                <w:color w:val="000000"/>
                <w:sz w:val="20"/>
                <w:szCs w:val="2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850" w:type="pct"/>
            <w:vMerge w:val="continue"/>
            <w:vAlign w:val="center"/>
          </w:tcPr>
          <w:p>
            <w:pPr>
              <w:spacing w:before="217" w:after="217" w:line="240" w:lineRule="auto"/>
              <w:ind w:firstLine="402"/>
              <w:jc w:val="center"/>
              <w:rPr>
                <w:rFonts w:eastAsia="宋体" w:cs="Times New Roman"/>
                <w:b/>
                <w:bCs/>
                <w:color w:val="000000"/>
                <w:kern w:val="0"/>
                <w:sz w:val="20"/>
                <w:szCs w:val="20"/>
              </w:rPr>
            </w:pPr>
          </w:p>
        </w:tc>
        <w:tc>
          <w:tcPr>
            <w:tcW w:w="771" w:type="pct"/>
            <w:vMerge w:val="restart"/>
            <w:tcBorders>
              <w:bottom w:val="single" w:color="auto" w:sz="4" w:space="0"/>
            </w:tcBorders>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执行有效</w:t>
            </w:r>
          </w:p>
        </w:tc>
        <w:tc>
          <w:tcPr>
            <w:tcW w:w="1453"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管理制度健全性</w:t>
            </w:r>
          </w:p>
        </w:tc>
        <w:tc>
          <w:tcPr>
            <w:tcW w:w="600"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微软雅黑" w:cs="Times New Roman"/>
                <w:color w:val="000000"/>
                <w:sz w:val="20"/>
                <w:szCs w:val="20"/>
              </w:rPr>
              <w:t>5.00</w:t>
            </w:r>
          </w:p>
        </w:tc>
        <w:tc>
          <w:tcPr>
            <w:tcW w:w="599" w:type="pct"/>
            <w:shd w:val="clear" w:color="000000" w:fill="FFFFFF"/>
            <w:vAlign w:val="center"/>
          </w:tcPr>
          <w:p>
            <w:pPr>
              <w:widowControl/>
              <w:spacing w:line="240" w:lineRule="auto"/>
              <w:ind w:firstLine="0" w:firstLineChars="0"/>
              <w:jc w:val="center"/>
              <w:rPr>
                <w:rFonts w:eastAsia="微软雅黑" w:cs="Times New Roman"/>
                <w:color w:val="000000"/>
                <w:sz w:val="20"/>
                <w:szCs w:val="20"/>
              </w:rPr>
            </w:pPr>
            <w:r>
              <w:rPr>
                <w:rFonts w:eastAsia="微软雅黑" w:cs="Times New Roman"/>
                <w:color w:val="000000"/>
                <w:sz w:val="20"/>
                <w:szCs w:val="20"/>
              </w:rPr>
              <w:t>4.00</w:t>
            </w:r>
          </w:p>
        </w:tc>
        <w:tc>
          <w:tcPr>
            <w:tcW w:w="727" w:type="pct"/>
            <w:shd w:val="clear" w:color="000000" w:fill="FFFFFF"/>
            <w:vAlign w:val="center"/>
          </w:tcPr>
          <w:p>
            <w:pPr>
              <w:widowControl/>
              <w:spacing w:line="240" w:lineRule="auto"/>
              <w:ind w:firstLine="0" w:firstLineChars="0"/>
              <w:jc w:val="center"/>
              <w:rPr>
                <w:rFonts w:eastAsia="微软雅黑" w:cs="Times New Roman"/>
                <w:color w:val="000000"/>
                <w:sz w:val="20"/>
                <w:szCs w:val="20"/>
              </w:rPr>
            </w:pPr>
            <w:r>
              <w:rPr>
                <w:rFonts w:eastAsia="微软雅黑" w:cs="Times New Roman"/>
                <w:color w:val="000000"/>
                <w:sz w:val="20"/>
                <w:szCs w:val="20"/>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850" w:type="pct"/>
            <w:vMerge w:val="continue"/>
            <w:shd w:val="clear" w:color="auto" w:fill="auto"/>
            <w:vAlign w:val="center"/>
          </w:tcPr>
          <w:p>
            <w:pPr>
              <w:widowControl/>
              <w:spacing w:line="240" w:lineRule="auto"/>
              <w:ind w:firstLine="0" w:firstLineChars="0"/>
              <w:jc w:val="center"/>
              <w:rPr>
                <w:rFonts w:eastAsia="宋体" w:cs="Times New Roman"/>
                <w:b/>
                <w:bCs/>
                <w:color w:val="000000"/>
                <w:kern w:val="0"/>
                <w:sz w:val="20"/>
                <w:szCs w:val="20"/>
              </w:rPr>
            </w:pPr>
          </w:p>
        </w:tc>
        <w:tc>
          <w:tcPr>
            <w:tcW w:w="771" w:type="pct"/>
            <w:vMerge w:val="continue"/>
            <w:tcBorders>
              <w:bottom w:val="single" w:color="auto" w:sz="4" w:space="0"/>
            </w:tcBorders>
            <w:vAlign w:val="center"/>
          </w:tcPr>
          <w:p>
            <w:pPr>
              <w:widowControl/>
              <w:spacing w:line="240" w:lineRule="auto"/>
              <w:ind w:firstLine="0" w:firstLineChars="0"/>
              <w:jc w:val="center"/>
              <w:rPr>
                <w:rFonts w:eastAsia="宋体" w:cs="Times New Roman"/>
                <w:color w:val="000000"/>
                <w:kern w:val="0"/>
                <w:sz w:val="20"/>
                <w:szCs w:val="20"/>
              </w:rPr>
            </w:pPr>
          </w:p>
        </w:tc>
        <w:tc>
          <w:tcPr>
            <w:tcW w:w="1453"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制度执行有效性</w:t>
            </w:r>
          </w:p>
        </w:tc>
        <w:tc>
          <w:tcPr>
            <w:tcW w:w="600"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微软雅黑" w:cs="Times New Roman"/>
                <w:color w:val="000000"/>
                <w:sz w:val="20"/>
                <w:szCs w:val="20"/>
              </w:rPr>
              <w:t>5.00</w:t>
            </w:r>
          </w:p>
        </w:tc>
        <w:tc>
          <w:tcPr>
            <w:tcW w:w="599" w:type="pct"/>
            <w:shd w:val="clear" w:color="000000" w:fill="FFFFFF"/>
            <w:vAlign w:val="center"/>
          </w:tcPr>
          <w:p>
            <w:pPr>
              <w:widowControl/>
              <w:spacing w:line="240" w:lineRule="auto"/>
              <w:ind w:firstLine="0" w:firstLineChars="0"/>
              <w:jc w:val="center"/>
              <w:rPr>
                <w:rFonts w:eastAsia="微软雅黑" w:cs="Times New Roman"/>
                <w:color w:val="000000"/>
                <w:sz w:val="20"/>
                <w:szCs w:val="20"/>
              </w:rPr>
            </w:pPr>
            <w:r>
              <w:rPr>
                <w:rFonts w:eastAsia="微软雅黑" w:cs="Times New Roman"/>
                <w:color w:val="000000"/>
                <w:sz w:val="20"/>
                <w:szCs w:val="20"/>
              </w:rPr>
              <w:t>5.00</w:t>
            </w:r>
          </w:p>
        </w:tc>
        <w:tc>
          <w:tcPr>
            <w:tcW w:w="727" w:type="pct"/>
            <w:shd w:val="clear" w:color="000000" w:fill="FFFFFF"/>
            <w:vAlign w:val="center"/>
          </w:tcPr>
          <w:p>
            <w:pPr>
              <w:widowControl/>
              <w:spacing w:line="240" w:lineRule="auto"/>
              <w:ind w:firstLine="0" w:firstLineChars="0"/>
              <w:jc w:val="center"/>
              <w:rPr>
                <w:rFonts w:eastAsia="微软雅黑" w:cs="Times New Roman"/>
                <w:color w:val="000000"/>
                <w:sz w:val="20"/>
                <w:szCs w:val="20"/>
              </w:rPr>
            </w:pPr>
            <w:r>
              <w:rPr>
                <w:rFonts w:eastAsia="微软雅黑" w:cs="Times New Roman"/>
                <w:color w:val="000000"/>
                <w:sz w:val="20"/>
                <w:szCs w:val="20"/>
              </w:rPr>
              <w:t>100%</w:t>
            </w:r>
          </w:p>
        </w:tc>
      </w:tr>
    </w:tbl>
    <w:p>
      <w:pPr>
        <w:adjustRightInd w:val="0"/>
        <w:snapToGrid w:val="0"/>
        <w:spacing w:before="217" w:after="217" w:line="600" w:lineRule="exact"/>
        <w:ind w:firstLine="640"/>
        <w:rPr>
          <w:rFonts w:cs="Times New Roman"/>
          <w:kern w:val="0"/>
          <w:szCs w:val="24"/>
        </w:rPr>
      </w:pPr>
    </w:p>
    <w:p>
      <w:pPr>
        <w:adjustRightInd w:val="0"/>
        <w:snapToGrid w:val="0"/>
        <w:spacing w:line="600" w:lineRule="exact"/>
        <w:ind w:firstLine="640"/>
        <w:rPr>
          <w:rFonts w:cs="Times New Roman"/>
          <w:kern w:val="0"/>
          <w:szCs w:val="24"/>
        </w:rPr>
        <w:sectPr>
          <w:pgSz w:w="11906" w:h="16838"/>
          <w:pgMar w:top="1440" w:right="1800" w:bottom="1440" w:left="1800" w:header="851" w:footer="992" w:gutter="0"/>
          <w:cols w:space="425" w:num="1"/>
          <w:docGrid w:type="lines" w:linePitch="435" w:charSpace="0"/>
        </w:sectPr>
      </w:pPr>
    </w:p>
    <w:p>
      <w:pPr>
        <w:adjustRightInd w:val="0"/>
        <w:snapToGrid w:val="0"/>
        <w:spacing w:line="600" w:lineRule="exact"/>
        <w:ind w:firstLine="640"/>
        <w:rPr>
          <w:rFonts w:cs="Times New Roman"/>
        </w:rPr>
      </w:pPr>
      <w:r>
        <w:rPr>
          <w:rFonts w:cs="Times New Roman"/>
          <w:kern w:val="0"/>
          <w:szCs w:val="24"/>
        </w:rPr>
        <w:t>（1）</w:t>
      </w:r>
      <w:r>
        <w:rPr>
          <w:rFonts w:cs="Times New Roman"/>
        </w:rPr>
        <w:t>分配及时性</w:t>
      </w:r>
    </w:p>
    <w:p>
      <w:pPr>
        <w:adjustRightInd w:val="0"/>
        <w:snapToGrid w:val="0"/>
        <w:spacing w:line="600" w:lineRule="exact"/>
        <w:ind w:firstLine="640"/>
        <w:rPr>
          <w:rFonts w:cs="Times New Roman"/>
          <w:kern w:val="0"/>
          <w:szCs w:val="24"/>
        </w:rPr>
      </w:pPr>
      <w:r>
        <w:rPr>
          <w:rFonts w:cs="Times New Roman"/>
          <w:kern w:val="0"/>
          <w:szCs w:val="24"/>
        </w:rPr>
        <w:t>分配及时性权重5.00分，实际得分5.00分，得分率100.00%。城乡居民养老保险补助在每月25日-31日之间按时分配并拨付专项预算资金，故未扣分。</w:t>
      </w:r>
    </w:p>
    <w:p>
      <w:pPr>
        <w:adjustRightInd w:val="0"/>
        <w:snapToGrid w:val="0"/>
        <w:spacing w:line="600" w:lineRule="exact"/>
        <w:ind w:firstLine="640"/>
        <w:rPr>
          <w:rFonts w:cs="Times New Roman"/>
          <w:kern w:val="0"/>
          <w:szCs w:val="24"/>
        </w:rPr>
      </w:pPr>
      <w:r>
        <w:rPr>
          <w:rFonts w:cs="Times New Roman"/>
          <w:kern w:val="0"/>
          <w:szCs w:val="24"/>
        </w:rPr>
        <w:t>（2）</w:t>
      </w:r>
      <w:r>
        <w:rPr>
          <w:rFonts w:cs="Times New Roman"/>
        </w:rPr>
        <w:t>分配结果与计划一致性</w:t>
      </w:r>
    </w:p>
    <w:p>
      <w:pPr>
        <w:adjustRightInd w:val="0"/>
        <w:snapToGrid w:val="0"/>
        <w:spacing w:line="600" w:lineRule="exact"/>
        <w:ind w:firstLine="640"/>
        <w:rPr>
          <w:rFonts w:cs="Times New Roman"/>
          <w:kern w:val="0"/>
          <w:szCs w:val="24"/>
        </w:rPr>
      </w:pPr>
      <w:r>
        <w:rPr>
          <w:rFonts w:cs="Times New Roman"/>
        </w:rPr>
        <w:t>分配结果与计划一致性</w:t>
      </w:r>
      <w:r>
        <w:rPr>
          <w:rFonts w:cs="Times New Roman"/>
          <w:kern w:val="0"/>
          <w:szCs w:val="24"/>
        </w:rPr>
        <w:t>权重5.00分，实际得分5.00分，得分率100%。城乡居民养老保险财政补助据实据效进行资金分配，主要按照缴费档次和标准，给予当月享受城乡居民养老保险待遇进行相应补贴，故未扣分。</w:t>
      </w:r>
    </w:p>
    <w:p>
      <w:pPr>
        <w:adjustRightInd w:val="0"/>
        <w:snapToGrid w:val="0"/>
        <w:spacing w:line="600" w:lineRule="exact"/>
        <w:ind w:firstLine="640"/>
        <w:rPr>
          <w:rFonts w:cs="Times New Roman"/>
          <w:kern w:val="0"/>
          <w:szCs w:val="24"/>
        </w:rPr>
      </w:pPr>
      <w:r>
        <w:rPr>
          <w:rFonts w:cs="Times New Roman"/>
          <w:kern w:val="0"/>
          <w:szCs w:val="24"/>
        </w:rPr>
        <w:t>（3）</w:t>
      </w:r>
      <w:r>
        <w:rPr>
          <w:rFonts w:cs="Times New Roman"/>
        </w:rPr>
        <w:t>资金使用合规性</w:t>
      </w:r>
    </w:p>
    <w:p>
      <w:pPr>
        <w:adjustRightInd w:val="0"/>
        <w:snapToGrid w:val="0"/>
        <w:spacing w:line="600" w:lineRule="exact"/>
        <w:ind w:firstLine="640"/>
        <w:rPr>
          <w:rFonts w:cs="Times New Roman"/>
          <w:kern w:val="0"/>
          <w:szCs w:val="24"/>
        </w:rPr>
      </w:pPr>
      <w:r>
        <w:rPr>
          <w:rFonts w:cs="Times New Roman"/>
        </w:rPr>
        <w:t>资金使用合规性</w:t>
      </w:r>
      <w:r>
        <w:rPr>
          <w:rFonts w:cs="Times New Roman"/>
          <w:kern w:val="0"/>
          <w:szCs w:val="24"/>
        </w:rPr>
        <w:t>权重5.00分，实际得分5.00分，得分率100.00%。调研中未发现资金使用不合规的情况，且能做到资金专款专用，故未扣分。</w:t>
      </w:r>
    </w:p>
    <w:p>
      <w:pPr>
        <w:adjustRightInd w:val="0"/>
        <w:snapToGrid w:val="0"/>
        <w:spacing w:line="600" w:lineRule="exact"/>
        <w:ind w:firstLine="640"/>
        <w:rPr>
          <w:rFonts w:cs="Times New Roman"/>
        </w:rPr>
      </w:pPr>
      <w:r>
        <w:rPr>
          <w:rFonts w:cs="Times New Roman"/>
        </w:rPr>
        <w:t>（4）管理制度健全性</w:t>
      </w:r>
    </w:p>
    <w:p>
      <w:pPr>
        <w:adjustRightInd w:val="0"/>
        <w:snapToGrid w:val="0"/>
        <w:spacing w:line="600" w:lineRule="exact"/>
        <w:ind w:firstLine="640"/>
        <w:rPr>
          <w:rFonts w:cs="Times New Roman"/>
          <w:kern w:val="0"/>
          <w:szCs w:val="24"/>
        </w:rPr>
      </w:pPr>
      <w:r>
        <w:rPr>
          <w:rFonts w:cs="Times New Roman"/>
        </w:rPr>
        <w:t>管理制度健全性</w:t>
      </w:r>
      <w:r>
        <w:rPr>
          <w:rFonts w:cs="Times New Roman"/>
          <w:kern w:val="0"/>
          <w:szCs w:val="24"/>
        </w:rPr>
        <w:t>权重5.00分，实际得分4.00分，得分率80.00%。城乡居民养老保险财政补贴项目是人社局的重点工作之一，但对其管理仅有国家和省级下发文件，缺少本级细化管理制度，如实施方案等，故扣1.00分。</w:t>
      </w:r>
    </w:p>
    <w:p>
      <w:pPr>
        <w:adjustRightInd w:val="0"/>
        <w:snapToGrid w:val="0"/>
        <w:spacing w:line="600" w:lineRule="exact"/>
        <w:ind w:firstLine="640"/>
        <w:rPr>
          <w:rFonts w:cs="Times New Roman"/>
        </w:rPr>
      </w:pPr>
      <w:r>
        <w:rPr>
          <w:rFonts w:cs="Times New Roman"/>
        </w:rPr>
        <w:t>（5）制度执行有效性</w:t>
      </w:r>
    </w:p>
    <w:p>
      <w:pPr>
        <w:adjustRightInd w:val="0"/>
        <w:snapToGrid w:val="0"/>
        <w:spacing w:line="600" w:lineRule="exact"/>
        <w:ind w:firstLine="640"/>
        <w:rPr>
          <w:rFonts w:cs="Times New Roman"/>
          <w:kern w:val="0"/>
          <w:szCs w:val="24"/>
        </w:rPr>
      </w:pPr>
      <w:r>
        <w:rPr>
          <w:rFonts w:cs="Times New Roman"/>
          <w:kern w:val="0"/>
          <w:szCs w:val="24"/>
        </w:rPr>
        <w:t>制度执行有效性权重5.00分，实际得分5.00分，得分率100.00%。该项目主要承担居民养老保险的核定、缴纳和收费等工作。调研发现，人员条件、场地设备和信息支撑基本落实到位，能够较好执行，故未扣分。</w:t>
      </w:r>
    </w:p>
    <w:p>
      <w:pPr>
        <w:pStyle w:val="4"/>
        <w:ind w:firstLine="643"/>
        <w:rPr>
          <w:rFonts w:cs="Times New Roman"/>
        </w:rPr>
      </w:pPr>
      <w:bookmarkStart w:id="19" w:name="_Toc76927036"/>
      <w:r>
        <w:rPr>
          <w:rFonts w:cs="Times New Roman"/>
        </w:rPr>
        <w:t>3. 项目产出指标分析</w:t>
      </w:r>
      <w:bookmarkEnd w:id="19"/>
    </w:p>
    <w:p>
      <w:pPr>
        <w:ind w:firstLine="640"/>
        <w:rPr>
          <w:rFonts w:cs="Times New Roman"/>
        </w:rPr>
      </w:pPr>
      <w:r>
        <w:rPr>
          <w:rFonts w:cs="Times New Roman"/>
        </w:rPr>
        <w:t>在项目产出指标上，设置了资金使用率、结果符合、城乡居民基本养老保障待遇人数、困难群体代缴人数、违纪记录5个三级指标。</w:t>
      </w:r>
    </w:p>
    <w:p>
      <w:pPr>
        <w:widowControl/>
        <w:spacing w:line="600" w:lineRule="exact"/>
        <w:ind w:firstLine="0" w:firstLineChars="0"/>
        <w:jc w:val="center"/>
        <w:rPr>
          <w:rFonts w:eastAsia="幼圆" w:cs="Times New Roman"/>
          <w:b/>
          <w:sz w:val="28"/>
          <w:szCs w:val="28"/>
        </w:rPr>
      </w:pPr>
      <w:r>
        <w:rPr>
          <w:rFonts w:eastAsia="幼圆" w:cs="Times New Roman"/>
          <w:b/>
          <w:sz w:val="28"/>
          <w:szCs w:val="28"/>
        </w:rPr>
        <w:t>附表 项目产出指标得分情况</w:t>
      </w:r>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9"/>
        <w:gridCol w:w="1314"/>
        <w:gridCol w:w="2330"/>
        <w:gridCol w:w="1169"/>
        <w:gridCol w:w="1021"/>
        <w:gridCol w:w="1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blHeader/>
          <w:jc w:val="center"/>
        </w:trPr>
        <w:tc>
          <w:tcPr>
            <w:tcW w:w="850" w:type="pct"/>
            <w:shd w:val="clear" w:color="000000" w:fill="00516B"/>
            <w:vAlign w:val="center"/>
          </w:tcPr>
          <w:p>
            <w:pPr>
              <w:widowControl/>
              <w:spacing w:line="240" w:lineRule="auto"/>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一级指标</w:t>
            </w:r>
          </w:p>
        </w:tc>
        <w:tc>
          <w:tcPr>
            <w:tcW w:w="771" w:type="pct"/>
            <w:shd w:val="clear" w:color="000000" w:fill="00516B"/>
            <w:vAlign w:val="center"/>
          </w:tcPr>
          <w:p>
            <w:pPr>
              <w:widowControl/>
              <w:spacing w:line="240" w:lineRule="auto"/>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二级指标</w:t>
            </w:r>
          </w:p>
        </w:tc>
        <w:tc>
          <w:tcPr>
            <w:tcW w:w="1367" w:type="pct"/>
            <w:shd w:val="clear" w:color="000000" w:fill="00516B"/>
            <w:vAlign w:val="center"/>
          </w:tcPr>
          <w:p>
            <w:pPr>
              <w:widowControl/>
              <w:spacing w:line="240" w:lineRule="auto"/>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三级指标</w:t>
            </w:r>
          </w:p>
        </w:tc>
        <w:tc>
          <w:tcPr>
            <w:tcW w:w="686" w:type="pct"/>
            <w:shd w:val="clear" w:color="000000" w:fill="00516B"/>
            <w:vAlign w:val="center"/>
          </w:tcPr>
          <w:p>
            <w:pPr>
              <w:widowControl/>
              <w:spacing w:line="240" w:lineRule="auto"/>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分值</w:t>
            </w:r>
          </w:p>
        </w:tc>
        <w:tc>
          <w:tcPr>
            <w:tcW w:w="599" w:type="pct"/>
            <w:shd w:val="clear" w:color="000000" w:fill="00516B"/>
            <w:vAlign w:val="center"/>
          </w:tcPr>
          <w:p>
            <w:pPr>
              <w:spacing w:before="217" w:after="217" w:line="240" w:lineRule="auto"/>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得分</w:t>
            </w:r>
          </w:p>
        </w:tc>
        <w:tc>
          <w:tcPr>
            <w:tcW w:w="727" w:type="pct"/>
            <w:shd w:val="clear" w:color="000000" w:fill="00516B"/>
            <w:vAlign w:val="center"/>
          </w:tcPr>
          <w:p>
            <w:pPr>
              <w:spacing w:before="217" w:after="217" w:line="240" w:lineRule="auto"/>
              <w:ind w:firstLine="191" w:firstLineChars="95"/>
              <w:jc w:val="center"/>
              <w:rPr>
                <w:rFonts w:eastAsia="宋体" w:cs="Times New Roman"/>
                <w:b/>
                <w:bCs/>
                <w:color w:val="FFFFFF"/>
                <w:kern w:val="0"/>
                <w:sz w:val="20"/>
                <w:szCs w:val="20"/>
              </w:rPr>
            </w:pPr>
            <w:r>
              <w:rPr>
                <w:rFonts w:eastAsia="宋体" w:cs="Times New Roman"/>
                <w:b/>
                <w:bCs/>
                <w:color w:val="FFFFFF"/>
                <w:kern w:val="0"/>
                <w:sz w:val="20"/>
                <w:szCs w:val="20"/>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850" w:type="pct"/>
            <w:vMerge w:val="restart"/>
            <w:shd w:val="clear" w:color="auto" w:fill="auto"/>
            <w:vAlign w:val="center"/>
          </w:tcPr>
          <w:p>
            <w:pPr>
              <w:widowControl/>
              <w:spacing w:line="240" w:lineRule="auto"/>
              <w:ind w:firstLine="0" w:firstLineChars="0"/>
              <w:jc w:val="center"/>
              <w:rPr>
                <w:rFonts w:eastAsia="宋体" w:cs="Times New Roman"/>
                <w:b/>
                <w:bCs/>
                <w:color w:val="000000"/>
                <w:kern w:val="0"/>
                <w:sz w:val="20"/>
                <w:szCs w:val="20"/>
              </w:rPr>
            </w:pPr>
            <w:r>
              <w:rPr>
                <w:rFonts w:eastAsia="宋体" w:cs="Times New Roman"/>
                <w:b/>
                <w:bCs/>
                <w:color w:val="000000"/>
                <w:kern w:val="0"/>
                <w:sz w:val="20"/>
                <w:szCs w:val="20"/>
              </w:rPr>
              <w:t>项目产出</w:t>
            </w:r>
          </w:p>
        </w:tc>
        <w:tc>
          <w:tcPr>
            <w:tcW w:w="771"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预算完成</w:t>
            </w:r>
          </w:p>
        </w:tc>
        <w:tc>
          <w:tcPr>
            <w:tcW w:w="1367"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bookmarkStart w:id="20" w:name="_Hlk74513449"/>
            <w:r>
              <w:rPr>
                <w:rFonts w:eastAsia="宋体" w:cs="Times New Roman"/>
                <w:color w:val="000000"/>
                <w:kern w:val="0"/>
                <w:sz w:val="20"/>
                <w:szCs w:val="20"/>
              </w:rPr>
              <w:t>资金使用率</w:t>
            </w:r>
            <w:bookmarkEnd w:id="20"/>
          </w:p>
        </w:tc>
        <w:tc>
          <w:tcPr>
            <w:tcW w:w="686"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5</w:t>
            </w:r>
            <w:r>
              <w:rPr>
                <w:rFonts w:eastAsia="微软雅黑" w:cs="Times New Roman"/>
                <w:color w:val="000000"/>
                <w:sz w:val="20"/>
                <w:szCs w:val="20"/>
              </w:rPr>
              <w:t>.00</w:t>
            </w:r>
          </w:p>
        </w:tc>
        <w:tc>
          <w:tcPr>
            <w:tcW w:w="599"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sz w:val="20"/>
                <w:szCs w:val="20"/>
              </w:rPr>
              <w:t>4.90</w:t>
            </w:r>
          </w:p>
        </w:tc>
        <w:tc>
          <w:tcPr>
            <w:tcW w:w="727"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sz w:val="20"/>
                <w:szCs w:val="20"/>
              </w:rPr>
              <w:t>98</w:t>
            </w:r>
            <w:r>
              <w:rPr>
                <w:rFonts w:eastAsia="微软雅黑" w:cs="Times New Roman"/>
                <w:color w:val="000000"/>
                <w:sz w:val="20"/>
                <w:szCs w:val="20"/>
              </w:rPr>
              <w:t>.00</w:t>
            </w:r>
            <w:r>
              <w:rPr>
                <w:rFonts w:eastAsia="宋体" w:cs="Times New Roman"/>
                <w:color w:val="00000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850" w:type="pct"/>
            <w:vMerge w:val="continue"/>
            <w:vAlign w:val="center"/>
          </w:tcPr>
          <w:p>
            <w:pPr>
              <w:widowControl/>
              <w:spacing w:line="240" w:lineRule="auto"/>
              <w:ind w:firstLine="0" w:firstLineChars="0"/>
              <w:jc w:val="left"/>
              <w:rPr>
                <w:rFonts w:eastAsia="宋体" w:cs="Times New Roman"/>
                <w:b/>
                <w:bCs/>
                <w:color w:val="000000"/>
                <w:kern w:val="0"/>
                <w:sz w:val="20"/>
                <w:szCs w:val="20"/>
              </w:rPr>
            </w:pPr>
          </w:p>
        </w:tc>
        <w:tc>
          <w:tcPr>
            <w:tcW w:w="771" w:type="pct"/>
            <w:vMerge w:val="restar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目标完成</w:t>
            </w:r>
          </w:p>
        </w:tc>
        <w:tc>
          <w:tcPr>
            <w:tcW w:w="1367"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结果符合</w:t>
            </w:r>
          </w:p>
        </w:tc>
        <w:tc>
          <w:tcPr>
            <w:tcW w:w="686"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4</w:t>
            </w:r>
            <w:r>
              <w:rPr>
                <w:rFonts w:eastAsia="微软雅黑" w:cs="Times New Roman"/>
                <w:color w:val="000000"/>
                <w:sz w:val="20"/>
                <w:szCs w:val="20"/>
              </w:rPr>
              <w:t>.00</w:t>
            </w:r>
          </w:p>
        </w:tc>
        <w:tc>
          <w:tcPr>
            <w:tcW w:w="599"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sz w:val="20"/>
                <w:szCs w:val="20"/>
              </w:rPr>
              <w:t>4</w:t>
            </w:r>
            <w:r>
              <w:rPr>
                <w:rFonts w:eastAsia="微软雅黑" w:cs="Times New Roman"/>
                <w:color w:val="000000"/>
                <w:sz w:val="20"/>
                <w:szCs w:val="20"/>
              </w:rPr>
              <w:t>.00</w:t>
            </w:r>
          </w:p>
        </w:tc>
        <w:tc>
          <w:tcPr>
            <w:tcW w:w="727"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sz w:val="20"/>
                <w:szCs w:val="20"/>
              </w:rPr>
              <w:t>100</w:t>
            </w:r>
            <w:r>
              <w:rPr>
                <w:rFonts w:eastAsia="微软雅黑" w:cs="Times New Roman"/>
                <w:color w:val="000000"/>
                <w:sz w:val="20"/>
                <w:szCs w:val="20"/>
              </w:rPr>
              <w:t>.00</w:t>
            </w:r>
            <w:r>
              <w:rPr>
                <w:rFonts w:eastAsia="宋体" w:cs="Times New Roman"/>
                <w:color w:val="00000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8" w:hRule="atLeast"/>
          <w:jc w:val="center"/>
        </w:trPr>
        <w:tc>
          <w:tcPr>
            <w:tcW w:w="850" w:type="pct"/>
            <w:vMerge w:val="continue"/>
            <w:vAlign w:val="center"/>
          </w:tcPr>
          <w:p>
            <w:pPr>
              <w:widowControl/>
              <w:spacing w:line="240" w:lineRule="auto"/>
              <w:ind w:firstLine="0" w:firstLineChars="0"/>
              <w:jc w:val="left"/>
              <w:rPr>
                <w:rFonts w:eastAsia="宋体" w:cs="Times New Roman"/>
                <w:b/>
                <w:bCs/>
                <w:color w:val="000000"/>
                <w:kern w:val="0"/>
                <w:sz w:val="20"/>
                <w:szCs w:val="20"/>
              </w:rPr>
            </w:pPr>
          </w:p>
        </w:tc>
        <w:tc>
          <w:tcPr>
            <w:tcW w:w="771" w:type="pct"/>
            <w:vMerge w:val="continue"/>
            <w:vAlign w:val="center"/>
          </w:tcPr>
          <w:p>
            <w:pPr>
              <w:widowControl/>
              <w:spacing w:line="240" w:lineRule="auto"/>
              <w:ind w:firstLine="0" w:firstLineChars="0"/>
              <w:jc w:val="left"/>
              <w:rPr>
                <w:rFonts w:eastAsia="宋体" w:cs="Times New Roman"/>
                <w:color w:val="000000"/>
                <w:kern w:val="0"/>
                <w:sz w:val="20"/>
                <w:szCs w:val="20"/>
              </w:rPr>
            </w:pPr>
          </w:p>
        </w:tc>
        <w:tc>
          <w:tcPr>
            <w:tcW w:w="1367"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城乡居民基本养老保障待遇人数</w:t>
            </w:r>
          </w:p>
        </w:tc>
        <w:tc>
          <w:tcPr>
            <w:tcW w:w="686"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5</w:t>
            </w:r>
            <w:r>
              <w:rPr>
                <w:rFonts w:eastAsia="微软雅黑" w:cs="Times New Roman"/>
                <w:color w:val="000000"/>
                <w:sz w:val="20"/>
                <w:szCs w:val="20"/>
              </w:rPr>
              <w:t>.00</w:t>
            </w:r>
          </w:p>
        </w:tc>
        <w:tc>
          <w:tcPr>
            <w:tcW w:w="599"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sz w:val="20"/>
                <w:szCs w:val="20"/>
              </w:rPr>
              <w:t>5</w:t>
            </w:r>
            <w:r>
              <w:rPr>
                <w:rFonts w:eastAsia="微软雅黑" w:cs="Times New Roman"/>
                <w:color w:val="000000"/>
                <w:sz w:val="20"/>
                <w:szCs w:val="20"/>
              </w:rPr>
              <w:t>.00</w:t>
            </w:r>
          </w:p>
        </w:tc>
        <w:tc>
          <w:tcPr>
            <w:tcW w:w="727"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sz w:val="20"/>
                <w:szCs w:val="2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50" w:type="pct"/>
            <w:vMerge w:val="continue"/>
            <w:vAlign w:val="center"/>
          </w:tcPr>
          <w:p>
            <w:pPr>
              <w:widowControl/>
              <w:spacing w:line="240" w:lineRule="auto"/>
              <w:ind w:firstLine="0" w:firstLineChars="0"/>
              <w:jc w:val="left"/>
              <w:rPr>
                <w:rFonts w:eastAsia="宋体" w:cs="Times New Roman"/>
                <w:b/>
                <w:bCs/>
                <w:color w:val="000000"/>
                <w:kern w:val="0"/>
                <w:sz w:val="20"/>
                <w:szCs w:val="20"/>
              </w:rPr>
            </w:pPr>
          </w:p>
        </w:tc>
        <w:tc>
          <w:tcPr>
            <w:tcW w:w="771" w:type="pct"/>
            <w:vMerge w:val="continue"/>
            <w:vAlign w:val="center"/>
          </w:tcPr>
          <w:p>
            <w:pPr>
              <w:widowControl/>
              <w:spacing w:line="240" w:lineRule="auto"/>
              <w:ind w:firstLine="0" w:firstLineChars="0"/>
              <w:jc w:val="left"/>
              <w:rPr>
                <w:rFonts w:eastAsia="宋体" w:cs="Times New Roman"/>
                <w:color w:val="000000"/>
                <w:kern w:val="0"/>
                <w:sz w:val="20"/>
                <w:szCs w:val="20"/>
              </w:rPr>
            </w:pPr>
          </w:p>
        </w:tc>
        <w:tc>
          <w:tcPr>
            <w:tcW w:w="1367"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困难群体代缴人数</w:t>
            </w:r>
          </w:p>
        </w:tc>
        <w:tc>
          <w:tcPr>
            <w:tcW w:w="686"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5</w:t>
            </w:r>
            <w:r>
              <w:rPr>
                <w:rFonts w:eastAsia="微软雅黑" w:cs="Times New Roman"/>
                <w:color w:val="000000"/>
                <w:sz w:val="20"/>
                <w:szCs w:val="20"/>
              </w:rPr>
              <w:t>.00</w:t>
            </w:r>
          </w:p>
        </w:tc>
        <w:tc>
          <w:tcPr>
            <w:tcW w:w="599"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sz w:val="20"/>
                <w:szCs w:val="20"/>
              </w:rPr>
              <w:t>5</w:t>
            </w:r>
            <w:r>
              <w:rPr>
                <w:rFonts w:eastAsia="微软雅黑" w:cs="Times New Roman"/>
                <w:color w:val="000000"/>
                <w:sz w:val="20"/>
                <w:szCs w:val="20"/>
              </w:rPr>
              <w:t>.00</w:t>
            </w:r>
          </w:p>
        </w:tc>
        <w:tc>
          <w:tcPr>
            <w:tcW w:w="727"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sz w:val="20"/>
                <w:szCs w:val="2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850" w:type="pct"/>
            <w:vMerge w:val="continue"/>
            <w:vAlign w:val="center"/>
          </w:tcPr>
          <w:p>
            <w:pPr>
              <w:widowControl/>
              <w:spacing w:line="240" w:lineRule="auto"/>
              <w:ind w:firstLine="0" w:firstLineChars="0"/>
              <w:jc w:val="left"/>
              <w:rPr>
                <w:rFonts w:eastAsia="宋体" w:cs="Times New Roman"/>
                <w:b/>
                <w:bCs/>
                <w:color w:val="000000"/>
                <w:kern w:val="0"/>
                <w:sz w:val="20"/>
                <w:szCs w:val="20"/>
              </w:rPr>
            </w:pPr>
          </w:p>
        </w:tc>
        <w:tc>
          <w:tcPr>
            <w:tcW w:w="771"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违规记录</w:t>
            </w:r>
          </w:p>
        </w:tc>
        <w:tc>
          <w:tcPr>
            <w:tcW w:w="1367"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违纪记录</w:t>
            </w:r>
          </w:p>
        </w:tc>
        <w:tc>
          <w:tcPr>
            <w:tcW w:w="686"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5</w:t>
            </w:r>
            <w:r>
              <w:rPr>
                <w:rFonts w:eastAsia="微软雅黑" w:cs="Times New Roman"/>
                <w:color w:val="000000"/>
                <w:sz w:val="20"/>
                <w:szCs w:val="20"/>
              </w:rPr>
              <w:t>.00</w:t>
            </w:r>
          </w:p>
        </w:tc>
        <w:tc>
          <w:tcPr>
            <w:tcW w:w="599"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sz w:val="20"/>
                <w:szCs w:val="20"/>
              </w:rPr>
              <w:t>5</w:t>
            </w:r>
            <w:r>
              <w:rPr>
                <w:rFonts w:eastAsia="微软雅黑" w:cs="Times New Roman"/>
                <w:color w:val="000000"/>
                <w:sz w:val="20"/>
                <w:szCs w:val="20"/>
              </w:rPr>
              <w:t>.00</w:t>
            </w:r>
          </w:p>
        </w:tc>
        <w:tc>
          <w:tcPr>
            <w:tcW w:w="727"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sz w:val="20"/>
                <w:szCs w:val="20"/>
              </w:rPr>
              <w:t>100%</w:t>
            </w:r>
          </w:p>
        </w:tc>
      </w:tr>
    </w:tbl>
    <w:p>
      <w:pPr>
        <w:adjustRightInd w:val="0"/>
        <w:snapToGrid w:val="0"/>
        <w:ind w:firstLine="640"/>
        <w:rPr>
          <w:rFonts w:cs="Times New Roman"/>
          <w:kern w:val="0"/>
          <w:szCs w:val="24"/>
        </w:rPr>
      </w:pPr>
      <w:bookmarkStart w:id="21" w:name="_Hlk74514600"/>
    </w:p>
    <w:p>
      <w:pPr>
        <w:adjustRightInd w:val="0"/>
        <w:snapToGrid w:val="0"/>
        <w:ind w:firstLine="640"/>
        <w:rPr>
          <w:rFonts w:cs="Times New Roman"/>
        </w:rPr>
      </w:pPr>
      <w:r>
        <w:rPr>
          <w:rFonts w:cs="Times New Roman"/>
          <w:kern w:val="0"/>
          <w:szCs w:val="24"/>
        </w:rPr>
        <w:t>（1）</w:t>
      </w:r>
      <w:r>
        <w:rPr>
          <w:rFonts w:cs="Times New Roman"/>
        </w:rPr>
        <w:t>资金使用率</w:t>
      </w:r>
    </w:p>
    <w:p>
      <w:pPr>
        <w:adjustRightInd w:val="0"/>
        <w:snapToGrid w:val="0"/>
        <w:ind w:firstLine="640"/>
        <w:rPr>
          <w:rFonts w:cs="Times New Roman"/>
          <w:kern w:val="0"/>
          <w:szCs w:val="24"/>
        </w:rPr>
      </w:pPr>
      <w:r>
        <w:rPr>
          <w:rFonts w:cs="Times New Roman"/>
          <w:kern w:val="0"/>
          <w:szCs w:val="24"/>
        </w:rPr>
        <w:t>资金使用率权重5.00分，实际得分4.00分，得分率98.00%。具体来看，2020年收入决算数为11162.93万元，2020年实际支出数为10967.83万元，资金执行率为98.25%，故未扣分。</w:t>
      </w:r>
    </w:p>
    <w:p>
      <w:pPr>
        <w:adjustRightInd w:val="0"/>
        <w:snapToGrid w:val="0"/>
        <w:ind w:firstLine="640"/>
        <w:rPr>
          <w:rFonts w:cs="Times New Roman"/>
          <w:kern w:val="0"/>
          <w:szCs w:val="24"/>
        </w:rPr>
      </w:pPr>
      <w:r>
        <w:rPr>
          <w:rFonts w:cs="Times New Roman"/>
          <w:kern w:val="0"/>
          <w:szCs w:val="24"/>
        </w:rPr>
        <w:t>（2）</w:t>
      </w:r>
      <w:r>
        <w:rPr>
          <w:rFonts w:cs="Times New Roman"/>
        </w:rPr>
        <w:t>结果符合</w:t>
      </w:r>
    </w:p>
    <w:p>
      <w:pPr>
        <w:adjustRightInd w:val="0"/>
        <w:snapToGrid w:val="0"/>
        <w:ind w:firstLine="640"/>
        <w:rPr>
          <w:rFonts w:cs="Times New Roman"/>
          <w:kern w:val="0"/>
          <w:szCs w:val="24"/>
        </w:rPr>
      </w:pPr>
      <w:r>
        <w:rPr>
          <w:rFonts w:cs="Times New Roman"/>
          <w:kern w:val="0"/>
          <w:szCs w:val="24"/>
        </w:rPr>
        <w:t>结果符合权重4.00分，实际得分4.00分，得分率100.00%。从2020年度资金结算申报表和基础业务数据可以看出：城乡居民基本养老保险发放按照年龄、发放标准及人次数进行足额发放，故未扣分。</w:t>
      </w:r>
    </w:p>
    <w:p>
      <w:pPr>
        <w:adjustRightInd w:val="0"/>
        <w:snapToGrid w:val="0"/>
        <w:ind w:firstLine="640"/>
        <w:rPr>
          <w:rFonts w:cs="Times New Roman"/>
          <w:kern w:val="0"/>
          <w:szCs w:val="24"/>
        </w:rPr>
      </w:pPr>
      <w:r>
        <w:rPr>
          <w:rFonts w:cs="Times New Roman"/>
          <w:kern w:val="0"/>
          <w:szCs w:val="24"/>
        </w:rPr>
        <w:t>（3）</w:t>
      </w:r>
      <w:r>
        <w:rPr>
          <w:rFonts w:cs="Times New Roman"/>
        </w:rPr>
        <w:t>城乡居民基本养老保障待遇人数</w:t>
      </w:r>
    </w:p>
    <w:p>
      <w:pPr>
        <w:adjustRightInd w:val="0"/>
        <w:snapToGrid w:val="0"/>
        <w:ind w:firstLine="640"/>
        <w:rPr>
          <w:rFonts w:cs="Times New Roman"/>
          <w:kern w:val="0"/>
          <w:szCs w:val="24"/>
        </w:rPr>
      </w:pPr>
      <w:r>
        <w:rPr>
          <w:rFonts w:cs="Times New Roman"/>
        </w:rPr>
        <w:t>城乡居民基本养老保障待遇人数</w:t>
      </w:r>
      <w:r>
        <w:rPr>
          <w:rFonts w:cs="Times New Roman"/>
          <w:kern w:val="0"/>
          <w:szCs w:val="24"/>
        </w:rPr>
        <w:t>权重5.00分，实际得分5.00分，得分率100%。截止2020年12月底，享受城乡居民养老保险待遇人数为81329人，大于德阳市下达给绵竹市目标任务数（77500人），故未扣分。</w:t>
      </w:r>
    </w:p>
    <w:p>
      <w:pPr>
        <w:adjustRightInd w:val="0"/>
        <w:snapToGrid w:val="0"/>
        <w:ind w:firstLine="640"/>
        <w:rPr>
          <w:rFonts w:cs="Times New Roman"/>
        </w:rPr>
      </w:pPr>
      <w:r>
        <w:rPr>
          <w:rFonts w:cs="Times New Roman"/>
        </w:rPr>
        <w:t>（4）困难群体代缴人数</w:t>
      </w:r>
    </w:p>
    <w:p>
      <w:pPr>
        <w:adjustRightInd w:val="0"/>
        <w:snapToGrid w:val="0"/>
        <w:ind w:firstLine="640"/>
        <w:rPr>
          <w:rFonts w:cs="Times New Roman"/>
        </w:rPr>
      </w:pPr>
      <w:r>
        <w:rPr>
          <w:rFonts w:cs="Times New Roman"/>
        </w:rPr>
        <w:t>困难群体代缴人数</w:t>
      </w:r>
      <w:r>
        <w:rPr>
          <w:rFonts w:cs="Times New Roman"/>
          <w:kern w:val="0"/>
          <w:szCs w:val="24"/>
        </w:rPr>
        <w:t>权重5.00分，实际得分5.00分，得分率100.00%。截止2020年12月底，政府代缴城乡居民养老保险费用人数为9576人，大于规定代缴人数（5500人），故未扣分。</w:t>
      </w:r>
    </w:p>
    <w:p>
      <w:pPr>
        <w:adjustRightInd w:val="0"/>
        <w:snapToGrid w:val="0"/>
        <w:ind w:firstLine="640"/>
        <w:rPr>
          <w:rFonts w:cs="Times New Roman"/>
          <w:kern w:val="0"/>
          <w:szCs w:val="24"/>
        </w:rPr>
      </w:pPr>
      <w:r>
        <w:rPr>
          <w:rFonts w:cs="Times New Roman"/>
        </w:rPr>
        <w:t>（5）违纪记录</w:t>
      </w:r>
    </w:p>
    <w:p>
      <w:pPr>
        <w:adjustRightInd w:val="0"/>
        <w:snapToGrid w:val="0"/>
        <w:ind w:firstLine="640"/>
        <w:rPr>
          <w:rFonts w:cs="Times New Roman"/>
          <w:kern w:val="0"/>
          <w:szCs w:val="24"/>
        </w:rPr>
      </w:pPr>
      <w:r>
        <w:rPr>
          <w:rFonts w:cs="Times New Roman"/>
        </w:rPr>
        <w:t>违纪记录</w:t>
      </w:r>
      <w:r>
        <w:rPr>
          <w:rFonts w:cs="Times New Roman"/>
          <w:kern w:val="0"/>
          <w:szCs w:val="24"/>
        </w:rPr>
        <w:t>权重5.00分，实际得分5.00分，得分率100.00%</w:t>
      </w:r>
      <w:bookmarkEnd w:id="21"/>
      <w:r>
        <w:rPr>
          <w:rFonts w:cs="Times New Roman"/>
          <w:kern w:val="0"/>
          <w:szCs w:val="24"/>
        </w:rPr>
        <w:t>。调研中未发现有违规记录情况，故未扣分。</w:t>
      </w:r>
    </w:p>
    <w:p>
      <w:pPr>
        <w:pStyle w:val="4"/>
        <w:ind w:firstLine="643"/>
        <w:rPr>
          <w:rFonts w:cs="Times New Roman"/>
        </w:rPr>
      </w:pPr>
      <w:bookmarkStart w:id="22" w:name="_Toc76927037"/>
      <w:r>
        <w:rPr>
          <w:rFonts w:cs="Times New Roman"/>
        </w:rPr>
        <w:t>4. 项目效果指标分析</w:t>
      </w:r>
      <w:bookmarkEnd w:id="22"/>
    </w:p>
    <w:p>
      <w:pPr>
        <w:ind w:firstLine="640"/>
        <w:rPr>
          <w:rFonts w:cs="Times New Roman"/>
        </w:rPr>
      </w:pPr>
      <w:r>
        <w:rPr>
          <w:rFonts w:cs="Times New Roman"/>
        </w:rPr>
        <w:t>在项目效果指标上，设置了城乡居民参保提升率、城乡居民养老保险覆盖率、政策宣传普及率、城乡居民满意度4个三级指标。</w:t>
      </w:r>
    </w:p>
    <w:p>
      <w:pPr>
        <w:widowControl/>
        <w:spacing w:line="600" w:lineRule="exact"/>
        <w:ind w:firstLine="0" w:firstLineChars="0"/>
        <w:jc w:val="center"/>
        <w:rPr>
          <w:rFonts w:eastAsia="幼圆" w:cs="Times New Roman"/>
          <w:b/>
          <w:szCs w:val="32"/>
        </w:rPr>
        <w:sectPr>
          <w:pgSz w:w="11906" w:h="16838"/>
          <w:pgMar w:top="1440" w:right="1800" w:bottom="1440" w:left="1800" w:header="851" w:footer="992" w:gutter="0"/>
          <w:cols w:space="425" w:num="1"/>
          <w:docGrid w:type="lines" w:linePitch="435" w:charSpace="0"/>
        </w:sectPr>
      </w:pPr>
    </w:p>
    <w:p>
      <w:pPr>
        <w:widowControl/>
        <w:spacing w:line="600" w:lineRule="exact"/>
        <w:ind w:firstLine="0" w:firstLineChars="0"/>
        <w:jc w:val="center"/>
        <w:rPr>
          <w:rFonts w:eastAsia="幼圆" w:cs="Times New Roman"/>
          <w:b/>
          <w:sz w:val="28"/>
          <w:szCs w:val="28"/>
        </w:rPr>
      </w:pPr>
      <w:r>
        <w:rPr>
          <w:rFonts w:eastAsia="幼圆" w:cs="Times New Roman"/>
          <w:b/>
          <w:sz w:val="28"/>
          <w:szCs w:val="28"/>
        </w:rPr>
        <w:t>附表 项目效果指标得分情况</w:t>
      </w:r>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9"/>
        <w:gridCol w:w="1314"/>
        <w:gridCol w:w="2620"/>
        <w:gridCol w:w="879"/>
        <w:gridCol w:w="1021"/>
        <w:gridCol w:w="1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blHeader/>
          <w:jc w:val="center"/>
        </w:trPr>
        <w:tc>
          <w:tcPr>
            <w:tcW w:w="850" w:type="pct"/>
            <w:shd w:val="clear" w:color="000000" w:fill="00516B"/>
            <w:vAlign w:val="center"/>
          </w:tcPr>
          <w:p>
            <w:pPr>
              <w:widowControl/>
              <w:spacing w:line="240" w:lineRule="auto"/>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一级指标</w:t>
            </w:r>
          </w:p>
        </w:tc>
        <w:tc>
          <w:tcPr>
            <w:tcW w:w="771" w:type="pct"/>
            <w:shd w:val="clear" w:color="000000" w:fill="00516B"/>
            <w:vAlign w:val="center"/>
          </w:tcPr>
          <w:p>
            <w:pPr>
              <w:widowControl/>
              <w:spacing w:line="240" w:lineRule="auto"/>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二级指标</w:t>
            </w:r>
          </w:p>
        </w:tc>
        <w:tc>
          <w:tcPr>
            <w:tcW w:w="1537" w:type="pct"/>
            <w:shd w:val="clear" w:color="000000" w:fill="00516B"/>
            <w:vAlign w:val="center"/>
          </w:tcPr>
          <w:p>
            <w:pPr>
              <w:widowControl/>
              <w:spacing w:line="240" w:lineRule="auto"/>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三级指标</w:t>
            </w:r>
          </w:p>
        </w:tc>
        <w:tc>
          <w:tcPr>
            <w:tcW w:w="516" w:type="pct"/>
            <w:shd w:val="clear" w:color="000000" w:fill="00516B"/>
            <w:vAlign w:val="center"/>
          </w:tcPr>
          <w:p>
            <w:pPr>
              <w:widowControl/>
              <w:spacing w:line="240" w:lineRule="auto"/>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分值</w:t>
            </w:r>
          </w:p>
        </w:tc>
        <w:tc>
          <w:tcPr>
            <w:tcW w:w="599" w:type="pct"/>
            <w:shd w:val="clear" w:color="000000" w:fill="00516B"/>
            <w:vAlign w:val="center"/>
          </w:tcPr>
          <w:p>
            <w:pPr>
              <w:spacing w:before="217" w:after="217" w:line="240" w:lineRule="auto"/>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得分</w:t>
            </w:r>
          </w:p>
        </w:tc>
        <w:tc>
          <w:tcPr>
            <w:tcW w:w="727" w:type="pct"/>
            <w:shd w:val="clear" w:color="000000" w:fill="00516B"/>
            <w:vAlign w:val="center"/>
          </w:tcPr>
          <w:p>
            <w:pPr>
              <w:spacing w:before="217" w:after="217" w:line="240" w:lineRule="auto"/>
              <w:ind w:firstLine="191" w:firstLineChars="95"/>
              <w:jc w:val="center"/>
              <w:rPr>
                <w:rFonts w:eastAsia="宋体" w:cs="Times New Roman"/>
                <w:b/>
                <w:bCs/>
                <w:color w:val="FFFFFF"/>
                <w:kern w:val="0"/>
                <w:sz w:val="20"/>
                <w:szCs w:val="20"/>
              </w:rPr>
            </w:pPr>
            <w:r>
              <w:rPr>
                <w:rFonts w:eastAsia="宋体" w:cs="Times New Roman"/>
                <w:b/>
                <w:bCs/>
                <w:color w:val="FFFFFF"/>
                <w:kern w:val="0"/>
                <w:sz w:val="20"/>
                <w:szCs w:val="20"/>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850" w:type="pct"/>
            <w:vMerge w:val="restart"/>
            <w:shd w:val="clear" w:color="auto" w:fill="auto"/>
            <w:vAlign w:val="center"/>
          </w:tcPr>
          <w:p>
            <w:pPr>
              <w:widowControl/>
              <w:spacing w:line="240" w:lineRule="auto"/>
              <w:ind w:firstLine="0" w:firstLineChars="0"/>
              <w:jc w:val="center"/>
              <w:rPr>
                <w:rFonts w:eastAsia="宋体" w:cs="Times New Roman"/>
                <w:b/>
                <w:bCs/>
                <w:color w:val="000000"/>
                <w:kern w:val="0"/>
                <w:sz w:val="20"/>
                <w:szCs w:val="20"/>
              </w:rPr>
            </w:pPr>
            <w:r>
              <w:rPr>
                <w:rFonts w:eastAsia="宋体" w:cs="Times New Roman"/>
                <w:b/>
                <w:bCs/>
                <w:color w:val="000000"/>
                <w:kern w:val="0"/>
                <w:sz w:val="20"/>
                <w:szCs w:val="20"/>
              </w:rPr>
              <w:t>项目效果</w:t>
            </w:r>
          </w:p>
        </w:tc>
        <w:tc>
          <w:tcPr>
            <w:tcW w:w="771" w:type="pct"/>
            <w:vMerge w:val="restart"/>
            <w:shd w:val="clear" w:color="auto" w:fill="auto"/>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社会效益</w:t>
            </w:r>
          </w:p>
        </w:tc>
        <w:tc>
          <w:tcPr>
            <w:tcW w:w="1537"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城乡居民参保提升率</w:t>
            </w:r>
          </w:p>
        </w:tc>
        <w:tc>
          <w:tcPr>
            <w:tcW w:w="516"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微软雅黑" w:cs="Times New Roman"/>
                <w:color w:val="000000"/>
                <w:sz w:val="20"/>
                <w:szCs w:val="20"/>
              </w:rPr>
              <w:t>8.00</w:t>
            </w:r>
          </w:p>
        </w:tc>
        <w:tc>
          <w:tcPr>
            <w:tcW w:w="599"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cs="Times New Roman"/>
                <w:sz w:val="20"/>
                <w:szCs w:val="20"/>
              </w:rPr>
              <w:t>7.60</w:t>
            </w:r>
          </w:p>
        </w:tc>
        <w:tc>
          <w:tcPr>
            <w:tcW w:w="727"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cs="Times New Roman"/>
                <w:sz w:val="20"/>
                <w:szCs w:val="20"/>
              </w:rPr>
              <w:t>95</w:t>
            </w:r>
            <w:r>
              <w:rPr>
                <w:rFonts w:eastAsia="微软雅黑" w:cs="Times New Roman"/>
                <w:color w:val="000000"/>
                <w:sz w:val="20"/>
                <w:szCs w:val="20"/>
              </w:rPr>
              <w:t>.00</w:t>
            </w:r>
            <w:r>
              <w:rPr>
                <w:rFonts w:cs="Times New Roman"/>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850" w:type="pct"/>
            <w:vMerge w:val="continue"/>
            <w:vAlign w:val="center"/>
          </w:tcPr>
          <w:p>
            <w:pPr>
              <w:spacing w:before="217" w:after="217" w:line="240" w:lineRule="auto"/>
              <w:ind w:firstLine="402"/>
              <w:jc w:val="center"/>
              <w:rPr>
                <w:rFonts w:eastAsia="宋体" w:cs="Times New Roman"/>
                <w:b/>
                <w:bCs/>
                <w:color w:val="000000"/>
                <w:kern w:val="0"/>
                <w:sz w:val="20"/>
                <w:szCs w:val="20"/>
              </w:rPr>
            </w:pPr>
          </w:p>
        </w:tc>
        <w:tc>
          <w:tcPr>
            <w:tcW w:w="771" w:type="pct"/>
            <w:vMerge w:val="continue"/>
            <w:vAlign w:val="center"/>
          </w:tcPr>
          <w:p>
            <w:pPr>
              <w:widowControl/>
              <w:spacing w:line="240" w:lineRule="auto"/>
              <w:ind w:firstLine="0" w:firstLineChars="0"/>
              <w:jc w:val="left"/>
              <w:rPr>
                <w:rFonts w:eastAsia="宋体" w:cs="Times New Roman"/>
                <w:b/>
                <w:bCs/>
                <w:color w:val="000000"/>
                <w:kern w:val="0"/>
                <w:sz w:val="20"/>
                <w:szCs w:val="20"/>
              </w:rPr>
            </w:pPr>
          </w:p>
        </w:tc>
        <w:tc>
          <w:tcPr>
            <w:tcW w:w="1537" w:type="pct"/>
            <w:shd w:val="clear" w:color="auto" w:fill="auto"/>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城乡居民养老保险覆盖率</w:t>
            </w:r>
          </w:p>
        </w:tc>
        <w:tc>
          <w:tcPr>
            <w:tcW w:w="516"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微软雅黑" w:cs="Times New Roman"/>
                <w:color w:val="000000"/>
                <w:sz w:val="20"/>
                <w:szCs w:val="20"/>
              </w:rPr>
              <w:t>9.00</w:t>
            </w:r>
          </w:p>
        </w:tc>
        <w:tc>
          <w:tcPr>
            <w:tcW w:w="599"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cs="Times New Roman"/>
                <w:sz w:val="20"/>
                <w:szCs w:val="20"/>
              </w:rPr>
              <w:t>8.73</w:t>
            </w:r>
          </w:p>
        </w:tc>
        <w:tc>
          <w:tcPr>
            <w:tcW w:w="727"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cs="Times New Roman"/>
                <w:sz w:val="20"/>
                <w:szCs w:val="20"/>
              </w:rPr>
              <w:t>100</w:t>
            </w:r>
            <w:r>
              <w:rPr>
                <w:rFonts w:eastAsia="微软雅黑" w:cs="Times New Roman"/>
                <w:color w:val="000000"/>
                <w:sz w:val="20"/>
                <w:szCs w:val="20"/>
              </w:rPr>
              <w:t>.00</w:t>
            </w:r>
            <w:r>
              <w:rPr>
                <w:rFonts w:cs="Times New Roman"/>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50" w:type="pct"/>
            <w:vMerge w:val="continue"/>
            <w:vAlign w:val="center"/>
          </w:tcPr>
          <w:p>
            <w:pPr>
              <w:spacing w:before="217" w:after="217" w:line="240" w:lineRule="auto"/>
              <w:ind w:firstLine="402"/>
              <w:jc w:val="center"/>
              <w:rPr>
                <w:rFonts w:eastAsia="宋体" w:cs="Times New Roman"/>
                <w:b/>
                <w:bCs/>
                <w:color w:val="000000"/>
                <w:kern w:val="0"/>
                <w:sz w:val="20"/>
                <w:szCs w:val="20"/>
              </w:rPr>
            </w:pPr>
          </w:p>
        </w:tc>
        <w:tc>
          <w:tcPr>
            <w:tcW w:w="771" w:type="pct"/>
            <w:vMerge w:val="continue"/>
            <w:vAlign w:val="center"/>
          </w:tcPr>
          <w:p>
            <w:pPr>
              <w:widowControl/>
              <w:spacing w:line="240" w:lineRule="auto"/>
              <w:ind w:firstLine="0" w:firstLineChars="0"/>
              <w:jc w:val="left"/>
              <w:rPr>
                <w:rFonts w:eastAsia="宋体" w:cs="Times New Roman"/>
                <w:b/>
                <w:bCs/>
                <w:color w:val="000000"/>
                <w:kern w:val="0"/>
                <w:sz w:val="20"/>
                <w:szCs w:val="20"/>
              </w:rPr>
            </w:pPr>
          </w:p>
        </w:tc>
        <w:tc>
          <w:tcPr>
            <w:tcW w:w="1537" w:type="pct"/>
            <w:shd w:val="clear" w:color="auto" w:fill="auto"/>
            <w:vAlign w:val="center"/>
          </w:tcPr>
          <w:p>
            <w:pPr>
              <w:widowControl/>
              <w:spacing w:line="240" w:lineRule="auto"/>
              <w:ind w:firstLine="0" w:firstLineChars="0"/>
              <w:jc w:val="center"/>
              <w:rPr>
                <w:rFonts w:eastAsia="宋体" w:cs="Times New Roman"/>
                <w:color w:val="000000"/>
                <w:kern w:val="0"/>
                <w:sz w:val="20"/>
                <w:szCs w:val="20"/>
              </w:rPr>
            </w:pPr>
            <w:bookmarkStart w:id="23" w:name="_Hlk74514654"/>
            <w:r>
              <w:rPr>
                <w:rFonts w:eastAsia="宋体" w:cs="Times New Roman"/>
                <w:color w:val="000000"/>
                <w:kern w:val="0"/>
                <w:sz w:val="20"/>
                <w:szCs w:val="20"/>
              </w:rPr>
              <w:t>政策宣传普及率</w:t>
            </w:r>
            <w:bookmarkEnd w:id="23"/>
          </w:p>
        </w:tc>
        <w:tc>
          <w:tcPr>
            <w:tcW w:w="516"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eastAsia="微软雅黑" w:cs="Times New Roman"/>
                <w:color w:val="000000"/>
                <w:sz w:val="20"/>
                <w:szCs w:val="20"/>
              </w:rPr>
              <w:t>8.00</w:t>
            </w:r>
          </w:p>
        </w:tc>
        <w:tc>
          <w:tcPr>
            <w:tcW w:w="599"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cs="Times New Roman"/>
                <w:sz w:val="20"/>
                <w:szCs w:val="20"/>
              </w:rPr>
              <w:t>7.50</w:t>
            </w:r>
          </w:p>
        </w:tc>
        <w:tc>
          <w:tcPr>
            <w:tcW w:w="727" w:type="pct"/>
            <w:shd w:val="clear" w:color="000000" w:fill="FFFFFF"/>
            <w:vAlign w:val="center"/>
          </w:tcPr>
          <w:p>
            <w:pPr>
              <w:widowControl/>
              <w:spacing w:line="240" w:lineRule="auto"/>
              <w:ind w:firstLine="0" w:firstLineChars="0"/>
              <w:jc w:val="center"/>
              <w:rPr>
                <w:rFonts w:eastAsia="宋体" w:cs="Times New Roman"/>
                <w:color w:val="000000"/>
                <w:kern w:val="0"/>
                <w:sz w:val="20"/>
                <w:szCs w:val="20"/>
              </w:rPr>
            </w:pPr>
            <w:r>
              <w:rPr>
                <w:rFonts w:cs="Times New Roman"/>
                <w:sz w:val="20"/>
                <w:szCs w:val="20"/>
              </w:rPr>
              <w:t>93.75%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atLeast"/>
          <w:jc w:val="center"/>
        </w:trPr>
        <w:tc>
          <w:tcPr>
            <w:tcW w:w="850" w:type="pct"/>
            <w:vMerge w:val="continue"/>
            <w:shd w:val="clear" w:color="auto" w:fill="auto"/>
            <w:vAlign w:val="center"/>
          </w:tcPr>
          <w:p>
            <w:pPr>
              <w:widowControl/>
              <w:spacing w:line="240" w:lineRule="auto"/>
              <w:ind w:firstLine="0" w:firstLineChars="0"/>
              <w:jc w:val="center"/>
              <w:rPr>
                <w:rFonts w:eastAsia="宋体" w:cs="Times New Roman"/>
                <w:b/>
                <w:bCs/>
                <w:color w:val="000000"/>
                <w:kern w:val="0"/>
                <w:sz w:val="20"/>
                <w:szCs w:val="20"/>
              </w:rPr>
            </w:pPr>
          </w:p>
        </w:tc>
        <w:tc>
          <w:tcPr>
            <w:tcW w:w="771" w:type="pct"/>
            <w:shd w:val="clear" w:color="auto" w:fill="auto"/>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服务对象满意度</w:t>
            </w:r>
          </w:p>
        </w:tc>
        <w:tc>
          <w:tcPr>
            <w:tcW w:w="1537" w:type="pct"/>
            <w:shd w:val="clear" w:color="auto" w:fill="auto"/>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城乡居民满意度</w:t>
            </w:r>
          </w:p>
        </w:tc>
        <w:tc>
          <w:tcPr>
            <w:tcW w:w="516" w:type="pct"/>
            <w:shd w:val="clear" w:color="auto" w:fill="auto"/>
            <w:vAlign w:val="center"/>
          </w:tcPr>
          <w:p>
            <w:pPr>
              <w:widowControl/>
              <w:spacing w:line="240" w:lineRule="auto"/>
              <w:ind w:firstLine="0" w:firstLineChars="0"/>
              <w:jc w:val="center"/>
              <w:rPr>
                <w:rFonts w:eastAsia="宋体" w:cs="Times New Roman"/>
                <w:color w:val="000000"/>
                <w:kern w:val="0"/>
                <w:sz w:val="20"/>
                <w:szCs w:val="20"/>
              </w:rPr>
            </w:pPr>
            <w:r>
              <w:rPr>
                <w:rFonts w:eastAsia="微软雅黑" w:cs="Times New Roman"/>
                <w:color w:val="000000"/>
                <w:sz w:val="20"/>
                <w:szCs w:val="20"/>
              </w:rPr>
              <w:t>10.00</w:t>
            </w:r>
          </w:p>
        </w:tc>
        <w:tc>
          <w:tcPr>
            <w:tcW w:w="599" w:type="pct"/>
            <w:vAlign w:val="center"/>
          </w:tcPr>
          <w:p>
            <w:pPr>
              <w:widowControl/>
              <w:spacing w:line="240" w:lineRule="auto"/>
              <w:ind w:firstLine="0" w:firstLineChars="0"/>
              <w:jc w:val="center"/>
              <w:rPr>
                <w:rFonts w:eastAsia="宋体" w:cs="Times New Roman"/>
                <w:color w:val="000000"/>
                <w:kern w:val="0"/>
                <w:sz w:val="20"/>
                <w:szCs w:val="20"/>
              </w:rPr>
            </w:pPr>
            <w:r>
              <w:rPr>
                <w:rFonts w:cs="Times New Roman"/>
                <w:sz w:val="20"/>
                <w:szCs w:val="20"/>
              </w:rPr>
              <w:t>8</w:t>
            </w:r>
            <w:r>
              <w:rPr>
                <w:rFonts w:eastAsia="微软雅黑" w:cs="Times New Roman"/>
                <w:color w:val="000000"/>
                <w:sz w:val="20"/>
                <w:szCs w:val="20"/>
              </w:rPr>
              <w:t>.00</w:t>
            </w:r>
          </w:p>
        </w:tc>
        <w:tc>
          <w:tcPr>
            <w:tcW w:w="727" w:type="pct"/>
            <w:vAlign w:val="center"/>
          </w:tcPr>
          <w:p>
            <w:pPr>
              <w:widowControl/>
              <w:spacing w:line="240" w:lineRule="auto"/>
              <w:ind w:firstLine="0" w:firstLineChars="0"/>
              <w:jc w:val="center"/>
              <w:rPr>
                <w:rFonts w:eastAsia="宋体" w:cs="Times New Roman"/>
                <w:color w:val="000000"/>
                <w:kern w:val="0"/>
                <w:sz w:val="20"/>
                <w:szCs w:val="20"/>
              </w:rPr>
            </w:pPr>
            <w:r>
              <w:rPr>
                <w:rFonts w:cs="Times New Roman"/>
                <w:sz w:val="20"/>
                <w:szCs w:val="20"/>
              </w:rPr>
              <w:t>80</w:t>
            </w:r>
            <w:r>
              <w:rPr>
                <w:rFonts w:eastAsia="微软雅黑" w:cs="Times New Roman"/>
                <w:color w:val="000000"/>
                <w:sz w:val="20"/>
                <w:szCs w:val="20"/>
              </w:rPr>
              <w:t>.00</w:t>
            </w:r>
            <w:r>
              <w:rPr>
                <w:rFonts w:cs="Times New Roman"/>
                <w:sz w:val="20"/>
                <w:szCs w:val="20"/>
              </w:rPr>
              <w:t>%</w:t>
            </w:r>
          </w:p>
        </w:tc>
      </w:tr>
    </w:tbl>
    <w:p>
      <w:pPr>
        <w:adjustRightInd w:val="0"/>
        <w:snapToGrid w:val="0"/>
        <w:ind w:firstLine="640"/>
        <w:rPr>
          <w:rFonts w:cs="Times New Roman"/>
          <w:kern w:val="0"/>
          <w:szCs w:val="24"/>
        </w:rPr>
      </w:pPr>
    </w:p>
    <w:p>
      <w:pPr>
        <w:adjustRightInd w:val="0"/>
        <w:snapToGrid w:val="0"/>
        <w:ind w:firstLine="640"/>
        <w:rPr>
          <w:rFonts w:cs="Times New Roman"/>
        </w:rPr>
      </w:pPr>
      <w:r>
        <w:rPr>
          <w:rFonts w:cs="Times New Roman"/>
          <w:kern w:val="0"/>
          <w:szCs w:val="24"/>
        </w:rPr>
        <w:t>（1）</w:t>
      </w:r>
      <w:r>
        <w:rPr>
          <w:rFonts w:cs="Times New Roman"/>
        </w:rPr>
        <w:t>城乡居民参保提升率</w:t>
      </w:r>
    </w:p>
    <w:p>
      <w:pPr>
        <w:adjustRightInd w:val="0"/>
        <w:snapToGrid w:val="0"/>
        <w:spacing w:line="600" w:lineRule="exact"/>
        <w:ind w:firstLine="640"/>
        <w:rPr>
          <w:rFonts w:cs="Times New Roman"/>
        </w:rPr>
      </w:pPr>
      <w:r>
        <w:rPr>
          <w:rFonts w:cs="Times New Roman"/>
          <w:kern w:val="0"/>
          <w:szCs w:val="24"/>
        </w:rPr>
        <w:t>城乡居民参保提升率权重8.00分，实际得分7.60分，得分率95.00%。相较于2019年参保缴费人数（87620人），2020年参保缴费人数（83629人）有所下降。根据指标赋值，计算该指标得分7.60分。</w:t>
      </w:r>
    </w:p>
    <w:p>
      <w:pPr>
        <w:adjustRightInd w:val="0"/>
        <w:snapToGrid w:val="0"/>
        <w:spacing w:line="600" w:lineRule="exact"/>
        <w:ind w:firstLine="640"/>
        <w:rPr>
          <w:rFonts w:cs="Times New Roman"/>
          <w:kern w:val="0"/>
          <w:szCs w:val="24"/>
        </w:rPr>
      </w:pPr>
      <w:r>
        <w:rPr>
          <w:rFonts w:cs="Times New Roman"/>
          <w:kern w:val="0"/>
          <w:szCs w:val="24"/>
        </w:rPr>
        <w:t>（2）</w:t>
      </w:r>
      <w:r>
        <w:rPr>
          <w:rFonts w:cs="Times New Roman"/>
        </w:rPr>
        <w:t>城乡居民养老保险覆盖率</w:t>
      </w:r>
    </w:p>
    <w:p>
      <w:pPr>
        <w:adjustRightInd w:val="0"/>
        <w:snapToGrid w:val="0"/>
        <w:spacing w:line="600" w:lineRule="exact"/>
        <w:ind w:firstLine="640"/>
        <w:rPr>
          <w:rFonts w:cs="Times New Roman"/>
          <w:kern w:val="0"/>
          <w:szCs w:val="24"/>
        </w:rPr>
      </w:pPr>
      <w:r>
        <w:rPr>
          <w:rFonts w:cs="Times New Roman"/>
          <w:kern w:val="0"/>
          <w:szCs w:val="24"/>
        </w:rPr>
        <w:t>城乡居民养老保险覆盖率权重9.00分，实际得分8.73分，得分率97.00%。根据2020年绵竹市政府工作报告数据来看，社会保险综合参保率达97.00%以上，根据权重*参保率，综合计算得8.73分。</w:t>
      </w:r>
    </w:p>
    <w:p>
      <w:pPr>
        <w:adjustRightInd w:val="0"/>
        <w:snapToGrid w:val="0"/>
        <w:spacing w:line="600" w:lineRule="exact"/>
        <w:ind w:firstLine="640"/>
        <w:rPr>
          <w:rFonts w:cs="Times New Roman"/>
        </w:rPr>
      </w:pPr>
      <w:r>
        <w:rPr>
          <w:rFonts w:cs="Times New Roman"/>
          <w:kern w:val="0"/>
          <w:szCs w:val="24"/>
        </w:rPr>
        <w:t>（3）</w:t>
      </w:r>
      <w:r>
        <w:rPr>
          <w:rFonts w:cs="Times New Roman"/>
        </w:rPr>
        <w:t>政策宣传普及率</w:t>
      </w:r>
    </w:p>
    <w:p>
      <w:pPr>
        <w:adjustRightInd w:val="0"/>
        <w:snapToGrid w:val="0"/>
        <w:spacing w:line="600" w:lineRule="exact"/>
        <w:ind w:firstLine="640"/>
        <w:rPr>
          <w:rFonts w:cs="Times New Roman"/>
          <w:kern w:val="0"/>
          <w:szCs w:val="24"/>
        </w:rPr>
      </w:pPr>
      <w:r>
        <w:rPr>
          <w:rFonts w:cs="Times New Roman"/>
        </w:rPr>
        <w:t>政策宣传普及率</w:t>
      </w:r>
      <w:r>
        <w:rPr>
          <w:rFonts w:cs="Times New Roman"/>
          <w:kern w:val="0"/>
          <w:szCs w:val="24"/>
        </w:rPr>
        <w:t>权重8.00分，实际得分7.50分，得分率93.75%。实地调研发现，2012年开始要求政府自上而下提倡应保尽保，镇（街道）、村（社区）均定期向居民进行政策宣传工作,但直到2020年镇（街道）、村（社区）仍然未做到全部城乡居民应保尽保，故扣0.50分。</w:t>
      </w:r>
    </w:p>
    <w:p>
      <w:pPr>
        <w:adjustRightInd w:val="0"/>
        <w:snapToGrid w:val="0"/>
        <w:spacing w:line="600" w:lineRule="exact"/>
        <w:ind w:firstLine="640"/>
        <w:rPr>
          <w:rFonts w:cs="Times New Roman"/>
        </w:rPr>
      </w:pPr>
      <w:r>
        <w:rPr>
          <w:rFonts w:cs="Times New Roman"/>
        </w:rPr>
        <w:t>（4）城乡居民满意度</w:t>
      </w:r>
    </w:p>
    <w:p>
      <w:pPr>
        <w:adjustRightInd w:val="0"/>
        <w:snapToGrid w:val="0"/>
        <w:spacing w:line="600" w:lineRule="exact"/>
        <w:ind w:firstLine="640"/>
        <w:rPr>
          <w:rFonts w:cs="Times New Roman"/>
        </w:rPr>
      </w:pPr>
      <w:r>
        <w:rPr>
          <w:rFonts w:cs="Times New Roman"/>
        </w:rPr>
        <w:t>城乡居民满意度</w:t>
      </w:r>
      <w:r>
        <w:rPr>
          <w:rFonts w:cs="Times New Roman"/>
          <w:kern w:val="0"/>
          <w:szCs w:val="24"/>
        </w:rPr>
        <w:t>权重10.00分，实际得分8.00分，得分率80.00%。调研发现，城乡居民普遍对城乡居民养老财政补助比较满意，该项补助让群众“老有所依，老有所养”；但同时也有近30</w:t>
      </w:r>
      <w:r>
        <w:rPr>
          <w:rFonts w:hint="eastAsia" w:cs="Times New Roman"/>
          <w:kern w:val="0"/>
          <w:szCs w:val="24"/>
        </w:rPr>
        <w:t>.00</w:t>
      </w:r>
      <w:r>
        <w:rPr>
          <w:rFonts w:cs="Times New Roman"/>
          <w:kern w:val="0"/>
          <w:szCs w:val="24"/>
        </w:rPr>
        <w:t>%居民反映该项补助资金尚有改善空间，一是每月发放资金较少，补助标准还有待提高；二是政府对养老保险政策的宣传还有待加强。</w:t>
      </w:r>
    </w:p>
    <w:p>
      <w:pPr>
        <w:pStyle w:val="2"/>
        <w:ind w:firstLine="723"/>
        <w:rPr>
          <w:rFonts w:cs="Times New Roman"/>
        </w:rPr>
      </w:pPr>
      <w:bookmarkStart w:id="24" w:name="_Toc76927038"/>
      <w:r>
        <w:rPr>
          <w:rFonts w:cs="Times New Roman"/>
        </w:rPr>
        <w:t>四、存在主要问题</w:t>
      </w:r>
      <w:bookmarkEnd w:id="24"/>
    </w:p>
    <w:p>
      <w:pPr>
        <w:pStyle w:val="3"/>
        <w:ind w:firstLine="643"/>
        <w:rPr>
          <w:rFonts w:cs="Times New Roman"/>
        </w:rPr>
      </w:pPr>
      <w:bookmarkStart w:id="25" w:name="_Toc76927039"/>
      <w:r>
        <w:rPr>
          <w:rFonts w:cs="Times New Roman"/>
        </w:rPr>
        <w:t>（一）</w:t>
      </w:r>
      <w:r>
        <w:rPr>
          <w:rFonts w:hint="eastAsia" w:cs="Times New Roman"/>
        </w:rPr>
        <w:t>未来</w:t>
      </w:r>
      <w:r>
        <w:rPr>
          <w:rFonts w:cs="Times New Roman"/>
        </w:rPr>
        <w:t>基金筹集和给付能力</w:t>
      </w:r>
      <w:r>
        <w:rPr>
          <w:rFonts w:hint="eastAsia" w:cs="Times New Roman"/>
        </w:rPr>
        <w:t>存在风险</w:t>
      </w:r>
      <w:bookmarkEnd w:id="25"/>
    </w:p>
    <w:p>
      <w:pPr>
        <w:ind w:firstLine="640"/>
        <w:rPr>
          <w:rFonts w:cs="Times New Roman"/>
        </w:rPr>
      </w:pPr>
      <w:r>
        <w:rPr>
          <w:rFonts w:cs="Times New Roman"/>
          <w:color w:val="323232"/>
          <w:shd w:val="clear" w:color="auto" w:fill="FFFFFF"/>
        </w:rPr>
        <w:t>随着人口老龄化的增长，养老保险基金的支付范围和支付规模不断增长，这一情况可能会引起城乡居民养老保险的收支不平衡。</w:t>
      </w:r>
      <w:r>
        <w:rPr>
          <w:rFonts w:cs="Times New Roman"/>
        </w:rPr>
        <w:t>一是城乡居民参保缴费人数持续下降，资金筹集难度加大。2018年参保缴费人数为99463人，2019年参保缴费人数为87620人，2020年参保缴费人数为83629人，由此看出近三年城乡居民参保提升率较低，可能原因在于常住人口数量不断下降。从第七次人口普查数据可以看出，绵竹市常住人口44万，与2010年相比，下降0.49个百分点。二是选择低档次缴费的人员比例过高，筹集资金规模较小，未来本级财政给付能力较弱。2020年，绵竹市选择1.2档参保缴费68406人，占比达81.08%，可能原因有：一方面，大多数城乡居民为低收入人群，缴费能力相应较低；另一方面，政策宣传力度有待加强，部分居民并未真正意识到</w:t>
      </w:r>
      <w:r>
        <w:rPr>
          <w:rFonts w:hint="eastAsia" w:cs="Times New Roman"/>
        </w:rPr>
        <w:t>“</w:t>
      </w:r>
      <w:r>
        <w:rPr>
          <w:rFonts w:cs="Times New Roman"/>
        </w:rPr>
        <w:t>多缴多得</w:t>
      </w:r>
      <w:r>
        <w:rPr>
          <w:rFonts w:hint="eastAsia" w:cs="Times New Roman"/>
        </w:rPr>
        <w:t>”</w:t>
      </w:r>
      <w:r>
        <w:rPr>
          <w:rFonts w:cs="Times New Roman"/>
        </w:rPr>
        <w:t>的好处。若大基数缴费人群长期位于低档位次，需要及时关注养老保险基金的风险管理。</w:t>
      </w:r>
    </w:p>
    <w:p>
      <w:pPr>
        <w:ind w:firstLine="0" w:firstLineChars="0"/>
        <w:jc w:val="center"/>
        <w:rPr>
          <w:rFonts w:eastAsia="幼圆" w:cs="Times New Roman"/>
          <w:b/>
          <w:bCs/>
          <w:sz w:val="28"/>
          <w:szCs w:val="24"/>
        </w:rPr>
      </w:pPr>
      <w:r>
        <w:rPr>
          <w:rFonts w:eastAsia="幼圆" w:cs="Times New Roman"/>
          <w:b/>
          <w:bCs/>
          <w:sz w:val="28"/>
          <w:szCs w:val="24"/>
        </w:rPr>
        <w:t>附表 2020年各档次参保缴费人数统计</w:t>
      </w:r>
    </w:p>
    <w:tbl>
      <w:tblPr>
        <w:tblStyle w:val="21"/>
        <w:tblW w:w="5000" w:type="pct"/>
        <w:tblInd w:w="0" w:type="dxa"/>
        <w:tblLayout w:type="autofit"/>
        <w:tblCellMar>
          <w:top w:w="0" w:type="dxa"/>
          <w:left w:w="108" w:type="dxa"/>
          <w:bottom w:w="0" w:type="dxa"/>
          <w:right w:w="108" w:type="dxa"/>
        </w:tblCellMar>
      </w:tblPr>
      <w:tblGrid>
        <w:gridCol w:w="2384"/>
        <w:gridCol w:w="3245"/>
        <w:gridCol w:w="2893"/>
      </w:tblGrid>
      <w:tr>
        <w:tblPrEx>
          <w:tblCellMar>
            <w:top w:w="0" w:type="dxa"/>
            <w:left w:w="108" w:type="dxa"/>
            <w:bottom w:w="0" w:type="dxa"/>
            <w:right w:w="108" w:type="dxa"/>
          </w:tblCellMar>
        </w:tblPrEx>
        <w:trPr>
          <w:trHeight w:val="645" w:hRule="atLeast"/>
          <w:tblHeader/>
        </w:trPr>
        <w:tc>
          <w:tcPr>
            <w:tcW w:w="1399" w:type="pct"/>
            <w:tcBorders>
              <w:top w:val="single" w:color="auto" w:sz="4" w:space="0"/>
              <w:left w:val="single" w:color="auto" w:sz="4" w:space="0"/>
              <w:bottom w:val="single" w:color="auto" w:sz="4" w:space="0"/>
              <w:right w:val="single" w:color="auto" w:sz="4" w:space="0"/>
            </w:tcBorders>
            <w:shd w:val="clear" w:color="auto" w:fill="00516B"/>
            <w:noWrap/>
            <w:vAlign w:val="center"/>
          </w:tcPr>
          <w:p>
            <w:pPr>
              <w:widowControl/>
              <w:spacing w:line="240" w:lineRule="auto"/>
              <w:ind w:firstLine="0" w:firstLineChars="0"/>
              <w:jc w:val="center"/>
              <w:rPr>
                <w:rFonts w:eastAsia="宋体" w:cs="Times New Roman"/>
                <w:b/>
                <w:bCs/>
                <w:color w:val="FFFFFF" w:themeColor="background1"/>
                <w:kern w:val="0"/>
                <w:sz w:val="24"/>
                <w:szCs w:val="24"/>
                <w14:textFill>
                  <w14:solidFill>
                    <w14:schemeClr w14:val="bg1"/>
                  </w14:solidFill>
                </w14:textFill>
              </w:rPr>
            </w:pPr>
            <w:r>
              <w:rPr>
                <w:rFonts w:eastAsia="宋体" w:cs="Times New Roman"/>
                <w:b/>
                <w:bCs/>
                <w:color w:val="FFFFFF" w:themeColor="background1"/>
                <w:kern w:val="0"/>
                <w:sz w:val="24"/>
                <w:szCs w:val="24"/>
                <w14:textFill>
                  <w14:solidFill>
                    <w14:schemeClr w14:val="bg1"/>
                  </w14:solidFill>
                </w14:textFill>
              </w:rPr>
              <w:t>档次</w:t>
            </w:r>
          </w:p>
        </w:tc>
        <w:tc>
          <w:tcPr>
            <w:tcW w:w="1904" w:type="pct"/>
            <w:tcBorders>
              <w:top w:val="single" w:color="auto" w:sz="4" w:space="0"/>
              <w:left w:val="nil"/>
              <w:bottom w:val="single" w:color="auto" w:sz="4" w:space="0"/>
              <w:right w:val="single" w:color="auto" w:sz="4" w:space="0"/>
            </w:tcBorders>
            <w:shd w:val="clear" w:color="auto" w:fill="00516B"/>
            <w:noWrap/>
            <w:vAlign w:val="center"/>
          </w:tcPr>
          <w:p>
            <w:pPr>
              <w:widowControl/>
              <w:spacing w:line="240" w:lineRule="auto"/>
              <w:ind w:firstLine="0" w:firstLineChars="0"/>
              <w:jc w:val="center"/>
              <w:rPr>
                <w:rFonts w:eastAsia="宋体" w:cs="Times New Roman"/>
                <w:b/>
                <w:bCs/>
                <w:color w:val="FFFFFF" w:themeColor="background1"/>
                <w:kern w:val="0"/>
                <w:sz w:val="24"/>
                <w:szCs w:val="24"/>
                <w14:textFill>
                  <w14:solidFill>
                    <w14:schemeClr w14:val="bg1"/>
                  </w14:solidFill>
                </w14:textFill>
              </w:rPr>
            </w:pPr>
            <w:r>
              <w:rPr>
                <w:rFonts w:eastAsia="宋体" w:cs="Times New Roman"/>
                <w:b/>
                <w:bCs/>
                <w:color w:val="FFFFFF" w:themeColor="background1"/>
                <w:kern w:val="0"/>
                <w:sz w:val="24"/>
                <w:szCs w:val="24"/>
                <w14:textFill>
                  <w14:solidFill>
                    <w14:schemeClr w14:val="bg1"/>
                  </w14:solidFill>
                </w14:textFill>
              </w:rPr>
              <w:t>2020年（人数）</w:t>
            </w:r>
          </w:p>
        </w:tc>
        <w:tc>
          <w:tcPr>
            <w:tcW w:w="1697" w:type="pct"/>
            <w:tcBorders>
              <w:top w:val="single" w:color="auto" w:sz="4" w:space="0"/>
              <w:left w:val="nil"/>
              <w:bottom w:val="single" w:color="auto" w:sz="4" w:space="0"/>
              <w:right w:val="single" w:color="auto" w:sz="4" w:space="0"/>
            </w:tcBorders>
            <w:shd w:val="clear" w:color="auto" w:fill="00516B"/>
            <w:noWrap/>
            <w:vAlign w:val="center"/>
          </w:tcPr>
          <w:p>
            <w:pPr>
              <w:widowControl/>
              <w:spacing w:line="240" w:lineRule="auto"/>
              <w:ind w:firstLine="0" w:firstLineChars="0"/>
              <w:jc w:val="center"/>
              <w:rPr>
                <w:rFonts w:eastAsia="宋体" w:cs="Times New Roman"/>
                <w:b/>
                <w:bCs/>
                <w:color w:val="FFFFFF" w:themeColor="background1"/>
                <w:kern w:val="0"/>
                <w:sz w:val="24"/>
                <w:szCs w:val="24"/>
                <w14:textFill>
                  <w14:solidFill>
                    <w14:schemeClr w14:val="bg1"/>
                  </w14:solidFill>
                </w14:textFill>
              </w:rPr>
            </w:pPr>
            <w:r>
              <w:rPr>
                <w:rFonts w:eastAsia="宋体" w:cs="Times New Roman"/>
                <w:b/>
                <w:bCs/>
                <w:color w:val="FFFFFF" w:themeColor="background1"/>
                <w:kern w:val="0"/>
                <w:sz w:val="24"/>
                <w:szCs w:val="24"/>
                <w14:textFill>
                  <w14:solidFill>
                    <w14:schemeClr w14:val="bg1"/>
                  </w14:solidFill>
                </w14:textFill>
              </w:rPr>
              <w:t>占比</w:t>
            </w:r>
          </w:p>
        </w:tc>
      </w:tr>
      <w:tr>
        <w:tblPrEx>
          <w:tblCellMar>
            <w:top w:w="0" w:type="dxa"/>
            <w:left w:w="108" w:type="dxa"/>
            <w:bottom w:w="0" w:type="dxa"/>
            <w:right w:w="108" w:type="dxa"/>
          </w:tblCellMar>
        </w:tblPrEx>
        <w:trPr>
          <w:trHeight w:val="498" w:hRule="atLeast"/>
        </w:trPr>
        <w:tc>
          <w:tcPr>
            <w:tcW w:w="1399" w:type="pc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ind w:firstLine="0" w:firstLineChars="0"/>
              <w:jc w:val="center"/>
              <w:rPr>
                <w:rFonts w:eastAsia="宋体" w:cs="Times New Roman"/>
                <w:b/>
                <w:bCs/>
                <w:color w:val="FF0000"/>
                <w:kern w:val="0"/>
                <w:sz w:val="24"/>
                <w:szCs w:val="24"/>
              </w:rPr>
            </w:pPr>
            <w:r>
              <w:rPr>
                <w:rFonts w:eastAsia="宋体" w:cs="Times New Roman"/>
                <w:b/>
                <w:bCs/>
                <w:color w:val="FF0000"/>
                <w:kern w:val="0"/>
                <w:sz w:val="24"/>
                <w:szCs w:val="24"/>
              </w:rPr>
              <w:t>1.2档</w:t>
            </w:r>
          </w:p>
        </w:tc>
        <w:tc>
          <w:tcPr>
            <w:tcW w:w="1904" w:type="pct"/>
            <w:tcBorders>
              <w:top w:val="nil"/>
              <w:left w:val="nil"/>
              <w:bottom w:val="single" w:color="auto" w:sz="4" w:space="0"/>
              <w:right w:val="single" w:color="auto" w:sz="4" w:space="0"/>
            </w:tcBorders>
            <w:shd w:val="clear" w:color="auto" w:fill="auto"/>
            <w:noWrap/>
            <w:vAlign w:val="center"/>
          </w:tcPr>
          <w:p>
            <w:pPr>
              <w:widowControl/>
              <w:spacing w:line="240" w:lineRule="auto"/>
              <w:ind w:firstLine="0" w:firstLineChars="0"/>
              <w:jc w:val="center"/>
              <w:rPr>
                <w:rFonts w:eastAsia="宋体" w:cs="Times New Roman"/>
                <w:b/>
                <w:bCs/>
                <w:color w:val="FF0000"/>
                <w:kern w:val="0"/>
                <w:sz w:val="24"/>
                <w:szCs w:val="24"/>
              </w:rPr>
            </w:pPr>
            <w:r>
              <w:rPr>
                <w:rFonts w:eastAsia="宋体" w:cs="Times New Roman"/>
                <w:b/>
                <w:bCs/>
                <w:color w:val="FF0000"/>
                <w:kern w:val="0"/>
                <w:sz w:val="24"/>
                <w:szCs w:val="24"/>
              </w:rPr>
              <w:t>68406</w:t>
            </w:r>
          </w:p>
        </w:tc>
        <w:tc>
          <w:tcPr>
            <w:tcW w:w="1697" w:type="pct"/>
            <w:tcBorders>
              <w:top w:val="nil"/>
              <w:left w:val="nil"/>
              <w:bottom w:val="single" w:color="auto" w:sz="4" w:space="0"/>
              <w:right w:val="single" w:color="auto" w:sz="4" w:space="0"/>
            </w:tcBorders>
            <w:shd w:val="clear" w:color="auto" w:fill="auto"/>
            <w:noWrap/>
            <w:vAlign w:val="center"/>
          </w:tcPr>
          <w:p>
            <w:pPr>
              <w:widowControl/>
              <w:spacing w:line="240" w:lineRule="auto"/>
              <w:ind w:firstLine="0" w:firstLineChars="0"/>
              <w:jc w:val="center"/>
              <w:rPr>
                <w:rFonts w:eastAsia="宋体" w:cs="Times New Roman"/>
                <w:b/>
                <w:bCs/>
                <w:color w:val="FF0000"/>
                <w:kern w:val="0"/>
                <w:sz w:val="22"/>
              </w:rPr>
            </w:pPr>
            <w:r>
              <w:rPr>
                <w:rFonts w:eastAsia="宋体" w:cs="Times New Roman"/>
                <w:b/>
                <w:bCs/>
                <w:color w:val="FF0000"/>
                <w:kern w:val="0"/>
                <w:sz w:val="22"/>
              </w:rPr>
              <w:t>81.80%</w:t>
            </w:r>
          </w:p>
        </w:tc>
      </w:tr>
      <w:tr>
        <w:tblPrEx>
          <w:tblCellMar>
            <w:top w:w="0" w:type="dxa"/>
            <w:left w:w="108" w:type="dxa"/>
            <w:bottom w:w="0" w:type="dxa"/>
            <w:right w:w="108" w:type="dxa"/>
          </w:tblCellMar>
        </w:tblPrEx>
        <w:trPr>
          <w:trHeight w:val="498" w:hRule="atLeast"/>
        </w:trPr>
        <w:tc>
          <w:tcPr>
            <w:tcW w:w="1399" w:type="pc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ind w:firstLine="0" w:firstLineChars="0"/>
              <w:jc w:val="center"/>
              <w:rPr>
                <w:rFonts w:eastAsia="宋体" w:cs="Times New Roman"/>
                <w:color w:val="000000"/>
                <w:kern w:val="0"/>
                <w:sz w:val="24"/>
                <w:szCs w:val="24"/>
              </w:rPr>
            </w:pPr>
            <w:r>
              <w:rPr>
                <w:rFonts w:eastAsia="宋体" w:cs="Times New Roman"/>
                <w:color w:val="000000"/>
                <w:kern w:val="0"/>
                <w:sz w:val="24"/>
                <w:szCs w:val="24"/>
              </w:rPr>
              <w:t>3档</w:t>
            </w:r>
          </w:p>
        </w:tc>
        <w:tc>
          <w:tcPr>
            <w:tcW w:w="1904" w:type="pct"/>
            <w:tcBorders>
              <w:top w:val="nil"/>
              <w:left w:val="nil"/>
              <w:bottom w:val="single" w:color="auto" w:sz="4" w:space="0"/>
              <w:right w:val="single" w:color="auto" w:sz="4" w:space="0"/>
            </w:tcBorders>
            <w:shd w:val="clear" w:color="auto" w:fill="auto"/>
            <w:noWrap/>
            <w:vAlign w:val="center"/>
          </w:tcPr>
          <w:p>
            <w:pPr>
              <w:widowControl/>
              <w:spacing w:line="240" w:lineRule="auto"/>
              <w:ind w:firstLine="0" w:firstLineChars="0"/>
              <w:jc w:val="center"/>
              <w:rPr>
                <w:rFonts w:eastAsia="宋体" w:cs="Times New Roman"/>
                <w:color w:val="000000"/>
                <w:kern w:val="0"/>
                <w:sz w:val="24"/>
                <w:szCs w:val="24"/>
              </w:rPr>
            </w:pPr>
            <w:r>
              <w:rPr>
                <w:rFonts w:eastAsia="宋体" w:cs="Times New Roman"/>
                <w:color w:val="000000"/>
                <w:kern w:val="0"/>
                <w:sz w:val="24"/>
                <w:szCs w:val="24"/>
              </w:rPr>
              <w:t>3110</w:t>
            </w:r>
          </w:p>
        </w:tc>
        <w:tc>
          <w:tcPr>
            <w:tcW w:w="1697" w:type="pct"/>
            <w:tcBorders>
              <w:top w:val="nil"/>
              <w:left w:val="nil"/>
              <w:bottom w:val="single" w:color="auto" w:sz="4" w:space="0"/>
              <w:right w:val="single" w:color="auto" w:sz="4" w:space="0"/>
            </w:tcBorders>
            <w:shd w:val="clear" w:color="auto" w:fill="auto"/>
            <w:noWrap/>
            <w:vAlign w:val="center"/>
          </w:tcPr>
          <w:p>
            <w:pPr>
              <w:widowControl/>
              <w:spacing w:line="240" w:lineRule="auto"/>
              <w:ind w:firstLine="0" w:firstLineChars="0"/>
              <w:jc w:val="center"/>
              <w:rPr>
                <w:rFonts w:eastAsia="宋体" w:cs="Times New Roman"/>
                <w:color w:val="000000"/>
                <w:kern w:val="0"/>
                <w:sz w:val="22"/>
              </w:rPr>
            </w:pPr>
            <w:r>
              <w:rPr>
                <w:rFonts w:eastAsia="宋体" w:cs="Times New Roman"/>
                <w:color w:val="000000"/>
                <w:kern w:val="0"/>
                <w:sz w:val="22"/>
              </w:rPr>
              <w:t>3.72%</w:t>
            </w:r>
          </w:p>
        </w:tc>
      </w:tr>
      <w:tr>
        <w:tblPrEx>
          <w:tblCellMar>
            <w:top w:w="0" w:type="dxa"/>
            <w:left w:w="108" w:type="dxa"/>
            <w:bottom w:w="0" w:type="dxa"/>
            <w:right w:w="108" w:type="dxa"/>
          </w:tblCellMar>
        </w:tblPrEx>
        <w:trPr>
          <w:trHeight w:val="498" w:hRule="atLeast"/>
        </w:trPr>
        <w:tc>
          <w:tcPr>
            <w:tcW w:w="1399" w:type="pc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ind w:firstLine="0" w:firstLineChars="0"/>
              <w:jc w:val="center"/>
              <w:rPr>
                <w:rFonts w:eastAsia="宋体" w:cs="Times New Roman"/>
                <w:color w:val="000000"/>
                <w:kern w:val="0"/>
                <w:sz w:val="24"/>
                <w:szCs w:val="24"/>
              </w:rPr>
            </w:pPr>
            <w:r>
              <w:rPr>
                <w:rFonts w:eastAsia="宋体" w:cs="Times New Roman"/>
                <w:color w:val="000000"/>
                <w:kern w:val="0"/>
                <w:sz w:val="24"/>
                <w:szCs w:val="24"/>
              </w:rPr>
              <w:t>4档</w:t>
            </w:r>
          </w:p>
        </w:tc>
        <w:tc>
          <w:tcPr>
            <w:tcW w:w="1904" w:type="pct"/>
            <w:tcBorders>
              <w:top w:val="nil"/>
              <w:left w:val="nil"/>
              <w:bottom w:val="single" w:color="auto" w:sz="4" w:space="0"/>
              <w:right w:val="single" w:color="auto" w:sz="4" w:space="0"/>
            </w:tcBorders>
            <w:shd w:val="clear" w:color="auto" w:fill="auto"/>
            <w:noWrap/>
            <w:vAlign w:val="center"/>
          </w:tcPr>
          <w:p>
            <w:pPr>
              <w:widowControl/>
              <w:spacing w:line="240" w:lineRule="auto"/>
              <w:ind w:firstLine="0" w:firstLineChars="0"/>
              <w:jc w:val="center"/>
              <w:rPr>
                <w:rFonts w:eastAsia="宋体" w:cs="Times New Roman"/>
                <w:color w:val="000000"/>
                <w:kern w:val="0"/>
                <w:sz w:val="24"/>
                <w:szCs w:val="24"/>
              </w:rPr>
            </w:pPr>
            <w:r>
              <w:rPr>
                <w:rFonts w:eastAsia="宋体" w:cs="Times New Roman"/>
                <w:color w:val="000000"/>
                <w:kern w:val="0"/>
                <w:sz w:val="24"/>
                <w:szCs w:val="24"/>
              </w:rPr>
              <w:t>347</w:t>
            </w:r>
          </w:p>
        </w:tc>
        <w:tc>
          <w:tcPr>
            <w:tcW w:w="1697" w:type="pct"/>
            <w:tcBorders>
              <w:top w:val="nil"/>
              <w:left w:val="nil"/>
              <w:bottom w:val="single" w:color="auto" w:sz="4" w:space="0"/>
              <w:right w:val="single" w:color="auto" w:sz="4" w:space="0"/>
            </w:tcBorders>
            <w:shd w:val="clear" w:color="auto" w:fill="auto"/>
            <w:noWrap/>
            <w:vAlign w:val="center"/>
          </w:tcPr>
          <w:p>
            <w:pPr>
              <w:widowControl/>
              <w:spacing w:line="240" w:lineRule="auto"/>
              <w:ind w:firstLine="0" w:firstLineChars="0"/>
              <w:jc w:val="center"/>
              <w:rPr>
                <w:rFonts w:eastAsia="宋体" w:cs="Times New Roman"/>
                <w:color w:val="000000"/>
                <w:kern w:val="0"/>
                <w:sz w:val="22"/>
              </w:rPr>
            </w:pPr>
            <w:r>
              <w:rPr>
                <w:rFonts w:eastAsia="宋体" w:cs="Times New Roman"/>
                <w:color w:val="000000"/>
                <w:kern w:val="0"/>
                <w:sz w:val="22"/>
              </w:rPr>
              <w:t>0.41%</w:t>
            </w:r>
          </w:p>
        </w:tc>
      </w:tr>
      <w:tr>
        <w:tblPrEx>
          <w:tblCellMar>
            <w:top w:w="0" w:type="dxa"/>
            <w:left w:w="108" w:type="dxa"/>
            <w:bottom w:w="0" w:type="dxa"/>
            <w:right w:w="108" w:type="dxa"/>
          </w:tblCellMar>
        </w:tblPrEx>
        <w:trPr>
          <w:trHeight w:val="498" w:hRule="atLeast"/>
        </w:trPr>
        <w:tc>
          <w:tcPr>
            <w:tcW w:w="1399" w:type="pc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ind w:firstLine="0" w:firstLineChars="0"/>
              <w:jc w:val="center"/>
              <w:rPr>
                <w:rFonts w:eastAsia="宋体" w:cs="Times New Roman"/>
                <w:color w:val="000000"/>
                <w:kern w:val="0"/>
                <w:sz w:val="24"/>
                <w:szCs w:val="24"/>
              </w:rPr>
            </w:pPr>
            <w:r>
              <w:rPr>
                <w:rFonts w:eastAsia="宋体" w:cs="Times New Roman"/>
                <w:color w:val="000000"/>
                <w:kern w:val="0"/>
                <w:sz w:val="24"/>
                <w:szCs w:val="24"/>
              </w:rPr>
              <w:t>5档</w:t>
            </w:r>
          </w:p>
        </w:tc>
        <w:tc>
          <w:tcPr>
            <w:tcW w:w="1904" w:type="pct"/>
            <w:tcBorders>
              <w:top w:val="nil"/>
              <w:left w:val="nil"/>
              <w:bottom w:val="single" w:color="auto" w:sz="4" w:space="0"/>
              <w:right w:val="single" w:color="auto" w:sz="4" w:space="0"/>
            </w:tcBorders>
            <w:shd w:val="clear" w:color="auto" w:fill="auto"/>
            <w:noWrap/>
            <w:vAlign w:val="center"/>
          </w:tcPr>
          <w:p>
            <w:pPr>
              <w:widowControl/>
              <w:spacing w:line="240" w:lineRule="auto"/>
              <w:ind w:firstLine="0" w:firstLineChars="0"/>
              <w:jc w:val="center"/>
              <w:rPr>
                <w:rFonts w:eastAsia="宋体" w:cs="Times New Roman"/>
                <w:color w:val="000000"/>
                <w:kern w:val="0"/>
                <w:sz w:val="24"/>
                <w:szCs w:val="24"/>
              </w:rPr>
            </w:pPr>
            <w:r>
              <w:rPr>
                <w:rFonts w:eastAsia="宋体" w:cs="Times New Roman"/>
                <w:color w:val="000000"/>
                <w:kern w:val="0"/>
                <w:sz w:val="24"/>
                <w:szCs w:val="24"/>
              </w:rPr>
              <w:t>3716</w:t>
            </w:r>
          </w:p>
        </w:tc>
        <w:tc>
          <w:tcPr>
            <w:tcW w:w="1697" w:type="pct"/>
            <w:tcBorders>
              <w:top w:val="nil"/>
              <w:left w:val="nil"/>
              <w:bottom w:val="single" w:color="auto" w:sz="4" w:space="0"/>
              <w:right w:val="single" w:color="auto" w:sz="4" w:space="0"/>
            </w:tcBorders>
            <w:shd w:val="clear" w:color="auto" w:fill="auto"/>
            <w:noWrap/>
            <w:vAlign w:val="center"/>
          </w:tcPr>
          <w:p>
            <w:pPr>
              <w:widowControl/>
              <w:spacing w:line="240" w:lineRule="auto"/>
              <w:ind w:firstLine="0" w:firstLineChars="0"/>
              <w:jc w:val="center"/>
              <w:rPr>
                <w:rFonts w:eastAsia="宋体" w:cs="Times New Roman"/>
                <w:color w:val="000000"/>
                <w:kern w:val="0"/>
                <w:sz w:val="22"/>
              </w:rPr>
            </w:pPr>
            <w:r>
              <w:rPr>
                <w:rFonts w:eastAsia="宋体" w:cs="Times New Roman"/>
                <w:color w:val="000000"/>
                <w:kern w:val="0"/>
                <w:sz w:val="22"/>
              </w:rPr>
              <w:t>4.44%</w:t>
            </w:r>
          </w:p>
        </w:tc>
      </w:tr>
      <w:tr>
        <w:tblPrEx>
          <w:tblCellMar>
            <w:top w:w="0" w:type="dxa"/>
            <w:left w:w="108" w:type="dxa"/>
            <w:bottom w:w="0" w:type="dxa"/>
            <w:right w:w="108" w:type="dxa"/>
          </w:tblCellMar>
        </w:tblPrEx>
        <w:trPr>
          <w:trHeight w:val="498" w:hRule="atLeast"/>
        </w:trPr>
        <w:tc>
          <w:tcPr>
            <w:tcW w:w="1399" w:type="pc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ind w:firstLine="0" w:firstLineChars="0"/>
              <w:jc w:val="center"/>
              <w:rPr>
                <w:rFonts w:eastAsia="宋体" w:cs="Times New Roman"/>
                <w:color w:val="000000"/>
                <w:kern w:val="0"/>
                <w:sz w:val="24"/>
                <w:szCs w:val="24"/>
              </w:rPr>
            </w:pPr>
            <w:r>
              <w:rPr>
                <w:rFonts w:eastAsia="宋体" w:cs="Times New Roman"/>
                <w:color w:val="000000"/>
                <w:kern w:val="0"/>
                <w:sz w:val="24"/>
                <w:szCs w:val="24"/>
              </w:rPr>
              <w:t>6档</w:t>
            </w:r>
          </w:p>
        </w:tc>
        <w:tc>
          <w:tcPr>
            <w:tcW w:w="1904" w:type="pct"/>
            <w:tcBorders>
              <w:top w:val="nil"/>
              <w:left w:val="nil"/>
              <w:bottom w:val="single" w:color="auto" w:sz="4" w:space="0"/>
              <w:right w:val="single" w:color="auto" w:sz="4" w:space="0"/>
            </w:tcBorders>
            <w:shd w:val="clear" w:color="auto" w:fill="auto"/>
            <w:noWrap/>
            <w:vAlign w:val="center"/>
          </w:tcPr>
          <w:p>
            <w:pPr>
              <w:widowControl/>
              <w:spacing w:line="240" w:lineRule="auto"/>
              <w:ind w:firstLine="0" w:firstLineChars="0"/>
              <w:jc w:val="center"/>
              <w:rPr>
                <w:rFonts w:eastAsia="宋体" w:cs="Times New Roman"/>
                <w:color w:val="000000"/>
                <w:kern w:val="0"/>
                <w:sz w:val="24"/>
                <w:szCs w:val="24"/>
              </w:rPr>
            </w:pPr>
            <w:r>
              <w:rPr>
                <w:rFonts w:eastAsia="宋体" w:cs="Times New Roman"/>
                <w:color w:val="000000"/>
                <w:kern w:val="0"/>
                <w:sz w:val="24"/>
                <w:szCs w:val="24"/>
              </w:rPr>
              <w:t>267</w:t>
            </w:r>
          </w:p>
        </w:tc>
        <w:tc>
          <w:tcPr>
            <w:tcW w:w="1697" w:type="pct"/>
            <w:tcBorders>
              <w:top w:val="nil"/>
              <w:left w:val="nil"/>
              <w:bottom w:val="single" w:color="auto" w:sz="4" w:space="0"/>
              <w:right w:val="single" w:color="auto" w:sz="4" w:space="0"/>
            </w:tcBorders>
            <w:shd w:val="clear" w:color="auto" w:fill="auto"/>
            <w:noWrap/>
            <w:vAlign w:val="center"/>
          </w:tcPr>
          <w:p>
            <w:pPr>
              <w:widowControl/>
              <w:spacing w:line="240" w:lineRule="auto"/>
              <w:ind w:firstLine="0" w:firstLineChars="0"/>
              <w:jc w:val="center"/>
              <w:rPr>
                <w:rFonts w:eastAsia="宋体" w:cs="Times New Roman"/>
                <w:color w:val="000000"/>
                <w:kern w:val="0"/>
                <w:sz w:val="22"/>
              </w:rPr>
            </w:pPr>
            <w:r>
              <w:rPr>
                <w:rFonts w:eastAsia="宋体" w:cs="Times New Roman"/>
                <w:color w:val="000000"/>
                <w:kern w:val="0"/>
                <w:sz w:val="22"/>
              </w:rPr>
              <w:t>0.32%</w:t>
            </w:r>
          </w:p>
        </w:tc>
      </w:tr>
      <w:tr>
        <w:tblPrEx>
          <w:tblCellMar>
            <w:top w:w="0" w:type="dxa"/>
            <w:left w:w="108" w:type="dxa"/>
            <w:bottom w:w="0" w:type="dxa"/>
            <w:right w:w="108" w:type="dxa"/>
          </w:tblCellMar>
        </w:tblPrEx>
        <w:trPr>
          <w:trHeight w:val="498" w:hRule="atLeast"/>
        </w:trPr>
        <w:tc>
          <w:tcPr>
            <w:tcW w:w="1399" w:type="pc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ind w:firstLine="0" w:firstLineChars="0"/>
              <w:jc w:val="center"/>
              <w:rPr>
                <w:rFonts w:eastAsia="宋体" w:cs="Times New Roman"/>
                <w:color w:val="000000"/>
                <w:kern w:val="0"/>
                <w:sz w:val="24"/>
                <w:szCs w:val="24"/>
              </w:rPr>
            </w:pPr>
            <w:r>
              <w:rPr>
                <w:rFonts w:eastAsia="宋体" w:cs="Times New Roman"/>
                <w:color w:val="000000"/>
                <w:kern w:val="0"/>
                <w:sz w:val="24"/>
                <w:szCs w:val="24"/>
              </w:rPr>
              <w:t>7档</w:t>
            </w:r>
          </w:p>
        </w:tc>
        <w:tc>
          <w:tcPr>
            <w:tcW w:w="1904" w:type="pct"/>
            <w:tcBorders>
              <w:top w:val="nil"/>
              <w:left w:val="nil"/>
              <w:bottom w:val="single" w:color="auto" w:sz="4" w:space="0"/>
              <w:right w:val="single" w:color="auto" w:sz="4" w:space="0"/>
            </w:tcBorders>
            <w:shd w:val="clear" w:color="auto" w:fill="auto"/>
            <w:noWrap/>
            <w:vAlign w:val="center"/>
          </w:tcPr>
          <w:p>
            <w:pPr>
              <w:widowControl/>
              <w:spacing w:line="240" w:lineRule="auto"/>
              <w:ind w:firstLine="0" w:firstLineChars="0"/>
              <w:jc w:val="center"/>
              <w:rPr>
                <w:rFonts w:eastAsia="宋体" w:cs="Times New Roman"/>
                <w:color w:val="000000"/>
                <w:kern w:val="0"/>
                <w:sz w:val="24"/>
                <w:szCs w:val="24"/>
              </w:rPr>
            </w:pPr>
            <w:r>
              <w:rPr>
                <w:rFonts w:eastAsia="宋体" w:cs="Times New Roman"/>
                <w:color w:val="000000"/>
                <w:kern w:val="0"/>
                <w:sz w:val="24"/>
                <w:szCs w:val="24"/>
              </w:rPr>
              <w:t>18</w:t>
            </w:r>
          </w:p>
        </w:tc>
        <w:tc>
          <w:tcPr>
            <w:tcW w:w="1697" w:type="pct"/>
            <w:tcBorders>
              <w:top w:val="nil"/>
              <w:left w:val="nil"/>
              <w:bottom w:val="single" w:color="auto" w:sz="4" w:space="0"/>
              <w:right w:val="single" w:color="auto" w:sz="4" w:space="0"/>
            </w:tcBorders>
            <w:shd w:val="clear" w:color="auto" w:fill="auto"/>
            <w:noWrap/>
            <w:vAlign w:val="center"/>
          </w:tcPr>
          <w:p>
            <w:pPr>
              <w:widowControl/>
              <w:spacing w:line="240" w:lineRule="auto"/>
              <w:ind w:firstLine="0" w:firstLineChars="0"/>
              <w:jc w:val="center"/>
              <w:rPr>
                <w:rFonts w:eastAsia="宋体" w:cs="Times New Roman"/>
                <w:color w:val="000000"/>
                <w:kern w:val="0"/>
                <w:sz w:val="22"/>
              </w:rPr>
            </w:pPr>
            <w:r>
              <w:rPr>
                <w:rFonts w:eastAsia="宋体" w:cs="Times New Roman"/>
                <w:color w:val="000000"/>
                <w:kern w:val="0"/>
                <w:sz w:val="22"/>
              </w:rPr>
              <w:t>0.02%</w:t>
            </w:r>
          </w:p>
        </w:tc>
      </w:tr>
      <w:tr>
        <w:tblPrEx>
          <w:tblCellMar>
            <w:top w:w="0" w:type="dxa"/>
            <w:left w:w="108" w:type="dxa"/>
            <w:bottom w:w="0" w:type="dxa"/>
            <w:right w:w="108" w:type="dxa"/>
          </w:tblCellMar>
        </w:tblPrEx>
        <w:trPr>
          <w:trHeight w:val="498" w:hRule="atLeast"/>
        </w:trPr>
        <w:tc>
          <w:tcPr>
            <w:tcW w:w="1399" w:type="pc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ind w:firstLine="0" w:firstLineChars="0"/>
              <w:jc w:val="center"/>
              <w:rPr>
                <w:rFonts w:eastAsia="宋体" w:cs="Times New Roman"/>
                <w:color w:val="000000"/>
                <w:kern w:val="0"/>
                <w:sz w:val="24"/>
                <w:szCs w:val="24"/>
              </w:rPr>
            </w:pPr>
            <w:r>
              <w:rPr>
                <w:rFonts w:eastAsia="宋体" w:cs="Times New Roman"/>
                <w:color w:val="000000"/>
                <w:kern w:val="0"/>
                <w:sz w:val="24"/>
                <w:szCs w:val="24"/>
              </w:rPr>
              <w:t>8档</w:t>
            </w:r>
          </w:p>
        </w:tc>
        <w:tc>
          <w:tcPr>
            <w:tcW w:w="1904" w:type="pct"/>
            <w:tcBorders>
              <w:top w:val="nil"/>
              <w:left w:val="nil"/>
              <w:bottom w:val="single" w:color="auto" w:sz="4" w:space="0"/>
              <w:right w:val="single" w:color="auto" w:sz="4" w:space="0"/>
            </w:tcBorders>
            <w:shd w:val="clear" w:color="auto" w:fill="auto"/>
            <w:noWrap/>
            <w:vAlign w:val="center"/>
          </w:tcPr>
          <w:p>
            <w:pPr>
              <w:widowControl/>
              <w:spacing w:line="240" w:lineRule="auto"/>
              <w:ind w:firstLine="0" w:firstLineChars="0"/>
              <w:jc w:val="center"/>
              <w:rPr>
                <w:rFonts w:eastAsia="宋体" w:cs="Times New Roman"/>
                <w:color w:val="000000"/>
                <w:kern w:val="0"/>
                <w:sz w:val="24"/>
                <w:szCs w:val="24"/>
              </w:rPr>
            </w:pPr>
            <w:r>
              <w:rPr>
                <w:rFonts w:eastAsia="宋体" w:cs="Times New Roman"/>
                <w:color w:val="000000"/>
                <w:kern w:val="0"/>
                <w:sz w:val="24"/>
                <w:szCs w:val="24"/>
              </w:rPr>
              <w:t>31</w:t>
            </w:r>
          </w:p>
        </w:tc>
        <w:tc>
          <w:tcPr>
            <w:tcW w:w="1697" w:type="pct"/>
            <w:tcBorders>
              <w:top w:val="nil"/>
              <w:left w:val="nil"/>
              <w:bottom w:val="single" w:color="auto" w:sz="4" w:space="0"/>
              <w:right w:val="single" w:color="auto" w:sz="4" w:space="0"/>
            </w:tcBorders>
            <w:shd w:val="clear" w:color="auto" w:fill="auto"/>
            <w:noWrap/>
            <w:vAlign w:val="center"/>
          </w:tcPr>
          <w:p>
            <w:pPr>
              <w:widowControl/>
              <w:spacing w:line="240" w:lineRule="auto"/>
              <w:ind w:firstLine="0" w:firstLineChars="0"/>
              <w:jc w:val="center"/>
              <w:rPr>
                <w:rFonts w:eastAsia="宋体" w:cs="Times New Roman"/>
                <w:color w:val="000000"/>
                <w:kern w:val="0"/>
                <w:sz w:val="22"/>
              </w:rPr>
            </w:pPr>
            <w:r>
              <w:rPr>
                <w:rFonts w:eastAsia="宋体" w:cs="Times New Roman"/>
                <w:color w:val="000000"/>
                <w:kern w:val="0"/>
                <w:sz w:val="22"/>
              </w:rPr>
              <w:t>0.04%</w:t>
            </w:r>
          </w:p>
        </w:tc>
      </w:tr>
      <w:tr>
        <w:tblPrEx>
          <w:tblCellMar>
            <w:top w:w="0" w:type="dxa"/>
            <w:left w:w="108" w:type="dxa"/>
            <w:bottom w:w="0" w:type="dxa"/>
            <w:right w:w="108" w:type="dxa"/>
          </w:tblCellMar>
        </w:tblPrEx>
        <w:trPr>
          <w:trHeight w:val="498" w:hRule="atLeast"/>
        </w:trPr>
        <w:tc>
          <w:tcPr>
            <w:tcW w:w="1399" w:type="pc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ind w:firstLine="0" w:firstLineChars="0"/>
              <w:jc w:val="center"/>
              <w:rPr>
                <w:rFonts w:eastAsia="宋体" w:cs="Times New Roman"/>
                <w:color w:val="000000"/>
                <w:kern w:val="0"/>
                <w:sz w:val="24"/>
                <w:szCs w:val="24"/>
              </w:rPr>
            </w:pPr>
            <w:r>
              <w:rPr>
                <w:rFonts w:eastAsia="宋体" w:cs="Times New Roman"/>
                <w:color w:val="000000"/>
                <w:kern w:val="0"/>
                <w:sz w:val="24"/>
                <w:szCs w:val="24"/>
              </w:rPr>
              <w:t>9档</w:t>
            </w:r>
          </w:p>
        </w:tc>
        <w:tc>
          <w:tcPr>
            <w:tcW w:w="1904" w:type="pct"/>
            <w:tcBorders>
              <w:top w:val="nil"/>
              <w:left w:val="nil"/>
              <w:bottom w:val="single" w:color="auto" w:sz="4" w:space="0"/>
              <w:right w:val="single" w:color="auto" w:sz="4" w:space="0"/>
            </w:tcBorders>
            <w:shd w:val="clear" w:color="auto" w:fill="auto"/>
            <w:noWrap/>
            <w:vAlign w:val="center"/>
          </w:tcPr>
          <w:p>
            <w:pPr>
              <w:widowControl/>
              <w:spacing w:line="240" w:lineRule="auto"/>
              <w:ind w:firstLine="0" w:firstLineChars="0"/>
              <w:jc w:val="center"/>
              <w:rPr>
                <w:rFonts w:eastAsia="宋体" w:cs="Times New Roman"/>
                <w:color w:val="000000"/>
                <w:kern w:val="0"/>
                <w:sz w:val="24"/>
                <w:szCs w:val="24"/>
              </w:rPr>
            </w:pPr>
            <w:r>
              <w:rPr>
                <w:rFonts w:eastAsia="宋体" w:cs="Times New Roman"/>
                <w:color w:val="000000"/>
                <w:kern w:val="0"/>
                <w:sz w:val="24"/>
                <w:szCs w:val="24"/>
              </w:rPr>
              <w:t>10</w:t>
            </w:r>
          </w:p>
        </w:tc>
        <w:tc>
          <w:tcPr>
            <w:tcW w:w="1697" w:type="pct"/>
            <w:tcBorders>
              <w:top w:val="nil"/>
              <w:left w:val="nil"/>
              <w:bottom w:val="single" w:color="auto" w:sz="4" w:space="0"/>
              <w:right w:val="single" w:color="auto" w:sz="4" w:space="0"/>
            </w:tcBorders>
            <w:shd w:val="clear" w:color="auto" w:fill="auto"/>
            <w:noWrap/>
            <w:vAlign w:val="center"/>
          </w:tcPr>
          <w:p>
            <w:pPr>
              <w:widowControl/>
              <w:spacing w:line="240" w:lineRule="auto"/>
              <w:ind w:firstLine="0" w:firstLineChars="0"/>
              <w:jc w:val="center"/>
              <w:rPr>
                <w:rFonts w:eastAsia="宋体" w:cs="Times New Roman"/>
                <w:color w:val="000000"/>
                <w:kern w:val="0"/>
                <w:sz w:val="22"/>
              </w:rPr>
            </w:pPr>
            <w:r>
              <w:rPr>
                <w:rFonts w:eastAsia="宋体" w:cs="Times New Roman"/>
                <w:color w:val="000000"/>
                <w:kern w:val="0"/>
                <w:sz w:val="22"/>
              </w:rPr>
              <w:t>0.01%</w:t>
            </w:r>
          </w:p>
        </w:tc>
      </w:tr>
      <w:tr>
        <w:tblPrEx>
          <w:tblCellMar>
            <w:top w:w="0" w:type="dxa"/>
            <w:left w:w="108" w:type="dxa"/>
            <w:bottom w:w="0" w:type="dxa"/>
            <w:right w:w="108" w:type="dxa"/>
          </w:tblCellMar>
        </w:tblPrEx>
        <w:trPr>
          <w:trHeight w:val="498" w:hRule="atLeast"/>
        </w:trPr>
        <w:tc>
          <w:tcPr>
            <w:tcW w:w="1399" w:type="pc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ind w:firstLine="0" w:firstLineChars="0"/>
              <w:jc w:val="center"/>
              <w:rPr>
                <w:rFonts w:eastAsia="宋体" w:cs="Times New Roman"/>
                <w:color w:val="000000"/>
                <w:kern w:val="0"/>
                <w:sz w:val="24"/>
                <w:szCs w:val="24"/>
              </w:rPr>
            </w:pPr>
            <w:r>
              <w:rPr>
                <w:rFonts w:eastAsia="宋体" w:cs="Times New Roman"/>
                <w:color w:val="000000"/>
                <w:kern w:val="0"/>
                <w:sz w:val="24"/>
                <w:szCs w:val="24"/>
              </w:rPr>
              <w:t>10档</w:t>
            </w:r>
          </w:p>
        </w:tc>
        <w:tc>
          <w:tcPr>
            <w:tcW w:w="1904" w:type="pct"/>
            <w:tcBorders>
              <w:top w:val="nil"/>
              <w:left w:val="nil"/>
              <w:bottom w:val="single" w:color="auto" w:sz="4" w:space="0"/>
              <w:right w:val="single" w:color="auto" w:sz="4" w:space="0"/>
            </w:tcBorders>
            <w:shd w:val="clear" w:color="auto" w:fill="auto"/>
            <w:noWrap/>
            <w:vAlign w:val="center"/>
          </w:tcPr>
          <w:p>
            <w:pPr>
              <w:widowControl/>
              <w:spacing w:line="240" w:lineRule="auto"/>
              <w:ind w:firstLine="0" w:firstLineChars="0"/>
              <w:jc w:val="center"/>
              <w:rPr>
                <w:rFonts w:eastAsia="宋体" w:cs="Times New Roman"/>
                <w:color w:val="000000"/>
                <w:kern w:val="0"/>
                <w:sz w:val="24"/>
                <w:szCs w:val="24"/>
              </w:rPr>
            </w:pPr>
            <w:r>
              <w:rPr>
                <w:rFonts w:eastAsia="宋体" w:cs="Times New Roman"/>
                <w:color w:val="000000"/>
                <w:kern w:val="0"/>
                <w:sz w:val="24"/>
                <w:szCs w:val="24"/>
              </w:rPr>
              <w:t>6476</w:t>
            </w:r>
          </w:p>
        </w:tc>
        <w:tc>
          <w:tcPr>
            <w:tcW w:w="1697" w:type="pct"/>
            <w:tcBorders>
              <w:top w:val="nil"/>
              <w:left w:val="nil"/>
              <w:bottom w:val="single" w:color="auto" w:sz="4" w:space="0"/>
              <w:right w:val="single" w:color="auto" w:sz="4" w:space="0"/>
            </w:tcBorders>
            <w:shd w:val="clear" w:color="auto" w:fill="auto"/>
            <w:noWrap/>
            <w:vAlign w:val="center"/>
          </w:tcPr>
          <w:p>
            <w:pPr>
              <w:widowControl/>
              <w:spacing w:line="240" w:lineRule="auto"/>
              <w:ind w:firstLine="0" w:firstLineChars="0"/>
              <w:jc w:val="center"/>
              <w:rPr>
                <w:rFonts w:eastAsia="宋体" w:cs="Times New Roman"/>
                <w:color w:val="000000"/>
                <w:kern w:val="0"/>
                <w:sz w:val="22"/>
              </w:rPr>
            </w:pPr>
            <w:r>
              <w:rPr>
                <w:rFonts w:eastAsia="宋体" w:cs="Times New Roman"/>
                <w:color w:val="000000"/>
                <w:kern w:val="0"/>
                <w:sz w:val="22"/>
              </w:rPr>
              <w:t>7.74%</w:t>
            </w:r>
          </w:p>
        </w:tc>
      </w:tr>
      <w:tr>
        <w:tblPrEx>
          <w:tblCellMar>
            <w:top w:w="0" w:type="dxa"/>
            <w:left w:w="108" w:type="dxa"/>
            <w:bottom w:w="0" w:type="dxa"/>
            <w:right w:w="108" w:type="dxa"/>
          </w:tblCellMar>
        </w:tblPrEx>
        <w:trPr>
          <w:trHeight w:val="498" w:hRule="atLeast"/>
        </w:trPr>
        <w:tc>
          <w:tcPr>
            <w:tcW w:w="1399" w:type="pc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ind w:firstLine="0" w:firstLineChars="0"/>
              <w:jc w:val="center"/>
              <w:rPr>
                <w:rFonts w:eastAsia="宋体" w:cs="Times New Roman"/>
                <w:color w:val="000000"/>
                <w:kern w:val="0"/>
                <w:sz w:val="24"/>
                <w:szCs w:val="24"/>
              </w:rPr>
            </w:pPr>
            <w:r>
              <w:rPr>
                <w:rFonts w:eastAsia="宋体" w:cs="Times New Roman"/>
                <w:color w:val="000000"/>
                <w:kern w:val="0"/>
                <w:sz w:val="24"/>
                <w:szCs w:val="24"/>
              </w:rPr>
              <w:t>11档</w:t>
            </w:r>
          </w:p>
        </w:tc>
        <w:tc>
          <w:tcPr>
            <w:tcW w:w="1904" w:type="pct"/>
            <w:tcBorders>
              <w:top w:val="nil"/>
              <w:left w:val="nil"/>
              <w:bottom w:val="single" w:color="auto" w:sz="4" w:space="0"/>
              <w:right w:val="single" w:color="auto" w:sz="4" w:space="0"/>
            </w:tcBorders>
            <w:shd w:val="clear" w:color="auto" w:fill="auto"/>
            <w:noWrap/>
            <w:vAlign w:val="center"/>
          </w:tcPr>
          <w:p>
            <w:pPr>
              <w:widowControl/>
              <w:spacing w:line="240" w:lineRule="auto"/>
              <w:ind w:firstLine="0" w:firstLineChars="0"/>
              <w:jc w:val="center"/>
              <w:rPr>
                <w:rFonts w:eastAsia="宋体" w:cs="Times New Roman"/>
                <w:color w:val="000000"/>
                <w:kern w:val="0"/>
                <w:sz w:val="24"/>
                <w:szCs w:val="24"/>
              </w:rPr>
            </w:pPr>
            <w:r>
              <w:rPr>
                <w:rFonts w:eastAsia="宋体" w:cs="Times New Roman"/>
                <w:color w:val="000000"/>
                <w:kern w:val="0"/>
                <w:sz w:val="24"/>
                <w:szCs w:val="24"/>
              </w:rPr>
              <w:t>142</w:t>
            </w:r>
          </w:p>
        </w:tc>
        <w:tc>
          <w:tcPr>
            <w:tcW w:w="1697" w:type="pct"/>
            <w:tcBorders>
              <w:top w:val="nil"/>
              <w:left w:val="nil"/>
              <w:bottom w:val="single" w:color="auto" w:sz="4" w:space="0"/>
              <w:right w:val="single" w:color="auto" w:sz="4" w:space="0"/>
            </w:tcBorders>
            <w:shd w:val="clear" w:color="auto" w:fill="auto"/>
            <w:noWrap/>
            <w:vAlign w:val="center"/>
          </w:tcPr>
          <w:p>
            <w:pPr>
              <w:widowControl/>
              <w:spacing w:line="240" w:lineRule="auto"/>
              <w:ind w:firstLine="0" w:firstLineChars="0"/>
              <w:jc w:val="center"/>
              <w:rPr>
                <w:rFonts w:eastAsia="宋体" w:cs="Times New Roman"/>
                <w:color w:val="000000"/>
                <w:kern w:val="0"/>
                <w:sz w:val="22"/>
              </w:rPr>
            </w:pPr>
            <w:r>
              <w:rPr>
                <w:rFonts w:eastAsia="宋体" w:cs="Times New Roman"/>
                <w:color w:val="000000"/>
                <w:kern w:val="0"/>
                <w:sz w:val="22"/>
              </w:rPr>
              <w:t>0.17%</w:t>
            </w:r>
          </w:p>
        </w:tc>
      </w:tr>
      <w:tr>
        <w:tblPrEx>
          <w:tblCellMar>
            <w:top w:w="0" w:type="dxa"/>
            <w:left w:w="108" w:type="dxa"/>
            <w:bottom w:w="0" w:type="dxa"/>
            <w:right w:w="108" w:type="dxa"/>
          </w:tblCellMar>
        </w:tblPrEx>
        <w:trPr>
          <w:trHeight w:val="498" w:hRule="atLeast"/>
        </w:trPr>
        <w:tc>
          <w:tcPr>
            <w:tcW w:w="1399" w:type="pc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ind w:firstLine="0" w:firstLineChars="0"/>
              <w:jc w:val="center"/>
              <w:rPr>
                <w:rFonts w:eastAsia="宋体" w:cs="Times New Roman"/>
                <w:color w:val="000000"/>
                <w:kern w:val="0"/>
                <w:sz w:val="24"/>
                <w:szCs w:val="24"/>
              </w:rPr>
            </w:pPr>
            <w:r>
              <w:rPr>
                <w:rFonts w:eastAsia="宋体" w:cs="Times New Roman"/>
                <w:color w:val="000000"/>
                <w:kern w:val="0"/>
                <w:sz w:val="24"/>
                <w:szCs w:val="24"/>
              </w:rPr>
              <w:t>12档</w:t>
            </w:r>
          </w:p>
        </w:tc>
        <w:tc>
          <w:tcPr>
            <w:tcW w:w="1904" w:type="pct"/>
            <w:tcBorders>
              <w:top w:val="nil"/>
              <w:left w:val="nil"/>
              <w:bottom w:val="single" w:color="auto" w:sz="4" w:space="0"/>
              <w:right w:val="single" w:color="auto" w:sz="4" w:space="0"/>
            </w:tcBorders>
            <w:shd w:val="clear" w:color="auto" w:fill="auto"/>
            <w:noWrap/>
            <w:vAlign w:val="center"/>
          </w:tcPr>
          <w:p>
            <w:pPr>
              <w:widowControl/>
              <w:spacing w:line="240" w:lineRule="auto"/>
              <w:ind w:firstLine="0" w:firstLineChars="0"/>
              <w:jc w:val="center"/>
              <w:rPr>
                <w:rFonts w:eastAsia="宋体" w:cs="Times New Roman"/>
                <w:color w:val="000000"/>
                <w:kern w:val="0"/>
                <w:sz w:val="24"/>
                <w:szCs w:val="24"/>
              </w:rPr>
            </w:pPr>
            <w:r>
              <w:rPr>
                <w:rFonts w:eastAsia="宋体" w:cs="Times New Roman"/>
                <w:color w:val="000000"/>
                <w:kern w:val="0"/>
                <w:sz w:val="24"/>
                <w:szCs w:val="24"/>
              </w:rPr>
              <w:t>175</w:t>
            </w:r>
          </w:p>
        </w:tc>
        <w:tc>
          <w:tcPr>
            <w:tcW w:w="1697" w:type="pct"/>
            <w:tcBorders>
              <w:top w:val="nil"/>
              <w:left w:val="nil"/>
              <w:bottom w:val="single" w:color="auto" w:sz="4" w:space="0"/>
              <w:right w:val="single" w:color="auto" w:sz="4" w:space="0"/>
            </w:tcBorders>
            <w:shd w:val="clear" w:color="auto" w:fill="auto"/>
            <w:noWrap/>
            <w:vAlign w:val="center"/>
          </w:tcPr>
          <w:p>
            <w:pPr>
              <w:widowControl/>
              <w:spacing w:line="240" w:lineRule="auto"/>
              <w:ind w:firstLine="0" w:firstLineChars="0"/>
              <w:jc w:val="center"/>
              <w:rPr>
                <w:rFonts w:eastAsia="宋体" w:cs="Times New Roman"/>
                <w:color w:val="000000"/>
                <w:kern w:val="0"/>
                <w:sz w:val="22"/>
              </w:rPr>
            </w:pPr>
            <w:r>
              <w:rPr>
                <w:rFonts w:eastAsia="宋体" w:cs="Times New Roman"/>
                <w:color w:val="000000"/>
                <w:kern w:val="0"/>
                <w:sz w:val="22"/>
              </w:rPr>
              <w:t>0.21%</w:t>
            </w:r>
          </w:p>
        </w:tc>
      </w:tr>
      <w:tr>
        <w:tblPrEx>
          <w:tblCellMar>
            <w:top w:w="0" w:type="dxa"/>
            <w:left w:w="108" w:type="dxa"/>
            <w:bottom w:w="0" w:type="dxa"/>
            <w:right w:w="108" w:type="dxa"/>
          </w:tblCellMar>
        </w:tblPrEx>
        <w:trPr>
          <w:trHeight w:val="498" w:hRule="atLeast"/>
        </w:trPr>
        <w:tc>
          <w:tcPr>
            <w:tcW w:w="1399" w:type="pc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ind w:firstLine="0" w:firstLineChars="0"/>
              <w:jc w:val="center"/>
              <w:rPr>
                <w:rFonts w:eastAsia="宋体" w:cs="Times New Roman"/>
                <w:color w:val="000000"/>
                <w:kern w:val="0"/>
                <w:sz w:val="24"/>
                <w:szCs w:val="24"/>
              </w:rPr>
            </w:pPr>
            <w:r>
              <w:rPr>
                <w:rFonts w:eastAsia="宋体" w:cs="Times New Roman"/>
                <w:color w:val="000000"/>
                <w:kern w:val="0"/>
                <w:sz w:val="24"/>
                <w:szCs w:val="24"/>
              </w:rPr>
              <w:t>13档</w:t>
            </w:r>
          </w:p>
        </w:tc>
        <w:tc>
          <w:tcPr>
            <w:tcW w:w="1904" w:type="pct"/>
            <w:tcBorders>
              <w:top w:val="nil"/>
              <w:left w:val="nil"/>
              <w:bottom w:val="single" w:color="auto" w:sz="4" w:space="0"/>
              <w:right w:val="single" w:color="auto" w:sz="4" w:space="0"/>
            </w:tcBorders>
            <w:shd w:val="clear" w:color="auto" w:fill="auto"/>
            <w:noWrap/>
            <w:vAlign w:val="center"/>
          </w:tcPr>
          <w:p>
            <w:pPr>
              <w:widowControl/>
              <w:spacing w:line="240" w:lineRule="auto"/>
              <w:ind w:firstLine="0" w:firstLineChars="0"/>
              <w:jc w:val="center"/>
              <w:rPr>
                <w:rFonts w:eastAsia="宋体" w:cs="Times New Roman"/>
                <w:color w:val="000000"/>
                <w:kern w:val="0"/>
                <w:sz w:val="24"/>
                <w:szCs w:val="24"/>
              </w:rPr>
            </w:pPr>
            <w:r>
              <w:rPr>
                <w:rFonts w:eastAsia="宋体" w:cs="Times New Roman"/>
                <w:color w:val="000000"/>
                <w:kern w:val="0"/>
                <w:sz w:val="24"/>
                <w:szCs w:val="24"/>
              </w:rPr>
              <w:t>628</w:t>
            </w:r>
          </w:p>
        </w:tc>
        <w:tc>
          <w:tcPr>
            <w:tcW w:w="1697" w:type="pct"/>
            <w:tcBorders>
              <w:top w:val="nil"/>
              <w:left w:val="nil"/>
              <w:bottom w:val="single" w:color="auto" w:sz="4" w:space="0"/>
              <w:right w:val="single" w:color="auto" w:sz="4" w:space="0"/>
            </w:tcBorders>
            <w:shd w:val="clear" w:color="auto" w:fill="auto"/>
            <w:noWrap/>
            <w:vAlign w:val="center"/>
          </w:tcPr>
          <w:p>
            <w:pPr>
              <w:widowControl/>
              <w:spacing w:line="240" w:lineRule="auto"/>
              <w:ind w:firstLine="0" w:firstLineChars="0"/>
              <w:jc w:val="center"/>
              <w:rPr>
                <w:rFonts w:eastAsia="宋体" w:cs="Times New Roman"/>
                <w:color w:val="000000"/>
                <w:kern w:val="0"/>
                <w:sz w:val="22"/>
              </w:rPr>
            </w:pPr>
            <w:r>
              <w:rPr>
                <w:rFonts w:eastAsia="宋体" w:cs="Times New Roman"/>
                <w:color w:val="000000"/>
                <w:kern w:val="0"/>
                <w:sz w:val="22"/>
              </w:rPr>
              <w:t>0.75%</w:t>
            </w:r>
          </w:p>
        </w:tc>
      </w:tr>
      <w:tr>
        <w:tblPrEx>
          <w:tblCellMar>
            <w:top w:w="0" w:type="dxa"/>
            <w:left w:w="108" w:type="dxa"/>
            <w:bottom w:w="0" w:type="dxa"/>
            <w:right w:w="108" w:type="dxa"/>
          </w:tblCellMar>
        </w:tblPrEx>
        <w:trPr>
          <w:trHeight w:val="498" w:hRule="atLeast"/>
        </w:trPr>
        <w:tc>
          <w:tcPr>
            <w:tcW w:w="1399" w:type="pc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ind w:firstLine="0" w:firstLineChars="0"/>
              <w:jc w:val="center"/>
              <w:rPr>
                <w:rFonts w:eastAsia="宋体" w:cs="Times New Roman"/>
                <w:color w:val="000000"/>
                <w:kern w:val="0"/>
                <w:sz w:val="24"/>
                <w:szCs w:val="24"/>
              </w:rPr>
            </w:pPr>
            <w:r>
              <w:rPr>
                <w:rFonts w:eastAsia="宋体" w:cs="Times New Roman"/>
                <w:color w:val="000000"/>
                <w:kern w:val="0"/>
                <w:sz w:val="24"/>
                <w:szCs w:val="24"/>
              </w:rPr>
              <w:t>14档</w:t>
            </w:r>
          </w:p>
        </w:tc>
        <w:tc>
          <w:tcPr>
            <w:tcW w:w="1904" w:type="pct"/>
            <w:tcBorders>
              <w:top w:val="nil"/>
              <w:left w:val="nil"/>
              <w:bottom w:val="single" w:color="auto" w:sz="4" w:space="0"/>
              <w:right w:val="single" w:color="auto" w:sz="4" w:space="0"/>
            </w:tcBorders>
            <w:shd w:val="clear" w:color="auto" w:fill="auto"/>
            <w:noWrap/>
            <w:vAlign w:val="center"/>
          </w:tcPr>
          <w:p>
            <w:pPr>
              <w:widowControl/>
              <w:spacing w:line="240" w:lineRule="auto"/>
              <w:ind w:firstLine="0" w:firstLineChars="0"/>
              <w:jc w:val="center"/>
              <w:rPr>
                <w:rFonts w:eastAsia="宋体" w:cs="Times New Roman"/>
                <w:color w:val="000000"/>
                <w:kern w:val="0"/>
                <w:sz w:val="24"/>
                <w:szCs w:val="24"/>
              </w:rPr>
            </w:pPr>
            <w:r>
              <w:rPr>
                <w:rFonts w:eastAsia="宋体" w:cs="Times New Roman"/>
                <w:color w:val="000000"/>
                <w:kern w:val="0"/>
                <w:sz w:val="24"/>
                <w:szCs w:val="24"/>
              </w:rPr>
              <w:t>303</w:t>
            </w:r>
          </w:p>
        </w:tc>
        <w:tc>
          <w:tcPr>
            <w:tcW w:w="1697" w:type="pct"/>
            <w:tcBorders>
              <w:top w:val="nil"/>
              <w:left w:val="nil"/>
              <w:bottom w:val="single" w:color="auto" w:sz="4" w:space="0"/>
              <w:right w:val="single" w:color="auto" w:sz="4" w:space="0"/>
            </w:tcBorders>
            <w:shd w:val="clear" w:color="auto" w:fill="auto"/>
            <w:noWrap/>
            <w:vAlign w:val="center"/>
          </w:tcPr>
          <w:p>
            <w:pPr>
              <w:widowControl/>
              <w:spacing w:line="240" w:lineRule="auto"/>
              <w:ind w:firstLine="0" w:firstLineChars="0"/>
              <w:jc w:val="center"/>
              <w:rPr>
                <w:rFonts w:eastAsia="宋体" w:cs="Times New Roman"/>
                <w:color w:val="000000"/>
                <w:kern w:val="0"/>
                <w:sz w:val="22"/>
              </w:rPr>
            </w:pPr>
            <w:r>
              <w:rPr>
                <w:rFonts w:eastAsia="宋体" w:cs="Times New Roman"/>
                <w:color w:val="000000"/>
                <w:kern w:val="0"/>
                <w:sz w:val="22"/>
              </w:rPr>
              <w:t>0.36%</w:t>
            </w:r>
          </w:p>
        </w:tc>
      </w:tr>
      <w:tr>
        <w:tblPrEx>
          <w:tblCellMar>
            <w:top w:w="0" w:type="dxa"/>
            <w:left w:w="108" w:type="dxa"/>
            <w:bottom w:w="0" w:type="dxa"/>
            <w:right w:w="108" w:type="dxa"/>
          </w:tblCellMar>
        </w:tblPrEx>
        <w:trPr>
          <w:trHeight w:val="498" w:hRule="atLeast"/>
        </w:trPr>
        <w:tc>
          <w:tcPr>
            <w:tcW w:w="1399" w:type="pc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ind w:firstLine="0" w:firstLineChars="0"/>
              <w:jc w:val="center"/>
              <w:rPr>
                <w:rFonts w:eastAsia="宋体" w:cs="Times New Roman"/>
                <w:color w:val="000000"/>
                <w:kern w:val="0"/>
                <w:sz w:val="24"/>
                <w:szCs w:val="24"/>
              </w:rPr>
            </w:pPr>
            <w:r>
              <w:rPr>
                <w:rFonts w:eastAsia="宋体" w:cs="Times New Roman"/>
                <w:color w:val="000000"/>
                <w:kern w:val="0"/>
                <w:sz w:val="24"/>
                <w:szCs w:val="24"/>
              </w:rPr>
              <w:t>合计</w:t>
            </w:r>
          </w:p>
        </w:tc>
        <w:tc>
          <w:tcPr>
            <w:tcW w:w="1904" w:type="pct"/>
            <w:tcBorders>
              <w:top w:val="nil"/>
              <w:left w:val="nil"/>
              <w:bottom w:val="single" w:color="auto" w:sz="4" w:space="0"/>
              <w:right w:val="single" w:color="auto" w:sz="4" w:space="0"/>
            </w:tcBorders>
            <w:shd w:val="clear" w:color="auto" w:fill="auto"/>
            <w:noWrap/>
            <w:vAlign w:val="center"/>
          </w:tcPr>
          <w:p>
            <w:pPr>
              <w:widowControl/>
              <w:spacing w:line="240" w:lineRule="auto"/>
              <w:ind w:firstLine="0" w:firstLineChars="0"/>
              <w:jc w:val="center"/>
              <w:rPr>
                <w:rFonts w:eastAsia="宋体" w:cs="Times New Roman"/>
                <w:color w:val="000000"/>
                <w:kern w:val="0"/>
                <w:sz w:val="24"/>
                <w:szCs w:val="24"/>
              </w:rPr>
            </w:pPr>
            <w:r>
              <w:rPr>
                <w:rFonts w:eastAsia="宋体" w:cs="Times New Roman"/>
                <w:color w:val="000000"/>
                <w:kern w:val="0"/>
                <w:sz w:val="24"/>
                <w:szCs w:val="24"/>
              </w:rPr>
              <w:t>83629</w:t>
            </w:r>
          </w:p>
        </w:tc>
        <w:tc>
          <w:tcPr>
            <w:tcW w:w="1697" w:type="pct"/>
            <w:tcBorders>
              <w:top w:val="nil"/>
              <w:left w:val="nil"/>
              <w:bottom w:val="single" w:color="auto" w:sz="4" w:space="0"/>
              <w:right w:val="single" w:color="auto" w:sz="4" w:space="0"/>
            </w:tcBorders>
            <w:shd w:val="clear" w:color="auto" w:fill="auto"/>
            <w:noWrap/>
            <w:vAlign w:val="center"/>
          </w:tcPr>
          <w:p>
            <w:pPr>
              <w:widowControl/>
              <w:spacing w:line="240" w:lineRule="auto"/>
              <w:ind w:firstLine="0" w:firstLineChars="0"/>
              <w:jc w:val="center"/>
              <w:rPr>
                <w:rFonts w:eastAsia="宋体" w:cs="Times New Roman"/>
                <w:color w:val="000000"/>
                <w:kern w:val="0"/>
                <w:sz w:val="22"/>
              </w:rPr>
            </w:pPr>
            <w:r>
              <w:rPr>
                <w:rFonts w:eastAsia="宋体" w:cs="Times New Roman"/>
                <w:color w:val="000000"/>
                <w:kern w:val="0"/>
                <w:sz w:val="22"/>
              </w:rPr>
              <w:t>100.00%</w:t>
            </w:r>
          </w:p>
        </w:tc>
      </w:tr>
    </w:tbl>
    <w:p>
      <w:pPr>
        <w:spacing w:before="217" w:after="217"/>
        <w:ind w:firstLine="640"/>
        <w:rPr>
          <w:rFonts w:cs="Times New Roman"/>
        </w:rPr>
      </w:pPr>
    </w:p>
    <w:p>
      <w:pPr>
        <w:pStyle w:val="3"/>
        <w:ind w:firstLine="643"/>
        <w:rPr>
          <w:rFonts w:cs="Times New Roman"/>
        </w:rPr>
      </w:pPr>
      <w:bookmarkStart w:id="26" w:name="_Toc76927040"/>
      <w:r>
        <w:rPr>
          <w:rFonts w:cs="Times New Roman"/>
        </w:rPr>
        <w:t>（</w:t>
      </w:r>
      <w:r>
        <w:rPr>
          <w:rFonts w:hint="eastAsia" w:cs="Times New Roman"/>
        </w:rPr>
        <w:t>二</w:t>
      </w:r>
      <w:r>
        <w:rPr>
          <w:rFonts w:cs="Times New Roman"/>
        </w:rPr>
        <w:t>）</w:t>
      </w:r>
      <w:r>
        <w:rPr>
          <w:rFonts w:hint="eastAsia" w:cs="Times New Roman"/>
        </w:rPr>
        <w:t>养老金领取资格认证方式薄弱点突出</w:t>
      </w:r>
      <w:bookmarkEnd w:id="26"/>
    </w:p>
    <w:p>
      <w:pPr>
        <w:ind w:firstLine="640"/>
        <w:rPr>
          <w:rFonts w:cs="Times New Roman"/>
          <w:color w:val="323232"/>
          <w:shd w:val="clear" w:color="auto" w:fill="FFFFFF"/>
        </w:rPr>
      </w:pPr>
      <w:r>
        <w:rPr>
          <w:rFonts w:cs="Times New Roman"/>
        </w:rPr>
        <w:t>完善老年人养老金领取资格和生存认证方式,对于保障离退休人员基本生活，防止养老金冒领,维护社会和谐稳定,具有至关重要的意义。目前绵竹市资金</w:t>
      </w:r>
      <w:r>
        <w:rPr>
          <w:rFonts w:cs="Times New Roman"/>
          <w:color w:val="323232"/>
          <w:shd w:val="clear" w:color="auto" w:fill="FFFFFF"/>
        </w:rPr>
        <w:t>管理流程存在一定的薄弱环节，可能会出现数据传输失误和信息更新滞后，具体表现</w:t>
      </w:r>
      <w:r>
        <w:rPr>
          <w:rFonts w:hint="eastAsia" w:cs="Times New Roman"/>
          <w:color w:val="323232"/>
          <w:shd w:val="clear" w:color="auto" w:fill="FFFFFF"/>
        </w:rPr>
        <w:t>为</w:t>
      </w:r>
      <w:r>
        <w:rPr>
          <w:rFonts w:cs="Times New Roman"/>
          <w:color w:val="323232"/>
          <w:shd w:val="clear" w:color="auto" w:fill="FFFFFF"/>
        </w:rPr>
        <w:t>部分老年人死亡后未及时清理和暂停发放养老保险，易造成养老保险财政补助资金流失。待遇死亡人数的核定是根据每月初殡仪馆共享的本地死亡火化数据进行的，但</w:t>
      </w:r>
      <w:r>
        <w:rPr>
          <w:rFonts w:cs="Times New Roman"/>
        </w:rPr>
        <w:t>很多老人随子女常年外出，经办机构对其生存状况难以及时、确切掌握和了解，出现数据统计漏洞。</w:t>
      </w:r>
    </w:p>
    <w:p>
      <w:pPr>
        <w:pStyle w:val="3"/>
        <w:ind w:firstLine="643"/>
        <w:rPr>
          <w:rFonts w:cs="Times New Roman"/>
        </w:rPr>
      </w:pPr>
      <w:bookmarkStart w:id="27" w:name="_Toc76927041"/>
      <w:r>
        <w:rPr>
          <w:rFonts w:cs="Times New Roman"/>
        </w:rPr>
        <w:t>（</w:t>
      </w:r>
      <w:r>
        <w:rPr>
          <w:rFonts w:hint="eastAsia" w:cs="Times New Roman"/>
        </w:rPr>
        <w:t>三</w:t>
      </w:r>
      <w:r>
        <w:rPr>
          <w:rFonts w:cs="Times New Roman"/>
        </w:rPr>
        <w:t>）绩效目标设置</w:t>
      </w:r>
      <w:r>
        <w:rPr>
          <w:rFonts w:hint="eastAsia" w:cs="Times New Roman"/>
        </w:rPr>
        <w:t>与实际情况偏离度较高</w:t>
      </w:r>
      <w:bookmarkEnd w:id="27"/>
    </w:p>
    <w:p>
      <w:pPr>
        <w:ind w:firstLine="640"/>
        <w:rPr>
          <w:rFonts w:cs="Times New Roman"/>
          <w:szCs w:val="32"/>
        </w:rPr>
      </w:pPr>
      <w:r>
        <w:rPr>
          <w:rFonts w:cs="Times New Roman"/>
          <w:szCs w:val="32"/>
        </w:rPr>
        <w:t>绩效目标管理是预算绩效管理的首要环节，指导具体工作的开展。绩效目标量化程度越高，绩效工作的可考核性越强。据该项目的绩效目标申报表来看，有以下两方面不足：</w:t>
      </w:r>
      <w:r>
        <w:rPr>
          <w:rFonts w:cs="Times New Roman"/>
        </w:rPr>
        <w:t>一是绩效指标设置不合理，专业性较低。如</w:t>
      </w:r>
      <w:r>
        <w:rPr>
          <w:rFonts w:hint="eastAsia" w:cs="Times New Roman"/>
        </w:rPr>
        <w:t>“</w:t>
      </w:r>
      <w:r>
        <w:rPr>
          <w:rFonts w:cs="Times New Roman"/>
        </w:rPr>
        <w:t>时效指标</w:t>
      </w:r>
      <w:r>
        <w:rPr>
          <w:rFonts w:hint="eastAsia" w:cs="Times New Roman"/>
        </w:rPr>
        <w:t>”</w:t>
      </w:r>
      <w:r>
        <w:rPr>
          <w:rFonts w:cs="Times New Roman"/>
        </w:rPr>
        <w:t>下设三级指标</w:t>
      </w:r>
      <w:r>
        <w:rPr>
          <w:rFonts w:hint="eastAsia" w:cs="Times New Roman"/>
        </w:rPr>
        <w:t>“</w:t>
      </w:r>
      <w:r>
        <w:rPr>
          <w:rFonts w:cs="Times New Roman"/>
        </w:rPr>
        <w:t>项目完成成本</w:t>
      </w:r>
      <w:r>
        <w:rPr>
          <w:rFonts w:hint="eastAsia" w:cs="Times New Roman"/>
        </w:rPr>
        <w:t>”</w:t>
      </w:r>
      <w:r>
        <w:rPr>
          <w:rFonts w:cs="Times New Roman"/>
        </w:rPr>
        <w:t>263.33万元，该补助项目不涉及成本，指标设置不恰当。其次，养老补助补贴不涉及经济效益和生态效益，因此</w:t>
      </w:r>
      <w:r>
        <w:rPr>
          <w:rFonts w:hint="eastAsia" w:cs="Times New Roman"/>
        </w:rPr>
        <w:t>“</w:t>
      </w:r>
      <w:r>
        <w:rPr>
          <w:rFonts w:cs="Times New Roman"/>
        </w:rPr>
        <w:t>经济效益指标</w:t>
      </w:r>
      <w:r>
        <w:rPr>
          <w:rFonts w:hint="eastAsia" w:cs="Times New Roman"/>
        </w:rPr>
        <w:t>”</w:t>
      </w:r>
      <w:r>
        <w:rPr>
          <w:rFonts w:cs="Times New Roman"/>
        </w:rPr>
        <w:t>下设三级指标</w:t>
      </w:r>
      <w:r>
        <w:rPr>
          <w:rFonts w:hint="eastAsia" w:cs="Times New Roman"/>
        </w:rPr>
        <w:t>“</w:t>
      </w:r>
      <w:r>
        <w:rPr>
          <w:rFonts w:cs="Times New Roman"/>
        </w:rPr>
        <w:t>保障城乡养老参保者生活水平</w:t>
      </w:r>
      <w:r>
        <w:rPr>
          <w:rFonts w:hint="eastAsia" w:cs="Times New Roman"/>
        </w:rPr>
        <w:t>”</w:t>
      </w:r>
      <w:r>
        <w:rPr>
          <w:rFonts w:cs="Times New Roman"/>
        </w:rPr>
        <w:t>和</w:t>
      </w:r>
      <w:r>
        <w:rPr>
          <w:rFonts w:hint="eastAsia" w:cs="Times New Roman"/>
        </w:rPr>
        <w:t>“</w:t>
      </w:r>
      <w:r>
        <w:rPr>
          <w:rFonts w:cs="Times New Roman"/>
        </w:rPr>
        <w:t>生态效益</w:t>
      </w:r>
      <w:r>
        <w:rPr>
          <w:rFonts w:hint="eastAsia" w:cs="Times New Roman"/>
        </w:rPr>
        <w:t>”</w:t>
      </w:r>
      <w:r>
        <w:rPr>
          <w:rFonts w:cs="Times New Roman"/>
        </w:rPr>
        <w:t>下设</w:t>
      </w:r>
      <w:r>
        <w:rPr>
          <w:rFonts w:hint="eastAsia" w:cs="Times New Roman"/>
        </w:rPr>
        <w:t>“</w:t>
      </w:r>
      <w:r>
        <w:rPr>
          <w:rFonts w:cs="Times New Roman"/>
        </w:rPr>
        <w:t>提高城乡养老服务能力</w:t>
      </w:r>
      <w:r>
        <w:rPr>
          <w:rFonts w:hint="eastAsia" w:cs="Times New Roman"/>
        </w:rPr>
        <w:t>”</w:t>
      </w:r>
      <w:r>
        <w:rPr>
          <w:rFonts w:cs="Times New Roman"/>
        </w:rPr>
        <w:t>为无效指标。二是绩效目标指标值逻辑性欠缺，可应用度需加强。</w:t>
      </w:r>
      <w:r>
        <w:rPr>
          <w:rFonts w:hint="eastAsia" w:cs="Times New Roman"/>
        </w:rPr>
        <w:t>“</w:t>
      </w:r>
      <w:r>
        <w:rPr>
          <w:rFonts w:cs="Times New Roman"/>
        </w:rPr>
        <w:t>质量指标</w:t>
      </w:r>
      <w:r>
        <w:rPr>
          <w:rFonts w:hint="eastAsia" w:cs="Times New Roman"/>
        </w:rPr>
        <w:t>”</w:t>
      </w:r>
      <w:r>
        <w:rPr>
          <w:rFonts w:cs="Times New Roman"/>
        </w:rPr>
        <w:t>中</w:t>
      </w:r>
      <w:r>
        <w:rPr>
          <w:rFonts w:hint="eastAsia" w:cs="Times New Roman"/>
        </w:rPr>
        <w:t>“</w:t>
      </w:r>
      <w:r>
        <w:rPr>
          <w:rFonts w:cs="Times New Roman"/>
        </w:rPr>
        <w:t>项目执行标准</w:t>
      </w:r>
      <w:r>
        <w:rPr>
          <w:rFonts w:hint="eastAsia" w:cs="Times New Roman"/>
        </w:rPr>
        <w:t>”</w:t>
      </w:r>
      <w:r>
        <w:rPr>
          <w:rFonts w:cs="Times New Roman"/>
        </w:rPr>
        <w:t>指标值设置为92.31万元/月，这是数量指标的表述而非质量指标。</w:t>
      </w:r>
      <w:r>
        <w:rPr>
          <w:rFonts w:cs="Times New Roman"/>
          <w:szCs w:val="32"/>
        </w:rPr>
        <w:t>在绩效监控和绩效评价中，难以就绩效目标对养老财政补助工作进行监控和评价。</w:t>
      </w:r>
    </w:p>
    <w:p>
      <w:pPr>
        <w:pStyle w:val="2"/>
        <w:ind w:firstLine="723"/>
        <w:rPr>
          <w:rFonts w:cs="Times New Roman"/>
        </w:rPr>
      </w:pPr>
      <w:bookmarkStart w:id="28" w:name="_Toc76927042"/>
      <w:r>
        <w:rPr>
          <w:rFonts w:cs="Times New Roman"/>
        </w:rPr>
        <w:t>五、相关措施建议</w:t>
      </w:r>
      <w:bookmarkEnd w:id="28"/>
    </w:p>
    <w:p>
      <w:pPr>
        <w:pStyle w:val="3"/>
        <w:spacing w:line="560" w:lineRule="exact"/>
        <w:ind w:firstLine="643"/>
        <w:rPr>
          <w:rFonts w:cs="Times New Roman"/>
        </w:rPr>
      </w:pPr>
      <w:bookmarkStart w:id="29" w:name="_Toc76927043"/>
      <w:r>
        <w:rPr>
          <w:rFonts w:cs="Times New Roman"/>
        </w:rPr>
        <w:t>（一）加大政策宣传力度，提升居民参保意愿</w:t>
      </w:r>
      <w:bookmarkEnd w:id="29"/>
    </w:p>
    <w:p>
      <w:pPr>
        <w:ind w:firstLine="640"/>
        <w:rPr>
          <w:rFonts w:cs="Times New Roman"/>
        </w:rPr>
      </w:pPr>
      <w:r>
        <w:rPr>
          <w:rFonts w:cs="Times New Roman"/>
        </w:rPr>
        <w:t>城乡居民养老保险关乎到人民群众的切实利益，一是建议市人社局充分利用电视、广播、报刊、网络等媒体，运用通俗易懂的宣传方式，深入宣传城乡居民养老保险政策，提高养老保险参保缴费率和缴费档次。二是建议市人社局组织力量深入乡（镇、街道）、村（社区），让城乡居民了解养老保险发放标准、办理及领取流程等，使城乡居民看到参保的好处，进一步提高城乡居民主动参保意愿。三是建议市人社局营造良好的工作氛围，利用好养老外包服务人员，聚焦突出问题，定期寻访调查，深入了解本地城乡居民需求，并引导适龄城乡居民积极参保缴费，推动城乡居民保工作顺利开展。</w:t>
      </w:r>
    </w:p>
    <w:p>
      <w:pPr>
        <w:pStyle w:val="3"/>
        <w:spacing w:line="560" w:lineRule="exact"/>
        <w:ind w:firstLine="643"/>
        <w:rPr>
          <w:rFonts w:cs="Times New Roman"/>
        </w:rPr>
      </w:pPr>
      <w:bookmarkStart w:id="30" w:name="_Toc76927044"/>
      <w:r>
        <w:rPr>
          <w:rFonts w:cs="Times New Roman"/>
        </w:rPr>
        <w:t>（</w:t>
      </w:r>
      <w:r>
        <w:rPr>
          <w:rFonts w:hint="eastAsia" w:cs="Times New Roman"/>
        </w:rPr>
        <w:t>二</w:t>
      </w:r>
      <w:r>
        <w:rPr>
          <w:rFonts w:cs="Times New Roman"/>
        </w:rPr>
        <w:t>）强化基金数据管理，加强社会监督机制</w:t>
      </w:r>
      <w:bookmarkEnd w:id="30"/>
    </w:p>
    <w:p>
      <w:pPr>
        <w:ind w:firstLine="640"/>
        <w:rPr>
          <w:rFonts w:cs="Times New Roman"/>
        </w:rPr>
      </w:pPr>
      <w:r>
        <w:rPr>
          <w:rFonts w:cs="Times New Roman"/>
        </w:rPr>
        <w:t>信息数据质量是经办管理的“生命线”，也是经办工作成效的重要体现。一是建议市人社局强化数据比对。加强与公安户籍数据、民政、残联、医保部门系统数据比对，定期对未生存认证的待遇领取人员进行资格核查，准确清理死亡人员数据并对死亡冒领养老金进行追回。二是建议市人社局增强社会监督。在社会监督过程中可以应用媒体进行养老保险基金风险的监督，通过网络、电视等方式让更多的城乡居民认识到养老保险基金管理的重要性，降低违法违规行为。</w:t>
      </w:r>
    </w:p>
    <w:p>
      <w:pPr>
        <w:pStyle w:val="3"/>
        <w:ind w:firstLine="643"/>
        <w:rPr>
          <w:rFonts w:cs="Times New Roman"/>
        </w:rPr>
      </w:pPr>
      <w:bookmarkStart w:id="31" w:name="_Toc76927045"/>
      <w:r>
        <w:rPr>
          <w:rFonts w:cs="Times New Roman"/>
        </w:rPr>
        <w:t>（</w:t>
      </w:r>
      <w:r>
        <w:rPr>
          <w:rFonts w:hint="eastAsia" w:cs="Times New Roman"/>
        </w:rPr>
        <w:t>三</w:t>
      </w:r>
      <w:r>
        <w:rPr>
          <w:rFonts w:cs="Times New Roman"/>
        </w:rPr>
        <w:t>）加强财务人员绩效培训，提高编制科学合理性</w:t>
      </w:r>
      <w:bookmarkEnd w:id="31"/>
    </w:p>
    <w:p>
      <w:pPr>
        <w:ind w:firstLine="640"/>
        <w:rPr>
          <w:rFonts w:cs="Times New Roman"/>
        </w:rPr>
        <w:sectPr>
          <w:pgSz w:w="11906" w:h="16838"/>
          <w:pgMar w:top="1440" w:right="1800" w:bottom="1440" w:left="1800" w:header="851" w:footer="992" w:gutter="0"/>
          <w:cols w:space="425" w:num="1"/>
          <w:docGrid w:type="lines" w:linePitch="435" w:charSpace="0"/>
        </w:sectPr>
      </w:pPr>
      <w:r>
        <w:rPr>
          <w:rFonts w:cs="Times New Roman"/>
        </w:rPr>
        <w:t>预算绩效目标是预算绩效管理的前提，是关于项目内容、项目预算、项目实施、产出及效果，以及如何对任务完成情况进行考核和评定的一整套任务要求。一是建议人社局需加强业务部门关于绩效知识的专业培训，通过对绩效目标填报标准、填报依据、填报方法、提取指标及标准化量化方式的培训，增加财务人员的绩效意识。二是建议相关财务人员加强绩效目标的专业审核。从当前绩效目标的审核情况来看，还需要进一步强化绩效目标的填报要求，通过内外部的专业审核，如专家论证，促进绩效目标质量的不断提升，保证绩效指标能够真正反映绩效考评结果，有序推进部门绩效改进优化工作。</w:t>
      </w:r>
    </w:p>
    <w:p>
      <w:pPr>
        <w:pStyle w:val="2"/>
        <w:spacing w:before="217" w:after="217"/>
        <w:ind w:firstLine="723"/>
        <w:rPr>
          <w:rFonts w:cs="Times New Roman"/>
        </w:rPr>
      </w:pPr>
      <w:bookmarkStart w:id="32" w:name="_Toc76927046"/>
      <w:r>
        <w:rPr>
          <w:rFonts w:cs="Times New Roman"/>
        </w:rPr>
        <w:t>附件 绵竹市2020年城乡居民养老保险财政补助项目支出绩效评价得分表</w:t>
      </w:r>
      <w:bookmarkEnd w:id="32"/>
    </w:p>
    <w:tbl>
      <w:tblPr>
        <w:tblStyle w:val="2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7"/>
        <w:gridCol w:w="549"/>
        <w:gridCol w:w="718"/>
        <w:gridCol w:w="566"/>
        <w:gridCol w:w="914"/>
        <w:gridCol w:w="818"/>
        <w:gridCol w:w="416"/>
        <w:gridCol w:w="466"/>
        <w:gridCol w:w="526"/>
        <w:gridCol w:w="262"/>
        <w:gridCol w:w="204"/>
        <w:gridCol w:w="40"/>
        <w:gridCol w:w="300"/>
        <w:gridCol w:w="116"/>
        <w:gridCol w:w="410"/>
        <w:gridCol w:w="526"/>
        <w:gridCol w:w="416"/>
        <w:gridCol w:w="194"/>
        <w:gridCol w:w="1280"/>
        <w:gridCol w:w="618"/>
        <w:gridCol w:w="972"/>
        <w:gridCol w:w="11"/>
        <w:gridCol w:w="23"/>
        <w:gridCol w:w="34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trPr>
        <w:tc>
          <w:tcPr>
            <w:tcW w:w="1033" w:type="pct"/>
            <w:gridSpan w:val="5"/>
            <w:shd w:val="clear" w:color="000000" w:fill="00516B"/>
            <w:vAlign w:val="center"/>
          </w:tcPr>
          <w:p>
            <w:pPr>
              <w:widowControl/>
              <w:spacing w:after="217" w:line="280" w:lineRule="exact"/>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分层指标</w:t>
            </w:r>
          </w:p>
        </w:tc>
        <w:tc>
          <w:tcPr>
            <w:tcW w:w="1134" w:type="pct"/>
            <w:gridSpan w:val="9"/>
            <w:shd w:val="clear" w:color="000000" w:fill="00516B"/>
            <w:vAlign w:val="center"/>
          </w:tcPr>
          <w:p>
            <w:pPr>
              <w:widowControl/>
              <w:spacing w:after="217" w:line="280" w:lineRule="exact"/>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评分方法</w:t>
            </w:r>
          </w:p>
        </w:tc>
        <w:tc>
          <w:tcPr>
            <w:tcW w:w="580" w:type="pct"/>
            <w:gridSpan w:val="4"/>
            <w:vMerge w:val="restart"/>
            <w:shd w:val="clear" w:color="000000" w:fill="00516B"/>
            <w:vAlign w:val="center"/>
          </w:tcPr>
          <w:p>
            <w:pPr>
              <w:widowControl/>
              <w:spacing w:after="217" w:line="280" w:lineRule="exact"/>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评价要点及说明</w:t>
            </w:r>
          </w:p>
        </w:tc>
        <w:tc>
          <w:tcPr>
            <w:tcW w:w="455" w:type="pct"/>
            <w:vMerge w:val="restart"/>
            <w:shd w:val="clear" w:color="000000" w:fill="00516B"/>
            <w:vAlign w:val="center"/>
          </w:tcPr>
          <w:p>
            <w:pPr>
              <w:widowControl/>
              <w:spacing w:after="217" w:line="280" w:lineRule="exact"/>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数据来源及数据获取方式</w:t>
            </w:r>
          </w:p>
        </w:tc>
        <w:tc>
          <w:tcPr>
            <w:tcW w:w="222" w:type="pct"/>
            <w:vMerge w:val="restart"/>
            <w:shd w:val="clear" w:color="000000" w:fill="00516B"/>
            <w:noWrap/>
            <w:vAlign w:val="center"/>
          </w:tcPr>
          <w:p>
            <w:pPr>
              <w:widowControl/>
              <w:spacing w:after="217" w:line="280" w:lineRule="exact"/>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得分</w:t>
            </w:r>
          </w:p>
        </w:tc>
        <w:tc>
          <w:tcPr>
            <w:tcW w:w="352" w:type="pct"/>
            <w:gridSpan w:val="2"/>
            <w:vMerge w:val="restart"/>
            <w:shd w:val="clear" w:color="000000" w:fill="00516B"/>
            <w:noWrap/>
            <w:vAlign w:val="center"/>
          </w:tcPr>
          <w:p>
            <w:pPr>
              <w:widowControl/>
              <w:spacing w:after="217" w:line="280" w:lineRule="exact"/>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得分率</w:t>
            </w:r>
          </w:p>
        </w:tc>
        <w:tc>
          <w:tcPr>
            <w:tcW w:w="1225" w:type="pct"/>
            <w:gridSpan w:val="2"/>
            <w:vMerge w:val="restart"/>
            <w:shd w:val="clear" w:color="000000" w:fill="00516B"/>
            <w:noWrap/>
            <w:vAlign w:val="center"/>
          </w:tcPr>
          <w:p>
            <w:pPr>
              <w:widowControl/>
              <w:spacing w:after="217" w:line="280" w:lineRule="exact"/>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得分依据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trPr>
        <w:tc>
          <w:tcPr>
            <w:tcW w:w="149" w:type="pct"/>
            <w:vMerge w:val="restart"/>
            <w:shd w:val="clear" w:color="000000" w:fill="00516B"/>
            <w:vAlign w:val="center"/>
          </w:tcPr>
          <w:p>
            <w:pPr>
              <w:widowControl/>
              <w:spacing w:after="217" w:line="280" w:lineRule="exact"/>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一级指标</w:t>
            </w:r>
          </w:p>
        </w:tc>
        <w:tc>
          <w:tcPr>
            <w:tcW w:w="201" w:type="pct"/>
            <w:vMerge w:val="restart"/>
            <w:shd w:val="clear" w:color="000000" w:fill="00516B"/>
            <w:vAlign w:val="center"/>
          </w:tcPr>
          <w:p>
            <w:pPr>
              <w:widowControl/>
              <w:spacing w:after="217" w:line="280" w:lineRule="exact"/>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二级指标</w:t>
            </w:r>
          </w:p>
        </w:tc>
        <w:tc>
          <w:tcPr>
            <w:tcW w:w="258" w:type="pct"/>
            <w:vMerge w:val="restart"/>
            <w:shd w:val="clear" w:color="000000" w:fill="00516B"/>
            <w:vAlign w:val="center"/>
          </w:tcPr>
          <w:p>
            <w:pPr>
              <w:widowControl/>
              <w:spacing w:after="217" w:line="280" w:lineRule="exact"/>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三级指标</w:t>
            </w:r>
          </w:p>
        </w:tc>
        <w:tc>
          <w:tcPr>
            <w:tcW w:w="99" w:type="pct"/>
            <w:vMerge w:val="restart"/>
            <w:shd w:val="clear" w:color="000000" w:fill="00516B"/>
            <w:vAlign w:val="center"/>
          </w:tcPr>
          <w:p>
            <w:pPr>
              <w:widowControl/>
              <w:spacing w:after="217" w:line="280" w:lineRule="exact"/>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分值</w:t>
            </w:r>
          </w:p>
        </w:tc>
        <w:tc>
          <w:tcPr>
            <w:tcW w:w="327" w:type="pct"/>
            <w:vMerge w:val="restart"/>
            <w:shd w:val="clear" w:color="000000" w:fill="00516B"/>
            <w:vAlign w:val="center"/>
          </w:tcPr>
          <w:p>
            <w:pPr>
              <w:widowControl/>
              <w:spacing w:after="217" w:line="280" w:lineRule="exact"/>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指标解释</w:t>
            </w:r>
          </w:p>
        </w:tc>
        <w:tc>
          <w:tcPr>
            <w:tcW w:w="293" w:type="pct"/>
            <w:vMerge w:val="restart"/>
            <w:shd w:val="clear" w:color="000000" w:fill="00516B"/>
            <w:vAlign w:val="center"/>
          </w:tcPr>
          <w:p>
            <w:pPr>
              <w:widowControl/>
              <w:spacing w:after="217" w:line="280" w:lineRule="exact"/>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方法归类</w:t>
            </w:r>
          </w:p>
        </w:tc>
        <w:tc>
          <w:tcPr>
            <w:tcW w:w="841" w:type="pct"/>
            <w:gridSpan w:val="8"/>
            <w:shd w:val="clear" w:color="000000" w:fill="00516B"/>
            <w:vAlign w:val="center"/>
          </w:tcPr>
          <w:p>
            <w:pPr>
              <w:widowControl/>
              <w:spacing w:after="217" w:line="280" w:lineRule="exact"/>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计算公式</w:t>
            </w:r>
          </w:p>
        </w:tc>
        <w:tc>
          <w:tcPr>
            <w:tcW w:w="580" w:type="pct"/>
            <w:gridSpan w:val="4"/>
            <w:vMerge w:val="continue"/>
            <w:vAlign w:val="center"/>
          </w:tcPr>
          <w:p>
            <w:pPr>
              <w:widowControl/>
              <w:spacing w:after="217" w:line="280" w:lineRule="exact"/>
              <w:ind w:firstLine="0" w:firstLineChars="0"/>
              <w:jc w:val="center"/>
              <w:rPr>
                <w:rFonts w:eastAsia="宋体" w:cs="Times New Roman"/>
                <w:b/>
                <w:bCs/>
                <w:color w:val="FFFFFF"/>
                <w:kern w:val="0"/>
                <w:sz w:val="20"/>
                <w:szCs w:val="20"/>
              </w:rPr>
            </w:pPr>
          </w:p>
        </w:tc>
        <w:tc>
          <w:tcPr>
            <w:tcW w:w="455" w:type="pct"/>
            <w:vMerge w:val="continue"/>
            <w:vAlign w:val="center"/>
          </w:tcPr>
          <w:p>
            <w:pPr>
              <w:widowControl/>
              <w:spacing w:after="217" w:line="280" w:lineRule="exact"/>
              <w:ind w:firstLine="0" w:firstLineChars="0"/>
              <w:jc w:val="center"/>
              <w:rPr>
                <w:rFonts w:eastAsia="宋体" w:cs="Times New Roman"/>
                <w:b/>
                <w:bCs/>
                <w:color w:val="FFFFFF"/>
                <w:kern w:val="0"/>
                <w:sz w:val="20"/>
                <w:szCs w:val="20"/>
              </w:rPr>
            </w:pPr>
          </w:p>
        </w:tc>
        <w:tc>
          <w:tcPr>
            <w:tcW w:w="222" w:type="pct"/>
            <w:vMerge w:val="continue"/>
            <w:vAlign w:val="center"/>
          </w:tcPr>
          <w:p>
            <w:pPr>
              <w:widowControl/>
              <w:spacing w:after="217" w:line="280" w:lineRule="exact"/>
              <w:ind w:firstLine="0" w:firstLineChars="0"/>
              <w:jc w:val="center"/>
              <w:rPr>
                <w:rFonts w:eastAsia="宋体" w:cs="Times New Roman"/>
                <w:b/>
                <w:bCs/>
                <w:color w:val="FFFFFF"/>
                <w:kern w:val="0"/>
                <w:sz w:val="20"/>
                <w:szCs w:val="20"/>
              </w:rPr>
            </w:pPr>
          </w:p>
        </w:tc>
        <w:tc>
          <w:tcPr>
            <w:tcW w:w="352" w:type="pct"/>
            <w:gridSpan w:val="2"/>
            <w:vMerge w:val="continue"/>
            <w:vAlign w:val="center"/>
          </w:tcPr>
          <w:p>
            <w:pPr>
              <w:widowControl/>
              <w:spacing w:after="217" w:line="280" w:lineRule="exact"/>
              <w:ind w:firstLine="0" w:firstLineChars="0"/>
              <w:jc w:val="center"/>
              <w:rPr>
                <w:rFonts w:eastAsia="宋体" w:cs="Times New Roman"/>
                <w:b/>
                <w:bCs/>
                <w:color w:val="FFFFFF"/>
                <w:kern w:val="0"/>
                <w:sz w:val="20"/>
                <w:szCs w:val="20"/>
              </w:rPr>
            </w:pPr>
          </w:p>
        </w:tc>
        <w:tc>
          <w:tcPr>
            <w:tcW w:w="1225" w:type="pct"/>
            <w:gridSpan w:val="2"/>
            <w:vMerge w:val="continue"/>
            <w:vAlign w:val="center"/>
          </w:tcPr>
          <w:p>
            <w:pPr>
              <w:widowControl/>
              <w:spacing w:after="217" w:line="280" w:lineRule="exact"/>
              <w:ind w:firstLine="0" w:firstLineChars="0"/>
              <w:jc w:val="center"/>
              <w:rPr>
                <w:rFonts w:eastAsia="宋体" w:cs="Times New Roman"/>
                <w:b/>
                <w:bCs/>
                <w:color w:val="FFFFFF"/>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trPr>
        <w:tc>
          <w:tcPr>
            <w:tcW w:w="149" w:type="pct"/>
            <w:vMerge w:val="continue"/>
            <w:vAlign w:val="center"/>
          </w:tcPr>
          <w:p>
            <w:pPr>
              <w:widowControl/>
              <w:spacing w:after="217" w:line="280" w:lineRule="exact"/>
              <w:ind w:firstLine="0" w:firstLineChars="0"/>
              <w:jc w:val="center"/>
              <w:rPr>
                <w:rFonts w:eastAsia="宋体" w:cs="Times New Roman"/>
                <w:b/>
                <w:bCs/>
                <w:color w:val="FFFFFF"/>
                <w:kern w:val="0"/>
                <w:sz w:val="20"/>
                <w:szCs w:val="20"/>
              </w:rPr>
            </w:pPr>
          </w:p>
        </w:tc>
        <w:tc>
          <w:tcPr>
            <w:tcW w:w="201" w:type="pct"/>
            <w:vMerge w:val="continue"/>
            <w:vAlign w:val="center"/>
          </w:tcPr>
          <w:p>
            <w:pPr>
              <w:widowControl/>
              <w:spacing w:after="217" w:line="280" w:lineRule="exact"/>
              <w:ind w:firstLine="0" w:firstLineChars="0"/>
              <w:jc w:val="center"/>
              <w:rPr>
                <w:rFonts w:eastAsia="宋体" w:cs="Times New Roman"/>
                <w:b/>
                <w:bCs/>
                <w:color w:val="FFFFFF"/>
                <w:kern w:val="0"/>
                <w:sz w:val="20"/>
                <w:szCs w:val="20"/>
              </w:rPr>
            </w:pPr>
          </w:p>
        </w:tc>
        <w:tc>
          <w:tcPr>
            <w:tcW w:w="258" w:type="pct"/>
            <w:vMerge w:val="continue"/>
            <w:vAlign w:val="center"/>
          </w:tcPr>
          <w:p>
            <w:pPr>
              <w:widowControl/>
              <w:spacing w:after="217" w:line="280" w:lineRule="exact"/>
              <w:ind w:firstLine="0" w:firstLineChars="0"/>
              <w:jc w:val="center"/>
              <w:rPr>
                <w:rFonts w:eastAsia="宋体" w:cs="Times New Roman"/>
                <w:b/>
                <w:bCs/>
                <w:color w:val="FFFFFF"/>
                <w:kern w:val="0"/>
                <w:sz w:val="20"/>
                <w:szCs w:val="20"/>
              </w:rPr>
            </w:pPr>
          </w:p>
        </w:tc>
        <w:tc>
          <w:tcPr>
            <w:tcW w:w="99" w:type="pct"/>
            <w:vMerge w:val="continue"/>
            <w:vAlign w:val="center"/>
          </w:tcPr>
          <w:p>
            <w:pPr>
              <w:widowControl/>
              <w:spacing w:after="217" w:line="280" w:lineRule="exact"/>
              <w:ind w:firstLine="0" w:firstLineChars="0"/>
              <w:jc w:val="center"/>
              <w:rPr>
                <w:rFonts w:eastAsia="宋体" w:cs="Times New Roman"/>
                <w:b/>
                <w:bCs/>
                <w:color w:val="FFFFFF"/>
                <w:kern w:val="0"/>
                <w:sz w:val="20"/>
                <w:szCs w:val="20"/>
              </w:rPr>
            </w:pPr>
          </w:p>
        </w:tc>
        <w:tc>
          <w:tcPr>
            <w:tcW w:w="327" w:type="pct"/>
            <w:vMerge w:val="continue"/>
            <w:vAlign w:val="center"/>
          </w:tcPr>
          <w:p>
            <w:pPr>
              <w:widowControl/>
              <w:spacing w:after="217" w:line="280" w:lineRule="exact"/>
              <w:ind w:firstLine="0" w:firstLineChars="0"/>
              <w:jc w:val="center"/>
              <w:rPr>
                <w:rFonts w:eastAsia="宋体" w:cs="Times New Roman"/>
                <w:b/>
                <w:bCs/>
                <w:color w:val="FFFFFF"/>
                <w:kern w:val="0"/>
                <w:sz w:val="20"/>
                <w:szCs w:val="20"/>
              </w:rPr>
            </w:pPr>
          </w:p>
        </w:tc>
        <w:tc>
          <w:tcPr>
            <w:tcW w:w="293" w:type="pct"/>
            <w:vMerge w:val="continue"/>
            <w:vAlign w:val="center"/>
          </w:tcPr>
          <w:p>
            <w:pPr>
              <w:widowControl/>
              <w:spacing w:after="217" w:line="280" w:lineRule="exact"/>
              <w:ind w:firstLine="0" w:firstLineChars="0"/>
              <w:jc w:val="center"/>
              <w:rPr>
                <w:rFonts w:eastAsia="宋体" w:cs="Times New Roman"/>
                <w:b/>
                <w:bCs/>
                <w:color w:val="FFFFFF"/>
                <w:kern w:val="0"/>
                <w:sz w:val="20"/>
                <w:szCs w:val="20"/>
              </w:rPr>
            </w:pPr>
          </w:p>
        </w:tc>
        <w:tc>
          <w:tcPr>
            <w:tcW w:w="149" w:type="pct"/>
            <w:shd w:val="clear" w:color="000000" w:fill="00516B"/>
            <w:vAlign w:val="center"/>
          </w:tcPr>
          <w:p>
            <w:pPr>
              <w:widowControl/>
              <w:spacing w:after="217" w:line="280" w:lineRule="exact"/>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0</w:t>
            </w:r>
          </w:p>
        </w:tc>
        <w:tc>
          <w:tcPr>
            <w:tcW w:w="167" w:type="pct"/>
            <w:shd w:val="clear" w:color="000000" w:fill="00516B"/>
            <w:vAlign w:val="center"/>
          </w:tcPr>
          <w:p>
            <w:pPr>
              <w:widowControl/>
              <w:spacing w:after="217" w:line="280" w:lineRule="exact"/>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0.3</w:t>
            </w:r>
          </w:p>
        </w:tc>
        <w:tc>
          <w:tcPr>
            <w:tcW w:w="192" w:type="pct"/>
            <w:shd w:val="clear" w:color="000000" w:fill="00516B"/>
            <w:vAlign w:val="center"/>
          </w:tcPr>
          <w:p>
            <w:pPr>
              <w:widowControl/>
              <w:spacing w:after="217" w:line="280" w:lineRule="exact"/>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0.6</w:t>
            </w:r>
          </w:p>
        </w:tc>
        <w:tc>
          <w:tcPr>
            <w:tcW w:w="167" w:type="pct"/>
            <w:gridSpan w:val="2"/>
            <w:shd w:val="clear" w:color="000000" w:fill="00516B"/>
            <w:vAlign w:val="center"/>
          </w:tcPr>
          <w:p>
            <w:pPr>
              <w:widowControl/>
              <w:spacing w:after="217" w:line="280" w:lineRule="exact"/>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0.8</w:t>
            </w:r>
          </w:p>
        </w:tc>
        <w:tc>
          <w:tcPr>
            <w:tcW w:w="166" w:type="pct"/>
            <w:gridSpan w:val="3"/>
            <w:shd w:val="clear" w:color="000000" w:fill="00516B"/>
            <w:vAlign w:val="center"/>
          </w:tcPr>
          <w:p>
            <w:pPr>
              <w:widowControl/>
              <w:spacing w:after="217" w:line="280" w:lineRule="exact"/>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1</w:t>
            </w:r>
          </w:p>
        </w:tc>
        <w:tc>
          <w:tcPr>
            <w:tcW w:w="580" w:type="pct"/>
            <w:gridSpan w:val="4"/>
            <w:vMerge w:val="continue"/>
            <w:vAlign w:val="center"/>
          </w:tcPr>
          <w:p>
            <w:pPr>
              <w:widowControl/>
              <w:spacing w:after="217" w:line="280" w:lineRule="exact"/>
              <w:ind w:firstLine="0" w:firstLineChars="0"/>
              <w:jc w:val="center"/>
              <w:rPr>
                <w:rFonts w:eastAsia="宋体" w:cs="Times New Roman"/>
                <w:b/>
                <w:bCs/>
                <w:color w:val="FFFFFF"/>
                <w:kern w:val="0"/>
                <w:sz w:val="20"/>
                <w:szCs w:val="20"/>
              </w:rPr>
            </w:pPr>
          </w:p>
        </w:tc>
        <w:tc>
          <w:tcPr>
            <w:tcW w:w="455" w:type="pct"/>
            <w:vMerge w:val="continue"/>
            <w:vAlign w:val="center"/>
          </w:tcPr>
          <w:p>
            <w:pPr>
              <w:widowControl/>
              <w:spacing w:after="217" w:line="280" w:lineRule="exact"/>
              <w:ind w:firstLine="0" w:firstLineChars="0"/>
              <w:jc w:val="center"/>
              <w:rPr>
                <w:rFonts w:eastAsia="宋体" w:cs="Times New Roman"/>
                <w:b/>
                <w:bCs/>
                <w:color w:val="FFFFFF"/>
                <w:kern w:val="0"/>
                <w:sz w:val="20"/>
                <w:szCs w:val="20"/>
              </w:rPr>
            </w:pPr>
          </w:p>
        </w:tc>
        <w:tc>
          <w:tcPr>
            <w:tcW w:w="222" w:type="pct"/>
            <w:vMerge w:val="continue"/>
            <w:vAlign w:val="center"/>
          </w:tcPr>
          <w:p>
            <w:pPr>
              <w:widowControl/>
              <w:spacing w:after="217" w:line="280" w:lineRule="exact"/>
              <w:ind w:firstLine="0" w:firstLineChars="0"/>
              <w:jc w:val="center"/>
              <w:rPr>
                <w:rFonts w:eastAsia="宋体" w:cs="Times New Roman"/>
                <w:b/>
                <w:bCs/>
                <w:color w:val="FFFFFF"/>
                <w:kern w:val="0"/>
                <w:sz w:val="20"/>
                <w:szCs w:val="20"/>
              </w:rPr>
            </w:pPr>
          </w:p>
        </w:tc>
        <w:tc>
          <w:tcPr>
            <w:tcW w:w="352" w:type="pct"/>
            <w:gridSpan w:val="2"/>
            <w:vMerge w:val="continue"/>
            <w:vAlign w:val="center"/>
          </w:tcPr>
          <w:p>
            <w:pPr>
              <w:widowControl/>
              <w:spacing w:after="217" w:line="280" w:lineRule="exact"/>
              <w:ind w:firstLine="0" w:firstLineChars="0"/>
              <w:jc w:val="center"/>
              <w:rPr>
                <w:rFonts w:eastAsia="宋体" w:cs="Times New Roman"/>
                <w:b/>
                <w:bCs/>
                <w:color w:val="FFFFFF"/>
                <w:kern w:val="0"/>
                <w:sz w:val="20"/>
                <w:szCs w:val="20"/>
              </w:rPr>
            </w:pPr>
          </w:p>
        </w:tc>
        <w:tc>
          <w:tcPr>
            <w:tcW w:w="1225" w:type="pct"/>
            <w:gridSpan w:val="2"/>
            <w:vMerge w:val="continue"/>
            <w:vAlign w:val="center"/>
          </w:tcPr>
          <w:p>
            <w:pPr>
              <w:widowControl/>
              <w:spacing w:after="217" w:line="280" w:lineRule="exact"/>
              <w:ind w:firstLine="0" w:firstLineChars="0"/>
              <w:jc w:val="center"/>
              <w:rPr>
                <w:rFonts w:eastAsia="宋体" w:cs="Times New Roman"/>
                <w:b/>
                <w:bCs/>
                <w:color w:val="FFFFFF"/>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49" w:type="pct"/>
            <w:vMerge w:val="restart"/>
            <w:shd w:val="clear" w:color="auto" w:fill="auto"/>
            <w:vAlign w:val="center"/>
          </w:tcPr>
          <w:p>
            <w:pPr>
              <w:widowControl/>
              <w:spacing w:after="217" w:line="280" w:lineRule="exact"/>
              <w:ind w:firstLine="0" w:firstLineChars="0"/>
              <w:jc w:val="center"/>
              <w:rPr>
                <w:rFonts w:eastAsia="宋体" w:cs="Times New Roman"/>
                <w:b/>
                <w:bCs/>
                <w:color w:val="000000"/>
                <w:kern w:val="0"/>
                <w:sz w:val="20"/>
                <w:szCs w:val="20"/>
              </w:rPr>
            </w:pPr>
            <w:r>
              <w:rPr>
                <w:rFonts w:eastAsia="宋体" w:cs="Times New Roman"/>
                <w:b/>
                <w:bCs/>
                <w:color w:val="000000"/>
                <w:kern w:val="0"/>
                <w:sz w:val="20"/>
                <w:szCs w:val="20"/>
              </w:rPr>
              <w:t>项目决策</w:t>
            </w:r>
          </w:p>
        </w:tc>
        <w:tc>
          <w:tcPr>
            <w:tcW w:w="201"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程序严密</w:t>
            </w:r>
          </w:p>
        </w:tc>
        <w:tc>
          <w:tcPr>
            <w:tcW w:w="258"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项目依据充分性</w:t>
            </w:r>
          </w:p>
        </w:tc>
        <w:tc>
          <w:tcPr>
            <w:tcW w:w="99"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5.00</w:t>
            </w:r>
          </w:p>
        </w:tc>
        <w:tc>
          <w:tcPr>
            <w:tcW w:w="32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项目设立是否经过合理的程序或明确依据</w:t>
            </w:r>
          </w:p>
        </w:tc>
        <w:tc>
          <w:tcPr>
            <w:tcW w:w="293"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分级评分法</w:t>
            </w:r>
          </w:p>
        </w:tc>
        <w:tc>
          <w:tcPr>
            <w:tcW w:w="149"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不严密</w:t>
            </w:r>
          </w:p>
        </w:tc>
        <w:tc>
          <w:tcPr>
            <w:tcW w:w="16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3处及以上不严密</w:t>
            </w:r>
          </w:p>
        </w:tc>
        <w:tc>
          <w:tcPr>
            <w:tcW w:w="192"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2处不严密</w:t>
            </w:r>
          </w:p>
        </w:tc>
        <w:tc>
          <w:tcPr>
            <w:tcW w:w="167" w:type="pct"/>
            <w:gridSpan w:val="2"/>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1处不严密</w:t>
            </w:r>
          </w:p>
        </w:tc>
        <w:tc>
          <w:tcPr>
            <w:tcW w:w="166" w:type="pct"/>
            <w:gridSpan w:val="3"/>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严密</w:t>
            </w:r>
          </w:p>
        </w:tc>
        <w:tc>
          <w:tcPr>
            <w:tcW w:w="580" w:type="pct"/>
            <w:gridSpan w:val="4"/>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主要查看项目设立时是否经过事前合理的程序或明确依据</w:t>
            </w:r>
          </w:p>
        </w:tc>
        <w:tc>
          <w:tcPr>
            <w:tcW w:w="455"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通过案卷研究、座谈会及深度访谈、专家评价法，收集相关政策计划文件分析，判断项目规划是否符合当地实际需求</w:t>
            </w:r>
          </w:p>
        </w:tc>
        <w:tc>
          <w:tcPr>
            <w:tcW w:w="222" w:type="pct"/>
            <w:shd w:val="clear" w:color="auto" w:fill="auto"/>
            <w:noWrap/>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5.00</w:t>
            </w:r>
          </w:p>
        </w:tc>
        <w:tc>
          <w:tcPr>
            <w:tcW w:w="352" w:type="pct"/>
            <w:gridSpan w:val="2"/>
            <w:shd w:val="clear" w:color="auto" w:fill="auto"/>
            <w:noWrap/>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100.00 %</w:t>
            </w:r>
          </w:p>
        </w:tc>
        <w:tc>
          <w:tcPr>
            <w:tcW w:w="1225" w:type="pct"/>
            <w:gridSpan w:val="2"/>
            <w:shd w:val="clear" w:color="auto" w:fill="auto"/>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绵竹市城乡居民养老保险财政补助项目设立是贯彻自上而下的国家惠民利民政策而设立的。根据《国务院关于建立统一的城乡居民基本养老保险制度的意见》（国发〔2014〕8号）、《人力资源社会保障部 财政部关于建立城乡居民基本养老保险待遇确定和基础养老金正常调整机制的指导意见》（人社部发〔2018〕21号）、《四川省完善城乡居民基本养老保险制度的实施方案》（川人社办发〔2020〕10号）、《四川省城乡居民基本养老保险经办规程》（川人社办发〔2020〕125号）等文件精神，绵竹市人社局每年直接会同当地财政向省级、中央申请后，再转移拨付至本市城乡居保机构。故得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49" w:type="pct"/>
            <w:vMerge w:val="continue"/>
            <w:vAlign w:val="center"/>
          </w:tcPr>
          <w:p>
            <w:pPr>
              <w:widowControl/>
              <w:spacing w:after="217" w:line="280" w:lineRule="exact"/>
              <w:ind w:firstLine="0" w:firstLineChars="0"/>
              <w:jc w:val="center"/>
              <w:rPr>
                <w:rFonts w:eastAsia="宋体" w:cs="Times New Roman"/>
                <w:b/>
                <w:bCs/>
                <w:color w:val="000000"/>
                <w:kern w:val="0"/>
                <w:sz w:val="20"/>
                <w:szCs w:val="20"/>
              </w:rPr>
            </w:pPr>
          </w:p>
        </w:tc>
        <w:tc>
          <w:tcPr>
            <w:tcW w:w="201" w:type="pct"/>
            <w:vMerge w:val="restar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规划合理</w:t>
            </w:r>
          </w:p>
        </w:tc>
        <w:tc>
          <w:tcPr>
            <w:tcW w:w="258"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目标与规划匹配性</w:t>
            </w:r>
          </w:p>
        </w:tc>
        <w:tc>
          <w:tcPr>
            <w:tcW w:w="99"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4</w:t>
            </w:r>
          </w:p>
        </w:tc>
        <w:tc>
          <w:tcPr>
            <w:tcW w:w="32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项目规划是否符合市委、市政府重大决策部署</w:t>
            </w:r>
          </w:p>
        </w:tc>
        <w:tc>
          <w:tcPr>
            <w:tcW w:w="293"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分级评分法</w:t>
            </w:r>
          </w:p>
        </w:tc>
        <w:tc>
          <w:tcPr>
            <w:tcW w:w="149"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不合理</w:t>
            </w:r>
          </w:p>
        </w:tc>
        <w:tc>
          <w:tcPr>
            <w:tcW w:w="16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3处及以上不合理</w:t>
            </w:r>
          </w:p>
        </w:tc>
        <w:tc>
          <w:tcPr>
            <w:tcW w:w="192"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2处不合理</w:t>
            </w:r>
          </w:p>
        </w:tc>
        <w:tc>
          <w:tcPr>
            <w:tcW w:w="167" w:type="pct"/>
            <w:gridSpan w:val="2"/>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1处不合理</w:t>
            </w:r>
          </w:p>
        </w:tc>
        <w:tc>
          <w:tcPr>
            <w:tcW w:w="166" w:type="pct"/>
            <w:gridSpan w:val="3"/>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合理</w:t>
            </w:r>
          </w:p>
        </w:tc>
        <w:tc>
          <w:tcPr>
            <w:tcW w:w="580" w:type="pct"/>
            <w:gridSpan w:val="4"/>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主要查看项目设立依据是否充分，符合市委、市政府重大决策部署和宏观政策规划，项目年度绩效目标与中长期规划是否一致</w:t>
            </w:r>
          </w:p>
        </w:tc>
        <w:tc>
          <w:tcPr>
            <w:tcW w:w="455" w:type="pct"/>
            <w:vMerge w:val="restar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通过调查问卷和访谈、案卷研究、专家评价方法等方法对相关政策计划文件分析</w:t>
            </w:r>
          </w:p>
        </w:tc>
        <w:tc>
          <w:tcPr>
            <w:tcW w:w="222" w:type="pct"/>
            <w:shd w:val="clear" w:color="auto" w:fill="auto"/>
            <w:noWrap/>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4.00</w:t>
            </w:r>
          </w:p>
        </w:tc>
        <w:tc>
          <w:tcPr>
            <w:tcW w:w="352" w:type="pct"/>
            <w:gridSpan w:val="2"/>
            <w:shd w:val="clear" w:color="auto" w:fill="auto"/>
            <w:noWrap/>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100.00%</w:t>
            </w:r>
          </w:p>
        </w:tc>
        <w:tc>
          <w:tcPr>
            <w:tcW w:w="1225" w:type="pct"/>
            <w:gridSpan w:val="2"/>
            <w:shd w:val="clear" w:color="auto" w:fill="auto"/>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项目规划符合市委、市政府重大决策部署。</w:t>
            </w:r>
            <w:r>
              <w:rPr>
                <w:rFonts w:eastAsia="宋体" w:cs="Times New Roman"/>
                <w:color w:val="000000"/>
                <w:kern w:val="0"/>
                <w:sz w:val="20"/>
                <w:szCs w:val="20"/>
              </w:rPr>
              <w:br w:type="textWrapping"/>
            </w:r>
            <w:r>
              <w:rPr>
                <w:rFonts w:eastAsia="宋体" w:cs="Times New Roman"/>
                <w:color w:val="000000"/>
                <w:kern w:val="0"/>
                <w:sz w:val="20"/>
                <w:szCs w:val="20"/>
              </w:rPr>
              <w:t>川人社发〔2020〕29号文明确规定2020年提高城乡居民基本养老保险基础养老金标准，旨在体现省委、省政府对65周岁及以上领取待遇老年居民的关心和重视。而绵竹市作为扩权县，主要沿用省级、国家的政策文件，故得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49" w:type="pct"/>
            <w:vMerge w:val="continue"/>
            <w:vAlign w:val="center"/>
          </w:tcPr>
          <w:p>
            <w:pPr>
              <w:widowControl/>
              <w:spacing w:after="217" w:line="280" w:lineRule="exact"/>
              <w:ind w:firstLine="0" w:firstLineChars="0"/>
              <w:jc w:val="center"/>
              <w:rPr>
                <w:rFonts w:eastAsia="宋体" w:cs="Times New Roman"/>
                <w:b/>
                <w:bCs/>
                <w:color w:val="000000"/>
                <w:kern w:val="0"/>
                <w:sz w:val="20"/>
                <w:szCs w:val="20"/>
              </w:rPr>
            </w:pPr>
          </w:p>
        </w:tc>
        <w:tc>
          <w:tcPr>
            <w:tcW w:w="201" w:type="pct"/>
            <w:vMerge w:val="continue"/>
            <w:vAlign w:val="center"/>
          </w:tcPr>
          <w:p>
            <w:pPr>
              <w:widowControl/>
              <w:spacing w:after="217" w:line="280" w:lineRule="exact"/>
              <w:ind w:firstLine="0" w:firstLineChars="0"/>
              <w:jc w:val="center"/>
              <w:rPr>
                <w:rFonts w:eastAsia="宋体" w:cs="Times New Roman"/>
                <w:color w:val="000000"/>
                <w:kern w:val="0"/>
                <w:sz w:val="20"/>
                <w:szCs w:val="20"/>
              </w:rPr>
            </w:pPr>
          </w:p>
        </w:tc>
        <w:tc>
          <w:tcPr>
            <w:tcW w:w="258"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绩效目标合理性</w:t>
            </w:r>
          </w:p>
        </w:tc>
        <w:tc>
          <w:tcPr>
            <w:tcW w:w="99"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6</w:t>
            </w:r>
          </w:p>
        </w:tc>
        <w:tc>
          <w:tcPr>
            <w:tcW w:w="32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考察项目单位设置的项目绩效目标是否合理</w:t>
            </w:r>
          </w:p>
        </w:tc>
        <w:tc>
          <w:tcPr>
            <w:tcW w:w="293"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错项扣分法</w:t>
            </w:r>
          </w:p>
        </w:tc>
        <w:tc>
          <w:tcPr>
            <w:tcW w:w="841" w:type="pct"/>
            <w:gridSpan w:val="8"/>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发现一处绩效目标不合理，扣0.5分</w:t>
            </w:r>
          </w:p>
        </w:tc>
        <w:tc>
          <w:tcPr>
            <w:tcW w:w="580" w:type="pct"/>
            <w:gridSpan w:val="4"/>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主要查看项目设立绩效目标是否与项目工作内容高度相关，是否与年度目标一致</w:t>
            </w:r>
          </w:p>
        </w:tc>
        <w:tc>
          <w:tcPr>
            <w:tcW w:w="455" w:type="pct"/>
            <w:vMerge w:val="continue"/>
            <w:vAlign w:val="center"/>
          </w:tcPr>
          <w:p>
            <w:pPr>
              <w:widowControl/>
              <w:spacing w:after="217" w:line="280" w:lineRule="exact"/>
              <w:ind w:firstLine="0" w:firstLineChars="0"/>
              <w:jc w:val="center"/>
              <w:rPr>
                <w:rFonts w:eastAsia="宋体" w:cs="Times New Roman"/>
                <w:color w:val="000000"/>
                <w:kern w:val="0"/>
                <w:sz w:val="20"/>
                <w:szCs w:val="20"/>
              </w:rPr>
            </w:pPr>
          </w:p>
        </w:tc>
        <w:tc>
          <w:tcPr>
            <w:tcW w:w="222" w:type="pct"/>
            <w:shd w:val="clear" w:color="auto" w:fill="auto"/>
            <w:noWrap/>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4.50</w:t>
            </w:r>
          </w:p>
        </w:tc>
        <w:tc>
          <w:tcPr>
            <w:tcW w:w="352" w:type="pct"/>
            <w:gridSpan w:val="2"/>
            <w:shd w:val="clear" w:color="auto" w:fill="auto"/>
            <w:noWrap/>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75%</w:t>
            </w:r>
          </w:p>
        </w:tc>
        <w:tc>
          <w:tcPr>
            <w:tcW w:w="1225" w:type="pct"/>
            <w:gridSpan w:val="2"/>
            <w:shd w:val="clear" w:color="auto" w:fill="auto"/>
            <w:vAlign w:val="center"/>
          </w:tcPr>
          <w:p>
            <w:pPr>
              <w:widowControl/>
              <w:spacing w:after="217" w:line="280" w:lineRule="exact"/>
              <w:ind w:firstLine="0" w:firstLineChars="0"/>
              <w:jc w:val="left"/>
              <w:rPr>
                <w:rFonts w:eastAsia="宋体" w:cs="Times New Roman"/>
                <w:color w:val="000000"/>
                <w:kern w:val="0"/>
                <w:sz w:val="20"/>
                <w:szCs w:val="20"/>
              </w:rPr>
            </w:pPr>
            <w:r>
              <w:rPr>
                <w:rFonts w:eastAsia="宋体" w:cs="Times New Roman"/>
                <w:color w:val="000000"/>
                <w:kern w:val="0"/>
                <w:sz w:val="20"/>
                <w:szCs w:val="20"/>
              </w:rPr>
              <w:t>项目支出绩效目标表可以看出：一是指标设置相关性不强。“时效指标”下设三级指标“项目完成成本”为263.33万元，该补助项目不涉及成本，指标设置不恰当。其次，养老补助补贴不涉及经济效益和生态效益，因此“经济效益指标”下设三级指标“保障城乡养老参保者生活水平”和“生态效益”下设“提高城乡养老服务能力”为无效指标。</w:t>
            </w:r>
            <w:r>
              <w:rPr>
                <w:rFonts w:eastAsia="宋体" w:cs="Times New Roman"/>
                <w:color w:val="000000"/>
                <w:kern w:val="0"/>
                <w:sz w:val="20"/>
                <w:szCs w:val="20"/>
              </w:rPr>
              <w:br w:type="textWrapping"/>
            </w:r>
            <w:r>
              <w:rPr>
                <w:rFonts w:eastAsia="宋体" w:cs="Times New Roman"/>
                <w:color w:val="000000"/>
                <w:kern w:val="0"/>
                <w:sz w:val="20"/>
                <w:szCs w:val="20"/>
              </w:rPr>
              <w:t>二是质量指标“中”项目执行标准”指标值为92.31万元/月，建议该项目的质量指标从保障城乡居民养老保险财政补助是否足额发放的角度考虑。以上发现4处绩效目标不合理，故得4分。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49" w:type="pct"/>
            <w:vMerge w:val="restart"/>
            <w:shd w:val="clear" w:color="auto" w:fill="auto"/>
            <w:vAlign w:val="center"/>
          </w:tcPr>
          <w:p>
            <w:pPr>
              <w:widowControl/>
              <w:spacing w:after="217" w:line="280" w:lineRule="exact"/>
              <w:ind w:firstLine="0" w:firstLineChars="0"/>
              <w:jc w:val="center"/>
              <w:rPr>
                <w:rFonts w:eastAsia="宋体" w:cs="Times New Roman"/>
                <w:b/>
                <w:bCs/>
                <w:color w:val="000000"/>
                <w:kern w:val="0"/>
                <w:sz w:val="20"/>
                <w:szCs w:val="20"/>
              </w:rPr>
            </w:pPr>
            <w:r>
              <w:rPr>
                <w:rFonts w:eastAsia="宋体" w:cs="Times New Roman"/>
                <w:b/>
                <w:bCs/>
                <w:color w:val="000000"/>
                <w:kern w:val="0"/>
                <w:sz w:val="20"/>
                <w:szCs w:val="20"/>
              </w:rPr>
              <w:t>项目实施</w:t>
            </w:r>
          </w:p>
        </w:tc>
        <w:tc>
          <w:tcPr>
            <w:tcW w:w="201" w:type="pct"/>
            <w:vMerge w:val="restar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分配合理</w:t>
            </w:r>
          </w:p>
        </w:tc>
        <w:tc>
          <w:tcPr>
            <w:tcW w:w="258"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分配及时性</w:t>
            </w:r>
          </w:p>
        </w:tc>
        <w:tc>
          <w:tcPr>
            <w:tcW w:w="99"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5</w:t>
            </w:r>
          </w:p>
        </w:tc>
        <w:tc>
          <w:tcPr>
            <w:tcW w:w="32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补助金每月是否按时分配专项预算资金，考察补助金发放效率</w:t>
            </w:r>
          </w:p>
        </w:tc>
        <w:tc>
          <w:tcPr>
            <w:tcW w:w="293"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是否评分法</w:t>
            </w:r>
          </w:p>
        </w:tc>
        <w:tc>
          <w:tcPr>
            <w:tcW w:w="149"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否</w:t>
            </w:r>
          </w:p>
        </w:tc>
        <w:tc>
          <w:tcPr>
            <w:tcW w:w="16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p>
        </w:tc>
        <w:tc>
          <w:tcPr>
            <w:tcW w:w="192"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p>
        </w:tc>
        <w:tc>
          <w:tcPr>
            <w:tcW w:w="167" w:type="pct"/>
            <w:gridSpan w:val="2"/>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p>
        </w:tc>
        <w:tc>
          <w:tcPr>
            <w:tcW w:w="166" w:type="pct"/>
            <w:gridSpan w:val="3"/>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是</w:t>
            </w:r>
          </w:p>
        </w:tc>
        <w:tc>
          <w:tcPr>
            <w:tcW w:w="580" w:type="pct"/>
            <w:gridSpan w:val="4"/>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经</w:t>
            </w:r>
            <w:r>
              <w:rPr>
                <w:rFonts w:hint="eastAsia" w:eastAsia="宋体" w:cs="Times New Roman"/>
                <w:color w:val="000000"/>
                <w:kern w:val="0"/>
                <w:sz w:val="20"/>
                <w:szCs w:val="20"/>
              </w:rPr>
              <w:t>人民代表大会</w:t>
            </w:r>
            <w:bookmarkStart w:id="33" w:name="_GoBack"/>
            <w:bookmarkEnd w:id="33"/>
            <w:r>
              <w:rPr>
                <w:rFonts w:eastAsia="宋体" w:cs="Times New Roman"/>
                <w:color w:val="000000"/>
                <w:kern w:val="0"/>
                <w:sz w:val="20"/>
                <w:szCs w:val="20"/>
              </w:rPr>
              <w:t>批准预算后30日内下达，一级预算单位在接到本级政府财政部门批复的本部门预算后15日内向所属各级二级单位批复预算；《预算法》其他规定</w:t>
            </w:r>
          </w:p>
        </w:tc>
        <w:tc>
          <w:tcPr>
            <w:tcW w:w="455"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通过调查问卷和访谈、基础业务数据等对资金管理情况进行分析</w:t>
            </w:r>
          </w:p>
        </w:tc>
        <w:tc>
          <w:tcPr>
            <w:tcW w:w="222" w:type="pct"/>
            <w:shd w:val="clear" w:color="auto" w:fill="auto"/>
            <w:noWrap/>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5</w:t>
            </w:r>
          </w:p>
        </w:tc>
        <w:tc>
          <w:tcPr>
            <w:tcW w:w="352" w:type="pct"/>
            <w:gridSpan w:val="2"/>
            <w:shd w:val="clear" w:color="auto" w:fill="auto"/>
            <w:noWrap/>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100%</w:t>
            </w:r>
          </w:p>
        </w:tc>
        <w:tc>
          <w:tcPr>
            <w:tcW w:w="1225" w:type="pct"/>
            <w:gridSpan w:val="2"/>
            <w:shd w:val="clear" w:color="auto" w:fill="auto"/>
            <w:vAlign w:val="center"/>
          </w:tcPr>
          <w:p>
            <w:pPr>
              <w:widowControl/>
              <w:spacing w:after="217" w:line="280" w:lineRule="exact"/>
              <w:ind w:firstLine="0" w:firstLineChars="0"/>
              <w:jc w:val="left"/>
              <w:rPr>
                <w:rFonts w:eastAsia="宋体" w:cs="Times New Roman"/>
                <w:color w:val="000000"/>
                <w:kern w:val="0"/>
                <w:sz w:val="20"/>
                <w:szCs w:val="20"/>
              </w:rPr>
            </w:pPr>
            <w:r>
              <w:rPr>
                <w:rFonts w:eastAsia="宋体" w:cs="Times New Roman"/>
                <w:color w:val="000000"/>
                <w:kern w:val="0"/>
                <w:sz w:val="20"/>
                <w:szCs w:val="20"/>
              </w:rPr>
              <w:t>城乡居民养老保险补助在每月25日-31日之间按时分配并拨付专项预算资金，故得5分。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49" w:type="pct"/>
            <w:vMerge w:val="continue"/>
            <w:vAlign w:val="center"/>
          </w:tcPr>
          <w:p>
            <w:pPr>
              <w:widowControl/>
              <w:spacing w:after="217" w:line="280" w:lineRule="exact"/>
              <w:ind w:firstLine="0" w:firstLineChars="0"/>
              <w:jc w:val="center"/>
              <w:rPr>
                <w:rFonts w:eastAsia="宋体" w:cs="Times New Roman"/>
                <w:b/>
                <w:bCs/>
                <w:color w:val="000000"/>
                <w:kern w:val="0"/>
                <w:sz w:val="20"/>
                <w:szCs w:val="20"/>
              </w:rPr>
            </w:pPr>
          </w:p>
        </w:tc>
        <w:tc>
          <w:tcPr>
            <w:tcW w:w="201" w:type="pct"/>
            <w:vMerge w:val="continue"/>
            <w:vAlign w:val="center"/>
          </w:tcPr>
          <w:p>
            <w:pPr>
              <w:widowControl/>
              <w:spacing w:after="217" w:line="280" w:lineRule="exact"/>
              <w:ind w:firstLine="0" w:firstLineChars="0"/>
              <w:jc w:val="center"/>
              <w:rPr>
                <w:rFonts w:eastAsia="宋体" w:cs="Times New Roman"/>
                <w:color w:val="000000"/>
                <w:kern w:val="0"/>
                <w:sz w:val="20"/>
                <w:szCs w:val="20"/>
              </w:rPr>
            </w:pPr>
          </w:p>
        </w:tc>
        <w:tc>
          <w:tcPr>
            <w:tcW w:w="258"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分配结果与计划一致性</w:t>
            </w:r>
          </w:p>
        </w:tc>
        <w:tc>
          <w:tcPr>
            <w:tcW w:w="99"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5</w:t>
            </w:r>
          </w:p>
        </w:tc>
        <w:tc>
          <w:tcPr>
            <w:tcW w:w="32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项目资金分配结果是否与规划计划一致</w:t>
            </w:r>
          </w:p>
        </w:tc>
        <w:tc>
          <w:tcPr>
            <w:tcW w:w="293"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是否评分法</w:t>
            </w:r>
          </w:p>
        </w:tc>
        <w:tc>
          <w:tcPr>
            <w:tcW w:w="149"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否</w:t>
            </w:r>
          </w:p>
        </w:tc>
        <w:tc>
          <w:tcPr>
            <w:tcW w:w="16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p>
        </w:tc>
        <w:tc>
          <w:tcPr>
            <w:tcW w:w="192"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p>
        </w:tc>
        <w:tc>
          <w:tcPr>
            <w:tcW w:w="167" w:type="pct"/>
            <w:gridSpan w:val="2"/>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p>
        </w:tc>
        <w:tc>
          <w:tcPr>
            <w:tcW w:w="166" w:type="pct"/>
            <w:gridSpan w:val="3"/>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是</w:t>
            </w:r>
          </w:p>
        </w:tc>
        <w:tc>
          <w:tcPr>
            <w:tcW w:w="580" w:type="pct"/>
            <w:gridSpan w:val="4"/>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据实据效分配的项目，将资金分配方向与规划计划支持方向进行对比</w:t>
            </w:r>
          </w:p>
        </w:tc>
        <w:tc>
          <w:tcPr>
            <w:tcW w:w="455"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通过调查问卷和访谈、基础业务数据等对资金管理情况进行分析</w:t>
            </w:r>
          </w:p>
        </w:tc>
        <w:tc>
          <w:tcPr>
            <w:tcW w:w="222" w:type="pct"/>
            <w:shd w:val="clear" w:color="auto" w:fill="auto"/>
            <w:noWrap/>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5.00</w:t>
            </w:r>
          </w:p>
        </w:tc>
        <w:tc>
          <w:tcPr>
            <w:tcW w:w="352" w:type="pct"/>
            <w:gridSpan w:val="2"/>
            <w:shd w:val="clear" w:color="auto" w:fill="auto"/>
            <w:noWrap/>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100%</w:t>
            </w:r>
          </w:p>
        </w:tc>
        <w:tc>
          <w:tcPr>
            <w:tcW w:w="1225" w:type="pct"/>
            <w:gridSpan w:val="2"/>
            <w:shd w:val="clear" w:color="auto" w:fill="auto"/>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城乡居民养老保险财政补助据实据效进行资金分配，主要按照缴费档次和标准，给予当月享受城乡居民养老保险待遇进行相应补贴。故得5分。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49" w:type="pct"/>
            <w:vMerge w:val="continue"/>
            <w:vAlign w:val="center"/>
          </w:tcPr>
          <w:p>
            <w:pPr>
              <w:widowControl/>
              <w:spacing w:after="217" w:line="280" w:lineRule="exact"/>
              <w:ind w:firstLine="0" w:firstLineChars="0"/>
              <w:jc w:val="center"/>
              <w:rPr>
                <w:rFonts w:eastAsia="宋体" w:cs="Times New Roman"/>
                <w:b/>
                <w:bCs/>
                <w:color w:val="000000"/>
                <w:kern w:val="0"/>
                <w:sz w:val="20"/>
                <w:szCs w:val="20"/>
              </w:rPr>
            </w:pPr>
          </w:p>
        </w:tc>
        <w:tc>
          <w:tcPr>
            <w:tcW w:w="201"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使用合规</w:t>
            </w:r>
          </w:p>
        </w:tc>
        <w:tc>
          <w:tcPr>
            <w:tcW w:w="258"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资金使用合规性</w:t>
            </w:r>
          </w:p>
        </w:tc>
        <w:tc>
          <w:tcPr>
            <w:tcW w:w="99"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5</w:t>
            </w:r>
          </w:p>
        </w:tc>
        <w:tc>
          <w:tcPr>
            <w:tcW w:w="32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项目资金使用是否符合相关的财务管理制度规定</w:t>
            </w:r>
          </w:p>
        </w:tc>
        <w:tc>
          <w:tcPr>
            <w:tcW w:w="293"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缺（错）项扣分法</w:t>
            </w:r>
          </w:p>
        </w:tc>
        <w:tc>
          <w:tcPr>
            <w:tcW w:w="841" w:type="pct"/>
            <w:gridSpan w:val="8"/>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发现一处扣0.5分，直至扣完</w:t>
            </w:r>
          </w:p>
        </w:tc>
        <w:tc>
          <w:tcPr>
            <w:tcW w:w="580" w:type="pct"/>
            <w:gridSpan w:val="4"/>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项目实施单位的财务制度是否健全，项目资金使用是否符合相关的财务管理制度规定，用以反映和考核财务管理制度对资金规范、安全运行情况</w:t>
            </w:r>
          </w:p>
        </w:tc>
        <w:tc>
          <w:tcPr>
            <w:tcW w:w="455"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通过调查问卷和访谈、基础业务数据等对资金管理情况进行分析</w:t>
            </w:r>
          </w:p>
        </w:tc>
        <w:tc>
          <w:tcPr>
            <w:tcW w:w="222" w:type="pct"/>
            <w:shd w:val="clear" w:color="auto" w:fill="auto"/>
            <w:noWrap/>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5.00</w:t>
            </w:r>
          </w:p>
        </w:tc>
        <w:tc>
          <w:tcPr>
            <w:tcW w:w="352" w:type="pct"/>
            <w:gridSpan w:val="2"/>
            <w:shd w:val="clear" w:color="auto" w:fill="auto"/>
            <w:noWrap/>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100%</w:t>
            </w:r>
          </w:p>
        </w:tc>
        <w:tc>
          <w:tcPr>
            <w:tcW w:w="1225" w:type="pct"/>
            <w:gridSpan w:val="2"/>
            <w:shd w:val="clear" w:color="auto" w:fill="auto"/>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未发现资金使用不合规的情况，且能做到资金专款专用，故得5分。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49" w:type="pct"/>
            <w:vMerge w:val="continue"/>
            <w:vAlign w:val="center"/>
          </w:tcPr>
          <w:p>
            <w:pPr>
              <w:widowControl/>
              <w:spacing w:after="217" w:line="280" w:lineRule="exact"/>
              <w:ind w:firstLine="0" w:firstLineChars="0"/>
              <w:jc w:val="center"/>
              <w:rPr>
                <w:rFonts w:eastAsia="宋体" w:cs="Times New Roman"/>
                <w:b/>
                <w:bCs/>
                <w:color w:val="000000"/>
                <w:kern w:val="0"/>
                <w:sz w:val="20"/>
                <w:szCs w:val="20"/>
              </w:rPr>
            </w:pPr>
          </w:p>
        </w:tc>
        <w:tc>
          <w:tcPr>
            <w:tcW w:w="201" w:type="pct"/>
            <w:vMerge w:val="restar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执行有效</w:t>
            </w:r>
          </w:p>
        </w:tc>
        <w:tc>
          <w:tcPr>
            <w:tcW w:w="258"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管理制度健全性</w:t>
            </w:r>
          </w:p>
        </w:tc>
        <w:tc>
          <w:tcPr>
            <w:tcW w:w="99"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5</w:t>
            </w:r>
          </w:p>
        </w:tc>
        <w:tc>
          <w:tcPr>
            <w:tcW w:w="32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项目实施单位的业务管理制度是否健全</w:t>
            </w:r>
          </w:p>
        </w:tc>
        <w:tc>
          <w:tcPr>
            <w:tcW w:w="293"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是否评分法</w:t>
            </w:r>
          </w:p>
        </w:tc>
        <w:tc>
          <w:tcPr>
            <w:tcW w:w="149"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不健全</w:t>
            </w:r>
          </w:p>
        </w:tc>
        <w:tc>
          <w:tcPr>
            <w:tcW w:w="16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3处及以上不健全</w:t>
            </w:r>
          </w:p>
        </w:tc>
        <w:tc>
          <w:tcPr>
            <w:tcW w:w="192"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2处不健全</w:t>
            </w:r>
          </w:p>
        </w:tc>
        <w:tc>
          <w:tcPr>
            <w:tcW w:w="167" w:type="pct"/>
            <w:gridSpan w:val="2"/>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1处不健全</w:t>
            </w:r>
          </w:p>
        </w:tc>
        <w:tc>
          <w:tcPr>
            <w:tcW w:w="166" w:type="pct"/>
            <w:gridSpan w:val="3"/>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健全</w:t>
            </w:r>
          </w:p>
        </w:tc>
        <w:tc>
          <w:tcPr>
            <w:tcW w:w="580" w:type="pct"/>
            <w:gridSpan w:val="4"/>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用以反映和考核业务管理制度对项目顺利实施的保障情况</w:t>
            </w:r>
          </w:p>
        </w:tc>
        <w:tc>
          <w:tcPr>
            <w:tcW w:w="455"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通过调查问卷和访谈、基础业务数据等对资金管理情况进行分析</w:t>
            </w:r>
          </w:p>
        </w:tc>
        <w:tc>
          <w:tcPr>
            <w:tcW w:w="222" w:type="pct"/>
            <w:shd w:val="clear" w:color="auto" w:fill="auto"/>
            <w:noWrap/>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4.00</w:t>
            </w:r>
          </w:p>
        </w:tc>
        <w:tc>
          <w:tcPr>
            <w:tcW w:w="352" w:type="pct"/>
            <w:gridSpan w:val="2"/>
            <w:shd w:val="clear" w:color="auto" w:fill="auto"/>
            <w:noWrap/>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80%</w:t>
            </w:r>
          </w:p>
        </w:tc>
        <w:tc>
          <w:tcPr>
            <w:tcW w:w="1225" w:type="pct"/>
            <w:gridSpan w:val="2"/>
            <w:shd w:val="clear" w:color="auto" w:fill="auto"/>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城乡居民养老保险财政补贴项目是人社局的重点工作之一，但对其管理仅有国家和省级下发文件，缺少本级细化管理制度，比如实施方案等，故扣1分。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49" w:type="pct"/>
            <w:vMerge w:val="continue"/>
            <w:vAlign w:val="center"/>
          </w:tcPr>
          <w:p>
            <w:pPr>
              <w:widowControl/>
              <w:spacing w:after="217" w:line="280" w:lineRule="exact"/>
              <w:ind w:firstLine="0" w:firstLineChars="0"/>
              <w:jc w:val="center"/>
              <w:rPr>
                <w:rFonts w:eastAsia="宋体" w:cs="Times New Roman"/>
                <w:b/>
                <w:bCs/>
                <w:color w:val="000000"/>
                <w:kern w:val="0"/>
                <w:sz w:val="20"/>
                <w:szCs w:val="20"/>
              </w:rPr>
            </w:pPr>
          </w:p>
        </w:tc>
        <w:tc>
          <w:tcPr>
            <w:tcW w:w="201" w:type="pct"/>
            <w:vMerge w:val="continue"/>
            <w:vAlign w:val="center"/>
          </w:tcPr>
          <w:p>
            <w:pPr>
              <w:widowControl/>
              <w:spacing w:after="217" w:line="280" w:lineRule="exact"/>
              <w:ind w:firstLine="0" w:firstLineChars="0"/>
              <w:jc w:val="center"/>
              <w:rPr>
                <w:rFonts w:eastAsia="宋体" w:cs="Times New Roman"/>
                <w:color w:val="000000"/>
                <w:kern w:val="0"/>
                <w:sz w:val="20"/>
                <w:szCs w:val="20"/>
              </w:rPr>
            </w:pPr>
          </w:p>
        </w:tc>
        <w:tc>
          <w:tcPr>
            <w:tcW w:w="258"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制度执行有效性</w:t>
            </w:r>
          </w:p>
        </w:tc>
        <w:tc>
          <w:tcPr>
            <w:tcW w:w="99"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5</w:t>
            </w:r>
          </w:p>
        </w:tc>
        <w:tc>
          <w:tcPr>
            <w:tcW w:w="32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项目实施的人员条件、场地设备、信息支撑等是否落实到位</w:t>
            </w:r>
          </w:p>
        </w:tc>
        <w:tc>
          <w:tcPr>
            <w:tcW w:w="293"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缺（错）项扣分法</w:t>
            </w:r>
          </w:p>
        </w:tc>
        <w:tc>
          <w:tcPr>
            <w:tcW w:w="841" w:type="pct"/>
            <w:gridSpan w:val="8"/>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发现一处扣0.5分，直至扣完</w:t>
            </w:r>
          </w:p>
        </w:tc>
        <w:tc>
          <w:tcPr>
            <w:tcW w:w="580" w:type="pct"/>
            <w:gridSpan w:val="4"/>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主要查看制度执行过程中是否有足够充分的人、物的保障</w:t>
            </w:r>
          </w:p>
        </w:tc>
        <w:tc>
          <w:tcPr>
            <w:tcW w:w="455"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通过调查问卷和访谈、基础业务数据等对资金管理情况进行分析</w:t>
            </w:r>
          </w:p>
        </w:tc>
        <w:tc>
          <w:tcPr>
            <w:tcW w:w="222" w:type="pct"/>
            <w:shd w:val="clear" w:color="auto" w:fill="auto"/>
            <w:noWrap/>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5.00</w:t>
            </w:r>
          </w:p>
        </w:tc>
        <w:tc>
          <w:tcPr>
            <w:tcW w:w="352" w:type="pct"/>
            <w:gridSpan w:val="2"/>
            <w:shd w:val="clear" w:color="auto" w:fill="auto"/>
            <w:noWrap/>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100.00%</w:t>
            </w:r>
          </w:p>
        </w:tc>
        <w:tc>
          <w:tcPr>
            <w:tcW w:w="1225" w:type="pct"/>
            <w:gridSpan w:val="2"/>
            <w:shd w:val="clear" w:color="auto" w:fill="auto"/>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该项目主要承担居民养老保险的核定、缴纳和收费等工作。调研发现，人员条件、场地设备和信息支撑相对落实到位，能够较好执行，故得5分。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49" w:type="pct"/>
            <w:vMerge w:val="restart"/>
            <w:shd w:val="clear" w:color="auto" w:fill="auto"/>
            <w:vAlign w:val="center"/>
          </w:tcPr>
          <w:p>
            <w:pPr>
              <w:widowControl/>
              <w:spacing w:after="217" w:line="280" w:lineRule="exact"/>
              <w:ind w:firstLine="0" w:firstLineChars="0"/>
              <w:jc w:val="center"/>
              <w:rPr>
                <w:rFonts w:eastAsia="宋体" w:cs="Times New Roman"/>
                <w:b/>
                <w:bCs/>
                <w:color w:val="000000"/>
                <w:kern w:val="0"/>
                <w:sz w:val="20"/>
                <w:szCs w:val="20"/>
              </w:rPr>
            </w:pPr>
            <w:r>
              <w:rPr>
                <w:rFonts w:eastAsia="宋体" w:cs="Times New Roman"/>
                <w:b/>
                <w:bCs/>
                <w:color w:val="000000"/>
                <w:kern w:val="0"/>
                <w:sz w:val="20"/>
                <w:szCs w:val="20"/>
              </w:rPr>
              <w:t>项目产出</w:t>
            </w:r>
          </w:p>
        </w:tc>
        <w:tc>
          <w:tcPr>
            <w:tcW w:w="201"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预算完成</w:t>
            </w:r>
          </w:p>
        </w:tc>
        <w:tc>
          <w:tcPr>
            <w:tcW w:w="258"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资金使用率</w:t>
            </w:r>
          </w:p>
        </w:tc>
        <w:tc>
          <w:tcPr>
            <w:tcW w:w="99"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5</w:t>
            </w:r>
          </w:p>
        </w:tc>
        <w:tc>
          <w:tcPr>
            <w:tcW w:w="32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补助资金拨付到具体支持对象（人）的情况</w:t>
            </w:r>
          </w:p>
        </w:tc>
        <w:tc>
          <w:tcPr>
            <w:tcW w:w="293"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比率分值法</w:t>
            </w:r>
          </w:p>
        </w:tc>
        <w:tc>
          <w:tcPr>
            <w:tcW w:w="841" w:type="pct"/>
            <w:gridSpan w:val="8"/>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指标得分=资金实际使用金额/资金实际拨付金额×100%*指标分值</w:t>
            </w:r>
          </w:p>
        </w:tc>
        <w:tc>
          <w:tcPr>
            <w:tcW w:w="580" w:type="pct"/>
            <w:gridSpan w:val="4"/>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主要查看项目资金拨付到人到户与资金总量的对比</w:t>
            </w:r>
          </w:p>
        </w:tc>
        <w:tc>
          <w:tcPr>
            <w:tcW w:w="455"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通过基础数据统计表（需客户提供）、访谈进行资料收集</w:t>
            </w:r>
          </w:p>
        </w:tc>
        <w:tc>
          <w:tcPr>
            <w:tcW w:w="222" w:type="pct"/>
            <w:shd w:val="clear" w:color="auto" w:fill="auto"/>
            <w:noWrap/>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4.90</w:t>
            </w:r>
          </w:p>
        </w:tc>
        <w:tc>
          <w:tcPr>
            <w:tcW w:w="352" w:type="pct"/>
            <w:gridSpan w:val="2"/>
            <w:shd w:val="clear" w:color="auto" w:fill="auto"/>
            <w:noWrap/>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98.00%</w:t>
            </w:r>
          </w:p>
        </w:tc>
        <w:tc>
          <w:tcPr>
            <w:tcW w:w="1225" w:type="pct"/>
            <w:gridSpan w:val="2"/>
            <w:shd w:val="clear" w:color="auto" w:fill="auto"/>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2020年收入决算数为11162.93万元，2020年实际支出数为10967.83万元，资金执行率为98.25%，故得分为4（98.25%*6*100%）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49" w:type="pct"/>
            <w:vMerge w:val="continue"/>
            <w:vAlign w:val="center"/>
          </w:tcPr>
          <w:p>
            <w:pPr>
              <w:widowControl/>
              <w:spacing w:after="217" w:line="280" w:lineRule="exact"/>
              <w:ind w:firstLine="0" w:firstLineChars="0"/>
              <w:jc w:val="center"/>
              <w:rPr>
                <w:rFonts w:eastAsia="宋体" w:cs="Times New Roman"/>
                <w:b/>
                <w:bCs/>
                <w:color w:val="000000"/>
                <w:kern w:val="0"/>
                <w:sz w:val="20"/>
                <w:szCs w:val="20"/>
              </w:rPr>
            </w:pPr>
          </w:p>
        </w:tc>
        <w:tc>
          <w:tcPr>
            <w:tcW w:w="201" w:type="pct"/>
            <w:vMerge w:val="restar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目标完成</w:t>
            </w:r>
          </w:p>
        </w:tc>
        <w:tc>
          <w:tcPr>
            <w:tcW w:w="258"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结果符合</w:t>
            </w:r>
          </w:p>
        </w:tc>
        <w:tc>
          <w:tcPr>
            <w:tcW w:w="99"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5</w:t>
            </w:r>
          </w:p>
        </w:tc>
        <w:tc>
          <w:tcPr>
            <w:tcW w:w="32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按照规定的应发金额，是否足额发送养老保险金</w:t>
            </w:r>
          </w:p>
        </w:tc>
        <w:tc>
          <w:tcPr>
            <w:tcW w:w="293"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比率分值法</w:t>
            </w:r>
          </w:p>
        </w:tc>
        <w:tc>
          <w:tcPr>
            <w:tcW w:w="149"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否</w:t>
            </w:r>
          </w:p>
        </w:tc>
        <w:tc>
          <w:tcPr>
            <w:tcW w:w="16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p>
        </w:tc>
        <w:tc>
          <w:tcPr>
            <w:tcW w:w="192"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p>
        </w:tc>
        <w:tc>
          <w:tcPr>
            <w:tcW w:w="167" w:type="pct"/>
            <w:gridSpan w:val="2"/>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p>
        </w:tc>
        <w:tc>
          <w:tcPr>
            <w:tcW w:w="166" w:type="pct"/>
            <w:gridSpan w:val="3"/>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是</w:t>
            </w:r>
          </w:p>
        </w:tc>
        <w:tc>
          <w:tcPr>
            <w:tcW w:w="580" w:type="pct"/>
            <w:gridSpan w:val="4"/>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根据资金管理文件和会计凭证对比进行评价</w:t>
            </w:r>
          </w:p>
        </w:tc>
        <w:tc>
          <w:tcPr>
            <w:tcW w:w="455"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通过调查问卷和访谈、案卷研究、专家评价方法等方法对相关政策计划文件分析</w:t>
            </w:r>
          </w:p>
        </w:tc>
        <w:tc>
          <w:tcPr>
            <w:tcW w:w="222" w:type="pct"/>
            <w:shd w:val="clear" w:color="auto" w:fill="auto"/>
            <w:noWrap/>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4.00</w:t>
            </w:r>
          </w:p>
        </w:tc>
        <w:tc>
          <w:tcPr>
            <w:tcW w:w="352" w:type="pct"/>
            <w:gridSpan w:val="2"/>
            <w:shd w:val="clear" w:color="auto" w:fill="auto"/>
            <w:noWrap/>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80.00%</w:t>
            </w:r>
          </w:p>
        </w:tc>
        <w:tc>
          <w:tcPr>
            <w:tcW w:w="1225" w:type="pct"/>
            <w:gridSpan w:val="2"/>
            <w:shd w:val="clear" w:color="auto" w:fill="auto"/>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根据2020年度资金结算申报表和基础业务数据可以看出：城乡居民基本养老保险发放按照年龄、发放标准及人次数进行足额发放。故得4分。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49" w:type="pct"/>
            <w:vMerge w:val="continue"/>
            <w:vAlign w:val="center"/>
          </w:tcPr>
          <w:p>
            <w:pPr>
              <w:widowControl/>
              <w:spacing w:after="217" w:line="280" w:lineRule="exact"/>
              <w:ind w:firstLine="0" w:firstLineChars="0"/>
              <w:jc w:val="center"/>
              <w:rPr>
                <w:rFonts w:eastAsia="宋体" w:cs="Times New Roman"/>
                <w:b/>
                <w:bCs/>
                <w:color w:val="000000"/>
                <w:kern w:val="0"/>
                <w:sz w:val="20"/>
                <w:szCs w:val="20"/>
              </w:rPr>
            </w:pPr>
          </w:p>
        </w:tc>
        <w:tc>
          <w:tcPr>
            <w:tcW w:w="201" w:type="pct"/>
            <w:vMerge w:val="continue"/>
            <w:vAlign w:val="center"/>
          </w:tcPr>
          <w:p>
            <w:pPr>
              <w:widowControl/>
              <w:spacing w:after="217" w:line="280" w:lineRule="exact"/>
              <w:ind w:firstLine="0" w:firstLineChars="0"/>
              <w:jc w:val="center"/>
              <w:rPr>
                <w:rFonts w:eastAsia="宋体" w:cs="Times New Roman"/>
                <w:color w:val="000000"/>
                <w:kern w:val="0"/>
                <w:sz w:val="20"/>
                <w:szCs w:val="20"/>
              </w:rPr>
            </w:pPr>
          </w:p>
        </w:tc>
        <w:tc>
          <w:tcPr>
            <w:tcW w:w="258"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城乡居民基本养老保障待遇人数</w:t>
            </w:r>
          </w:p>
        </w:tc>
        <w:tc>
          <w:tcPr>
            <w:tcW w:w="99"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5</w:t>
            </w:r>
          </w:p>
        </w:tc>
        <w:tc>
          <w:tcPr>
            <w:tcW w:w="32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是否完成德阳市下达城乡居民基本养老保障人数</w:t>
            </w:r>
          </w:p>
        </w:tc>
        <w:tc>
          <w:tcPr>
            <w:tcW w:w="293"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是否评分法</w:t>
            </w:r>
          </w:p>
        </w:tc>
        <w:tc>
          <w:tcPr>
            <w:tcW w:w="149"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否</w:t>
            </w:r>
          </w:p>
        </w:tc>
        <w:tc>
          <w:tcPr>
            <w:tcW w:w="16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p>
        </w:tc>
        <w:tc>
          <w:tcPr>
            <w:tcW w:w="192"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p>
        </w:tc>
        <w:tc>
          <w:tcPr>
            <w:tcW w:w="167" w:type="pct"/>
            <w:gridSpan w:val="2"/>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p>
        </w:tc>
        <w:tc>
          <w:tcPr>
            <w:tcW w:w="166" w:type="pct"/>
            <w:gridSpan w:val="3"/>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是</w:t>
            </w:r>
          </w:p>
        </w:tc>
        <w:tc>
          <w:tcPr>
            <w:tcW w:w="580" w:type="pct"/>
            <w:gridSpan w:val="4"/>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2020年德阳市下达给绵竹的目标任务为7.75万人</w:t>
            </w:r>
          </w:p>
        </w:tc>
        <w:tc>
          <w:tcPr>
            <w:tcW w:w="455"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通过查看城乡居民养老保险补助缴费情况</w:t>
            </w:r>
          </w:p>
        </w:tc>
        <w:tc>
          <w:tcPr>
            <w:tcW w:w="222" w:type="pct"/>
            <w:shd w:val="clear" w:color="auto" w:fill="auto"/>
            <w:noWrap/>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5.00</w:t>
            </w:r>
          </w:p>
        </w:tc>
        <w:tc>
          <w:tcPr>
            <w:tcW w:w="360" w:type="pct"/>
            <w:gridSpan w:val="3"/>
            <w:shd w:val="clear" w:color="auto" w:fill="auto"/>
            <w:noWrap/>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100.00%</w:t>
            </w:r>
          </w:p>
        </w:tc>
        <w:tc>
          <w:tcPr>
            <w:tcW w:w="1217" w:type="pct"/>
            <w:shd w:val="clear" w:color="auto" w:fill="auto"/>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截止2020年12月底，享受城乡居民养老保险待遇人数为81329，大于德阳市下达给绵竹市目标任务数（77500人），故得6分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49" w:type="pct"/>
            <w:vMerge w:val="continue"/>
            <w:vAlign w:val="center"/>
          </w:tcPr>
          <w:p>
            <w:pPr>
              <w:widowControl/>
              <w:spacing w:after="217" w:line="280" w:lineRule="exact"/>
              <w:ind w:firstLine="0" w:firstLineChars="0"/>
              <w:jc w:val="center"/>
              <w:rPr>
                <w:rFonts w:eastAsia="宋体" w:cs="Times New Roman"/>
                <w:b/>
                <w:bCs/>
                <w:color w:val="000000"/>
                <w:kern w:val="0"/>
                <w:sz w:val="20"/>
                <w:szCs w:val="20"/>
              </w:rPr>
            </w:pPr>
          </w:p>
        </w:tc>
        <w:tc>
          <w:tcPr>
            <w:tcW w:w="201" w:type="pct"/>
            <w:vMerge w:val="continue"/>
            <w:vAlign w:val="center"/>
          </w:tcPr>
          <w:p>
            <w:pPr>
              <w:widowControl/>
              <w:spacing w:after="217" w:line="280" w:lineRule="exact"/>
              <w:ind w:firstLine="0" w:firstLineChars="0"/>
              <w:jc w:val="center"/>
              <w:rPr>
                <w:rFonts w:eastAsia="宋体" w:cs="Times New Roman"/>
                <w:color w:val="000000"/>
                <w:kern w:val="0"/>
                <w:sz w:val="20"/>
                <w:szCs w:val="20"/>
              </w:rPr>
            </w:pPr>
          </w:p>
        </w:tc>
        <w:tc>
          <w:tcPr>
            <w:tcW w:w="258"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困难群体待缴人数</w:t>
            </w:r>
          </w:p>
        </w:tc>
        <w:tc>
          <w:tcPr>
            <w:tcW w:w="99"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5</w:t>
            </w:r>
          </w:p>
        </w:tc>
        <w:tc>
          <w:tcPr>
            <w:tcW w:w="32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是否完成德阳市下达代缴困难群体城乡居民基本养老保险个人缴费数</w:t>
            </w:r>
          </w:p>
        </w:tc>
        <w:tc>
          <w:tcPr>
            <w:tcW w:w="293"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是否评分法</w:t>
            </w:r>
          </w:p>
        </w:tc>
        <w:tc>
          <w:tcPr>
            <w:tcW w:w="149"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否</w:t>
            </w:r>
          </w:p>
        </w:tc>
        <w:tc>
          <w:tcPr>
            <w:tcW w:w="16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p>
        </w:tc>
        <w:tc>
          <w:tcPr>
            <w:tcW w:w="192"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p>
        </w:tc>
        <w:tc>
          <w:tcPr>
            <w:tcW w:w="94"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p>
        </w:tc>
        <w:tc>
          <w:tcPr>
            <w:tcW w:w="89" w:type="pct"/>
            <w:gridSpan w:val="2"/>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p>
        </w:tc>
        <w:tc>
          <w:tcPr>
            <w:tcW w:w="150" w:type="pct"/>
            <w:gridSpan w:val="2"/>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是</w:t>
            </w:r>
          </w:p>
        </w:tc>
        <w:tc>
          <w:tcPr>
            <w:tcW w:w="580" w:type="pct"/>
            <w:gridSpan w:val="4"/>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主要查看2020年代缴困难群体城乡居民基本养老保险个人缴费的个数是否达到5500人次</w:t>
            </w:r>
          </w:p>
        </w:tc>
        <w:tc>
          <w:tcPr>
            <w:tcW w:w="455"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通过查看城乡居民养老保险补助缴费情况</w:t>
            </w:r>
          </w:p>
        </w:tc>
        <w:tc>
          <w:tcPr>
            <w:tcW w:w="222" w:type="pct"/>
            <w:shd w:val="clear" w:color="auto" w:fill="auto"/>
            <w:noWrap/>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5.00</w:t>
            </w:r>
          </w:p>
        </w:tc>
        <w:tc>
          <w:tcPr>
            <w:tcW w:w="352" w:type="pct"/>
            <w:gridSpan w:val="2"/>
            <w:shd w:val="clear" w:color="auto" w:fill="auto"/>
            <w:noWrap/>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100.00%</w:t>
            </w:r>
          </w:p>
        </w:tc>
        <w:tc>
          <w:tcPr>
            <w:tcW w:w="1225" w:type="pct"/>
            <w:gridSpan w:val="2"/>
            <w:shd w:val="clear" w:color="auto" w:fill="auto"/>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截止2020年12月底，政府代缴城乡居民养老保险费用人数为9576，大于规定代缴人数（5500人），故得5分。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49" w:type="pct"/>
            <w:vMerge w:val="continue"/>
            <w:vAlign w:val="center"/>
          </w:tcPr>
          <w:p>
            <w:pPr>
              <w:widowControl/>
              <w:spacing w:after="217" w:line="280" w:lineRule="exact"/>
              <w:ind w:firstLine="0" w:firstLineChars="0"/>
              <w:jc w:val="center"/>
              <w:rPr>
                <w:rFonts w:eastAsia="宋体" w:cs="Times New Roman"/>
                <w:b/>
                <w:bCs/>
                <w:color w:val="000000"/>
                <w:kern w:val="0"/>
                <w:sz w:val="20"/>
                <w:szCs w:val="20"/>
              </w:rPr>
            </w:pPr>
          </w:p>
        </w:tc>
        <w:tc>
          <w:tcPr>
            <w:tcW w:w="201"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违规记录</w:t>
            </w:r>
          </w:p>
        </w:tc>
        <w:tc>
          <w:tcPr>
            <w:tcW w:w="258"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违纪记录</w:t>
            </w:r>
          </w:p>
        </w:tc>
        <w:tc>
          <w:tcPr>
            <w:tcW w:w="99"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5</w:t>
            </w:r>
          </w:p>
        </w:tc>
        <w:tc>
          <w:tcPr>
            <w:tcW w:w="32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项目管理是否合规</w:t>
            </w:r>
          </w:p>
        </w:tc>
        <w:tc>
          <w:tcPr>
            <w:tcW w:w="293"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分级评分法</w:t>
            </w:r>
          </w:p>
        </w:tc>
        <w:tc>
          <w:tcPr>
            <w:tcW w:w="149"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不合规</w:t>
            </w:r>
          </w:p>
        </w:tc>
        <w:tc>
          <w:tcPr>
            <w:tcW w:w="16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3处及以上不合规</w:t>
            </w:r>
          </w:p>
        </w:tc>
        <w:tc>
          <w:tcPr>
            <w:tcW w:w="192"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2处不合规</w:t>
            </w:r>
          </w:p>
        </w:tc>
        <w:tc>
          <w:tcPr>
            <w:tcW w:w="167" w:type="pct"/>
            <w:gridSpan w:val="2"/>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1处不合规</w:t>
            </w:r>
          </w:p>
        </w:tc>
        <w:tc>
          <w:tcPr>
            <w:tcW w:w="166" w:type="pct"/>
            <w:gridSpan w:val="3"/>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合规</w:t>
            </w:r>
          </w:p>
        </w:tc>
        <w:tc>
          <w:tcPr>
            <w:tcW w:w="580" w:type="pct"/>
            <w:gridSpan w:val="4"/>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根据审计监督、财政检查结果、绩效评价结果反映专项管理是否合规</w:t>
            </w:r>
          </w:p>
        </w:tc>
        <w:tc>
          <w:tcPr>
            <w:tcW w:w="455"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通过基础数据统计表、访谈调查表进行资料收集</w:t>
            </w:r>
          </w:p>
        </w:tc>
        <w:tc>
          <w:tcPr>
            <w:tcW w:w="222" w:type="pct"/>
            <w:shd w:val="clear" w:color="auto" w:fill="auto"/>
            <w:noWrap/>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5.00</w:t>
            </w:r>
          </w:p>
        </w:tc>
        <w:tc>
          <w:tcPr>
            <w:tcW w:w="352" w:type="pct"/>
            <w:gridSpan w:val="2"/>
            <w:shd w:val="clear" w:color="auto" w:fill="auto"/>
            <w:noWrap/>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100%</w:t>
            </w:r>
          </w:p>
        </w:tc>
        <w:tc>
          <w:tcPr>
            <w:tcW w:w="1225" w:type="pct"/>
            <w:gridSpan w:val="2"/>
            <w:shd w:val="clear" w:color="auto" w:fill="auto"/>
            <w:noWrap/>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调研中未发现有违规情况，故得5分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49" w:type="pct"/>
            <w:vMerge w:val="restart"/>
            <w:shd w:val="clear" w:color="auto" w:fill="auto"/>
            <w:vAlign w:val="center"/>
          </w:tcPr>
          <w:p>
            <w:pPr>
              <w:widowControl/>
              <w:spacing w:after="217" w:line="280" w:lineRule="exact"/>
              <w:ind w:firstLine="0" w:firstLineChars="0"/>
              <w:jc w:val="center"/>
              <w:rPr>
                <w:rFonts w:eastAsia="宋体" w:cs="Times New Roman"/>
                <w:b/>
                <w:bCs/>
                <w:color w:val="000000"/>
                <w:kern w:val="0"/>
                <w:sz w:val="20"/>
                <w:szCs w:val="20"/>
              </w:rPr>
            </w:pPr>
            <w:r>
              <w:rPr>
                <w:rFonts w:eastAsia="宋体" w:cs="Times New Roman"/>
                <w:b/>
                <w:bCs/>
                <w:color w:val="000000"/>
                <w:kern w:val="0"/>
                <w:sz w:val="20"/>
                <w:szCs w:val="20"/>
              </w:rPr>
              <w:t>项目效果</w:t>
            </w:r>
          </w:p>
        </w:tc>
        <w:tc>
          <w:tcPr>
            <w:tcW w:w="201" w:type="pct"/>
            <w:vMerge w:val="restart"/>
            <w:shd w:val="clear" w:color="auto" w:fill="auto"/>
            <w:vAlign w:val="center"/>
          </w:tcPr>
          <w:p>
            <w:pPr>
              <w:widowControl/>
              <w:spacing w:after="217" w:line="280" w:lineRule="exact"/>
              <w:ind w:firstLine="0" w:firstLineChars="0"/>
              <w:jc w:val="center"/>
              <w:rPr>
                <w:rFonts w:eastAsia="宋体" w:cs="Times New Roman"/>
                <w:b/>
                <w:bCs/>
                <w:color w:val="000000"/>
                <w:kern w:val="0"/>
                <w:sz w:val="20"/>
                <w:szCs w:val="20"/>
              </w:rPr>
            </w:pPr>
            <w:r>
              <w:rPr>
                <w:rFonts w:eastAsia="宋体" w:cs="Times New Roman"/>
                <w:b/>
                <w:bCs/>
                <w:color w:val="000000"/>
                <w:kern w:val="0"/>
                <w:sz w:val="20"/>
                <w:szCs w:val="20"/>
              </w:rPr>
              <w:t>社会效益</w:t>
            </w:r>
          </w:p>
        </w:tc>
        <w:tc>
          <w:tcPr>
            <w:tcW w:w="258"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城乡居民参保提升率</w:t>
            </w:r>
          </w:p>
        </w:tc>
        <w:tc>
          <w:tcPr>
            <w:tcW w:w="99"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8</w:t>
            </w:r>
          </w:p>
        </w:tc>
        <w:tc>
          <w:tcPr>
            <w:tcW w:w="32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考察补助工作面向的补助对象的养老保险参保率</w:t>
            </w:r>
          </w:p>
        </w:tc>
        <w:tc>
          <w:tcPr>
            <w:tcW w:w="293"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分级评分法</w:t>
            </w:r>
          </w:p>
        </w:tc>
        <w:tc>
          <w:tcPr>
            <w:tcW w:w="841" w:type="pct"/>
            <w:gridSpan w:val="8"/>
            <w:shd w:val="clear" w:color="auto" w:fill="auto"/>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指标得分=2020年城乡居民养老保险人数/2020年城乡居民养老保险人数*指标分值</w:t>
            </w:r>
          </w:p>
        </w:tc>
        <w:tc>
          <w:tcPr>
            <w:tcW w:w="580" w:type="pct"/>
            <w:gridSpan w:val="4"/>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主要查看是否较2019年有所上升，对补助工作的效果进行评价</w:t>
            </w:r>
          </w:p>
        </w:tc>
        <w:tc>
          <w:tcPr>
            <w:tcW w:w="455" w:type="pct"/>
            <w:vMerge w:val="restar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单位自评材料报送、利益相关群体访谈、实地资料核查</w:t>
            </w:r>
          </w:p>
        </w:tc>
        <w:tc>
          <w:tcPr>
            <w:tcW w:w="222" w:type="pct"/>
            <w:shd w:val="clear" w:color="auto" w:fill="auto"/>
            <w:noWrap/>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7.6</w:t>
            </w:r>
          </w:p>
        </w:tc>
        <w:tc>
          <w:tcPr>
            <w:tcW w:w="352" w:type="pct"/>
            <w:gridSpan w:val="2"/>
            <w:shd w:val="clear" w:color="auto" w:fill="auto"/>
            <w:noWrap/>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95.00%</w:t>
            </w:r>
          </w:p>
        </w:tc>
        <w:tc>
          <w:tcPr>
            <w:tcW w:w="1225" w:type="pct"/>
            <w:gridSpan w:val="2"/>
            <w:shd w:val="clear" w:color="auto" w:fill="auto"/>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2019年参保缴费人数为87620人，2020年参保缴费人数为83629人。相较于2019年，2020年有所下降，故得7.6分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49" w:type="pct"/>
            <w:vMerge w:val="continue"/>
            <w:vAlign w:val="center"/>
          </w:tcPr>
          <w:p>
            <w:pPr>
              <w:widowControl/>
              <w:spacing w:after="217" w:line="280" w:lineRule="exact"/>
              <w:ind w:firstLine="0" w:firstLineChars="0"/>
              <w:jc w:val="center"/>
              <w:rPr>
                <w:rFonts w:eastAsia="宋体" w:cs="Times New Roman"/>
                <w:b/>
                <w:bCs/>
                <w:color w:val="000000"/>
                <w:kern w:val="0"/>
                <w:sz w:val="20"/>
                <w:szCs w:val="20"/>
              </w:rPr>
            </w:pPr>
          </w:p>
        </w:tc>
        <w:tc>
          <w:tcPr>
            <w:tcW w:w="201" w:type="pct"/>
            <w:vMerge w:val="continue"/>
            <w:vAlign w:val="center"/>
          </w:tcPr>
          <w:p>
            <w:pPr>
              <w:widowControl/>
              <w:spacing w:after="217" w:line="280" w:lineRule="exact"/>
              <w:ind w:firstLine="0" w:firstLineChars="0"/>
              <w:jc w:val="center"/>
              <w:rPr>
                <w:rFonts w:eastAsia="宋体" w:cs="Times New Roman"/>
                <w:b/>
                <w:bCs/>
                <w:color w:val="000000"/>
                <w:kern w:val="0"/>
                <w:sz w:val="20"/>
                <w:szCs w:val="20"/>
              </w:rPr>
            </w:pPr>
          </w:p>
        </w:tc>
        <w:tc>
          <w:tcPr>
            <w:tcW w:w="258" w:type="pct"/>
            <w:shd w:val="clear" w:color="auto" w:fill="auto"/>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城乡居保覆盖率</w:t>
            </w:r>
          </w:p>
        </w:tc>
        <w:tc>
          <w:tcPr>
            <w:tcW w:w="99"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9</w:t>
            </w:r>
          </w:p>
        </w:tc>
        <w:tc>
          <w:tcPr>
            <w:tcW w:w="32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考察养老保险覆盖率</w:t>
            </w:r>
          </w:p>
        </w:tc>
        <w:tc>
          <w:tcPr>
            <w:tcW w:w="293"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比率分值法</w:t>
            </w:r>
          </w:p>
        </w:tc>
        <w:tc>
          <w:tcPr>
            <w:tcW w:w="841" w:type="pct"/>
            <w:gridSpan w:val="8"/>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指标得分=城乡居民养老保险覆盖率/标准值*指标分值（城乡居保覆盖率/标准值＞1按1计算，负值按0计算）</w:t>
            </w:r>
          </w:p>
        </w:tc>
        <w:tc>
          <w:tcPr>
            <w:tcW w:w="580" w:type="pct"/>
            <w:gridSpan w:val="4"/>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主要查看覆盖法定居民养老保险情况</w:t>
            </w:r>
          </w:p>
        </w:tc>
        <w:tc>
          <w:tcPr>
            <w:tcW w:w="455" w:type="pct"/>
            <w:vMerge w:val="continue"/>
            <w:vAlign w:val="center"/>
          </w:tcPr>
          <w:p>
            <w:pPr>
              <w:widowControl/>
              <w:spacing w:after="217" w:line="280" w:lineRule="exact"/>
              <w:ind w:firstLine="0" w:firstLineChars="0"/>
              <w:jc w:val="center"/>
              <w:rPr>
                <w:rFonts w:eastAsia="宋体" w:cs="Times New Roman"/>
                <w:color w:val="000000"/>
                <w:kern w:val="0"/>
                <w:sz w:val="20"/>
                <w:szCs w:val="20"/>
              </w:rPr>
            </w:pPr>
          </w:p>
        </w:tc>
        <w:tc>
          <w:tcPr>
            <w:tcW w:w="222" w:type="pct"/>
            <w:shd w:val="clear" w:color="auto" w:fill="auto"/>
            <w:noWrap/>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8.73</w:t>
            </w:r>
          </w:p>
        </w:tc>
        <w:tc>
          <w:tcPr>
            <w:tcW w:w="352" w:type="pct"/>
            <w:gridSpan w:val="2"/>
            <w:shd w:val="clear" w:color="auto" w:fill="auto"/>
            <w:noWrap/>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97.00%</w:t>
            </w:r>
          </w:p>
        </w:tc>
        <w:tc>
          <w:tcPr>
            <w:tcW w:w="1225" w:type="pct"/>
            <w:gridSpan w:val="2"/>
            <w:shd w:val="clear" w:color="auto" w:fill="auto"/>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因数据受限，根据2020年绵竹市政府工作报告数据来看，社会保险综合参保率达97%以上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49" w:type="pct"/>
            <w:vMerge w:val="continue"/>
            <w:vAlign w:val="center"/>
          </w:tcPr>
          <w:p>
            <w:pPr>
              <w:widowControl/>
              <w:spacing w:after="217" w:line="280" w:lineRule="exact"/>
              <w:ind w:firstLine="0" w:firstLineChars="0"/>
              <w:jc w:val="center"/>
              <w:rPr>
                <w:rFonts w:eastAsia="宋体" w:cs="Times New Roman"/>
                <w:b/>
                <w:bCs/>
                <w:color w:val="000000"/>
                <w:kern w:val="0"/>
                <w:sz w:val="20"/>
                <w:szCs w:val="20"/>
              </w:rPr>
            </w:pPr>
          </w:p>
        </w:tc>
        <w:tc>
          <w:tcPr>
            <w:tcW w:w="201" w:type="pct"/>
            <w:vMerge w:val="continue"/>
            <w:vAlign w:val="center"/>
          </w:tcPr>
          <w:p>
            <w:pPr>
              <w:widowControl/>
              <w:spacing w:after="217" w:line="280" w:lineRule="exact"/>
              <w:ind w:firstLine="0" w:firstLineChars="0"/>
              <w:jc w:val="center"/>
              <w:rPr>
                <w:rFonts w:eastAsia="宋体" w:cs="Times New Roman"/>
                <w:b/>
                <w:bCs/>
                <w:color w:val="000000"/>
                <w:kern w:val="0"/>
                <w:sz w:val="20"/>
                <w:szCs w:val="20"/>
              </w:rPr>
            </w:pPr>
          </w:p>
        </w:tc>
        <w:tc>
          <w:tcPr>
            <w:tcW w:w="258" w:type="pct"/>
            <w:shd w:val="clear" w:color="auto" w:fill="auto"/>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政策宣传普及率</w:t>
            </w:r>
          </w:p>
        </w:tc>
        <w:tc>
          <w:tcPr>
            <w:tcW w:w="99"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8</w:t>
            </w:r>
          </w:p>
        </w:tc>
        <w:tc>
          <w:tcPr>
            <w:tcW w:w="327"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考核项目实施单位是否主动进行相关政策的告知和宣传</w:t>
            </w:r>
          </w:p>
        </w:tc>
        <w:tc>
          <w:tcPr>
            <w:tcW w:w="293" w:type="pct"/>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比率分值法</w:t>
            </w:r>
          </w:p>
        </w:tc>
        <w:tc>
          <w:tcPr>
            <w:tcW w:w="841" w:type="pct"/>
            <w:gridSpan w:val="8"/>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指标得分=政策宣传普及率/标准值*指标分值（政策宣传普及率/标准值＞1按1计算，负值按0计算）</w:t>
            </w:r>
          </w:p>
        </w:tc>
        <w:tc>
          <w:tcPr>
            <w:tcW w:w="580" w:type="pct"/>
            <w:gridSpan w:val="4"/>
            <w:shd w:val="clear" w:color="000000" w:fill="FFFFFF"/>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村、居委会或人社局通过主动告知或制作宣传材料扩大政策知晓度和影响力</w:t>
            </w:r>
          </w:p>
        </w:tc>
        <w:tc>
          <w:tcPr>
            <w:tcW w:w="455" w:type="pct"/>
            <w:vMerge w:val="continue"/>
            <w:vAlign w:val="center"/>
          </w:tcPr>
          <w:p>
            <w:pPr>
              <w:widowControl/>
              <w:spacing w:after="217" w:line="280" w:lineRule="exact"/>
              <w:ind w:firstLine="0" w:firstLineChars="0"/>
              <w:jc w:val="center"/>
              <w:rPr>
                <w:rFonts w:eastAsia="宋体" w:cs="Times New Roman"/>
                <w:color w:val="000000"/>
                <w:kern w:val="0"/>
                <w:sz w:val="20"/>
                <w:szCs w:val="20"/>
              </w:rPr>
            </w:pPr>
          </w:p>
        </w:tc>
        <w:tc>
          <w:tcPr>
            <w:tcW w:w="222" w:type="pct"/>
            <w:shd w:val="clear" w:color="auto" w:fill="auto"/>
            <w:noWrap/>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7.5</w:t>
            </w:r>
          </w:p>
        </w:tc>
        <w:tc>
          <w:tcPr>
            <w:tcW w:w="352" w:type="pct"/>
            <w:gridSpan w:val="2"/>
            <w:shd w:val="clear" w:color="auto" w:fill="auto"/>
            <w:noWrap/>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93.75%</w:t>
            </w:r>
          </w:p>
        </w:tc>
        <w:tc>
          <w:tcPr>
            <w:tcW w:w="1225" w:type="pct"/>
            <w:gridSpan w:val="2"/>
            <w:shd w:val="clear" w:color="auto" w:fill="auto"/>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通过实地调研，2012年开始要求自上而下提倡应保尽保，镇（街道）、村（社区）均定期向居民进行政策宣传和告知工作,但未做到全部城乡居民的应保尽保。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49" w:type="pct"/>
            <w:vMerge w:val="continue"/>
            <w:vAlign w:val="center"/>
          </w:tcPr>
          <w:p>
            <w:pPr>
              <w:widowControl/>
              <w:spacing w:after="217" w:line="280" w:lineRule="exact"/>
              <w:ind w:firstLine="0" w:firstLineChars="0"/>
              <w:jc w:val="center"/>
              <w:rPr>
                <w:rFonts w:eastAsia="宋体" w:cs="Times New Roman"/>
                <w:b/>
                <w:bCs/>
                <w:color w:val="000000"/>
                <w:kern w:val="0"/>
                <w:sz w:val="20"/>
                <w:szCs w:val="20"/>
              </w:rPr>
            </w:pPr>
          </w:p>
        </w:tc>
        <w:tc>
          <w:tcPr>
            <w:tcW w:w="201" w:type="pct"/>
            <w:shd w:val="clear" w:color="auto" w:fill="auto"/>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服务对象满意度</w:t>
            </w:r>
          </w:p>
        </w:tc>
        <w:tc>
          <w:tcPr>
            <w:tcW w:w="258" w:type="pct"/>
            <w:shd w:val="clear" w:color="auto" w:fill="auto"/>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城乡居民满意度</w:t>
            </w:r>
          </w:p>
        </w:tc>
        <w:tc>
          <w:tcPr>
            <w:tcW w:w="99" w:type="pct"/>
            <w:shd w:val="clear" w:color="auto" w:fill="auto"/>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10</w:t>
            </w:r>
          </w:p>
        </w:tc>
        <w:tc>
          <w:tcPr>
            <w:tcW w:w="327" w:type="pct"/>
            <w:shd w:val="clear" w:color="auto" w:fill="auto"/>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考察专项资金实施后相关受益群体的整体满意调查情况，通过满意度情况汇总分析在项目设计、制度构建、管理实施及成效各环节的情况</w:t>
            </w:r>
          </w:p>
        </w:tc>
        <w:tc>
          <w:tcPr>
            <w:tcW w:w="293" w:type="pct"/>
            <w:shd w:val="clear" w:color="auto" w:fill="auto"/>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满意值赋分法</w:t>
            </w:r>
          </w:p>
        </w:tc>
        <w:tc>
          <w:tcPr>
            <w:tcW w:w="318" w:type="pct"/>
            <w:gridSpan w:val="2"/>
            <w:shd w:val="clear" w:color="auto" w:fill="auto"/>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满意度得分59%及以下</w:t>
            </w:r>
          </w:p>
        </w:tc>
        <w:tc>
          <w:tcPr>
            <w:tcW w:w="189" w:type="pct"/>
            <w:shd w:val="clear" w:color="auto" w:fill="auto"/>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60≤满意度得分＜70</w:t>
            </w:r>
          </w:p>
        </w:tc>
        <w:tc>
          <w:tcPr>
            <w:tcW w:w="291" w:type="pct"/>
            <w:gridSpan w:val="4"/>
            <w:shd w:val="clear" w:color="auto" w:fill="auto"/>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70≤满意度得分＜80</w:t>
            </w:r>
          </w:p>
        </w:tc>
        <w:tc>
          <w:tcPr>
            <w:tcW w:w="190" w:type="pct"/>
            <w:gridSpan w:val="2"/>
            <w:shd w:val="clear" w:color="auto" w:fill="auto"/>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80≤满意度得分＜90</w:t>
            </w:r>
          </w:p>
        </w:tc>
        <w:tc>
          <w:tcPr>
            <w:tcW w:w="189" w:type="pct"/>
            <w:shd w:val="clear" w:color="auto" w:fill="auto"/>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满意度得分≥90分</w:t>
            </w:r>
          </w:p>
        </w:tc>
        <w:tc>
          <w:tcPr>
            <w:tcW w:w="149" w:type="pct"/>
            <w:shd w:val="clear" w:color="auto" w:fill="auto"/>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按根据实际满意度与满意度标准值的比较得分</w:t>
            </w:r>
          </w:p>
        </w:tc>
        <w:tc>
          <w:tcPr>
            <w:tcW w:w="550" w:type="pct"/>
            <w:gridSpan w:val="2"/>
            <w:shd w:val="clear" w:color="auto" w:fill="auto"/>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通过调查问卷进行资料收集并分析</w:t>
            </w:r>
          </w:p>
        </w:tc>
        <w:tc>
          <w:tcPr>
            <w:tcW w:w="222" w:type="pct"/>
            <w:shd w:val="clear" w:color="auto" w:fill="auto"/>
            <w:noWrap/>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8</w:t>
            </w:r>
          </w:p>
        </w:tc>
        <w:tc>
          <w:tcPr>
            <w:tcW w:w="348" w:type="pct"/>
            <w:shd w:val="clear" w:color="auto" w:fill="auto"/>
            <w:noWrap/>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80.00%</w:t>
            </w:r>
          </w:p>
        </w:tc>
        <w:tc>
          <w:tcPr>
            <w:tcW w:w="1228" w:type="pct"/>
            <w:gridSpan w:val="3"/>
            <w:shd w:val="clear" w:color="auto" w:fill="auto"/>
            <w:vAlign w:val="center"/>
          </w:tcPr>
          <w:p>
            <w:pPr>
              <w:widowControl/>
              <w:spacing w:after="217"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调研发现，城乡居民普遍满意城乡居民养老财政补助，让群众“老有所依，老有所养”，但同时部分居民反映：一是补助标准还有待提高，二是政府对养老保险政策的宣传还需要加强。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202" w:type="pct"/>
            <w:gridSpan w:val="19"/>
            <w:shd w:val="clear" w:color="auto" w:fill="auto"/>
            <w:noWrap/>
            <w:vAlign w:val="center"/>
          </w:tcPr>
          <w:p>
            <w:pPr>
              <w:widowControl/>
              <w:spacing w:after="217" w:line="280" w:lineRule="exact"/>
              <w:ind w:firstLine="0" w:firstLineChars="0"/>
              <w:jc w:val="center"/>
              <w:rPr>
                <w:rFonts w:eastAsia="宋体" w:cs="Times New Roman"/>
                <w:b/>
                <w:bCs/>
                <w:color w:val="000000"/>
                <w:kern w:val="0"/>
                <w:sz w:val="20"/>
                <w:szCs w:val="20"/>
              </w:rPr>
            </w:pPr>
            <w:r>
              <w:rPr>
                <w:rFonts w:eastAsia="宋体" w:cs="Times New Roman"/>
                <w:b/>
                <w:bCs/>
                <w:color w:val="000000"/>
                <w:kern w:val="0"/>
                <w:sz w:val="20"/>
                <w:szCs w:val="20"/>
              </w:rPr>
              <w:t>合计</w:t>
            </w:r>
          </w:p>
        </w:tc>
        <w:tc>
          <w:tcPr>
            <w:tcW w:w="222" w:type="pct"/>
            <w:shd w:val="clear" w:color="auto" w:fill="auto"/>
            <w:noWrap/>
            <w:vAlign w:val="center"/>
          </w:tcPr>
          <w:p>
            <w:pPr>
              <w:widowControl/>
              <w:spacing w:after="217" w:line="280" w:lineRule="exact"/>
              <w:ind w:firstLine="0" w:firstLineChars="0"/>
              <w:jc w:val="center"/>
              <w:rPr>
                <w:rFonts w:eastAsia="宋体" w:cs="Times New Roman"/>
                <w:b/>
                <w:bCs/>
                <w:color w:val="000000"/>
                <w:kern w:val="0"/>
                <w:sz w:val="20"/>
                <w:szCs w:val="20"/>
              </w:rPr>
            </w:pPr>
            <w:r>
              <w:rPr>
                <w:rFonts w:eastAsia="宋体" w:cs="Times New Roman"/>
                <w:b/>
                <w:bCs/>
                <w:color w:val="000000"/>
                <w:kern w:val="0"/>
                <w:sz w:val="20"/>
                <w:szCs w:val="20"/>
              </w:rPr>
              <w:t>93</w:t>
            </w:r>
          </w:p>
        </w:tc>
        <w:tc>
          <w:tcPr>
            <w:tcW w:w="352" w:type="pct"/>
            <w:gridSpan w:val="2"/>
            <w:shd w:val="clear" w:color="auto" w:fill="auto"/>
            <w:noWrap/>
            <w:vAlign w:val="center"/>
          </w:tcPr>
          <w:p>
            <w:pPr>
              <w:widowControl/>
              <w:spacing w:after="217" w:line="280" w:lineRule="exact"/>
              <w:ind w:firstLine="0" w:firstLineChars="0"/>
              <w:jc w:val="center"/>
              <w:rPr>
                <w:rFonts w:eastAsia="宋体" w:cs="Times New Roman"/>
                <w:b/>
                <w:bCs/>
                <w:color w:val="000000"/>
                <w:kern w:val="0"/>
                <w:sz w:val="20"/>
                <w:szCs w:val="20"/>
              </w:rPr>
            </w:pPr>
            <w:r>
              <w:rPr>
                <w:rFonts w:eastAsia="宋体" w:cs="Times New Roman"/>
                <w:b/>
                <w:bCs/>
                <w:color w:val="000000"/>
                <w:kern w:val="0"/>
                <w:sz w:val="20"/>
                <w:szCs w:val="20"/>
              </w:rPr>
              <w:t>93%</w:t>
            </w:r>
          </w:p>
        </w:tc>
        <w:tc>
          <w:tcPr>
            <w:tcW w:w="1225" w:type="pct"/>
            <w:gridSpan w:val="2"/>
            <w:shd w:val="clear" w:color="auto" w:fill="auto"/>
            <w:noWrap/>
            <w:vAlign w:val="center"/>
          </w:tcPr>
          <w:p>
            <w:pPr>
              <w:widowControl/>
              <w:spacing w:after="217" w:line="280" w:lineRule="exact"/>
              <w:ind w:firstLine="0" w:firstLineChars="0"/>
              <w:jc w:val="center"/>
              <w:rPr>
                <w:rFonts w:eastAsia="宋体" w:cs="Times New Roman"/>
                <w:b/>
                <w:bCs/>
                <w:color w:val="000000"/>
                <w:kern w:val="0"/>
                <w:sz w:val="20"/>
                <w:szCs w:val="20"/>
              </w:rPr>
            </w:pPr>
            <w:r>
              <w:rPr>
                <w:rFonts w:eastAsia="宋体" w:cs="Times New Roman"/>
                <w:b/>
                <w:bCs/>
                <w:color w:val="000000"/>
                <w:kern w:val="0"/>
                <w:sz w:val="20"/>
                <w:szCs w:val="20"/>
              </w:rPr>
              <w:t>——</w:t>
            </w:r>
          </w:p>
        </w:tc>
      </w:tr>
    </w:tbl>
    <w:p>
      <w:pPr>
        <w:spacing w:before="217" w:after="217"/>
        <w:ind w:firstLine="0" w:firstLineChars="0"/>
        <w:rPr>
          <w:rFonts w:eastAsia="宋体" w:cs="Times New Roman"/>
          <w:szCs w:val="36"/>
        </w:rPr>
      </w:pPr>
    </w:p>
    <w:sectPr>
      <w:pgSz w:w="16838" w:h="11906" w:orient="landscape"/>
      <w:pgMar w:top="1800" w:right="1440" w:bottom="1800" w:left="1440" w:header="851" w:footer="992" w:gutter="0"/>
      <w:cols w:space="425" w:num="1"/>
      <w:docGrid w:type="lines" w:linePitch="43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方正小标宋_GBK">
    <w:altName w:val="微软雅黑"/>
    <w:panose1 w:val="00000000000000000000"/>
    <w:charset w:val="86"/>
    <w:family w:val="script"/>
    <w:pitch w:val="default"/>
    <w:sig w:usb0="00000000" w:usb1="00000000" w:usb2="00000010" w:usb3="00000000" w:csb0="00040001" w:csb1="00000000"/>
  </w:font>
  <w:font w:name="小标宋">
    <w:altName w:val="宋体"/>
    <w:panose1 w:val="00000000000000000000"/>
    <w:charset w:val="86"/>
    <w:family w:val="roman"/>
    <w:pitch w:val="default"/>
    <w:sig w:usb0="00000000" w:usb1="00000000" w:usb2="00000000" w:usb3="00000000" w:csb0="00000000" w:csb1="00000000"/>
  </w:font>
  <w:font w:name="幼圆">
    <w:altName w:val="宋体"/>
    <w:panose1 w:val="02010509060101010101"/>
    <w:charset w:val="86"/>
    <w:family w:val="modern"/>
    <w:pitch w:val="default"/>
    <w:sig w:usb0="00000000" w:usb1="0000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Cambria Math">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after="12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after="12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after="120"/>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after="120"/>
      <w:ind w:firstLine="360"/>
      <w:jc w:val="center"/>
    </w:pPr>
  </w:p>
  <w:p>
    <w:pPr>
      <w:pStyle w:val="12"/>
      <w:spacing w:before="120" w:after="120"/>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88771073"/>
      <w:docPartObj>
        <w:docPartGallery w:val="AutoText"/>
      </w:docPartObj>
    </w:sdtPr>
    <w:sdtContent>
      <w:p>
        <w:pPr>
          <w:pStyle w:val="12"/>
          <w:spacing w:before="120" w:after="120"/>
          <w:ind w:firstLine="360"/>
          <w:jc w:val="center"/>
        </w:pPr>
        <w:r>
          <w:fldChar w:fldCharType="begin"/>
        </w:r>
        <w:r>
          <w:instrText xml:space="preserve">PAGE   \* MERGEFORMAT</w:instrText>
        </w:r>
        <w:r>
          <w:fldChar w:fldCharType="separate"/>
        </w:r>
        <w:r>
          <w:rPr>
            <w:lang w:val="zh-CN"/>
          </w:rPr>
          <w:t>26</w:t>
        </w:r>
        <w:r>
          <w:fldChar w:fldCharType="end"/>
        </w:r>
      </w:p>
    </w:sdtContent>
  </w:sdt>
  <w:p>
    <w:pPr>
      <w:pStyle w:val="12"/>
      <w:spacing w:before="120" w:after="12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6">
    <w:p>
      <w:pPr>
        <w:spacing w:line="240" w:lineRule="auto"/>
        <w:ind w:firstLine="640"/>
      </w:pPr>
      <w:r>
        <w:separator/>
      </w:r>
    </w:p>
  </w:footnote>
  <w:footnote w:type="continuationSeparator" w:id="7">
    <w:p>
      <w:pPr>
        <w:spacing w:line="240" w:lineRule="auto"/>
        <w:ind w:firstLine="640"/>
      </w:pPr>
      <w:r>
        <w:continuationSeparator/>
      </w:r>
    </w:p>
  </w:footnote>
  <w:footnote w:id="0">
    <w:p>
      <w:pPr>
        <w:pStyle w:val="16"/>
        <w:spacing w:before="156" w:after="156"/>
        <w:ind w:firstLine="360"/>
        <w:rPr>
          <w:rFonts w:ascii="黑体" w:hAnsi="黑体" w:eastAsia="黑体"/>
        </w:rPr>
      </w:pPr>
      <w:r>
        <w:rPr>
          <w:rStyle w:val="26"/>
          <w:rFonts w:ascii="黑体" w:hAnsi="黑体" w:eastAsia="黑体"/>
        </w:rPr>
        <w:footnoteRef/>
      </w:r>
      <w:r>
        <w:rPr>
          <w:rFonts w:ascii="黑体" w:hAnsi="黑体" w:eastAsia="黑体"/>
        </w:rPr>
        <w:t xml:space="preserve"> </w:t>
      </w:r>
      <w:r>
        <w:rPr>
          <w:rFonts w:hint="eastAsia" w:ascii="黑体" w:hAnsi="黑体" w:eastAsia="黑体"/>
        </w:rPr>
        <w:t>该标准自2</w:t>
      </w:r>
      <w:r>
        <w:rPr>
          <w:rFonts w:ascii="黑体" w:hAnsi="黑体" w:eastAsia="黑体"/>
        </w:rPr>
        <w:t>020</w:t>
      </w:r>
      <w:r>
        <w:rPr>
          <w:rFonts w:hint="eastAsia" w:ascii="黑体" w:hAnsi="黑体" w:eastAsia="黑体"/>
        </w:rPr>
        <w:t>年</w:t>
      </w:r>
      <w:r>
        <w:rPr>
          <w:rFonts w:ascii="黑体" w:hAnsi="黑体" w:eastAsia="黑体"/>
        </w:rPr>
        <w:t>7</w:t>
      </w:r>
      <w:r>
        <w:rPr>
          <w:rFonts w:hint="eastAsia" w:ascii="黑体" w:hAnsi="黑体" w:eastAsia="黑体"/>
        </w:rPr>
        <w:t>月1日起调整并实行。</w:t>
      </w:r>
    </w:p>
  </w:footnote>
  <w:footnote w:id="1">
    <w:p>
      <w:pPr>
        <w:pStyle w:val="16"/>
        <w:spacing w:before="156" w:after="156"/>
        <w:ind w:firstLine="360"/>
      </w:pPr>
      <w:r>
        <w:rPr>
          <w:rStyle w:val="26"/>
        </w:rPr>
        <w:footnoteRef/>
      </w:r>
      <w:r>
        <w:t xml:space="preserve"> </w:t>
      </w:r>
      <w:r>
        <w:rPr>
          <w:rFonts w:hint="eastAsia" w:ascii="黑体" w:hAnsi="黑体" w:eastAsia="黑体"/>
        </w:rPr>
        <w:t>评价结果分为优、良、中、低、差五个档次。其中：优（得分</w:t>
      </w:r>
      <m:oMath>
        <m:r>
          <m:rPr>
            <m:sty m:val="p"/>
          </m:rPr>
          <w:rPr>
            <w:rFonts w:ascii="Cambria Math" w:hAnsi="Cambria Math" w:eastAsia="黑体"/>
          </w:rPr>
          <m:t>≥</m:t>
        </m:r>
      </m:oMath>
      <w:r>
        <w:rPr>
          <w:rFonts w:hint="eastAsia" w:ascii="黑体" w:hAnsi="黑体" w:eastAsia="黑体"/>
        </w:rPr>
        <w:t>90），良（90</w:t>
      </w:r>
      <m:oMath>
        <m:r>
          <m:rPr>
            <m:sty m:val="p"/>
          </m:rPr>
          <w:rPr>
            <w:rFonts w:ascii="Cambria Math" w:hAnsi="Cambria Math" w:eastAsia="黑体"/>
          </w:rPr>
          <m:t>&gt;</m:t>
        </m:r>
      </m:oMath>
      <w:r>
        <w:rPr>
          <w:rFonts w:hint="eastAsia" w:ascii="黑体" w:hAnsi="黑体" w:eastAsia="黑体"/>
        </w:rPr>
        <w:t>得分</w:t>
      </w:r>
      <m:oMath>
        <m:r>
          <m:rPr>
            <m:sty m:val="p"/>
          </m:rPr>
          <w:rPr>
            <w:rFonts w:ascii="Cambria Math" w:hAnsi="Cambria Math" w:eastAsia="黑体"/>
          </w:rPr>
          <m:t>≥</m:t>
        </m:r>
      </m:oMath>
      <w:r>
        <w:rPr>
          <w:rFonts w:hint="eastAsia" w:ascii="黑体" w:hAnsi="黑体" w:eastAsia="黑体"/>
        </w:rPr>
        <w:t>80），中（80</w:t>
      </w:r>
      <m:oMath>
        <m:r>
          <m:rPr>
            <m:sty m:val="p"/>
          </m:rPr>
          <w:rPr>
            <w:rFonts w:ascii="Cambria Math" w:hAnsi="Cambria Math" w:eastAsia="黑体"/>
          </w:rPr>
          <m:t>&gt;</m:t>
        </m:r>
      </m:oMath>
      <w:r>
        <w:rPr>
          <w:rFonts w:hint="eastAsia" w:ascii="黑体" w:hAnsi="黑体" w:eastAsia="黑体"/>
        </w:rPr>
        <w:t>得分</w:t>
      </w:r>
      <m:oMath>
        <m:r>
          <m:rPr>
            <m:sty m:val="p"/>
          </m:rPr>
          <w:rPr>
            <w:rFonts w:ascii="Cambria Math" w:hAnsi="Cambria Math" w:eastAsia="黑体"/>
          </w:rPr>
          <m:t>≥</m:t>
        </m:r>
      </m:oMath>
      <w:r>
        <w:rPr>
          <w:rFonts w:hint="eastAsia" w:ascii="黑体" w:hAnsi="黑体" w:eastAsia="黑体"/>
        </w:rPr>
        <w:t>70），低（70</w:t>
      </w:r>
      <m:oMath>
        <m:r>
          <m:rPr>
            <m:sty m:val="p"/>
          </m:rPr>
          <w:rPr>
            <w:rFonts w:ascii="Cambria Math" w:hAnsi="Cambria Math" w:eastAsia="黑体"/>
          </w:rPr>
          <m:t>&gt;</m:t>
        </m:r>
      </m:oMath>
      <w:r>
        <w:rPr>
          <w:rFonts w:hint="eastAsia" w:ascii="黑体" w:hAnsi="黑体" w:eastAsia="黑体"/>
        </w:rPr>
        <w:t>得分</w:t>
      </w:r>
      <m:oMath>
        <m:r>
          <m:rPr>
            <m:sty m:val="p"/>
          </m:rPr>
          <w:rPr>
            <w:rFonts w:ascii="Cambria Math" w:hAnsi="Cambria Math" w:eastAsia="黑体"/>
          </w:rPr>
          <m:t>≥</m:t>
        </m:r>
      </m:oMath>
      <w:r>
        <w:rPr>
          <w:rFonts w:hint="eastAsia" w:ascii="黑体" w:hAnsi="黑体" w:eastAsia="黑体"/>
        </w:rPr>
        <w:t>50），差（得分</w:t>
      </w:r>
      <m:oMath>
        <m:r>
          <m:rPr>
            <m:sty m:val="p"/>
          </m:rPr>
          <w:rPr>
            <w:rFonts w:ascii="Cambria Math" w:hAnsi="Cambria Math" w:eastAsia="黑体"/>
          </w:rPr>
          <m:t>&lt;</m:t>
        </m:r>
      </m:oMath>
      <w:r>
        <w:rPr>
          <w:rFonts w:hint="eastAsia" w:ascii="黑体" w:hAnsi="黑体" w:eastAsia="黑体"/>
        </w:rPr>
        <w:t>50）。</w:t>
      </w:r>
    </w:p>
  </w:footnote>
  <w:footnote w:id="2">
    <w:p>
      <w:pPr>
        <w:pStyle w:val="16"/>
        <w:spacing w:before="217" w:after="217" w:line="276" w:lineRule="auto"/>
        <w:ind w:firstLine="360"/>
        <w:rPr>
          <w:rFonts w:ascii="黑体" w:hAnsi="黑体" w:eastAsia="黑体"/>
        </w:rPr>
      </w:pPr>
      <w:r>
        <w:rPr>
          <w:rStyle w:val="26"/>
          <w:rFonts w:ascii="黑体" w:hAnsi="黑体" w:eastAsia="黑体"/>
        </w:rPr>
        <w:footnoteRef/>
      </w:r>
      <w:r>
        <w:rPr>
          <w:rFonts w:ascii="黑体" w:hAnsi="黑体" w:eastAsia="黑体"/>
        </w:rPr>
        <w:t xml:space="preserve"> </w:t>
      </w:r>
      <w:r>
        <w:rPr>
          <w:rFonts w:hint="eastAsia" w:ascii="黑体" w:hAnsi="黑体" w:eastAsia="黑体"/>
        </w:rPr>
        <w:t>得分详情及评价情况见 附件</w:t>
      </w:r>
      <w:r>
        <w:rPr>
          <w:rFonts w:ascii="黑体" w:hAnsi="黑体" w:eastAsia="黑体"/>
        </w:rPr>
        <w:t xml:space="preserve"> </w:t>
      </w:r>
      <w:r>
        <w:rPr>
          <w:rFonts w:hint="eastAsia" w:ascii="黑体" w:hAnsi="黑体" w:eastAsia="黑体"/>
        </w:rPr>
        <w:t>城乡居民养老保险财政补助项目绩效评价指标得分详情。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spacing w:before="120" w:after="120"/>
      <w:ind w:firstLine="0" w:firstLineChars="0"/>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before="120" w:after="12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before="120" w:after="12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HorizontalSpacing w:val="160"/>
  <w:drawingGridVerticalSpacing w:val="435"/>
  <w:displayHorizontalDrawingGridEvery w:val="0"/>
  <w:characterSpacingControl w:val="compressPunctuation"/>
  <w:footnotePr>
    <w:footnote w:id="6"/>
    <w:footnote w:id="7"/>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1EE6"/>
    <w:rsid w:val="0001041D"/>
    <w:rsid w:val="00033F36"/>
    <w:rsid w:val="0006250A"/>
    <w:rsid w:val="000641E7"/>
    <w:rsid w:val="00085930"/>
    <w:rsid w:val="00086A12"/>
    <w:rsid w:val="000A305B"/>
    <w:rsid w:val="000A6410"/>
    <w:rsid w:val="0010571D"/>
    <w:rsid w:val="00130C16"/>
    <w:rsid w:val="00134DB8"/>
    <w:rsid w:val="001461EF"/>
    <w:rsid w:val="001469A7"/>
    <w:rsid w:val="00156198"/>
    <w:rsid w:val="00177350"/>
    <w:rsid w:val="00196CF4"/>
    <w:rsid w:val="001B39A0"/>
    <w:rsid w:val="001C3C92"/>
    <w:rsid w:val="001E46F5"/>
    <w:rsid w:val="001E74B2"/>
    <w:rsid w:val="00225C4C"/>
    <w:rsid w:val="00227A4D"/>
    <w:rsid w:val="00227B1C"/>
    <w:rsid w:val="00246A46"/>
    <w:rsid w:val="00260401"/>
    <w:rsid w:val="00264EB9"/>
    <w:rsid w:val="00270AFD"/>
    <w:rsid w:val="002768FE"/>
    <w:rsid w:val="00284419"/>
    <w:rsid w:val="002A1534"/>
    <w:rsid w:val="002A2D81"/>
    <w:rsid w:val="002B329F"/>
    <w:rsid w:val="002C6C3C"/>
    <w:rsid w:val="002D6E03"/>
    <w:rsid w:val="002E0C9A"/>
    <w:rsid w:val="002E22AC"/>
    <w:rsid w:val="002E6944"/>
    <w:rsid w:val="00306CDE"/>
    <w:rsid w:val="0031237A"/>
    <w:rsid w:val="003123B4"/>
    <w:rsid w:val="00317F94"/>
    <w:rsid w:val="00350E1E"/>
    <w:rsid w:val="00360508"/>
    <w:rsid w:val="003718BC"/>
    <w:rsid w:val="0038352A"/>
    <w:rsid w:val="003B0BAF"/>
    <w:rsid w:val="003C228E"/>
    <w:rsid w:val="003C32FF"/>
    <w:rsid w:val="003C3F9C"/>
    <w:rsid w:val="003C5B7F"/>
    <w:rsid w:val="003E5B93"/>
    <w:rsid w:val="003F35D5"/>
    <w:rsid w:val="00404F35"/>
    <w:rsid w:val="0041348B"/>
    <w:rsid w:val="0042480A"/>
    <w:rsid w:val="00426675"/>
    <w:rsid w:val="00433DAD"/>
    <w:rsid w:val="00440E57"/>
    <w:rsid w:val="0044619B"/>
    <w:rsid w:val="0044625A"/>
    <w:rsid w:val="00450CCA"/>
    <w:rsid w:val="00451EE6"/>
    <w:rsid w:val="00474CF1"/>
    <w:rsid w:val="00477DD1"/>
    <w:rsid w:val="00484D67"/>
    <w:rsid w:val="00486C8D"/>
    <w:rsid w:val="00496A7B"/>
    <w:rsid w:val="004A293F"/>
    <w:rsid w:val="004A7E8E"/>
    <w:rsid w:val="004C41A0"/>
    <w:rsid w:val="004C484E"/>
    <w:rsid w:val="004D48C4"/>
    <w:rsid w:val="004E3DF0"/>
    <w:rsid w:val="004F7638"/>
    <w:rsid w:val="00530D9E"/>
    <w:rsid w:val="005322CA"/>
    <w:rsid w:val="00535849"/>
    <w:rsid w:val="00537030"/>
    <w:rsid w:val="00537663"/>
    <w:rsid w:val="00577061"/>
    <w:rsid w:val="00584A04"/>
    <w:rsid w:val="005A6C1A"/>
    <w:rsid w:val="005B0903"/>
    <w:rsid w:val="005C7F0C"/>
    <w:rsid w:val="005E5274"/>
    <w:rsid w:val="006127E6"/>
    <w:rsid w:val="00613524"/>
    <w:rsid w:val="006210B6"/>
    <w:rsid w:val="00664491"/>
    <w:rsid w:val="00685D3D"/>
    <w:rsid w:val="006A6AB5"/>
    <w:rsid w:val="006A7234"/>
    <w:rsid w:val="00716C70"/>
    <w:rsid w:val="00726293"/>
    <w:rsid w:val="00727A40"/>
    <w:rsid w:val="0074033E"/>
    <w:rsid w:val="0074146B"/>
    <w:rsid w:val="00757CD3"/>
    <w:rsid w:val="007823B5"/>
    <w:rsid w:val="0079469A"/>
    <w:rsid w:val="007B0BDC"/>
    <w:rsid w:val="007C0228"/>
    <w:rsid w:val="007C1C44"/>
    <w:rsid w:val="007F08EF"/>
    <w:rsid w:val="007F2882"/>
    <w:rsid w:val="00820EA0"/>
    <w:rsid w:val="00825BFA"/>
    <w:rsid w:val="00872CED"/>
    <w:rsid w:val="00882E0C"/>
    <w:rsid w:val="00892A7E"/>
    <w:rsid w:val="008944E3"/>
    <w:rsid w:val="008A1ADD"/>
    <w:rsid w:val="008A510B"/>
    <w:rsid w:val="008C1550"/>
    <w:rsid w:val="008C22D4"/>
    <w:rsid w:val="008D6C66"/>
    <w:rsid w:val="008F13B5"/>
    <w:rsid w:val="008F298A"/>
    <w:rsid w:val="00907F5B"/>
    <w:rsid w:val="00922AA5"/>
    <w:rsid w:val="0092422E"/>
    <w:rsid w:val="00941F5F"/>
    <w:rsid w:val="00946C0F"/>
    <w:rsid w:val="009502B9"/>
    <w:rsid w:val="009532D5"/>
    <w:rsid w:val="00961ACB"/>
    <w:rsid w:val="009626A8"/>
    <w:rsid w:val="0097471A"/>
    <w:rsid w:val="0099260A"/>
    <w:rsid w:val="0099366E"/>
    <w:rsid w:val="009967FB"/>
    <w:rsid w:val="009B10C6"/>
    <w:rsid w:val="009B3562"/>
    <w:rsid w:val="009D4F63"/>
    <w:rsid w:val="00A041B1"/>
    <w:rsid w:val="00A0751C"/>
    <w:rsid w:val="00A74D6A"/>
    <w:rsid w:val="00A75D8E"/>
    <w:rsid w:val="00A86176"/>
    <w:rsid w:val="00AA0E97"/>
    <w:rsid w:val="00AE198E"/>
    <w:rsid w:val="00AF788C"/>
    <w:rsid w:val="00B2375D"/>
    <w:rsid w:val="00B45F91"/>
    <w:rsid w:val="00B602E0"/>
    <w:rsid w:val="00B6116C"/>
    <w:rsid w:val="00B67737"/>
    <w:rsid w:val="00B70A5A"/>
    <w:rsid w:val="00B71B04"/>
    <w:rsid w:val="00B730D8"/>
    <w:rsid w:val="00B802DD"/>
    <w:rsid w:val="00B8588B"/>
    <w:rsid w:val="00B973DC"/>
    <w:rsid w:val="00BA58F2"/>
    <w:rsid w:val="00BA7809"/>
    <w:rsid w:val="00BC3F49"/>
    <w:rsid w:val="00BC6D0A"/>
    <w:rsid w:val="00BD752B"/>
    <w:rsid w:val="00BE1393"/>
    <w:rsid w:val="00BE2376"/>
    <w:rsid w:val="00C1178F"/>
    <w:rsid w:val="00C247D5"/>
    <w:rsid w:val="00C30A9C"/>
    <w:rsid w:val="00C3529E"/>
    <w:rsid w:val="00C46DED"/>
    <w:rsid w:val="00C47841"/>
    <w:rsid w:val="00C56DB7"/>
    <w:rsid w:val="00C57725"/>
    <w:rsid w:val="00C63E3E"/>
    <w:rsid w:val="00CA0C42"/>
    <w:rsid w:val="00CA7117"/>
    <w:rsid w:val="00CD048C"/>
    <w:rsid w:val="00CE703C"/>
    <w:rsid w:val="00D269DC"/>
    <w:rsid w:val="00D26F10"/>
    <w:rsid w:val="00D501F7"/>
    <w:rsid w:val="00DA61D7"/>
    <w:rsid w:val="00DB2601"/>
    <w:rsid w:val="00DB290E"/>
    <w:rsid w:val="00DB46FA"/>
    <w:rsid w:val="00DC7CA5"/>
    <w:rsid w:val="00DD0792"/>
    <w:rsid w:val="00DF56D6"/>
    <w:rsid w:val="00DF64AE"/>
    <w:rsid w:val="00E0269A"/>
    <w:rsid w:val="00E1581E"/>
    <w:rsid w:val="00E32D31"/>
    <w:rsid w:val="00E66F5B"/>
    <w:rsid w:val="00E7247A"/>
    <w:rsid w:val="00E9670F"/>
    <w:rsid w:val="00EB706D"/>
    <w:rsid w:val="00ED14AC"/>
    <w:rsid w:val="00EE3077"/>
    <w:rsid w:val="00EE697E"/>
    <w:rsid w:val="00F176A8"/>
    <w:rsid w:val="00F46C85"/>
    <w:rsid w:val="00F51F7D"/>
    <w:rsid w:val="00F579BF"/>
    <w:rsid w:val="00F858B4"/>
    <w:rsid w:val="00FA3A46"/>
    <w:rsid w:val="00FA79B1"/>
    <w:rsid w:val="00FB23F0"/>
    <w:rsid w:val="00FB73AC"/>
    <w:rsid w:val="00FF03E3"/>
    <w:rsid w:val="00FF198E"/>
    <w:rsid w:val="07616C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qFormat="1" w:uiPriority="39" w:semiHidden="0" w:name="toc 4"/>
    <w:lsdException w:uiPriority="39" w:semiHidden="0" w:name="toc 5"/>
    <w:lsdException w:uiPriority="39" w:semiHidden="0" w:name="toc 6"/>
    <w:lsdException w:uiPriority="39" w:semiHidden="0" w:name="toc 7"/>
    <w:lsdException w:uiPriority="39" w:semiHidden="0" w:name="toc 8"/>
    <w:lsdException w:uiPriority="39" w:semiHidden="0" w:name="toc 9"/>
    <w:lsdException w:uiPriority="99" w:name="Normal Indent"/>
    <w:lsdException w:qFormat="1" w:uiPriority="0"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0" w:semiHidden="0" w:name="footnote reference"/>
    <w:lsdException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link w:val="28"/>
    <w:qFormat/>
    <w:uiPriority w:val="9"/>
    <w:pPr>
      <w:keepNext/>
      <w:keepLines/>
      <w:outlineLvl w:val="0"/>
    </w:pPr>
    <w:rPr>
      <w:rFonts w:eastAsia="黑体"/>
      <w:b/>
      <w:bCs/>
      <w:kern w:val="44"/>
      <w:sz w:val="36"/>
      <w:szCs w:val="44"/>
    </w:rPr>
  </w:style>
  <w:style w:type="paragraph" w:styleId="3">
    <w:name w:val="heading 2"/>
    <w:basedOn w:val="1"/>
    <w:next w:val="1"/>
    <w:link w:val="27"/>
    <w:unhideWhenUsed/>
    <w:qFormat/>
    <w:uiPriority w:val="9"/>
    <w:pPr>
      <w:keepNext/>
      <w:keepLines/>
      <w:spacing w:line="600" w:lineRule="exact"/>
      <w:outlineLvl w:val="1"/>
    </w:pPr>
    <w:rPr>
      <w:rFonts w:eastAsia="楷体_GB2312" w:cstheme="majorBidi"/>
      <w:b/>
      <w:bCs/>
      <w:szCs w:val="32"/>
    </w:rPr>
  </w:style>
  <w:style w:type="paragraph" w:styleId="4">
    <w:name w:val="heading 3"/>
    <w:basedOn w:val="1"/>
    <w:next w:val="1"/>
    <w:link w:val="29"/>
    <w:unhideWhenUsed/>
    <w:qFormat/>
    <w:uiPriority w:val="9"/>
    <w:pPr>
      <w:keepNext/>
      <w:keepLines/>
      <w:outlineLvl w:val="2"/>
    </w:pPr>
    <w:rPr>
      <w:b/>
      <w:bCs/>
      <w:szCs w:val="32"/>
    </w:rPr>
  </w:style>
  <w:style w:type="paragraph" w:styleId="5">
    <w:name w:val="heading 4"/>
    <w:basedOn w:val="1"/>
    <w:next w:val="1"/>
    <w:link w:val="37"/>
    <w:unhideWhenUsed/>
    <w:qFormat/>
    <w:uiPriority w:val="9"/>
    <w:pPr>
      <w:keepNext/>
      <w:keepLines/>
      <w:spacing w:before="280" w:after="290" w:line="376" w:lineRule="atLeast"/>
      <w:outlineLvl w:val="3"/>
    </w:pPr>
    <w:rPr>
      <w:rFonts w:asciiTheme="majorHAnsi" w:hAnsiTheme="majorHAnsi" w:eastAsiaTheme="majorEastAsia" w:cstheme="majorBidi"/>
      <w:b/>
      <w:bCs/>
      <w:szCs w:val="28"/>
    </w:rPr>
  </w:style>
  <w:style w:type="character" w:default="1" w:styleId="23">
    <w:name w:val="Default Paragraph Font"/>
    <w:semiHidden/>
    <w:unhideWhenUsed/>
    <w:uiPriority w:val="1"/>
  </w:style>
  <w:style w:type="table" w:default="1" w:styleId="21">
    <w:name w:val="Normal Table"/>
    <w:semiHidden/>
    <w:unhideWhenUsed/>
    <w:uiPriority w:val="99"/>
    <w:tblPr>
      <w:tblCellMar>
        <w:top w:w="0" w:type="dxa"/>
        <w:left w:w="108" w:type="dxa"/>
        <w:bottom w:w="0" w:type="dxa"/>
        <w:right w:w="108" w:type="dxa"/>
      </w:tblCellMar>
    </w:tblPr>
  </w:style>
  <w:style w:type="paragraph" w:styleId="6">
    <w:name w:val="toc 7"/>
    <w:basedOn w:val="1"/>
    <w:next w:val="1"/>
    <w:unhideWhenUsed/>
    <w:uiPriority w:val="39"/>
    <w:pPr>
      <w:ind w:left="1680"/>
      <w:jc w:val="left"/>
    </w:pPr>
    <w:rPr>
      <w:rFonts w:asciiTheme="minorHAnsi" w:eastAsiaTheme="minorHAnsi"/>
      <w:sz w:val="18"/>
      <w:szCs w:val="18"/>
    </w:rPr>
  </w:style>
  <w:style w:type="paragraph" w:styleId="7">
    <w:name w:val="annotation text"/>
    <w:basedOn w:val="1"/>
    <w:link w:val="36"/>
    <w:semiHidden/>
    <w:unhideWhenUsed/>
    <w:uiPriority w:val="99"/>
    <w:pPr>
      <w:jc w:val="left"/>
    </w:pPr>
  </w:style>
  <w:style w:type="paragraph" w:styleId="8">
    <w:name w:val="toc 5"/>
    <w:basedOn w:val="1"/>
    <w:next w:val="1"/>
    <w:unhideWhenUsed/>
    <w:uiPriority w:val="39"/>
    <w:pPr>
      <w:ind w:left="1120"/>
      <w:jc w:val="left"/>
    </w:pPr>
    <w:rPr>
      <w:rFonts w:asciiTheme="minorHAnsi" w:eastAsiaTheme="minorHAnsi"/>
      <w:sz w:val="18"/>
      <w:szCs w:val="18"/>
    </w:rPr>
  </w:style>
  <w:style w:type="paragraph" w:styleId="9">
    <w:name w:val="toc 3"/>
    <w:basedOn w:val="1"/>
    <w:next w:val="1"/>
    <w:unhideWhenUsed/>
    <w:uiPriority w:val="39"/>
    <w:pPr>
      <w:ind w:left="560"/>
      <w:jc w:val="left"/>
    </w:pPr>
    <w:rPr>
      <w:rFonts w:asciiTheme="minorHAnsi" w:eastAsiaTheme="minorHAnsi"/>
      <w:i/>
      <w:iCs/>
      <w:sz w:val="20"/>
      <w:szCs w:val="20"/>
    </w:rPr>
  </w:style>
  <w:style w:type="paragraph" w:styleId="10">
    <w:name w:val="toc 8"/>
    <w:basedOn w:val="1"/>
    <w:next w:val="1"/>
    <w:unhideWhenUsed/>
    <w:uiPriority w:val="39"/>
    <w:pPr>
      <w:ind w:left="1960"/>
      <w:jc w:val="left"/>
    </w:pPr>
    <w:rPr>
      <w:rFonts w:asciiTheme="minorHAnsi" w:eastAsiaTheme="minorHAnsi"/>
      <w:sz w:val="18"/>
      <w:szCs w:val="18"/>
    </w:rPr>
  </w:style>
  <w:style w:type="paragraph" w:styleId="11">
    <w:name w:val="Balloon Text"/>
    <w:basedOn w:val="1"/>
    <w:link w:val="32"/>
    <w:semiHidden/>
    <w:unhideWhenUsed/>
    <w:uiPriority w:val="99"/>
    <w:pPr>
      <w:spacing w:line="240" w:lineRule="auto"/>
    </w:pPr>
    <w:rPr>
      <w:sz w:val="18"/>
      <w:szCs w:val="18"/>
    </w:rPr>
  </w:style>
  <w:style w:type="paragraph" w:styleId="12">
    <w:name w:val="footer"/>
    <w:basedOn w:val="1"/>
    <w:link w:val="31"/>
    <w:unhideWhenUsed/>
    <w:qFormat/>
    <w:uiPriority w:val="99"/>
    <w:pPr>
      <w:tabs>
        <w:tab w:val="center" w:pos="4153"/>
        <w:tab w:val="right" w:pos="8306"/>
      </w:tabs>
      <w:snapToGrid w:val="0"/>
      <w:jc w:val="left"/>
    </w:pPr>
    <w:rPr>
      <w:sz w:val="18"/>
      <w:szCs w:val="18"/>
    </w:rPr>
  </w:style>
  <w:style w:type="paragraph" w:styleId="13">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unhideWhenUsed/>
    <w:uiPriority w:val="39"/>
    <w:pPr>
      <w:tabs>
        <w:tab w:val="right" w:leader="dot" w:pos="8296"/>
      </w:tabs>
      <w:spacing w:before="156" w:after="156"/>
      <w:ind w:firstLine="0" w:firstLineChars="0"/>
      <w:jc w:val="center"/>
    </w:pPr>
    <w:rPr>
      <w:rFonts w:ascii="黑体" w:hAnsi="黑体" w:eastAsia="黑体" w:cs="Times New Roman"/>
      <w:b/>
      <w:bCs/>
      <w:caps/>
      <w:szCs w:val="32"/>
    </w:rPr>
  </w:style>
  <w:style w:type="paragraph" w:styleId="15">
    <w:name w:val="toc 4"/>
    <w:basedOn w:val="1"/>
    <w:next w:val="1"/>
    <w:unhideWhenUsed/>
    <w:qFormat/>
    <w:uiPriority w:val="39"/>
    <w:pPr>
      <w:ind w:left="840"/>
      <w:jc w:val="left"/>
    </w:pPr>
    <w:rPr>
      <w:rFonts w:asciiTheme="minorHAnsi" w:eastAsiaTheme="minorHAnsi"/>
      <w:sz w:val="18"/>
      <w:szCs w:val="18"/>
    </w:rPr>
  </w:style>
  <w:style w:type="paragraph" w:styleId="16">
    <w:name w:val="footnote text"/>
    <w:basedOn w:val="1"/>
    <w:link w:val="33"/>
    <w:unhideWhenUsed/>
    <w:qFormat/>
    <w:uiPriority w:val="0"/>
    <w:pPr>
      <w:snapToGrid w:val="0"/>
      <w:jc w:val="left"/>
    </w:pPr>
    <w:rPr>
      <w:sz w:val="18"/>
      <w:szCs w:val="18"/>
    </w:rPr>
  </w:style>
  <w:style w:type="paragraph" w:styleId="17">
    <w:name w:val="toc 6"/>
    <w:basedOn w:val="1"/>
    <w:next w:val="1"/>
    <w:unhideWhenUsed/>
    <w:uiPriority w:val="39"/>
    <w:pPr>
      <w:ind w:left="1400"/>
      <w:jc w:val="left"/>
    </w:pPr>
    <w:rPr>
      <w:rFonts w:asciiTheme="minorHAnsi" w:eastAsiaTheme="minorHAnsi"/>
      <w:sz w:val="18"/>
      <w:szCs w:val="18"/>
    </w:rPr>
  </w:style>
  <w:style w:type="paragraph" w:styleId="18">
    <w:name w:val="toc 2"/>
    <w:basedOn w:val="1"/>
    <w:next w:val="1"/>
    <w:unhideWhenUsed/>
    <w:uiPriority w:val="39"/>
    <w:pPr>
      <w:ind w:left="280"/>
      <w:jc w:val="left"/>
    </w:pPr>
    <w:rPr>
      <w:rFonts w:asciiTheme="minorHAnsi" w:eastAsiaTheme="minorHAnsi"/>
      <w:smallCaps/>
      <w:sz w:val="20"/>
      <w:szCs w:val="20"/>
    </w:rPr>
  </w:style>
  <w:style w:type="paragraph" w:styleId="19">
    <w:name w:val="toc 9"/>
    <w:basedOn w:val="1"/>
    <w:next w:val="1"/>
    <w:unhideWhenUsed/>
    <w:uiPriority w:val="39"/>
    <w:pPr>
      <w:ind w:left="2240"/>
      <w:jc w:val="left"/>
    </w:pPr>
    <w:rPr>
      <w:rFonts w:asciiTheme="minorHAnsi" w:eastAsiaTheme="minorHAnsi"/>
      <w:sz w:val="18"/>
      <w:szCs w:val="18"/>
    </w:rPr>
  </w:style>
  <w:style w:type="paragraph" w:styleId="20">
    <w:name w:val="annotation subject"/>
    <w:basedOn w:val="7"/>
    <w:next w:val="7"/>
    <w:link w:val="38"/>
    <w:semiHidden/>
    <w:unhideWhenUsed/>
    <w:uiPriority w:val="99"/>
    <w:rPr>
      <w:b/>
      <w:bCs/>
    </w:rPr>
  </w:style>
  <w:style w:type="table" w:styleId="22">
    <w:name w:val="Table Grid"/>
    <w:basedOn w:val="2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Hyperlink"/>
    <w:basedOn w:val="23"/>
    <w:unhideWhenUsed/>
    <w:uiPriority w:val="99"/>
    <w:rPr>
      <w:color w:val="0563C1" w:themeColor="hyperlink"/>
      <w:u w:val="single"/>
      <w14:textFill>
        <w14:solidFill>
          <w14:schemeClr w14:val="hlink"/>
        </w14:solidFill>
      </w14:textFill>
    </w:rPr>
  </w:style>
  <w:style w:type="character" w:styleId="25">
    <w:name w:val="annotation reference"/>
    <w:basedOn w:val="23"/>
    <w:uiPriority w:val="0"/>
    <w:rPr>
      <w:sz w:val="21"/>
      <w:szCs w:val="21"/>
    </w:rPr>
  </w:style>
  <w:style w:type="character" w:styleId="26">
    <w:name w:val="footnote reference"/>
    <w:basedOn w:val="23"/>
    <w:unhideWhenUsed/>
    <w:uiPriority w:val="0"/>
    <w:rPr>
      <w:vertAlign w:val="superscript"/>
    </w:rPr>
  </w:style>
  <w:style w:type="character" w:customStyle="1" w:styleId="27">
    <w:name w:val="标题 2 字符"/>
    <w:basedOn w:val="23"/>
    <w:link w:val="3"/>
    <w:uiPriority w:val="9"/>
    <w:rPr>
      <w:rFonts w:ascii="Times New Roman" w:hAnsi="Times New Roman" w:eastAsia="楷体_GB2312" w:cstheme="majorBidi"/>
      <w:b/>
      <w:bCs/>
      <w:sz w:val="28"/>
      <w:szCs w:val="32"/>
    </w:rPr>
  </w:style>
  <w:style w:type="character" w:customStyle="1" w:styleId="28">
    <w:name w:val="标题 1 字符"/>
    <w:basedOn w:val="23"/>
    <w:link w:val="2"/>
    <w:uiPriority w:val="9"/>
    <w:rPr>
      <w:rFonts w:ascii="Times New Roman" w:hAnsi="Times New Roman" w:eastAsia="黑体"/>
      <w:b/>
      <w:bCs/>
      <w:kern w:val="44"/>
      <w:sz w:val="36"/>
      <w:szCs w:val="44"/>
    </w:rPr>
  </w:style>
  <w:style w:type="character" w:customStyle="1" w:styleId="29">
    <w:name w:val="标题 3 字符"/>
    <w:basedOn w:val="23"/>
    <w:link w:val="4"/>
    <w:qFormat/>
    <w:uiPriority w:val="9"/>
    <w:rPr>
      <w:rFonts w:ascii="Times New Roman" w:hAnsi="Times New Roman" w:eastAsia="仿宋_GB2312"/>
      <w:b/>
      <w:bCs/>
      <w:sz w:val="28"/>
      <w:szCs w:val="32"/>
    </w:rPr>
  </w:style>
  <w:style w:type="character" w:customStyle="1" w:styleId="30">
    <w:name w:val="页眉 字符"/>
    <w:basedOn w:val="23"/>
    <w:link w:val="13"/>
    <w:uiPriority w:val="99"/>
    <w:rPr>
      <w:sz w:val="18"/>
      <w:szCs w:val="18"/>
    </w:rPr>
  </w:style>
  <w:style w:type="character" w:customStyle="1" w:styleId="31">
    <w:name w:val="页脚 字符"/>
    <w:basedOn w:val="23"/>
    <w:link w:val="12"/>
    <w:uiPriority w:val="99"/>
    <w:rPr>
      <w:sz w:val="18"/>
      <w:szCs w:val="18"/>
    </w:rPr>
  </w:style>
  <w:style w:type="character" w:customStyle="1" w:styleId="32">
    <w:name w:val="批注框文本 字符"/>
    <w:basedOn w:val="23"/>
    <w:link w:val="11"/>
    <w:semiHidden/>
    <w:qFormat/>
    <w:uiPriority w:val="99"/>
    <w:rPr>
      <w:rFonts w:ascii="Times New Roman" w:hAnsi="Times New Roman" w:eastAsia="仿宋_GB2312"/>
      <w:sz w:val="18"/>
      <w:szCs w:val="18"/>
    </w:rPr>
  </w:style>
  <w:style w:type="character" w:customStyle="1" w:styleId="33">
    <w:name w:val="脚注文本 字符"/>
    <w:basedOn w:val="23"/>
    <w:link w:val="16"/>
    <w:qFormat/>
    <w:uiPriority w:val="0"/>
    <w:rPr>
      <w:rFonts w:ascii="Times New Roman" w:hAnsi="Times New Roman" w:eastAsia="仿宋_GB2312"/>
      <w:sz w:val="18"/>
      <w:szCs w:val="18"/>
    </w:rPr>
  </w:style>
  <w:style w:type="paragraph" w:customStyle="1" w:styleId="34">
    <w:name w:val="批注文字1"/>
    <w:basedOn w:val="1"/>
    <w:next w:val="7"/>
    <w:link w:val="35"/>
    <w:qFormat/>
    <w:uiPriority w:val="0"/>
    <w:pPr>
      <w:spacing w:line="240" w:lineRule="auto"/>
      <w:ind w:firstLine="0" w:firstLineChars="0"/>
      <w:jc w:val="left"/>
    </w:pPr>
    <w:rPr>
      <w:rFonts w:ascii="Calibri" w:hAnsi="Calibri" w:eastAsia="宋体" w:cs="Times New Roman"/>
      <w:sz w:val="21"/>
      <w:szCs w:val="24"/>
    </w:rPr>
  </w:style>
  <w:style w:type="character" w:customStyle="1" w:styleId="35">
    <w:name w:val="批注文字 字符"/>
    <w:basedOn w:val="23"/>
    <w:link w:val="34"/>
    <w:qFormat/>
    <w:uiPriority w:val="0"/>
    <w:rPr>
      <w:rFonts w:ascii="Calibri" w:hAnsi="Calibri" w:eastAsia="宋体" w:cs="Times New Roman"/>
      <w:kern w:val="2"/>
      <w:sz w:val="21"/>
      <w:szCs w:val="24"/>
    </w:rPr>
  </w:style>
  <w:style w:type="character" w:customStyle="1" w:styleId="36">
    <w:name w:val="批注文字 字符1"/>
    <w:basedOn w:val="23"/>
    <w:link w:val="7"/>
    <w:semiHidden/>
    <w:uiPriority w:val="99"/>
    <w:rPr>
      <w:rFonts w:ascii="Times New Roman" w:hAnsi="Times New Roman" w:eastAsia="仿宋_GB2312"/>
      <w:sz w:val="28"/>
    </w:rPr>
  </w:style>
  <w:style w:type="character" w:customStyle="1" w:styleId="37">
    <w:name w:val="标题 4 字符"/>
    <w:basedOn w:val="23"/>
    <w:link w:val="5"/>
    <w:uiPriority w:val="9"/>
    <w:rPr>
      <w:rFonts w:asciiTheme="majorHAnsi" w:hAnsiTheme="majorHAnsi" w:eastAsiaTheme="majorEastAsia" w:cstheme="majorBidi"/>
      <w:b/>
      <w:bCs/>
      <w:sz w:val="28"/>
      <w:szCs w:val="28"/>
    </w:rPr>
  </w:style>
  <w:style w:type="character" w:customStyle="1" w:styleId="38">
    <w:name w:val="批注主题 字符"/>
    <w:basedOn w:val="36"/>
    <w:link w:val="20"/>
    <w:semiHidden/>
    <w:uiPriority w:val="99"/>
    <w:rPr>
      <w:rFonts w:ascii="Times New Roman" w:hAnsi="Times New Roman" w:eastAsia="仿宋_GB2312"/>
      <w:b/>
      <w:bCs/>
      <w:sz w:val="28"/>
    </w:rPr>
  </w:style>
  <w:style w:type="character" w:customStyle="1" w:styleId="39">
    <w:name w:val="bjh-p"/>
    <w:basedOn w:val="23"/>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customXml" Target="../customXml/item1.xml"/><Relationship Id="rId15" Type="http://schemas.openxmlformats.org/officeDocument/2006/relationships/chart" Target="charts/chart1.xml"/><Relationship Id="rId14" Type="http://schemas.openxmlformats.org/officeDocument/2006/relationships/image" Target="media/image1.png"/><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2" Type="http://schemas.openxmlformats.org/officeDocument/2006/relationships/themeOverride" Target="../theme/themeOverride1.xml"/><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Sheet1!$B$10</c:f>
              <c:strCache>
                <c:ptCount val="1"/>
                <c:pt idx="0">
                  <c:v>中央财政补贴</c:v>
                </c:pt>
              </c:strCache>
            </c:strRef>
          </c:tx>
          <c:spPr>
            <a:solidFill>
              <a:srgbClr val="00516B"/>
            </a:solidFill>
            <a:ln>
              <a:noFill/>
            </a:ln>
            <a:effectLst/>
          </c:spPr>
          <c:invertIfNegative val="0"/>
          <c:dLbls>
            <c:dLbl>
              <c:idx val="1"/>
              <c:delete val="1"/>
            </c:dLbl>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微软雅黑" panose="020B0503020204020204" pitchFamily="34" charset="-122"/>
                    <a:ea typeface="微软雅黑" panose="020B0503020204020204" pitchFamily="34" charset="-122"/>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Sheet1!$A$11:$A$12</c:f>
              <c:strCache>
                <c:ptCount val="2"/>
                <c:pt idx="0">
                  <c:v>基础养老金补助收入（万元）</c:v>
                </c:pt>
                <c:pt idx="1">
                  <c:v>缴费补贴收入（万元）</c:v>
                </c:pt>
              </c:strCache>
            </c:strRef>
          </c:cat>
          <c:val>
            <c:numRef>
              <c:f>Sheet1!$B$11:$B$12</c:f>
              <c:numCache>
                <c:formatCode>General</c:formatCode>
                <c:ptCount val="2"/>
                <c:pt idx="0">
                  <c:v>9519.37</c:v>
                </c:pt>
                <c:pt idx="1">
                  <c:v>0</c:v>
                </c:pt>
              </c:numCache>
            </c:numRef>
          </c:val>
        </c:ser>
        <c:ser>
          <c:idx val="1"/>
          <c:order val="1"/>
          <c:tx>
            <c:strRef>
              <c:f>Sheet1!$C$10</c:f>
              <c:strCache>
                <c:ptCount val="1"/>
                <c:pt idx="0">
                  <c:v>省级财政补贴</c:v>
                </c:pt>
              </c:strCache>
            </c:strRef>
          </c:tx>
          <c:spPr>
            <a:solidFill>
              <a:srgbClr val="5A92B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微软雅黑" panose="020B0503020204020204" pitchFamily="34" charset="-122"/>
                    <a:ea typeface="微软雅黑" panose="020B0503020204020204" pitchFamily="34" charset="-122"/>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Sheet1!$A$11:$A$12</c:f>
              <c:strCache>
                <c:ptCount val="2"/>
                <c:pt idx="0">
                  <c:v>基础养老金补助收入（万元）</c:v>
                </c:pt>
                <c:pt idx="1">
                  <c:v>缴费补贴收入（万元）</c:v>
                </c:pt>
              </c:strCache>
            </c:strRef>
          </c:cat>
          <c:val>
            <c:numRef>
              <c:f>Sheet1!$C$11:$C$12</c:f>
              <c:numCache>
                <c:formatCode>General</c:formatCode>
                <c:ptCount val="2"/>
                <c:pt idx="0">
                  <c:v>893.58</c:v>
                </c:pt>
                <c:pt idx="1">
                  <c:v>139.98</c:v>
                </c:pt>
              </c:numCache>
            </c:numRef>
          </c:val>
        </c:ser>
        <c:ser>
          <c:idx val="2"/>
          <c:order val="2"/>
          <c:tx>
            <c:strRef>
              <c:f>Sheet1!$D$10</c:f>
              <c:strCache>
                <c:ptCount val="1"/>
                <c:pt idx="0">
                  <c:v>县级财政补贴</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微软雅黑" panose="020B0503020204020204" pitchFamily="34" charset="-122"/>
                    <a:ea typeface="微软雅黑" panose="020B0503020204020204" pitchFamily="34" charset="-122"/>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Sheet1!$A$11:$A$12</c:f>
              <c:strCache>
                <c:ptCount val="2"/>
                <c:pt idx="0">
                  <c:v>基础养老金补助收入（万元）</c:v>
                </c:pt>
                <c:pt idx="1">
                  <c:v>缴费补贴收入（万元）</c:v>
                </c:pt>
              </c:strCache>
            </c:strRef>
          </c:cat>
          <c:val>
            <c:numRef>
              <c:f>Sheet1!$D$11:$D$12</c:f>
              <c:numCache>
                <c:formatCode>General</c:formatCode>
                <c:ptCount val="2"/>
                <c:pt idx="0">
                  <c:v>360</c:v>
                </c:pt>
                <c:pt idx="1">
                  <c:v>250</c:v>
                </c:pt>
              </c:numCache>
            </c:numRef>
          </c:val>
        </c:ser>
        <c:dLbls>
          <c:showLegendKey val="0"/>
          <c:showVal val="0"/>
          <c:showCatName val="0"/>
          <c:showSerName val="0"/>
          <c:showPercent val="0"/>
          <c:showBubbleSize val="0"/>
        </c:dLbls>
        <c:gapWidth val="219"/>
        <c:overlap val="-27"/>
        <c:axId val="600080384"/>
        <c:axId val="600083456"/>
      </c:barChart>
      <c:catAx>
        <c:axId val="6000803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微软雅黑" panose="020B0503020204020204" pitchFamily="34" charset="-122"/>
                <a:ea typeface="微软雅黑" panose="020B0503020204020204" pitchFamily="34" charset="-122"/>
                <a:cs typeface="+mn-cs"/>
              </a:defRPr>
            </a:pPr>
          </a:p>
        </c:txPr>
        <c:crossAx val="600083456"/>
        <c:crosses val="autoZero"/>
        <c:auto val="1"/>
        <c:lblAlgn val="ctr"/>
        <c:lblOffset val="100"/>
        <c:noMultiLvlLbl val="0"/>
      </c:catAx>
      <c:valAx>
        <c:axId val="600083456"/>
        <c:scaling>
          <c:orientation val="minMax"/>
        </c:scaling>
        <c:delete val="0"/>
        <c:axPos val="l"/>
        <c:numFmt formatCode="General" sourceLinked="1"/>
        <c:majorTickMark val="none"/>
        <c:minorTickMark val="none"/>
        <c:tickLblPos val="nextTo"/>
        <c:spPr>
          <a:noFill/>
          <a:ln w="6350" cap="flat" cmpd="sng" algn="ctr">
            <a:no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微软雅黑" panose="020B0503020204020204" pitchFamily="34" charset="-122"/>
                <a:ea typeface="微软雅黑" panose="020B0503020204020204" pitchFamily="34" charset="-122"/>
                <a:cs typeface="+mn-cs"/>
              </a:defRPr>
            </a:pPr>
          </a:p>
        </c:txPr>
        <c:crossAx val="60008038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微软雅黑" panose="020B0503020204020204" pitchFamily="34" charset="-122"/>
              <a:ea typeface="微软雅黑" panose="020B0503020204020204" pitchFamily="34" charset="-122"/>
              <a:cs typeface="+mn-cs"/>
            </a:defRPr>
          </a:pPr>
        </a:p>
      </c:txPr>
    </c:legend>
    <c:plotVisOnly val="1"/>
    <c:dispBlanksAs val="gap"/>
    <c:showDLblsOverMax val="0"/>
  </c:chart>
  <c:spPr>
    <a:solidFill>
      <a:schemeClr val="bg1"/>
    </a:solidFill>
    <a:ln w="9525" cap="flat" cmpd="sng" algn="ctr">
      <a:no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D976FF0-2511-4A3B-9A83-255F66549EB4}">
  <ds:schemaRefs/>
</ds:datastoreItem>
</file>

<file path=docProps/app.xml><?xml version="1.0" encoding="utf-8"?>
<Properties xmlns="http://schemas.openxmlformats.org/officeDocument/2006/extended-properties" xmlns:vt="http://schemas.openxmlformats.org/officeDocument/2006/docPropsVTypes">
  <Template>Normal.dotm</Template>
  <Pages>37</Pages>
  <Words>2612</Words>
  <Characters>14889</Characters>
  <Lines>124</Lines>
  <Paragraphs>34</Paragraphs>
  <TotalTime>7</TotalTime>
  <ScaleCrop>false</ScaleCrop>
  <LinksUpToDate>false</LinksUpToDate>
  <CharactersWithSpaces>17467</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2021-07-11T12:18:00Z</dcterms:created>
  <dc:creator>忠阳 李</dc:creator>
  <cp:lastModifiedBy>韩丽萍</cp:lastModifiedBy>
  <dcterms:modified xsi:type="dcterms:W3CDTF">2024-01-17T01:07:00Z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ies>
</file>