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280D5">
      <w:pPr>
        <w:autoSpaceDE w:val="0"/>
        <w:autoSpaceDN w:val="0"/>
        <w:adjustRightInd w:val="0"/>
        <w:spacing w:after="156"/>
        <w:jc w:val="center"/>
        <w:rPr>
          <w:rFonts w:eastAsia="方正小标宋_GBK" w:cs="Times New Roman"/>
          <w:sz w:val="44"/>
          <w:szCs w:val="44"/>
        </w:rPr>
      </w:pPr>
      <w:bookmarkStart w:id="62" w:name="_GoBack"/>
      <w:bookmarkEnd w:id="62"/>
      <w:r>
        <w:rPr>
          <w:rFonts w:eastAsia="方正小标宋_GBK" w:cs="Times New Roman"/>
          <w:sz w:val="44"/>
          <w:szCs w:val="44"/>
        </w:rPr>
        <w:tab/>
      </w:r>
    </w:p>
    <w:p w14:paraId="1BF545F8">
      <w:pPr>
        <w:autoSpaceDE w:val="0"/>
        <w:autoSpaceDN w:val="0"/>
        <w:adjustRightInd w:val="0"/>
        <w:spacing w:after="156" w:line="480" w:lineRule="auto"/>
        <w:jc w:val="center"/>
        <w:rPr>
          <w:rFonts w:eastAsia="方正小标宋_GBK" w:cs="Times New Roman"/>
          <w:sz w:val="44"/>
          <w:szCs w:val="44"/>
        </w:rPr>
      </w:pPr>
    </w:p>
    <w:p w14:paraId="4C2DA139">
      <w:pPr>
        <w:autoSpaceDE w:val="0"/>
        <w:autoSpaceDN w:val="0"/>
        <w:adjustRightInd w:val="0"/>
        <w:spacing w:after="156"/>
        <w:rPr>
          <w:rFonts w:eastAsia="方正小标宋_GBK" w:cs="Times New Roman"/>
          <w:sz w:val="44"/>
          <w:szCs w:val="44"/>
        </w:rPr>
      </w:pPr>
    </w:p>
    <w:p w14:paraId="14251CFA">
      <w:pPr>
        <w:autoSpaceDE w:val="0"/>
        <w:autoSpaceDN w:val="0"/>
        <w:adjustRightInd w:val="0"/>
        <w:spacing w:after="156"/>
        <w:jc w:val="center"/>
        <w:rPr>
          <w:rFonts w:eastAsia="方正小标宋_GBK" w:cs="Times New Roman"/>
          <w:sz w:val="44"/>
          <w:szCs w:val="44"/>
        </w:rPr>
      </w:pPr>
      <w:r>
        <w:rPr>
          <w:rFonts w:eastAsia="方正小标宋_GBK" w:cs="Times New Roman"/>
          <w:sz w:val="44"/>
          <w:szCs w:val="44"/>
        </w:rPr>
        <w:t>绵竹市2020年超限超载治理经费项目</w:t>
      </w:r>
    </w:p>
    <w:p w14:paraId="4E2E77B9">
      <w:pPr>
        <w:autoSpaceDE w:val="0"/>
        <w:autoSpaceDN w:val="0"/>
        <w:adjustRightInd w:val="0"/>
        <w:spacing w:after="156"/>
        <w:jc w:val="center"/>
        <w:rPr>
          <w:rFonts w:eastAsia="方正小标宋_GBK" w:cs="Times New Roman"/>
          <w:sz w:val="44"/>
          <w:szCs w:val="44"/>
        </w:rPr>
      </w:pPr>
      <w:r>
        <w:rPr>
          <w:rFonts w:eastAsia="方正小标宋_GBK" w:cs="Times New Roman"/>
          <w:sz w:val="44"/>
          <w:szCs w:val="44"/>
        </w:rPr>
        <w:t>支出绩效评价报告</w:t>
      </w:r>
    </w:p>
    <w:p w14:paraId="67B3C31B">
      <w:pPr>
        <w:autoSpaceDE w:val="0"/>
        <w:autoSpaceDN w:val="0"/>
        <w:adjustRightInd w:val="0"/>
        <w:spacing w:after="156"/>
        <w:jc w:val="center"/>
        <w:rPr>
          <w:rFonts w:eastAsia="方正小标宋_GBK" w:cs="Times New Roman"/>
          <w:sz w:val="44"/>
          <w:szCs w:val="44"/>
        </w:rPr>
      </w:pPr>
    </w:p>
    <w:p w14:paraId="7650C6E9">
      <w:pPr>
        <w:autoSpaceDE w:val="0"/>
        <w:autoSpaceDN w:val="0"/>
        <w:adjustRightInd w:val="0"/>
        <w:spacing w:after="156"/>
        <w:jc w:val="center"/>
        <w:rPr>
          <w:rFonts w:eastAsia="方正小标宋_GBK" w:cs="Times New Roman"/>
          <w:sz w:val="44"/>
          <w:szCs w:val="44"/>
        </w:rPr>
      </w:pPr>
    </w:p>
    <w:p w14:paraId="13EBCC43">
      <w:pPr>
        <w:autoSpaceDE w:val="0"/>
        <w:autoSpaceDN w:val="0"/>
        <w:adjustRightInd w:val="0"/>
        <w:spacing w:after="156"/>
        <w:jc w:val="center"/>
        <w:rPr>
          <w:rFonts w:eastAsia="方正小标宋_GBK" w:cs="Times New Roman"/>
          <w:sz w:val="44"/>
          <w:szCs w:val="44"/>
        </w:rPr>
      </w:pPr>
    </w:p>
    <w:p w14:paraId="5807E44E">
      <w:pPr>
        <w:autoSpaceDE w:val="0"/>
        <w:autoSpaceDN w:val="0"/>
        <w:adjustRightInd w:val="0"/>
        <w:spacing w:after="156"/>
        <w:jc w:val="center"/>
        <w:rPr>
          <w:rFonts w:eastAsia="方正小标宋_GBK" w:cs="Times New Roman"/>
          <w:sz w:val="44"/>
          <w:szCs w:val="44"/>
        </w:rPr>
      </w:pPr>
    </w:p>
    <w:p w14:paraId="41CE667E">
      <w:pPr>
        <w:autoSpaceDE w:val="0"/>
        <w:autoSpaceDN w:val="0"/>
        <w:adjustRightInd w:val="0"/>
        <w:spacing w:after="156"/>
        <w:jc w:val="center"/>
        <w:rPr>
          <w:rFonts w:eastAsia="方正小标宋_GBK" w:cs="Times New Roman"/>
          <w:sz w:val="44"/>
          <w:szCs w:val="44"/>
        </w:rPr>
      </w:pPr>
    </w:p>
    <w:p w14:paraId="62531107">
      <w:pPr>
        <w:spacing w:before="120" w:after="156"/>
        <w:rPr>
          <w:rFonts w:eastAsia="方正小标宋_GBK" w:cs="Times New Roman"/>
          <w:sz w:val="44"/>
          <w:szCs w:val="44"/>
        </w:rPr>
      </w:pPr>
    </w:p>
    <w:p w14:paraId="18EC4F1D">
      <w:pPr>
        <w:spacing w:before="120" w:after="156"/>
        <w:jc w:val="center"/>
        <w:rPr>
          <w:rFonts w:eastAsia="小标宋" w:cs="Times New Roman"/>
          <w:b/>
          <w:kern w:val="0"/>
          <w:sz w:val="28"/>
          <w:szCs w:val="28"/>
          <w:lang w:val="zh-CN"/>
        </w:rPr>
      </w:pPr>
      <w:r>
        <w:rPr>
          <w:rFonts w:eastAsia="小标宋" w:cs="Times New Roman"/>
          <w:b/>
          <w:kern w:val="0"/>
          <w:sz w:val="28"/>
          <w:szCs w:val="28"/>
          <w:lang w:val="zh-CN"/>
        </w:rPr>
        <w:t>主管单位：绵竹市交通运输局</w:t>
      </w:r>
    </w:p>
    <w:p w14:paraId="7982C8AB">
      <w:pPr>
        <w:spacing w:before="120" w:after="156"/>
        <w:ind w:left="2560" w:leftChars="800"/>
        <w:rPr>
          <w:rFonts w:eastAsia="小标宋" w:cs="Times New Roman"/>
          <w:b/>
          <w:kern w:val="0"/>
          <w:sz w:val="28"/>
          <w:szCs w:val="28"/>
          <w:lang w:val="zh-CN"/>
        </w:rPr>
      </w:pPr>
      <w:r>
        <w:rPr>
          <w:rFonts w:eastAsia="小标宋" w:cs="Times New Roman"/>
          <w:b/>
          <w:kern w:val="0"/>
          <w:sz w:val="28"/>
          <w:szCs w:val="28"/>
          <w:lang w:val="zh-CN"/>
        </w:rPr>
        <w:t>委托单位：绵竹市财政局</w:t>
      </w:r>
    </w:p>
    <w:p w14:paraId="5590AE65">
      <w:pPr>
        <w:spacing w:before="120" w:after="156"/>
        <w:ind w:left="2560" w:leftChars="800"/>
        <w:rPr>
          <w:rFonts w:eastAsia="小标宋" w:cs="Times New Roman"/>
          <w:b/>
          <w:kern w:val="0"/>
          <w:sz w:val="28"/>
          <w:szCs w:val="28"/>
          <w:lang w:val="zh-CN"/>
        </w:rPr>
      </w:pPr>
      <w:r>
        <w:rPr>
          <w:rFonts w:eastAsia="小标宋" w:cs="Times New Roman"/>
          <w:b/>
          <w:kern w:val="0"/>
          <w:sz w:val="28"/>
          <w:szCs w:val="28"/>
          <w:lang w:val="zh-CN"/>
        </w:rPr>
        <w:t>评价机构：北京零点市场调查有限公司</w:t>
      </w:r>
    </w:p>
    <w:p w14:paraId="5D4D371B">
      <w:pPr>
        <w:spacing w:before="120" w:after="156"/>
        <w:rPr>
          <w:rFonts w:eastAsia="方正小标宋_GBK" w:cs="Times New Roman"/>
          <w:b/>
          <w:kern w:val="0"/>
          <w:sz w:val="44"/>
          <w:szCs w:val="44"/>
        </w:rPr>
      </w:pPr>
    </w:p>
    <w:p w14:paraId="6CDF32C9">
      <w:pPr>
        <w:spacing w:before="120" w:after="156"/>
        <w:jc w:val="center"/>
        <w:rPr>
          <w:rFonts w:eastAsia="小标宋" w:cs="Times New Roman"/>
          <w:b/>
          <w:kern w:val="0"/>
          <w:sz w:val="28"/>
          <w:szCs w:val="28"/>
          <w:lang w:val="zh-CN"/>
        </w:rPr>
      </w:pPr>
      <w:r>
        <w:rPr>
          <w:rFonts w:eastAsia="小标宋" w:cs="Times New Roman"/>
          <w:b/>
          <w:kern w:val="0"/>
          <w:sz w:val="28"/>
          <w:szCs w:val="28"/>
          <w:lang w:val="zh-CN"/>
        </w:rPr>
        <w:t>2021年6月30日</w:t>
      </w:r>
    </w:p>
    <w:p w14:paraId="197F8B36">
      <w:pPr>
        <w:spacing w:before="120" w:after="156"/>
        <w:jc w:val="center"/>
        <w:rPr>
          <w:rFonts w:eastAsia="小标宋" w:cs="Times New Roman"/>
          <w:b/>
          <w:kern w:val="0"/>
          <w:sz w:val="28"/>
          <w:szCs w:val="28"/>
          <w:lang w:val="zh-CN"/>
        </w:rPr>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985" w:left="1531" w:header="851" w:footer="992" w:gutter="0"/>
          <w:pgNumType w:start="1"/>
          <w:cols w:space="425" w:num="1"/>
          <w:docGrid w:type="lines" w:linePitch="312" w:charSpace="0"/>
        </w:sectPr>
      </w:pPr>
    </w:p>
    <w:p w14:paraId="247B8905">
      <w:pPr>
        <w:pStyle w:val="14"/>
        <w:spacing w:after="156"/>
        <w:jc w:val="center"/>
        <w:rPr>
          <w:rFonts w:eastAsia="黑体" w:cs="Times New Roman"/>
          <w:sz w:val="32"/>
          <w:szCs w:val="32"/>
        </w:rPr>
      </w:pPr>
      <w:r>
        <w:rPr>
          <w:rFonts w:eastAsia="黑体" w:cs="Times New Roman"/>
          <w:sz w:val="32"/>
          <w:szCs w:val="32"/>
        </w:rPr>
        <w:t>目  录</w:t>
      </w:r>
    </w:p>
    <w:p w14:paraId="37B15FD8">
      <w:pPr>
        <w:pStyle w:val="14"/>
        <w:tabs>
          <w:tab w:val="right" w:leader="dot" w:pos="8834"/>
        </w:tabs>
        <w:spacing w:before="0" w:after="0" w:afterLines="0" w:line="480" w:lineRule="exact"/>
        <w:rPr>
          <w:rFonts w:eastAsia="宋体" w:cs="Times New Roman"/>
          <w:b w:val="0"/>
          <w:bCs w:val="0"/>
          <w:caps w:val="0"/>
          <w:sz w:val="24"/>
          <w:szCs w:val="24"/>
        </w:rPr>
      </w:pPr>
      <w:r>
        <w:rPr>
          <w:rFonts w:eastAsia="宋体" w:cs="Times New Roman"/>
          <w:sz w:val="24"/>
          <w:szCs w:val="24"/>
          <w:lang w:val="zh-CN"/>
        </w:rPr>
        <w:fldChar w:fldCharType="begin"/>
      </w:r>
      <w:r>
        <w:rPr>
          <w:rFonts w:eastAsia="宋体" w:cs="Times New Roman"/>
          <w:sz w:val="24"/>
          <w:szCs w:val="24"/>
          <w:lang w:val="zh-CN"/>
        </w:rPr>
        <w:instrText xml:space="preserve"> TOC \o "1-3" \h \z \u </w:instrText>
      </w:r>
      <w:r>
        <w:rPr>
          <w:rFonts w:eastAsia="宋体" w:cs="Times New Roman"/>
          <w:sz w:val="24"/>
          <w:szCs w:val="24"/>
          <w:lang w:val="zh-CN"/>
        </w:rPr>
        <w:fldChar w:fldCharType="separate"/>
      </w:r>
      <w:r>
        <w:fldChar w:fldCharType="begin"/>
      </w:r>
      <w:r>
        <w:instrText xml:space="preserve"> HYPERLINK \l "_Toc76939686" </w:instrText>
      </w:r>
      <w:r>
        <w:fldChar w:fldCharType="separate"/>
      </w:r>
      <w:r>
        <w:rPr>
          <w:rStyle w:val="24"/>
          <w:rFonts w:eastAsia="宋体" w:cs="Times New Roman"/>
          <w:sz w:val="24"/>
          <w:szCs w:val="24"/>
        </w:rPr>
        <w:t>一、项目基本情况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_Toc76939686 \h </w:instrText>
      </w:r>
      <w:r>
        <w:rPr>
          <w:rFonts w:eastAsia="宋体" w:cs="Times New Roman"/>
          <w:sz w:val="24"/>
          <w:szCs w:val="24"/>
        </w:rPr>
        <w:fldChar w:fldCharType="separate"/>
      </w:r>
      <w:r>
        <w:rPr>
          <w:rFonts w:eastAsia="宋体" w:cs="Times New Roman"/>
          <w:sz w:val="24"/>
          <w:szCs w:val="24"/>
        </w:rPr>
        <w:t>1</w:t>
      </w:r>
      <w:r>
        <w:rPr>
          <w:rFonts w:eastAsia="宋体" w:cs="Times New Roman"/>
          <w:sz w:val="24"/>
          <w:szCs w:val="24"/>
        </w:rPr>
        <w:fldChar w:fldCharType="end"/>
      </w:r>
      <w:r>
        <w:rPr>
          <w:rFonts w:eastAsia="宋体" w:cs="Times New Roman"/>
          <w:sz w:val="24"/>
          <w:szCs w:val="24"/>
        </w:rPr>
        <w:fldChar w:fldCharType="end"/>
      </w:r>
    </w:p>
    <w:p w14:paraId="2AB6AA3A">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"_Toc76939687" </w:instrText>
      </w:r>
      <w:r>
        <w:fldChar w:fldCharType="separate"/>
      </w:r>
      <w:r>
        <w:rPr>
          <w:rStyle w:val="24"/>
          <w:rFonts w:eastAsia="宋体" w:cs="Times New Roman"/>
          <w:sz w:val="24"/>
          <w:szCs w:val="24"/>
        </w:rPr>
        <w:t>（一）项目概况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_Toc76939687 \h </w:instrText>
      </w:r>
      <w:r>
        <w:rPr>
          <w:rFonts w:eastAsia="宋体" w:cs="Times New Roman"/>
          <w:sz w:val="24"/>
          <w:szCs w:val="24"/>
        </w:rPr>
        <w:fldChar w:fldCharType="separate"/>
      </w:r>
      <w:r>
        <w:rPr>
          <w:rFonts w:eastAsia="宋体" w:cs="Times New Roman"/>
          <w:sz w:val="24"/>
          <w:szCs w:val="24"/>
        </w:rPr>
        <w:t>1</w:t>
      </w:r>
      <w:r>
        <w:rPr>
          <w:rFonts w:eastAsia="宋体" w:cs="Times New Roman"/>
          <w:sz w:val="24"/>
          <w:szCs w:val="24"/>
        </w:rPr>
        <w:fldChar w:fldCharType="end"/>
      </w:r>
      <w:r>
        <w:rPr>
          <w:rFonts w:eastAsia="宋体" w:cs="Times New Roman"/>
          <w:sz w:val="24"/>
          <w:szCs w:val="24"/>
        </w:rPr>
        <w:fldChar w:fldCharType="end"/>
      </w:r>
    </w:p>
    <w:p w14:paraId="3CAD34DC">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"_Toc76939688" </w:instrText>
      </w:r>
      <w:r>
        <w:fldChar w:fldCharType="separate"/>
      </w:r>
      <w:r>
        <w:rPr>
          <w:rStyle w:val="24"/>
          <w:rFonts w:eastAsia="宋体" w:cs="Times New Roman"/>
          <w:i w:val="0"/>
          <w:iCs w:val="0"/>
          <w:sz w:val="24"/>
          <w:szCs w:val="24"/>
        </w:rPr>
        <w:t>1. 设立背景</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_Toc76939688 \h </w:instrText>
      </w:r>
      <w:r>
        <w:rPr>
          <w:rFonts w:eastAsia="宋体" w:cs="Times New Roman"/>
          <w:i w:val="0"/>
          <w:iCs w:val="0"/>
          <w:sz w:val="24"/>
          <w:szCs w:val="24"/>
        </w:rPr>
        <w:fldChar w:fldCharType="separate"/>
      </w:r>
      <w:r>
        <w:rPr>
          <w:rFonts w:eastAsia="宋体" w:cs="Times New Roman"/>
          <w:i w:val="0"/>
          <w:iCs w:val="0"/>
          <w:sz w:val="24"/>
          <w:szCs w:val="24"/>
        </w:rPr>
        <w:t>1</w:t>
      </w:r>
      <w:r>
        <w:rPr>
          <w:rFonts w:eastAsia="宋体" w:cs="Times New Roman"/>
          <w:i w:val="0"/>
          <w:iCs w:val="0"/>
          <w:sz w:val="24"/>
          <w:szCs w:val="24"/>
        </w:rPr>
        <w:fldChar w:fldCharType="end"/>
      </w:r>
      <w:r>
        <w:rPr>
          <w:rFonts w:eastAsia="宋体" w:cs="Times New Roman"/>
          <w:i w:val="0"/>
          <w:iCs w:val="0"/>
          <w:sz w:val="24"/>
          <w:szCs w:val="24"/>
        </w:rPr>
        <w:fldChar w:fldCharType="end"/>
      </w:r>
    </w:p>
    <w:p w14:paraId="5BD1A1D4">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"_Toc76939689" </w:instrText>
      </w:r>
      <w:r>
        <w:fldChar w:fldCharType="separate"/>
      </w:r>
      <w:r>
        <w:rPr>
          <w:rStyle w:val="24"/>
          <w:rFonts w:eastAsia="宋体" w:cs="Times New Roman"/>
          <w:i w:val="0"/>
          <w:iCs w:val="0"/>
          <w:sz w:val="24"/>
          <w:szCs w:val="24"/>
        </w:rPr>
        <w:t>2. 工作方式及实施流程</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_Toc76939689 \h </w:instrText>
      </w:r>
      <w:r>
        <w:rPr>
          <w:rFonts w:eastAsia="宋体" w:cs="Times New Roman"/>
          <w:i w:val="0"/>
          <w:iCs w:val="0"/>
          <w:sz w:val="24"/>
          <w:szCs w:val="24"/>
        </w:rPr>
        <w:fldChar w:fldCharType="separate"/>
      </w:r>
      <w:r>
        <w:rPr>
          <w:rFonts w:eastAsia="宋体" w:cs="Times New Roman"/>
          <w:i w:val="0"/>
          <w:iCs w:val="0"/>
          <w:sz w:val="24"/>
          <w:szCs w:val="24"/>
        </w:rPr>
        <w:t>1</w:t>
      </w:r>
      <w:r>
        <w:rPr>
          <w:rFonts w:eastAsia="宋体" w:cs="Times New Roman"/>
          <w:i w:val="0"/>
          <w:iCs w:val="0"/>
          <w:sz w:val="24"/>
          <w:szCs w:val="24"/>
        </w:rPr>
        <w:fldChar w:fldCharType="end"/>
      </w:r>
      <w:r>
        <w:rPr>
          <w:rFonts w:eastAsia="宋体" w:cs="Times New Roman"/>
          <w:i w:val="0"/>
          <w:iCs w:val="0"/>
          <w:sz w:val="24"/>
          <w:szCs w:val="24"/>
        </w:rPr>
        <w:fldChar w:fldCharType="end"/>
      </w:r>
    </w:p>
    <w:p w14:paraId="143A2DEA">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"_Toc76939690" </w:instrText>
      </w:r>
      <w:r>
        <w:fldChar w:fldCharType="separate"/>
      </w:r>
      <w:r>
        <w:rPr>
          <w:rStyle w:val="24"/>
          <w:rFonts w:eastAsia="宋体" w:cs="Times New Roman"/>
          <w:i w:val="0"/>
          <w:iCs w:val="0"/>
          <w:sz w:val="24"/>
          <w:szCs w:val="24"/>
        </w:rPr>
        <w:t>3. 项目主要成效</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_Toc76939690 \h </w:instrText>
      </w:r>
      <w:r>
        <w:rPr>
          <w:rFonts w:eastAsia="宋体" w:cs="Times New Roman"/>
          <w:i w:val="0"/>
          <w:iCs w:val="0"/>
          <w:sz w:val="24"/>
          <w:szCs w:val="24"/>
        </w:rPr>
        <w:fldChar w:fldCharType="separate"/>
      </w:r>
      <w:r>
        <w:rPr>
          <w:rFonts w:eastAsia="宋体" w:cs="Times New Roman"/>
          <w:i w:val="0"/>
          <w:iCs w:val="0"/>
          <w:sz w:val="24"/>
          <w:szCs w:val="24"/>
        </w:rPr>
        <w:t>3</w:t>
      </w:r>
      <w:r>
        <w:rPr>
          <w:rFonts w:eastAsia="宋体" w:cs="Times New Roman"/>
          <w:i w:val="0"/>
          <w:iCs w:val="0"/>
          <w:sz w:val="24"/>
          <w:szCs w:val="24"/>
        </w:rPr>
        <w:fldChar w:fldCharType="end"/>
      </w:r>
      <w:r>
        <w:rPr>
          <w:rFonts w:eastAsia="宋体" w:cs="Times New Roman"/>
          <w:i w:val="0"/>
          <w:iCs w:val="0"/>
          <w:sz w:val="24"/>
          <w:szCs w:val="24"/>
        </w:rPr>
        <w:fldChar w:fldCharType="end"/>
      </w:r>
    </w:p>
    <w:p w14:paraId="17003311">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"_Toc76939691" </w:instrText>
      </w:r>
      <w:r>
        <w:fldChar w:fldCharType="separate"/>
      </w:r>
      <w:r>
        <w:rPr>
          <w:rStyle w:val="24"/>
          <w:rFonts w:eastAsia="宋体" w:cs="Times New Roman"/>
          <w:sz w:val="24"/>
          <w:szCs w:val="24"/>
        </w:rPr>
        <w:t>（二）资金管理办法制定情况与经费使用范围概况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_Toc76939691 \h </w:instrText>
      </w:r>
      <w:r>
        <w:rPr>
          <w:rFonts w:eastAsia="宋体" w:cs="Times New Roman"/>
          <w:sz w:val="24"/>
          <w:szCs w:val="24"/>
        </w:rPr>
        <w:fldChar w:fldCharType="separate"/>
      </w:r>
      <w:r>
        <w:rPr>
          <w:rFonts w:eastAsia="宋体" w:cs="Times New Roman"/>
          <w:sz w:val="24"/>
          <w:szCs w:val="24"/>
        </w:rPr>
        <w:t>4</w:t>
      </w:r>
      <w:r>
        <w:rPr>
          <w:rFonts w:eastAsia="宋体" w:cs="Times New Roman"/>
          <w:sz w:val="24"/>
          <w:szCs w:val="24"/>
        </w:rPr>
        <w:fldChar w:fldCharType="end"/>
      </w:r>
      <w:r>
        <w:rPr>
          <w:rFonts w:eastAsia="宋体" w:cs="Times New Roman"/>
          <w:sz w:val="24"/>
          <w:szCs w:val="24"/>
        </w:rPr>
        <w:fldChar w:fldCharType="end"/>
      </w:r>
    </w:p>
    <w:p w14:paraId="7DB3CA78">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"_Toc76939692" </w:instrText>
      </w:r>
      <w:r>
        <w:fldChar w:fldCharType="separate"/>
      </w:r>
      <w:r>
        <w:rPr>
          <w:rStyle w:val="24"/>
          <w:rFonts w:eastAsia="宋体" w:cs="Times New Roman"/>
          <w:i w:val="0"/>
          <w:iCs w:val="0"/>
          <w:sz w:val="24"/>
          <w:szCs w:val="24"/>
        </w:rPr>
        <w:t>1. 资金管理办法制定情况</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_Toc76939692 \h </w:instrText>
      </w:r>
      <w:r>
        <w:rPr>
          <w:rFonts w:eastAsia="宋体" w:cs="Times New Roman"/>
          <w:i w:val="0"/>
          <w:iCs w:val="0"/>
          <w:sz w:val="24"/>
          <w:szCs w:val="24"/>
        </w:rPr>
        <w:fldChar w:fldCharType="separate"/>
      </w:r>
      <w:r>
        <w:rPr>
          <w:rFonts w:eastAsia="宋体" w:cs="Times New Roman"/>
          <w:i w:val="0"/>
          <w:iCs w:val="0"/>
          <w:sz w:val="24"/>
          <w:szCs w:val="24"/>
        </w:rPr>
        <w:t>4</w:t>
      </w:r>
      <w:r>
        <w:rPr>
          <w:rFonts w:eastAsia="宋体" w:cs="Times New Roman"/>
          <w:i w:val="0"/>
          <w:iCs w:val="0"/>
          <w:sz w:val="24"/>
          <w:szCs w:val="24"/>
        </w:rPr>
        <w:fldChar w:fldCharType="end"/>
      </w:r>
      <w:r>
        <w:rPr>
          <w:rFonts w:eastAsia="宋体" w:cs="Times New Roman"/>
          <w:i w:val="0"/>
          <w:iCs w:val="0"/>
          <w:sz w:val="24"/>
          <w:szCs w:val="24"/>
        </w:rPr>
        <w:fldChar w:fldCharType="end"/>
      </w:r>
    </w:p>
    <w:p w14:paraId="756B5FBE">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"_Toc76939693" </w:instrText>
      </w:r>
      <w:r>
        <w:fldChar w:fldCharType="separate"/>
      </w:r>
      <w:r>
        <w:rPr>
          <w:rStyle w:val="24"/>
          <w:rFonts w:eastAsia="宋体" w:cs="Times New Roman"/>
          <w:i w:val="0"/>
          <w:iCs w:val="0"/>
          <w:sz w:val="24"/>
          <w:szCs w:val="24"/>
        </w:rPr>
        <w:t>2. 经费使用范围</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_Toc76939693 \h </w:instrText>
      </w:r>
      <w:r>
        <w:rPr>
          <w:rFonts w:eastAsia="宋体" w:cs="Times New Roman"/>
          <w:i w:val="0"/>
          <w:iCs w:val="0"/>
          <w:sz w:val="24"/>
          <w:szCs w:val="24"/>
        </w:rPr>
        <w:fldChar w:fldCharType="separate"/>
      </w:r>
      <w:r>
        <w:rPr>
          <w:rFonts w:eastAsia="宋体" w:cs="Times New Roman"/>
          <w:i w:val="0"/>
          <w:iCs w:val="0"/>
          <w:sz w:val="24"/>
          <w:szCs w:val="24"/>
        </w:rPr>
        <w:t>4</w:t>
      </w:r>
      <w:r>
        <w:rPr>
          <w:rFonts w:eastAsia="宋体" w:cs="Times New Roman"/>
          <w:i w:val="0"/>
          <w:iCs w:val="0"/>
          <w:sz w:val="24"/>
          <w:szCs w:val="24"/>
        </w:rPr>
        <w:fldChar w:fldCharType="end"/>
      </w:r>
      <w:r>
        <w:rPr>
          <w:rFonts w:eastAsia="宋体" w:cs="Times New Roman"/>
          <w:i w:val="0"/>
          <w:iCs w:val="0"/>
          <w:sz w:val="24"/>
          <w:szCs w:val="24"/>
        </w:rPr>
        <w:fldChar w:fldCharType="end"/>
      </w:r>
    </w:p>
    <w:p w14:paraId="3344E97F">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"_Toc76939694" </w:instrText>
      </w:r>
      <w:r>
        <w:fldChar w:fldCharType="separate"/>
      </w:r>
      <w:r>
        <w:rPr>
          <w:rStyle w:val="24"/>
          <w:rFonts w:eastAsia="宋体" w:cs="Times New Roman"/>
          <w:sz w:val="24"/>
          <w:szCs w:val="24"/>
        </w:rPr>
        <w:t>（三）项目资金使用情况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_Toc76939694 \h </w:instrText>
      </w:r>
      <w:r>
        <w:rPr>
          <w:rFonts w:eastAsia="宋体" w:cs="Times New Roman"/>
          <w:sz w:val="24"/>
          <w:szCs w:val="24"/>
        </w:rPr>
        <w:fldChar w:fldCharType="separate"/>
      </w:r>
      <w:r>
        <w:rPr>
          <w:rFonts w:eastAsia="宋体" w:cs="Times New Roman"/>
          <w:sz w:val="24"/>
          <w:szCs w:val="24"/>
        </w:rPr>
        <w:t>5</w:t>
      </w:r>
      <w:r>
        <w:rPr>
          <w:rFonts w:eastAsia="宋体" w:cs="Times New Roman"/>
          <w:sz w:val="24"/>
          <w:szCs w:val="24"/>
        </w:rPr>
        <w:fldChar w:fldCharType="end"/>
      </w:r>
      <w:r>
        <w:rPr>
          <w:rFonts w:eastAsia="宋体" w:cs="Times New Roman"/>
          <w:sz w:val="24"/>
          <w:szCs w:val="24"/>
        </w:rPr>
        <w:fldChar w:fldCharType="end"/>
      </w:r>
    </w:p>
    <w:p w14:paraId="75BE6F25">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"_Toc76939695" </w:instrText>
      </w:r>
      <w:r>
        <w:fldChar w:fldCharType="separate"/>
      </w:r>
      <w:r>
        <w:rPr>
          <w:rStyle w:val="24"/>
          <w:rFonts w:eastAsia="宋体" w:cs="Times New Roman"/>
          <w:i w:val="0"/>
          <w:iCs w:val="0"/>
          <w:sz w:val="24"/>
          <w:szCs w:val="24"/>
        </w:rPr>
        <w:t>1. 项目资金预算及执行情况</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_Toc76939695 \h </w:instrText>
      </w:r>
      <w:r>
        <w:rPr>
          <w:rFonts w:eastAsia="宋体" w:cs="Times New Roman"/>
          <w:i w:val="0"/>
          <w:iCs w:val="0"/>
          <w:sz w:val="24"/>
          <w:szCs w:val="24"/>
        </w:rPr>
        <w:fldChar w:fldCharType="separate"/>
      </w:r>
      <w:r>
        <w:rPr>
          <w:rFonts w:eastAsia="宋体" w:cs="Times New Roman"/>
          <w:i w:val="0"/>
          <w:iCs w:val="0"/>
          <w:sz w:val="24"/>
          <w:szCs w:val="24"/>
        </w:rPr>
        <w:t>5</w:t>
      </w:r>
      <w:r>
        <w:rPr>
          <w:rFonts w:eastAsia="宋体" w:cs="Times New Roman"/>
          <w:i w:val="0"/>
          <w:iCs w:val="0"/>
          <w:sz w:val="24"/>
          <w:szCs w:val="24"/>
        </w:rPr>
        <w:fldChar w:fldCharType="end"/>
      </w:r>
      <w:r>
        <w:rPr>
          <w:rFonts w:eastAsia="宋体" w:cs="Times New Roman"/>
          <w:i w:val="0"/>
          <w:iCs w:val="0"/>
          <w:sz w:val="24"/>
          <w:szCs w:val="24"/>
        </w:rPr>
        <w:fldChar w:fldCharType="end"/>
      </w:r>
    </w:p>
    <w:p w14:paraId="25BADF9F">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"_Toc76939696" </w:instrText>
      </w:r>
      <w:r>
        <w:fldChar w:fldCharType="separate"/>
      </w:r>
      <w:r>
        <w:rPr>
          <w:rStyle w:val="24"/>
          <w:rFonts w:eastAsia="宋体" w:cs="Times New Roman"/>
          <w:i w:val="0"/>
          <w:iCs w:val="0"/>
          <w:sz w:val="24"/>
          <w:szCs w:val="24"/>
        </w:rPr>
        <w:t>2. 资金使用情况</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_Toc76939696 \h </w:instrText>
      </w:r>
      <w:r>
        <w:rPr>
          <w:rFonts w:eastAsia="宋体" w:cs="Times New Roman"/>
          <w:i w:val="0"/>
          <w:iCs w:val="0"/>
          <w:sz w:val="24"/>
          <w:szCs w:val="24"/>
        </w:rPr>
        <w:fldChar w:fldCharType="separate"/>
      </w:r>
      <w:r>
        <w:rPr>
          <w:rFonts w:eastAsia="宋体" w:cs="Times New Roman"/>
          <w:i w:val="0"/>
          <w:iCs w:val="0"/>
          <w:sz w:val="24"/>
          <w:szCs w:val="24"/>
        </w:rPr>
        <w:t>7</w:t>
      </w:r>
      <w:r>
        <w:rPr>
          <w:rFonts w:eastAsia="宋体" w:cs="Times New Roman"/>
          <w:i w:val="0"/>
          <w:iCs w:val="0"/>
          <w:sz w:val="24"/>
          <w:szCs w:val="24"/>
        </w:rPr>
        <w:fldChar w:fldCharType="end"/>
      </w:r>
      <w:r>
        <w:rPr>
          <w:rFonts w:eastAsia="宋体" w:cs="Times New Roman"/>
          <w:i w:val="0"/>
          <w:iCs w:val="0"/>
          <w:sz w:val="24"/>
          <w:szCs w:val="24"/>
        </w:rPr>
        <w:fldChar w:fldCharType="end"/>
      </w:r>
    </w:p>
    <w:p w14:paraId="0D218FEF">
      <w:pPr>
        <w:pStyle w:val="14"/>
        <w:tabs>
          <w:tab w:val="right" w:leader="dot" w:pos="8834"/>
        </w:tabs>
        <w:spacing w:before="0" w:after="0" w:afterLines="0" w:line="480" w:lineRule="exact"/>
        <w:rPr>
          <w:rFonts w:eastAsia="宋体" w:cs="Times New Roman"/>
          <w:b w:val="0"/>
          <w:bCs w:val="0"/>
          <w:caps w:val="0"/>
          <w:sz w:val="24"/>
          <w:szCs w:val="24"/>
        </w:rPr>
      </w:pPr>
      <w:r>
        <w:fldChar w:fldCharType="begin"/>
      </w:r>
      <w:r>
        <w:instrText xml:space="preserve"> HYPERLINK \l "_Toc76939697" </w:instrText>
      </w:r>
      <w:r>
        <w:fldChar w:fldCharType="separate"/>
      </w:r>
      <w:r>
        <w:rPr>
          <w:rStyle w:val="24"/>
          <w:rFonts w:eastAsia="宋体" w:cs="Times New Roman"/>
          <w:sz w:val="24"/>
          <w:szCs w:val="24"/>
        </w:rPr>
        <w:t>二、评价工作基本情况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_Toc76939697 \h </w:instrText>
      </w:r>
      <w:r>
        <w:rPr>
          <w:rFonts w:eastAsia="宋体" w:cs="Times New Roman"/>
          <w:sz w:val="24"/>
          <w:szCs w:val="24"/>
        </w:rPr>
        <w:fldChar w:fldCharType="separate"/>
      </w:r>
      <w:r>
        <w:rPr>
          <w:rFonts w:eastAsia="宋体" w:cs="Times New Roman"/>
          <w:sz w:val="24"/>
          <w:szCs w:val="24"/>
        </w:rPr>
        <w:t>8</w:t>
      </w:r>
      <w:r>
        <w:rPr>
          <w:rFonts w:eastAsia="宋体" w:cs="Times New Roman"/>
          <w:sz w:val="24"/>
          <w:szCs w:val="24"/>
        </w:rPr>
        <w:fldChar w:fldCharType="end"/>
      </w:r>
      <w:r>
        <w:rPr>
          <w:rFonts w:eastAsia="宋体" w:cs="Times New Roman"/>
          <w:sz w:val="24"/>
          <w:szCs w:val="24"/>
        </w:rPr>
        <w:fldChar w:fldCharType="end"/>
      </w:r>
    </w:p>
    <w:p w14:paraId="5B9B8E00">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"_Toc76939698" </w:instrText>
      </w:r>
      <w:r>
        <w:fldChar w:fldCharType="separate"/>
      </w:r>
      <w:r>
        <w:rPr>
          <w:rStyle w:val="24"/>
          <w:rFonts w:eastAsia="宋体" w:cs="Times New Roman"/>
          <w:sz w:val="24"/>
          <w:szCs w:val="24"/>
        </w:rPr>
        <w:t>（一）评价方法</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_Toc76939698 \h </w:instrText>
      </w:r>
      <w:r>
        <w:rPr>
          <w:rFonts w:eastAsia="宋体" w:cs="Times New Roman"/>
          <w:sz w:val="24"/>
          <w:szCs w:val="24"/>
        </w:rPr>
        <w:fldChar w:fldCharType="separate"/>
      </w:r>
      <w:r>
        <w:rPr>
          <w:rFonts w:eastAsia="宋体" w:cs="Times New Roman"/>
          <w:sz w:val="24"/>
          <w:szCs w:val="24"/>
        </w:rPr>
        <w:t>8</w:t>
      </w:r>
      <w:r>
        <w:rPr>
          <w:rFonts w:eastAsia="宋体" w:cs="Times New Roman"/>
          <w:sz w:val="24"/>
          <w:szCs w:val="24"/>
        </w:rPr>
        <w:fldChar w:fldCharType="end"/>
      </w:r>
      <w:r>
        <w:rPr>
          <w:rFonts w:eastAsia="宋体" w:cs="Times New Roman"/>
          <w:sz w:val="24"/>
          <w:szCs w:val="24"/>
        </w:rPr>
        <w:fldChar w:fldCharType="end"/>
      </w:r>
    </w:p>
    <w:p w14:paraId="79A38F75">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"_Toc76939699" </w:instrText>
      </w:r>
      <w:r>
        <w:fldChar w:fldCharType="separate"/>
      </w:r>
      <w:r>
        <w:rPr>
          <w:rStyle w:val="24"/>
          <w:rFonts w:eastAsia="宋体" w:cs="Times New Roman"/>
          <w:i w:val="0"/>
          <w:iCs w:val="0"/>
          <w:sz w:val="24"/>
          <w:szCs w:val="24"/>
        </w:rPr>
        <w:t>1. 查资料—案卷研究法</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_Toc76939699 \h </w:instrText>
      </w:r>
      <w:r>
        <w:rPr>
          <w:rFonts w:eastAsia="宋体" w:cs="Times New Roman"/>
          <w:i w:val="0"/>
          <w:iCs w:val="0"/>
          <w:sz w:val="24"/>
          <w:szCs w:val="24"/>
        </w:rPr>
        <w:fldChar w:fldCharType="separate"/>
      </w:r>
      <w:r>
        <w:rPr>
          <w:rFonts w:eastAsia="宋体" w:cs="Times New Roman"/>
          <w:i w:val="0"/>
          <w:iCs w:val="0"/>
          <w:sz w:val="24"/>
          <w:szCs w:val="24"/>
        </w:rPr>
        <w:t>8</w:t>
      </w:r>
      <w:r>
        <w:rPr>
          <w:rFonts w:eastAsia="宋体" w:cs="Times New Roman"/>
          <w:i w:val="0"/>
          <w:iCs w:val="0"/>
          <w:sz w:val="24"/>
          <w:szCs w:val="24"/>
        </w:rPr>
        <w:fldChar w:fldCharType="end"/>
      </w:r>
      <w:r>
        <w:rPr>
          <w:rFonts w:eastAsia="宋体" w:cs="Times New Roman"/>
          <w:i w:val="0"/>
          <w:iCs w:val="0"/>
          <w:sz w:val="24"/>
          <w:szCs w:val="24"/>
        </w:rPr>
        <w:fldChar w:fldCharType="end"/>
      </w:r>
    </w:p>
    <w:p w14:paraId="12C36634">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"_Toc76939700" </w:instrText>
      </w:r>
      <w:r>
        <w:fldChar w:fldCharType="separate"/>
      </w:r>
      <w:r>
        <w:rPr>
          <w:rStyle w:val="24"/>
          <w:rFonts w:eastAsia="宋体" w:cs="Times New Roman"/>
          <w:i w:val="0"/>
          <w:iCs w:val="0"/>
          <w:sz w:val="24"/>
          <w:szCs w:val="24"/>
        </w:rPr>
        <w:t>2. 访对象—深度访谈</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_Toc76939700 \h </w:instrText>
      </w:r>
      <w:r>
        <w:rPr>
          <w:rFonts w:eastAsia="宋体" w:cs="Times New Roman"/>
          <w:i w:val="0"/>
          <w:iCs w:val="0"/>
          <w:sz w:val="24"/>
          <w:szCs w:val="24"/>
        </w:rPr>
        <w:fldChar w:fldCharType="separate"/>
      </w:r>
      <w:r>
        <w:rPr>
          <w:rFonts w:eastAsia="宋体" w:cs="Times New Roman"/>
          <w:i w:val="0"/>
          <w:iCs w:val="0"/>
          <w:sz w:val="24"/>
          <w:szCs w:val="24"/>
        </w:rPr>
        <w:t>8</w:t>
      </w:r>
      <w:r>
        <w:rPr>
          <w:rFonts w:eastAsia="宋体" w:cs="Times New Roman"/>
          <w:i w:val="0"/>
          <w:iCs w:val="0"/>
          <w:sz w:val="24"/>
          <w:szCs w:val="24"/>
        </w:rPr>
        <w:fldChar w:fldCharType="end"/>
      </w:r>
      <w:r>
        <w:rPr>
          <w:rFonts w:eastAsia="宋体" w:cs="Times New Roman"/>
          <w:i w:val="0"/>
          <w:iCs w:val="0"/>
          <w:sz w:val="24"/>
          <w:szCs w:val="24"/>
        </w:rPr>
        <w:fldChar w:fldCharType="end"/>
      </w:r>
    </w:p>
    <w:p w14:paraId="6D34A58A">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"_Toc76939701" </w:instrText>
      </w:r>
      <w:r>
        <w:fldChar w:fldCharType="separate"/>
      </w:r>
      <w:r>
        <w:rPr>
          <w:rStyle w:val="24"/>
          <w:rFonts w:eastAsia="宋体" w:cs="Times New Roman"/>
          <w:i w:val="0"/>
          <w:iCs w:val="0"/>
          <w:sz w:val="24"/>
          <w:szCs w:val="24"/>
        </w:rPr>
        <w:t>3. 核落实—书面评审+现场核查</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_Toc76939701 \h </w:instrText>
      </w:r>
      <w:r>
        <w:rPr>
          <w:rFonts w:eastAsia="宋体" w:cs="Times New Roman"/>
          <w:i w:val="0"/>
          <w:iCs w:val="0"/>
          <w:sz w:val="24"/>
          <w:szCs w:val="24"/>
        </w:rPr>
        <w:fldChar w:fldCharType="separate"/>
      </w:r>
      <w:r>
        <w:rPr>
          <w:rFonts w:eastAsia="宋体" w:cs="Times New Roman"/>
          <w:i w:val="0"/>
          <w:iCs w:val="0"/>
          <w:sz w:val="24"/>
          <w:szCs w:val="24"/>
        </w:rPr>
        <w:t>9</w:t>
      </w:r>
      <w:r>
        <w:rPr>
          <w:rFonts w:eastAsia="宋体" w:cs="Times New Roman"/>
          <w:i w:val="0"/>
          <w:iCs w:val="0"/>
          <w:sz w:val="24"/>
          <w:szCs w:val="24"/>
        </w:rPr>
        <w:fldChar w:fldCharType="end"/>
      </w:r>
      <w:r>
        <w:rPr>
          <w:rFonts w:eastAsia="宋体" w:cs="Times New Roman"/>
          <w:i w:val="0"/>
          <w:iCs w:val="0"/>
          <w:sz w:val="24"/>
          <w:szCs w:val="24"/>
        </w:rPr>
        <w:fldChar w:fldCharType="end"/>
      </w:r>
    </w:p>
    <w:p w14:paraId="17BF985F">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"_Toc76939702" </w:instrText>
      </w:r>
      <w:r>
        <w:fldChar w:fldCharType="separate"/>
      </w:r>
      <w:r>
        <w:rPr>
          <w:rStyle w:val="24"/>
          <w:rFonts w:eastAsia="宋体" w:cs="Times New Roman"/>
          <w:sz w:val="24"/>
          <w:szCs w:val="24"/>
        </w:rPr>
        <w:t>（二）评价指标</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_Toc76939702 \h </w:instrText>
      </w:r>
      <w:r>
        <w:rPr>
          <w:rFonts w:eastAsia="宋体" w:cs="Times New Roman"/>
          <w:sz w:val="24"/>
          <w:szCs w:val="24"/>
        </w:rPr>
        <w:fldChar w:fldCharType="separate"/>
      </w:r>
      <w:r>
        <w:rPr>
          <w:rFonts w:eastAsia="宋体" w:cs="Times New Roman"/>
          <w:sz w:val="24"/>
          <w:szCs w:val="24"/>
        </w:rPr>
        <w:t>10</w:t>
      </w:r>
      <w:r>
        <w:rPr>
          <w:rFonts w:eastAsia="宋体" w:cs="Times New Roman"/>
          <w:sz w:val="24"/>
          <w:szCs w:val="24"/>
        </w:rPr>
        <w:fldChar w:fldCharType="end"/>
      </w:r>
      <w:r>
        <w:rPr>
          <w:rFonts w:eastAsia="宋体" w:cs="Times New Roman"/>
          <w:sz w:val="24"/>
          <w:szCs w:val="24"/>
        </w:rPr>
        <w:fldChar w:fldCharType="end"/>
      </w:r>
    </w:p>
    <w:p w14:paraId="2C452418">
      <w:pPr>
        <w:pStyle w:val="14"/>
        <w:tabs>
          <w:tab w:val="right" w:leader="dot" w:pos="8834"/>
        </w:tabs>
        <w:spacing w:before="0" w:after="0" w:afterLines="0" w:line="480" w:lineRule="exact"/>
        <w:rPr>
          <w:rFonts w:eastAsia="宋体" w:cs="Times New Roman"/>
          <w:b w:val="0"/>
          <w:bCs w:val="0"/>
          <w:caps w:val="0"/>
          <w:sz w:val="24"/>
          <w:szCs w:val="24"/>
        </w:rPr>
      </w:pPr>
      <w:r>
        <w:fldChar w:fldCharType="begin"/>
      </w:r>
      <w:r>
        <w:instrText xml:space="preserve"> HYPERLINK \l "_Toc76939703" </w:instrText>
      </w:r>
      <w:r>
        <w:fldChar w:fldCharType="separate"/>
      </w:r>
      <w:r>
        <w:rPr>
          <w:rStyle w:val="24"/>
          <w:rFonts w:eastAsia="宋体" w:cs="Times New Roman"/>
          <w:sz w:val="24"/>
          <w:szCs w:val="24"/>
        </w:rPr>
        <w:t>三、评价结论及绩效分析</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_Toc76939703 \h </w:instrText>
      </w:r>
      <w:r>
        <w:rPr>
          <w:rFonts w:eastAsia="宋体" w:cs="Times New Roman"/>
          <w:sz w:val="24"/>
          <w:szCs w:val="24"/>
        </w:rPr>
        <w:fldChar w:fldCharType="separate"/>
      </w:r>
      <w:r>
        <w:rPr>
          <w:rFonts w:eastAsia="宋体" w:cs="Times New Roman"/>
          <w:sz w:val="24"/>
          <w:szCs w:val="24"/>
        </w:rPr>
        <w:t>10</w:t>
      </w:r>
      <w:r>
        <w:rPr>
          <w:rFonts w:eastAsia="宋体" w:cs="Times New Roman"/>
          <w:sz w:val="24"/>
          <w:szCs w:val="24"/>
        </w:rPr>
        <w:fldChar w:fldCharType="end"/>
      </w:r>
      <w:r>
        <w:rPr>
          <w:rFonts w:eastAsia="宋体" w:cs="Times New Roman"/>
          <w:sz w:val="24"/>
          <w:szCs w:val="24"/>
        </w:rPr>
        <w:fldChar w:fldCharType="end"/>
      </w:r>
    </w:p>
    <w:p w14:paraId="73866D4E">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"_Toc76939704" </w:instrText>
      </w:r>
      <w:r>
        <w:fldChar w:fldCharType="separate"/>
      </w:r>
      <w:r>
        <w:rPr>
          <w:rStyle w:val="24"/>
          <w:rFonts w:eastAsia="宋体" w:cs="Times New Roman"/>
          <w:sz w:val="24"/>
          <w:szCs w:val="24"/>
        </w:rPr>
        <w:t>（一）评价结论</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_Toc76939704 \h </w:instrText>
      </w:r>
      <w:r>
        <w:rPr>
          <w:rFonts w:eastAsia="宋体" w:cs="Times New Roman"/>
          <w:sz w:val="24"/>
          <w:szCs w:val="24"/>
        </w:rPr>
        <w:fldChar w:fldCharType="separate"/>
      </w:r>
      <w:r>
        <w:rPr>
          <w:rFonts w:eastAsia="宋体" w:cs="Times New Roman"/>
          <w:sz w:val="24"/>
          <w:szCs w:val="24"/>
        </w:rPr>
        <w:t>10</w:t>
      </w:r>
      <w:r>
        <w:rPr>
          <w:rFonts w:eastAsia="宋体" w:cs="Times New Roman"/>
          <w:sz w:val="24"/>
          <w:szCs w:val="24"/>
        </w:rPr>
        <w:fldChar w:fldCharType="end"/>
      </w:r>
      <w:r>
        <w:rPr>
          <w:rFonts w:eastAsia="宋体" w:cs="Times New Roman"/>
          <w:sz w:val="24"/>
          <w:szCs w:val="24"/>
        </w:rPr>
        <w:fldChar w:fldCharType="end"/>
      </w:r>
    </w:p>
    <w:p w14:paraId="071C3935">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"_Toc76939705" </w:instrText>
      </w:r>
      <w:r>
        <w:fldChar w:fldCharType="separate"/>
      </w:r>
      <w:r>
        <w:rPr>
          <w:rStyle w:val="24"/>
          <w:rFonts w:eastAsia="宋体" w:cs="Times New Roman"/>
          <w:sz w:val="24"/>
          <w:szCs w:val="24"/>
        </w:rPr>
        <w:t>（二）绩效分析</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_Toc76939705 \h </w:instrText>
      </w:r>
      <w:r>
        <w:rPr>
          <w:rFonts w:eastAsia="宋体" w:cs="Times New Roman"/>
          <w:sz w:val="24"/>
          <w:szCs w:val="24"/>
        </w:rPr>
        <w:fldChar w:fldCharType="separate"/>
      </w:r>
      <w:r>
        <w:rPr>
          <w:rFonts w:eastAsia="宋体" w:cs="Times New Roman"/>
          <w:sz w:val="24"/>
          <w:szCs w:val="24"/>
        </w:rPr>
        <w:t>12</w:t>
      </w:r>
      <w:r>
        <w:rPr>
          <w:rFonts w:eastAsia="宋体" w:cs="Times New Roman"/>
          <w:sz w:val="24"/>
          <w:szCs w:val="24"/>
        </w:rPr>
        <w:fldChar w:fldCharType="end"/>
      </w:r>
      <w:r>
        <w:rPr>
          <w:rFonts w:eastAsia="宋体" w:cs="Times New Roman"/>
          <w:sz w:val="24"/>
          <w:szCs w:val="24"/>
        </w:rPr>
        <w:fldChar w:fldCharType="end"/>
      </w:r>
    </w:p>
    <w:p w14:paraId="60CB6112">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"_Toc76939706" </w:instrText>
      </w:r>
      <w:r>
        <w:fldChar w:fldCharType="separate"/>
      </w:r>
      <w:r>
        <w:rPr>
          <w:rStyle w:val="24"/>
          <w:rFonts w:eastAsia="宋体" w:cs="Times New Roman"/>
          <w:i w:val="0"/>
          <w:iCs w:val="0"/>
          <w:sz w:val="24"/>
          <w:szCs w:val="24"/>
        </w:rPr>
        <w:t>1. 项目决策指标分析</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_Toc76939706 \h </w:instrText>
      </w:r>
      <w:r>
        <w:rPr>
          <w:rFonts w:eastAsia="宋体" w:cs="Times New Roman"/>
          <w:i w:val="0"/>
          <w:iCs w:val="0"/>
          <w:sz w:val="24"/>
          <w:szCs w:val="24"/>
        </w:rPr>
        <w:fldChar w:fldCharType="separate"/>
      </w:r>
      <w:r>
        <w:rPr>
          <w:rFonts w:eastAsia="宋体" w:cs="Times New Roman"/>
          <w:i w:val="0"/>
          <w:iCs w:val="0"/>
          <w:sz w:val="24"/>
          <w:szCs w:val="24"/>
        </w:rPr>
        <w:t>12</w:t>
      </w:r>
      <w:r>
        <w:rPr>
          <w:rFonts w:eastAsia="宋体" w:cs="Times New Roman"/>
          <w:i w:val="0"/>
          <w:iCs w:val="0"/>
          <w:sz w:val="24"/>
          <w:szCs w:val="24"/>
        </w:rPr>
        <w:fldChar w:fldCharType="end"/>
      </w:r>
      <w:r>
        <w:rPr>
          <w:rFonts w:eastAsia="宋体" w:cs="Times New Roman"/>
          <w:i w:val="0"/>
          <w:iCs w:val="0"/>
          <w:sz w:val="24"/>
          <w:szCs w:val="24"/>
        </w:rPr>
        <w:fldChar w:fldCharType="end"/>
      </w:r>
    </w:p>
    <w:p w14:paraId="7557DFEE">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"_Toc76939707" </w:instrText>
      </w:r>
      <w:r>
        <w:fldChar w:fldCharType="separate"/>
      </w:r>
      <w:r>
        <w:rPr>
          <w:rStyle w:val="24"/>
          <w:rFonts w:eastAsia="宋体" w:cs="Times New Roman"/>
          <w:i w:val="0"/>
          <w:iCs w:val="0"/>
          <w:sz w:val="24"/>
          <w:szCs w:val="24"/>
        </w:rPr>
        <w:t>2. 项目实施指标分析</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_Toc76939707 \h </w:instrText>
      </w:r>
      <w:r>
        <w:rPr>
          <w:rFonts w:eastAsia="宋体" w:cs="Times New Roman"/>
          <w:i w:val="0"/>
          <w:iCs w:val="0"/>
          <w:sz w:val="24"/>
          <w:szCs w:val="24"/>
        </w:rPr>
        <w:fldChar w:fldCharType="separate"/>
      </w:r>
      <w:r>
        <w:rPr>
          <w:rFonts w:eastAsia="宋体" w:cs="Times New Roman"/>
          <w:i w:val="0"/>
          <w:iCs w:val="0"/>
          <w:sz w:val="24"/>
          <w:szCs w:val="24"/>
        </w:rPr>
        <w:t>13</w:t>
      </w:r>
      <w:r>
        <w:rPr>
          <w:rFonts w:eastAsia="宋体" w:cs="Times New Roman"/>
          <w:i w:val="0"/>
          <w:iCs w:val="0"/>
          <w:sz w:val="24"/>
          <w:szCs w:val="24"/>
        </w:rPr>
        <w:fldChar w:fldCharType="end"/>
      </w:r>
      <w:r>
        <w:rPr>
          <w:rFonts w:eastAsia="宋体" w:cs="Times New Roman"/>
          <w:i w:val="0"/>
          <w:iCs w:val="0"/>
          <w:sz w:val="24"/>
          <w:szCs w:val="24"/>
        </w:rPr>
        <w:fldChar w:fldCharType="end"/>
      </w:r>
    </w:p>
    <w:p w14:paraId="473698FC">
      <w:pPr>
        <w:pStyle w:val="8"/>
        <w:tabs>
          <w:tab w:val="right" w:leader="dot" w:pos="8834"/>
        </w:tabs>
        <w:spacing w:after="0" w:afterLines="0" w:line="480" w:lineRule="exact"/>
        <w:rPr>
          <w:rFonts w:eastAsia="宋体" w:cs="Times New Roman"/>
          <w:i w:val="0"/>
          <w:iCs w:val="0"/>
          <w:sz w:val="24"/>
          <w:szCs w:val="24"/>
        </w:rPr>
      </w:pPr>
      <w:r>
        <w:fldChar w:fldCharType="begin"/>
      </w:r>
      <w:r>
        <w:instrText xml:space="preserve"> HYPERLINK \l "_Toc76939708" </w:instrText>
      </w:r>
      <w:r>
        <w:fldChar w:fldCharType="separate"/>
      </w:r>
      <w:r>
        <w:rPr>
          <w:rStyle w:val="24"/>
          <w:rFonts w:eastAsia="宋体" w:cs="Times New Roman"/>
          <w:i w:val="0"/>
          <w:iCs w:val="0"/>
          <w:sz w:val="24"/>
          <w:szCs w:val="24"/>
        </w:rPr>
        <w:t>3. 项目绩效指标分析</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_Toc76939708 \h </w:instrText>
      </w:r>
      <w:r>
        <w:rPr>
          <w:rFonts w:eastAsia="宋体" w:cs="Times New Roman"/>
          <w:i w:val="0"/>
          <w:iCs w:val="0"/>
          <w:sz w:val="24"/>
          <w:szCs w:val="24"/>
        </w:rPr>
        <w:fldChar w:fldCharType="separate"/>
      </w:r>
      <w:r>
        <w:rPr>
          <w:rFonts w:eastAsia="宋体" w:cs="Times New Roman"/>
          <w:i w:val="0"/>
          <w:iCs w:val="0"/>
          <w:sz w:val="24"/>
          <w:szCs w:val="24"/>
        </w:rPr>
        <w:t>14</w:t>
      </w:r>
      <w:r>
        <w:rPr>
          <w:rFonts w:eastAsia="宋体" w:cs="Times New Roman"/>
          <w:i w:val="0"/>
          <w:iCs w:val="0"/>
          <w:sz w:val="24"/>
          <w:szCs w:val="24"/>
        </w:rPr>
        <w:fldChar w:fldCharType="end"/>
      </w:r>
      <w:r>
        <w:rPr>
          <w:rFonts w:eastAsia="宋体" w:cs="Times New Roman"/>
          <w:i w:val="0"/>
          <w:iCs w:val="0"/>
          <w:sz w:val="24"/>
          <w:szCs w:val="24"/>
        </w:rPr>
        <w:fldChar w:fldCharType="end"/>
      </w:r>
    </w:p>
    <w:p w14:paraId="1497C834">
      <w:pPr>
        <w:pStyle w:val="14"/>
        <w:tabs>
          <w:tab w:val="right" w:leader="dot" w:pos="8834"/>
        </w:tabs>
        <w:spacing w:before="0" w:after="0" w:afterLines="0" w:line="480" w:lineRule="exact"/>
        <w:rPr>
          <w:rFonts w:eastAsia="宋体" w:cs="Times New Roman"/>
          <w:b w:val="0"/>
          <w:bCs w:val="0"/>
          <w:caps w:val="0"/>
          <w:sz w:val="24"/>
          <w:szCs w:val="24"/>
        </w:rPr>
      </w:pPr>
      <w:r>
        <w:fldChar w:fldCharType="begin"/>
      </w:r>
      <w:r>
        <w:instrText xml:space="preserve"> HYPERLINK \l "_Toc76939709" </w:instrText>
      </w:r>
      <w:r>
        <w:fldChar w:fldCharType="separate"/>
      </w:r>
      <w:r>
        <w:rPr>
          <w:rStyle w:val="24"/>
          <w:rFonts w:eastAsia="宋体" w:cs="Times New Roman"/>
          <w:sz w:val="24"/>
          <w:szCs w:val="24"/>
        </w:rPr>
        <w:t>四、存在主要问题</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_Toc76939709 \h </w:instrText>
      </w:r>
      <w:r>
        <w:rPr>
          <w:rFonts w:eastAsia="宋体" w:cs="Times New Roman"/>
          <w:sz w:val="24"/>
          <w:szCs w:val="24"/>
        </w:rPr>
        <w:fldChar w:fldCharType="separate"/>
      </w:r>
      <w:r>
        <w:rPr>
          <w:rFonts w:eastAsia="宋体" w:cs="Times New Roman"/>
          <w:sz w:val="24"/>
          <w:szCs w:val="24"/>
        </w:rPr>
        <w:t>17</w:t>
      </w:r>
      <w:r>
        <w:rPr>
          <w:rFonts w:eastAsia="宋体" w:cs="Times New Roman"/>
          <w:sz w:val="24"/>
          <w:szCs w:val="24"/>
        </w:rPr>
        <w:fldChar w:fldCharType="end"/>
      </w:r>
      <w:r>
        <w:rPr>
          <w:rFonts w:eastAsia="宋体" w:cs="Times New Roman"/>
          <w:sz w:val="24"/>
          <w:szCs w:val="24"/>
        </w:rPr>
        <w:fldChar w:fldCharType="end"/>
      </w:r>
    </w:p>
    <w:p w14:paraId="1DE81F67">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"_Toc76939710" </w:instrText>
      </w:r>
      <w:r>
        <w:fldChar w:fldCharType="separate"/>
      </w:r>
      <w:r>
        <w:rPr>
          <w:rStyle w:val="24"/>
          <w:rFonts w:eastAsia="宋体" w:cs="Times New Roman"/>
          <w:sz w:val="24"/>
          <w:szCs w:val="24"/>
        </w:rPr>
        <w:t>（一）绩效目标设置与实际工作偏离度较高</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_Toc76939710 \h </w:instrText>
      </w:r>
      <w:r>
        <w:rPr>
          <w:rFonts w:eastAsia="宋体" w:cs="Times New Roman"/>
          <w:sz w:val="24"/>
          <w:szCs w:val="24"/>
        </w:rPr>
        <w:fldChar w:fldCharType="separate"/>
      </w:r>
      <w:r>
        <w:rPr>
          <w:rFonts w:eastAsia="宋体" w:cs="Times New Roman"/>
          <w:sz w:val="24"/>
          <w:szCs w:val="24"/>
        </w:rPr>
        <w:t>17</w:t>
      </w:r>
      <w:r>
        <w:rPr>
          <w:rFonts w:eastAsia="宋体" w:cs="Times New Roman"/>
          <w:sz w:val="24"/>
          <w:szCs w:val="24"/>
        </w:rPr>
        <w:fldChar w:fldCharType="end"/>
      </w:r>
      <w:r>
        <w:rPr>
          <w:rFonts w:eastAsia="宋体" w:cs="Times New Roman"/>
          <w:sz w:val="24"/>
          <w:szCs w:val="24"/>
        </w:rPr>
        <w:fldChar w:fldCharType="end"/>
      </w:r>
    </w:p>
    <w:p w14:paraId="6D0961D8">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"_Toc76939711" </w:instrText>
      </w:r>
      <w:r>
        <w:fldChar w:fldCharType="separate"/>
      </w:r>
      <w:r>
        <w:rPr>
          <w:rStyle w:val="24"/>
          <w:rFonts w:eastAsia="宋体" w:cs="Times New Roman"/>
          <w:sz w:val="24"/>
          <w:szCs w:val="24"/>
        </w:rPr>
        <w:t>（二）存在预算外支出和资金违规挪用现象</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_Toc76939711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14:paraId="1BFB9AD9">
      <w:pPr>
        <w:pStyle w:val="14"/>
        <w:tabs>
          <w:tab w:val="right" w:leader="dot" w:pos="8834"/>
        </w:tabs>
        <w:spacing w:before="0" w:after="0" w:afterLines="0" w:line="480" w:lineRule="exact"/>
        <w:rPr>
          <w:rFonts w:eastAsia="宋体" w:cs="Times New Roman"/>
          <w:b w:val="0"/>
          <w:bCs w:val="0"/>
          <w:caps w:val="0"/>
          <w:sz w:val="24"/>
          <w:szCs w:val="24"/>
        </w:rPr>
      </w:pPr>
      <w:r>
        <w:fldChar w:fldCharType="begin"/>
      </w:r>
      <w:r>
        <w:instrText xml:space="preserve"> HYPERLINK \l "_Toc76939712" </w:instrText>
      </w:r>
      <w:r>
        <w:fldChar w:fldCharType="separate"/>
      </w:r>
      <w:r>
        <w:rPr>
          <w:rStyle w:val="24"/>
          <w:rFonts w:eastAsia="宋体" w:cs="Times New Roman"/>
          <w:sz w:val="24"/>
          <w:szCs w:val="24"/>
        </w:rPr>
        <w:t>五、相关措施建议</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_Toc76939712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14:paraId="1E704895">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"_Toc76939713" </w:instrText>
      </w:r>
      <w:r>
        <w:fldChar w:fldCharType="separate"/>
      </w:r>
      <w:r>
        <w:rPr>
          <w:rStyle w:val="24"/>
          <w:rFonts w:eastAsia="宋体" w:cs="Times New Roman"/>
          <w:sz w:val="24"/>
          <w:szCs w:val="24"/>
        </w:rPr>
        <w:t>（一）优化绩效目标编制，增强指标指引价值</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_Toc76939713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14:paraId="549D361F">
      <w:pPr>
        <w:pStyle w:val="18"/>
        <w:tabs>
          <w:tab w:val="right" w:leader="dot" w:pos="8834"/>
        </w:tabs>
        <w:spacing w:after="0" w:afterLines="0" w:line="480" w:lineRule="exact"/>
        <w:rPr>
          <w:rFonts w:eastAsia="宋体" w:cs="Times New Roman"/>
          <w:smallCaps w:val="0"/>
          <w:sz w:val="24"/>
          <w:szCs w:val="24"/>
        </w:rPr>
      </w:pPr>
      <w:r>
        <w:fldChar w:fldCharType="begin"/>
      </w:r>
      <w:r>
        <w:instrText xml:space="preserve"> HYPERLINK \l "_Toc76939714" </w:instrText>
      </w:r>
      <w:r>
        <w:fldChar w:fldCharType="separate"/>
      </w:r>
      <w:r>
        <w:rPr>
          <w:rStyle w:val="24"/>
          <w:rFonts w:eastAsia="宋体" w:cs="Times New Roman"/>
          <w:sz w:val="24"/>
          <w:szCs w:val="24"/>
        </w:rPr>
        <w:t>（二）强化资金统筹管理，严格把控经费支出</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_Toc76939714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14:paraId="2E3233BB">
      <w:pPr>
        <w:pStyle w:val="14"/>
        <w:tabs>
          <w:tab w:val="right" w:leader="dot" w:pos="8834"/>
        </w:tabs>
        <w:spacing w:before="0" w:after="0" w:afterLines="0" w:line="480" w:lineRule="exact"/>
        <w:rPr>
          <w:rFonts w:eastAsia="宋体" w:cs="Times New Roman"/>
          <w:b w:val="0"/>
          <w:bCs w:val="0"/>
          <w:caps w:val="0"/>
          <w:sz w:val="24"/>
          <w:szCs w:val="24"/>
        </w:rPr>
      </w:pPr>
      <w:r>
        <w:fldChar w:fldCharType="begin"/>
      </w:r>
      <w:r>
        <w:instrText xml:space="preserve"> HYPERLINK \l "_Toc76939715" </w:instrText>
      </w:r>
      <w:r>
        <w:fldChar w:fldCharType="separate"/>
      </w:r>
      <w:r>
        <w:rPr>
          <w:rStyle w:val="24"/>
          <w:rFonts w:eastAsia="宋体" w:cs="Times New Roman"/>
          <w:sz w:val="24"/>
          <w:szCs w:val="24"/>
        </w:rPr>
        <w:t>附件 绵竹市2020年超限超载治理经费项目支出绩效评价得分表</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_Toc76939715 \h </w:instrText>
      </w:r>
      <w:r>
        <w:rPr>
          <w:rFonts w:eastAsia="宋体" w:cs="Times New Roman"/>
          <w:sz w:val="24"/>
          <w:szCs w:val="24"/>
        </w:rPr>
        <w:fldChar w:fldCharType="separate"/>
      </w:r>
      <w:r>
        <w:rPr>
          <w:rFonts w:eastAsia="宋体" w:cs="Times New Roman"/>
          <w:sz w:val="24"/>
          <w:szCs w:val="24"/>
        </w:rPr>
        <w:t>19</w:t>
      </w:r>
      <w:r>
        <w:rPr>
          <w:rFonts w:eastAsia="宋体" w:cs="Times New Roman"/>
          <w:sz w:val="24"/>
          <w:szCs w:val="24"/>
        </w:rPr>
        <w:fldChar w:fldCharType="end"/>
      </w:r>
      <w:r>
        <w:rPr>
          <w:rFonts w:eastAsia="宋体" w:cs="Times New Roman"/>
          <w:sz w:val="24"/>
          <w:szCs w:val="24"/>
        </w:rPr>
        <w:fldChar w:fldCharType="end"/>
      </w:r>
    </w:p>
    <w:p w14:paraId="6FA796DD">
      <w:pPr>
        <w:pStyle w:val="14"/>
        <w:spacing w:before="0" w:after="0" w:afterLines="0" w:line="480" w:lineRule="exact"/>
        <w:rPr>
          <w:rFonts w:eastAsia="宋体" w:cs="Times New Roman"/>
          <w:sz w:val="24"/>
          <w:szCs w:val="24"/>
        </w:rPr>
      </w:pPr>
      <w:r>
        <w:rPr>
          <w:rFonts w:eastAsia="宋体" w:cs="Times New Roman"/>
          <w:sz w:val="24"/>
          <w:szCs w:val="24"/>
          <w:lang w:val="zh-CN"/>
        </w:rPr>
        <w:fldChar w:fldCharType="end"/>
      </w:r>
    </w:p>
    <w:p w14:paraId="4570B040">
      <w:pPr>
        <w:spacing w:before="156" w:beforeLines="50" w:after="156"/>
        <w:jc w:val="center"/>
        <w:rPr>
          <w:rFonts w:eastAsia="宋体" w:cs="Times New Roman"/>
          <w:b/>
          <w:kern w:val="0"/>
          <w:sz w:val="24"/>
          <w:szCs w:val="24"/>
          <w:lang w:val="zh-CN"/>
        </w:rPr>
      </w:pPr>
    </w:p>
    <w:p w14:paraId="4F56164B">
      <w:pPr>
        <w:tabs>
          <w:tab w:val="left" w:pos="1634"/>
        </w:tabs>
        <w:spacing w:after="156"/>
        <w:rPr>
          <w:rFonts w:eastAsia="宋体" w:cs="Times New Roman"/>
          <w:b/>
          <w:kern w:val="0"/>
          <w:sz w:val="24"/>
          <w:szCs w:val="24"/>
          <w:lang w:val="zh-CN"/>
        </w:rPr>
      </w:pPr>
      <w:r>
        <w:rPr>
          <w:rFonts w:eastAsia="宋体" w:cs="Times New Roman"/>
          <w:b/>
          <w:kern w:val="0"/>
          <w:sz w:val="24"/>
          <w:szCs w:val="24"/>
          <w:lang w:val="zh-CN"/>
        </w:rPr>
        <w:tab/>
      </w:r>
    </w:p>
    <w:p w14:paraId="2F9062B3">
      <w:pPr>
        <w:tabs>
          <w:tab w:val="left" w:pos="1634"/>
        </w:tabs>
        <w:spacing w:after="156"/>
        <w:rPr>
          <w:rFonts w:eastAsia="宋体" w:cs="Times New Roman"/>
          <w:sz w:val="24"/>
          <w:szCs w:val="24"/>
          <w:lang w:val="zh-CN"/>
        </w:rPr>
        <w:sectPr>
          <w:footerReference r:id="rId11" w:type="default"/>
          <w:pgSz w:w="11906" w:h="16838"/>
          <w:pgMar w:top="2098" w:right="1531" w:bottom="1985" w:left="1531" w:header="851" w:footer="992" w:gutter="0"/>
          <w:pgNumType w:fmt="lowerRoman" w:start="1"/>
          <w:cols w:space="425" w:num="1"/>
          <w:docGrid w:type="lines" w:linePitch="312" w:charSpace="0"/>
        </w:sectPr>
      </w:pPr>
      <w:r>
        <w:rPr>
          <w:rFonts w:eastAsia="宋体" w:cs="Times New Roman"/>
          <w:sz w:val="24"/>
          <w:szCs w:val="24"/>
          <w:lang w:val="zh-CN"/>
        </w:rPr>
        <w:tab/>
      </w:r>
    </w:p>
    <w:p w14:paraId="3F3602E6">
      <w:pPr>
        <w:autoSpaceDE w:val="0"/>
        <w:autoSpaceDN w:val="0"/>
        <w:adjustRightInd w:val="0"/>
        <w:spacing w:before="156" w:after="156"/>
        <w:jc w:val="center"/>
        <w:rPr>
          <w:rFonts w:eastAsia="方正小标宋_GBK" w:cs="Times New Roman"/>
          <w:b/>
          <w:bCs/>
          <w:sz w:val="44"/>
          <w:szCs w:val="44"/>
        </w:rPr>
      </w:pPr>
      <w:r>
        <w:rPr>
          <w:rFonts w:eastAsia="方正小标宋_GBK" w:cs="Times New Roman"/>
          <w:b/>
          <w:bCs/>
          <w:sz w:val="44"/>
          <w:szCs w:val="44"/>
        </w:rPr>
        <w:t>绵竹市2020年超限超载治理经费项目</w:t>
      </w:r>
    </w:p>
    <w:p w14:paraId="7A20CC11">
      <w:pPr>
        <w:autoSpaceDE w:val="0"/>
        <w:autoSpaceDN w:val="0"/>
        <w:adjustRightInd w:val="0"/>
        <w:spacing w:before="156" w:after="156"/>
        <w:jc w:val="center"/>
        <w:rPr>
          <w:rFonts w:eastAsia="方正小标宋_GBK" w:cs="Times New Roman"/>
          <w:b/>
          <w:bCs/>
          <w:sz w:val="44"/>
          <w:szCs w:val="44"/>
        </w:rPr>
      </w:pPr>
      <w:r>
        <w:rPr>
          <w:rFonts w:eastAsia="方正小标宋_GBK" w:cs="Times New Roman"/>
          <w:b/>
          <w:bCs/>
          <w:sz w:val="44"/>
          <w:szCs w:val="44"/>
        </w:rPr>
        <w:t>支出绩效评价报告</w:t>
      </w:r>
    </w:p>
    <w:p w14:paraId="5741A6E1">
      <w:pPr>
        <w:spacing w:after="156"/>
        <w:ind w:firstLine="640" w:firstLineChars="200"/>
      </w:pPr>
      <w:r>
        <w:t>按照《绵竹市财政局关于开展2021年财政支出绩效评价工作的通知》（竹财监〔2021〕145号），我们接受绵竹市财政局委托，于2021年6月2日至6月4日对绵竹市交通与运输局（以下简称为市交通局）超限超载治理经费项目开展绩效评价，踏勘了电子数据测拍现场、卸载场、控制中心3个样本点，对项目负责部门及相关项目负责人进行了2次座谈会、6人次深度访谈。项目具体情况如下：</w:t>
      </w:r>
    </w:p>
    <w:p w14:paraId="0CABE593">
      <w:pPr>
        <w:pStyle w:val="2"/>
        <w:spacing w:before="120" w:after="0" w:afterLines="0" w:line="600" w:lineRule="exact"/>
        <w:ind w:firstLine="640" w:firstLineChars="200"/>
        <w:rPr>
          <w:rFonts w:eastAsia="黑体" w:cs="Times New Roman"/>
          <w:b w:val="0"/>
          <w:bCs w:val="0"/>
          <w:sz w:val="32"/>
          <w:szCs w:val="32"/>
        </w:rPr>
      </w:pPr>
      <w:bookmarkStart w:id="0" w:name="_Toc20407"/>
      <w:bookmarkStart w:id="1" w:name="_Toc76939686"/>
      <w:r>
        <w:rPr>
          <w:rFonts w:eastAsia="黑体" w:cs="Times New Roman"/>
          <w:b w:val="0"/>
          <w:bCs w:val="0"/>
          <w:sz w:val="32"/>
          <w:szCs w:val="32"/>
        </w:rPr>
        <w:t>一、项目基本情况</w:t>
      </w:r>
      <w:bookmarkEnd w:id="0"/>
      <w:bookmarkEnd w:id="1"/>
    </w:p>
    <w:p w14:paraId="3992F818">
      <w:pPr>
        <w:spacing w:after="0" w:afterLines="0"/>
        <w:ind w:firstLine="640" w:firstLineChars="200"/>
        <w:rPr>
          <w:rFonts w:cs="Times New Roman"/>
        </w:rPr>
      </w:pPr>
      <w:r>
        <w:rPr>
          <w:rFonts w:cs="Times New Roman"/>
        </w:rPr>
        <w:t>为做好绵竹市货运车辆超限治理工作，减少道路交通安全事故发生，保护人民群众生命、国家、集体、个人财产安全，按照交通部、公安部《关于治理车辆超限超载联合执法常态化制度化工作的实施意见（试行）》（交公路发〔2017〕173号）文件精神，绵竹市交通局与公安局交警大队联合执法对超限车辆进行整治。2020年绵竹市交通运输局申请超限超载治理项目经费297万元，经财政局审批同意年初预算数290万元，决算数299.41万元，超支经费9.41万元，预算执行率为103.24%。</w:t>
      </w:r>
    </w:p>
    <w:p w14:paraId="1049AE2F">
      <w:pPr>
        <w:widowControl/>
        <w:spacing w:after="0" w:afterLines="0"/>
        <w:rPr>
          <w:rFonts w:ascii="幼圆" w:eastAsia="幼圆" w:cs="Times New Roman"/>
          <w:sz w:val="28"/>
          <w:szCs w:val="28"/>
        </w:rPr>
        <w:sectPr>
          <w:footerReference r:id="rId12" w:type="default"/>
          <w:pgSz w:w="11906" w:h="16838"/>
          <w:pgMar w:top="2098" w:right="1531" w:bottom="1985" w:left="1531" w:header="851" w:footer="992" w:gutter="0"/>
          <w:pgNumType w:start="1"/>
          <w:cols w:space="425" w:num="1"/>
          <w:docGrid w:type="lines" w:linePitch="312" w:charSpace="0"/>
        </w:sectPr>
      </w:pPr>
    </w:p>
    <w:p w14:paraId="0C52FFA8">
      <w:pPr>
        <w:pStyle w:val="3"/>
        <w:spacing w:after="0" w:afterLines="0" w:line="600" w:lineRule="exact"/>
        <w:ind w:firstLine="643"/>
        <w:rPr>
          <w:rFonts w:cs="Times New Roman"/>
        </w:rPr>
      </w:pPr>
      <w:bookmarkStart w:id="2" w:name="_Toc76939687"/>
      <w:bookmarkStart w:id="3" w:name="_Toc6835"/>
      <w:r>
        <w:rPr>
          <w:rFonts w:cs="Times New Roman"/>
        </w:rPr>
        <w:t>（一）项目概况</w:t>
      </w:r>
      <w:bookmarkEnd w:id="2"/>
      <w:bookmarkEnd w:id="3"/>
    </w:p>
    <w:p w14:paraId="6726915E">
      <w:pPr>
        <w:pStyle w:val="4"/>
        <w:spacing w:after="156"/>
        <w:ind w:firstLine="643"/>
        <w:rPr>
          <w:rFonts w:cs="Times New Roman"/>
        </w:rPr>
      </w:pPr>
      <w:bookmarkStart w:id="4" w:name="_Toc76939688"/>
      <w:r>
        <w:rPr>
          <w:rFonts w:cs="Times New Roman"/>
        </w:rPr>
        <w:t>1. 设立背景</w:t>
      </w:r>
      <w:bookmarkEnd w:id="4"/>
    </w:p>
    <w:p w14:paraId="4DA3ABF9">
      <w:pPr>
        <w:autoSpaceDE w:val="0"/>
        <w:autoSpaceDN w:val="0"/>
        <w:adjustRightInd w:val="0"/>
        <w:spacing w:after="0" w:afterLines="0"/>
        <w:ind w:firstLine="640" w:firstLineChars="200"/>
        <w:rPr>
          <w:rFonts w:cs="Times New Roman"/>
          <w:szCs w:val="32"/>
        </w:rPr>
      </w:pPr>
      <w:r>
        <w:rPr>
          <w:rFonts w:cs="Times New Roman"/>
          <w:szCs w:val="32"/>
        </w:rPr>
        <w:t>2008年5月12日大地震后，因灾后恢复重建的需要，绵竹市范围内增加大量基础设施建设，河道沙石开采运输上升，为近一百年供应最高峰，这导致绵竹市重型货物运输车辆数量大幅增加，公路交通运输频繁，超载超限情况时常出现，同时也导致绵竹市德</w:t>
      </w:r>
      <w:r>
        <w:rPr>
          <w:rFonts w:cs="Times New Roman"/>
          <w:szCs w:val="32"/>
          <w:lang w:val="zh-CN"/>
        </w:rPr>
        <w:t>茂公路、成青公路、</w:t>
      </w:r>
      <w:r>
        <w:rPr>
          <w:rFonts w:hint="eastAsia" w:cs="Times New Roman"/>
          <w:szCs w:val="32"/>
          <w:lang w:val="zh-CN"/>
        </w:rPr>
        <w:t>二环路、罗锦</w:t>
      </w:r>
      <w:r>
        <w:rPr>
          <w:rFonts w:cs="Times New Roman"/>
          <w:szCs w:val="32"/>
          <w:lang w:val="zh-CN"/>
        </w:rPr>
        <w:t>路等多段</w:t>
      </w:r>
      <w:r>
        <w:rPr>
          <w:rFonts w:cs="Times New Roman"/>
          <w:szCs w:val="32"/>
        </w:rPr>
        <w:t>道路承载压力</w:t>
      </w:r>
      <w:r>
        <w:rPr>
          <w:rFonts w:hint="eastAsia" w:cs="Times New Roman"/>
          <w:szCs w:val="32"/>
        </w:rPr>
        <w:t>加</w:t>
      </w:r>
      <w:r>
        <w:rPr>
          <w:rFonts w:cs="Times New Roman"/>
          <w:szCs w:val="32"/>
        </w:rPr>
        <w:t>大、使用寿命缩短。为强化道路交通安全、防止道路受损，绵竹市政府从2010年开始加大对道路超载超限的关注力度</w:t>
      </w:r>
      <w:r>
        <w:rPr>
          <w:rFonts w:hint="eastAsia" w:cs="Times New Roman"/>
          <w:szCs w:val="32"/>
        </w:rPr>
        <w:t>，安排实际财政资金，用于</w:t>
      </w:r>
      <w:r>
        <w:rPr>
          <w:rFonts w:cs="Times New Roman"/>
          <w:szCs w:val="32"/>
        </w:rPr>
        <w:t>招聘协管人员辅助执法</w:t>
      </w:r>
      <w:r>
        <w:rPr>
          <w:rFonts w:hint="eastAsia" w:cs="Times New Roman"/>
          <w:szCs w:val="32"/>
        </w:rPr>
        <w:t>及道路超限执法设施</w:t>
      </w:r>
      <w:r>
        <w:rPr>
          <w:rFonts w:cs="Times New Roman"/>
          <w:szCs w:val="32"/>
        </w:rPr>
        <w:t>。</w:t>
      </w:r>
    </w:p>
    <w:p w14:paraId="1B094DB8">
      <w:pPr>
        <w:pStyle w:val="4"/>
        <w:spacing w:after="156"/>
        <w:ind w:firstLine="643"/>
        <w:rPr>
          <w:rFonts w:cs="Times New Roman"/>
        </w:rPr>
      </w:pPr>
      <w:bookmarkStart w:id="5" w:name="_Toc76939689"/>
      <w:r>
        <w:rPr>
          <w:rFonts w:cs="Times New Roman"/>
        </w:rPr>
        <w:t>2. 工作方式及实施流程</w:t>
      </w:r>
      <w:bookmarkEnd w:id="5"/>
    </w:p>
    <w:p w14:paraId="08694C30">
      <w:pPr>
        <w:spacing w:after="156"/>
        <w:ind w:firstLine="640" w:firstLineChars="200"/>
      </w:pPr>
      <w:r>
        <w:rPr>
          <w:rFonts w:hint="eastAsia"/>
        </w:rPr>
        <w:t>一是在坚持政府领导，部门联动，对道路超限采取联合执法措施，交通运输局主要负责提供超限车辆实时电子监测、检测数据。公安交警据此对违法超限车辆进行计分罚款。对超限超载的运输方和源头装载部门进行约谈问责。</w:t>
      </w:r>
    </w:p>
    <w:p w14:paraId="4A9C7F6A">
      <w:pPr>
        <w:spacing w:after="156"/>
        <w:ind w:firstLine="640" w:firstLineChars="200"/>
      </w:pPr>
      <w:r>
        <w:rPr>
          <w:rFonts w:hint="eastAsia"/>
        </w:rPr>
        <w:t>二是加强现场执法、道路巡查和设点设卡检查。聘请的协管人员配合正式执法人员对德茂公路孝德段、成青公路富新段、成青公路新市段、绵茂路、汉旺段等主要道路流动巡查或设卡检查。</w:t>
      </w:r>
    </w:p>
    <w:p w14:paraId="70D0E543">
      <w:pPr>
        <w:spacing w:after="156"/>
        <w:ind w:firstLine="640" w:firstLineChars="200"/>
      </w:pPr>
      <w:r>
        <w:rPr>
          <w:rFonts w:hint="eastAsia"/>
        </w:rPr>
        <w:t>三是科技治超平台提供超限电子数据后由专人按程序审定，进行事后处罚。一方面对于本地超限超载车辆，通过治超平台向违规车辆负责人当场送达电子违规证据以及处罚通知书，另一方面对于外地市超限超载车辆，采取邮寄电子证据及处罚通知书，若多次催告无效后，市交通局路政所工作人员与协管人员有针对性的进行精准查辑。</w:t>
      </w:r>
    </w:p>
    <w:p w14:paraId="65F85C84">
      <w:pPr>
        <w:spacing w:after="156"/>
        <w:ind w:firstLine="560" w:firstLineChars="200"/>
        <w:rPr>
          <w:szCs w:val="32"/>
        </w:rPr>
      </w:pPr>
      <w:r>
        <w:rPr>
          <w:rFonts w:eastAsia="幼圆"/>
          <w:sz w:val="28"/>
          <w:szCs w:val="28"/>
        </w:rPr>
        <w:drawing>
          <wp:anchor distT="0" distB="0" distL="114300" distR="114300" simplePos="0" relativeHeight="251659264" behindDoc="1" locked="0" layoutInCell="1" allowOverlap="1">
            <wp:simplePos x="0" y="0"/>
            <wp:positionH relativeFrom="column">
              <wp:posOffset>1129665</wp:posOffset>
            </wp:positionH>
            <wp:positionV relativeFrom="paragraph">
              <wp:posOffset>1139190</wp:posOffset>
            </wp:positionV>
            <wp:extent cx="3378200" cy="1885950"/>
            <wp:effectExtent l="0" t="0" r="0" b="0"/>
            <wp:wrapTopAndBottom/>
            <wp:docPr id="6" name="图片 6" descr="C:\Users\马永强\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马永强\Desktop\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378200" cy="1885950"/>
                    </a:xfrm>
                    <a:prstGeom prst="rect">
                      <a:avLst/>
                    </a:prstGeom>
                    <a:noFill/>
                    <a:ln>
                      <a:noFill/>
                    </a:ln>
                  </pic:spPr>
                </pic:pic>
              </a:graphicData>
            </a:graphic>
          </wp:anchor>
        </w:drawing>
      </w:r>
      <w:r>
        <w:rPr>
          <w:rFonts w:hint="eastAsia"/>
        </w:rPr>
        <w:t>执法人员在全市干线公路现场执法，对超限超载嫌疑车辆进行检查、检测，对超限车辆由交警进行记分、罚款，交通路政执法人员监督货车卸载后放行。</w:t>
      </w:r>
      <w:r>
        <w:rPr>
          <w:szCs w:val="32"/>
        </w:rPr>
        <w:t>具体现场执法流程如下：</w:t>
      </w:r>
    </w:p>
    <w:p w14:paraId="12086221">
      <w:pPr>
        <w:autoSpaceDE w:val="0"/>
        <w:autoSpaceDN w:val="0"/>
        <w:adjustRightInd w:val="0"/>
        <w:spacing w:after="156" w:line="600" w:lineRule="exact"/>
        <w:jc w:val="center"/>
        <w:rPr>
          <w:rFonts w:eastAsia="幼圆" w:cs="Times New Roman"/>
          <w:b/>
          <w:sz w:val="28"/>
          <w:szCs w:val="28"/>
        </w:rPr>
      </w:pPr>
      <w:r>
        <w:rPr>
          <w:rFonts w:eastAsia="幼圆" w:cs="Times New Roman"/>
          <w:b/>
          <w:sz w:val="28"/>
          <w:szCs w:val="28"/>
        </w:rPr>
        <w:t>附图 超限超载治理现场执法流程图</w:t>
      </w:r>
    </w:p>
    <w:p w14:paraId="6B1BDEED">
      <w:pPr>
        <w:pStyle w:val="4"/>
        <w:spacing w:after="156"/>
        <w:ind w:firstLine="643"/>
        <w:rPr>
          <w:rFonts w:cs="Times New Roman"/>
        </w:rPr>
      </w:pPr>
      <w:bookmarkStart w:id="6" w:name="_Toc76939690"/>
      <w:r>
        <w:rPr>
          <w:rFonts w:cs="Times New Roman"/>
        </w:rPr>
        <w:t>3. 项目主要成效</w:t>
      </w:r>
      <w:bookmarkEnd w:id="6"/>
    </w:p>
    <w:p w14:paraId="7B798095">
      <w:pPr>
        <w:autoSpaceDE w:val="0"/>
        <w:autoSpaceDN w:val="0"/>
        <w:adjustRightInd w:val="0"/>
        <w:spacing w:after="156" w:line="600" w:lineRule="exact"/>
        <w:ind w:firstLine="640" w:firstLineChars="200"/>
        <w:rPr>
          <w:rFonts w:cs="Times New Roman"/>
          <w:szCs w:val="32"/>
        </w:rPr>
      </w:pPr>
      <w:r>
        <w:rPr>
          <w:rFonts w:hint="eastAsia" w:cs="Times New Roman"/>
          <w:szCs w:val="32"/>
        </w:rPr>
        <w:t>经公安交警部门统计，2020年因超限超载引发的交通3人事故0起；车辆抛洒、道路扬尘等情况大大减少，环境得到明显改善。调查发现，道路超限联合执法查处超限超载车辆数连续三年上升，其中，2018年处罚超限超载车辆186起，2019年处罚超限超载车辆389起，2020年处罚超限超载车辆1100起。</w:t>
      </w:r>
    </w:p>
    <w:p w14:paraId="78F00D91">
      <w:pPr>
        <w:autoSpaceDE w:val="0"/>
        <w:autoSpaceDN w:val="0"/>
        <w:adjustRightInd w:val="0"/>
        <w:spacing w:after="156" w:line="600" w:lineRule="exact"/>
        <w:jc w:val="center"/>
        <w:rPr>
          <w:rFonts w:eastAsia="幼圆" w:cs="Times New Roman"/>
          <w:sz w:val="28"/>
          <w:szCs w:val="28"/>
        </w:rPr>
      </w:pPr>
      <w:r>
        <w:rPr>
          <w:rFonts w:eastAsia="幼圆" w:cs="Times New Roman"/>
          <w:sz w:val="28"/>
          <w:szCs w:val="28"/>
        </w:rPr>
        <w:drawing>
          <wp:anchor distT="0" distB="0" distL="114300" distR="114300" simplePos="0" relativeHeight="251661312" behindDoc="0" locked="0" layoutInCell="1" allowOverlap="1">
            <wp:simplePos x="0" y="0"/>
            <wp:positionH relativeFrom="column">
              <wp:posOffset>426720</wp:posOffset>
            </wp:positionH>
            <wp:positionV relativeFrom="paragraph">
              <wp:posOffset>0</wp:posOffset>
            </wp:positionV>
            <wp:extent cx="4572000" cy="1859280"/>
            <wp:effectExtent l="0" t="0" r="0" b="762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eastAsia="幼圆" w:cs="Times New Roman"/>
          <w:b/>
          <w:bCs/>
          <w:sz w:val="28"/>
          <w:szCs w:val="28"/>
        </w:rPr>
        <w:t>附图 超限超载治理次数（起）</w:t>
      </w:r>
    </w:p>
    <w:p w14:paraId="2C4570A8">
      <w:pPr>
        <w:pStyle w:val="4"/>
        <w:spacing w:after="156"/>
        <w:ind w:firstLine="643"/>
      </w:pPr>
      <w:r>
        <w:t>4. 项目管理情况</w:t>
      </w:r>
    </w:p>
    <w:p w14:paraId="7EFFB5F8">
      <w:pPr>
        <w:adjustRightInd w:val="0"/>
        <w:snapToGrid w:val="0"/>
        <w:spacing w:after="0" w:afterLines="0"/>
        <w:ind w:firstLine="720"/>
        <w:rPr>
          <w:rFonts w:cs="Times New Roman"/>
          <w:szCs w:val="32"/>
        </w:rPr>
      </w:pPr>
      <w:r>
        <w:rPr>
          <w:rFonts w:cs="Times New Roman"/>
          <w:szCs w:val="32"/>
        </w:rPr>
        <w:t>绵竹市公路路政管理所、绵竹市公路运输管理所按照市道安办的统一安排部署开展治超工作，同公安交警联合执法，主要治理绵竹市域内交通运输要道超限超载现象。</w:t>
      </w:r>
    </w:p>
    <w:p w14:paraId="32F4DC3D">
      <w:pPr>
        <w:spacing w:after="0" w:afterLines="0"/>
        <w:ind w:firstLine="640" w:firstLineChars="200"/>
        <w:rPr>
          <w:rFonts w:cs="Times New Roman"/>
          <w:szCs w:val="32"/>
        </w:rPr>
      </w:pPr>
      <w:r>
        <w:rPr>
          <w:rFonts w:cs="Times New Roman"/>
          <w:szCs w:val="32"/>
        </w:rPr>
        <w:t>（1）人员管理</w:t>
      </w:r>
    </w:p>
    <w:p w14:paraId="76B1CE6C">
      <w:pPr>
        <w:spacing w:after="0" w:afterLines="0"/>
        <w:ind w:firstLine="640" w:firstLineChars="200"/>
        <w:rPr>
          <w:rFonts w:cs="Times New Roman"/>
          <w:szCs w:val="32"/>
        </w:rPr>
      </w:pPr>
      <w:r>
        <w:rPr>
          <w:rFonts w:cs="Times New Roman"/>
          <w:szCs w:val="32"/>
        </w:rPr>
        <w:t>一是录用前人员培训。协管人员入职前须进行体检，待体检通过后，进行一周的法律法规、规章制度和交通手势等岗前培训，培训结束后考试合格录用；二是录用后人员的使用管理。年初交通局邀请专家授课，</w:t>
      </w:r>
      <w:r>
        <w:rPr>
          <w:rFonts w:hint="eastAsia" w:cs="Times New Roman"/>
          <w:szCs w:val="32"/>
        </w:rPr>
        <w:t>“</w:t>
      </w:r>
      <w:r>
        <w:rPr>
          <w:rFonts w:cs="Times New Roman"/>
          <w:szCs w:val="32"/>
        </w:rPr>
        <w:t>以考促学</w:t>
      </w:r>
      <w:r>
        <w:rPr>
          <w:rFonts w:hint="eastAsia" w:cs="Times New Roman"/>
          <w:szCs w:val="32"/>
        </w:rPr>
        <w:t>”</w:t>
      </w:r>
      <w:r>
        <w:rPr>
          <w:rFonts w:cs="Times New Roman"/>
          <w:szCs w:val="32"/>
        </w:rPr>
        <w:t>，以考代学”的方式开展一次法律法规、队列、交通手势训练等方面业务培训。在日常管理上，每周召开一次学习例会，学习业务和法律法规，其次设置执法人员绩效考评，并将</w:t>
      </w:r>
      <w:r>
        <w:rPr>
          <w:rFonts w:cs="Times New Roman"/>
          <w:color w:val="000000"/>
          <w:szCs w:val="32"/>
        </w:rPr>
        <w:t>考评结果作为年底发放年终奖的依据。</w:t>
      </w:r>
    </w:p>
    <w:p w14:paraId="1E490344">
      <w:pPr>
        <w:pStyle w:val="33"/>
        <w:spacing w:after="0" w:afterLines="0"/>
        <w:ind w:firstLine="640"/>
        <w:rPr>
          <w:rFonts w:cs="Times New Roman"/>
          <w:szCs w:val="32"/>
        </w:rPr>
      </w:pPr>
      <w:r>
        <w:rPr>
          <w:rFonts w:cs="Times New Roman"/>
          <w:szCs w:val="32"/>
        </w:rPr>
        <w:t>（2）运维经费管理</w:t>
      </w:r>
    </w:p>
    <w:p w14:paraId="720F0F42">
      <w:pPr>
        <w:pStyle w:val="33"/>
        <w:spacing w:after="0" w:afterLines="0"/>
        <w:ind w:firstLine="640"/>
        <w:rPr>
          <w:rFonts w:cs="Times New Roman"/>
          <w:szCs w:val="32"/>
        </w:rPr>
      </w:pPr>
      <w:r>
        <w:rPr>
          <w:rFonts w:cs="Times New Roman"/>
          <w:szCs w:val="32"/>
        </w:rPr>
        <w:t>经费用于绵竹市公路路政管理所、公路运输管理所超限超载治理综合执法，含聘用人员及借用人员经费、治超卡点设备设施维修、安全投入经费、超限超载治理宣传费及其他办公经费。</w:t>
      </w:r>
    </w:p>
    <w:p w14:paraId="46C942B9">
      <w:pPr>
        <w:adjustRightInd w:val="0"/>
        <w:snapToGrid w:val="0"/>
        <w:spacing w:after="0" w:afterLines="0"/>
        <w:ind w:firstLine="720"/>
        <w:rPr>
          <w:rFonts w:cs="Times New Roman"/>
          <w:b/>
          <w:szCs w:val="32"/>
        </w:rPr>
      </w:pPr>
      <w:r>
        <w:rPr>
          <w:rFonts w:cs="Times New Roman"/>
          <w:bCs/>
          <w:szCs w:val="32"/>
        </w:rPr>
        <w:t>（3）项目监管</w:t>
      </w:r>
    </w:p>
    <w:p w14:paraId="321194D7">
      <w:pPr>
        <w:adjustRightInd w:val="0"/>
        <w:snapToGrid w:val="0"/>
        <w:spacing w:after="0" w:afterLines="0"/>
        <w:ind w:firstLine="720"/>
        <w:rPr>
          <w:rFonts w:cs="Times New Roman"/>
          <w:szCs w:val="32"/>
        </w:rPr>
      </w:pPr>
      <w:r>
        <w:rPr>
          <w:rFonts w:cs="Times New Roman"/>
          <w:szCs w:val="32"/>
        </w:rPr>
        <w:t>该项目由绵竹市道安办牵头，交通局路政所负责实施，局项目管理股、局主责办进行监督。</w:t>
      </w:r>
    </w:p>
    <w:p w14:paraId="6787C994">
      <w:pPr>
        <w:pStyle w:val="3"/>
        <w:spacing w:after="0" w:afterLines="0"/>
        <w:ind w:firstLine="643"/>
        <w:rPr>
          <w:rFonts w:cs="Times New Roman"/>
        </w:rPr>
      </w:pPr>
      <w:bookmarkStart w:id="7" w:name="_Toc2344"/>
      <w:bookmarkStart w:id="8" w:name="_Toc76939691"/>
      <w:r>
        <w:rPr>
          <w:rFonts w:cs="Times New Roman"/>
        </w:rPr>
        <w:t>（二）资金管理办法制定情况与经费使用范围概况</w:t>
      </w:r>
      <w:bookmarkEnd w:id="7"/>
      <w:bookmarkEnd w:id="8"/>
    </w:p>
    <w:p w14:paraId="5F4D2BEC">
      <w:pPr>
        <w:pStyle w:val="4"/>
        <w:spacing w:after="0" w:afterLines="0"/>
        <w:ind w:firstLine="643"/>
        <w:rPr>
          <w:rFonts w:cs="Times New Roman"/>
        </w:rPr>
      </w:pPr>
      <w:bookmarkStart w:id="9" w:name="_Toc76939692"/>
      <w:r>
        <w:rPr>
          <w:rFonts w:cs="Times New Roman"/>
        </w:rPr>
        <w:t>1. 资金管理办法制定情况</w:t>
      </w:r>
      <w:bookmarkEnd w:id="9"/>
    </w:p>
    <w:p w14:paraId="2E9AF1EC">
      <w:pPr>
        <w:autoSpaceDE w:val="0"/>
        <w:autoSpaceDN w:val="0"/>
        <w:adjustRightInd w:val="0"/>
        <w:spacing w:after="0" w:afterLines="0"/>
        <w:ind w:firstLine="640" w:firstLineChars="200"/>
        <w:rPr>
          <w:rFonts w:cs="Times New Roman"/>
          <w:szCs w:val="32"/>
        </w:rPr>
      </w:pPr>
      <w:r>
        <w:rPr>
          <w:rFonts w:cs="Times New Roman"/>
          <w:szCs w:val="32"/>
        </w:rPr>
        <w:t>根据《绵竹市交通局关于印发&lt;财务报销规定&gt;的通知》（竹交〔2019〕81号）及《绵竹市交通局关于印发超限超载治理经费管理规定的通知》（竹交〔2019〕47号）等文件对超限超载治理经费资金拨付程序、经费报销手续等方面进行明确规定。若各单位会计、财务主管对支付事项不清楚、凭证要素不齐全、不符合财经纪律要求的，一律不得签字并支付，局主责办和项目管理股严格检查资金使用情况，对资金使用不符合规定的，应立即予以纠正。</w:t>
      </w:r>
    </w:p>
    <w:p w14:paraId="093FC7E0">
      <w:pPr>
        <w:pStyle w:val="4"/>
        <w:spacing w:after="0" w:afterLines="0"/>
        <w:ind w:firstLine="643"/>
        <w:rPr>
          <w:rFonts w:cs="Times New Roman"/>
        </w:rPr>
      </w:pPr>
      <w:bookmarkStart w:id="10" w:name="_Toc76939693"/>
      <w:r>
        <w:rPr>
          <w:rFonts w:cs="Times New Roman"/>
        </w:rPr>
        <w:t>2. 经费使用范围</w:t>
      </w:r>
      <w:bookmarkEnd w:id="10"/>
    </w:p>
    <w:p w14:paraId="6EE38762">
      <w:pPr>
        <w:pStyle w:val="38"/>
        <w:spacing w:beforeLines="0" w:after="0" w:afterLines="0"/>
        <w:ind w:firstLine="640" w:firstLineChars="200"/>
        <w:jc w:val="left"/>
        <w:rPr>
          <w:rFonts w:eastAsia="仿宋_GB2312"/>
          <w:sz w:val="32"/>
          <w:szCs w:val="32"/>
        </w:rPr>
      </w:pPr>
      <w:r>
        <w:rPr>
          <w:rFonts w:eastAsia="仿宋_GB2312"/>
          <w:sz w:val="32"/>
          <w:szCs w:val="32"/>
        </w:rPr>
        <w:t>根据绵竹市人民政府对超限超载治理经费的相关要求，经费用于绵竹市公路路政管理所、绵竹市公路运输管理所超限超载治理综合执法所需经费，2020年度主要支出方向：</w:t>
      </w:r>
    </w:p>
    <w:p w14:paraId="29CD9E7C">
      <w:pPr>
        <w:pStyle w:val="38"/>
        <w:spacing w:beforeLines="0" w:after="0" w:afterLines="0"/>
        <w:ind w:firstLine="640" w:firstLineChars="200"/>
        <w:jc w:val="left"/>
        <w:rPr>
          <w:rFonts w:eastAsia="仿宋_GB2312"/>
          <w:sz w:val="32"/>
          <w:szCs w:val="32"/>
        </w:rPr>
      </w:pPr>
      <w:r>
        <w:rPr>
          <w:rFonts w:eastAsia="仿宋_GB2312"/>
          <w:sz w:val="32"/>
          <w:szCs w:val="32"/>
        </w:rPr>
        <w:t>（1）人员工资、保险、伙食费、差旅费、奖金等费用；</w:t>
      </w:r>
    </w:p>
    <w:p w14:paraId="5045B378">
      <w:pPr>
        <w:pStyle w:val="38"/>
        <w:spacing w:beforeLines="0" w:after="0" w:afterLines="0"/>
        <w:ind w:firstLine="640" w:firstLineChars="200"/>
        <w:jc w:val="left"/>
        <w:rPr>
          <w:rFonts w:eastAsia="仿宋_GB2312"/>
          <w:sz w:val="32"/>
          <w:szCs w:val="32"/>
        </w:rPr>
      </w:pPr>
      <w:r>
        <w:rPr>
          <w:rFonts w:eastAsia="仿宋_GB2312"/>
          <w:sz w:val="32"/>
          <w:szCs w:val="32"/>
        </w:rPr>
        <w:t>（2）执法设备运营、维护等费用；</w:t>
      </w:r>
    </w:p>
    <w:p w14:paraId="2327F691">
      <w:pPr>
        <w:pStyle w:val="38"/>
        <w:spacing w:beforeLines="0" w:after="0" w:afterLines="0"/>
        <w:ind w:firstLine="640" w:firstLineChars="200"/>
        <w:jc w:val="left"/>
        <w:rPr>
          <w:rFonts w:eastAsia="仿宋_GB2312"/>
          <w:sz w:val="32"/>
          <w:szCs w:val="32"/>
        </w:rPr>
      </w:pPr>
      <w:r>
        <w:rPr>
          <w:rFonts w:eastAsia="仿宋_GB2312"/>
          <w:sz w:val="32"/>
          <w:szCs w:val="32"/>
        </w:rPr>
        <w:t>（3）设施场地办公经费、电费、印刷费等费用；</w:t>
      </w:r>
    </w:p>
    <w:p w14:paraId="1084CEDF">
      <w:pPr>
        <w:pStyle w:val="38"/>
        <w:spacing w:beforeLines="0" w:after="0" w:afterLines="0"/>
        <w:ind w:firstLine="640" w:firstLineChars="200"/>
        <w:jc w:val="left"/>
        <w:rPr>
          <w:rFonts w:eastAsia="仿宋_GB2312"/>
          <w:sz w:val="32"/>
          <w:szCs w:val="32"/>
        </w:rPr>
      </w:pPr>
      <w:r>
        <w:rPr>
          <w:rFonts w:eastAsia="仿宋_GB2312"/>
          <w:sz w:val="32"/>
          <w:szCs w:val="32"/>
        </w:rPr>
        <w:t>（4）其他商品和服务支出费用。</w:t>
      </w:r>
    </w:p>
    <w:p w14:paraId="52010199">
      <w:pPr>
        <w:autoSpaceDE w:val="0"/>
        <w:autoSpaceDN w:val="0"/>
        <w:adjustRightInd w:val="0"/>
        <w:spacing w:after="0" w:afterLines="0" w:line="600" w:lineRule="exact"/>
        <w:ind w:firstLine="640" w:firstLineChars="200"/>
        <w:jc w:val="center"/>
        <w:rPr>
          <w:rFonts w:eastAsia="幼圆" w:cs="Times New Roman"/>
          <w:b/>
          <w:sz w:val="28"/>
          <w:szCs w:val="28"/>
        </w:rPr>
      </w:pPr>
      <w:r>
        <w:rPr>
          <w:rFonts w:cs="Times New Roman"/>
          <w:szCs w:val="32"/>
        </w:rPr>
        <w:drawing>
          <wp:anchor distT="0" distB="0" distL="114300" distR="114300" simplePos="0" relativeHeight="251660288" behindDoc="0" locked="0" layoutInCell="1" allowOverlap="1">
            <wp:simplePos x="0" y="0"/>
            <wp:positionH relativeFrom="column">
              <wp:posOffset>688975</wp:posOffset>
            </wp:positionH>
            <wp:positionV relativeFrom="paragraph">
              <wp:posOffset>100330</wp:posOffset>
            </wp:positionV>
            <wp:extent cx="4518660" cy="2377440"/>
            <wp:effectExtent l="0" t="0" r="0" b="3810"/>
            <wp:wrapTopAndBottom/>
            <wp:docPr id="8" name="图片 8" descr="C:\Users\马永强\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马永强\Desktop\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518660" cy="2377440"/>
                    </a:xfrm>
                    <a:prstGeom prst="rect">
                      <a:avLst/>
                    </a:prstGeom>
                    <a:noFill/>
                    <a:ln>
                      <a:noFill/>
                    </a:ln>
                  </pic:spPr>
                </pic:pic>
              </a:graphicData>
            </a:graphic>
          </wp:anchor>
        </w:drawing>
      </w:r>
      <w:r>
        <w:rPr>
          <w:rFonts w:eastAsia="幼圆" w:cs="Times New Roman"/>
          <w:b/>
          <w:sz w:val="28"/>
          <w:szCs w:val="28"/>
        </w:rPr>
        <w:t>附图 超限超载治理经费支出图</w:t>
      </w:r>
    </w:p>
    <w:p w14:paraId="26B141D1">
      <w:pPr>
        <w:autoSpaceDE w:val="0"/>
        <w:autoSpaceDN w:val="0"/>
        <w:adjustRightInd w:val="0"/>
        <w:spacing w:after="0" w:afterLines="0" w:line="600" w:lineRule="exact"/>
        <w:ind w:firstLine="562" w:firstLineChars="200"/>
        <w:jc w:val="center"/>
        <w:rPr>
          <w:rFonts w:eastAsia="幼圆" w:cs="Times New Roman"/>
          <w:b/>
          <w:sz w:val="28"/>
          <w:szCs w:val="28"/>
        </w:rPr>
      </w:pPr>
    </w:p>
    <w:p w14:paraId="0BA73A74">
      <w:pPr>
        <w:pStyle w:val="3"/>
        <w:spacing w:after="0" w:afterLines="0" w:line="600" w:lineRule="exact"/>
        <w:ind w:firstLine="643"/>
        <w:rPr>
          <w:rFonts w:cs="Times New Roman"/>
        </w:rPr>
      </w:pPr>
      <w:bookmarkStart w:id="11" w:name="_Toc76939694"/>
      <w:bookmarkStart w:id="12" w:name="_Toc23228"/>
      <w:r>
        <w:rPr>
          <w:rFonts w:cs="Times New Roman"/>
        </w:rPr>
        <w:t>（三）项目资金使用情况</w:t>
      </w:r>
      <w:bookmarkEnd w:id="11"/>
      <w:bookmarkEnd w:id="12"/>
    </w:p>
    <w:p w14:paraId="297A2EE3">
      <w:pPr>
        <w:pStyle w:val="4"/>
        <w:spacing w:after="0" w:afterLines="0"/>
        <w:ind w:firstLine="643"/>
        <w:rPr>
          <w:rFonts w:cs="Times New Roman"/>
        </w:rPr>
      </w:pPr>
      <w:bookmarkStart w:id="13" w:name="_Toc76939695"/>
      <w:bookmarkStart w:id="14" w:name="_Toc11666"/>
      <w:r>
        <w:rPr>
          <w:rFonts w:cs="Times New Roman"/>
        </w:rPr>
        <w:t>1. 项目资金预算及执行情况</w:t>
      </w:r>
      <w:bookmarkEnd w:id="13"/>
      <w:bookmarkEnd w:id="14"/>
    </w:p>
    <w:p w14:paraId="1783C57A">
      <w:pPr>
        <w:autoSpaceDE w:val="0"/>
        <w:autoSpaceDN w:val="0"/>
        <w:adjustRightInd w:val="0"/>
        <w:spacing w:after="0" w:afterLines="0"/>
        <w:ind w:firstLine="643" w:firstLineChars="200"/>
        <w:jc w:val="left"/>
        <w:rPr>
          <w:rFonts w:cs="Times New Roman"/>
          <w:szCs w:val="32"/>
        </w:rPr>
      </w:pPr>
      <w:r>
        <w:rPr>
          <w:rFonts w:cs="Times New Roman"/>
          <w:b/>
          <w:szCs w:val="32"/>
        </w:rPr>
        <w:t>资金预算情况</w:t>
      </w:r>
      <w:r>
        <w:rPr>
          <w:rFonts w:cs="Times New Roman"/>
          <w:szCs w:val="32"/>
        </w:rPr>
        <w:t>：2020年超限超载治理经费项目计划资金数为297.00万元，年初预算数290.00万元</w:t>
      </w:r>
      <w:r>
        <w:rPr>
          <w:rFonts w:hint="eastAsia" w:ascii="仿宋_GB2312"/>
          <w:szCs w:val="32"/>
        </w:rPr>
        <w:t>（财政拨付数）</w:t>
      </w:r>
      <w:r>
        <w:rPr>
          <w:rFonts w:cs="Times New Roman"/>
          <w:szCs w:val="32"/>
        </w:rPr>
        <w:t>。截止2020年底，实际支出资金299.41万元，资金执行率为103.25%。</w:t>
      </w:r>
    </w:p>
    <w:p w14:paraId="038D6D54">
      <w:pPr>
        <w:widowControl/>
        <w:spacing w:after="0" w:afterLines="0"/>
        <w:jc w:val="center"/>
        <w:rPr>
          <w:rFonts w:eastAsia="幼圆" w:cs="Times New Roman"/>
          <w:b/>
          <w:sz w:val="28"/>
          <w:szCs w:val="28"/>
        </w:rPr>
      </w:pPr>
      <w:r>
        <w:rPr>
          <w:rFonts w:eastAsia="幼圆" w:cs="Times New Roman"/>
          <w:b/>
          <w:sz w:val="28"/>
          <w:szCs w:val="28"/>
        </w:rPr>
        <w:t>附表 2020年绵竹市超限超载治理经费情况统计表</w:t>
      </w:r>
    </w:p>
    <w:tbl>
      <w:tblPr>
        <w:tblStyle w:val="21"/>
        <w:tblW w:w="8860" w:type="dxa"/>
        <w:tblInd w:w="93" w:type="dxa"/>
        <w:tblLayout w:type="autofit"/>
        <w:tblCellMar>
          <w:top w:w="0" w:type="dxa"/>
          <w:left w:w="108" w:type="dxa"/>
          <w:bottom w:w="0" w:type="dxa"/>
          <w:right w:w="108" w:type="dxa"/>
        </w:tblCellMar>
      </w:tblPr>
      <w:tblGrid>
        <w:gridCol w:w="1720"/>
        <w:gridCol w:w="1880"/>
        <w:gridCol w:w="1880"/>
        <w:gridCol w:w="1880"/>
        <w:gridCol w:w="1500"/>
      </w:tblGrid>
      <w:tr w14:paraId="3871D0EC">
        <w:tblPrEx>
          <w:tblCellMar>
            <w:top w:w="0" w:type="dxa"/>
            <w:left w:w="108" w:type="dxa"/>
            <w:bottom w:w="0" w:type="dxa"/>
            <w:right w:w="108" w:type="dxa"/>
          </w:tblCellMar>
        </w:tblPrEx>
        <w:trPr>
          <w:trHeight w:val="660" w:hRule="atLeast"/>
        </w:trPr>
        <w:tc>
          <w:tcPr>
            <w:tcW w:w="1720" w:type="dxa"/>
            <w:tcBorders>
              <w:top w:val="single" w:color="auto" w:sz="4" w:space="0"/>
              <w:left w:val="single" w:color="auto" w:sz="4" w:space="0"/>
              <w:bottom w:val="single" w:color="auto" w:sz="4" w:space="0"/>
              <w:right w:val="single" w:color="auto" w:sz="4" w:space="0"/>
            </w:tcBorders>
            <w:shd w:val="clear" w:color="auto" w:fill="00516B"/>
            <w:vAlign w:val="center"/>
          </w:tcPr>
          <w:p w14:paraId="63A7D55A">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项目名称</w:t>
            </w:r>
          </w:p>
        </w:tc>
        <w:tc>
          <w:tcPr>
            <w:tcW w:w="1880" w:type="dxa"/>
            <w:tcBorders>
              <w:top w:val="single" w:color="auto" w:sz="4" w:space="0"/>
              <w:left w:val="nil"/>
              <w:bottom w:val="single" w:color="auto" w:sz="4" w:space="0"/>
              <w:right w:val="single" w:color="auto" w:sz="4" w:space="0"/>
            </w:tcBorders>
            <w:shd w:val="clear" w:color="auto" w:fill="00516B"/>
            <w:vAlign w:val="center"/>
          </w:tcPr>
          <w:p w14:paraId="55BD7A6A">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计划资金数</w:t>
            </w:r>
          </w:p>
          <w:p w14:paraId="38B0D37C">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（万元)</w:t>
            </w:r>
          </w:p>
        </w:tc>
        <w:tc>
          <w:tcPr>
            <w:tcW w:w="1880" w:type="dxa"/>
            <w:tcBorders>
              <w:top w:val="single" w:color="auto" w:sz="4" w:space="0"/>
              <w:left w:val="nil"/>
              <w:bottom w:val="single" w:color="auto" w:sz="4" w:space="0"/>
              <w:right w:val="single" w:color="auto" w:sz="4" w:space="0"/>
            </w:tcBorders>
            <w:shd w:val="clear" w:color="auto" w:fill="00516B"/>
            <w:vAlign w:val="center"/>
          </w:tcPr>
          <w:p w14:paraId="7614FDCC">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年初预算数</w:t>
            </w:r>
          </w:p>
          <w:p w14:paraId="72AE0433">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（万元）</w:t>
            </w:r>
          </w:p>
        </w:tc>
        <w:tc>
          <w:tcPr>
            <w:tcW w:w="1880" w:type="dxa"/>
            <w:tcBorders>
              <w:top w:val="single" w:color="auto" w:sz="4" w:space="0"/>
              <w:left w:val="nil"/>
              <w:bottom w:val="single" w:color="auto" w:sz="4" w:space="0"/>
              <w:right w:val="single" w:color="auto" w:sz="4" w:space="0"/>
            </w:tcBorders>
            <w:shd w:val="clear" w:color="auto" w:fill="00516B"/>
            <w:vAlign w:val="center"/>
          </w:tcPr>
          <w:p w14:paraId="6B3E0DFA">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支出资金</w:t>
            </w:r>
          </w:p>
          <w:p w14:paraId="18E415A9">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（万元）</w:t>
            </w:r>
          </w:p>
        </w:tc>
        <w:tc>
          <w:tcPr>
            <w:tcW w:w="1500" w:type="dxa"/>
            <w:tcBorders>
              <w:top w:val="single" w:color="auto" w:sz="4" w:space="0"/>
              <w:left w:val="nil"/>
              <w:bottom w:val="single" w:color="auto" w:sz="4" w:space="0"/>
              <w:right w:val="single" w:color="auto" w:sz="4" w:space="0"/>
            </w:tcBorders>
            <w:shd w:val="clear" w:color="auto" w:fill="00516B"/>
            <w:vAlign w:val="center"/>
          </w:tcPr>
          <w:p w14:paraId="011FB510">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资金执行率</w:t>
            </w:r>
          </w:p>
        </w:tc>
      </w:tr>
      <w:tr w14:paraId="755C8FE5">
        <w:tblPrEx>
          <w:tblCellMar>
            <w:top w:w="0" w:type="dxa"/>
            <w:left w:w="108" w:type="dxa"/>
            <w:bottom w:w="0" w:type="dxa"/>
            <w:right w:w="108" w:type="dxa"/>
          </w:tblCellMar>
        </w:tblPrEx>
        <w:trPr>
          <w:trHeight w:val="660" w:hRule="atLeast"/>
        </w:trPr>
        <w:tc>
          <w:tcPr>
            <w:tcW w:w="1720" w:type="dxa"/>
            <w:tcBorders>
              <w:top w:val="single" w:color="auto" w:sz="4" w:space="0"/>
              <w:left w:val="single" w:color="auto" w:sz="4" w:space="0"/>
              <w:bottom w:val="single" w:color="auto" w:sz="4" w:space="0"/>
              <w:right w:val="single" w:color="auto" w:sz="4" w:space="0"/>
            </w:tcBorders>
            <w:shd w:val="clear" w:color="auto" w:fill="auto"/>
            <w:vAlign w:val="center"/>
          </w:tcPr>
          <w:p w14:paraId="0168CAB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超限超载</w:t>
            </w:r>
          </w:p>
          <w:p w14:paraId="2C35EA1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治理经费</w:t>
            </w:r>
          </w:p>
        </w:tc>
        <w:tc>
          <w:tcPr>
            <w:tcW w:w="1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62F1E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297.00</w:t>
            </w:r>
          </w:p>
        </w:tc>
        <w:tc>
          <w:tcPr>
            <w:tcW w:w="1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E776C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2900.0</w:t>
            </w:r>
          </w:p>
        </w:tc>
        <w:tc>
          <w:tcPr>
            <w:tcW w:w="1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C3E36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299.41</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F6DBD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103.24%</w:t>
            </w:r>
          </w:p>
        </w:tc>
      </w:tr>
    </w:tbl>
    <w:p w14:paraId="7B094301">
      <w:pPr>
        <w:autoSpaceDE w:val="0"/>
        <w:autoSpaceDN w:val="0"/>
        <w:adjustRightInd w:val="0"/>
        <w:spacing w:after="0" w:afterLines="0" w:line="600" w:lineRule="exact"/>
        <w:ind w:firstLine="640" w:firstLineChars="200"/>
        <w:rPr>
          <w:rFonts w:cs="Times New Roman"/>
          <w:szCs w:val="32"/>
        </w:rPr>
      </w:pPr>
      <w:r>
        <w:rPr>
          <w:rFonts w:cs="Times New Roman"/>
          <w:szCs w:val="32"/>
        </w:rPr>
        <w:t>具体而言，此次经费拨款290.00万元，支出资金为299.41万元，由绵竹市公路路政管理所与绵竹市公路运输管理所共同使用，其中，绵竹市公共路政管理所使用经费228.45万元，占总支出76.30%，公路运输管理所使用经费70.96万元，占总支出23.70%。</w:t>
      </w:r>
    </w:p>
    <w:p w14:paraId="2D5C7ADF">
      <w:pPr>
        <w:widowControl/>
        <w:spacing w:before="312" w:beforeLines="100" w:after="0" w:afterLines="0" w:line="300" w:lineRule="exact"/>
        <w:jc w:val="center"/>
        <w:rPr>
          <w:rFonts w:eastAsia="幼圆" w:cs="Times New Roman"/>
          <w:b/>
          <w:sz w:val="28"/>
          <w:szCs w:val="28"/>
        </w:rPr>
      </w:pPr>
      <w:r>
        <w:rPr>
          <w:rFonts w:eastAsia="幼圆" w:cs="Times New Roman"/>
          <w:b/>
          <w:sz w:val="28"/>
          <w:szCs w:val="28"/>
        </w:rPr>
        <w:t>附表 绵竹市2020年度超限超载治理经费分配使用明细表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1172"/>
        <w:gridCol w:w="3369"/>
        <w:gridCol w:w="1955"/>
        <w:gridCol w:w="1692"/>
      </w:tblGrid>
      <w:tr w14:paraId="01B15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81" w:type="pct"/>
            <w:shd w:val="clear" w:color="000000" w:fill="00516B"/>
            <w:noWrap/>
            <w:vAlign w:val="center"/>
          </w:tcPr>
          <w:p w14:paraId="4FE27A14">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序号</w:t>
            </w:r>
          </w:p>
        </w:tc>
        <w:tc>
          <w:tcPr>
            <w:tcW w:w="647" w:type="pct"/>
            <w:shd w:val="clear" w:color="000000" w:fill="00516B"/>
            <w:noWrap/>
            <w:vAlign w:val="center"/>
          </w:tcPr>
          <w:p w14:paraId="3E722C87">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使用单位</w:t>
            </w:r>
          </w:p>
        </w:tc>
        <w:tc>
          <w:tcPr>
            <w:tcW w:w="1859" w:type="pct"/>
            <w:shd w:val="clear" w:color="000000" w:fill="00516B"/>
            <w:noWrap/>
            <w:vAlign w:val="center"/>
          </w:tcPr>
          <w:p w14:paraId="3D231A06">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资金用途</w:t>
            </w:r>
          </w:p>
        </w:tc>
        <w:tc>
          <w:tcPr>
            <w:tcW w:w="1079" w:type="pct"/>
            <w:shd w:val="clear" w:color="000000" w:fill="00516B"/>
            <w:noWrap/>
            <w:vAlign w:val="center"/>
          </w:tcPr>
          <w:p w14:paraId="06AA3000">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支付金额（万元）</w:t>
            </w:r>
          </w:p>
        </w:tc>
        <w:tc>
          <w:tcPr>
            <w:tcW w:w="935" w:type="pct"/>
            <w:shd w:val="clear" w:color="000000" w:fill="00516B"/>
            <w:noWrap/>
            <w:vAlign w:val="center"/>
          </w:tcPr>
          <w:p w14:paraId="4A001EFB">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占总支出（%）</w:t>
            </w:r>
          </w:p>
        </w:tc>
      </w:tr>
      <w:tr w14:paraId="581C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BA6A83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w:t>
            </w:r>
          </w:p>
        </w:tc>
        <w:tc>
          <w:tcPr>
            <w:tcW w:w="647" w:type="pct"/>
            <w:vMerge w:val="restart"/>
            <w:shd w:val="clear" w:color="auto" w:fill="auto"/>
            <w:noWrap/>
            <w:vAlign w:val="center"/>
          </w:tcPr>
          <w:p w14:paraId="139070D3">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路政所</w:t>
            </w:r>
          </w:p>
        </w:tc>
        <w:tc>
          <w:tcPr>
            <w:tcW w:w="1859" w:type="pct"/>
            <w:shd w:val="clear" w:color="auto" w:fill="auto"/>
            <w:noWrap/>
            <w:vAlign w:val="center"/>
          </w:tcPr>
          <w:p w14:paraId="2744F82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协管人员工资及奖金</w:t>
            </w:r>
          </w:p>
        </w:tc>
        <w:tc>
          <w:tcPr>
            <w:tcW w:w="1079" w:type="pct"/>
            <w:shd w:val="clear" w:color="auto" w:fill="auto"/>
            <w:noWrap/>
            <w:vAlign w:val="center"/>
          </w:tcPr>
          <w:p w14:paraId="1BF0D2E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131.55 </w:t>
            </w:r>
          </w:p>
        </w:tc>
        <w:tc>
          <w:tcPr>
            <w:tcW w:w="935" w:type="pct"/>
            <w:shd w:val="clear" w:color="auto" w:fill="auto"/>
            <w:noWrap/>
            <w:vAlign w:val="center"/>
          </w:tcPr>
          <w:p w14:paraId="00D7211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43.94 </w:t>
            </w:r>
          </w:p>
        </w:tc>
      </w:tr>
      <w:tr w14:paraId="640F0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E2BDDA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w:t>
            </w:r>
          </w:p>
        </w:tc>
        <w:tc>
          <w:tcPr>
            <w:tcW w:w="647" w:type="pct"/>
            <w:vMerge w:val="continue"/>
            <w:vAlign w:val="center"/>
          </w:tcPr>
          <w:p w14:paraId="53E3C50F">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640BA56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协管人员五险</w:t>
            </w:r>
          </w:p>
        </w:tc>
        <w:tc>
          <w:tcPr>
            <w:tcW w:w="1079" w:type="pct"/>
            <w:shd w:val="clear" w:color="auto" w:fill="auto"/>
            <w:noWrap/>
            <w:vAlign w:val="center"/>
          </w:tcPr>
          <w:p w14:paraId="2DD5D2F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31.13 </w:t>
            </w:r>
          </w:p>
        </w:tc>
        <w:tc>
          <w:tcPr>
            <w:tcW w:w="935" w:type="pct"/>
            <w:shd w:val="clear" w:color="auto" w:fill="auto"/>
            <w:noWrap/>
            <w:vAlign w:val="center"/>
          </w:tcPr>
          <w:p w14:paraId="7F0B001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10.40 </w:t>
            </w:r>
          </w:p>
        </w:tc>
      </w:tr>
      <w:tr w14:paraId="2531C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EC76C3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3</w:t>
            </w:r>
          </w:p>
        </w:tc>
        <w:tc>
          <w:tcPr>
            <w:tcW w:w="647" w:type="pct"/>
            <w:vMerge w:val="continue"/>
            <w:vAlign w:val="center"/>
          </w:tcPr>
          <w:p w14:paraId="338ED677">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09C6695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协管人员值班</w:t>
            </w:r>
          </w:p>
        </w:tc>
        <w:tc>
          <w:tcPr>
            <w:tcW w:w="1079" w:type="pct"/>
            <w:shd w:val="clear" w:color="auto" w:fill="auto"/>
            <w:noWrap/>
            <w:vAlign w:val="center"/>
          </w:tcPr>
          <w:p w14:paraId="1BC363A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2.47 </w:t>
            </w:r>
          </w:p>
        </w:tc>
        <w:tc>
          <w:tcPr>
            <w:tcW w:w="935" w:type="pct"/>
            <w:shd w:val="clear" w:color="auto" w:fill="auto"/>
            <w:noWrap/>
            <w:vAlign w:val="center"/>
          </w:tcPr>
          <w:p w14:paraId="31D3CB7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0.82 </w:t>
            </w:r>
          </w:p>
        </w:tc>
      </w:tr>
      <w:tr w14:paraId="6253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10B87F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4</w:t>
            </w:r>
          </w:p>
        </w:tc>
        <w:tc>
          <w:tcPr>
            <w:tcW w:w="647" w:type="pct"/>
            <w:vMerge w:val="continue"/>
            <w:vAlign w:val="center"/>
          </w:tcPr>
          <w:p w14:paraId="326B1559">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511EC74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协管人员加班工资</w:t>
            </w:r>
          </w:p>
        </w:tc>
        <w:tc>
          <w:tcPr>
            <w:tcW w:w="1079" w:type="pct"/>
            <w:shd w:val="clear" w:color="auto" w:fill="auto"/>
            <w:noWrap/>
            <w:vAlign w:val="center"/>
          </w:tcPr>
          <w:p w14:paraId="24CFF33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1.56 </w:t>
            </w:r>
          </w:p>
        </w:tc>
        <w:tc>
          <w:tcPr>
            <w:tcW w:w="935" w:type="pct"/>
            <w:shd w:val="clear" w:color="auto" w:fill="auto"/>
            <w:noWrap/>
            <w:vAlign w:val="center"/>
          </w:tcPr>
          <w:p w14:paraId="58B2E6F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0.52 </w:t>
            </w:r>
          </w:p>
        </w:tc>
      </w:tr>
      <w:tr w14:paraId="79171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34559D1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5</w:t>
            </w:r>
          </w:p>
        </w:tc>
        <w:tc>
          <w:tcPr>
            <w:tcW w:w="647" w:type="pct"/>
            <w:vMerge w:val="continue"/>
            <w:vAlign w:val="center"/>
          </w:tcPr>
          <w:p w14:paraId="53786621">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4CF2D39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借用人员刘军工资奖金及保险</w:t>
            </w:r>
          </w:p>
        </w:tc>
        <w:tc>
          <w:tcPr>
            <w:tcW w:w="1079" w:type="pct"/>
            <w:shd w:val="clear" w:color="auto" w:fill="auto"/>
            <w:noWrap/>
            <w:vAlign w:val="center"/>
          </w:tcPr>
          <w:p w14:paraId="1AACD66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10.74 </w:t>
            </w:r>
          </w:p>
        </w:tc>
        <w:tc>
          <w:tcPr>
            <w:tcW w:w="935" w:type="pct"/>
            <w:shd w:val="clear" w:color="auto" w:fill="auto"/>
            <w:noWrap/>
            <w:vAlign w:val="center"/>
          </w:tcPr>
          <w:p w14:paraId="73AAC36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3.59 </w:t>
            </w:r>
          </w:p>
        </w:tc>
      </w:tr>
      <w:tr w14:paraId="0FE86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6969D3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6</w:t>
            </w:r>
          </w:p>
        </w:tc>
        <w:tc>
          <w:tcPr>
            <w:tcW w:w="647" w:type="pct"/>
            <w:vMerge w:val="continue"/>
            <w:vAlign w:val="center"/>
          </w:tcPr>
          <w:p w14:paraId="5B1A7CFB">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22398AE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协管人员终止劳动合同补偿金</w:t>
            </w:r>
          </w:p>
        </w:tc>
        <w:tc>
          <w:tcPr>
            <w:tcW w:w="1079" w:type="pct"/>
            <w:shd w:val="clear" w:color="auto" w:fill="auto"/>
            <w:noWrap/>
            <w:vAlign w:val="center"/>
          </w:tcPr>
          <w:p w14:paraId="1492214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0.82 </w:t>
            </w:r>
          </w:p>
        </w:tc>
        <w:tc>
          <w:tcPr>
            <w:tcW w:w="935" w:type="pct"/>
            <w:shd w:val="clear" w:color="auto" w:fill="auto"/>
            <w:noWrap/>
            <w:vAlign w:val="center"/>
          </w:tcPr>
          <w:p w14:paraId="4513491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0.27 </w:t>
            </w:r>
          </w:p>
        </w:tc>
      </w:tr>
      <w:tr w14:paraId="7AE7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60B8065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7</w:t>
            </w:r>
          </w:p>
        </w:tc>
        <w:tc>
          <w:tcPr>
            <w:tcW w:w="647" w:type="pct"/>
            <w:vMerge w:val="continue"/>
            <w:vAlign w:val="center"/>
          </w:tcPr>
          <w:p w14:paraId="0ED81ABD">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1386840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公益性岗位人员奖金</w:t>
            </w:r>
          </w:p>
        </w:tc>
        <w:tc>
          <w:tcPr>
            <w:tcW w:w="1079" w:type="pct"/>
            <w:shd w:val="clear" w:color="auto" w:fill="auto"/>
            <w:noWrap/>
            <w:vAlign w:val="center"/>
          </w:tcPr>
          <w:p w14:paraId="2A84B3D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1.50 </w:t>
            </w:r>
          </w:p>
        </w:tc>
        <w:tc>
          <w:tcPr>
            <w:tcW w:w="935" w:type="pct"/>
            <w:shd w:val="clear" w:color="auto" w:fill="auto"/>
            <w:noWrap/>
            <w:vAlign w:val="center"/>
          </w:tcPr>
          <w:p w14:paraId="3FF37BF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0.50 </w:t>
            </w:r>
          </w:p>
        </w:tc>
      </w:tr>
      <w:tr w14:paraId="6FA27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7383BF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8</w:t>
            </w:r>
          </w:p>
        </w:tc>
        <w:tc>
          <w:tcPr>
            <w:tcW w:w="647" w:type="pct"/>
            <w:vMerge w:val="continue"/>
            <w:vAlign w:val="center"/>
          </w:tcPr>
          <w:p w14:paraId="33606FAF">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15A94BF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公益性岗位困难职工补助</w:t>
            </w:r>
          </w:p>
        </w:tc>
        <w:tc>
          <w:tcPr>
            <w:tcW w:w="1079" w:type="pct"/>
            <w:shd w:val="clear" w:color="auto" w:fill="auto"/>
            <w:noWrap/>
            <w:vAlign w:val="center"/>
          </w:tcPr>
          <w:p w14:paraId="1AD40FD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1.00 </w:t>
            </w:r>
          </w:p>
        </w:tc>
        <w:tc>
          <w:tcPr>
            <w:tcW w:w="935" w:type="pct"/>
            <w:shd w:val="clear" w:color="auto" w:fill="auto"/>
            <w:noWrap/>
            <w:vAlign w:val="center"/>
          </w:tcPr>
          <w:p w14:paraId="547034B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0.33 </w:t>
            </w:r>
          </w:p>
        </w:tc>
      </w:tr>
      <w:tr w14:paraId="41DF0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464C97F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9</w:t>
            </w:r>
          </w:p>
        </w:tc>
        <w:tc>
          <w:tcPr>
            <w:tcW w:w="647" w:type="pct"/>
            <w:vMerge w:val="continue"/>
            <w:vAlign w:val="center"/>
          </w:tcPr>
          <w:p w14:paraId="036F5B51">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620EF1D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伙食补助费</w:t>
            </w:r>
          </w:p>
        </w:tc>
        <w:tc>
          <w:tcPr>
            <w:tcW w:w="1079" w:type="pct"/>
            <w:shd w:val="clear" w:color="auto" w:fill="auto"/>
            <w:noWrap/>
            <w:vAlign w:val="center"/>
          </w:tcPr>
          <w:p w14:paraId="725FAC0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15.34 </w:t>
            </w:r>
          </w:p>
        </w:tc>
        <w:tc>
          <w:tcPr>
            <w:tcW w:w="935" w:type="pct"/>
            <w:shd w:val="clear" w:color="auto" w:fill="auto"/>
            <w:noWrap/>
            <w:vAlign w:val="center"/>
          </w:tcPr>
          <w:p w14:paraId="5B575ED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5.12 </w:t>
            </w:r>
          </w:p>
        </w:tc>
      </w:tr>
      <w:tr w14:paraId="6A96B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343B4F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w:t>
            </w:r>
          </w:p>
        </w:tc>
        <w:tc>
          <w:tcPr>
            <w:tcW w:w="647" w:type="pct"/>
            <w:vMerge w:val="continue"/>
            <w:vAlign w:val="center"/>
          </w:tcPr>
          <w:p w14:paraId="7781FDFB">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50F9845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超限点及卸载场办公费</w:t>
            </w:r>
          </w:p>
        </w:tc>
        <w:tc>
          <w:tcPr>
            <w:tcW w:w="1079" w:type="pct"/>
            <w:shd w:val="clear" w:color="auto" w:fill="auto"/>
            <w:noWrap/>
            <w:vAlign w:val="center"/>
          </w:tcPr>
          <w:p w14:paraId="0F57B92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2.09 </w:t>
            </w:r>
          </w:p>
        </w:tc>
        <w:tc>
          <w:tcPr>
            <w:tcW w:w="935" w:type="pct"/>
            <w:shd w:val="clear" w:color="auto" w:fill="auto"/>
            <w:noWrap/>
            <w:vAlign w:val="center"/>
          </w:tcPr>
          <w:p w14:paraId="3365FC8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0.70 </w:t>
            </w:r>
          </w:p>
        </w:tc>
      </w:tr>
      <w:tr w14:paraId="3312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3406238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11</w:t>
            </w:r>
          </w:p>
        </w:tc>
        <w:tc>
          <w:tcPr>
            <w:tcW w:w="647" w:type="pct"/>
            <w:vMerge w:val="continue"/>
            <w:vAlign w:val="center"/>
          </w:tcPr>
          <w:p w14:paraId="6A8F042E">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0BA053B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超限点及卸载场印刷费</w:t>
            </w:r>
          </w:p>
        </w:tc>
        <w:tc>
          <w:tcPr>
            <w:tcW w:w="1079" w:type="pct"/>
            <w:shd w:val="clear" w:color="auto" w:fill="auto"/>
            <w:noWrap/>
            <w:vAlign w:val="center"/>
          </w:tcPr>
          <w:p w14:paraId="20B9839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0.09 </w:t>
            </w:r>
          </w:p>
        </w:tc>
        <w:tc>
          <w:tcPr>
            <w:tcW w:w="935" w:type="pct"/>
            <w:shd w:val="clear" w:color="auto" w:fill="auto"/>
            <w:noWrap/>
            <w:vAlign w:val="center"/>
          </w:tcPr>
          <w:p w14:paraId="07FA942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0.07 </w:t>
            </w:r>
          </w:p>
        </w:tc>
      </w:tr>
      <w:tr w14:paraId="0184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AE8FF4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12</w:t>
            </w:r>
          </w:p>
        </w:tc>
        <w:tc>
          <w:tcPr>
            <w:tcW w:w="647" w:type="pct"/>
            <w:vMerge w:val="continue"/>
            <w:vAlign w:val="center"/>
          </w:tcPr>
          <w:p w14:paraId="37961518">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13B40C71">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超限点及卸载场电费</w:t>
            </w:r>
          </w:p>
        </w:tc>
        <w:tc>
          <w:tcPr>
            <w:tcW w:w="1079" w:type="pct"/>
            <w:shd w:val="clear" w:color="auto" w:fill="auto"/>
            <w:noWrap/>
            <w:vAlign w:val="center"/>
          </w:tcPr>
          <w:p w14:paraId="7D4E12E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2.98 </w:t>
            </w:r>
          </w:p>
        </w:tc>
        <w:tc>
          <w:tcPr>
            <w:tcW w:w="935" w:type="pct"/>
            <w:shd w:val="clear" w:color="auto" w:fill="auto"/>
            <w:noWrap/>
            <w:vAlign w:val="center"/>
          </w:tcPr>
          <w:p w14:paraId="37382F8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0.99 </w:t>
            </w:r>
          </w:p>
        </w:tc>
      </w:tr>
      <w:tr w14:paraId="2088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5ECA321">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13</w:t>
            </w:r>
          </w:p>
        </w:tc>
        <w:tc>
          <w:tcPr>
            <w:tcW w:w="647" w:type="pct"/>
            <w:vMerge w:val="continue"/>
            <w:vAlign w:val="center"/>
          </w:tcPr>
          <w:p w14:paraId="723B140F">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5F7D7E6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超限点及卸载场维修费</w:t>
            </w:r>
          </w:p>
        </w:tc>
        <w:tc>
          <w:tcPr>
            <w:tcW w:w="1079" w:type="pct"/>
            <w:shd w:val="clear" w:color="auto" w:fill="auto"/>
            <w:noWrap/>
            <w:vAlign w:val="center"/>
          </w:tcPr>
          <w:p w14:paraId="6C67387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2.68 </w:t>
            </w:r>
          </w:p>
        </w:tc>
        <w:tc>
          <w:tcPr>
            <w:tcW w:w="935" w:type="pct"/>
            <w:shd w:val="clear" w:color="auto" w:fill="auto"/>
            <w:noWrap/>
            <w:vAlign w:val="center"/>
          </w:tcPr>
          <w:p w14:paraId="4EEE2185">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0.89 </w:t>
            </w:r>
          </w:p>
        </w:tc>
      </w:tr>
      <w:tr w14:paraId="3342C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3976676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14</w:t>
            </w:r>
          </w:p>
        </w:tc>
        <w:tc>
          <w:tcPr>
            <w:tcW w:w="647" w:type="pct"/>
            <w:vMerge w:val="continue"/>
            <w:vAlign w:val="center"/>
          </w:tcPr>
          <w:p w14:paraId="0E6A0688">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14894BA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超限超载违法行为告知书邮寄费</w:t>
            </w:r>
          </w:p>
        </w:tc>
        <w:tc>
          <w:tcPr>
            <w:tcW w:w="1079" w:type="pct"/>
            <w:shd w:val="clear" w:color="auto" w:fill="auto"/>
            <w:noWrap/>
            <w:vAlign w:val="center"/>
          </w:tcPr>
          <w:p w14:paraId="7227FAA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1.47 </w:t>
            </w:r>
          </w:p>
        </w:tc>
        <w:tc>
          <w:tcPr>
            <w:tcW w:w="935" w:type="pct"/>
            <w:shd w:val="clear" w:color="auto" w:fill="auto"/>
            <w:noWrap/>
            <w:vAlign w:val="center"/>
          </w:tcPr>
          <w:p w14:paraId="02C74F8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0.49 </w:t>
            </w:r>
          </w:p>
        </w:tc>
      </w:tr>
      <w:tr w14:paraId="4AD6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315052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15</w:t>
            </w:r>
          </w:p>
        </w:tc>
        <w:tc>
          <w:tcPr>
            <w:tcW w:w="647" w:type="pct"/>
            <w:vMerge w:val="continue"/>
            <w:vAlign w:val="center"/>
          </w:tcPr>
          <w:p w14:paraId="78725711">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55831B1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治超工作接待费</w:t>
            </w:r>
          </w:p>
        </w:tc>
        <w:tc>
          <w:tcPr>
            <w:tcW w:w="1079" w:type="pct"/>
            <w:shd w:val="clear" w:color="auto" w:fill="auto"/>
            <w:noWrap/>
            <w:vAlign w:val="center"/>
          </w:tcPr>
          <w:p w14:paraId="21B31B3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0.22 </w:t>
            </w:r>
          </w:p>
        </w:tc>
        <w:tc>
          <w:tcPr>
            <w:tcW w:w="935" w:type="pct"/>
            <w:shd w:val="clear" w:color="auto" w:fill="auto"/>
            <w:noWrap/>
            <w:vAlign w:val="center"/>
          </w:tcPr>
          <w:p w14:paraId="6F271ED5">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0.07 </w:t>
            </w:r>
          </w:p>
        </w:tc>
      </w:tr>
      <w:tr w14:paraId="0969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E21D3A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16</w:t>
            </w:r>
          </w:p>
        </w:tc>
        <w:tc>
          <w:tcPr>
            <w:tcW w:w="647" w:type="pct"/>
            <w:vMerge w:val="continue"/>
            <w:vAlign w:val="center"/>
          </w:tcPr>
          <w:p w14:paraId="62C18063">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3467442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公益性人员稳岗工作费</w:t>
            </w:r>
          </w:p>
        </w:tc>
        <w:tc>
          <w:tcPr>
            <w:tcW w:w="1079" w:type="pct"/>
            <w:shd w:val="clear" w:color="auto" w:fill="auto"/>
            <w:noWrap/>
            <w:vAlign w:val="center"/>
          </w:tcPr>
          <w:p w14:paraId="78AFA05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0.32 </w:t>
            </w:r>
          </w:p>
        </w:tc>
        <w:tc>
          <w:tcPr>
            <w:tcW w:w="935" w:type="pct"/>
            <w:shd w:val="clear" w:color="auto" w:fill="auto"/>
            <w:noWrap/>
            <w:vAlign w:val="center"/>
          </w:tcPr>
          <w:p w14:paraId="04A6ADE1">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0.11 </w:t>
            </w:r>
          </w:p>
        </w:tc>
      </w:tr>
      <w:tr w14:paraId="63DAF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2875EC1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17</w:t>
            </w:r>
          </w:p>
        </w:tc>
        <w:tc>
          <w:tcPr>
            <w:tcW w:w="647" w:type="pct"/>
            <w:vMerge w:val="continue"/>
            <w:vAlign w:val="center"/>
          </w:tcPr>
          <w:p w14:paraId="4EEFFF28">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681C8D9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协管人员差旅费</w:t>
            </w:r>
          </w:p>
        </w:tc>
        <w:tc>
          <w:tcPr>
            <w:tcW w:w="1079" w:type="pct"/>
            <w:shd w:val="clear" w:color="auto" w:fill="auto"/>
            <w:noWrap/>
            <w:vAlign w:val="center"/>
          </w:tcPr>
          <w:p w14:paraId="2A703DC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6.72 </w:t>
            </w:r>
          </w:p>
        </w:tc>
        <w:tc>
          <w:tcPr>
            <w:tcW w:w="935" w:type="pct"/>
            <w:shd w:val="clear" w:color="auto" w:fill="auto"/>
            <w:noWrap/>
            <w:vAlign w:val="center"/>
          </w:tcPr>
          <w:p w14:paraId="2EFE10E5">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2.24 </w:t>
            </w:r>
          </w:p>
        </w:tc>
      </w:tr>
      <w:tr w14:paraId="723F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6344AEE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18</w:t>
            </w:r>
          </w:p>
        </w:tc>
        <w:tc>
          <w:tcPr>
            <w:tcW w:w="647" w:type="pct"/>
            <w:vMerge w:val="continue"/>
            <w:vAlign w:val="center"/>
          </w:tcPr>
          <w:p w14:paraId="5CF77238">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1BE5AA0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协管人员工会慰问费</w:t>
            </w:r>
          </w:p>
        </w:tc>
        <w:tc>
          <w:tcPr>
            <w:tcW w:w="1079" w:type="pct"/>
            <w:shd w:val="clear" w:color="auto" w:fill="auto"/>
            <w:noWrap/>
            <w:vAlign w:val="center"/>
          </w:tcPr>
          <w:p w14:paraId="54B9C18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11.71 </w:t>
            </w:r>
          </w:p>
        </w:tc>
        <w:tc>
          <w:tcPr>
            <w:tcW w:w="935" w:type="pct"/>
            <w:shd w:val="clear" w:color="auto" w:fill="auto"/>
            <w:noWrap/>
            <w:vAlign w:val="center"/>
          </w:tcPr>
          <w:p w14:paraId="7541A40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3.91 </w:t>
            </w:r>
          </w:p>
        </w:tc>
      </w:tr>
      <w:tr w14:paraId="502CB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78928E5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19</w:t>
            </w:r>
          </w:p>
        </w:tc>
        <w:tc>
          <w:tcPr>
            <w:tcW w:w="647" w:type="pct"/>
            <w:vMerge w:val="continue"/>
            <w:vAlign w:val="center"/>
          </w:tcPr>
          <w:p w14:paraId="296C9520">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45A1B28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“非洲猪瘟”防控卡点值班费</w:t>
            </w:r>
          </w:p>
        </w:tc>
        <w:tc>
          <w:tcPr>
            <w:tcW w:w="1079" w:type="pct"/>
            <w:shd w:val="clear" w:color="auto" w:fill="auto"/>
            <w:noWrap/>
            <w:vAlign w:val="center"/>
          </w:tcPr>
          <w:p w14:paraId="674AF74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1.15 </w:t>
            </w:r>
          </w:p>
        </w:tc>
        <w:tc>
          <w:tcPr>
            <w:tcW w:w="935" w:type="pct"/>
            <w:shd w:val="clear" w:color="auto" w:fill="auto"/>
            <w:noWrap/>
            <w:vAlign w:val="center"/>
          </w:tcPr>
          <w:p w14:paraId="41FE346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0.38 </w:t>
            </w:r>
          </w:p>
        </w:tc>
      </w:tr>
      <w:tr w14:paraId="58F32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F816EB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20</w:t>
            </w:r>
          </w:p>
        </w:tc>
        <w:tc>
          <w:tcPr>
            <w:tcW w:w="647" w:type="pct"/>
            <w:vMerge w:val="continue"/>
            <w:vAlign w:val="center"/>
          </w:tcPr>
          <w:p w14:paraId="03809010">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762370C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其他商品和服务支出</w:t>
            </w:r>
          </w:p>
        </w:tc>
        <w:tc>
          <w:tcPr>
            <w:tcW w:w="1079" w:type="pct"/>
            <w:shd w:val="clear" w:color="auto" w:fill="auto"/>
            <w:noWrap/>
            <w:vAlign w:val="center"/>
          </w:tcPr>
          <w:p w14:paraId="48AA809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2.92 </w:t>
            </w:r>
          </w:p>
        </w:tc>
        <w:tc>
          <w:tcPr>
            <w:tcW w:w="935" w:type="pct"/>
            <w:shd w:val="clear" w:color="auto" w:fill="auto"/>
            <w:noWrap/>
            <w:vAlign w:val="center"/>
          </w:tcPr>
          <w:p w14:paraId="50153731">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0.97 </w:t>
            </w:r>
          </w:p>
        </w:tc>
      </w:tr>
      <w:tr w14:paraId="7395E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43AFEC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21</w:t>
            </w:r>
          </w:p>
        </w:tc>
        <w:tc>
          <w:tcPr>
            <w:tcW w:w="647" w:type="pct"/>
            <w:vMerge w:val="continue"/>
            <w:vAlign w:val="center"/>
          </w:tcPr>
          <w:p w14:paraId="664D898F">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47A32EA8">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小计</w:t>
            </w:r>
          </w:p>
        </w:tc>
        <w:tc>
          <w:tcPr>
            <w:tcW w:w="1079" w:type="pct"/>
            <w:shd w:val="clear" w:color="auto" w:fill="auto"/>
            <w:noWrap/>
            <w:vAlign w:val="center"/>
          </w:tcPr>
          <w:p w14:paraId="5A41B89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228.45 </w:t>
            </w:r>
          </w:p>
        </w:tc>
        <w:tc>
          <w:tcPr>
            <w:tcW w:w="935" w:type="pct"/>
            <w:shd w:val="clear" w:color="auto" w:fill="auto"/>
            <w:noWrap/>
            <w:vAlign w:val="center"/>
          </w:tcPr>
          <w:p w14:paraId="2653B00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76.30 </w:t>
            </w:r>
          </w:p>
        </w:tc>
      </w:tr>
      <w:tr w14:paraId="6D37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8D3486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22</w:t>
            </w:r>
          </w:p>
        </w:tc>
        <w:tc>
          <w:tcPr>
            <w:tcW w:w="647" w:type="pct"/>
            <w:vMerge w:val="restart"/>
            <w:shd w:val="clear" w:color="auto" w:fill="auto"/>
            <w:noWrap/>
            <w:vAlign w:val="center"/>
          </w:tcPr>
          <w:p w14:paraId="3C8D45CD">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运管所</w:t>
            </w:r>
          </w:p>
        </w:tc>
        <w:tc>
          <w:tcPr>
            <w:tcW w:w="1859" w:type="pct"/>
            <w:shd w:val="clear" w:color="auto" w:fill="auto"/>
            <w:noWrap/>
            <w:vAlign w:val="center"/>
          </w:tcPr>
          <w:p w14:paraId="12BB8DA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临时人员工资及附加</w:t>
            </w:r>
          </w:p>
        </w:tc>
        <w:tc>
          <w:tcPr>
            <w:tcW w:w="1079" w:type="pct"/>
            <w:shd w:val="clear" w:color="auto" w:fill="auto"/>
            <w:noWrap/>
            <w:vAlign w:val="center"/>
          </w:tcPr>
          <w:p w14:paraId="40364B1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51.20 </w:t>
            </w:r>
          </w:p>
        </w:tc>
        <w:tc>
          <w:tcPr>
            <w:tcW w:w="935" w:type="pct"/>
            <w:shd w:val="clear" w:color="auto" w:fill="auto"/>
            <w:noWrap/>
            <w:vAlign w:val="center"/>
          </w:tcPr>
          <w:p w14:paraId="7DEC4C4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17.10 </w:t>
            </w:r>
          </w:p>
        </w:tc>
      </w:tr>
      <w:tr w14:paraId="0042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0A6B17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23</w:t>
            </w:r>
          </w:p>
        </w:tc>
        <w:tc>
          <w:tcPr>
            <w:tcW w:w="647" w:type="pct"/>
            <w:vMerge w:val="continue"/>
            <w:vAlign w:val="center"/>
          </w:tcPr>
          <w:p w14:paraId="15F23E0E">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0943583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临时人员及公益性岗位人员保险</w:t>
            </w:r>
          </w:p>
        </w:tc>
        <w:tc>
          <w:tcPr>
            <w:tcW w:w="1079" w:type="pct"/>
            <w:shd w:val="clear" w:color="auto" w:fill="auto"/>
            <w:noWrap/>
            <w:vAlign w:val="center"/>
          </w:tcPr>
          <w:p w14:paraId="779AD1C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14.85 </w:t>
            </w:r>
          </w:p>
        </w:tc>
        <w:tc>
          <w:tcPr>
            <w:tcW w:w="935" w:type="pct"/>
            <w:shd w:val="clear" w:color="auto" w:fill="auto"/>
            <w:noWrap/>
            <w:vAlign w:val="center"/>
          </w:tcPr>
          <w:p w14:paraId="096EF1E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4.96 </w:t>
            </w:r>
          </w:p>
        </w:tc>
      </w:tr>
      <w:tr w14:paraId="6BDB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0BE5460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24</w:t>
            </w:r>
          </w:p>
        </w:tc>
        <w:tc>
          <w:tcPr>
            <w:tcW w:w="647" w:type="pct"/>
            <w:vMerge w:val="continue"/>
            <w:vAlign w:val="center"/>
          </w:tcPr>
          <w:p w14:paraId="75BB1663">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2556B88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治超工作办公费</w:t>
            </w:r>
          </w:p>
        </w:tc>
        <w:tc>
          <w:tcPr>
            <w:tcW w:w="1079" w:type="pct"/>
            <w:shd w:val="clear" w:color="auto" w:fill="auto"/>
            <w:noWrap/>
            <w:vAlign w:val="center"/>
          </w:tcPr>
          <w:p w14:paraId="0AF13B2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0.19 </w:t>
            </w:r>
          </w:p>
        </w:tc>
        <w:tc>
          <w:tcPr>
            <w:tcW w:w="935" w:type="pct"/>
            <w:shd w:val="clear" w:color="auto" w:fill="auto"/>
            <w:noWrap/>
            <w:vAlign w:val="center"/>
          </w:tcPr>
          <w:p w14:paraId="63771E8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0.06 </w:t>
            </w:r>
          </w:p>
        </w:tc>
      </w:tr>
      <w:tr w14:paraId="6BE0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55264B0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25</w:t>
            </w:r>
          </w:p>
        </w:tc>
        <w:tc>
          <w:tcPr>
            <w:tcW w:w="647" w:type="pct"/>
            <w:vMerge w:val="continue"/>
            <w:vAlign w:val="center"/>
          </w:tcPr>
          <w:p w14:paraId="391A19F3">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39624C2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临时人员工会慰问费</w:t>
            </w:r>
          </w:p>
        </w:tc>
        <w:tc>
          <w:tcPr>
            <w:tcW w:w="1079" w:type="pct"/>
            <w:shd w:val="clear" w:color="auto" w:fill="auto"/>
            <w:noWrap/>
            <w:vAlign w:val="center"/>
          </w:tcPr>
          <w:p w14:paraId="0B105BF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4.73 </w:t>
            </w:r>
          </w:p>
        </w:tc>
        <w:tc>
          <w:tcPr>
            <w:tcW w:w="935" w:type="pct"/>
            <w:shd w:val="clear" w:color="auto" w:fill="auto"/>
            <w:noWrap/>
            <w:vAlign w:val="center"/>
          </w:tcPr>
          <w:p w14:paraId="0DA41C5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1.58 </w:t>
            </w:r>
          </w:p>
        </w:tc>
      </w:tr>
      <w:tr w14:paraId="1F1CF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1388975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26</w:t>
            </w:r>
          </w:p>
        </w:tc>
        <w:tc>
          <w:tcPr>
            <w:tcW w:w="647" w:type="pct"/>
            <w:vMerge w:val="continue"/>
            <w:vAlign w:val="center"/>
          </w:tcPr>
          <w:p w14:paraId="7A23471C">
            <w:pPr>
              <w:widowControl/>
              <w:spacing w:after="156" w:line="280" w:lineRule="exact"/>
              <w:jc w:val="left"/>
              <w:rPr>
                <w:rFonts w:eastAsia="宋体" w:cs="Times New Roman"/>
                <w:color w:val="000000"/>
                <w:kern w:val="0"/>
                <w:sz w:val="20"/>
                <w:szCs w:val="20"/>
              </w:rPr>
            </w:pPr>
          </w:p>
        </w:tc>
        <w:tc>
          <w:tcPr>
            <w:tcW w:w="1859" w:type="pct"/>
            <w:shd w:val="clear" w:color="auto" w:fill="auto"/>
            <w:noWrap/>
            <w:vAlign w:val="center"/>
          </w:tcPr>
          <w:p w14:paraId="366C0132">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小计</w:t>
            </w:r>
          </w:p>
        </w:tc>
        <w:tc>
          <w:tcPr>
            <w:tcW w:w="1079" w:type="pct"/>
            <w:shd w:val="clear" w:color="auto" w:fill="auto"/>
            <w:noWrap/>
            <w:vAlign w:val="center"/>
          </w:tcPr>
          <w:p w14:paraId="6876B71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70.96 </w:t>
            </w:r>
          </w:p>
        </w:tc>
        <w:tc>
          <w:tcPr>
            <w:tcW w:w="935" w:type="pct"/>
            <w:shd w:val="clear" w:color="auto" w:fill="auto"/>
            <w:noWrap/>
            <w:vAlign w:val="center"/>
          </w:tcPr>
          <w:p w14:paraId="2D5B356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23.70 </w:t>
            </w:r>
          </w:p>
        </w:tc>
      </w:tr>
      <w:tr w14:paraId="7FF0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1" w:type="pct"/>
            <w:shd w:val="clear" w:color="auto" w:fill="auto"/>
            <w:noWrap/>
            <w:vAlign w:val="center"/>
          </w:tcPr>
          <w:p w14:paraId="3613524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27</w:t>
            </w:r>
          </w:p>
        </w:tc>
        <w:tc>
          <w:tcPr>
            <w:tcW w:w="2506" w:type="pct"/>
            <w:gridSpan w:val="2"/>
            <w:shd w:val="clear" w:color="auto" w:fill="auto"/>
            <w:noWrap/>
            <w:vAlign w:val="center"/>
          </w:tcPr>
          <w:p w14:paraId="730B944F">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总计</w:t>
            </w:r>
          </w:p>
        </w:tc>
        <w:tc>
          <w:tcPr>
            <w:tcW w:w="1079" w:type="pct"/>
            <w:shd w:val="clear" w:color="auto" w:fill="auto"/>
            <w:noWrap/>
            <w:vAlign w:val="center"/>
          </w:tcPr>
          <w:p w14:paraId="1E4589A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299.41 </w:t>
            </w:r>
          </w:p>
        </w:tc>
        <w:tc>
          <w:tcPr>
            <w:tcW w:w="935" w:type="pct"/>
            <w:shd w:val="clear" w:color="auto" w:fill="auto"/>
            <w:noWrap/>
            <w:vAlign w:val="center"/>
          </w:tcPr>
          <w:p w14:paraId="6CBF3F6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 xml:space="preserve">100.00 </w:t>
            </w:r>
          </w:p>
        </w:tc>
      </w:tr>
    </w:tbl>
    <w:p w14:paraId="44A13B45">
      <w:pPr>
        <w:spacing w:after="156"/>
        <w:rPr>
          <w:rFonts w:cs="Times New Roman"/>
        </w:rPr>
      </w:pPr>
      <w:bookmarkStart w:id="15" w:name="_Toc17165"/>
    </w:p>
    <w:p w14:paraId="46A9155E">
      <w:pPr>
        <w:pStyle w:val="4"/>
        <w:spacing w:after="0" w:afterLines="0"/>
        <w:ind w:firstLine="643"/>
        <w:rPr>
          <w:rFonts w:cs="Times New Roman"/>
        </w:rPr>
      </w:pPr>
      <w:bookmarkStart w:id="16" w:name="_Toc76939696"/>
      <w:r>
        <w:rPr>
          <w:rFonts w:cs="Times New Roman"/>
        </w:rPr>
        <w:t>2. 资金使用情况</w:t>
      </w:r>
      <w:bookmarkEnd w:id="15"/>
      <w:bookmarkEnd w:id="16"/>
    </w:p>
    <w:p w14:paraId="5FA587B2">
      <w:pPr>
        <w:autoSpaceDE w:val="0"/>
        <w:autoSpaceDN w:val="0"/>
        <w:adjustRightInd w:val="0"/>
        <w:spacing w:after="0" w:afterLines="0"/>
        <w:ind w:firstLine="640" w:firstLineChars="200"/>
        <w:rPr>
          <w:rFonts w:cs="Times New Roman"/>
          <w:szCs w:val="32"/>
        </w:rPr>
      </w:pPr>
      <w:r>
        <w:rPr>
          <w:rFonts w:cs="Times New Roman"/>
          <w:szCs w:val="32"/>
        </w:rPr>
        <w:t>经费主要用于超限超载治理工作人员工资、奖金发放、保险金缴纳、印刷费、超限点及卸载场等执法场地办公费、其他商品及服务支出等方面。2020年市交通局共收到市财政局拨付资金290.00万元，年度支出299.41万元，超支额度9.41万元，资金超支率比例为3.25%。</w:t>
      </w:r>
    </w:p>
    <w:p w14:paraId="6C539B9E">
      <w:pPr>
        <w:widowControl/>
        <w:spacing w:after="0" w:afterLines="0"/>
        <w:jc w:val="center"/>
        <w:rPr>
          <w:rFonts w:eastAsia="幼圆" w:cs="Times New Roman"/>
          <w:b/>
          <w:sz w:val="28"/>
          <w:szCs w:val="28"/>
        </w:rPr>
      </w:pPr>
      <w:r>
        <w:rPr>
          <w:rFonts w:eastAsia="幼圆" w:cs="Times New Roman"/>
          <w:b/>
          <w:sz w:val="28"/>
          <w:szCs w:val="28"/>
        </w:rPr>
        <w:t>附表 超限超载治理经费超支情况表</w:t>
      </w:r>
    </w:p>
    <w:tbl>
      <w:tblPr>
        <w:tblStyle w:val="21"/>
        <w:tblW w:w="5000" w:type="pct"/>
        <w:tblInd w:w="0" w:type="dxa"/>
        <w:tblLayout w:type="fixed"/>
        <w:tblCellMar>
          <w:top w:w="0" w:type="dxa"/>
          <w:left w:w="108" w:type="dxa"/>
          <w:bottom w:w="0" w:type="dxa"/>
          <w:right w:w="108" w:type="dxa"/>
        </w:tblCellMar>
      </w:tblPr>
      <w:tblGrid>
        <w:gridCol w:w="1598"/>
        <w:gridCol w:w="1886"/>
        <w:gridCol w:w="1890"/>
        <w:gridCol w:w="1890"/>
        <w:gridCol w:w="1796"/>
      </w:tblGrid>
      <w:tr w14:paraId="78CF19EE">
        <w:tblPrEx>
          <w:tblCellMar>
            <w:top w:w="0" w:type="dxa"/>
            <w:left w:w="108" w:type="dxa"/>
            <w:bottom w:w="0" w:type="dxa"/>
            <w:right w:w="108" w:type="dxa"/>
          </w:tblCellMar>
        </w:tblPrEx>
        <w:trPr>
          <w:trHeight w:val="402" w:hRule="atLeast"/>
        </w:trPr>
        <w:tc>
          <w:tcPr>
            <w:tcW w:w="881" w:type="pct"/>
            <w:tcBorders>
              <w:top w:val="single" w:color="auto" w:sz="4" w:space="0"/>
              <w:left w:val="single" w:color="auto" w:sz="4" w:space="0"/>
              <w:bottom w:val="single" w:color="auto" w:sz="4" w:space="0"/>
              <w:right w:val="single" w:color="auto" w:sz="4" w:space="0"/>
            </w:tcBorders>
            <w:shd w:val="clear" w:color="auto" w:fill="00516B"/>
            <w:noWrap/>
            <w:vAlign w:val="center"/>
          </w:tcPr>
          <w:p w14:paraId="5E85E213">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项目名称　</w:t>
            </w:r>
          </w:p>
        </w:tc>
        <w:tc>
          <w:tcPr>
            <w:tcW w:w="1041" w:type="pct"/>
            <w:tcBorders>
              <w:top w:val="single" w:color="auto" w:sz="4" w:space="0"/>
              <w:left w:val="nil"/>
              <w:bottom w:val="single" w:color="auto" w:sz="4" w:space="0"/>
              <w:right w:val="single" w:color="auto" w:sz="4" w:space="0"/>
            </w:tcBorders>
            <w:shd w:val="clear" w:color="auto" w:fill="00516B"/>
            <w:noWrap/>
            <w:vAlign w:val="center"/>
          </w:tcPr>
          <w:p w14:paraId="513EDF79">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财政拨款（万元）</w:t>
            </w:r>
          </w:p>
        </w:tc>
        <w:tc>
          <w:tcPr>
            <w:tcW w:w="1043" w:type="pct"/>
            <w:tcBorders>
              <w:top w:val="single" w:color="auto" w:sz="4" w:space="0"/>
              <w:left w:val="nil"/>
              <w:bottom w:val="single" w:color="auto" w:sz="4" w:space="0"/>
              <w:right w:val="single" w:color="auto" w:sz="4" w:space="0"/>
            </w:tcBorders>
            <w:shd w:val="clear" w:color="auto" w:fill="00516B"/>
            <w:noWrap/>
            <w:vAlign w:val="center"/>
          </w:tcPr>
          <w:p w14:paraId="7410065C">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资金使用（万元）</w:t>
            </w:r>
          </w:p>
        </w:tc>
        <w:tc>
          <w:tcPr>
            <w:tcW w:w="1043" w:type="pct"/>
            <w:tcBorders>
              <w:top w:val="single" w:color="auto" w:sz="4" w:space="0"/>
              <w:left w:val="nil"/>
              <w:bottom w:val="single" w:color="auto" w:sz="4" w:space="0"/>
              <w:right w:val="single" w:color="auto" w:sz="4" w:space="0"/>
            </w:tcBorders>
            <w:shd w:val="clear" w:color="auto" w:fill="00516B"/>
            <w:noWrap/>
            <w:vAlign w:val="center"/>
          </w:tcPr>
          <w:p w14:paraId="25D0FCB9">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超支资金（万元）</w:t>
            </w:r>
          </w:p>
        </w:tc>
        <w:tc>
          <w:tcPr>
            <w:tcW w:w="991" w:type="pct"/>
            <w:tcBorders>
              <w:top w:val="single" w:color="auto" w:sz="4" w:space="0"/>
              <w:left w:val="nil"/>
              <w:bottom w:val="single" w:color="auto" w:sz="4" w:space="0"/>
              <w:right w:val="single" w:color="auto" w:sz="4" w:space="0"/>
            </w:tcBorders>
            <w:shd w:val="clear" w:color="auto" w:fill="00516B"/>
            <w:noWrap/>
            <w:vAlign w:val="center"/>
          </w:tcPr>
          <w:p w14:paraId="5D7BFE13">
            <w:pPr>
              <w:widowControl/>
              <w:spacing w:after="156" w:line="280" w:lineRule="exact"/>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超支比例（%）</w:t>
            </w:r>
          </w:p>
        </w:tc>
      </w:tr>
      <w:tr w14:paraId="48630E98">
        <w:tblPrEx>
          <w:tblCellMar>
            <w:top w:w="0" w:type="dxa"/>
            <w:left w:w="108" w:type="dxa"/>
            <w:bottom w:w="0" w:type="dxa"/>
            <w:right w:w="108" w:type="dxa"/>
          </w:tblCellMar>
        </w:tblPrEx>
        <w:trPr>
          <w:trHeight w:val="402" w:hRule="atLeast"/>
        </w:trPr>
        <w:tc>
          <w:tcPr>
            <w:tcW w:w="881" w:type="pct"/>
            <w:tcBorders>
              <w:top w:val="nil"/>
              <w:left w:val="single" w:color="auto" w:sz="4" w:space="0"/>
              <w:bottom w:val="single" w:color="auto" w:sz="4" w:space="0"/>
              <w:right w:val="single" w:color="auto" w:sz="4" w:space="0"/>
            </w:tcBorders>
            <w:shd w:val="clear" w:color="auto" w:fill="auto"/>
            <w:noWrap/>
            <w:vAlign w:val="center"/>
          </w:tcPr>
          <w:p w14:paraId="3C22C96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超限超载治理经费</w:t>
            </w:r>
          </w:p>
        </w:tc>
        <w:tc>
          <w:tcPr>
            <w:tcW w:w="1041" w:type="pct"/>
            <w:tcBorders>
              <w:top w:val="nil"/>
              <w:left w:val="nil"/>
              <w:bottom w:val="single" w:color="auto" w:sz="4" w:space="0"/>
              <w:right w:val="single" w:color="auto" w:sz="4" w:space="0"/>
            </w:tcBorders>
            <w:shd w:val="clear" w:color="auto" w:fill="auto"/>
            <w:noWrap/>
            <w:vAlign w:val="center"/>
          </w:tcPr>
          <w:p w14:paraId="1D955DB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290.00</w:t>
            </w:r>
          </w:p>
        </w:tc>
        <w:tc>
          <w:tcPr>
            <w:tcW w:w="1043" w:type="pct"/>
            <w:tcBorders>
              <w:top w:val="nil"/>
              <w:left w:val="nil"/>
              <w:bottom w:val="single" w:color="auto" w:sz="4" w:space="0"/>
              <w:right w:val="single" w:color="auto" w:sz="4" w:space="0"/>
            </w:tcBorders>
            <w:shd w:val="clear" w:color="auto" w:fill="auto"/>
            <w:noWrap/>
            <w:vAlign w:val="center"/>
          </w:tcPr>
          <w:p w14:paraId="0638310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299.41</w:t>
            </w:r>
          </w:p>
        </w:tc>
        <w:tc>
          <w:tcPr>
            <w:tcW w:w="1043" w:type="pct"/>
            <w:tcBorders>
              <w:top w:val="nil"/>
              <w:left w:val="nil"/>
              <w:bottom w:val="single" w:color="auto" w:sz="4" w:space="0"/>
              <w:right w:val="single" w:color="auto" w:sz="4" w:space="0"/>
            </w:tcBorders>
            <w:shd w:val="clear" w:color="auto" w:fill="auto"/>
            <w:noWrap/>
            <w:vAlign w:val="center"/>
          </w:tcPr>
          <w:p w14:paraId="34BCEE2C">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9.41</w:t>
            </w:r>
          </w:p>
        </w:tc>
        <w:tc>
          <w:tcPr>
            <w:tcW w:w="991" w:type="pct"/>
            <w:tcBorders>
              <w:top w:val="nil"/>
              <w:left w:val="nil"/>
              <w:bottom w:val="single" w:color="auto" w:sz="4" w:space="0"/>
              <w:right w:val="single" w:color="auto" w:sz="4" w:space="0"/>
            </w:tcBorders>
            <w:shd w:val="clear" w:color="auto" w:fill="auto"/>
            <w:noWrap/>
            <w:vAlign w:val="center"/>
          </w:tcPr>
          <w:p w14:paraId="4F09DCA9">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3.25</w:t>
            </w:r>
          </w:p>
        </w:tc>
      </w:tr>
    </w:tbl>
    <w:p w14:paraId="1B33B6D6">
      <w:pPr>
        <w:autoSpaceDE w:val="0"/>
        <w:autoSpaceDN w:val="0"/>
        <w:adjustRightInd w:val="0"/>
        <w:spacing w:after="0" w:afterLines="0" w:line="600" w:lineRule="exact"/>
        <w:ind w:firstLine="640" w:firstLineChars="200"/>
        <w:rPr>
          <w:rFonts w:cs="Times New Roman"/>
          <w:szCs w:val="32"/>
        </w:rPr>
      </w:pPr>
      <w:r>
        <w:rPr>
          <w:rFonts w:cs="Times New Roman"/>
          <w:szCs w:val="32"/>
        </w:rPr>
        <w:t>部分资金支出方向未按照管理规定使用主要表现：一是从城市交通服务中心借用人员刘军的工资奖金及保险使用项目经费支出10.74万元，且未纳入财政预算；二是</w:t>
      </w:r>
      <w:r>
        <w:rPr>
          <w:rFonts w:hint="eastAsia" w:cs="Times New Roman"/>
          <w:szCs w:val="32"/>
        </w:rPr>
        <w:t>“</w:t>
      </w:r>
      <w:r>
        <w:rPr>
          <w:rFonts w:cs="Times New Roman"/>
          <w:szCs w:val="32"/>
        </w:rPr>
        <w:t>非洲猪瘟</w:t>
      </w:r>
      <w:r>
        <w:rPr>
          <w:rFonts w:hint="eastAsia" w:cs="Times New Roman"/>
          <w:szCs w:val="32"/>
        </w:rPr>
        <w:t>”</w:t>
      </w:r>
      <w:r>
        <w:rPr>
          <w:rFonts w:cs="Times New Roman"/>
          <w:szCs w:val="32"/>
        </w:rPr>
        <w:t>防控卡点值班费经费不足，挪用超限超载治理经费支出1.15万元。</w:t>
      </w:r>
    </w:p>
    <w:p w14:paraId="29F9EC83">
      <w:pPr>
        <w:pStyle w:val="2"/>
        <w:spacing w:before="120" w:after="0" w:afterLines="0" w:line="600" w:lineRule="exact"/>
        <w:ind w:firstLine="640" w:firstLineChars="200"/>
        <w:rPr>
          <w:rFonts w:eastAsia="黑体" w:cs="Times New Roman"/>
          <w:b w:val="0"/>
          <w:bCs w:val="0"/>
          <w:sz w:val="32"/>
          <w:szCs w:val="32"/>
        </w:rPr>
      </w:pPr>
      <w:bookmarkStart w:id="17" w:name="_Toc76939697"/>
      <w:bookmarkStart w:id="18" w:name="_Toc27288"/>
      <w:r>
        <w:rPr>
          <w:rFonts w:eastAsia="黑体" w:cs="Times New Roman"/>
          <w:b w:val="0"/>
          <w:bCs w:val="0"/>
          <w:sz w:val="32"/>
          <w:szCs w:val="32"/>
        </w:rPr>
        <w:t>二、评价工作基本情况</w:t>
      </w:r>
      <w:bookmarkEnd w:id="17"/>
      <w:bookmarkEnd w:id="18"/>
    </w:p>
    <w:p w14:paraId="73F31CFA">
      <w:pPr>
        <w:pStyle w:val="3"/>
        <w:spacing w:before="156" w:beforeLines="50" w:after="0" w:afterLines="0" w:line="600" w:lineRule="exact"/>
        <w:ind w:firstLine="643"/>
        <w:rPr>
          <w:rFonts w:cs="Times New Roman"/>
        </w:rPr>
      </w:pPr>
      <w:bookmarkStart w:id="19" w:name="_Toc76939698"/>
      <w:bookmarkStart w:id="20" w:name="_Toc17969"/>
      <w:bookmarkStart w:id="21" w:name="_Toc75524255"/>
      <w:r>
        <w:rPr>
          <w:rFonts w:cs="Times New Roman"/>
        </w:rPr>
        <w:t>（一）评价方法</w:t>
      </w:r>
      <w:bookmarkEnd w:id="19"/>
      <w:bookmarkEnd w:id="20"/>
      <w:bookmarkEnd w:id="21"/>
    </w:p>
    <w:p w14:paraId="50AB9649">
      <w:pPr>
        <w:spacing w:before="156" w:beforeLines="50" w:after="0" w:afterLines="0"/>
        <w:ind w:firstLine="640" w:firstLineChars="200"/>
        <w:rPr>
          <w:rFonts w:cs="Times New Roman"/>
          <w:szCs w:val="32"/>
        </w:rPr>
      </w:pPr>
      <w:r>
        <w:rPr>
          <w:rFonts w:cs="Times New Roman"/>
          <w:szCs w:val="32"/>
        </w:rPr>
        <w:t>本次超限超载治理经费项目绩效评价主要采用了案卷研究法、现场核查法和深度访谈法进行综合评价。</w:t>
      </w:r>
    </w:p>
    <w:p w14:paraId="61B144E9">
      <w:pPr>
        <w:pStyle w:val="4"/>
        <w:spacing w:after="0" w:afterLines="0"/>
        <w:ind w:firstLine="643"/>
        <w:rPr>
          <w:rFonts w:cs="Times New Roman"/>
        </w:rPr>
      </w:pPr>
      <w:bookmarkStart w:id="22" w:name="_Toc76939699"/>
      <w:r>
        <w:rPr>
          <w:rFonts w:cs="Times New Roman"/>
        </w:rPr>
        <w:t>1. 查资料—案卷研究法</w:t>
      </w:r>
      <w:bookmarkEnd w:id="22"/>
    </w:p>
    <w:p w14:paraId="68AD890A">
      <w:pPr>
        <w:spacing w:after="0" w:afterLines="0"/>
        <w:ind w:firstLine="640" w:firstLineChars="200"/>
        <w:rPr>
          <w:rFonts w:cs="Times New Roman"/>
          <w:szCs w:val="32"/>
        </w:rPr>
      </w:pPr>
      <w:r>
        <w:rPr>
          <w:rFonts w:cs="Times New Roman"/>
          <w:szCs w:val="32"/>
        </w:rPr>
        <w:t>通过深入研究了交通部、公安部《关于治理车辆超限超载联合执法常态化制度化工作的实施意见（试行）》（交公路发〔2017〕173号）文件、《绵竹市交通局关于印发&lt;财务报销规定&gt;的通知》（竹交〔2019〕81号）及《绵竹市交通局关于印发超限超载治理经费管理规定的通知》（竹交〔2019〕47号）等文件全方位了解超限超载治理资金特性和使用规范等，梳理项目涉及部门及职能职责，并对超限超载资金管理等做出判断。</w:t>
      </w:r>
    </w:p>
    <w:p w14:paraId="646F4223">
      <w:pPr>
        <w:pStyle w:val="4"/>
        <w:spacing w:after="0" w:afterLines="0"/>
        <w:ind w:firstLine="643"/>
        <w:rPr>
          <w:rFonts w:cs="Times New Roman"/>
        </w:rPr>
      </w:pPr>
      <w:bookmarkStart w:id="23" w:name="_Toc76939700"/>
      <w:r>
        <w:rPr>
          <w:rFonts w:cs="Times New Roman"/>
        </w:rPr>
        <w:t>2. 访对象—深度访谈</w:t>
      </w:r>
      <w:bookmarkEnd w:id="23"/>
    </w:p>
    <w:p w14:paraId="1B491C13">
      <w:pPr>
        <w:spacing w:after="0" w:afterLines="0"/>
        <w:ind w:firstLine="640" w:firstLineChars="200"/>
        <w:rPr>
          <w:rFonts w:cs="Times New Roman"/>
          <w:szCs w:val="32"/>
        </w:rPr>
      </w:pPr>
      <w:r>
        <w:rPr>
          <w:rFonts w:cs="Times New Roman"/>
          <w:szCs w:val="32"/>
        </w:rPr>
        <w:t>访对象指走访项目主管部门（单位），听取超限超载治理经费项目资金使用情况和资金拨付进度等项目管理情况，主要对人社局部门（单位）1名分管领导、1名财务负责人和1名业务负责人等进行访谈，了解超限超载治理经费资金使用和管理规范，并探寻超限超载治理资金使用过程中的困难和挑战，为提高超限超载治理经费资金管理和风险控制提供经验借鉴。在本绩效评价中，将在现场核查时使用一对一深访的形式，访谈内容包括但不限于：</w:t>
      </w:r>
    </w:p>
    <w:p w14:paraId="5EC6B2D5">
      <w:pPr>
        <w:spacing w:after="0" w:afterLines="0"/>
        <w:ind w:firstLine="640" w:firstLineChars="200"/>
        <w:rPr>
          <w:rFonts w:cs="Times New Roman"/>
          <w:szCs w:val="32"/>
        </w:rPr>
      </w:pPr>
      <w:r>
        <w:rPr>
          <w:rFonts w:cs="Times New Roman"/>
          <w:szCs w:val="32"/>
        </w:rPr>
        <w:t>（1）超限超载治理经费项目管理制度完善性，如超限超载治理经费项目立项依据、资金管理办法、项目融资规定、风险评估工作实施方案等；</w:t>
      </w:r>
    </w:p>
    <w:p w14:paraId="07C77C7C">
      <w:pPr>
        <w:spacing w:after="0" w:afterLines="0"/>
        <w:ind w:firstLine="640" w:firstLineChars="200"/>
        <w:rPr>
          <w:rFonts w:cs="Times New Roman"/>
          <w:szCs w:val="32"/>
        </w:rPr>
      </w:pPr>
      <w:r>
        <w:rPr>
          <w:rFonts w:cs="Times New Roman"/>
          <w:szCs w:val="32"/>
        </w:rPr>
        <w:t>（2）超限超载治理经费项目资金使用规范性和效率性，如超限超载治理经费资金支出情况和项目收益情况；</w:t>
      </w:r>
    </w:p>
    <w:p w14:paraId="0AFF5221">
      <w:pPr>
        <w:spacing w:after="0" w:afterLines="0"/>
        <w:ind w:firstLine="640" w:firstLineChars="200"/>
        <w:rPr>
          <w:rFonts w:cs="Times New Roman"/>
          <w:szCs w:val="32"/>
        </w:rPr>
      </w:pPr>
      <w:r>
        <w:rPr>
          <w:rFonts w:cs="Times New Roman"/>
          <w:szCs w:val="32"/>
        </w:rPr>
        <w:t>（3）现阶段超限超载治理经费项目的经验、不足以及相关建议等。</w:t>
      </w:r>
    </w:p>
    <w:p w14:paraId="7FFE6E7D">
      <w:pPr>
        <w:pStyle w:val="4"/>
        <w:spacing w:after="0" w:afterLines="0"/>
        <w:ind w:firstLine="643"/>
        <w:rPr>
          <w:rFonts w:cs="Times New Roman"/>
        </w:rPr>
      </w:pPr>
      <w:bookmarkStart w:id="24" w:name="_Toc76939701"/>
      <w:r>
        <w:rPr>
          <w:rFonts w:cs="Times New Roman"/>
        </w:rPr>
        <w:t>3. 核落实—书面评审+现场核查</w:t>
      </w:r>
      <w:bookmarkEnd w:id="24"/>
    </w:p>
    <w:p w14:paraId="5EE19B95">
      <w:pPr>
        <w:spacing w:after="0" w:afterLines="0"/>
        <w:ind w:firstLine="640" w:firstLineChars="200"/>
        <w:rPr>
          <w:rFonts w:cs="Times New Roman"/>
          <w:szCs w:val="32"/>
        </w:rPr>
      </w:pPr>
      <w:r>
        <w:rPr>
          <w:rFonts w:cs="Times New Roman"/>
          <w:szCs w:val="32"/>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101A8BCF">
      <w:pPr>
        <w:spacing w:after="0" w:afterLines="0"/>
        <w:ind w:firstLine="640" w:firstLineChars="200"/>
        <w:rPr>
          <w:rFonts w:cs="Times New Roman"/>
          <w:szCs w:val="32"/>
        </w:rPr>
      </w:pPr>
      <w:r>
        <w:rPr>
          <w:rFonts w:cs="Times New Roman"/>
          <w:szCs w:val="32"/>
        </w:rPr>
        <w:t>二是现场核查。现场核查主要包括对财务原件审核、资料核查、项目实施点实地勘察工作。</w:t>
      </w:r>
    </w:p>
    <w:p w14:paraId="65722E28">
      <w:pPr>
        <w:spacing w:after="0" w:afterLines="0"/>
        <w:ind w:firstLine="640" w:firstLineChars="200"/>
        <w:rPr>
          <w:rFonts w:cs="Times New Roman"/>
          <w:szCs w:val="32"/>
        </w:rPr>
      </w:pPr>
      <w:r>
        <w:rPr>
          <w:rFonts w:cs="Times New Roman"/>
          <w:szCs w:val="32"/>
        </w:rPr>
        <w:t>超限超载治理经费项目现场核查内容包括且不限于：</w:t>
      </w:r>
    </w:p>
    <w:p w14:paraId="6861A9F1">
      <w:pPr>
        <w:spacing w:after="0" w:afterLines="0"/>
        <w:ind w:firstLine="640" w:firstLineChars="200"/>
        <w:rPr>
          <w:rFonts w:cs="Times New Roman"/>
          <w:szCs w:val="32"/>
        </w:rPr>
      </w:pPr>
      <w:r>
        <w:rPr>
          <w:rFonts w:cs="Times New Roman"/>
          <w:szCs w:val="32"/>
        </w:rPr>
        <w:t>（1）超限超载治理经费项目资金的收支情况和凭证；</w:t>
      </w:r>
    </w:p>
    <w:p w14:paraId="05C17498">
      <w:pPr>
        <w:spacing w:after="0" w:afterLines="0"/>
        <w:ind w:firstLine="640" w:firstLineChars="200"/>
        <w:rPr>
          <w:rFonts w:cs="Times New Roman"/>
          <w:szCs w:val="32"/>
        </w:rPr>
      </w:pPr>
      <w:r>
        <w:rPr>
          <w:rFonts w:cs="Times New Roman"/>
          <w:szCs w:val="32"/>
        </w:rPr>
        <w:t>（2）超限超载治理经费项目资金管理机制建立情况；</w:t>
      </w:r>
    </w:p>
    <w:p w14:paraId="69A2B03A">
      <w:pPr>
        <w:spacing w:after="0" w:afterLines="0"/>
        <w:ind w:firstLine="640" w:firstLineChars="200"/>
        <w:rPr>
          <w:rFonts w:cs="Times New Roman"/>
          <w:szCs w:val="32"/>
        </w:rPr>
      </w:pPr>
      <w:r>
        <w:rPr>
          <w:rFonts w:cs="Times New Roman"/>
          <w:szCs w:val="32"/>
        </w:rPr>
        <w:t>（3）项目预期补助情况、结余资金收益情况；</w:t>
      </w:r>
    </w:p>
    <w:p w14:paraId="214F8613">
      <w:pPr>
        <w:spacing w:after="0" w:afterLines="0"/>
        <w:ind w:firstLine="640" w:firstLineChars="200"/>
        <w:rPr>
          <w:rFonts w:cs="Times New Roman"/>
          <w:szCs w:val="32"/>
        </w:rPr>
      </w:pPr>
      <w:r>
        <w:rPr>
          <w:rFonts w:cs="Times New Roman"/>
          <w:szCs w:val="32"/>
        </w:rPr>
        <w:t>（4）项目完成的产出和绩效。</w:t>
      </w:r>
    </w:p>
    <w:p w14:paraId="02D75B0D">
      <w:pPr>
        <w:pStyle w:val="3"/>
        <w:spacing w:before="156" w:beforeLines="50" w:after="0" w:afterLines="0" w:line="600" w:lineRule="exact"/>
        <w:ind w:firstLine="643"/>
        <w:rPr>
          <w:rFonts w:cs="Times New Roman"/>
        </w:rPr>
      </w:pPr>
      <w:bookmarkStart w:id="25" w:name="_Toc75524256"/>
      <w:bookmarkStart w:id="26" w:name="_Toc76939702"/>
      <w:r>
        <w:rPr>
          <w:rFonts w:cs="Times New Roman"/>
        </w:rPr>
        <w:t>（二）评价指标</w:t>
      </w:r>
      <w:bookmarkEnd w:id="25"/>
      <w:bookmarkEnd w:id="26"/>
    </w:p>
    <w:p w14:paraId="3A36585E">
      <w:pPr>
        <w:spacing w:after="0" w:afterLines="0"/>
        <w:ind w:firstLine="640" w:firstLineChars="200"/>
        <w:rPr>
          <w:rFonts w:cs="Times New Roman"/>
          <w:szCs w:val="32"/>
        </w:rPr>
      </w:pPr>
      <w:r>
        <w:rPr>
          <w:rFonts w:cs="Times New Roman"/>
          <w:szCs w:val="32"/>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绩效3方面进行评价，共构建3个一级指标，8个二级指标，14个三级个性指标。</w:t>
      </w:r>
    </w:p>
    <w:p w14:paraId="51E8D6E7">
      <w:pPr>
        <w:pStyle w:val="2"/>
        <w:spacing w:before="0" w:after="0" w:afterLines="0" w:line="560" w:lineRule="exact"/>
        <w:ind w:firstLine="640" w:firstLineChars="200"/>
        <w:rPr>
          <w:rFonts w:eastAsia="黑体" w:cs="Times New Roman"/>
          <w:b w:val="0"/>
          <w:bCs w:val="0"/>
          <w:sz w:val="32"/>
          <w:szCs w:val="32"/>
        </w:rPr>
      </w:pPr>
      <w:bookmarkStart w:id="27" w:name="_Toc24104"/>
      <w:bookmarkStart w:id="28" w:name="_Toc76939703"/>
      <w:r>
        <w:rPr>
          <w:rFonts w:eastAsia="黑体" w:cs="Times New Roman"/>
          <w:b w:val="0"/>
          <w:bCs w:val="0"/>
          <w:sz w:val="32"/>
          <w:szCs w:val="32"/>
        </w:rPr>
        <w:t>三、评价结论及绩效分析</w:t>
      </w:r>
      <w:bookmarkEnd w:id="27"/>
      <w:bookmarkEnd w:id="28"/>
    </w:p>
    <w:p w14:paraId="6C894411">
      <w:pPr>
        <w:pStyle w:val="3"/>
        <w:spacing w:after="0" w:afterLines="0"/>
        <w:ind w:firstLine="643"/>
        <w:rPr>
          <w:rFonts w:cs="Times New Roman"/>
        </w:rPr>
      </w:pPr>
      <w:bookmarkStart w:id="29" w:name="_Toc29099"/>
      <w:bookmarkStart w:id="30" w:name="_Toc76939704"/>
      <w:r>
        <w:rPr>
          <w:rFonts w:cs="Times New Roman"/>
        </w:rPr>
        <w:t>（一）评价结论</w:t>
      </w:r>
      <w:bookmarkEnd w:id="29"/>
      <w:bookmarkEnd w:id="30"/>
    </w:p>
    <w:p w14:paraId="69052C72">
      <w:pPr>
        <w:autoSpaceDE w:val="0"/>
        <w:autoSpaceDN w:val="0"/>
        <w:adjustRightInd w:val="0"/>
        <w:spacing w:after="0" w:afterLines="0"/>
        <w:ind w:firstLine="643" w:firstLineChars="200"/>
        <w:rPr>
          <w:rFonts w:cs="Times New Roman"/>
          <w:b/>
          <w:bCs/>
          <w:szCs w:val="32"/>
        </w:rPr>
      </w:pPr>
      <w:r>
        <w:rPr>
          <w:rFonts w:cs="Times New Roman"/>
          <w:b/>
          <w:bCs/>
          <w:szCs w:val="32"/>
        </w:rPr>
        <w:t>绵竹市2020年超限超载治理经费项目支出绩效评价最终得分86.20分，等级判定为：良</w:t>
      </w:r>
      <w:r>
        <w:rPr>
          <w:rStyle w:val="26"/>
          <w:rFonts w:cs="Times New Roman"/>
          <w:b/>
          <w:bCs/>
          <w:szCs w:val="32"/>
        </w:rPr>
        <w:footnoteReference w:id="0"/>
      </w:r>
      <w:r>
        <w:rPr>
          <w:rFonts w:cs="Times New Roman"/>
          <w:b/>
          <w:bCs/>
          <w:szCs w:val="32"/>
        </w:rPr>
        <w:t>。</w:t>
      </w:r>
    </w:p>
    <w:p w14:paraId="0686FD64">
      <w:pPr>
        <w:autoSpaceDE w:val="0"/>
        <w:autoSpaceDN w:val="0"/>
        <w:adjustRightInd w:val="0"/>
        <w:spacing w:after="0" w:afterLines="0"/>
        <w:ind w:firstLine="640" w:firstLineChars="200"/>
        <w:rPr>
          <w:rFonts w:cs="Times New Roman"/>
          <w:szCs w:val="32"/>
        </w:rPr>
      </w:pPr>
      <w:r>
        <w:rPr>
          <w:rFonts w:cs="Times New Roman"/>
          <w:szCs w:val="32"/>
        </w:rPr>
        <w:t>总体来看，项目预期目标实现程度较高，关键量化指标在2020年基本能达标，超限超载治理方式和设施体系不断完善，项目管理水平不断提高，项目实施效益持续提升，但绩效目标设置仍缺乏科学性和专业性，资金预算与使用的规范性还需加强。综上事实，我们最终将超限超载治理经费项目绩效评价等级判定为</w:t>
      </w:r>
      <w:r>
        <w:rPr>
          <w:rFonts w:hint="eastAsia" w:cs="Times New Roman"/>
          <w:szCs w:val="32"/>
        </w:rPr>
        <w:t>“</w:t>
      </w:r>
      <w:r>
        <w:rPr>
          <w:rFonts w:cs="Times New Roman"/>
          <w:szCs w:val="32"/>
        </w:rPr>
        <w:t>良</w:t>
      </w:r>
      <w:r>
        <w:rPr>
          <w:rFonts w:hint="eastAsia" w:cs="Times New Roman"/>
          <w:szCs w:val="32"/>
        </w:rPr>
        <w:t>”</w:t>
      </w:r>
      <w:r>
        <w:rPr>
          <w:rFonts w:cs="Times New Roman"/>
          <w:szCs w:val="32"/>
        </w:rPr>
        <w:t>。</w:t>
      </w:r>
    </w:p>
    <w:p w14:paraId="03B38EFE">
      <w:pPr>
        <w:autoSpaceDE w:val="0"/>
        <w:autoSpaceDN w:val="0"/>
        <w:adjustRightInd w:val="0"/>
        <w:spacing w:after="0" w:afterLines="0" w:line="600" w:lineRule="exact"/>
        <w:ind w:firstLine="640" w:firstLineChars="200"/>
        <w:rPr>
          <w:rFonts w:cs="Times New Roman"/>
          <w:szCs w:val="32"/>
        </w:rPr>
      </w:pPr>
      <w:r>
        <w:rPr>
          <w:rFonts w:cs="Times New Roman"/>
          <w:szCs w:val="32"/>
        </w:rPr>
        <w:t>本次评价综合运用案卷研究、深度访谈、书面评审、现场评价及问卷调查等方法进行多源数据采集，依据评价指标进行打分，一级指标得分情况如下：项目决策20.00分，实际得分17.00分，得分率85.00%；项目实施20.00分，实际得分17.60分，得分率88.00%；项目绩效60.00分，实际得分51.60分，得分率86.00%。</w:t>
      </w:r>
      <w:r>
        <w:rPr>
          <w:rFonts w:cs="Times New Roman"/>
          <w:b/>
          <w:bCs/>
          <w:szCs w:val="32"/>
        </w:rPr>
        <w:t>整体指标得分详情如下：</w:t>
      </w:r>
    </w:p>
    <w:p w14:paraId="2426E6E8">
      <w:pPr>
        <w:tabs>
          <w:tab w:val="left" w:pos="1076"/>
        </w:tabs>
        <w:spacing w:after="0" w:afterLines="0"/>
        <w:jc w:val="center"/>
        <w:rPr>
          <w:rFonts w:eastAsia="幼圆" w:cs="Times New Roman"/>
          <w:b/>
          <w:sz w:val="28"/>
          <w:szCs w:val="28"/>
        </w:rPr>
      </w:pPr>
    </w:p>
    <w:p w14:paraId="3E6D127D">
      <w:pPr>
        <w:tabs>
          <w:tab w:val="left" w:pos="1076"/>
        </w:tabs>
        <w:spacing w:after="0" w:afterLines="0"/>
        <w:jc w:val="center"/>
        <w:rPr>
          <w:rFonts w:eastAsia="幼圆" w:cs="Times New Roman"/>
          <w:b/>
          <w:sz w:val="28"/>
          <w:szCs w:val="28"/>
        </w:rPr>
      </w:pPr>
    </w:p>
    <w:p w14:paraId="1A815974">
      <w:pPr>
        <w:tabs>
          <w:tab w:val="left" w:pos="1076"/>
        </w:tabs>
        <w:spacing w:after="0" w:afterLines="0"/>
        <w:jc w:val="center"/>
        <w:rPr>
          <w:rFonts w:eastAsia="幼圆" w:cs="Times New Roman"/>
          <w:b/>
          <w:sz w:val="28"/>
          <w:szCs w:val="28"/>
        </w:rPr>
      </w:pPr>
      <w:r>
        <w:rPr>
          <w:rFonts w:eastAsia="幼圆" w:cs="Times New Roman"/>
          <w:b/>
          <w:sz w:val="28"/>
          <w:szCs w:val="28"/>
        </w:rPr>
        <w:t>附表 超限超载治理经费项目支出绩效评价指标得分情况</w:t>
      </w:r>
    </w:p>
    <w:tbl>
      <w:tblPr>
        <w:tblStyle w:val="21"/>
        <w:tblW w:w="5000" w:type="pct"/>
        <w:tblInd w:w="0" w:type="dxa"/>
        <w:tblLayout w:type="autofit"/>
        <w:tblCellMar>
          <w:top w:w="0" w:type="dxa"/>
          <w:left w:w="108" w:type="dxa"/>
          <w:bottom w:w="0" w:type="dxa"/>
          <w:right w:w="108" w:type="dxa"/>
        </w:tblCellMar>
      </w:tblPr>
      <w:tblGrid>
        <w:gridCol w:w="1752"/>
        <w:gridCol w:w="1154"/>
        <w:gridCol w:w="2615"/>
        <w:gridCol w:w="1018"/>
        <w:gridCol w:w="1017"/>
        <w:gridCol w:w="1504"/>
      </w:tblGrid>
      <w:tr w14:paraId="6BA0EDFB">
        <w:tblPrEx>
          <w:tblCellMar>
            <w:top w:w="0" w:type="dxa"/>
            <w:left w:w="108" w:type="dxa"/>
            <w:bottom w:w="0" w:type="dxa"/>
            <w:right w:w="108" w:type="dxa"/>
          </w:tblCellMar>
        </w:tblPrEx>
        <w:trPr>
          <w:trHeight w:val="330" w:hRule="atLeast"/>
          <w:tblHeader/>
        </w:trPr>
        <w:tc>
          <w:tcPr>
            <w:tcW w:w="967" w:type="pct"/>
            <w:tcBorders>
              <w:top w:val="single" w:color="auto" w:sz="4" w:space="0"/>
              <w:left w:val="single" w:color="auto" w:sz="4" w:space="0"/>
              <w:bottom w:val="single" w:color="auto" w:sz="4" w:space="0"/>
              <w:right w:val="single" w:color="auto" w:sz="4" w:space="0"/>
            </w:tcBorders>
            <w:shd w:val="clear" w:color="000000" w:fill="00516B"/>
            <w:vAlign w:val="center"/>
          </w:tcPr>
          <w:p w14:paraId="6F516CF0">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637" w:type="pct"/>
            <w:tcBorders>
              <w:top w:val="single" w:color="auto" w:sz="4" w:space="0"/>
              <w:left w:val="nil"/>
              <w:bottom w:val="single" w:color="auto" w:sz="4" w:space="0"/>
              <w:right w:val="single" w:color="auto" w:sz="4" w:space="0"/>
            </w:tcBorders>
            <w:shd w:val="clear" w:color="000000" w:fill="00516B"/>
            <w:vAlign w:val="center"/>
          </w:tcPr>
          <w:p w14:paraId="21CD1D10">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443" w:type="pct"/>
            <w:tcBorders>
              <w:top w:val="single" w:color="auto" w:sz="4" w:space="0"/>
              <w:left w:val="nil"/>
              <w:bottom w:val="single" w:color="auto" w:sz="4" w:space="0"/>
              <w:right w:val="single" w:color="auto" w:sz="4" w:space="0"/>
            </w:tcBorders>
            <w:shd w:val="clear" w:color="000000" w:fill="00516B"/>
            <w:vAlign w:val="center"/>
          </w:tcPr>
          <w:p w14:paraId="54E0BB9D">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62" w:type="pct"/>
            <w:tcBorders>
              <w:top w:val="single" w:color="auto" w:sz="4" w:space="0"/>
              <w:left w:val="nil"/>
              <w:bottom w:val="single" w:color="auto" w:sz="4" w:space="0"/>
              <w:right w:val="single" w:color="auto" w:sz="4" w:space="0"/>
            </w:tcBorders>
            <w:shd w:val="clear" w:color="000000" w:fill="00516B"/>
            <w:vAlign w:val="center"/>
          </w:tcPr>
          <w:p w14:paraId="4C8A56D8">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指标权重</w:t>
            </w:r>
          </w:p>
        </w:tc>
        <w:tc>
          <w:tcPr>
            <w:tcW w:w="561" w:type="pct"/>
            <w:tcBorders>
              <w:top w:val="single" w:color="auto" w:sz="4" w:space="0"/>
              <w:left w:val="nil"/>
              <w:bottom w:val="single" w:color="auto" w:sz="4" w:space="0"/>
              <w:right w:val="single" w:color="auto" w:sz="4" w:space="0"/>
            </w:tcBorders>
            <w:shd w:val="clear" w:color="000000" w:fill="00516B"/>
            <w:noWrap/>
            <w:vAlign w:val="center"/>
          </w:tcPr>
          <w:p w14:paraId="72326A04">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831" w:type="pct"/>
            <w:tcBorders>
              <w:top w:val="single" w:color="auto" w:sz="4" w:space="0"/>
              <w:left w:val="nil"/>
              <w:bottom w:val="single" w:color="auto" w:sz="4" w:space="0"/>
              <w:right w:val="single" w:color="auto" w:sz="4" w:space="0"/>
            </w:tcBorders>
            <w:shd w:val="clear" w:color="000000" w:fill="00516B"/>
            <w:noWrap/>
            <w:vAlign w:val="center"/>
          </w:tcPr>
          <w:p w14:paraId="131A1B95">
            <w:pPr>
              <w:widowControl/>
              <w:spacing w:after="156" w:line="280" w:lineRule="exact"/>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14:paraId="7CC2E2F0">
        <w:tblPrEx>
          <w:tblCellMar>
            <w:top w:w="0" w:type="dxa"/>
            <w:left w:w="108" w:type="dxa"/>
            <w:bottom w:w="0" w:type="dxa"/>
            <w:right w:w="108" w:type="dxa"/>
          </w:tblCellMar>
        </w:tblPrEx>
        <w:trPr>
          <w:trHeight w:val="660" w:hRule="atLeast"/>
        </w:trPr>
        <w:tc>
          <w:tcPr>
            <w:tcW w:w="967" w:type="pct"/>
            <w:vMerge w:val="restart"/>
            <w:tcBorders>
              <w:top w:val="nil"/>
              <w:left w:val="single" w:color="auto" w:sz="4" w:space="0"/>
              <w:bottom w:val="single" w:color="auto" w:sz="4" w:space="0"/>
              <w:right w:val="single" w:color="auto" w:sz="4" w:space="0"/>
            </w:tcBorders>
            <w:shd w:val="clear" w:color="000000" w:fill="FFFFFF"/>
            <w:vAlign w:val="center"/>
          </w:tcPr>
          <w:p w14:paraId="46289C6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项目决策</w:t>
            </w:r>
          </w:p>
          <w:p w14:paraId="17D6A1A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（20</w:t>
            </w:r>
            <w:r>
              <w:rPr>
                <w:rFonts w:hint="eastAsia" w:eastAsia="宋体" w:cs="Times New Roman"/>
                <w:color w:val="000000"/>
                <w:kern w:val="0"/>
                <w:sz w:val="20"/>
                <w:szCs w:val="20"/>
              </w:rPr>
              <w:t>分</w:t>
            </w:r>
            <w:r>
              <w:rPr>
                <w:rFonts w:eastAsia="宋体" w:cs="Times New Roman"/>
                <w:color w:val="000000"/>
                <w:kern w:val="0"/>
                <w:sz w:val="20"/>
                <w:szCs w:val="20"/>
              </w:rPr>
              <w:t>）</w:t>
            </w:r>
          </w:p>
        </w:tc>
        <w:tc>
          <w:tcPr>
            <w:tcW w:w="637" w:type="pct"/>
            <w:tcBorders>
              <w:top w:val="nil"/>
              <w:left w:val="nil"/>
              <w:bottom w:val="single" w:color="auto" w:sz="4" w:space="0"/>
              <w:right w:val="single" w:color="auto" w:sz="4" w:space="0"/>
            </w:tcBorders>
            <w:shd w:val="clear" w:color="000000" w:fill="FFFFFF"/>
            <w:vAlign w:val="center"/>
          </w:tcPr>
          <w:p w14:paraId="2003899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项目依据</w:t>
            </w:r>
          </w:p>
        </w:tc>
        <w:tc>
          <w:tcPr>
            <w:tcW w:w="1443" w:type="pct"/>
            <w:tcBorders>
              <w:top w:val="nil"/>
              <w:left w:val="nil"/>
              <w:bottom w:val="single" w:color="auto" w:sz="4" w:space="0"/>
              <w:right w:val="single" w:color="auto" w:sz="4" w:space="0"/>
            </w:tcBorders>
            <w:shd w:val="clear" w:color="000000" w:fill="FFFFFF"/>
            <w:vAlign w:val="center"/>
          </w:tcPr>
          <w:p w14:paraId="42C303A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依据充分性（必要性）</w:t>
            </w:r>
          </w:p>
        </w:tc>
        <w:tc>
          <w:tcPr>
            <w:tcW w:w="562" w:type="pct"/>
            <w:tcBorders>
              <w:top w:val="nil"/>
              <w:left w:val="nil"/>
              <w:bottom w:val="single" w:color="auto" w:sz="4" w:space="0"/>
              <w:right w:val="single" w:color="auto" w:sz="4" w:space="0"/>
            </w:tcBorders>
            <w:shd w:val="clear" w:color="auto" w:fill="auto"/>
            <w:vAlign w:val="center"/>
          </w:tcPr>
          <w:p w14:paraId="4E6F2F26">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5.00</w:t>
            </w:r>
          </w:p>
        </w:tc>
        <w:tc>
          <w:tcPr>
            <w:tcW w:w="561" w:type="pct"/>
            <w:tcBorders>
              <w:top w:val="nil"/>
              <w:left w:val="nil"/>
              <w:bottom w:val="single" w:color="auto" w:sz="4" w:space="0"/>
              <w:right w:val="single" w:color="auto" w:sz="4" w:space="0"/>
            </w:tcBorders>
            <w:shd w:val="clear" w:color="auto" w:fill="auto"/>
            <w:noWrap/>
            <w:vAlign w:val="center"/>
          </w:tcPr>
          <w:p w14:paraId="1A70A1B8">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5.00</w:t>
            </w:r>
          </w:p>
        </w:tc>
        <w:tc>
          <w:tcPr>
            <w:tcW w:w="831" w:type="pct"/>
            <w:tcBorders>
              <w:top w:val="nil"/>
              <w:left w:val="nil"/>
              <w:bottom w:val="single" w:color="auto" w:sz="4" w:space="0"/>
              <w:right w:val="single" w:color="auto" w:sz="4" w:space="0"/>
            </w:tcBorders>
            <w:shd w:val="clear" w:color="auto" w:fill="auto"/>
            <w:noWrap/>
            <w:vAlign w:val="center"/>
          </w:tcPr>
          <w:p w14:paraId="6DF8CC4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7BE845F2">
        <w:tblPrEx>
          <w:tblCellMar>
            <w:top w:w="0" w:type="dxa"/>
            <w:left w:w="108" w:type="dxa"/>
            <w:bottom w:w="0" w:type="dxa"/>
            <w:right w:w="108" w:type="dxa"/>
          </w:tblCellMar>
        </w:tblPrEx>
        <w:trPr>
          <w:trHeight w:val="330" w:hRule="atLeast"/>
        </w:trPr>
        <w:tc>
          <w:tcPr>
            <w:tcW w:w="967" w:type="pct"/>
            <w:vMerge w:val="continue"/>
            <w:tcBorders>
              <w:top w:val="nil"/>
              <w:left w:val="single" w:color="auto" w:sz="4" w:space="0"/>
              <w:bottom w:val="single" w:color="auto" w:sz="4" w:space="0"/>
              <w:right w:val="single" w:color="auto" w:sz="4" w:space="0"/>
            </w:tcBorders>
            <w:vAlign w:val="center"/>
          </w:tcPr>
          <w:p w14:paraId="5B891549">
            <w:pPr>
              <w:widowControl/>
              <w:spacing w:after="156" w:line="280" w:lineRule="exact"/>
              <w:jc w:val="center"/>
              <w:rPr>
                <w:rFonts w:eastAsia="宋体" w:cs="Times New Roman"/>
                <w:color w:val="000000"/>
                <w:kern w:val="0"/>
                <w:sz w:val="20"/>
                <w:szCs w:val="20"/>
              </w:rPr>
            </w:pPr>
          </w:p>
        </w:tc>
        <w:tc>
          <w:tcPr>
            <w:tcW w:w="637" w:type="pct"/>
            <w:vMerge w:val="restart"/>
            <w:tcBorders>
              <w:top w:val="nil"/>
              <w:left w:val="single" w:color="auto" w:sz="4" w:space="0"/>
              <w:bottom w:val="single" w:color="auto" w:sz="4" w:space="0"/>
              <w:right w:val="single" w:color="auto" w:sz="4" w:space="0"/>
            </w:tcBorders>
            <w:shd w:val="clear" w:color="000000" w:fill="FFFFFF"/>
            <w:vAlign w:val="center"/>
          </w:tcPr>
          <w:p w14:paraId="3502745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绩效目标</w:t>
            </w:r>
          </w:p>
        </w:tc>
        <w:tc>
          <w:tcPr>
            <w:tcW w:w="1443" w:type="pct"/>
            <w:tcBorders>
              <w:top w:val="nil"/>
              <w:left w:val="nil"/>
              <w:bottom w:val="single" w:color="auto" w:sz="4" w:space="0"/>
              <w:right w:val="single" w:color="auto" w:sz="4" w:space="0"/>
            </w:tcBorders>
            <w:shd w:val="clear" w:color="000000" w:fill="FFFFFF"/>
            <w:vAlign w:val="center"/>
          </w:tcPr>
          <w:p w14:paraId="3A366A93">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明确性</w:t>
            </w:r>
          </w:p>
        </w:tc>
        <w:tc>
          <w:tcPr>
            <w:tcW w:w="562" w:type="pct"/>
            <w:tcBorders>
              <w:top w:val="nil"/>
              <w:left w:val="nil"/>
              <w:bottom w:val="single" w:color="auto" w:sz="4" w:space="0"/>
              <w:right w:val="single" w:color="auto" w:sz="4" w:space="0"/>
            </w:tcBorders>
            <w:shd w:val="clear" w:color="auto" w:fill="auto"/>
            <w:vAlign w:val="center"/>
          </w:tcPr>
          <w:p w14:paraId="54A366FD">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7.00</w:t>
            </w:r>
          </w:p>
        </w:tc>
        <w:tc>
          <w:tcPr>
            <w:tcW w:w="561" w:type="pct"/>
            <w:tcBorders>
              <w:top w:val="nil"/>
              <w:left w:val="nil"/>
              <w:bottom w:val="single" w:color="auto" w:sz="4" w:space="0"/>
              <w:right w:val="single" w:color="auto" w:sz="4" w:space="0"/>
            </w:tcBorders>
            <w:shd w:val="clear" w:color="auto" w:fill="auto"/>
            <w:noWrap/>
            <w:vAlign w:val="center"/>
          </w:tcPr>
          <w:p w14:paraId="1BB2CCBB">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5.60</w:t>
            </w:r>
          </w:p>
        </w:tc>
        <w:tc>
          <w:tcPr>
            <w:tcW w:w="831" w:type="pct"/>
            <w:tcBorders>
              <w:top w:val="nil"/>
              <w:left w:val="nil"/>
              <w:bottom w:val="single" w:color="auto" w:sz="4" w:space="0"/>
              <w:right w:val="single" w:color="auto" w:sz="4" w:space="0"/>
            </w:tcBorders>
            <w:shd w:val="clear" w:color="auto" w:fill="auto"/>
            <w:noWrap/>
            <w:vAlign w:val="center"/>
          </w:tcPr>
          <w:p w14:paraId="3564ED1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80.00%</w:t>
            </w:r>
          </w:p>
        </w:tc>
      </w:tr>
      <w:tr w14:paraId="5A187E7A">
        <w:tblPrEx>
          <w:tblCellMar>
            <w:top w:w="0" w:type="dxa"/>
            <w:left w:w="108" w:type="dxa"/>
            <w:bottom w:w="0" w:type="dxa"/>
            <w:right w:w="108" w:type="dxa"/>
          </w:tblCellMar>
        </w:tblPrEx>
        <w:trPr>
          <w:trHeight w:val="330" w:hRule="atLeast"/>
        </w:trPr>
        <w:tc>
          <w:tcPr>
            <w:tcW w:w="967" w:type="pct"/>
            <w:vMerge w:val="continue"/>
            <w:tcBorders>
              <w:top w:val="nil"/>
              <w:left w:val="single" w:color="auto" w:sz="4" w:space="0"/>
              <w:bottom w:val="single" w:color="auto" w:sz="4" w:space="0"/>
              <w:right w:val="single" w:color="auto" w:sz="4" w:space="0"/>
            </w:tcBorders>
            <w:vAlign w:val="center"/>
          </w:tcPr>
          <w:p w14:paraId="18D056C4">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0B9D6ECE">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31B080E5">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合理性</w:t>
            </w:r>
          </w:p>
        </w:tc>
        <w:tc>
          <w:tcPr>
            <w:tcW w:w="562" w:type="pct"/>
            <w:tcBorders>
              <w:top w:val="nil"/>
              <w:left w:val="nil"/>
              <w:bottom w:val="single" w:color="auto" w:sz="4" w:space="0"/>
              <w:right w:val="single" w:color="auto" w:sz="4" w:space="0"/>
            </w:tcBorders>
            <w:shd w:val="clear" w:color="auto" w:fill="auto"/>
            <w:vAlign w:val="center"/>
          </w:tcPr>
          <w:p w14:paraId="5B4DA389">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4C87B083">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6.40</w:t>
            </w:r>
          </w:p>
        </w:tc>
        <w:tc>
          <w:tcPr>
            <w:tcW w:w="831" w:type="pct"/>
            <w:tcBorders>
              <w:top w:val="nil"/>
              <w:left w:val="nil"/>
              <w:bottom w:val="single" w:color="auto" w:sz="4" w:space="0"/>
              <w:right w:val="single" w:color="auto" w:sz="4" w:space="0"/>
            </w:tcBorders>
            <w:shd w:val="clear" w:color="auto" w:fill="auto"/>
            <w:noWrap/>
            <w:vAlign w:val="center"/>
          </w:tcPr>
          <w:p w14:paraId="0C8B611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80.00%</w:t>
            </w:r>
          </w:p>
        </w:tc>
      </w:tr>
      <w:tr w14:paraId="0E164373">
        <w:tblPrEx>
          <w:tblCellMar>
            <w:top w:w="0" w:type="dxa"/>
            <w:left w:w="108" w:type="dxa"/>
            <w:bottom w:w="0" w:type="dxa"/>
            <w:right w:w="108" w:type="dxa"/>
          </w:tblCellMar>
        </w:tblPrEx>
        <w:trPr>
          <w:trHeight w:val="469" w:hRule="atLeast"/>
        </w:trPr>
        <w:tc>
          <w:tcPr>
            <w:tcW w:w="967" w:type="pct"/>
            <w:vMerge w:val="restart"/>
            <w:tcBorders>
              <w:top w:val="nil"/>
              <w:left w:val="single" w:color="auto" w:sz="4" w:space="0"/>
              <w:bottom w:val="single" w:color="auto" w:sz="4" w:space="0"/>
              <w:right w:val="single" w:color="auto" w:sz="4" w:space="0"/>
            </w:tcBorders>
            <w:shd w:val="clear" w:color="000000" w:fill="FFFFFF"/>
            <w:vAlign w:val="center"/>
          </w:tcPr>
          <w:p w14:paraId="36BABF8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项目实施</w:t>
            </w:r>
          </w:p>
          <w:p w14:paraId="78B9075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（20</w:t>
            </w:r>
            <w:r>
              <w:rPr>
                <w:rFonts w:hint="eastAsia" w:eastAsia="宋体" w:cs="Times New Roman"/>
                <w:color w:val="000000"/>
                <w:kern w:val="0"/>
                <w:sz w:val="20"/>
                <w:szCs w:val="20"/>
              </w:rPr>
              <w:t>分</w:t>
            </w:r>
            <w:r>
              <w:rPr>
                <w:rFonts w:eastAsia="宋体" w:cs="Times New Roman"/>
                <w:color w:val="000000"/>
                <w:kern w:val="0"/>
                <w:sz w:val="20"/>
                <w:szCs w:val="20"/>
              </w:rPr>
              <w:t>）</w:t>
            </w:r>
          </w:p>
        </w:tc>
        <w:tc>
          <w:tcPr>
            <w:tcW w:w="637" w:type="pct"/>
            <w:tcBorders>
              <w:top w:val="nil"/>
              <w:left w:val="nil"/>
              <w:bottom w:val="single" w:color="auto" w:sz="4" w:space="0"/>
              <w:right w:val="single" w:color="auto" w:sz="4" w:space="0"/>
            </w:tcBorders>
            <w:shd w:val="clear" w:color="000000" w:fill="FFFFFF"/>
            <w:vAlign w:val="center"/>
          </w:tcPr>
          <w:p w14:paraId="6D5B08C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资金管理</w:t>
            </w:r>
          </w:p>
        </w:tc>
        <w:tc>
          <w:tcPr>
            <w:tcW w:w="1443" w:type="pct"/>
            <w:tcBorders>
              <w:top w:val="nil"/>
              <w:left w:val="nil"/>
              <w:bottom w:val="single" w:color="auto" w:sz="4" w:space="0"/>
              <w:right w:val="single" w:color="auto" w:sz="4" w:space="0"/>
            </w:tcBorders>
            <w:shd w:val="clear" w:color="auto" w:fill="auto"/>
            <w:vAlign w:val="center"/>
          </w:tcPr>
          <w:p w14:paraId="586C2CB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资金分配科学性</w:t>
            </w:r>
          </w:p>
        </w:tc>
        <w:tc>
          <w:tcPr>
            <w:tcW w:w="562" w:type="pct"/>
            <w:tcBorders>
              <w:top w:val="nil"/>
              <w:left w:val="nil"/>
              <w:bottom w:val="single" w:color="auto" w:sz="4" w:space="0"/>
              <w:right w:val="single" w:color="auto" w:sz="4" w:space="0"/>
            </w:tcBorders>
            <w:shd w:val="clear" w:color="auto" w:fill="auto"/>
            <w:vAlign w:val="center"/>
          </w:tcPr>
          <w:p w14:paraId="48FCE091">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28400454">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3.60</w:t>
            </w:r>
          </w:p>
        </w:tc>
        <w:tc>
          <w:tcPr>
            <w:tcW w:w="831" w:type="pct"/>
            <w:tcBorders>
              <w:top w:val="nil"/>
              <w:left w:val="nil"/>
              <w:bottom w:val="single" w:color="auto" w:sz="4" w:space="0"/>
              <w:right w:val="single" w:color="auto" w:sz="4" w:space="0"/>
            </w:tcBorders>
            <w:shd w:val="clear" w:color="auto" w:fill="auto"/>
            <w:noWrap/>
            <w:vAlign w:val="center"/>
          </w:tcPr>
          <w:p w14:paraId="3AF2C256">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60.00%</w:t>
            </w:r>
          </w:p>
        </w:tc>
      </w:tr>
      <w:tr w14:paraId="255CA171">
        <w:tblPrEx>
          <w:tblCellMar>
            <w:top w:w="0" w:type="dxa"/>
            <w:left w:w="108" w:type="dxa"/>
            <w:bottom w:w="0" w:type="dxa"/>
            <w:right w:w="108" w:type="dxa"/>
          </w:tblCellMar>
        </w:tblPrEx>
        <w:trPr>
          <w:trHeight w:val="561" w:hRule="atLeast"/>
        </w:trPr>
        <w:tc>
          <w:tcPr>
            <w:tcW w:w="967" w:type="pct"/>
            <w:vMerge w:val="continue"/>
            <w:tcBorders>
              <w:top w:val="nil"/>
              <w:left w:val="single" w:color="auto" w:sz="4" w:space="0"/>
              <w:bottom w:val="single" w:color="auto" w:sz="4" w:space="0"/>
              <w:right w:val="single" w:color="auto" w:sz="4" w:space="0"/>
            </w:tcBorders>
            <w:vAlign w:val="center"/>
          </w:tcPr>
          <w:p w14:paraId="07263CF7">
            <w:pPr>
              <w:widowControl/>
              <w:spacing w:after="156" w:line="280" w:lineRule="exact"/>
              <w:jc w:val="center"/>
              <w:rPr>
                <w:rFonts w:eastAsia="宋体" w:cs="Times New Roman"/>
                <w:color w:val="000000"/>
                <w:kern w:val="0"/>
                <w:sz w:val="20"/>
                <w:szCs w:val="20"/>
              </w:rPr>
            </w:pPr>
          </w:p>
        </w:tc>
        <w:tc>
          <w:tcPr>
            <w:tcW w:w="637" w:type="pct"/>
            <w:vMerge w:val="restart"/>
            <w:tcBorders>
              <w:top w:val="nil"/>
              <w:left w:val="single" w:color="auto" w:sz="4" w:space="0"/>
              <w:bottom w:val="single" w:color="auto" w:sz="4" w:space="0"/>
              <w:right w:val="single" w:color="auto" w:sz="4" w:space="0"/>
            </w:tcBorders>
            <w:shd w:val="clear" w:color="000000" w:fill="FFFFFF"/>
            <w:vAlign w:val="center"/>
          </w:tcPr>
          <w:p w14:paraId="60FD8D5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过程控制</w:t>
            </w:r>
          </w:p>
        </w:tc>
        <w:tc>
          <w:tcPr>
            <w:tcW w:w="1443" w:type="pct"/>
            <w:tcBorders>
              <w:top w:val="nil"/>
              <w:left w:val="nil"/>
              <w:bottom w:val="single" w:color="auto" w:sz="4" w:space="0"/>
              <w:right w:val="single" w:color="auto" w:sz="4" w:space="0"/>
            </w:tcBorders>
            <w:shd w:val="clear" w:color="auto" w:fill="auto"/>
            <w:vAlign w:val="center"/>
          </w:tcPr>
          <w:p w14:paraId="7A23687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财务管理规范性</w:t>
            </w:r>
          </w:p>
        </w:tc>
        <w:tc>
          <w:tcPr>
            <w:tcW w:w="562" w:type="pct"/>
            <w:tcBorders>
              <w:top w:val="nil"/>
              <w:left w:val="nil"/>
              <w:bottom w:val="single" w:color="auto" w:sz="4" w:space="0"/>
              <w:right w:val="single" w:color="auto" w:sz="4" w:space="0"/>
            </w:tcBorders>
            <w:shd w:val="clear" w:color="auto" w:fill="auto"/>
            <w:vAlign w:val="center"/>
          </w:tcPr>
          <w:p w14:paraId="3B6B89BA">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278F7F03">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831" w:type="pct"/>
            <w:tcBorders>
              <w:top w:val="nil"/>
              <w:left w:val="nil"/>
              <w:bottom w:val="single" w:color="auto" w:sz="4" w:space="0"/>
              <w:right w:val="single" w:color="auto" w:sz="4" w:space="0"/>
            </w:tcBorders>
            <w:shd w:val="clear" w:color="auto" w:fill="auto"/>
            <w:noWrap/>
            <w:vAlign w:val="center"/>
          </w:tcPr>
          <w:p w14:paraId="470852C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75FFA11D">
        <w:tblPrEx>
          <w:tblCellMar>
            <w:top w:w="0" w:type="dxa"/>
            <w:left w:w="108" w:type="dxa"/>
            <w:bottom w:w="0" w:type="dxa"/>
            <w:right w:w="108" w:type="dxa"/>
          </w:tblCellMar>
        </w:tblPrEx>
        <w:trPr>
          <w:trHeight w:val="545" w:hRule="atLeast"/>
        </w:trPr>
        <w:tc>
          <w:tcPr>
            <w:tcW w:w="967" w:type="pct"/>
            <w:vMerge w:val="continue"/>
            <w:tcBorders>
              <w:top w:val="nil"/>
              <w:left w:val="single" w:color="auto" w:sz="4" w:space="0"/>
              <w:bottom w:val="single" w:color="auto" w:sz="4" w:space="0"/>
              <w:right w:val="single" w:color="auto" w:sz="4" w:space="0"/>
            </w:tcBorders>
            <w:vAlign w:val="center"/>
          </w:tcPr>
          <w:p w14:paraId="6DAA3D45">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36FD7C60">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35992F8A">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业务管理规范性</w:t>
            </w:r>
          </w:p>
        </w:tc>
        <w:tc>
          <w:tcPr>
            <w:tcW w:w="562" w:type="pct"/>
            <w:tcBorders>
              <w:top w:val="nil"/>
              <w:left w:val="nil"/>
              <w:bottom w:val="single" w:color="auto" w:sz="4" w:space="0"/>
              <w:right w:val="single" w:color="auto" w:sz="4" w:space="0"/>
            </w:tcBorders>
            <w:shd w:val="clear" w:color="auto" w:fill="auto"/>
            <w:vAlign w:val="center"/>
          </w:tcPr>
          <w:p w14:paraId="50C1919B">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2CFBC44C">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831" w:type="pct"/>
            <w:tcBorders>
              <w:top w:val="nil"/>
              <w:left w:val="nil"/>
              <w:bottom w:val="single" w:color="auto" w:sz="4" w:space="0"/>
              <w:right w:val="single" w:color="auto" w:sz="4" w:space="0"/>
            </w:tcBorders>
            <w:shd w:val="clear" w:color="auto" w:fill="auto"/>
            <w:noWrap/>
            <w:vAlign w:val="center"/>
          </w:tcPr>
          <w:p w14:paraId="51A65B0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76CA19CF">
        <w:tblPrEx>
          <w:tblCellMar>
            <w:top w:w="0" w:type="dxa"/>
            <w:left w:w="108" w:type="dxa"/>
            <w:bottom w:w="0" w:type="dxa"/>
            <w:right w:w="108" w:type="dxa"/>
          </w:tblCellMar>
        </w:tblPrEx>
        <w:trPr>
          <w:trHeight w:val="564" w:hRule="atLeast"/>
        </w:trPr>
        <w:tc>
          <w:tcPr>
            <w:tcW w:w="967" w:type="pct"/>
            <w:vMerge w:val="restart"/>
            <w:tcBorders>
              <w:top w:val="nil"/>
              <w:left w:val="single" w:color="auto" w:sz="4" w:space="0"/>
              <w:bottom w:val="single" w:color="auto" w:sz="4" w:space="0"/>
              <w:right w:val="single" w:color="auto" w:sz="4" w:space="0"/>
            </w:tcBorders>
            <w:shd w:val="clear" w:color="000000" w:fill="FFFFFF"/>
            <w:vAlign w:val="center"/>
          </w:tcPr>
          <w:p w14:paraId="43F008A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项目绩效</w:t>
            </w:r>
          </w:p>
          <w:p w14:paraId="6AD4D9D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（60</w:t>
            </w:r>
            <w:r>
              <w:rPr>
                <w:rFonts w:hint="eastAsia" w:eastAsia="宋体" w:cs="Times New Roman"/>
                <w:color w:val="000000"/>
                <w:kern w:val="0"/>
                <w:sz w:val="20"/>
                <w:szCs w:val="20"/>
              </w:rPr>
              <w:t>分</w:t>
            </w:r>
            <w:r>
              <w:rPr>
                <w:rFonts w:eastAsia="宋体" w:cs="Times New Roman"/>
                <w:color w:val="000000"/>
                <w:kern w:val="0"/>
                <w:sz w:val="20"/>
                <w:szCs w:val="20"/>
              </w:rPr>
              <w:t>）</w:t>
            </w:r>
          </w:p>
        </w:tc>
        <w:tc>
          <w:tcPr>
            <w:tcW w:w="637" w:type="pct"/>
            <w:vMerge w:val="restart"/>
            <w:tcBorders>
              <w:top w:val="nil"/>
              <w:left w:val="single" w:color="auto" w:sz="4" w:space="0"/>
              <w:bottom w:val="single" w:color="auto" w:sz="4" w:space="0"/>
              <w:right w:val="single" w:color="auto" w:sz="4" w:space="0"/>
            </w:tcBorders>
            <w:shd w:val="clear" w:color="000000" w:fill="FFFFFF"/>
            <w:vAlign w:val="center"/>
          </w:tcPr>
          <w:p w14:paraId="02B69E5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完成数量</w:t>
            </w:r>
          </w:p>
        </w:tc>
        <w:tc>
          <w:tcPr>
            <w:tcW w:w="1443" w:type="pct"/>
            <w:tcBorders>
              <w:top w:val="nil"/>
              <w:left w:val="nil"/>
              <w:bottom w:val="single" w:color="auto" w:sz="4" w:space="0"/>
              <w:right w:val="single" w:color="auto" w:sz="4" w:space="0"/>
            </w:tcBorders>
            <w:shd w:val="clear" w:color="000000" w:fill="FFFFFF"/>
            <w:vAlign w:val="center"/>
          </w:tcPr>
          <w:p w14:paraId="32E6671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经费覆盖人数</w:t>
            </w:r>
          </w:p>
        </w:tc>
        <w:tc>
          <w:tcPr>
            <w:tcW w:w="562" w:type="pct"/>
            <w:tcBorders>
              <w:top w:val="nil"/>
              <w:left w:val="nil"/>
              <w:bottom w:val="single" w:color="auto" w:sz="4" w:space="0"/>
              <w:right w:val="single" w:color="auto" w:sz="4" w:space="0"/>
            </w:tcBorders>
            <w:shd w:val="clear" w:color="auto" w:fill="auto"/>
            <w:vAlign w:val="center"/>
          </w:tcPr>
          <w:p w14:paraId="4C0CFF19">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9.00</w:t>
            </w:r>
          </w:p>
        </w:tc>
        <w:tc>
          <w:tcPr>
            <w:tcW w:w="561" w:type="pct"/>
            <w:tcBorders>
              <w:top w:val="nil"/>
              <w:left w:val="nil"/>
              <w:bottom w:val="single" w:color="auto" w:sz="4" w:space="0"/>
              <w:right w:val="single" w:color="auto" w:sz="4" w:space="0"/>
            </w:tcBorders>
            <w:shd w:val="clear" w:color="auto" w:fill="auto"/>
            <w:noWrap/>
            <w:vAlign w:val="center"/>
          </w:tcPr>
          <w:p w14:paraId="29A33F98">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9.00</w:t>
            </w:r>
          </w:p>
        </w:tc>
        <w:tc>
          <w:tcPr>
            <w:tcW w:w="831" w:type="pct"/>
            <w:tcBorders>
              <w:top w:val="nil"/>
              <w:left w:val="nil"/>
              <w:bottom w:val="single" w:color="auto" w:sz="4" w:space="0"/>
              <w:right w:val="single" w:color="auto" w:sz="4" w:space="0"/>
            </w:tcBorders>
            <w:shd w:val="clear" w:color="auto" w:fill="auto"/>
            <w:noWrap/>
            <w:vAlign w:val="center"/>
          </w:tcPr>
          <w:p w14:paraId="76CB7811">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1A2C9D6C">
        <w:tblPrEx>
          <w:tblCellMar>
            <w:top w:w="0" w:type="dxa"/>
            <w:left w:w="108" w:type="dxa"/>
            <w:bottom w:w="0" w:type="dxa"/>
            <w:right w:w="108" w:type="dxa"/>
          </w:tblCellMar>
        </w:tblPrEx>
        <w:trPr>
          <w:trHeight w:val="699" w:hRule="atLeast"/>
        </w:trPr>
        <w:tc>
          <w:tcPr>
            <w:tcW w:w="967" w:type="pct"/>
            <w:vMerge w:val="continue"/>
            <w:tcBorders>
              <w:top w:val="nil"/>
              <w:left w:val="single" w:color="auto" w:sz="4" w:space="0"/>
              <w:bottom w:val="single" w:color="auto" w:sz="4" w:space="0"/>
              <w:right w:val="single" w:color="auto" w:sz="4" w:space="0"/>
            </w:tcBorders>
            <w:vAlign w:val="center"/>
          </w:tcPr>
          <w:p w14:paraId="424D214C">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24032745">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2806408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查处超限超载货运车辆数的增长率</w:t>
            </w:r>
          </w:p>
        </w:tc>
        <w:tc>
          <w:tcPr>
            <w:tcW w:w="562" w:type="pct"/>
            <w:tcBorders>
              <w:top w:val="nil"/>
              <w:left w:val="nil"/>
              <w:bottom w:val="single" w:color="auto" w:sz="4" w:space="0"/>
              <w:right w:val="single" w:color="auto" w:sz="4" w:space="0"/>
            </w:tcBorders>
            <w:shd w:val="clear" w:color="auto" w:fill="auto"/>
            <w:vAlign w:val="center"/>
          </w:tcPr>
          <w:p w14:paraId="12E77429">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546003F0">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831" w:type="pct"/>
            <w:tcBorders>
              <w:top w:val="nil"/>
              <w:left w:val="nil"/>
              <w:bottom w:val="single" w:color="auto" w:sz="4" w:space="0"/>
              <w:right w:val="single" w:color="auto" w:sz="4" w:space="0"/>
            </w:tcBorders>
            <w:shd w:val="clear" w:color="auto" w:fill="auto"/>
            <w:noWrap/>
            <w:vAlign w:val="center"/>
          </w:tcPr>
          <w:p w14:paraId="0283ED2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1D83DF5C">
        <w:tblPrEx>
          <w:tblCellMar>
            <w:top w:w="0" w:type="dxa"/>
            <w:left w:w="108" w:type="dxa"/>
            <w:bottom w:w="0" w:type="dxa"/>
            <w:right w:w="108" w:type="dxa"/>
          </w:tblCellMar>
        </w:tblPrEx>
        <w:trPr>
          <w:trHeight w:val="553" w:hRule="atLeast"/>
        </w:trPr>
        <w:tc>
          <w:tcPr>
            <w:tcW w:w="967" w:type="pct"/>
            <w:vMerge w:val="continue"/>
            <w:tcBorders>
              <w:top w:val="nil"/>
              <w:left w:val="single" w:color="auto" w:sz="4" w:space="0"/>
              <w:bottom w:val="single" w:color="auto" w:sz="4" w:space="0"/>
              <w:right w:val="single" w:color="auto" w:sz="4" w:space="0"/>
            </w:tcBorders>
            <w:vAlign w:val="center"/>
          </w:tcPr>
          <w:p w14:paraId="3CA005F0">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6210A087">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32EB3AC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卸载（转）载货物吨数的下降率</w:t>
            </w:r>
          </w:p>
        </w:tc>
        <w:tc>
          <w:tcPr>
            <w:tcW w:w="562" w:type="pct"/>
            <w:tcBorders>
              <w:top w:val="nil"/>
              <w:left w:val="nil"/>
              <w:bottom w:val="single" w:color="auto" w:sz="4" w:space="0"/>
              <w:right w:val="single" w:color="auto" w:sz="4" w:space="0"/>
            </w:tcBorders>
            <w:shd w:val="clear" w:color="auto" w:fill="auto"/>
            <w:vAlign w:val="center"/>
          </w:tcPr>
          <w:p w14:paraId="053BA990">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5CE499AE">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3.60</w:t>
            </w:r>
          </w:p>
        </w:tc>
        <w:tc>
          <w:tcPr>
            <w:tcW w:w="831" w:type="pct"/>
            <w:tcBorders>
              <w:top w:val="nil"/>
              <w:left w:val="nil"/>
              <w:bottom w:val="single" w:color="auto" w:sz="4" w:space="0"/>
              <w:right w:val="single" w:color="auto" w:sz="4" w:space="0"/>
            </w:tcBorders>
            <w:shd w:val="clear" w:color="auto" w:fill="auto"/>
            <w:noWrap/>
            <w:vAlign w:val="center"/>
          </w:tcPr>
          <w:p w14:paraId="48E89408">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60.00%</w:t>
            </w:r>
          </w:p>
        </w:tc>
      </w:tr>
      <w:tr w14:paraId="169BF615">
        <w:tblPrEx>
          <w:tblCellMar>
            <w:top w:w="0" w:type="dxa"/>
            <w:left w:w="108" w:type="dxa"/>
            <w:bottom w:w="0" w:type="dxa"/>
            <w:right w:w="108" w:type="dxa"/>
          </w:tblCellMar>
        </w:tblPrEx>
        <w:trPr>
          <w:trHeight w:val="663" w:hRule="atLeast"/>
        </w:trPr>
        <w:tc>
          <w:tcPr>
            <w:tcW w:w="967" w:type="pct"/>
            <w:vMerge w:val="continue"/>
            <w:tcBorders>
              <w:top w:val="nil"/>
              <w:left w:val="single" w:color="auto" w:sz="4" w:space="0"/>
              <w:bottom w:val="single" w:color="auto" w:sz="4" w:space="0"/>
              <w:right w:val="single" w:color="auto" w:sz="4" w:space="0"/>
            </w:tcBorders>
            <w:vAlign w:val="center"/>
          </w:tcPr>
          <w:p w14:paraId="671C87D7">
            <w:pPr>
              <w:widowControl/>
              <w:spacing w:after="156" w:line="280" w:lineRule="exact"/>
              <w:jc w:val="center"/>
              <w:rPr>
                <w:rFonts w:eastAsia="宋体" w:cs="Times New Roman"/>
                <w:color w:val="000000"/>
                <w:kern w:val="0"/>
                <w:sz w:val="20"/>
                <w:szCs w:val="20"/>
              </w:rPr>
            </w:pPr>
          </w:p>
        </w:tc>
        <w:tc>
          <w:tcPr>
            <w:tcW w:w="637" w:type="pct"/>
            <w:vMerge w:val="restart"/>
            <w:tcBorders>
              <w:top w:val="nil"/>
              <w:left w:val="single" w:color="auto" w:sz="4" w:space="0"/>
              <w:bottom w:val="single" w:color="auto" w:sz="4" w:space="0"/>
              <w:right w:val="single" w:color="auto" w:sz="4" w:space="0"/>
            </w:tcBorders>
            <w:shd w:val="clear" w:color="000000" w:fill="FFFFFF"/>
            <w:vAlign w:val="center"/>
          </w:tcPr>
          <w:p w14:paraId="4C941E84">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443" w:type="pct"/>
            <w:tcBorders>
              <w:top w:val="nil"/>
              <w:left w:val="nil"/>
              <w:bottom w:val="single" w:color="auto" w:sz="4" w:space="0"/>
              <w:right w:val="single" w:color="auto" w:sz="4" w:space="0"/>
            </w:tcBorders>
            <w:shd w:val="clear" w:color="000000" w:fill="FFFFFF"/>
            <w:vAlign w:val="center"/>
          </w:tcPr>
          <w:p w14:paraId="69639ED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直管公路超限车辆控制率</w:t>
            </w:r>
          </w:p>
        </w:tc>
        <w:tc>
          <w:tcPr>
            <w:tcW w:w="562" w:type="pct"/>
            <w:tcBorders>
              <w:top w:val="nil"/>
              <w:left w:val="nil"/>
              <w:bottom w:val="single" w:color="auto" w:sz="4" w:space="0"/>
              <w:right w:val="single" w:color="auto" w:sz="4" w:space="0"/>
            </w:tcBorders>
            <w:shd w:val="clear" w:color="auto" w:fill="auto"/>
            <w:vAlign w:val="center"/>
          </w:tcPr>
          <w:p w14:paraId="2DD2A096">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04677097">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831" w:type="pct"/>
            <w:tcBorders>
              <w:top w:val="nil"/>
              <w:left w:val="nil"/>
              <w:bottom w:val="single" w:color="auto" w:sz="4" w:space="0"/>
              <w:right w:val="single" w:color="auto" w:sz="4" w:space="0"/>
            </w:tcBorders>
            <w:shd w:val="clear" w:color="auto" w:fill="auto"/>
            <w:noWrap/>
            <w:vAlign w:val="center"/>
          </w:tcPr>
          <w:p w14:paraId="0F56F905">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73CE81C6">
        <w:tblPrEx>
          <w:tblCellMar>
            <w:top w:w="0" w:type="dxa"/>
            <w:left w:w="108" w:type="dxa"/>
            <w:bottom w:w="0" w:type="dxa"/>
            <w:right w:w="108" w:type="dxa"/>
          </w:tblCellMar>
        </w:tblPrEx>
        <w:trPr>
          <w:trHeight w:val="563" w:hRule="atLeast"/>
        </w:trPr>
        <w:tc>
          <w:tcPr>
            <w:tcW w:w="967" w:type="pct"/>
            <w:vMerge w:val="continue"/>
            <w:tcBorders>
              <w:top w:val="nil"/>
              <w:left w:val="single" w:color="auto" w:sz="4" w:space="0"/>
              <w:bottom w:val="single" w:color="auto" w:sz="4" w:space="0"/>
              <w:right w:val="single" w:color="auto" w:sz="4" w:space="0"/>
            </w:tcBorders>
            <w:vAlign w:val="center"/>
          </w:tcPr>
          <w:p w14:paraId="783C3F1E">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3A4E6AA5">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6D5E0272">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安全事故发生率的下降率</w:t>
            </w:r>
          </w:p>
        </w:tc>
        <w:tc>
          <w:tcPr>
            <w:tcW w:w="562" w:type="pct"/>
            <w:tcBorders>
              <w:top w:val="nil"/>
              <w:left w:val="nil"/>
              <w:bottom w:val="single" w:color="auto" w:sz="4" w:space="0"/>
              <w:right w:val="single" w:color="auto" w:sz="4" w:space="0"/>
            </w:tcBorders>
            <w:shd w:val="clear" w:color="auto" w:fill="auto"/>
            <w:vAlign w:val="center"/>
          </w:tcPr>
          <w:p w14:paraId="4A90CCB2">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3009971E">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831" w:type="pct"/>
            <w:tcBorders>
              <w:top w:val="nil"/>
              <w:left w:val="nil"/>
              <w:bottom w:val="single" w:color="auto" w:sz="4" w:space="0"/>
              <w:right w:val="single" w:color="auto" w:sz="4" w:space="0"/>
            </w:tcBorders>
            <w:shd w:val="clear" w:color="auto" w:fill="auto"/>
            <w:noWrap/>
            <w:vAlign w:val="center"/>
          </w:tcPr>
          <w:p w14:paraId="7AF71430">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6993E076">
        <w:tblPrEx>
          <w:tblCellMar>
            <w:top w:w="0" w:type="dxa"/>
            <w:left w:w="108" w:type="dxa"/>
            <w:bottom w:w="0" w:type="dxa"/>
            <w:right w:w="108" w:type="dxa"/>
          </w:tblCellMar>
        </w:tblPrEx>
        <w:trPr>
          <w:trHeight w:val="557" w:hRule="atLeast"/>
        </w:trPr>
        <w:tc>
          <w:tcPr>
            <w:tcW w:w="967" w:type="pct"/>
            <w:vMerge w:val="continue"/>
            <w:tcBorders>
              <w:top w:val="nil"/>
              <w:left w:val="single" w:color="auto" w:sz="4" w:space="0"/>
              <w:bottom w:val="single" w:color="auto" w:sz="4" w:space="0"/>
              <w:right w:val="single" w:color="auto" w:sz="4" w:space="0"/>
            </w:tcBorders>
            <w:vAlign w:val="center"/>
          </w:tcPr>
          <w:p w14:paraId="54559160">
            <w:pPr>
              <w:widowControl/>
              <w:spacing w:after="156" w:line="280" w:lineRule="exact"/>
              <w:jc w:val="center"/>
              <w:rPr>
                <w:rFonts w:eastAsia="宋体" w:cs="Times New Roman"/>
                <w:color w:val="000000"/>
                <w:kern w:val="0"/>
                <w:sz w:val="20"/>
                <w:szCs w:val="20"/>
              </w:rPr>
            </w:pPr>
          </w:p>
        </w:tc>
        <w:tc>
          <w:tcPr>
            <w:tcW w:w="637" w:type="pct"/>
            <w:vMerge w:val="continue"/>
            <w:tcBorders>
              <w:top w:val="nil"/>
              <w:left w:val="single" w:color="auto" w:sz="4" w:space="0"/>
              <w:bottom w:val="single" w:color="auto" w:sz="4" w:space="0"/>
              <w:right w:val="single" w:color="auto" w:sz="4" w:space="0"/>
            </w:tcBorders>
            <w:vAlign w:val="center"/>
          </w:tcPr>
          <w:p w14:paraId="71B6E0DF">
            <w:pPr>
              <w:widowControl/>
              <w:spacing w:after="156" w:line="280" w:lineRule="exact"/>
              <w:jc w:val="center"/>
              <w:rPr>
                <w:rFonts w:eastAsia="宋体" w:cs="Times New Roman"/>
                <w:color w:val="000000"/>
                <w:kern w:val="0"/>
                <w:sz w:val="20"/>
                <w:szCs w:val="20"/>
              </w:rPr>
            </w:pPr>
          </w:p>
        </w:tc>
        <w:tc>
          <w:tcPr>
            <w:tcW w:w="1443" w:type="pct"/>
            <w:tcBorders>
              <w:top w:val="nil"/>
              <w:left w:val="nil"/>
              <w:bottom w:val="single" w:color="auto" w:sz="4" w:space="0"/>
              <w:right w:val="single" w:color="auto" w:sz="4" w:space="0"/>
            </w:tcBorders>
            <w:shd w:val="clear" w:color="000000" w:fill="FFFFFF"/>
            <w:vAlign w:val="center"/>
          </w:tcPr>
          <w:p w14:paraId="0FDDB26B">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群众投诉下降率</w:t>
            </w:r>
          </w:p>
        </w:tc>
        <w:tc>
          <w:tcPr>
            <w:tcW w:w="562" w:type="pct"/>
            <w:tcBorders>
              <w:top w:val="nil"/>
              <w:left w:val="nil"/>
              <w:bottom w:val="single" w:color="auto" w:sz="4" w:space="0"/>
              <w:right w:val="single" w:color="auto" w:sz="4" w:space="0"/>
            </w:tcBorders>
            <w:shd w:val="clear" w:color="auto" w:fill="auto"/>
            <w:vAlign w:val="center"/>
          </w:tcPr>
          <w:p w14:paraId="47125976">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25FECC40">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2.00</w:t>
            </w:r>
          </w:p>
        </w:tc>
        <w:tc>
          <w:tcPr>
            <w:tcW w:w="831" w:type="pct"/>
            <w:tcBorders>
              <w:top w:val="nil"/>
              <w:left w:val="nil"/>
              <w:bottom w:val="single" w:color="auto" w:sz="4" w:space="0"/>
              <w:right w:val="single" w:color="auto" w:sz="4" w:space="0"/>
            </w:tcBorders>
            <w:shd w:val="clear" w:color="auto" w:fill="auto"/>
            <w:noWrap/>
            <w:vAlign w:val="center"/>
          </w:tcPr>
          <w:p w14:paraId="3AEE788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25.00%</w:t>
            </w:r>
          </w:p>
        </w:tc>
      </w:tr>
      <w:tr w14:paraId="07ADF34A">
        <w:tblPrEx>
          <w:tblCellMar>
            <w:top w:w="0" w:type="dxa"/>
            <w:left w:w="108" w:type="dxa"/>
            <w:bottom w:w="0" w:type="dxa"/>
            <w:right w:w="108" w:type="dxa"/>
          </w:tblCellMar>
        </w:tblPrEx>
        <w:trPr>
          <w:trHeight w:val="707" w:hRule="atLeast"/>
        </w:trPr>
        <w:tc>
          <w:tcPr>
            <w:tcW w:w="967" w:type="pct"/>
            <w:vMerge w:val="continue"/>
            <w:tcBorders>
              <w:top w:val="nil"/>
              <w:left w:val="single" w:color="auto" w:sz="4" w:space="0"/>
              <w:bottom w:val="single" w:color="auto" w:sz="4" w:space="0"/>
              <w:right w:val="single" w:color="auto" w:sz="4" w:space="0"/>
            </w:tcBorders>
            <w:vAlign w:val="center"/>
          </w:tcPr>
          <w:p w14:paraId="6916F8E3">
            <w:pPr>
              <w:widowControl/>
              <w:spacing w:after="156" w:line="280" w:lineRule="exact"/>
              <w:jc w:val="center"/>
              <w:rPr>
                <w:rFonts w:eastAsia="宋体" w:cs="Times New Roman"/>
                <w:color w:val="000000"/>
                <w:kern w:val="0"/>
                <w:sz w:val="20"/>
                <w:szCs w:val="20"/>
              </w:rPr>
            </w:pPr>
          </w:p>
        </w:tc>
        <w:tc>
          <w:tcPr>
            <w:tcW w:w="637" w:type="pct"/>
            <w:tcBorders>
              <w:top w:val="nil"/>
              <w:left w:val="nil"/>
              <w:bottom w:val="single" w:color="auto" w:sz="4" w:space="0"/>
              <w:right w:val="single" w:color="auto" w:sz="4" w:space="0"/>
            </w:tcBorders>
            <w:shd w:val="clear" w:color="000000" w:fill="FFFFFF"/>
            <w:vAlign w:val="center"/>
          </w:tcPr>
          <w:p w14:paraId="31571D7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生态效益</w:t>
            </w:r>
          </w:p>
        </w:tc>
        <w:tc>
          <w:tcPr>
            <w:tcW w:w="1443" w:type="pct"/>
            <w:tcBorders>
              <w:top w:val="nil"/>
              <w:left w:val="nil"/>
              <w:bottom w:val="single" w:color="auto" w:sz="4" w:space="0"/>
              <w:right w:val="single" w:color="auto" w:sz="4" w:space="0"/>
            </w:tcBorders>
            <w:shd w:val="clear" w:color="000000" w:fill="FFFFFF"/>
            <w:vAlign w:val="center"/>
          </w:tcPr>
          <w:p w14:paraId="76133C5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抛洒（滴漏）年下降率</w:t>
            </w:r>
          </w:p>
        </w:tc>
        <w:tc>
          <w:tcPr>
            <w:tcW w:w="562" w:type="pct"/>
            <w:tcBorders>
              <w:top w:val="nil"/>
              <w:left w:val="nil"/>
              <w:bottom w:val="single" w:color="auto" w:sz="4" w:space="0"/>
              <w:right w:val="single" w:color="auto" w:sz="4" w:space="0"/>
            </w:tcBorders>
            <w:shd w:val="clear" w:color="auto" w:fill="auto"/>
            <w:vAlign w:val="center"/>
          </w:tcPr>
          <w:p w14:paraId="5AFFDAEE">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247ED52C">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8.00</w:t>
            </w:r>
          </w:p>
        </w:tc>
        <w:tc>
          <w:tcPr>
            <w:tcW w:w="831" w:type="pct"/>
            <w:tcBorders>
              <w:top w:val="nil"/>
              <w:left w:val="nil"/>
              <w:bottom w:val="single" w:color="auto" w:sz="4" w:space="0"/>
              <w:right w:val="single" w:color="auto" w:sz="4" w:space="0"/>
            </w:tcBorders>
            <w:shd w:val="clear" w:color="auto" w:fill="auto"/>
            <w:noWrap/>
            <w:vAlign w:val="center"/>
          </w:tcPr>
          <w:p w14:paraId="30C4C45D">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26072425">
        <w:tblPrEx>
          <w:tblCellMar>
            <w:top w:w="0" w:type="dxa"/>
            <w:left w:w="108" w:type="dxa"/>
            <w:bottom w:w="0" w:type="dxa"/>
            <w:right w:w="108" w:type="dxa"/>
          </w:tblCellMar>
        </w:tblPrEx>
        <w:trPr>
          <w:trHeight w:val="990" w:hRule="atLeast"/>
        </w:trPr>
        <w:tc>
          <w:tcPr>
            <w:tcW w:w="967" w:type="pct"/>
            <w:vMerge w:val="continue"/>
            <w:tcBorders>
              <w:top w:val="nil"/>
              <w:left w:val="single" w:color="auto" w:sz="4" w:space="0"/>
              <w:bottom w:val="single" w:color="auto" w:sz="4" w:space="0"/>
              <w:right w:val="single" w:color="auto" w:sz="4" w:space="0"/>
            </w:tcBorders>
            <w:vAlign w:val="center"/>
          </w:tcPr>
          <w:p w14:paraId="375B06A5">
            <w:pPr>
              <w:widowControl/>
              <w:spacing w:after="156" w:line="280" w:lineRule="exact"/>
              <w:jc w:val="center"/>
              <w:rPr>
                <w:rFonts w:eastAsia="宋体" w:cs="Times New Roman"/>
                <w:color w:val="000000"/>
                <w:kern w:val="0"/>
                <w:sz w:val="20"/>
                <w:szCs w:val="20"/>
              </w:rPr>
            </w:pPr>
          </w:p>
        </w:tc>
        <w:tc>
          <w:tcPr>
            <w:tcW w:w="637" w:type="pct"/>
            <w:tcBorders>
              <w:top w:val="nil"/>
              <w:left w:val="nil"/>
              <w:bottom w:val="single" w:color="auto" w:sz="4" w:space="0"/>
              <w:right w:val="single" w:color="auto" w:sz="4" w:space="0"/>
            </w:tcBorders>
            <w:shd w:val="clear" w:color="000000" w:fill="FFFFFF"/>
            <w:vAlign w:val="center"/>
          </w:tcPr>
          <w:p w14:paraId="3A1ABA97">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可持续效益</w:t>
            </w:r>
          </w:p>
        </w:tc>
        <w:tc>
          <w:tcPr>
            <w:tcW w:w="1443" w:type="pct"/>
            <w:tcBorders>
              <w:top w:val="nil"/>
              <w:left w:val="nil"/>
              <w:bottom w:val="single" w:color="auto" w:sz="4" w:space="0"/>
              <w:right w:val="single" w:color="auto" w:sz="4" w:space="0"/>
            </w:tcBorders>
            <w:shd w:val="clear" w:color="000000" w:fill="FFFFFF"/>
            <w:vAlign w:val="center"/>
          </w:tcPr>
          <w:p w14:paraId="2E74F3BF">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科技治超对人工成本的持续降低率</w:t>
            </w:r>
          </w:p>
        </w:tc>
        <w:tc>
          <w:tcPr>
            <w:tcW w:w="562" w:type="pct"/>
            <w:tcBorders>
              <w:top w:val="nil"/>
              <w:left w:val="nil"/>
              <w:bottom w:val="single" w:color="auto" w:sz="4" w:space="0"/>
              <w:right w:val="single" w:color="auto" w:sz="4" w:space="0"/>
            </w:tcBorders>
            <w:shd w:val="clear" w:color="auto" w:fill="auto"/>
            <w:vAlign w:val="center"/>
          </w:tcPr>
          <w:p w14:paraId="57B7A566">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7.00</w:t>
            </w:r>
          </w:p>
        </w:tc>
        <w:tc>
          <w:tcPr>
            <w:tcW w:w="561" w:type="pct"/>
            <w:tcBorders>
              <w:top w:val="nil"/>
              <w:left w:val="nil"/>
              <w:bottom w:val="single" w:color="auto" w:sz="4" w:space="0"/>
              <w:right w:val="single" w:color="auto" w:sz="4" w:space="0"/>
            </w:tcBorders>
            <w:shd w:val="clear" w:color="auto" w:fill="auto"/>
            <w:noWrap/>
            <w:vAlign w:val="center"/>
          </w:tcPr>
          <w:p w14:paraId="3B51310B">
            <w:pPr>
              <w:widowControl/>
              <w:spacing w:after="156" w:line="280" w:lineRule="exact"/>
              <w:jc w:val="center"/>
              <w:rPr>
                <w:rFonts w:eastAsia="宋体" w:cs="Times New Roman"/>
                <w:color w:val="000000"/>
                <w:kern w:val="0"/>
                <w:sz w:val="20"/>
                <w:szCs w:val="20"/>
              </w:rPr>
            </w:pPr>
            <w:r>
              <w:rPr>
                <w:rFonts w:eastAsia="等线" w:cs="Times New Roman"/>
                <w:color w:val="000000"/>
                <w:sz w:val="20"/>
                <w:szCs w:val="20"/>
              </w:rPr>
              <w:t>7.00</w:t>
            </w:r>
          </w:p>
        </w:tc>
        <w:tc>
          <w:tcPr>
            <w:tcW w:w="831" w:type="pct"/>
            <w:tcBorders>
              <w:top w:val="nil"/>
              <w:left w:val="nil"/>
              <w:bottom w:val="single" w:color="auto" w:sz="4" w:space="0"/>
              <w:right w:val="single" w:color="auto" w:sz="4" w:space="0"/>
            </w:tcBorders>
            <w:shd w:val="clear" w:color="auto" w:fill="auto"/>
            <w:noWrap/>
            <w:vAlign w:val="center"/>
          </w:tcPr>
          <w:p w14:paraId="34D3378E">
            <w:pPr>
              <w:widowControl/>
              <w:spacing w:after="156" w:line="280" w:lineRule="exact"/>
              <w:jc w:val="center"/>
              <w:rPr>
                <w:rFonts w:eastAsia="宋体" w:cs="Times New Roman"/>
                <w:color w:val="000000"/>
                <w:kern w:val="0"/>
                <w:sz w:val="20"/>
                <w:szCs w:val="20"/>
              </w:rPr>
            </w:pPr>
            <w:r>
              <w:rPr>
                <w:rFonts w:eastAsia="宋体" w:cs="Times New Roman"/>
                <w:color w:val="000000"/>
                <w:kern w:val="0"/>
                <w:sz w:val="20"/>
                <w:szCs w:val="20"/>
              </w:rPr>
              <w:t>100.00%</w:t>
            </w:r>
          </w:p>
        </w:tc>
      </w:tr>
      <w:tr w14:paraId="6B0C3D47">
        <w:tblPrEx>
          <w:tblCellMar>
            <w:top w:w="0" w:type="dxa"/>
            <w:left w:w="108" w:type="dxa"/>
            <w:bottom w:w="0" w:type="dxa"/>
            <w:right w:w="108" w:type="dxa"/>
          </w:tblCellMar>
        </w:tblPrEx>
        <w:trPr>
          <w:trHeight w:val="330" w:hRule="atLeast"/>
        </w:trPr>
        <w:tc>
          <w:tcPr>
            <w:tcW w:w="3046" w:type="pct"/>
            <w:gridSpan w:val="3"/>
            <w:tcBorders>
              <w:top w:val="single" w:color="auto" w:sz="4" w:space="0"/>
              <w:left w:val="single" w:color="auto" w:sz="4" w:space="0"/>
              <w:bottom w:val="single" w:color="auto" w:sz="4" w:space="0"/>
              <w:right w:val="single" w:color="000000" w:sz="4" w:space="0"/>
            </w:tcBorders>
            <w:shd w:val="clear" w:color="000000" w:fill="FFFFFF"/>
            <w:vAlign w:val="center"/>
          </w:tcPr>
          <w:p w14:paraId="7B0265F2">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562" w:type="pct"/>
            <w:tcBorders>
              <w:top w:val="nil"/>
              <w:left w:val="nil"/>
              <w:bottom w:val="single" w:color="auto" w:sz="4" w:space="0"/>
              <w:right w:val="single" w:color="auto" w:sz="4" w:space="0"/>
            </w:tcBorders>
            <w:shd w:val="clear" w:color="auto" w:fill="auto"/>
            <w:vAlign w:val="center"/>
          </w:tcPr>
          <w:p w14:paraId="260DF232">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100.00</w:t>
            </w:r>
          </w:p>
        </w:tc>
        <w:tc>
          <w:tcPr>
            <w:tcW w:w="561" w:type="pct"/>
            <w:tcBorders>
              <w:top w:val="nil"/>
              <w:left w:val="nil"/>
              <w:bottom w:val="single" w:color="auto" w:sz="4" w:space="0"/>
              <w:right w:val="single" w:color="auto" w:sz="4" w:space="0"/>
            </w:tcBorders>
            <w:shd w:val="clear" w:color="auto" w:fill="auto"/>
            <w:noWrap/>
            <w:vAlign w:val="center"/>
          </w:tcPr>
          <w:p w14:paraId="0011369E">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86.20</w:t>
            </w:r>
          </w:p>
        </w:tc>
        <w:tc>
          <w:tcPr>
            <w:tcW w:w="831" w:type="pct"/>
            <w:tcBorders>
              <w:top w:val="nil"/>
              <w:left w:val="nil"/>
              <w:bottom w:val="single" w:color="auto" w:sz="4" w:space="0"/>
              <w:right w:val="single" w:color="auto" w:sz="4" w:space="0"/>
            </w:tcBorders>
            <w:shd w:val="clear" w:color="auto" w:fill="auto"/>
            <w:noWrap/>
            <w:vAlign w:val="center"/>
          </w:tcPr>
          <w:p w14:paraId="2F6905B2">
            <w:pPr>
              <w:widowControl/>
              <w:spacing w:after="156" w:line="280" w:lineRule="exact"/>
              <w:jc w:val="center"/>
              <w:rPr>
                <w:rFonts w:eastAsia="宋体" w:cs="Times New Roman"/>
                <w:b/>
                <w:bCs/>
                <w:color w:val="000000"/>
                <w:kern w:val="0"/>
                <w:sz w:val="20"/>
                <w:szCs w:val="20"/>
              </w:rPr>
            </w:pPr>
            <w:r>
              <w:rPr>
                <w:rFonts w:eastAsia="宋体" w:cs="Times New Roman"/>
                <w:b/>
                <w:bCs/>
                <w:color w:val="000000"/>
                <w:kern w:val="0"/>
                <w:sz w:val="20"/>
                <w:szCs w:val="20"/>
              </w:rPr>
              <w:t>86.20%</w:t>
            </w:r>
          </w:p>
        </w:tc>
      </w:tr>
    </w:tbl>
    <w:p w14:paraId="4F97BC6F">
      <w:pPr>
        <w:widowControl/>
        <w:spacing w:after="0" w:afterLines="0" w:line="600" w:lineRule="exact"/>
        <w:jc w:val="center"/>
        <w:rPr>
          <w:rFonts w:cs="Times New Roman"/>
          <w:b/>
          <w:szCs w:val="32"/>
        </w:rPr>
      </w:pPr>
    </w:p>
    <w:p w14:paraId="0B24E10B">
      <w:pPr>
        <w:pStyle w:val="3"/>
        <w:spacing w:after="0" w:afterLines="0" w:line="600" w:lineRule="exact"/>
        <w:ind w:firstLine="643"/>
        <w:rPr>
          <w:rFonts w:cs="Times New Roman"/>
        </w:rPr>
      </w:pPr>
      <w:bookmarkStart w:id="31" w:name="_Toc76939705"/>
      <w:bookmarkStart w:id="32" w:name="_Toc20957"/>
      <w:r>
        <w:rPr>
          <w:rFonts w:cs="Times New Roman"/>
        </w:rPr>
        <w:t>（二）绩效分析</w:t>
      </w:r>
      <w:bookmarkEnd w:id="31"/>
      <w:bookmarkEnd w:id="32"/>
    </w:p>
    <w:p w14:paraId="20DA19FF">
      <w:pPr>
        <w:pStyle w:val="4"/>
        <w:spacing w:after="0" w:afterLines="0"/>
        <w:ind w:firstLine="643"/>
        <w:rPr>
          <w:rFonts w:cs="Times New Roman"/>
        </w:rPr>
      </w:pPr>
      <w:bookmarkStart w:id="33" w:name="_Toc6722"/>
      <w:bookmarkStart w:id="34" w:name="_Toc76939706"/>
      <w:r>
        <w:rPr>
          <w:rFonts w:cs="Times New Roman"/>
        </w:rPr>
        <w:t>1. 项目决策指标分析</w:t>
      </w:r>
      <w:bookmarkEnd w:id="33"/>
      <w:bookmarkEnd w:id="34"/>
    </w:p>
    <w:p w14:paraId="6A240B8C">
      <w:pPr>
        <w:autoSpaceDE w:val="0"/>
        <w:autoSpaceDN w:val="0"/>
        <w:adjustRightInd w:val="0"/>
        <w:spacing w:after="0" w:afterLines="0"/>
        <w:ind w:firstLine="640" w:firstLineChars="200"/>
        <w:rPr>
          <w:rFonts w:cs="Times New Roman"/>
          <w:szCs w:val="32"/>
        </w:rPr>
      </w:pPr>
      <w:r>
        <w:rPr>
          <w:rFonts w:cs="Times New Roman"/>
          <w:szCs w:val="32"/>
        </w:rPr>
        <w:t>在项目决策指标上，设置了项目依据充分性（必要性）、绩效目标明确性、绩效目标合理性3个三级指标。</w:t>
      </w:r>
    </w:p>
    <w:p w14:paraId="03DBF7BE">
      <w:pPr>
        <w:widowControl/>
        <w:spacing w:after="0" w:afterLines="0" w:line="600" w:lineRule="exact"/>
        <w:jc w:val="center"/>
        <w:rPr>
          <w:rFonts w:eastAsia="幼圆" w:cs="Times New Roman"/>
          <w:b/>
          <w:sz w:val="28"/>
          <w:szCs w:val="28"/>
        </w:rPr>
      </w:pPr>
      <w:r>
        <w:rPr>
          <w:rFonts w:eastAsia="幼圆" w:cs="Times New Roman"/>
          <w:b/>
          <w:sz w:val="28"/>
          <w:szCs w:val="28"/>
        </w:rPr>
        <w:t>附表 项目决策指标得分情况</w:t>
      </w:r>
    </w:p>
    <w:tbl>
      <w:tblPr>
        <w:tblStyle w:val="21"/>
        <w:tblW w:w="5000" w:type="pct"/>
        <w:tblInd w:w="0" w:type="dxa"/>
        <w:tblLayout w:type="autofit"/>
        <w:tblCellMar>
          <w:top w:w="0" w:type="dxa"/>
          <w:left w:w="108" w:type="dxa"/>
          <w:bottom w:w="0" w:type="dxa"/>
          <w:right w:w="108" w:type="dxa"/>
        </w:tblCellMar>
      </w:tblPr>
      <w:tblGrid>
        <w:gridCol w:w="1236"/>
        <w:gridCol w:w="1236"/>
        <w:gridCol w:w="3294"/>
        <w:gridCol w:w="915"/>
        <w:gridCol w:w="915"/>
        <w:gridCol w:w="1464"/>
      </w:tblGrid>
      <w:tr w14:paraId="0E40B01B">
        <w:tblPrEx>
          <w:tblCellMar>
            <w:top w:w="0" w:type="dxa"/>
            <w:left w:w="108" w:type="dxa"/>
            <w:bottom w:w="0" w:type="dxa"/>
            <w:right w:w="108" w:type="dxa"/>
          </w:tblCellMar>
        </w:tblPrEx>
        <w:trPr>
          <w:trHeight w:val="645" w:hRule="atLeast"/>
          <w:tblHeader/>
        </w:trPr>
        <w:tc>
          <w:tcPr>
            <w:tcW w:w="682" w:type="pct"/>
            <w:tcBorders>
              <w:top w:val="single" w:color="auto" w:sz="4" w:space="0"/>
              <w:left w:val="single" w:color="auto" w:sz="4" w:space="0"/>
              <w:bottom w:val="single" w:color="auto" w:sz="4" w:space="0"/>
              <w:right w:val="single" w:color="auto" w:sz="4" w:space="0"/>
            </w:tcBorders>
            <w:shd w:val="clear" w:color="000000" w:fill="00516B"/>
            <w:vAlign w:val="center"/>
          </w:tcPr>
          <w:p w14:paraId="28BBED7F">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682" w:type="pct"/>
            <w:tcBorders>
              <w:top w:val="single" w:color="auto" w:sz="4" w:space="0"/>
              <w:left w:val="nil"/>
              <w:bottom w:val="single" w:color="auto" w:sz="4" w:space="0"/>
              <w:right w:val="single" w:color="auto" w:sz="4" w:space="0"/>
            </w:tcBorders>
            <w:shd w:val="clear" w:color="000000" w:fill="00516B"/>
            <w:vAlign w:val="center"/>
          </w:tcPr>
          <w:p w14:paraId="4C92E0D3">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818" w:type="pct"/>
            <w:tcBorders>
              <w:top w:val="single" w:color="auto" w:sz="4" w:space="0"/>
              <w:left w:val="nil"/>
              <w:bottom w:val="single" w:color="auto" w:sz="4" w:space="0"/>
              <w:right w:val="single" w:color="auto" w:sz="4" w:space="0"/>
            </w:tcBorders>
            <w:shd w:val="clear" w:color="000000" w:fill="00516B"/>
            <w:vAlign w:val="center"/>
          </w:tcPr>
          <w:p w14:paraId="39C7E7A1">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05" w:type="pct"/>
            <w:tcBorders>
              <w:top w:val="single" w:color="auto" w:sz="4" w:space="0"/>
              <w:left w:val="nil"/>
              <w:bottom w:val="single" w:color="auto" w:sz="4" w:space="0"/>
              <w:right w:val="single" w:color="auto" w:sz="4" w:space="0"/>
            </w:tcBorders>
            <w:shd w:val="clear" w:color="000000" w:fill="00516B"/>
            <w:vAlign w:val="center"/>
          </w:tcPr>
          <w:p w14:paraId="450DD152">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权重</w:t>
            </w:r>
          </w:p>
        </w:tc>
        <w:tc>
          <w:tcPr>
            <w:tcW w:w="505" w:type="pct"/>
            <w:tcBorders>
              <w:top w:val="single" w:color="auto" w:sz="4" w:space="0"/>
              <w:left w:val="nil"/>
              <w:bottom w:val="single" w:color="auto" w:sz="4" w:space="0"/>
              <w:right w:val="single" w:color="auto" w:sz="4" w:space="0"/>
            </w:tcBorders>
            <w:shd w:val="clear" w:color="000000" w:fill="00516B"/>
            <w:noWrap/>
            <w:vAlign w:val="center"/>
          </w:tcPr>
          <w:p w14:paraId="3E241BB8">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808" w:type="pct"/>
            <w:tcBorders>
              <w:top w:val="single" w:color="auto" w:sz="4" w:space="0"/>
              <w:left w:val="nil"/>
              <w:bottom w:val="single" w:color="auto" w:sz="4" w:space="0"/>
              <w:right w:val="single" w:color="auto" w:sz="4" w:space="0"/>
            </w:tcBorders>
            <w:shd w:val="clear" w:color="000000" w:fill="00516B"/>
            <w:noWrap/>
            <w:vAlign w:val="center"/>
          </w:tcPr>
          <w:p w14:paraId="0A482F06">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14:paraId="335741A7">
        <w:tblPrEx>
          <w:tblCellMar>
            <w:top w:w="0" w:type="dxa"/>
            <w:left w:w="108" w:type="dxa"/>
            <w:bottom w:w="0" w:type="dxa"/>
            <w:right w:w="108" w:type="dxa"/>
          </w:tblCellMar>
        </w:tblPrEx>
        <w:trPr>
          <w:trHeight w:val="330" w:hRule="atLeast"/>
        </w:trPr>
        <w:tc>
          <w:tcPr>
            <w:tcW w:w="682" w:type="pct"/>
            <w:vMerge w:val="restart"/>
            <w:tcBorders>
              <w:top w:val="nil"/>
              <w:left w:val="single" w:color="auto" w:sz="4" w:space="0"/>
              <w:bottom w:val="single" w:color="auto" w:sz="4" w:space="0"/>
              <w:right w:val="single" w:color="auto" w:sz="4" w:space="0"/>
            </w:tcBorders>
            <w:shd w:val="clear" w:color="000000" w:fill="FFFFFF"/>
            <w:vAlign w:val="center"/>
          </w:tcPr>
          <w:p w14:paraId="62B0B4C1">
            <w:pPr>
              <w:widowControl/>
              <w:spacing w:after="156"/>
              <w:jc w:val="center"/>
              <w:rPr>
                <w:rFonts w:eastAsia="宋体" w:cs="Times New Roman"/>
                <w:color w:val="000000"/>
                <w:kern w:val="0"/>
                <w:sz w:val="20"/>
                <w:szCs w:val="20"/>
              </w:rPr>
            </w:pPr>
            <w:r>
              <w:rPr>
                <w:rFonts w:eastAsia="宋体" w:cs="Times New Roman"/>
                <w:color w:val="000000"/>
                <w:kern w:val="0"/>
                <w:sz w:val="20"/>
                <w:szCs w:val="20"/>
              </w:rPr>
              <w:t>项目决策（20）</w:t>
            </w:r>
          </w:p>
        </w:tc>
        <w:tc>
          <w:tcPr>
            <w:tcW w:w="682" w:type="pct"/>
            <w:tcBorders>
              <w:top w:val="nil"/>
              <w:left w:val="nil"/>
              <w:bottom w:val="single" w:color="auto" w:sz="4" w:space="0"/>
              <w:right w:val="single" w:color="auto" w:sz="4" w:space="0"/>
            </w:tcBorders>
            <w:shd w:val="clear" w:color="000000" w:fill="FFFFFF"/>
            <w:vAlign w:val="center"/>
          </w:tcPr>
          <w:p w14:paraId="30132BC0">
            <w:pPr>
              <w:widowControl/>
              <w:spacing w:after="156"/>
              <w:jc w:val="center"/>
              <w:rPr>
                <w:rFonts w:eastAsia="宋体" w:cs="Times New Roman"/>
                <w:color w:val="000000"/>
                <w:kern w:val="0"/>
                <w:sz w:val="20"/>
                <w:szCs w:val="20"/>
              </w:rPr>
            </w:pPr>
            <w:r>
              <w:rPr>
                <w:rFonts w:eastAsia="宋体" w:cs="Times New Roman"/>
                <w:color w:val="000000"/>
                <w:kern w:val="0"/>
                <w:sz w:val="20"/>
                <w:szCs w:val="20"/>
              </w:rPr>
              <w:t>项目依据</w:t>
            </w:r>
          </w:p>
        </w:tc>
        <w:tc>
          <w:tcPr>
            <w:tcW w:w="1818" w:type="pct"/>
            <w:tcBorders>
              <w:top w:val="nil"/>
              <w:left w:val="nil"/>
              <w:bottom w:val="single" w:color="auto" w:sz="4" w:space="0"/>
              <w:right w:val="single" w:color="auto" w:sz="4" w:space="0"/>
            </w:tcBorders>
            <w:shd w:val="clear" w:color="000000" w:fill="FFFFFF"/>
            <w:vAlign w:val="center"/>
          </w:tcPr>
          <w:p w14:paraId="6A824435">
            <w:pPr>
              <w:widowControl/>
              <w:spacing w:after="156"/>
              <w:jc w:val="center"/>
              <w:rPr>
                <w:rFonts w:eastAsia="宋体" w:cs="Times New Roman"/>
                <w:color w:val="000000"/>
                <w:kern w:val="0"/>
                <w:sz w:val="20"/>
                <w:szCs w:val="20"/>
              </w:rPr>
            </w:pPr>
            <w:r>
              <w:rPr>
                <w:rFonts w:eastAsia="宋体" w:cs="Times New Roman"/>
                <w:color w:val="000000"/>
                <w:kern w:val="0"/>
                <w:sz w:val="20"/>
                <w:szCs w:val="20"/>
              </w:rPr>
              <w:t>依据充分性（必要性）</w:t>
            </w:r>
          </w:p>
        </w:tc>
        <w:tc>
          <w:tcPr>
            <w:tcW w:w="505" w:type="pct"/>
            <w:tcBorders>
              <w:top w:val="nil"/>
              <w:left w:val="nil"/>
              <w:bottom w:val="single" w:color="auto" w:sz="4" w:space="0"/>
              <w:right w:val="single" w:color="auto" w:sz="4" w:space="0"/>
            </w:tcBorders>
            <w:shd w:val="clear" w:color="auto" w:fill="auto"/>
            <w:vAlign w:val="center"/>
          </w:tcPr>
          <w:p w14:paraId="227F8ED4">
            <w:pPr>
              <w:widowControl/>
              <w:spacing w:after="156"/>
              <w:jc w:val="center"/>
              <w:rPr>
                <w:rFonts w:eastAsia="宋体" w:cs="Times New Roman"/>
                <w:color w:val="000000"/>
                <w:kern w:val="0"/>
                <w:sz w:val="20"/>
                <w:szCs w:val="20"/>
              </w:rPr>
            </w:pPr>
            <w:r>
              <w:rPr>
                <w:rFonts w:eastAsia="宋体" w:cs="Times New Roman"/>
                <w:color w:val="000000"/>
                <w:kern w:val="0"/>
                <w:sz w:val="20"/>
                <w:szCs w:val="20"/>
              </w:rPr>
              <w:t>5</w:t>
            </w:r>
          </w:p>
        </w:tc>
        <w:tc>
          <w:tcPr>
            <w:tcW w:w="505" w:type="pct"/>
            <w:tcBorders>
              <w:top w:val="nil"/>
              <w:left w:val="nil"/>
              <w:bottom w:val="single" w:color="auto" w:sz="4" w:space="0"/>
              <w:right w:val="single" w:color="auto" w:sz="4" w:space="0"/>
            </w:tcBorders>
            <w:shd w:val="clear" w:color="auto" w:fill="auto"/>
            <w:noWrap/>
            <w:vAlign w:val="center"/>
          </w:tcPr>
          <w:p w14:paraId="1297323C">
            <w:pPr>
              <w:widowControl/>
              <w:spacing w:after="156"/>
              <w:jc w:val="center"/>
              <w:rPr>
                <w:rFonts w:eastAsia="宋体" w:cs="Times New Roman"/>
                <w:color w:val="000000"/>
                <w:kern w:val="0"/>
                <w:sz w:val="20"/>
                <w:szCs w:val="20"/>
              </w:rPr>
            </w:pPr>
            <w:r>
              <w:rPr>
                <w:rFonts w:eastAsia="宋体" w:cs="Times New Roman"/>
                <w:color w:val="000000"/>
                <w:kern w:val="0"/>
                <w:sz w:val="20"/>
                <w:szCs w:val="20"/>
              </w:rPr>
              <w:t>5</w:t>
            </w:r>
          </w:p>
        </w:tc>
        <w:tc>
          <w:tcPr>
            <w:tcW w:w="808" w:type="pct"/>
            <w:tcBorders>
              <w:top w:val="nil"/>
              <w:left w:val="nil"/>
              <w:bottom w:val="single" w:color="auto" w:sz="4" w:space="0"/>
              <w:right w:val="single" w:color="auto" w:sz="4" w:space="0"/>
            </w:tcBorders>
            <w:shd w:val="clear" w:color="auto" w:fill="auto"/>
            <w:noWrap/>
            <w:vAlign w:val="center"/>
          </w:tcPr>
          <w:p w14:paraId="4D6EEBC2">
            <w:pPr>
              <w:widowControl/>
              <w:spacing w:after="156"/>
              <w:jc w:val="center"/>
              <w:rPr>
                <w:rFonts w:eastAsia="宋体" w:cs="Times New Roman"/>
                <w:color w:val="000000"/>
                <w:kern w:val="0"/>
                <w:sz w:val="20"/>
                <w:szCs w:val="20"/>
              </w:rPr>
            </w:pPr>
            <w:r>
              <w:rPr>
                <w:rFonts w:eastAsia="宋体" w:cs="Times New Roman"/>
                <w:color w:val="000000"/>
                <w:kern w:val="0"/>
                <w:sz w:val="20"/>
                <w:szCs w:val="20"/>
              </w:rPr>
              <w:t>100.00%</w:t>
            </w:r>
          </w:p>
        </w:tc>
      </w:tr>
      <w:tr w14:paraId="4EF416D7">
        <w:tblPrEx>
          <w:tblCellMar>
            <w:top w:w="0" w:type="dxa"/>
            <w:left w:w="108" w:type="dxa"/>
            <w:bottom w:w="0" w:type="dxa"/>
            <w:right w:w="108" w:type="dxa"/>
          </w:tblCellMar>
        </w:tblPrEx>
        <w:trPr>
          <w:trHeight w:val="330" w:hRule="atLeast"/>
        </w:trPr>
        <w:tc>
          <w:tcPr>
            <w:tcW w:w="682" w:type="pct"/>
            <w:vMerge w:val="continue"/>
            <w:tcBorders>
              <w:top w:val="nil"/>
              <w:left w:val="single" w:color="auto" w:sz="4" w:space="0"/>
              <w:bottom w:val="single" w:color="auto" w:sz="4" w:space="0"/>
              <w:right w:val="single" w:color="auto" w:sz="4" w:space="0"/>
            </w:tcBorders>
            <w:vAlign w:val="center"/>
          </w:tcPr>
          <w:p w14:paraId="357E64C8">
            <w:pPr>
              <w:widowControl/>
              <w:spacing w:after="156"/>
              <w:jc w:val="left"/>
              <w:rPr>
                <w:rFonts w:eastAsia="宋体" w:cs="Times New Roman"/>
                <w:color w:val="000000"/>
                <w:kern w:val="0"/>
                <w:sz w:val="20"/>
                <w:szCs w:val="20"/>
              </w:rPr>
            </w:pPr>
          </w:p>
        </w:tc>
        <w:tc>
          <w:tcPr>
            <w:tcW w:w="682" w:type="pct"/>
            <w:vMerge w:val="restart"/>
            <w:tcBorders>
              <w:top w:val="nil"/>
              <w:left w:val="single" w:color="auto" w:sz="4" w:space="0"/>
              <w:bottom w:val="single" w:color="auto" w:sz="4" w:space="0"/>
              <w:right w:val="single" w:color="auto" w:sz="4" w:space="0"/>
            </w:tcBorders>
            <w:shd w:val="clear" w:color="000000" w:fill="FFFFFF"/>
            <w:vAlign w:val="center"/>
          </w:tcPr>
          <w:p w14:paraId="4CED2093">
            <w:pPr>
              <w:widowControl/>
              <w:spacing w:after="156"/>
              <w:jc w:val="center"/>
              <w:rPr>
                <w:rFonts w:eastAsia="宋体" w:cs="Times New Roman"/>
                <w:color w:val="000000"/>
                <w:kern w:val="0"/>
                <w:sz w:val="20"/>
                <w:szCs w:val="20"/>
              </w:rPr>
            </w:pPr>
            <w:r>
              <w:rPr>
                <w:rFonts w:eastAsia="宋体" w:cs="Times New Roman"/>
                <w:color w:val="000000"/>
                <w:kern w:val="0"/>
                <w:sz w:val="20"/>
                <w:szCs w:val="20"/>
              </w:rPr>
              <w:t>绩效目标</w:t>
            </w:r>
          </w:p>
        </w:tc>
        <w:tc>
          <w:tcPr>
            <w:tcW w:w="1818" w:type="pct"/>
            <w:tcBorders>
              <w:top w:val="nil"/>
              <w:left w:val="nil"/>
              <w:bottom w:val="single" w:color="auto" w:sz="4" w:space="0"/>
              <w:right w:val="single" w:color="auto" w:sz="4" w:space="0"/>
            </w:tcBorders>
            <w:shd w:val="clear" w:color="000000" w:fill="FFFFFF"/>
            <w:vAlign w:val="center"/>
          </w:tcPr>
          <w:p w14:paraId="40079207">
            <w:pPr>
              <w:widowControl/>
              <w:spacing w:after="156"/>
              <w:jc w:val="center"/>
              <w:rPr>
                <w:rFonts w:eastAsia="宋体" w:cs="Times New Roman"/>
                <w:color w:val="000000"/>
                <w:kern w:val="0"/>
                <w:sz w:val="20"/>
                <w:szCs w:val="20"/>
              </w:rPr>
            </w:pPr>
            <w:r>
              <w:rPr>
                <w:rFonts w:eastAsia="宋体" w:cs="Times New Roman"/>
                <w:color w:val="000000"/>
                <w:kern w:val="0"/>
                <w:sz w:val="20"/>
                <w:szCs w:val="20"/>
              </w:rPr>
              <w:t>绩效目标明确性</w:t>
            </w:r>
          </w:p>
        </w:tc>
        <w:tc>
          <w:tcPr>
            <w:tcW w:w="505" w:type="pct"/>
            <w:tcBorders>
              <w:top w:val="nil"/>
              <w:left w:val="nil"/>
              <w:bottom w:val="single" w:color="auto" w:sz="4" w:space="0"/>
              <w:right w:val="single" w:color="auto" w:sz="4" w:space="0"/>
            </w:tcBorders>
            <w:shd w:val="clear" w:color="auto" w:fill="auto"/>
            <w:vAlign w:val="center"/>
          </w:tcPr>
          <w:p w14:paraId="7D79DC39">
            <w:pPr>
              <w:widowControl/>
              <w:spacing w:after="156"/>
              <w:jc w:val="center"/>
              <w:rPr>
                <w:rFonts w:eastAsia="宋体" w:cs="Times New Roman"/>
                <w:color w:val="000000"/>
                <w:kern w:val="0"/>
                <w:sz w:val="20"/>
                <w:szCs w:val="20"/>
              </w:rPr>
            </w:pPr>
            <w:r>
              <w:rPr>
                <w:rFonts w:eastAsia="宋体" w:cs="Times New Roman"/>
                <w:color w:val="000000"/>
                <w:kern w:val="0"/>
                <w:sz w:val="20"/>
                <w:szCs w:val="20"/>
              </w:rPr>
              <w:t>7</w:t>
            </w:r>
          </w:p>
        </w:tc>
        <w:tc>
          <w:tcPr>
            <w:tcW w:w="505" w:type="pct"/>
            <w:tcBorders>
              <w:top w:val="nil"/>
              <w:left w:val="nil"/>
              <w:bottom w:val="single" w:color="auto" w:sz="4" w:space="0"/>
              <w:right w:val="single" w:color="auto" w:sz="4" w:space="0"/>
            </w:tcBorders>
            <w:shd w:val="clear" w:color="auto" w:fill="auto"/>
            <w:noWrap/>
            <w:vAlign w:val="center"/>
          </w:tcPr>
          <w:p w14:paraId="47027410">
            <w:pPr>
              <w:widowControl/>
              <w:spacing w:after="156"/>
              <w:jc w:val="center"/>
              <w:rPr>
                <w:rFonts w:eastAsia="宋体" w:cs="Times New Roman"/>
                <w:color w:val="000000"/>
                <w:kern w:val="0"/>
                <w:sz w:val="20"/>
                <w:szCs w:val="20"/>
              </w:rPr>
            </w:pPr>
            <w:r>
              <w:rPr>
                <w:rFonts w:eastAsia="宋体" w:cs="Times New Roman"/>
                <w:color w:val="000000"/>
                <w:kern w:val="0"/>
                <w:sz w:val="20"/>
                <w:szCs w:val="20"/>
              </w:rPr>
              <w:t>5.6</w:t>
            </w:r>
          </w:p>
        </w:tc>
        <w:tc>
          <w:tcPr>
            <w:tcW w:w="808" w:type="pct"/>
            <w:tcBorders>
              <w:top w:val="nil"/>
              <w:left w:val="nil"/>
              <w:bottom w:val="single" w:color="auto" w:sz="4" w:space="0"/>
              <w:right w:val="single" w:color="auto" w:sz="4" w:space="0"/>
            </w:tcBorders>
            <w:shd w:val="clear" w:color="auto" w:fill="auto"/>
            <w:noWrap/>
            <w:vAlign w:val="center"/>
          </w:tcPr>
          <w:p w14:paraId="442B5F4E">
            <w:pPr>
              <w:widowControl/>
              <w:spacing w:after="156"/>
              <w:jc w:val="center"/>
              <w:rPr>
                <w:rFonts w:eastAsia="宋体" w:cs="Times New Roman"/>
                <w:color w:val="000000"/>
                <w:kern w:val="0"/>
                <w:sz w:val="20"/>
                <w:szCs w:val="20"/>
              </w:rPr>
            </w:pPr>
            <w:r>
              <w:rPr>
                <w:rFonts w:eastAsia="宋体" w:cs="Times New Roman"/>
                <w:color w:val="000000"/>
                <w:kern w:val="0"/>
                <w:sz w:val="20"/>
                <w:szCs w:val="20"/>
              </w:rPr>
              <w:t>80.00%</w:t>
            </w:r>
          </w:p>
        </w:tc>
      </w:tr>
      <w:tr w14:paraId="426C482E">
        <w:tblPrEx>
          <w:tblCellMar>
            <w:top w:w="0" w:type="dxa"/>
            <w:left w:w="108" w:type="dxa"/>
            <w:bottom w:w="0" w:type="dxa"/>
            <w:right w:w="108" w:type="dxa"/>
          </w:tblCellMar>
        </w:tblPrEx>
        <w:trPr>
          <w:trHeight w:val="330" w:hRule="atLeast"/>
        </w:trPr>
        <w:tc>
          <w:tcPr>
            <w:tcW w:w="682" w:type="pct"/>
            <w:vMerge w:val="continue"/>
            <w:tcBorders>
              <w:top w:val="nil"/>
              <w:left w:val="single" w:color="auto" w:sz="4" w:space="0"/>
              <w:bottom w:val="single" w:color="auto" w:sz="4" w:space="0"/>
              <w:right w:val="single" w:color="auto" w:sz="4" w:space="0"/>
            </w:tcBorders>
            <w:vAlign w:val="center"/>
          </w:tcPr>
          <w:p w14:paraId="051D1857">
            <w:pPr>
              <w:widowControl/>
              <w:spacing w:after="156"/>
              <w:jc w:val="left"/>
              <w:rPr>
                <w:rFonts w:eastAsia="宋体" w:cs="Times New Roman"/>
                <w:color w:val="000000"/>
                <w:kern w:val="0"/>
                <w:sz w:val="20"/>
                <w:szCs w:val="20"/>
              </w:rPr>
            </w:pPr>
          </w:p>
        </w:tc>
        <w:tc>
          <w:tcPr>
            <w:tcW w:w="682" w:type="pct"/>
            <w:vMerge w:val="continue"/>
            <w:tcBorders>
              <w:top w:val="nil"/>
              <w:left w:val="single" w:color="auto" w:sz="4" w:space="0"/>
              <w:bottom w:val="single" w:color="auto" w:sz="4" w:space="0"/>
              <w:right w:val="single" w:color="auto" w:sz="4" w:space="0"/>
            </w:tcBorders>
            <w:vAlign w:val="center"/>
          </w:tcPr>
          <w:p w14:paraId="483B7A1A">
            <w:pPr>
              <w:widowControl/>
              <w:spacing w:after="156"/>
              <w:jc w:val="left"/>
              <w:rPr>
                <w:rFonts w:eastAsia="宋体" w:cs="Times New Roman"/>
                <w:color w:val="000000"/>
                <w:kern w:val="0"/>
                <w:sz w:val="20"/>
                <w:szCs w:val="20"/>
              </w:rPr>
            </w:pPr>
          </w:p>
        </w:tc>
        <w:tc>
          <w:tcPr>
            <w:tcW w:w="1818" w:type="pct"/>
            <w:tcBorders>
              <w:top w:val="nil"/>
              <w:left w:val="nil"/>
              <w:bottom w:val="single" w:color="auto" w:sz="4" w:space="0"/>
              <w:right w:val="single" w:color="auto" w:sz="4" w:space="0"/>
            </w:tcBorders>
            <w:shd w:val="clear" w:color="000000" w:fill="FFFFFF"/>
            <w:vAlign w:val="center"/>
          </w:tcPr>
          <w:p w14:paraId="2CC80FA3">
            <w:pPr>
              <w:widowControl/>
              <w:spacing w:after="156"/>
              <w:jc w:val="center"/>
              <w:rPr>
                <w:rFonts w:eastAsia="宋体" w:cs="Times New Roman"/>
                <w:color w:val="000000"/>
                <w:kern w:val="0"/>
                <w:sz w:val="20"/>
                <w:szCs w:val="20"/>
              </w:rPr>
            </w:pPr>
            <w:r>
              <w:rPr>
                <w:rFonts w:eastAsia="宋体" w:cs="Times New Roman"/>
                <w:color w:val="000000"/>
                <w:kern w:val="0"/>
                <w:sz w:val="20"/>
                <w:szCs w:val="20"/>
              </w:rPr>
              <w:t>绩效目标合理性</w:t>
            </w:r>
          </w:p>
        </w:tc>
        <w:tc>
          <w:tcPr>
            <w:tcW w:w="505" w:type="pct"/>
            <w:tcBorders>
              <w:top w:val="nil"/>
              <w:left w:val="nil"/>
              <w:bottom w:val="single" w:color="auto" w:sz="4" w:space="0"/>
              <w:right w:val="single" w:color="auto" w:sz="4" w:space="0"/>
            </w:tcBorders>
            <w:shd w:val="clear" w:color="auto" w:fill="auto"/>
            <w:vAlign w:val="center"/>
          </w:tcPr>
          <w:p w14:paraId="120CB20A">
            <w:pPr>
              <w:widowControl/>
              <w:spacing w:after="156"/>
              <w:jc w:val="center"/>
              <w:rPr>
                <w:rFonts w:eastAsia="宋体" w:cs="Times New Roman"/>
                <w:color w:val="000000"/>
                <w:kern w:val="0"/>
                <w:sz w:val="20"/>
                <w:szCs w:val="20"/>
              </w:rPr>
            </w:pPr>
            <w:r>
              <w:rPr>
                <w:rFonts w:eastAsia="宋体" w:cs="Times New Roman"/>
                <w:color w:val="000000"/>
                <w:kern w:val="0"/>
                <w:sz w:val="20"/>
                <w:szCs w:val="20"/>
              </w:rPr>
              <w:t>8</w:t>
            </w:r>
          </w:p>
        </w:tc>
        <w:tc>
          <w:tcPr>
            <w:tcW w:w="505" w:type="pct"/>
            <w:tcBorders>
              <w:top w:val="nil"/>
              <w:left w:val="nil"/>
              <w:bottom w:val="single" w:color="auto" w:sz="4" w:space="0"/>
              <w:right w:val="single" w:color="auto" w:sz="4" w:space="0"/>
            </w:tcBorders>
            <w:shd w:val="clear" w:color="auto" w:fill="auto"/>
            <w:noWrap/>
            <w:vAlign w:val="center"/>
          </w:tcPr>
          <w:p w14:paraId="0C16EA99">
            <w:pPr>
              <w:widowControl/>
              <w:spacing w:after="156"/>
              <w:jc w:val="center"/>
              <w:rPr>
                <w:rFonts w:eastAsia="宋体" w:cs="Times New Roman"/>
                <w:color w:val="000000"/>
                <w:kern w:val="0"/>
                <w:sz w:val="20"/>
                <w:szCs w:val="20"/>
              </w:rPr>
            </w:pPr>
            <w:r>
              <w:rPr>
                <w:rFonts w:eastAsia="宋体" w:cs="Times New Roman"/>
                <w:color w:val="000000"/>
                <w:kern w:val="0"/>
                <w:sz w:val="20"/>
                <w:szCs w:val="20"/>
              </w:rPr>
              <w:t>6.4</w:t>
            </w:r>
          </w:p>
        </w:tc>
        <w:tc>
          <w:tcPr>
            <w:tcW w:w="808" w:type="pct"/>
            <w:tcBorders>
              <w:top w:val="nil"/>
              <w:left w:val="nil"/>
              <w:bottom w:val="single" w:color="auto" w:sz="4" w:space="0"/>
              <w:right w:val="single" w:color="auto" w:sz="4" w:space="0"/>
            </w:tcBorders>
            <w:shd w:val="clear" w:color="auto" w:fill="auto"/>
            <w:noWrap/>
            <w:vAlign w:val="center"/>
          </w:tcPr>
          <w:p w14:paraId="6632B590">
            <w:pPr>
              <w:widowControl/>
              <w:spacing w:after="156"/>
              <w:jc w:val="center"/>
              <w:rPr>
                <w:rFonts w:eastAsia="宋体" w:cs="Times New Roman"/>
                <w:color w:val="000000"/>
                <w:kern w:val="0"/>
                <w:sz w:val="20"/>
                <w:szCs w:val="20"/>
              </w:rPr>
            </w:pPr>
            <w:r>
              <w:rPr>
                <w:rFonts w:eastAsia="宋体" w:cs="Times New Roman"/>
                <w:color w:val="000000"/>
                <w:kern w:val="0"/>
                <w:sz w:val="20"/>
                <w:szCs w:val="20"/>
              </w:rPr>
              <w:t>80.00%</w:t>
            </w:r>
          </w:p>
        </w:tc>
      </w:tr>
    </w:tbl>
    <w:p w14:paraId="7E85D358">
      <w:pPr>
        <w:autoSpaceDE w:val="0"/>
        <w:autoSpaceDN w:val="0"/>
        <w:adjustRightInd w:val="0"/>
        <w:spacing w:after="156"/>
        <w:ind w:left="640"/>
        <w:rPr>
          <w:rFonts w:cs="Times New Roman"/>
          <w:szCs w:val="32"/>
        </w:rPr>
      </w:pPr>
    </w:p>
    <w:p w14:paraId="4F19D1A5">
      <w:pPr>
        <w:autoSpaceDE w:val="0"/>
        <w:autoSpaceDN w:val="0"/>
        <w:adjustRightInd w:val="0"/>
        <w:spacing w:after="0" w:afterLines="0"/>
        <w:ind w:left="640"/>
        <w:rPr>
          <w:rFonts w:cs="Times New Roman"/>
          <w:szCs w:val="32"/>
        </w:rPr>
      </w:pPr>
      <w:r>
        <w:rPr>
          <w:rFonts w:cs="Times New Roman"/>
          <w:szCs w:val="32"/>
        </w:rPr>
        <w:t>（1）项目依据充分性</w:t>
      </w:r>
    </w:p>
    <w:p w14:paraId="2C8C84FA">
      <w:pPr>
        <w:spacing w:after="0" w:afterLines="0"/>
        <w:ind w:firstLine="640" w:firstLineChars="200"/>
        <w:rPr>
          <w:rFonts w:cs="Times New Roman"/>
        </w:rPr>
      </w:pPr>
      <w:r>
        <w:rPr>
          <w:rFonts w:cs="Times New Roman"/>
        </w:rPr>
        <w:t>项目依据充分性5.00分，最终得分5.00分，得分率100.00%。根据交通部、公安部《关于治理车辆超限超载联合执法常态化制度化工作的实施意见（试行）》（交公路发〔2017〕173号）文件要求，与公安交警进行联合执法对超限车辆进行整治，故未扣分。</w:t>
      </w:r>
    </w:p>
    <w:p w14:paraId="25D64316">
      <w:pPr>
        <w:autoSpaceDE w:val="0"/>
        <w:autoSpaceDN w:val="0"/>
        <w:adjustRightInd w:val="0"/>
        <w:spacing w:after="0" w:afterLines="0"/>
        <w:ind w:left="640"/>
        <w:rPr>
          <w:rFonts w:cs="Times New Roman"/>
          <w:szCs w:val="32"/>
        </w:rPr>
      </w:pPr>
      <w:r>
        <w:rPr>
          <w:rFonts w:cs="Times New Roman"/>
          <w:szCs w:val="32"/>
        </w:rPr>
        <w:t>（2）绩效目标明确性</w:t>
      </w:r>
    </w:p>
    <w:p w14:paraId="27D87BC9">
      <w:pPr>
        <w:shd w:val="clear" w:color="auto" w:fill="FFFFFF" w:themeFill="background1"/>
        <w:autoSpaceDE w:val="0"/>
        <w:autoSpaceDN w:val="0"/>
        <w:adjustRightInd w:val="0"/>
        <w:spacing w:after="0" w:afterLines="0"/>
        <w:ind w:firstLine="640" w:firstLineChars="200"/>
        <w:rPr>
          <w:rFonts w:cs="Times New Roman"/>
          <w:szCs w:val="32"/>
        </w:rPr>
      </w:pPr>
      <w:r>
        <w:rPr>
          <w:rFonts w:cs="Times New Roman"/>
          <w:szCs w:val="32"/>
        </w:rPr>
        <w:t>绩效目标明确性7.00分，得分5.60分，得分率80.00%。超限超载治理项目的项目数量、质量、时效、成本、社会效益、和可持续效益等比较明确，仅环境效益（生态效益）指标未设置、不明确，故扣1.40分。</w:t>
      </w:r>
    </w:p>
    <w:p w14:paraId="37118ADD">
      <w:pPr>
        <w:autoSpaceDE w:val="0"/>
        <w:autoSpaceDN w:val="0"/>
        <w:adjustRightInd w:val="0"/>
        <w:spacing w:after="0" w:afterLines="0"/>
        <w:ind w:left="640"/>
        <w:rPr>
          <w:rFonts w:cs="Times New Roman"/>
          <w:szCs w:val="32"/>
        </w:rPr>
      </w:pPr>
      <w:r>
        <w:rPr>
          <w:rFonts w:cs="Times New Roman"/>
          <w:szCs w:val="32"/>
        </w:rPr>
        <w:t>（2）绩效目标合理性</w:t>
      </w:r>
    </w:p>
    <w:p w14:paraId="370906A5">
      <w:pPr>
        <w:shd w:val="clear" w:color="auto" w:fill="FFFFFF" w:themeFill="background1"/>
        <w:autoSpaceDE w:val="0"/>
        <w:autoSpaceDN w:val="0"/>
        <w:adjustRightInd w:val="0"/>
        <w:spacing w:after="0" w:afterLines="0"/>
        <w:ind w:firstLine="640" w:firstLineChars="200"/>
        <w:rPr>
          <w:rFonts w:cs="Times New Roman"/>
          <w:szCs w:val="32"/>
        </w:rPr>
      </w:pPr>
      <w:r>
        <w:rPr>
          <w:rFonts w:cs="Times New Roman"/>
          <w:szCs w:val="32"/>
        </w:rPr>
        <w:t>绩效目标合理性8.00分，得分6.40分，得分率80.00%。项目2020年绩效目标关键性指标为治超人员工资、保险费、服装费、办公费等，2020年未到服装更换年限，未涉及服装费用支出，此项绩效目标设置不合理，故扣1.60分。</w:t>
      </w:r>
    </w:p>
    <w:p w14:paraId="7050B0EB">
      <w:pPr>
        <w:pStyle w:val="4"/>
        <w:spacing w:after="0" w:afterLines="0"/>
        <w:ind w:firstLine="643"/>
        <w:rPr>
          <w:rFonts w:cs="Times New Roman"/>
        </w:rPr>
      </w:pPr>
      <w:bookmarkStart w:id="35" w:name="_Toc76939707"/>
      <w:bookmarkStart w:id="36" w:name="_Toc6805"/>
      <w:r>
        <w:rPr>
          <w:rFonts w:cs="Times New Roman"/>
        </w:rPr>
        <w:t>2. 项目实施指标分析</w:t>
      </w:r>
      <w:bookmarkEnd w:id="35"/>
      <w:bookmarkEnd w:id="36"/>
    </w:p>
    <w:p w14:paraId="62A0246D">
      <w:pPr>
        <w:autoSpaceDE w:val="0"/>
        <w:autoSpaceDN w:val="0"/>
        <w:adjustRightInd w:val="0"/>
        <w:spacing w:after="0" w:afterLines="0"/>
        <w:ind w:firstLine="640" w:firstLineChars="200"/>
        <w:rPr>
          <w:rFonts w:cs="Times New Roman"/>
          <w:szCs w:val="32"/>
        </w:rPr>
      </w:pPr>
      <w:r>
        <w:rPr>
          <w:rFonts w:cs="Times New Roman"/>
          <w:szCs w:val="32"/>
        </w:rPr>
        <w:t>在项目实施指标上，设置了资金分配科学性、财务管理规范性、业务管理规范性3个三级指标。</w:t>
      </w:r>
    </w:p>
    <w:p w14:paraId="34A24995">
      <w:pPr>
        <w:widowControl/>
        <w:spacing w:after="0" w:afterLines="0" w:line="600" w:lineRule="exact"/>
        <w:jc w:val="center"/>
        <w:rPr>
          <w:rFonts w:eastAsia="幼圆" w:cs="Times New Roman"/>
          <w:b/>
          <w:sz w:val="28"/>
          <w:szCs w:val="28"/>
        </w:rPr>
      </w:pPr>
      <w:r>
        <w:rPr>
          <w:rFonts w:eastAsia="幼圆" w:cs="Times New Roman"/>
          <w:b/>
          <w:sz w:val="28"/>
          <w:szCs w:val="28"/>
        </w:rPr>
        <w:t>附表 项目实施指标得分情况</w:t>
      </w:r>
    </w:p>
    <w:tbl>
      <w:tblPr>
        <w:tblStyle w:val="21"/>
        <w:tblW w:w="5000" w:type="pct"/>
        <w:tblInd w:w="0" w:type="dxa"/>
        <w:tblLayout w:type="autofit"/>
        <w:tblCellMar>
          <w:top w:w="0" w:type="dxa"/>
          <w:left w:w="108" w:type="dxa"/>
          <w:bottom w:w="0" w:type="dxa"/>
          <w:right w:w="108" w:type="dxa"/>
        </w:tblCellMar>
      </w:tblPr>
      <w:tblGrid>
        <w:gridCol w:w="1236"/>
        <w:gridCol w:w="1236"/>
        <w:gridCol w:w="3294"/>
        <w:gridCol w:w="915"/>
        <w:gridCol w:w="915"/>
        <w:gridCol w:w="1464"/>
      </w:tblGrid>
      <w:tr w14:paraId="7114A949">
        <w:tblPrEx>
          <w:tblCellMar>
            <w:top w:w="0" w:type="dxa"/>
            <w:left w:w="108" w:type="dxa"/>
            <w:bottom w:w="0" w:type="dxa"/>
            <w:right w:w="108" w:type="dxa"/>
          </w:tblCellMar>
        </w:tblPrEx>
        <w:trPr>
          <w:trHeight w:val="645" w:hRule="atLeast"/>
          <w:tblHeader/>
        </w:trPr>
        <w:tc>
          <w:tcPr>
            <w:tcW w:w="682" w:type="pct"/>
            <w:tcBorders>
              <w:top w:val="single" w:color="auto" w:sz="4" w:space="0"/>
              <w:left w:val="single" w:color="auto" w:sz="4" w:space="0"/>
              <w:bottom w:val="single" w:color="auto" w:sz="4" w:space="0"/>
              <w:right w:val="single" w:color="auto" w:sz="4" w:space="0"/>
            </w:tcBorders>
            <w:shd w:val="clear" w:color="000000" w:fill="00516B"/>
            <w:vAlign w:val="center"/>
          </w:tcPr>
          <w:p w14:paraId="50EDA6C1">
            <w:pPr>
              <w:widowControl/>
              <w:spacing w:after="156"/>
              <w:jc w:val="center"/>
              <w:rPr>
                <w:rFonts w:eastAsia="宋体" w:cs="Times New Roman"/>
                <w:color w:val="FFFFFF"/>
                <w:kern w:val="0"/>
                <w:sz w:val="20"/>
                <w:szCs w:val="20"/>
              </w:rPr>
            </w:pPr>
            <w:r>
              <w:rPr>
                <w:rFonts w:eastAsia="宋体" w:cs="Times New Roman"/>
                <w:color w:val="FFFFFF"/>
                <w:kern w:val="0"/>
                <w:sz w:val="20"/>
                <w:szCs w:val="20"/>
              </w:rPr>
              <w:t>一级指标</w:t>
            </w:r>
          </w:p>
        </w:tc>
        <w:tc>
          <w:tcPr>
            <w:tcW w:w="682" w:type="pct"/>
            <w:tcBorders>
              <w:top w:val="single" w:color="auto" w:sz="4" w:space="0"/>
              <w:left w:val="nil"/>
              <w:bottom w:val="single" w:color="auto" w:sz="4" w:space="0"/>
              <w:right w:val="single" w:color="auto" w:sz="4" w:space="0"/>
            </w:tcBorders>
            <w:shd w:val="clear" w:color="000000" w:fill="00516B"/>
            <w:vAlign w:val="center"/>
          </w:tcPr>
          <w:p w14:paraId="48231AD8">
            <w:pPr>
              <w:widowControl/>
              <w:spacing w:after="156"/>
              <w:jc w:val="center"/>
              <w:rPr>
                <w:rFonts w:eastAsia="宋体" w:cs="Times New Roman"/>
                <w:color w:val="FFFFFF"/>
                <w:kern w:val="0"/>
                <w:sz w:val="20"/>
                <w:szCs w:val="20"/>
              </w:rPr>
            </w:pPr>
            <w:r>
              <w:rPr>
                <w:rFonts w:eastAsia="宋体" w:cs="Times New Roman"/>
                <w:color w:val="FFFFFF"/>
                <w:kern w:val="0"/>
                <w:sz w:val="20"/>
                <w:szCs w:val="20"/>
              </w:rPr>
              <w:t>二级指标</w:t>
            </w:r>
          </w:p>
        </w:tc>
        <w:tc>
          <w:tcPr>
            <w:tcW w:w="1818" w:type="pct"/>
            <w:tcBorders>
              <w:top w:val="single" w:color="auto" w:sz="4" w:space="0"/>
              <w:left w:val="nil"/>
              <w:bottom w:val="single" w:color="auto" w:sz="4" w:space="0"/>
              <w:right w:val="single" w:color="auto" w:sz="4" w:space="0"/>
            </w:tcBorders>
            <w:shd w:val="clear" w:color="000000" w:fill="00516B"/>
            <w:vAlign w:val="center"/>
          </w:tcPr>
          <w:p w14:paraId="05C9BD6B">
            <w:pPr>
              <w:widowControl/>
              <w:spacing w:after="156"/>
              <w:jc w:val="center"/>
              <w:rPr>
                <w:rFonts w:eastAsia="宋体" w:cs="Times New Roman"/>
                <w:color w:val="FFFFFF"/>
                <w:kern w:val="0"/>
                <w:sz w:val="20"/>
                <w:szCs w:val="20"/>
              </w:rPr>
            </w:pPr>
            <w:r>
              <w:rPr>
                <w:rFonts w:eastAsia="宋体" w:cs="Times New Roman"/>
                <w:color w:val="FFFFFF"/>
                <w:kern w:val="0"/>
                <w:sz w:val="20"/>
                <w:szCs w:val="20"/>
              </w:rPr>
              <w:t>三级指标</w:t>
            </w:r>
          </w:p>
        </w:tc>
        <w:tc>
          <w:tcPr>
            <w:tcW w:w="505" w:type="pct"/>
            <w:tcBorders>
              <w:top w:val="single" w:color="auto" w:sz="4" w:space="0"/>
              <w:left w:val="nil"/>
              <w:bottom w:val="single" w:color="auto" w:sz="4" w:space="0"/>
              <w:right w:val="single" w:color="auto" w:sz="4" w:space="0"/>
            </w:tcBorders>
            <w:shd w:val="clear" w:color="000000" w:fill="00516B"/>
            <w:vAlign w:val="center"/>
          </w:tcPr>
          <w:p w14:paraId="27746965">
            <w:pPr>
              <w:widowControl/>
              <w:spacing w:after="156"/>
              <w:jc w:val="center"/>
              <w:rPr>
                <w:rFonts w:eastAsia="宋体" w:cs="Times New Roman"/>
                <w:color w:val="FFFFFF"/>
                <w:kern w:val="0"/>
                <w:sz w:val="20"/>
                <w:szCs w:val="20"/>
              </w:rPr>
            </w:pPr>
            <w:r>
              <w:rPr>
                <w:rFonts w:eastAsia="宋体" w:cs="Times New Roman"/>
                <w:color w:val="FFFFFF"/>
                <w:kern w:val="0"/>
                <w:sz w:val="20"/>
                <w:szCs w:val="20"/>
              </w:rPr>
              <w:t>权重</w:t>
            </w:r>
          </w:p>
        </w:tc>
        <w:tc>
          <w:tcPr>
            <w:tcW w:w="505" w:type="pct"/>
            <w:tcBorders>
              <w:top w:val="single" w:color="auto" w:sz="4" w:space="0"/>
              <w:left w:val="nil"/>
              <w:bottom w:val="single" w:color="auto" w:sz="4" w:space="0"/>
              <w:right w:val="single" w:color="auto" w:sz="4" w:space="0"/>
            </w:tcBorders>
            <w:shd w:val="clear" w:color="000000" w:fill="00516B"/>
            <w:noWrap/>
            <w:vAlign w:val="center"/>
          </w:tcPr>
          <w:p w14:paraId="37FC1205">
            <w:pPr>
              <w:widowControl/>
              <w:spacing w:after="156"/>
              <w:jc w:val="center"/>
              <w:rPr>
                <w:rFonts w:eastAsia="宋体" w:cs="Times New Roman"/>
                <w:color w:val="FFFFFF"/>
                <w:kern w:val="0"/>
                <w:sz w:val="20"/>
                <w:szCs w:val="20"/>
              </w:rPr>
            </w:pPr>
            <w:r>
              <w:rPr>
                <w:rFonts w:eastAsia="宋体" w:cs="Times New Roman"/>
                <w:color w:val="FFFFFF"/>
                <w:kern w:val="0"/>
                <w:sz w:val="20"/>
                <w:szCs w:val="20"/>
              </w:rPr>
              <w:t>得分</w:t>
            </w:r>
          </w:p>
        </w:tc>
        <w:tc>
          <w:tcPr>
            <w:tcW w:w="808" w:type="pct"/>
            <w:tcBorders>
              <w:top w:val="single" w:color="auto" w:sz="4" w:space="0"/>
              <w:left w:val="nil"/>
              <w:bottom w:val="single" w:color="auto" w:sz="4" w:space="0"/>
              <w:right w:val="single" w:color="auto" w:sz="4" w:space="0"/>
            </w:tcBorders>
            <w:shd w:val="clear" w:color="000000" w:fill="00516B"/>
            <w:noWrap/>
            <w:vAlign w:val="center"/>
          </w:tcPr>
          <w:p w14:paraId="5C4C2AD9">
            <w:pPr>
              <w:widowControl/>
              <w:spacing w:after="156"/>
              <w:jc w:val="center"/>
              <w:rPr>
                <w:rFonts w:eastAsia="宋体" w:cs="Times New Roman"/>
                <w:color w:val="FFFFFF"/>
                <w:kern w:val="0"/>
                <w:sz w:val="20"/>
                <w:szCs w:val="20"/>
              </w:rPr>
            </w:pPr>
            <w:r>
              <w:rPr>
                <w:rFonts w:eastAsia="宋体" w:cs="Times New Roman"/>
                <w:color w:val="FFFFFF"/>
                <w:kern w:val="0"/>
                <w:sz w:val="20"/>
                <w:szCs w:val="20"/>
              </w:rPr>
              <w:t>得分率</w:t>
            </w:r>
          </w:p>
        </w:tc>
      </w:tr>
      <w:tr w14:paraId="60A76094">
        <w:tblPrEx>
          <w:tblCellMar>
            <w:top w:w="0" w:type="dxa"/>
            <w:left w:w="108" w:type="dxa"/>
            <w:bottom w:w="0" w:type="dxa"/>
            <w:right w:w="108" w:type="dxa"/>
          </w:tblCellMar>
        </w:tblPrEx>
        <w:trPr>
          <w:trHeight w:val="795" w:hRule="atLeast"/>
        </w:trPr>
        <w:tc>
          <w:tcPr>
            <w:tcW w:w="682" w:type="pct"/>
            <w:vMerge w:val="restart"/>
            <w:tcBorders>
              <w:top w:val="nil"/>
              <w:left w:val="single" w:color="auto" w:sz="4" w:space="0"/>
              <w:bottom w:val="single" w:color="auto" w:sz="4" w:space="0"/>
              <w:right w:val="single" w:color="auto" w:sz="4" w:space="0"/>
            </w:tcBorders>
            <w:shd w:val="clear" w:color="000000" w:fill="FFFFFF"/>
            <w:vAlign w:val="center"/>
          </w:tcPr>
          <w:p w14:paraId="40AF4949">
            <w:pPr>
              <w:widowControl/>
              <w:spacing w:after="156"/>
              <w:jc w:val="center"/>
              <w:rPr>
                <w:rFonts w:eastAsia="宋体" w:cs="Times New Roman"/>
                <w:color w:val="000000"/>
                <w:kern w:val="0"/>
                <w:sz w:val="20"/>
                <w:szCs w:val="20"/>
              </w:rPr>
            </w:pPr>
            <w:r>
              <w:rPr>
                <w:rFonts w:eastAsia="宋体" w:cs="Times New Roman"/>
                <w:color w:val="000000"/>
                <w:kern w:val="0"/>
                <w:sz w:val="20"/>
                <w:szCs w:val="20"/>
              </w:rPr>
              <w:t>项目实施（20分）</w:t>
            </w:r>
          </w:p>
        </w:tc>
        <w:tc>
          <w:tcPr>
            <w:tcW w:w="682" w:type="pct"/>
            <w:tcBorders>
              <w:top w:val="nil"/>
              <w:left w:val="nil"/>
              <w:bottom w:val="single" w:color="auto" w:sz="4" w:space="0"/>
              <w:right w:val="single" w:color="auto" w:sz="4" w:space="0"/>
            </w:tcBorders>
            <w:shd w:val="clear" w:color="000000" w:fill="FFFFFF"/>
            <w:vAlign w:val="center"/>
          </w:tcPr>
          <w:p w14:paraId="1F9B416D">
            <w:pPr>
              <w:widowControl/>
              <w:spacing w:after="156"/>
              <w:jc w:val="center"/>
              <w:rPr>
                <w:rFonts w:eastAsia="宋体" w:cs="Times New Roman"/>
                <w:color w:val="000000"/>
                <w:kern w:val="0"/>
                <w:sz w:val="20"/>
                <w:szCs w:val="20"/>
              </w:rPr>
            </w:pPr>
            <w:r>
              <w:rPr>
                <w:rFonts w:eastAsia="宋体" w:cs="Times New Roman"/>
                <w:color w:val="000000"/>
                <w:kern w:val="0"/>
                <w:sz w:val="20"/>
                <w:szCs w:val="20"/>
              </w:rPr>
              <w:t>资金管理</w:t>
            </w:r>
          </w:p>
        </w:tc>
        <w:tc>
          <w:tcPr>
            <w:tcW w:w="1818" w:type="pct"/>
            <w:tcBorders>
              <w:top w:val="nil"/>
              <w:left w:val="nil"/>
              <w:bottom w:val="single" w:color="auto" w:sz="4" w:space="0"/>
              <w:right w:val="single" w:color="auto" w:sz="4" w:space="0"/>
            </w:tcBorders>
            <w:shd w:val="clear" w:color="auto" w:fill="auto"/>
            <w:vAlign w:val="center"/>
          </w:tcPr>
          <w:p w14:paraId="2229A627">
            <w:pPr>
              <w:widowControl/>
              <w:spacing w:after="156"/>
              <w:jc w:val="center"/>
              <w:rPr>
                <w:rFonts w:eastAsia="宋体" w:cs="Times New Roman"/>
                <w:color w:val="000000"/>
                <w:kern w:val="0"/>
                <w:sz w:val="20"/>
                <w:szCs w:val="20"/>
              </w:rPr>
            </w:pPr>
            <w:r>
              <w:rPr>
                <w:rFonts w:eastAsia="宋体" w:cs="Times New Roman"/>
                <w:color w:val="000000"/>
                <w:kern w:val="0"/>
                <w:sz w:val="20"/>
                <w:szCs w:val="20"/>
              </w:rPr>
              <w:t>资金分配科学性</w:t>
            </w:r>
          </w:p>
        </w:tc>
        <w:tc>
          <w:tcPr>
            <w:tcW w:w="505" w:type="pct"/>
            <w:tcBorders>
              <w:top w:val="nil"/>
              <w:left w:val="nil"/>
              <w:bottom w:val="single" w:color="auto" w:sz="4" w:space="0"/>
              <w:right w:val="single" w:color="auto" w:sz="4" w:space="0"/>
            </w:tcBorders>
            <w:shd w:val="clear" w:color="auto" w:fill="auto"/>
            <w:vAlign w:val="center"/>
          </w:tcPr>
          <w:p w14:paraId="32D7D872">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505" w:type="pct"/>
            <w:tcBorders>
              <w:top w:val="nil"/>
              <w:left w:val="nil"/>
              <w:bottom w:val="single" w:color="auto" w:sz="4" w:space="0"/>
              <w:right w:val="single" w:color="auto" w:sz="4" w:space="0"/>
            </w:tcBorders>
            <w:shd w:val="clear" w:color="auto" w:fill="auto"/>
            <w:noWrap/>
            <w:vAlign w:val="center"/>
          </w:tcPr>
          <w:p w14:paraId="1D9762AF">
            <w:pPr>
              <w:widowControl/>
              <w:spacing w:after="156"/>
              <w:jc w:val="center"/>
              <w:rPr>
                <w:rFonts w:eastAsia="宋体" w:cs="Times New Roman"/>
                <w:color w:val="000000"/>
                <w:kern w:val="0"/>
                <w:sz w:val="20"/>
                <w:szCs w:val="20"/>
              </w:rPr>
            </w:pPr>
            <w:r>
              <w:rPr>
                <w:rFonts w:cs="Times New Roman"/>
                <w:color w:val="000000"/>
                <w:sz w:val="20"/>
                <w:szCs w:val="20"/>
              </w:rPr>
              <w:t>3.60</w:t>
            </w:r>
          </w:p>
        </w:tc>
        <w:tc>
          <w:tcPr>
            <w:tcW w:w="808" w:type="pct"/>
            <w:tcBorders>
              <w:top w:val="nil"/>
              <w:left w:val="nil"/>
              <w:bottom w:val="single" w:color="auto" w:sz="4" w:space="0"/>
              <w:right w:val="single" w:color="auto" w:sz="4" w:space="0"/>
            </w:tcBorders>
            <w:shd w:val="clear" w:color="auto" w:fill="auto"/>
            <w:noWrap/>
            <w:vAlign w:val="center"/>
          </w:tcPr>
          <w:p w14:paraId="53B1A22C">
            <w:pPr>
              <w:widowControl/>
              <w:spacing w:after="156"/>
              <w:jc w:val="center"/>
              <w:rPr>
                <w:rFonts w:eastAsia="宋体" w:cs="Times New Roman"/>
                <w:color w:val="000000"/>
                <w:kern w:val="0"/>
                <w:sz w:val="20"/>
                <w:szCs w:val="20"/>
              </w:rPr>
            </w:pPr>
            <w:r>
              <w:rPr>
                <w:rFonts w:cs="Times New Roman"/>
                <w:color w:val="000000"/>
                <w:sz w:val="20"/>
                <w:szCs w:val="20"/>
              </w:rPr>
              <w:t>60.00%</w:t>
            </w:r>
          </w:p>
        </w:tc>
      </w:tr>
      <w:tr w14:paraId="54859E6A">
        <w:tblPrEx>
          <w:tblCellMar>
            <w:top w:w="0" w:type="dxa"/>
            <w:left w:w="108" w:type="dxa"/>
            <w:bottom w:w="0" w:type="dxa"/>
            <w:right w:w="108" w:type="dxa"/>
          </w:tblCellMar>
        </w:tblPrEx>
        <w:trPr>
          <w:trHeight w:val="330" w:hRule="atLeast"/>
        </w:trPr>
        <w:tc>
          <w:tcPr>
            <w:tcW w:w="682" w:type="pct"/>
            <w:vMerge w:val="continue"/>
            <w:tcBorders>
              <w:top w:val="nil"/>
              <w:left w:val="single" w:color="auto" w:sz="4" w:space="0"/>
              <w:bottom w:val="single" w:color="auto" w:sz="4" w:space="0"/>
              <w:right w:val="single" w:color="auto" w:sz="4" w:space="0"/>
            </w:tcBorders>
            <w:vAlign w:val="center"/>
          </w:tcPr>
          <w:p w14:paraId="1030EB81">
            <w:pPr>
              <w:widowControl/>
              <w:spacing w:after="156"/>
              <w:jc w:val="left"/>
              <w:rPr>
                <w:rFonts w:eastAsia="宋体" w:cs="Times New Roman"/>
                <w:color w:val="000000"/>
                <w:kern w:val="0"/>
                <w:sz w:val="20"/>
                <w:szCs w:val="20"/>
              </w:rPr>
            </w:pPr>
          </w:p>
        </w:tc>
        <w:tc>
          <w:tcPr>
            <w:tcW w:w="682" w:type="pct"/>
            <w:vMerge w:val="restart"/>
            <w:tcBorders>
              <w:top w:val="nil"/>
              <w:left w:val="single" w:color="auto" w:sz="4" w:space="0"/>
              <w:bottom w:val="single" w:color="auto" w:sz="4" w:space="0"/>
              <w:right w:val="single" w:color="auto" w:sz="4" w:space="0"/>
            </w:tcBorders>
            <w:shd w:val="clear" w:color="000000" w:fill="FFFFFF"/>
            <w:vAlign w:val="center"/>
          </w:tcPr>
          <w:p w14:paraId="3FC77041">
            <w:pPr>
              <w:widowControl/>
              <w:spacing w:after="156"/>
              <w:jc w:val="center"/>
              <w:rPr>
                <w:rFonts w:eastAsia="宋体" w:cs="Times New Roman"/>
                <w:color w:val="000000"/>
                <w:kern w:val="0"/>
                <w:sz w:val="20"/>
                <w:szCs w:val="20"/>
              </w:rPr>
            </w:pPr>
            <w:r>
              <w:rPr>
                <w:rFonts w:eastAsia="宋体" w:cs="Times New Roman"/>
                <w:color w:val="000000"/>
                <w:kern w:val="0"/>
                <w:sz w:val="20"/>
                <w:szCs w:val="20"/>
              </w:rPr>
              <w:t>过程控制</w:t>
            </w:r>
          </w:p>
        </w:tc>
        <w:tc>
          <w:tcPr>
            <w:tcW w:w="1818" w:type="pct"/>
            <w:tcBorders>
              <w:top w:val="nil"/>
              <w:left w:val="nil"/>
              <w:bottom w:val="single" w:color="auto" w:sz="4" w:space="0"/>
              <w:right w:val="single" w:color="auto" w:sz="4" w:space="0"/>
            </w:tcBorders>
            <w:shd w:val="clear" w:color="auto" w:fill="auto"/>
            <w:vAlign w:val="center"/>
          </w:tcPr>
          <w:p w14:paraId="612A56E3">
            <w:pPr>
              <w:widowControl/>
              <w:spacing w:after="156"/>
              <w:jc w:val="center"/>
              <w:rPr>
                <w:rFonts w:eastAsia="宋体" w:cs="Times New Roman"/>
                <w:color w:val="000000"/>
                <w:kern w:val="0"/>
                <w:sz w:val="20"/>
                <w:szCs w:val="20"/>
              </w:rPr>
            </w:pPr>
            <w:r>
              <w:rPr>
                <w:rFonts w:eastAsia="宋体" w:cs="Times New Roman"/>
                <w:color w:val="000000"/>
                <w:kern w:val="0"/>
                <w:sz w:val="20"/>
                <w:szCs w:val="20"/>
              </w:rPr>
              <w:t>财务管理规范性</w:t>
            </w:r>
          </w:p>
        </w:tc>
        <w:tc>
          <w:tcPr>
            <w:tcW w:w="505" w:type="pct"/>
            <w:tcBorders>
              <w:top w:val="nil"/>
              <w:left w:val="nil"/>
              <w:bottom w:val="single" w:color="auto" w:sz="4" w:space="0"/>
              <w:right w:val="single" w:color="auto" w:sz="4" w:space="0"/>
            </w:tcBorders>
            <w:shd w:val="clear" w:color="auto" w:fill="auto"/>
            <w:vAlign w:val="center"/>
          </w:tcPr>
          <w:p w14:paraId="3054242C">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505" w:type="pct"/>
            <w:tcBorders>
              <w:top w:val="nil"/>
              <w:left w:val="nil"/>
              <w:bottom w:val="single" w:color="auto" w:sz="4" w:space="0"/>
              <w:right w:val="single" w:color="auto" w:sz="4" w:space="0"/>
            </w:tcBorders>
            <w:shd w:val="clear" w:color="auto" w:fill="auto"/>
            <w:noWrap/>
            <w:vAlign w:val="center"/>
          </w:tcPr>
          <w:p w14:paraId="26FC806E">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808" w:type="pct"/>
            <w:tcBorders>
              <w:top w:val="nil"/>
              <w:left w:val="nil"/>
              <w:bottom w:val="single" w:color="auto" w:sz="4" w:space="0"/>
              <w:right w:val="single" w:color="auto" w:sz="4" w:space="0"/>
            </w:tcBorders>
            <w:shd w:val="clear" w:color="auto" w:fill="auto"/>
            <w:noWrap/>
            <w:vAlign w:val="center"/>
          </w:tcPr>
          <w:p w14:paraId="3FD7CAA3">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2A60727A">
        <w:tblPrEx>
          <w:tblCellMar>
            <w:top w:w="0" w:type="dxa"/>
            <w:left w:w="108" w:type="dxa"/>
            <w:bottom w:w="0" w:type="dxa"/>
            <w:right w:w="108" w:type="dxa"/>
          </w:tblCellMar>
        </w:tblPrEx>
        <w:trPr>
          <w:trHeight w:val="660" w:hRule="atLeast"/>
        </w:trPr>
        <w:tc>
          <w:tcPr>
            <w:tcW w:w="682" w:type="pct"/>
            <w:vMerge w:val="continue"/>
            <w:tcBorders>
              <w:top w:val="nil"/>
              <w:left w:val="single" w:color="auto" w:sz="4" w:space="0"/>
              <w:bottom w:val="single" w:color="auto" w:sz="4" w:space="0"/>
              <w:right w:val="single" w:color="auto" w:sz="4" w:space="0"/>
            </w:tcBorders>
            <w:vAlign w:val="center"/>
          </w:tcPr>
          <w:p w14:paraId="251B2220">
            <w:pPr>
              <w:widowControl/>
              <w:spacing w:after="156"/>
              <w:jc w:val="left"/>
              <w:rPr>
                <w:rFonts w:eastAsia="宋体" w:cs="Times New Roman"/>
                <w:color w:val="000000"/>
                <w:kern w:val="0"/>
                <w:sz w:val="20"/>
                <w:szCs w:val="20"/>
              </w:rPr>
            </w:pPr>
          </w:p>
        </w:tc>
        <w:tc>
          <w:tcPr>
            <w:tcW w:w="682" w:type="pct"/>
            <w:vMerge w:val="continue"/>
            <w:tcBorders>
              <w:top w:val="nil"/>
              <w:left w:val="single" w:color="auto" w:sz="4" w:space="0"/>
              <w:bottom w:val="single" w:color="auto" w:sz="4" w:space="0"/>
              <w:right w:val="single" w:color="auto" w:sz="4" w:space="0"/>
            </w:tcBorders>
            <w:vAlign w:val="center"/>
          </w:tcPr>
          <w:p w14:paraId="1CF8E265">
            <w:pPr>
              <w:widowControl/>
              <w:spacing w:after="156"/>
              <w:jc w:val="left"/>
              <w:rPr>
                <w:rFonts w:eastAsia="宋体" w:cs="Times New Roman"/>
                <w:color w:val="000000"/>
                <w:kern w:val="0"/>
                <w:sz w:val="20"/>
                <w:szCs w:val="20"/>
              </w:rPr>
            </w:pPr>
          </w:p>
        </w:tc>
        <w:tc>
          <w:tcPr>
            <w:tcW w:w="1818" w:type="pct"/>
            <w:tcBorders>
              <w:top w:val="nil"/>
              <w:left w:val="nil"/>
              <w:bottom w:val="single" w:color="auto" w:sz="4" w:space="0"/>
              <w:right w:val="single" w:color="auto" w:sz="4" w:space="0"/>
            </w:tcBorders>
            <w:shd w:val="clear" w:color="000000" w:fill="FFFFFF"/>
            <w:vAlign w:val="center"/>
          </w:tcPr>
          <w:p w14:paraId="1311FC15">
            <w:pPr>
              <w:widowControl/>
              <w:spacing w:after="156"/>
              <w:jc w:val="center"/>
              <w:rPr>
                <w:rFonts w:eastAsia="宋体" w:cs="Times New Roman"/>
                <w:color w:val="000000"/>
                <w:kern w:val="0"/>
                <w:sz w:val="20"/>
                <w:szCs w:val="20"/>
              </w:rPr>
            </w:pPr>
            <w:r>
              <w:rPr>
                <w:rFonts w:eastAsia="宋体" w:cs="Times New Roman"/>
                <w:color w:val="000000"/>
                <w:kern w:val="0"/>
                <w:sz w:val="20"/>
                <w:szCs w:val="20"/>
              </w:rPr>
              <w:t>业务管理规范性</w:t>
            </w:r>
          </w:p>
        </w:tc>
        <w:tc>
          <w:tcPr>
            <w:tcW w:w="505" w:type="pct"/>
            <w:tcBorders>
              <w:top w:val="nil"/>
              <w:left w:val="nil"/>
              <w:bottom w:val="single" w:color="auto" w:sz="4" w:space="0"/>
              <w:right w:val="single" w:color="auto" w:sz="4" w:space="0"/>
            </w:tcBorders>
            <w:shd w:val="clear" w:color="auto" w:fill="auto"/>
            <w:vAlign w:val="center"/>
          </w:tcPr>
          <w:p w14:paraId="34007EBB">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505" w:type="pct"/>
            <w:tcBorders>
              <w:top w:val="nil"/>
              <w:left w:val="nil"/>
              <w:bottom w:val="single" w:color="auto" w:sz="4" w:space="0"/>
              <w:right w:val="single" w:color="auto" w:sz="4" w:space="0"/>
            </w:tcBorders>
            <w:shd w:val="clear" w:color="auto" w:fill="auto"/>
            <w:noWrap/>
            <w:vAlign w:val="center"/>
          </w:tcPr>
          <w:p w14:paraId="120AA241">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808" w:type="pct"/>
            <w:tcBorders>
              <w:top w:val="nil"/>
              <w:left w:val="nil"/>
              <w:bottom w:val="single" w:color="auto" w:sz="4" w:space="0"/>
              <w:right w:val="single" w:color="auto" w:sz="4" w:space="0"/>
            </w:tcBorders>
            <w:shd w:val="clear" w:color="auto" w:fill="auto"/>
            <w:noWrap/>
            <w:vAlign w:val="center"/>
          </w:tcPr>
          <w:p w14:paraId="3CFF54AE">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6563E573">
        <w:tblPrEx>
          <w:tblCellMar>
            <w:top w:w="0" w:type="dxa"/>
            <w:left w:w="108" w:type="dxa"/>
            <w:bottom w:w="0" w:type="dxa"/>
            <w:right w:w="108" w:type="dxa"/>
          </w:tblCellMar>
        </w:tblPrEx>
        <w:trPr>
          <w:trHeight w:val="402" w:hRule="atLeast"/>
        </w:trPr>
        <w:tc>
          <w:tcPr>
            <w:tcW w:w="3182" w:type="pct"/>
            <w:gridSpan w:val="3"/>
            <w:tcBorders>
              <w:top w:val="nil"/>
              <w:left w:val="single" w:color="auto" w:sz="4" w:space="0"/>
              <w:bottom w:val="single" w:color="auto" w:sz="4" w:space="0"/>
              <w:right w:val="single" w:color="auto" w:sz="4" w:space="0"/>
            </w:tcBorders>
            <w:shd w:val="clear" w:color="auto" w:fill="auto"/>
            <w:noWrap/>
            <w:vAlign w:val="center"/>
          </w:tcPr>
          <w:p w14:paraId="17F0C502">
            <w:pPr>
              <w:widowControl/>
              <w:spacing w:after="156"/>
              <w:jc w:val="center"/>
              <w:rPr>
                <w:rFonts w:eastAsia="宋体" w:cs="Times New Roman"/>
                <w:color w:val="000000"/>
                <w:kern w:val="0"/>
                <w:sz w:val="20"/>
                <w:szCs w:val="20"/>
              </w:rPr>
            </w:pPr>
            <w:r>
              <w:rPr>
                <w:rFonts w:eastAsia="宋体" w:cs="Times New Roman"/>
                <w:color w:val="000000"/>
                <w:kern w:val="0"/>
                <w:sz w:val="20"/>
                <w:szCs w:val="20"/>
              </w:rPr>
              <w:t>合计</w:t>
            </w:r>
          </w:p>
        </w:tc>
        <w:tc>
          <w:tcPr>
            <w:tcW w:w="505" w:type="pct"/>
            <w:tcBorders>
              <w:top w:val="nil"/>
              <w:left w:val="nil"/>
              <w:bottom w:val="single" w:color="auto" w:sz="4" w:space="0"/>
              <w:right w:val="single" w:color="auto" w:sz="4" w:space="0"/>
            </w:tcBorders>
            <w:shd w:val="clear" w:color="auto" w:fill="auto"/>
            <w:vAlign w:val="center"/>
          </w:tcPr>
          <w:p w14:paraId="0AC28CB6">
            <w:pPr>
              <w:widowControl/>
              <w:spacing w:after="156"/>
              <w:jc w:val="center"/>
              <w:rPr>
                <w:rFonts w:eastAsia="宋体" w:cs="Times New Roman"/>
                <w:color w:val="000000"/>
                <w:kern w:val="0"/>
                <w:sz w:val="20"/>
                <w:szCs w:val="20"/>
              </w:rPr>
            </w:pPr>
            <w:r>
              <w:rPr>
                <w:rFonts w:eastAsia="宋体" w:cs="Times New Roman"/>
                <w:color w:val="000000"/>
                <w:kern w:val="0"/>
                <w:sz w:val="20"/>
                <w:szCs w:val="20"/>
              </w:rPr>
              <w:t>20.00</w:t>
            </w:r>
          </w:p>
        </w:tc>
        <w:tc>
          <w:tcPr>
            <w:tcW w:w="505" w:type="pct"/>
            <w:tcBorders>
              <w:top w:val="nil"/>
              <w:left w:val="nil"/>
              <w:bottom w:val="single" w:color="auto" w:sz="4" w:space="0"/>
              <w:right w:val="single" w:color="auto" w:sz="4" w:space="0"/>
            </w:tcBorders>
            <w:shd w:val="clear" w:color="auto" w:fill="auto"/>
            <w:noWrap/>
            <w:vAlign w:val="center"/>
          </w:tcPr>
          <w:p w14:paraId="649CD152">
            <w:pPr>
              <w:widowControl/>
              <w:spacing w:after="156"/>
              <w:jc w:val="center"/>
              <w:rPr>
                <w:rFonts w:eastAsia="宋体" w:cs="Times New Roman"/>
                <w:color w:val="000000"/>
                <w:kern w:val="0"/>
                <w:sz w:val="20"/>
                <w:szCs w:val="20"/>
              </w:rPr>
            </w:pPr>
            <w:r>
              <w:rPr>
                <w:rFonts w:eastAsia="宋体" w:cs="Times New Roman"/>
                <w:color w:val="000000"/>
                <w:kern w:val="0"/>
                <w:sz w:val="20"/>
                <w:szCs w:val="20"/>
              </w:rPr>
              <w:t>17.60</w:t>
            </w:r>
          </w:p>
        </w:tc>
        <w:tc>
          <w:tcPr>
            <w:tcW w:w="808" w:type="pct"/>
            <w:tcBorders>
              <w:top w:val="nil"/>
              <w:left w:val="nil"/>
              <w:bottom w:val="single" w:color="auto" w:sz="4" w:space="0"/>
              <w:right w:val="single" w:color="auto" w:sz="4" w:space="0"/>
            </w:tcBorders>
            <w:shd w:val="clear" w:color="auto" w:fill="auto"/>
            <w:noWrap/>
            <w:vAlign w:val="center"/>
          </w:tcPr>
          <w:p w14:paraId="6F172142">
            <w:pPr>
              <w:widowControl/>
              <w:spacing w:after="156"/>
              <w:jc w:val="center"/>
              <w:rPr>
                <w:rFonts w:eastAsia="宋体" w:cs="Times New Roman"/>
                <w:color w:val="000000"/>
                <w:kern w:val="0"/>
                <w:sz w:val="20"/>
                <w:szCs w:val="20"/>
              </w:rPr>
            </w:pPr>
            <w:r>
              <w:rPr>
                <w:rFonts w:cs="Times New Roman"/>
                <w:color w:val="000000"/>
                <w:sz w:val="20"/>
                <w:szCs w:val="20"/>
              </w:rPr>
              <w:t>88.00</w:t>
            </w:r>
            <w:r>
              <w:rPr>
                <w:rFonts w:hint="eastAsia" w:cs="Times New Roman"/>
                <w:color w:val="000000"/>
                <w:sz w:val="20"/>
                <w:szCs w:val="20"/>
              </w:rPr>
              <w:t>%</w:t>
            </w:r>
          </w:p>
        </w:tc>
      </w:tr>
    </w:tbl>
    <w:p w14:paraId="44664C03">
      <w:pPr>
        <w:autoSpaceDE w:val="0"/>
        <w:autoSpaceDN w:val="0"/>
        <w:adjustRightInd w:val="0"/>
        <w:spacing w:after="0" w:afterLines="0"/>
        <w:ind w:firstLine="640" w:firstLineChars="200"/>
        <w:rPr>
          <w:rFonts w:cs="Times New Roman"/>
          <w:szCs w:val="32"/>
        </w:rPr>
      </w:pPr>
      <w:r>
        <w:rPr>
          <w:rFonts w:cs="Times New Roman"/>
          <w:szCs w:val="32"/>
        </w:rPr>
        <w:t>（1）资金分配科学性</w:t>
      </w:r>
    </w:p>
    <w:p w14:paraId="237EE3C3">
      <w:pPr>
        <w:autoSpaceDE w:val="0"/>
        <w:autoSpaceDN w:val="0"/>
        <w:adjustRightInd w:val="0"/>
        <w:spacing w:after="0" w:afterLines="0"/>
        <w:ind w:firstLine="640" w:firstLineChars="200"/>
        <w:rPr>
          <w:rFonts w:cs="Times New Roman"/>
          <w:szCs w:val="32"/>
        </w:rPr>
      </w:pPr>
      <w:r>
        <w:rPr>
          <w:rFonts w:cs="Times New Roman"/>
          <w:szCs w:val="32"/>
        </w:rPr>
        <w:t>资金分配科学性权重6.00分，得分3.60分，得分率60.00%。一是超限超载治理项目借用人员刘军的工资奖金及保险未纳入财政预算，用项目经费支出10.744万元；二是“非洲猪瘟”防控卡点值班费经费不足，用超限超载治理经费支出1.1498万。根据评分标准，该指标得3.60分，得分率60.00%，故扣2.40分。</w:t>
      </w:r>
    </w:p>
    <w:p w14:paraId="55F46D0E">
      <w:pPr>
        <w:autoSpaceDE w:val="0"/>
        <w:autoSpaceDN w:val="0"/>
        <w:adjustRightInd w:val="0"/>
        <w:spacing w:after="0" w:afterLines="0"/>
        <w:ind w:left="640"/>
        <w:rPr>
          <w:rFonts w:cs="Times New Roman"/>
          <w:szCs w:val="32"/>
        </w:rPr>
      </w:pPr>
      <w:r>
        <w:rPr>
          <w:rFonts w:cs="Times New Roman"/>
          <w:szCs w:val="32"/>
        </w:rPr>
        <w:t>（2）财务管理规范性</w:t>
      </w:r>
    </w:p>
    <w:p w14:paraId="1D089B4A">
      <w:pPr>
        <w:autoSpaceDE w:val="0"/>
        <w:autoSpaceDN w:val="0"/>
        <w:adjustRightInd w:val="0"/>
        <w:spacing w:after="0" w:afterLines="0"/>
        <w:ind w:firstLine="640" w:firstLineChars="200"/>
        <w:rPr>
          <w:rFonts w:cs="Times New Roman"/>
          <w:szCs w:val="32"/>
        </w:rPr>
      </w:pPr>
      <w:r>
        <w:rPr>
          <w:rFonts w:cs="Times New Roman"/>
          <w:szCs w:val="32"/>
        </w:rPr>
        <w:t>财务管理规范性权重8.00分，得分8.00分，得分率100.00%，</w:t>
      </w:r>
      <w:bookmarkStart w:id="37" w:name="_Hlk76628788"/>
      <w:r>
        <w:rPr>
          <w:rFonts w:cs="Times New Roman"/>
          <w:szCs w:val="32"/>
        </w:rPr>
        <w:t>超限超载治理经费项目财务管理制度健全完善，会计核算比较规范</w:t>
      </w:r>
      <w:bookmarkEnd w:id="37"/>
      <w:r>
        <w:rPr>
          <w:rFonts w:cs="Times New Roman"/>
          <w:szCs w:val="32"/>
        </w:rPr>
        <w:t>，故不扣分。</w:t>
      </w:r>
    </w:p>
    <w:p w14:paraId="6E3A1A41">
      <w:pPr>
        <w:autoSpaceDE w:val="0"/>
        <w:autoSpaceDN w:val="0"/>
        <w:adjustRightInd w:val="0"/>
        <w:spacing w:after="0" w:afterLines="0"/>
        <w:ind w:left="640"/>
        <w:rPr>
          <w:rFonts w:cs="Times New Roman"/>
          <w:szCs w:val="32"/>
        </w:rPr>
      </w:pPr>
      <w:r>
        <w:rPr>
          <w:rFonts w:cs="Times New Roman"/>
          <w:szCs w:val="32"/>
        </w:rPr>
        <w:t>（3）业务管理规范性</w:t>
      </w:r>
    </w:p>
    <w:p w14:paraId="460E2E8B">
      <w:pPr>
        <w:autoSpaceDE w:val="0"/>
        <w:autoSpaceDN w:val="0"/>
        <w:adjustRightInd w:val="0"/>
        <w:spacing w:after="0" w:afterLines="0"/>
        <w:ind w:firstLine="640" w:firstLineChars="200"/>
        <w:rPr>
          <w:rFonts w:cs="Times New Roman"/>
          <w:szCs w:val="32"/>
        </w:rPr>
      </w:pPr>
      <w:r>
        <w:rPr>
          <w:rFonts w:cs="Times New Roman"/>
          <w:szCs w:val="32"/>
        </w:rPr>
        <w:t>业务管理规范性权重6.00分，得分6.00分，得分率100.00%。</w:t>
      </w:r>
    </w:p>
    <w:p w14:paraId="291C58F3">
      <w:pPr>
        <w:autoSpaceDE w:val="0"/>
        <w:autoSpaceDN w:val="0"/>
        <w:adjustRightInd w:val="0"/>
        <w:spacing w:after="0" w:afterLines="0"/>
        <w:rPr>
          <w:rFonts w:cs="Times New Roman"/>
          <w:szCs w:val="32"/>
        </w:rPr>
      </w:pPr>
      <w:bookmarkStart w:id="38" w:name="_Hlk76628797"/>
      <w:r>
        <w:rPr>
          <w:rFonts w:cs="Times New Roman"/>
          <w:szCs w:val="32"/>
        </w:rPr>
        <w:t>超限超载治理经费项目程序比较完善，能严格执行采购和公示制度等</w:t>
      </w:r>
      <w:bookmarkEnd w:id="38"/>
      <w:r>
        <w:rPr>
          <w:rFonts w:cs="Times New Roman"/>
          <w:szCs w:val="32"/>
        </w:rPr>
        <w:t>，故不扣分。</w:t>
      </w:r>
    </w:p>
    <w:p w14:paraId="3F8D1C92">
      <w:pPr>
        <w:pStyle w:val="4"/>
        <w:spacing w:after="156"/>
        <w:ind w:firstLine="643"/>
        <w:rPr>
          <w:rFonts w:cs="Times New Roman"/>
        </w:rPr>
      </w:pPr>
      <w:bookmarkStart w:id="39" w:name="_Toc76939708"/>
      <w:bookmarkStart w:id="40" w:name="_Toc4042"/>
      <w:r>
        <w:rPr>
          <w:rFonts w:cs="Times New Roman"/>
        </w:rPr>
        <w:t>3. 项目绩效指标分析</w:t>
      </w:r>
      <w:bookmarkEnd w:id="39"/>
      <w:bookmarkEnd w:id="40"/>
    </w:p>
    <w:p w14:paraId="238DF305">
      <w:pPr>
        <w:autoSpaceDE w:val="0"/>
        <w:autoSpaceDN w:val="0"/>
        <w:adjustRightInd w:val="0"/>
        <w:spacing w:after="0" w:afterLines="0"/>
        <w:ind w:firstLine="636" w:firstLineChars="199"/>
        <w:rPr>
          <w:rFonts w:cs="Times New Roman"/>
          <w:szCs w:val="32"/>
        </w:rPr>
      </w:pPr>
      <w:r>
        <w:rPr>
          <w:rFonts w:cs="Times New Roman"/>
          <w:szCs w:val="32"/>
        </w:rPr>
        <w:t>在项目绩效指标上，设置了经费覆盖人数、查处超限超载货运车辆数的增长率、卸载（转）载货物吨数的下降率、直管公路超限车辆控制率、安全事故发生率的下降率、群众投诉下降率、抛洒（滴漏）年下降率、科技治超对人工成本的持续降低率8个三级指标。</w:t>
      </w:r>
    </w:p>
    <w:p w14:paraId="4CC5FC16">
      <w:pPr>
        <w:autoSpaceDE w:val="0"/>
        <w:autoSpaceDN w:val="0"/>
        <w:adjustRightInd w:val="0"/>
        <w:spacing w:after="0" w:afterLines="0" w:line="600" w:lineRule="exact"/>
        <w:jc w:val="center"/>
        <w:rPr>
          <w:rFonts w:eastAsia="幼圆" w:cs="Times New Roman"/>
          <w:b/>
          <w:sz w:val="28"/>
          <w:szCs w:val="28"/>
        </w:rPr>
        <w:sectPr>
          <w:pgSz w:w="11906" w:h="16838"/>
          <w:pgMar w:top="2098" w:right="1531" w:bottom="1985" w:left="1531" w:header="851" w:footer="992" w:gutter="0"/>
          <w:cols w:space="425" w:num="1"/>
          <w:docGrid w:type="lines" w:linePitch="312" w:charSpace="0"/>
        </w:sectPr>
      </w:pPr>
    </w:p>
    <w:p w14:paraId="17B0C276">
      <w:pPr>
        <w:autoSpaceDE w:val="0"/>
        <w:autoSpaceDN w:val="0"/>
        <w:adjustRightInd w:val="0"/>
        <w:spacing w:after="0" w:afterLines="0" w:line="600" w:lineRule="exact"/>
        <w:jc w:val="center"/>
        <w:rPr>
          <w:rFonts w:eastAsia="幼圆" w:cs="Times New Roman"/>
          <w:sz w:val="28"/>
          <w:szCs w:val="28"/>
        </w:rPr>
      </w:pPr>
      <w:r>
        <w:rPr>
          <w:rFonts w:eastAsia="幼圆" w:cs="Times New Roman"/>
          <w:b/>
          <w:sz w:val="28"/>
          <w:szCs w:val="28"/>
        </w:rPr>
        <w:t>附表 项目绩效指标得分情况</w:t>
      </w:r>
    </w:p>
    <w:tbl>
      <w:tblPr>
        <w:tblStyle w:val="21"/>
        <w:tblW w:w="5000" w:type="pct"/>
        <w:tblInd w:w="0" w:type="dxa"/>
        <w:tblLayout w:type="autofit"/>
        <w:tblCellMar>
          <w:top w:w="0" w:type="dxa"/>
          <w:left w:w="108" w:type="dxa"/>
          <w:bottom w:w="0" w:type="dxa"/>
          <w:right w:w="108" w:type="dxa"/>
        </w:tblCellMar>
      </w:tblPr>
      <w:tblGrid>
        <w:gridCol w:w="1234"/>
        <w:gridCol w:w="1377"/>
        <w:gridCol w:w="3345"/>
        <w:gridCol w:w="873"/>
        <w:gridCol w:w="1017"/>
        <w:gridCol w:w="1214"/>
      </w:tblGrid>
      <w:tr w14:paraId="005AE9EB">
        <w:tblPrEx>
          <w:tblCellMar>
            <w:top w:w="0" w:type="dxa"/>
            <w:left w:w="108" w:type="dxa"/>
            <w:bottom w:w="0" w:type="dxa"/>
            <w:right w:w="108" w:type="dxa"/>
          </w:tblCellMar>
        </w:tblPrEx>
        <w:trPr>
          <w:trHeight w:val="645" w:hRule="atLeast"/>
          <w:tblHeader/>
        </w:trPr>
        <w:tc>
          <w:tcPr>
            <w:tcW w:w="681" w:type="pct"/>
            <w:tcBorders>
              <w:top w:val="single" w:color="auto" w:sz="4" w:space="0"/>
              <w:left w:val="single" w:color="auto" w:sz="4" w:space="0"/>
              <w:bottom w:val="single" w:color="auto" w:sz="4" w:space="0"/>
              <w:right w:val="single" w:color="auto" w:sz="4" w:space="0"/>
            </w:tcBorders>
            <w:shd w:val="clear" w:color="000000" w:fill="00516B"/>
            <w:vAlign w:val="center"/>
          </w:tcPr>
          <w:p w14:paraId="7320F2D2">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760" w:type="pct"/>
            <w:tcBorders>
              <w:top w:val="single" w:color="auto" w:sz="4" w:space="0"/>
              <w:left w:val="nil"/>
              <w:bottom w:val="single" w:color="auto" w:sz="4" w:space="0"/>
              <w:right w:val="single" w:color="auto" w:sz="4" w:space="0"/>
            </w:tcBorders>
            <w:shd w:val="clear" w:color="000000" w:fill="00516B"/>
            <w:vAlign w:val="center"/>
          </w:tcPr>
          <w:p w14:paraId="521046D8">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845" w:type="pct"/>
            <w:tcBorders>
              <w:top w:val="single" w:color="auto" w:sz="4" w:space="0"/>
              <w:left w:val="nil"/>
              <w:bottom w:val="single" w:color="auto" w:sz="4" w:space="0"/>
              <w:right w:val="single" w:color="auto" w:sz="4" w:space="0"/>
            </w:tcBorders>
            <w:shd w:val="clear" w:color="000000" w:fill="00516B"/>
            <w:vAlign w:val="center"/>
          </w:tcPr>
          <w:p w14:paraId="557A9D51">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482" w:type="pct"/>
            <w:tcBorders>
              <w:top w:val="single" w:color="auto" w:sz="4" w:space="0"/>
              <w:left w:val="nil"/>
              <w:bottom w:val="single" w:color="auto" w:sz="4" w:space="0"/>
              <w:right w:val="single" w:color="auto" w:sz="4" w:space="0"/>
            </w:tcBorders>
            <w:shd w:val="clear" w:color="000000" w:fill="00516B"/>
            <w:vAlign w:val="center"/>
          </w:tcPr>
          <w:p w14:paraId="5BF205E4">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权重</w:t>
            </w:r>
          </w:p>
        </w:tc>
        <w:tc>
          <w:tcPr>
            <w:tcW w:w="561" w:type="pct"/>
            <w:tcBorders>
              <w:top w:val="single" w:color="auto" w:sz="4" w:space="0"/>
              <w:left w:val="nil"/>
              <w:bottom w:val="single" w:color="auto" w:sz="4" w:space="0"/>
              <w:right w:val="single" w:color="auto" w:sz="4" w:space="0"/>
            </w:tcBorders>
            <w:shd w:val="clear" w:color="000000" w:fill="00516B"/>
            <w:noWrap/>
            <w:vAlign w:val="center"/>
          </w:tcPr>
          <w:p w14:paraId="6ED8D105">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670" w:type="pct"/>
            <w:tcBorders>
              <w:top w:val="single" w:color="auto" w:sz="4" w:space="0"/>
              <w:left w:val="nil"/>
              <w:bottom w:val="single" w:color="auto" w:sz="4" w:space="0"/>
              <w:right w:val="single" w:color="auto" w:sz="4" w:space="0"/>
            </w:tcBorders>
            <w:shd w:val="clear" w:color="000000" w:fill="00516B"/>
            <w:noWrap/>
            <w:vAlign w:val="center"/>
          </w:tcPr>
          <w:p w14:paraId="0ED79AD1">
            <w:pPr>
              <w:widowControl/>
              <w:spacing w:after="156"/>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14:paraId="57DB328B">
        <w:tblPrEx>
          <w:tblCellMar>
            <w:top w:w="0" w:type="dxa"/>
            <w:left w:w="108" w:type="dxa"/>
            <w:bottom w:w="0" w:type="dxa"/>
            <w:right w:w="108" w:type="dxa"/>
          </w:tblCellMar>
        </w:tblPrEx>
        <w:trPr>
          <w:trHeight w:val="330" w:hRule="atLeast"/>
        </w:trPr>
        <w:tc>
          <w:tcPr>
            <w:tcW w:w="681" w:type="pct"/>
            <w:vMerge w:val="restart"/>
            <w:tcBorders>
              <w:top w:val="nil"/>
              <w:left w:val="single" w:color="auto" w:sz="4" w:space="0"/>
              <w:bottom w:val="single" w:color="auto" w:sz="4" w:space="0"/>
              <w:right w:val="single" w:color="auto" w:sz="4" w:space="0"/>
            </w:tcBorders>
            <w:shd w:val="clear" w:color="000000" w:fill="FFFFFF"/>
            <w:vAlign w:val="center"/>
          </w:tcPr>
          <w:p w14:paraId="3ACC935E">
            <w:pPr>
              <w:widowControl/>
              <w:spacing w:after="156"/>
              <w:jc w:val="center"/>
              <w:rPr>
                <w:rFonts w:eastAsia="宋体" w:cs="Times New Roman"/>
                <w:color w:val="000000"/>
                <w:kern w:val="0"/>
                <w:sz w:val="20"/>
                <w:szCs w:val="20"/>
              </w:rPr>
            </w:pPr>
            <w:r>
              <w:rPr>
                <w:rFonts w:eastAsia="宋体" w:cs="Times New Roman"/>
                <w:color w:val="000000"/>
                <w:kern w:val="0"/>
                <w:sz w:val="20"/>
                <w:szCs w:val="20"/>
              </w:rPr>
              <w:t>项目绩效（60分）</w:t>
            </w:r>
          </w:p>
        </w:tc>
        <w:tc>
          <w:tcPr>
            <w:tcW w:w="760" w:type="pct"/>
            <w:vMerge w:val="restart"/>
            <w:tcBorders>
              <w:top w:val="nil"/>
              <w:left w:val="single" w:color="auto" w:sz="4" w:space="0"/>
              <w:bottom w:val="single" w:color="auto" w:sz="4" w:space="0"/>
              <w:right w:val="single" w:color="auto" w:sz="4" w:space="0"/>
            </w:tcBorders>
            <w:shd w:val="clear" w:color="000000" w:fill="FFFFFF"/>
            <w:vAlign w:val="center"/>
          </w:tcPr>
          <w:p w14:paraId="553E636D">
            <w:pPr>
              <w:widowControl/>
              <w:spacing w:after="156"/>
              <w:jc w:val="center"/>
              <w:rPr>
                <w:rFonts w:eastAsia="宋体" w:cs="Times New Roman"/>
                <w:color w:val="000000"/>
                <w:kern w:val="0"/>
                <w:sz w:val="20"/>
                <w:szCs w:val="20"/>
              </w:rPr>
            </w:pPr>
            <w:r>
              <w:rPr>
                <w:rFonts w:eastAsia="宋体" w:cs="Times New Roman"/>
                <w:color w:val="000000"/>
                <w:kern w:val="0"/>
                <w:sz w:val="20"/>
                <w:szCs w:val="20"/>
              </w:rPr>
              <w:t>完成数量</w:t>
            </w:r>
          </w:p>
        </w:tc>
        <w:tc>
          <w:tcPr>
            <w:tcW w:w="1845" w:type="pct"/>
            <w:tcBorders>
              <w:top w:val="nil"/>
              <w:left w:val="nil"/>
              <w:bottom w:val="single" w:color="auto" w:sz="4" w:space="0"/>
              <w:right w:val="single" w:color="auto" w:sz="4" w:space="0"/>
            </w:tcBorders>
            <w:shd w:val="clear" w:color="000000" w:fill="FFFFFF"/>
            <w:vAlign w:val="center"/>
          </w:tcPr>
          <w:p w14:paraId="55793280">
            <w:pPr>
              <w:widowControl/>
              <w:spacing w:after="156"/>
              <w:jc w:val="center"/>
              <w:rPr>
                <w:rFonts w:eastAsia="宋体" w:cs="Times New Roman"/>
                <w:color w:val="000000"/>
                <w:kern w:val="0"/>
                <w:sz w:val="20"/>
                <w:szCs w:val="20"/>
              </w:rPr>
            </w:pPr>
            <w:r>
              <w:rPr>
                <w:rFonts w:eastAsia="宋体" w:cs="Times New Roman"/>
                <w:color w:val="000000"/>
                <w:kern w:val="0"/>
                <w:sz w:val="20"/>
                <w:szCs w:val="20"/>
              </w:rPr>
              <w:t>经费覆盖人数</w:t>
            </w:r>
          </w:p>
        </w:tc>
        <w:tc>
          <w:tcPr>
            <w:tcW w:w="482" w:type="pct"/>
            <w:tcBorders>
              <w:top w:val="nil"/>
              <w:left w:val="nil"/>
              <w:bottom w:val="single" w:color="auto" w:sz="4" w:space="0"/>
              <w:right w:val="single" w:color="auto" w:sz="4" w:space="0"/>
            </w:tcBorders>
            <w:shd w:val="clear" w:color="auto" w:fill="auto"/>
            <w:vAlign w:val="center"/>
          </w:tcPr>
          <w:p w14:paraId="2593338A">
            <w:pPr>
              <w:widowControl/>
              <w:spacing w:after="156"/>
              <w:jc w:val="center"/>
              <w:rPr>
                <w:rFonts w:eastAsia="宋体" w:cs="Times New Roman"/>
                <w:color w:val="000000"/>
                <w:kern w:val="0"/>
                <w:sz w:val="20"/>
                <w:szCs w:val="20"/>
              </w:rPr>
            </w:pPr>
            <w:r>
              <w:rPr>
                <w:rFonts w:cs="Times New Roman"/>
                <w:color w:val="000000"/>
                <w:sz w:val="20"/>
                <w:szCs w:val="20"/>
              </w:rPr>
              <w:t>9.00</w:t>
            </w:r>
          </w:p>
        </w:tc>
        <w:tc>
          <w:tcPr>
            <w:tcW w:w="561" w:type="pct"/>
            <w:tcBorders>
              <w:top w:val="nil"/>
              <w:left w:val="nil"/>
              <w:bottom w:val="single" w:color="auto" w:sz="4" w:space="0"/>
              <w:right w:val="single" w:color="auto" w:sz="4" w:space="0"/>
            </w:tcBorders>
            <w:shd w:val="clear" w:color="auto" w:fill="auto"/>
            <w:noWrap/>
            <w:vAlign w:val="center"/>
          </w:tcPr>
          <w:p w14:paraId="1B2D0336">
            <w:pPr>
              <w:widowControl/>
              <w:spacing w:after="156"/>
              <w:jc w:val="center"/>
              <w:rPr>
                <w:rFonts w:eastAsia="宋体" w:cs="Times New Roman"/>
                <w:color w:val="000000"/>
                <w:kern w:val="0"/>
                <w:sz w:val="20"/>
                <w:szCs w:val="20"/>
              </w:rPr>
            </w:pPr>
            <w:r>
              <w:rPr>
                <w:rFonts w:cs="Times New Roman"/>
                <w:color w:val="000000"/>
                <w:sz w:val="20"/>
                <w:szCs w:val="20"/>
              </w:rPr>
              <w:t>9.00</w:t>
            </w:r>
          </w:p>
        </w:tc>
        <w:tc>
          <w:tcPr>
            <w:tcW w:w="670" w:type="pct"/>
            <w:tcBorders>
              <w:top w:val="nil"/>
              <w:left w:val="nil"/>
              <w:bottom w:val="single" w:color="auto" w:sz="4" w:space="0"/>
              <w:right w:val="single" w:color="auto" w:sz="4" w:space="0"/>
            </w:tcBorders>
            <w:shd w:val="clear" w:color="auto" w:fill="auto"/>
            <w:noWrap/>
            <w:vAlign w:val="center"/>
          </w:tcPr>
          <w:p w14:paraId="28E0EC6F">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06A9159F">
        <w:tblPrEx>
          <w:tblCellMar>
            <w:top w:w="0" w:type="dxa"/>
            <w:left w:w="108" w:type="dxa"/>
            <w:bottom w:w="0" w:type="dxa"/>
            <w:right w:w="108" w:type="dxa"/>
          </w:tblCellMar>
        </w:tblPrEx>
        <w:trPr>
          <w:trHeight w:val="791" w:hRule="atLeast"/>
        </w:trPr>
        <w:tc>
          <w:tcPr>
            <w:tcW w:w="681" w:type="pct"/>
            <w:vMerge w:val="continue"/>
            <w:tcBorders>
              <w:top w:val="nil"/>
              <w:left w:val="single" w:color="auto" w:sz="4" w:space="0"/>
              <w:bottom w:val="single" w:color="auto" w:sz="4" w:space="0"/>
              <w:right w:val="single" w:color="auto" w:sz="4" w:space="0"/>
            </w:tcBorders>
            <w:vAlign w:val="center"/>
          </w:tcPr>
          <w:p w14:paraId="0F2EDEA2">
            <w:pPr>
              <w:widowControl/>
              <w:spacing w:after="156"/>
              <w:jc w:val="left"/>
              <w:rPr>
                <w:rFonts w:eastAsia="宋体" w:cs="Times New Roman"/>
                <w:color w:val="000000"/>
                <w:kern w:val="0"/>
                <w:sz w:val="20"/>
                <w:szCs w:val="20"/>
              </w:rPr>
            </w:pPr>
          </w:p>
        </w:tc>
        <w:tc>
          <w:tcPr>
            <w:tcW w:w="760" w:type="pct"/>
            <w:vMerge w:val="continue"/>
            <w:tcBorders>
              <w:top w:val="nil"/>
              <w:left w:val="single" w:color="auto" w:sz="4" w:space="0"/>
              <w:bottom w:val="single" w:color="auto" w:sz="4" w:space="0"/>
              <w:right w:val="single" w:color="auto" w:sz="4" w:space="0"/>
            </w:tcBorders>
            <w:vAlign w:val="center"/>
          </w:tcPr>
          <w:p w14:paraId="141FA20E">
            <w:pPr>
              <w:widowControl/>
              <w:spacing w:after="156"/>
              <w:jc w:val="left"/>
              <w:rPr>
                <w:rFonts w:eastAsia="宋体" w:cs="Times New Roman"/>
                <w:color w:val="000000"/>
                <w:kern w:val="0"/>
                <w:sz w:val="20"/>
                <w:szCs w:val="20"/>
              </w:rPr>
            </w:pPr>
          </w:p>
        </w:tc>
        <w:tc>
          <w:tcPr>
            <w:tcW w:w="1845" w:type="pct"/>
            <w:tcBorders>
              <w:top w:val="nil"/>
              <w:left w:val="nil"/>
              <w:bottom w:val="single" w:color="auto" w:sz="4" w:space="0"/>
              <w:right w:val="single" w:color="auto" w:sz="4" w:space="0"/>
            </w:tcBorders>
            <w:shd w:val="clear" w:color="000000" w:fill="FFFFFF"/>
            <w:vAlign w:val="center"/>
          </w:tcPr>
          <w:p w14:paraId="1C98A537">
            <w:pPr>
              <w:widowControl/>
              <w:spacing w:after="156"/>
              <w:jc w:val="center"/>
              <w:rPr>
                <w:rFonts w:eastAsia="宋体" w:cs="Times New Roman"/>
                <w:color w:val="000000"/>
                <w:kern w:val="0"/>
                <w:sz w:val="20"/>
                <w:szCs w:val="20"/>
              </w:rPr>
            </w:pPr>
            <w:r>
              <w:rPr>
                <w:rFonts w:eastAsia="宋体" w:cs="Times New Roman"/>
                <w:color w:val="000000"/>
                <w:kern w:val="0"/>
                <w:sz w:val="20"/>
                <w:szCs w:val="20"/>
              </w:rPr>
              <w:t>查处超限超载货运车辆数增长率</w:t>
            </w:r>
          </w:p>
        </w:tc>
        <w:tc>
          <w:tcPr>
            <w:tcW w:w="482" w:type="pct"/>
            <w:tcBorders>
              <w:top w:val="nil"/>
              <w:left w:val="nil"/>
              <w:bottom w:val="single" w:color="auto" w:sz="4" w:space="0"/>
              <w:right w:val="single" w:color="auto" w:sz="4" w:space="0"/>
            </w:tcBorders>
            <w:shd w:val="clear" w:color="auto" w:fill="auto"/>
            <w:vAlign w:val="center"/>
          </w:tcPr>
          <w:p w14:paraId="2706F650">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512431E7">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670" w:type="pct"/>
            <w:tcBorders>
              <w:top w:val="nil"/>
              <w:left w:val="nil"/>
              <w:bottom w:val="single" w:color="auto" w:sz="4" w:space="0"/>
              <w:right w:val="single" w:color="auto" w:sz="4" w:space="0"/>
            </w:tcBorders>
            <w:shd w:val="clear" w:color="auto" w:fill="auto"/>
            <w:noWrap/>
            <w:vAlign w:val="center"/>
          </w:tcPr>
          <w:p w14:paraId="749B58C3">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0F1F1E9C">
        <w:tblPrEx>
          <w:tblCellMar>
            <w:top w:w="0" w:type="dxa"/>
            <w:left w:w="108" w:type="dxa"/>
            <w:bottom w:w="0" w:type="dxa"/>
            <w:right w:w="108" w:type="dxa"/>
          </w:tblCellMar>
        </w:tblPrEx>
        <w:trPr>
          <w:trHeight w:val="845" w:hRule="atLeast"/>
        </w:trPr>
        <w:tc>
          <w:tcPr>
            <w:tcW w:w="681" w:type="pct"/>
            <w:vMerge w:val="continue"/>
            <w:tcBorders>
              <w:top w:val="nil"/>
              <w:left w:val="single" w:color="auto" w:sz="4" w:space="0"/>
              <w:bottom w:val="single" w:color="auto" w:sz="4" w:space="0"/>
              <w:right w:val="single" w:color="auto" w:sz="4" w:space="0"/>
            </w:tcBorders>
            <w:vAlign w:val="center"/>
          </w:tcPr>
          <w:p w14:paraId="1FAF3414">
            <w:pPr>
              <w:widowControl/>
              <w:spacing w:after="156"/>
              <w:jc w:val="left"/>
              <w:rPr>
                <w:rFonts w:eastAsia="宋体" w:cs="Times New Roman"/>
                <w:color w:val="000000"/>
                <w:kern w:val="0"/>
                <w:sz w:val="20"/>
                <w:szCs w:val="20"/>
              </w:rPr>
            </w:pPr>
          </w:p>
        </w:tc>
        <w:tc>
          <w:tcPr>
            <w:tcW w:w="760" w:type="pct"/>
            <w:vMerge w:val="continue"/>
            <w:tcBorders>
              <w:top w:val="nil"/>
              <w:left w:val="single" w:color="auto" w:sz="4" w:space="0"/>
              <w:bottom w:val="single" w:color="auto" w:sz="4" w:space="0"/>
              <w:right w:val="single" w:color="auto" w:sz="4" w:space="0"/>
            </w:tcBorders>
            <w:vAlign w:val="center"/>
          </w:tcPr>
          <w:p w14:paraId="1F6DA967">
            <w:pPr>
              <w:widowControl/>
              <w:spacing w:after="156"/>
              <w:jc w:val="left"/>
              <w:rPr>
                <w:rFonts w:eastAsia="宋体" w:cs="Times New Roman"/>
                <w:color w:val="000000"/>
                <w:kern w:val="0"/>
                <w:sz w:val="20"/>
                <w:szCs w:val="20"/>
              </w:rPr>
            </w:pPr>
          </w:p>
        </w:tc>
        <w:tc>
          <w:tcPr>
            <w:tcW w:w="1845" w:type="pct"/>
            <w:tcBorders>
              <w:top w:val="nil"/>
              <w:left w:val="nil"/>
              <w:bottom w:val="single" w:color="auto" w:sz="4" w:space="0"/>
              <w:right w:val="single" w:color="auto" w:sz="4" w:space="0"/>
            </w:tcBorders>
            <w:shd w:val="clear" w:color="000000" w:fill="FFFFFF"/>
            <w:vAlign w:val="center"/>
          </w:tcPr>
          <w:p w14:paraId="4D08887E">
            <w:pPr>
              <w:widowControl/>
              <w:spacing w:after="156"/>
              <w:jc w:val="center"/>
              <w:rPr>
                <w:rFonts w:eastAsia="宋体" w:cs="Times New Roman"/>
                <w:color w:val="000000"/>
                <w:kern w:val="0"/>
                <w:sz w:val="20"/>
                <w:szCs w:val="20"/>
              </w:rPr>
            </w:pPr>
            <w:r>
              <w:rPr>
                <w:rFonts w:eastAsia="宋体" w:cs="Times New Roman"/>
                <w:color w:val="000000"/>
                <w:kern w:val="0"/>
                <w:sz w:val="20"/>
                <w:szCs w:val="20"/>
              </w:rPr>
              <w:t>卸载（转）载货物吨数下降率</w:t>
            </w:r>
          </w:p>
        </w:tc>
        <w:tc>
          <w:tcPr>
            <w:tcW w:w="482" w:type="pct"/>
            <w:tcBorders>
              <w:top w:val="nil"/>
              <w:left w:val="nil"/>
              <w:bottom w:val="single" w:color="auto" w:sz="4" w:space="0"/>
              <w:right w:val="single" w:color="auto" w:sz="4" w:space="0"/>
            </w:tcBorders>
            <w:shd w:val="clear" w:color="auto" w:fill="auto"/>
            <w:vAlign w:val="center"/>
          </w:tcPr>
          <w:p w14:paraId="5B692CD4">
            <w:pPr>
              <w:widowControl/>
              <w:spacing w:after="156"/>
              <w:jc w:val="center"/>
              <w:rPr>
                <w:rFonts w:eastAsia="宋体" w:cs="Times New Roman"/>
                <w:color w:val="000000"/>
                <w:kern w:val="0"/>
                <w:sz w:val="20"/>
                <w:szCs w:val="20"/>
              </w:rPr>
            </w:pPr>
            <w:r>
              <w:rPr>
                <w:rFonts w:cs="Times New Roman"/>
                <w:color w:val="000000"/>
                <w:sz w:val="20"/>
                <w:szCs w:val="20"/>
              </w:rPr>
              <w:t>6.00</w:t>
            </w:r>
          </w:p>
        </w:tc>
        <w:tc>
          <w:tcPr>
            <w:tcW w:w="561" w:type="pct"/>
            <w:tcBorders>
              <w:top w:val="nil"/>
              <w:left w:val="nil"/>
              <w:bottom w:val="single" w:color="auto" w:sz="4" w:space="0"/>
              <w:right w:val="single" w:color="auto" w:sz="4" w:space="0"/>
            </w:tcBorders>
            <w:shd w:val="clear" w:color="auto" w:fill="auto"/>
            <w:noWrap/>
            <w:vAlign w:val="center"/>
          </w:tcPr>
          <w:p w14:paraId="6CE99FCC">
            <w:pPr>
              <w:widowControl/>
              <w:spacing w:after="156"/>
              <w:jc w:val="center"/>
              <w:rPr>
                <w:rFonts w:eastAsia="宋体" w:cs="Times New Roman"/>
                <w:color w:val="000000"/>
                <w:kern w:val="0"/>
                <w:sz w:val="20"/>
                <w:szCs w:val="20"/>
              </w:rPr>
            </w:pPr>
            <w:r>
              <w:rPr>
                <w:rFonts w:cs="Times New Roman"/>
                <w:color w:val="000000"/>
                <w:sz w:val="20"/>
                <w:szCs w:val="20"/>
              </w:rPr>
              <w:t>3.60</w:t>
            </w:r>
          </w:p>
        </w:tc>
        <w:tc>
          <w:tcPr>
            <w:tcW w:w="670" w:type="pct"/>
            <w:tcBorders>
              <w:top w:val="nil"/>
              <w:left w:val="nil"/>
              <w:bottom w:val="single" w:color="auto" w:sz="4" w:space="0"/>
              <w:right w:val="single" w:color="auto" w:sz="4" w:space="0"/>
            </w:tcBorders>
            <w:shd w:val="clear" w:color="auto" w:fill="auto"/>
            <w:noWrap/>
            <w:vAlign w:val="center"/>
          </w:tcPr>
          <w:p w14:paraId="59A44CB2">
            <w:pPr>
              <w:widowControl/>
              <w:spacing w:after="156"/>
              <w:jc w:val="center"/>
              <w:rPr>
                <w:rFonts w:eastAsia="宋体" w:cs="Times New Roman"/>
                <w:color w:val="000000"/>
                <w:kern w:val="0"/>
                <w:sz w:val="20"/>
                <w:szCs w:val="20"/>
              </w:rPr>
            </w:pPr>
            <w:r>
              <w:rPr>
                <w:rFonts w:cs="Times New Roman"/>
                <w:color w:val="000000"/>
                <w:sz w:val="20"/>
                <w:szCs w:val="20"/>
              </w:rPr>
              <w:t>60.00%</w:t>
            </w:r>
          </w:p>
        </w:tc>
      </w:tr>
      <w:tr w14:paraId="5D74B0FC">
        <w:tblPrEx>
          <w:tblCellMar>
            <w:top w:w="0" w:type="dxa"/>
            <w:left w:w="108" w:type="dxa"/>
            <w:bottom w:w="0" w:type="dxa"/>
            <w:right w:w="108" w:type="dxa"/>
          </w:tblCellMar>
        </w:tblPrEx>
        <w:trPr>
          <w:trHeight w:val="687" w:hRule="atLeast"/>
        </w:trPr>
        <w:tc>
          <w:tcPr>
            <w:tcW w:w="681" w:type="pct"/>
            <w:vMerge w:val="continue"/>
            <w:tcBorders>
              <w:top w:val="nil"/>
              <w:left w:val="single" w:color="auto" w:sz="4" w:space="0"/>
              <w:bottom w:val="single" w:color="auto" w:sz="4" w:space="0"/>
              <w:right w:val="single" w:color="auto" w:sz="4" w:space="0"/>
            </w:tcBorders>
            <w:vAlign w:val="center"/>
          </w:tcPr>
          <w:p w14:paraId="37E60743">
            <w:pPr>
              <w:widowControl/>
              <w:spacing w:after="156"/>
              <w:jc w:val="left"/>
              <w:rPr>
                <w:rFonts w:eastAsia="宋体" w:cs="Times New Roman"/>
                <w:color w:val="000000"/>
                <w:kern w:val="0"/>
                <w:sz w:val="20"/>
                <w:szCs w:val="20"/>
              </w:rPr>
            </w:pPr>
          </w:p>
        </w:tc>
        <w:tc>
          <w:tcPr>
            <w:tcW w:w="760" w:type="pct"/>
            <w:vMerge w:val="restart"/>
            <w:tcBorders>
              <w:top w:val="nil"/>
              <w:left w:val="single" w:color="auto" w:sz="4" w:space="0"/>
              <w:bottom w:val="single" w:color="auto" w:sz="4" w:space="0"/>
              <w:right w:val="single" w:color="auto" w:sz="4" w:space="0"/>
            </w:tcBorders>
            <w:shd w:val="clear" w:color="000000" w:fill="FFFFFF"/>
            <w:vAlign w:val="center"/>
          </w:tcPr>
          <w:p w14:paraId="0EB15ED9">
            <w:pPr>
              <w:widowControl/>
              <w:spacing w:after="156"/>
              <w:jc w:val="center"/>
              <w:rPr>
                <w:rFonts w:eastAsia="宋体" w:cs="Times New Roman"/>
                <w:color w:val="000000"/>
                <w:kern w:val="0"/>
                <w:sz w:val="20"/>
                <w:szCs w:val="20"/>
              </w:rPr>
            </w:pPr>
            <w:r>
              <w:rPr>
                <w:rFonts w:eastAsia="宋体" w:cs="Times New Roman"/>
                <w:color w:val="000000"/>
                <w:kern w:val="0"/>
                <w:sz w:val="20"/>
                <w:szCs w:val="20"/>
              </w:rPr>
              <w:t>社会效益</w:t>
            </w:r>
          </w:p>
        </w:tc>
        <w:tc>
          <w:tcPr>
            <w:tcW w:w="1845" w:type="pct"/>
            <w:tcBorders>
              <w:top w:val="nil"/>
              <w:left w:val="nil"/>
              <w:bottom w:val="single" w:color="auto" w:sz="4" w:space="0"/>
              <w:right w:val="single" w:color="auto" w:sz="4" w:space="0"/>
            </w:tcBorders>
            <w:shd w:val="clear" w:color="000000" w:fill="FFFFFF"/>
            <w:vAlign w:val="center"/>
          </w:tcPr>
          <w:p w14:paraId="45906593">
            <w:pPr>
              <w:widowControl/>
              <w:spacing w:after="156"/>
              <w:jc w:val="center"/>
              <w:rPr>
                <w:rFonts w:eastAsia="宋体" w:cs="Times New Roman"/>
                <w:color w:val="000000"/>
                <w:kern w:val="0"/>
                <w:sz w:val="20"/>
                <w:szCs w:val="20"/>
              </w:rPr>
            </w:pPr>
            <w:r>
              <w:rPr>
                <w:rFonts w:eastAsia="宋体" w:cs="Times New Roman"/>
                <w:color w:val="000000"/>
                <w:kern w:val="0"/>
                <w:sz w:val="20"/>
                <w:szCs w:val="20"/>
              </w:rPr>
              <w:t>直管公路超限车辆控制率</w:t>
            </w:r>
          </w:p>
        </w:tc>
        <w:tc>
          <w:tcPr>
            <w:tcW w:w="482" w:type="pct"/>
            <w:tcBorders>
              <w:top w:val="nil"/>
              <w:left w:val="nil"/>
              <w:bottom w:val="single" w:color="auto" w:sz="4" w:space="0"/>
              <w:right w:val="single" w:color="auto" w:sz="4" w:space="0"/>
            </w:tcBorders>
            <w:shd w:val="clear" w:color="auto" w:fill="auto"/>
            <w:vAlign w:val="center"/>
          </w:tcPr>
          <w:p w14:paraId="4F95A1D3">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3A6E0B4C">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670" w:type="pct"/>
            <w:tcBorders>
              <w:top w:val="nil"/>
              <w:left w:val="nil"/>
              <w:bottom w:val="single" w:color="auto" w:sz="4" w:space="0"/>
              <w:right w:val="single" w:color="auto" w:sz="4" w:space="0"/>
            </w:tcBorders>
            <w:shd w:val="clear" w:color="auto" w:fill="auto"/>
            <w:noWrap/>
            <w:vAlign w:val="center"/>
          </w:tcPr>
          <w:p w14:paraId="2AB42ED0">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7B55718A">
        <w:tblPrEx>
          <w:tblCellMar>
            <w:top w:w="0" w:type="dxa"/>
            <w:left w:w="108" w:type="dxa"/>
            <w:bottom w:w="0" w:type="dxa"/>
            <w:right w:w="108" w:type="dxa"/>
          </w:tblCellMar>
        </w:tblPrEx>
        <w:trPr>
          <w:trHeight w:val="555" w:hRule="atLeast"/>
        </w:trPr>
        <w:tc>
          <w:tcPr>
            <w:tcW w:w="681" w:type="pct"/>
            <w:vMerge w:val="continue"/>
            <w:tcBorders>
              <w:top w:val="nil"/>
              <w:left w:val="single" w:color="auto" w:sz="4" w:space="0"/>
              <w:bottom w:val="single" w:color="auto" w:sz="4" w:space="0"/>
              <w:right w:val="single" w:color="auto" w:sz="4" w:space="0"/>
            </w:tcBorders>
            <w:vAlign w:val="center"/>
          </w:tcPr>
          <w:p w14:paraId="60B6A210">
            <w:pPr>
              <w:widowControl/>
              <w:spacing w:after="156"/>
              <w:jc w:val="left"/>
              <w:rPr>
                <w:rFonts w:eastAsia="宋体" w:cs="Times New Roman"/>
                <w:color w:val="000000"/>
                <w:kern w:val="0"/>
                <w:sz w:val="20"/>
                <w:szCs w:val="20"/>
              </w:rPr>
            </w:pPr>
          </w:p>
        </w:tc>
        <w:tc>
          <w:tcPr>
            <w:tcW w:w="760" w:type="pct"/>
            <w:vMerge w:val="continue"/>
            <w:tcBorders>
              <w:top w:val="nil"/>
              <w:left w:val="single" w:color="auto" w:sz="4" w:space="0"/>
              <w:bottom w:val="single" w:color="auto" w:sz="4" w:space="0"/>
              <w:right w:val="single" w:color="auto" w:sz="4" w:space="0"/>
            </w:tcBorders>
            <w:vAlign w:val="center"/>
          </w:tcPr>
          <w:p w14:paraId="59743CF1">
            <w:pPr>
              <w:widowControl/>
              <w:spacing w:after="156"/>
              <w:jc w:val="left"/>
              <w:rPr>
                <w:rFonts w:eastAsia="宋体" w:cs="Times New Roman"/>
                <w:color w:val="000000"/>
                <w:kern w:val="0"/>
                <w:sz w:val="20"/>
                <w:szCs w:val="20"/>
              </w:rPr>
            </w:pPr>
          </w:p>
        </w:tc>
        <w:tc>
          <w:tcPr>
            <w:tcW w:w="1845" w:type="pct"/>
            <w:tcBorders>
              <w:top w:val="nil"/>
              <w:left w:val="nil"/>
              <w:bottom w:val="single" w:color="auto" w:sz="4" w:space="0"/>
              <w:right w:val="single" w:color="auto" w:sz="4" w:space="0"/>
            </w:tcBorders>
            <w:shd w:val="clear" w:color="000000" w:fill="FFFFFF"/>
            <w:vAlign w:val="center"/>
          </w:tcPr>
          <w:p w14:paraId="5B52D06D">
            <w:pPr>
              <w:widowControl/>
              <w:spacing w:after="156"/>
              <w:jc w:val="center"/>
              <w:rPr>
                <w:rFonts w:eastAsia="宋体" w:cs="Times New Roman"/>
                <w:color w:val="000000"/>
                <w:kern w:val="0"/>
                <w:sz w:val="20"/>
                <w:szCs w:val="20"/>
              </w:rPr>
            </w:pPr>
            <w:r>
              <w:rPr>
                <w:rFonts w:eastAsia="宋体" w:cs="Times New Roman"/>
                <w:color w:val="000000"/>
                <w:kern w:val="0"/>
                <w:sz w:val="20"/>
                <w:szCs w:val="20"/>
              </w:rPr>
              <w:t>安全事故发生率下降率</w:t>
            </w:r>
          </w:p>
        </w:tc>
        <w:tc>
          <w:tcPr>
            <w:tcW w:w="482" w:type="pct"/>
            <w:tcBorders>
              <w:top w:val="nil"/>
              <w:left w:val="nil"/>
              <w:bottom w:val="single" w:color="auto" w:sz="4" w:space="0"/>
              <w:right w:val="single" w:color="auto" w:sz="4" w:space="0"/>
            </w:tcBorders>
            <w:shd w:val="clear" w:color="auto" w:fill="auto"/>
            <w:vAlign w:val="center"/>
          </w:tcPr>
          <w:p w14:paraId="1312CE80">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5388C35D">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670" w:type="pct"/>
            <w:tcBorders>
              <w:top w:val="nil"/>
              <w:left w:val="nil"/>
              <w:bottom w:val="single" w:color="auto" w:sz="4" w:space="0"/>
              <w:right w:val="single" w:color="auto" w:sz="4" w:space="0"/>
            </w:tcBorders>
            <w:shd w:val="clear" w:color="auto" w:fill="auto"/>
            <w:noWrap/>
            <w:vAlign w:val="center"/>
          </w:tcPr>
          <w:p w14:paraId="40BBAFD6">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7CDC0214">
        <w:tblPrEx>
          <w:tblCellMar>
            <w:top w:w="0" w:type="dxa"/>
            <w:left w:w="108" w:type="dxa"/>
            <w:bottom w:w="0" w:type="dxa"/>
            <w:right w:w="108" w:type="dxa"/>
          </w:tblCellMar>
        </w:tblPrEx>
        <w:trPr>
          <w:trHeight w:val="705" w:hRule="atLeast"/>
        </w:trPr>
        <w:tc>
          <w:tcPr>
            <w:tcW w:w="681" w:type="pct"/>
            <w:vMerge w:val="continue"/>
            <w:tcBorders>
              <w:top w:val="nil"/>
              <w:left w:val="single" w:color="auto" w:sz="4" w:space="0"/>
              <w:bottom w:val="single" w:color="auto" w:sz="4" w:space="0"/>
              <w:right w:val="single" w:color="auto" w:sz="4" w:space="0"/>
            </w:tcBorders>
            <w:vAlign w:val="center"/>
          </w:tcPr>
          <w:p w14:paraId="17F1C24E">
            <w:pPr>
              <w:widowControl/>
              <w:spacing w:after="156"/>
              <w:jc w:val="left"/>
              <w:rPr>
                <w:rFonts w:eastAsia="宋体" w:cs="Times New Roman"/>
                <w:color w:val="000000"/>
                <w:kern w:val="0"/>
                <w:sz w:val="20"/>
                <w:szCs w:val="20"/>
              </w:rPr>
            </w:pPr>
          </w:p>
        </w:tc>
        <w:tc>
          <w:tcPr>
            <w:tcW w:w="760" w:type="pct"/>
            <w:vMerge w:val="continue"/>
            <w:tcBorders>
              <w:top w:val="nil"/>
              <w:left w:val="single" w:color="auto" w:sz="4" w:space="0"/>
              <w:bottom w:val="single" w:color="auto" w:sz="4" w:space="0"/>
              <w:right w:val="single" w:color="auto" w:sz="4" w:space="0"/>
            </w:tcBorders>
            <w:vAlign w:val="center"/>
          </w:tcPr>
          <w:p w14:paraId="30B7F7E3">
            <w:pPr>
              <w:widowControl/>
              <w:spacing w:after="156"/>
              <w:jc w:val="left"/>
              <w:rPr>
                <w:rFonts w:eastAsia="宋体" w:cs="Times New Roman"/>
                <w:color w:val="000000"/>
                <w:kern w:val="0"/>
                <w:sz w:val="20"/>
                <w:szCs w:val="20"/>
              </w:rPr>
            </w:pPr>
          </w:p>
        </w:tc>
        <w:tc>
          <w:tcPr>
            <w:tcW w:w="1845" w:type="pct"/>
            <w:tcBorders>
              <w:top w:val="nil"/>
              <w:left w:val="nil"/>
              <w:bottom w:val="single" w:color="auto" w:sz="4" w:space="0"/>
              <w:right w:val="single" w:color="auto" w:sz="4" w:space="0"/>
            </w:tcBorders>
            <w:shd w:val="clear" w:color="000000" w:fill="FFFFFF"/>
            <w:vAlign w:val="center"/>
          </w:tcPr>
          <w:p w14:paraId="1CAD993B">
            <w:pPr>
              <w:widowControl/>
              <w:spacing w:after="156"/>
              <w:jc w:val="center"/>
              <w:rPr>
                <w:rFonts w:eastAsia="宋体" w:cs="Times New Roman"/>
                <w:color w:val="000000"/>
                <w:kern w:val="0"/>
                <w:sz w:val="20"/>
                <w:szCs w:val="20"/>
              </w:rPr>
            </w:pPr>
            <w:r>
              <w:rPr>
                <w:rFonts w:eastAsia="宋体" w:cs="Times New Roman"/>
                <w:color w:val="000000"/>
                <w:kern w:val="0"/>
                <w:sz w:val="20"/>
                <w:szCs w:val="20"/>
              </w:rPr>
              <w:t>群众投诉下降率</w:t>
            </w:r>
          </w:p>
        </w:tc>
        <w:tc>
          <w:tcPr>
            <w:tcW w:w="482" w:type="pct"/>
            <w:tcBorders>
              <w:top w:val="nil"/>
              <w:left w:val="nil"/>
              <w:bottom w:val="single" w:color="auto" w:sz="4" w:space="0"/>
              <w:right w:val="single" w:color="auto" w:sz="4" w:space="0"/>
            </w:tcBorders>
            <w:shd w:val="clear" w:color="auto" w:fill="auto"/>
            <w:vAlign w:val="center"/>
          </w:tcPr>
          <w:p w14:paraId="4ADC3723">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7D3C1739">
            <w:pPr>
              <w:widowControl/>
              <w:spacing w:after="156"/>
              <w:jc w:val="center"/>
              <w:rPr>
                <w:rFonts w:eastAsia="宋体" w:cs="Times New Roman"/>
                <w:color w:val="000000"/>
                <w:kern w:val="0"/>
                <w:sz w:val="20"/>
                <w:szCs w:val="20"/>
              </w:rPr>
            </w:pPr>
            <w:r>
              <w:rPr>
                <w:rFonts w:cs="Times New Roman"/>
                <w:color w:val="000000"/>
                <w:sz w:val="20"/>
                <w:szCs w:val="20"/>
              </w:rPr>
              <w:t>2.00</w:t>
            </w:r>
          </w:p>
        </w:tc>
        <w:tc>
          <w:tcPr>
            <w:tcW w:w="670" w:type="pct"/>
            <w:tcBorders>
              <w:top w:val="nil"/>
              <w:left w:val="nil"/>
              <w:bottom w:val="single" w:color="auto" w:sz="4" w:space="0"/>
              <w:right w:val="single" w:color="auto" w:sz="4" w:space="0"/>
            </w:tcBorders>
            <w:shd w:val="clear" w:color="auto" w:fill="auto"/>
            <w:noWrap/>
            <w:vAlign w:val="center"/>
          </w:tcPr>
          <w:p w14:paraId="0553D9ED">
            <w:pPr>
              <w:widowControl/>
              <w:spacing w:after="156"/>
              <w:jc w:val="center"/>
              <w:rPr>
                <w:rFonts w:eastAsia="宋体" w:cs="Times New Roman"/>
                <w:color w:val="000000"/>
                <w:kern w:val="0"/>
                <w:sz w:val="20"/>
                <w:szCs w:val="20"/>
              </w:rPr>
            </w:pPr>
            <w:r>
              <w:rPr>
                <w:rFonts w:cs="Times New Roman"/>
                <w:color w:val="000000"/>
                <w:sz w:val="20"/>
                <w:szCs w:val="20"/>
              </w:rPr>
              <w:t>25.00%</w:t>
            </w:r>
          </w:p>
        </w:tc>
      </w:tr>
      <w:tr w14:paraId="5898870B">
        <w:tblPrEx>
          <w:tblCellMar>
            <w:top w:w="0" w:type="dxa"/>
            <w:left w:w="108" w:type="dxa"/>
            <w:bottom w:w="0" w:type="dxa"/>
            <w:right w:w="108" w:type="dxa"/>
          </w:tblCellMar>
        </w:tblPrEx>
        <w:trPr>
          <w:trHeight w:val="701" w:hRule="atLeast"/>
        </w:trPr>
        <w:tc>
          <w:tcPr>
            <w:tcW w:w="681" w:type="pct"/>
            <w:vMerge w:val="continue"/>
            <w:tcBorders>
              <w:top w:val="nil"/>
              <w:left w:val="single" w:color="auto" w:sz="4" w:space="0"/>
              <w:bottom w:val="single" w:color="auto" w:sz="4" w:space="0"/>
              <w:right w:val="single" w:color="auto" w:sz="4" w:space="0"/>
            </w:tcBorders>
            <w:vAlign w:val="center"/>
          </w:tcPr>
          <w:p w14:paraId="1F48C72F">
            <w:pPr>
              <w:widowControl/>
              <w:spacing w:after="156"/>
              <w:jc w:val="left"/>
              <w:rPr>
                <w:rFonts w:eastAsia="宋体" w:cs="Times New Roman"/>
                <w:color w:val="000000"/>
                <w:kern w:val="0"/>
                <w:sz w:val="20"/>
                <w:szCs w:val="20"/>
              </w:rPr>
            </w:pPr>
          </w:p>
        </w:tc>
        <w:tc>
          <w:tcPr>
            <w:tcW w:w="760" w:type="pct"/>
            <w:tcBorders>
              <w:top w:val="nil"/>
              <w:left w:val="nil"/>
              <w:bottom w:val="single" w:color="auto" w:sz="4" w:space="0"/>
              <w:right w:val="single" w:color="auto" w:sz="4" w:space="0"/>
            </w:tcBorders>
            <w:shd w:val="clear" w:color="000000" w:fill="FFFFFF"/>
            <w:vAlign w:val="center"/>
          </w:tcPr>
          <w:p w14:paraId="460E0AC0">
            <w:pPr>
              <w:widowControl/>
              <w:spacing w:after="156"/>
              <w:jc w:val="center"/>
              <w:rPr>
                <w:rFonts w:eastAsia="宋体" w:cs="Times New Roman"/>
                <w:color w:val="000000"/>
                <w:kern w:val="0"/>
                <w:sz w:val="20"/>
                <w:szCs w:val="20"/>
              </w:rPr>
            </w:pPr>
            <w:r>
              <w:rPr>
                <w:rFonts w:eastAsia="宋体" w:cs="Times New Roman"/>
                <w:color w:val="000000"/>
                <w:kern w:val="0"/>
                <w:sz w:val="20"/>
                <w:szCs w:val="20"/>
              </w:rPr>
              <w:t>生态效益</w:t>
            </w:r>
          </w:p>
        </w:tc>
        <w:tc>
          <w:tcPr>
            <w:tcW w:w="1845" w:type="pct"/>
            <w:tcBorders>
              <w:top w:val="nil"/>
              <w:left w:val="nil"/>
              <w:bottom w:val="single" w:color="auto" w:sz="4" w:space="0"/>
              <w:right w:val="single" w:color="auto" w:sz="4" w:space="0"/>
            </w:tcBorders>
            <w:shd w:val="clear" w:color="000000" w:fill="FFFFFF"/>
            <w:vAlign w:val="center"/>
          </w:tcPr>
          <w:p w14:paraId="23BF35D4">
            <w:pPr>
              <w:widowControl/>
              <w:spacing w:after="156"/>
              <w:jc w:val="center"/>
              <w:rPr>
                <w:rFonts w:eastAsia="宋体" w:cs="Times New Roman"/>
                <w:color w:val="000000"/>
                <w:kern w:val="0"/>
                <w:sz w:val="20"/>
                <w:szCs w:val="20"/>
              </w:rPr>
            </w:pPr>
            <w:r>
              <w:rPr>
                <w:rFonts w:eastAsia="宋体" w:cs="Times New Roman"/>
                <w:color w:val="000000"/>
                <w:kern w:val="0"/>
                <w:sz w:val="20"/>
                <w:szCs w:val="20"/>
              </w:rPr>
              <w:t>抛洒（滴漏）年下降率</w:t>
            </w:r>
          </w:p>
        </w:tc>
        <w:tc>
          <w:tcPr>
            <w:tcW w:w="482" w:type="pct"/>
            <w:tcBorders>
              <w:top w:val="nil"/>
              <w:left w:val="nil"/>
              <w:bottom w:val="single" w:color="auto" w:sz="4" w:space="0"/>
              <w:right w:val="single" w:color="auto" w:sz="4" w:space="0"/>
            </w:tcBorders>
            <w:shd w:val="clear" w:color="auto" w:fill="auto"/>
            <w:vAlign w:val="center"/>
          </w:tcPr>
          <w:p w14:paraId="7980C3D4">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561" w:type="pct"/>
            <w:tcBorders>
              <w:top w:val="nil"/>
              <w:left w:val="nil"/>
              <w:bottom w:val="single" w:color="auto" w:sz="4" w:space="0"/>
              <w:right w:val="single" w:color="auto" w:sz="4" w:space="0"/>
            </w:tcBorders>
            <w:shd w:val="clear" w:color="auto" w:fill="auto"/>
            <w:noWrap/>
            <w:vAlign w:val="center"/>
          </w:tcPr>
          <w:p w14:paraId="5BE59699">
            <w:pPr>
              <w:widowControl/>
              <w:spacing w:after="156"/>
              <w:jc w:val="center"/>
              <w:rPr>
                <w:rFonts w:eastAsia="宋体" w:cs="Times New Roman"/>
                <w:color w:val="000000"/>
                <w:kern w:val="0"/>
                <w:sz w:val="20"/>
                <w:szCs w:val="20"/>
              </w:rPr>
            </w:pPr>
            <w:r>
              <w:rPr>
                <w:rFonts w:cs="Times New Roman"/>
                <w:color w:val="000000"/>
                <w:sz w:val="20"/>
                <w:szCs w:val="20"/>
              </w:rPr>
              <w:t>8.00</w:t>
            </w:r>
          </w:p>
        </w:tc>
        <w:tc>
          <w:tcPr>
            <w:tcW w:w="670" w:type="pct"/>
            <w:tcBorders>
              <w:top w:val="nil"/>
              <w:left w:val="nil"/>
              <w:bottom w:val="single" w:color="auto" w:sz="4" w:space="0"/>
              <w:right w:val="single" w:color="auto" w:sz="4" w:space="0"/>
            </w:tcBorders>
            <w:shd w:val="clear" w:color="auto" w:fill="auto"/>
            <w:noWrap/>
            <w:vAlign w:val="center"/>
          </w:tcPr>
          <w:p w14:paraId="11CF4BB8">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3C52044F">
        <w:tblPrEx>
          <w:tblCellMar>
            <w:top w:w="0" w:type="dxa"/>
            <w:left w:w="108" w:type="dxa"/>
            <w:bottom w:w="0" w:type="dxa"/>
            <w:right w:w="108" w:type="dxa"/>
          </w:tblCellMar>
        </w:tblPrEx>
        <w:trPr>
          <w:trHeight w:val="981" w:hRule="atLeast"/>
        </w:trPr>
        <w:tc>
          <w:tcPr>
            <w:tcW w:w="681" w:type="pct"/>
            <w:vMerge w:val="continue"/>
            <w:tcBorders>
              <w:top w:val="nil"/>
              <w:left w:val="single" w:color="auto" w:sz="4" w:space="0"/>
              <w:bottom w:val="single" w:color="auto" w:sz="4" w:space="0"/>
              <w:right w:val="single" w:color="auto" w:sz="4" w:space="0"/>
            </w:tcBorders>
            <w:vAlign w:val="center"/>
          </w:tcPr>
          <w:p w14:paraId="6E81897C">
            <w:pPr>
              <w:widowControl/>
              <w:spacing w:after="156"/>
              <w:jc w:val="left"/>
              <w:rPr>
                <w:rFonts w:eastAsia="宋体" w:cs="Times New Roman"/>
                <w:color w:val="000000"/>
                <w:kern w:val="0"/>
                <w:sz w:val="20"/>
                <w:szCs w:val="20"/>
              </w:rPr>
            </w:pPr>
          </w:p>
        </w:tc>
        <w:tc>
          <w:tcPr>
            <w:tcW w:w="760" w:type="pct"/>
            <w:tcBorders>
              <w:top w:val="nil"/>
              <w:left w:val="nil"/>
              <w:bottom w:val="single" w:color="auto" w:sz="4" w:space="0"/>
              <w:right w:val="single" w:color="auto" w:sz="4" w:space="0"/>
            </w:tcBorders>
            <w:shd w:val="clear" w:color="000000" w:fill="FFFFFF"/>
            <w:vAlign w:val="center"/>
          </w:tcPr>
          <w:p w14:paraId="7A8447BD">
            <w:pPr>
              <w:widowControl/>
              <w:spacing w:after="156"/>
              <w:jc w:val="center"/>
              <w:rPr>
                <w:rFonts w:eastAsia="宋体" w:cs="Times New Roman"/>
                <w:color w:val="000000"/>
                <w:kern w:val="0"/>
                <w:sz w:val="20"/>
                <w:szCs w:val="20"/>
              </w:rPr>
            </w:pPr>
            <w:r>
              <w:rPr>
                <w:rFonts w:eastAsia="宋体" w:cs="Times New Roman"/>
                <w:color w:val="000000"/>
                <w:kern w:val="0"/>
                <w:sz w:val="20"/>
                <w:szCs w:val="20"/>
              </w:rPr>
              <w:t>可持续效益</w:t>
            </w:r>
          </w:p>
        </w:tc>
        <w:tc>
          <w:tcPr>
            <w:tcW w:w="1845" w:type="pct"/>
            <w:tcBorders>
              <w:top w:val="nil"/>
              <w:left w:val="nil"/>
              <w:bottom w:val="single" w:color="auto" w:sz="4" w:space="0"/>
              <w:right w:val="single" w:color="auto" w:sz="4" w:space="0"/>
            </w:tcBorders>
            <w:shd w:val="clear" w:color="000000" w:fill="FFFFFF"/>
            <w:vAlign w:val="center"/>
          </w:tcPr>
          <w:p w14:paraId="3FC11ADE">
            <w:pPr>
              <w:widowControl/>
              <w:spacing w:after="156"/>
              <w:jc w:val="center"/>
              <w:rPr>
                <w:rFonts w:eastAsia="宋体" w:cs="Times New Roman"/>
                <w:color w:val="000000"/>
                <w:kern w:val="0"/>
                <w:sz w:val="20"/>
                <w:szCs w:val="20"/>
              </w:rPr>
            </w:pPr>
            <w:r>
              <w:rPr>
                <w:rFonts w:eastAsia="宋体" w:cs="Times New Roman"/>
                <w:color w:val="000000"/>
                <w:kern w:val="0"/>
                <w:sz w:val="20"/>
                <w:szCs w:val="20"/>
              </w:rPr>
              <w:t>科技治超对人工成本的持续降低率</w:t>
            </w:r>
          </w:p>
        </w:tc>
        <w:tc>
          <w:tcPr>
            <w:tcW w:w="482" w:type="pct"/>
            <w:tcBorders>
              <w:top w:val="nil"/>
              <w:left w:val="nil"/>
              <w:bottom w:val="single" w:color="auto" w:sz="4" w:space="0"/>
              <w:right w:val="single" w:color="auto" w:sz="4" w:space="0"/>
            </w:tcBorders>
            <w:shd w:val="clear" w:color="auto" w:fill="auto"/>
            <w:vAlign w:val="center"/>
          </w:tcPr>
          <w:p w14:paraId="6E307E34">
            <w:pPr>
              <w:widowControl/>
              <w:spacing w:after="156"/>
              <w:jc w:val="center"/>
              <w:rPr>
                <w:rFonts w:eastAsia="宋体" w:cs="Times New Roman"/>
                <w:color w:val="000000"/>
                <w:kern w:val="0"/>
                <w:sz w:val="20"/>
                <w:szCs w:val="20"/>
              </w:rPr>
            </w:pPr>
            <w:r>
              <w:rPr>
                <w:rFonts w:cs="Times New Roman"/>
                <w:color w:val="000000"/>
                <w:sz w:val="20"/>
                <w:szCs w:val="20"/>
              </w:rPr>
              <w:t>7.00</w:t>
            </w:r>
          </w:p>
        </w:tc>
        <w:tc>
          <w:tcPr>
            <w:tcW w:w="561" w:type="pct"/>
            <w:tcBorders>
              <w:top w:val="nil"/>
              <w:left w:val="nil"/>
              <w:bottom w:val="single" w:color="auto" w:sz="4" w:space="0"/>
              <w:right w:val="single" w:color="auto" w:sz="4" w:space="0"/>
            </w:tcBorders>
            <w:shd w:val="clear" w:color="auto" w:fill="auto"/>
            <w:noWrap/>
            <w:vAlign w:val="center"/>
          </w:tcPr>
          <w:p w14:paraId="55667CA3">
            <w:pPr>
              <w:widowControl/>
              <w:spacing w:after="156"/>
              <w:jc w:val="center"/>
              <w:rPr>
                <w:rFonts w:eastAsia="宋体" w:cs="Times New Roman"/>
                <w:color w:val="000000"/>
                <w:kern w:val="0"/>
                <w:sz w:val="20"/>
                <w:szCs w:val="20"/>
              </w:rPr>
            </w:pPr>
            <w:r>
              <w:rPr>
                <w:rFonts w:cs="Times New Roman"/>
                <w:color w:val="000000"/>
                <w:sz w:val="20"/>
                <w:szCs w:val="20"/>
              </w:rPr>
              <w:t>7.00</w:t>
            </w:r>
          </w:p>
        </w:tc>
        <w:tc>
          <w:tcPr>
            <w:tcW w:w="670" w:type="pct"/>
            <w:tcBorders>
              <w:top w:val="nil"/>
              <w:left w:val="nil"/>
              <w:bottom w:val="single" w:color="auto" w:sz="4" w:space="0"/>
              <w:right w:val="single" w:color="auto" w:sz="4" w:space="0"/>
            </w:tcBorders>
            <w:shd w:val="clear" w:color="auto" w:fill="auto"/>
            <w:noWrap/>
            <w:vAlign w:val="center"/>
          </w:tcPr>
          <w:p w14:paraId="57C85AD8">
            <w:pPr>
              <w:widowControl/>
              <w:spacing w:after="156"/>
              <w:jc w:val="center"/>
              <w:rPr>
                <w:rFonts w:eastAsia="宋体" w:cs="Times New Roman"/>
                <w:color w:val="000000"/>
                <w:kern w:val="0"/>
                <w:sz w:val="20"/>
                <w:szCs w:val="20"/>
              </w:rPr>
            </w:pPr>
            <w:r>
              <w:rPr>
                <w:rFonts w:cs="Times New Roman"/>
                <w:color w:val="000000"/>
                <w:sz w:val="20"/>
                <w:szCs w:val="20"/>
              </w:rPr>
              <w:t>100.00%</w:t>
            </w:r>
          </w:p>
        </w:tc>
      </w:tr>
      <w:tr w14:paraId="1634E524">
        <w:tblPrEx>
          <w:tblCellMar>
            <w:top w:w="0" w:type="dxa"/>
            <w:left w:w="108" w:type="dxa"/>
            <w:bottom w:w="0" w:type="dxa"/>
            <w:right w:w="108" w:type="dxa"/>
          </w:tblCellMar>
        </w:tblPrEx>
        <w:trPr>
          <w:trHeight w:val="981" w:hRule="atLeast"/>
        </w:trPr>
        <w:tc>
          <w:tcPr>
            <w:tcW w:w="3287" w:type="pct"/>
            <w:gridSpan w:val="3"/>
            <w:tcBorders>
              <w:top w:val="single" w:color="auto" w:sz="4" w:space="0"/>
              <w:left w:val="single" w:color="auto" w:sz="4" w:space="0"/>
              <w:bottom w:val="single" w:color="auto" w:sz="4" w:space="0"/>
              <w:right w:val="single" w:color="auto" w:sz="4" w:space="0"/>
            </w:tcBorders>
            <w:vAlign w:val="center"/>
          </w:tcPr>
          <w:p w14:paraId="0F2E3CEC">
            <w:pPr>
              <w:widowControl/>
              <w:spacing w:after="156"/>
              <w:jc w:val="center"/>
              <w:rPr>
                <w:rFonts w:eastAsia="宋体" w:cs="Times New Roman"/>
                <w:color w:val="000000"/>
                <w:kern w:val="0"/>
                <w:sz w:val="20"/>
                <w:szCs w:val="20"/>
              </w:rPr>
            </w:pPr>
            <w:r>
              <w:rPr>
                <w:rFonts w:eastAsia="宋体" w:cs="Times New Roman"/>
                <w:color w:val="000000"/>
                <w:kern w:val="0"/>
                <w:sz w:val="20"/>
                <w:szCs w:val="20"/>
              </w:rPr>
              <w:t>合计</w:t>
            </w:r>
          </w:p>
        </w:tc>
        <w:tc>
          <w:tcPr>
            <w:tcW w:w="482" w:type="pct"/>
            <w:tcBorders>
              <w:top w:val="single" w:color="auto" w:sz="4" w:space="0"/>
              <w:left w:val="nil"/>
              <w:bottom w:val="single" w:color="auto" w:sz="4" w:space="0"/>
              <w:right w:val="single" w:color="auto" w:sz="4" w:space="0"/>
            </w:tcBorders>
            <w:shd w:val="clear" w:color="auto" w:fill="auto"/>
            <w:vAlign w:val="center"/>
          </w:tcPr>
          <w:p w14:paraId="7BE3D437">
            <w:pPr>
              <w:widowControl/>
              <w:spacing w:after="156"/>
              <w:jc w:val="center"/>
              <w:rPr>
                <w:rFonts w:cs="Times New Roman"/>
                <w:color w:val="000000"/>
                <w:sz w:val="20"/>
                <w:szCs w:val="20"/>
              </w:rPr>
            </w:pPr>
            <w:r>
              <w:rPr>
                <w:rFonts w:cs="Times New Roman"/>
                <w:color w:val="000000"/>
                <w:sz w:val="20"/>
                <w:szCs w:val="20"/>
              </w:rPr>
              <w:t>60.00</w:t>
            </w:r>
          </w:p>
        </w:tc>
        <w:tc>
          <w:tcPr>
            <w:tcW w:w="561" w:type="pct"/>
            <w:tcBorders>
              <w:top w:val="single" w:color="auto" w:sz="4" w:space="0"/>
              <w:left w:val="nil"/>
              <w:bottom w:val="single" w:color="auto" w:sz="4" w:space="0"/>
              <w:right w:val="single" w:color="auto" w:sz="4" w:space="0"/>
            </w:tcBorders>
            <w:shd w:val="clear" w:color="auto" w:fill="auto"/>
            <w:noWrap/>
            <w:vAlign w:val="center"/>
          </w:tcPr>
          <w:p w14:paraId="6E5141CE">
            <w:pPr>
              <w:widowControl/>
              <w:spacing w:after="156"/>
              <w:jc w:val="center"/>
              <w:rPr>
                <w:rFonts w:cs="Times New Roman"/>
                <w:color w:val="000000"/>
                <w:sz w:val="20"/>
                <w:szCs w:val="20"/>
              </w:rPr>
            </w:pPr>
            <w:r>
              <w:rPr>
                <w:rFonts w:cs="Times New Roman"/>
                <w:color w:val="000000"/>
                <w:sz w:val="20"/>
                <w:szCs w:val="20"/>
              </w:rPr>
              <w:t>51.60</w:t>
            </w:r>
          </w:p>
        </w:tc>
        <w:tc>
          <w:tcPr>
            <w:tcW w:w="670" w:type="pct"/>
            <w:tcBorders>
              <w:top w:val="single" w:color="auto" w:sz="4" w:space="0"/>
              <w:left w:val="nil"/>
              <w:bottom w:val="single" w:color="auto" w:sz="4" w:space="0"/>
              <w:right w:val="single" w:color="auto" w:sz="4" w:space="0"/>
            </w:tcBorders>
            <w:shd w:val="clear" w:color="auto" w:fill="auto"/>
            <w:noWrap/>
            <w:vAlign w:val="center"/>
          </w:tcPr>
          <w:p w14:paraId="3E56778B">
            <w:pPr>
              <w:widowControl/>
              <w:spacing w:after="156"/>
              <w:jc w:val="center"/>
              <w:rPr>
                <w:rFonts w:cs="Times New Roman"/>
                <w:color w:val="000000"/>
                <w:sz w:val="20"/>
                <w:szCs w:val="20"/>
              </w:rPr>
            </w:pPr>
            <w:r>
              <w:rPr>
                <w:rFonts w:cs="Times New Roman"/>
                <w:color w:val="000000"/>
                <w:sz w:val="20"/>
                <w:szCs w:val="20"/>
              </w:rPr>
              <w:t>86.00%</w:t>
            </w:r>
          </w:p>
        </w:tc>
      </w:tr>
    </w:tbl>
    <w:p w14:paraId="30A6C092">
      <w:pPr>
        <w:autoSpaceDE w:val="0"/>
        <w:autoSpaceDN w:val="0"/>
        <w:adjustRightInd w:val="0"/>
        <w:spacing w:after="156" w:line="600" w:lineRule="exact"/>
        <w:rPr>
          <w:rFonts w:cs="Times New Roman"/>
          <w:szCs w:val="32"/>
        </w:rPr>
      </w:pPr>
    </w:p>
    <w:p w14:paraId="01845FF7">
      <w:pPr>
        <w:autoSpaceDE w:val="0"/>
        <w:autoSpaceDN w:val="0"/>
        <w:adjustRightInd w:val="0"/>
        <w:spacing w:after="0" w:afterLines="0"/>
        <w:ind w:left="640"/>
        <w:rPr>
          <w:rFonts w:cs="Times New Roman"/>
          <w:szCs w:val="32"/>
        </w:rPr>
      </w:pPr>
      <w:r>
        <w:rPr>
          <w:rFonts w:cs="Times New Roman"/>
          <w:szCs w:val="32"/>
        </w:rPr>
        <w:t>（1）经费覆盖人数</w:t>
      </w:r>
    </w:p>
    <w:p w14:paraId="4E623D81">
      <w:pPr>
        <w:autoSpaceDE w:val="0"/>
        <w:autoSpaceDN w:val="0"/>
        <w:adjustRightInd w:val="0"/>
        <w:spacing w:after="0" w:afterLines="0"/>
        <w:ind w:firstLine="640" w:firstLineChars="200"/>
        <w:rPr>
          <w:rFonts w:cs="Times New Roman"/>
          <w:szCs w:val="32"/>
        </w:rPr>
      </w:pPr>
      <w:r>
        <w:rPr>
          <w:rFonts w:cs="Times New Roman"/>
          <w:szCs w:val="32"/>
        </w:rPr>
        <w:t>经费覆盖人数权重9.00分，得分9.00分，得分率100.00%。</w:t>
      </w:r>
      <w:bookmarkStart w:id="41" w:name="_Hlk76628809"/>
      <w:r>
        <w:rPr>
          <w:rFonts w:cs="Times New Roman"/>
          <w:szCs w:val="32"/>
        </w:rPr>
        <w:t>实际覆盖人数与计划覆盖人数一致，符合指标要求</w:t>
      </w:r>
      <w:bookmarkEnd w:id="41"/>
      <w:r>
        <w:rPr>
          <w:rFonts w:cs="Times New Roman"/>
          <w:szCs w:val="32"/>
        </w:rPr>
        <w:t>，故不扣分。</w:t>
      </w:r>
    </w:p>
    <w:p w14:paraId="29DE4F3D">
      <w:pPr>
        <w:autoSpaceDE w:val="0"/>
        <w:autoSpaceDN w:val="0"/>
        <w:adjustRightInd w:val="0"/>
        <w:spacing w:after="0" w:afterLines="0"/>
        <w:ind w:firstLine="640" w:firstLineChars="200"/>
        <w:rPr>
          <w:rFonts w:cs="Times New Roman"/>
          <w:szCs w:val="32"/>
        </w:rPr>
      </w:pPr>
      <w:r>
        <w:rPr>
          <w:rFonts w:cs="Times New Roman"/>
          <w:szCs w:val="32"/>
        </w:rPr>
        <w:t>（2）查处超限超载货运车辆数增长率</w:t>
      </w:r>
    </w:p>
    <w:p w14:paraId="5092A024">
      <w:pPr>
        <w:autoSpaceDE w:val="0"/>
        <w:autoSpaceDN w:val="0"/>
        <w:adjustRightInd w:val="0"/>
        <w:spacing w:after="0" w:afterLines="0"/>
        <w:ind w:firstLine="640" w:firstLineChars="200"/>
        <w:rPr>
          <w:rFonts w:cs="Times New Roman"/>
          <w:szCs w:val="32"/>
        </w:rPr>
      </w:pPr>
      <w:bookmarkStart w:id="42" w:name="_Hlk76628817"/>
      <w:r>
        <w:rPr>
          <w:rFonts w:cs="Times New Roman"/>
          <w:szCs w:val="32"/>
        </w:rPr>
        <w:t>查处超限超载货运车辆数的增长率权重6.00分，得分6.00分，得分率100.00%。绵竹市2019年查处超限超载货运车辆365起，2020年查处超限超载货运车辆1099起，为2019年的3倍左右，符合指标要求</w:t>
      </w:r>
      <w:bookmarkEnd w:id="42"/>
      <w:r>
        <w:rPr>
          <w:rFonts w:cs="Times New Roman"/>
          <w:szCs w:val="32"/>
        </w:rPr>
        <w:t>，故不扣分。</w:t>
      </w:r>
    </w:p>
    <w:p w14:paraId="24165BC6">
      <w:pPr>
        <w:autoSpaceDE w:val="0"/>
        <w:autoSpaceDN w:val="0"/>
        <w:adjustRightInd w:val="0"/>
        <w:spacing w:after="0" w:afterLines="0"/>
        <w:ind w:firstLine="640" w:firstLineChars="200"/>
        <w:rPr>
          <w:rFonts w:cs="Times New Roman"/>
          <w:szCs w:val="32"/>
        </w:rPr>
      </w:pPr>
      <w:r>
        <w:rPr>
          <w:rFonts w:cs="Times New Roman"/>
          <w:szCs w:val="32"/>
        </w:rPr>
        <w:t>（3）卸载（转）载货物吨数下降率</w:t>
      </w:r>
    </w:p>
    <w:p w14:paraId="08CB747A">
      <w:pPr>
        <w:autoSpaceDE w:val="0"/>
        <w:autoSpaceDN w:val="0"/>
        <w:adjustRightInd w:val="0"/>
        <w:spacing w:after="0" w:afterLines="0"/>
        <w:ind w:firstLine="640" w:firstLineChars="200"/>
        <w:rPr>
          <w:rFonts w:cs="Times New Roman"/>
          <w:szCs w:val="32"/>
        </w:rPr>
      </w:pPr>
      <w:r>
        <w:rPr>
          <w:rFonts w:cs="Times New Roman"/>
          <w:szCs w:val="32"/>
        </w:rPr>
        <w:t>卸载（转）载货物吨数的下降率权重9.00分，得分3.60分，得分率60.00%。绵竹市2019年卸载货物10726吨，2020卸载货物吨数8452吨，卸载（转）载货物吨数的下降率为21%，介于指标要求15%≤下降率≤30%之间，故扣5.40分。</w:t>
      </w:r>
    </w:p>
    <w:p w14:paraId="004032FB">
      <w:pPr>
        <w:autoSpaceDE w:val="0"/>
        <w:autoSpaceDN w:val="0"/>
        <w:adjustRightInd w:val="0"/>
        <w:spacing w:after="0" w:afterLines="0"/>
        <w:ind w:left="638"/>
        <w:rPr>
          <w:rFonts w:cs="Times New Roman"/>
          <w:szCs w:val="32"/>
        </w:rPr>
      </w:pPr>
      <w:r>
        <w:rPr>
          <w:rFonts w:cs="Times New Roman"/>
          <w:szCs w:val="32"/>
        </w:rPr>
        <w:t>（4）直管公路超限车辆控制率</w:t>
      </w:r>
    </w:p>
    <w:p w14:paraId="39F085AD">
      <w:pPr>
        <w:autoSpaceDE w:val="0"/>
        <w:autoSpaceDN w:val="0"/>
        <w:adjustRightInd w:val="0"/>
        <w:spacing w:after="0" w:afterLines="0"/>
        <w:ind w:firstLine="640" w:firstLineChars="200"/>
        <w:rPr>
          <w:rFonts w:cs="Times New Roman"/>
          <w:szCs w:val="32"/>
        </w:rPr>
      </w:pPr>
      <w:r>
        <w:rPr>
          <w:rFonts w:cs="Times New Roman"/>
          <w:szCs w:val="32"/>
        </w:rPr>
        <w:t>直管公路超限车辆控制率权重8.00分，得分8.00分，得分率100.00%。</w:t>
      </w:r>
      <w:bookmarkStart w:id="43" w:name="_Hlk76628827"/>
      <w:r>
        <w:rPr>
          <w:rFonts w:cs="Times New Roman"/>
          <w:szCs w:val="32"/>
        </w:rPr>
        <w:t>绵竹市2020年检查车辆109956辆，其中超限车辆1099辆，车辆超限率为0.9%，在绩效目标全市超限超载车辆数≤3%范围内，故不扣分。</w:t>
      </w:r>
      <w:bookmarkEnd w:id="43"/>
    </w:p>
    <w:p w14:paraId="5B45040E">
      <w:pPr>
        <w:autoSpaceDE w:val="0"/>
        <w:autoSpaceDN w:val="0"/>
        <w:adjustRightInd w:val="0"/>
        <w:spacing w:after="0" w:afterLines="0"/>
        <w:ind w:left="638"/>
        <w:rPr>
          <w:rFonts w:cs="Times New Roman"/>
          <w:szCs w:val="32"/>
        </w:rPr>
      </w:pPr>
      <w:r>
        <w:rPr>
          <w:rFonts w:cs="Times New Roman"/>
          <w:szCs w:val="32"/>
        </w:rPr>
        <w:t>（5）安全事故发生率的下降率</w:t>
      </w:r>
    </w:p>
    <w:p w14:paraId="01B97CE2">
      <w:pPr>
        <w:autoSpaceDE w:val="0"/>
        <w:autoSpaceDN w:val="0"/>
        <w:adjustRightInd w:val="0"/>
        <w:spacing w:after="0" w:afterLines="0"/>
        <w:ind w:firstLine="640" w:firstLineChars="200"/>
        <w:rPr>
          <w:rFonts w:cs="Times New Roman"/>
          <w:szCs w:val="32"/>
        </w:rPr>
      </w:pPr>
      <w:r>
        <w:rPr>
          <w:rFonts w:cs="Times New Roman"/>
          <w:szCs w:val="32"/>
        </w:rPr>
        <w:t>安全事故发生率的下降率权重8.00分，得分8.00分，得分率100.00%。</w:t>
      </w:r>
      <w:bookmarkStart w:id="44" w:name="_Hlk76628835"/>
      <w:r>
        <w:rPr>
          <w:rFonts w:cs="Times New Roman"/>
          <w:szCs w:val="32"/>
        </w:rPr>
        <w:t>绵竹市2019年发生超限超载安全事故0起，2020年发生超限超载安全事故0起，2年均未发生超限超载安全事故，故不扣分。</w:t>
      </w:r>
    </w:p>
    <w:bookmarkEnd w:id="44"/>
    <w:p w14:paraId="43F89DE1">
      <w:pPr>
        <w:autoSpaceDE w:val="0"/>
        <w:autoSpaceDN w:val="0"/>
        <w:adjustRightInd w:val="0"/>
        <w:spacing w:after="0" w:afterLines="0"/>
        <w:ind w:left="638"/>
        <w:rPr>
          <w:rFonts w:cs="Times New Roman"/>
          <w:szCs w:val="32"/>
        </w:rPr>
      </w:pPr>
      <w:r>
        <w:rPr>
          <w:rFonts w:cs="Times New Roman"/>
          <w:szCs w:val="32"/>
        </w:rPr>
        <w:t>（6）群众投诉下降率</w:t>
      </w:r>
    </w:p>
    <w:p w14:paraId="33CD87EC">
      <w:pPr>
        <w:autoSpaceDE w:val="0"/>
        <w:autoSpaceDN w:val="0"/>
        <w:adjustRightInd w:val="0"/>
        <w:spacing w:after="0" w:afterLines="0"/>
        <w:ind w:firstLine="640" w:firstLineChars="200"/>
        <w:rPr>
          <w:rFonts w:cs="Times New Roman"/>
          <w:szCs w:val="32"/>
        </w:rPr>
      </w:pPr>
      <w:r>
        <w:rPr>
          <w:rFonts w:cs="Times New Roman"/>
          <w:szCs w:val="32"/>
        </w:rPr>
        <w:t>群众投诉下降率指标权重8.00分，得分2.00分，得分率25.00%，绵竹市2019年群众投诉4起，2020年群众投诉3起，群众投诉下降率为25.00%，故扣6.00分。</w:t>
      </w:r>
    </w:p>
    <w:p w14:paraId="6EE448A4">
      <w:pPr>
        <w:autoSpaceDE w:val="0"/>
        <w:autoSpaceDN w:val="0"/>
        <w:adjustRightInd w:val="0"/>
        <w:spacing w:after="0" w:afterLines="0"/>
        <w:ind w:left="638"/>
        <w:rPr>
          <w:rFonts w:cs="Times New Roman"/>
          <w:szCs w:val="32"/>
        </w:rPr>
      </w:pPr>
      <w:r>
        <w:rPr>
          <w:rFonts w:cs="Times New Roman"/>
          <w:szCs w:val="32"/>
        </w:rPr>
        <w:t>（7）抛洒（滴漏）年下降率</w:t>
      </w:r>
    </w:p>
    <w:p w14:paraId="46C3A899">
      <w:pPr>
        <w:autoSpaceDE w:val="0"/>
        <w:autoSpaceDN w:val="0"/>
        <w:adjustRightInd w:val="0"/>
        <w:spacing w:after="0" w:afterLines="0"/>
        <w:ind w:firstLine="640" w:firstLineChars="200"/>
        <w:rPr>
          <w:rFonts w:cs="Times New Roman"/>
          <w:szCs w:val="32"/>
        </w:rPr>
      </w:pPr>
      <w:r>
        <w:rPr>
          <w:rFonts w:cs="Times New Roman"/>
          <w:szCs w:val="32"/>
        </w:rPr>
        <w:t>抛洒（滴漏）年下降率权重8.00分，得分8.00分，得分率100.00%</w:t>
      </w:r>
      <w:bookmarkStart w:id="45" w:name="_Hlk76628847"/>
      <w:r>
        <w:rPr>
          <w:rFonts w:cs="Times New Roman"/>
          <w:szCs w:val="32"/>
        </w:rPr>
        <w:t>，2019年处罚车辆163辆，2020年处罚车辆347辆，下降率为113%，</w:t>
      </w:r>
      <w:bookmarkEnd w:id="45"/>
      <w:r>
        <w:rPr>
          <w:rFonts w:cs="Times New Roman"/>
          <w:szCs w:val="32"/>
        </w:rPr>
        <w:t>故不扣分。</w:t>
      </w:r>
    </w:p>
    <w:p w14:paraId="5B27DA82">
      <w:pPr>
        <w:tabs>
          <w:tab w:val="left" w:pos="420"/>
        </w:tabs>
        <w:autoSpaceDE w:val="0"/>
        <w:autoSpaceDN w:val="0"/>
        <w:adjustRightInd w:val="0"/>
        <w:spacing w:after="0" w:afterLines="0"/>
        <w:ind w:firstLine="640" w:firstLineChars="200"/>
        <w:rPr>
          <w:rFonts w:cs="Times New Roman"/>
          <w:szCs w:val="32"/>
        </w:rPr>
      </w:pPr>
      <w:r>
        <w:rPr>
          <w:rFonts w:cs="Times New Roman"/>
          <w:szCs w:val="32"/>
        </w:rPr>
        <w:t>（8）科技治超对人工成本的持续降低率</w:t>
      </w:r>
    </w:p>
    <w:p w14:paraId="22F6A0C5">
      <w:pPr>
        <w:tabs>
          <w:tab w:val="left" w:pos="420"/>
        </w:tabs>
        <w:autoSpaceDE w:val="0"/>
        <w:autoSpaceDN w:val="0"/>
        <w:adjustRightInd w:val="0"/>
        <w:spacing w:after="0" w:afterLines="0"/>
        <w:ind w:firstLine="640" w:firstLineChars="200"/>
        <w:rPr>
          <w:rFonts w:cs="Times New Roman"/>
          <w:szCs w:val="32"/>
        </w:rPr>
      </w:pPr>
      <w:r>
        <w:rPr>
          <w:rFonts w:cs="Times New Roman"/>
          <w:szCs w:val="32"/>
        </w:rPr>
        <w:t>科技治超对人工成本的持续降低率指标权重7.00分，得分7.00分，得分率100.00%，</w:t>
      </w:r>
      <w:bookmarkStart w:id="46" w:name="_Hlk76628856"/>
      <w:r>
        <w:rPr>
          <w:rFonts w:cs="Times New Roman"/>
          <w:szCs w:val="32"/>
        </w:rPr>
        <w:t>2019年执法人员人均成本为41697.4元（未含服装费），2020年执法人员人均成本为38918.8元（不包括服装费），人员工资支出年下降率为6.66%，故不扣分。</w:t>
      </w:r>
      <w:bookmarkEnd w:id="46"/>
    </w:p>
    <w:p w14:paraId="6A825C7D">
      <w:pPr>
        <w:pStyle w:val="2"/>
        <w:spacing w:before="0" w:after="0" w:afterLines="0" w:line="560" w:lineRule="exact"/>
        <w:ind w:firstLine="640" w:firstLineChars="200"/>
        <w:rPr>
          <w:rFonts w:eastAsia="黑体" w:cs="Times New Roman"/>
          <w:b w:val="0"/>
          <w:bCs w:val="0"/>
          <w:sz w:val="32"/>
          <w:szCs w:val="32"/>
        </w:rPr>
      </w:pPr>
      <w:bookmarkStart w:id="47" w:name="_Toc1427"/>
      <w:bookmarkStart w:id="48" w:name="_Toc76939709"/>
      <w:r>
        <w:rPr>
          <w:rFonts w:eastAsia="黑体" w:cs="Times New Roman"/>
          <w:b w:val="0"/>
          <w:bCs w:val="0"/>
          <w:sz w:val="32"/>
          <w:szCs w:val="32"/>
        </w:rPr>
        <w:t>四、存在主要问题</w:t>
      </w:r>
      <w:bookmarkEnd w:id="47"/>
      <w:bookmarkEnd w:id="48"/>
    </w:p>
    <w:p w14:paraId="262306B9">
      <w:pPr>
        <w:pStyle w:val="3"/>
        <w:spacing w:after="0" w:afterLines="0"/>
        <w:ind w:firstLine="643"/>
        <w:rPr>
          <w:rFonts w:cs="Times New Roman"/>
        </w:rPr>
      </w:pPr>
      <w:bookmarkStart w:id="49" w:name="_Toc15405"/>
      <w:bookmarkStart w:id="50" w:name="_Toc76939710"/>
      <w:r>
        <w:rPr>
          <w:rFonts w:cs="Times New Roman"/>
        </w:rPr>
        <w:t>（一）绩效目标设置</w:t>
      </w:r>
      <w:bookmarkEnd w:id="49"/>
      <w:r>
        <w:rPr>
          <w:rFonts w:hint="eastAsia" w:cs="Times New Roman"/>
        </w:rPr>
        <w:t>与实际工作偏离度较高</w:t>
      </w:r>
      <w:bookmarkEnd w:id="50"/>
    </w:p>
    <w:p w14:paraId="4010FA24">
      <w:pPr>
        <w:spacing w:after="0" w:afterLines="0"/>
        <w:ind w:firstLine="640" w:firstLineChars="200"/>
        <w:rPr>
          <w:rFonts w:cs="Times New Roman"/>
        </w:rPr>
      </w:pPr>
      <w:r>
        <w:rPr>
          <w:rFonts w:cs="Times New Roman"/>
        </w:rPr>
        <w:t>一是部分绩效目标设置不完整，出现</w:t>
      </w:r>
      <w:r>
        <w:rPr>
          <w:rFonts w:hint="eastAsia" w:cs="Times New Roman"/>
        </w:rPr>
        <w:t>“</w:t>
      </w:r>
      <w:r>
        <w:rPr>
          <w:rFonts w:cs="Times New Roman"/>
        </w:rPr>
        <w:t>经济效益</w:t>
      </w:r>
      <w:r>
        <w:rPr>
          <w:rFonts w:hint="eastAsia" w:cs="Times New Roman"/>
        </w:rPr>
        <w:t>”</w:t>
      </w:r>
      <w:r>
        <w:rPr>
          <w:rFonts w:cs="Times New Roman"/>
        </w:rPr>
        <w:t>指标、</w:t>
      </w:r>
      <w:r>
        <w:rPr>
          <w:rFonts w:hint="eastAsia" w:cs="Times New Roman"/>
        </w:rPr>
        <w:t>“</w:t>
      </w:r>
      <w:r>
        <w:rPr>
          <w:rFonts w:cs="Times New Roman"/>
        </w:rPr>
        <w:t>环境效益</w:t>
      </w:r>
      <w:r>
        <w:rPr>
          <w:rFonts w:hint="eastAsia" w:cs="Times New Roman"/>
        </w:rPr>
        <w:t>”</w:t>
      </w:r>
      <w:r>
        <w:rPr>
          <w:rFonts w:cs="Times New Roman"/>
        </w:rPr>
        <w:t>指标未设置的情况。通过查看项目相关资料及项目绩效目标申报表，项目组发现该项目与环境效益紧密相关，如运输车辆可能存在漏沙、滴漏等情况，从而导致道路扬尘、</w:t>
      </w:r>
      <w:r>
        <w:rPr>
          <w:rFonts w:hint="eastAsia" w:cs="Times New Roman"/>
          <w:lang w:eastAsia="zh-CN"/>
        </w:rPr>
        <w:t>环境</w:t>
      </w:r>
      <w:r>
        <w:rPr>
          <w:rFonts w:cs="Times New Roman"/>
        </w:rPr>
        <w:t>污染、路面受损情况加重，然而在绩效目标中未设置</w:t>
      </w:r>
      <w:r>
        <w:rPr>
          <w:rFonts w:hint="eastAsia" w:cs="Times New Roman"/>
        </w:rPr>
        <w:t>“</w:t>
      </w:r>
      <w:r>
        <w:rPr>
          <w:rFonts w:cs="Times New Roman"/>
        </w:rPr>
        <w:t>环境效益</w:t>
      </w:r>
      <w:r>
        <w:rPr>
          <w:rFonts w:hint="eastAsia" w:cs="Times New Roman"/>
        </w:rPr>
        <w:t>”</w:t>
      </w:r>
      <w:r>
        <w:rPr>
          <w:rFonts w:cs="Times New Roman"/>
        </w:rPr>
        <w:t>指标；其次，通过治理超限超载绵竹市内道路使用寿命延长，减少了对道路的维修费用及修建费用，且2020年超限超载治理罚款38万元，</w:t>
      </w:r>
      <w:r>
        <w:rPr>
          <w:rFonts w:hint="eastAsia" w:cs="Times New Roman"/>
        </w:rPr>
        <w:t>有一定经济收入</w:t>
      </w:r>
      <w:r>
        <w:rPr>
          <w:rFonts w:cs="Times New Roman"/>
        </w:rPr>
        <w:t>。二是绩效目标设置对实际情况欠考虑。2020年该项目关键性绩效指标中治超人员服装费，然而因未到服装更换年限，所以2020年并未有治超人员服装费用的支出，此项绩效目标设置不合理。</w:t>
      </w:r>
    </w:p>
    <w:p w14:paraId="665920A6">
      <w:pPr>
        <w:pStyle w:val="3"/>
        <w:spacing w:after="0" w:afterLines="0"/>
        <w:ind w:firstLine="643"/>
        <w:rPr>
          <w:rFonts w:cs="Times New Roman"/>
        </w:rPr>
      </w:pPr>
      <w:bookmarkStart w:id="51" w:name="_Toc18412"/>
      <w:bookmarkStart w:id="52" w:name="_Toc76939711"/>
      <w:r>
        <w:rPr>
          <w:rFonts w:cs="Times New Roman"/>
        </w:rPr>
        <w:t>（二）</w:t>
      </w:r>
      <w:bookmarkEnd w:id="51"/>
      <w:r>
        <w:rPr>
          <w:rFonts w:hint="eastAsia" w:cs="Times New Roman"/>
        </w:rPr>
        <w:t>存在预算外支出和资金违规挪用现象</w:t>
      </w:r>
      <w:bookmarkEnd w:id="52"/>
    </w:p>
    <w:p w14:paraId="3DC2E89A">
      <w:pPr>
        <w:autoSpaceDE w:val="0"/>
        <w:autoSpaceDN w:val="0"/>
        <w:adjustRightInd w:val="0"/>
        <w:spacing w:after="0" w:afterLines="0"/>
        <w:ind w:firstLine="640" w:firstLineChars="200"/>
        <w:rPr>
          <w:rFonts w:cs="Times New Roman"/>
          <w:szCs w:val="32"/>
        </w:rPr>
      </w:pPr>
      <w:r>
        <w:rPr>
          <w:rFonts w:cs="Times New Roman"/>
          <w:szCs w:val="32"/>
        </w:rPr>
        <w:t>实际支出</w:t>
      </w:r>
      <w:r>
        <w:rPr>
          <w:rFonts w:hint="eastAsia" w:cs="Times New Roman"/>
          <w:szCs w:val="32"/>
        </w:rPr>
        <w:t>中</w:t>
      </w:r>
      <w:r>
        <w:rPr>
          <w:rFonts w:cs="Times New Roman"/>
          <w:szCs w:val="32"/>
        </w:rPr>
        <w:t>，部分</w:t>
      </w:r>
      <w:r>
        <w:rPr>
          <w:rFonts w:hint="eastAsia" w:cs="Times New Roman"/>
          <w:szCs w:val="32"/>
        </w:rPr>
        <w:t>支出</w:t>
      </w:r>
      <w:r>
        <w:rPr>
          <w:rFonts w:cs="Times New Roman"/>
          <w:szCs w:val="32"/>
        </w:rPr>
        <w:t>未纳入</w:t>
      </w:r>
      <w:r>
        <w:rPr>
          <w:rFonts w:hint="eastAsia" w:cs="Times New Roman"/>
          <w:szCs w:val="32"/>
        </w:rPr>
        <w:t>年度</w:t>
      </w:r>
      <w:r>
        <w:rPr>
          <w:rFonts w:cs="Times New Roman"/>
          <w:szCs w:val="32"/>
        </w:rPr>
        <w:t>预算编制</w:t>
      </w:r>
      <w:r>
        <w:rPr>
          <w:rFonts w:hint="eastAsia" w:cs="Times New Roman"/>
          <w:szCs w:val="32"/>
        </w:rPr>
        <w:t>。同时，存在</w:t>
      </w:r>
      <w:r>
        <w:rPr>
          <w:rFonts w:cs="Times New Roman"/>
          <w:szCs w:val="32"/>
        </w:rPr>
        <w:t>将项目资金挪用于其他项目</w:t>
      </w:r>
      <w:r>
        <w:rPr>
          <w:rFonts w:hint="eastAsia" w:cs="Times New Roman"/>
          <w:szCs w:val="32"/>
        </w:rPr>
        <w:t>，弥补其经费缺口</w:t>
      </w:r>
      <w:r>
        <w:rPr>
          <w:rFonts w:cs="Times New Roman"/>
          <w:szCs w:val="32"/>
        </w:rPr>
        <w:t>。经现场核查发现，存在以下问题：</w:t>
      </w:r>
      <w:r>
        <w:rPr>
          <w:rFonts w:hint="eastAsia" w:cs="Times New Roman"/>
          <w:szCs w:val="32"/>
        </w:rPr>
        <w:t>一是</w:t>
      </w:r>
      <w:r>
        <w:rPr>
          <w:rFonts w:cs="Times New Roman"/>
          <w:szCs w:val="32"/>
        </w:rPr>
        <w:t>超限超载治理项目借用人员工资奖金及保险未纳入财政预算，用项目经费支出10.744万元；</w:t>
      </w:r>
      <w:r>
        <w:rPr>
          <w:rFonts w:hint="eastAsia" w:cs="Times New Roman"/>
          <w:szCs w:val="32"/>
        </w:rPr>
        <w:t>二是存在</w:t>
      </w:r>
      <w:r>
        <w:rPr>
          <w:rFonts w:cs="Times New Roman"/>
          <w:szCs w:val="32"/>
        </w:rPr>
        <w:t>资金挪用，“非洲猪瘟”防控卡点值班费经费不足，用超限超载治理经费支出1.1498万。</w:t>
      </w:r>
    </w:p>
    <w:p w14:paraId="04A4B510">
      <w:pPr>
        <w:spacing w:after="156"/>
      </w:pPr>
    </w:p>
    <w:p w14:paraId="1F58316D">
      <w:pPr>
        <w:pStyle w:val="2"/>
        <w:spacing w:before="0" w:after="0" w:afterLines="0" w:line="560" w:lineRule="exact"/>
        <w:rPr>
          <w:rFonts w:eastAsia="黑体" w:cs="Times New Roman"/>
          <w:b w:val="0"/>
          <w:bCs w:val="0"/>
          <w:sz w:val="32"/>
          <w:szCs w:val="32"/>
        </w:rPr>
      </w:pPr>
      <w:bookmarkStart w:id="53" w:name="_Toc28606"/>
      <w:bookmarkStart w:id="54" w:name="_Toc76939712"/>
      <w:r>
        <w:rPr>
          <w:rFonts w:eastAsia="黑体" w:cs="Times New Roman"/>
          <w:b w:val="0"/>
          <w:bCs w:val="0"/>
          <w:sz w:val="32"/>
          <w:szCs w:val="32"/>
        </w:rPr>
        <w:t>五、相关措施建议</w:t>
      </w:r>
      <w:bookmarkEnd w:id="53"/>
      <w:bookmarkEnd w:id="54"/>
    </w:p>
    <w:p w14:paraId="156CF2C6">
      <w:pPr>
        <w:pStyle w:val="3"/>
        <w:spacing w:after="0" w:afterLines="0"/>
        <w:ind w:firstLine="643"/>
        <w:rPr>
          <w:rFonts w:cs="Times New Roman"/>
        </w:rPr>
      </w:pPr>
      <w:bookmarkStart w:id="55" w:name="_Toc76939713"/>
      <w:bookmarkStart w:id="56" w:name="_Toc18951"/>
      <w:r>
        <w:rPr>
          <w:rFonts w:cs="Times New Roman"/>
        </w:rPr>
        <w:t>（一）优化绩效目标编制，增强指标指引价值</w:t>
      </w:r>
      <w:bookmarkEnd w:id="55"/>
      <w:bookmarkEnd w:id="56"/>
    </w:p>
    <w:p w14:paraId="0FAA570C">
      <w:pPr>
        <w:autoSpaceDE w:val="0"/>
        <w:autoSpaceDN w:val="0"/>
        <w:adjustRightInd w:val="0"/>
        <w:spacing w:after="0" w:afterLines="0"/>
        <w:ind w:firstLine="640" w:firstLineChars="200"/>
        <w:rPr>
          <w:rFonts w:cs="Times New Roman"/>
          <w:szCs w:val="32"/>
        </w:rPr>
      </w:pPr>
      <w:r>
        <w:rPr>
          <w:rFonts w:hint="eastAsia" w:cs="Times New Roman"/>
          <w:szCs w:val="32"/>
        </w:rPr>
        <w:t>建议市交通局重视年初绩效目标设置工作，加强绩效目标的研讨，根据超限超载治理经费使用特性，设置相应的产出和效果指标，提高指标设置的全面性，确保指标体系能够全面覆盖预算规模，全面匹配超限超载治理工作，反映项目目标。另外，建议项目单位可结合围绕往年统计及考核数据完善相应关键性指标，将财政预算绩效指标切实应用到实际工作管理中。</w:t>
      </w:r>
    </w:p>
    <w:p w14:paraId="14DA14EB">
      <w:pPr>
        <w:pStyle w:val="3"/>
        <w:spacing w:after="0" w:afterLines="0"/>
        <w:ind w:firstLine="643"/>
        <w:rPr>
          <w:rFonts w:cs="Times New Roman"/>
        </w:rPr>
      </w:pPr>
      <w:bookmarkStart w:id="57" w:name="_Toc76939714"/>
      <w:bookmarkStart w:id="58" w:name="_Toc27933"/>
      <w:r>
        <w:rPr>
          <w:rFonts w:cs="Times New Roman"/>
        </w:rPr>
        <w:t>（二）强化资金统筹管理，严格把控经费支出</w:t>
      </w:r>
      <w:bookmarkEnd w:id="57"/>
      <w:bookmarkEnd w:id="58"/>
    </w:p>
    <w:p w14:paraId="6A687BEB">
      <w:pPr>
        <w:autoSpaceDE w:val="0"/>
        <w:autoSpaceDN w:val="0"/>
        <w:adjustRightInd w:val="0"/>
        <w:spacing w:after="0" w:afterLines="0"/>
        <w:ind w:firstLine="640" w:firstLineChars="200"/>
        <w:rPr>
          <w:rFonts w:cs="Times New Roman"/>
          <w:szCs w:val="32"/>
        </w:rPr>
        <w:sectPr>
          <w:pgSz w:w="11906" w:h="16838"/>
          <w:pgMar w:top="2098" w:right="1531" w:bottom="1985" w:left="1531" w:header="851" w:footer="992" w:gutter="0"/>
          <w:cols w:space="425" w:num="1"/>
          <w:docGrid w:type="lines" w:linePitch="312" w:charSpace="0"/>
        </w:sectPr>
      </w:pPr>
      <w:r>
        <w:rPr>
          <w:rFonts w:cs="Times New Roman"/>
          <w:szCs w:val="32"/>
        </w:rPr>
        <w:t>建议</w:t>
      </w:r>
      <w:r>
        <w:rPr>
          <w:rFonts w:hint="eastAsia" w:cs="Times New Roman"/>
          <w:szCs w:val="32"/>
        </w:rPr>
        <w:t>市交通局</w:t>
      </w:r>
      <w:r>
        <w:rPr>
          <w:rFonts w:cs="Times New Roman"/>
          <w:szCs w:val="32"/>
        </w:rPr>
        <w:t>进一步明确资金使用主体及使用方向，确立更有力的资金管理模式。一是对未纳入预算的部分经费，重新制定预算进行上报，将未纳入预算的部分在中期预算调整时进行上报财政并申请预算审批，二是项目做到严格把控转，尽量控制项目经费在预算内支出，做到项目资金专款专用，拒绝资金挪用。</w:t>
      </w:r>
    </w:p>
    <w:p w14:paraId="66D2EF88">
      <w:pPr>
        <w:pStyle w:val="2"/>
        <w:spacing w:before="217" w:after="157"/>
        <w:ind w:firstLine="723"/>
        <w:rPr>
          <w:rFonts w:cs="Times New Roman"/>
        </w:rPr>
      </w:pPr>
      <w:bookmarkStart w:id="59" w:name="_Toc14459"/>
      <w:bookmarkStart w:id="60" w:name="_Toc75524272"/>
      <w:bookmarkStart w:id="61" w:name="_Toc76939715"/>
      <w:r>
        <w:rPr>
          <w:rFonts w:eastAsia="黑体" w:cs="Times New Roman"/>
          <w:sz w:val="36"/>
        </w:rPr>
        <w:t>附件 绵竹市2020年超限超载治理经费项目支出绩效评价</w:t>
      </w:r>
      <w:bookmarkEnd w:id="59"/>
      <w:bookmarkEnd w:id="60"/>
      <w:r>
        <w:rPr>
          <w:rFonts w:eastAsia="黑体" w:cs="Times New Roman"/>
          <w:sz w:val="36"/>
        </w:rPr>
        <w:t>得分表</w:t>
      </w:r>
      <w:bookmarkEnd w:id="61"/>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804"/>
        <w:gridCol w:w="728"/>
        <w:gridCol w:w="1150"/>
        <w:gridCol w:w="861"/>
        <w:gridCol w:w="615"/>
        <w:gridCol w:w="244"/>
        <w:gridCol w:w="428"/>
        <w:gridCol w:w="865"/>
        <w:gridCol w:w="287"/>
        <w:gridCol w:w="299"/>
        <w:gridCol w:w="855"/>
        <w:gridCol w:w="1874"/>
        <w:gridCol w:w="865"/>
        <w:gridCol w:w="577"/>
        <w:gridCol w:w="865"/>
        <w:gridCol w:w="3666"/>
      </w:tblGrid>
      <w:tr w14:paraId="694D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Header/>
        </w:trPr>
        <w:tc>
          <w:tcPr>
            <w:tcW w:w="692" w:type="pct"/>
            <w:gridSpan w:val="3"/>
            <w:shd w:val="clear" w:color="000000" w:fill="00516B"/>
            <w:vAlign w:val="center"/>
          </w:tcPr>
          <w:p w14:paraId="07AB96A0">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分层指标</w:t>
            </w:r>
          </w:p>
        </w:tc>
        <w:tc>
          <w:tcPr>
            <w:tcW w:w="368" w:type="pct"/>
            <w:vMerge w:val="restart"/>
            <w:shd w:val="clear" w:color="000000" w:fill="00516B"/>
            <w:vAlign w:val="center"/>
          </w:tcPr>
          <w:p w14:paraId="5CBE3E55">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指标解释</w:t>
            </w:r>
          </w:p>
        </w:tc>
        <w:tc>
          <w:tcPr>
            <w:tcW w:w="1427" w:type="pct"/>
            <w:gridSpan w:val="8"/>
            <w:shd w:val="clear" w:color="000000" w:fill="00516B"/>
            <w:vAlign w:val="center"/>
          </w:tcPr>
          <w:p w14:paraId="096A244A">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评分方法</w:t>
            </w:r>
          </w:p>
        </w:tc>
        <w:tc>
          <w:tcPr>
            <w:tcW w:w="600" w:type="pct"/>
            <w:vMerge w:val="restart"/>
            <w:shd w:val="clear" w:color="000000" w:fill="00516B"/>
            <w:vAlign w:val="center"/>
          </w:tcPr>
          <w:p w14:paraId="47FEE374">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评价要点及说明</w:t>
            </w:r>
          </w:p>
        </w:tc>
        <w:tc>
          <w:tcPr>
            <w:tcW w:w="277" w:type="pct"/>
            <w:vMerge w:val="restart"/>
            <w:shd w:val="clear" w:color="000000" w:fill="00516B"/>
            <w:vAlign w:val="center"/>
          </w:tcPr>
          <w:p w14:paraId="641CC42A">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指标</w:t>
            </w:r>
          </w:p>
          <w:p w14:paraId="1868B84D">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权重</w:t>
            </w:r>
          </w:p>
        </w:tc>
        <w:tc>
          <w:tcPr>
            <w:tcW w:w="185" w:type="pct"/>
            <w:vMerge w:val="restart"/>
            <w:shd w:val="clear" w:color="000000" w:fill="00516B"/>
            <w:noWrap/>
            <w:vAlign w:val="center"/>
          </w:tcPr>
          <w:p w14:paraId="04732FAD">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得分</w:t>
            </w:r>
          </w:p>
        </w:tc>
        <w:tc>
          <w:tcPr>
            <w:tcW w:w="277" w:type="pct"/>
            <w:vMerge w:val="restart"/>
            <w:shd w:val="clear" w:color="000000" w:fill="00516B"/>
            <w:noWrap/>
            <w:vAlign w:val="center"/>
          </w:tcPr>
          <w:p w14:paraId="51F8C12F">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得分率</w:t>
            </w:r>
          </w:p>
        </w:tc>
        <w:tc>
          <w:tcPr>
            <w:tcW w:w="1174" w:type="pct"/>
            <w:vMerge w:val="restart"/>
            <w:shd w:val="clear" w:color="000000" w:fill="00516B"/>
            <w:noWrap/>
            <w:vAlign w:val="center"/>
          </w:tcPr>
          <w:p w14:paraId="4F1810E6">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评分依据</w:t>
            </w:r>
          </w:p>
        </w:tc>
      </w:tr>
      <w:tr w14:paraId="08AA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trPr>
        <w:tc>
          <w:tcPr>
            <w:tcW w:w="202" w:type="pct"/>
            <w:vMerge w:val="restart"/>
            <w:shd w:val="clear" w:color="000000" w:fill="00516B"/>
            <w:vAlign w:val="center"/>
          </w:tcPr>
          <w:p w14:paraId="4FB089BB">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一级指标</w:t>
            </w:r>
          </w:p>
        </w:tc>
        <w:tc>
          <w:tcPr>
            <w:tcW w:w="257" w:type="pct"/>
            <w:vMerge w:val="restart"/>
            <w:shd w:val="clear" w:color="000000" w:fill="00516B"/>
            <w:vAlign w:val="center"/>
          </w:tcPr>
          <w:p w14:paraId="42A0BDB9">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二级指标</w:t>
            </w:r>
          </w:p>
        </w:tc>
        <w:tc>
          <w:tcPr>
            <w:tcW w:w="233" w:type="pct"/>
            <w:vMerge w:val="restart"/>
            <w:shd w:val="clear" w:color="000000" w:fill="00516B"/>
            <w:vAlign w:val="center"/>
          </w:tcPr>
          <w:p w14:paraId="2B9B468A">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三级指标</w:t>
            </w:r>
          </w:p>
        </w:tc>
        <w:tc>
          <w:tcPr>
            <w:tcW w:w="368" w:type="pct"/>
            <w:vMerge w:val="continue"/>
            <w:vAlign w:val="center"/>
          </w:tcPr>
          <w:p w14:paraId="7EEDD7EC">
            <w:pPr>
              <w:widowControl/>
              <w:spacing w:after="157" w:line="280" w:lineRule="exact"/>
              <w:jc w:val="left"/>
              <w:rPr>
                <w:rFonts w:eastAsia="宋体" w:cs="Times New Roman"/>
                <w:b/>
                <w:bCs/>
                <w:kern w:val="0"/>
                <w:sz w:val="20"/>
                <w:szCs w:val="20"/>
              </w:rPr>
            </w:pPr>
          </w:p>
        </w:tc>
        <w:tc>
          <w:tcPr>
            <w:tcW w:w="276" w:type="pct"/>
            <w:vMerge w:val="restart"/>
            <w:shd w:val="clear" w:color="000000" w:fill="00516B"/>
            <w:vAlign w:val="center"/>
          </w:tcPr>
          <w:p w14:paraId="058176FE">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方法归类</w:t>
            </w:r>
          </w:p>
        </w:tc>
        <w:tc>
          <w:tcPr>
            <w:tcW w:w="1151" w:type="pct"/>
            <w:gridSpan w:val="7"/>
            <w:shd w:val="clear" w:color="000000" w:fill="00516B"/>
            <w:vAlign w:val="center"/>
          </w:tcPr>
          <w:p w14:paraId="52BEA44C">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计算公式</w:t>
            </w:r>
          </w:p>
        </w:tc>
        <w:tc>
          <w:tcPr>
            <w:tcW w:w="600" w:type="pct"/>
            <w:vMerge w:val="continue"/>
            <w:vAlign w:val="center"/>
          </w:tcPr>
          <w:p w14:paraId="76B1D006">
            <w:pPr>
              <w:widowControl/>
              <w:spacing w:after="157" w:line="280" w:lineRule="exact"/>
              <w:jc w:val="left"/>
              <w:rPr>
                <w:rFonts w:eastAsia="宋体" w:cs="Times New Roman"/>
                <w:b/>
                <w:bCs/>
                <w:kern w:val="0"/>
                <w:sz w:val="20"/>
                <w:szCs w:val="20"/>
              </w:rPr>
            </w:pPr>
          </w:p>
        </w:tc>
        <w:tc>
          <w:tcPr>
            <w:tcW w:w="277" w:type="pct"/>
            <w:vMerge w:val="continue"/>
            <w:vAlign w:val="center"/>
          </w:tcPr>
          <w:p w14:paraId="1E865CE9">
            <w:pPr>
              <w:widowControl/>
              <w:spacing w:after="157" w:line="280" w:lineRule="exact"/>
              <w:jc w:val="left"/>
              <w:rPr>
                <w:rFonts w:eastAsia="宋体" w:cs="Times New Roman"/>
                <w:b/>
                <w:bCs/>
                <w:kern w:val="0"/>
                <w:sz w:val="20"/>
                <w:szCs w:val="20"/>
              </w:rPr>
            </w:pPr>
          </w:p>
        </w:tc>
        <w:tc>
          <w:tcPr>
            <w:tcW w:w="185" w:type="pct"/>
            <w:vMerge w:val="continue"/>
            <w:vAlign w:val="center"/>
          </w:tcPr>
          <w:p w14:paraId="23A70B52">
            <w:pPr>
              <w:widowControl/>
              <w:spacing w:after="157" w:line="280" w:lineRule="exact"/>
              <w:jc w:val="left"/>
              <w:rPr>
                <w:rFonts w:eastAsia="宋体" w:cs="Times New Roman"/>
                <w:b/>
                <w:bCs/>
                <w:kern w:val="0"/>
                <w:sz w:val="20"/>
                <w:szCs w:val="20"/>
              </w:rPr>
            </w:pPr>
          </w:p>
        </w:tc>
        <w:tc>
          <w:tcPr>
            <w:tcW w:w="277" w:type="pct"/>
            <w:vMerge w:val="continue"/>
            <w:vAlign w:val="center"/>
          </w:tcPr>
          <w:p w14:paraId="5A6A16DD">
            <w:pPr>
              <w:widowControl/>
              <w:spacing w:after="157" w:line="280" w:lineRule="exact"/>
              <w:jc w:val="left"/>
              <w:rPr>
                <w:rFonts w:eastAsia="宋体" w:cs="Times New Roman"/>
                <w:b/>
                <w:bCs/>
                <w:kern w:val="0"/>
                <w:sz w:val="20"/>
                <w:szCs w:val="20"/>
              </w:rPr>
            </w:pPr>
          </w:p>
        </w:tc>
        <w:tc>
          <w:tcPr>
            <w:tcW w:w="1174" w:type="pct"/>
            <w:vMerge w:val="continue"/>
            <w:vAlign w:val="center"/>
          </w:tcPr>
          <w:p w14:paraId="32FC0077">
            <w:pPr>
              <w:widowControl/>
              <w:spacing w:after="157" w:line="280" w:lineRule="exact"/>
              <w:jc w:val="left"/>
              <w:rPr>
                <w:rFonts w:eastAsia="宋体" w:cs="Times New Roman"/>
                <w:b/>
                <w:bCs/>
                <w:kern w:val="0"/>
                <w:sz w:val="20"/>
                <w:szCs w:val="20"/>
              </w:rPr>
            </w:pPr>
          </w:p>
        </w:tc>
      </w:tr>
      <w:tr w14:paraId="2B3B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trPr>
        <w:tc>
          <w:tcPr>
            <w:tcW w:w="202" w:type="pct"/>
            <w:vMerge w:val="continue"/>
            <w:vAlign w:val="center"/>
          </w:tcPr>
          <w:p w14:paraId="163380EA">
            <w:pPr>
              <w:widowControl/>
              <w:spacing w:after="157" w:line="280" w:lineRule="exact"/>
              <w:jc w:val="left"/>
              <w:rPr>
                <w:rFonts w:eastAsia="宋体" w:cs="Times New Roman"/>
                <w:b/>
                <w:bCs/>
                <w:kern w:val="0"/>
                <w:sz w:val="20"/>
                <w:szCs w:val="20"/>
              </w:rPr>
            </w:pPr>
          </w:p>
        </w:tc>
        <w:tc>
          <w:tcPr>
            <w:tcW w:w="257" w:type="pct"/>
            <w:vMerge w:val="continue"/>
            <w:vAlign w:val="center"/>
          </w:tcPr>
          <w:p w14:paraId="50E54635">
            <w:pPr>
              <w:widowControl/>
              <w:spacing w:after="157" w:line="280" w:lineRule="exact"/>
              <w:jc w:val="left"/>
              <w:rPr>
                <w:rFonts w:eastAsia="宋体" w:cs="Times New Roman"/>
                <w:b/>
                <w:bCs/>
                <w:kern w:val="0"/>
                <w:sz w:val="20"/>
                <w:szCs w:val="20"/>
              </w:rPr>
            </w:pPr>
          </w:p>
        </w:tc>
        <w:tc>
          <w:tcPr>
            <w:tcW w:w="233" w:type="pct"/>
            <w:vMerge w:val="continue"/>
            <w:vAlign w:val="center"/>
          </w:tcPr>
          <w:p w14:paraId="06C337BF">
            <w:pPr>
              <w:widowControl/>
              <w:spacing w:after="157" w:line="280" w:lineRule="exact"/>
              <w:jc w:val="left"/>
              <w:rPr>
                <w:rFonts w:eastAsia="宋体" w:cs="Times New Roman"/>
                <w:b/>
                <w:bCs/>
                <w:kern w:val="0"/>
                <w:sz w:val="20"/>
                <w:szCs w:val="20"/>
              </w:rPr>
            </w:pPr>
          </w:p>
        </w:tc>
        <w:tc>
          <w:tcPr>
            <w:tcW w:w="368" w:type="pct"/>
            <w:vMerge w:val="continue"/>
            <w:vAlign w:val="center"/>
          </w:tcPr>
          <w:p w14:paraId="0A3E61B9">
            <w:pPr>
              <w:widowControl/>
              <w:spacing w:after="157" w:line="280" w:lineRule="exact"/>
              <w:jc w:val="left"/>
              <w:rPr>
                <w:rFonts w:eastAsia="宋体" w:cs="Times New Roman"/>
                <w:b/>
                <w:bCs/>
                <w:kern w:val="0"/>
                <w:sz w:val="20"/>
                <w:szCs w:val="20"/>
              </w:rPr>
            </w:pPr>
          </w:p>
        </w:tc>
        <w:tc>
          <w:tcPr>
            <w:tcW w:w="276" w:type="pct"/>
            <w:vMerge w:val="continue"/>
            <w:vAlign w:val="center"/>
          </w:tcPr>
          <w:p w14:paraId="1637A6B0">
            <w:pPr>
              <w:widowControl/>
              <w:spacing w:after="157" w:line="280" w:lineRule="exact"/>
              <w:jc w:val="left"/>
              <w:rPr>
                <w:rFonts w:eastAsia="宋体" w:cs="Times New Roman"/>
                <w:b/>
                <w:bCs/>
                <w:kern w:val="0"/>
                <w:sz w:val="20"/>
                <w:szCs w:val="20"/>
              </w:rPr>
            </w:pPr>
          </w:p>
        </w:tc>
        <w:tc>
          <w:tcPr>
            <w:tcW w:w="197" w:type="pct"/>
            <w:shd w:val="clear" w:color="000000" w:fill="00516B"/>
            <w:vAlign w:val="center"/>
          </w:tcPr>
          <w:p w14:paraId="7002756B">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0</w:t>
            </w:r>
          </w:p>
        </w:tc>
        <w:tc>
          <w:tcPr>
            <w:tcW w:w="215" w:type="pct"/>
            <w:gridSpan w:val="2"/>
            <w:shd w:val="clear" w:color="000000" w:fill="00516B"/>
            <w:vAlign w:val="center"/>
          </w:tcPr>
          <w:p w14:paraId="295F6EA7">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0.3</w:t>
            </w:r>
          </w:p>
        </w:tc>
        <w:tc>
          <w:tcPr>
            <w:tcW w:w="277" w:type="pct"/>
            <w:shd w:val="clear" w:color="000000" w:fill="00516B"/>
            <w:vAlign w:val="center"/>
          </w:tcPr>
          <w:p w14:paraId="4D24BBFB">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0.6</w:t>
            </w:r>
          </w:p>
        </w:tc>
        <w:tc>
          <w:tcPr>
            <w:tcW w:w="188" w:type="pct"/>
            <w:gridSpan w:val="2"/>
            <w:shd w:val="clear" w:color="000000" w:fill="00516B"/>
            <w:vAlign w:val="center"/>
          </w:tcPr>
          <w:p w14:paraId="154C78AF">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0.8</w:t>
            </w:r>
          </w:p>
        </w:tc>
        <w:tc>
          <w:tcPr>
            <w:tcW w:w="274" w:type="pct"/>
            <w:shd w:val="clear" w:color="000000" w:fill="00516B"/>
            <w:vAlign w:val="center"/>
          </w:tcPr>
          <w:p w14:paraId="31BE85A7">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1</w:t>
            </w:r>
          </w:p>
        </w:tc>
        <w:tc>
          <w:tcPr>
            <w:tcW w:w="600" w:type="pct"/>
            <w:vMerge w:val="continue"/>
            <w:vAlign w:val="center"/>
          </w:tcPr>
          <w:p w14:paraId="751A145B">
            <w:pPr>
              <w:widowControl/>
              <w:spacing w:after="157" w:line="280" w:lineRule="exact"/>
              <w:jc w:val="left"/>
              <w:rPr>
                <w:rFonts w:eastAsia="宋体" w:cs="Times New Roman"/>
                <w:b/>
                <w:bCs/>
                <w:kern w:val="0"/>
                <w:sz w:val="20"/>
                <w:szCs w:val="20"/>
              </w:rPr>
            </w:pPr>
          </w:p>
        </w:tc>
        <w:tc>
          <w:tcPr>
            <w:tcW w:w="277" w:type="pct"/>
            <w:vMerge w:val="continue"/>
            <w:vAlign w:val="center"/>
          </w:tcPr>
          <w:p w14:paraId="048BEC36">
            <w:pPr>
              <w:widowControl/>
              <w:spacing w:after="157" w:line="280" w:lineRule="exact"/>
              <w:jc w:val="left"/>
              <w:rPr>
                <w:rFonts w:eastAsia="宋体" w:cs="Times New Roman"/>
                <w:b/>
                <w:bCs/>
                <w:kern w:val="0"/>
                <w:sz w:val="20"/>
                <w:szCs w:val="20"/>
              </w:rPr>
            </w:pPr>
          </w:p>
        </w:tc>
        <w:tc>
          <w:tcPr>
            <w:tcW w:w="185" w:type="pct"/>
            <w:vMerge w:val="continue"/>
            <w:vAlign w:val="center"/>
          </w:tcPr>
          <w:p w14:paraId="06F17E8E">
            <w:pPr>
              <w:widowControl/>
              <w:spacing w:after="157" w:line="280" w:lineRule="exact"/>
              <w:jc w:val="left"/>
              <w:rPr>
                <w:rFonts w:eastAsia="宋体" w:cs="Times New Roman"/>
                <w:b/>
                <w:bCs/>
                <w:kern w:val="0"/>
                <w:sz w:val="20"/>
                <w:szCs w:val="20"/>
              </w:rPr>
            </w:pPr>
          </w:p>
        </w:tc>
        <w:tc>
          <w:tcPr>
            <w:tcW w:w="277" w:type="pct"/>
            <w:vMerge w:val="continue"/>
            <w:vAlign w:val="center"/>
          </w:tcPr>
          <w:p w14:paraId="7990C421">
            <w:pPr>
              <w:widowControl/>
              <w:spacing w:after="157" w:line="280" w:lineRule="exact"/>
              <w:jc w:val="left"/>
              <w:rPr>
                <w:rFonts w:eastAsia="宋体" w:cs="Times New Roman"/>
                <w:b/>
                <w:bCs/>
                <w:kern w:val="0"/>
                <w:sz w:val="20"/>
                <w:szCs w:val="20"/>
              </w:rPr>
            </w:pPr>
          </w:p>
        </w:tc>
        <w:tc>
          <w:tcPr>
            <w:tcW w:w="1174" w:type="pct"/>
            <w:vMerge w:val="continue"/>
            <w:vAlign w:val="center"/>
          </w:tcPr>
          <w:p w14:paraId="41C12F2F">
            <w:pPr>
              <w:widowControl/>
              <w:spacing w:after="157" w:line="280" w:lineRule="exact"/>
              <w:jc w:val="left"/>
              <w:rPr>
                <w:rFonts w:eastAsia="宋体" w:cs="Times New Roman"/>
                <w:b/>
                <w:bCs/>
                <w:kern w:val="0"/>
                <w:sz w:val="20"/>
                <w:szCs w:val="20"/>
              </w:rPr>
            </w:pPr>
          </w:p>
        </w:tc>
      </w:tr>
      <w:tr w14:paraId="479C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202" w:type="pct"/>
            <w:vMerge w:val="restart"/>
            <w:shd w:val="clear" w:color="000000" w:fill="FFFFFF"/>
            <w:vAlign w:val="center"/>
          </w:tcPr>
          <w:p w14:paraId="34413919">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项目决策（20）</w:t>
            </w:r>
          </w:p>
        </w:tc>
        <w:tc>
          <w:tcPr>
            <w:tcW w:w="257" w:type="pct"/>
            <w:shd w:val="clear" w:color="000000" w:fill="FFFFFF"/>
            <w:vAlign w:val="center"/>
          </w:tcPr>
          <w:p w14:paraId="453844C8">
            <w:pPr>
              <w:widowControl/>
              <w:spacing w:after="157" w:line="280" w:lineRule="exact"/>
              <w:jc w:val="center"/>
              <w:rPr>
                <w:rFonts w:eastAsia="宋体" w:cs="Times New Roman"/>
                <w:kern w:val="0"/>
                <w:sz w:val="20"/>
                <w:szCs w:val="20"/>
              </w:rPr>
            </w:pPr>
            <w:r>
              <w:rPr>
                <w:rFonts w:eastAsia="宋体" w:cs="Times New Roman"/>
                <w:kern w:val="0"/>
                <w:sz w:val="20"/>
                <w:szCs w:val="20"/>
              </w:rPr>
              <w:t>项目依据</w:t>
            </w:r>
          </w:p>
        </w:tc>
        <w:tc>
          <w:tcPr>
            <w:tcW w:w="233" w:type="pct"/>
            <w:shd w:val="clear" w:color="000000" w:fill="FFFFFF"/>
            <w:vAlign w:val="center"/>
          </w:tcPr>
          <w:p w14:paraId="1AB37830">
            <w:pPr>
              <w:widowControl/>
              <w:spacing w:after="157" w:line="280" w:lineRule="exact"/>
              <w:jc w:val="center"/>
              <w:rPr>
                <w:rFonts w:eastAsia="宋体" w:cs="Times New Roman"/>
                <w:kern w:val="0"/>
                <w:sz w:val="20"/>
                <w:szCs w:val="20"/>
              </w:rPr>
            </w:pPr>
            <w:r>
              <w:rPr>
                <w:rFonts w:eastAsia="宋体" w:cs="Times New Roman"/>
                <w:kern w:val="0"/>
                <w:sz w:val="20"/>
                <w:szCs w:val="20"/>
              </w:rPr>
              <w:t>依据充分性</w:t>
            </w:r>
          </w:p>
        </w:tc>
        <w:tc>
          <w:tcPr>
            <w:tcW w:w="368" w:type="pct"/>
            <w:shd w:val="clear" w:color="000000" w:fill="FFFFFF"/>
            <w:vAlign w:val="center"/>
          </w:tcPr>
          <w:p w14:paraId="72168082">
            <w:pPr>
              <w:widowControl/>
              <w:spacing w:after="157" w:line="280" w:lineRule="exact"/>
              <w:jc w:val="left"/>
              <w:rPr>
                <w:rFonts w:eastAsia="宋体" w:cs="Times New Roman"/>
                <w:kern w:val="0"/>
                <w:sz w:val="20"/>
                <w:szCs w:val="20"/>
              </w:rPr>
            </w:pPr>
            <w:r>
              <w:rPr>
                <w:rFonts w:eastAsia="宋体" w:cs="Times New Roman"/>
                <w:kern w:val="0"/>
                <w:sz w:val="20"/>
                <w:szCs w:val="20"/>
              </w:rPr>
              <w:t>主要考察项目设定依据是否充分</w:t>
            </w:r>
          </w:p>
        </w:tc>
        <w:tc>
          <w:tcPr>
            <w:tcW w:w="276" w:type="pct"/>
            <w:shd w:val="clear" w:color="000000" w:fill="FFFFFF"/>
            <w:vAlign w:val="center"/>
          </w:tcPr>
          <w:p w14:paraId="644CE878">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757F3D80">
            <w:pPr>
              <w:widowControl/>
              <w:spacing w:after="157" w:line="280" w:lineRule="exact"/>
              <w:jc w:val="center"/>
              <w:rPr>
                <w:rFonts w:eastAsia="宋体" w:cs="Times New Roman"/>
                <w:kern w:val="0"/>
                <w:sz w:val="20"/>
                <w:szCs w:val="20"/>
              </w:rPr>
            </w:pPr>
            <w:r>
              <w:rPr>
                <w:rFonts w:eastAsia="宋体" w:cs="Times New Roman"/>
                <w:kern w:val="0"/>
                <w:sz w:val="20"/>
                <w:szCs w:val="20"/>
              </w:rPr>
              <w:t>不符合</w:t>
            </w:r>
          </w:p>
        </w:tc>
        <w:tc>
          <w:tcPr>
            <w:tcW w:w="215" w:type="pct"/>
            <w:gridSpan w:val="2"/>
            <w:shd w:val="clear" w:color="000000" w:fill="FFFFFF"/>
            <w:vAlign w:val="center"/>
          </w:tcPr>
          <w:p w14:paraId="2D6745A5">
            <w:pPr>
              <w:widowControl/>
              <w:spacing w:after="157" w:line="280" w:lineRule="exact"/>
              <w:jc w:val="center"/>
              <w:rPr>
                <w:rFonts w:eastAsia="宋体" w:cs="Times New Roman"/>
                <w:kern w:val="0"/>
                <w:sz w:val="20"/>
                <w:szCs w:val="20"/>
              </w:rPr>
            </w:pPr>
            <w:r>
              <w:rPr>
                <w:rFonts w:eastAsia="宋体" w:cs="Times New Roman"/>
                <w:kern w:val="0"/>
                <w:sz w:val="20"/>
                <w:szCs w:val="20"/>
              </w:rPr>
              <w:t>3处及以上不符合</w:t>
            </w:r>
          </w:p>
        </w:tc>
        <w:tc>
          <w:tcPr>
            <w:tcW w:w="277" w:type="pct"/>
            <w:shd w:val="clear" w:color="000000" w:fill="FFFFFF"/>
            <w:vAlign w:val="center"/>
          </w:tcPr>
          <w:p w14:paraId="6DE7A561">
            <w:pPr>
              <w:widowControl/>
              <w:spacing w:after="157" w:line="280" w:lineRule="exact"/>
              <w:jc w:val="center"/>
              <w:rPr>
                <w:rFonts w:eastAsia="宋体" w:cs="Times New Roman"/>
                <w:kern w:val="0"/>
                <w:sz w:val="20"/>
                <w:szCs w:val="20"/>
              </w:rPr>
            </w:pPr>
            <w:r>
              <w:rPr>
                <w:rFonts w:eastAsia="宋体" w:cs="Times New Roman"/>
                <w:kern w:val="0"/>
                <w:sz w:val="20"/>
                <w:szCs w:val="20"/>
              </w:rPr>
              <w:t>2处不符合</w:t>
            </w:r>
          </w:p>
        </w:tc>
        <w:tc>
          <w:tcPr>
            <w:tcW w:w="188" w:type="pct"/>
            <w:gridSpan w:val="2"/>
            <w:shd w:val="clear" w:color="000000" w:fill="FFFFFF"/>
            <w:vAlign w:val="center"/>
          </w:tcPr>
          <w:p w14:paraId="6AC05D4B">
            <w:pPr>
              <w:widowControl/>
              <w:spacing w:after="157" w:line="280" w:lineRule="exact"/>
              <w:jc w:val="center"/>
              <w:rPr>
                <w:rFonts w:eastAsia="宋体" w:cs="Times New Roman"/>
                <w:kern w:val="0"/>
                <w:sz w:val="20"/>
                <w:szCs w:val="20"/>
              </w:rPr>
            </w:pPr>
            <w:r>
              <w:rPr>
                <w:rFonts w:eastAsia="宋体" w:cs="Times New Roman"/>
                <w:kern w:val="0"/>
                <w:sz w:val="20"/>
                <w:szCs w:val="20"/>
              </w:rPr>
              <w:t>1处不符合</w:t>
            </w:r>
          </w:p>
        </w:tc>
        <w:tc>
          <w:tcPr>
            <w:tcW w:w="274" w:type="pct"/>
            <w:shd w:val="clear" w:color="000000" w:fill="FFFFFF"/>
            <w:vAlign w:val="center"/>
          </w:tcPr>
          <w:p w14:paraId="70C7E52D">
            <w:pPr>
              <w:widowControl/>
              <w:spacing w:after="157" w:line="280" w:lineRule="exact"/>
              <w:jc w:val="center"/>
              <w:rPr>
                <w:rFonts w:eastAsia="宋体" w:cs="Times New Roman"/>
                <w:kern w:val="0"/>
                <w:sz w:val="20"/>
                <w:szCs w:val="20"/>
              </w:rPr>
            </w:pPr>
            <w:r>
              <w:rPr>
                <w:rFonts w:eastAsia="宋体" w:cs="Times New Roman"/>
                <w:kern w:val="0"/>
                <w:sz w:val="20"/>
                <w:szCs w:val="20"/>
              </w:rPr>
              <w:t>符合</w:t>
            </w:r>
          </w:p>
        </w:tc>
        <w:tc>
          <w:tcPr>
            <w:tcW w:w="600" w:type="pct"/>
            <w:shd w:val="clear" w:color="000000" w:fill="FFFFFF"/>
            <w:vAlign w:val="center"/>
          </w:tcPr>
          <w:p w14:paraId="3FAFF4DF">
            <w:pPr>
              <w:widowControl/>
              <w:spacing w:after="157" w:line="280" w:lineRule="exact"/>
              <w:jc w:val="left"/>
              <w:rPr>
                <w:rFonts w:eastAsia="宋体" w:cs="Times New Roman"/>
                <w:kern w:val="0"/>
                <w:sz w:val="20"/>
                <w:szCs w:val="20"/>
              </w:rPr>
            </w:pPr>
            <w:r>
              <w:rPr>
                <w:rFonts w:eastAsia="宋体" w:cs="Times New Roman"/>
                <w:kern w:val="0"/>
                <w:sz w:val="20"/>
                <w:szCs w:val="20"/>
              </w:rPr>
              <w:t>是否符合市委、市政府决策部署；符合当前经济社会发展需要</w:t>
            </w:r>
          </w:p>
        </w:tc>
        <w:tc>
          <w:tcPr>
            <w:tcW w:w="277" w:type="pct"/>
            <w:shd w:val="clear" w:color="auto" w:fill="auto"/>
            <w:vAlign w:val="center"/>
          </w:tcPr>
          <w:p w14:paraId="5C51DCDC">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5.00</w:t>
            </w:r>
          </w:p>
        </w:tc>
        <w:tc>
          <w:tcPr>
            <w:tcW w:w="185" w:type="pct"/>
            <w:shd w:val="clear" w:color="auto" w:fill="auto"/>
            <w:noWrap/>
            <w:vAlign w:val="center"/>
          </w:tcPr>
          <w:p w14:paraId="4B92D98F">
            <w:pPr>
              <w:widowControl/>
              <w:spacing w:after="157" w:line="280" w:lineRule="exact"/>
              <w:jc w:val="center"/>
              <w:rPr>
                <w:rFonts w:eastAsia="宋体" w:cs="Times New Roman"/>
                <w:kern w:val="0"/>
                <w:sz w:val="20"/>
                <w:szCs w:val="20"/>
              </w:rPr>
            </w:pPr>
            <w:r>
              <w:rPr>
                <w:rFonts w:eastAsia="宋体" w:cs="Times New Roman"/>
                <w:kern w:val="0"/>
                <w:sz w:val="20"/>
                <w:szCs w:val="20"/>
              </w:rPr>
              <w:t>5.00</w:t>
            </w:r>
          </w:p>
        </w:tc>
        <w:tc>
          <w:tcPr>
            <w:tcW w:w="277" w:type="pct"/>
            <w:shd w:val="clear" w:color="auto" w:fill="auto"/>
            <w:noWrap/>
            <w:vAlign w:val="center"/>
          </w:tcPr>
          <w:p w14:paraId="5BB12388">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noWrap/>
            <w:vAlign w:val="center"/>
          </w:tcPr>
          <w:p w14:paraId="35ACF76B">
            <w:pPr>
              <w:widowControl/>
              <w:spacing w:after="157" w:line="280" w:lineRule="exact"/>
              <w:jc w:val="left"/>
              <w:rPr>
                <w:rFonts w:eastAsia="宋体" w:cs="Times New Roman"/>
                <w:kern w:val="0"/>
                <w:sz w:val="20"/>
                <w:szCs w:val="20"/>
              </w:rPr>
            </w:pPr>
            <w:r>
              <w:rPr>
                <w:rFonts w:eastAsia="宋体" w:cs="Times New Roman"/>
                <w:kern w:val="0"/>
                <w:sz w:val="20"/>
                <w:szCs w:val="20"/>
              </w:rPr>
              <w:t>　根据交通部、公安部《关于治理车辆超限超载联合执法常态化制度化工作的实施意见（试行）》（交公路发〔2017〕173号）文件要求</w:t>
            </w:r>
          </w:p>
        </w:tc>
      </w:tr>
      <w:tr w14:paraId="33E2A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trPr>
        <w:tc>
          <w:tcPr>
            <w:tcW w:w="202" w:type="pct"/>
            <w:vMerge w:val="continue"/>
            <w:vAlign w:val="center"/>
          </w:tcPr>
          <w:p w14:paraId="5A72CDCB">
            <w:pPr>
              <w:widowControl/>
              <w:spacing w:after="157" w:line="280" w:lineRule="exact"/>
              <w:jc w:val="left"/>
              <w:rPr>
                <w:rFonts w:eastAsia="宋体" w:cs="Times New Roman"/>
                <w:b/>
                <w:bCs/>
                <w:kern w:val="0"/>
                <w:sz w:val="20"/>
                <w:szCs w:val="20"/>
              </w:rPr>
            </w:pPr>
          </w:p>
        </w:tc>
        <w:tc>
          <w:tcPr>
            <w:tcW w:w="257" w:type="pct"/>
            <w:vMerge w:val="restart"/>
            <w:shd w:val="clear" w:color="000000" w:fill="FFFFFF"/>
            <w:vAlign w:val="center"/>
          </w:tcPr>
          <w:p w14:paraId="014DCCD3">
            <w:pPr>
              <w:widowControl/>
              <w:spacing w:after="157" w:line="280" w:lineRule="exact"/>
              <w:jc w:val="center"/>
              <w:rPr>
                <w:rFonts w:eastAsia="宋体" w:cs="Times New Roman"/>
                <w:kern w:val="0"/>
                <w:sz w:val="20"/>
                <w:szCs w:val="20"/>
              </w:rPr>
            </w:pPr>
            <w:r>
              <w:rPr>
                <w:rFonts w:eastAsia="宋体" w:cs="Times New Roman"/>
                <w:kern w:val="0"/>
                <w:sz w:val="20"/>
                <w:szCs w:val="20"/>
              </w:rPr>
              <w:t>绩效目标</w:t>
            </w:r>
          </w:p>
        </w:tc>
        <w:tc>
          <w:tcPr>
            <w:tcW w:w="233" w:type="pct"/>
            <w:shd w:val="clear" w:color="000000" w:fill="FFFFFF"/>
            <w:vAlign w:val="center"/>
          </w:tcPr>
          <w:p w14:paraId="20B77998">
            <w:pPr>
              <w:widowControl/>
              <w:spacing w:after="157" w:line="280" w:lineRule="exact"/>
              <w:jc w:val="center"/>
              <w:rPr>
                <w:rFonts w:eastAsia="宋体" w:cs="Times New Roman"/>
                <w:kern w:val="0"/>
                <w:sz w:val="20"/>
                <w:szCs w:val="20"/>
              </w:rPr>
            </w:pPr>
            <w:r>
              <w:rPr>
                <w:rFonts w:eastAsia="宋体" w:cs="Times New Roman"/>
                <w:kern w:val="0"/>
                <w:sz w:val="20"/>
                <w:szCs w:val="20"/>
              </w:rPr>
              <w:t>明确性</w:t>
            </w:r>
          </w:p>
        </w:tc>
        <w:tc>
          <w:tcPr>
            <w:tcW w:w="368" w:type="pct"/>
            <w:shd w:val="clear" w:color="000000" w:fill="FFFFFF"/>
            <w:vAlign w:val="center"/>
          </w:tcPr>
          <w:p w14:paraId="39C085E0">
            <w:pPr>
              <w:widowControl/>
              <w:spacing w:after="157" w:line="280" w:lineRule="exact"/>
              <w:jc w:val="left"/>
              <w:rPr>
                <w:rFonts w:eastAsia="宋体" w:cs="Times New Roman"/>
                <w:kern w:val="0"/>
                <w:sz w:val="20"/>
                <w:szCs w:val="20"/>
              </w:rPr>
            </w:pPr>
            <w:r>
              <w:rPr>
                <w:rFonts w:eastAsia="宋体" w:cs="Times New Roman"/>
                <w:kern w:val="0"/>
                <w:sz w:val="20"/>
                <w:szCs w:val="20"/>
              </w:rPr>
              <w:t>主要考察项目预期产品、服务、效益或其他目标是否明确</w:t>
            </w:r>
          </w:p>
        </w:tc>
        <w:tc>
          <w:tcPr>
            <w:tcW w:w="276" w:type="pct"/>
            <w:shd w:val="clear" w:color="000000" w:fill="FFFFFF"/>
            <w:vAlign w:val="center"/>
          </w:tcPr>
          <w:p w14:paraId="29DCB68F">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13545562">
            <w:pPr>
              <w:widowControl/>
              <w:spacing w:after="157" w:line="280" w:lineRule="exact"/>
              <w:jc w:val="center"/>
              <w:rPr>
                <w:rFonts w:eastAsia="宋体" w:cs="Times New Roman"/>
                <w:kern w:val="0"/>
                <w:sz w:val="20"/>
                <w:szCs w:val="20"/>
              </w:rPr>
            </w:pPr>
            <w:r>
              <w:rPr>
                <w:rFonts w:eastAsia="宋体" w:cs="Times New Roman"/>
                <w:kern w:val="0"/>
                <w:sz w:val="20"/>
                <w:szCs w:val="20"/>
              </w:rPr>
              <w:t>不明确</w:t>
            </w:r>
          </w:p>
        </w:tc>
        <w:tc>
          <w:tcPr>
            <w:tcW w:w="215" w:type="pct"/>
            <w:gridSpan w:val="2"/>
            <w:shd w:val="clear" w:color="000000" w:fill="FFFFFF"/>
            <w:vAlign w:val="center"/>
          </w:tcPr>
          <w:p w14:paraId="255C4461">
            <w:pPr>
              <w:widowControl/>
              <w:spacing w:after="157" w:line="280" w:lineRule="exact"/>
              <w:jc w:val="center"/>
              <w:rPr>
                <w:rFonts w:eastAsia="宋体" w:cs="Times New Roman"/>
                <w:kern w:val="0"/>
                <w:sz w:val="20"/>
                <w:szCs w:val="20"/>
              </w:rPr>
            </w:pPr>
            <w:r>
              <w:rPr>
                <w:rFonts w:eastAsia="宋体" w:cs="Times New Roman"/>
                <w:kern w:val="0"/>
                <w:sz w:val="20"/>
                <w:szCs w:val="20"/>
              </w:rPr>
              <w:t>3处及以上不明确</w:t>
            </w:r>
          </w:p>
        </w:tc>
        <w:tc>
          <w:tcPr>
            <w:tcW w:w="277" w:type="pct"/>
            <w:shd w:val="clear" w:color="000000" w:fill="FFFFFF"/>
            <w:vAlign w:val="center"/>
          </w:tcPr>
          <w:p w14:paraId="5FB8046B">
            <w:pPr>
              <w:widowControl/>
              <w:spacing w:after="157" w:line="280" w:lineRule="exact"/>
              <w:jc w:val="center"/>
              <w:rPr>
                <w:rFonts w:eastAsia="宋体" w:cs="Times New Roman"/>
                <w:kern w:val="0"/>
                <w:sz w:val="20"/>
                <w:szCs w:val="20"/>
              </w:rPr>
            </w:pPr>
            <w:r>
              <w:rPr>
                <w:rFonts w:eastAsia="宋体" w:cs="Times New Roman"/>
                <w:kern w:val="0"/>
                <w:sz w:val="20"/>
                <w:szCs w:val="20"/>
              </w:rPr>
              <w:t>2处不明确</w:t>
            </w:r>
          </w:p>
        </w:tc>
        <w:tc>
          <w:tcPr>
            <w:tcW w:w="188" w:type="pct"/>
            <w:gridSpan w:val="2"/>
            <w:shd w:val="clear" w:color="000000" w:fill="FFFFFF"/>
            <w:vAlign w:val="center"/>
          </w:tcPr>
          <w:p w14:paraId="318E6C24">
            <w:pPr>
              <w:widowControl/>
              <w:spacing w:after="157" w:line="280" w:lineRule="exact"/>
              <w:jc w:val="center"/>
              <w:rPr>
                <w:rFonts w:eastAsia="宋体" w:cs="Times New Roman"/>
                <w:kern w:val="0"/>
                <w:sz w:val="20"/>
                <w:szCs w:val="20"/>
              </w:rPr>
            </w:pPr>
            <w:r>
              <w:rPr>
                <w:rFonts w:eastAsia="宋体" w:cs="Times New Roman"/>
                <w:kern w:val="0"/>
                <w:sz w:val="20"/>
                <w:szCs w:val="20"/>
              </w:rPr>
              <w:t>1处不明确</w:t>
            </w:r>
          </w:p>
        </w:tc>
        <w:tc>
          <w:tcPr>
            <w:tcW w:w="274" w:type="pct"/>
            <w:shd w:val="clear" w:color="000000" w:fill="FFFFFF"/>
            <w:vAlign w:val="center"/>
          </w:tcPr>
          <w:p w14:paraId="3FD770CD">
            <w:pPr>
              <w:widowControl/>
              <w:spacing w:after="157" w:line="280" w:lineRule="exact"/>
              <w:jc w:val="center"/>
              <w:rPr>
                <w:rFonts w:eastAsia="宋体" w:cs="Times New Roman"/>
                <w:kern w:val="0"/>
                <w:sz w:val="20"/>
                <w:szCs w:val="20"/>
              </w:rPr>
            </w:pPr>
            <w:r>
              <w:rPr>
                <w:rFonts w:eastAsia="宋体" w:cs="Times New Roman"/>
                <w:kern w:val="0"/>
                <w:sz w:val="20"/>
                <w:szCs w:val="20"/>
              </w:rPr>
              <w:t>明确</w:t>
            </w:r>
          </w:p>
        </w:tc>
        <w:tc>
          <w:tcPr>
            <w:tcW w:w="600" w:type="pct"/>
            <w:shd w:val="clear" w:color="000000" w:fill="FFFFFF"/>
            <w:vAlign w:val="center"/>
          </w:tcPr>
          <w:p w14:paraId="470F4C80">
            <w:pPr>
              <w:widowControl/>
              <w:spacing w:after="157" w:line="280" w:lineRule="exact"/>
              <w:jc w:val="left"/>
              <w:rPr>
                <w:rFonts w:eastAsia="宋体" w:cs="Times New Roman"/>
                <w:kern w:val="0"/>
                <w:sz w:val="20"/>
                <w:szCs w:val="20"/>
              </w:rPr>
            </w:pPr>
            <w:r>
              <w:rPr>
                <w:rFonts w:eastAsia="宋体" w:cs="Times New Roman"/>
                <w:kern w:val="0"/>
                <w:sz w:val="20"/>
                <w:szCs w:val="20"/>
              </w:rPr>
              <w:t>重点查看项目数量、质量、时效、成本、经济效益、社会效益、环境效益和可持续效益等是否明确</w:t>
            </w:r>
          </w:p>
        </w:tc>
        <w:tc>
          <w:tcPr>
            <w:tcW w:w="277" w:type="pct"/>
            <w:shd w:val="clear" w:color="auto" w:fill="auto"/>
            <w:vAlign w:val="center"/>
          </w:tcPr>
          <w:p w14:paraId="30F6B726">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7.00</w:t>
            </w:r>
          </w:p>
        </w:tc>
        <w:tc>
          <w:tcPr>
            <w:tcW w:w="185" w:type="pct"/>
            <w:shd w:val="clear" w:color="auto" w:fill="auto"/>
            <w:noWrap/>
            <w:vAlign w:val="center"/>
          </w:tcPr>
          <w:p w14:paraId="03DCEED2">
            <w:pPr>
              <w:widowControl/>
              <w:spacing w:after="157" w:line="280" w:lineRule="exact"/>
              <w:jc w:val="center"/>
              <w:rPr>
                <w:rFonts w:eastAsia="宋体" w:cs="Times New Roman"/>
                <w:kern w:val="0"/>
                <w:sz w:val="20"/>
                <w:szCs w:val="20"/>
              </w:rPr>
            </w:pPr>
            <w:r>
              <w:rPr>
                <w:rFonts w:eastAsia="宋体" w:cs="Times New Roman"/>
                <w:kern w:val="0"/>
                <w:sz w:val="20"/>
                <w:szCs w:val="20"/>
              </w:rPr>
              <w:t>5.60</w:t>
            </w:r>
          </w:p>
        </w:tc>
        <w:tc>
          <w:tcPr>
            <w:tcW w:w="277" w:type="pct"/>
            <w:shd w:val="clear" w:color="auto" w:fill="auto"/>
            <w:noWrap/>
            <w:vAlign w:val="center"/>
          </w:tcPr>
          <w:p w14:paraId="4DC2A2BD">
            <w:pPr>
              <w:widowControl/>
              <w:spacing w:after="157" w:line="280" w:lineRule="exact"/>
              <w:jc w:val="center"/>
              <w:rPr>
                <w:rFonts w:eastAsia="宋体" w:cs="Times New Roman"/>
                <w:kern w:val="0"/>
                <w:sz w:val="20"/>
                <w:szCs w:val="20"/>
              </w:rPr>
            </w:pPr>
            <w:r>
              <w:rPr>
                <w:rFonts w:eastAsia="宋体" w:cs="Times New Roman"/>
                <w:kern w:val="0"/>
                <w:sz w:val="20"/>
                <w:szCs w:val="20"/>
              </w:rPr>
              <w:t>80.00%</w:t>
            </w:r>
          </w:p>
        </w:tc>
        <w:tc>
          <w:tcPr>
            <w:tcW w:w="1174" w:type="pct"/>
            <w:shd w:val="clear" w:color="auto" w:fill="auto"/>
            <w:vAlign w:val="center"/>
          </w:tcPr>
          <w:p w14:paraId="3EEA0C32">
            <w:pPr>
              <w:widowControl/>
              <w:spacing w:after="157" w:line="280" w:lineRule="exact"/>
              <w:jc w:val="left"/>
              <w:rPr>
                <w:rFonts w:eastAsia="宋体" w:cs="Times New Roman"/>
                <w:kern w:val="0"/>
                <w:sz w:val="20"/>
                <w:szCs w:val="20"/>
              </w:rPr>
            </w:pPr>
            <w:r>
              <w:rPr>
                <w:rFonts w:eastAsia="宋体" w:cs="Times New Roman"/>
                <w:kern w:val="0"/>
                <w:sz w:val="20"/>
                <w:szCs w:val="20"/>
              </w:rPr>
              <w:t>该项目未明确生态效益指标（环境效益指标）。</w:t>
            </w:r>
          </w:p>
        </w:tc>
      </w:tr>
      <w:tr w14:paraId="3B2E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202" w:type="pct"/>
            <w:vMerge w:val="continue"/>
            <w:vAlign w:val="center"/>
          </w:tcPr>
          <w:p w14:paraId="18C79711">
            <w:pPr>
              <w:widowControl/>
              <w:spacing w:after="157" w:line="280" w:lineRule="exact"/>
              <w:jc w:val="left"/>
              <w:rPr>
                <w:rFonts w:eastAsia="宋体" w:cs="Times New Roman"/>
                <w:b/>
                <w:bCs/>
                <w:kern w:val="0"/>
                <w:sz w:val="20"/>
                <w:szCs w:val="20"/>
              </w:rPr>
            </w:pPr>
          </w:p>
        </w:tc>
        <w:tc>
          <w:tcPr>
            <w:tcW w:w="257" w:type="pct"/>
            <w:vMerge w:val="continue"/>
            <w:vAlign w:val="center"/>
          </w:tcPr>
          <w:p w14:paraId="3BFB2B83">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2DC10D3E">
            <w:pPr>
              <w:widowControl/>
              <w:spacing w:after="157" w:line="280" w:lineRule="exact"/>
              <w:jc w:val="center"/>
              <w:rPr>
                <w:rFonts w:eastAsia="宋体" w:cs="Times New Roman"/>
                <w:kern w:val="0"/>
                <w:sz w:val="20"/>
                <w:szCs w:val="20"/>
              </w:rPr>
            </w:pPr>
            <w:r>
              <w:rPr>
                <w:rFonts w:eastAsia="宋体" w:cs="Times New Roman"/>
                <w:kern w:val="0"/>
                <w:sz w:val="20"/>
                <w:szCs w:val="20"/>
              </w:rPr>
              <w:t>合理性</w:t>
            </w:r>
          </w:p>
        </w:tc>
        <w:tc>
          <w:tcPr>
            <w:tcW w:w="368" w:type="pct"/>
            <w:shd w:val="clear" w:color="000000" w:fill="FFFFFF"/>
            <w:vAlign w:val="center"/>
          </w:tcPr>
          <w:p w14:paraId="6225D664">
            <w:pPr>
              <w:widowControl/>
              <w:spacing w:after="157" w:line="280" w:lineRule="exact"/>
              <w:jc w:val="left"/>
              <w:rPr>
                <w:rFonts w:eastAsia="宋体" w:cs="Times New Roman"/>
                <w:kern w:val="0"/>
                <w:sz w:val="20"/>
                <w:szCs w:val="20"/>
              </w:rPr>
            </w:pPr>
            <w:r>
              <w:rPr>
                <w:rFonts w:eastAsia="宋体" w:cs="Times New Roman"/>
                <w:kern w:val="0"/>
                <w:sz w:val="20"/>
                <w:szCs w:val="20"/>
              </w:rPr>
              <w:t>主要考察绩效目标设定符合实际需求，合理可行</w:t>
            </w:r>
          </w:p>
        </w:tc>
        <w:tc>
          <w:tcPr>
            <w:tcW w:w="276" w:type="pct"/>
            <w:shd w:val="clear" w:color="000000" w:fill="FFFFFF"/>
            <w:vAlign w:val="center"/>
          </w:tcPr>
          <w:p w14:paraId="609EB67C">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43CB8C10">
            <w:pPr>
              <w:widowControl/>
              <w:spacing w:after="157" w:line="280" w:lineRule="exact"/>
              <w:jc w:val="center"/>
              <w:rPr>
                <w:rFonts w:eastAsia="宋体" w:cs="Times New Roman"/>
                <w:kern w:val="0"/>
                <w:sz w:val="20"/>
                <w:szCs w:val="20"/>
              </w:rPr>
            </w:pPr>
            <w:r>
              <w:rPr>
                <w:rFonts w:eastAsia="宋体" w:cs="Times New Roman"/>
                <w:kern w:val="0"/>
                <w:sz w:val="20"/>
                <w:szCs w:val="20"/>
              </w:rPr>
              <w:t>不合理</w:t>
            </w:r>
          </w:p>
        </w:tc>
        <w:tc>
          <w:tcPr>
            <w:tcW w:w="215" w:type="pct"/>
            <w:gridSpan w:val="2"/>
            <w:shd w:val="clear" w:color="000000" w:fill="FFFFFF"/>
            <w:vAlign w:val="center"/>
          </w:tcPr>
          <w:p w14:paraId="72C9138E">
            <w:pPr>
              <w:widowControl/>
              <w:spacing w:after="157" w:line="280" w:lineRule="exact"/>
              <w:jc w:val="center"/>
              <w:rPr>
                <w:rFonts w:eastAsia="宋体" w:cs="Times New Roman"/>
                <w:kern w:val="0"/>
                <w:sz w:val="20"/>
                <w:szCs w:val="20"/>
              </w:rPr>
            </w:pPr>
            <w:r>
              <w:rPr>
                <w:rFonts w:eastAsia="宋体" w:cs="Times New Roman"/>
                <w:kern w:val="0"/>
                <w:sz w:val="20"/>
                <w:szCs w:val="20"/>
              </w:rPr>
              <w:t>3处及以上不合理</w:t>
            </w:r>
          </w:p>
        </w:tc>
        <w:tc>
          <w:tcPr>
            <w:tcW w:w="277" w:type="pct"/>
            <w:shd w:val="clear" w:color="000000" w:fill="FFFFFF"/>
            <w:vAlign w:val="center"/>
          </w:tcPr>
          <w:p w14:paraId="2700354F">
            <w:pPr>
              <w:widowControl/>
              <w:spacing w:after="157" w:line="280" w:lineRule="exact"/>
              <w:jc w:val="center"/>
              <w:rPr>
                <w:rFonts w:eastAsia="宋体" w:cs="Times New Roman"/>
                <w:kern w:val="0"/>
                <w:sz w:val="20"/>
                <w:szCs w:val="20"/>
              </w:rPr>
            </w:pPr>
            <w:r>
              <w:rPr>
                <w:rFonts w:eastAsia="宋体" w:cs="Times New Roman"/>
                <w:kern w:val="0"/>
                <w:sz w:val="20"/>
                <w:szCs w:val="20"/>
              </w:rPr>
              <w:t>2处不合理</w:t>
            </w:r>
          </w:p>
        </w:tc>
        <w:tc>
          <w:tcPr>
            <w:tcW w:w="188" w:type="pct"/>
            <w:gridSpan w:val="2"/>
            <w:shd w:val="clear" w:color="000000" w:fill="FFFFFF"/>
            <w:vAlign w:val="center"/>
          </w:tcPr>
          <w:p w14:paraId="4E09E1F4">
            <w:pPr>
              <w:widowControl/>
              <w:spacing w:after="157" w:line="280" w:lineRule="exact"/>
              <w:jc w:val="center"/>
              <w:rPr>
                <w:rFonts w:eastAsia="宋体" w:cs="Times New Roman"/>
                <w:kern w:val="0"/>
                <w:sz w:val="20"/>
                <w:szCs w:val="20"/>
              </w:rPr>
            </w:pPr>
            <w:r>
              <w:rPr>
                <w:rFonts w:eastAsia="宋体" w:cs="Times New Roman"/>
                <w:kern w:val="0"/>
                <w:sz w:val="20"/>
                <w:szCs w:val="20"/>
              </w:rPr>
              <w:t>1处不合理</w:t>
            </w:r>
          </w:p>
        </w:tc>
        <w:tc>
          <w:tcPr>
            <w:tcW w:w="274" w:type="pct"/>
            <w:shd w:val="clear" w:color="000000" w:fill="FFFFFF"/>
            <w:vAlign w:val="center"/>
          </w:tcPr>
          <w:p w14:paraId="6C2E27B4">
            <w:pPr>
              <w:widowControl/>
              <w:spacing w:after="157" w:line="280" w:lineRule="exact"/>
              <w:jc w:val="center"/>
              <w:rPr>
                <w:rFonts w:eastAsia="宋体" w:cs="Times New Roman"/>
                <w:kern w:val="0"/>
                <w:sz w:val="20"/>
                <w:szCs w:val="20"/>
              </w:rPr>
            </w:pPr>
            <w:r>
              <w:rPr>
                <w:rFonts w:eastAsia="宋体" w:cs="Times New Roman"/>
                <w:kern w:val="0"/>
                <w:sz w:val="20"/>
                <w:szCs w:val="20"/>
              </w:rPr>
              <w:t>合理</w:t>
            </w:r>
          </w:p>
        </w:tc>
        <w:tc>
          <w:tcPr>
            <w:tcW w:w="600" w:type="pct"/>
            <w:shd w:val="clear" w:color="000000" w:fill="FFFFFF"/>
            <w:vAlign w:val="center"/>
          </w:tcPr>
          <w:p w14:paraId="41B60AF8">
            <w:pPr>
              <w:widowControl/>
              <w:spacing w:after="157" w:line="280" w:lineRule="exact"/>
              <w:jc w:val="left"/>
              <w:rPr>
                <w:rFonts w:eastAsia="宋体" w:cs="Times New Roman"/>
                <w:kern w:val="0"/>
                <w:sz w:val="20"/>
                <w:szCs w:val="20"/>
              </w:rPr>
            </w:pPr>
            <w:r>
              <w:rPr>
                <w:rFonts w:eastAsia="宋体" w:cs="Times New Roman"/>
                <w:kern w:val="0"/>
                <w:sz w:val="20"/>
                <w:szCs w:val="20"/>
              </w:rPr>
              <w:t>重点评价项目绩效目标预期值与实际需求之间的吻合度</w:t>
            </w:r>
          </w:p>
        </w:tc>
        <w:tc>
          <w:tcPr>
            <w:tcW w:w="277" w:type="pct"/>
            <w:shd w:val="clear" w:color="auto" w:fill="auto"/>
            <w:vAlign w:val="center"/>
          </w:tcPr>
          <w:p w14:paraId="7FCF9931">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5A34E97B">
            <w:pPr>
              <w:widowControl/>
              <w:spacing w:after="157" w:line="280" w:lineRule="exact"/>
              <w:jc w:val="center"/>
              <w:rPr>
                <w:rFonts w:eastAsia="宋体" w:cs="Times New Roman"/>
                <w:kern w:val="0"/>
                <w:sz w:val="20"/>
                <w:szCs w:val="20"/>
              </w:rPr>
            </w:pPr>
            <w:r>
              <w:rPr>
                <w:rFonts w:eastAsia="宋体" w:cs="Times New Roman"/>
                <w:kern w:val="0"/>
                <w:sz w:val="20"/>
                <w:szCs w:val="20"/>
              </w:rPr>
              <w:t>6.40</w:t>
            </w:r>
          </w:p>
        </w:tc>
        <w:tc>
          <w:tcPr>
            <w:tcW w:w="277" w:type="pct"/>
            <w:shd w:val="clear" w:color="auto" w:fill="auto"/>
            <w:noWrap/>
            <w:vAlign w:val="center"/>
          </w:tcPr>
          <w:p w14:paraId="3AEDF71D">
            <w:pPr>
              <w:widowControl/>
              <w:spacing w:after="157" w:line="280" w:lineRule="exact"/>
              <w:jc w:val="center"/>
              <w:rPr>
                <w:rFonts w:eastAsia="宋体" w:cs="Times New Roman"/>
                <w:kern w:val="0"/>
                <w:sz w:val="20"/>
                <w:szCs w:val="20"/>
              </w:rPr>
            </w:pPr>
            <w:r>
              <w:rPr>
                <w:rFonts w:eastAsia="宋体" w:cs="Times New Roman"/>
                <w:kern w:val="0"/>
                <w:sz w:val="20"/>
                <w:szCs w:val="20"/>
              </w:rPr>
              <w:t>80.00%</w:t>
            </w:r>
          </w:p>
        </w:tc>
        <w:tc>
          <w:tcPr>
            <w:tcW w:w="1174" w:type="pct"/>
            <w:shd w:val="clear" w:color="auto" w:fill="auto"/>
            <w:vAlign w:val="center"/>
          </w:tcPr>
          <w:p w14:paraId="562DEECC">
            <w:pPr>
              <w:widowControl/>
              <w:spacing w:after="157" w:line="280" w:lineRule="exact"/>
              <w:jc w:val="left"/>
              <w:rPr>
                <w:rFonts w:eastAsia="宋体" w:cs="Times New Roman"/>
                <w:kern w:val="0"/>
                <w:sz w:val="20"/>
                <w:szCs w:val="20"/>
              </w:rPr>
            </w:pPr>
            <w:r>
              <w:rPr>
                <w:rFonts w:eastAsia="宋体" w:cs="Times New Roman"/>
                <w:kern w:val="0"/>
                <w:sz w:val="20"/>
                <w:szCs w:val="20"/>
              </w:rPr>
              <w:t>绩效目标中设置执法人员服装按年限更换，2020年并未设计该项工作，与实际需求不符。</w:t>
            </w:r>
          </w:p>
        </w:tc>
      </w:tr>
      <w:tr w14:paraId="77D8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202" w:type="pct"/>
            <w:vMerge w:val="restart"/>
            <w:shd w:val="clear" w:color="000000" w:fill="FFFFFF"/>
            <w:vAlign w:val="center"/>
          </w:tcPr>
          <w:p w14:paraId="11FDA92D">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项目实施（20）</w:t>
            </w:r>
          </w:p>
        </w:tc>
        <w:tc>
          <w:tcPr>
            <w:tcW w:w="257" w:type="pct"/>
            <w:shd w:val="clear" w:color="000000" w:fill="FFFFFF"/>
            <w:vAlign w:val="center"/>
          </w:tcPr>
          <w:p w14:paraId="4B4FD254">
            <w:pPr>
              <w:widowControl/>
              <w:spacing w:after="157" w:line="280" w:lineRule="exact"/>
              <w:jc w:val="center"/>
              <w:rPr>
                <w:rFonts w:eastAsia="宋体" w:cs="Times New Roman"/>
                <w:kern w:val="0"/>
                <w:sz w:val="20"/>
                <w:szCs w:val="20"/>
              </w:rPr>
            </w:pPr>
            <w:r>
              <w:rPr>
                <w:rFonts w:eastAsia="宋体" w:cs="Times New Roman"/>
                <w:kern w:val="0"/>
                <w:sz w:val="20"/>
                <w:szCs w:val="20"/>
              </w:rPr>
              <w:t>资金管理</w:t>
            </w:r>
          </w:p>
        </w:tc>
        <w:tc>
          <w:tcPr>
            <w:tcW w:w="233" w:type="pct"/>
            <w:shd w:val="clear" w:color="auto" w:fill="auto"/>
            <w:vAlign w:val="center"/>
          </w:tcPr>
          <w:p w14:paraId="5044B615">
            <w:pPr>
              <w:widowControl/>
              <w:spacing w:after="157" w:line="280" w:lineRule="exact"/>
              <w:jc w:val="center"/>
              <w:rPr>
                <w:rFonts w:eastAsia="宋体" w:cs="Times New Roman"/>
                <w:kern w:val="0"/>
                <w:sz w:val="20"/>
                <w:szCs w:val="20"/>
              </w:rPr>
            </w:pPr>
            <w:r>
              <w:rPr>
                <w:rFonts w:eastAsia="宋体" w:cs="Times New Roman"/>
                <w:kern w:val="0"/>
                <w:sz w:val="20"/>
                <w:szCs w:val="20"/>
              </w:rPr>
              <w:t>资金分配科学性</w:t>
            </w:r>
          </w:p>
        </w:tc>
        <w:tc>
          <w:tcPr>
            <w:tcW w:w="368" w:type="pct"/>
            <w:shd w:val="clear" w:color="000000" w:fill="FFFFFF"/>
            <w:vAlign w:val="center"/>
          </w:tcPr>
          <w:p w14:paraId="770A2E19">
            <w:pPr>
              <w:widowControl/>
              <w:spacing w:after="157" w:line="280" w:lineRule="exact"/>
              <w:jc w:val="left"/>
              <w:rPr>
                <w:rFonts w:eastAsia="宋体" w:cs="Times New Roman"/>
                <w:kern w:val="0"/>
                <w:sz w:val="20"/>
                <w:szCs w:val="20"/>
              </w:rPr>
            </w:pPr>
            <w:r>
              <w:rPr>
                <w:rFonts w:eastAsia="宋体" w:cs="Times New Roman"/>
                <w:kern w:val="0"/>
                <w:sz w:val="20"/>
                <w:szCs w:val="20"/>
              </w:rPr>
              <w:t>主要考察项目资金分配是否科学合理</w:t>
            </w:r>
          </w:p>
        </w:tc>
        <w:tc>
          <w:tcPr>
            <w:tcW w:w="276" w:type="pct"/>
            <w:shd w:val="clear" w:color="000000" w:fill="FFFFFF"/>
            <w:vAlign w:val="center"/>
          </w:tcPr>
          <w:p w14:paraId="5C97798E">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3A1F1BD2">
            <w:pPr>
              <w:widowControl/>
              <w:spacing w:after="157" w:line="280" w:lineRule="exact"/>
              <w:jc w:val="center"/>
              <w:rPr>
                <w:rFonts w:eastAsia="宋体" w:cs="Times New Roman"/>
                <w:kern w:val="0"/>
                <w:sz w:val="20"/>
                <w:szCs w:val="20"/>
              </w:rPr>
            </w:pPr>
            <w:r>
              <w:rPr>
                <w:rFonts w:eastAsia="宋体" w:cs="Times New Roman"/>
                <w:kern w:val="0"/>
                <w:sz w:val="20"/>
                <w:szCs w:val="20"/>
              </w:rPr>
              <w:t>不科学</w:t>
            </w:r>
          </w:p>
        </w:tc>
        <w:tc>
          <w:tcPr>
            <w:tcW w:w="215" w:type="pct"/>
            <w:gridSpan w:val="2"/>
            <w:shd w:val="clear" w:color="000000" w:fill="FFFFFF"/>
            <w:vAlign w:val="center"/>
          </w:tcPr>
          <w:p w14:paraId="567B1BF5">
            <w:pPr>
              <w:widowControl/>
              <w:spacing w:after="157" w:line="280" w:lineRule="exact"/>
              <w:jc w:val="center"/>
              <w:rPr>
                <w:rFonts w:eastAsia="宋体" w:cs="Times New Roman"/>
                <w:kern w:val="0"/>
                <w:sz w:val="20"/>
                <w:szCs w:val="20"/>
              </w:rPr>
            </w:pPr>
            <w:r>
              <w:rPr>
                <w:rFonts w:eastAsia="宋体" w:cs="Times New Roman"/>
                <w:kern w:val="0"/>
                <w:sz w:val="20"/>
                <w:szCs w:val="20"/>
              </w:rPr>
              <w:t>3处及以上存在问题</w:t>
            </w:r>
          </w:p>
        </w:tc>
        <w:tc>
          <w:tcPr>
            <w:tcW w:w="277" w:type="pct"/>
            <w:shd w:val="clear" w:color="000000" w:fill="FFFFFF"/>
            <w:vAlign w:val="center"/>
          </w:tcPr>
          <w:p w14:paraId="4BEC6995">
            <w:pPr>
              <w:widowControl/>
              <w:spacing w:after="157" w:line="280" w:lineRule="exact"/>
              <w:jc w:val="center"/>
              <w:rPr>
                <w:rFonts w:eastAsia="宋体" w:cs="Times New Roman"/>
                <w:kern w:val="0"/>
                <w:sz w:val="20"/>
                <w:szCs w:val="20"/>
              </w:rPr>
            </w:pPr>
            <w:r>
              <w:rPr>
                <w:rFonts w:eastAsia="宋体" w:cs="Times New Roman"/>
                <w:kern w:val="0"/>
                <w:sz w:val="20"/>
                <w:szCs w:val="20"/>
              </w:rPr>
              <w:t>2处存在问题</w:t>
            </w:r>
          </w:p>
        </w:tc>
        <w:tc>
          <w:tcPr>
            <w:tcW w:w="188" w:type="pct"/>
            <w:gridSpan w:val="2"/>
            <w:shd w:val="clear" w:color="000000" w:fill="FFFFFF"/>
            <w:vAlign w:val="center"/>
          </w:tcPr>
          <w:p w14:paraId="479B6254">
            <w:pPr>
              <w:widowControl/>
              <w:spacing w:after="157" w:line="280" w:lineRule="exact"/>
              <w:jc w:val="center"/>
              <w:rPr>
                <w:rFonts w:eastAsia="宋体" w:cs="Times New Roman"/>
                <w:kern w:val="0"/>
                <w:sz w:val="20"/>
                <w:szCs w:val="20"/>
              </w:rPr>
            </w:pPr>
            <w:r>
              <w:rPr>
                <w:rFonts w:eastAsia="宋体" w:cs="Times New Roman"/>
                <w:kern w:val="0"/>
                <w:sz w:val="20"/>
                <w:szCs w:val="20"/>
              </w:rPr>
              <w:t>1处存在问题</w:t>
            </w:r>
          </w:p>
        </w:tc>
        <w:tc>
          <w:tcPr>
            <w:tcW w:w="274" w:type="pct"/>
            <w:shd w:val="clear" w:color="000000" w:fill="FFFFFF"/>
            <w:vAlign w:val="center"/>
          </w:tcPr>
          <w:p w14:paraId="2F180B41">
            <w:pPr>
              <w:widowControl/>
              <w:spacing w:after="157" w:line="280" w:lineRule="exact"/>
              <w:jc w:val="center"/>
              <w:rPr>
                <w:rFonts w:eastAsia="宋体" w:cs="Times New Roman"/>
                <w:kern w:val="0"/>
                <w:sz w:val="20"/>
                <w:szCs w:val="20"/>
              </w:rPr>
            </w:pPr>
            <w:r>
              <w:rPr>
                <w:rFonts w:eastAsia="宋体" w:cs="Times New Roman"/>
                <w:kern w:val="0"/>
                <w:sz w:val="20"/>
                <w:szCs w:val="20"/>
              </w:rPr>
              <w:t>分配科学合理</w:t>
            </w:r>
          </w:p>
        </w:tc>
        <w:tc>
          <w:tcPr>
            <w:tcW w:w="600" w:type="pct"/>
            <w:shd w:val="clear" w:color="000000" w:fill="FFFFFF"/>
            <w:vAlign w:val="center"/>
          </w:tcPr>
          <w:p w14:paraId="4874952E">
            <w:pPr>
              <w:widowControl/>
              <w:spacing w:after="157" w:line="280" w:lineRule="exact"/>
              <w:jc w:val="left"/>
              <w:rPr>
                <w:rFonts w:eastAsia="宋体" w:cs="Times New Roman"/>
                <w:kern w:val="0"/>
                <w:sz w:val="20"/>
                <w:szCs w:val="20"/>
              </w:rPr>
            </w:pPr>
            <w:r>
              <w:rPr>
                <w:rFonts w:eastAsia="宋体" w:cs="Times New Roman"/>
                <w:kern w:val="0"/>
                <w:sz w:val="20"/>
                <w:szCs w:val="20"/>
              </w:rPr>
              <w:t>资金分配管理是否科学合理、规范有序;是否体现突出重点或公平性，符合财政资金改革方向。资金分配的时效、方式、结构是否趋于最优化选择</w:t>
            </w:r>
          </w:p>
        </w:tc>
        <w:tc>
          <w:tcPr>
            <w:tcW w:w="277" w:type="pct"/>
            <w:shd w:val="clear" w:color="auto" w:fill="auto"/>
            <w:vAlign w:val="center"/>
          </w:tcPr>
          <w:p w14:paraId="3B8BD403">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6.00</w:t>
            </w:r>
          </w:p>
        </w:tc>
        <w:tc>
          <w:tcPr>
            <w:tcW w:w="185" w:type="pct"/>
            <w:shd w:val="clear" w:color="auto" w:fill="auto"/>
            <w:noWrap/>
            <w:vAlign w:val="center"/>
          </w:tcPr>
          <w:p w14:paraId="7E5149CF">
            <w:pPr>
              <w:widowControl/>
              <w:spacing w:after="157" w:line="280" w:lineRule="exact"/>
              <w:jc w:val="center"/>
              <w:rPr>
                <w:rFonts w:eastAsia="宋体" w:cs="Times New Roman"/>
                <w:kern w:val="0"/>
                <w:sz w:val="20"/>
                <w:szCs w:val="20"/>
              </w:rPr>
            </w:pPr>
            <w:r>
              <w:rPr>
                <w:rFonts w:eastAsia="宋体" w:cs="Times New Roman"/>
                <w:kern w:val="0"/>
                <w:sz w:val="20"/>
                <w:szCs w:val="20"/>
              </w:rPr>
              <w:t>3.60</w:t>
            </w:r>
          </w:p>
        </w:tc>
        <w:tc>
          <w:tcPr>
            <w:tcW w:w="277" w:type="pct"/>
            <w:shd w:val="clear" w:color="auto" w:fill="auto"/>
            <w:noWrap/>
            <w:vAlign w:val="center"/>
          </w:tcPr>
          <w:p w14:paraId="0F89786C">
            <w:pPr>
              <w:widowControl/>
              <w:spacing w:after="157" w:line="280" w:lineRule="exact"/>
              <w:jc w:val="center"/>
              <w:rPr>
                <w:rFonts w:eastAsia="宋体" w:cs="Times New Roman"/>
                <w:kern w:val="0"/>
                <w:sz w:val="20"/>
                <w:szCs w:val="20"/>
              </w:rPr>
            </w:pPr>
            <w:r>
              <w:rPr>
                <w:rFonts w:eastAsia="宋体" w:cs="Times New Roman"/>
                <w:kern w:val="0"/>
                <w:sz w:val="20"/>
                <w:szCs w:val="20"/>
              </w:rPr>
              <w:t>60.00%</w:t>
            </w:r>
          </w:p>
        </w:tc>
        <w:tc>
          <w:tcPr>
            <w:tcW w:w="1174" w:type="pct"/>
            <w:shd w:val="clear" w:color="auto" w:fill="auto"/>
            <w:vAlign w:val="center"/>
          </w:tcPr>
          <w:p w14:paraId="27DD8234">
            <w:pPr>
              <w:widowControl/>
              <w:spacing w:after="157" w:line="280" w:lineRule="exact"/>
              <w:jc w:val="left"/>
              <w:rPr>
                <w:rFonts w:eastAsia="宋体" w:cs="Times New Roman"/>
                <w:kern w:val="0"/>
                <w:sz w:val="20"/>
                <w:szCs w:val="20"/>
              </w:rPr>
            </w:pPr>
            <w:r>
              <w:rPr>
                <w:rFonts w:eastAsia="宋体" w:cs="Times New Roman"/>
                <w:kern w:val="0"/>
                <w:sz w:val="20"/>
                <w:szCs w:val="20"/>
              </w:rPr>
              <w:t>1.借用人员刘军工资奖金及保险未纳入财政预算，用项目经费支出10.744万元；2.“非洲猪瘟”防控卡点值班费经费不够用，用超限超载治理经费支出1.1498万元。</w:t>
            </w:r>
          </w:p>
        </w:tc>
      </w:tr>
      <w:tr w14:paraId="7D18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202" w:type="pct"/>
            <w:vMerge w:val="continue"/>
            <w:vAlign w:val="center"/>
          </w:tcPr>
          <w:p w14:paraId="559DA0D6">
            <w:pPr>
              <w:widowControl/>
              <w:spacing w:after="157" w:line="280" w:lineRule="exact"/>
              <w:jc w:val="left"/>
              <w:rPr>
                <w:rFonts w:eastAsia="宋体" w:cs="Times New Roman"/>
                <w:b/>
                <w:bCs/>
                <w:kern w:val="0"/>
                <w:sz w:val="20"/>
                <w:szCs w:val="20"/>
              </w:rPr>
            </w:pPr>
          </w:p>
        </w:tc>
        <w:tc>
          <w:tcPr>
            <w:tcW w:w="257" w:type="pct"/>
            <w:vMerge w:val="restart"/>
            <w:shd w:val="clear" w:color="000000" w:fill="FFFFFF"/>
            <w:vAlign w:val="center"/>
          </w:tcPr>
          <w:p w14:paraId="1B302582">
            <w:pPr>
              <w:widowControl/>
              <w:spacing w:after="157" w:line="280" w:lineRule="exact"/>
              <w:jc w:val="center"/>
              <w:rPr>
                <w:rFonts w:eastAsia="宋体" w:cs="Times New Roman"/>
                <w:kern w:val="0"/>
                <w:sz w:val="20"/>
                <w:szCs w:val="20"/>
              </w:rPr>
            </w:pPr>
            <w:r>
              <w:rPr>
                <w:rFonts w:eastAsia="宋体" w:cs="Times New Roman"/>
                <w:kern w:val="0"/>
                <w:sz w:val="20"/>
                <w:szCs w:val="20"/>
              </w:rPr>
              <w:t>过程控制</w:t>
            </w:r>
          </w:p>
        </w:tc>
        <w:tc>
          <w:tcPr>
            <w:tcW w:w="233" w:type="pct"/>
            <w:shd w:val="clear" w:color="auto" w:fill="auto"/>
            <w:vAlign w:val="center"/>
          </w:tcPr>
          <w:p w14:paraId="211BB80E">
            <w:pPr>
              <w:widowControl/>
              <w:spacing w:after="157" w:line="280" w:lineRule="exact"/>
              <w:jc w:val="center"/>
              <w:rPr>
                <w:rFonts w:eastAsia="宋体" w:cs="Times New Roman"/>
                <w:kern w:val="0"/>
                <w:sz w:val="20"/>
                <w:szCs w:val="20"/>
              </w:rPr>
            </w:pPr>
            <w:r>
              <w:rPr>
                <w:rFonts w:eastAsia="宋体" w:cs="Times New Roman"/>
                <w:kern w:val="0"/>
                <w:sz w:val="20"/>
                <w:szCs w:val="20"/>
              </w:rPr>
              <w:t>财务管理规范性</w:t>
            </w:r>
          </w:p>
        </w:tc>
        <w:tc>
          <w:tcPr>
            <w:tcW w:w="368" w:type="pct"/>
            <w:shd w:val="clear" w:color="000000" w:fill="FFFFFF"/>
            <w:vAlign w:val="center"/>
          </w:tcPr>
          <w:p w14:paraId="3F70C408">
            <w:pPr>
              <w:widowControl/>
              <w:spacing w:after="157" w:line="280" w:lineRule="exact"/>
              <w:jc w:val="left"/>
              <w:rPr>
                <w:rFonts w:eastAsia="宋体" w:cs="Times New Roman"/>
                <w:kern w:val="0"/>
                <w:sz w:val="20"/>
                <w:szCs w:val="20"/>
              </w:rPr>
            </w:pPr>
            <w:r>
              <w:rPr>
                <w:rFonts w:eastAsia="宋体" w:cs="Times New Roman"/>
                <w:kern w:val="0"/>
                <w:sz w:val="20"/>
                <w:szCs w:val="20"/>
              </w:rPr>
              <w:t>主要考察财务管理是否规范</w:t>
            </w:r>
          </w:p>
        </w:tc>
        <w:tc>
          <w:tcPr>
            <w:tcW w:w="276" w:type="pct"/>
            <w:shd w:val="clear" w:color="000000" w:fill="FFFFFF"/>
            <w:vAlign w:val="center"/>
          </w:tcPr>
          <w:p w14:paraId="641D43AA">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51B9CC04">
            <w:pPr>
              <w:widowControl/>
              <w:spacing w:after="157" w:line="280" w:lineRule="exact"/>
              <w:jc w:val="center"/>
              <w:rPr>
                <w:rFonts w:eastAsia="宋体" w:cs="Times New Roman"/>
                <w:kern w:val="0"/>
                <w:sz w:val="20"/>
                <w:szCs w:val="20"/>
              </w:rPr>
            </w:pPr>
            <w:r>
              <w:rPr>
                <w:rFonts w:eastAsia="宋体" w:cs="Times New Roman"/>
                <w:kern w:val="0"/>
                <w:sz w:val="20"/>
                <w:szCs w:val="20"/>
              </w:rPr>
              <w:t>4处问题及以上</w:t>
            </w:r>
          </w:p>
        </w:tc>
        <w:tc>
          <w:tcPr>
            <w:tcW w:w="215" w:type="pct"/>
            <w:gridSpan w:val="2"/>
            <w:shd w:val="clear" w:color="000000" w:fill="FFFFFF"/>
            <w:vAlign w:val="center"/>
          </w:tcPr>
          <w:p w14:paraId="5FD48793">
            <w:pPr>
              <w:widowControl/>
              <w:spacing w:after="157" w:line="280" w:lineRule="exact"/>
              <w:jc w:val="center"/>
              <w:rPr>
                <w:rFonts w:eastAsia="宋体" w:cs="Times New Roman"/>
                <w:kern w:val="0"/>
                <w:sz w:val="20"/>
                <w:szCs w:val="20"/>
              </w:rPr>
            </w:pPr>
            <w:r>
              <w:rPr>
                <w:rFonts w:eastAsia="宋体" w:cs="Times New Roman"/>
                <w:kern w:val="0"/>
                <w:sz w:val="20"/>
                <w:szCs w:val="20"/>
              </w:rPr>
              <w:t>3处及以上存在问题</w:t>
            </w:r>
          </w:p>
        </w:tc>
        <w:tc>
          <w:tcPr>
            <w:tcW w:w="277" w:type="pct"/>
            <w:shd w:val="clear" w:color="000000" w:fill="FFFFFF"/>
            <w:vAlign w:val="center"/>
          </w:tcPr>
          <w:p w14:paraId="7761EF3C">
            <w:pPr>
              <w:widowControl/>
              <w:spacing w:after="157" w:line="280" w:lineRule="exact"/>
              <w:jc w:val="center"/>
              <w:rPr>
                <w:rFonts w:eastAsia="宋体" w:cs="Times New Roman"/>
                <w:kern w:val="0"/>
                <w:sz w:val="20"/>
                <w:szCs w:val="20"/>
              </w:rPr>
            </w:pPr>
            <w:r>
              <w:rPr>
                <w:rFonts w:eastAsia="宋体" w:cs="Times New Roman"/>
                <w:kern w:val="0"/>
                <w:sz w:val="20"/>
                <w:szCs w:val="20"/>
              </w:rPr>
              <w:t>2处存在问题</w:t>
            </w:r>
          </w:p>
        </w:tc>
        <w:tc>
          <w:tcPr>
            <w:tcW w:w="188" w:type="pct"/>
            <w:gridSpan w:val="2"/>
            <w:shd w:val="clear" w:color="000000" w:fill="FFFFFF"/>
            <w:vAlign w:val="center"/>
          </w:tcPr>
          <w:p w14:paraId="0323D307">
            <w:pPr>
              <w:widowControl/>
              <w:spacing w:after="157" w:line="280" w:lineRule="exact"/>
              <w:jc w:val="center"/>
              <w:rPr>
                <w:rFonts w:eastAsia="宋体" w:cs="Times New Roman"/>
                <w:kern w:val="0"/>
                <w:sz w:val="20"/>
                <w:szCs w:val="20"/>
              </w:rPr>
            </w:pPr>
            <w:r>
              <w:rPr>
                <w:rFonts w:eastAsia="宋体" w:cs="Times New Roman"/>
                <w:kern w:val="0"/>
                <w:sz w:val="20"/>
                <w:szCs w:val="20"/>
              </w:rPr>
              <w:t>1处存在问题</w:t>
            </w:r>
          </w:p>
        </w:tc>
        <w:tc>
          <w:tcPr>
            <w:tcW w:w="274" w:type="pct"/>
            <w:shd w:val="clear" w:color="000000" w:fill="FFFFFF"/>
            <w:vAlign w:val="center"/>
          </w:tcPr>
          <w:p w14:paraId="10635B55">
            <w:pPr>
              <w:widowControl/>
              <w:spacing w:after="157" w:line="280" w:lineRule="exact"/>
              <w:jc w:val="center"/>
              <w:rPr>
                <w:rFonts w:eastAsia="宋体" w:cs="Times New Roman"/>
                <w:kern w:val="0"/>
                <w:sz w:val="20"/>
                <w:szCs w:val="20"/>
              </w:rPr>
            </w:pPr>
            <w:r>
              <w:rPr>
                <w:rFonts w:eastAsia="宋体" w:cs="Times New Roman"/>
                <w:kern w:val="0"/>
                <w:sz w:val="20"/>
                <w:szCs w:val="20"/>
              </w:rPr>
              <w:t>管理规范</w:t>
            </w:r>
          </w:p>
        </w:tc>
        <w:tc>
          <w:tcPr>
            <w:tcW w:w="600" w:type="pct"/>
            <w:shd w:val="clear" w:color="000000" w:fill="FFFFFF"/>
            <w:vAlign w:val="center"/>
          </w:tcPr>
          <w:p w14:paraId="4EB390AA">
            <w:pPr>
              <w:widowControl/>
              <w:spacing w:after="157" w:line="280" w:lineRule="exact"/>
              <w:jc w:val="left"/>
              <w:rPr>
                <w:rFonts w:eastAsia="宋体" w:cs="Times New Roman"/>
                <w:kern w:val="0"/>
                <w:sz w:val="20"/>
                <w:szCs w:val="20"/>
              </w:rPr>
            </w:pPr>
            <w:r>
              <w:rPr>
                <w:rFonts w:eastAsia="宋体" w:cs="Times New Roman"/>
                <w:kern w:val="0"/>
                <w:sz w:val="20"/>
                <w:szCs w:val="20"/>
              </w:rPr>
              <w:t>财务管理制度是否健全完善，会计核算是否规范</w:t>
            </w:r>
          </w:p>
        </w:tc>
        <w:tc>
          <w:tcPr>
            <w:tcW w:w="277" w:type="pct"/>
            <w:shd w:val="clear" w:color="auto" w:fill="auto"/>
            <w:vAlign w:val="center"/>
          </w:tcPr>
          <w:p w14:paraId="59C1B0DC">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76AABF5C">
            <w:pPr>
              <w:widowControl/>
              <w:spacing w:after="157" w:line="280" w:lineRule="exact"/>
              <w:jc w:val="center"/>
              <w:rPr>
                <w:rFonts w:eastAsia="宋体" w:cs="Times New Roman"/>
                <w:kern w:val="0"/>
                <w:sz w:val="20"/>
                <w:szCs w:val="20"/>
              </w:rPr>
            </w:pPr>
            <w:r>
              <w:rPr>
                <w:rFonts w:eastAsia="宋体" w:cs="Times New Roman"/>
                <w:kern w:val="0"/>
                <w:sz w:val="20"/>
                <w:szCs w:val="20"/>
              </w:rPr>
              <w:t>8.00</w:t>
            </w:r>
          </w:p>
        </w:tc>
        <w:tc>
          <w:tcPr>
            <w:tcW w:w="277" w:type="pct"/>
            <w:shd w:val="clear" w:color="auto" w:fill="auto"/>
            <w:noWrap/>
            <w:vAlign w:val="center"/>
          </w:tcPr>
          <w:p w14:paraId="0F7C2BA7">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noWrap/>
            <w:vAlign w:val="center"/>
          </w:tcPr>
          <w:p w14:paraId="59539836">
            <w:pPr>
              <w:spacing w:after="157"/>
              <w:rPr>
                <w:rFonts w:eastAsia="宋体" w:cs="Times New Roman"/>
                <w:sz w:val="20"/>
                <w:szCs w:val="28"/>
              </w:rPr>
            </w:pPr>
            <w:r>
              <w:rPr>
                <w:rFonts w:eastAsia="宋体" w:cs="Times New Roman"/>
                <w:sz w:val="20"/>
                <w:szCs w:val="28"/>
              </w:rPr>
              <w:t>超限超载治理经费项目财务管理制度健全完善，会计核算比较规范</w:t>
            </w:r>
          </w:p>
          <w:p w14:paraId="29A369A1">
            <w:pPr>
              <w:widowControl/>
              <w:spacing w:after="157" w:line="280" w:lineRule="exact"/>
              <w:jc w:val="left"/>
              <w:rPr>
                <w:rFonts w:eastAsia="宋体" w:cs="Times New Roman"/>
                <w:kern w:val="0"/>
                <w:sz w:val="20"/>
                <w:szCs w:val="20"/>
              </w:rPr>
            </w:pPr>
          </w:p>
        </w:tc>
      </w:tr>
      <w:tr w14:paraId="6A85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202" w:type="pct"/>
            <w:vMerge w:val="continue"/>
            <w:vAlign w:val="center"/>
          </w:tcPr>
          <w:p w14:paraId="2003DBDF">
            <w:pPr>
              <w:widowControl/>
              <w:spacing w:after="157" w:line="280" w:lineRule="exact"/>
              <w:jc w:val="left"/>
              <w:rPr>
                <w:rFonts w:eastAsia="宋体" w:cs="Times New Roman"/>
                <w:b/>
                <w:bCs/>
                <w:kern w:val="0"/>
                <w:sz w:val="20"/>
                <w:szCs w:val="20"/>
              </w:rPr>
            </w:pPr>
          </w:p>
        </w:tc>
        <w:tc>
          <w:tcPr>
            <w:tcW w:w="257" w:type="pct"/>
            <w:vMerge w:val="continue"/>
            <w:vAlign w:val="center"/>
          </w:tcPr>
          <w:p w14:paraId="4F16CE01">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38E9EDF5">
            <w:pPr>
              <w:widowControl/>
              <w:spacing w:after="157" w:line="280" w:lineRule="exact"/>
              <w:jc w:val="center"/>
              <w:rPr>
                <w:rFonts w:eastAsia="宋体" w:cs="Times New Roman"/>
                <w:kern w:val="0"/>
                <w:sz w:val="20"/>
                <w:szCs w:val="20"/>
              </w:rPr>
            </w:pPr>
            <w:r>
              <w:rPr>
                <w:rFonts w:eastAsia="宋体" w:cs="Times New Roman"/>
                <w:kern w:val="0"/>
                <w:sz w:val="20"/>
                <w:szCs w:val="20"/>
              </w:rPr>
              <w:t>业务管理规范性</w:t>
            </w:r>
          </w:p>
        </w:tc>
        <w:tc>
          <w:tcPr>
            <w:tcW w:w="368" w:type="pct"/>
            <w:shd w:val="clear" w:color="000000" w:fill="FFFFFF"/>
            <w:vAlign w:val="center"/>
          </w:tcPr>
          <w:p w14:paraId="015A9192">
            <w:pPr>
              <w:widowControl/>
              <w:spacing w:after="157" w:line="280" w:lineRule="exact"/>
              <w:jc w:val="left"/>
              <w:rPr>
                <w:rFonts w:eastAsia="宋体" w:cs="Times New Roman"/>
                <w:kern w:val="0"/>
                <w:sz w:val="20"/>
                <w:szCs w:val="20"/>
              </w:rPr>
            </w:pPr>
            <w:r>
              <w:rPr>
                <w:rFonts w:eastAsia="宋体" w:cs="Times New Roman"/>
                <w:kern w:val="0"/>
                <w:sz w:val="20"/>
                <w:szCs w:val="20"/>
              </w:rPr>
              <w:t>主要考察业务管理是否规范</w:t>
            </w:r>
          </w:p>
        </w:tc>
        <w:tc>
          <w:tcPr>
            <w:tcW w:w="276" w:type="pct"/>
            <w:shd w:val="clear" w:color="000000" w:fill="FFFFFF"/>
            <w:vAlign w:val="center"/>
          </w:tcPr>
          <w:p w14:paraId="0A8F3F0C">
            <w:pPr>
              <w:widowControl/>
              <w:spacing w:after="157" w:line="280" w:lineRule="exact"/>
              <w:jc w:val="center"/>
              <w:rPr>
                <w:rFonts w:eastAsia="宋体" w:cs="Times New Roman"/>
                <w:kern w:val="0"/>
                <w:sz w:val="20"/>
                <w:szCs w:val="20"/>
              </w:rPr>
            </w:pPr>
            <w:r>
              <w:rPr>
                <w:rFonts w:eastAsia="宋体" w:cs="Times New Roman"/>
                <w:kern w:val="0"/>
                <w:sz w:val="20"/>
                <w:szCs w:val="20"/>
              </w:rPr>
              <w:t>分级评分法</w:t>
            </w:r>
          </w:p>
        </w:tc>
        <w:tc>
          <w:tcPr>
            <w:tcW w:w="197" w:type="pct"/>
            <w:shd w:val="clear" w:color="000000" w:fill="FFFFFF"/>
            <w:vAlign w:val="center"/>
          </w:tcPr>
          <w:p w14:paraId="34725AE5">
            <w:pPr>
              <w:widowControl/>
              <w:spacing w:after="157" w:line="280" w:lineRule="exact"/>
              <w:jc w:val="center"/>
              <w:rPr>
                <w:rFonts w:eastAsia="宋体" w:cs="Times New Roman"/>
                <w:kern w:val="0"/>
                <w:sz w:val="20"/>
                <w:szCs w:val="20"/>
              </w:rPr>
            </w:pPr>
            <w:r>
              <w:rPr>
                <w:rFonts w:eastAsia="宋体" w:cs="Times New Roman"/>
                <w:kern w:val="0"/>
                <w:sz w:val="20"/>
                <w:szCs w:val="20"/>
              </w:rPr>
              <w:t>4处问题及以上</w:t>
            </w:r>
          </w:p>
        </w:tc>
        <w:tc>
          <w:tcPr>
            <w:tcW w:w="215" w:type="pct"/>
            <w:gridSpan w:val="2"/>
            <w:shd w:val="clear" w:color="000000" w:fill="FFFFFF"/>
            <w:vAlign w:val="center"/>
          </w:tcPr>
          <w:p w14:paraId="2215D6A0">
            <w:pPr>
              <w:widowControl/>
              <w:spacing w:after="157" w:line="280" w:lineRule="exact"/>
              <w:jc w:val="center"/>
              <w:rPr>
                <w:rFonts w:eastAsia="宋体" w:cs="Times New Roman"/>
                <w:kern w:val="0"/>
                <w:sz w:val="20"/>
                <w:szCs w:val="20"/>
              </w:rPr>
            </w:pPr>
            <w:r>
              <w:rPr>
                <w:rFonts w:eastAsia="宋体" w:cs="Times New Roman"/>
                <w:kern w:val="0"/>
                <w:sz w:val="20"/>
                <w:szCs w:val="20"/>
              </w:rPr>
              <w:t>3处及以上存在问题</w:t>
            </w:r>
          </w:p>
        </w:tc>
        <w:tc>
          <w:tcPr>
            <w:tcW w:w="277" w:type="pct"/>
            <w:shd w:val="clear" w:color="000000" w:fill="FFFFFF"/>
            <w:vAlign w:val="center"/>
          </w:tcPr>
          <w:p w14:paraId="3AD788A3">
            <w:pPr>
              <w:widowControl/>
              <w:spacing w:after="157" w:line="280" w:lineRule="exact"/>
              <w:jc w:val="center"/>
              <w:rPr>
                <w:rFonts w:eastAsia="宋体" w:cs="Times New Roman"/>
                <w:kern w:val="0"/>
                <w:sz w:val="20"/>
                <w:szCs w:val="20"/>
              </w:rPr>
            </w:pPr>
            <w:r>
              <w:rPr>
                <w:rFonts w:eastAsia="宋体" w:cs="Times New Roman"/>
                <w:kern w:val="0"/>
                <w:sz w:val="20"/>
                <w:szCs w:val="20"/>
              </w:rPr>
              <w:t>2处存在问题</w:t>
            </w:r>
          </w:p>
        </w:tc>
        <w:tc>
          <w:tcPr>
            <w:tcW w:w="188" w:type="pct"/>
            <w:gridSpan w:val="2"/>
            <w:shd w:val="clear" w:color="000000" w:fill="FFFFFF"/>
            <w:vAlign w:val="center"/>
          </w:tcPr>
          <w:p w14:paraId="79A1A280">
            <w:pPr>
              <w:widowControl/>
              <w:spacing w:after="157" w:line="280" w:lineRule="exact"/>
              <w:jc w:val="center"/>
              <w:rPr>
                <w:rFonts w:eastAsia="宋体" w:cs="Times New Roman"/>
                <w:kern w:val="0"/>
                <w:sz w:val="20"/>
                <w:szCs w:val="20"/>
              </w:rPr>
            </w:pPr>
            <w:r>
              <w:rPr>
                <w:rFonts w:eastAsia="宋体" w:cs="Times New Roman"/>
                <w:kern w:val="0"/>
                <w:sz w:val="20"/>
                <w:szCs w:val="20"/>
              </w:rPr>
              <w:t>1处存在问题</w:t>
            </w:r>
          </w:p>
        </w:tc>
        <w:tc>
          <w:tcPr>
            <w:tcW w:w="274" w:type="pct"/>
            <w:shd w:val="clear" w:color="000000" w:fill="FFFFFF"/>
            <w:vAlign w:val="center"/>
          </w:tcPr>
          <w:p w14:paraId="48E40362">
            <w:pPr>
              <w:widowControl/>
              <w:spacing w:after="157" w:line="280" w:lineRule="exact"/>
              <w:jc w:val="center"/>
              <w:rPr>
                <w:rFonts w:eastAsia="宋体" w:cs="Times New Roman"/>
                <w:kern w:val="0"/>
                <w:sz w:val="20"/>
                <w:szCs w:val="20"/>
              </w:rPr>
            </w:pPr>
            <w:r>
              <w:rPr>
                <w:rFonts w:eastAsia="宋体" w:cs="Times New Roman"/>
                <w:kern w:val="0"/>
                <w:sz w:val="20"/>
                <w:szCs w:val="20"/>
              </w:rPr>
              <w:t>管理规范</w:t>
            </w:r>
          </w:p>
        </w:tc>
        <w:tc>
          <w:tcPr>
            <w:tcW w:w="600" w:type="pct"/>
            <w:shd w:val="clear" w:color="000000" w:fill="FFFFFF"/>
            <w:vAlign w:val="center"/>
          </w:tcPr>
          <w:p w14:paraId="6E629C3E">
            <w:pPr>
              <w:widowControl/>
              <w:spacing w:after="157" w:line="280" w:lineRule="exact"/>
              <w:jc w:val="left"/>
              <w:rPr>
                <w:rFonts w:eastAsia="宋体" w:cs="Times New Roman"/>
                <w:kern w:val="0"/>
                <w:sz w:val="20"/>
                <w:szCs w:val="20"/>
              </w:rPr>
            </w:pPr>
            <w:r>
              <w:rPr>
                <w:rFonts w:eastAsia="宋体" w:cs="Times New Roman"/>
                <w:kern w:val="0"/>
                <w:sz w:val="20"/>
                <w:szCs w:val="20"/>
              </w:rPr>
              <w:t>项目管理制度是否健全完善，执行是否有效。包括程序完善性，采购和公示制度的严格执行，进度安排、成本和风险控制、质量管理等</w:t>
            </w:r>
          </w:p>
        </w:tc>
        <w:tc>
          <w:tcPr>
            <w:tcW w:w="277" w:type="pct"/>
            <w:shd w:val="clear" w:color="auto" w:fill="auto"/>
            <w:vAlign w:val="center"/>
          </w:tcPr>
          <w:p w14:paraId="5810E7F7">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6.00</w:t>
            </w:r>
          </w:p>
        </w:tc>
        <w:tc>
          <w:tcPr>
            <w:tcW w:w="185" w:type="pct"/>
            <w:shd w:val="clear" w:color="auto" w:fill="auto"/>
            <w:noWrap/>
            <w:vAlign w:val="center"/>
          </w:tcPr>
          <w:p w14:paraId="1B9FC8DF">
            <w:pPr>
              <w:widowControl/>
              <w:spacing w:after="157" w:line="280" w:lineRule="exact"/>
              <w:jc w:val="center"/>
              <w:rPr>
                <w:rFonts w:eastAsia="宋体" w:cs="Times New Roman"/>
                <w:kern w:val="0"/>
                <w:sz w:val="20"/>
                <w:szCs w:val="20"/>
              </w:rPr>
            </w:pPr>
            <w:r>
              <w:rPr>
                <w:rFonts w:eastAsia="宋体" w:cs="Times New Roman"/>
                <w:kern w:val="0"/>
                <w:sz w:val="20"/>
                <w:szCs w:val="20"/>
              </w:rPr>
              <w:t>6.00</w:t>
            </w:r>
          </w:p>
        </w:tc>
        <w:tc>
          <w:tcPr>
            <w:tcW w:w="277" w:type="pct"/>
            <w:shd w:val="clear" w:color="auto" w:fill="auto"/>
            <w:noWrap/>
            <w:vAlign w:val="center"/>
          </w:tcPr>
          <w:p w14:paraId="5BE9DA31">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35647912">
            <w:pPr>
              <w:widowControl/>
              <w:spacing w:after="157" w:line="280" w:lineRule="exact"/>
              <w:jc w:val="left"/>
              <w:rPr>
                <w:rFonts w:eastAsia="宋体" w:cs="Times New Roman"/>
                <w:kern w:val="0"/>
                <w:sz w:val="20"/>
                <w:szCs w:val="20"/>
              </w:rPr>
            </w:pPr>
            <w:r>
              <w:rPr>
                <w:rFonts w:eastAsia="宋体" w:cs="Times New Roman"/>
                <w:kern w:val="0"/>
                <w:sz w:val="20"/>
                <w:szCs w:val="20"/>
              </w:rPr>
              <w:t>　未发现业务管理不规范的情况</w:t>
            </w:r>
          </w:p>
        </w:tc>
      </w:tr>
      <w:tr w14:paraId="36A57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202" w:type="pct"/>
            <w:vMerge w:val="restart"/>
            <w:shd w:val="clear" w:color="000000" w:fill="FFFFFF"/>
            <w:textDirection w:val="tbRlV"/>
            <w:vAlign w:val="center"/>
          </w:tcPr>
          <w:p w14:paraId="1D3D295F">
            <w:pPr>
              <w:widowControl/>
              <w:spacing w:after="157" w:line="280" w:lineRule="exact"/>
              <w:jc w:val="center"/>
              <w:rPr>
                <w:rFonts w:eastAsia="宋体" w:cs="Times New Roman"/>
                <w:b/>
                <w:bCs/>
                <w:kern w:val="0"/>
                <w:sz w:val="20"/>
                <w:szCs w:val="20"/>
              </w:rPr>
            </w:pPr>
            <w:r>
              <w:rPr>
                <w:rFonts w:eastAsia="宋体" w:cs="Times New Roman"/>
                <w:b/>
                <w:bCs/>
                <w:kern w:val="0"/>
                <w:sz w:val="20"/>
                <w:szCs w:val="20"/>
              </w:rPr>
              <w:t>项目绩效（60）</w:t>
            </w:r>
          </w:p>
        </w:tc>
        <w:tc>
          <w:tcPr>
            <w:tcW w:w="257" w:type="pct"/>
            <w:vMerge w:val="restart"/>
            <w:shd w:val="clear" w:color="000000" w:fill="FFFFFF"/>
            <w:vAlign w:val="center"/>
          </w:tcPr>
          <w:p w14:paraId="4E68E7CB">
            <w:pPr>
              <w:widowControl/>
              <w:spacing w:after="157" w:line="280" w:lineRule="exact"/>
              <w:jc w:val="center"/>
              <w:rPr>
                <w:rFonts w:eastAsia="宋体" w:cs="Times New Roman"/>
                <w:kern w:val="0"/>
                <w:sz w:val="20"/>
                <w:szCs w:val="20"/>
              </w:rPr>
            </w:pPr>
            <w:r>
              <w:rPr>
                <w:rFonts w:eastAsia="宋体" w:cs="Times New Roman"/>
                <w:kern w:val="0"/>
                <w:sz w:val="20"/>
                <w:szCs w:val="20"/>
              </w:rPr>
              <w:t>完成数量</w:t>
            </w:r>
          </w:p>
        </w:tc>
        <w:tc>
          <w:tcPr>
            <w:tcW w:w="233" w:type="pct"/>
            <w:shd w:val="clear" w:color="000000" w:fill="FFFFFF"/>
            <w:vAlign w:val="center"/>
          </w:tcPr>
          <w:p w14:paraId="29913F1F">
            <w:pPr>
              <w:widowControl/>
              <w:spacing w:after="157" w:line="280" w:lineRule="exact"/>
              <w:jc w:val="center"/>
              <w:rPr>
                <w:rFonts w:eastAsia="宋体" w:cs="Times New Roman"/>
                <w:kern w:val="0"/>
                <w:sz w:val="20"/>
                <w:szCs w:val="20"/>
              </w:rPr>
            </w:pPr>
            <w:r>
              <w:rPr>
                <w:rFonts w:eastAsia="宋体" w:cs="Times New Roman"/>
                <w:kern w:val="0"/>
                <w:sz w:val="20"/>
                <w:szCs w:val="20"/>
              </w:rPr>
              <w:t>经费覆盖人数</w:t>
            </w:r>
          </w:p>
        </w:tc>
        <w:tc>
          <w:tcPr>
            <w:tcW w:w="368" w:type="pct"/>
            <w:shd w:val="clear" w:color="000000" w:fill="FFFFFF"/>
            <w:vAlign w:val="center"/>
          </w:tcPr>
          <w:p w14:paraId="442F6313">
            <w:pPr>
              <w:widowControl/>
              <w:spacing w:after="157" w:line="280" w:lineRule="exact"/>
              <w:jc w:val="left"/>
              <w:rPr>
                <w:rFonts w:eastAsia="宋体" w:cs="Times New Roman"/>
                <w:kern w:val="0"/>
                <w:sz w:val="20"/>
                <w:szCs w:val="20"/>
              </w:rPr>
            </w:pPr>
            <w:r>
              <w:rPr>
                <w:rFonts w:eastAsia="宋体" w:cs="Times New Roman"/>
                <w:kern w:val="0"/>
                <w:sz w:val="20"/>
                <w:szCs w:val="20"/>
              </w:rPr>
              <w:t>主要考察经费覆盖协管人员数量</w:t>
            </w:r>
          </w:p>
        </w:tc>
        <w:tc>
          <w:tcPr>
            <w:tcW w:w="276" w:type="pct"/>
            <w:shd w:val="clear" w:color="000000" w:fill="FFFFFF"/>
            <w:vAlign w:val="center"/>
          </w:tcPr>
          <w:p w14:paraId="68F8AF6F">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1151" w:type="pct"/>
            <w:gridSpan w:val="7"/>
            <w:shd w:val="clear" w:color="000000" w:fill="FFFFFF"/>
            <w:vAlign w:val="center"/>
          </w:tcPr>
          <w:p w14:paraId="276F25DE">
            <w:pPr>
              <w:widowControl/>
              <w:spacing w:after="157" w:line="280" w:lineRule="exact"/>
              <w:jc w:val="center"/>
              <w:rPr>
                <w:rFonts w:eastAsia="宋体" w:cs="Times New Roman"/>
                <w:kern w:val="0"/>
                <w:sz w:val="20"/>
                <w:szCs w:val="20"/>
              </w:rPr>
            </w:pPr>
            <w:r>
              <w:rPr>
                <w:rFonts w:eastAsia="宋体" w:cs="Times New Roman"/>
                <w:kern w:val="0"/>
                <w:sz w:val="20"/>
                <w:szCs w:val="20"/>
              </w:rPr>
              <w:t>指标得分=实际覆盖人数/计划覆盖人数*100%*指标分值</w:t>
            </w:r>
          </w:p>
        </w:tc>
        <w:tc>
          <w:tcPr>
            <w:tcW w:w="600" w:type="pct"/>
            <w:shd w:val="clear" w:color="000000" w:fill="FFFFFF"/>
            <w:vAlign w:val="center"/>
          </w:tcPr>
          <w:p w14:paraId="6E0C88BE">
            <w:pPr>
              <w:widowControl/>
              <w:spacing w:after="157" w:line="280" w:lineRule="exact"/>
              <w:jc w:val="center"/>
              <w:rPr>
                <w:rFonts w:eastAsia="宋体" w:cs="Times New Roman"/>
                <w:kern w:val="0"/>
                <w:sz w:val="20"/>
                <w:szCs w:val="20"/>
              </w:rPr>
            </w:pPr>
            <w:r>
              <w:rPr>
                <w:rFonts w:eastAsia="宋体" w:cs="Times New Roman"/>
                <w:kern w:val="0"/>
                <w:sz w:val="20"/>
                <w:szCs w:val="20"/>
              </w:rPr>
              <w:t>超限超载治理工作开展过程中临聘的协管人员的覆盖情况</w:t>
            </w:r>
          </w:p>
        </w:tc>
        <w:tc>
          <w:tcPr>
            <w:tcW w:w="277" w:type="pct"/>
            <w:shd w:val="clear" w:color="auto" w:fill="auto"/>
            <w:vAlign w:val="center"/>
          </w:tcPr>
          <w:p w14:paraId="71E6CBB8">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9.00</w:t>
            </w:r>
          </w:p>
        </w:tc>
        <w:tc>
          <w:tcPr>
            <w:tcW w:w="185" w:type="pct"/>
            <w:shd w:val="clear" w:color="auto" w:fill="auto"/>
            <w:noWrap/>
            <w:vAlign w:val="center"/>
          </w:tcPr>
          <w:p w14:paraId="3E2244DC">
            <w:pPr>
              <w:widowControl/>
              <w:spacing w:after="157" w:line="280" w:lineRule="exact"/>
              <w:jc w:val="center"/>
              <w:rPr>
                <w:rFonts w:eastAsia="宋体" w:cs="Times New Roman"/>
                <w:kern w:val="0"/>
                <w:sz w:val="20"/>
                <w:szCs w:val="20"/>
              </w:rPr>
            </w:pPr>
            <w:r>
              <w:rPr>
                <w:rFonts w:eastAsia="宋体" w:cs="Times New Roman"/>
                <w:kern w:val="0"/>
                <w:sz w:val="20"/>
                <w:szCs w:val="20"/>
              </w:rPr>
              <w:t>9.00</w:t>
            </w:r>
          </w:p>
        </w:tc>
        <w:tc>
          <w:tcPr>
            <w:tcW w:w="277" w:type="pct"/>
            <w:shd w:val="clear" w:color="auto" w:fill="auto"/>
            <w:noWrap/>
            <w:vAlign w:val="center"/>
          </w:tcPr>
          <w:p w14:paraId="43B87EDE">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noWrap/>
            <w:vAlign w:val="center"/>
          </w:tcPr>
          <w:p w14:paraId="28CCD5AA">
            <w:pPr>
              <w:spacing w:after="157"/>
              <w:rPr>
                <w:rFonts w:eastAsia="宋体" w:cs="Times New Roman"/>
                <w:sz w:val="20"/>
                <w:szCs w:val="28"/>
              </w:rPr>
            </w:pPr>
            <w:r>
              <w:rPr>
                <w:rFonts w:eastAsia="宋体" w:cs="Times New Roman"/>
                <w:kern w:val="0"/>
                <w:sz w:val="20"/>
                <w:szCs w:val="20"/>
              </w:rPr>
              <w:t>　</w:t>
            </w:r>
            <w:r>
              <w:rPr>
                <w:rFonts w:eastAsia="宋体" w:cs="Times New Roman"/>
                <w:sz w:val="20"/>
                <w:szCs w:val="28"/>
              </w:rPr>
              <w:t>实际覆盖人数与计划覆盖人数一致，符合指标要求</w:t>
            </w:r>
          </w:p>
          <w:p w14:paraId="17E7E76A">
            <w:pPr>
              <w:widowControl/>
              <w:spacing w:after="157" w:line="280" w:lineRule="exact"/>
              <w:jc w:val="left"/>
              <w:rPr>
                <w:rFonts w:eastAsia="宋体" w:cs="Times New Roman"/>
                <w:kern w:val="0"/>
                <w:sz w:val="20"/>
                <w:szCs w:val="20"/>
              </w:rPr>
            </w:pPr>
          </w:p>
        </w:tc>
      </w:tr>
      <w:tr w14:paraId="3D2A1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202" w:type="pct"/>
            <w:vMerge w:val="continue"/>
            <w:vAlign w:val="center"/>
          </w:tcPr>
          <w:p w14:paraId="05945DC2">
            <w:pPr>
              <w:widowControl/>
              <w:spacing w:after="157" w:line="280" w:lineRule="exact"/>
              <w:jc w:val="left"/>
              <w:rPr>
                <w:rFonts w:eastAsia="宋体" w:cs="Times New Roman"/>
                <w:b/>
                <w:bCs/>
                <w:kern w:val="0"/>
                <w:sz w:val="20"/>
                <w:szCs w:val="20"/>
              </w:rPr>
            </w:pPr>
          </w:p>
        </w:tc>
        <w:tc>
          <w:tcPr>
            <w:tcW w:w="257" w:type="pct"/>
            <w:vMerge w:val="continue"/>
            <w:vAlign w:val="center"/>
          </w:tcPr>
          <w:p w14:paraId="27DD91F4">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7A34F323">
            <w:pPr>
              <w:widowControl/>
              <w:spacing w:after="157" w:line="280" w:lineRule="exact"/>
              <w:jc w:val="center"/>
              <w:rPr>
                <w:rFonts w:eastAsia="宋体" w:cs="Times New Roman"/>
                <w:kern w:val="0"/>
                <w:sz w:val="20"/>
                <w:szCs w:val="20"/>
              </w:rPr>
            </w:pPr>
            <w:r>
              <w:rPr>
                <w:rFonts w:eastAsia="宋体" w:cs="Times New Roman"/>
                <w:kern w:val="0"/>
                <w:sz w:val="20"/>
                <w:szCs w:val="20"/>
              </w:rPr>
              <w:t>查处超限超载货运车辆数的增长率</w:t>
            </w:r>
          </w:p>
        </w:tc>
        <w:tc>
          <w:tcPr>
            <w:tcW w:w="368" w:type="pct"/>
            <w:shd w:val="clear" w:color="000000" w:fill="FFFFFF"/>
            <w:vAlign w:val="center"/>
          </w:tcPr>
          <w:p w14:paraId="5C607A14">
            <w:pPr>
              <w:widowControl/>
              <w:spacing w:after="157" w:line="280" w:lineRule="exact"/>
              <w:jc w:val="left"/>
              <w:rPr>
                <w:rFonts w:eastAsia="宋体" w:cs="Times New Roman"/>
                <w:kern w:val="0"/>
                <w:sz w:val="20"/>
                <w:szCs w:val="20"/>
              </w:rPr>
            </w:pPr>
            <w:r>
              <w:rPr>
                <w:rFonts w:eastAsia="宋体" w:cs="Times New Roman"/>
                <w:kern w:val="0"/>
                <w:sz w:val="20"/>
                <w:szCs w:val="20"/>
              </w:rPr>
              <w:t>主要考察通过科技治超（电子卡口）设施运营维护查处车辆数量</w:t>
            </w:r>
          </w:p>
        </w:tc>
        <w:tc>
          <w:tcPr>
            <w:tcW w:w="276" w:type="pct"/>
            <w:shd w:val="clear" w:color="000000" w:fill="FFFFFF"/>
            <w:vAlign w:val="center"/>
          </w:tcPr>
          <w:p w14:paraId="7C382E8C">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1151" w:type="pct"/>
            <w:gridSpan w:val="7"/>
            <w:shd w:val="clear" w:color="000000" w:fill="FFFFFF"/>
            <w:vAlign w:val="center"/>
          </w:tcPr>
          <w:p w14:paraId="125EB689">
            <w:pPr>
              <w:widowControl/>
              <w:spacing w:after="157" w:line="280" w:lineRule="exact"/>
              <w:jc w:val="center"/>
              <w:rPr>
                <w:rFonts w:eastAsia="宋体" w:cs="Times New Roman"/>
                <w:kern w:val="0"/>
                <w:sz w:val="20"/>
                <w:szCs w:val="20"/>
              </w:rPr>
            </w:pPr>
            <w:r>
              <w:rPr>
                <w:rFonts w:eastAsia="宋体" w:cs="Times New Roman"/>
                <w:kern w:val="0"/>
                <w:sz w:val="20"/>
                <w:szCs w:val="20"/>
              </w:rPr>
              <w:t>指标得分=（2020年查处超限超载货运车辆车次数/2019查处超限超载货运车辆车次数-1）*指标分值</w:t>
            </w:r>
          </w:p>
        </w:tc>
        <w:tc>
          <w:tcPr>
            <w:tcW w:w="600" w:type="pct"/>
            <w:shd w:val="clear" w:color="000000" w:fill="FFFFFF"/>
            <w:vAlign w:val="center"/>
          </w:tcPr>
          <w:p w14:paraId="568D5B0B">
            <w:pPr>
              <w:widowControl/>
              <w:spacing w:after="157" w:line="280" w:lineRule="exact"/>
              <w:jc w:val="center"/>
              <w:rPr>
                <w:rFonts w:eastAsia="宋体" w:cs="Times New Roman"/>
                <w:kern w:val="0"/>
                <w:sz w:val="20"/>
                <w:szCs w:val="20"/>
              </w:rPr>
            </w:pPr>
            <w:r>
              <w:rPr>
                <w:rFonts w:eastAsia="宋体" w:cs="Times New Roman"/>
                <w:kern w:val="0"/>
                <w:sz w:val="20"/>
                <w:szCs w:val="20"/>
              </w:rPr>
              <w:t>与2019年相比，2020年查处超限超载货运车辆的增幅</w:t>
            </w:r>
          </w:p>
        </w:tc>
        <w:tc>
          <w:tcPr>
            <w:tcW w:w="277" w:type="pct"/>
            <w:shd w:val="clear" w:color="auto" w:fill="auto"/>
            <w:vAlign w:val="center"/>
          </w:tcPr>
          <w:p w14:paraId="07EA9475">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6.00</w:t>
            </w:r>
          </w:p>
        </w:tc>
        <w:tc>
          <w:tcPr>
            <w:tcW w:w="185" w:type="pct"/>
            <w:shd w:val="clear" w:color="auto" w:fill="auto"/>
            <w:noWrap/>
            <w:vAlign w:val="center"/>
          </w:tcPr>
          <w:p w14:paraId="4D4E0FB7">
            <w:pPr>
              <w:widowControl/>
              <w:spacing w:after="157" w:line="280" w:lineRule="exact"/>
              <w:jc w:val="center"/>
              <w:rPr>
                <w:rFonts w:eastAsia="宋体" w:cs="Times New Roman"/>
                <w:kern w:val="0"/>
                <w:sz w:val="20"/>
                <w:szCs w:val="20"/>
              </w:rPr>
            </w:pPr>
            <w:r>
              <w:rPr>
                <w:rFonts w:eastAsia="宋体" w:cs="Times New Roman"/>
                <w:kern w:val="0"/>
                <w:sz w:val="20"/>
                <w:szCs w:val="20"/>
              </w:rPr>
              <w:t>6.00</w:t>
            </w:r>
          </w:p>
        </w:tc>
        <w:tc>
          <w:tcPr>
            <w:tcW w:w="277" w:type="pct"/>
            <w:shd w:val="clear" w:color="auto" w:fill="auto"/>
            <w:noWrap/>
            <w:vAlign w:val="center"/>
          </w:tcPr>
          <w:p w14:paraId="46BDB6B2">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7716B4FC">
            <w:pPr>
              <w:widowControl/>
              <w:spacing w:after="157" w:line="280" w:lineRule="exact"/>
              <w:jc w:val="left"/>
              <w:rPr>
                <w:rFonts w:eastAsia="宋体" w:cs="Times New Roman"/>
                <w:kern w:val="0"/>
                <w:sz w:val="20"/>
                <w:szCs w:val="20"/>
              </w:rPr>
            </w:pPr>
            <w:r>
              <w:rPr>
                <w:rFonts w:eastAsia="宋体" w:cs="Times New Roman"/>
                <w:kern w:val="0"/>
                <w:sz w:val="20"/>
                <w:szCs w:val="20"/>
              </w:rPr>
              <w:t>2019年查处超限超载货运车辆365起，2020年查处超限超载货运车辆1099起。得分=（1099/365-1）*6=12.02，满分6分，最终得分6分。</w:t>
            </w:r>
          </w:p>
        </w:tc>
      </w:tr>
      <w:tr w14:paraId="3097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trPr>
        <w:tc>
          <w:tcPr>
            <w:tcW w:w="202" w:type="pct"/>
            <w:vMerge w:val="continue"/>
            <w:vAlign w:val="center"/>
          </w:tcPr>
          <w:p w14:paraId="13D0F342">
            <w:pPr>
              <w:widowControl/>
              <w:spacing w:after="157" w:line="280" w:lineRule="exact"/>
              <w:jc w:val="left"/>
              <w:rPr>
                <w:rFonts w:eastAsia="宋体" w:cs="Times New Roman"/>
                <w:b/>
                <w:bCs/>
                <w:kern w:val="0"/>
                <w:sz w:val="20"/>
                <w:szCs w:val="20"/>
              </w:rPr>
            </w:pPr>
          </w:p>
        </w:tc>
        <w:tc>
          <w:tcPr>
            <w:tcW w:w="257" w:type="pct"/>
            <w:vMerge w:val="continue"/>
            <w:vAlign w:val="center"/>
          </w:tcPr>
          <w:p w14:paraId="5210E678">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6D666BF9">
            <w:pPr>
              <w:widowControl/>
              <w:spacing w:after="157" w:line="280" w:lineRule="exact"/>
              <w:jc w:val="center"/>
              <w:rPr>
                <w:rFonts w:eastAsia="宋体" w:cs="Times New Roman"/>
                <w:kern w:val="0"/>
                <w:sz w:val="20"/>
                <w:szCs w:val="20"/>
              </w:rPr>
            </w:pPr>
            <w:r>
              <w:rPr>
                <w:rFonts w:eastAsia="宋体" w:cs="Times New Roman"/>
                <w:kern w:val="0"/>
                <w:sz w:val="20"/>
                <w:szCs w:val="20"/>
              </w:rPr>
              <w:t>卸载（转）载货物吨数的下降率</w:t>
            </w:r>
          </w:p>
        </w:tc>
        <w:tc>
          <w:tcPr>
            <w:tcW w:w="368" w:type="pct"/>
            <w:shd w:val="clear" w:color="000000" w:fill="FFFFFF"/>
            <w:vAlign w:val="center"/>
          </w:tcPr>
          <w:p w14:paraId="0D491C42">
            <w:pPr>
              <w:widowControl/>
              <w:spacing w:after="157" w:line="280" w:lineRule="exact"/>
              <w:jc w:val="left"/>
              <w:rPr>
                <w:rFonts w:eastAsia="宋体" w:cs="Times New Roman"/>
                <w:kern w:val="0"/>
                <w:sz w:val="20"/>
                <w:szCs w:val="20"/>
              </w:rPr>
            </w:pPr>
            <w:r>
              <w:rPr>
                <w:rFonts w:eastAsia="宋体" w:cs="Times New Roman"/>
                <w:kern w:val="0"/>
                <w:sz w:val="20"/>
                <w:szCs w:val="20"/>
              </w:rPr>
              <w:t>主要考察用于卸载场地所完成卸载工作数量</w:t>
            </w:r>
          </w:p>
        </w:tc>
        <w:tc>
          <w:tcPr>
            <w:tcW w:w="276" w:type="pct"/>
            <w:shd w:val="clear" w:color="000000" w:fill="FFFFFF"/>
            <w:vAlign w:val="center"/>
          </w:tcPr>
          <w:p w14:paraId="48CDB990">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275" w:type="pct"/>
            <w:gridSpan w:val="2"/>
            <w:shd w:val="clear" w:color="000000" w:fill="FFFFFF"/>
            <w:vAlign w:val="center"/>
          </w:tcPr>
          <w:p w14:paraId="17549BE3">
            <w:pPr>
              <w:widowControl/>
              <w:spacing w:after="157" w:line="280" w:lineRule="exact"/>
              <w:jc w:val="left"/>
              <w:rPr>
                <w:rFonts w:eastAsia="宋体" w:cs="Times New Roman"/>
                <w:kern w:val="0"/>
                <w:sz w:val="20"/>
                <w:szCs w:val="20"/>
              </w:rPr>
            </w:pPr>
            <w:r>
              <w:rPr>
                <w:rFonts w:eastAsia="宋体" w:cs="Times New Roman"/>
                <w:kern w:val="0"/>
                <w:sz w:val="20"/>
                <w:szCs w:val="20"/>
              </w:rPr>
              <w:t>下降率≤15%</w:t>
            </w:r>
          </w:p>
        </w:tc>
        <w:tc>
          <w:tcPr>
            <w:tcW w:w="137" w:type="pct"/>
            <w:shd w:val="clear" w:color="000000" w:fill="FFFFFF"/>
            <w:vAlign w:val="center"/>
          </w:tcPr>
          <w:p w14:paraId="23ED0D63">
            <w:pPr>
              <w:widowControl/>
              <w:spacing w:after="157" w:line="280" w:lineRule="exact"/>
              <w:jc w:val="left"/>
              <w:rPr>
                <w:rFonts w:eastAsia="宋体" w:cs="Times New Roman"/>
                <w:kern w:val="0"/>
                <w:sz w:val="20"/>
                <w:szCs w:val="20"/>
              </w:rPr>
            </w:pPr>
            <w:r>
              <w:rPr>
                <w:rFonts w:eastAsia="宋体" w:cs="Times New Roman"/>
                <w:kern w:val="0"/>
                <w:sz w:val="20"/>
                <w:szCs w:val="20"/>
              </w:rPr>
              <w:t>　</w:t>
            </w:r>
          </w:p>
        </w:tc>
        <w:tc>
          <w:tcPr>
            <w:tcW w:w="277" w:type="pct"/>
            <w:shd w:val="clear" w:color="000000" w:fill="FFFFFF"/>
            <w:vAlign w:val="center"/>
          </w:tcPr>
          <w:p w14:paraId="58275219">
            <w:pPr>
              <w:widowControl/>
              <w:spacing w:after="157" w:line="280" w:lineRule="exact"/>
              <w:jc w:val="left"/>
              <w:rPr>
                <w:rFonts w:eastAsia="宋体" w:cs="Times New Roman"/>
                <w:kern w:val="0"/>
                <w:sz w:val="20"/>
                <w:szCs w:val="20"/>
              </w:rPr>
            </w:pPr>
            <w:r>
              <w:rPr>
                <w:rFonts w:eastAsia="宋体" w:cs="Times New Roman"/>
                <w:kern w:val="0"/>
                <w:sz w:val="20"/>
                <w:szCs w:val="20"/>
              </w:rPr>
              <w:t>15%≤下降率≤30%</w:t>
            </w:r>
          </w:p>
        </w:tc>
        <w:tc>
          <w:tcPr>
            <w:tcW w:w="92" w:type="pct"/>
            <w:shd w:val="clear" w:color="000000" w:fill="FFFFFF"/>
            <w:vAlign w:val="center"/>
          </w:tcPr>
          <w:p w14:paraId="77857FB1">
            <w:pPr>
              <w:widowControl/>
              <w:spacing w:after="157" w:line="280" w:lineRule="exact"/>
              <w:jc w:val="left"/>
              <w:rPr>
                <w:rFonts w:eastAsia="宋体" w:cs="Times New Roman"/>
                <w:kern w:val="0"/>
                <w:sz w:val="20"/>
                <w:szCs w:val="20"/>
              </w:rPr>
            </w:pPr>
            <w:r>
              <w:rPr>
                <w:rFonts w:eastAsia="宋体" w:cs="Times New Roman"/>
                <w:kern w:val="0"/>
                <w:sz w:val="20"/>
                <w:szCs w:val="20"/>
              </w:rPr>
              <w:t>　</w:t>
            </w:r>
          </w:p>
        </w:tc>
        <w:tc>
          <w:tcPr>
            <w:tcW w:w="370" w:type="pct"/>
            <w:gridSpan w:val="2"/>
            <w:shd w:val="clear" w:color="000000" w:fill="FFFFFF"/>
            <w:vAlign w:val="center"/>
          </w:tcPr>
          <w:p w14:paraId="578097BE">
            <w:pPr>
              <w:widowControl/>
              <w:spacing w:after="157" w:line="280" w:lineRule="exact"/>
              <w:jc w:val="left"/>
              <w:rPr>
                <w:rFonts w:eastAsia="宋体" w:cs="Times New Roman"/>
                <w:kern w:val="0"/>
                <w:sz w:val="20"/>
                <w:szCs w:val="20"/>
              </w:rPr>
            </w:pPr>
            <w:r>
              <w:rPr>
                <w:rFonts w:eastAsia="宋体" w:cs="Times New Roman"/>
                <w:kern w:val="0"/>
                <w:sz w:val="20"/>
                <w:szCs w:val="20"/>
              </w:rPr>
              <w:t>30%≤下降率</w:t>
            </w:r>
          </w:p>
        </w:tc>
        <w:tc>
          <w:tcPr>
            <w:tcW w:w="600" w:type="pct"/>
            <w:shd w:val="clear" w:color="000000" w:fill="FFFFFF"/>
            <w:vAlign w:val="center"/>
          </w:tcPr>
          <w:p w14:paraId="7B4A4A55">
            <w:pPr>
              <w:widowControl/>
              <w:spacing w:after="157" w:line="280" w:lineRule="exact"/>
              <w:jc w:val="center"/>
              <w:rPr>
                <w:rFonts w:eastAsia="宋体" w:cs="Times New Roman"/>
                <w:kern w:val="0"/>
                <w:sz w:val="20"/>
                <w:szCs w:val="20"/>
              </w:rPr>
            </w:pPr>
            <w:r>
              <w:rPr>
                <w:rFonts w:eastAsia="宋体" w:cs="Times New Roman"/>
                <w:kern w:val="0"/>
                <w:sz w:val="20"/>
                <w:szCs w:val="20"/>
              </w:rPr>
              <w:t>与2019年相比，2020年卸载（转）载货物吨数的降幅；下降率=（2020年卸载（转）载货物吨数/2019卸载（转）载货物吨数-1）</w:t>
            </w:r>
          </w:p>
        </w:tc>
        <w:tc>
          <w:tcPr>
            <w:tcW w:w="277" w:type="pct"/>
            <w:shd w:val="clear" w:color="auto" w:fill="auto"/>
            <w:vAlign w:val="center"/>
          </w:tcPr>
          <w:p w14:paraId="6C1297D0">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6.00</w:t>
            </w:r>
          </w:p>
        </w:tc>
        <w:tc>
          <w:tcPr>
            <w:tcW w:w="185" w:type="pct"/>
            <w:shd w:val="clear" w:color="auto" w:fill="auto"/>
            <w:noWrap/>
            <w:vAlign w:val="center"/>
          </w:tcPr>
          <w:p w14:paraId="2056E6FF">
            <w:pPr>
              <w:widowControl/>
              <w:spacing w:after="157" w:line="280" w:lineRule="exact"/>
              <w:jc w:val="center"/>
              <w:rPr>
                <w:rFonts w:eastAsia="宋体" w:cs="Times New Roman"/>
                <w:kern w:val="0"/>
                <w:sz w:val="20"/>
                <w:szCs w:val="20"/>
              </w:rPr>
            </w:pPr>
            <w:r>
              <w:rPr>
                <w:rFonts w:eastAsia="宋体" w:cs="Times New Roman"/>
                <w:kern w:val="0"/>
                <w:sz w:val="20"/>
                <w:szCs w:val="20"/>
              </w:rPr>
              <w:t>3.60</w:t>
            </w:r>
          </w:p>
        </w:tc>
        <w:tc>
          <w:tcPr>
            <w:tcW w:w="277" w:type="pct"/>
            <w:shd w:val="clear" w:color="auto" w:fill="auto"/>
            <w:noWrap/>
            <w:vAlign w:val="center"/>
          </w:tcPr>
          <w:p w14:paraId="40E895C9">
            <w:pPr>
              <w:widowControl/>
              <w:spacing w:after="157" w:line="280" w:lineRule="exact"/>
              <w:jc w:val="center"/>
              <w:rPr>
                <w:rFonts w:eastAsia="宋体" w:cs="Times New Roman"/>
                <w:kern w:val="0"/>
                <w:sz w:val="20"/>
                <w:szCs w:val="20"/>
              </w:rPr>
            </w:pPr>
            <w:r>
              <w:rPr>
                <w:rFonts w:eastAsia="宋体" w:cs="Times New Roman"/>
                <w:kern w:val="0"/>
                <w:sz w:val="20"/>
                <w:szCs w:val="20"/>
              </w:rPr>
              <w:t>60.00%</w:t>
            </w:r>
          </w:p>
        </w:tc>
        <w:tc>
          <w:tcPr>
            <w:tcW w:w="1174" w:type="pct"/>
            <w:shd w:val="clear" w:color="auto" w:fill="auto"/>
            <w:vAlign w:val="center"/>
          </w:tcPr>
          <w:p w14:paraId="35C70EFF">
            <w:pPr>
              <w:widowControl/>
              <w:spacing w:after="157" w:line="280" w:lineRule="exact"/>
              <w:jc w:val="left"/>
              <w:rPr>
                <w:rFonts w:eastAsia="宋体" w:cs="Times New Roman"/>
                <w:kern w:val="0"/>
                <w:sz w:val="20"/>
                <w:szCs w:val="20"/>
              </w:rPr>
            </w:pPr>
            <w:r>
              <w:rPr>
                <w:rFonts w:eastAsia="宋体" w:cs="Times New Roman"/>
                <w:kern w:val="0"/>
                <w:sz w:val="20"/>
                <w:szCs w:val="20"/>
              </w:rPr>
              <w:t>2019年卸载货物10726吨，2020卸载货物吨数8452吨。得分=（8452/10726-1）=0.21，下降率为21%，最终得分6*0.6=3.6分。</w:t>
            </w:r>
          </w:p>
        </w:tc>
      </w:tr>
      <w:tr w14:paraId="02CBD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202" w:type="pct"/>
            <w:vMerge w:val="continue"/>
            <w:vAlign w:val="center"/>
          </w:tcPr>
          <w:p w14:paraId="2E814C77">
            <w:pPr>
              <w:widowControl/>
              <w:spacing w:after="157" w:line="280" w:lineRule="exact"/>
              <w:jc w:val="left"/>
              <w:rPr>
                <w:rFonts w:eastAsia="宋体" w:cs="Times New Roman"/>
                <w:b/>
                <w:bCs/>
                <w:kern w:val="0"/>
                <w:sz w:val="20"/>
                <w:szCs w:val="20"/>
              </w:rPr>
            </w:pPr>
          </w:p>
        </w:tc>
        <w:tc>
          <w:tcPr>
            <w:tcW w:w="257" w:type="pct"/>
            <w:vMerge w:val="restart"/>
            <w:shd w:val="clear" w:color="000000" w:fill="FFFFFF"/>
            <w:vAlign w:val="center"/>
          </w:tcPr>
          <w:p w14:paraId="315F2F7F">
            <w:pPr>
              <w:widowControl/>
              <w:spacing w:after="157" w:line="280" w:lineRule="exact"/>
              <w:jc w:val="center"/>
              <w:rPr>
                <w:rFonts w:eastAsia="宋体" w:cs="Times New Roman"/>
                <w:kern w:val="0"/>
                <w:sz w:val="20"/>
                <w:szCs w:val="20"/>
              </w:rPr>
            </w:pPr>
            <w:r>
              <w:rPr>
                <w:rFonts w:eastAsia="宋体" w:cs="Times New Roman"/>
                <w:kern w:val="0"/>
                <w:sz w:val="20"/>
                <w:szCs w:val="20"/>
              </w:rPr>
              <w:t>社会效益</w:t>
            </w:r>
          </w:p>
        </w:tc>
        <w:tc>
          <w:tcPr>
            <w:tcW w:w="233" w:type="pct"/>
            <w:shd w:val="clear" w:color="000000" w:fill="FFFFFF"/>
            <w:vAlign w:val="center"/>
          </w:tcPr>
          <w:p w14:paraId="2BADF2CE">
            <w:pPr>
              <w:widowControl/>
              <w:spacing w:after="157" w:line="280" w:lineRule="exact"/>
              <w:jc w:val="center"/>
              <w:rPr>
                <w:rFonts w:eastAsia="宋体" w:cs="Times New Roman"/>
                <w:kern w:val="0"/>
                <w:sz w:val="20"/>
                <w:szCs w:val="20"/>
              </w:rPr>
            </w:pPr>
            <w:r>
              <w:rPr>
                <w:rFonts w:eastAsia="宋体" w:cs="Times New Roman"/>
                <w:kern w:val="0"/>
                <w:sz w:val="20"/>
                <w:szCs w:val="20"/>
              </w:rPr>
              <w:t>直管公路超限车辆控制率</w:t>
            </w:r>
          </w:p>
        </w:tc>
        <w:tc>
          <w:tcPr>
            <w:tcW w:w="368" w:type="pct"/>
            <w:shd w:val="clear" w:color="000000" w:fill="FFFFFF"/>
            <w:vAlign w:val="center"/>
          </w:tcPr>
          <w:p w14:paraId="4B48903E">
            <w:pPr>
              <w:widowControl/>
              <w:spacing w:after="157" w:line="280" w:lineRule="exact"/>
              <w:jc w:val="center"/>
              <w:rPr>
                <w:rFonts w:eastAsia="宋体" w:cs="Times New Roman"/>
                <w:kern w:val="0"/>
                <w:sz w:val="20"/>
                <w:szCs w:val="20"/>
              </w:rPr>
            </w:pPr>
            <w:r>
              <w:rPr>
                <w:rFonts w:eastAsia="宋体" w:cs="Times New Roman"/>
                <w:kern w:val="0"/>
                <w:sz w:val="20"/>
                <w:szCs w:val="20"/>
              </w:rPr>
              <w:t>主要考察公路管理人员对公路超限车辆控制情况</w:t>
            </w:r>
          </w:p>
        </w:tc>
        <w:tc>
          <w:tcPr>
            <w:tcW w:w="276" w:type="pct"/>
            <w:shd w:val="clear" w:color="000000" w:fill="FFFFFF"/>
            <w:vAlign w:val="center"/>
          </w:tcPr>
          <w:p w14:paraId="39D27856">
            <w:pPr>
              <w:widowControl/>
              <w:spacing w:after="157" w:line="280" w:lineRule="exact"/>
              <w:jc w:val="center"/>
              <w:rPr>
                <w:rFonts w:eastAsia="宋体" w:cs="Times New Roman"/>
                <w:kern w:val="0"/>
                <w:sz w:val="20"/>
                <w:szCs w:val="20"/>
              </w:rPr>
            </w:pPr>
            <w:r>
              <w:rPr>
                <w:rFonts w:eastAsia="宋体" w:cs="Times New Roman"/>
                <w:kern w:val="0"/>
                <w:sz w:val="20"/>
                <w:szCs w:val="20"/>
              </w:rPr>
              <w:t>是否评分法</w:t>
            </w:r>
          </w:p>
        </w:tc>
        <w:tc>
          <w:tcPr>
            <w:tcW w:w="275" w:type="pct"/>
            <w:gridSpan w:val="2"/>
            <w:shd w:val="clear" w:color="000000" w:fill="FFFFFF"/>
            <w:vAlign w:val="center"/>
          </w:tcPr>
          <w:p w14:paraId="5A5F3E9A">
            <w:pPr>
              <w:widowControl/>
              <w:spacing w:after="157" w:line="280" w:lineRule="exact"/>
              <w:jc w:val="center"/>
              <w:rPr>
                <w:rFonts w:eastAsia="宋体" w:cs="Times New Roman"/>
                <w:kern w:val="0"/>
                <w:sz w:val="20"/>
                <w:szCs w:val="20"/>
              </w:rPr>
            </w:pPr>
            <w:r>
              <w:rPr>
                <w:rFonts w:eastAsia="宋体" w:cs="Times New Roman"/>
                <w:kern w:val="0"/>
                <w:sz w:val="20"/>
                <w:szCs w:val="20"/>
              </w:rPr>
              <w:t>全市超限超载车辆数＞3%</w:t>
            </w:r>
          </w:p>
        </w:tc>
        <w:tc>
          <w:tcPr>
            <w:tcW w:w="137" w:type="pct"/>
            <w:shd w:val="clear" w:color="000000" w:fill="FFFFFF"/>
            <w:vAlign w:val="center"/>
          </w:tcPr>
          <w:p w14:paraId="12F17F1A">
            <w:pPr>
              <w:widowControl/>
              <w:spacing w:after="157" w:line="280" w:lineRule="exact"/>
              <w:jc w:val="center"/>
              <w:rPr>
                <w:rFonts w:eastAsia="宋体" w:cs="Times New Roman"/>
                <w:kern w:val="0"/>
                <w:sz w:val="20"/>
                <w:szCs w:val="20"/>
              </w:rPr>
            </w:pPr>
            <w:r>
              <w:rPr>
                <w:rFonts w:eastAsia="宋体" w:cs="Times New Roman"/>
                <w:kern w:val="0"/>
                <w:sz w:val="20"/>
                <w:szCs w:val="20"/>
              </w:rPr>
              <w:t>　</w:t>
            </w:r>
          </w:p>
        </w:tc>
        <w:tc>
          <w:tcPr>
            <w:tcW w:w="277" w:type="pct"/>
            <w:shd w:val="clear" w:color="000000" w:fill="FFFFFF"/>
            <w:vAlign w:val="center"/>
          </w:tcPr>
          <w:p w14:paraId="55A5C42A">
            <w:pPr>
              <w:widowControl/>
              <w:spacing w:after="157" w:line="280" w:lineRule="exact"/>
              <w:jc w:val="center"/>
              <w:rPr>
                <w:rFonts w:eastAsia="宋体" w:cs="Times New Roman"/>
                <w:kern w:val="0"/>
                <w:sz w:val="20"/>
                <w:szCs w:val="20"/>
              </w:rPr>
            </w:pPr>
            <w:r>
              <w:rPr>
                <w:rFonts w:eastAsia="宋体" w:cs="Times New Roman"/>
                <w:kern w:val="0"/>
                <w:sz w:val="20"/>
                <w:szCs w:val="20"/>
              </w:rPr>
              <w:t>　</w:t>
            </w:r>
          </w:p>
        </w:tc>
        <w:tc>
          <w:tcPr>
            <w:tcW w:w="92" w:type="pct"/>
            <w:shd w:val="clear" w:color="000000" w:fill="FFFFFF"/>
            <w:vAlign w:val="center"/>
          </w:tcPr>
          <w:p w14:paraId="5363502E">
            <w:pPr>
              <w:widowControl/>
              <w:spacing w:after="157" w:line="280" w:lineRule="exact"/>
              <w:jc w:val="center"/>
              <w:rPr>
                <w:rFonts w:eastAsia="宋体" w:cs="Times New Roman"/>
                <w:kern w:val="0"/>
                <w:sz w:val="20"/>
                <w:szCs w:val="20"/>
              </w:rPr>
            </w:pPr>
            <w:r>
              <w:rPr>
                <w:rFonts w:eastAsia="宋体" w:cs="Times New Roman"/>
                <w:kern w:val="0"/>
                <w:sz w:val="20"/>
                <w:szCs w:val="20"/>
              </w:rPr>
              <w:t>　</w:t>
            </w:r>
          </w:p>
        </w:tc>
        <w:tc>
          <w:tcPr>
            <w:tcW w:w="370" w:type="pct"/>
            <w:gridSpan w:val="2"/>
            <w:shd w:val="clear" w:color="000000" w:fill="FFFFFF"/>
            <w:vAlign w:val="center"/>
          </w:tcPr>
          <w:p w14:paraId="2407D525">
            <w:pPr>
              <w:widowControl/>
              <w:spacing w:after="157" w:line="280" w:lineRule="exact"/>
              <w:jc w:val="center"/>
              <w:rPr>
                <w:rFonts w:eastAsia="宋体" w:cs="Times New Roman"/>
                <w:kern w:val="0"/>
                <w:sz w:val="20"/>
                <w:szCs w:val="20"/>
              </w:rPr>
            </w:pPr>
            <w:r>
              <w:rPr>
                <w:rFonts w:eastAsia="宋体" w:cs="Times New Roman"/>
                <w:kern w:val="0"/>
                <w:sz w:val="20"/>
                <w:szCs w:val="20"/>
              </w:rPr>
              <w:t>全市超限超载车辆数≤3%</w:t>
            </w:r>
          </w:p>
        </w:tc>
        <w:tc>
          <w:tcPr>
            <w:tcW w:w="600" w:type="pct"/>
            <w:shd w:val="clear" w:color="000000" w:fill="FFFFFF"/>
            <w:vAlign w:val="center"/>
          </w:tcPr>
          <w:p w14:paraId="5B88BD83">
            <w:pPr>
              <w:widowControl/>
              <w:spacing w:after="157" w:line="280" w:lineRule="exact"/>
              <w:jc w:val="center"/>
              <w:rPr>
                <w:rFonts w:eastAsia="宋体" w:cs="Times New Roman"/>
                <w:kern w:val="0"/>
                <w:sz w:val="20"/>
                <w:szCs w:val="20"/>
              </w:rPr>
            </w:pPr>
            <w:r>
              <w:rPr>
                <w:rFonts w:eastAsia="宋体" w:cs="Times New Roman"/>
                <w:kern w:val="0"/>
                <w:sz w:val="20"/>
                <w:szCs w:val="20"/>
              </w:rPr>
              <w:t>全市超限超载车辆数控制在3%以内，其中，车辆控制率=2020年超限超载车辆数/2020年全市直管公路货运车辆数*指标分值</w:t>
            </w:r>
          </w:p>
        </w:tc>
        <w:tc>
          <w:tcPr>
            <w:tcW w:w="277" w:type="pct"/>
            <w:shd w:val="clear" w:color="auto" w:fill="auto"/>
            <w:vAlign w:val="center"/>
          </w:tcPr>
          <w:p w14:paraId="27DB38F6">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2024FE33">
            <w:pPr>
              <w:widowControl/>
              <w:spacing w:after="157" w:line="280" w:lineRule="exact"/>
              <w:jc w:val="center"/>
              <w:rPr>
                <w:rFonts w:eastAsia="宋体" w:cs="Times New Roman"/>
                <w:kern w:val="0"/>
                <w:sz w:val="20"/>
                <w:szCs w:val="20"/>
              </w:rPr>
            </w:pPr>
            <w:r>
              <w:rPr>
                <w:rFonts w:eastAsia="宋体" w:cs="Times New Roman"/>
                <w:kern w:val="0"/>
                <w:sz w:val="20"/>
                <w:szCs w:val="20"/>
              </w:rPr>
              <w:t>8.00</w:t>
            </w:r>
          </w:p>
        </w:tc>
        <w:tc>
          <w:tcPr>
            <w:tcW w:w="277" w:type="pct"/>
            <w:shd w:val="clear" w:color="auto" w:fill="auto"/>
            <w:noWrap/>
            <w:vAlign w:val="center"/>
          </w:tcPr>
          <w:p w14:paraId="4638B348">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0842B94F">
            <w:pPr>
              <w:widowControl/>
              <w:spacing w:after="157" w:line="280" w:lineRule="exact"/>
              <w:jc w:val="left"/>
              <w:rPr>
                <w:rFonts w:eastAsia="宋体" w:cs="Times New Roman"/>
                <w:kern w:val="0"/>
                <w:sz w:val="20"/>
                <w:szCs w:val="20"/>
              </w:rPr>
            </w:pPr>
            <w:r>
              <w:rPr>
                <w:rFonts w:eastAsia="宋体" w:cs="Times New Roman"/>
                <w:kern w:val="0"/>
                <w:sz w:val="20"/>
                <w:szCs w:val="20"/>
              </w:rPr>
              <w:t>2020年检查车辆109956辆，其中超限车辆1099辆，车辆超限率为0.9%</w:t>
            </w:r>
          </w:p>
        </w:tc>
      </w:tr>
      <w:tr w14:paraId="4240C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02" w:type="pct"/>
            <w:vMerge w:val="continue"/>
            <w:vAlign w:val="center"/>
          </w:tcPr>
          <w:p w14:paraId="60351334">
            <w:pPr>
              <w:widowControl/>
              <w:spacing w:after="157" w:line="280" w:lineRule="exact"/>
              <w:jc w:val="left"/>
              <w:rPr>
                <w:rFonts w:eastAsia="宋体" w:cs="Times New Roman"/>
                <w:b/>
                <w:bCs/>
                <w:kern w:val="0"/>
                <w:sz w:val="20"/>
                <w:szCs w:val="20"/>
              </w:rPr>
            </w:pPr>
          </w:p>
        </w:tc>
        <w:tc>
          <w:tcPr>
            <w:tcW w:w="257" w:type="pct"/>
            <w:vMerge w:val="continue"/>
            <w:vAlign w:val="center"/>
          </w:tcPr>
          <w:p w14:paraId="6F2EA14F">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6AEF485C">
            <w:pPr>
              <w:widowControl/>
              <w:spacing w:after="157" w:line="280" w:lineRule="exact"/>
              <w:jc w:val="center"/>
              <w:rPr>
                <w:rFonts w:eastAsia="宋体" w:cs="Times New Roman"/>
                <w:kern w:val="0"/>
                <w:sz w:val="20"/>
                <w:szCs w:val="20"/>
              </w:rPr>
            </w:pPr>
            <w:r>
              <w:rPr>
                <w:rFonts w:eastAsia="宋体" w:cs="Times New Roman"/>
                <w:kern w:val="0"/>
                <w:sz w:val="20"/>
                <w:szCs w:val="20"/>
              </w:rPr>
              <w:t>安全事故发生率的下降率</w:t>
            </w:r>
          </w:p>
        </w:tc>
        <w:tc>
          <w:tcPr>
            <w:tcW w:w="368" w:type="pct"/>
            <w:shd w:val="clear" w:color="000000" w:fill="FFFFFF"/>
            <w:vAlign w:val="center"/>
          </w:tcPr>
          <w:p w14:paraId="78B7EA94">
            <w:pPr>
              <w:widowControl/>
              <w:spacing w:after="157" w:line="280" w:lineRule="exact"/>
              <w:jc w:val="center"/>
              <w:rPr>
                <w:rFonts w:eastAsia="宋体" w:cs="Times New Roman"/>
                <w:kern w:val="0"/>
                <w:sz w:val="20"/>
                <w:szCs w:val="20"/>
              </w:rPr>
            </w:pPr>
            <w:r>
              <w:rPr>
                <w:rFonts w:eastAsia="宋体" w:cs="Times New Roman"/>
                <w:kern w:val="0"/>
                <w:sz w:val="20"/>
                <w:szCs w:val="20"/>
              </w:rPr>
              <w:t>主要考察工作经费持续投入后，是否减少因超限超载引起的安全事故发生率</w:t>
            </w:r>
          </w:p>
        </w:tc>
        <w:tc>
          <w:tcPr>
            <w:tcW w:w="276" w:type="pct"/>
            <w:shd w:val="clear" w:color="000000" w:fill="FFFFFF"/>
            <w:vAlign w:val="center"/>
          </w:tcPr>
          <w:p w14:paraId="42AF2507">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1151" w:type="pct"/>
            <w:gridSpan w:val="7"/>
            <w:shd w:val="clear" w:color="000000" w:fill="FFFFFF"/>
            <w:vAlign w:val="center"/>
          </w:tcPr>
          <w:p w14:paraId="542C61B9">
            <w:pPr>
              <w:widowControl/>
              <w:spacing w:after="157" w:line="280" w:lineRule="exact"/>
              <w:jc w:val="center"/>
              <w:rPr>
                <w:rFonts w:eastAsia="宋体" w:cs="Times New Roman"/>
                <w:kern w:val="0"/>
                <w:sz w:val="20"/>
                <w:szCs w:val="20"/>
              </w:rPr>
            </w:pPr>
            <w:r>
              <w:rPr>
                <w:rFonts w:eastAsia="宋体" w:cs="Times New Roman"/>
                <w:kern w:val="0"/>
                <w:sz w:val="20"/>
                <w:szCs w:val="20"/>
              </w:rPr>
              <w:t>指标得分=（2020年安全事故发生率/2019安全事故发生率-1）*指标分值</w:t>
            </w:r>
          </w:p>
        </w:tc>
        <w:tc>
          <w:tcPr>
            <w:tcW w:w="600" w:type="pct"/>
            <w:shd w:val="clear" w:color="000000" w:fill="FFFFFF"/>
            <w:vAlign w:val="center"/>
          </w:tcPr>
          <w:p w14:paraId="45ADCA6D">
            <w:pPr>
              <w:widowControl/>
              <w:spacing w:after="157" w:line="280" w:lineRule="exact"/>
              <w:jc w:val="center"/>
              <w:rPr>
                <w:rFonts w:eastAsia="宋体" w:cs="Times New Roman"/>
                <w:kern w:val="0"/>
                <w:sz w:val="20"/>
                <w:szCs w:val="20"/>
              </w:rPr>
            </w:pPr>
            <w:r>
              <w:rPr>
                <w:rFonts w:eastAsia="宋体" w:cs="Times New Roman"/>
                <w:kern w:val="0"/>
                <w:sz w:val="20"/>
                <w:szCs w:val="20"/>
              </w:rPr>
              <w:t>与2019年相比，2020年减少因超限超载引起的安全事故发生率的程度</w:t>
            </w:r>
          </w:p>
        </w:tc>
        <w:tc>
          <w:tcPr>
            <w:tcW w:w="277" w:type="pct"/>
            <w:shd w:val="clear" w:color="auto" w:fill="auto"/>
            <w:vAlign w:val="center"/>
          </w:tcPr>
          <w:p w14:paraId="373B97BB">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0438BC80">
            <w:pPr>
              <w:widowControl/>
              <w:spacing w:after="157" w:line="280" w:lineRule="exact"/>
              <w:jc w:val="center"/>
              <w:rPr>
                <w:rFonts w:eastAsia="宋体" w:cs="Times New Roman"/>
                <w:kern w:val="0"/>
                <w:sz w:val="20"/>
                <w:szCs w:val="20"/>
              </w:rPr>
            </w:pPr>
            <w:r>
              <w:rPr>
                <w:rFonts w:eastAsia="宋体" w:cs="Times New Roman"/>
                <w:kern w:val="0"/>
                <w:sz w:val="20"/>
                <w:szCs w:val="20"/>
              </w:rPr>
              <w:t>8.00</w:t>
            </w:r>
          </w:p>
        </w:tc>
        <w:tc>
          <w:tcPr>
            <w:tcW w:w="277" w:type="pct"/>
            <w:shd w:val="clear" w:color="auto" w:fill="auto"/>
            <w:noWrap/>
            <w:vAlign w:val="center"/>
          </w:tcPr>
          <w:p w14:paraId="0FA42CA1">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2850E3D2">
            <w:pPr>
              <w:widowControl/>
              <w:spacing w:after="157" w:line="280" w:lineRule="exact"/>
              <w:jc w:val="left"/>
              <w:rPr>
                <w:rFonts w:eastAsia="宋体" w:cs="Times New Roman"/>
                <w:kern w:val="0"/>
                <w:sz w:val="20"/>
                <w:szCs w:val="20"/>
              </w:rPr>
            </w:pPr>
            <w:r>
              <w:rPr>
                <w:rFonts w:eastAsia="宋体" w:cs="Times New Roman"/>
                <w:kern w:val="0"/>
                <w:sz w:val="20"/>
                <w:szCs w:val="20"/>
              </w:rPr>
              <w:t>2019年发生超限超载安全事故0起，2020年发生超限超载安全事故0起，指标得分满分。</w:t>
            </w:r>
          </w:p>
        </w:tc>
      </w:tr>
      <w:tr w14:paraId="32D2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202" w:type="pct"/>
            <w:vMerge w:val="continue"/>
            <w:vAlign w:val="center"/>
          </w:tcPr>
          <w:p w14:paraId="49FDCDD5">
            <w:pPr>
              <w:widowControl/>
              <w:spacing w:after="157" w:line="280" w:lineRule="exact"/>
              <w:jc w:val="left"/>
              <w:rPr>
                <w:rFonts w:eastAsia="宋体" w:cs="Times New Roman"/>
                <w:b/>
                <w:bCs/>
                <w:kern w:val="0"/>
                <w:sz w:val="20"/>
                <w:szCs w:val="20"/>
              </w:rPr>
            </w:pPr>
          </w:p>
        </w:tc>
        <w:tc>
          <w:tcPr>
            <w:tcW w:w="257" w:type="pct"/>
            <w:vMerge w:val="continue"/>
            <w:vAlign w:val="center"/>
          </w:tcPr>
          <w:p w14:paraId="28CE4929">
            <w:pPr>
              <w:widowControl/>
              <w:spacing w:after="157" w:line="280" w:lineRule="exact"/>
              <w:jc w:val="left"/>
              <w:rPr>
                <w:rFonts w:eastAsia="宋体" w:cs="Times New Roman"/>
                <w:kern w:val="0"/>
                <w:sz w:val="20"/>
                <w:szCs w:val="20"/>
              </w:rPr>
            </w:pPr>
          </w:p>
        </w:tc>
        <w:tc>
          <w:tcPr>
            <w:tcW w:w="233" w:type="pct"/>
            <w:shd w:val="clear" w:color="000000" w:fill="FFFFFF"/>
            <w:vAlign w:val="center"/>
          </w:tcPr>
          <w:p w14:paraId="0CD96923">
            <w:pPr>
              <w:widowControl/>
              <w:spacing w:after="157" w:line="280" w:lineRule="exact"/>
              <w:jc w:val="center"/>
              <w:rPr>
                <w:rFonts w:eastAsia="宋体" w:cs="Times New Roman"/>
                <w:kern w:val="0"/>
                <w:sz w:val="20"/>
                <w:szCs w:val="20"/>
              </w:rPr>
            </w:pPr>
            <w:r>
              <w:rPr>
                <w:rFonts w:eastAsia="宋体" w:cs="Times New Roman"/>
                <w:kern w:val="0"/>
                <w:sz w:val="20"/>
                <w:szCs w:val="20"/>
              </w:rPr>
              <w:t>群众投诉下降率</w:t>
            </w:r>
          </w:p>
        </w:tc>
        <w:tc>
          <w:tcPr>
            <w:tcW w:w="368" w:type="pct"/>
            <w:shd w:val="clear" w:color="000000" w:fill="FFFFFF"/>
            <w:vAlign w:val="center"/>
          </w:tcPr>
          <w:p w14:paraId="0BA322E2">
            <w:pPr>
              <w:widowControl/>
              <w:spacing w:after="157" w:line="280" w:lineRule="exact"/>
              <w:jc w:val="center"/>
              <w:rPr>
                <w:rFonts w:eastAsia="宋体" w:cs="Times New Roman"/>
                <w:kern w:val="0"/>
                <w:sz w:val="20"/>
                <w:szCs w:val="20"/>
              </w:rPr>
            </w:pPr>
            <w:r>
              <w:rPr>
                <w:rFonts w:eastAsia="宋体" w:cs="Times New Roman"/>
                <w:kern w:val="0"/>
                <w:sz w:val="20"/>
                <w:szCs w:val="20"/>
              </w:rPr>
              <w:t>主要考察普通群众对执法行为的投诉情况</w:t>
            </w:r>
          </w:p>
        </w:tc>
        <w:tc>
          <w:tcPr>
            <w:tcW w:w="276" w:type="pct"/>
            <w:shd w:val="clear" w:color="000000" w:fill="FFFFFF"/>
            <w:vAlign w:val="center"/>
          </w:tcPr>
          <w:p w14:paraId="0C7DF04D">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1151" w:type="pct"/>
            <w:gridSpan w:val="7"/>
            <w:shd w:val="clear" w:color="000000" w:fill="FFFFFF"/>
            <w:vAlign w:val="center"/>
          </w:tcPr>
          <w:p w14:paraId="5678764A">
            <w:pPr>
              <w:widowControl/>
              <w:spacing w:after="157" w:line="280" w:lineRule="exact"/>
              <w:jc w:val="center"/>
              <w:rPr>
                <w:rFonts w:eastAsia="宋体" w:cs="Times New Roman"/>
                <w:kern w:val="0"/>
                <w:sz w:val="20"/>
                <w:szCs w:val="20"/>
              </w:rPr>
            </w:pPr>
            <w:r>
              <w:rPr>
                <w:rFonts w:eastAsia="宋体" w:cs="Times New Roman"/>
                <w:kern w:val="0"/>
                <w:sz w:val="20"/>
                <w:szCs w:val="20"/>
              </w:rPr>
              <w:t>指标得分=（2020年群众投诉次数/2019群众投诉次数-1）*指标分值</w:t>
            </w:r>
          </w:p>
        </w:tc>
        <w:tc>
          <w:tcPr>
            <w:tcW w:w="600" w:type="pct"/>
            <w:shd w:val="clear" w:color="000000" w:fill="FFFFFF"/>
            <w:vAlign w:val="center"/>
          </w:tcPr>
          <w:p w14:paraId="665ED730">
            <w:pPr>
              <w:widowControl/>
              <w:spacing w:after="157" w:line="280" w:lineRule="exact"/>
              <w:jc w:val="center"/>
              <w:rPr>
                <w:rFonts w:eastAsia="宋体" w:cs="Times New Roman"/>
                <w:kern w:val="0"/>
                <w:sz w:val="20"/>
                <w:szCs w:val="20"/>
              </w:rPr>
            </w:pPr>
            <w:r>
              <w:rPr>
                <w:rFonts w:eastAsia="宋体" w:cs="Times New Roman"/>
                <w:kern w:val="0"/>
                <w:sz w:val="20"/>
                <w:szCs w:val="20"/>
              </w:rPr>
              <w:t>是否因执法不公、执法不明等行为引起群众投诉</w:t>
            </w:r>
          </w:p>
        </w:tc>
        <w:tc>
          <w:tcPr>
            <w:tcW w:w="277" w:type="pct"/>
            <w:shd w:val="clear" w:color="auto" w:fill="auto"/>
            <w:vAlign w:val="center"/>
          </w:tcPr>
          <w:p w14:paraId="5F723243">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3AFF2EC6">
            <w:pPr>
              <w:widowControl/>
              <w:spacing w:after="157" w:line="280" w:lineRule="exact"/>
              <w:jc w:val="center"/>
              <w:rPr>
                <w:rFonts w:eastAsia="宋体" w:cs="Times New Roman"/>
                <w:kern w:val="0"/>
                <w:sz w:val="20"/>
                <w:szCs w:val="20"/>
              </w:rPr>
            </w:pPr>
            <w:r>
              <w:rPr>
                <w:rFonts w:eastAsia="宋体" w:cs="Times New Roman"/>
                <w:kern w:val="0"/>
                <w:sz w:val="20"/>
                <w:szCs w:val="20"/>
              </w:rPr>
              <w:t>2.00</w:t>
            </w:r>
          </w:p>
        </w:tc>
        <w:tc>
          <w:tcPr>
            <w:tcW w:w="277" w:type="pct"/>
            <w:shd w:val="clear" w:color="auto" w:fill="auto"/>
            <w:noWrap/>
            <w:vAlign w:val="center"/>
          </w:tcPr>
          <w:p w14:paraId="6AB23420">
            <w:pPr>
              <w:widowControl/>
              <w:spacing w:after="157" w:line="280" w:lineRule="exact"/>
              <w:jc w:val="center"/>
              <w:rPr>
                <w:rFonts w:eastAsia="宋体" w:cs="Times New Roman"/>
                <w:kern w:val="0"/>
                <w:sz w:val="20"/>
                <w:szCs w:val="20"/>
              </w:rPr>
            </w:pPr>
            <w:r>
              <w:rPr>
                <w:rFonts w:eastAsia="宋体" w:cs="Times New Roman"/>
                <w:kern w:val="0"/>
                <w:sz w:val="20"/>
                <w:szCs w:val="20"/>
              </w:rPr>
              <w:t>25.00%</w:t>
            </w:r>
          </w:p>
        </w:tc>
        <w:tc>
          <w:tcPr>
            <w:tcW w:w="1174" w:type="pct"/>
            <w:shd w:val="clear" w:color="auto" w:fill="auto"/>
            <w:vAlign w:val="center"/>
          </w:tcPr>
          <w:p w14:paraId="5186936E">
            <w:pPr>
              <w:widowControl/>
              <w:spacing w:after="157" w:line="280" w:lineRule="exact"/>
              <w:jc w:val="left"/>
              <w:rPr>
                <w:rFonts w:eastAsia="宋体" w:cs="Times New Roman"/>
                <w:kern w:val="0"/>
                <w:sz w:val="20"/>
                <w:szCs w:val="20"/>
              </w:rPr>
            </w:pPr>
            <w:r>
              <w:rPr>
                <w:rFonts w:eastAsia="宋体" w:cs="Times New Roman"/>
                <w:kern w:val="0"/>
                <w:sz w:val="20"/>
                <w:szCs w:val="20"/>
              </w:rPr>
              <w:t>2019年群众投诉4起，2020年群众投诉3起，指标得分=（3/4-1）*8=-2分</w:t>
            </w:r>
          </w:p>
        </w:tc>
      </w:tr>
      <w:tr w14:paraId="1D95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trPr>
        <w:tc>
          <w:tcPr>
            <w:tcW w:w="202" w:type="pct"/>
            <w:vMerge w:val="continue"/>
            <w:vAlign w:val="center"/>
          </w:tcPr>
          <w:p w14:paraId="595159C4">
            <w:pPr>
              <w:widowControl/>
              <w:spacing w:after="157" w:line="280" w:lineRule="exact"/>
              <w:jc w:val="left"/>
              <w:rPr>
                <w:rFonts w:eastAsia="宋体" w:cs="Times New Roman"/>
                <w:b/>
                <w:bCs/>
                <w:kern w:val="0"/>
                <w:sz w:val="20"/>
                <w:szCs w:val="20"/>
              </w:rPr>
            </w:pPr>
          </w:p>
        </w:tc>
        <w:tc>
          <w:tcPr>
            <w:tcW w:w="257" w:type="pct"/>
            <w:shd w:val="clear" w:color="000000" w:fill="FFFFFF"/>
            <w:vAlign w:val="center"/>
          </w:tcPr>
          <w:p w14:paraId="20ED8DE5">
            <w:pPr>
              <w:widowControl/>
              <w:spacing w:after="157" w:line="280" w:lineRule="exact"/>
              <w:jc w:val="center"/>
              <w:rPr>
                <w:rFonts w:eastAsia="宋体" w:cs="Times New Roman"/>
                <w:kern w:val="0"/>
                <w:sz w:val="20"/>
                <w:szCs w:val="20"/>
              </w:rPr>
            </w:pPr>
            <w:r>
              <w:rPr>
                <w:rFonts w:eastAsia="宋体" w:cs="Times New Roman"/>
                <w:kern w:val="0"/>
                <w:sz w:val="20"/>
                <w:szCs w:val="20"/>
              </w:rPr>
              <w:t>生态效益</w:t>
            </w:r>
          </w:p>
        </w:tc>
        <w:tc>
          <w:tcPr>
            <w:tcW w:w="233" w:type="pct"/>
            <w:shd w:val="clear" w:color="000000" w:fill="FFFFFF"/>
            <w:vAlign w:val="center"/>
          </w:tcPr>
          <w:p w14:paraId="54694DED">
            <w:pPr>
              <w:widowControl/>
              <w:spacing w:after="157" w:line="280" w:lineRule="exact"/>
              <w:jc w:val="center"/>
              <w:rPr>
                <w:rFonts w:eastAsia="宋体" w:cs="Times New Roman"/>
                <w:kern w:val="0"/>
                <w:sz w:val="20"/>
                <w:szCs w:val="20"/>
              </w:rPr>
            </w:pPr>
            <w:r>
              <w:rPr>
                <w:rFonts w:eastAsia="宋体" w:cs="Times New Roman"/>
                <w:kern w:val="0"/>
                <w:sz w:val="20"/>
                <w:szCs w:val="20"/>
              </w:rPr>
              <w:t>抛洒（滴漏）年下降率</w:t>
            </w:r>
          </w:p>
        </w:tc>
        <w:tc>
          <w:tcPr>
            <w:tcW w:w="368" w:type="pct"/>
            <w:shd w:val="clear" w:color="000000" w:fill="FFFFFF"/>
            <w:vAlign w:val="center"/>
          </w:tcPr>
          <w:p w14:paraId="66DF5EBA">
            <w:pPr>
              <w:widowControl/>
              <w:spacing w:after="157" w:line="280" w:lineRule="exact"/>
              <w:jc w:val="center"/>
              <w:rPr>
                <w:rFonts w:eastAsia="宋体" w:cs="Times New Roman"/>
                <w:kern w:val="0"/>
                <w:sz w:val="20"/>
                <w:szCs w:val="20"/>
              </w:rPr>
            </w:pPr>
            <w:r>
              <w:rPr>
                <w:rFonts w:eastAsia="宋体" w:cs="Times New Roman"/>
                <w:kern w:val="0"/>
                <w:sz w:val="20"/>
                <w:szCs w:val="20"/>
              </w:rPr>
              <w:t>主要考察直管公路所经车辆的年度抛洒（漏晒）情况</w:t>
            </w:r>
          </w:p>
        </w:tc>
        <w:tc>
          <w:tcPr>
            <w:tcW w:w="276" w:type="pct"/>
            <w:shd w:val="clear" w:color="000000" w:fill="FFFFFF"/>
            <w:vAlign w:val="center"/>
          </w:tcPr>
          <w:p w14:paraId="2241F969">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1151" w:type="pct"/>
            <w:gridSpan w:val="7"/>
            <w:shd w:val="clear" w:color="000000" w:fill="FFFFFF"/>
            <w:vAlign w:val="center"/>
          </w:tcPr>
          <w:p w14:paraId="580A03F0">
            <w:pPr>
              <w:widowControl/>
              <w:spacing w:after="157" w:line="280" w:lineRule="exact"/>
              <w:jc w:val="center"/>
              <w:rPr>
                <w:rFonts w:eastAsia="宋体" w:cs="Times New Roman"/>
                <w:kern w:val="0"/>
                <w:sz w:val="20"/>
                <w:szCs w:val="20"/>
              </w:rPr>
            </w:pPr>
            <w:r>
              <w:rPr>
                <w:rFonts w:eastAsia="宋体" w:cs="Times New Roman"/>
                <w:kern w:val="0"/>
                <w:sz w:val="20"/>
                <w:szCs w:val="20"/>
              </w:rPr>
              <w:t>指标得分=（2020年度抛洒车辆数/2019年度抛洒车辆数-1）*指标分值</w:t>
            </w:r>
          </w:p>
        </w:tc>
        <w:tc>
          <w:tcPr>
            <w:tcW w:w="600" w:type="pct"/>
            <w:shd w:val="clear" w:color="000000" w:fill="FFFFFF"/>
            <w:vAlign w:val="center"/>
          </w:tcPr>
          <w:p w14:paraId="13460361">
            <w:pPr>
              <w:widowControl/>
              <w:spacing w:after="157" w:line="280" w:lineRule="exact"/>
              <w:jc w:val="center"/>
              <w:rPr>
                <w:rFonts w:eastAsia="宋体" w:cs="Times New Roman"/>
                <w:kern w:val="0"/>
                <w:sz w:val="20"/>
                <w:szCs w:val="20"/>
              </w:rPr>
            </w:pPr>
            <w:r>
              <w:rPr>
                <w:rFonts w:eastAsia="宋体" w:cs="Times New Roman"/>
                <w:kern w:val="0"/>
                <w:sz w:val="20"/>
                <w:szCs w:val="20"/>
              </w:rPr>
              <w:t>对抛洒（滴漏）现象的治理工作，改善路面和大气环境等</w:t>
            </w:r>
          </w:p>
        </w:tc>
        <w:tc>
          <w:tcPr>
            <w:tcW w:w="277" w:type="pct"/>
            <w:shd w:val="clear" w:color="auto" w:fill="auto"/>
            <w:vAlign w:val="center"/>
          </w:tcPr>
          <w:p w14:paraId="7FFC5702">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8.00</w:t>
            </w:r>
          </w:p>
        </w:tc>
        <w:tc>
          <w:tcPr>
            <w:tcW w:w="185" w:type="pct"/>
            <w:shd w:val="clear" w:color="auto" w:fill="auto"/>
            <w:noWrap/>
            <w:vAlign w:val="center"/>
          </w:tcPr>
          <w:p w14:paraId="0EA2DF77">
            <w:pPr>
              <w:widowControl/>
              <w:spacing w:after="157" w:line="280" w:lineRule="exact"/>
              <w:jc w:val="center"/>
              <w:rPr>
                <w:rFonts w:eastAsia="宋体" w:cs="Times New Roman"/>
                <w:kern w:val="0"/>
                <w:sz w:val="20"/>
                <w:szCs w:val="20"/>
              </w:rPr>
            </w:pPr>
            <w:r>
              <w:rPr>
                <w:rFonts w:eastAsia="宋体" w:cs="Times New Roman"/>
                <w:kern w:val="0"/>
                <w:sz w:val="20"/>
                <w:szCs w:val="20"/>
              </w:rPr>
              <w:t>8.00</w:t>
            </w:r>
          </w:p>
        </w:tc>
        <w:tc>
          <w:tcPr>
            <w:tcW w:w="277" w:type="pct"/>
            <w:shd w:val="clear" w:color="auto" w:fill="auto"/>
            <w:noWrap/>
            <w:vAlign w:val="center"/>
          </w:tcPr>
          <w:p w14:paraId="196395E6">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1C7A5ED7">
            <w:pPr>
              <w:widowControl/>
              <w:spacing w:after="157" w:line="280" w:lineRule="exact"/>
              <w:jc w:val="left"/>
              <w:rPr>
                <w:rFonts w:eastAsia="宋体" w:cs="Times New Roman"/>
                <w:kern w:val="0"/>
                <w:sz w:val="20"/>
                <w:szCs w:val="20"/>
              </w:rPr>
            </w:pPr>
            <w:r>
              <w:rPr>
                <w:rFonts w:eastAsia="宋体" w:cs="Times New Roman"/>
                <w:kern w:val="0"/>
                <w:sz w:val="20"/>
                <w:szCs w:val="20"/>
              </w:rPr>
              <w:t>2019年处罚车辆163辆，2020年处罚车辆347辆。指标得分=（347/163-1）*8=8分，下降率为113%。</w:t>
            </w:r>
          </w:p>
        </w:tc>
      </w:tr>
      <w:tr w14:paraId="3E2EB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2" w:hRule="atLeast"/>
        </w:trPr>
        <w:tc>
          <w:tcPr>
            <w:tcW w:w="202" w:type="pct"/>
            <w:vMerge w:val="continue"/>
            <w:vAlign w:val="center"/>
          </w:tcPr>
          <w:p w14:paraId="7CFDF9B5">
            <w:pPr>
              <w:widowControl/>
              <w:spacing w:after="157" w:line="280" w:lineRule="exact"/>
              <w:jc w:val="left"/>
              <w:rPr>
                <w:rFonts w:eastAsia="宋体" w:cs="Times New Roman"/>
                <w:b/>
                <w:bCs/>
                <w:kern w:val="0"/>
                <w:sz w:val="20"/>
                <w:szCs w:val="20"/>
              </w:rPr>
            </w:pPr>
          </w:p>
        </w:tc>
        <w:tc>
          <w:tcPr>
            <w:tcW w:w="257" w:type="pct"/>
            <w:shd w:val="clear" w:color="000000" w:fill="FFFFFF"/>
            <w:vAlign w:val="center"/>
          </w:tcPr>
          <w:p w14:paraId="36619AA7">
            <w:pPr>
              <w:widowControl/>
              <w:spacing w:after="157" w:line="280" w:lineRule="exact"/>
              <w:jc w:val="center"/>
              <w:rPr>
                <w:rFonts w:eastAsia="宋体" w:cs="Times New Roman"/>
                <w:kern w:val="0"/>
                <w:sz w:val="20"/>
                <w:szCs w:val="20"/>
              </w:rPr>
            </w:pPr>
            <w:r>
              <w:rPr>
                <w:rFonts w:eastAsia="宋体" w:cs="Times New Roman"/>
                <w:kern w:val="0"/>
                <w:sz w:val="20"/>
                <w:szCs w:val="20"/>
              </w:rPr>
              <w:t>可持续效益</w:t>
            </w:r>
          </w:p>
        </w:tc>
        <w:tc>
          <w:tcPr>
            <w:tcW w:w="233" w:type="pct"/>
            <w:shd w:val="clear" w:color="000000" w:fill="FFFFFF"/>
            <w:vAlign w:val="center"/>
          </w:tcPr>
          <w:p w14:paraId="5976C2EC">
            <w:pPr>
              <w:widowControl/>
              <w:spacing w:after="157" w:line="280" w:lineRule="exact"/>
              <w:jc w:val="center"/>
              <w:rPr>
                <w:rFonts w:eastAsia="宋体" w:cs="Times New Roman"/>
                <w:kern w:val="0"/>
                <w:sz w:val="20"/>
                <w:szCs w:val="20"/>
              </w:rPr>
            </w:pPr>
            <w:r>
              <w:rPr>
                <w:rFonts w:eastAsia="宋体" w:cs="Times New Roman"/>
                <w:kern w:val="0"/>
                <w:sz w:val="20"/>
                <w:szCs w:val="20"/>
              </w:rPr>
              <w:t>科技治超对人工成本的持续降低率</w:t>
            </w:r>
          </w:p>
        </w:tc>
        <w:tc>
          <w:tcPr>
            <w:tcW w:w="368" w:type="pct"/>
            <w:shd w:val="clear" w:color="000000" w:fill="FFFFFF"/>
            <w:vAlign w:val="center"/>
          </w:tcPr>
          <w:p w14:paraId="3C20B1CC">
            <w:pPr>
              <w:widowControl/>
              <w:spacing w:after="157" w:line="280" w:lineRule="exact"/>
              <w:jc w:val="center"/>
              <w:rPr>
                <w:rFonts w:eastAsia="宋体" w:cs="Times New Roman"/>
                <w:kern w:val="0"/>
                <w:sz w:val="20"/>
                <w:szCs w:val="20"/>
              </w:rPr>
            </w:pPr>
            <w:r>
              <w:rPr>
                <w:rFonts w:eastAsia="宋体" w:cs="Times New Roman"/>
                <w:kern w:val="0"/>
                <w:sz w:val="20"/>
                <w:szCs w:val="20"/>
              </w:rPr>
              <w:t>主要考察“科技治超”对人员费用产生持续性实质性的影响</w:t>
            </w:r>
          </w:p>
        </w:tc>
        <w:tc>
          <w:tcPr>
            <w:tcW w:w="276" w:type="pct"/>
            <w:shd w:val="clear" w:color="000000" w:fill="FFFFFF"/>
            <w:vAlign w:val="center"/>
          </w:tcPr>
          <w:p w14:paraId="4D51C5B0">
            <w:pPr>
              <w:widowControl/>
              <w:spacing w:after="157" w:line="280" w:lineRule="exact"/>
              <w:jc w:val="center"/>
              <w:rPr>
                <w:rFonts w:eastAsia="宋体" w:cs="Times New Roman"/>
                <w:kern w:val="0"/>
                <w:sz w:val="20"/>
                <w:szCs w:val="20"/>
              </w:rPr>
            </w:pPr>
            <w:r>
              <w:rPr>
                <w:rFonts w:eastAsia="宋体" w:cs="Times New Roman"/>
                <w:kern w:val="0"/>
                <w:sz w:val="20"/>
                <w:szCs w:val="20"/>
              </w:rPr>
              <w:t>比率评分法</w:t>
            </w:r>
          </w:p>
        </w:tc>
        <w:tc>
          <w:tcPr>
            <w:tcW w:w="275" w:type="pct"/>
            <w:gridSpan w:val="2"/>
            <w:shd w:val="clear" w:color="000000" w:fill="FFFFFF"/>
            <w:vAlign w:val="center"/>
          </w:tcPr>
          <w:p w14:paraId="5519BDF6">
            <w:pPr>
              <w:widowControl/>
              <w:spacing w:after="157" w:line="280" w:lineRule="exact"/>
              <w:jc w:val="center"/>
              <w:rPr>
                <w:rFonts w:eastAsia="宋体" w:cs="Times New Roman"/>
                <w:kern w:val="0"/>
                <w:sz w:val="20"/>
                <w:szCs w:val="20"/>
              </w:rPr>
            </w:pPr>
            <w:r>
              <w:rPr>
                <w:rFonts w:eastAsia="宋体" w:cs="Times New Roman"/>
                <w:kern w:val="0"/>
                <w:sz w:val="20"/>
                <w:szCs w:val="20"/>
              </w:rPr>
              <w:t>每增加一个电子卡口，人员工资支出年下降率达≤0%</w:t>
            </w:r>
          </w:p>
        </w:tc>
        <w:tc>
          <w:tcPr>
            <w:tcW w:w="137" w:type="pct"/>
            <w:shd w:val="clear" w:color="000000" w:fill="FFFFFF"/>
            <w:vAlign w:val="center"/>
          </w:tcPr>
          <w:p w14:paraId="57997C14">
            <w:pPr>
              <w:widowControl/>
              <w:spacing w:after="157" w:line="280" w:lineRule="exact"/>
              <w:jc w:val="center"/>
              <w:rPr>
                <w:rFonts w:eastAsia="宋体" w:cs="Times New Roman"/>
                <w:kern w:val="0"/>
                <w:sz w:val="20"/>
                <w:szCs w:val="20"/>
              </w:rPr>
            </w:pPr>
            <w:r>
              <w:rPr>
                <w:rFonts w:eastAsia="宋体" w:cs="Times New Roman"/>
                <w:kern w:val="0"/>
                <w:sz w:val="20"/>
                <w:szCs w:val="20"/>
              </w:rPr>
              <w:t>　</w:t>
            </w:r>
          </w:p>
        </w:tc>
        <w:tc>
          <w:tcPr>
            <w:tcW w:w="277" w:type="pct"/>
            <w:shd w:val="clear" w:color="000000" w:fill="FFFFFF"/>
            <w:vAlign w:val="center"/>
          </w:tcPr>
          <w:p w14:paraId="3639F2D1">
            <w:pPr>
              <w:widowControl/>
              <w:spacing w:after="157" w:line="280" w:lineRule="exact"/>
              <w:jc w:val="center"/>
              <w:rPr>
                <w:rFonts w:eastAsia="宋体" w:cs="Times New Roman"/>
                <w:kern w:val="0"/>
                <w:sz w:val="20"/>
                <w:szCs w:val="20"/>
              </w:rPr>
            </w:pPr>
            <w:r>
              <w:rPr>
                <w:rFonts w:eastAsia="宋体" w:cs="Times New Roman"/>
                <w:kern w:val="0"/>
                <w:sz w:val="20"/>
                <w:szCs w:val="20"/>
              </w:rPr>
              <w:t>每增加一个电子卡口，0%＜人员工资支出年下降率达＜1%</w:t>
            </w:r>
          </w:p>
        </w:tc>
        <w:tc>
          <w:tcPr>
            <w:tcW w:w="92" w:type="pct"/>
            <w:shd w:val="clear" w:color="000000" w:fill="FFFFFF"/>
            <w:vAlign w:val="center"/>
          </w:tcPr>
          <w:p w14:paraId="682516D0">
            <w:pPr>
              <w:widowControl/>
              <w:spacing w:after="157" w:line="280" w:lineRule="exact"/>
              <w:jc w:val="center"/>
              <w:rPr>
                <w:rFonts w:eastAsia="宋体" w:cs="Times New Roman"/>
                <w:kern w:val="0"/>
                <w:sz w:val="20"/>
                <w:szCs w:val="20"/>
              </w:rPr>
            </w:pPr>
            <w:r>
              <w:rPr>
                <w:rFonts w:eastAsia="宋体" w:cs="Times New Roman"/>
                <w:kern w:val="0"/>
                <w:sz w:val="20"/>
                <w:szCs w:val="20"/>
              </w:rPr>
              <w:t>　</w:t>
            </w:r>
          </w:p>
        </w:tc>
        <w:tc>
          <w:tcPr>
            <w:tcW w:w="370" w:type="pct"/>
            <w:gridSpan w:val="2"/>
            <w:shd w:val="clear" w:color="000000" w:fill="FFFFFF"/>
            <w:vAlign w:val="center"/>
          </w:tcPr>
          <w:p w14:paraId="71E91010">
            <w:pPr>
              <w:widowControl/>
              <w:spacing w:after="157" w:line="280" w:lineRule="exact"/>
              <w:jc w:val="center"/>
              <w:rPr>
                <w:rFonts w:eastAsia="宋体" w:cs="Times New Roman"/>
                <w:kern w:val="0"/>
                <w:sz w:val="20"/>
                <w:szCs w:val="20"/>
              </w:rPr>
            </w:pPr>
            <w:r>
              <w:rPr>
                <w:rFonts w:eastAsia="宋体" w:cs="Times New Roman"/>
                <w:kern w:val="0"/>
                <w:sz w:val="20"/>
                <w:szCs w:val="20"/>
              </w:rPr>
              <w:t>每增加一个电子卡口，人员工资支出年下降率达1%＜5%</w:t>
            </w:r>
          </w:p>
        </w:tc>
        <w:tc>
          <w:tcPr>
            <w:tcW w:w="600" w:type="pct"/>
            <w:shd w:val="clear" w:color="000000" w:fill="FFFFFF"/>
            <w:vAlign w:val="center"/>
          </w:tcPr>
          <w:p w14:paraId="151A223D">
            <w:pPr>
              <w:widowControl/>
              <w:spacing w:after="157" w:line="280" w:lineRule="exact"/>
              <w:jc w:val="center"/>
              <w:rPr>
                <w:rFonts w:eastAsia="宋体" w:cs="Times New Roman"/>
                <w:kern w:val="0"/>
                <w:sz w:val="20"/>
                <w:szCs w:val="20"/>
              </w:rPr>
            </w:pPr>
            <w:r>
              <w:rPr>
                <w:rFonts w:eastAsia="宋体" w:cs="Times New Roman"/>
                <w:kern w:val="0"/>
                <w:sz w:val="20"/>
                <w:szCs w:val="20"/>
              </w:rPr>
              <w:t>对“科技治超”方面的投入是否有利于减少人力资源成本</w:t>
            </w:r>
          </w:p>
        </w:tc>
        <w:tc>
          <w:tcPr>
            <w:tcW w:w="277" w:type="pct"/>
            <w:shd w:val="clear" w:color="auto" w:fill="auto"/>
            <w:vAlign w:val="center"/>
          </w:tcPr>
          <w:p w14:paraId="26A02B58">
            <w:pPr>
              <w:widowControl/>
              <w:spacing w:after="157" w:line="280" w:lineRule="exact"/>
              <w:jc w:val="center"/>
              <w:rPr>
                <w:rFonts w:eastAsia="宋体" w:cs="Times New Roman"/>
                <w:color w:val="000000"/>
                <w:kern w:val="0"/>
                <w:sz w:val="20"/>
                <w:szCs w:val="20"/>
              </w:rPr>
            </w:pPr>
            <w:r>
              <w:rPr>
                <w:rFonts w:eastAsia="宋体" w:cs="Times New Roman"/>
                <w:color w:val="000000"/>
                <w:kern w:val="0"/>
                <w:sz w:val="20"/>
                <w:szCs w:val="20"/>
              </w:rPr>
              <w:t>7.00</w:t>
            </w:r>
          </w:p>
        </w:tc>
        <w:tc>
          <w:tcPr>
            <w:tcW w:w="185" w:type="pct"/>
            <w:shd w:val="clear" w:color="auto" w:fill="auto"/>
            <w:noWrap/>
            <w:vAlign w:val="center"/>
          </w:tcPr>
          <w:p w14:paraId="69AB96BF">
            <w:pPr>
              <w:widowControl/>
              <w:spacing w:after="157" w:line="280" w:lineRule="exact"/>
              <w:jc w:val="center"/>
              <w:rPr>
                <w:rFonts w:eastAsia="宋体" w:cs="Times New Roman"/>
                <w:kern w:val="0"/>
                <w:sz w:val="20"/>
                <w:szCs w:val="20"/>
              </w:rPr>
            </w:pPr>
            <w:r>
              <w:rPr>
                <w:rFonts w:eastAsia="宋体" w:cs="Times New Roman"/>
                <w:kern w:val="0"/>
                <w:sz w:val="20"/>
                <w:szCs w:val="20"/>
              </w:rPr>
              <w:t>7.00</w:t>
            </w:r>
          </w:p>
        </w:tc>
        <w:tc>
          <w:tcPr>
            <w:tcW w:w="277" w:type="pct"/>
            <w:shd w:val="clear" w:color="auto" w:fill="auto"/>
            <w:noWrap/>
            <w:vAlign w:val="center"/>
          </w:tcPr>
          <w:p w14:paraId="76C31E09">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174" w:type="pct"/>
            <w:shd w:val="clear" w:color="auto" w:fill="auto"/>
            <w:vAlign w:val="center"/>
          </w:tcPr>
          <w:p w14:paraId="36643AC1">
            <w:pPr>
              <w:widowControl/>
              <w:spacing w:after="157" w:line="280" w:lineRule="exact"/>
              <w:jc w:val="left"/>
              <w:rPr>
                <w:rFonts w:eastAsia="宋体" w:cs="Times New Roman"/>
                <w:kern w:val="0"/>
                <w:sz w:val="20"/>
                <w:szCs w:val="20"/>
              </w:rPr>
            </w:pPr>
            <w:r>
              <w:rPr>
                <w:rFonts w:eastAsia="宋体" w:cs="Times New Roman"/>
                <w:kern w:val="0"/>
                <w:sz w:val="20"/>
                <w:szCs w:val="20"/>
              </w:rPr>
              <w:t>2019年执法人员人均成本为41697.4元（不包括服装费）2020年执法人员人均成本为38918.8元（不包括服装费）工，人员工资支出年下降率为6.66%。</w:t>
            </w:r>
          </w:p>
        </w:tc>
      </w:tr>
      <w:tr w14:paraId="6464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7" w:type="pct"/>
            <w:gridSpan w:val="13"/>
            <w:shd w:val="clear" w:color="auto" w:fill="auto"/>
            <w:noWrap/>
            <w:vAlign w:val="center"/>
          </w:tcPr>
          <w:p w14:paraId="2259A8C5">
            <w:pPr>
              <w:widowControl/>
              <w:spacing w:after="157" w:line="280" w:lineRule="exact"/>
              <w:jc w:val="center"/>
              <w:rPr>
                <w:rFonts w:eastAsia="宋体" w:cs="Times New Roman"/>
                <w:kern w:val="0"/>
                <w:sz w:val="20"/>
                <w:szCs w:val="20"/>
              </w:rPr>
            </w:pPr>
            <w:r>
              <w:rPr>
                <w:rFonts w:eastAsia="宋体" w:cs="Times New Roman"/>
                <w:kern w:val="0"/>
                <w:sz w:val="20"/>
                <w:szCs w:val="20"/>
              </w:rPr>
              <w:t>合计</w:t>
            </w:r>
          </w:p>
        </w:tc>
        <w:tc>
          <w:tcPr>
            <w:tcW w:w="277" w:type="pct"/>
            <w:shd w:val="clear" w:color="auto" w:fill="auto"/>
            <w:noWrap/>
            <w:vAlign w:val="center"/>
          </w:tcPr>
          <w:p w14:paraId="64AC4430">
            <w:pPr>
              <w:widowControl/>
              <w:spacing w:after="157" w:line="280" w:lineRule="exact"/>
              <w:jc w:val="center"/>
              <w:rPr>
                <w:rFonts w:eastAsia="宋体" w:cs="Times New Roman"/>
                <w:kern w:val="0"/>
                <w:sz w:val="20"/>
                <w:szCs w:val="20"/>
              </w:rPr>
            </w:pPr>
            <w:r>
              <w:rPr>
                <w:rFonts w:eastAsia="宋体" w:cs="Times New Roman"/>
                <w:kern w:val="0"/>
                <w:sz w:val="20"/>
                <w:szCs w:val="20"/>
              </w:rPr>
              <w:t>100.00</w:t>
            </w:r>
          </w:p>
        </w:tc>
        <w:tc>
          <w:tcPr>
            <w:tcW w:w="185" w:type="pct"/>
            <w:shd w:val="clear" w:color="auto" w:fill="auto"/>
            <w:noWrap/>
            <w:vAlign w:val="center"/>
          </w:tcPr>
          <w:p w14:paraId="3FC0CF3D">
            <w:pPr>
              <w:widowControl/>
              <w:spacing w:after="157" w:line="280" w:lineRule="exact"/>
              <w:jc w:val="center"/>
              <w:rPr>
                <w:rFonts w:eastAsia="宋体" w:cs="Times New Roman"/>
                <w:kern w:val="0"/>
                <w:sz w:val="20"/>
                <w:szCs w:val="20"/>
              </w:rPr>
            </w:pPr>
            <w:r>
              <w:rPr>
                <w:rFonts w:eastAsia="宋体" w:cs="Times New Roman"/>
                <w:kern w:val="0"/>
                <w:sz w:val="20"/>
                <w:szCs w:val="20"/>
              </w:rPr>
              <w:t>86.2</w:t>
            </w:r>
          </w:p>
        </w:tc>
        <w:tc>
          <w:tcPr>
            <w:tcW w:w="277" w:type="pct"/>
            <w:shd w:val="clear" w:color="auto" w:fill="auto"/>
            <w:noWrap/>
            <w:vAlign w:val="center"/>
          </w:tcPr>
          <w:p w14:paraId="62DB1CEB">
            <w:pPr>
              <w:widowControl/>
              <w:spacing w:after="157" w:line="280" w:lineRule="exact"/>
              <w:jc w:val="center"/>
              <w:rPr>
                <w:rFonts w:eastAsia="宋体" w:cs="Times New Roman"/>
                <w:kern w:val="0"/>
                <w:sz w:val="20"/>
                <w:szCs w:val="20"/>
              </w:rPr>
            </w:pPr>
            <w:r>
              <w:rPr>
                <w:rFonts w:eastAsia="宋体" w:cs="Times New Roman"/>
                <w:kern w:val="0"/>
                <w:sz w:val="20"/>
                <w:szCs w:val="20"/>
              </w:rPr>
              <w:t>86.20%</w:t>
            </w:r>
          </w:p>
        </w:tc>
        <w:tc>
          <w:tcPr>
            <w:tcW w:w="1174" w:type="pct"/>
            <w:shd w:val="clear" w:color="auto" w:fill="auto"/>
            <w:noWrap/>
            <w:vAlign w:val="center"/>
          </w:tcPr>
          <w:p w14:paraId="0AF14156">
            <w:pPr>
              <w:widowControl/>
              <w:spacing w:after="157" w:line="280" w:lineRule="exact"/>
              <w:jc w:val="left"/>
              <w:rPr>
                <w:rFonts w:eastAsia="宋体" w:cs="Times New Roman"/>
                <w:kern w:val="0"/>
                <w:sz w:val="20"/>
                <w:szCs w:val="20"/>
              </w:rPr>
            </w:pPr>
            <w:r>
              <w:rPr>
                <w:rFonts w:hint="eastAsia" w:eastAsia="宋体" w:cs="Times New Roman"/>
                <w:kern w:val="0"/>
                <w:sz w:val="20"/>
                <w:szCs w:val="20"/>
              </w:rPr>
              <w:t>——</w:t>
            </w:r>
          </w:p>
        </w:tc>
      </w:tr>
    </w:tbl>
    <w:p w14:paraId="5FC81942">
      <w:pPr>
        <w:autoSpaceDE w:val="0"/>
        <w:autoSpaceDN w:val="0"/>
        <w:adjustRightInd w:val="0"/>
        <w:spacing w:after="157" w:line="600" w:lineRule="exact"/>
        <w:rPr>
          <w:rFonts w:cs="Times New Roman"/>
          <w:szCs w:val="32"/>
        </w:rPr>
      </w:pPr>
    </w:p>
    <w:sectPr>
      <w:pgSz w:w="16838" w:h="11906" w:orient="landscape"/>
      <w:pgMar w:top="720" w:right="720" w:bottom="720" w:left="720" w:header="851" w:footer="992" w:gutter="0"/>
      <w:cols w:space="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
    <w:altName w:val="仿宋"/>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40C30">
    <w:pPr>
      <w:pStyle w:val="12"/>
      <w:spacing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B7660">
    <w:pPr>
      <w:pStyle w:val="12"/>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92CB">
    <w:pPr>
      <w:pStyle w:val="12"/>
      <w:spacing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9926A">
    <w:pPr>
      <w:pStyle w:val="12"/>
      <w:spacing w:after="120"/>
      <w:jc w:val="center"/>
    </w:pPr>
  </w:p>
  <w:p w14:paraId="00C2E5D2">
    <w:pPr>
      <w:pStyle w:val="12"/>
      <w:spacing w:after="120"/>
      <w:ind w:firstLine="360"/>
      <w:jc w:val="center"/>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F43F8">
    <w:pPr>
      <w:pStyle w:val="12"/>
      <w:spacing w:after="120"/>
      <w:ind w:firstLine="360"/>
      <w:jc w:val="center"/>
    </w:pPr>
    <w:r>
      <w:fldChar w:fldCharType="begin"/>
    </w:r>
    <w:r>
      <w:instrText xml:space="preserve">PAGE   \* MERGEFORMAT</w:instrText>
    </w:r>
    <w:r>
      <w:fldChar w:fldCharType="separate"/>
    </w:r>
    <w:r>
      <w:rPr>
        <w:lang w:val="zh-CN"/>
      </w:rPr>
      <w:t>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40" w:lineRule="auto"/>
      </w:pPr>
      <w:r>
        <w:separator/>
      </w:r>
    </w:p>
  </w:footnote>
  <w:footnote w:type="continuationSeparator" w:id="3">
    <w:p>
      <w:pPr>
        <w:spacing w:before="0" w:after="0" w:line="240" w:lineRule="auto"/>
      </w:pPr>
      <w:r>
        <w:continuationSeparator/>
      </w:r>
    </w:p>
  </w:footnote>
  <w:footnote w:id="0">
    <w:p w14:paraId="5EE4E6D5">
      <w:pPr>
        <w:pStyle w:val="16"/>
        <w:spacing w:after="156"/>
      </w:pPr>
      <w:r>
        <w:rPr>
          <w:rStyle w:val="26"/>
        </w:rPr>
        <w:footnoteRef/>
      </w:r>
      <w:r>
        <w:rPr>
          <w:rFonts w:cs="Times New Roman"/>
        </w:rPr>
        <w:t xml:space="preserve"> </w:t>
      </w:r>
      <w:r>
        <w:rPr>
          <w:rFonts w:hint="eastAsia" w:ascii="黑体" w:hAnsi="黑体" w:eastAsia="黑体" w:cs="Times New Roman"/>
        </w:rPr>
        <w:t>评价结果分为优、良、中、低、差五个档次。其中：优（得分</w:t>
      </w:r>
      <m:oMath>
        <m:r>
          <m:rPr>
            <m:sty m:val="p"/>
          </m:rPr>
          <w:rPr>
            <w:rFonts w:ascii="Cambria Math" w:hAnsi="Cambria Math" w:eastAsia="黑体" w:cs="Times New Roman"/>
          </w:rPr>
          <m:t>≥</m:t>
        </m:r>
      </m:oMath>
      <w:r>
        <w:rPr>
          <w:rFonts w:hint="eastAsia" w:ascii="黑体" w:hAnsi="黑体" w:eastAsia="黑体" w:cs="Times New Roman"/>
        </w:rPr>
        <w:t>90），良（90</w:t>
      </w:r>
      <m:oMath>
        <m:r>
          <m:rPr>
            <m:sty m:val="p"/>
          </m:rPr>
          <w:rPr>
            <w:rFonts w:ascii="Cambria Math" w:hAnsi="Cambria Math" w:eastAsia="黑体" w:cs="Times New Roman"/>
          </w:rPr>
          <m:t>&gt;</m:t>
        </m:r>
      </m:oMath>
      <w:r>
        <w:rPr>
          <w:rFonts w:hint="eastAsia" w:ascii="黑体" w:hAnsi="黑体" w:eastAsia="黑体" w:cs="Times New Roman"/>
        </w:rPr>
        <w:t>得分</w:t>
      </w:r>
      <m:oMath>
        <m:r>
          <m:rPr>
            <m:sty m:val="p"/>
          </m:rPr>
          <w:rPr>
            <w:rFonts w:ascii="Cambria Math" w:hAnsi="Cambria Math" w:eastAsia="黑体" w:cs="Times New Roman"/>
          </w:rPr>
          <m:t>≥</m:t>
        </m:r>
      </m:oMath>
      <w:r>
        <w:rPr>
          <w:rFonts w:hint="eastAsia" w:ascii="黑体" w:hAnsi="黑体" w:eastAsia="黑体" w:cs="Times New Roman"/>
        </w:rPr>
        <w:t>80），中（80</w:t>
      </w:r>
      <m:oMath>
        <m:r>
          <m:rPr>
            <m:sty m:val="p"/>
          </m:rPr>
          <w:rPr>
            <w:rFonts w:ascii="Cambria Math" w:hAnsi="Cambria Math" w:eastAsia="黑体" w:cs="Times New Roman"/>
          </w:rPr>
          <m:t>&gt;</m:t>
        </m:r>
      </m:oMath>
      <w:r>
        <w:rPr>
          <w:rFonts w:hint="eastAsia" w:ascii="黑体" w:hAnsi="黑体" w:eastAsia="黑体" w:cs="Times New Roman"/>
        </w:rPr>
        <w:t>得分</w:t>
      </w:r>
      <m:oMath>
        <m:r>
          <m:rPr>
            <m:sty m:val="p"/>
          </m:rPr>
          <w:rPr>
            <w:rFonts w:ascii="Cambria Math" w:hAnsi="Cambria Math" w:eastAsia="黑体" w:cs="Times New Roman"/>
          </w:rPr>
          <m:t>≥</m:t>
        </m:r>
      </m:oMath>
      <w:r>
        <w:rPr>
          <w:rFonts w:hint="eastAsia" w:ascii="黑体" w:hAnsi="黑体" w:eastAsia="黑体" w:cs="Times New Roman"/>
        </w:rPr>
        <w:t>70），低（70</w:t>
      </w:r>
      <m:oMath>
        <m:r>
          <m:rPr>
            <m:sty m:val="p"/>
          </m:rPr>
          <w:rPr>
            <w:rFonts w:ascii="Cambria Math" w:hAnsi="Cambria Math" w:eastAsia="黑体" w:cs="Times New Roman"/>
          </w:rPr>
          <m:t>&gt;</m:t>
        </m:r>
      </m:oMath>
      <w:r>
        <w:rPr>
          <w:rFonts w:hint="eastAsia" w:ascii="黑体" w:hAnsi="黑体" w:eastAsia="黑体" w:cs="Times New Roman"/>
        </w:rPr>
        <w:t>得分</w:t>
      </w:r>
      <m:oMath>
        <m:r>
          <m:rPr>
            <m:sty m:val="p"/>
          </m:rPr>
          <w:rPr>
            <w:rFonts w:ascii="Cambria Math" w:hAnsi="Cambria Math" w:eastAsia="黑体" w:cs="Times New Roman"/>
          </w:rPr>
          <m:t>≥</m:t>
        </m:r>
      </m:oMath>
      <w:r>
        <w:rPr>
          <w:rFonts w:hint="eastAsia" w:ascii="黑体" w:hAnsi="黑体" w:eastAsia="黑体" w:cs="Times New Roman"/>
        </w:rPr>
        <w:t>50），差（得分</w:t>
      </w:r>
      <m:oMath>
        <m:r>
          <m:rPr>
            <m:sty m:val="p"/>
          </m:rPr>
          <w:rPr>
            <w:rFonts w:ascii="Cambria Math" w:hAnsi="Cambria Math" w:eastAsia="黑体" w:cs="Times New Roman"/>
          </w:rPr>
          <m:t>&lt;</m:t>
        </m:r>
      </m:oMath>
      <w:r>
        <w:rPr>
          <w:rFonts w:hint="eastAsia" w:ascii="黑体" w:hAnsi="黑体" w:eastAsia="黑体" w:cs="Times New Roman"/>
        </w:rPr>
        <w:t>50）。</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12143">
    <w:pPr>
      <w:pStyle w:val="13"/>
      <w:pBdr>
        <w:bottom w:val="none" w:color="auto" w:sz="0" w:space="0"/>
      </w:pBdr>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5E18D">
    <w:pPr>
      <w:pStyle w:val="13"/>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64878">
    <w:pPr>
      <w:pStyle w:val="13"/>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bordersDoNotSurroundHeader w:val="1"/>
  <w:bordersDoNotSurroundFooter w:val="1"/>
  <w:documentProtection w:enforcement="0"/>
  <w:defaultTabStop w:val="420"/>
  <w:drawingGridHorizontalSpacing w:val="105"/>
  <w:drawingGridVerticalSpacing w:val="158"/>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0NmM1YWQ3ZjJmY2RiOWNiZjg2MTAxYjY1NjYxMWYifQ=="/>
  </w:docVars>
  <w:rsids>
    <w:rsidRoot w:val="00164E54"/>
    <w:rsid w:val="00005583"/>
    <w:rsid w:val="0001175D"/>
    <w:rsid w:val="0001513F"/>
    <w:rsid w:val="0002068B"/>
    <w:rsid w:val="000215A8"/>
    <w:rsid w:val="00024AB8"/>
    <w:rsid w:val="00026954"/>
    <w:rsid w:val="00030CAD"/>
    <w:rsid w:val="00031F8F"/>
    <w:rsid w:val="00033548"/>
    <w:rsid w:val="00040B1E"/>
    <w:rsid w:val="00046718"/>
    <w:rsid w:val="000505ED"/>
    <w:rsid w:val="00052BBD"/>
    <w:rsid w:val="00052FE3"/>
    <w:rsid w:val="00053A7D"/>
    <w:rsid w:val="00056701"/>
    <w:rsid w:val="00057E2C"/>
    <w:rsid w:val="00060B79"/>
    <w:rsid w:val="000626C2"/>
    <w:rsid w:val="00062DD9"/>
    <w:rsid w:val="0006722F"/>
    <w:rsid w:val="0007278A"/>
    <w:rsid w:val="00072D86"/>
    <w:rsid w:val="00083C6A"/>
    <w:rsid w:val="000847DA"/>
    <w:rsid w:val="00085175"/>
    <w:rsid w:val="000900A1"/>
    <w:rsid w:val="00091D2D"/>
    <w:rsid w:val="000924FC"/>
    <w:rsid w:val="0009615E"/>
    <w:rsid w:val="00096DD5"/>
    <w:rsid w:val="0009711F"/>
    <w:rsid w:val="000A2C4C"/>
    <w:rsid w:val="000A5045"/>
    <w:rsid w:val="000A5FA9"/>
    <w:rsid w:val="000A6A46"/>
    <w:rsid w:val="000A79C2"/>
    <w:rsid w:val="000B5F37"/>
    <w:rsid w:val="000B7062"/>
    <w:rsid w:val="000C23AE"/>
    <w:rsid w:val="000C34BB"/>
    <w:rsid w:val="000C388E"/>
    <w:rsid w:val="000C3D11"/>
    <w:rsid w:val="000D0138"/>
    <w:rsid w:val="000D1884"/>
    <w:rsid w:val="000D3A19"/>
    <w:rsid w:val="000D6C3F"/>
    <w:rsid w:val="000E1CA5"/>
    <w:rsid w:val="000E312E"/>
    <w:rsid w:val="000E674A"/>
    <w:rsid w:val="000E6826"/>
    <w:rsid w:val="000F3B39"/>
    <w:rsid w:val="000F3BD2"/>
    <w:rsid w:val="000F4215"/>
    <w:rsid w:val="000F5D9D"/>
    <w:rsid w:val="000F6825"/>
    <w:rsid w:val="000F7BB1"/>
    <w:rsid w:val="00103520"/>
    <w:rsid w:val="001060DB"/>
    <w:rsid w:val="00106350"/>
    <w:rsid w:val="00106CDE"/>
    <w:rsid w:val="00114C76"/>
    <w:rsid w:val="001168D0"/>
    <w:rsid w:val="00116E98"/>
    <w:rsid w:val="00121570"/>
    <w:rsid w:val="00126501"/>
    <w:rsid w:val="00126D21"/>
    <w:rsid w:val="00126ED4"/>
    <w:rsid w:val="001271A8"/>
    <w:rsid w:val="001312FE"/>
    <w:rsid w:val="00131C52"/>
    <w:rsid w:val="0013461F"/>
    <w:rsid w:val="00141A77"/>
    <w:rsid w:val="001424A7"/>
    <w:rsid w:val="00142592"/>
    <w:rsid w:val="00146DC4"/>
    <w:rsid w:val="0015231D"/>
    <w:rsid w:val="001571AE"/>
    <w:rsid w:val="00160F85"/>
    <w:rsid w:val="0016120C"/>
    <w:rsid w:val="00161491"/>
    <w:rsid w:val="00161B52"/>
    <w:rsid w:val="00164E54"/>
    <w:rsid w:val="00165CA7"/>
    <w:rsid w:val="00167940"/>
    <w:rsid w:val="0017312A"/>
    <w:rsid w:val="00173B8D"/>
    <w:rsid w:val="00176EED"/>
    <w:rsid w:val="00180F3C"/>
    <w:rsid w:val="00181B07"/>
    <w:rsid w:val="00182461"/>
    <w:rsid w:val="00184E6B"/>
    <w:rsid w:val="001855E5"/>
    <w:rsid w:val="0019109E"/>
    <w:rsid w:val="00191841"/>
    <w:rsid w:val="00192B17"/>
    <w:rsid w:val="001930C6"/>
    <w:rsid w:val="001A2133"/>
    <w:rsid w:val="001A7644"/>
    <w:rsid w:val="001B18D5"/>
    <w:rsid w:val="001B1C2B"/>
    <w:rsid w:val="001B2E6C"/>
    <w:rsid w:val="001B799D"/>
    <w:rsid w:val="001C06D3"/>
    <w:rsid w:val="001C1C74"/>
    <w:rsid w:val="001C2A68"/>
    <w:rsid w:val="001C6D07"/>
    <w:rsid w:val="001C7B87"/>
    <w:rsid w:val="001E3360"/>
    <w:rsid w:val="001F118E"/>
    <w:rsid w:val="001F69D8"/>
    <w:rsid w:val="001F75B7"/>
    <w:rsid w:val="00202EC3"/>
    <w:rsid w:val="00206DA7"/>
    <w:rsid w:val="00214763"/>
    <w:rsid w:val="002215D3"/>
    <w:rsid w:val="002318AD"/>
    <w:rsid w:val="00232131"/>
    <w:rsid w:val="00232AF6"/>
    <w:rsid w:val="00233AE3"/>
    <w:rsid w:val="00235CB3"/>
    <w:rsid w:val="00242DDD"/>
    <w:rsid w:val="00242E33"/>
    <w:rsid w:val="00243FF7"/>
    <w:rsid w:val="00244CE6"/>
    <w:rsid w:val="00246677"/>
    <w:rsid w:val="002507C3"/>
    <w:rsid w:val="00253458"/>
    <w:rsid w:val="00256497"/>
    <w:rsid w:val="002575E3"/>
    <w:rsid w:val="00275A83"/>
    <w:rsid w:val="00281BCC"/>
    <w:rsid w:val="00285DAF"/>
    <w:rsid w:val="00286494"/>
    <w:rsid w:val="00290B69"/>
    <w:rsid w:val="00291717"/>
    <w:rsid w:val="00292326"/>
    <w:rsid w:val="002A096C"/>
    <w:rsid w:val="002A4E8B"/>
    <w:rsid w:val="002A5256"/>
    <w:rsid w:val="002A6D84"/>
    <w:rsid w:val="002B2ACF"/>
    <w:rsid w:val="002B76A9"/>
    <w:rsid w:val="002C45BD"/>
    <w:rsid w:val="002C5637"/>
    <w:rsid w:val="002C7322"/>
    <w:rsid w:val="002D2FEB"/>
    <w:rsid w:val="002E072C"/>
    <w:rsid w:val="002E23F4"/>
    <w:rsid w:val="002E3864"/>
    <w:rsid w:val="002E3E6A"/>
    <w:rsid w:val="002E416C"/>
    <w:rsid w:val="002E64CA"/>
    <w:rsid w:val="002E6FF1"/>
    <w:rsid w:val="002E750F"/>
    <w:rsid w:val="002E7822"/>
    <w:rsid w:val="002F01F8"/>
    <w:rsid w:val="002F4860"/>
    <w:rsid w:val="002F6E23"/>
    <w:rsid w:val="00302623"/>
    <w:rsid w:val="003047F9"/>
    <w:rsid w:val="00307248"/>
    <w:rsid w:val="00307A10"/>
    <w:rsid w:val="00312536"/>
    <w:rsid w:val="00315852"/>
    <w:rsid w:val="00316A01"/>
    <w:rsid w:val="00316F03"/>
    <w:rsid w:val="00323807"/>
    <w:rsid w:val="0032443B"/>
    <w:rsid w:val="00326593"/>
    <w:rsid w:val="00330237"/>
    <w:rsid w:val="00333890"/>
    <w:rsid w:val="00334C9B"/>
    <w:rsid w:val="00335FBF"/>
    <w:rsid w:val="003363C2"/>
    <w:rsid w:val="00336E0C"/>
    <w:rsid w:val="00340811"/>
    <w:rsid w:val="003413AE"/>
    <w:rsid w:val="00342EC4"/>
    <w:rsid w:val="00344068"/>
    <w:rsid w:val="00347959"/>
    <w:rsid w:val="00355D0E"/>
    <w:rsid w:val="003567A5"/>
    <w:rsid w:val="00360E40"/>
    <w:rsid w:val="00361206"/>
    <w:rsid w:val="00362CD4"/>
    <w:rsid w:val="00364556"/>
    <w:rsid w:val="00365DB8"/>
    <w:rsid w:val="0036652B"/>
    <w:rsid w:val="00375915"/>
    <w:rsid w:val="00375ECE"/>
    <w:rsid w:val="00377310"/>
    <w:rsid w:val="00381F1D"/>
    <w:rsid w:val="00385E18"/>
    <w:rsid w:val="00390E53"/>
    <w:rsid w:val="003A0173"/>
    <w:rsid w:val="003A164B"/>
    <w:rsid w:val="003A62A5"/>
    <w:rsid w:val="003B0E43"/>
    <w:rsid w:val="003B500C"/>
    <w:rsid w:val="003B56F7"/>
    <w:rsid w:val="003B656E"/>
    <w:rsid w:val="003B7170"/>
    <w:rsid w:val="003C2888"/>
    <w:rsid w:val="003C5D80"/>
    <w:rsid w:val="003C5F2F"/>
    <w:rsid w:val="003C72D9"/>
    <w:rsid w:val="003D4C9B"/>
    <w:rsid w:val="003D4CC0"/>
    <w:rsid w:val="003D6CF5"/>
    <w:rsid w:val="003D777A"/>
    <w:rsid w:val="003E2565"/>
    <w:rsid w:val="003E483C"/>
    <w:rsid w:val="003E4BF5"/>
    <w:rsid w:val="003E5D73"/>
    <w:rsid w:val="003F09C6"/>
    <w:rsid w:val="003F443A"/>
    <w:rsid w:val="0040126B"/>
    <w:rsid w:val="00401DAA"/>
    <w:rsid w:val="0040282F"/>
    <w:rsid w:val="004049C9"/>
    <w:rsid w:val="00406C78"/>
    <w:rsid w:val="004072C2"/>
    <w:rsid w:val="004113A6"/>
    <w:rsid w:val="00412680"/>
    <w:rsid w:val="004176DE"/>
    <w:rsid w:val="004211B1"/>
    <w:rsid w:val="00423898"/>
    <w:rsid w:val="00427355"/>
    <w:rsid w:val="00430ACD"/>
    <w:rsid w:val="00431ADE"/>
    <w:rsid w:val="00434BD5"/>
    <w:rsid w:val="00435420"/>
    <w:rsid w:val="00442318"/>
    <w:rsid w:val="004426C4"/>
    <w:rsid w:val="00445E29"/>
    <w:rsid w:val="0045088B"/>
    <w:rsid w:val="0047352E"/>
    <w:rsid w:val="00481486"/>
    <w:rsid w:val="00485D77"/>
    <w:rsid w:val="00487B05"/>
    <w:rsid w:val="00490041"/>
    <w:rsid w:val="00491367"/>
    <w:rsid w:val="004919A2"/>
    <w:rsid w:val="00492A79"/>
    <w:rsid w:val="00493920"/>
    <w:rsid w:val="0049762F"/>
    <w:rsid w:val="004A127E"/>
    <w:rsid w:val="004A2EBC"/>
    <w:rsid w:val="004A3144"/>
    <w:rsid w:val="004A3869"/>
    <w:rsid w:val="004A633E"/>
    <w:rsid w:val="004B0211"/>
    <w:rsid w:val="004B78D6"/>
    <w:rsid w:val="004C02E4"/>
    <w:rsid w:val="004C6ADC"/>
    <w:rsid w:val="004C79D0"/>
    <w:rsid w:val="004D278F"/>
    <w:rsid w:val="004D2E98"/>
    <w:rsid w:val="004D5F6E"/>
    <w:rsid w:val="004E0B41"/>
    <w:rsid w:val="004E5219"/>
    <w:rsid w:val="004E5C50"/>
    <w:rsid w:val="004E7494"/>
    <w:rsid w:val="004E7E10"/>
    <w:rsid w:val="004F0328"/>
    <w:rsid w:val="004F1876"/>
    <w:rsid w:val="004F649A"/>
    <w:rsid w:val="004F6BB6"/>
    <w:rsid w:val="0050119C"/>
    <w:rsid w:val="00501879"/>
    <w:rsid w:val="00502DA9"/>
    <w:rsid w:val="0050476D"/>
    <w:rsid w:val="00505D3E"/>
    <w:rsid w:val="00511166"/>
    <w:rsid w:val="00514847"/>
    <w:rsid w:val="00516F9E"/>
    <w:rsid w:val="0051789A"/>
    <w:rsid w:val="005203A1"/>
    <w:rsid w:val="00520501"/>
    <w:rsid w:val="00522A75"/>
    <w:rsid w:val="005251B9"/>
    <w:rsid w:val="005252F7"/>
    <w:rsid w:val="005258E8"/>
    <w:rsid w:val="00530642"/>
    <w:rsid w:val="0053506A"/>
    <w:rsid w:val="00540546"/>
    <w:rsid w:val="00541443"/>
    <w:rsid w:val="00543ACB"/>
    <w:rsid w:val="00544CBE"/>
    <w:rsid w:val="0054563F"/>
    <w:rsid w:val="00546D9D"/>
    <w:rsid w:val="0055359F"/>
    <w:rsid w:val="00553AFF"/>
    <w:rsid w:val="00555565"/>
    <w:rsid w:val="00556C7D"/>
    <w:rsid w:val="005610FB"/>
    <w:rsid w:val="005626E5"/>
    <w:rsid w:val="00563237"/>
    <w:rsid w:val="00564169"/>
    <w:rsid w:val="00572C09"/>
    <w:rsid w:val="00572DF0"/>
    <w:rsid w:val="005758D6"/>
    <w:rsid w:val="005758ED"/>
    <w:rsid w:val="00576C46"/>
    <w:rsid w:val="00585CD7"/>
    <w:rsid w:val="00592B47"/>
    <w:rsid w:val="00593182"/>
    <w:rsid w:val="005958CC"/>
    <w:rsid w:val="005A324D"/>
    <w:rsid w:val="005B112D"/>
    <w:rsid w:val="005B1203"/>
    <w:rsid w:val="005B2CEB"/>
    <w:rsid w:val="005B3967"/>
    <w:rsid w:val="005B47C7"/>
    <w:rsid w:val="005D3144"/>
    <w:rsid w:val="005D4823"/>
    <w:rsid w:val="005E175C"/>
    <w:rsid w:val="005E33F8"/>
    <w:rsid w:val="005E39A6"/>
    <w:rsid w:val="005E76D6"/>
    <w:rsid w:val="005E7FAF"/>
    <w:rsid w:val="005F09DD"/>
    <w:rsid w:val="005F3390"/>
    <w:rsid w:val="005F3739"/>
    <w:rsid w:val="005F6EE3"/>
    <w:rsid w:val="00601B09"/>
    <w:rsid w:val="00605392"/>
    <w:rsid w:val="0060602F"/>
    <w:rsid w:val="00606D9E"/>
    <w:rsid w:val="00612D16"/>
    <w:rsid w:val="0061665B"/>
    <w:rsid w:val="00620B12"/>
    <w:rsid w:val="00621374"/>
    <w:rsid w:val="0062151A"/>
    <w:rsid w:val="00621840"/>
    <w:rsid w:val="00623DFB"/>
    <w:rsid w:val="00636D64"/>
    <w:rsid w:val="0063703F"/>
    <w:rsid w:val="00644D32"/>
    <w:rsid w:val="00645464"/>
    <w:rsid w:val="006457E7"/>
    <w:rsid w:val="00645C64"/>
    <w:rsid w:val="00646411"/>
    <w:rsid w:val="00647317"/>
    <w:rsid w:val="006508A3"/>
    <w:rsid w:val="00656181"/>
    <w:rsid w:val="00656945"/>
    <w:rsid w:val="00660C77"/>
    <w:rsid w:val="006610D5"/>
    <w:rsid w:val="00661398"/>
    <w:rsid w:val="00665A33"/>
    <w:rsid w:val="006674EE"/>
    <w:rsid w:val="006678D3"/>
    <w:rsid w:val="00676D99"/>
    <w:rsid w:val="006779AF"/>
    <w:rsid w:val="00677F43"/>
    <w:rsid w:val="006807EF"/>
    <w:rsid w:val="00680B27"/>
    <w:rsid w:val="006823F8"/>
    <w:rsid w:val="0069675B"/>
    <w:rsid w:val="006969F3"/>
    <w:rsid w:val="00696C00"/>
    <w:rsid w:val="006A0968"/>
    <w:rsid w:val="006A7CA3"/>
    <w:rsid w:val="006B35E0"/>
    <w:rsid w:val="006C065A"/>
    <w:rsid w:val="006C16E5"/>
    <w:rsid w:val="006C1734"/>
    <w:rsid w:val="006C4A82"/>
    <w:rsid w:val="006C57F7"/>
    <w:rsid w:val="006C6B7F"/>
    <w:rsid w:val="006D027E"/>
    <w:rsid w:val="006D08C4"/>
    <w:rsid w:val="006D1D0C"/>
    <w:rsid w:val="006D3407"/>
    <w:rsid w:val="006D43F5"/>
    <w:rsid w:val="006D5043"/>
    <w:rsid w:val="006D7AC2"/>
    <w:rsid w:val="006E2558"/>
    <w:rsid w:val="006E338C"/>
    <w:rsid w:val="006F3EC1"/>
    <w:rsid w:val="006F4809"/>
    <w:rsid w:val="006F4B5F"/>
    <w:rsid w:val="006F57F4"/>
    <w:rsid w:val="006F594D"/>
    <w:rsid w:val="006F771A"/>
    <w:rsid w:val="006F7C09"/>
    <w:rsid w:val="006F7DE6"/>
    <w:rsid w:val="0070105C"/>
    <w:rsid w:val="00701F4A"/>
    <w:rsid w:val="007022A9"/>
    <w:rsid w:val="00702C5D"/>
    <w:rsid w:val="0071138F"/>
    <w:rsid w:val="007146B8"/>
    <w:rsid w:val="00715164"/>
    <w:rsid w:val="00715CC1"/>
    <w:rsid w:val="00715D87"/>
    <w:rsid w:val="00721B0A"/>
    <w:rsid w:val="00721D77"/>
    <w:rsid w:val="00722473"/>
    <w:rsid w:val="0072477C"/>
    <w:rsid w:val="00726627"/>
    <w:rsid w:val="00731D35"/>
    <w:rsid w:val="007327A0"/>
    <w:rsid w:val="00736BE7"/>
    <w:rsid w:val="00741153"/>
    <w:rsid w:val="00743EF3"/>
    <w:rsid w:val="007453A3"/>
    <w:rsid w:val="00750E67"/>
    <w:rsid w:val="00751377"/>
    <w:rsid w:val="00751639"/>
    <w:rsid w:val="00753093"/>
    <w:rsid w:val="00754094"/>
    <w:rsid w:val="00754E44"/>
    <w:rsid w:val="00755AFE"/>
    <w:rsid w:val="00757378"/>
    <w:rsid w:val="00760E90"/>
    <w:rsid w:val="0076447B"/>
    <w:rsid w:val="0077428C"/>
    <w:rsid w:val="0077498B"/>
    <w:rsid w:val="007805B0"/>
    <w:rsid w:val="007912EC"/>
    <w:rsid w:val="00793121"/>
    <w:rsid w:val="00795863"/>
    <w:rsid w:val="00797A65"/>
    <w:rsid w:val="007A0809"/>
    <w:rsid w:val="007A5354"/>
    <w:rsid w:val="007B0015"/>
    <w:rsid w:val="007B4594"/>
    <w:rsid w:val="007B4EAA"/>
    <w:rsid w:val="007B6353"/>
    <w:rsid w:val="007B7106"/>
    <w:rsid w:val="007B7914"/>
    <w:rsid w:val="007C0A4C"/>
    <w:rsid w:val="007C0E5B"/>
    <w:rsid w:val="007C1D4D"/>
    <w:rsid w:val="007C50F8"/>
    <w:rsid w:val="007C7F16"/>
    <w:rsid w:val="007D45E5"/>
    <w:rsid w:val="007D6742"/>
    <w:rsid w:val="007D75F3"/>
    <w:rsid w:val="007E31C9"/>
    <w:rsid w:val="007E3318"/>
    <w:rsid w:val="007E3733"/>
    <w:rsid w:val="007E5253"/>
    <w:rsid w:val="007E5365"/>
    <w:rsid w:val="007F097D"/>
    <w:rsid w:val="007F26BE"/>
    <w:rsid w:val="007F38EE"/>
    <w:rsid w:val="007F51B5"/>
    <w:rsid w:val="007F6A87"/>
    <w:rsid w:val="0080355F"/>
    <w:rsid w:val="00806D07"/>
    <w:rsid w:val="00811968"/>
    <w:rsid w:val="0081467A"/>
    <w:rsid w:val="00814BF2"/>
    <w:rsid w:val="00815435"/>
    <w:rsid w:val="00815D23"/>
    <w:rsid w:val="00820BF0"/>
    <w:rsid w:val="008212CB"/>
    <w:rsid w:val="008223B2"/>
    <w:rsid w:val="00823629"/>
    <w:rsid w:val="008265D7"/>
    <w:rsid w:val="008335E6"/>
    <w:rsid w:val="0083438B"/>
    <w:rsid w:val="00834AFA"/>
    <w:rsid w:val="00841613"/>
    <w:rsid w:val="00844571"/>
    <w:rsid w:val="008467FE"/>
    <w:rsid w:val="00850F80"/>
    <w:rsid w:val="00852005"/>
    <w:rsid w:val="00852586"/>
    <w:rsid w:val="00855E33"/>
    <w:rsid w:val="0085729E"/>
    <w:rsid w:val="00870DA1"/>
    <w:rsid w:val="00871862"/>
    <w:rsid w:val="00871A91"/>
    <w:rsid w:val="00873302"/>
    <w:rsid w:val="008840E0"/>
    <w:rsid w:val="00884C9F"/>
    <w:rsid w:val="00890145"/>
    <w:rsid w:val="00891E08"/>
    <w:rsid w:val="0089287C"/>
    <w:rsid w:val="008A0D73"/>
    <w:rsid w:val="008A2DB5"/>
    <w:rsid w:val="008A6D90"/>
    <w:rsid w:val="008A77EA"/>
    <w:rsid w:val="008B51EA"/>
    <w:rsid w:val="008B54FB"/>
    <w:rsid w:val="008B7820"/>
    <w:rsid w:val="008C13C7"/>
    <w:rsid w:val="008C1C54"/>
    <w:rsid w:val="008C23BF"/>
    <w:rsid w:val="008C7515"/>
    <w:rsid w:val="008D7882"/>
    <w:rsid w:val="008E4491"/>
    <w:rsid w:val="008E6513"/>
    <w:rsid w:val="008F1B03"/>
    <w:rsid w:val="008F224A"/>
    <w:rsid w:val="008F4237"/>
    <w:rsid w:val="008F4CD0"/>
    <w:rsid w:val="008F4F8B"/>
    <w:rsid w:val="008F7D0C"/>
    <w:rsid w:val="00900683"/>
    <w:rsid w:val="00902207"/>
    <w:rsid w:val="00902D26"/>
    <w:rsid w:val="00906162"/>
    <w:rsid w:val="009061F2"/>
    <w:rsid w:val="00907B74"/>
    <w:rsid w:val="0091110C"/>
    <w:rsid w:val="0091113B"/>
    <w:rsid w:val="0091517D"/>
    <w:rsid w:val="0091666D"/>
    <w:rsid w:val="00916EF0"/>
    <w:rsid w:val="00917861"/>
    <w:rsid w:val="00917880"/>
    <w:rsid w:val="00920AB6"/>
    <w:rsid w:val="00924B10"/>
    <w:rsid w:val="00925A60"/>
    <w:rsid w:val="00927517"/>
    <w:rsid w:val="00927AF0"/>
    <w:rsid w:val="00927FA4"/>
    <w:rsid w:val="00932952"/>
    <w:rsid w:val="00933307"/>
    <w:rsid w:val="00935994"/>
    <w:rsid w:val="00935C77"/>
    <w:rsid w:val="00942D79"/>
    <w:rsid w:val="0095060F"/>
    <w:rsid w:val="00952B9A"/>
    <w:rsid w:val="0095574C"/>
    <w:rsid w:val="00955939"/>
    <w:rsid w:val="009612B5"/>
    <w:rsid w:val="00967D0E"/>
    <w:rsid w:val="00967DB0"/>
    <w:rsid w:val="00977C1F"/>
    <w:rsid w:val="00977EAF"/>
    <w:rsid w:val="00980282"/>
    <w:rsid w:val="009811D2"/>
    <w:rsid w:val="00986698"/>
    <w:rsid w:val="00991651"/>
    <w:rsid w:val="00996E27"/>
    <w:rsid w:val="009A0620"/>
    <w:rsid w:val="009A1572"/>
    <w:rsid w:val="009A72D5"/>
    <w:rsid w:val="009B0C57"/>
    <w:rsid w:val="009B1F6D"/>
    <w:rsid w:val="009B2F16"/>
    <w:rsid w:val="009C0A9F"/>
    <w:rsid w:val="009C16C4"/>
    <w:rsid w:val="009C1777"/>
    <w:rsid w:val="009C1925"/>
    <w:rsid w:val="009C440D"/>
    <w:rsid w:val="009C6066"/>
    <w:rsid w:val="009D0F72"/>
    <w:rsid w:val="009D468E"/>
    <w:rsid w:val="009D6B2E"/>
    <w:rsid w:val="009E16CB"/>
    <w:rsid w:val="009E342C"/>
    <w:rsid w:val="009E3580"/>
    <w:rsid w:val="009E54CE"/>
    <w:rsid w:val="009E6A1D"/>
    <w:rsid w:val="009F2ACA"/>
    <w:rsid w:val="009F5132"/>
    <w:rsid w:val="00A01BCC"/>
    <w:rsid w:val="00A058BE"/>
    <w:rsid w:val="00A07BA2"/>
    <w:rsid w:val="00A102AF"/>
    <w:rsid w:val="00A12B21"/>
    <w:rsid w:val="00A12F5E"/>
    <w:rsid w:val="00A14A0A"/>
    <w:rsid w:val="00A17E25"/>
    <w:rsid w:val="00A17F88"/>
    <w:rsid w:val="00A207C7"/>
    <w:rsid w:val="00A26D8E"/>
    <w:rsid w:val="00A274C4"/>
    <w:rsid w:val="00A278D1"/>
    <w:rsid w:val="00A3073C"/>
    <w:rsid w:val="00A32E1F"/>
    <w:rsid w:val="00A357AC"/>
    <w:rsid w:val="00A37E84"/>
    <w:rsid w:val="00A47612"/>
    <w:rsid w:val="00A51465"/>
    <w:rsid w:val="00A52AEA"/>
    <w:rsid w:val="00A540F9"/>
    <w:rsid w:val="00A54E74"/>
    <w:rsid w:val="00A57218"/>
    <w:rsid w:val="00A57970"/>
    <w:rsid w:val="00A60D75"/>
    <w:rsid w:val="00A61AC6"/>
    <w:rsid w:val="00A651DC"/>
    <w:rsid w:val="00A71F23"/>
    <w:rsid w:val="00A7772E"/>
    <w:rsid w:val="00A80B77"/>
    <w:rsid w:val="00A811B3"/>
    <w:rsid w:val="00A83413"/>
    <w:rsid w:val="00A86A8E"/>
    <w:rsid w:val="00A979A4"/>
    <w:rsid w:val="00A97D40"/>
    <w:rsid w:val="00AA0594"/>
    <w:rsid w:val="00AA2383"/>
    <w:rsid w:val="00AA65A2"/>
    <w:rsid w:val="00AA7014"/>
    <w:rsid w:val="00AB02B9"/>
    <w:rsid w:val="00AB23A4"/>
    <w:rsid w:val="00AB44BD"/>
    <w:rsid w:val="00AB45D1"/>
    <w:rsid w:val="00AB469B"/>
    <w:rsid w:val="00AB4BB8"/>
    <w:rsid w:val="00AB54FF"/>
    <w:rsid w:val="00AB5732"/>
    <w:rsid w:val="00AC76E5"/>
    <w:rsid w:val="00AC7767"/>
    <w:rsid w:val="00AD00F1"/>
    <w:rsid w:val="00AD20C2"/>
    <w:rsid w:val="00AD2A0F"/>
    <w:rsid w:val="00AD69CE"/>
    <w:rsid w:val="00AE2128"/>
    <w:rsid w:val="00AE42F7"/>
    <w:rsid w:val="00AE68A2"/>
    <w:rsid w:val="00AE6FF0"/>
    <w:rsid w:val="00AF0772"/>
    <w:rsid w:val="00AF0EA1"/>
    <w:rsid w:val="00AF1F53"/>
    <w:rsid w:val="00AF250B"/>
    <w:rsid w:val="00AF43FC"/>
    <w:rsid w:val="00AF4AE9"/>
    <w:rsid w:val="00AF4D6D"/>
    <w:rsid w:val="00AF6DC7"/>
    <w:rsid w:val="00B03D4D"/>
    <w:rsid w:val="00B13AEF"/>
    <w:rsid w:val="00B20D6A"/>
    <w:rsid w:val="00B23814"/>
    <w:rsid w:val="00B2451D"/>
    <w:rsid w:val="00B258E8"/>
    <w:rsid w:val="00B27339"/>
    <w:rsid w:val="00B2777C"/>
    <w:rsid w:val="00B27FB7"/>
    <w:rsid w:val="00B302BC"/>
    <w:rsid w:val="00B317ED"/>
    <w:rsid w:val="00B31A3F"/>
    <w:rsid w:val="00B333FF"/>
    <w:rsid w:val="00B343E8"/>
    <w:rsid w:val="00B35400"/>
    <w:rsid w:val="00B361BB"/>
    <w:rsid w:val="00B40BDB"/>
    <w:rsid w:val="00B41D1D"/>
    <w:rsid w:val="00B42ED6"/>
    <w:rsid w:val="00B460CB"/>
    <w:rsid w:val="00B5371A"/>
    <w:rsid w:val="00B63D9C"/>
    <w:rsid w:val="00B67242"/>
    <w:rsid w:val="00B71A58"/>
    <w:rsid w:val="00B7593B"/>
    <w:rsid w:val="00B7708C"/>
    <w:rsid w:val="00B82199"/>
    <w:rsid w:val="00B821F5"/>
    <w:rsid w:val="00B840F1"/>
    <w:rsid w:val="00B864E0"/>
    <w:rsid w:val="00B91CC0"/>
    <w:rsid w:val="00B95B3A"/>
    <w:rsid w:val="00B97C7D"/>
    <w:rsid w:val="00BA17E9"/>
    <w:rsid w:val="00BA2565"/>
    <w:rsid w:val="00BA4BF4"/>
    <w:rsid w:val="00BB1A13"/>
    <w:rsid w:val="00BB32E0"/>
    <w:rsid w:val="00BB3BEA"/>
    <w:rsid w:val="00BB3FDB"/>
    <w:rsid w:val="00BB5332"/>
    <w:rsid w:val="00BB6838"/>
    <w:rsid w:val="00BB6AD2"/>
    <w:rsid w:val="00BB7E86"/>
    <w:rsid w:val="00BC06FD"/>
    <w:rsid w:val="00BC6F0F"/>
    <w:rsid w:val="00BD0F5C"/>
    <w:rsid w:val="00BD37ED"/>
    <w:rsid w:val="00BE0522"/>
    <w:rsid w:val="00BE7175"/>
    <w:rsid w:val="00BE782F"/>
    <w:rsid w:val="00BF0C8B"/>
    <w:rsid w:val="00BF1C4A"/>
    <w:rsid w:val="00BF5151"/>
    <w:rsid w:val="00BF68FC"/>
    <w:rsid w:val="00C000ED"/>
    <w:rsid w:val="00C01CA4"/>
    <w:rsid w:val="00C02190"/>
    <w:rsid w:val="00C06544"/>
    <w:rsid w:val="00C0714A"/>
    <w:rsid w:val="00C07443"/>
    <w:rsid w:val="00C07EF2"/>
    <w:rsid w:val="00C24E3F"/>
    <w:rsid w:val="00C276AD"/>
    <w:rsid w:val="00C3019E"/>
    <w:rsid w:val="00C3098D"/>
    <w:rsid w:val="00C3662E"/>
    <w:rsid w:val="00C4079E"/>
    <w:rsid w:val="00C42EEC"/>
    <w:rsid w:val="00C4446A"/>
    <w:rsid w:val="00C454D9"/>
    <w:rsid w:val="00C51B1B"/>
    <w:rsid w:val="00C53B8C"/>
    <w:rsid w:val="00C56279"/>
    <w:rsid w:val="00C5732C"/>
    <w:rsid w:val="00C611D7"/>
    <w:rsid w:val="00C63E9A"/>
    <w:rsid w:val="00C65203"/>
    <w:rsid w:val="00C6741C"/>
    <w:rsid w:val="00C67D19"/>
    <w:rsid w:val="00C71063"/>
    <w:rsid w:val="00C73C9F"/>
    <w:rsid w:val="00C74002"/>
    <w:rsid w:val="00C92894"/>
    <w:rsid w:val="00C954E6"/>
    <w:rsid w:val="00C979DF"/>
    <w:rsid w:val="00C97B95"/>
    <w:rsid w:val="00CA20AA"/>
    <w:rsid w:val="00CA29A2"/>
    <w:rsid w:val="00CA2BF5"/>
    <w:rsid w:val="00CA7544"/>
    <w:rsid w:val="00CA79B7"/>
    <w:rsid w:val="00CB0C5E"/>
    <w:rsid w:val="00CB441D"/>
    <w:rsid w:val="00CB457B"/>
    <w:rsid w:val="00CB45DD"/>
    <w:rsid w:val="00CB724B"/>
    <w:rsid w:val="00CC5160"/>
    <w:rsid w:val="00CC620C"/>
    <w:rsid w:val="00CC71C6"/>
    <w:rsid w:val="00CD263A"/>
    <w:rsid w:val="00CD570F"/>
    <w:rsid w:val="00CD61ED"/>
    <w:rsid w:val="00CE14B1"/>
    <w:rsid w:val="00CE1D41"/>
    <w:rsid w:val="00CE4469"/>
    <w:rsid w:val="00CF0500"/>
    <w:rsid w:val="00CF113E"/>
    <w:rsid w:val="00CF2339"/>
    <w:rsid w:val="00CF7CED"/>
    <w:rsid w:val="00D021EB"/>
    <w:rsid w:val="00D022AD"/>
    <w:rsid w:val="00D02B66"/>
    <w:rsid w:val="00D04E53"/>
    <w:rsid w:val="00D05DB1"/>
    <w:rsid w:val="00D06575"/>
    <w:rsid w:val="00D10437"/>
    <w:rsid w:val="00D143BC"/>
    <w:rsid w:val="00D16AE5"/>
    <w:rsid w:val="00D204BE"/>
    <w:rsid w:val="00D21BB7"/>
    <w:rsid w:val="00D2491D"/>
    <w:rsid w:val="00D2644B"/>
    <w:rsid w:val="00D2694D"/>
    <w:rsid w:val="00D345DB"/>
    <w:rsid w:val="00D35308"/>
    <w:rsid w:val="00D35FE2"/>
    <w:rsid w:val="00D366FC"/>
    <w:rsid w:val="00D43E10"/>
    <w:rsid w:val="00D453EC"/>
    <w:rsid w:val="00D462E9"/>
    <w:rsid w:val="00D57660"/>
    <w:rsid w:val="00D57A29"/>
    <w:rsid w:val="00D6302B"/>
    <w:rsid w:val="00D700DD"/>
    <w:rsid w:val="00D76791"/>
    <w:rsid w:val="00D77555"/>
    <w:rsid w:val="00D816B8"/>
    <w:rsid w:val="00D81EC8"/>
    <w:rsid w:val="00D833FF"/>
    <w:rsid w:val="00D83772"/>
    <w:rsid w:val="00D86032"/>
    <w:rsid w:val="00D8648D"/>
    <w:rsid w:val="00D876F9"/>
    <w:rsid w:val="00D928CB"/>
    <w:rsid w:val="00D92B83"/>
    <w:rsid w:val="00D9790C"/>
    <w:rsid w:val="00D97EF6"/>
    <w:rsid w:val="00DA2823"/>
    <w:rsid w:val="00DA3D9B"/>
    <w:rsid w:val="00DA46E7"/>
    <w:rsid w:val="00DA4AA2"/>
    <w:rsid w:val="00DA511F"/>
    <w:rsid w:val="00DA6B03"/>
    <w:rsid w:val="00DB0DFC"/>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7779"/>
    <w:rsid w:val="00DF0CBF"/>
    <w:rsid w:val="00DF0D1B"/>
    <w:rsid w:val="00DF55A5"/>
    <w:rsid w:val="00DF66A4"/>
    <w:rsid w:val="00E120CF"/>
    <w:rsid w:val="00E13AC6"/>
    <w:rsid w:val="00E26372"/>
    <w:rsid w:val="00E2796A"/>
    <w:rsid w:val="00E30E0F"/>
    <w:rsid w:val="00E315FD"/>
    <w:rsid w:val="00E35232"/>
    <w:rsid w:val="00E41AC5"/>
    <w:rsid w:val="00E43B6A"/>
    <w:rsid w:val="00E47B71"/>
    <w:rsid w:val="00E51DCE"/>
    <w:rsid w:val="00E53275"/>
    <w:rsid w:val="00E6045C"/>
    <w:rsid w:val="00E619DF"/>
    <w:rsid w:val="00E62F69"/>
    <w:rsid w:val="00E65529"/>
    <w:rsid w:val="00E66049"/>
    <w:rsid w:val="00E6650E"/>
    <w:rsid w:val="00E679BD"/>
    <w:rsid w:val="00E7012C"/>
    <w:rsid w:val="00E703C6"/>
    <w:rsid w:val="00E72D55"/>
    <w:rsid w:val="00E75623"/>
    <w:rsid w:val="00E75B06"/>
    <w:rsid w:val="00E772B8"/>
    <w:rsid w:val="00E80FA9"/>
    <w:rsid w:val="00E91B8C"/>
    <w:rsid w:val="00E9596D"/>
    <w:rsid w:val="00E967F9"/>
    <w:rsid w:val="00EA3264"/>
    <w:rsid w:val="00EA35B5"/>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50C9"/>
    <w:rsid w:val="00EF01A1"/>
    <w:rsid w:val="00EF1087"/>
    <w:rsid w:val="00EF3F6A"/>
    <w:rsid w:val="00EF5562"/>
    <w:rsid w:val="00EF593E"/>
    <w:rsid w:val="00EF6235"/>
    <w:rsid w:val="00EF7501"/>
    <w:rsid w:val="00EF795F"/>
    <w:rsid w:val="00EF7A39"/>
    <w:rsid w:val="00F000AB"/>
    <w:rsid w:val="00F03F98"/>
    <w:rsid w:val="00F05292"/>
    <w:rsid w:val="00F05CD0"/>
    <w:rsid w:val="00F24BD7"/>
    <w:rsid w:val="00F300E9"/>
    <w:rsid w:val="00F308AF"/>
    <w:rsid w:val="00F30A69"/>
    <w:rsid w:val="00F31B82"/>
    <w:rsid w:val="00F324EB"/>
    <w:rsid w:val="00F32CEE"/>
    <w:rsid w:val="00F3599E"/>
    <w:rsid w:val="00F35A59"/>
    <w:rsid w:val="00F47651"/>
    <w:rsid w:val="00F51A85"/>
    <w:rsid w:val="00F51F53"/>
    <w:rsid w:val="00F53CA5"/>
    <w:rsid w:val="00F53FE3"/>
    <w:rsid w:val="00F5464E"/>
    <w:rsid w:val="00F55BA7"/>
    <w:rsid w:val="00F62255"/>
    <w:rsid w:val="00F66882"/>
    <w:rsid w:val="00F66C58"/>
    <w:rsid w:val="00F6718F"/>
    <w:rsid w:val="00F777E6"/>
    <w:rsid w:val="00F77B00"/>
    <w:rsid w:val="00F87CB6"/>
    <w:rsid w:val="00F905F0"/>
    <w:rsid w:val="00F92D23"/>
    <w:rsid w:val="00F9347B"/>
    <w:rsid w:val="00F94838"/>
    <w:rsid w:val="00FA0108"/>
    <w:rsid w:val="00FA0682"/>
    <w:rsid w:val="00FA347A"/>
    <w:rsid w:val="00FA5306"/>
    <w:rsid w:val="00FB0C72"/>
    <w:rsid w:val="00FB194A"/>
    <w:rsid w:val="00FB1D50"/>
    <w:rsid w:val="00FB6AE0"/>
    <w:rsid w:val="00FB6F25"/>
    <w:rsid w:val="00FC1824"/>
    <w:rsid w:val="00FC29C8"/>
    <w:rsid w:val="00FE4367"/>
    <w:rsid w:val="00FF01A8"/>
    <w:rsid w:val="00FF4CA6"/>
    <w:rsid w:val="00FF55B0"/>
    <w:rsid w:val="00FF5709"/>
    <w:rsid w:val="00FF6092"/>
    <w:rsid w:val="01C54A8C"/>
    <w:rsid w:val="03562C2E"/>
    <w:rsid w:val="04A02174"/>
    <w:rsid w:val="052447C9"/>
    <w:rsid w:val="06036D4B"/>
    <w:rsid w:val="061C7343"/>
    <w:rsid w:val="08F3040A"/>
    <w:rsid w:val="0A3D366F"/>
    <w:rsid w:val="0B2703AD"/>
    <w:rsid w:val="0B892892"/>
    <w:rsid w:val="0CF61584"/>
    <w:rsid w:val="0F5B2E25"/>
    <w:rsid w:val="0FA26B60"/>
    <w:rsid w:val="101E78D1"/>
    <w:rsid w:val="11B14CFE"/>
    <w:rsid w:val="12F66C8B"/>
    <w:rsid w:val="134B6126"/>
    <w:rsid w:val="136A5CCF"/>
    <w:rsid w:val="13805EE7"/>
    <w:rsid w:val="14011E56"/>
    <w:rsid w:val="145B4312"/>
    <w:rsid w:val="145E0A8D"/>
    <w:rsid w:val="147F4D9B"/>
    <w:rsid w:val="149B1649"/>
    <w:rsid w:val="1502562D"/>
    <w:rsid w:val="17020525"/>
    <w:rsid w:val="18254579"/>
    <w:rsid w:val="185844CB"/>
    <w:rsid w:val="198C6FB6"/>
    <w:rsid w:val="19E41E49"/>
    <w:rsid w:val="1ABC0721"/>
    <w:rsid w:val="1D277C35"/>
    <w:rsid w:val="1E3442E8"/>
    <w:rsid w:val="1F0430EC"/>
    <w:rsid w:val="1FC60E66"/>
    <w:rsid w:val="1FE70505"/>
    <w:rsid w:val="2018070A"/>
    <w:rsid w:val="207C3AC4"/>
    <w:rsid w:val="208E4B8A"/>
    <w:rsid w:val="217425DB"/>
    <w:rsid w:val="22A27A05"/>
    <w:rsid w:val="22AE7A05"/>
    <w:rsid w:val="231C4819"/>
    <w:rsid w:val="24F745BC"/>
    <w:rsid w:val="26327EA2"/>
    <w:rsid w:val="26E02838"/>
    <w:rsid w:val="271B7AF5"/>
    <w:rsid w:val="28982B22"/>
    <w:rsid w:val="28D014AD"/>
    <w:rsid w:val="298D6619"/>
    <w:rsid w:val="29B47FCF"/>
    <w:rsid w:val="2AB90FB7"/>
    <w:rsid w:val="2C2F642F"/>
    <w:rsid w:val="2DCD014F"/>
    <w:rsid w:val="2E9F6A2D"/>
    <w:rsid w:val="2F9D6BFE"/>
    <w:rsid w:val="302672F3"/>
    <w:rsid w:val="320A068C"/>
    <w:rsid w:val="32362EE1"/>
    <w:rsid w:val="32A73893"/>
    <w:rsid w:val="335C5D28"/>
    <w:rsid w:val="345003F3"/>
    <w:rsid w:val="34A24BE6"/>
    <w:rsid w:val="35343E09"/>
    <w:rsid w:val="35490DC2"/>
    <w:rsid w:val="356E204A"/>
    <w:rsid w:val="37373F50"/>
    <w:rsid w:val="37646113"/>
    <w:rsid w:val="383212DE"/>
    <w:rsid w:val="38EA1223"/>
    <w:rsid w:val="39D7463F"/>
    <w:rsid w:val="3AD9513D"/>
    <w:rsid w:val="3B5E42D5"/>
    <w:rsid w:val="3CEA7A02"/>
    <w:rsid w:val="3D887DA7"/>
    <w:rsid w:val="3F057330"/>
    <w:rsid w:val="3F1E59CC"/>
    <w:rsid w:val="3F995826"/>
    <w:rsid w:val="3FC327F3"/>
    <w:rsid w:val="3FC544DA"/>
    <w:rsid w:val="3FF57B88"/>
    <w:rsid w:val="413A20AA"/>
    <w:rsid w:val="414F515F"/>
    <w:rsid w:val="41E3430C"/>
    <w:rsid w:val="4246405B"/>
    <w:rsid w:val="434C2299"/>
    <w:rsid w:val="44E113D9"/>
    <w:rsid w:val="45023C84"/>
    <w:rsid w:val="4505657C"/>
    <w:rsid w:val="455661D0"/>
    <w:rsid w:val="45B54013"/>
    <w:rsid w:val="46B73BFB"/>
    <w:rsid w:val="472D45F8"/>
    <w:rsid w:val="47A247B2"/>
    <w:rsid w:val="49CA3B7C"/>
    <w:rsid w:val="4B645C9D"/>
    <w:rsid w:val="4D5F62C7"/>
    <w:rsid w:val="4D92511B"/>
    <w:rsid w:val="4D9262DD"/>
    <w:rsid w:val="4E79614D"/>
    <w:rsid w:val="4F4E6500"/>
    <w:rsid w:val="52EA6CC1"/>
    <w:rsid w:val="5348737C"/>
    <w:rsid w:val="55400BF9"/>
    <w:rsid w:val="5563491D"/>
    <w:rsid w:val="58E557BF"/>
    <w:rsid w:val="5B703D8A"/>
    <w:rsid w:val="5BA312A3"/>
    <w:rsid w:val="5BA441E1"/>
    <w:rsid w:val="5E626DDF"/>
    <w:rsid w:val="5EF54CDE"/>
    <w:rsid w:val="5FB603E8"/>
    <w:rsid w:val="603962BB"/>
    <w:rsid w:val="613C6265"/>
    <w:rsid w:val="614B75AD"/>
    <w:rsid w:val="61B7381C"/>
    <w:rsid w:val="62627A7E"/>
    <w:rsid w:val="638D5541"/>
    <w:rsid w:val="648748FE"/>
    <w:rsid w:val="64D45993"/>
    <w:rsid w:val="666F6DA8"/>
    <w:rsid w:val="66844592"/>
    <w:rsid w:val="670B5B5B"/>
    <w:rsid w:val="686037EE"/>
    <w:rsid w:val="6CA41AF4"/>
    <w:rsid w:val="6F7C5199"/>
    <w:rsid w:val="6FAB7449"/>
    <w:rsid w:val="6FC72E9D"/>
    <w:rsid w:val="72B40F75"/>
    <w:rsid w:val="72B72919"/>
    <w:rsid w:val="73C96A08"/>
    <w:rsid w:val="75254597"/>
    <w:rsid w:val="75B8394F"/>
    <w:rsid w:val="76E242A1"/>
    <w:rsid w:val="779733A7"/>
    <w:rsid w:val="79E81351"/>
    <w:rsid w:val="7A422CD0"/>
    <w:rsid w:val="7BEB0769"/>
    <w:rsid w:val="7C7F0386"/>
    <w:rsid w:val="7D6E3B4A"/>
    <w:rsid w:val="7DBB4451"/>
    <w:rsid w:val="7F5D100B"/>
    <w:rsid w:val="7F6E0B92"/>
    <w:rsid w:val="7F7E7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50" w:afterLines="50" w:line="560" w:lineRule="exact"/>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unhideWhenUsed/>
    <w:qFormat/>
    <w:uiPriority w:val="9"/>
    <w:pPr>
      <w:keepNext/>
      <w:keepLines/>
      <w:ind w:firstLine="200" w:firstLineChars="200"/>
      <w:outlineLvl w:val="1"/>
    </w:pPr>
    <w:rPr>
      <w:rFonts w:eastAsia="楷体_GB2312" w:cstheme="majorBidi"/>
      <w:b/>
      <w:bCs/>
      <w:szCs w:val="32"/>
    </w:rPr>
  </w:style>
  <w:style w:type="paragraph" w:styleId="4">
    <w:name w:val="heading 3"/>
    <w:basedOn w:val="1"/>
    <w:next w:val="1"/>
    <w:link w:val="36"/>
    <w:unhideWhenUsed/>
    <w:qFormat/>
    <w:uiPriority w:val="9"/>
    <w:pPr>
      <w:keepNext/>
      <w:keepLines/>
      <w:ind w:firstLine="200" w:firstLineChars="200"/>
      <w:outlineLvl w:val="2"/>
    </w:pPr>
    <w:rPr>
      <w:b/>
      <w:bCs/>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cstheme="minorHAnsi"/>
      <w:sz w:val="18"/>
      <w:szCs w:val="18"/>
    </w:rPr>
  </w:style>
  <w:style w:type="paragraph" w:styleId="6">
    <w:name w:val="annotation text"/>
    <w:basedOn w:val="1"/>
    <w:link w:val="30"/>
    <w:semiHidden/>
    <w:unhideWhenUsed/>
    <w:qFormat/>
    <w:uiPriority w:val="99"/>
    <w:pPr>
      <w:jc w:val="left"/>
    </w:pPr>
  </w:style>
  <w:style w:type="paragraph" w:styleId="7">
    <w:name w:val="toc 5"/>
    <w:basedOn w:val="1"/>
    <w:next w:val="1"/>
    <w:unhideWhenUsed/>
    <w:qFormat/>
    <w:uiPriority w:val="39"/>
    <w:pPr>
      <w:ind w:left="840"/>
      <w:jc w:val="left"/>
    </w:pPr>
    <w:rPr>
      <w:rFonts w:cstheme="minorHAnsi"/>
      <w:sz w:val="18"/>
      <w:szCs w:val="18"/>
    </w:rPr>
  </w:style>
  <w:style w:type="paragraph" w:styleId="8">
    <w:name w:val="toc 3"/>
    <w:basedOn w:val="1"/>
    <w:next w:val="1"/>
    <w:unhideWhenUsed/>
    <w:qFormat/>
    <w:uiPriority w:val="39"/>
    <w:pPr>
      <w:ind w:left="420"/>
      <w:jc w:val="left"/>
    </w:pPr>
    <w:rPr>
      <w:rFonts w:cstheme="minorHAnsi"/>
      <w:i/>
      <w:iCs/>
      <w:sz w:val="20"/>
      <w:szCs w:val="20"/>
    </w:rPr>
  </w:style>
  <w:style w:type="paragraph" w:styleId="9">
    <w:name w:val="toc 8"/>
    <w:basedOn w:val="1"/>
    <w:next w:val="1"/>
    <w:unhideWhenUsed/>
    <w:qFormat/>
    <w:uiPriority w:val="39"/>
    <w:pPr>
      <w:ind w:left="1470"/>
      <w:jc w:val="left"/>
    </w:pPr>
    <w:rPr>
      <w:rFonts w:cstheme="minorHAnsi"/>
      <w:sz w:val="18"/>
      <w:szCs w:val="18"/>
    </w:rPr>
  </w:style>
  <w:style w:type="paragraph" w:styleId="10">
    <w:name w:val="Date"/>
    <w:basedOn w:val="1"/>
    <w:next w:val="1"/>
    <w:link w:val="40"/>
    <w:semiHidden/>
    <w:unhideWhenUsed/>
    <w:qFormat/>
    <w:uiPriority w:val="99"/>
    <w:pPr>
      <w:ind w:left="100" w:leftChars="2500"/>
    </w:pPr>
  </w:style>
  <w:style w:type="paragraph" w:styleId="11">
    <w:name w:val="Balloon Text"/>
    <w:basedOn w:val="1"/>
    <w:link w:val="32"/>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sz w:val="18"/>
      <w:szCs w:val="18"/>
    </w:rPr>
  </w:style>
  <w:style w:type="paragraph" w:styleId="13">
    <w:name w:val="header"/>
    <w:basedOn w:val="1"/>
    <w:link w:val="27"/>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after="120"/>
      <w:jc w:val="left"/>
    </w:pPr>
    <w:rPr>
      <w:rFonts w:cstheme="minorHAnsi"/>
      <w:b/>
      <w:bCs/>
      <w:caps/>
      <w:sz w:val="20"/>
      <w:szCs w:val="20"/>
    </w:rPr>
  </w:style>
  <w:style w:type="paragraph" w:styleId="15">
    <w:name w:val="toc 4"/>
    <w:basedOn w:val="1"/>
    <w:next w:val="1"/>
    <w:unhideWhenUsed/>
    <w:qFormat/>
    <w:uiPriority w:val="39"/>
    <w:pPr>
      <w:ind w:left="630"/>
      <w:jc w:val="left"/>
    </w:pPr>
    <w:rPr>
      <w:rFonts w:cstheme="minorHAnsi"/>
      <w:sz w:val="18"/>
      <w:szCs w:val="18"/>
    </w:rPr>
  </w:style>
  <w:style w:type="paragraph" w:styleId="16">
    <w:name w:val="footnote text"/>
    <w:basedOn w:val="1"/>
    <w:link w:val="39"/>
    <w:semiHidden/>
    <w:unhideWhenUsed/>
    <w:qFormat/>
    <w:uiPriority w:val="99"/>
    <w:pPr>
      <w:snapToGrid w:val="0"/>
      <w:jc w:val="left"/>
    </w:pPr>
    <w:rPr>
      <w:sz w:val="18"/>
      <w:szCs w:val="18"/>
    </w:rPr>
  </w:style>
  <w:style w:type="paragraph" w:styleId="17">
    <w:name w:val="toc 6"/>
    <w:basedOn w:val="1"/>
    <w:next w:val="1"/>
    <w:unhideWhenUsed/>
    <w:qFormat/>
    <w:uiPriority w:val="39"/>
    <w:pPr>
      <w:ind w:left="1050"/>
      <w:jc w:val="left"/>
    </w:pPr>
    <w:rPr>
      <w:rFonts w:cstheme="minorHAnsi"/>
      <w:sz w:val="18"/>
      <w:szCs w:val="18"/>
    </w:rPr>
  </w:style>
  <w:style w:type="paragraph" w:styleId="18">
    <w:name w:val="toc 2"/>
    <w:basedOn w:val="1"/>
    <w:next w:val="1"/>
    <w:unhideWhenUsed/>
    <w:qFormat/>
    <w:uiPriority w:val="39"/>
    <w:pPr>
      <w:ind w:left="210"/>
      <w:jc w:val="left"/>
    </w:pPr>
    <w:rPr>
      <w:rFonts w:cstheme="minorHAnsi"/>
      <w:smallCaps/>
      <w:sz w:val="20"/>
      <w:szCs w:val="20"/>
    </w:rPr>
  </w:style>
  <w:style w:type="paragraph" w:styleId="19">
    <w:name w:val="toc 9"/>
    <w:basedOn w:val="1"/>
    <w:next w:val="1"/>
    <w:unhideWhenUsed/>
    <w:qFormat/>
    <w:uiPriority w:val="39"/>
    <w:pPr>
      <w:ind w:left="1680"/>
      <w:jc w:val="left"/>
    </w:pPr>
    <w:rPr>
      <w:rFonts w:cstheme="minorHAnsi"/>
      <w:sz w:val="18"/>
      <w:szCs w:val="18"/>
    </w:rPr>
  </w:style>
  <w:style w:type="paragraph" w:styleId="20">
    <w:name w:val="annotation subject"/>
    <w:basedOn w:val="6"/>
    <w:next w:val="6"/>
    <w:link w:val="31"/>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字符"/>
    <w:basedOn w:val="23"/>
    <w:link w:val="13"/>
    <w:qFormat/>
    <w:uiPriority w:val="0"/>
    <w:rPr>
      <w:sz w:val="18"/>
      <w:szCs w:val="18"/>
    </w:rPr>
  </w:style>
  <w:style w:type="character" w:customStyle="1" w:styleId="28">
    <w:name w:val="页脚 字符"/>
    <w:basedOn w:val="23"/>
    <w:link w:val="12"/>
    <w:qFormat/>
    <w:uiPriority w:val="99"/>
    <w:rPr>
      <w:sz w:val="18"/>
      <w:szCs w:val="18"/>
    </w:rPr>
  </w:style>
  <w:style w:type="paragraph" w:customStyle="1" w:styleId="29">
    <w:name w:val="Char Char3 Char Char1 Char Char Char Char Char Char Char Char Char Char Char Char Char Char Char Char Char Char Char Char Char Char Char Char Char Char Char Char Char Char Char Char Char Char Char Char Char Char"/>
    <w:basedOn w:val="1"/>
    <w:qFormat/>
    <w:uiPriority w:val="0"/>
    <w:rPr>
      <w:rFonts w:eastAsia="方正仿宋" w:cs="Times New Roman"/>
      <w:szCs w:val="32"/>
    </w:rPr>
  </w:style>
  <w:style w:type="character" w:customStyle="1" w:styleId="30">
    <w:name w:val="批注文字 字符"/>
    <w:basedOn w:val="23"/>
    <w:link w:val="6"/>
    <w:semiHidden/>
    <w:qFormat/>
    <w:uiPriority w:val="99"/>
  </w:style>
  <w:style w:type="character" w:customStyle="1" w:styleId="31">
    <w:name w:val="批注主题 字符"/>
    <w:basedOn w:val="30"/>
    <w:link w:val="20"/>
    <w:semiHidden/>
    <w:qFormat/>
    <w:uiPriority w:val="99"/>
    <w:rPr>
      <w:b/>
      <w:bCs/>
    </w:rPr>
  </w:style>
  <w:style w:type="character" w:customStyle="1" w:styleId="32">
    <w:name w:val="批注框文本 字符"/>
    <w:basedOn w:val="23"/>
    <w:link w:val="11"/>
    <w:semiHidden/>
    <w:qFormat/>
    <w:uiPriority w:val="99"/>
    <w:rPr>
      <w:sz w:val="18"/>
      <w:szCs w:val="18"/>
    </w:rPr>
  </w:style>
  <w:style w:type="paragraph" w:styleId="33">
    <w:name w:val="List Paragraph"/>
    <w:basedOn w:val="1"/>
    <w:qFormat/>
    <w:uiPriority w:val="34"/>
    <w:pPr>
      <w:ind w:firstLine="420" w:firstLineChars="200"/>
    </w:pPr>
  </w:style>
  <w:style w:type="character" w:customStyle="1" w:styleId="34">
    <w:name w:val="标题 1 字符"/>
    <w:basedOn w:val="23"/>
    <w:link w:val="2"/>
    <w:qFormat/>
    <w:uiPriority w:val="9"/>
    <w:rPr>
      <w:b/>
      <w:bCs/>
      <w:kern w:val="44"/>
      <w:sz w:val="44"/>
      <w:szCs w:val="44"/>
    </w:rPr>
  </w:style>
  <w:style w:type="character" w:customStyle="1" w:styleId="35">
    <w:name w:val="标题 2 字符"/>
    <w:basedOn w:val="23"/>
    <w:link w:val="3"/>
    <w:qFormat/>
    <w:uiPriority w:val="9"/>
    <w:rPr>
      <w:rFonts w:eastAsia="楷体_GB2312" w:cstheme="majorBidi"/>
      <w:b/>
      <w:bCs/>
      <w:kern w:val="2"/>
      <w:sz w:val="32"/>
      <w:szCs w:val="32"/>
    </w:rPr>
  </w:style>
  <w:style w:type="character" w:customStyle="1" w:styleId="36">
    <w:name w:val="标题 3 字符"/>
    <w:basedOn w:val="23"/>
    <w:link w:val="4"/>
    <w:qFormat/>
    <w:uiPriority w:val="9"/>
    <w:rPr>
      <w:rFonts w:eastAsia="仿宋_GB2312" w:cstheme="minorBidi"/>
      <w:b/>
      <w:bCs/>
      <w:kern w:val="2"/>
      <w:sz w:val="32"/>
      <w:szCs w:val="32"/>
    </w:rPr>
  </w:style>
  <w:style w:type="character" w:customStyle="1" w:styleId="37">
    <w:name w:val="页脚 字符1"/>
    <w:qFormat/>
    <w:uiPriority w:val="0"/>
    <w:rPr>
      <w:kern w:val="2"/>
      <w:sz w:val="18"/>
      <w:szCs w:val="18"/>
    </w:rPr>
  </w:style>
  <w:style w:type="paragraph" w:customStyle="1" w:styleId="38">
    <w:name w:val="报告格式-表格名称"/>
    <w:basedOn w:val="1"/>
    <w:qFormat/>
    <w:uiPriority w:val="0"/>
    <w:pPr>
      <w:spacing w:beforeLines="50"/>
      <w:jc w:val="center"/>
    </w:pPr>
    <w:rPr>
      <w:rFonts w:eastAsia="黑体" w:cs="Times New Roman"/>
      <w:sz w:val="24"/>
      <w:szCs w:val="21"/>
    </w:rPr>
  </w:style>
  <w:style w:type="character" w:customStyle="1" w:styleId="39">
    <w:name w:val="脚注文本 字符"/>
    <w:basedOn w:val="23"/>
    <w:link w:val="16"/>
    <w:semiHidden/>
    <w:qFormat/>
    <w:uiPriority w:val="99"/>
    <w:rPr>
      <w:sz w:val="18"/>
      <w:szCs w:val="18"/>
    </w:rPr>
  </w:style>
  <w:style w:type="character" w:customStyle="1" w:styleId="40">
    <w:name w:val="日期 字符"/>
    <w:basedOn w:val="23"/>
    <w:link w:val="10"/>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chart" Target="charts/chart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39532;&#27704;&#24378;\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Sheet3!$A$2</c:f>
              <c:strCache>
                <c:ptCount val="1"/>
                <c:pt idx="0">
                  <c:v>超限超载治理次数（起）</c:v>
                </c:pt>
              </c:strCache>
            </c:strRef>
          </c:tx>
          <c:spPr>
            <a:solidFill>
              <a:srgbClr val="00516B"/>
            </a:solidFill>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Sheet3!$B$1:$D$1</c:f>
              <c:strCache>
                <c:ptCount val="3"/>
                <c:pt idx="0">
                  <c:v>2018年</c:v>
                </c:pt>
                <c:pt idx="1">
                  <c:v>2019年</c:v>
                </c:pt>
                <c:pt idx="2">
                  <c:v>2020年</c:v>
                </c:pt>
              </c:strCache>
            </c:strRef>
          </c:cat>
          <c:val>
            <c:numRef>
              <c:f>Sheet3!$B$2:$D$2</c:f>
              <c:numCache>
                <c:formatCode>General</c:formatCode>
                <c:ptCount val="3"/>
                <c:pt idx="0">
                  <c:v>186</c:v>
                </c:pt>
                <c:pt idx="1">
                  <c:v>389</c:v>
                </c:pt>
                <c:pt idx="2">
                  <c:v>1100</c:v>
                </c:pt>
              </c:numCache>
            </c:numRef>
          </c:val>
        </c:ser>
        <c:dLbls>
          <c:showLegendKey val="0"/>
          <c:showVal val="0"/>
          <c:showCatName val="0"/>
          <c:showSerName val="0"/>
          <c:showPercent val="0"/>
          <c:showBubbleSize val="0"/>
        </c:dLbls>
        <c:gapWidth val="150"/>
        <c:axId val="531778944"/>
        <c:axId val="536377984"/>
      </c:barChart>
      <c:catAx>
        <c:axId val="53177894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p>
        </c:txPr>
        <c:crossAx val="536377984"/>
        <c:crosses val="autoZero"/>
        <c:auto val="1"/>
        <c:lblAlgn val="ctr"/>
        <c:lblOffset val="100"/>
        <c:noMultiLvlLbl val="0"/>
      </c:catAx>
      <c:valAx>
        <c:axId val="536377984"/>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531778944"/>
        <c:crosses val="autoZero"/>
        <c:crossBetween val="between"/>
      </c:valAx>
    </c:plotArea>
    <c:plotVisOnly val="1"/>
    <c:dispBlanksAs val="gap"/>
    <c:showDLblsOverMax val="0"/>
  </c:chart>
  <c:spPr>
    <a:ln w="6350"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8F196-5B09-4FCD-87FC-94CD9912608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9809</Words>
  <Characters>11461</Characters>
  <Lines>101</Lines>
  <Paragraphs>28</Paragraphs>
  <TotalTime>213</TotalTime>
  <ScaleCrop>false</ScaleCrop>
  <LinksUpToDate>false</LinksUpToDate>
  <CharactersWithSpaces>11600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2021-07-11T15:49:00Z</dcterms:created>
  <dc:creator>ZC</dc:creator>
  <cp:lastModifiedBy>Dell</cp:lastModifiedBy>
  <dcterms:modified xsi:type="dcterms:W3CDTF">2024-09-24T00:45:30Z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870835AFD4E5428C921D0A8DFBF54DFB_12</vt:lpwstr>
  </property>
</Properties>
</file>