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C7F6C7">
      <w:pPr>
        <w:spacing w:before="156" w:after="156"/>
        <w:ind w:firstLine="640"/>
      </w:pPr>
      <w:bookmarkStart w:id="41" w:name="_GoBack"/>
      <w:bookmarkEnd w:id="41"/>
    </w:p>
    <w:p w14:paraId="395310BA">
      <w:pPr>
        <w:autoSpaceDE w:val="0"/>
        <w:autoSpaceDN w:val="0"/>
        <w:adjustRightInd w:val="0"/>
        <w:spacing w:before="156" w:after="156"/>
        <w:ind w:firstLine="720"/>
        <w:jc w:val="center"/>
        <w:rPr>
          <w:rFonts w:ascii="方正小标宋_GBK" w:hAnsi="方正小标宋_GBK" w:eastAsia="方正小标宋_GBK" w:cs="Times New Roman"/>
          <w:sz w:val="36"/>
          <w:szCs w:val="36"/>
        </w:rPr>
      </w:pPr>
    </w:p>
    <w:p w14:paraId="42B580A5">
      <w:pPr>
        <w:autoSpaceDE w:val="0"/>
        <w:autoSpaceDN w:val="0"/>
        <w:adjustRightInd w:val="0"/>
        <w:spacing w:before="156" w:after="156"/>
        <w:ind w:firstLine="720"/>
        <w:jc w:val="center"/>
        <w:rPr>
          <w:rFonts w:ascii="方正小标宋_GBK" w:hAnsi="方正小标宋_GBK" w:eastAsia="方正小标宋_GBK" w:cs="Times New Roman"/>
          <w:sz w:val="36"/>
          <w:szCs w:val="36"/>
        </w:rPr>
      </w:pPr>
    </w:p>
    <w:p w14:paraId="481501F3">
      <w:pPr>
        <w:autoSpaceDE w:val="0"/>
        <w:autoSpaceDN w:val="0"/>
        <w:adjustRightInd w:val="0"/>
        <w:spacing w:before="156" w:after="156" w:line="600" w:lineRule="exact"/>
        <w:ind w:firstLine="0" w:firstLineChars="0"/>
        <w:jc w:val="center"/>
        <w:rPr>
          <w:rFonts w:eastAsia="方正小标宋_GBK" w:cs="Times New Roman"/>
          <w:sz w:val="44"/>
          <w:szCs w:val="44"/>
        </w:rPr>
      </w:pPr>
      <w:r>
        <w:rPr>
          <w:rFonts w:eastAsia="方正小标宋_GBK" w:cs="Times New Roman"/>
          <w:sz w:val="44"/>
          <w:szCs w:val="44"/>
        </w:rPr>
        <w:t>绵竹市2020年</w:t>
      </w:r>
      <w:r>
        <w:rPr>
          <w:rFonts w:hint="eastAsia" w:eastAsia="方正小标宋_GBK" w:cs="Times New Roman"/>
          <w:sz w:val="44"/>
          <w:szCs w:val="44"/>
        </w:rPr>
        <w:t>执法经费项目</w:t>
      </w:r>
    </w:p>
    <w:p w14:paraId="68F8901B">
      <w:pPr>
        <w:autoSpaceDE w:val="0"/>
        <w:autoSpaceDN w:val="0"/>
        <w:adjustRightInd w:val="0"/>
        <w:spacing w:before="156" w:after="156" w:line="600" w:lineRule="exact"/>
        <w:ind w:firstLine="0" w:firstLineChars="0"/>
        <w:jc w:val="center"/>
        <w:rPr>
          <w:rFonts w:eastAsia="方正小标宋_GBK" w:cs="Times New Roman"/>
          <w:sz w:val="44"/>
          <w:szCs w:val="44"/>
        </w:rPr>
      </w:pPr>
      <w:r>
        <w:rPr>
          <w:rFonts w:hint="eastAsia" w:eastAsia="方正小标宋_GBK" w:cs="Times New Roman"/>
          <w:sz w:val="44"/>
          <w:szCs w:val="44"/>
        </w:rPr>
        <w:t>支出绩效评价报告</w:t>
      </w:r>
    </w:p>
    <w:p w14:paraId="22BD4AEE">
      <w:pPr>
        <w:autoSpaceDE w:val="0"/>
        <w:autoSpaceDN w:val="0"/>
        <w:adjustRightInd w:val="0"/>
        <w:spacing w:before="156" w:after="156" w:line="600" w:lineRule="exact"/>
        <w:ind w:firstLine="0" w:firstLineChars="0"/>
        <w:jc w:val="center"/>
        <w:rPr>
          <w:rFonts w:eastAsia="方正小标宋_GBK" w:cs="Times New Roman"/>
          <w:sz w:val="44"/>
          <w:szCs w:val="44"/>
        </w:rPr>
      </w:pPr>
    </w:p>
    <w:p w14:paraId="52F04E3F">
      <w:pPr>
        <w:autoSpaceDE w:val="0"/>
        <w:autoSpaceDN w:val="0"/>
        <w:adjustRightInd w:val="0"/>
        <w:spacing w:before="156" w:after="156" w:line="600" w:lineRule="exact"/>
        <w:ind w:firstLine="0" w:firstLineChars="0"/>
        <w:jc w:val="center"/>
        <w:rPr>
          <w:rFonts w:eastAsia="方正小标宋_GBK" w:cs="Times New Roman"/>
          <w:sz w:val="44"/>
          <w:szCs w:val="44"/>
        </w:rPr>
      </w:pPr>
    </w:p>
    <w:p w14:paraId="67F6B328">
      <w:pPr>
        <w:autoSpaceDE w:val="0"/>
        <w:autoSpaceDN w:val="0"/>
        <w:adjustRightInd w:val="0"/>
        <w:spacing w:before="156" w:after="156" w:line="600" w:lineRule="exact"/>
        <w:ind w:firstLine="0" w:firstLineChars="0"/>
        <w:jc w:val="center"/>
        <w:rPr>
          <w:rFonts w:eastAsia="方正小标宋_GBK" w:cs="Times New Roman"/>
          <w:sz w:val="44"/>
          <w:szCs w:val="44"/>
        </w:rPr>
      </w:pPr>
    </w:p>
    <w:p w14:paraId="403F10E4">
      <w:pPr>
        <w:spacing w:before="156" w:after="156" w:line="600" w:lineRule="exact"/>
        <w:ind w:firstLine="0" w:firstLineChars="0"/>
        <w:jc w:val="left"/>
        <w:rPr>
          <w:rFonts w:eastAsia="方正小标宋_GBK" w:cs="Times New Roman"/>
          <w:sz w:val="44"/>
          <w:szCs w:val="44"/>
        </w:rPr>
      </w:pPr>
    </w:p>
    <w:p w14:paraId="27A16EDF">
      <w:pPr>
        <w:spacing w:before="156" w:after="156" w:line="600" w:lineRule="exact"/>
        <w:ind w:firstLine="0" w:firstLineChars="0"/>
        <w:jc w:val="center"/>
        <w:rPr>
          <w:rFonts w:eastAsia="小标宋" w:cs="Times New Roman"/>
          <w:b/>
          <w:kern w:val="0"/>
          <w:sz w:val="28"/>
          <w:szCs w:val="24"/>
        </w:rPr>
      </w:pPr>
      <w:r>
        <w:rPr>
          <w:rFonts w:eastAsia="小标宋" w:cs="Times New Roman"/>
          <w:b/>
          <w:kern w:val="0"/>
          <w:sz w:val="28"/>
          <w:szCs w:val="24"/>
          <w:lang w:val="zh-CN"/>
        </w:rPr>
        <w:t>被评单位：</w:t>
      </w:r>
      <w:r>
        <w:rPr>
          <w:rFonts w:hint="eastAsia" w:eastAsia="小标宋" w:cs="Times New Roman"/>
          <w:b/>
          <w:kern w:val="0"/>
          <w:sz w:val="28"/>
          <w:szCs w:val="24"/>
          <w:lang w:val="zh-CN"/>
        </w:rPr>
        <w:t>绵竹市自然资源和规划局</w:t>
      </w:r>
    </w:p>
    <w:p w14:paraId="67B6E2CD">
      <w:pPr>
        <w:spacing w:before="156" w:after="156" w:line="600" w:lineRule="exact"/>
        <w:ind w:firstLine="1886" w:firstLineChars="671"/>
        <w:rPr>
          <w:rFonts w:eastAsia="小标宋" w:cs="Times New Roman"/>
          <w:b/>
          <w:kern w:val="0"/>
          <w:sz w:val="28"/>
          <w:szCs w:val="24"/>
        </w:rPr>
      </w:pPr>
      <w:r>
        <w:rPr>
          <w:rFonts w:eastAsia="小标宋" w:cs="Times New Roman"/>
          <w:b/>
          <w:kern w:val="0"/>
          <w:sz w:val="28"/>
          <w:szCs w:val="24"/>
          <w:lang w:val="zh-CN"/>
        </w:rPr>
        <w:t>委托单位：</w:t>
      </w:r>
      <w:r>
        <w:rPr>
          <w:rFonts w:hint="eastAsia" w:eastAsia="小标宋" w:cs="Times New Roman"/>
          <w:b/>
          <w:kern w:val="0"/>
          <w:sz w:val="28"/>
          <w:szCs w:val="24"/>
          <w:lang w:val="zh-CN"/>
        </w:rPr>
        <w:t>绵竹市</w:t>
      </w:r>
      <w:r>
        <w:rPr>
          <w:rFonts w:eastAsia="小标宋" w:cs="Times New Roman"/>
          <w:b/>
          <w:kern w:val="0"/>
          <w:sz w:val="28"/>
          <w:szCs w:val="24"/>
          <w:lang w:val="zh-CN"/>
        </w:rPr>
        <w:t>财政局</w:t>
      </w:r>
    </w:p>
    <w:p w14:paraId="7E2A3131">
      <w:pPr>
        <w:spacing w:before="156" w:after="156" w:line="600" w:lineRule="exact"/>
        <w:ind w:firstLine="0" w:firstLineChars="0"/>
        <w:jc w:val="center"/>
        <w:rPr>
          <w:rFonts w:eastAsia="小标宋" w:cs="Times New Roman"/>
          <w:b/>
          <w:kern w:val="0"/>
          <w:sz w:val="28"/>
          <w:szCs w:val="24"/>
        </w:rPr>
      </w:pPr>
      <w:r>
        <w:rPr>
          <w:rFonts w:eastAsia="小标宋" w:cs="Times New Roman"/>
          <w:b/>
          <w:kern w:val="0"/>
          <w:sz w:val="28"/>
          <w:szCs w:val="24"/>
        </w:rPr>
        <w:t xml:space="preserve">  </w:t>
      </w:r>
      <w:r>
        <w:rPr>
          <w:rFonts w:eastAsia="小标宋" w:cs="Times New Roman"/>
          <w:b/>
          <w:kern w:val="0"/>
          <w:sz w:val="28"/>
          <w:szCs w:val="24"/>
          <w:lang w:val="zh-CN"/>
        </w:rPr>
        <w:t>评价机构：北京零点市场调查有限公司</w:t>
      </w:r>
    </w:p>
    <w:p w14:paraId="33AE0E13">
      <w:pPr>
        <w:spacing w:before="156" w:after="156" w:line="600" w:lineRule="exact"/>
        <w:ind w:left="2560" w:leftChars="800" w:firstLine="0" w:firstLineChars="0"/>
        <w:jc w:val="left"/>
        <w:rPr>
          <w:rFonts w:eastAsia="方正小标宋_GBK" w:cs="Times New Roman"/>
          <w:b/>
          <w:kern w:val="0"/>
          <w:sz w:val="44"/>
          <w:szCs w:val="44"/>
        </w:rPr>
      </w:pPr>
    </w:p>
    <w:p w14:paraId="375ED0AF">
      <w:pPr>
        <w:spacing w:before="156" w:after="156" w:line="600" w:lineRule="exact"/>
        <w:ind w:left="2560" w:leftChars="800" w:firstLine="0" w:firstLineChars="0"/>
        <w:jc w:val="left"/>
        <w:rPr>
          <w:rFonts w:eastAsia="方正小标宋_GBK" w:cs="Times New Roman"/>
          <w:b/>
          <w:kern w:val="0"/>
          <w:sz w:val="44"/>
          <w:szCs w:val="44"/>
        </w:rPr>
      </w:pPr>
    </w:p>
    <w:p w14:paraId="4B78A4FD">
      <w:pPr>
        <w:spacing w:before="156" w:after="156" w:line="600" w:lineRule="exact"/>
        <w:ind w:firstLine="0" w:firstLineChars="0"/>
        <w:jc w:val="center"/>
        <w:rPr>
          <w:rFonts w:eastAsia="小标宋" w:cs="Times New Roman"/>
          <w:b/>
          <w:kern w:val="0"/>
          <w:sz w:val="28"/>
          <w:szCs w:val="24"/>
          <w:lang w:val="zh-CN"/>
        </w:rPr>
      </w:pPr>
      <w:r>
        <w:rPr>
          <w:rFonts w:eastAsia="小标宋" w:cs="Times New Roman"/>
          <w:b/>
          <w:kern w:val="0"/>
          <w:sz w:val="28"/>
          <w:szCs w:val="24"/>
          <w:lang w:val="zh-CN"/>
        </w:rPr>
        <w:t>2021年6月30日</w:t>
      </w:r>
    </w:p>
    <w:p w14:paraId="525E0D2F">
      <w:pPr>
        <w:adjustRightInd w:val="0"/>
        <w:snapToGrid w:val="0"/>
        <w:spacing w:before="156" w:after="156"/>
        <w:ind w:firstLine="0" w:firstLineChars="0"/>
        <w:rPr>
          <w:rFonts w:ascii="Calibri" w:hAnsi="Calibri" w:cs="Times New Roman"/>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425" w:num="1"/>
          <w:docGrid w:type="lines" w:linePitch="312" w:charSpace="0"/>
        </w:sectPr>
      </w:pPr>
    </w:p>
    <w:sdt>
      <w:sdtPr>
        <w:rPr>
          <w:rFonts w:eastAsia="华文仿宋" w:asciiTheme="minorHAnsi" w:hAnsiTheme="minorHAnsi"/>
          <w:lang w:val="zh-CN"/>
        </w:rPr>
        <w:id w:val="1304581721"/>
        <w:docPartObj>
          <w:docPartGallery w:val="Table of Contents"/>
          <w:docPartUnique/>
        </w:docPartObj>
      </w:sdtPr>
      <w:sdtEndPr>
        <w:rPr>
          <w:rFonts w:ascii="Times New Roman" w:hAnsi="Times New Roman" w:eastAsia="仿宋_GB2312"/>
          <w:b/>
          <w:bCs/>
          <w:lang w:val="zh-CN"/>
        </w:rPr>
      </w:sdtEndPr>
      <w:sdtContent>
        <w:p w14:paraId="320ECCCE">
          <w:pPr>
            <w:spacing w:before="156" w:after="156"/>
            <w:ind w:firstLine="0" w:firstLineChars="0"/>
            <w:jc w:val="center"/>
            <w:rPr>
              <w:rFonts w:ascii="黑体" w:hAnsi="黑体" w:eastAsia="黑体"/>
              <w:szCs w:val="32"/>
              <w:lang w:val="zh-CN"/>
            </w:rPr>
          </w:pPr>
          <w:r>
            <w:rPr>
              <w:rFonts w:ascii="黑体" w:hAnsi="黑体" w:eastAsia="黑体"/>
              <w:szCs w:val="32"/>
              <w:lang w:val="zh-CN"/>
            </w:rPr>
            <w:t>目 录</w:t>
          </w:r>
        </w:p>
        <w:p w14:paraId="7CD3D113">
          <w:pPr>
            <w:pStyle w:val="11"/>
            <w:spacing w:before="0" w:after="0" w:line="480" w:lineRule="exact"/>
            <w:rPr>
              <w:rFonts w:ascii="Times New Roman" w:hAnsi="Times New Roman"/>
              <w:b w:val="0"/>
              <w:bCs w:val="0"/>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r>
            <w:fldChar w:fldCharType="begin"/>
          </w:r>
          <w:r>
            <w:instrText xml:space="preserve"> HYPERLINK \l "_Toc76627642" </w:instrText>
          </w:r>
          <w:r>
            <w:fldChar w:fldCharType="separate"/>
          </w:r>
          <w:r>
            <w:rPr>
              <w:rStyle w:val="18"/>
              <w:rFonts w:ascii="Times New Roman" w:hAnsi="Times New Roman"/>
            </w:rPr>
            <w:t>一、评价工作开展及购买服务项目情况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_Toc76627642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14:paraId="6508C8BA">
          <w:pPr>
            <w:pStyle w:val="13"/>
            <w:spacing w:before="0" w:after="0" w:line="480" w:lineRule="exact"/>
            <w:ind w:firstLine="240" w:firstLineChars="100"/>
            <w:rPr>
              <w:rFonts w:ascii="Times New Roman" w:hAnsi="Times New Roman" w:cs="Times New Roman"/>
            </w:rPr>
          </w:pPr>
          <w:r>
            <w:fldChar w:fldCharType="begin"/>
          </w:r>
          <w:r>
            <w:instrText xml:space="preserve"> HYPERLINK \l "_Toc76627643" </w:instrText>
          </w:r>
          <w:r>
            <w:fldChar w:fldCharType="separate"/>
          </w:r>
          <w:r>
            <w:rPr>
              <w:rStyle w:val="18"/>
              <w:rFonts w:ascii="Times New Roman" w:hAnsi="Times New Roman" w:cs="Times New Roman"/>
            </w:rPr>
            <w:t>（一）项目实施背景</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_Toc76627643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14:paraId="1D09671B">
          <w:pPr>
            <w:pStyle w:val="13"/>
            <w:spacing w:before="0" w:after="0" w:line="480" w:lineRule="exact"/>
            <w:ind w:firstLine="240" w:firstLineChars="100"/>
            <w:rPr>
              <w:rFonts w:ascii="Times New Roman" w:hAnsi="Times New Roman" w:cs="Times New Roman"/>
            </w:rPr>
          </w:pPr>
          <w:r>
            <w:fldChar w:fldCharType="begin"/>
          </w:r>
          <w:r>
            <w:instrText xml:space="preserve"> HYPERLINK \l "_Toc76627644" </w:instrText>
          </w:r>
          <w:r>
            <w:fldChar w:fldCharType="separate"/>
          </w:r>
          <w:r>
            <w:rPr>
              <w:rStyle w:val="18"/>
              <w:rFonts w:ascii="Times New Roman" w:hAnsi="Times New Roman" w:cs="Times New Roman"/>
            </w:rPr>
            <w:t>（二）项目立项依据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_Toc76627644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14:paraId="0CC540FE">
          <w:pPr>
            <w:pStyle w:val="13"/>
            <w:spacing w:before="0" w:after="0" w:line="480" w:lineRule="exact"/>
            <w:ind w:firstLine="240" w:firstLineChars="100"/>
            <w:rPr>
              <w:rFonts w:ascii="Times New Roman" w:hAnsi="Times New Roman" w:cs="Times New Roman"/>
            </w:rPr>
          </w:pPr>
          <w:r>
            <w:fldChar w:fldCharType="begin"/>
          </w:r>
          <w:r>
            <w:instrText xml:space="preserve"> HYPERLINK \l "_Toc76627645" </w:instrText>
          </w:r>
          <w:r>
            <w:fldChar w:fldCharType="separate"/>
          </w:r>
          <w:r>
            <w:rPr>
              <w:rStyle w:val="18"/>
              <w:rFonts w:ascii="Times New Roman" w:hAnsi="Times New Roman" w:cs="Times New Roman"/>
            </w:rPr>
            <w:t>（三）评价点位资金到位及使用情况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_Toc76627645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14:paraId="065AFD02">
          <w:pPr>
            <w:pStyle w:val="11"/>
            <w:spacing w:before="0" w:after="0" w:line="480" w:lineRule="exact"/>
            <w:rPr>
              <w:rFonts w:ascii="Times New Roman" w:hAnsi="Times New Roman"/>
              <w:b w:val="0"/>
              <w:bCs w:val="0"/>
            </w:rPr>
          </w:pPr>
          <w:r>
            <w:fldChar w:fldCharType="begin"/>
          </w:r>
          <w:r>
            <w:instrText xml:space="preserve"> HYPERLINK \l "_Toc76627646" </w:instrText>
          </w:r>
          <w:r>
            <w:fldChar w:fldCharType="separate"/>
          </w:r>
          <w:r>
            <w:rPr>
              <w:rStyle w:val="18"/>
              <w:rFonts w:ascii="Times New Roman" w:hAnsi="Times New Roman"/>
              <w:kern w:val="44"/>
            </w:rPr>
            <w:t>二、评价工作基本情况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_Toc76627646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14:paraId="6BA8FA0F">
          <w:pPr>
            <w:pStyle w:val="13"/>
            <w:spacing w:before="0" w:after="0" w:line="480" w:lineRule="exact"/>
            <w:ind w:firstLine="240" w:firstLineChars="100"/>
            <w:rPr>
              <w:rFonts w:ascii="Times New Roman" w:hAnsi="Times New Roman" w:cs="Times New Roman"/>
            </w:rPr>
          </w:pPr>
          <w:r>
            <w:fldChar w:fldCharType="begin"/>
          </w:r>
          <w:r>
            <w:instrText xml:space="preserve"> HYPERLINK \l "_Toc76627647" </w:instrText>
          </w:r>
          <w:r>
            <w:fldChar w:fldCharType="separate"/>
          </w:r>
          <w:r>
            <w:rPr>
              <w:rStyle w:val="18"/>
              <w:rFonts w:ascii="Times New Roman" w:hAnsi="Times New Roman" w:cs="Times New Roman"/>
            </w:rPr>
            <w:t>（一）评价方法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_Toc76627647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14:paraId="4C8E0477">
          <w:pPr>
            <w:pStyle w:val="6"/>
            <w:tabs>
              <w:tab w:val="right" w:leader="dot" w:pos="8296"/>
            </w:tabs>
            <w:spacing w:after="0" w:line="480" w:lineRule="exact"/>
            <w:ind w:firstLine="220" w:firstLineChars="100"/>
            <w:rPr>
              <w:rFonts w:eastAsia="宋体"/>
              <w:kern w:val="2"/>
              <w:sz w:val="24"/>
              <w:szCs w:val="24"/>
            </w:rPr>
          </w:pPr>
          <w:r>
            <w:fldChar w:fldCharType="begin"/>
          </w:r>
          <w:r>
            <w:instrText xml:space="preserve"> HYPERLINK \l "_Toc76627648" </w:instrText>
          </w:r>
          <w:r>
            <w:fldChar w:fldCharType="separate"/>
          </w:r>
          <w:r>
            <w:rPr>
              <w:rStyle w:val="18"/>
              <w:rFonts w:eastAsia="宋体"/>
              <w:sz w:val="24"/>
              <w:szCs w:val="24"/>
            </w:rPr>
            <w:t>1.查资料—案卷研究法</w:t>
          </w:r>
          <w:r>
            <w:rPr>
              <w:rFonts w:eastAsia="宋体"/>
              <w:sz w:val="24"/>
              <w:szCs w:val="24"/>
            </w:rPr>
            <w:tab/>
          </w:r>
          <w:r>
            <w:rPr>
              <w:rFonts w:eastAsia="宋体"/>
              <w:sz w:val="24"/>
              <w:szCs w:val="24"/>
            </w:rPr>
            <w:fldChar w:fldCharType="begin"/>
          </w:r>
          <w:r>
            <w:rPr>
              <w:rFonts w:eastAsia="宋体"/>
              <w:sz w:val="24"/>
              <w:szCs w:val="24"/>
            </w:rPr>
            <w:instrText xml:space="preserve"> PAGEREF _Toc76627648 \h </w:instrText>
          </w:r>
          <w:r>
            <w:rPr>
              <w:rFonts w:eastAsia="宋体"/>
              <w:sz w:val="24"/>
              <w:szCs w:val="24"/>
            </w:rPr>
            <w:fldChar w:fldCharType="separate"/>
          </w:r>
          <w:r>
            <w:rPr>
              <w:rFonts w:eastAsia="宋体"/>
              <w:sz w:val="24"/>
              <w:szCs w:val="24"/>
            </w:rPr>
            <w:t>4</w:t>
          </w:r>
          <w:r>
            <w:rPr>
              <w:rFonts w:eastAsia="宋体"/>
              <w:sz w:val="24"/>
              <w:szCs w:val="24"/>
            </w:rPr>
            <w:fldChar w:fldCharType="end"/>
          </w:r>
          <w:r>
            <w:rPr>
              <w:rFonts w:eastAsia="宋体"/>
              <w:sz w:val="24"/>
              <w:szCs w:val="24"/>
            </w:rPr>
            <w:fldChar w:fldCharType="end"/>
          </w:r>
        </w:p>
        <w:p w14:paraId="7F4E1C2C">
          <w:pPr>
            <w:pStyle w:val="6"/>
            <w:tabs>
              <w:tab w:val="right" w:leader="dot" w:pos="8296"/>
            </w:tabs>
            <w:spacing w:after="0" w:line="480" w:lineRule="exact"/>
            <w:ind w:firstLine="220" w:firstLineChars="100"/>
            <w:rPr>
              <w:rFonts w:eastAsia="宋体"/>
              <w:kern w:val="2"/>
              <w:sz w:val="24"/>
              <w:szCs w:val="24"/>
            </w:rPr>
          </w:pPr>
          <w:r>
            <w:fldChar w:fldCharType="begin"/>
          </w:r>
          <w:r>
            <w:instrText xml:space="preserve"> HYPERLINK \l "_Toc76627649" </w:instrText>
          </w:r>
          <w:r>
            <w:fldChar w:fldCharType="separate"/>
          </w:r>
          <w:r>
            <w:rPr>
              <w:rStyle w:val="18"/>
              <w:rFonts w:eastAsia="宋体"/>
              <w:sz w:val="24"/>
              <w:szCs w:val="24"/>
            </w:rPr>
            <w:t>2.访对象—深度访谈</w:t>
          </w:r>
          <w:r>
            <w:rPr>
              <w:rFonts w:eastAsia="宋体"/>
              <w:sz w:val="24"/>
              <w:szCs w:val="24"/>
            </w:rPr>
            <w:tab/>
          </w:r>
          <w:r>
            <w:rPr>
              <w:rFonts w:eastAsia="宋体"/>
              <w:sz w:val="24"/>
              <w:szCs w:val="24"/>
            </w:rPr>
            <w:fldChar w:fldCharType="begin"/>
          </w:r>
          <w:r>
            <w:rPr>
              <w:rFonts w:eastAsia="宋体"/>
              <w:sz w:val="24"/>
              <w:szCs w:val="24"/>
            </w:rPr>
            <w:instrText xml:space="preserve"> PAGEREF _Toc76627649 \h </w:instrText>
          </w:r>
          <w:r>
            <w:rPr>
              <w:rFonts w:eastAsia="宋体"/>
              <w:sz w:val="24"/>
              <w:szCs w:val="24"/>
            </w:rPr>
            <w:fldChar w:fldCharType="separate"/>
          </w:r>
          <w:r>
            <w:rPr>
              <w:rFonts w:eastAsia="宋体"/>
              <w:sz w:val="24"/>
              <w:szCs w:val="24"/>
            </w:rPr>
            <w:t>4</w:t>
          </w:r>
          <w:r>
            <w:rPr>
              <w:rFonts w:eastAsia="宋体"/>
              <w:sz w:val="24"/>
              <w:szCs w:val="24"/>
            </w:rPr>
            <w:fldChar w:fldCharType="end"/>
          </w:r>
          <w:r>
            <w:rPr>
              <w:rFonts w:eastAsia="宋体"/>
              <w:sz w:val="24"/>
              <w:szCs w:val="24"/>
            </w:rPr>
            <w:fldChar w:fldCharType="end"/>
          </w:r>
        </w:p>
        <w:p w14:paraId="729BC71B">
          <w:pPr>
            <w:pStyle w:val="6"/>
            <w:tabs>
              <w:tab w:val="right" w:leader="dot" w:pos="8296"/>
            </w:tabs>
            <w:spacing w:after="0" w:line="480" w:lineRule="exact"/>
            <w:ind w:firstLine="220" w:firstLineChars="100"/>
            <w:rPr>
              <w:rFonts w:eastAsia="宋体"/>
              <w:kern w:val="2"/>
              <w:sz w:val="24"/>
              <w:szCs w:val="24"/>
            </w:rPr>
          </w:pPr>
          <w:r>
            <w:fldChar w:fldCharType="begin"/>
          </w:r>
          <w:r>
            <w:instrText xml:space="preserve"> HYPERLINK \l "_Toc76627650" </w:instrText>
          </w:r>
          <w:r>
            <w:fldChar w:fldCharType="separate"/>
          </w:r>
          <w:r>
            <w:rPr>
              <w:rStyle w:val="18"/>
              <w:rFonts w:eastAsia="宋体"/>
              <w:sz w:val="24"/>
              <w:szCs w:val="24"/>
            </w:rPr>
            <w:t>3.核落实—书面评审+现场核查</w:t>
          </w:r>
          <w:r>
            <w:rPr>
              <w:rFonts w:eastAsia="宋体"/>
              <w:sz w:val="24"/>
              <w:szCs w:val="24"/>
            </w:rPr>
            <w:tab/>
          </w:r>
          <w:r>
            <w:rPr>
              <w:rFonts w:eastAsia="宋体"/>
              <w:sz w:val="24"/>
              <w:szCs w:val="24"/>
            </w:rPr>
            <w:fldChar w:fldCharType="begin"/>
          </w:r>
          <w:r>
            <w:rPr>
              <w:rFonts w:eastAsia="宋体"/>
              <w:sz w:val="24"/>
              <w:szCs w:val="24"/>
            </w:rPr>
            <w:instrText xml:space="preserve"> PAGEREF _Toc76627650 \h </w:instrText>
          </w:r>
          <w:r>
            <w:rPr>
              <w:rFonts w:eastAsia="宋体"/>
              <w:sz w:val="24"/>
              <w:szCs w:val="24"/>
            </w:rPr>
            <w:fldChar w:fldCharType="separate"/>
          </w:r>
          <w:r>
            <w:rPr>
              <w:rFonts w:eastAsia="宋体"/>
              <w:sz w:val="24"/>
              <w:szCs w:val="24"/>
            </w:rPr>
            <w:t>5</w:t>
          </w:r>
          <w:r>
            <w:rPr>
              <w:rFonts w:eastAsia="宋体"/>
              <w:sz w:val="24"/>
              <w:szCs w:val="24"/>
            </w:rPr>
            <w:fldChar w:fldCharType="end"/>
          </w:r>
          <w:r>
            <w:rPr>
              <w:rFonts w:eastAsia="宋体"/>
              <w:sz w:val="24"/>
              <w:szCs w:val="24"/>
            </w:rPr>
            <w:fldChar w:fldCharType="end"/>
          </w:r>
        </w:p>
        <w:p w14:paraId="5D325237">
          <w:pPr>
            <w:pStyle w:val="13"/>
            <w:spacing w:before="0" w:after="0" w:line="480" w:lineRule="exact"/>
            <w:ind w:firstLine="240" w:firstLineChars="100"/>
            <w:rPr>
              <w:rFonts w:ascii="Times New Roman" w:hAnsi="Times New Roman" w:cs="Times New Roman"/>
            </w:rPr>
          </w:pPr>
          <w:r>
            <w:fldChar w:fldCharType="begin"/>
          </w:r>
          <w:r>
            <w:instrText xml:space="preserve"> HYPERLINK \l "_Toc76627651" </w:instrText>
          </w:r>
          <w:r>
            <w:fldChar w:fldCharType="separate"/>
          </w:r>
          <w:r>
            <w:rPr>
              <w:rStyle w:val="18"/>
              <w:rFonts w:ascii="Times New Roman" w:hAnsi="Times New Roman" w:cs="Times New Roman"/>
            </w:rPr>
            <w:t>（二）评价指标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_Toc76627651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ascii="Times New Roman" w:hAnsi="Times New Roman" w:cs="Times New Roman"/>
            </w:rPr>
            <w:fldChar w:fldCharType="end"/>
          </w:r>
        </w:p>
        <w:p w14:paraId="6E88E81C">
          <w:pPr>
            <w:pStyle w:val="11"/>
            <w:spacing w:before="0" w:after="0" w:line="480" w:lineRule="exact"/>
            <w:rPr>
              <w:rFonts w:ascii="Times New Roman" w:hAnsi="Times New Roman"/>
              <w:b w:val="0"/>
              <w:bCs w:val="0"/>
            </w:rPr>
          </w:pPr>
          <w:r>
            <w:fldChar w:fldCharType="begin"/>
          </w:r>
          <w:r>
            <w:instrText xml:space="preserve"> HYPERLINK \l "_Toc76627652" </w:instrText>
          </w:r>
          <w:r>
            <w:fldChar w:fldCharType="separate"/>
          </w:r>
          <w:r>
            <w:rPr>
              <w:rStyle w:val="18"/>
              <w:rFonts w:ascii="Times New Roman" w:hAnsi="Times New Roman"/>
            </w:rPr>
            <w:t>三、评价结论及绩效分析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_Toc76627652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14:paraId="153D7C1A">
          <w:pPr>
            <w:pStyle w:val="13"/>
            <w:spacing w:before="0" w:after="0" w:line="480" w:lineRule="exact"/>
            <w:ind w:firstLine="240" w:firstLineChars="100"/>
            <w:rPr>
              <w:rFonts w:ascii="Times New Roman" w:hAnsi="Times New Roman" w:cs="Times New Roman"/>
            </w:rPr>
          </w:pPr>
          <w:r>
            <w:fldChar w:fldCharType="begin"/>
          </w:r>
          <w:r>
            <w:instrText xml:space="preserve"> HYPERLINK \l "_Toc76627653" </w:instrText>
          </w:r>
          <w:r>
            <w:fldChar w:fldCharType="separate"/>
          </w:r>
          <w:r>
            <w:rPr>
              <w:rStyle w:val="18"/>
              <w:rFonts w:ascii="Times New Roman" w:hAnsi="Times New Roman" w:cs="Times New Roman"/>
            </w:rPr>
            <w:t>（一）评价结论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_Toc76627653 \h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fldChar w:fldCharType="end"/>
          </w:r>
        </w:p>
        <w:p w14:paraId="72CEA3B8">
          <w:pPr>
            <w:pStyle w:val="13"/>
            <w:spacing w:before="0" w:after="0" w:line="480" w:lineRule="exact"/>
            <w:ind w:firstLine="240" w:firstLineChars="100"/>
            <w:rPr>
              <w:rFonts w:ascii="Times New Roman" w:hAnsi="Times New Roman" w:cs="Times New Roman"/>
            </w:rPr>
          </w:pPr>
          <w:r>
            <w:fldChar w:fldCharType="begin"/>
          </w:r>
          <w:r>
            <w:instrText xml:space="preserve"> HYPERLINK \l "_Toc76627654" </w:instrText>
          </w:r>
          <w:r>
            <w:fldChar w:fldCharType="separate"/>
          </w:r>
          <w:r>
            <w:rPr>
              <w:rStyle w:val="18"/>
              <w:rFonts w:ascii="Times New Roman" w:hAnsi="Times New Roman" w:cs="Times New Roman"/>
            </w:rPr>
            <w:t>（二）绩效分析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_Toc76627654 \h </w:instrText>
          </w:r>
          <w:r>
            <w:rPr>
              <w:rFonts w:ascii="Times New Roman" w:hAnsi="Times New Roman" w:cs="Times New Roman"/>
            </w:rPr>
            <w:fldChar w:fldCharType="separate"/>
          </w:r>
          <w:r>
            <w:rPr>
              <w:rFonts w:ascii="Times New Roman" w:hAnsi="Times New Roman" w:cs="Times New Roman"/>
            </w:rPr>
            <w:t>7</w:t>
          </w:r>
          <w:r>
            <w:rPr>
              <w:rFonts w:ascii="Times New Roman" w:hAnsi="Times New Roman" w:cs="Times New Roman"/>
            </w:rPr>
            <w:fldChar w:fldCharType="end"/>
          </w:r>
          <w:r>
            <w:rPr>
              <w:rFonts w:ascii="Times New Roman" w:hAnsi="Times New Roman" w:cs="Times New Roman"/>
            </w:rPr>
            <w:fldChar w:fldCharType="end"/>
          </w:r>
        </w:p>
        <w:p w14:paraId="7C6BC579">
          <w:pPr>
            <w:pStyle w:val="6"/>
            <w:tabs>
              <w:tab w:val="right" w:leader="dot" w:pos="8296"/>
            </w:tabs>
            <w:spacing w:after="0" w:line="480" w:lineRule="exact"/>
            <w:ind w:firstLine="220" w:firstLineChars="100"/>
            <w:rPr>
              <w:rFonts w:eastAsia="宋体"/>
              <w:kern w:val="2"/>
              <w:sz w:val="24"/>
              <w:szCs w:val="24"/>
            </w:rPr>
          </w:pPr>
          <w:r>
            <w:fldChar w:fldCharType="begin"/>
          </w:r>
          <w:r>
            <w:instrText xml:space="preserve"> HYPERLINK \l "_Toc76627655" </w:instrText>
          </w:r>
          <w:r>
            <w:fldChar w:fldCharType="separate"/>
          </w:r>
          <w:r>
            <w:rPr>
              <w:rStyle w:val="18"/>
              <w:rFonts w:eastAsia="宋体"/>
              <w:sz w:val="24"/>
              <w:szCs w:val="24"/>
            </w:rPr>
            <w:t>1.项目决策指标分析</w:t>
          </w:r>
          <w:r>
            <w:rPr>
              <w:rFonts w:eastAsia="宋体"/>
              <w:sz w:val="24"/>
              <w:szCs w:val="24"/>
            </w:rPr>
            <w:tab/>
          </w:r>
          <w:r>
            <w:rPr>
              <w:rFonts w:eastAsia="宋体"/>
              <w:sz w:val="24"/>
              <w:szCs w:val="24"/>
            </w:rPr>
            <w:fldChar w:fldCharType="begin"/>
          </w:r>
          <w:r>
            <w:rPr>
              <w:rFonts w:eastAsia="宋体"/>
              <w:sz w:val="24"/>
              <w:szCs w:val="24"/>
            </w:rPr>
            <w:instrText xml:space="preserve"> PAGEREF _Toc76627655 \h </w:instrText>
          </w:r>
          <w:r>
            <w:rPr>
              <w:rFonts w:eastAsia="宋体"/>
              <w:sz w:val="24"/>
              <w:szCs w:val="24"/>
            </w:rPr>
            <w:fldChar w:fldCharType="separate"/>
          </w:r>
          <w:r>
            <w:rPr>
              <w:rFonts w:eastAsia="宋体"/>
              <w:sz w:val="24"/>
              <w:szCs w:val="24"/>
            </w:rPr>
            <w:t>7</w:t>
          </w:r>
          <w:r>
            <w:rPr>
              <w:rFonts w:eastAsia="宋体"/>
              <w:sz w:val="24"/>
              <w:szCs w:val="24"/>
            </w:rPr>
            <w:fldChar w:fldCharType="end"/>
          </w:r>
          <w:r>
            <w:rPr>
              <w:rFonts w:eastAsia="宋体"/>
              <w:sz w:val="24"/>
              <w:szCs w:val="24"/>
            </w:rPr>
            <w:fldChar w:fldCharType="end"/>
          </w:r>
        </w:p>
        <w:p w14:paraId="4D83A812">
          <w:pPr>
            <w:pStyle w:val="6"/>
            <w:tabs>
              <w:tab w:val="right" w:leader="dot" w:pos="8296"/>
            </w:tabs>
            <w:spacing w:after="0" w:line="480" w:lineRule="exact"/>
            <w:ind w:firstLine="220" w:firstLineChars="100"/>
            <w:rPr>
              <w:rFonts w:eastAsia="宋体"/>
              <w:kern w:val="2"/>
              <w:sz w:val="24"/>
              <w:szCs w:val="24"/>
            </w:rPr>
          </w:pPr>
          <w:r>
            <w:fldChar w:fldCharType="begin"/>
          </w:r>
          <w:r>
            <w:instrText xml:space="preserve"> HYPERLINK \l "_Toc76627656" </w:instrText>
          </w:r>
          <w:r>
            <w:fldChar w:fldCharType="separate"/>
          </w:r>
          <w:r>
            <w:rPr>
              <w:rStyle w:val="18"/>
              <w:rFonts w:eastAsia="宋体"/>
              <w:sz w:val="24"/>
              <w:szCs w:val="24"/>
            </w:rPr>
            <w:t>2.项目实施指标分析</w:t>
          </w:r>
          <w:r>
            <w:rPr>
              <w:rFonts w:eastAsia="宋体"/>
              <w:sz w:val="24"/>
              <w:szCs w:val="24"/>
            </w:rPr>
            <w:tab/>
          </w:r>
          <w:r>
            <w:rPr>
              <w:rFonts w:eastAsia="宋体"/>
              <w:sz w:val="24"/>
              <w:szCs w:val="24"/>
            </w:rPr>
            <w:fldChar w:fldCharType="begin"/>
          </w:r>
          <w:r>
            <w:rPr>
              <w:rFonts w:eastAsia="宋体"/>
              <w:sz w:val="24"/>
              <w:szCs w:val="24"/>
            </w:rPr>
            <w:instrText xml:space="preserve"> PAGEREF _Toc76627656 \h </w:instrText>
          </w:r>
          <w:r>
            <w:rPr>
              <w:rFonts w:eastAsia="宋体"/>
              <w:sz w:val="24"/>
              <w:szCs w:val="24"/>
            </w:rPr>
            <w:fldChar w:fldCharType="separate"/>
          </w:r>
          <w:r>
            <w:rPr>
              <w:rFonts w:eastAsia="宋体"/>
              <w:sz w:val="24"/>
              <w:szCs w:val="24"/>
            </w:rPr>
            <w:t>8</w:t>
          </w:r>
          <w:r>
            <w:rPr>
              <w:rFonts w:eastAsia="宋体"/>
              <w:sz w:val="24"/>
              <w:szCs w:val="24"/>
            </w:rPr>
            <w:fldChar w:fldCharType="end"/>
          </w:r>
          <w:r>
            <w:rPr>
              <w:rFonts w:eastAsia="宋体"/>
              <w:sz w:val="24"/>
              <w:szCs w:val="24"/>
            </w:rPr>
            <w:fldChar w:fldCharType="end"/>
          </w:r>
        </w:p>
        <w:p w14:paraId="4ED390C8">
          <w:pPr>
            <w:pStyle w:val="6"/>
            <w:tabs>
              <w:tab w:val="right" w:leader="dot" w:pos="8296"/>
            </w:tabs>
            <w:spacing w:after="0" w:line="480" w:lineRule="exact"/>
            <w:ind w:firstLine="220" w:firstLineChars="100"/>
            <w:rPr>
              <w:rFonts w:eastAsia="宋体"/>
              <w:kern w:val="2"/>
              <w:sz w:val="24"/>
              <w:szCs w:val="24"/>
            </w:rPr>
          </w:pPr>
          <w:r>
            <w:fldChar w:fldCharType="begin"/>
          </w:r>
          <w:r>
            <w:instrText xml:space="preserve"> HYPERLINK \l "_Toc76627657" </w:instrText>
          </w:r>
          <w:r>
            <w:fldChar w:fldCharType="separate"/>
          </w:r>
          <w:r>
            <w:rPr>
              <w:rStyle w:val="18"/>
              <w:rFonts w:eastAsia="宋体"/>
              <w:sz w:val="24"/>
              <w:szCs w:val="24"/>
            </w:rPr>
            <w:t>3.项目绩效指标分析</w:t>
          </w:r>
          <w:r>
            <w:rPr>
              <w:rFonts w:eastAsia="宋体"/>
              <w:sz w:val="24"/>
              <w:szCs w:val="24"/>
            </w:rPr>
            <w:tab/>
          </w:r>
          <w:r>
            <w:rPr>
              <w:rFonts w:eastAsia="宋体"/>
              <w:sz w:val="24"/>
              <w:szCs w:val="24"/>
            </w:rPr>
            <w:fldChar w:fldCharType="begin"/>
          </w:r>
          <w:r>
            <w:rPr>
              <w:rFonts w:eastAsia="宋体"/>
              <w:sz w:val="24"/>
              <w:szCs w:val="24"/>
            </w:rPr>
            <w:instrText xml:space="preserve"> PAGEREF _Toc76627657 \h </w:instrText>
          </w:r>
          <w:r>
            <w:rPr>
              <w:rFonts w:eastAsia="宋体"/>
              <w:sz w:val="24"/>
              <w:szCs w:val="24"/>
            </w:rPr>
            <w:fldChar w:fldCharType="separate"/>
          </w:r>
          <w:r>
            <w:rPr>
              <w:rFonts w:eastAsia="宋体"/>
              <w:sz w:val="24"/>
              <w:szCs w:val="24"/>
            </w:rPr>
            <w:t>9</w:t>
          </w:r>
          <w:r>
            <w:rPr>
              <w:rFonts w:eastAsia="宋体"/>
              <w:sz w:val="24"/>
              <w:szCs w:val="24"/>
            </w:rPr>
            <w:fldChar w:fldCharType="end"/>
          </w:r>
          <w:r>
            <w:rPr>
              <w:rFonts w:eastAsia="宋体"/>
              <w:sz w:val="24"/>
              <w:szCs w:val="24"/>
            </w:rPr>
            <w:fldChar w:fldCharType="end"/>
          </w:r>
        </w:p>
        <w:p w14:paraId="2566251F">
          <w:pPr>
            <w:pStyle w:val="11"/>
            <w:spacing w:before="0" w:after="0" w:line="480" w:lineRule="exact"/>
            <w:rPr>
              <w:rFonts w:ascii="Times New Roman" w:hAnsi="Times New Roman"/>
              <w:b w:val="0"/>
              <w:bCs w:val="0"/>
            </w:rPr>
          </w:pPr>
          <w:r>
            <w:fldChar w:fldCharType="begin"/>
          </w:r>
          <w:r>
            <w:instrText xml:space="preserve"> HYPERLINK \l "_Toc76627658" </w:instrText>
          </w:r>
          <w:r>
            <w:fldChar w:fldCharType="separate"/>
          </w:r>
          <w:r>
            <w:rPr>
              <w:rStyle w:val="18"/>
              <w:rFonts w:ascii="Times New Roman" w:hAnsi="Times New Roman"/>
            </w:rPr>
            <w:t>四、存在主要问题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_Toc76627658 \h </w:instrText>
          </w:r>
          <w:r>
            <w:rPr>
              <w:rFonts w:ascii="Times New Roman" w:hAnsi="Times New Roman"/>
            </w:rPr>
            <w:fldChar w:fldCharType="separate"/>
          </w:r>
          <w:r>
            <w:rPr>
              <w:rFonts w:ascii="Times New Roman" w:hAnsi="Times New Roman"/>
            </w:rPr>
            <w:t>11</w:t>
          </w:r>
          <w:r>
            <w:rPr>
              <w:rFonts w:ascii="Times New Roman" w:hAnsi="Times New Roman"/>
            </w:rPr>
            <w:fldChar w:fldCharType="end"/>
          </w:r>
          <w:r>
            <w:rPr>
              <w:rFonts w:ascii="Times New Roman" w:hAnsi="Times New Roman"/>
            </w:rPr>
            <w:fldChar w:fldCharType="end"/>
          </w:r>
        </w:p>
        <w:p w14:paraId="5AAACF48">
          <w:pPr>
            <w:pStyle w:val="13"/>
            <w:spacing w:before="0" w:after="0" w:line="480" w:lineRule="exact"/>
            <w:ind w:firstLine="240" w:firstLineChars="100"/>
            <w:rPr>
              <w:rFonts w:ascii="Times New Roman" w:hAnsi="Times New Roman" w:cs="Times New Roman"/>
            </w:rPr>
          </w:pPr>
          <w:r>
            <w:fldChar w:fldCharType="begin"/>
          </w:r>
          <w:r>
            <w:instrText xml:space="preserve"> HYPERLINK \l "_Toc76627659" </w:instrText>
          </w:r>
          <w:r>
            <w:fldChar w:fldCharType="separate"/>
          </w:r>
          <w:r>
            <w:rPr>
              <w:rStyle w:val="18"/>
              <w:rFonts w:ascii="Times New Roman" w:hAnsi="Times New Roman" w:cs="Times New Roman"/>
            </w:rPr>
            <w:t>（一）政府采购程序履行不完整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_Toc76627659 \h </w:instrText>
          </w:r>
          <w:r>
            <w:rPr>
              <w:rFonts w:ascii="Times New Roman" w:hAnsi="Times New Roman" w:cs="Times New Roman"/>
            </w:rPr>
            <w:fldChar w:fldCharType="separate"/>
          </w:r>
          <w:r>
            <w:rPr>
              <w:rFonts w:ascii="Times New Roman" w:hAnsi="Times New Roman" w:cs="Times New Roman"/>
            </w:rPr>
            <w:t>11</w:t>
          </w:r>
          <w:r>
            <w:rPr>
              <w:rFonts w:ascii="Times New Roman" w:hAnsi="Times New Roman" w:cs="Times New Roman"/>
            </w:rPr>
            <w:fldChar w:fldCharType="end"/>
          </w:r>
          <w:r>
            <w:rPr>
              <w:rFonts w:ascii="Times New Roman" w:hAnsi="Times New Roman" w:cs="Times New Roman"/>
            </w:rPr>
            <w:fldChar w:fldCharType="end"/>
          </w:r>
        </w:p>
        <w:p w14:paraId="65DEDFC3">
          <w:pPr>
            <w:pStyle w:val="13"/>
            <w:spacing w:before="0" w:after="0" w:line="480" w:lineRule="exact"/>
            <w:ind w:firstLine="240" w:firstLineChars="100"/>
            <w:rPr>
              <w:rFonts w:ascii="Times New Roman" w:hAnsi="Times New Roman" w:cs="Times New Roman"/>
            </w:rPr>
          </w:pPr>
          <w:r>
            <w:fldChar w:fldCharType="begin"/>
          </w:r>
          <w:r>
            <w:instrText xml:space="preserve"> HYPERLINK \l "_Toc76627660" </w:instrText>
          </w:r>
          <w:r>
            <w:fldChar w:fldCharType="separate"/>
          </w:r>
          <w:r>
            <w:rPr>
              <w:rStyle w:val="18"/>
              <w:rFonts w:ascii="Times New Roman" w:hAnsi="Times New Roman" w:cs="Times New Roman"/>
            </w:rPr>
            <w:t>（二）财务管理制度未及时更新</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_Toc76627660 \h </w:instrText>
          </w:r>
          <w:r>
            <w:rPr>
              <w:rFonts w:ascii="Times New Roman" w:hAnsi="Times New Roman" w:cs="Times New Roman"/>
            </w:rPr>
            <w:fldChar w:fldCharType="separate"/>
          </w:r>
          <w:r>
            <w:rPr>
              <w:rFonts w:ascii="Times New Roman" w:hAnsi="Times New Roman" w:cs="Times New Roman"/>
            </w:rPr>
            <w:t>11</w:t>
          </w:r>
          <w:r>
            <w:rPr>
              <w:rFonts w:ascii="Times New Roman" w:hAnsi="Times New Roman" w:cs="Times New Roman"/>
            </w:rPr>
            <w:fldChar w:fldCharType="end"/>
          </w:r>
          <w:r>
            <w:rPr>
              <w:rFonts w:ascii="Times New Roman" w:hAnsi="Times New Roman" w:cs="Times New Roman"/>
            </w:rPr>
            <w:fldChar w:fldCharType="end"/>
          </w:r>
        </w:p>
        <w:p w14:paraId="323B172E">
          <w:pPr>
            <w:pStyle w:val="11"/>
            <w:spacing w:before="0" w:after="0" w:line="480" w:lineRule="exact"/>
            <w:rPr>
              <w:rFonts w:ascii="Times New Roman" w:hAnsi="Times New Roman"/>
              <w:b w:val="0"/>
              <w:bCs w:val="0"/>
            </w:rPr>
          </w:pPr>
          <w:r>
            <w:fldChar w:fldCharType="begin"/>
          </w:r>
          <w:r>
            <w:instrText xml:space="preserve"> HYPERLINK \l "_Toc76627661" </w:instrText>
          </w:r>
          <w:r>
            <w:fldChar w:fldCharType="separate"/>
          </w:r>
          <w:r>
            <w:rPr>
              <w:rStyle w:val="18"/>
              <w:rFonts w:ascii="Times New Roman" w:hAnsi="Times New Roman"/>
            </w:rPr>
            <w:t>五、相关措施建议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_Toc76627661 \h </w:instrText>
          </w:r>
          <w:r>
            <w:rPr>
              <w:rFonts w:ascii="Times New Roman" w:hAnsi="Times New Roman"/>
            </w:rPr>
            <w:fldChar w:fldCharType="separate"/>
          </w:r>
          <w:r>
            <w:rPr>
              <w:rFonts w:ascii="Times New Roman" w:hAnsi="Times New Roman"/>
            </w:rPr>
            <w:t>12</w:t>
          </w:r>
          <w:r>
            <w:rPr>
              <w:rFonts w:ascii="Times New Roman" w:hAnsi="Times New Roman"/>
            </w:rPr>
            <w:fldChar w:fldCharType="end"/>
          </w:r>
          <w:r>
            <w:rPr>
              <w:rFonts w:ascii="Times New Roman" w:hAnsi="Times New Roman"/>
            </w:rPr>
            <w:fldChar w:fldCharType="end"/>
          </w:r>
        </w:p>
        <w:p w14:paraId="1FF5034C">
          <w:pPr>
            <w:pStyle w:val="13"/>
            <w:spacing w:before="0" w:after="0" w:line="480" w:lineRule="exact"/>
            <w:ind w:firstLine="240" w:firstLineChars="100"/>
            <w:rPr>
              <w:rFonts w:ascii="Times New Roman" w:hAnsi="Times New Roman" w:cs="Times New Roman"/>
            </w:rPr>
          </w:pPr>
          <w:r>
            <w:fldChar w:fldCharType="begin"/>
          </w:r>
          <w:r>
            <w:instrText xml:space="preserve"> HYPERLINK \l "_Toc76627662" </w:instrText>
          </w:r>
          <w:r>
            <w:fldChar w:fldCharType="separate"/>
          </w:r>
          <w:r>
            <w:rPr>
              <w:rStyle w:val="18"/>
              <w:rFonts w:ascii="Times New Roman" w:hAnsi="Times New Roman" w:cs="Times New Roman"/>
            </w:rPr>
            <w:t>（一）完善政府采购档案管理规章制度</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_Toc76627662 \h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r>
            <w:rPr>
              <w:rFonts w:ascii="Times New Roman" w:hAnsi="Times New Roman" w:cs="Times New Roman"/>
            </w:rPr>
            <w:fldChar w:fldCharType="end"/>
          </w:r>
        </w:p>
        <w:p w14:paraId="158C4E4F">
          <w:pPr>
            <w:pStyle w:val="13"/>
            <w:spacing w:before="0" w:after="0" w:line="480" w:lineRule="exact"/>
            <w:ind w:firstLine="240" w:firstLineChars="100"/>
            <w:rPr>
              <w:rFonts w:ascii="Times New Roman" w:hAnsi="Times New Roman" w:cs="Times New Roman"/>
            </w:rPr>
          </w:pPr>
          <w:r>
            <w:fldChar w:fldCharType="begin"/>
          </w:r>
          <w:r>
            <w:instrText xml:space="preserve"> HYPERLINK \l "_Toc76627663" </w:instrText>
          </w:r>
          <w:r>
            <w:fldChar w:fldCharType="separate"/>
          </w:r>
          <w:r>
            <w:rPr>
              <w:rStyle w:val="18"/>
              <w:rFonts w:ascii="Times New Roman" w:hAnsi="Times New Roman" w:cs="Times New Roman"/>
            </w:rPr>
            <w:t>（二）根据部门现行职能职责更新调整相关管理制度</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_Toc76627663 \h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r>
            <w:rPr>
              <w:rFonts w:ascii="Times New Roman" w:hAnsi="Times New Roman" w:cs="Times New Roman"/>
            </w:rPr>
            <w:fldChar w:fldCharType="end"/>
          </w:r>
        </w:p>
        <w:p w14:paraId="42A4DC0E">
          <w:pPr>
            <w:pStyle w:val="11"/>
            <w:spacing w:before="0" w:after="0" w:line="480" w:lineRule="exact"/>
            <w:rPr>
              <w:rFonts w:ascii="Times New Roman" w:hAnsi="Times New Roman"/>
              <w:b w:val="0"/>
              <w:bCs w:val="0"/>
            </w:rPr>
          </w:pPr>
          <w:r>
            <w:fldChar w:fldCharType="begin"/>
          </w:r>
          <w:r>
            <w:instrText xml:space="preserve"> HYPERLINK \l "_Toc76627664" </w:instrText>
          </w:r>
          <w:r>
            <w:fldChar w:fldCharType="separate"/>
          </w:r>
          <w:r>
            <w:rPr>
              <w:rStyle w:val="18"/>
              <w:rFonts w:ascii="Times New Roman" w:hAnsi="Times New Roman"/>
              <w:kern w:val="44"/>
            </w:rPr>
            <w:t>附件绵竹市2020年执法经费项目支出绩效评价得分表</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_Toc76627664 \h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r>
            <w:rPr>
              <w:rFonts w:ascii="Times New Roman" w:hAnsi="Times New Roman"/>
            </w:rPr>
            <w:fldChar w:fldCharType="end"/>
          </w:r>
        </w:p>
        <w:p w14:paraId="3F77369D">
          <w:pPr>
            <w:spacing w:line="480" w:lineRule="exact"/>
            <w:ind w:firstLine="0" w:firstLineChars="0"/>
            <w:sectPr>
              <w:pgSz w:w="11906" w:h="16838"/>
              <w:pgMar w:top="1440" w:right="1800" w:bottom="1440" w:left="1800" w:header="851" w:footer="992" w:gutter="0"/>
              <w:pgNumType w:start="1"/>
              <w:cols w:space="425" w:num="1"/>
              <w:docGrid w:type="lines" w:linePitch="312" w:charSpace="0"/>
            </w:sectPr>
          </w:pPr>
          <w:r>
            <w:rPr>
              <w:rFonts w:eastAsia="宋体" w:cs="Times New Roman"/>
              <w:b/>
              <w:bCs/>
              <w:sz w:val="24"/>
              <w:szCs w:val="24"/>
              <w:lang w:val="zh-CN"/>
            </w:rPr>
            <w:fldChar w:fldCharType="end"/>
          </w:r>
        </w:p>
      </w:sdtContent>
    </w:sdt>
    <w:p w14:paraId="543C0938">
      <w:pPr>
        <w:autoSpaceDE w:val="0"/>
        <w:autoSpaceDN w:val="0"/>
        <w:adjustRightInd w:val="0"/>
        <w:spacing w:before="156" w:after="156"/>
        <w:ind w:firstLine="0" w:firstLineChars="0"/>
        <w:jc w:val="center"/>
        <w:rPr>
          <w:rFonts w:ascii="方正小标宋_GBK" w:hAnsi="方正小标宋_GBK" w:eastAsia="方正小标宋_GBK" w:cs="Times New Roman"/>
          <w:b/>
          <w:bCs/>
          <w:sz w:val="44"/>
          <w:szCs w:val="44"/>
        </w:rPr>
      </w:pPr>
      <w:r>
        <w:rPr>
          <w:rFonts w:hint="eastAsia" w:ascii="方正小标宋_GBK" w:hAnsi="方正小标宋_GBK" w:eastAsia="方正小标宋_GBK" w:cs="Times New Roman"/>
          <w:b/>
          <w:bCs/>
          <w:sz w:val="44"/>
          <w:szCs w:val="44"/>
        </w:rPr>
        <w:t>绵竹市</w:t>
      </w:r>
      <w:r>
        <w:rPr>
          <w:rFonts w:ascii="方正小标宋_GBK" w:hAnsi="方正小标宋_GBK" w:eastAsia="方正小标宋_GBK" w:cs="Times New Roman"/>
          <w:b/>
          <w:bCs/>
          <w:sz w:val="44"/>
          <w:szCs w:val="44"/>
        </w:rPr>
        <w:t>2020</w:t>
      </w:r>
      <w:r>
        <w:rPr>
          <w:rFonts w:hint="eastAsia" w:ascii="方正小标宋_GBK" w:hAnsi="方正小标宋_GBK" w:eastAsia="方正小标宋_GBK" w:cs="Times New Roman"/>
          <w:b/>
          <w:bCs/>
          <w:sz w:val="44"/>
          <w:szCs w:val="44"/>
        </w:rPr>
        <w:t>年执法经费项目</w:t>
      </w:r>
    </w:p>
    <w:p w14:paraId="1E3A8954">
      <w:pPr>
        <w:autoSpaceDE w:val="0"/>
        <w:autoSpaceDN w:val="0"/>
        <w:adjustRightInd w:val="0"/>
        <w:spacing w:before="156" w:after="156"/>
        <w:ind w:firstLine="0" w:firstLineChars="0"/>
        <w:jc w:val="center"/>
        <w:rPr>
          <w:rFonts w:ascii="方正小标宋_GBK" w:hAnsi="方正小标宋_GBK" w:eastAsia="方正小标宋_GBK" w:cs="Times New Roman"/>
          <w:b/>
          <w:bCs/>
          <w:sz w:val="44"/>
          <w:szCs w:val="44"/>
        </w:rPr>
      </w:pPr>
      <w:r>
        <w:rPr>
          <w:rFonts w:hint="eastAsia" w:ascii="方正小标宋_GBK" w:hAnsi="方正小标宋_GBK" w:eastAsia="方正小标宋_GBK" w:cs="Times New Roman"/>
          <w:b/>
          <w:bCs/>
          <w:sz w:val="44"/>
          <w:szCs w:val="44"/>
        </w:rPr>
        <w:t>支出绩效评价报告</w:t>
      </w:r>
    </w:p>
    <w:p w14:paraId="46B32924">
      <w:pPr>
        <w:ind w:firstLine="640"/>
      </w:pPr>
      <w:r>
        <w:rPr>
          <w:rFonts w:hint="eastAsia"/>
        </w:rPr>
        <w:t>按照《绵竹市财政局关于开展</w:t>
      </w:r>
      <w:r>
        <w:t>2021年财政支出绩效评价工作的通知》（竹财监〔2021〕145号）</w:t>
      </w:r>
      <w:r>
        <w:rPr>
          <w:rFonts w:hint="eastAsia"/>
        </w:rPr>
        <w:t>，我们接受绵竹市财政局委托，于</w:t>
      </w:r>
      <w:r>
        <w:t>2021</w:t>
      </w:r>
      <w:r>
        <w:rPr>
          <w:rFonts w:hint="eastAsia"/>
        </w:rPr>
        <w:t>年</w:t>
      </w:r>
      <w:r>
        <w:t>5</w:t>
      </w:r>
      <w:r>
        <w:rPr>
          <w:rFonts w:hint="eastAsia"/>
        </w:rPr>
        <w:t>月</w:t>
      </w:r>
      <w:r>
        <w:t>26</w:t>
      </w:r>
      <w:r>
        <w:rPr>
          <w:rFonts w:hint="eastAsia"/>
        </w:rPr>
        <w:t>日至</w:t>
      </w:r>
      <w:r>
        <w:t>5</w:t>
      </w:r>
      <w:r>
        <w:rPr>
          <w:rFonts w:hint="eastAsia"/>
        </w:rPr>
        <w:t>月</w:t>
      </w:r>
      <w:r>
        <w:t>28</w:t>
      </w:r>
      <w:r>
        <w:rPr>
          <w:rFonts w:hint="eastAsia"/>
        </w:rPr>
        <w:t>日对绵竹市自然资源和规划局</w:t>
      </w:r>
      <w:r>
        <w:t>2020</w:t>
      </w:r>
      <w:r>
        <w:rPr>
          <w:rFonts w:hint="eastAsia"/>
        </w:rPr>
        <w:t>年执法经费开展绩效评价，</w:t>
      </w:r>
      <w:r>
        <w:rPr>
          <w:rFonts w:hint="eastAsia" w:cs="Times New Roman"/>
          <w:szCs w:val="32"/>
        </w:rPr>
        <w:t>召集</w:t>
      </w:r>
      <w:r>
        <w:rPr>
          <w:rFonts w:cs="Times New Roman"/>
          <w:szCs w:val="32"/>
        </w:rPr>
        <w:t>项目负责部门及相关项目负责人</w:t>
      </w:r>
      <w:r>
        <w:rPr>
          <w:rFonts w:hint="eastAsia" w:cs="Times New Roman"/>
          <w:szCs w:val="32"/>
        </w:rPr>
        <w:t>开展</w:t>
      </w:r>
      <w:r>
        <w:rPr>
          <w:rFonts w:hint="eastAsia"/>
        </w:rPr>
        <w:t>1次座谈会，</w:t>
      </w:r>
      <w:r>
        <w:t>6</w:t>
      </w:r>
      <w:r>
        <w:rPr>
          <w:rFonts w:hint="eastAsia"/>
        </w:rPr>
        <w:t>人次深度访谈，</w:t>
      </w:r>
      <w:r>
        <w:rPr>
          <w:rFonts w:hint="eastAsia" w:cs="Times New Roman"/>
          <w:szCs w:val="32"/>
        </w:rPr>
        <w:t>进行现场勘查</w:t>
      </w:r>
      <w:r>
        <w:rPr>
          <w:rFonts w:cs="Times New Roman"/>
          <w:szCs w:val="32"/>
        </w:rPr>
        <w:t>并查阅</w:t>
      </w:r>
      <w:r>
        <w:rPr>
          <w:rFonts w:hint="eastAsia" w:cs="Times New Roman"/>
          <w:szCs w:val="32"/>
        </w:rPr>
        <w:t>项目相关</w:t>
      </w:r>
      <w:r>
        <w:rPr>
          <w:rFonts w:cs="Times New Roman"/>
          <w:szCs w:val="32"/>
        </w:rPr>
        <w:t>台账资料</w:t>
      </w:r>
      <w:r>
        <w:rPr>
          <w:rFonts w:hint="eastAsia"/>
        </w:rPr>
        <w:t>。具体情况如下。</w:t>
      </w:r>
    </w:p>
    <w:p w14:paraId="623E2ACF">
      <w:pPr>
        <w:pStyle w:val="2"/>
        <w:ind w:firstLine="640"/>
        <w:jc w:val="both"/>
        <w:rPr>
          <w:rFonts w:ascii="黑体" w:hAnsi="黑体" w:cs="Times New Roman"/>
          <w:szCs w:val="28"/>
        </w:rPr>
      </w:pPr>
      <w:bookmarkStart w:id="0" w:name="_Toc75509288"/>
      <w:bookmarkStart w:id="1" w:name="_Toc76627642"/>
      <w:r>
        <w:rPr>
          <w:rFonts w:hint="eastAsia" w:ascii="黑体" w:hAnsi="黑体" w:cs="Times New Roman"/>
          <w:szCs w:val="28"/>
        </w:rPr>
        <w:t>一</w:t>
      </w:r>
      <w:r>
        <w:rPr>
          <w:rFonts w:ascii="黑体" w:hAnsi="黑体" w:cs="Times New Roman"/>
          <w:szCs w:val="28"/>
        </w:rPr>
        <w:t>、评价工作开展及购买服务项目情况</w:t>
      </w:r>
      <w:bookmarkEnd w:id="0"/>
      <w:bookmarkEnd w:id="1"/>
    </w:p>
    <w:p w14:paraId="05FD3426">
      <w:pPr>
        <w:pStyle w:val="3"/>
        <w:ind w:firstLine="643"/>
      </w:pPr>
      <w:bookmarkStart w:id="2" w:name="_Toc75509289"/>
      <w:bookmarkStart w:id="3" w:name="_Toc76627643"/>
      <w:r>
        <w:rPr>
          <w:rFonts w:hint="eastAsia"/>
        </w:rPr>
        <w:t>（一）项目实施背景</w:t>
      </w:r>
      <w:bookmarkEnd w:id="2"/>
      <w:bookmarkEnd w:id="3"/>
    </w:p>
    <w:p w14:paraId="5DC64D53">
      <w:pPr>
        <w:ind w:firstLine="640"/>
      </w:pPr>
      <w:r>
        <w:rPr>
          <w:rFonts w:hint="eastAsia"/>
        </w:rPr>
        <w:t>绵竹市自然资源和规划局</w:t>
      </w:r>
      <w:r>
        <w:t>按权限依法查处土地、矿产方面违法行为时，</w:t>
      </w:r>
      <w:r>
        <w:rPr>
          <w:rFonts w:hint="eastAsia"/>
        </w:rPr>
        <w:t>需</w:t>
      </w:r>
      <w:r>
        <w:t>组织有资质的技术服务单位对疑似违法地点进行实地测绘和制作相关图件，</w:t>
      </w:r>
      <w:r>
        <w:rPr>
          <w:rFonts w:hint="eastAsia"/>
        </w:rPr>
        <w:t>以</w:t>
      </w:r>
      <w:r>
        <w:t>锁定</w:t>
      </w:r>
      <w:r>
        <w:rPr>
          <w:rFonts w:hint="eastAsia"/>
        </w:rPr>
        <w:t>处罚证据。</w:t>
      </w:r>
      <w:r>
        <w:t>根据《中华人民共和国行政处罚法》、《国土资源违法行为查处工作规程》相关规定，</w:t>
      </w:r>
      <w:r>
        <w:rPr>
          <w:rFonts w:hint="eastAsia"/>
        </w:rPr>
        <w:t>绵竹市自然资源和规划局</w:t>
      </w:r>
      <w:r>
        <w:t>在行政执法中调取收集的证据类型包括现场</w:t>
      </w:r>
      <w:r>
        <w:rPr>
          <w:rFonts w:hint="eastAsia"/>
        </w:rPr>
        <w:t>测绘</w:t>
      </w:r>
      <w:r>
        <w:t>材料、规划图、现状影像图等证据材料，而进行测绘并出具测绘报告的必须</w:t>
      </w:r>
      <w:r>
        <w:rPr>
          <w:rFonts w:hint="eastAsia"/>
        </w:rPr>
        <w:t>是具</w:t>
      </w:r>
      <w:r>
        <w:t>有相应测绘资质的单位</w:t>
      </w:r>
      <w:r>
        <w:rPr>
          <w:rFonts w:hint="eastAsia"/>
        </w:rPr>
        <w:t>。</w:t>
      </w:r>
    </w:p>
    <w:p w14:paraId="1B9159D9">
      <w:pPr>
        <w:ind w:firstLine="640"/>
      </w:pPr>
      <w:r>
        <w:rPr>
          <w:rFonts w:hint="eastAsia"/>
        </w:rPr>
        <w:t>当综合执法大队在巡察发现、群众举报相关线索或卫星发现盗采坑洞，上级交办相关任务等情况发生时，绵竹市自然资源和规划局委托具有相关资质的经营性单位进行违法用地测绘及数据处理、各类图件制作等相关工作，并将提交的成果运用到</w:t>
      </w:r>
      <w:r>
        <w:drawing>
          <wp:anchor distT="0" distB="0" distL="114300" distR="114300" simplePos="0" relativeHeight="251659264" behindDoc="0" locked="0" layoutInCell="1" allowOverlap="1">
            <wp:simplePos x="0" y="0"/>
            <wp:positionH relativeFrom="column">
              <wp:posOffset>84455</wp:posOffset>
            </wp:positionH>
            <wp:positionV relativeFrom="paragraph">
              <wp:posOffset>857885</wp:posOffset>
            </wp:positionV>
            <wp:extent cx="5104765" cy="1943735"/>
            <wp:effectExtent l="0" t="0" r="1270" b="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5104765" cy="1943735"/>
                    </a:xfrm>
                    <a:prstGeom prst="rect">
                      <a:avLst/>
                    </a:prstGeom>
                  </pic:spPr>
                </pic:pic>
              </a:graphicData>
            </a:graphic>
          </wp:anchor>
        </w:drawing>
      </w:r>
      <w:r>
        <w:rPr>
          <w:rFonts w:hint="eastAsia"/>
        </w:rPr>
        <w:t>执法工作中。相关流程见下图：</w:t>
      </w:r>
    </w:p>
    <w:p w14:paraId="32309481">
      <w:pPr>
        <w:ind w:firstLine="0" w:firstLineChars="0"/>
        <w:jc w:val="center"/>
        <w:rPr>
          <w:rFonts w:ascii="幼圆" w:eastAsia="幼圆"/>
          <w:b/>
          <w:bCs/>
          <w:sz w:val="28"/>
        </w:rPr>
      </w:pPr>
      <w:r>
        <w:rPr>
          <w:rFonts w:hint="eastAsia" w:ascii="幼圆" w:eastAsia="幼圆"/>
          <w:b/>
          <w:bCs/>
          <w:sz w:val="28"/>
        </w:rPr>
        <w:t>附图 执法经费项目背景流程图</w:t>
      </w:r>
    </w:p>
    <w:p w14:paraId="0CBDD4F6">
      <w:pPr>
        <w:ind w:firstLine="0" w:firstLineChars="0"/>
        <w:jc w:val="center"/>
        <w:rPr>
          <w:rFonts w:ascii="幼圆" w:eastAsia="幼圆"/>
          <w:b/>
          <w:bCs/>
          <w:sz w:val="28"/>
        </w:rPr>
      </w:pPr>
    </w:p>
    <w:p w14:paraId="699F8867">
      <w:pPr>
        <w:pStyle w:val="3"/>
        <w:ind w:firstLine="643"/>
      </w:pPr>
      <w:bookmarkStart w:id="4" w:name="_Toc75509290"/>
      <w:bookmarkStart w:id="5" w:name="_Toc76627644"/>
      <w:r>
        <w:t>（二）项目立项依据</w:t>
      </w:r>
      <w:bookmarkEnd w:id="4"/>
      <w:bookmarkEnd w:id="5"/>
    </w:p>
    <w:p w14:paraId="2840C99C">
      <w:pPr>
        <w:adjustRightInd w:val="0"/>
        <w:snapToGrid w:val="0"/>
        <w:spacing w:before="156"/>
        <w:ind w:firstLine="640"/>
        <w:rPr>
          <w:rFonts w:ascii="Calibri" w:hAnsi="Calibri" w:cs="Times New Roman"/>
          <w:szCs w:val="28"/>
        </w:rPr>
      </w:pPr>
      <w:r>
        <w:rPr>
          <w:rFonts w:hint="eastAsia" w:ascii="Calibri" w:hAnsi="Calibri" w:cs="Times New Roman"/>
          <w:szCs w:val="28"/>
        </w:rPr>
        <w:t>绵竹市自然资源和规划局根据</w:t>
      </w:r>
      <w:r>
        <w:rPr>
          <w:rFonts w:ascii="Calibri" w:hAnsi="Calibri" w:cs="Times New Roman"/>
          <w:szCs w:val="28"/>
        </w:rPr>
        <w:t>《中华人民共和国行政处罚法》、《国土资源违法行为查处工作规程》</w:t>
      </w:r>
      <w:r>
        <w:rPr>
          <w:rFonts w:hint="eastAsia"/>
        </w:rPr>
        <w:t>等文件精神，</w:t>
      </w:r>
      <w:r>
        <w:rPr>
          <w:rFonts w:hint="eastAsia" w:ascii="Calibri" w:hAnsi="Calibri" w:cs="Times New Roman"/>
          <w:szCs w:val="28"/>
        </w:rPr>
        <w:t>依法查</w:t>
      </w:r>
      <w:r>
        <w:rPr>
          <w:rFonts w:hint="eastAsia"/>
        </w:rPr>
        <w:t>处</w:t>
      </w:r>
      <w:r>
        <w:t>2020年度</w:t>
      </w:r>
      <w:r>
        <w:rPr>
          <w:rFonts w:ascii="Calibri" w:hAnsi="Calibri" w:cs="Times New Roman"/>
          <w:szCs w:val="28"/>
        </w:rPr>
        <w:t>自然资源行政处罚案件，对需进行外业测绘的违法项目进行精准测绘，确保执法工作合法性、公正性</w:t>
      </w:r>
      <w:r>
        <w:rPr>
          <w:rFonts w:hint="eastAsia" w:ascii="Calibri" w:hAnsi="Calibri" w:cs="Times New Roman"/>
          <w:szCs w:val="28"/>
        </w:rPr>
        <w:t>。由于该类</w:t>
      </w:r>
      <w:r>
        <w:rPr>
          <w:rFonts w:ascii="Calibri" w:hAnsi="Calibri" w:cs="Times New Roman"/>
          <w:szCs w:val="28"/>
        </w:rPr>
        <w:t>项目属于经常性零星项目，由</w:t>
      </w:r>
      <w:r>
        <w:rPr>
          <w:rFonts w:hint="eastAsia" w:ascii="Calibri" w:hAnsi="Calibri" w:cs="Times New Roman"/>
          <w:szCs w:val="28"/>
        </w:rPr>
        <w:t>市自然局</w:t>
      </w:r>
      <w:r>
        <w:rPr>
          <w:rFonts w:ascii="Calibri" w:hAnsi="Calibri" w:cs="Times New Roman"/>
          <w:szCs w:val="28"/>
        </w:rPr>
        <w:t>自行组织实施，具体实施时间根据违法行为发生时间和地点来</w:t>
      </w:r>
      <w:r>
        <w:rPr>
          <w:rFonts w:hint="eastAsia" w:ascii="Calibri" w:hAnsi="Calibri" w:cs="Times New Roman"/>
          <w:szCs w:val="28"/>
        </w:rPr>
        <w:t>执行。</w:t>
      </w:r>
    </w:p>
    <w:p w14:paraId="5883389E">
      <w:pPr>
        <w:ind w:firstLine="640"/>
      </w:pPr>
      <w:r>
        <w:rPr>
          <w:rFonts w:hint="eastAsia"/>
        </w:rPr>
        <w:t>因零星测绘单次作业服务费用低，有测绘业务资质的作业单位基本无承接意愿。</w:t>
      </w:r>
      <w:r>
        <w:t>2019年，</w:t>
      </w:r>
      <w:r>
        <w:rPr>
          <w:rFonts w:hint="eastAsia"/>
        </w:rPr>
        <w:t>绵竹市自然资源和规划局</w:t>
      </w:r>
      <w:r>
        <w:t>与南京市测绘勘察研究院股份有限公司签订战略合作框架协议，</w:t>
      </w:r>
      <w:r>
        <w:rPr>
          <w:rFonts w:hint="eastAsia"/>
        </w:rPr>
        <w:t>通过</w:t>
      </w:r>
      <w:r>
        <w:t>《测绘服务合同》</w:t>
      </w:r>
      <w:r>
        <w:rPr>
          <w:rFonts w:hint="eastAsia"/>
        </w:rPr>
        <w:t>约定</w:t>
      </w:r>
      <w:r>
        <w:t>年度所有零星测绘业务</w:t>
      </w:r>
      <w:r>
        <w:rPr>
          <w:rFonts w:hint="eastAsia"/>
        </w:rPr>
        <w:t>由该</w:t>
      </w:r>
      <w:r>
        <w:t>研究院</w:t>
      </w:r>
      <w:r>
        <w:rPr>
          <w:rFonts w:hint="eastAsia"/>
        </w:rPr>
        <w:t>承担</w:t>
      </w:r>
      <w:r>
        <w:t>，并履行了签字审批和归档</w:t>
      </w:r>
      <w:r>
        <w:rPr>
          <w:rFonts w:hint="eastAsia"/>
        </w:rPr>
        <w:t>等</w:t>
      </w:r>
      <w:r>
        <w:t>程序</w:t>
      </w:r>
      <w:r>
        <w:rPr>
          <w:rFonts w:hint="eastAsia"/>
        </w:rPr>
        <w:t>。</w:t>
      </w:r>
    </w:p>
    <w:p w14:paraId="3D1FE229">
      <w:pPr>
        <w:pStyle w:val="3"/>
        <w:ind w:firstLine="643"/>
      </w:pPr>
      <w:bookmarkStart w:id="6" w:name="_Toc75509291"/>
      <w:bookmarkStart w:id="7" w:name="_Toc76627645"/>
      <w:r>
        <w:rPr>
          <w:rFonts w:hint="eastAsia"/>
        </w:rPr>
        <w:t>（三）</w:t>
      </w:r>
      <w:bookmarkEnd w:id="6"/>
      <w:r>
        <w:rPr>
          <w:rFonts w:hint="eastAsia"/>
        </w:rPr>
        <w:t>评价点位资金到位及使用情况</w:t>
      </w:r>
      <w:bookmarkEnd w:id="7"/>
    </w:p>
    <w:p w14:paraId="0B3413CB">
      <w:pPr>
        <w:ind w:firstLine="640"/>
      </w:pPr>
      <w:r>
        <w:rPr>
          <w:rFonts w:hint="eastAsia"/>
        </w:rPr>
        <w:t>2</w:t>
      </w:r>
      <w:r>
        <w:t>020</w:t>
      </w:r>
      <w:r>
        <w:rPr>
          <w:rFonts w:hint="eastAsia"/>
        </w:rPr>
        <w:t>年绵竹市自然资源和规划局执法经费年度预算数为7</w:t>
      </w:r>
      <w:r>
        <w:t>.00</w:t>
      </w:r>
      <w:r>
        <w:rPr>
          <w:rFonts w:hint="eastAsia"/>
        </w:rPr>
        <w:t>万元，实际支出7</w:t>
      </w:r>
      <w:r>
        <w:t>.00</w:t>
      </w:r>
      <w:r>
        <w:rPr>
          <w:rFonts w:hint="eastAsia"/>
        </w:rPr>
        <w:t>万元，资金质执行率为1</w:t>
      </w:r>
      <w:r>
        <w:t>00.00%</w:t>
      </w:r>
      <w:r>
        <w:rPr>
          <w:rFonts w:hint="eastAsia"/>
        </w:rPr>
        <w:t>。</w:t>
      </w:r>
    </w:p>
    <w:p w14:paraId="67E7FE81">
      <w:pPr>
        <w:autoSpaceDE w:val="0"/>
        <w:autoSpaceDN w:val="0"/>
        <w:adjustRightInd w:val="0"/>
        <w:ind w:firstLine="0" w:firstLineChars="0"/>
        <w:jc w:val="center"/>
        <w:rPr>
          <w:rFonts w:eastAsia="幼圆" w:cs="Times New Roman"/>
          <w:b/>
          <w:bCs/>
          <w:sz w:val="28"/>
          <w:szCs w:val="28"/>
        </w:rPr>
      </w:pPr>
      <w:r>
        <w:rPr>
          <w:rFonts w:eastAsia="幼圆" w:cs="Times New Roman"/>
          <w:b/>
          <w:bCs/>
          <w:sz w:val="28"/>
          <w:szCs w:val="28"/>
        </w:rPr>
        <w:t>附表</w:t>
      </w:r>
      <w:r>
        <w:rPr>
          <w:rFonts w:hint="eastAsia" w:eastAsia="幼圆" w:cs="Times New Roman"/>
          <w:b/>
          <w:bCs/>
          <w:sz w:val="28"/>
          <w:szCs w:val="28"/>
        </w:rPr>
        <w:t>2</w:t>
      </w:r>
      <w:r>
        <w:rPr>
          <w:rFonts w:eastAsia="幼圆" w:cs="Times New Roman"/>
          <w:b/>
          <w:bCs/>
          <w:sz w:val="28"/>
          <w:szCs w:val="28"/>
        </w:rPr>
        <w:t>020</w:t>
      </w:r>
      <w:r>
        <w:rPr>
          <w:rFonts w:hint="eastAsia" w:eastAsia="幼圆" w:cs="Times New Roman"/>
          <w:b/>
          <w:bCs/>
          <w:sz w:val="28"/>
          <w:szCs w:val="28"/>
        </w:rPr>
        <w:t>年执法经费项目资金计划及到位情况</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4"/>
        <w:gridCol w:w="2625"/>
        <w:gridCol w:w="4033"/>
      </w:tblGrid>
      <w:tr w14:paraId="602BA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94" w:type="pct"/>
            <w:tcBorders>
              <w:bottom w:val="double" w:color="auto" w:sz="4" w:space="0"/>
            </w:tcBorders>
            <w:shd w:val="clear" w:color="auto" w:fill="00516B"/>
            <w:vAlign w:val="center"/>
          </w:tcPr>
          <w:p w14:paraId="4A1B77B3">
            <w:pPr>
              <w:tabs>
                <w:tab w:val="left" w:pos="4354"/>
              </w:tabs>
              <w:spacing w:before="156" w:after="156" w:line="240" w:lineRule="auto"/>
              <w:ind w:firstLine="0" w:firstLineChars="0"/>
              <w:jc w:val="center"/>
              <w:rPr>
                <w:rFonts w:eastAsia="宋体" w:cs="Times New Roman"/>
                <w:b/>
                <w:color w:val="FFFFFF" w:themeColor="background1"/>
                <w:sz w:val="20"/>
                <w:szCs w:val="20"/>
              </w:rPr>
            </w:pPr>
            <w:r>
              <w:rPr>
                <w:rFonts w:hint="eastAsia" w:eastAsia="宋体" w:cs="Times New Roman"/>
                <w:b/>
                <w:color w:val="FFFFFF" w:themeColor="background1"/>
                <w:sz w:val="20"/>
                <w:szCs w:val="20"/>
              </w:rPr>
              <w:t>资金计划</w:t>
            </w:r>
          </w:p>
        </w:tc>
        <w:tc>
          <w:tcPr>
            <w:tcW w:w="1540" w:type="pct"/>
            <w:tcBorders>
              <w:bottom w:val="double" w:color="auto" w:sz="4" w:space="0"/>
            </w:tcBorders>
            <w:shd w:val="clear" w:color="auto" w:fill="00516B"/>
            <w:vAlign w:val="center"/>
          </w:tcPr>
          <w:p w14:paraId="1ACBE9E4">
            <w:pPr>
              <w:tabs>
                <w:tab w:val="left" w:pos="4354"/>
              </w:tabs>
              <w:spacing w:before="156" w:after="156" w:line="240" w:lineRule="auto"/>
              <w:ind w:firstLine="0" w:firstLineChars="0"/>
              <w:jc w:val="center"/>
              <w:rPr>
                <w:rFonts w:eastAsia="宋体" w:cs="Times New Roman"/>
                <w:b/>
                <w:color w:val="FFFFFF" w:themeColor="background1"/>
                <w:sz w:val="20"/>
                <w:szCs w:val="20"/>
              </w:rPr>
            </w:pPr>
            <w:r>
              <w:rPr>
                <w:rFonts w:hint="eastAsia" w:eastAsia="宋体" w:cs="Times New Roman"/>
                <w:b/>
                <w:color w:val="FFFFFF" w:themeColor="background1"/>
                <w:sz w:val="20"/>
                <w:szCs w:val="20"/>
              </w:rPr>
              <w:t>资金到位</w:t>
            </w:r>
          </w:p>
        </w:tc>
        <w:tc>
          <w:tcPr>
            <w:tcW w:w="2366" w:type="pct"/>
            <w:tcBorders>
              <w:bottom w:val="double" w:color="auto" w:sz="4" w:space="0"/>
            </w:tcBorders>
            <w:shd w:val="clear" w:color="auto" w:fill="00516B"/>
            <w:vAlign w:val="center"/>
          </w:tcPr>
          <w:p w14:paraId="1BD89DD5">
            <w:pPr>
              <w:tabs>
                <w:tab w:val="left" w:pos="4354"/>
              </w:tabs>
              <w:spacing w:before="156" w:after="156" w:line="240" w:lineRule="auto"/>
              <w:ind w:firstLine="0" w:firstLineChars="0"/>
              <w:jc w:val="center"/>
              <w:rPr>
                <w:rFonts w:eastAsia="宋体" w:cs="Times New Roman"/>
                <w:b/>
                <w:color w:val="FFFFFF" w:themeColor="background1"/>
                <w:sz w:val="20"/>
                <w:szCs w:val="20"/>
              </w:rPr>
            </w:pPr>
            <w:r>
              <w:rPr>
                <w:rFonts w:hint="eastAsia" w:eastAsia="宋体" w:cs="Times New Roman"/>
                <w:b/>
                <w:color w:val="FFFFFF" w:themeColor="background1"/>
                <w:sz w:val="20"/>
                <w:szCs w:val="20"/>
              </w:rPr>
              <w:t>预算支出</w:t>
            </w:r>
          </w:p>
        </w:tc>
      </w:tr>
      <w:tr w14:paraId="4FA75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4" w:type="pct"/>
            <w:tcBorders>
              <w:top w:val="double" w:color="auto" w:sz="4" w:space="0"/>
            </w:tcBorders>
            <w:vAlign w:val="center"/>
          </w:tcPr>
          <w:p w14:paraId="0654A86A">
            <w:pPr>
              <w:tabs>
                <w:tab w:val="left" w:pos="4354"/>
              </w:tabs>
              <w:spacing w:before="156" w:after="156" w:line="240" w:lineRule="auto"/>
              <w:ind w:firstLine="0" w:firstLineChars="0"/>
              <w:rPr>
                <w:rFonts w:eastAsia="宋体" w:cs="Times New Roman"/>
                <w:bCs/>
                <w:sz w:val="20"/>
                <w:szCs w:val="20"/>
              </w:rPr>
            </w:pPr>
            <w:r>
              <w:rPr>
                <w:rFonts w:eastAsia="宋体" w:cs="Times New Roman"/>
                <w:bCs/>
                <w:sz w:val="20"/>
                <w:szCs w:val="20"/>
              </w:rPr>
              <w:t>申请本级财政资金7万元</w:t>
            </w:r>
          </w:p>
        </w:tc>
        <w:tc>
          <w:tcPr>
            <w:tcW w:w="1540" w:type="pct"/>
            <w:tcBorders>
              <w:top w:val="double" w:color="auto" w:sz="4" w:space="0"/>
            </w:tcBorders>
            <w:vAlign w:val="center"/>
          </w:tcPr>
          <w:p w14:paraId="78CDA3E6">
            <w:pPr>
              <w:tabs>
                <w:tab w:val="left" w:pos="4354"/>
              </w:tabs>
              <w:spacing w:before="156" w:after="156" w:line="240" w:lineRule="auto"/>
              <w:ind w:firstLine="0" w:firstLineChars="0"/>
              <w:rPr>
                <w:rFonts w:eastAsia="宋体" w:cs="Times New Roman"/>
                <w:bCs/>
                <w:sz w:val="20"/>
                <w:szCs w:val="20"/>
              </w:rPr>
            </w:pPr>
            <w:r>
              <w:rPr>
                <w:rFonts w:eastAsia="宋体" w:cs="Times New Roman"/>
                <w:bCs/>
                <w:sz w:val="20"/>
                <w:szCs w:val="20"/>
              </w:rPr>
              <w:t>本级财政下达7万元</w:t>
            </w:r>
          </w:p>
        </w:tc>
        <w:tc>
          <w:tcPr>
            <w:tcW w:w="2366" w:type="pct"/>
            <w:tcBorders>
              <w:top w:val="double" w:color="auto" w:sz="4" w:space="0"/>
            </w:tcBorders>
            <w:vAlign w:val="center"/>
          </w:tcPr>
          <w:p w14:paraId="0415B402">
            <w:pPr>
              <w:tabs>
                <w:tab w:val="left" w:pos="4354"/>
              </w:tabs>
              <w:spacing w:before="156" w:after="156" w:line="240" w:lineRule="auto"/>
              <w:ind w:firstLine="0" w:firstLineChars="0"/>
              <w:rPr>
                <w:rFonts w:eastAsia="宋体" w:cs="Times New Roman"/>
                <w:bCs/>
                <w:sz w:val="20"/>
                <w:szCs w:val="20"/>
              </w:rPr>
            </w:pPr>
            <w:r>
              <w:rPr>
                <w:rFonts w:eastAsia="宋体" w:cs="Times New Roman"/>
                <w:bCs/>
                <w:sz w:val="20"/>
                <w:szCs w:val="20"/>
              </w:rPr>
              <w:t>支出7万元。资金支出完全按照《测绘项目》“自乙方提交测绘成果报告后，请甲方在15个工作日内向乙方支付本次测绘工程费”</w:t>
            </w:r>
          </w:p>
        </w:tc>
      </w:tr>
    </w:tbl>
    <w:p w14:paraId="60E1D169">
      <w:pPr>
        <w:ind w:firstLine="640"/>
      </w:pPr>
    </w:p>
    <w:p w14:paraId="522B8D79">
      <w:pPr>
        <w:ind w:firstLine="640"/>
      </w:pPr>
      <w:r>
        <w:rPr>
          <w:rFonts w:hint="eastAsia"/>
        </w:rPr>
        <w:t>从资金使用方向看，钢材市场地形图测绘、土地规划和现状分析经费3</w:t>
      </w:r>
      <w:r>
        <w:t>.43</w:t>
      </w:r>
      <w:r>
        <w:rPr>
          <w:rFonts w:hint="eastAsia"/>
        </w:rPr>
        <w:t>万元，约占总经费的4</w:t>
      </w:r>
      <w:r>
        <w:t>8.98%</w:t>
      </w:r>
      <w:r>
        <w:rPr>
          <w:rFonts w:hint="eastAsia"/>
        </w:rPr>
        <w:t>；地形图车、土地规划和现状分析服务费1</w:t>
      </w:r>
      <w:r>
        <w:t>.57</w:t>
      </w:r>
      <w:r>
        <w:rPr>
          <w:rFonts w:hint="eastAsia"/>
        </w:rPr>
        <w:t>万元，约占总经费的2</w:t>
      </w:r>
      <w:r>
        <w:t>2.49%</w:t>
      </w:r>
      <w:r>
        <w:rPr>
          <w:rFonts w:hint="eastAsia"/>
        </w:rPr>
        <w:t>；大鹏房另案处理项目测绘费1.</w:t>
      </w:r>
      <w:r>
        <w:t>40</w:t>
      </w:r>
      <w:r>
        <w:rPr>
          <w:rFonts w:hint="eastAsia"/>
        </w:rPr>
        <w:t>万元，约占总经费的1</w:t>
      </w:r>
      <w:r>
        <w:t>9.96%</w:t>
      </w:r>
      <w:r>
        <w:rPr>
          <w:rFonts w:hint="eastAsia"/>
        </w:rPr>
        <w:t>。</w:t>
      </w:r>
    </w:p>
    <w:p w14:paraId="6BDF3D1C">
      <w:pPr>
        <w:ind w:firstLine="0" w:firstLineChars="0"/>
        <w:jc w:val="center"/>
        <w:rPr>
          <w:rFonts w:ascii="幼圆" w:eastAsia="幼圆" w:cs="Times New Roman"/>
          <w:b/>
          <w:sz w:val="28"/>
          <w:szCs w:val="28"/>
        </w:rPr>
      </w:pPr>
      <w:r>
        <w:rPr>
          <w:rFonts w:hint="eastAsia" w:ascii="幼圆" w:eastAsia="幼圆" w:cs="Times New Roman"/>
          <w:b/>
          <w:sz w:val="28"/>
          <w:szCs w:val="28"/>
        </w:rPr>
        <w:t>附表 2020年执法经费支出情况</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6"/>
        <w:gridCol w:w="4448"/>
        <w:gridCol w:w="1558"/>
      </w:tblGrid>
      <w:tr w14:paraId="6D532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1476" w:type="pct"/>
            <w:shd w:val="clear" w:color="auto" w:fill="00516B"/>
            <w:vAlign w:val="center"/>
          </w:tcPr>
          <w:p w14:paraId="6E38596C">
            <w:pPr>
              <w:spacing w:line="280" w:lineRule="exact"/>
              <w:ind w:firstLine="0" w:firstLineChars="0"/>
              <w:jc w:val="center"/>
              <w:rPr>
                <w:rFonts w:eastAsia="宋体" w:cs="微软雅黑"/>
                <w:b/>
                <w:bCs/>
                <w:kern w:val="0"/>
                <w:sz w:val="20"/>
                <w:szCs w:val="20"/>
              </w:rPr>
            </w:pPr>
            <w:r>
              <w:rPr>
                <w:rFonts w:hint="eastAsia" w:eastAsia="宋体" w:cs="微软雅黑"/>
                <w:b/>
                <w:bCs/>
                <w:kern w:val="0"/>
                <w:sz w:val="20"/>
                <w:szCs w:val="20"/>
              </w:rPr>
              <w:t>项目名称</w:t>
            </w:r>
          </w:p>
        </w:tc>
        <w:tc>
          <w:tcPr>
            <w:tcW w:w="2610" w:type="pct"/>
            <w:shd w:val="clear" w:color="auto" w:fill="00516B"/>
            <w:vAlign w:val="center"/>
          </w:tcPr>
          <w:p w14:paraId="02CB86FD">
            <w:pPr>
              <w:spacing w:line="280" w:lineRule="exact"/>
              <w:ind w:firstLine="0" w:firstLineChars="0"/>
              <w:jc w:val="center"/>
              <w:rPr>
                <w:rFonts w:eastAsia="宋体" w:cs="微软雅黑"/>
                <w:b/>
                <w:bCs/>
                <w:kern w:val="0"/>
                <w:sz w:val="20"/>
                <w:szCs w:val="20"/>
              </w:rPr>
            </w:pPr>
            <w:r>
              <w:rPr>
                <w:rFonts w:hint="eastAsia" w:eastAsia="宋体" w:cs="微软雅黑"/>
                <w:b/>
                <w:bCs/>
                <w:kern w:val="0"/>
                <w:sz w:val="20"/>
                <w:szCs w:val="20"/>
              </w:rPr>
              <w:t>内容</w:t>
            </w:r>
          </w:p>
        </w:tc>
        <w:tc>
          <w:tcPr>
            <w:tcW w:w="915" w:type="pct"/>
            <w:shd w:val="clear" w:color="auto" w:fill="00516B"/>
            <w:vAlign w:val="center"/>
          </w:tcPr>
          <w:p w14:paraId="55064A09">
            <w:pPr>
              <w:spacing w:line="280" w:lineRule="exact"/>
              <w:ind w:firstLine="0" w:firstLineChars="0"/>
              <w:jc w:val="center"/>
              <w:rPr>
                <w:rFonts w:eastAsia="宋体" w:cs="微软雅黑"/>
                <w:b/>
                <w:bCs/>
                <w:kern w:val="0"/>
                <w:sz w:val="20"/>
                <w:szCs w:val="20"/>
              </w:rPr>
            </w:pPr>
            <w:r>
              <w:rPr>
                <w:rFonts w:hint="eastAsia" w:eastAsia="宋体" w:cs="微软雅黑"/>
                <w:b/>
                <w:bCs/>
                <w:kern w:val="0"/>
                <w:sz w:val="20"/>
                <w:szCs w:val="20"/>
              </w:rPr>
              <w:t>金额（万元）</w:t>
            </w:r>
          </w:p>
        </w:tc>
      </w:tr>
      <w:tr w14:paraId="5C4D7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pct"/>
            <w:vAlign w:val="center"/>
          </w:tcPr>
          <w:p w14:paraId="2A577994">
            <w:pPr>
              <w:spacing w:line="280" w:lineRule="exact"/>
              <w:ind w:firstLine="0" w:firstLineChars="0"/>
              <w:jc w:val="center"/>
              <w:rPr>
                <w:rFonts w:eastAsia="宋体" w:cs="微软雅黑"/>
                <w:kern w:val="0"/>
                <w:sz w:val="20"/>
                <w:szCs w:val="20"/>
              </w:rPr>
            </w:pPr>
            <w:r>
              <w:rPr>
                <w:rFonts w:hint="eastAsia" w:eastAsia="宋体" w:cs="微软雅黑"/>
                <w:kern w:val="0"/>
                <w:sz w:val="20"/>
                <w:szCs w:val="20"/>
              </w:rPr>
              <w:t>地形图车、土地规划和现状分析服务费</w:t>
            </w:r>
          </w:p>
        </w:tc>
        <w:tc>
          <w:tcPr>
            <w:tcW w:w="2610" w:type="pct"/>
            <w:vAlign w:val="center"/>
          </w:tcPr>
          <w:p w14:paraId="78DFE154">
            <w:pPr>
              <w:spacing w:line="280" w:lineRule="exact"/>
              <w:ind w:firstLine="0" w:firstLineChars="0"/>
              <w:jc w:val="center"/>
              <w:rPr>
                <w:rFonts w:eastAsia="宋体" w:cs="微软雅黑"/>
                <w:kern w:val="0"/>
                <w:sz w:val="20"/>
                <w:szCs w:val="20"/>
              </w:rPr>
            </w:pPr>
            <w:r>
              <w:rPr>
                <w:rFonts w:eastAsia="宋体" w:cs="微软雅黑"/>
                <w:kern w:val="0"/>
                <w:sz w:val="20"/>
                <w:szCs w:val="20"/>
              </w:rPr>
              <w:t>1.拱星镇原农科站地形图测绘</w:t>
            </w:r>
          </w:p>
          <w:p w14:paraId="3FD4470E">
            <w:pPr>
              <w:spacing w:line="280" w:lineRule="exact"/>
              <w:ind w:firstLine="0" w:firstLineChars="0"/>
              <w:jc w:val="center"/>
              <w:rPr>
                <w:rFonts w:eastAsia="宋体" w:cs="微软雅黑"/>
                <w:kern w:val="0"/>
                <w:sz w:val="20"/>
                <w:szCs w:val="20"/>
              </w:rPr>
            </w:pPr>
            <w:r>
              <w:rPr>
                <w:rFonts w:eastAsia="宋体" w:cs="微软雅黑"/>
                <w:kern w:val="0"/>
                <w:sz w:val="20"/>
                <w:szCs w:val="20"/>
              </w:rPr>
              <w:t>2.遵道镇农家乐地形图测绘</w:t>
            </w:r>
          </w:p>
          <w:p w14:paraId="4DB6C185">
            <w:pPr>
              <w:spacing w:line="280" w:lineRule="exact"/>
              <w:ind w:firstLine="0" w:firstLineChars="0"/>
              <w:jc w:val="center"/>
              <w:rPr>
                <w:rFonts w:eastAsia="宋体" w:cs="微软雅黑"/>
                <w:kern w:val="0"/>
                <w:sz w:val="20"/>
                <w:szCs w:val="20"/>
              </w:rPr>
            </w:pPr>
            <w:r>
              <w:rPr>
                <w:rFonts w:eastAsia="宋体" w:cs="微软雅黑"/>
                <w:kern w:val="0"/>
                <w:sz w:val="20"/>
                <w:szCs w:val="20"/>
              </w:rPr>
              <w:t>3.新市镇祥龙食品添加剂有限公司地形图测绘</w:t>
            </w:r>
          </w:p>
          <w:p w14:paraId="772AF88F">
            <w:pPr>
              <w:spacing w:line="280" w:lineRule="exact"/>
              <w:ind w:firstLine="0" w:firstLineChars="0"/>
              <w:jc w:val="center"/>
              <w:rPr>
                <w:rFonts w:eastAsia="宋体" w:cs="微软雅黑"/>
                <w:kern w:val="0"/>
                <w:sz w:val="20"/>
                <w:szCs w:val="20"/>
              </w:rPr>
            </w:pPr>
            <w:r>
              <w:rPr>
                <w:rFonts w:eastAsia="宋体" w:cs="微软雅黑"/>
                <w:kern w:val="0"/>
                <w:sz w:val="20"/>
                <w:szCs w:val="20"/>
              </w:rPr>
              <w:t>4.孝德镇大乘养老院地形图测绘</w:t>
            </w:r>
          </w:p>
          <w:p w14:paraId="468E7FB5">
            <w:pPr>
              <w:spacing w:line="280" w:lineRule="exact"/>
              <w:ind w:firstLine="0" w:firstLineChars="0"/>
              <w:jc w:val="center"/>
              <w:rPr>
                <w:rFonts w:eastAsia="宋体" w:cs="微软雅黑"/>
                <w:kern w:val="0"/>
                <w:sz w:val="20"/>
                <w:szCs w:val="20"/>
              </w:rPr>
            </w:pPr>
            <w:r>
              <w:rPr>
                <w:rFonts w:eastAsia="宋体" w:cs="微软雅黑"/>
                <w:kern w:val="0"/>
                <w:sz w:val="20"/>
                <w:szCs w:val="20"/>
              </w:rPr>
              <w:t>5.九龙镇张富金养鸭场地形图测绘</w:t>
            </w:r>
          </w:p>
          <w:p w14:paraId="63C62309">
            <w:pPr>
              <w:spacing w:line="280" w:lineRule="exact"/>
              <w:ind w:firstLine="0" w:firstLineChars="0"/>
              <w:jc w:val="center"/>
              <w:rPr>
                <w:rFonts w:eastAsia="宋体" w:cs="微软雅黑"/>
                <w:kern w:val="0"/>
                <w:sz w:val="20"/>
                <w:szCs w:val="20"/>
              </w:rPr>
            </w:pPr>
            <w:r>
              <w:rPr>
                <w:rFonts w:eastAsia="宋体" w:cs="微软雅黑"/>
                <w:kern w:val="0"/>
                <w:sz w:val="20"/>
                <w:szCs w:val="20"/>
              </w:rPr>
              <w:t>6.东二环路华龙园地形测绘</w:t>
            </w:r>
          </w:p>
          <w:p w14:paraId="433AF9C5">
            <w:pPr>
              <w:spacing w:line="280" w:lineRule="exact"/>
              <w:ind w:firstLine="0" w:firstLineChars="0"/>
              <w:jc w:val="center"/>
              <w:rPr>
                <w:rFonts w:eastAsia="宋体" w:cs="微软雅黑"/>
                <w:kern w:val="0"/>
                <w:sz w:val="20"/>
                <w:szCs w:val="20"/>
              </w:rPr>
            </w:pPr>
            <w:r>
              <w:rPr>
                <w:rFonts w:eastAsia="宋体" w:cs="微软雅黑"/>
                <w:kern w:val="0"/>
                <w:sz w:val="20"/>
                <w:szCs w:val="20"/>
              </w:rPr>
              <w:t>7.西二环路顺捷停车场地形测绘</w:t>
            </w:r>
          </w:p>
        </w:tc>
        <w:tc>
          <w:tcPr>
            <w:tcW w:w="915" w:type="pct"/>
            <w:vAlign w:val="center"/>
          </w:tcPr>
          <w:p w14:paraId="488CCAD0">
            <w:pPr>
              <w:spacing w:line="280" w:lineRule="exact"/>
              <w:ind w:firstLine="0" w:firstLineChars="0"/>
              <w:jc w:val="center"/>
              <w:rPr>
                <w:rFonts w:eastAsia="宋体" w:cs="微软雅黑"/>
                <w:kern w:val="0"/>
                <w:sz w:val="20"/>
                <w:szCs w:val="20"/>
              </w:rPr>
            </w:pPr>
            <w:r>
              <w:rPr>
                <w:rFonts w:hint="eastAsia" w:eastAsia="宋体" w:cs="微软雅黑"/>
                <w:kern w:val="0"/>
                <w:sz w:val="20"/>
                <w:szCs w:val="20"/>
              </w:rPr>
              <w:t>1</w:t>
            </w:r>
            <w:r>
              <w:rPr>
                <w:rFonts w:eastAsia="宋体" w:cs="微软雅黑"/>
                <w:kern w:val="0"/>
                <w:sz w:val="20"/>
                <w:szCs w:val="20"/>
              </w:rPr>
              <w:t>.57</w:t>
            </w:r>
          </w:p>
        </w:tc>
      </w:tr>
      <w:tr w14:paraId="07478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476" w:type="pct"/>
            <w:vAlign w:val="center"/>
          </w:tcPr>
          <w:p w14:paraId="239B2887">
            <w:pPr>
              <w:topLinePunct/>
              <w:spacing w:line="280" w:lineRule="exact"/>
              <w:ind w:firstLine="0" w:firstLineChars="0"/>
              <w:jc w:val="center"/>
              <w:rPr>
                <w:rFonts w:eastAsia="宋体" w:cs="Times New Roman"/>
                <w:kern w:val="0"/>
                <w:sz w:val="20"/>
                <w:szCs w:val="20"/>
              </w:rPr>
            </w:pPr>
            <w:r>
              <w:rPr>
                <w:rFonts w:hint="eastAsia" w:eastAsia="宋体" w:cs="Times New Roman"/>
                <w:kern w:val="0"/>
                <w:sz w:val="20"/>
                <w:szCs w:val="20"/>
              </w:rPr>
              <w:t>大棚房另案处理项目测绘费</w:t>
            </w:r>
          </w:p>
        </w:tc>
        <w:tc>
          <w:tcPr>
            <w:tcW w:w="2610" w:type="pct"/>
            <w:vAlign w:val="center"/>
          </w:tcPr>
          <w:p w14:paraId="126E87AE">
            <w:pPr>
              <w:topLinePunct/>
              <w:spacing w:line="280" w:lineRule="exact"/>
              <w:ind w:firstLine="0" w:firstLineChars="0"/>
              <w:jc w:val="center"/>
              <w:rPr>
                <w:rFonts w:eastAsia="宋体" w:cs="Times New Roman"/>
                <w:kern w:val="0"/>
                <w:sz w:val="20"/>
                <w:szCs w:val="20"/>
              </w:rPr>
            </w:pPr>
            <w:r>
              <w:rPr>
                <w:rFonts w:hint="eastAsia" w:eastAsia="宋体" w:cs="Times New Roman"/>
                <w:kern w:val="0"/>
                <w:sz w:val="20"/>
                <w:szCs w:val="20"/>
              </w:rPr>
              <w:t>大棚房另案处理项目测绘</w:t>
            </w:r>
          </w:p>
        </w:tc>
        <w:tc>
          <w:tcPr>
            <w:tcW w:w="915" w:type="pct"/>
            <w:vAlign w:val="center"/>
          </w:tcPr>
          <w:p w14:paraId="3557E060">
            <w:pPr>
              <w:topLinePunct/>
              <w:spacing w:line="280" w:lineRule="exact"/>
              <w:ind w:firstLine="0" w:firstLineChars="0"/>
              <w:jc w:val="center"/>
              <w:rPr>
                <w:rFonts w:eastAsia="宋体" w:cs="Times New Roman"/>
                <w:kern w:val="0"/>
                <w:sz w:val="20"/>
                <w:szCs w:val="20"/>
              </w:rPr>
            </w:pPr>
            <w:r>
              <w:rPr>
                <w:rFonts w:hint="eastAsia" w:eastAsia="宋体" w:cs="Times New Roman"/>
                <w:kern w:val="0"/>
                <w:sz w:val="20"/>
                <w:szCs w:val="20"/>
              </w:rPr>
              <w:t>1.</w:t>
            </w:r>
            <w:r>
              <w:rPr>
                <w:rFonts w:eastAsia="宋体" w:cs="Times New Roman"/>
                <w:kern w:val="0"/>
                <w:sz w:val="20"/>
                <w:szCs w:val="20"/>
              </w:rPr>
              <w:t>40</w:t>
            </w:r>
          </w:p>
        </w:tc>
      </w:tr>
      <w:tr w14:paraId="61918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pct"/>
            <w:vAlign w:val="center"/>
          </w:tcPr>
          <w:p w14:paraId="5DD032A1">
            <w:pPr>
              <w:topLinePunct/>
              <w:spacing w:line="280" w:lineRule="exact"/>
              <w:ind w:firstLine="0" w:firstLineChars="0"/>
              <w:jc w:val="center"/>
              <w:rPr>
                <w:rFonts w:eastAsia="宋体" w:cs="Times New Roman"/>
                <w:kern w:val="0"/>
                <w:sz w:val="20"/>
                <w:szCs w:val="20"/>
              </w:rPr>
            </w:pPr>
            <w:r>
              <w:rPr>
                <w:rFonts w:hint="eastAsia" w:eastAsia="宋体" w:cs="Times New Roman"/>
                <w:kern w:val="0"/>
                <w:sz w:val="20"/>
                <w:szCs w:val="20"/>
              </w:rPr>
              <w:t>钢材市场地形图测绘、土地规划和现状分析费用</w:t>
            </w:r>
          </w:p>
        </w:tc>
        <w:tc>
          <w:tcPr>
            <w:tcW w:w="2610" w:type="pct"/>
            <w:vAlign w:val="center"/>
          </w:tcPr>
          <w:p w14:paraId="17333BC8">
            <w:pPr>
              <w:topLinePunct/>
              <w:spacing w:line="280" w:lineRule="exact"/>
              <w:ind w:firstLine="0" w:firstLineChars="0"/>
              <w:jc w:val="center"/>
              <w:rPr>
                <w:rFonts w:eastAsia="宋体" w:cs="Times New Roman"/>
                <w:kern w:val="0"/>
                <w:sz w:val="20"/>
                <w:szCs w:val="20"/>
              </w:rPr>
            </w:pPr>
            <w:r>
              <w:rPr>
                <w:rFonts w:hint="eastAsia" w:eastAsia="宋体" w:cs="Times New Roman"/>
                <w:kern w:val="0"/>
                <w:sz w:val="20"/>
                <w:szCs w:val="20"/>
              </w:rPr>
              <w:t>钢材市场地形图测绘</w:t>
            </w:r>
          </w:p>
        </w:tc>
        <w:tc>
          <w:tcPr>
            <w:tcW w:w="915" w:type="pct"/>
            <w:vAlign w:val="center"/>
          </w:tcPr>
          <w:p w14:paraId="238933B6">
            <w:pPr>
              <w:topLinePunct/>
              <w:spacing w:line="280" w:lineRule="exact"/>
              <w:ind w:firstLine="0" w:firstLineChars="0"/>
              <w:jc w:val="center"/>
              <w:rPr>
                <w:rFonts w:eastAsia="宋体" w:cs="Times New Roman"/>
                <w:kern w:val="0"/>
                <w:sz w:val="20"/>
                <w:szCs w:val="20"/>
              </w:rPr>
            </w:pPr>
            <w:r>
              <w:rPr>
                <w:rFonts w:hint="eastAsia" w:eastAsia="宋体" w:cs="Times New Roman"/>
                <w:kern w:val="0"/>
                <w:sz w:val="20"/>
                <w:szCs w:val="20"/>
              </w:rPr>
              <w:t>3</w:t>
            </w:r>
            <w:r>
              <w:rPr>
                <w:rFonts w:eastAsia="宋体" w:cs="Times New Roman"/>
                <w:kern w:val="0"/>
                <w:sz w:val="20"/>
                <w:szCs w:val="20"/>
              </w:rPr>
              <w:t>.43</w:t>
            </w:r>
          </w:p>
        </w:tc>
      </w:tr>
      <w:tr w14:paraId="4958C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pct"/>
            <w:vAlign w:val="center"/>
          </w:tcPr>
          <w:p w14:paraId="2818A0B5">
            <w:pPr>
              <w:topLinePunct/>
              <w:spacing w:line="280" w:lineRule="exact"/>
              <w:ind w:firstLine="0" w:firstLineChars="0"/>
              <w:jc w:val="center"/>
              <w:rPr>
                <w:rFonts w:eastAsia="宋体" w:cs="Times New Roman"/>
                <w:kern w:val="0"/>
                <w:sz w:val="20"/>
                <w:szCs w:val="20"/>
              </w:rPr>
            </w:pPr>
            <w:r>
              <w:rPr>
                <w:rFonts w:hint="eastAsia" w:eastAsia="宋体" w:cs="Times New Roman"/>
                <w:kern w:val="0"/>
                <w:sz w:val="20"/>
                <w:szCs w:val="20"/>
              </w:rPr>
              <w:t>林业执法刀砍盗伐司法鉴定费</w:t>
            </w:r>
          </w:p>
        </w:tc>
        <w:tc>
          <w:tcPr>
            <w:tcW w:w="2610" w:type="pct"/>
            <w:vAlign w:val="center"/>
          </w:tcPr>
          <w:p w14:paraId="53DA15C5">
            <w:pPr>
              <w:topLinePunct/>
              <w:spacing w:line="280" w:lineRule="exact"/>
              <w:ind w:firstLine="0" w:firstLineChars="0"/>
              <w:jc w:val="center"/>
              <w:rPr>
                <w:rFonts w:eastAsia="宋体" w:cs="Times New Roman"/>
                <w:kern w:val="0"/>
                <w:sz w:val="20"/>
                <w:szCs w:val="20"/>
              </w:rPr>
            </w:pPr>
            <w:r>
              <w:rPr>
                <w:rFonts w:hint="eastAsia" w:eastAsia="宋体" w:cs="Times New Roman"/>
                <w:kern w:val="0"/>
                <w:sz w:val="20"/>
                <w:szCs w:val="20"/>
              </w:rPr>
              <w:t>鉴定费</w:t>
            </w:r>
          </w:p>
        </w:tc>
        <w:tc>
          <w:tcPr>
            <w:tcW w:w="915" w:type="pct"/>
            <w:vAlign w:val="center"/>
          </w:tcPr>
          <w:p w14:paraId="7082147C">
            <w:pPr>
              <w:topLinePunct/>
              <w:spacing w:line="280" w:lineRule="exact"/>
              <w:ind w:firstLine="0" w:firstLineChars="0"/>
              <w:jc w:val="center"/>
              <w:rPr>
                <w:rFonts w:eastAsia="宋体" w:cs="Times New Roman"/>
                <w:kern w:val="0"/>
                <w:sz w:val="20"/>
                <w:szCs w:val="20"/>
              </w:rPr>
            </w:pPr>
            <w:r>
              <w:rPr>
                <w:rFonts w:eastAsia="宋体" w:cs="Times New Roman"/>
                <w:kern w:val="0"/>
                <w:sz w:val="20"/>
                <w:szCs w:val="20"/>
              </w:rPr>
              <w:t>0.</w:t>
            </w:r>
            <w:r>
              <w:rPr>
                <w:rFonts w:hint="eastAsia" w:eastAsia="宋体" w:cs="Times New Roman"/>
                <w:kern w:val="0"/>
                <w:sz w:val="20"/>
                <w:szCs w:val="20"/>
              </w:rPr>
              <w:t>6</w:t>
            </w:r>
          </w:p>
        </w:tc>
      </w:tr>
      <w:tr w14:paraId="168EC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85" w:type="pct"/>
            <w:gridSpan w:val="2"/>
            <w:vAlign w:val="center"/>
          </w:tcPr>
          <w:p w14:paraId="6D828160">
            <w:pPr>
              <w:topLinePunct/>
              <w:spacing w:line="280" w:lineRule="exact"/>
              <w:ind w:firstLine="0" w:firstLineChars="0"/>
              <w:jc w:val="center"/>
              <w:rPr>
                <w:rFonts w:eastAsia="宋体" w:cs="Times New Roman"/>
                <w:b/>
                <w:bCs/>
                <w:kern w:val="0"/>
                <w:sz w:val="20"/>
                <w:szCs w:val="20"/>
              </w:rPr>
            </w:pPr>
            <w:r>
              <w:rPr>
                <w:rFonts w:hint="eastAsia" w:eastAsia="宋体" w:cs="Times New Roman"/>
                <w:b/>
                <w:bCs/>
                <w:kern w:val="0"/>
                <w:sz w:val="20"/>
                <w:szCs w:val="20"/>
              </w:rPr>
              <w:t>合计</w:t>
            </w:r>
          </w:p>
        </w:tc>
        <w:tc>
          <w:tcPr>
            <w:tcW w:w="915" w:type="pct"/>
            <w:vAlign w:val="center"/>
          </w:tcPr>
          <w:p w14:paraId="42AA33B7">
            <w:pPr>
              <w:topLinePunct/>
              <w:spacing w:line="280" w:lineRule="exact"/>
              <w:ind w:firstLine="0" w:firstLineChars="0"/>
              <w:jc w:val="center"/>
              <w:rPr>
                <w:rFonts w:eastAsia="宋体" w:cs="Times New Roman"/>
                <w:b/>
                <w:bCs/>
                <w:kern w:val="0"/>
                <w:sz w:val="20"/>
                <w:szCs w:val="20"/>
              </w:rPr>
            </w:pPr>
            <w:r>
              <w:rPr>
                <w:rFonts w:hint="eastAsia" w:eastAsia="宋体" w:cs="Times New Roman"/>
                <w:b/>
                <w:bCs/>
                <w:kern w:val="0"/>
                <w:sz w:val="20"/>
                <w:szCs w:val="20"/>
              </w:rPr>
              <w:t>7</w:t>
            </w:r>
            <w:r>
              <w:rPr>
                <w:rFonts w:eastAsia="宋体" w:cs="Times New Roman"/>
                <w:b/>
                <w:bCs/>
                <w:kern w:val="0"/>
                <w:sz w:val="20"/>
                <w:szCs w:val="20"/>
              </w:rPr>
              <w:t>.00</w:t>
            </w:r>
          </w:p>
        </w:tc>
      </w:tr>
    </w:tbl>
    <w:p w14:paraId="7E5F205B">
      <w:pPr>
        <w:ind w:firstLine="640"/>
      </w:pPr>
      <w:bookmarkStart w:id="8" w:name="_Toc76627646"/>
      <w:bookmarkStart w:id="9" w:name="_Toc75524254"/>
      <w:bookmarkStart w:id="10" w:name="_Toc75887494"/>
      <w:bookmarkStart w:id="11" w:name="_Toc75880700"/>
      <w:bookmarkStart w:id="12" w:name="_Toc75509292"/>
    </w:p>
    <w:p w14:paraId="22693E51">
      <w:pPr>
        <w:pStyle w:val="2"/>
        <w:ind w:firstLine="640"/>
        <w:jc w:val="both"/>
        <w:rPr>
          <w:rFonts w:ascii="黑体" w:hAnsi="黑体" w:cs="Times New Roman"/>
          <w:szCs w:val="28"/>
        </w:rPr>
      </w:pPr>
      <w:r>
        <w:rPr>
          <w:rFonts w:hint="eastAsia" w:ascii="黑体" w:hAnsi="黑体" w:cs="Times New Roman"/>
          <w:szCs w:val="28"/>
        </w:rPr>
        <w:t>二、评价工作基本情况</w:t>
      </w:r>
      <w:bookmarkEnd w:id="8"/>
      <w:bookmarkEnd w:id="9"/>
    </w:p>
    <w:p w14:paraId="3A887B9F">
      <w:pPr>
        <w:keepNext/>
        <w:keepLines/>
        <w:spacing w:line="600" w:lineRule="exact"/>
        <w:ind w:firstLine="643"/>
        <w:outlineLvl w:val="1"/>
        <w:rPr>
          <w:rFonts w:eastAsia="楷体_GB2312" w:cstheme="majorBidi"/>
          <w:b/>
          <w:bCs/>
          <w:szCs w:val="32"/>
        </w:rPr>
      </w:pPr>
      <w:bookmarkStart w:id="13" w:name="_Toc76627647"/>
      <w:bookmarkStart w:id="14" w:name="_Toc75524255"/>
      <w:r>
        <w:rPr>
          <w:rFonts w:eastAsia="楷体_GB2312" w:cstheme="majorBidi"/>
          <w:b/>
          <w:bCs/>
          <w:szCs w:val="32"/>
        </w:rPr>
        <w:t>（</w:t>
      </w:r>
      <w:r>
        <w:rPr>
          <w:rFonts w:hint="eastAsia" w:eastAsia="楷体_GB2312" w:cstheme="majorBidi"/>
          <w:b/>
          <w:bCs/>
          <w:szCs w:val="32"/>
        </w:rPr>
        <w:t>一</w:t>
      </w:r>
      <w:r>
        <w:rPr>
          <w:rFonts w:eastAsia="楷体_GB2312" w:cstheme="majorBidi"/>
          <w:b/>
          <w:bCs/>
          <w:szCs w:val="32"/>
        </w:rPr>
        <w:t>）</w:t>
      </w:r>
      <w:r>
        <w:rPr>
          <w:rFonts w:hint="eastAsia" w:eastAsia="楷体_GB2312" w:cstheme="majorBidi"/>
          <w:b/>
          <w:bCs/>
          <w:szCs w:val="32"/>
        </w:rPr>
        <w:t>评价方法</w:t>
      </w:r>
      <w:bookmarkEnd w:id="13"/>
      <w:bookmarkEnd w:id="14"/>
    </w:p>
    <w:p w14:paraId="20FB6692">
      <w:pPr>
        <w:ind w:firstLine="640"/>
      </w:pPr>
      <w:r>
        <w:rPr>
          <w:rFonts w:hint="eastAsia"/>
        </w:rPr>
        <w:t>本次执法经费项目支出绩效评价主要采用了案卷研究法、现场核查法和深度访谈法进行综合评价。</w:t>
      </w:r>
    </w:p>
    <w:p w14:paraId="679AA06A">
      <w:pPr>
        <w:keepNext/>
        <w:keepLines/>
        <w:ind w:firstLine="643"/>
        <w:outlineLvl w:val="2"/>
        <w:rPr>
          <w:rFonts w:cs="Times New Roman"/>
          <w:b/>
          <w:bCs/>
          <w:kern w:val="0"/>
          <w:szCs w:val="32"/>
        </w:rPr>
      </w:pPr>
      <w:bookmarkStart w:id="15" w:name="_Toc76627648"/>
      <w:r>
        <w:rPr>
          <w:rFonts w:hint="eastAsia" w:cs="Times New Roman"/>
          <w:b/>
          <w:bCs/>
          <w:kern w:val="0"/>
          <w:szCs w:val="32"/>
        </w:rPr>
        <w:t>1.查资料—案卷研究法</w:t>
      </w:r>
      <w:bookmarkEnd w:id="15"/>
    </w:p>
    <w:p w14:paraId="3208F73F">
      <w:pPr>
        <w:ind w:firstLine="640"/>
        <w:jc w:val="left"/>
      </w:pPr>
      <w:r>
        <w:rPr>
          <w:rFonts w:hint="eastAsia"/>
        </w:rPr>
        <w:t>通过文献和政策梳理，深入研究了</w:t>
      </w:r>
      <w:r>
        <w:rPr>
          <w:rFonts w:ascii="Calibri" w:hAnsi="Calibri" w:cs="Times New Roman"/>
          <w:szCs w:val="28"/>
        </w:rPr>
        <w:t>《中华人民共和国行政处罚法》、《国土资源违法行为查处工作规程》</w:t>
      </w:r>
      <w:r>
        <w:rPr>
          <w:rFonts w:hint="eastAsia"/>
        </w:rPr>
        <w:t>等文件，全方位了解执法工作经费特性和使用规范等，梳理项目涉及部门及职能职责，并对工作经费管理等做出判断。</w:t>
      </w:r>
    </w:p>
    <w:p w14:paraId="1D020594">
      <w:pPr>
        <w:keepNext/>
        <w:keepLines/>
        <w:ind w:firstLine="643"/>
        <w:outlineLvl w:val="2"/>
        <w:rPr>
          <w:rFonts w:cs="Times New Roman"/>
          <w:b/>
          <w:bCs/>
          <w:kern w:val="0"/>
          <w:szCs w:val="32"/>
        </w:rPr>
      </w:pPr>
      <w:bookmarkStart w:id="16" w:name="_Toc76627649"/>
      <w:r>
        <w:rPr>
          <w:rFonts w:hint="eastAsia" w:cs="Times New Roman"/>
          <w:b/>
          <w:bCs/>
          <w:kern w:val="0"/>
          <w:szCs w:val="32"/>
        </w:rPr>
        <w:t>2.访对象—深度访谈</w:t>
      </w:r>
      <w:bookmarkEnd w:id="16"/>
    </w:p>
    <w:p w14:paraId="719CC280">
      <w:pPr>
        <w:ind w:firstLine="640"/>
      </w:pPr>
      <w:r>
        <w:rPr>
          <w:rFonts w:hint="eastAsia"/>
        </w:rPr>
        <w:t>访对象指走访项目主管部门（单位），听取执法工作经费项目资金使用情况和资金拨付进度等项目管理情况，主要对绵竹市自然资源和规划局1名分管领导、</w:t>
      </w:r>
      <w:r>
        <w:t>2</w:t>
      </w:r>
      <w:r>
        <w:rPr>
          <w:rFonts w:hint="eastAsia"/>
        </w:rPr>
        <w:t>名财务负责人和3名业务负责人等进行访谈，了解执法经费资金使用和管理规范，并探寻执法经费使用过程中的困难和挑战，为提高养执法经费提供经验借鉴。在本绩效评价中，将在现场核查时使用一对一深访的形式，访谈内容包括但不限于：</w:t>
      </w:r>
    </w:p>
    <w:p w14:paraId="25DE8A22">
      <w:pPr>
        <w:ind w:firstLine="640"/>
      </w:pPr>
      <w:r>
        <w:rPr>
          <w:rFonts w:hint="eastAsia"/>
        </w:rPr>
        <w:t>（1）执法经费项目管理制度完善性，如执法经费项目立项依据、资金管理办法、项目融资规定、风险评估工作实施方案等；</w:t>
      </w:r>
    </w:p>
    <w:p w14:paraId="656607E6">
      <w:pPr>
        <w:ind w:firstLine="640"/>
      </w:pPr>
      <w:r>
        <w:rPr>
          <w:rFonts w:hint="eastAsia"/>
        </w:rPr>
        <w:t>（</w:t>
      </w:r>
      <w:r>
        <w:t>2</w:t>
      </w:r>
      <w:r>
        <w:rPr>
          <w:rFonts w:hint="eastAsia"/>
        </w:rPr>
        <w:t>）执法经费的资金使用规范性和效率性，如执法经费资金支出情况和项目收益情况；</w:t>
      </w:r>
    </w:p>
    <w:p w14:paraId="164A02AF">
      <w:pPr>
        <w:ind w:firstLine="640"/>
      </w:pPr>
      <w:r>
        <w:rPr>
          <w:rFonts w:hint="eastAsia"/>
        </w:rPr>
        <w:t>（</w:t>
      </w:r>
      <w:r>
        <w:t>3</w:t>
      </w:r>
      <w:r>
        <w:rPr>
          <w:rFonts w:hint="eastAsia"/>
        </w:rPr>
        <w:t>）现阶段执法经费的项目经验、不足以及相关建议等。</w:t>
      </w:r>
    </w:p>
    <w:p w14:paraId="3055BE47">
      <w:pPr>
        <w:keepNext/>
        <w:keepLines/>
        <w:ind w:firstLine="643"/>
        <w:outlineLvl w:val="2"/>
        <w:rPr>
          <w:rFonts w:cs="Times New Roman"/>
          <w:b/>
          <w:bCs/>
          <w:kern w:val="0"/>
          <w:szCs w:val="32"/>
        </w:rPr>
      </w:pPr>
      <w:bookmarkStart w:id="17" w:name="_Toc76627650"/>
      <w:r>
        <w:rPr>
          <w:rFonts w:hint="eastAsia" w:cs="Times New Roman"/>
          <w:b/>
          <w:bCs/>
          <w:kern w:val="0"/>
          <w:szCs w:val="32"/>
        </w:rPr>
        <w:t>3.核落实—书面评审+现场核查</w:t>
      </w:r>
      <w:bookmarkEnd w:id="17"/>
    </w:p>
    <w:p w14:paraId="6471874D">
      <w:pPr>
        <w:ind w:firstLine="640"/>
      </w:pPr>
      <w:r>
        <w:rPr>
          <w:rFonts w:hint="eastAsia"/>
        </w:rPr>
        <w:t>一是书面评审。书面评审工作将通过对项目总体情况、绩效情况等内容进行评审，并根据书面评审和现场评价结果，提出存在问题及相关建议，及时反馈至公司，进一步补充、调整材料，并根据评价指标进行初步打分。主要包括材料初审、模块审核、指标评分、汇总核查、总结反馈、最终归档等六个步骤。</w:t>
      </w:r>
    </w:p>
    <w:p w14:paraId="7260892F">
      <w:pPr>
        <w:ind w:firstLine="640"/>
      </w:pPr>
      <w:r>
        <w:rPr>
          <w:rFonts w:hint="eastAsia"/>
        </w:rPr>
        <w:t>二是现场核查。现场核查主要包括对财务原件审核、资料核查、项目实施点实地勘察工作。</w:t>
      </w:r>
    </w:p>
    <w:p w14:paraId="7C7BC5B5">
      <w:pPr>
        <w:ind w:firstLine="640"/>
      </w:pPr>
      <w:r>
        <w:rPr>
          <w:rFonts w:hint="eastAsia"/>
        </w:rPr>
        <w:t>执法经费项目现场核查内容包括且不限于：</w:t>
      </w:r>
    </w:p>
    <w:p w14:paraId="335CB7DA">
      <w:pPr>
        <w:ind w:firstLine="640"/>
      </w:pPr>
      <w:r>
        <w:rPr>
          <w:rFonts w:hint="eastAsia"/>
        </w:rPr>
        <w:t>（1）执法经费项目资金的收支情况和凭证；</w:t>
      </w:r>
    </w:p>
    <w:p w14:paraId="0705ECDB">
      <w:pPr>
        <w:ind w:firstLine="640"/>
      </w:pPr>
      <w:r>
        <w:rPr>
          <w:rFonts w:hint="eastAsia"/>
        </w:rPr>
        <w:t>（2）执法经费项目资金管理机制建立情况；</w:t>
      </w:r>
    </w:p>
    <w:p w14:paraId="095C4C0D">
      <w:pPr>
        <w:ind w:firstLine="640"/>
      </w:pPr>
      <w:r>
        <w:rPr>
          <w:rFonts w:hint="eastAsia"/>
        </w:rPr>
        <w:t>（3）项目预期补助情况、结余资金收益情况；</w:t>
      </w:r>
    </w:p>
    <w:p w14:paraId="34DE54EE">
      <w:pPr>
        <w:ind w:firstLine="640"/>
      </w:pPr>
      <w:r>
        <w:rPr>
          <w:rFonts w:hint="eastAsia"/>
        </w:rPr>
        <w:t>（</w:t>
      </w:r>
      <w:r>
        <w:t>4</w:t>
      </w:r>
      <w:r>
        <w:rPr>
          <w:rFonts w:hint="eastAsia"/>
        </w:rPr>
        <w:t>）项目完成的产出和绩效。</w:t>
      </w:r>
    </w:p>
    <w:p w14:paraId="506D0FDE">
      <w:pPr>
        <w:keepNext/>
        <w:keepLines/>
        <w:spacing w:line="600" w:lineRule="exact"/>
        <w:ind w:firstLine="643"/>
        <w:outlineLvl w:val="1"/>
        <w:rPr>
          <w:rFonts w:eastAsia="楷体_GB2312" w:cstheme="majorBidi"/>
          <w:b/>
          <w:bCs/>
          <w:szCs w:val="32"/>
        </w:rPr>
      </w:pPr>
      <w:bookmarkStart w:id="18" w:name="_Toc76627651"/>
      <w:bookmarkStart w:id="19" w:name="_Toc75524256"/>
      <w:r>
        <w:rPr>
          <w:rFonts w:eastAsia="楷体_GB2312" w:cstheme="majorBidi"/>
          <w:b/>
          <w:bCs/>
          <w:szCs w:val="32"/>
        </w:rPr>
        <w:t>（</w:t>
      </w:r>
      <w:r>
        <w:rPr>
          <w:rFonts w:hint="eastAsia" w:eastAsia="楷体_GB2312" w:cstheme="majorBidi"/>
          <w:b/>
          <w:bCs/>
          <w:szCs w:val="32"/>
        </w:rPr>
        <w:t>二</w:t>
      </w:r>
      <w:r>
        <w:rPr>
          <w:rFonts w:eastAsia="楷体_GB2312" w:cstheme="majorBidi"/>
          <w:b/>
          <w:bCs/>
          <w:szCs w:val="32"/>
        </w:rPr>
        <w:t>）</w:t>
      </w:r>
      <w:r>
        <w:rPr>
          <w:rFonts w:hint="eastAsia" w:eastAsia="楷体_GB2312" w:cstheme="majorBidi"/>
          <w:b/>
          <w:bCs/>
          <w:szCs w:val="32"/>
        </w:rPr>
        <w:t>评价指标</w:t>
      </w:r>
      <w:bookmarkEnd w:id="18"/>
      <w:bookmarkEnd w:id="19"/>
    </w:p>
    <w:p w14:paraId="03069696">
      <w:pPr>
        <w:ind w:firstLine="640"/>
      </w:pPr>
      <w:r>
        <w:rPr>
          <w:rFonts w:hint="eastAsia"/>
        </w:rPr>
        <w:t>在评价指标的设计中，以目标为导向，共性指标和个性指标性相结合，确定绩效评价的指标体系，对指标进行赋权，明确指标的解释和评价标准，选取合理的评价对象，确定出评价的证据、证据来源和证据的收集方法。本次评价指标体系设计，本着广泛覆盖、重点突出的原则，从项目决策、项目实施、项目绩效3方面进行评价，共构建</w:t>
      </w:r>
      <w:r>
        <w:t>3</w:t>
      </w:r>
      <w:r>
        <w:rPr>
          <w:rFonts w:hint="eastAsia"/>
        </w:rPr>
        <w:t>个一级指标，</w:t>
      </w:r>
      <w:r>
        <w:t>9</w:t>
      </w:r>
      <w:r>
        <w:rPr>
          <w:rFonts w:hint="eastAsia"/>
        </w:rPr>
        <w:t>个二级指标，</w:t>
      </w:r>
      <w:r>
        <w:t>11</w:t>
      </w:r>
      <w:r>
        <w:rPr>
          <w:rFonts w:hint="eastAsia"/>
        </w:rPr>
        <w:t>个三级个性指标。</w:t>
      </w:r>
      <w:bookmarkEnd w:id="10"/>
      <w:bookmarkEnd w:id="11"/>
    </w:p>
    <w:p w14:paraId="2ECBB14A">
      <w:pPr>
        <w:pStyle w:val="2"/>
        <w:ind w:firstLine="640"/>
        <w:jc w:val="both"/>
        <w:rPr>
          <w:rFonts w:ascii="黑体" w:hAnsi="黑体" w:cs="Times New Roman"/>
          <w:szCs w:val="28"/>
        </w:rPr>
      </w:pPr>
      <w:bookmarkStart w:id="20" w:name="_Toc76627652"/>
      <w:r>
        <w:rPr>
          <w:rFonts w:hint="eastAsia" w:ascii="黑体" w:hAnsi="黑体" w:cs="Times New Roman"/>
          <w:szCs w:val="28"/>
        </w:rPr>
        <w:t>三</w:t>
      </w:r>
      <w:r>
        <w:rPr>
          <w:rFonts w:ascii="黑体" w:hAnsi="黑体" w:cs="Times New Roman"/>
          <w:szCs w:val="28"/>
        </w:rPr>
        <w:t>、评价结论及绩效分析</w:t>
      </w:r>
      <w:bookmarkEnd w:id="12"/>
      <w:bookmarkEnd w:id="20"/>
    </w:p>
    <w:p w14:paraId="575D3196">
      <w:pPr>
        <w:pStyle w:val="3"/>
        <w:ind w:firstLine="643"/>
      </w:pPr>
      <w:bookmarkStart w:id="21" w:name="_Toc76627653"/>
      <w:bookmarkStart w:id="22" w:name="_Toc75509293"/>
      <w:r>
        <w:t>（一）评价结论</w:t>
      </w:r>
      <w:bookmarkEnd w:id="21"/>
      <w:bookmarkEnd w:id="22"/>
    </w:p>
    <w:p w14:paraId="2D441FD6">
      <w:pPr>
        <w:ind w:firstLine="643"/>
        <w:rPr>
          <w:b/>
          <w:bCs/>
        </w:rPr>
      </w:pPr>
      <w:r>
        <w:rPr>
          <w:rFonts w:hint="eastAsia"/>
          <w:b/>
          <w:bCs/>
        </w:rPr>
        <w:t>绵竹市</w:t>
      </w:r>
      <w:r>
        <w:rPr>
          <w:b/>
          <w:bCs/>
        </w:rPr>
        <w:t>2020</w:t>
      </w:r>
      <w:r>
        <w:rPr>
          <w:rFonts w:hint="eastAsia"/>
          <w:b/>
          <w:bCs/>
        </w:rPr>
        <w:t>年执法经费项目支出绩效评价得分</w:t>
      </w:r>
      <w:r>
        <w:rPr>
          <w:b/>
          <w:bCs/>
        </w:rPr>
        <w:t>95.20</w:t>
      </w:r>
      <w:r>
        <w:rPr>
          <w:rFonts w:hint="eastAsia"/>
          <w:b/>
          <w:bCs/>
        </w:rPr>
        <w:t>分，等级判定为：优</w:t>
      </w:r>
      <w:r>
        <w:rPr>
          <w:rStyle w:val="20"/>
          <w:b/>
          <w:bCs/>
        </w:rPr>
        <w:footnoteReference w:id="0"/>
      </w:r>
      <w:r>
        <w:rPr>
          <w:rFonts w:hint="eastAsia"/>
          <w:b/>
          <w:bCs/>
        </w:rPr>
        <w:t>。</w:t>
      </w:r>
    </w:p>
    <w:p w14:paraId="29860E24">
      <w:pPr>
        <w:ind w:firstLine="640"/>
      </w:pPr>
      <w:r>
        <w:rPr>
          <w:rFonts w:hint="eastAsia"/>
        </w:rPr>
        <w:t>总体而言，项目决策与项目绩效模块得分率为1</w:t>
      </w:r>
      <w:r>
        <w:t>00%</w:t>
      </w:r>
      <w:r>
        <w:rPr>
          <w:rFonts w:hint="eastAsia"/>
        </w:rPr>
        <w:t>，决策科学合理，符合项目特质，经费产出成果并能运用到相关执法工作中；但采购过程规范性不足，还有优化空间。</w:t>
      </w:r>
    </w:p>
    <w:p w14:paraId="16D933CD">
      <w:pPr>
        <w:ind w:firstLine="640"/>
      </w:pPr>
      <w:r>
        <w:rPr>
          <w:rFonts w:hint="eastAsia"/>
        </w:rPr>
        <w:t>本次评价综合运用案卷研究、深度访谈、书面评审、现场评价及问卷调查等方法进行多源数据采集，依据评价指标进行打分，一级指标得分情况如下: 项目决策</w:t>
      </w:r>
      <w:r>
        <w:t>24.00</w:t>
      </w:r>
      <w:r>
        <w:rPr>
          <w:rFonts w:hint="eastAsia"/>
        </w:rPr>
        <w:t>分，实际得分</w:t>
      </w:r>
      <w:r>
        <w:t>24.00</w:t>
      </w:r>
      <w:r>
        <w:rPr>
          <w:rFonts w:hint="eastAsia"/>
        </w:rPr>
        <w:t>分，得分率</w:t>
      </w:r>
      <w:r>
        <w:t>100.00</w:t>
      </w:r>
      <w:r>
        <w:rPr>
          <w:rFonts w:hint="eastAsia"/>
        </w:rPr>
        <w:t>%；项目实施</w:t>
      </w:r>
      <w:r>
        <w:t>36.00</w:t>
      </w:r>
      <w:r>
        <w:rPr>
          <w:rFonts w:hint="eastAsia"/>
        </w:rPr>
        <w:t>分，实际得分</w:t>
      </w:r>
      <w:r>
        <w:t>31.20</w:t>
      </w:r>
      <w:r>
        <w:rPr>
          <w:rFonts w:hint="eastAsia"/>
        </w:rPr>
        <w:t>分，得分率</w:t>
      </w:r>
      <w:r>
        <w:t>86.67</w:t>
      </w:r>
      <w:r>
        <w:rPr>
          <w:rFonts w:hint="eastAsia"/>
        </w:rPr>
        <w:t>%；项目产出与绩效</w:t>
      </w:r>
      <w:r>
        <w:t>40.00</w:t>
      </w:r>
      <w:r>
        <w:rPr>
          <w:rFonts w:hint="eastAsia"/>
        </w:rPr>
        <w:t>分，实际得分</w:t>
      </w:r>
      <w:r>
        <w:t>40.00</w:t>
      </w:r>
      <w:r>
        <w:rPr>
          <w:rFonts w:hint="eastAsia"/>
        </w:rPr>
        <w:t>分，得分率</w:t>
      </w:r>
      <w:r>
        <w:t>100.00</w:t>
      </w:r>
      <w:r>
        <w:rPr>
          <w:rFonts w:hint="eastAsia"/>
        </w:rPr>
        <w:t>%。</w:t>
      </w:r>
      <w:r>
        <w:rPr>
          <w:rFonts w:hint="eastAsia"/>
          <w:b/>
          <w:bCs/>
        </w:rPr>
        <w:t>整体指标得分详情如下：</w:t>
      </w:r>
    </w:p>
    <w:p w14:paraId="25A50635">
      <w:pPr>
        <w:ind w:firstLine="0" w:firstLineChars="0"/>
        <w:jc w:val="center"/>
        <w:rPr>
          <w:rFonts w:eastAsia="幼圆" w:cs="Times New Roman"/>
          <w:b/>
          <w:sz w:val="28"/>
          <w:szCs w:val="28"/>
        </w:rPr>
      </w:pPr>
      <w:r>
        <w:rPr>
          <w:rFonts w:eastAsia="幼圆" w:cs="Times New Roman"/>
          <w:b/>
          <w:sz w:val="28"/>
          <w:szCs w:val="28"/>
        </w:rPr>
        <w:t>附表 2020</w:t>
      </w:r>
      <w:r>
        <w:rPr>
          <w:rFonts w:hint="eastAsia" w:eastAsia="幼圆" w:cs="Times New Roman"/>
          <w:b/>
          <w:sz w:val="28"/>
          <w:szCs w:val="28"/>
        </w:rPr>
        <w:t>年绵竹市执法经费项目支出绩效评价</w:t>
      </w:r>
      <w:r>
        <w:rPr>
          <w:rFonts w:eastAsia="幼圆" w:cs="Times New Roman"/>
          <w:b/>
          <w:sz w:val="28"/>
          <w:szCs w:val="28"/>
        </w:rPr>
        <w:t>指标得分情况</w:t>
      </w:r>
      <w:r>
        <w:rPr>
          <w:rStyle w:val="20"/>
          <w:rFonts w:eastAsia="幼圆" w:cs="Times New Roman"/>
          <w:b/>
          <w:sz w:val="28"/>
          <w:szCs w:val="28"/>
        </w:rPr>
        <w:footnoteReference w:id="1"/>
      </w:r>
    </w:p>
    <w:tbl>
      <w:tblPr>
        <w:tblStyle w:val="15"/>
        <w:tblW w:w="5000" w:type="pct"/>
        <w:jc w:val="center"/>
        <w:tblLayout w:type="autofit"/>
        <w:tblCellMar>
          <w:top w:w="0" w:type="dxa"/>
          <w:left w:w="0" w:type="dxa"/>
          <w:bottom w:w="0" w:type="dxa"/>
          <w:right w:w="0" w:type="dxa"/>
        </w:tblCellMar>
      </w:tblPr>
      <w:tblGrid>
        <w:gridCol w:w="1132"/>
        <w:gridCol w:w="1281"/>
        <w:gridCol w:w="1850"/>
        <w:gridCol w:w="1139"/>
        <w:gridCol w:w="1289"/>
        <w:gridCol w:w="1635"/>
      </w:tblGrid>
      <w:tr w14:paraId="16ADBD0B">
        <w:tblPrEx>
          <w:tblCellMar>
            <w:top w:w="0" w:type="dxa"/>
            <w:left w:w="0" w:type="dxa"/>
            <w:bottom w:w="0" w:type="dxa"/>
            <w:right w:w="0" w:type="dxa"/>
          </w:tblCellMar>
        </w:tblPrEx>
        <w:trPr>
          <w:cantSplit/>
          <w:trHeight w:val="454" w:hRule="atLeast"/>
          <w:tblHeader/>
          <w:jc w:val="center"/>
        </w:trPr>
        <w:tc>
          <w:tcPr>
            <w:tcW w:w="680" w:type="pct"/>
            <w:tcBorders>
              <w:top w:val="single" w:color="000000" w:sz="4" w:space="0"/>
              <w:left w:val="single" w:color="000000" w:sz="4" w:space="0"/>
              <w:bottom w:val="single" w:color="000000" w:sz="4" w:space="0"/>
              <w:right w:val="nil"/>
            </w:tcBorders>
            <w:shd w:val="clear" w:color="auto" w:fill="00516B"/>
            <w:tcMar>
              <w:top w:w="15" w:type="dxa"/>
              <w:left w:w="15" w:type="dxa"/>
              <w:right w:w="15" w:type="dxa"/>
            </w:tcMar>
            <w:vAlign w:val="center"/>
          </w:tcPr>
          <w:p w14:paraId="46EBE4B6">
            <w:pPr>
              <w:spacing w:line="280" w:lineRule="exact"/>
              <w:ind w:firstLine="0" w:firstLineChars="0"/>
              <w:jc w:val="center"/>
              <w:rPr>
                <w:rFonts w:eastAsia="宋体" w:cs="Times New Roman"/>
                <w:b/>
                <w:color w:val="FFFFFF" w:themeColor="background1"/>
                <w:kern w:val="0"/>
                <w:sz w:val="20"/>
                <w:szCs w:val="20"/>
              </w:rPr>
            </w:pPr>
            <w:bookmarkStart w:id="23" w:name="_Toc75509294"/>
            <w:r>
              <w:rPr>
                <w:rFonts w:ascii="宋体" w:hAnsi="宋体" w:eastAsia="宋体" w:cs="Times New Roman"/>
                <w:b/>
                <w:color w:val="FFFFFF" w:themeColor="background1"/>
                <w:kern w:val="0"/>
                <w:sz w:val="20"/>
                <w:szCs w:val="20"/>
              </w:rPr>
              <w:t>一级指标</w:t>
            </w:r>
          </w:p>
        </w:tc>
        <w:tc>
          <w:tcPr>
            <w:tcW w:w="769" w:type="pct"/>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62B20291">
            <w:pPr>
              <w:spacing w:line="280" w:lineRule="exact"/>
              <w:ind w:firstLine="0" w:firstLineChars="0"/>
              <w:jc w:val="center"/>
              <w:rPr>
                <w:rFonts w:eastAsia="宋体" w:cs="Times New Roman"/>
                <w:b/>
                <w:color w:val="FFFFFF" w:themeColor="background1"/>
                <w:kern w:val="0"/>
                <w:sz w:val="20"/>
                <w:szCs w:val="20"/>
              </w:rPr>
            </w:pPr>
            <w:r>
              <w:rPr>
                <w:rFonts w:ascii="宋体" w:hAnsi="宋体" w:eastAsia="宋体" w:cs="Times New Roman"/>
                <w:b/>
                <w:color w:val="FFFFFF" w:themeColor="background1"/>
                <w:kern w:val="0"/>
                <w:sz w:val="20"/>
                <w:szCs w:val="20"/>
              </w:rPr>
              <w:t>二级指标</w:t>
            </w:r>
          </w:p>
        </w:tc>
        <w:tc>
          <w:tcPr>
            <w:tcW w:w="1111" w:type="pct"/>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62195675">
            <w:pPr>
              <w:spacing w:line="280" w:lineRule="exact"/>
              <w:ind w:firstLine="0" w:firstLineChars="0"/>
              <w:jc w:val="center"/>
              <w:rPr>
                <w:rFonts w:eastAsia="宋体" w:cs="Times New Roman"/>
                <w:b/>
                <w:color w:val="FFFFFF" w:themeColor="background1"/>
                <w:kern w:val="0"/>
                <w:sz w:val="20"/>
                <w:szCs w:val="20"/>
              </w:rPr>
            </w:pPr>
            <w:r>
              <w:rPr>
                <w:rFonts w:ascii="宋体" w:hAnsi="宋体" w:eastAsia="宋体" w:cs="Times New Roman"/>
                <w:b/>
                <w:color w:val="FFFFFF" w:themeColor="background1"/>
                <w:kern w:val="0"/>
                <w:sz w:val="20"/>
                <w:szCs w:val="20"/>
              </w:rPr>
              <w:t>三级指标</w:t>
            </w:r>
          </w:p>
        </w:tc>
        <w:tc>
          <w:tcPr>
            <w:tcW w:w="684" w:type="pct"/>
            <w:tcBorders>
              <w:top w:val="single" w:color="000000" w:sz="4" w:space="0"/>
              <w:left w:val="single" w:color="000000" w:sz="4" w:space="0"/>
              <w:bottom w:val="single" w:color="000000" w:sz="4" w:space="0"/>
              <w:right w:val="single" w:color="000000" w:sz="4" w:space="0"/>
            </w:tcBorders>
            <w:shd w:val="clear" w:color="auto" w:fill="00516B"/>
            <w:vAlign w:val="center"/>
          </w:tcPr>
          <w:p w14:paraId="0116A1EC">
            <w:pPr>
              <w:spacing w:line="280" w:lineRule="exact"/>
              <w:ind w:firstLine="0" w:firstLineChars="0"/>
              <w:jc w:val="center"/>
              <w:rPr>
                <w:rFonts w:eastAsia="宋体" w:cs="Times New Roman"/>
                <w:b/>
                <w:color w:val="FFFFFF" w:themeColor="background1"/>
                <w:kern w:val="0"/>
                <w:sz w:val="20"/>
                <w:szCs w:val="20"/>
              </w:rPr>
            </w:pPr>
            <w:r>
              <w:rPr>
                <w:rFonts w:ascii="宋体" w:hAnsi="宋体" w:eastAsia="宋体" w:cs="Times New Roman"/>
                <w:b/>
                <w:color w:val="FFFFFF" w:themeColor="background1"/>
                <w:kern w:val="0"/>
                <w:sz w:val="20"/>
                <w:szCs w:val="20"/>
              </w:rPr>
              <w:t>分值权重</w:t>
            </w:r>
          </w:p>
        </w:tc>
        <w:tc>
          <w:tcPr>
            <w:tcW w:w="774" w:type="pct"/>
            <w:tcBorders>
              <w:top w:val="single" w:color="000000" w:sz="4" w:space="0"/>
              <w:left w:val="single" w:color="000000" w:sz="4" w:space="0"/>
              <w:bottom w:val="single" w:color="000000" w:sz="4" w:space="0"/>
              <w:right w:val="single" w:color="000000" w:sz="4" w:space="0"/>
            </w:tcBorders>
            <w:shd w:val="clear" w:color="auto" w:fill="00516B"/>
            <w:vAlign w:val="center"/>
          </w:tcPr>
          <w:p w14:paraId="5C4E7EEC">
            <w:pPr>
              <w:spacing w:line="280" w:lineRule="exact"/>
              <w:ind w:firstLine="0" w:firstLineChars="0"/>
              <w:jc w:val="center"/>
              <w:rPr>
                <w:rFonts w:eastAsia="宋体" w:cs="Times New Roman"/>
                <w:b/>
                <w:color w:val="FFFFFF" w:themeColor="background1"/>
                <w:kern w:val="0"/>
                <w:sz w:val="20"/>
                <w:szCs w:val="20"/>
              </w:rPr>
            </w:pPr>
            <w:r>
              <w:rPr>
                <w:rFonts w:hint="eastAsia" w:ascii="宋体" w:hAnsi="宋体" w:eastAsia="宋体" w:cs="Times New Roman"/>
                <w:b/>
                <w:color w:val="FFFFFF" w:themeColor="background1"/>
                <w:kern w:val="0"/>
                <w:sz w:val="20"/>
                <w:szCs w:val="20"/>
              </w:rPr>
              <w:t>得分</w:t>
            </w:r>
          </w:p>
        </w:tc>
        <w:tc>
          <w:tcPr>
            <w:tcW w:w="982" w:type="pct"/>
            <w:tcBorders>
              <w:top w:val="single" w:color="000000" w:sz="4" w:space="0"/>
              <w:left w:val="single" w:color="000000" w:sz="4" w:space="0"/>
              <w:bottom w:val="single" w:color="000000" w:sz="4" w:space="0"/>
              <w:right w:val="single" w:color="000000" w:sz="4" w:space="0"/>
            </w:tcBorders>
            <w:shd w:val="clear" w:color="auto" w:fill="00516B"/>
            <w:vAlign w:val="center"/>
          </w:tcPr>
          <w:p w14:paraId="4A6819AC">
            <w:pPr>
              <w:spacing w:line="280" w:lineRule="exact"/>
              <w:ind w:firstLine="0" w:firstLineChars="0"/>
              <w:jc w:val="center"/>
              <w:rPr>
                <w:rFonts w:ascii="宋体" w:hAnsi="宋体" w:eastAsia="宋体" w:cs="Times New Roman"/>
                <w:b/>
                <w:color w:val="FFFFFF" w:themeColor="background1"/>
                <w:kern w:val="0"/>
                <w:sz w:val="20"/>
                <w:szCs w:val="20"/>
              </w:rPr>
            </w:pPr>
            <w:r>
              <w:rPr>
                <w:rFonts w:hint="eastAsia" w:ascii="宋体" w:hAnsi="宋体" w:eastAsia="宋体" w:cs="Times New Roman"/>
                <w:b/>
                <w:color w:val="FFFFFF" w:themeColor="background1"/>
                <w:kern w:val="0"/>
                <w:sz w:val="20"/>
                <w:szCs w:val="20"/>
              </w:rPr>
              <w:t>得分率</w:t>
            </w:r>
          </w:p>
        </w:tc>
      </w:tr>
      <w:tr w14:paraId="78F33D4A">
        <w:tblPrEx>
          <w:tblCellMar>
            <w:top w:w="0" w:type="dxa"/>
            <w:left w:w="0" w:type="dxa"/>
            <w:bottom w:w="0" w:type="dxa"/>
            <w:right w:w="0" w:type="dxa"/>
          </w:tblCellMar>
        </w:tblPrEx>
        <w:trPr>
          <w:cantSplit/>
          <w:trHeight w:val="454" w:hRule="atLeast"/>
          <w:jc w:val="center"/>
        </w:trPr>
        <w:tc>
          <w:tcPr>
            <w:tcW w:w="680" w:type="pct"/>
            <w:vMerge w:val="restart"/>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14:paraId="223A1581">
            <w:pPr>
              <w:widowControl/>
              <w:spacing w:line="280" w:lineRule="exact"/>
              <w:ind w:firstLine="0" w:firstLineChars="0"/>
              <w:jc w:val="center"/>
              <w:textAlignment w:val="center"/>
              <w:rPr>
                <w:rFonts w:eastAsia="宋体" w:cs="Times New Roman"/>
                <w:b/>
                <w:color w:val="000000"/>
                <w:kern w:val="0"/>
                <w:sz w:val="20"/>
                <w:szCs w:val="20"/>
              </w:rPr>
            </w:pPr>
            <w:r>
              <w:rPr>
                <w:rFonts w:eastAsia="宋体" w:cs="Times New Roman"/>
                <w:b/>
                <w:color w:val="000000"/>
                <w:kern w:val="0"/>
                <w:sz w:val="20"/>
                <w:szCs w:val="20"/>
              </w:rPr>
              <w:t>项目决策</w:t>
            </w:r>
          </w:p>
        </w:tc>
        <w:tc>
          <w:tcPr>
            <w:tcW w:w="769"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957CCC8">
            <w:pPr>
              <w:widowControl/>
              <w:spacing w:line="280" w:lineRule="exact"/>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项目依据</w:t>
            </w:r>
          </w:p>
        </w:tc>
        <w:tc>
          <w:tcPr>
            <w:tcW w:w="1111"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857E31C">
            <w:pPr>
              <w:widowControl/>
              <w:spacing w:line="280" w:lineRule="exact"/>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依据充分性</w:t>
            </w:r>
          </w:p>
        </w:tc>
        <w:tc>
          <w:tcPr>
            <w:tcW w:w="6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B06377">
            <w:pPr>
              <w:widowControl/>
              <w:spacing w:line="280" w:lineRule="exact"/>
              <w:ind w:firstLine="0" w:firstLineChars="0"/>
              <w:jc w:val="center"/>
              <w:textAlignment w:val="center"/>
              <w:rPr>
                <w:rFonts w:eastAsia="宋体" w:cs="Times New Roman"/>
                <w:color w:val="000000"/>
                <w:kern w:val="0"/>
                <w:sz w:val="20"/>
                <w:szCs w:val="20"/>
              </w:rPr>
            </w:pPr>
            <w:r>
              <w:rPr>
                <w:rFonts w:hint="eastAsia" w:eastAsia="宋体" w:cs="Times New Roman"/>
                <w:color w:val="000000"/>
                <w:kern w:val="0"/>
                <w:sz w:val="20"/>
                <w:szCs w:val="20"/>
              </w:rPr>
              <w:t>8</w:t>
            </w:r>
            <w:r>
              <w:rPr>
                <w:rFonts w:eastAsia="宋体" w:cs="Times New Roman"/>
                <w:color w:val="000000"/>
                <w:kern w:val="0"/>
                <w:sz w:val="20"/>
                <w:szCs w:val="20"/>
              </w:rPr>
              <w:t>.00</w:t>
            </w:r>
          </w:p>
        </w:tc>
        <w:tc>
          <w:tcPr>
            <w:tcW w:w="77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E4B235">
            <w:pPr>
              <w:widowControl/>
              <w:spacing w:line="280" w:lineRule="exact"/>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8.00</w:t>
            </w:r>
          </w:p>
        </w:tc>
        <w:tc>
          <w:tcPr>
            <w:tcW w:w="98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957D42">
            <w:pPr>
              <w:widowControl/>
              <w:spacing w:line="280" w:lineRule="exact"/>
              <w:ind w:firstLine="0" w:firstLineChars="0"/>
              <w:jc w:val="center"/>
              <w:textAlignment w:val="center"/>
              <w:rPr>
                <w:rFonts w:eastAsia="宋体" w:cs="Times New Roman"/>
                <w:color w:val="000000"/>
                <w:kern w:val="0"/>
                <w:sz w:val="20"/>
                <w:szCs w:val="20"/>
              </w:rPr>
            </w:pPr>
            <w:r>
              <w:rPr>
                <w:rFonts w:hint="eastAsia" w:eastAsia="宋体" w:cs="Times New Roman"/>
                <w:color w:val="000000"/>
                <w:kern w:val="0"/>
                <w:sz w:val="20"/>
                <w:szCs w:val="20"/>
              </w:rPr>
              <w:t>1</w:t>
            </w:r>
            <w:r>
              <w:rPr>
                <w:rFonts w:eastAsia="宋体" w:cs="Times New Roman"/>
                <w:color w:val="000000"/>
                <w:kern w:val="0"/>
                <w:sz w:val="20"/>
                <w:szCs w:val="20"/>
              </w:rPr>
              <w:t>00.00</w:t>
            </w:r>
            <w:r>
              <w:rPr>
                <w:rFonts w:hint="eastAsia" w:eastAsia="宋体" w:cs="Times New Roman"/>
                <w:color w:val="000000"/>
                <w:kern w:val="0"/>
                <w:sz w:val="20"/>
                <w:szCs w:val="20"/>
              </w:rPr>
              <w:t>%</w:t>
            </w:r>
          </w:p>
        </w:tc>
      </w:tr>
      <w:tr w14:paraId="3788064C">
        <w:tblPrEx>
          <w:tblCellMar>
            <w:top w:w="0" w:type="dxa"/>
            <w:left w:w="0" w:type="dxa"/>
            <w:bottom w:w="0" w:type="dxa"/>
            <w:right w:w="0" w:type="dxa"/>
          </w:tblCellMar>
        </w:tblPrEx>
        <w:trPr>
          <w:cantSplit/>
          <w:trHeight w:val="454" w:hRule="atLeast"/>
          <w:jc w:val="center"/>
        </w:trPr>
        <w:tc>
          <w:tcPr>
            <w:tcW w:w="680" w:type="pct"/>
            <w:vMerge w:val="continue"/>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14:paraId="26834ACD">
            <w:pPr>
              <w:spacing w:line="280" w:lineRule="exact"/>
              <w:ind w:firstLine="0" w:firstLineChars="0"/>
              <w:jc w:val="center"/>
              <w:rPr>
                <w:rFonts w:eastAsia="宋体" w:cs="Times New Roman"/>
                <w:b/>
                <w:color w:val="000000"/>
                <w:kern w:val="0"/>
                <w:sz w:val="20"/>
                <w:szCs w:val="20"/>
              </w:rPr>
            </w:pPr>
          </w:p>
        </w:tc>
        <w:tc>
          <w:tcPr>
            <w:tcW w:w="769"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5D96B53">
            <w:pPr>
              <w:widowControl/>
              <w:spacing w:line="280" w:lineRule="exact"/>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绩效目标</w:t>
            </w:r>
          </w:p>
        </w:tc>
        <w:tc>
          <w:tcPr>
            <w:tcW w:w="1111"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0F70241">
            <w:pPr>
              <w:widowControl/>
              <w:spacing w:line="280" w:lineRule="exact"/>
              <w:ind w:firstLine="0" w:firstLineChars="0"/>
              <w:jc w:val="center"/>
              <w:textAlignment w:val="center"/>
              <w:rPr>
                <w:rFonts w:eastAsia="宋体" w:cs="Times New Roman"/>
                <w:color w:val="000000"/>
                <w:kern w:val="0"/>
                <w:sz w:val="20"/>
                <w:szCs w:val="20"/>
              </w:rPr>
            </w:pPr>
            <w:r>
              <w:rPr>
                <w:rFonts w:hint="eastAsia" w:eastAsia="宋体" w:cs="Times New Roman"/>
                <w:color w:val="000000"/>
                <w:kern w:val="0"/>
                <w:sz w:val="20"/>
                <w:szCs w:val="20"/>
              </w:rPr>
              <w:t>绩效目标</w:t>
            </w:r>
            <w:r>
              <w:rPr>
                <w:rFonts w:eastAsia="宋体" w:cs="Times New Roman"/>
                <w:color w:val="000000"/>
                <w:kern w:val="0"/>
                <w:sz w:val="20"/>
                <w:szCs w:val="20"/>
              </w:rPr>
              <w:t>明确性</w:t>
            </w:r>
          </w:p>
        </w:tc>
        <w:tc>
          <w:tcPr>
            <w:tcW w:w="6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1E4CCF">
            <w:pPr>
              <w:widowControl/>
              <w:spacing w:line="280" w:lineRule="exact"/>
              <w:ind w:firstLine="0" w:firstLineChars="0"/>
              <w:jc w:val="center"/>
              <w:textAlignment w:val="center"/>
              <w:rPr>
                <w:rFonts w:eastAsia="宋体" w:cs="Times New Roman"/>
                <w:color w:val="000000"/>
                <w:kern w:val="0"/>
                <w:sz w:val="20"/>
                <w:szCs w:val="20"/>
              </w:rPr>
            </w:pPr>
            <w:r>
              <w:rPr>
                <w:rFonts w:hint="eastAsia" w:eastAsia="宋体" w:cs="Times New Roman"/>
                <w:color w:val="000000"/>
                <w:kern w:val="0"/>
                <w:sz w:val="20"/>
                <w:szCs w:val="20"/>
              </w:rPr>
              <w:t>8</w:t>
            </w:r>
            <w:r>
              <w:rPr>
                <w:rFonts w:eastAsia="宋体" w:cs="Times New Roman"/>
                <w:color w:val="000000"/>
                <w:kern w:val="0"/>
                <w:sz w:val="20"/>
                <w:szCs w:val="20"/>
              </w:rPr>
              <w:t>.00</w:t>
            </w:r>
          </w:p>
        </w:tc>
        <w:tc>
          <w:tcPr>
            <w:tcW w:w="77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7568D5">
            <w:pPr>
              <w:widowControl/>
              <w:spacing w:line="280" w:lineRule="exact"/>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8.00</w:t>
            </w:r>
          </w:p>
        </w:tc>
        <w:tc>
          <w:tcPr>
            <w:tcW w:w="98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437FBC">
            <w:pPr>
              <w:widowControl/>
              <w:spacing w:line="280" w:lineRule="exact"/>
              <w:ind w:firstLine="0" w:firstLineChars="0"/>
              <w:jc w:val="center"/>
              <w:textAlignment w:val="center"/>
              <w:rPr>
                <w:rFonts w:eastAsia="宋体" w:cs="Times New Roman"/>
                <w:color w:val="000000"/>
                <w:kern w:val="0"/>
                <w:sz w:val="20"/>
                <w:szCs w:val="20"/>
              </w:rPr>
            </w:pPr>
            <w:r>
              <w:rPr>
                <w:rFonts w:hint="eastAsia" w:eastAsia="宋体" w:cs="Times New Roman"/>
                <w:color w:val="000000"/>
                <w:kern w:val="0"/>
                <w:sz w:val="20"/>
                <w:szCs w:val="20"/>
              </w:rPr>
              <w:t>1</w:t>
            </w:r>
            <w:r>
              <w:rPr>
                <w:rFonts w:eastAsia="宋体" w:cs="Times New Roman"/>
                <w:color w:val="000000"/>
                <w:kern w:val="0"/>
                <w:sz w:val="20"/>
                <w:szCs w:val="20"/>
              </w:rPr>
              <w:t>00.00</w:t>
            </w:r>
            <w:r>
              <w:rPr>
                <w:rFonts w:hint="eastAsia" w:eastAsia="宋体" w:cs="Times New Roman"/>
                <w:color w:val="000000"/>
                <w:kern w:val="0"/>
                <w:sz w:val="20"/>
                <w:szCs w:val="20"/>
              </w:rPr>
              <w:t>%</w:t>
            </w:r>
          </w:p>
        </w:tc>
      </w:tr>
      <w:tr w14:paraId="41D44109">
        <w:tblPrEx>
          <w:tblCellMar>
            <w:top w:w="0" w:type="dxa"/>
            <w:left w:w="0" w:type="dxa"/>
            <w:bottom w:w="0" w:type="dxa"/>
            <w:right w:w="0" w:type="dxa"/>
          </w:tblCellMar>
        </w:tblPrEx>
        <w:trPr>
          <w:cantSplit/>
          <w:trHeight w:val="454" w:hRule="atLeast"/>
          <w:jc w:val="center"/>
        </w:trPr>
        <w:tc>
          <w:tcPr>
            <w:tcW w:w="680" w:type="pct"/>
            <w:vMerge w:val="continue"/>
            <w:tcBorders>
              <w:top w:val="single" w:color="000000" w:sz="4" w:space="0"/>
              <w:left w:val="single" w:color="000000" w:sz="4" w:space="0"/>
              <w:bottom w:val="single" w:color="auto" w:sz="4" w:space="0"/>
              <w:right w:val="nil"/>
            </w:tcBorders>
            <w:shd w:val="clear" w:color="auto" w:fill="FFFFFF"/>
            <w:tcMar>
              <w:top w:w="15" w:type="dxa"/>
              <w:left w:w="15" w:type="dxa"/>
              <w:right w:w="15" w:type="dxa"/>
            </w:tcMar>
            <w:vAlign w:val="center"/>
          </w:tcPr>
          <w:p w14:paraId="78665185">
            <w:pPr>
              <w:spacing w:line="280" w:lineRule="exact"/>
              <w:ind w:firstLine="0" w:firstLineChars="0"/>
              <w:jc w:val="center"/>
              <w:rPr>
                <w:rFonts w:eastAsia="宋体" w:cs="Times New Roman"/>
                <w:b/>
                <w:color w:val="000000"/>
                <w:kern w:val="0"/>
                <w:sz w:val="20"/>
                <w:szCs w:val="20"/>
              </w:rPr>
            </w:pPr>
          </w:p>
        </w:tc>
        <w:tc>
          <w:tcPr>
            <w:tcW w:w="769" w:type="pct"/>
            <w:vMerge w:val="continue"/>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08525933">
            <w:pPr>
              <w:spacing w:line="280" w:lineRule="exact"/>
              <w:ind w:firstLine="0" w:firstLineChars="0"/>
              <w:jc w:val="center"/>
              <w:rPr>
                <w:rFonts w:eastAsia="宋体" w:cs="Times New Roman"/>
                <w:color w:val="000000"/>
                <w:kern w:val="0"/>
                <w:sz w:val="20"/>
                <w:szCs w:val="20"/>
              </w:rPr>
            </w:pPr>
          </w:p>
        </w:tc>
        <w:tc>
          <w:tcPr>
            <w:tcW w:w="1111"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5A34B2FF">
            <w:pPr>
              <w:widowControl/>
              <w:spacing w:line="280" w:lineRule="exact"/>
              <w:ind w:firstLine="0" w:firstLineChars="0"/>
              <w:jc w:val="center"/>
              <w:textAlignment w:val="center"/>
              <w:rPr>
                <w:rFonts w:eastAsia="宋体" w:cs="Times New Roman"/>
                <w:color w:val="000000"/>
                <w:kern w:val="0"/>
                <w:sz w:val="20"/>
                <w:szCs w:val="20"/>
              </w:rPr>
            </w:pPr>
            <w:r>
              <w:rPr>
                <w:rFonts w:hint="eastAsia" w:eastAsia="宋体" w:cs="Times New Roman"/>
                <w:color w:val="000000"/>
                <w:kern w:val="0"/>
                <w:sz w:val="20"/>
                <w:szCs w:val="20"/>
              </w:rPr>
              <w:t>绩效目标</w:t>
            </w:r>
            <w:r>
              <w:rPr>
                <w:rFonts w:eastAsia="宋体" w:cs="Times New Roman"/>
                <w:color w:val="000000"/>
                <w:kern w:val="0"/>
                <w:sz w:val="20"/>
                <w:szCs w:val="20"/>
              </w:rPr>
              <w:t>合理性</w:t>
            </w:r>
          </w:p>
        </w:tc>
        <w:tc>
          <w:tcPr>
            <w:tcW w:w="684" w:type="pct"/>
            <w:tcBorders>
              <w:top w:val="single" w:color="000000" w:sz="4" w:space="0"/>
              <w:left w:val="single" w:color="000000" w:sz="4" w:space="0"/>
              <w:bottom w:val="single" w:color="auto" w:sz="4" w:space="0"/>
              <w:right w:val="single" w:color="000000" w:sz="4" w:space="0"/>
            </w:tcBorders>
            <w:shd w:val="clear" w:color="auto" w:fill="FFFFFF"/>
            <w:vAlign w:val="center"/>
          </w:tcPr>
          <w:p w14:paraId="32C3C6B1">
            <w:pPr>
              <w:widowControl/>
              <w:spacing w:line="280" w:lineRule="exact"/>
              <w:ind w:firstLine="0" w:firstLineChars="0"/>
              <w:jc w:val="center"/>
              <w:textAlignment w:val="center"/>
              <w:rPr>
                <w:rFonts w:eastAsia="宋体" w:cs="Times New Roman"/>
                <w:color w:val="000000"/>
                <w:kern w:val="0"/>
                <w:sz w:val="20"/>
                <w:szCs w:val="20"/>
              </w:rPr>
            </w:pPr>
            <w:r>
              <w:rPr>
                <w:rFonts w:hint="eastAsia" w:eastAsia="宋体" w:cs="Times New Roman"/>
                <w:color w:val="000000"/>
                <w:kern w:val="0"/>
                <w:sz w:val="20"/>
                <w:szCs w:val="20"/>
              </w:rPr>
              <w:t>8</w:t>
            </w:r>
            <w:r>
              <w:rPr>
                <w:rFonts w:eastAsia="宋体" w:cs="Times New Roman"/>
                <w:color w:val="000000"/>
                <w:kern w:val="0"/>
                <w:sz w:val="20"/>
                <w:szCs w:val="20"/>
              </w:rPr>
              <w:t>.00</w:t>
            </w:r>
          </w:p>
        </w:tc>
        <w:tc>
          <w:tcPr>
            <w:tcW w:w="774" w:type="pct"/>
            <w:tcBorders>
              <w:top w:val="single" w:color="000000" w:sz="4" w:space="0"/>
              <w:left w:val="single" w:color="000000" w:sz="4" w:space="0"/>
              <w:bottom w:val="single" w:color="auto" w:sz="4" w:space="0"/>
              <w:right w:val="single" w:color="000000" w:sz="4" w:space="0"/>
            </w:tcBorders>
            <w:shd w:val="clear" w:color="auto" w:fill="FFFFFF"/>
            <w:vAlign w:val="center"/>
          </w:tcPr>
          <w:p w14:paraId="1BAA36EA">
            <w:pPr>
              <w:widowControl/>
              <w:spacing w:line="280" w:lineRule="exact"/>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8.00</w:t>
            </w:r>
          </w:p>
        </w:tc>
        <w:tc>
          <w:tcPr>
            <w:tcW w:w="982" w:type="pct"/>
            <w:tcBorders>
              <w:top w:val="single" w:color="000000" w:sz="4" w:space="0"/>
              <w:left w:val="single" w:color="000000" w:sz="4" w:space="0"/>
              <w:bottom w:val="single" w:color="auto" w:sz="4" w:space="0"/>
              <w:right w:val="single" w:color="000000" w:sz="4" w:space="0"/>
            </w:tcBorders>
            <w:shd w:val="clear" w:color="auto" w:fill="FFFFFF"/>
            <w:vAlign w:val="center"/>
          </w:tcPr>
          <w:p w14:paraId="6C0974D7">
            <w:pPr>
              <w:widowControl/>
              <w:spacing w:line="280" w:lineRule="exact"/>
              <w:ind w:firstLine="0" w:firstLineChars="0"/>
              <w:jc w:val="center"/>
              <w:textAlignment w:val="center"/>
              <w:rPr>
                <w:rFonts w:eastAsia="宋体" w:cs="Times New Roman"/>
                <w:color w:val="000000"/>
                <w:kern w:val="0"/>
                <w:sz w:val="20"/>
                <w:szCs w:val="20"/>
              </w:rPr>
            </w:pPr>
            <w:r>
              <w:rPr>
                <w:rFonts w:hint="eastAsia" w:eastAsia="宋体" w:cs="Times New Roman"/>
                <w:color w:val="000000"/>
                <w:kern w:val="0"/>
                <w:sz w:val="20"/>
                <w:szCs w:val="20"/>
              </w:rPr>
              <w:t>1</w:t>
            </w:r>
            <w:r>
              <w:rPr>
                <w:rFonts w:eastAsia="宋体" w:cs="Times New Roman"/>
                <w:color w:val="000000"/>
                <w:kern w:val="0"/>
                <w:sz w:val="20"/>
                <w:szCs w:val="20"/>
              </w:rPr>
              <w:t>00.00</w:t>
            </w:r>
            <w:r>
              <w:rPr>
                <w:rFonts w:hint="eastAsia" w:eastAsia="宋体" w:cs="Times New Roman"/>
                <w:color w:val="000000"/>
                <w:kern w:val="0"/>
                <w:sz w:val="20"/>
                <w:szCs w:val="20"/>
              </w:rPr>
              <w:t>%</w:t>
            </w:r>
          </w:p>
        </w:tc>
      </w:tr>
      <w:tr w14:paraId="5B6F513C">
        <w:tblPrEx>
          <w:tblCellMar>
            <w:top w:w="0" w:type="dxa"/>
            <w:left w:w="0" w:type="dxa"/>
            <w:bottom w:w="0" w:type="dxa"/>
            <w:right w:w="0" w:type="dxa"/>
          </w:tblCellMar>
        </w:tblPrEx>
        <w:trPr>
          <w:cantSplit/>
          <w:trHeight w:val="454" w:hRule="atLeast"/>
          <w:jc w:val="center"/>
        </w:trPr>
        <w:tc>
          <w:tcPr>
            <w:tcW w:w="680" w:type="pct"/>
            <w:vMerge w:val="restar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06CFC386">
            <w:pPr>
              <w:widowControl/>
              <w:spacing w:line="280" w:lineRule="exact"/>
              <w:ind w:firstLine="0" w:firstLineChars="0"/>
              <w:jc w:val="center"/>
              <w:textAlignment w:val="center"/>
              <w:rPr>
                <w:rFonts w:eastAsia="宋体" w:cs="Times New Roman"/>
                <w:b/>
                <w:color w:val="000000"/>
                <w:kern w:val="0"/>
                <w:sz w:val="20"/>
                <w:szCs w:val="20"/>
              </w:rPr>
            </w:pPr>
            <w:r>
              <w:rPr>
                <w:rFonts w:eastAsia="宋体" w:cs="Times New Roman"/>
                <w:b/>
                <w:color w:val="000000"/>
                <w:kern w:val="0"/>
                <w:sz w:val="20"/>
                <w:szCs w:val="20"/>
              </w:rPr>
              <w:t>项目实施</w:t>
            </w:r>
          </w:p>
        </w:tc>
        <w:tc>
          <w:tcPr>
            <w:tcW w:w="769"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6B8CA991">
            <w:pPr>
              <w:widowControl/>
              <w:spacing w:line="280" w:lineRule="exact"/>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资金管理</w:t>
            </w:r>
          </w:p>
        </w:tc>
        <w:tc>
          <w:tcPr>
            <w:tcW w:w="111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E52213B">
            <w:pPr>
              <w:widowControl/>
              <w:spacing w:line="280" w:lineRule="exact"/>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资金分配科学性</w:t>
            </w:r>
          </w:p>
        </w:tc>
        <w:tc>
          <w:tcPr>
            <w:tcW w:w="684" w:type="pct"/>
            <w:tcBorders>
              <w:top w:val="single" w:color="auto" w:sz="4" w:space="0"/>
              <w:left w:val="single" w:color="auto" w:sz="4" w:space="0"/>
              <w:bottom w:val="single" w:color="auto" w:sz="4" w:space="0"/>
              <w:right w:val="single" w:color="auto" w:sz="4" w:space="0"/>
            </w:tcBorders>
            <w:vAlign w:val="center"/>
          </w:tcPr>
          <w:p w14:paraId="7FD18A27">
            <w:pPr>
              <w:widowControl/>
              <w:spacing w:line="280" w:lineRule="exact"/>
              <w:ind w:firstLine="0" w:firstLineChars="0"/>
              <w:jc w:val="center"/>
              <w:textAlignment w:val="center"/>
              <w:rPr>
                <w:rFonts w:eastAsia="宋体" w:cs="Times New Roman"/>
                <w:color w:val="000000"/>
                <w:kern w:val="0"/>
                <w:sz w:val="20"/>
                <w:szCs w:val="20"/>
              </w:rPr>
            </w:pPr>
            <w:r>
              <w:rPr>
                <w:rFonts w:hint="eastAsia" w:eastAsia="宋体" w:cs="Times New Roman"/>
                <w:color w:val="000000"/>
                <w:kern w:val="0"/>
                <w:sz w:val="20"/>
                <w:szCs w:val="20"/>
              </w:rPr>
              <w:t>1</w:t>
            </w:r>
            <w:r>
              <w:rPr>
                <w:rFonts w:eastAsia="宋体" w:cs="Times New Roman"/>
                <w:color w:val="000000"/>
                <w:kern w:val="0"/>
                <w:sz w:val="20"/>
                <w:szCs w:val="20"/>
              </w:rPr>
              <w:t>2.00</w:t>
            </w:r>
          </w:p>
        </w:tc>
        <w:tc>
          <w:tcPr>
            <w:tcW w:w="774" w:type="pct"/>
            <w:tcBorders>
              <w:top w:val="single" w:color="auto" w:sz="4" w:space="0"/>
              <w:left w:val="single" w:color="auto" w:sz="4" w:space="0"/>
              <w:bottom w:val="single" w:color="auto" w:sz="4" w:space="0"/>
              <w:right w:val="single" w:color="auto" w:sz="4" w:space="0"/>
            </w:tcBorders>
            <w:vAlign w:val="center"/>
          </w:tcPr>
          <w:p w14:paraId="24AE0370">
            <w:pPr>
              <w:widowControl/>
              <w:spacing w:line="280" w:lineRule="exact"/>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12.00</w:t>
            </w:r>
          </w:p>
        </w:tc>
        <w:tc>
          <w:tcPr>
            <w:tcW w:w="982" w:type="pct"/>
            <w:tcBorders>
              <w:top w:val="single" w:color="auto" w:sz="4" w:space="0"/>
              <w:left w:val="single" w:color="auto" w:sz="4" w:space="0"/>
              <w:bottom w:val="single" w:color="auto" w:sz="4" w:space="0"/>
              <w:right w:val="single" w:color="auto" w:sz="4" w:space="0"/>
            </w:tcBorders>
            <w:vAlign w:val="center"/>
          </w:tcPr>
          <w:p w14:paraId="42C6B089">
            <w:pPr>
              <w:widowControl/>
              <w:spacing w:line="280" w:lineRule="exact"/>
              <w:ind w:firstLine="0" w:firstLineChars="0"/>
              <w:jc w:val="center"/>
              <w:textAlignment w:val="center"/>
              <w:rPr>
                <w:rFonts w:eastAsia="宋体" w:cs="Times New Roman"/>
                <w:color w:val="000000"/>
                <w:kern w:val="0"/>
                <w:sz w:val="20"/>
                <w:szCs w:val="20"/>
              </w:rPr>
            </w:pPr>
            <w:r>
              <w:rPr>
                <w:rFonts w:hint="eastAsia" w:eastAsia="宋体" w:cs="Times New Roman"/>
                <w:color w:val="000000"/>
                <w:kern w:val="0"/>
                <w:sz w:val="20"/>
                <w:szCs w:val="20"/>
              </w:rPr>
              <w:t>1</w:t>
            </w:r>
            <w:r>
              <w:rPr>
                <w:rFonts w:eastAsia="宋体" w:cs="Times New Roman"/>
                <w:color w:val="000000"/>
                <w:kern w:val="0"/>
                <w:sz w:val="20"/>
                <w:szCs w:val="20"/>
              </w:rPr>
              <w:t>00.00</w:t>
            </w:r>
            <w:r>
              <w:rPr>
                <w:rFonts w:hint="eastAsia" w:eastAsia="宋体" w:cs="Times New Roman"/>
                <w:color w:val="000000"/>
                <w:kern w:val="0"/>
                <w:sz w:val="20"/>
                <w:szCs w:val="20"/>
              </w:rPr>
              <w:t>%</w:t>
            </w:r>
          </w:p>
        </w:tc>
      </w:tr>
      <w:tr w14:paraId="06F2A297">
        <w:tblPrEx>
          <w:tblCellMar>
            <w:top w:w="0" w:type="dxa"/>
            <w:left w:w="0" w:type="dxa"/>
            <w:bottom w:w="0" w:type="dxa"/>
            <w:right w:w="0" w:type="dxa"/>
          </w:tblCellMar>
        </w:tblPrEx>
        <w:trPr>
          <w:cantSplit/>
          <w:trHeight w:val="454" w:hRule="atLeast"/>
          <w:jc w:val="center"/>
        </w:trPr>
        <w:tc>
          <w:tcPr>
            <w:tcW w:w="680" w:type="pct"/>
            <w:vMerge w:val="continue"/>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588C3FFD">
            <w:pPr>
              <w:spacing w:line="280" w:lineRule="exact"/>
              <w:ind w:firstLine="0" w:firstLineChars="0"/>
              <w:jc w:val="center"/>
              <w:rPr>
                <w:rFonts w:eastAsia="宋体" w:cs="Times New Roman"/>
                <w:b/>
                <w:color w:val="000000"/>
                <w:kern w:val="0"/>
                <w:sz w:val="20"/>
                <w:szCs w:val="20"/>
              </w:rPr>
            </w:pPr>
          </w:p>
        </w:tc>
        <w:tc>
          <w:tcPr>
            <w:tcW w:w="769" w:type="pct"/>
            <w:vMerge w:val="restar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177FBAE8">
            <w:pPr>
              <w:widowControl/>
              <w:spacing w:line="280" w:lineRule="exact"/>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过程控制</w:t>
            </w:r>
          </w:p>
        </w:tc>
        <w:tc>
          <w:tcPr>
            <w:tcW w:w="111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A3222A3">
            <w:pPr>
              <w:widowControl/>
              <w:spacing w:line="280" w:lineRule="exact"/>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财务管理规范性</w:t>
            </w:r>
          </w:p>
        </w:tc>
        <w:tc>
          <w:tcPr>
            <w:tcW w:w="684" w:type="pct"/>
            <w:tcBorders>
              <w:top w:val="single" w:color="auto" w:sz="4" w:space="0"/>
              <w:left w:val="single" w:color="auto" w:sz="4" w:space="0"/>
              <w:bottom w:val="single" w:color="auto" w:sz="4" w:space="0"/>
              <w:right w:val="single" w:color="auto" w:sz="4" w:space="0"/>
            </w:tcBorders>
            <w:vAlign w:val="center"/>
          </w:tcPr>
          <w:p w14:paraId="10677E37">
            <w:pPr>
              <w:widowControl/>
              <w:spacing w:line="280" w:lineRule="exact"/>
              <w:ind w:firstLine="0" w:firstLineChars="0"/>
              <w:jc w:val="center"/>
              <w:textAlignment w:val="center"/>
              <w:rPr>
                <w:rFonts w:eastAsia="宋体" w:cs="Times New Roman"/>
                <w:color w:val="000000"/>
                <w:kern w:val="0"/>
                <w:sz w:val="20"/>
                <w:szCs w:val="20"/>
              </w:rPr>
            </w:pPr>
            <w:r>
              <w:rPr>
                <w:rFonts w:hint="eastAsia" w:eastAsia="宋体" w:cs="Times New Roman"/>
                <w:color w:val="000000"/>
                <w:kern w:val="0"/>
                <w:sz w:val="20"/>
                <w:szCs w:val="20"/>
              </w:rPr>
              <w:t>1</w:t>
            </w:r>
            <w:r>
              <w:rPr>
                <w:rFonts w:eastAsia="宋体" w:cs="Times New Roman"/>
                <w:color w:val="000000"/>
                <w:kern w:val="0"/>
                <w:sz w:val="20"/>
                <w:szCs w:val="20"/>
              </w:rPr>
              <w:t>2.00</w:t>
            </w:r>
          </w:p>
        </w:tc>
        <w:tc>
          <w:tcPr>
            <w:tcW w:w="774" w:type="pct"/>
            <w:tcBorders>
              <w:top w:val="single" w:color="auto" w:sz="4" w:space="0"/>
              <w:left w:val="single" w:color="auto" w:sz="4" w:space="0"/>
              <w:bottom w:val="single" w:color="auto" w:sz="4" w:space="0"/>
              <w:right w:val="single" w:color="auto" w:sz="4" w:space="0"/>
            </w:tcBorders>
            <w:vAlign w:val="center"/>
          </w:tcPr>
          <w:p w14:paraId="6D61C3E4">
            <w:pPr>
              <w:widowControl/>
              <w:spacing w:line="280" w:lineRule="exact"/>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9.60</w:t>
            </w:r>
          </w:p>
        </w:tc>
        <w:tc>
          <w:tcPr>
            <w:tcW w:w="982" w:type="pct"/>
            <w:tcBorders>
              <w:top w:val="single" w:color="auto" w:sz="4" w:space="0"/>
              <w:left w:val="single" w:color="auto" w:sz="4" w:space="0"/>
              <w:bottom w:val="single" w:color="auto" w:sz="4" w:space="0"/>
              <w:right w:val="single" w:color="auto" w:sz="4" w:space="0"/>
            </w:tcBorders>
            <w:vAlign w:val="center"/>
          </w:tcPr>
          <w:p w14:paraId="5AA4FFB5">
            <w:pPr>
              <w:widowControl/>
              <w:spacing w:line="280" w:lineRule="exact"/>
              <w:ind w:firstLine="0" w:firstLineChars="0"/>
              <w:jc w:val="center"/>
              <w:textAlignment w:val="center"/>
              <w:rPr>
                <w:rFonts w:eastAsia="宋体" w:cs="Times New Roman"/>
                <w:color w:val="000000"/>
                <w:kern w:val="0"/>
                <w:sz w:val="20"/>
                <w:szCs w:val="20"/>
              </w:rPr>
            </w:pPr>
            <w:r>
              <w:rPr>
                <w:rFonts w:hint="eastAsia" w:eastAsia="宋体" w:cs="Times New Roman"/>
                <w:color w:val="000000"/>
                <w:kern w:val="0"/>
                <w:sz w:val="20"/>
                <w:szCs w:val="20"/>
              </w:rPr>
              <w:t>8</w:t>
            </w:r>
            <w:r>
              <w:rPr>
                <w:rFonts w:eastAsia="宋体" w:cs="Times New Roman"/>
                <w:color w:val="000000"/>
                <w:kern w:val="0"/>
                <w:sz w:val="20"/>
                <w:szCs w:val="20"/>
              </w:rPr>
              <w:t>0.00</w:t>
            </w:r>
            <w:r>
              <w:rPr>
                <w:rFonts w:hint="eastAsia" w:eastAsia="宋体" w:cs="Times New Roman"/>
                <w:color w:val="000000"/>
                <w:kern w:val="0"/>
                <w:sz w:val="20"/>
                <w:szCs w:val="20"/>
              </w:rPr>
              <w:t>%</w:t>
            </w:r>
          </w:p>
        </w:tc>
      </w:tr>
      <w:tr w14:paraId="630FF7B9">
        <w:tblPrEx>
          <w:tblCellMar>
            <w:top w:w="0" w:type="dxa"/>
            <w:left w:w="0" w:type="dxa"/>
            <w:bottom w:w="0" w:type="dxa"/>
            <w:right w:w="0" w:type="dxa"/>
          </w:tblCellMar>
        </w:tblPrEx>
        <w:trPr>
          <w:cantSplit/>
          <w:trHeight w:val="454" w:hRule="atLeast"/>
          <w:jc w:val="center"/>
        </w:trPr>
        <w:tc>
          <w:tcPr>
            <w:tcW w:w="680" w:type="pct"/>
            <w:vMerge w:val="continue"/>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25543A8C">
            <w:pPr>
              <w:spacing w:line="280" w:lineRule="exact"/>
              <w:ind w:firstLine="0" w:firstLineChars="0"/>
              <w:jc w:val="center"/>
              <w:rPr>
                <w:rFonts w:eastAsia="宋体" w:cs="Times New Roman"/>
                <w:b/>
                <w:color w:val="000000"/>
                <w:kern w:val="0"/>
                <w:sz w:val="20"/>
                <w:szCs w:val="20"/>
              </w:rPr>
            </w:pPr>
          </w:p>
        </w:tc>
        <w:tc>
          <w:tcPr>
            <w:tcW w:w="769" w:type="pct"/>
            <w:vMerge w:val="continue"/>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2B56CF79">
            <w:pPr>
              <w:spacing w:line="280" w:lineRule="exact"/>
              <w:ind w:firstLine="0" w:firstLineChars="0"/>
              <w:jc w:val="center"/>
              <w:rPr>
                <w:rFonts w:eastAsia="宋体" w:cs="Times New Roman"/>
                <w:color w:val="000000"/>
                <w:kern w:val="0"/>
                <w:sz w:val="20"/>
                <w:szCs w:val="20"/>
              </w:rPr>
            </w:pPr>
          </w:p>
        </w:tc>
        <w:tc>
          <w:tcPr>
            <w:tcW w:w="1111"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3C621ACA">
            <w:pPr>
              <w:widowControl/>
              <w:spacing w:line="280" w:lineRule="exact"/>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业务管理规范性</w:t>
            </w:r>
          </w:p>
        </w:tc>
        <w:tc>
          <w:tcPr>
            <w:tcW w:w="684" w:type="pct"/>
            <w:tcBorders>
              <w:top w:val="single" w:color="auto" w:sz="4" w:space="0"/>
              <w:left w:val="single" w:color="auto" w:sz="4" w:space="0"/>
              <w:bottom w:val="single" w:color="auto" w:sz="4" w:space="0"/>
              <w:right w:val="single" w:color="auto" w:sz="4" w:space="0"/>
            </w:tcBorders>
            <w:shd w:val="clear" w:color="auto" w:fill="FFFFFF"/>
            <w:vAlign w:val="center"/>
          </w:tcPr>
          <w:p w14:paraId="1AAA9C50">
            <w:pPr>
              <w:widowControl/>
              <w:spacing w:line="280" w:lineRule="exact"/>
              <w:ind w:firstLine="0" w:firstLineChars="0"/>
              <w:jc w:val="center"/>
              <w:textAlignment w:val="center"/>
              <w:rPr>
                <w:rFonts w:eastAsia="宋体" w:cs="Times New Roman"/>
                <w:color w:val="000000"/>
                <w:kern w:val="0"/>
                <w:sz w:val="20"/>
                <w:szCs w:val="20"/>
              </w:rPr>
            </w:pPr>
            <w:r>
              <w:rPr>
                <w:rFonts w:hint="eastAsia" w:eastAsia="宋体" w:cs="Times New Roman"/>
                <w:color w:val="000000"/>
                <w:kern w:val="0"/>
                <w:sz w:val="20"/>
                <w:szCs w:val="20"/>
              </w:rPr>
              <w:t>1</w:t>
            </w:r>
            <w:r>
              <w:rPr>
                <w:rFonts w:eastAsia="宋体" w:cs="Times New Roman"/>
                <w:color w:val="000000"/>
                <w:kern w:val="0"/>
                <w:sz w:val="20"/>
                <w:szCs w:val="20"/>
              </w:rPr>
              <w:t>2.00</w:t>
            </w:r>
          </w:p>
        </w:tc>
        <w:tc>
          <w:tcPr>
            <w:tcW w:w="774" w:type="pct"/>
            <w:tcBorders>
              <w:top w:val="single" w:color="auto" w:sz="4" w:space="0"/>
              <w:left w:val="single" w:color="auto" w:sz="4" w:space="0"/>
              <w:bottom w:val="single" w:color="auto" w:sz="4" w:space="0"/>
              <w:right w:val="single" w:color="auto" w:sz="4" w:space="0"/>
            </w:tcBorders>
            <w:shd w:val="clear" w:color="auto" w:fill="FFFFFF"/>
            <w:vAlign w:val="center"/>
          </w:tcPr>
          <w:p w14:paraId="1E3B763E">
            <w:pPr>
              <w:widowControl/>
              <w:spacing w:line="280" w:lineRule="exact"/>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9.60</w:t>
            </w:r>
          </w:p>
        </w:tc>
        <w:tc>
          <w:tcPr>
            <w:tcW w:w="982" w:type="pct"/>
            <w:tcBorders>
              <w:top w:val="single" w:color="auto" w:sz="4" w:space="0"/>
              <w:left w:val="single" w:color="auto" w:sz="4" w:space="0"/>
              <w:bottom w:val="single" w:color="auto" w:sz="4" w:space="0"/>
              <w:right w:val="single" w:color="auto" w:sz="4" w:space="0"/>
            </w:tcBorders>
            <w:shd w:val="clear" w:color="auto" w:fill="FFFFFF"/>
            <w:vAlign w:val="center"/>
          </w:tcPr>
          <w:p w14:paraId="6A33DF72">
            <w:pPr>
              <w:widowControl/>
              <w:spacing w:line="280" w:lineRule="exact"/>
              <w:ind w:firstLine="0" w:firstLineChars="0"/>
              <w:jc w:val="center"/>
              <w:textAlignment w:val="center"/>
              <w:rPr>
                <w:rFonts w:eastAsia="宋体" w:cs="Times New Roman"/>
                <w:color w:val="000000"/>
                <w:kern w:val="0"/>
                <w:sz w:val="20"/>
                <w:szCs w:val="20"/>
              </w:rPr>
            </w:pPr>
            <w:r>
              <w:rPr>
                <w:rFonts w:hint="eastAsia" w:eastAsia="宋体" w:cs="Times New Roman"/>
                <w:color w:val="000000"/>
                <w:kern w:val="0"/>
                <w:sz w:val="20"/>
                <w:szCs w:val="20"/>
              </w:rPr>
              <w:t>8</w:t>
            </w:r>
            <w:r>
              <w:rPr>
                <w:rFonts w:eastAsia="宋体" w:cs="Times New Roman"/>
                <w:color w:val="000000"/>
                <w:kern w:val="0"/>
                <w:sz w:val="20"/>
                <w:szCs w:val="20"/>
              </w:rPr>
              <w:t>0.00</w:t>
            </w:r>
            <w:r>
              <w:rPr>
                <w:rFonts w:hint="eastAsia" w:eastAsia="宋体" w:cs="Times New Roman"/>
                <w:color w:val="000000"/>
                <w:kern w:val="0"/>
                <w:sz w:val="20"/>
                <w:szCs w:val="20"/>
              </w:rPr>
              <w:t>%</w:t>
            </w:r>
          </w:p>
        </w:tc>
      </w:tr>
      <w:tr w14:paraId="643B19DC">
        <w:tblPrEx>
          <w:tblCellMar>
            <w:top w:w="0" w:type="dxa"/>
            <w:left w:w="0" w:type="dxa"/>
            <w:bottom w:w="0" w:type="dxa"/>
            <w:right w:w="0" w:type="dxa"/>
          </w:tblCellMar>
        </w:tblPrEx>
        <w:trPr>
          <w:cantSplit/>
          <w:trHeight w:val="454" w:hRule="atLeast"/>
          <w:jc w:val="center"/>
        </w:trPr>
        <w:tc>
          <w:tcPr>
            <w:tcW w:w="680" w:type="pct"/>
            <w:vMerge w:val="restar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769F4FD7">
            <w:pPr>
              <w:widowControl/>
              <w:spacing w:line="280" w:lineRule="exact"/>
              <w:ind w:firstLine="0" w:firstLineChars="0"/>
              <w:jc w:val="center"/>
              <w:textAlignment w:val="center"/>
              <w:rPr>
                <w:rFonts w:eastAsia="宋体" w:cs="Times New Roman"/>
                <w:b/>
                <w:color w:val="000000"/>
                <w:kern w:val="0"/>
                <w:sz w:val="20"/>
                <w:szCs w:val="20"/>
              </w:rPr>
            </w:pPr>
            <w:r>
              <w:rPr>
                <w:rFonts w:eastAsia="宋体" w:cs="Times New Roman"/>
                <w:b/>
                <w:color w:val="000000"/>
                <w:kern w:val="0"/>
                <w:sz w:val="20"/>
                <w:szCs w:val="20"/>
              </w:rPr>
              <w:t>项目绩效</w:t>
            </w:r>
          </w:p>
        </w:tc>
        <w:tc>
          <w:tcPr>
            <w:tcW w:w="769"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58C6F0ED">
            <w:pPr>
              <w:widowControl/>
              <w:spacing w:line="280" w:lineRule="exact"/>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完成数量</w:t>
            </w:r>
          </w:p>
        </w:tc>
        <w:tc>
          <w:tcPr>
            <w:tcW w:w="111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3159DD2">
            <w:pPr>
              <w:spacing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事项完成数量</w:t>
            </w:r>
          </w:p>
        </w:tc>
        <w:tc>
          <w:tcPr>
            <w:tcW w:w="684" w:type="pct"/>
            <w:tcBorders>
              <w:top w:val="single" w:color="auto" w:sz="4" w:space="0"/>
              <w:left w:val="single" w:color="auto" w:sz="4" w:space="0"/>
              <w:bottom w:val="single" w:color="auto" w:sz="4" w:space="0"/>
              <w:right w:val="single" w:color="auto" w:sz="4" w:space="0"/>
            </w:tcBorders>
            <w:vAlign w:val="center"/>
          </w:tcPr>
          <w:p w14:paraId="4F546671">
            <w:pPr>
              <w:spacing w:line="280" w:lineRule="exact"/>
              <w:ind w:firstLine="0" w:firstLineChars="0"/>
              <w:jc w:val="center"/>
              <w:rPr>
                <w:rFonts w:eastAsia="宋体" w:cs="Times New Roman"/>
                <w:color w:val="000000"/>
                <w:kern w:val="0"/>
                <w:sz w:val="20"/>
                <w:szCs w:val="20"/>
              </w:rPr>
            </w:pPr>
            <w:r>
              <w:rPr>
                <w:rFonts w:hint="eastAsia" w:eastAsia="宋体" w:cs="Times New Roman"/>
                <w:color w:val="000000"/>
                <w:kern w:val="0"/>
                <w:sz w:val="20"/>
                <w:szCs w:val="20"/>
              </w:rPr>
              <w:t>8</w:t>
            </w:r>
            <w:r>
              <w:rPr>
                <w:rFonts w:eastAsia="宋体" w:cs="Times New Roman"/>
                <w:color w:val="000000"/>
                <w:kern w:val="0"/>
                <w:sz w:val="20"/>
                <w:szCs w:val="20"/>
              </w:rPr>
              <w:t>.00</w:t>
            </w:r>
          </w:p>
        </w:tc>
        <w:tc>
          <w:tcPr>
            <w:tcW w:w="774" w:type="pct"/>
            <w:tcBorders>
              <w:top w:val="single" w:color="auto" w:sz="4" w:space="0"/>
              <w:left w:val="single" w:color="auto" w:sz="4" w:space="0"/>
              <w:bottom w:val="single" w:color="auto" w:sz="4" w:space="0"/>
              <w:right w:val="single" w:color="auto" w:sz="4" w:space="0"/>
            </w:tcBorders>
            <w:vAlign w:val="center"/>
          </w:tcPr>
          <w:p w14:paraId="73EADF21">
            <w:pPr>
              <w:spacing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8.00</w:t>
            </w:r>
          </w:p>
        </w:tc>
        <w:tc>
          <w:tcPr>
            <w:tcW w:w="982" w:type="pct"/>
            <w:tcBorders>
              <w:top w:val="single" w:color="auto" w:sz="4" w:space="0"/>
              <w:left w:val="single" w:color="auto" w:sz="4" w:space="0"/>
              <w:bottom w:val="single" w:color="auto" w:sz="4" w:space="0"/>
              <w:right w:val="single" w:color="auto" w:sz="4" w:space="0"/>
            </w:tcBorders>
            <w:vAlign w:val="center"/>
          </w:tcPr>
          <w:p w14:paraId="147EEC47">
            <w:pPr>
              <w:spacing w:line="280" w:lineRule="exact"/>
              <w:ind w:firstLine="0" w:firstLineChars="0"/>
              <w:jc w:val="center"/>
              <w:rPr>
                <w:rFonts w:eastAsia="宋体" w:cs="Times New Roman"/>
                <w:color w:val="000000"/>
                <w:kern w:val="0"/>
                <w:sz w:val="20"/>
                <w:szCs w:val="20"/>
              </w:rPr>
            </w:pPr>
            <w:r>
              <w:rPr>
                <w:rFonts w:hint="eastAsia" w:eastAsia="宋体" w:cs="Times New Roman"/>
                <w:color w:val="000000"/>
                <w:kern w:val="0"/>
                <w:sz w:val="20"/>
                <w:szCs w:val="20"/>
              </w:rPr>
              <w:t>1</w:t>
            </w:r>
            <w:r>
              <w:rPr>
                <w:rFonts w:eastAsia="宋体" w:cs="Times New Roman"/>
                <w:color w:val="000000"/>
                <w:kern w:val="0"/>
                <w:sz w:val="20"/>
                <w:szCs w:val="20"/>
              </w:rPr>
              <w:t>00.00</w:t>
            </w:r>
            <w:r>
              <w:rPr>
                <w:rFonts w:hint="eastAsia" w:eastAsia="宋体" w:cs="Times New Roman"/>
                <w:color w:val="000000"/>
                <w:kern w:val="0"/>
                <w:sz w:val="20"/>
                <w:szCs w:val="20"/>
              </w:rPr>
              <w:t>%</w:t>
            </w:r>
          </w:p>
        </w:tc>
      </w:tr>
      <w:tr w14:paraId="4A9E7E4C">
        <w:tblPrEx>
          <w:tblCellMar>
            <w:top w:w="0" w:type="dxa"/>
            <w:left w:w="0" w:type="dxa"/>
            <w:bottom w:w="0" w:type="dxa"/>
            <w:right w:w="0" w:type="dxa"/>
          </w:tblCellMar>
        </w:tblPrEx>
        <w:trPr>
          <w:cantSplit/>
          <w:trHeight w:val="454" w:hRule="atLeast"/>
          <w:jc w:val="center"/>
        </w:trPr>
        <w:tc>
          <w:tcPr>
            <w:tcW w:w="680" w:type="pct"/>
            <w:vMerge w:val="continue"/>
            <w:tcBorders>
              <w:top w:val="single" w:color="auto" w:sz="4" w:space="0"/>
              <w:left w:val="single" w:color="000000" w:sz="4" w:space="0"/>
              <w:right w:val="single" w:color="000000" w:sz="4" w:space="0"/>
            </w:tcBorders>
            <w:shd w:val="clear" w:color="auto" w:fill="FFFFFF"/>
            <w:tcMar>
              <w:top w:w="15" w:type="dxa"/>
              <w:left w:w="15" w:type="dxa"/>
              <w:right w:w="15" w:type="dxa"/>
            </w:tcMar>
            <w:textDirection w:val="tbRlV"/>
            <w:vAlign w:val="center"/>
          </w:tcPr>
          <w:p w14:paraId="4A5C045B">
            <w:pPr>
              <w:spacing w:line="280" w:lineRule="exact"/>
              <w:ind w:firstLine="0" w:firstLineChars="0"/>
              <w:jc w:val="center"/>
              <w:rPr>
                <w:rFonts w:eastAsia="宋体" w:cs="Times New Roman"/>
                <w:b/>
                <w:color w:val="000000"/>
                <w:kern w:val="0"/>
                <w:sz w:val="20"/>
                <w:szCs w:val="20"/>
              </w:rPr>
            </w:pPr>
          </w:p>
        </w:tc>
        <w:tc>
          <w:tcPr>
            <w:tcW w:w="769" w:type="pct"/>
            <w:tcBorders>
              <w:top w:val="single" w:color="auto"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4720056E">
            <w:pPr>
              <w:widowControl/>
              <w:spacing w:line="280" w:lineRule="exact"/>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完成质量</w:t>
            </w:r>
          </w:p>
        </w:tc>
        <w:tc>
          <w:tcPr>
            <w:tcW w:w="1111" w:type="pct"/>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327D15CB">
            <w:pPr>
              <w:spacing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事项完成质量</w:t>
            </w:r>
          </w:p>
        </w:tc>
        <w:tc>
          <w:tcPr>
            <w:tcW w:w="684" w:type="pct"/>
            <w:tcBorders>
              <w:top w:val="single" w:color="auto" w:sz="4" w:space="0"/>
              <w:left w:val="single" w:color="000000" w:sz="4" w:space="0"/>
              <w:bottom w:val="single" w:color="auto" w:sz="4" w:space="0"/>
              <w:right w:val="single" w:color="000000" w:sz="4" w:space="0"/>
            </w:tcBorders>
            <w:vAlign w:val="center"/>
          </w:tcPr>
          <w:p w14:paraId="03B9D581">
            <w:pPr>
              <w:spacing w:line="280" w:lineRule="exact"/>
              <w:ind w:firstLine="0" w:firstLineChars="0"/>
              <w:jc w:val="center"/>
              <w:rPr>
                <w:rFonts w:eastAsia="宋体" w:cs="Times New Roman"/>
                <w:color w:val="000000"/>
                <w:kern w:val="0"/>
                <w:sz w:val="20"/>
                <w:szCs w:val="20"/>
              </w:rPr>
            </w:pPr>
            <w:r>
              <w:rPr>
                <w:rFonts w:hint="eastAsia" w:eastAsia="宋体" w:cs="Times New Roman"/>
                <w:color w:val="000000"/>
                <w:kern w:val="0"/>
                <w:sz w:val="20"/>
                <w:szCs w:val="20"/>
              </w:rPr>
              <w:t>8</w:t>
            </w:r>
            <w:r>
              <w:rPr>
                <w:rFonts w:eastAsia="宋体" w:cs="Times New Roman"/>
                <w:color w:val="000000"/>
                <w:kern w:val="0"/>
                <w:sz w:val="20"/>
                <w:szCs w:val="20"/>
              </w:rPr>
              <w:t>.00</w:t>
            </w:r>
          </w:p>
        </w:tc>
        <w:tc>
          <w:tcPr>
            <w:tcW w:w="774" w:type="pct"/>
            <w:tcBorders>
              <w:top w:val="single" w:color="auto" w:sz="4" w:space="0"/>
              <w:left w:val="single" w:color="000000" w:sz="4" w:space="0"/>
              <w:bottom w:val="single" w:color="auto" w:sz="4" w:space="0"/>
              <w:right w:val="single" w:color="000000" w:sz="4" w:space="0"/>
            </w:tcBorders>
            <w:vAlign w:val="center"/>
          </w:tcPr>
          <w:p w14:paraId="0B4077A7">
            <w:pPr>
              <w:spacing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8.00</w:t>
            </w:r>
          </w:p>
        </w:tc>
        <w:tc>
          <w:tcPr>
            <w:tcW w:w="982" w:type="pct"/>
            <w:tcBorders>
              <w:top w:val="single" w:color="auto" w:sz="4" w:space="0"/>
              <w:left w:val="single" w:color="000000" w:sz="4" w:space="0"/>
              <w:bottom w:val="single" w:color="auto" w:sz="4" w:space="0"/>
              <w:right w:val="single" w:color="000000" w:sz="4" w:space="0"/>
            </w:tcBorders>
            <w:vAlign w:val="center"/>
          </w:tcPr>
          <w:p w14:paraId="433B0794">
            <w:pPr>
              <w:spacing w:line="280" w:lineRule="exact"/>
              <w:ind w:firstLine="0" w:firstLineChars="0"/>
              <w:jc w:val="center"/>
              <w:rPr>
                <w:rFonts w:eastAsia="宋体" w:cs="Times New Roman"/>
                <w:color w:val="000000"/>
                <w:kern w:val="0"/>
                <w:sz w:val="20"/>
                <w:szCs w:val="20"/>
              </w:rPr>
            </w:pPr>
            <w:r>
              <w:rPr>
                <w:rFonts w:hint="eastAsia" w:eastAsia="宋体" w:cs="Times New Roman"/>
                <w:color w:val="000000"/>
                <w:kern w:val="0"/>
                <w:sz w:val="20"/>
                <w:szCs w:val="20"/>
              </w:rPr>
              <w:t>1</w:t>
            </w:r>
            <w:r>
              <w:rPr>
                <w:rFonts w:eastAsia="宋体" w:cs="Times New Roman"/>
                <w:color w:val="000000"/>
                <w:kern w:val="0"/>
                <w:sz w:val="20"/>
                <w:szCs w:val="20"/>
              </w:rPr>
              <w:t>00.00</w:t>
            </w:r>
            <w:r>
              <w:rPr>
                <w:rFonts w:hint="eastAsia" w:eastAsia="宋体" w:cs="Times New Roman"/>
                <w:color w:val="000000"/>
                <w:kern w:val="0"/>
                <w:sz w:val="20"/>
                <w:szCs w:val="20"/>
              </w:rPr>
              <w:t>%</w:t>
            </w:r>
          </w:p>
        </w:tc>
      </w:tr>
      <w:tr w14:paraId="131ADAD5">
        <w:tblPrEx>
          <w:tblCellMar>
            <w:top w:w="0" w:type="dxa"/>
            <w:left w:w="0" w:type="dxa"/>
            <w:bottom w:w="0" w:type="dxa"/>
            <w:right w:w="0" w:type="dxa"/>
          </w:tblCellMar>
        </w:tblPrEx>
        <w:trPr>
          <w:cantSplit/>
          <w:trHeight w:val="454" w:hRule="atLeast"/>
          <w:jc w:val="center"/>
        </w:trPr>
        <w:tc>
          <w:tcPr>
            <w:tcW w:w="680" w:type="pct"/>
            <w:vMerge w:val="continue"/>
            <w:tcBorders>
              <w:left w:val="single" w:color="000000" w:sz="4" w:space="0"/>
              <w:right w:val="single" w:color="000000" w:sz="4" w:space="0"/>
            </w:tcBorders>
            <w:shd w:val="clear" w:color="auto" w:fill="FFFFFF"/>
            <w:tcMar>
              <w:top w:w="15" w:type="dxa"/>
              <w:left w:w="15" w:type="dxa"/>
              <w:right w:w="15" w:type="dxa"/>
            </w:tcMar>
            <w:textDirection w:val="tbRlV"/>
            <w:vAlign w:val="center"/>
          </w:tcPr>
          <w:p w14:paraId="3D601907">
            <w:pPr>
              <w:spacing w:before="120" w:after="156" w:line="280" w:lineRule="exact"/>
              <w:ind w:left="113" w:firstLine="0" w:firstLineChars="0"/>
              <w:jc w:val="center"/>
              <w:rPr>
                <w:rFonts w:eastAsia="宋体" w:cs="Times New Roman"/>
                <w:b/>
                <w:color w:val="000000"/>
                <w:kern w:val="0"/>
                <w:sz w:val="20"/>
                <w:szCs w:val="20"/>
              </w:rPr>
            </w:pPr>
          </w:p>
        </w:tc>
        <w:tc>
          <w:tcPr>
            <w:tcW w:w="769"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2AACFF34">
            <w:pPr>
              <w:widowControl/>
              <w:spacing w:before="120" w:after="156" w:line="280" w:lineRule="exact"/>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完成时效</w:t>
            </w:r>
          </w:p>
        </w:tc>
        <w:tc>
          <w:tcPr>
            <w:tcW w:w="1111" w:type="pct"/>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9C749AD">
            <w:pPr>
              <w:spacing w:before="120" w:after="156"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事项完成及时性</w:t>
            </w:r>
          </w:p>
        </w:tc>
        <w:tc>
          <w:tcPr>
            <w:tcW w:w="684" w:type="pct"/>
            <w:tcBorders>
              <w:top w:val="single" w:color="000000" w:sz="4" w:space="0"/>
              <w:left w:val="single" w:color="000000" w:sz="4" w:space="0"/>
              <w:bottom w:val="single" w:color="auto" w:sz="4" w:space="0"/>
              <w:right w:val="single" w:color="000000" w:sz="4" w:space="0"/>
            </w:tcBorders>
            <w:vAlign w:val="center"/>
          </w:tcPr>
          <w:p w14:paraId="7D625F3D">
            <w:pPr>
              <w:spacing w:before="120" w:after="156" w:line="280" w:lineRule="exact"/>
              <w:ind w:firstLine="0" w:firstLineChars="0"/>
              <w:jc w:val="center"/>
              <w:rPr>
                <w:rFonts w:eastAsia="宋体" w:cs="Times New Roman"/>
                <w:color w:val="000000"/>
                <w:kern w:val="0"/>
                <w:sz w:val="20"/>
                <w:szCs w:val="20"/>
              </w:rPr>
            </w:pPr>
            <w:r>
              <w:rPr>
                <w:rFonts w:hint="eastAsia" w:eastAsia="宋体" w:cs="Times New Roman"/>
                <w:color w:val="000000"/>
                <w:kern w:val="0"/>
                <w:sz w:val="20"/>
                <w:szCs w:val="20"/>
              </w:rPr>
              <w:t>8</w:t>
            </w:r>
            <w:r>
              <w:rPr>
                <w:rFonts w:eastAsia="宋体" w:cs="Times New Roman"/>
                <w:color w:val="000000"/>
                <w:kern w:val="0"/>
                <w:sz w:val="20"/>
                <w:szCs w:val="20"/>
              </w:rPr>
              <w:t>.00</w:t>
            </w:r>
          </w:p>
        </w:tc>
        <w:tc>
          <w:tcPr>
            <w:tcW w:w="774" w:type="pct"/>
            <w:tcBorders>
              <w:top w:val="single" w:color="000000" w:sz="4" w:space="0"/>
              <w:left w:val="single" w:color="000000" w:sz="4" w:space="0"/>
              <w:bottom w:val="single" w:color="auto" w:sz="4" w:space="0"/>
              <w:right w:val="single" w:color="000000" w:sz="4" w:space="0"/>
            </w:tcBorders>
            <w:vAlign w:val="center"/>
          </w:tcPr>
          <w:p w14:paraId="41ECAEDB">
            <w:pPr>
              <w:spacing w:before="120" w:after="156"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8.00</w:t>
            </w:r>
          </w:p>
        </w:tc>
        <w:tc>
          <w:tcPr>
            <w:tcW w:w="982" w:type="pct"/>
            <w:tcBorders>
              <w:top w:val="single" w:color="000000" w:sz="4" w:space="0"/>
              <w:left w:val="single" w:color="000000" w:sz="4" w:space="0"/>
              <w:bottom w:val="single" w:color="auto" w:sz="4" w:space="0"/>
              <w:right w:val="single" w:color="000000" w:sz="4" w:space="0"/>
            </w:tcBorders>
            <w:vAlign w:val="center"/>
          </w:tcPr>
          <w:p w14:paraId="2FFCDF9A">
            <w:pPr>
              <w:spacing w:before="120" w:after="156" w:line="280" w:lineRule="exact"/>
              <w:ind w:firstLine="0" w:firstLineChars="0"/>
              <w:jc w:val="center"/>
              <w:rPr>
                <w:rFonts w:eastAsia="宋体" w:cs="Times New Roman"/>
                <w:color w:val="000000"/>
                <w:kern w:val="0"/>
                <w:sz w:val="20"/>
                <w:szCs w:val="20"/>
              </w:rPr>
            </w:pPr>
            <w:r>
              <w:rPr>
                <w:rFonts w:hint="eastAsia" w:eastAsia="宋体" w:cs="Times New Roman"/>
                <w:color w:val="000000"/>
                <w:kern w:val="0"/>
                <w:sz w:val="20"/>
                <w:szCs w:val="20"/>
              </w:rPr>
              <w:t>1</w:t>
            </w:r>
            <w:r>
              <w:rPr>
                <w:rFonts w:eastAsia="宋体" w:cs="Times New Roman"/>
                <w:color w:val="000000"/>
                <w:kern w:val="0"/>
                <w:sz w:val="20"/>
                <w:szCs w:val="20"/>
              </w:rPr>
              <w:t>00.00</w:t>
            </w:r>
            <w:r>
              <w:rPr>
                <w:rFonts w:hint="eastAsia" w:eastAsia="宋体" w:cs="Times New Roman"/>
                <w:color w:val="000000"/>
                <w:kern w:val="0"/>
                <w:sz w:val="20"/>
                <w:szCs w:val="20"/>
              </w:rPr>
              <w:t>%</w:t>
            </w:r>
          </w:p>
        </w:tc>
      </w:tr>
      <w:tr w14:paraId="68030A6C">
        <w:tblPrEx>
          <w:tblCellMar>
            <w:top w:w="0" w:type="dxa"/>
            <w:left w:w="0" w:type="dxa"/>
            <w:bottom w:w="0" w:type="dxa"/>
            <w:right w:w="0" w:type="dxa"/>
          </w:tblCellMar>
        </w:tblPrEx>
        <w:trPr>
          <w:cantSplit/>
          <w:trHeight w:val="454" w:hRule="atLeast"/>
          <w:jc w:val="center"/>
        </w:trPr>
        <w:tc>
          <w:tcPr>
            <w:tcW w:w="680" w:type="pct"/>
            <w:vMerge w:val="continue"/>
            <w:tcBorders>
              <w:left w:val="single" w:color="000000" w:sz="4" w:space="0"/>
              <w:right w:val="single" w:color="auto" w:sz="4" w:space="0"/>
            </w:tcBorders>
            <w:shd w:val="clear" w:color="auto" w:fill="FFFFFF"/>
            <w:tcMar>
              <w:top w:w="15" w:type="dxa"/>
              <w:left w:w="15" w:type="dxa"/>
              <w:right w:w="15" w:type="dxa"/>
            </w:tcMar>
            <w:textDirection w:val="tbRlV"/>
            <w:vAlign w:val="center"/>
          </w:tcPr>
          <w:p w14:paraId="0849E696">
            <w:pPr>
              <w:spacing w:before="120" w:after="156" w:line="280" w:lineRule="exact"/>
              <w:ind w:firstLine="0" w:firstLineChars="0"/>
              <w:jc w:val="center"/>
              <w:rPr>
                <w:rFonts w:eastAsia="宋体" w:cs="Times New Roman"/>
                <w:b/>
                <w:color w:val="000000"/>
                <w:kern w:val="0"/>
                <w:sz w:val="20"/>
                <w:szCs w:val="20"/>
              </w:rPr>
            </w:pPr>
          </w:p>
        </w:tc>
        <w:tc>
          <w:tcPr>
            <w:tcW w:w="769"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161FCDBB">
            <w:pPr>
              <w:widowControl/>
              <w:spacing w:before="120" w:after="156" w:line="280" w:lineRule="exact"/>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完成成本</w:t>
            </w:r>
          </w:p>
        </w:tc>
        <w:tc>
          <w:tcPr>
            <w:tcW w:w="111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D242C1D">
            <w:pPr>
              <w:spacing w:before="120" w:after="156"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成本控制有效性</w:t>
            </w:r>
          </w:p>
        </w:tc>
        <w:tc>
          <w:tcPr>
            <w:tcW w:w="684" w:type="pct"/>
            <w:tcBorders>
              <w:top w:val="single" w:color="auto" w:sz="4" w:space="0"/>
              <w:left w:val="single" w:color="auto" w:sz="4" w:space="0"/>
              <w:bottom w:val="single" w:color="auto" w:sz="4" w:space="0"/>
              <w:right w:val="single" w:color="auto" w:sz="4" w:space="0"/>
            </w:tcBorders>
            <w:vAlign w:val="center"/>
          </w:tcPr>
          <w:p w14:paraId="4FBD42AE">
            <w:pPr>
              <w:spacing w:before="120" w:after="156" w:line="280" w:lineRule="exact"/>
              <w:ind w:firstLine="0" w:firstLineChars="0"/>
              <w:jc w:val="center"/>
              <w:rPr>
                <w:rFonts w:eastAsia="宋体" w:cs="Times New Roman"/>
                <w:color w:val="000000"/>
                <w:kern w:val="0"/>
                <w:sz w:val="20"/>
                <w:szCs w:val="20"/>
              </w:rPr>
            </w:pPr>
            <w:r>
              <w:rPr>
                <w:rFonts w:hint="eastAsia" w:eastAsia="宋体" w:cs="Times New Roman"/>
                <w:color w:val="000000"/>
                <w:kern w:val="0"/>
                <w:sz w:val="20"/>
                <w:szCs w:val="20"/>
              </w:rPr>
              <w:t>8</w:t>
            </w:r>
            <w:r>
              <w:rPr>
                <w:rFonts w:eastAsia="宋体" w:cs="Times New Roman"/>
                <w:color w:val="000000"/>
                <w:kern w:val="0"/>
                <w:sz w:val="20"/>
                <w:szCs w:val="20"/>
              </w:rPr>
              <w:t>.00</w:t>
            </w:r>
          </w:p>
        </w:tc>
        <w:tc>
          <w:tcPr>
            <w:tcW w:w="774" w:type="pct"/>
            <w:tcBorders>
              <w:top w:val="single" w:color="auto" w:sz="4" w:space="0"/>
              <w:left w:val="single" w:color="auto" w:sz="4" w:space="0"/>
              <w:bottom w:val="single" w:color="auto" w:sz="4" w:space="0"/>
              <w:right w:val="single" w:color="auto" w:sz="4" w:space="0"/>
            </w:tcBorders>
            <w:vAlign w:val="center"/>
          </w:tcPr>
          <w:p w14:paraId="2AB3E780">
            <w:pPr>
              <w:spacing w:before="120" w:after="156"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8.00</w:t>
            </w:r>
          </w:p>
        </w:tc>
        <w:tc>
          <w:tcPr>
            <w:tcW w:w="982" w:type="pct"/>
            <w:tcBorders>
              <w:top w:val="single" w:color="auto" w:sz="4" w:space="0"/>
              <w:left w:val="single" w:color="auto" w:sz="4" w:space="0"/>
              <w:bottom w:val="single" w:color="auto" w:sz="4" w:space="0"/>
              <w:right w:val="single" w:color="auto" w:sz="4" w:space="0"/>
            </w:tcBorders>
            <w:vAlign w:val="center"/>
          </w:tcPr>
          <w:p w14:paraId="52C4EE9E">
            <w:pPr>
              <w:spacing w:before="120" w:after="156" w:line="280" w:lineRule="exact"/>
              <w:ind w:firstLine="0" w:firstLineChars="0"/>
              <w:jc w:val="center"/>
              <w:rPr>
                <w:rFonts w:eastAsia="宋体" w:cs="Times New Roman"/>
                <w:color w:val="000000"/>
                <w:kern w:val="0"/>
                <w:sz w:val="20"/>
                <w:szCs w:val="20"/>
              </w:rPr>
            </w:pPr>
            <w:r>
              <w:rPr>
                <w:rFonts w:hint="eastAsia" w:eastAsia="宋体" w:cs="Times New Roman"/>
                <w:color w:val="000000"/>
                <w:kern w:val="0"/>
                <w:sz w:val="20"/>
                <w:szCs w:val="20"/>
              </w:rPr>
              <w:t>1</w:t>
            </w:r>
            <w:r>
              <w:rPr>
                <w:rFonts w:eastAsia="宋体" w:cs="Times New Roman"/>
                <w:color w:val="000000"/>
                <w:kern w:val="0"/>
                <w:sz w:val="20"/>
                <w:szCs w:val="20"/>
              </w:rPr>
              <w:t>00.00</w:t>
            </w:r>
            <w:r>
              <w:rPr>
                <w:rFonts w:hint="eastAsia" w:eastAsia="宋体" w:cs="Times New Roman"/>
                <w:color w:val="000000"/>
                <w:kern w:val="0"/>
                <w:sz w:val="20"/>
                <w:szCs w:val="20"/>
              </w:rPr>
              <w:t>%</w:t>
            </w:r>
          </w:p>
        </w:tc>
      </w:tr>
      <w:tr w14:paraId="4C9BA8E0">
        <w:tblPrEx>
          <w:tblCellMar>
            <w:top w:w="0" w:type="dxa"/>
            <w:left w:w="0" w:type="dxa"/>
            <w:bottom w:w="0" w:type="dxa"/>
            <w:right w:w="0" w:type="dxa"/>
          </w:tblCellMar>
        </w:tblPrEx>
        <w:trPr>
          <w:cantSplit/>
          <w:trHeight w:val="454" w:hRule="atLeast"/>
          <w:jc w:val="center"/>
        </w:trPr>
        <w:tc>
          <w:tcPr>
            <w:tcW w:w="680" w:type="pct"/>
            <w:vMerge w:val="continue"/>
            <w:tcBorders>
              <w:left w:val="single" w:color="000000" w:sz="4" w:space="0"/>
              <w:bottom w:val="single" w:color="auto" w:sz="4" w:space="0"/>
              <w:right w:val="single" w:color="000000" w:sz="4" w:space="0"/>
            </w:tcBorders>
            <w:shd w:val="clear" w:color="auto" w:fill="FFFFFF"/>
            <w:tcMar>
              <w:top w:w="15" w:type="dxa"/>
              <w:left w:w="15" w:type="dxa"/>
              <w:right w:w="15" w:type="dxa"/>
            </w:tcMar>
            <w:textDirection w:val="tbRlV"/>
            <w:vAlign w:val="center"/>
          </w:tcPr>
          <w:p w14:paraId="57B3C812">
            <w:pPr>
              <w:spacing w:before="120" w:after="156" w:line="280" w:lineRule="exact"/>
              <w:ind w:firstLine="0" w:firstLineChars="0"/>
              <w:jc w:val="center"/>
              <w:rPr>
                <w:rFonts w:eastAsia="宋体" w:cs="Times New Roman"/>
                <w:b/>
                <w:color w:val="000000"/>
                <w:kern w:val="0"/>
                <w:sz w:val="20"/>
                <w:szCs w:val="20"/>
              </w:rPr>
            </w:pPr>
          </w:p>
        </w:tc>
        <w:tc>
          <w:tcPr>
            <w:tcW w:w="769" w:type="pct"/>
            <w:tcBorders>
              <w:top w:val="single" w:color="auto"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270F3787">
            <w:pPr>
              <w:widowControl/>
              <w:spacing w:before="120" w:after="156" w:line="280" w:lineRule="exact"/>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社会效益</w:t>
            </w:r>
          </w:p>
        </w:tc>
        <w:tc>
          <w:tcPr>
            <w:tcW w:w="1111" w:type="pct"/>
            <w:tcBorders>
              <w:top w:val="single" w:color="auto" w:sz="4" w:space="0"/>
              <w:left w:val="nil"/>
              <w:bottom w:val="single" w:color="auto" w:sz="4" w:space="0"/>
              <w:right w:val="single" w:color="000000" w:sz="4" w:space="0"/>
            </w:tcBorders>
            <w:shd w:val="clear" w:color="auto" w:fill="auto"/>
            <w:tcMar>
              <w:top w:w="15" w:type="dxa"/>
              <w:left w:w="15" w:type="dxa"/>
              <w:right w:w="15" w:type="dxa"/>
            </w:tcMar>
            <w:vAlign w:val="center"/>
          </w:tcPr>
          <w:p w14:paraId="0DD1F97B">
            <w:pPr>
              <w:spacing w:before="120" w:after="156"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执法效果提升</w:t>
            </w:r>
          </w:p>
        </w:tc>
        <w:tc>
          <w:tcPr>
            <w:tcW w:w="684" w:type="pct"/>
            <w:tcBorders>
              <w:top w:val="single" w:color="auto" w:sz="4" w:space="0"/>
              <w:left w:val="nil"/>
              <w:bottom w:val="single" w:color="auto" w:sz="4" w:space="0"/>
              <w:right w:val="single" w:color="000000" w:sz="4" w:space="0"/>
            </w:tcBorders>
            <w:vAlign w:val="center"/>
          </w:tcPr>
          <w:p w14:paraId="4B5CA971">
            <w:pPr>
              <w:spacing w:before="120" w:after="156" w:line="280" w:lineRule="exact"/>
              <w:ind w:firstLine="0" w:firstLineChars="0"/>
              <w:jc w:val="center"/>
              <w:rPr>
                <w:rFonts w:eastAsia="宋体" w:cs="Times New Roman"/>
                <w:color w:val="000000"/>
                <w:kern w:val="0"/>
                <w:sz w:val="20"/>
                <w:szCs w:val="20"/>
              </w:rPr>
            </w:pPr>
            <w:r>
              <w:rPr>
                <w:rFonts w:hint="eastAsia" w:eastAsia="宋体" w:cs="Times New Roman"/>
                <w:color w:val="000000"/>
                <w:kern w:val="0"/>
                <w:sz w:val="20"/>
                <w:szCs w:val="20"/>
              </w:rPr>
              <w:t>8</w:t>
            </w:r>
            <w:r>
              <w:rPr>
                <w:rFonts w:eastAsia="宋体" w:cs="Times New Roman"/>
                <w:color w:val="000000"/>
                <w:kern w:val="0"/>
                <w:sz w:val="20"/>
                <w:szCs w:val="20"/>
              </w:rPr>
              <w:t>.00</w:t>
            </w:r>
          </w:p>
        </w:tc>
        <w:tc>
          <w:tcPr>
            <w:tcW w:w="774" w:type="pct"/>
            <w:tcBorders>
              <w:top w:val="single" w:color="auto" w:sz="4" w:space="0"/>
              <w:left w:val="nil"/>
              <w:bottom w:val="single" w:color="auto" w:sz="4" w:space="0"/>
              <w:right w:val="single" w:color="000000" w:sz="4" w:space="0"/>
            </w:tcBorders>
            <w:vAlign w:val="center"/>
          </w:tcPr>
          <w:p w14:paraId="3CDD3203">
            <w:pPr>
              <w:spacing w:before="120" w:after="156" w:line="28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8.00</w:t>
            </w:r>
          </w:p>
        </w:tc>
        <w:tc>
          <w:tcPr>
            <w:tcW w:w="982" w:type="pct"/>
            <w:tcBorders>
              <w:top w:val="single" w:color="auto" w:sz="4" w:space="0"/>
              <w:left w:val="nil"/>
              <w:bottom w:val="single" w:color="auto" w:sz="4" w:space="0"/>
              <w:right w:val="single" w:color="000000" w:sz="4" w:space="0"/>
            </w:tcBorders>
            <w:vAlign w:val="center"/>
          </w:tcPr>
          <w:p w14:paraId="0CD46E64">
            <w:pPr>
              <w:spacing w:before="120" w:after="156" w:line="280" w:lineRule="exact"/>
              <w:ind w:firstLine="0" w:firstLineChars="0"/>
              <w:jc w:val="center"/>
              <w:rPr>
                <w:rFonts w:eastAsia="宋体" w:cs="Times New Roman"/>
                <w:color w:val="000000"/>
                <w:kern w:val="0"/>
                <w:sz w:val="20"/>
                <w:szCs w:val="20"/>
              </w:rPr>
            </w:pPr>
            <w:r>
              <w:rPr>
                <w:rFonts w:hint="eastAsia" w:eastAsia="宋体" w:cs="Times New Roman"/>
                <w:color w:val="000000"/>
                <w:kern w:val="0"/>
                <w:sz w:val="20"/>
                <w:szCs w:val="20"/>
              </w:rPr>
              <w:t>1</w:t>
            </w:r>
            <w:r>
              <w:rPr>
                <w:rFonts w:eastAsia="宋体" w:cs="Times New Roman"/>
                <w:color w:val="000000"/>
                <w:kern w:val="0"/>
                <w:sz w:val="20"/>
                <w:szCs w:val="20"/>
              </w:rPr>
              <w:t>00.00</w:t>
            </w:r>
            <w:r>
              <w:rPr>
                <w:rFonts w:hint="eastAsia" w:eastAsia="宋体" w:cs="Times New Roman"/>
                <w:color w:val="000000"/>
                <w:kern w:val="0"/>
                <w:sz w:val="20"/>
                <w:szCs w:val="20"/>
              </w:rPr>
              <w:t>%</w:t>
            </w:r>
          </w:p>
        </w:tc>
      </w:tr>
      <w:tr w14:paraId="2F9C73E2">
        <w:tblPrEx>
          <w:tblCellMar>
            <w:top w:w="0" w:type="dxa"/>
            <w:left w:w="0" w:type="dxa"/>
            <w:bottom w:w="0" w:type="dxa"/>
            <w:right w:w="0" w:type="dxa"/>
          </w:tblCellMar>
        </w:tblPrEx>
        <w:trPr>
          <w:cantSplit/>
          <w:trHeight w:val="454" w:hRule="atLeast"/>
          <w:jc w:val="center"/>
        </w:trPr>
        <w:tc>
          <w:tcPr>
            <w:tcW w:w="2560" w:type="pct"/>
            <w:gridSpan w:val="3"/>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0AAA7C36">
            <w:pPr>
              <w:spacing w:before="120" w:after="156" w:line="280" w:lineRule="exact"/>
              <w:ind w:firstLine="0" w:firstLineChars="0"/>
              <w:jc w:val="center"/>
              <w:rPr>
                <w:rFonts w:eastAsia="宋体" w:cs="Times New Roman"/>
                <w:b/>
                <w:bCs/>
                <w:color w:val="000000"/>
                <w:kern w:val="0"/>
                <w:sz w:val="20"/>
                <w:szCs w:val="20"/>
              </w:rPr>
            </w:pPr>
            <w:r>
              <w:rPr>
                <w:rFonts w:hint="eastAsia" w:eastAsia="宋体" w:cs="Times New Roman"/>
                <w:b/>
                <w:bCs/>
                <w:color w:val="000000"/>
                <w:kern w:val="0"/>
                <w:sz w:val="20"/>
                <w:szCs w:val="20"/>
              </w:rPr>
              <w:t>合计</w:t>
            </w:r>
          </w:p>
        </w:tc>
        <w:tc>
          <w:tcPr>
            <w:tcW w:w="684" w:type="pct"/>
            <w:tcBorders>
              <w:top w:val="single" w:color="auto" w:sz="4" w:space="0"/>
              <w:left w:val="single" w:color="auto" w:sz="4" w:space="0"/>
              <w:bottom w:val="single" w:color="000000" w:sz="4" w:space="0"/>
              <w:right w:val="single" w:color="000000" w:sz="4" w:space="0"/>
            </w:tcBorders>
            <w:vAlign w:val="center"/>
          </w:tcPr>
          <w:p w14:paraId="496BC722">
            <w:pPr>
              <w:spacing w:before="120" w:after="156" w:line="280" w:lineRule="exact"/>
              <w:ind w:firstLine="0" w:firstLineChars="0"/>
              <w:jc w:val="center"/>
              <w:rPr>
                <w:rFonts w:eastAsia="宋体" w:cs="Times New Roman"/>
                <w:b/>
                <w:bCs/>
                <w:color w:val="000000"/>
                <w:kern w:val="0"/>
                <w:sz w:val="20"/>
                <w:szCs w:val="20"/>
              </w:rPr>
            </w:pPr>
            <w:r>
              <w:rPr>
                <w:rFonts w:hint="eastAsia" w:eastAsia="宋体" w:cs="Times New Roman"/>
                <w:b/>
                <w:bCs/>
                <w:color w:val="000000"/>
                <w:kern w:val="0"/>
                <w:sz w:val="20"/>
                <w:szCs w:val="20"/>
              </w:rPr>
              <w:t>1</w:t>
            </w:r>
            <w:r>
              <w:rPr>
                <w:rFonts w:eastAsia="宋体" w:cs="Times New Roman"/>
                <w:b/>
                <w:bCs/>
                <w:color w:val="000000"/>
                <w:kern w:val="0"/>
                <w:sz w:val="20"/>
                <w:szCs w:val="20"/>
              </w:rPr>
              <w:t>00.00</w:t>
            </w:r>
          </w:p>
        </w:tc>
        <w:tc>
          <w:tcPr>
            <w:tcW w:w="774" w:type="pct"/>
            <w:tcBorders>
              <w:top w:val="single" w:color="auto" w:sz="4" w:space="0"/>
              <w:left w:val="nil"/>
              <w:bottom w:val="single" w:color="000000" w:sz="4" w:space="0"/>
              <w:right w:val="single" w:color="000000" w:sz="4" w:space="0"/>
            </w:tcBorders>
            <w:vAlign w:val="center"/>
          </w:tcPr>
          <w:p w14:paraId="46C340F0">
            <w:pPr>
              <w:spacing w:before="120" w:after="156" w:line="280" w:lineRule="exact"/>
              <w:ind w:firstLine="0" w:firstLineChars="0"/>
              <w:jc w:val="center"/>
              <w:rPr>
                <w:rFonts w:eastAsia="宋体" w:cs="Times New Roman"/>
                <w:b/>
                <w:bCs/>
                <w:color w:val="000000"/>
                <w:kern w:val="0"/>
                <w:sz w:val="20"/>
                <w:szCs w:val="20"/>
              </w:rPr>
            </w:pPr>
            <w:r>
              <w:rPr>
                <w:rFonts w:hint="eastAsia" w:eastAsia="宋体" w:cs="Times New Roman"/>
                <w:b/>
                <w:bCs/>
                <w:color w:val="000000"/>
                <w:kern w:val="0"/>
                <w:sz w:val="20"/>
                <w:szCs w:val="20"/>
              </w:rPr>
              <w:t>9</w:t>
            </w:r>
            <w:r>
              <w:rPr>
                <w:rFonts w:eastAsia="宋体" w:cs="Times New Roman"/>
                <w:b/>
                <w:bCs/>
                <w:color w:val="000000"/>
                <w:kern w:val="0"/>
                <w:sz w:val="20"/>
                <w:szCs w:val="20"/>
              </w:rPr>
              <w:t>5.20</w:t>
            </w:r>
          </w:p>
        </w:tc>
        <w:tc>
          <w:tcPr>
            <w:tcW w:w="982" w:type="pct"/>
            <w:tcBorders>
              <w:top w:val="single" w:color="auto" w:sz="4" w:space="0"/>
              <w:left w:val="nil"/>
              <w:bottom w:val="single" w:color="000000" w:sz="4" w:space="0"/>
              <w:right w:val="single" w:color="000000" w:sz="4" w:space="0"/>
            </w:tcBorders>
            <w:vAlign w:val="center"/>
          </w:tcPr>
          <w:p w14:paraId="4B9F0C02">
            <w:pPr>
              <w:spacing w:before="120" w:after="156" w:line="280" w:lineRule="exact"/>
              <w:ind w:firstLine="0" w:firstLineChars="0"/>
              <w:jc w:val="center"/>
              <w:rPr>
                <w:rFonts w:eastAsia="宋体" w:cs="Times New Roman"/>
                <w:b/>
                <w:bCs/>
                <w:color w:val="000000"/>
                <w:kern w:val="0"/>
                <w:sz w:val="20"/>
                <w:szCs w:val="20"/>
              </w:rPr>
            </w:pPr>
            <w:r>
              <w:rPr>
                <w:rFonts w:hint="eastAsia" w:eastAsia="宋体" w:cs="Times New Roman"/>
                <w:b/>
                <w:bCs/>
                <w:color w:val="000000"/>
                <w:kern w:val="0"/>
                <w:sz w:val="20"/>
                <w:szCs w:val="20"/>
              </w:rPr>
              <w:t>9</w:t>
            </w:r>
            <w:r>
              <w:rPr>
                <w:rFonts w:eastAsia="宋体" w:cs="Times New Roman"/>
                <w:b/>
                <w:bCs/>
                <w:color w:val="000000"/>
                <w:kern w:val="0"/>
                <w:sz w:val="20"/>
                <w:szCs w:val="20"/>
              </w:rPr>
              <w:t>5.20</w:t>
            </w:r>
            <w:r>
              <w:rPr>
                <w:rFonts w:hint="eastAsia" w:eastAsia="宋体" w:cs="Times New Roman"/>
                <w:b/>
                <w:bCs/>
                <w:color w:val="000000"/>
                <w:kern w:val="0"/>
                <w:sz w:val="20"/>
                <w:szCs w:val="20"/>
              </w:rPr>
              <w:t>%</w:t>
            </w:r>
          </w:p>
        </w:tc>
      </w:tr>
    </w:tbl>
    <w:p w14:paraId="20165FB3">
      <w:pPr>
        <w:ind w:firstLine="640"/>
      </w:pPr>
    </w:p>
    <w:p w14:paraId="15620B28">
      <w:pPr>
        <w:pStyle w:val="3"/>
        <w:ind w:firstLine="643"/>
      </w:pPr>
      <w:bookmarkStart w:id="24" w:name="_Toc76627654"/>
      <w:r>
        <w:t>（二）绩效分析</w:t>
      </w:r>
      <w:bookmarkEnd w:id="23"/>
      <w:bookmarkEnd w:id="24"/>
    </w:p>
    <w:p w14:paraId="6D52A8B0">
      <w:pPr>
        <w:pStyle w:val="4"/>
        <w:ind w:firstLine="643"/>
      </w:pPr>
      <w:bookmarkStart w:id="25" w:name="_Toc76627655"/>
      <w:r>
        <w:t>1.</w:t>
      </w:r>
      <w:r>
        <w:rPr>
          <w:rFonts w:hint="eastAsia"/>
        </w:rPr>
        <w:t>项目决策指标分析</w:t>
      </w:r>
      <w:bookmarkEnd w:id="25"/>
    </w:p>
    <w:p w14:paraId="171E59C2">
      <w:pPr>
        <w:ind w:firstLine="640"/>
      </w:pPr>
      <w:r>
        <w:rPr>
          <w:rFonts w:hint="eastAsia"/>
        </w:rPr>
        <w:t>在项目决策指标上，设置了项目依据充分性、绩效目标明确性、绩效目标合理性3个三级指标。</w:t>
      </w:r>
    </w:p>
    <w:p w14:paraId="026617A9">
      <w:pPr>
        <w:ind w:firstLine="0" w:firstLineChars="0"/>
        <w:jc w:val="center"/>
        <w:rPr>
          <w:rFonts w:eastAsia="幼圆" w:cs="Times New Roman"/>
          <w:b/>
          <w:sz w:val="28"/>
          <w:szCs w:val="28"/>
        </w:rPr>
      </w:pPr>
      <w:r>
        <w:rPr>
          <w:rFonts w:hint="eastAsia" w:eastAsia="幼圆" w:cs="Times New Roman"/>
          <w:b/>
          <w:sz w:val="28"/>
          <w:szCs w:val="28"/>
        </w:rPr>
        <w:t>附表项目决策指标得分</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1"/>
        <w:gridCol w:w="1771"/>
        <w:gridCol w:w="2129"/>
        <w:gridCol w:w="1075"/>
        <w:gridCol w:w="809"/>
        <w:gridCol w:w="967"/>
      </w:tblGrid>
      <w:tr w14:paraId="28D23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blHeader/>
          <w:jc w:val="center"/>
        </w:trPr>
        <w:tc>
          <w:tcPr>
            <w:tcW w:w="1040" w:type="pct"/>
            <w:shd w:val="clear" w:color="000000" w:fill="00516B"/>
            <w:vAlign w:val="center"/>
          </w:tcPr>
          <w:p w14:paraId="21A65A01">
            <w:pPr>
              <w:widowControl/>
              <w:spacing w:line="320" w:lineRule="exact"/>
              <w:ind w:firstLine="0" w:firstLineChars="0"/>
              <w:jc w:val="center"/>
              <w:rPr>
                <w:rFonts w:eastAsia="宋体" w:cs="Times New Roman"/>
                <w:b/>
                <w:bCs/>
                <w:color w:val="FFFFFF"/>
                <w:kern w:val="0"/>
                <w:sz w:val="20"/>
                <w:szCs w:val="20"/>
              </w:rPr>
            </w:pPr>
            <w:r>
              <w:rPr>
                <w:rFonts w:hint="eastAsia" w:eastAsia="宋体" w:cs="Times New Roman"/>
                <w:b/>
                <w:bCs/>
                <w:color w:val="FFFFFF"/>
                <w:kern w:val="0"/>
                <w:sz w:val="20"/>
                <w:szCs w:val="20"/>
              </w:rPr>
              <w:t>一级指标</w:t>
            </w:r>
          </w:p>
        </w:tc>
        <w:tc>
          <w:tcPr>
            <w:tcW w:w="1040" w:type="pct"/>
            <w:shd w:val="clear" w:color="000000" w:fill="00516B"/>
            <w:vAlign w:val="center"/>
          </w:tcPr>
          <w:p w14:paraId="05D7A745">
            <w:pPr>
              <w:widowControl/>
              <w:spacing w:line="32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二级指标</w:t>
            </w:r>
          </w:p>
        </w:tc>
        <w:tc>
          <w:tcPr>
            <w:tcW w:w="1250" w:type="pct"/>
            <w:shd w:val="clear" w:color="000000" w:fill="00516B"/>
            <w:vAlign w:val="center"/>
          </w:tcPr>
          <w:p w14:paraId="3D38B073">
            <w:pPr>
              <w:widowControl/>
              <w:spacing w:line="32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三级指标</w:t>
            </w:r>
          </w:p>
        </w:tc>
        <w:tc>
          <w:tcPr>
            <w:tcW w:w="632" w:type="pct"/>
            <w:shd w:val="clear" w:color="000000" w:fill="00516B"/>
            <w:vAlign w:val="center"/>
          </w:tcPr>
          <w:p w14:paraId="42D5EFF6">
            <w:pPr>
              <w:widowControl/>
              <w:spacing w:line="320" w:lineRule="exact"/>
              <w:ind w:firstLine="0" w:firstLineChars="0"/>
              <w:jc w:val="center"/>
              <w:rPr>
                <w:rFonts w:eastAsia="宋体" w:cs="Times New Roman"/>
                <w:b/>
                <w:bCs/>
                <w:color w:val="FFFFFF"/>
                <w:kern w:val="0"/>
                <w:sz w:val="20"/>
                <w:szCs w:val="20"/>
              </w:rPr>
            </w:pPr>
            <w:r>
              <w:rPr>
                <w:rFonts w:hint="eastAsia" w:eastAsia="宋体" w:cs="Times New Roman"/>
                <w:b/>
                <w:bCs/>
                <w:color w:val="FFFFFF"/>
                <w:kern w:val="0"/>
                <w:sz w:val="20"/>
                <w:szCs w:val="20"/>
              </w:rPr>
              <w:t>指标分值</w:t>
            </w:r>
          </w:p>
        </w:tc>
        <w:tc>
          <w:tcPr>
            <w:tcW w:w="476" w:type="pct"/>
            <w:shd w:val="clear" w:color="000000" w:fill="00516B"/>
            <w:vAlign w:val="center"/>
          </w:tcPr>
          <w:p w14:paraId="24639573">
            <w:pPr>
              <w:widowControl/>
              <w:spacing w:line="32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w:t>
            </w:r>
          </w:p>
        </w:tc>
        <w:tc>
          <w:tcPr>
            <w:tcW w:w="562" w:type="pct"/>
            <w:shd w:val="clear" w:color="000000" w:fill="00516B"/>
            <w:vAlign w:val="center"/>
          </w:tcPr>
          <w:p w14:paraId="1B691188">
            <w:pPr>
              <w:widowControl/>
              <w:spacing w:line="32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得分率</w:t>
            </w:r>
          </w:p>
        </w:tc>
      </w:tr>
      <w:tr w14:paraId="62DF8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040" w:type="pct"/>
            <w:vMerge w:val="restart"/>
            <w:vAlign w:val="center"/>
          </w:tcPr>
          <w:p w14:paraId="247E550D">
            <w:pPr>
              <w:widowControl/>
              <w:spacing w:line="320" w:lineRule="exact"/>
              <w:ind w:firstLine="0" w:firstLineChars="0"/>
              <w:jc w:val="center"/>
              <w:rPr>
                <w:rFonts w:eastAsia="宋体" w:cs="Times New Roman"/>
                <w:color w:val="000000"/>
                <w:kern w:val="0"/>
                <w:sz w:val="20"/>
                <w:szCs w:val="20"/>
              </w:rPr>
            </w:pPr>
            <w:r>
              <w:rPr>
                <w:rFonts w:hint="eastAsia" w:eastAsia="宋体" w:cs="Times New Roman"/>
                <w:color w:val="000000"/>
                <w:kern w:val="0"/>
                <w:sz w:val="20"/>
                <w:szCs w:val="20"/>
              </w:rPr>
              <w:t>项目决策</w:t>
            </w:r>
          </w:p>
        </w:tc>
        <w:tc>
          <w:tcPr>
            <w:tcW w:w="1040" w:type="pct"/>
            <w:shd w:val="clear" w:color="auto" w:fill="auto"/>
            <w:vAlign w:val="center"/>
          </w:tcPr>
          <w:p w14:paraId="1D91A852">
            <w:pPr>
              <w:widowControl/>
              <w:spacing w:line="320" w:lineRule="exact"/>
              <w:ind w:firstLine="0" w:firstLineChars="0"/>
              <w:jc w:val="center"/>
              <w:rPr>
                <w:rFonts w:eastAsia="宋体" w:cs="Times New Roman"/>
                <w:color w:val="000000"/>
                <w:kern w:val="0"/>
                <w:sz w:val="20"/>
                <w:szCs w:val="20"/>
              </w:rPr>
            </w:pPr>
            <w:r>
              <w:rPr>
                <w:rFonts w:hint="eastAsia" w:eastAsia="宋体" w:cs="Times New Roman"/>
                <w:color w:val="000000"/>
                <w:kern w:val="0"/>
                <w:sz w:val="20"/>
                <w:szCs w:val="20"/>
              </w:rPr>
              <w:t>项目依据</w:t>
            </w:r>
          </w:p>
        </w:tc>
        <w:tc>
          <w:tcPr>
            <w:tcW w:w="1250" w:type="pct"/>
            <w:shd w:val="clear" w:color="auto" w:fill="auto"/>
            <w:vAlign w:val="center"/>
          </w:tcPr>
          <w:p w14:paraId="77F30809">
            <w:pPr>
              <w:widowControl/>
              <w:spacing w:line="320" w:lineRule="exact"/>
              <w:ind w:firstLine="0" w:firstLineChars="0"/>
              <w:jc w:val="center"/>
              <w:rPr>
                <w:rFonts w:eastAsia="宋体" w:cs="Times New Roman"/>
                <w:color w:val="000000"/>
                <w:kern w:val="0"/>
                <w:sz w:val="20"/>
                <w:szCs w:val="20"/>
              </w:rPr>
            </w:pPr>
            <w:r>
              <w:rPr>
                <w:rFonts w:hint="eastAsia" w:eastAsia="宋体" w:cs="Times New Roman"/>
                <w:color w:val="000000"/>
                <w:kern w:val="0"/>
                <w:sz w:val="20"/>
                <w:szCs w:val="20"/>
              </w:rPr>
              <w:t>项目依据充分性</w:t>
            </w:r>
          </w:p>
        </w:tc>
        <w:tc>
          <w:tcPr>
            <w:tcW w:w="632" w:type="pct"/>
            <w:shd w:val="clear" w:color="auto" w:fill="auto"/>
            <w:vAlign w:val="center"/>
          </w:tcPr>
          <w:p w14:paraId="41882E97">
            <w:pPr>
              <w:widowControl/>
              <w:spacing w:line="320" w:lineRule="exact"/>
              <w:ind w:firstLine="0" w:firstLineChars="0"/>
              <w:jc w:val="center"/>
              <w:rPr>
                <w:rFonts w:eastAsia="宋体" w:cs="Times New Roman"/>
                <w:color w:val="000000"/>
                <w:kern w:val="0"/>
                <w:sz w:val="20"/>
                <w:szCs w:val="20"/>
              </w:rPr>
            </w:pPr>
            <w:r>
              <w:rPr>
                <w:rFonts w:hint="eastAsia" w:eastAsia="宋体" w:cs="Times New Roman"/>
                <w:color w:val="000000"/>
                <w:kern w:val="0"/>
                <w:sz w:val="20"/>
                <w:szCs w:val="20"/>
              </w:rPr>
              <w:t>8</w:t>
            </w:r>
            <w:r>
              <w:rPr>
                <w:rFonts w:eastAsia="宋体" w:cs="Times New Roman"/>
                <w:color w:val="000000"/>
                <w:kern w:val="0"/>
                <w:sz w:val="20"/>
                <w:szCs w:val="20"/>
              </w:rPr>
              <w:t>.00</w:t>
            </w:r>
          </w:p>
        </w:tc>
        <w:tc>
          <w:tcPr>
            <w:tcW w:w="476" w:type="pct"/>
            <w:shd w:val="clear" w:color="auto" w:fill="auto"/>
            <w:noWrap/>
            <w:vAlign w:val="center"/>
          </w:tcPr>
          <w:p w14:paraId="2070314C">
            <w:pPr>
              <w:widowControl/>
              <w:spacing w:line="320" w:lineRule="exact"/>
              <w:ind w:firstLine="0" w:firstLineChars="0"/>
              <w:jc w:val="center"/>
              <w:rPr>
                <w:rFonts w:eastAsia="宋体" w:cs="Times New Roman"/>
                <w:color w:val="000000"/>
                <w:kern w:val="0"/>
                <w:sz w:val="20"/>
                <w:szCs w:val="20"/>
              </w:rPr>
            </w:pPr>
            <w:r>
              <w:rPr>
                <w:rFonts w:hint="eastAsia" w:eastAsia="宋体" w:cs="Times New Roman"/>
                <w:color w:val="000000"/>
                <w:kern w:val="0"/>
                <w:sz w:val="20"/>
                <w:szCs w:val="20"/>
              </w:rPr>
              <w:t>8</w:t>
            </w:r>
            <w:r>
              <w:rPr>
                <w:rFonts w:eastAsia="宋体" w:cs="Times New Roman"/>
                <w:color w:val="000000"/>
                <w:kern w:val="0"/>
                <w:sz w:val="20"/>
                <w:szCs w:val="20"/>
              </w:rPr>
              <w:t>.00</w:t>
            </w:r>
          </w:p>
        </w:tc>
        <w:tc>
          <w:tcPr>
            <w:tcW w:w="562" w:type="pct"/>
            <w:shd w:val="clear" w:color="auto" w:fill="auto"/>
            <w:noWrap/>
            <w:vAlign w:val="center"/>
          </w:tcPr>
          <w:p w14:paraId="0B1FED4E">
            <w:pPr>
              <w:widowControl/>
              <w:spacing w:line="320" w:lineRule="exact"/>
              <w:ind w:firstLine="0" w:firstLineChars="0"/>
              <w:jc w:val="center"/>
              <w:rPr>
                <w:rFonts w:eastAsia="宋体" w:cs="Times New Roman"/>
                <w:color w:val="000000"/>
                <w:kern w:val="0"/>
                <w:sz w:val="20"/>
                <w:szCs w:val="20"/>
              </w:rPr>
            </w:pPr>
            <w:r>
              <w:rPr>
                <w:rFonts w:eastAsia="宋体" w:cs="Times New Roman"/>
                <w:sz w:val="20"/>
                <w:szCs w:val="20"/>
              </w:rPr>
              <w:t>100.00%</w:t>
            </w:r>
          </w:p>
        </w:tc>
      </w:tr>
      <w:tr w14:paraId="7FD42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040" w:type="pct"/>
            <w:vMerge w:val="continue"/>
            <w:vAlign w:val="center"/>
          </w:tcPr>
          <w:p w14:paraId="3381C0B3">
            <w:pPr>
              <w:widowControl/>
              <w:spacing w:line="320" w:lineRule="exact"/>
              <w:ind w:firstLine="0" w:firstLineChars="0"/>
              <w:jc w:val="center"/>
              <w:rPr>
                <w:rFonts w:eastAsia="宋体" w:cs="Times New Roman"/>
                <w:color w:val="000000"/>
                <w:kern w:val="0"/>
                <w:sz w:val="20"/>
                <w:szCs w:val="20"/>
              </w:rPr>
            </w:pPr>
          </w:p>
        </w:tc>
        <w:tc>
          <w:tcPr>
            <w:tcW w:w="1040" w:type="pct"/>
            <w:vMerge w:val="restart"/>
            <w:shd w:val="clear" w:color="auto" w:fill="auto"/>
            <w:vAlign w:val="center"/>
          </w:tcPr>
          <w:p w14:paraId="13CA68F9">
            <w:pPr>
              <w:widowControl/>
              <w:spacing w:line="320" w:lineRule="exact"/>
              <w:ind w:firstLine="0" w:firstLineChars="0"/>
              <w:jc w:val="center"/>
              <w:rPr>
                <w:rFonts w:eastAsia="宋体" w:cs="Times New Roman"/>
                <w:color w:val="000000"/>
                <w:kern w:val="0"/>
                <w:sz w:val="20"/>
                <w:szCs w:val="20"/>
              </w:rPr>
            </w:pPr>
            <w:r>
              <w:rPr>
                <w:rFonts w:hint="eastAsia" w:eastAsia="宋体" w:cs="Times New Roman"/>
                <w:color w:val="000000"/>
                <w:kern w:val="0"/>
                <w:sz w:val="20"/>
                <w:szCs w:val="20"/>
              </w:rPr>
              <w:t>绩效目标</w:t>
            </w:r>
          </w:p>
        </w:tc>
        <w:tc>
          <w:tcPr>
            <w:tcW w:w="1250" w:type="pct"/>
            <w:shd w:val="clear" w:color="auto" w:fill="auto"/>
            <w:vAlign w:val="center"/>
          </w:tcPr>
          <w:p w14:paraId="5729D90B">
            <w:pPr>
              <w:widowControl/>
              <w:spacing w:line="320" w:lineRule="exact"/>
              <w:ind w:firstLine="0" w:firstLineChars="0"/>
              <w:jc w:val="center"/>
              <w:rPr>
                <w:rFonts w:eastAsia="宋体" w:cs="Times New Roman"/>
                <w:color w:val="000000"/>
                <w:kern w:val="0"/>
                <w:sz w:val="20"/>
                <w:szCs w:val="20"/>
              </w:rPr>
            </w:pPr>
            <w:r>
              <w:rPr>
                <w:rFonts w:hint="eastAsia" w:eastAsia="宋体" w:cs="Times New Roman"/>
                <w:color w:val="000000"/>
                <w:kern w:val="0"/>
                <w:sz w:val="20"/>
                <w:szCs w:val="20"/>
              </w:rPr>
              <w:t>绩效目标明确</w:t>
            </w:r>
            <w:r>
              <w:rPr>
                <w:rFonts w:eastAsia="宋体" w:cs="Times New Roman"/>
                <w:color w:val="000000"/>
                <w:kern w:val="0"/>
                <w:sz w:val="20"/>
                <w:szCs w:val="20"/>
              </w:rPr>
              <w:t>性</w:t>
            </w:r>
          </w:p>
        </w:tc>
        <w:tc>
          <w:tcPr>
            <w:tcW w:w="632" w:type="pct"/>
            <w:shd w:val="clear" w:color="auto" w:fill="auto"/>
            <w:vAlign w:val="center"/>
          </w:tcPr>
          <w:p w14:paraId="7B786ADC">
            <w:pPr>
              <w:widowControl/>
              <w:spacing w:line="320" w:lineRule="exact"/>
              <w:ind w:firstLine="0" w:firstLineChars="0"/>
              <w:jc w:val="center"/>
              <w:rPr>
                <w:rFonts w:eastAsia="宋体" w:cs="Times New Roman"/>
                <w:color w:val="000000"/>
                <w:kern w:val="0"/>
                <w:sz w:val="20"/>
                <w:szCs w:val="20"/>
              </w:rPr>
            </w:pPr>
            <w:r>
              <w:rPr>
                <w:rFonts w:hint="eastAsia" w:eastAsia="宋体" w:cs="Times New Roman"/>
                <w:color w:val="000000"/>
                <w:kern w:val="0"/>
                <w:sz w:val="20"/>
                <w:szCs w:val="20"/>
              </w:rPr>
              <w:t>8</w:t>
            </w:r>
            <w:r>
              <w:rPr>
                <w:rFonts w:eastAsia="宋体" w:cs="Times New Roman"/>
                <w:color w:val="000000"/>
                <w:kern w:val="0"/>
                <w:sz w:val="20"/>
                <w:szCs w:val="20"/>
              </w:rPr>
              <w:t>.00</w:t>
            </w:r>
          </w:p>
        </w:tc>
        <w:tc>
          <w:tcPr>
            <w:tcW w:w="476" w:type="pct"/>
            <w:shd w:val="clear" w:color="auto" w:fill="auto"/>
            <w:noWrap/>
            <w:vAlign w:val="center"/>
          </w:tcPr>
          <w:p w14:paraId="55A88164">
            <w:pPr>
              <w:widowControl/>
              <w:spacing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8.00</w:t>
            </w:r>
          </w:p>
        </w:tc>
        <w:tc>
          <w:tcPr>
            <w:tcW w:w="562" w:type="pct"/>
            <w:shd w:val="clear" w:color="auto" w:fill="auto"/>
            <w:noWrap/>
            <w:vAlign w:val="center"/>
          </w:tcPr>
          <w:p w14:paraId="3C78C2C1">
            <w:pPr>
              <w:widowControl/>
              <w:spacing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100.00%</w:t>
            </w:r>
          </w:p>
        </w:tc>
      </w:tr>
      <w:tr w14:paraId="4E3CF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040" w:type="pct"/>
            <w:vMerge w:val="continue"/>
            <w:vAlign w:val="center"/>
          </w:tcPr>
          <w:p w14:paraId="0A2B01E6">
            <w:pPr>
              <w:widowControl/>
              <w:spacing w:line="320" w:lineRule="exact"/>
              <w:ind w:firstLine="0" w:firstLineChars="0"/>
              <w:jc w:val="center"/>
              <w:rPr>
                <w:rFonts w:eastAsia="宋体" w:cs="Times New Roman"/>
                <w:color w:val="000000"/>
                <w:kern w:val="0"/>
                <w:sz w:val="20"/>
                <w:szCs w:val="20"/>
              </w:rPr>
            </w:pPr>
          </w:p>
        </w:tc>
        <w:tc>
          <w:tcPr>
            <w:tcW w:w="1040" w:type="pct"/>
            <w:vMerge w:val="continue"/>
            <w:vAlign w:val="center"/>
          </w:tcPr>
          <w:p w14:paraId="2EF47DB1">
            <w:pPr>
              <w:widowControl/>
              <w:spacing w:line="320" w:lineRule="exact"/>
              <w:ind w:firstLine="0" w:firstLineChars="0"/>
              <w:jc w:val="center"/>
              <w:rPr>
                <w:rFonts w:eastAsia="宋体" w:cs="Times New Roman"/>
                <w:color w:val="000000"/>
                <w:kern w:val="0"/>
                <w:sz w:val="20"/>
                <w:szCs w:val="20"/>
              </w:rPr>
            </w:pPr>
          </w:p>
        </w:tc>
        <w:tc>
          <w:tcPr>
            <w:tcW w:w="1250" w:type="pct"/>
            <w:shd w:val="clear" w:color="auto" w:fill="auto"/>
            <w:vAlign w:val="center"/>
          </w:tcPr>
          <w:p w14:paraId="7486BE6C">
            <w:pPr>
              <w:widowControl/>
              <w:spacing w:line="320" w:lineRule="exact"/>
              <w:ind w:firstLine="0" w:firstLineChars="0"/>
              <w:jc w:val="center"/>
              <w:rPr>
                <w:rFonts w:eastAsia="宋体" w:cs="Times New Roman"/>
                <w:color w:val="000000"/>
                <w:kern w:val="0"/>
                <w:sz w:val="20"/>
                <w:szCs w:val="20"/>
              </w:rPr>
            </w:pPr>
            <w:r>
              <w:rPr>
                <w:rFonts w:hint="eastAsia" w:eastAsia="宋体" w:cs="Times New Roman"/>
                <w:color w:val="000000"/>
                <w:kern w:val="0"/>
                <w:sz w:val="20"/>
                <w:szCs w:val="20"/>
              </w:rPr>
              <w:t>绩效目标合理性</w:t>
            </w:r>
          </w:p>
        </w:tc>
        <w:tc>
          <w:tcPr>
            <w:tcW w:w="632" w:type="pct"/>
            <w:shd w:val="clear" w:color="auto" w:fill="auto"/>
            <w:vAlign w:val="center"/>
          </w:tcPr>
          <w:p w14:paraId="70442E3E">
            <w:pPr>
              <w:widowControl/>
              <w:spacing w:line="320" w:lineRule="exact"/>
              <w:ind w:firstLine="0" w:firstLineChars="0"/>
              <w:jc w:val="center"/>
              <w:rPr>
                <w:rFonts w:eastAsia="宋体" w:cs="Times New Roman"/>
                <w:color w:val="000000"/>
                <w:kern w:val="0"/>
                <w:sz w:val="20"/>
                <w:szCs w:val="20"/>
              </w:rPr>
            </w:pPr>
            <w:r>
              <w:rPr>
                <w:rFonts w:hint="eastAsia" w:eastAsia="宋体" w:cs="Times New Roman"/>
                <w:color w:val="000000"/>
                <w:kern w:val="0"/>
                <w:sz w:val="20"/>
                <w:szCs w:val="20"/>
              </w:rPr>
              <w:t>8</w:t>
            </w:r>
            <w:r>
              <w:rPr>
                <w:rFonts w:eastAsia="宋体" w:cs="Times New Roman"/>
                <w:color w:val="000000"/>
                <w:kern w:val="0"/>
                <w:sz w:val="20"/>
                <w:szCs w:val="20"/>
              </w:rPr>
              <w:t>.00</w:t>
            </w:r>
          </w:p>
        </w:tc>
        <w:tc>
          <w:tcPr>
            <w:tcW w:w="476" w:type="pct"/>
            <w:shd w:val="clear" w:color="auto" w:fill="auto"/>
            <w:noWrap/>
            <w:vAlign w:val="center"/>
          </w:tcPr>
          <w:p w14:paraId="02AEE7DB">
            <w:pPr>
              <w:widowControl/>
              <w:spacing w:line="320" w:lineRule="exact"/>
              <w:ind w:firstLine="0" w:firstLineChars="0"/>
              <w:jc w:val="center"/>
              <w:rPr>
                <w:rFonts w:eastAsia="宋体" w:cs="Times New Roman"/>
                <w:color w:val="000000"/>
                <w:kern w:val="0"/>
                <w:sz w:val="20"/>
                <w:szCs w:val="20"/>
              </w:rPr>
            </w:pPr>
            <w:r>
              <w:rPr>
                <w:rFonts w:hint="eastAsia" w:eastAsia="宋体" w:cs="Times New Roman"/>
                <w:color w:val="000000"/>
                <w:kern w:val="0"/>
                <w:sz w:val="20"/>
                <w:szCs w:val="20"/>
              </w:rPr>
              <w:t>8</w:t>
            </w:r>
            <w:r>
              <w:rPr>
                <w:rFonts w:eastAsia="宋体" w:cs="Times New Roman"/>
                <w:color w:val="000000"/>
                <w:kern w:val="0"/>
                <w:sz w:val="20"/>
                <w:szCs w:val="20"/>
              </w:rPr>
              <w:t>.00</w:t>
            </w:r>
          </w:p>
        </w:tc>
        <w:tc>
          <w:tcPr>
            <w:tcW w:w="562" w:type="pct"/>
            <w:shd w:val="clear" w:color="auto" w:fill="auto"/>
            <w:noWrap/>
            <w:vAlign w:val="center"/>
          </w:tcPr>
          <w:p w14:paraId="0B015C42">
            <w:pPr>
              <w:widowControl/>
              <w:spacing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100.00%</w:t>
            </w:r>
          </w:p>
        </w:tc>
      </w:tr>
      <w:tr w14:paraId="470FF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040" w:type="pct"/>
            <w:vMerge w:val="continue"/>
            <w:vAlign w:val="center"/>
          </w:tcPr>
          <w:p w14:paraId="14C60CCD">
            <w:pPr>
              <w:widowControl/>
              <w:spacing w:line="320" w:lineRule="exact"/>
              <w:ind w:firstLine="0" w:firstLineChars="0"/>
              <w:jc w:val="center"/>
              <w:rPr>
                <w:rFonts w:eastAsia="宋体" w:cs="Times New Roman"/>
                <w:b/>
                <w:bCs/>
                <w:color w:val="000000"/>
                <w:kern w:val="0"/>
                <w:sz w:val="20"/>
                <w:szCs w:val="20"/>
              </w:rPr>
            </w:pPr>
          </w:p>
        </w:tc>
        <w:tc>
          <w:tcPr>
            <w:tcW w:w="2290" w:type="pct"/>
            <w:gridSpan w:val="2"/>
            <w:vAlign w:val="center"/>
          </w:tcPr>
          <w:p w14:paraId="0CE5DA89">
            <w:pPr>
              <w:widowControl/>
              <w:spacing w:line="32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合计</w:t>
            </w:r>
          </w:p>
        </w:tc>
        <w:tc>
          <w:tcPr>
            <w:tcW w:w="632" w:type="pct"/>
            <w:shd w:val="clear" w:color="auto" w:fill="auto"/>
            <w:vAlign w:val="center"/>
          </w:tcPr>
          <w:p w14:paraId="68FD66E0">
            <w:pPr>
              <w:widowControl/>
              <w:spacing w:line="320" w:lineRule="exact"/>
              <w:ind w:firstLine="0" w:firstLineChars="0"/>
              <w:jc w:val="center"/>
              <w:rPr>
                <w:rFonts w:eastAsia="宋体" w:cs="Times New Roman"/>
                <w:b/>
                <w:bCs/>
                <w:color w:val="000000"/>
                <w:kern w:val="0"/>
                <w:sz w:val="20"/>
                <w:szCs w:val="20"/>
              </w:rPr>
            </w:pPr>
            <w:r>
              <w:rPr>
                <w:rFonts w:hint="eastAsia" w:eastAsia="宋体" w:cs="Times New Roman"/>
                <w:b/>
                <w:bCs/>
                <w:color w:val="000000"/>
                <w:kern w:val="0"/>
                <w:sz w:val="20"/>
                <w:szCs w:val="20"/>
              </w:rPr>
              <w:t>2</w:t>
            </w:r>
            <w:r>
              <w:rPr>
                <w:rFonts w:eastAsia="宋体" w:cs="Times New Roman"/>
                <w:b/>
                <w:bCs/>
                <w:color w:val="000000"/>
                <w:kern w:val="0"/>
                <w:sz w:val="20"/>
                <w:szCs w:val="20"/>
              </w:rPr>
              <w:t>4.00</w:t>
            </w:r>
          </w:p>
        </w:tc>
        <w:tc>
          <w:tcPr>
            <w:tcW w:w="476" w:type="pct"/>
            <w:shd w:val="clear" w:color="auto" w:fill="auto"/>
            <w:noWrap/>
            <w:vAlign w:val="center"/>
          </w:tcPr>
          <w:p w14:paraId="5C60868D">
            <w:pPr>
              <w:widowControl/>
              <w:spacing w:line="32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24.00</w:t>
            </w:r>
          </w:p>
        </w:tc>
        <w:tc>
          <w:tcPr>
            <w:tcW w:w="562" w:type="pct"/>
            <w:shd w:val="clear" w:color="auto" w:fill="auto"/>
            <w:noWrap/>
            <w:vAlign w:val="center"/>
          </w:tcPr>
          <w:p w14:paraId="7E16ADA1">
            <w:pPr>
              <w:widowControl/>
              <w:spacing w:line="32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100.00%</w:t>
            </w:r>
          </w:p>
        </w:tc>
      </w:tr>
    </w:tbl>
    <w:p w14:paraId="4A2755D7">
      <w:pPr>
        <w:ind w:firstLine="643"/>
        <w:rPr>
          <w:b/>
          <w:bCs/>
        </w:rPr>
      </w:pPr>
    </w:p>
    <w:p w14:paraId="62150526">
      <w:pPr>
        <w:ind w:firstLine="640"/>
      </w:pPr>
      <w:r>
        <w:rPr>
          <w:rFonts w:hint="eastAsia"/>
        </w:rPr>
        <w:t>（1）项目依据充分性</w:t>
      </w:r>
    </w:p>
    <w:p w14:paraId="5B738029">
      <w:pPr>
        <w:ind w:firstLine="640"/>
        <w:rPr>
          <w:rFonts w:ascii="Calibri" w:hAnsi="Calibri" w:cs="Times New Roman"/>
          <w:szCs w:val="28"/>
        </w:rPr>
      </w:pPr>
      <w:r>
        <w:rPr>
          <w:rFonts w:hint="eastAsia" w:cs="Times New Roman"/>
          <w:kern w:val="0"/>
          <w:szCs w:val="24"/>
        </w:rPr>
        <w:t>项目依据充分</w:t>
      </w:r>
      <w:r>
        <w:rPr>
          <w:rFonts w:cs="Times New Roman"/>
          <w:kern w:val="0"/>
          <w:szCs w:val="24"/>
        </w:rPr>
        <w:t>性权重8.00分，实际得分8.00分，得分率100.00%。</w:t>
      </w:r>
      <w:r>
        <w:rPr>
          <w:rFonts w:hint="eastAsia" w:ascii="Calibri" w:hAnsi="Calibri" w:cs="Times New Roman"/>
          <w:szCs w:val="28"/>
        </w:rPr>
        <w:t>根据</w:t>
      </w:r>
      <w:r>
        <w:rPr>
          <w:rFonts w:ascii="Calibri" w:hAnsi="Calibri" w:cs="Times New Roman"/>
          <w:szCs w:val="28"/>
        </w:rPr>
        <w:t>《中华人民共和国行政处罚法》《国土资源违法行为查处工作规程》</w:t>
      </w:r>
      <w:r>
        <w:rPr>
          <w:rFonts w:hint="eastAsia" w:ascii="Calibri" w:hAnsi="Calibri" w:cs="Times New Roman"/>
          <w:szCs w:val="28"/>
        </w:rPr>
        <w:t>等文件，</w:t>
      </w:r>
      <w:r>
        <w:rPr>
          <w:rFonts w:hint="eastAsia" w:cs="Times New Roman"/>
          <w:kern w:val="0"/>
          <w:szCs w:val="24"/>
        </w:rPr>
        <w:t>绵竹市自然资源和规划局</w:t>
      </w:r>
      <w:r>
        <w:rPr>
          <w:rFonts w:hint="eastAsia" w:ascii="Calibri" w:hAnsi="Calibri" w:cs="Times New Roman"/>
          <w:szCs w:val="28"/>
        </w:rPr>
        <w:t>严格审核项目立项，执法经费设定依据充分，故未扣分。</w:t>
      </w:r>
    </w:p>
    <w:p w14:paraId="79087A4F">
      <w:pPr>
        <w:ind w:firstLine="640"/>
        <w:rPr>
          <w:rFonts w:ascii="Calibri" w:hAnsi="Calibri" w:cs="Times New Roman"/>
          <w:szCs w:val="28"/>
        </w:rPr>
      </w:pPr>
      <w:r>
        <w:t>（</w:t>
      </w:r>
      <w:r>
        <w:rPr>
          <w:rFonts w:hint="eastAsia"/>
        </w:rPr>
        <w:t>2</w:t>
      </w:r>
      <w:r>
        <w:t>）</w:t>
      </w:r>
      <w:r>
        <w:rPr>
          <w:rFonts w:hint="eastAsia"/>
        </w:rPr>
        <w:t>绩效</w:t>
      </w:r>
      <w:r>
        <w:rPr>
          <w:rFonts w:hint="eastAsia" w:ascii="Calibri" w:hAnsi="Calibri" w:cs="Times New Roman"/>
          <w:szCs w:val="28"/>
        </w:rPr>
        <w:t>目标明确性</w:t>
      </w:r>
    </w:p>
    <w:p w14:paraId="55492B99">
      <w:pPr>
        <w:ind w:firstLine="640"/>
        <w:rPr>
          <w:rFonts w:ascii="Calibri" w:hAnsi="Calibri" w:cs="Times New Roman"/>
          <w:szCs w:val="28"/>
        </w:rPr>
      </w:pPr>
      <w:r>
        <w:rPr>
          <w:rFonts w:hint="eastAsia" w:ascii="Calibri" w:hAnsi="Calibri" w:cs="Times New Roman"/>
          <w:szCs w:val="28"/>
        </w:rPr>
        <w:t>绩效目标明确性</w:t>
      </w:r>
      <w:r>
        <w:rPr>
          <w:rFonts w:cs="Times New Roman"/>
          <w:kern w:val="0"/>
          <w:szCs w:val="24"/>
        </w:rPr>
        <w:t>权重8.00分，实际得分8.00分，得分率100.00%。</w:t>
      </w:r>
      <w:r>
        <w:rPr>
          <w:rFonts w:hint="eastAsia" w:cs="Times New Roman"/>
          <w:kern w:val="0"/>
          <w:szCs w:val="24"/>
        </w:rPr>
        <w:t>现场核查过程中未发现2</w:t>
      </w:r>
      <w:r>
        <w:rPr>
          <w:rFonts w:cs="Times New Roman"/>
          <w:kern w:val="0"/>
          <w:szCs w:val="24"/>
        </w:rPr>
        <w:t>020</w:t>
      </w:r>
      <w:r>
        <w:rPr>
          <w:rFonts w:hint="eastAsia" w:cs="Times New Roman"/>
          <w:kern w:val="0"/>
          <w:szCs w:val="24"/>
        </w:rPr>
        <w:t>年度</w:t>
      </w:r>
      <w:r>
        <w:rPr>
          <w:rFonts w:hint="eastAsia" w:ascii="Calibri" w:hAnsi="Calibri" w:cs="Times New Roman"/>
          <w:szCs w:val="28"/>
        </w:rPr>
        <w:t>绩效目标设置不明确之处，故未扣分。</w:t>
      </w:r>
    </w:p>
    <w:p w14:paraId="731A7302">
      <w:pPr>
        <w:ind w:firstLine="640"/>
        <w:rPr>
          <w:rFonts w:ascii="Calibri" w:hAnsi="Calibri" w:cs="Times New Roman"/>
          <w:szCs w:val="28"/>
        </w:rPr>
      </w:pPr>
      <w:r>
        <w:t>（</w:t>
      </w:r>
      <w:r>
        <w:rPr>
          <w:rFonts w:hint="eastAsia"/>
        </w:rPr>
        <w:t>3</w:t>
      </w:r>
      <w:r>
        <w:t>）</w:t>
      </w:r>
      <w:r>
        <w:rPr>
          <w:rFonts w:hint="eastAsia"/>
        </w:rPr>
        <w:t>绩效目</w:t>
      </w:r>
      <w:r>
        <w:rPr>
          <w:rFonts w:hint="eastAsia" w:ascii="Calibri" w:hAnsi="Calibri" w:cs="Times New Roman"/>
          <w:szCs w:val="28"/>
        </w:rPr>
        <w:t>标合理性</w:t>
      </w:r>
    </w:p>
    <w:p w14:paraId="58BAF92E">
      <w:pPr>
        <w:ind w:firstLine="640"/>
        <w:rPr>
          <w:rFonts w:ascii="Calibri" w:hAnsi="Calibri" w:cs="Times New Roman"/>
          <w:szCs w:val="28"/>
        </w:rPr>
      </w:pPr>
      <w:r>
        <w:rPr>
          <w:rFonts w:hint="eastAsia" w:ascii="Calibri" w:hAnsi="Calibri" w:cs="Times New Roman"/>
          <w:szCs w:val="28"/>
        </w:rPr>
        <w:t>绩效目标合理性</w:t>
      </w:r>
      <w:r>
        <w:rPr>
          <w:rFonts w:cs="Times New Roman"/>
          <w:kern w:val="0"/>
          <w:szCs w:val="24"/>
        </w:rPr>
        <w:t>权重8.00分，实际得分8.00分，得分率100.00%。</w:t>
      </w:r>
      <w:r>
        <w:rPr>
          <w:rFonts w:hint="eastAsia" w:cs="Times New Roman"/>
          <w:kern w:val="0"/>
          <w:szCs w:val="24"/>
        </w:rPr>
        <w:t>该项目绩效目标根据绵竹市</w:t>
      </w:r>
      <w:r>
        <w:rPr>
          <w:rFonts w:hint="eastAsia" w:ascii="Calibri" w:hAnsi="Calibri" w:cs="Times New Roman"/>
          <w:szCs w:val="28"/>
        </w:rPr>
        <w:t>自然资源和规划局日常执法需要设置，年度目标较为合理，故未扣分。</w:t>
      </w:r>
    </w:p>
    <w:p w14:paraId="17F63174">
      <w:pPr>
        <w:pStyle w:val="4"/>
        <w:ind w:firstLine="643"/>
      </w:pPr>
      <w:bookmarkStart w:id="26" w:name="_Toc76627656"/>
      <w:r>
        <w:rPr>
          <w:rFonts w:hint="eastAsia"/>
        </w:rPr>
        <w:t>2</w:t>
      </w:r>
      <w:r>
        <w:t>.</w:t>
      </w:r>
      <w:r>
        <w:rPr>
          <w:rFonts w:hint="eastAsia"/>
        </w:rPr>
        <w:t>项目实施指标分析</w:t>
      </w:r>
      <w:bookmarkEnd w:id="26"/>
    </w:p>
    <w:p w14:paraId="5AD3FD84">
      <w:pPr>
        <w:ind w:firstLine="640"/>
        <w:rPr>
          <w:rFonts w:ascii="Calibri" w:hAnsi="Calibri" w:cs="Times New Roman"/>
          <w:szCs w:val="28"/>
        </w:rPr>
      </w:pPr>
      <w:r>
        <w:rPr>
          <w:rFonts w:hint="eastAsia" w:ascii="Calibri" w:hAnsi="Calibri" w:cs="Times New Roman"/>
          <w:szCs w:val="28"/>
        </w:rPr>
        <w:t>在项目实施</w:t>
      </w:r>
      <w:r>
        <w:rPr>
          <w:rFonts w:ascii="Calibri" w:hAnsi="Calibri" w:cs="Times New Roman"/>
          <w:szCs w:val="28"/>
        </w:rPr>
        <w:t>指标</w:t>
      </w:r>
      <w:r>
        <w:rPr>
          <w:rFonts w:hint="eastAsia" w:ascii="Calibri" w:hAnsi="Calibri" w:cs="Times New Roman"/>
          <w:szCs w:val="28"/>
        </w:rPr>
        <w:t>上</w:t>
      </w:r>
      <w:r>
        <w:rPr>
          <w:rFonts w:ascii="Calibri" w:hAnsi="Calibri" w:cs="Times New Roman"/>
          <w:szCs w:val="28"/>
        </w:rPr>
        <w:t>，</w:t>
      </w:r>
      <w:r>
        <w:rPr>
          <w:rFonts w:hint="eastAsia" w:ascii="Calibri" w:hAnsi="Calibri" w:cs="Times New Roman"/>
          <w:szCs w:val="28"/>
        </w:rPr>
        <w:t>设置了资金分配科学性、财务管理规范性和业务管理规范</w:t>
      </w:r>
      <w:r>
        <w:rPr>
          <w:rFonts w:hint="eastAsia"/>
        </w:rPr>
        <w:t>性3</w:t>
      </w:r>
      <w:r>
        <w:t>个三</w:t>
      </w:r>
      <w:r>
        <w:rPr>
          <w:rFonts w:hint="eastAsia" w:ascii="Calibri" w:hAnsi="Calibri" w:cs="Times New Roman"/>
          <w:szCs w:val="28"/>
        </w:rPr>
        <w:t>级指标。</w:t>
      </w:r>
    </w:p>
    <w:p w14:paraId="3C6FF293">
      <w:pPr>
        <w:ind w:firstLine="640"/>
        <w:rPr>
          <w:rFonts w:ascii="Calibri" w:hAnsi="Calibri" w:cs="Times New Roman"/>
          <w:szCs w:val="28"/>
        </w:rPr>
      </w:pPr>
    </w:p>
    <w:p w14:paraId="48DCBC0B">
      <w:pPr>
        <w:ind w:firstLine="640"/>
        <w:rPr>
          <w:rFonts w:ascii="Calibri" w:hAnsi="Calibri" w:cs="Times New Roman"/>
          <w:szCs w:val="28"/>
        </w:rPr>
      </w:pPr>
    </w:p>
    <w:p w14:paraId="11B18AA5">
      <w:pPr>
        <w:ind w:firstLine="0" w:firstLineChars="0"/>
        <w:jc w:val="center"/>
        <w:rPr>
          <w:rFonts w:eastAsia="幼圆" w:cs="Times New Roman"/>
          <w:b/>
          <w:sz w:val="28"/>
          <w:szCs w:val="28"/>
        </w:rPr>
      </w:pPr>
      <w:r>
        <w:rPr>
          <w:rFonts w:eastAsia="幼圆" w:cs="Times New Roman"/>
          <w:b/>
          <w:sz w:val="28"/>
          <w:szCs w:val="28"/>
        </w:rPr>
        <w:t>附表</w:t>
      </w:r>
      <w:r>
        <w:rPr>
          <w:rFonts w:hint="eastAsia" w:eastAsia="幼圆" w:cs="Times New Roman"/>
          <w:b/>
          <w:sz w:val="28"/>
          <w:szCs w:val="28"/>
        </w:rPr>
        <w:t>项目实施得分情况</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3"/>
        <w:gridCol w:w="1773"/>
        <w:gridCol w:w="2396"/>
        <w:gridCol w:w="811"/>
        <w:gridCol w:w="811"/>
        <w:gridCol w:w="958"/>
      </w:tblGrid>
      <w:tr w14:paraId="704E7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040" w:type="pct"/>
            <w:shd w:val="clear" w:color="000000" w:fill="00516B"/>
            <w:vAlign w:val="center"/>
          </w:tcPr>
          <w:p w14:paraId="63209FAD">
            <w:pPr>
              <w:spacing w:before="40" w:after="40" w:line="240" w:lineRule="auto"/>
              <w:ind w:firstLine="0" w:firstLineChars="0"/>
              <w:jc w:val="center"/>
              <w:rPr>
                <w:rFonts w:eastAsia="宋体"/>
                <w:b/>
                <w:bCs/>
                <w:sz w:val="20"/>
                <w:szCs w:val="20"/>
              </w:rPr>
            </w:pPr>
            <w:r>
              <w:rPr>
                <w:rFonts w:hint="eastAsia" w:eastAsia="宋体"/>
                <w:b/>
                <w:bCs/>
                <w:sz w:val="20"/>
                <w:szCs w:val="20"/>
              </w:rPr>
              <w:t>一级指标</w:t>
            </w:r>
          </w:p>
        </w:tc>
        <w:tc>
          <w:tcPr>
            <w:tcW w:w="1040" w:type="pct"/>
            <w:shd w:val="clear" w:color="000000" w:fill="00516B"/>
            <w:vAlign w:val="center"/>
          </w:tcPr>
          <w:p w14:paraId="759A917A">
            <w:pPr>
              <w:spacing w:before="40" w:after="40" w:line="240" w:lineRule="auto"/>
              <w:ind w:firstLine="0" w:firstLineChars="0"/>
              <w:jc w:val="center"/>
              <w:rPr>
                <w:rFonts w:eastAsia="宋体"/>
                <w:b/>
                <w:bCs/>
                <w:sz w:val="20"/>
                <w:szCs w:val="20"/>
              </w:rPr>
            </w:pPr>
            <w:r>
              <w:rPr>
                <w:rFonts w:eastAsia="宋体"/>
                <w:b/>
                <w:bCs/>
                <w:sz w:val="20"/>
                <w:szCs w:val="20"/>
              </w:rPr>
              <w:t>二级指标</w:t>
            </w:r>
          </w:p>
        </w:tc>
        <w:tc>
          <w:tcPr>
            <w:tcW w:w="1406" w:type="pct"/>
            <w:shd w:val="clear" w:color="000000" w:fill="00516B"/>
            <w:vAlign w:val="center"/>
          </w:tcPr>
          <w:p w14:paraId="45CBE929">
            <w:pPr>
              <w:spacing w:before="40" w:after="40" w:line="240" w:lineRule="auto"/>
              <w:ind w:firstLine="0" w:firstLineChars="0"/>
              <w:jc w:val="center"/>
              <w:rPr>
                <w:rFonts w:eastAsia="宋体"/>
                <w:b/>
                <w:bCs/>
                <w:sz w:val="20"/>
                <w:szCs w:val="20"/>
              </w:rPr>
            </w:pPr>
            <w:r>
              <w:rPr>
                <w:rFonts w:eastAsia="宋体"/>
                <w:b/>
                <w:bCs/>
                <w:sz w:val="20"/>
                <w:szCs w:val="20"/>
              </w:rPr>
              <w:t>三级指标</w:t>
            </w:r>
          </w:p>
        </w:tc>
        <w:tc>
          <w:tcPr>
            <w:tcW w:w="476" w:type="pct"/>
            <w:shd w:val="clear" w:color="000000" w:fill="00516B"/>
            <w:vAlign w:val="center"/>
          </w:tcPr>
          <w:p w14:paraId="3ABC9CD7">
            <w:pPr>
              <w:spacing w:before="40" w:after="40" w:line="240" w:lineRule="auto"/>
              <w:ind w:firstLine="0" w:firstLineChars="0"/>
              <w:jc w:val="center"/>
              <w:rPr>
                <w:rFonts w:eastAsia="宋体"/>
                <w:b/>
                <w:bCs/>
                <w:sz w:val="20"/>
                <w:szCs w:val="20"/>
              </w:rPr>
            </w:pPr>
            <w:r>
              <w:rPr>
                <w:rFonts w:eastAsia="宋体"/>
                <w:b/>
                <w:bCs/>
                <w:sz w:val="20"/>
                <w:szCs w:val="20"/>
              </w:rPr>
              <w:t>指标分值</w:t>
            </w:r>
          </w:p>
        </w:tc>
        <w:tc>
          <w:tcPr>
            <w:tcW w:w="476" w:type="pct"/>
            <w:shd w:val="clear" w:color="000000" w:fill="00516B"/>
            <w:vAlign w:val="center"/>
          </w:tcPr>
          <w:p w14:paraId="70D9C0DD">
            <w:pPr>
              <w:spacing w:before="40" w:after="40" w:line="240" w:lineRule="auto"/>
              <w:ind w:firstLine="0" w:firstLineChars="0"/>
              <w:jc w:val="center"/>
              <w:rPr>
                <w:rFonts w:eastAsia="宋体"/>
                <w:b/>
                <w:bCs/>
                <w:sz w:val="20"/>
                <w:szCs w:val="20"/>
              </w:rPr>
            </w:pPr>
            <w:r>
              <w:rPr>
                <w:rFonts w:eastAsia="宋体"/>
                <w:b/>
                <w:bCs/>
                <w:sz w:val="20"/>
                <w:szCs w:val="20"/>
              </w:rPr>
              <w:t>得分</w:t>
            </w:r>
          </w:p>
        </w:tc>
        <w:tc>
          <w:tcPr>
            <w:tcW w:w="562" w:type="pct"/>
            <w:shd w:val="clear" w:color="000000" w:fill="00516B"/>
            <w:vAlign w:val="center"/>
          </w:tcPr>
          <w:p w14:paraId="6CC8D98A">
            <w:pPr>
              <w:spacing w:before="40" w:after="40" w:line="240" w:lineRule="auto"/>
              <w:ind w:firstLine="0" w:firstLineChars="0"/>
              <w:jc w:val="center"/>
              <w:rPr>
                <w:rFonts w:eastAsia="宋体"/>
                <w:b/>
                <w:bCs/>
                <w:sz w:val="20"/>
                <w:szCs w:val="20"/>
              </w:rPr>
            </w:pPr>
            <w:r>
              <w:rPr>
                <w:rFonts w:eastAsia="宋体"/>
                <w:b/>
                <w:bCs/>
                <w:sz w:val="20"/>
                <w:szCs w:val="20"/>
              </w:rPr>
              <w:t>得分率</w:t>
            </w:r>
          </w:p>
        </w:tc>
      </w:tr>
      <w:tr w14:paraId="17249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040" w:type="pct"/>
            <w:vMerge w:val="restart"/>
            <w:vAlign w:val="center"/>
          </w:tcPr>
          <w:p w14:paraId="0DEC192F">
            <w:pPr>
              <w:spacing w:before="40" w:after="40" w:line="240" w:lineRule="auto"/>
              <w:ind w:firstLine="0" w:firstLineChars="0"/>
              <w:jc w:val="center"/>
              <w:rPr>
                <w:rFonts w:eastAsia="宋体"/>
                <w:sz w:val="20"/>
                <w:szCs w:val="20"/>
              </w:rPr>
            </w:pPr>
            <w:r>
              <w:rPr>
                <w:rFonts w:hint="eastAsia" w:eastAsia="宋体"/>
                <w:sz w:val="20"/>
                <w:szCs w:val="20"/>
              </w:rPr>
              <w:t>项目实施</w:t>
            </w:r>
          </w:p>
        </w:tc>
        <w:tc>
          <w:tcPr>
            <w:tcW w:w="1040" w:type="pct"/>
            <w:shd w:val="clear" w:color="auto" w:fill="auto"/>
            <w:vAlign w:val="center"/>
          </w:tcPr>
          <w:p w14:paraId="358ED87F">
            <w:pPr>
              <w:spacing w:before="40" w:after="40" w:line="240" w:lineRule="auto"/>
              <w:ind w:firstLine="0" w:firstLineChars="0"/>
              <w:jc w:val="center"/>
              <w:rPr>
                <w:rFonts w:eastAsia="宋体"/>
                <w:sz w:val="20"/>
                <w:szCs w:val="20"/>
              </w:rPr>
            </w:pPr>
            <w:r>
              <w:rPr>
                <w:rFonts w:hint="eastAsia" w:eastAsia="宋体"/>
                <w:sz w:val="20"/>
                <w:szCs w:val="20"/>
              </w:rPr>
              <w:t>资金管理</w:t>
            </w:r>
          </w:p>
        </w:tc>
        <w:tc>
          <w:tcPr>
            <w:tcW w:w="1406" w:type="pct"/>
            <w:shd w:val="clear" w:color="auto" w:fill="auto"/>
            <w:vAlign w:val="center"/>
          </w:tcPr>
          <w:p w14:paraId="4414515C">
            <w:pPr>
              <w:spacing w:before="40" w:after="40" w:line="240" w:lineRule="auto"/>
              <w:ind w:firstLine="0" w:firstLineChars="0"/>
              <w:jc w:val="center"/>
              <w:rPr>
                <w:rFonts w:eastAsia="宋体"/>
                <w:sz w:val="20"/>
                <w:szCs w:val="20"/>
              </w:rPr>
            </w:pPr>
            <w:r>
              <w:rPr>
                <w:rFonts w:hint="eastAsia" w:eastAsia="宋体"/>
                <w:sz w:val="20"/>
                <w:szCs w:val="20"/>
              </w:rPr>
              <w:t>资金分配科学性</w:t>
            </w:r>
          </w:p>
        </w:tc>
        <w:tc>
          <w:tcPr>
            <w:tcW w:w="476" w:type="pct"/>
            <w:shd w:val="clear" w:color="auto" w:fill="auto"/>
          </w:tcPr>
          <w:p w14:paraId="5A820C5D">
            <w:pPr>
              <w:spacing w:before="40" w:after="40" w:line="240" w:lineRule="auto"/>
              <w:ind w:firstLine="0" w:firstLineChars="0"/>
              <w:jc w:val="center"/>
              <w:rPr>
                <w:rFonts w:eastAsia="宋体"/>
                <w:sz w:val="20"/>
                <w:szCs w:val="20"/>
              </w:rPr>
            </w:pPr>
            <w:r>
              <w:rPr>
                <w:rFonts w:eastAsia="宋体"/>
                <w:sz w:val="20"/>
                <w:szCs w:val="20"/>
              </w:rPr>
              <w:t>12.00</w:t>
            </w:r>
          </w:p>
        </w:tc>
        <w:tc>
          <w:tcPr>
            <w:tcW w:w="476" w:type="pct"/>
            <w:shd w:val="clear" w:color="auto" w:fill="auto"/>
            <w:noWrap/>
          </w:tcPr>
          <w:p w14:paraId="4A2132BD">
            <w:pPr>
              <w:spacing w:before="40" w:after="40" w:line="240" w:lineRule="auto"/>
              <w:ind w:firstLine="0" w:firstLineChars="0"/>
              <w:jc w:val="center"/>
              <w:rPr>
                <w:rFonts w:eastAsia="宋体"/>
                <w:sz w:val="20"/>
                <w:szCs w:val="20"/>
              </w:rPr>
            </w:pPr>
            <w:r>
              <w:rPr>
                <w:rFonts w:eastAsia="宋体"/>
                <w:sz w:val="20"/>
                <w:szCs w:val="20"/>
              </w:rPr>
              <w:t>12.00</w:t>
            </w:r>
          </w:p>
        </w:tc>
        <w:tc>
          <w:tcPr>
            <w:tcW w:w="562" w:type="pct"/>
            <w:shd w:val="clear" w:color="auto" w:fill="auto"/>
            <w:noWrap/>
          </w:tcPr>
          <w:p w14:paraId="76A44629">
            <w:pPr>
              <w:spacing w:before="40" w:after="40" w:line="240" w:lineRule="auto"/>
              <w:ind w:firstLine="0" w:firstLineChars="0"/>
              <w:jc w:val="center"/>
              <w:rPr>
                <w:rFonts w:eastAsia="宋体"/>
                <w:sz w:val="20"/>
                <w:szCs w:val="20"/>
              </w:rPr>
            </w:pPr>
            <w:r>
              <w:rPr>
                <w:rFonts w:eastAsia="宋体"/>
                <w:sz w:val="20"/>
                <w:szCs w:val="20"/>
              </w:rPr>
              <w:t>100.00%</w:t>
            </w:r>
          </w:p>
        </w:tc>
      </w:tr>
      <w:tr w14:paraId="15072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040" w:type="pct"/>
            <w:vMerge w:val="continue"/>
          </w:tcPr>
          <w:p w14:paraId="7242CB35">
            <w:pPr>
              <w:spacing w:before="40" w:after="40" w:line="240" w:lineRule="auto"/>
              <w:ind w:firstLine="0" w:firstLineChars="0"/>
              <w:jc w:val="center"/>
              <w:rPr>
                <w:rFonts w:eastAsia="宋体"/>
                <w:sz w:val="20"/>
                <w:szCs w:val="20"/>
              </w:rPr>
            </w:pPr>
          </w:p>
        </w:tc>
        <w:tc>
          <w:tcPr>
            <w:tcW w:w="1040" w:type="pct"/>
            <w:vMerge w:val="restart"/>
            <w:shd w:val="clear" w:color="auto" w:fill="auto"/>
            <w:vAlign w:val="center"/>
          </w:tcPr>
          <w:p w14:paraId="077A9FE7">
            <w:pPr>
              <w:spacing w:before="40" w:after="40" w:line="240" w:lineRule="auto"/>
              <w:ind w:firstLine="0" w:firstLineChars="0"/>
              <w:jc w:val="center"/>
              <w:rPr>
                <w:rFonts w:eastAsia="宋体"/>
                <w:sz w:val="20"/>
                <w:szCs w:val="20"/>
              </w:rPr>
            </w:pPr>
            <w:r>
              <w:rPr>
                <w:rFonts w:hint="eastAsia" w:eastAsia="宋体"/>
                <w:sz w:val="20"/>
                <w:szCs w:val="20"/>
              </w:rPr>
              <w:t>过程控制</w:t>
            </w:r>
          </w:p>
        </w:tc>
        <w:tc>
          <w:tcPr>
            <w:tcW w:w="1406" w:type="pct"/>
            <w:shd w:val="clear" w:color="auto" w:fill="auto"/>
            <w:vAlign w:val="center"/>
          </w:tcPr>
          <w:p w14:paraId="065506E9">
            <w:pPr>
              <w:spacing w:before="40" w:after="40" w:line="240" w:lineRule="auto"/>
              <w:ind w:firstLine="0" w:firstLineChars="0"/>
              <w:jc w:val="center"/>
              <w:rPr>
                <w:rFonts w:eastAsia="宋体"/>
                <w:sz w:val="20"/>
                <w:szCs w:val="20"/>
              </w:rPr>
            </w:pPr>
            <w:r>
              <w:rPr>
                <w:rFonts w:hint="eastAsia" w:eastAsia="宋体"/>
                <w:sz w:val="20"/>
                <w:szCs w:val="20"/>
              </w:rPr>
              <w:t>财务管理规范性</w:t>
            </w:r>
          </w:p>
        </w:tc>
        <w:tc>
          <w:tcPr>
            <w:tcW w:w="476" w:type="pct"/>
            <w:shd w:val="clear" w:color="auto" w:fill="auto"/>
            <w:vAlign w:val="center"/>
          </w:tcPr>
          <w:p w14:paraId="06F6CFA5">
            <w:pPr>
              <w:spacing w:before="40" w:after="40" w:line="240" w:lineRule="auto"/>
              <w:ind w:firstLine="0" w:firstLineChars="0"/>
              <w:jc w:val="center"/>
              <w:rPr>
                <w:rFonts w:eastAsia="宋体"/>
                <w:sz w:val="20"/>
                <w:szCs w:val="20"/>
              </w:rPr>
            </w:pPr>
            <w:r>
              <w:rPr>
                <w:rFonts w:eastAsia="宋体"/>
                <w:sz w:val="20"/>
                <w:szCs w:val="20"/>
              </w:rPr>
              <w:t>12.00</w:t>
            </w:r>
          </w:p>
        </w:tc>
        <w:tc>
          <w:tcPr>
            <w:tcW w:w="476" w:type="pct"/>
            <w:shd w:val="clear" w:color="auto" w:fill="auto"/>
            <w:noWrap/>
            <w:vAlign w:val="center"/>
          </w:tcPr>
          <w:p w14:paraId="4588ACDB">
            <w:pPr>
              <w:spacing w:before="40" w:after="40" w:line="240" w:lineRule="auto"/>
              <w:ind w:firstLine="0" w:firstLineChars="0"/>
              <w:jc w:val="center"/>
              <w:rPr>
                <w:rFonts w:eastAsia="宋体"/>
                <w:sz w:val="20"/>
                <w:szCs w:val="20"/>
              </w:rPr>
            </w:pPr>
            <w:r>
              <w:rPr>
                <w:rFonts w:eastAsia="宋体"/>
                <w:sz w:val="20"/>
                <w:szCs w:val="20"/>
              </w:rPr>
              <w:t>9.60</w:t>
            </w:r>
          </w:p>
        </w:tc>
        <w:tc>
          <w:tcPr>
            <w:tcW w:w="562" w:type="pct"/>
            <w:shd w:val="clear" w:color="auto" w:fill="auto"/>
            <w:noWrap/>
            <w:vAlign w:val="center"/>
          </w:tcPr>
          <w:p w14:paraId="275C2514">
            <w:pPr>
              <w:spacing w:before="40" w:after="40" w:line="240" w:lineRule="auto"/>
              <w:ind w:firstLine="0" w:firstLineChars="0"/>
              <w:jc w:val="center"/>
              <w:rPr>
                <w:rFonts w:eastAsia="宋体"/>
                <w:sz w:val="20"/>
                <w:szCs w:val="20"/>
              </w:rPr>
            </w:pPr>
            <w:r>
              <w:rPr>
                <w:rFonts w:eastAsia="宋体"/>
                <w:sz w:val="20"/>
                <w:szCs w:val="20"/>
              </w:rPr>
              <w:t>80.00%</w:t>
            </w:r>
          </w:p>
        </w:tc>
      </w:tr>
      <w:tr w14:paraId="0973C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040" w:type="pct"/>
            <w:vMerge w:val="continue"/>
          </w:tcPr>
          <w:p w14:paraId="4ED8F759">
            <w:pPr>
              <w:spacing w:before="40" w:after="40" w:line="240" w:lineRule="auto"/>
              <w:ind w:firstLine="0" w:firstLineChars="0"/>
              <w:jc w:val="center"/>
              <w:rPr>
                <w:rFonts w:eastAsia="宋体"/>
                <w:sz w:val="20"/>
                <w:szCs w:val="20"/>
              </w:rPr>
            </w:pPr>
          </w:p>
        </w:tc>
        <w:tc>
          <w:tcPr>
            <w:tcW w:w="1040" w:type="pct"/>
            <w:vMerge w:val="continue"/>
            <w:vAlign w:val="center"/>
          </w:tcPr>
          <w:p w14:paraId="7495FA4E">
            <w:pPr>
              <w:spacing w:before="40" w:after="40" w:line="240" w:lineRule="auto"/>
              <w:ind w:firstLine="0" w:firstLineChars="0"/>
              <w:jc w:val="center"/>
              <w:rPr>
                <w:rFonts w:eastAsia="宋体"/>
                <w:sz w:val="20"/>
                <w:szCs w:val="20"/>
              </w:rPr>
            </w:pPr>
          </w:p>
        </w:tc>
        <w:tc>
          <w:tcPr>
            <w:tcW w:w="1406" w:type="pct"/>
            <w:shd w:val="clear" w:color="auto" w:fill="auto"/>
            <w:vAlign w:val="center"/>
          </w:tcPr>
          <w:p w14:paraId="38B06E88">
            <w:pPr>
              <w:spacing w:before="40" w:after="40" w:line="240" w:lineRule="auto"/>
              <w:ind w:firstLine="0" w:firstLineChars="0"/>
              <w:jc w:val="center"/>
              <w:rPr>
                <w:rFonts w:eastAsia="宋体"/>
                <w:sz w:val="20"/>
                <w:szCs w:val="20"/>
              </w:rPr>
            </w:pPr>
            <w:r>
              <w:rPr>
                <w:rFonts w:hint="eastAsia" w:eastAsia="宋体"/>
                <w:sz w:val="20"/>
                <w:szCs w:val="20"/>
              </w:rPr>
              <w:t>业务管理规范性</w:t>
            </w:r>
          </w:p>
        </w:tc>
        <w:tc>
          <w:tcPr>
            <w:tcW w:w="476" w:type="pct"/>
            <w:shd w:val="clear" w:color="auto" w:fill="auto"/>
            <w:vAlign w:val="center"/>
          </w:tcPr>
          <w:p w14:paraId="638D3C55">
            <w:pPr>
              <w:spacing w:before="40" w:after="40" w:line="240" w:lineRule="auto"/>
              <w:ind w:firstLine="0" w:firstLineChars="0"/>
              <w:jc w:val="center"/>
              <w:rPr>
                <w:rFonts w:eastAsia="宋体"/>
                <w:sz w:val="20"/>
                <w:szCs w:val="20"/>
              </w:rPr>
            </w:pPr>
            <w:r>
              <w:rPr>
                <w:rFonts w:eastAsia="宋体"/>
                <w:sz w:val="20"/>
                <w:szCs w:val="20"/>
              </w:rPr>
              <w:t>12.00</w:t>
            </w:r>
          </w:p>
        </w:tc>
        <w:tc>
          <w:tcPr>
            <w:tcW w:w="476" w:type="pct"/>
            <w:shd w:val="clear" w:color="auto" w:fill="auto"/>
            <w:noWrap/>
            <w:vAlign w:val="center"/>
          </w:tcPr>
          <w:p w14:paraId="3C507C6B">
            <w:pPr>
              <w:spacing w:before="40" w:after="40" w:line="240" w:lineRule="auto"/>
              <w:ind w:firstLine="0" w:firstLineChars="0"/>
              <w:jc w:val="center"/>
              <w:rPr>
                <w:rFonts w:eastAsia="宋体"/>
                <w:sz w:val="20"/>
                <w:szCs w:val="20"/>
              </w:rPr>
            </w:pPr>
            <w:r>
              <w:rPr>
                <w:rFonts w:hint="eastAsia" w:eastAsia="宋体"/>
                <w:sz w:val="20"/>
                <w:szCs w:val="20"/>
              </w:rPr>
              <w:t>9</w:t>
            </w:r>
            <w:r>
              <w:rPr>
                <w:rFonts w:eastAsia="宋体"/>
                <w:sz w:val="20"/>
                <w:szCs w:val="20"/>
              </w:rPr>
              <w:t>.60</w:t>
            </w:r>
          </w:p>
        </w:tc>
        <w:tc>
          <w:tcPr>
            <w:tcW w:w="562" w:type="pct"/>
            <w:shd w:val="clear" w:color="auto" w:fill="auto"/>
            <w:noWrap/>
            <w:vAlign w:val="center"/>
          </w:tcPr>
          <w:p w14:paraId="76C1F227">
            <w:pPr>
              <w:spacing w:before="40" w:after="40" w:line="240" w:lineRule="auto"/>
              <w:ind w:firstLine="0" w:firstLineChars="0"/>
              <w:jc w:val="center"/>
              <w:rPr>
                <w:rFonts w:eastAsia="宋体"/>
                <w:sz w:val="20"/>
                <w:szCs w:val="20"/>
              </w:rPr>
            </w:pPr>
            <w:r>
              <w:rPr>
                <w:rFonts w:eastAsia="宋体"/>
                <w:sz w:val="20"/>
                <w:szCs w:val="20"/>
              </w:rPr>
              <w:t>80.00%</w:t>
            </w:r>
          </w:p>
        </w:tc>
      </w:tr>
      <w:tr w14:paraId="6E53F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040" w:type="pct"/>
            <w:vMerge w:val="continue"/>
          </w:tcPr>
          <w:p w14:paraId="39C65EBE">
            <w:pPr>
              <w:spacing w:before="40" w:after="40" w:line="240" w:lineRule="auto"/>
              <w:ind w:firstLine="0" w:firstLineChars="0"/>
              <w:jc w:val="center"/>
              <w:rPr>
                <w:rFonts w:eastAsia="宋体"/>
                <w:sz w:val="20"/>
                <w:szCs w:val="20"/>
              </w:rPr>
            </w:pPr>
          </w:p>
        </w:tc>
        <w:tc>
          <w:tcPr>
            <w:tcW w:w="2446" w:type="pct"/>
            <w:gridSpan w:val="2"/>
            <w:vAlign w:val="center"/>
          </w:tcPr>
          <w:p w14:paraId="0A2D7E7C">
            <w:pPr>
              <w:spacing w:before="40" w:after="40" w:line="240" w:lineRule="auto"/>
              <w:ind w:firstLine="0" w:firstLineChars="0"/>
              <w:jc w:val="center"/>
              <w:rPr>
                <w:rFonts w:eastAsia="宋体"/>
                <w:b/>
                <w:bCs/>
                <w:sz w:val="20"/>
                <w:szCs w:val="20"/>
              </w:rPr>
            </w:pPr>
            <w:r>
              <w:rPr>
                <w:rFonts w:eastAsia="宋体"/>
                <w:b/>
                <w:bCs/>
                <w:sz w:val="20"/>
                <w:szCs w:val="20"/>
              </w:rPr>
              <w:t>合计</w:t>
            </w:r>
          </w:p>
        </w:tc>
        <w:tc>
          <w:tcPr>
            <w:tcW w:w="476" w:type="pct"/>
            <w:shd w:val="clear" w:color="auto" w:fill="auto"/>
            <w:vAlign w:val="center"/>
          </w:tcPr>
          <w:p w14:paraId="0E5A1E43">
            <w:pPr>
              <w:spacing w:before="40" w:after="40" w:line="240" w:lineRule="auto"/>
              <w:ind w:firstLine="0" w:firstLineChars="0"/>
              <w:jc w:val="center"/>
              <w:rPr>
                <w:rFonts w:eastAsia="宋体"/>
                <w:b/>
                <w:bCs/>
                <w:sz w:val="20"/>
                <w:szCs w:val="20"/>
              </w:rPr>
            </w:pPr>
            <w:r>
              <w:rPr>
                <w:rFonts w:hint="eastAsia" w:eastAsia="宋体"/>
                <w:b/>
                <w:bCs/>
                <w:sz w:val="20"/>
                <w:szCs w:val="20"/>
              </w:rPr>
              <w:t>3</w:t>
            </w:r>
            <w:r>
              <w:rPr>
                <w:rFonts w:eastAsia="宋体"/>
                <w:b/>
                <w:bCs/>
                <w:sz w:val="20"/>
                <w:szCs w:val="20"/>
              </w:rPr>
              <w:t>6</w:t>
            </w:r>
            <w:r>
              <w:rPr>
                <w:rFonts w:hint="eastAsia" w:eastAsia="宋体"/>
                <w:b/>
                <w:bCs/>
                <w:sz w:val="20"/>
                <w:szCs w:val="20"/>
              </w:rPr>
              <w:t>.</w:t>
            </w:r>
            <w:r>
              <w:rPr>
                <w:rFonts w:eastAsia="宋体"/>
                <w:b/>
                <w:bCs/>
                <w:sz w:val="20"/>
                <w:szCs w:val="20"/>
              </w:rPr>
              <w:t>00</w:t>
            </w:r>
          </w:p>
        </w:tc>
        <w:tc>
          <w:tcPr>
            <w:tcW w:w="476" w:type="pct"/>
            <w:shd w:val="clear" w:color="auto" w:fill="auto"/>
            <w:noWrap/>
            <w:vAlign w:val="center"/>
          </w:tcPr>
          <w:p w14:paraId="3247A132">
            <w:pPr>
              <w:spacing w:before="40" w:after="40" w:line="240" w:lineRule="auto"/>
              <w:ind w:firstLine="0" w:firstLineChars="0"/>
              <w:jc w:val="center"/>
              <w:rPr>
                <w:rFonts w:eastAsia="宋体"/>
                <w:b/>
                <w:bCs/>
                <w:sz w:val="20"/>
                <w:szCs w:val="20"/>
              </w:rPr>
            </w:pPr>
            <w:r>
              <w:rPr>
                <w:rFonts w:hint="eastAsia" w:eastAsia="宋体"/>
                <w:b/>
                <w:bCs/>
                <w:sz w:val="20"/>
                <w:szCs w:val="20"/>
              </w:rPr>
              <w:t>3</w:t>
            </w:r>
            <w:r>
              <w:rPr>
                <w:rFonts w:eastAsia="宋体"/>
                <w:b/>
                <w:bCs/>
                <w:sz w:val="20"/>
                <w:szCs w:val="20"/>
              </w:rPr>
              <w:t>1.20</w:t>
            </w:r>
          </w:p>
        </w:tc>
        <w:tc>
          <w:tcPr>
            <w:tcW w:w="562" w:type="pct"/>
            <w:shd w:val="clear" w:color="auto" w:fill="auto"/>
            <w:noWrap/>
            <w:vAlign w:val="center"/>
          </w:tcPr>
          <w:p w14:paraId="00FFBF21">
            <w:pPr>
              <w:spacing w:before="40" w:after="40" w:line="240" w:lineRule="auto"/>
              <w:ind w:firstLine="0" w:firstLineChars="0"/>
              <w:jc w:val="center"/>
              <w:rPr>
                <w:rFonts w:eastAsia="宋体"/>
                <w:b/>
                <w:bCs/>
                <w:sz w:val="20"/>
                <w:szCs w:val="20"/>
              </w:rPr>
            </w:pPr>
            <w:r>
              <w:rPr>
                <w:rFonts w:eastAsia="宋体"/>
                <w:b/>
                <w:bCs/>
                <w:sz w:val="20"/>
                <w:szCs w:val="20"/>
              </w:rPr>
              <w:t>86.67%</w:t>
            </w:r>
          </w:p>
        </w:tc>
      </w:tr>
    </w:tbl>
    <w:p w14:paraId="2762BF97">
      <w:pPr>
        <w:ind w:firstLine="640"/>
      </w:pPr>
    </w:p>
    <w:p w14:paraId="125CBD07">
      <w:pPr>
        <w:ind w:firstLine="640"/>
      </w:pPr>
      <w:r>
        <w:rPr>
          <w:rFonts w:hint="eastAsia"/>
        </w:rPr>
        <w:t>（1）资金分配科学性</w:t>
      </w:r>
    </w:p>
    <w:p w14:paraId="0ACC7FBA">
      <w:pPr>
        <w:ind w:firstLine="640"/>
        <w:rPr>
          <w:rFonts w:ascii="Calibri" w:hAnsi="Calibri" w:cs="Times New Roman"/>
          <w:szCs w:val="28"/>
        </w:rPr>
      </w:pPr>
      <w:r>
        <w:rPr>
          <w:rFonts w:hint="eastAsia" w:cs="Times New Roman"/>
          <w:kern w:val="0"/>
          <w:szCs w:val="24"/>
        </w:rPr>
        <w:t>资金分配科学性</w:t>
      </w:r>
      <w:r>
        <w:rPr>
          <w:rFonts w:cs="Times New Roman"/>
          <w:kern w:val="0"/>
          <w:szCs w:val="24"/>
        </w:rPr>
        <w:t>权重12.00分，实际得分12.00分，得分率100.00%。</w:t>
      </w:r>
      <w:r>
        <w:rPr>
          <w:rFonts w:hint="eastAsia" w:ascii="Calibri" w:hAnsi="Calibri" w:cs="Times New Roman"/>
          <w:szCs w:val="28"/>
        </w:rPr>
        <w:t>资金分配过程符合实际，突出重点，故未扣分。</w:t>
      </w:r>
    </w:p>
    <w:p w14:paraId="624CAF4D">
      <w:pPr>
        <w:ind w:firstLine="640"/>
      </w:pPr>
      <w:r>
        <w:rPr>
          <w:rFonts w:hint="eastAsia"/>
        </w:rPr>
        <w:t>（2）财务管理规范性</w:t>
      </w:r>
    </w:p>
    <w:p w14:paraId="32EE07AC">
      <w:pPr>
        <w:ind w:firstLine="640"/>
        <w:rPr>
          <w:rFonts w:ascii="仿宋_GB2312"/>
          <w:color w:val="000000"/>
          <w:szCs w:val="32"/>
          <w:shd w:val="clear" w:color="auto" w:fill="FFFFFF"/>
        </w:rPr>
      </w:pPr>
      <w:r>
        <w:rPr>
          <w:rFonts w:hint="eastAsia"/>
        </w:rPr>
        <w:t>财务管理规范性</w:t>
      </w:r>
      <w:r>
        <w:rPr>
          <w:rFonts w:cs="Times New Roman"/>
          <w:kern w:val="0"/>
          <w:szCs w:val="24"/>
        </w:rPr>
        <w:t>权重12.00分，实际得分9.60分，得分率80.00%。</w:t>
      </w:r>
      <w:r>
        <w:rPr>
          <w:rFonts w:hint="eastAsia" w:cs="Times New Roman"/>
          <w:kern w:val="0"/>
          <w:szCs w:val="24"/>
        </w:rPr>
        <w:t>绵竹市自然资源和规划局</w:t>
      </w:r>
      <w:r>
        <w:rPr>
          <w:rFonts w:hint="eastAsia"/>
        </w:rPr>
        <w:t>依据原绵竹</w:t>
      </w:r>
      <w:r>
        <w:rPr>
          <w:rFonts w:cs="Times New Roman"/>
        </w:rPr>
        <w:t>市</w:t>
      </w:r>
      <w:r>
        <w:rPr>
          <w:rFonts w:cs="Times New Roman"/>
          <w:szCs w:val="28"/>
        </w:rPr>
        <w:t>国土资源局《财务支出审批规定》进行</w:t>
      </w:r>
      <w:r>
        <w:rPr>
          <w:rFonts w:hint="eastAsia" w:cs="Times New Roman"/>
          <w:szCs w:val="28"/>
        </w:rPr>
        <w:t>财务</w:t>
      </w:r>
      <w:r>
        <w:rPr>
          <w:rFonts w:cs="Times New Roman"/>
          <w:szCs w:val="28"/>
        </w:rPr>
        <w:t>管理，</w:t>
      </w:r>
      <w:r>
        <w:rPr>
          <w:rFonts w:hint="eastAsia" w:cs="Times New Roman"/>
          <w:szCs w:val="28"/>
        </w:rPr>
        <w:t>《财务支出审批规定》</w:t>
      </w:r>
      <w:r>
        <w:rPr>
          <w:rFonts w:hint="eastAsia" w:ascii="仿宋_GB2312"/>
          <w:color w:val="000000"/>
          <w:szCs w:val="32"/>
          <w:shd w:val="clear" w:color="auto" w:fill="FFFFFF"/>
        </w:rPr>
        <w:t>适用于原绵竹市国土资源局机关各股室、下属各事业单位的所有财务活动，</w:t>
      </w:r>
      <w:r>
        <w:rPr>
          <w:rFonts w:hint="eastAsia" w:cs="Times New Roman"/>
          <w:szCs w:val="28"/>
        </w:rPr>
        <w:t>未能明确</w:t>
      </w:r>
      <w:r>
        <w:rPr>
          <w:rFonts w:hint="eastAsia" w:ascii="仿宋_GB2312"/>
          <w:color w:val="000000"/>
          <w:szCs w:val="32"/>
          <w:shd w:val="clear" w:color="auto" w:fill="FFFFFF"/>
        </w:rPr>
        <w:t>机构改革后的各股室是否可</w:t>
      </w:r>
      <w:r>
        <w:rPr>
          <w:rFonts w:hint="eastAsia" w:cs="Times New Roman"/>
          <w:szCs w:val="28"/>
        </w:rPr>
        <w:t>依此执行，</w:t>
      </w:r>
      <w:r>
        <w:rPr>
          <w:rFonts w:cs="Times New Roman"/>
          <w:szCs w:val="28"/>
        </w:rPr>
        <w:t>故扣2.40分。</w:t>
      </w:r>
    </w:p>
    <w:p w14:paraId="70A91E22">
      <w:pPr>
        <w:ind w:firstLine="640"/>
        <w:rPr>
          <w:rFonts w:cs="Times New Roman"/>
        </w:rPr>
      </w:pPr>
      <w:r>
        <w:rPr>
          <w:rFonts w:cs="Times New Roman"/>
        </w:rPr>
        <w:t>（3）业务管理规范性</w:t>
      </w:r>
    </w:p>
    <w:p w14:paraId="22F5F796">
      <w:pPr>
        <w:ind w:firstLine="640"/>
        <w:rPr>
          <w:rFonts w:cs="Times New Roman"/>
        </w:rPr>
      </w:pPr>
      <w:r>
        <w:rPr>
          <w:rFonts w:hint="eastAsia" w:cs="Times New Roman"/>
        </w:rPr>
        <w:t>业务</w:t>
      </w:r>
      <w:r>
        <w:rPr>
          <w:rFonts w:cs="Times New Roman"/>
        </w:rPr>
        <w:t>管理规范性</w:t>
      </w:r>
      <w:r>
        <w:rPr>
          <w:rFonts w:cs="Times New Roman"/>
          <w:kern w:val="0"/>
          <w:szCs w:val="24"/>
        </w:rPr>
        <w:t>权重12.00分，实际得分9.60分，得分率80.00%</w:t>
      </w:r>
      <w:r>
        <w:rPr>
          <w:rFonts w:hint="eastAsia" w:cs="Times New Roman"/>
          <w:kern w:val="0"/>
          <w:szCs w:val="24"/>
        </w:rPr>
        <w:t>。</w:t>
      </w:r>
      <w:r>
        <w:rPr>
          <w:rFonts w:cs="Times New Roman"/>
          <w:szCs w:val="28"/>
        </w:rPr>
        <w:t>确认供应商过程</w:t>
      </w:r>
      <w:r>
        <w:rPr>
          <w:rFonts w:hint="eastAsia" w:cs="Times New Roman"/>
          <w:szCs w:val="28"/>
        </w:rPr>
        <w:t>缺少申请、审批等留痕文件资料</w:t>
      </w:r>
      <w:r>
        <w:rPr>
          <w:rFonts w:cs="Times New Roman"/>
          <w:szCs w:val="28"/>
        </w:rPr>
        <w:t>，故扣2.40分。</w:t>
      </w:r>
    </w:p>
    <w:p w14:paraId="51280B6F">
      <w:pPr>
        <w:pStyle w:val="4"/>
        <w:ind w:firstLine="643"/>
      </w:pPr>
      <w:bookmarkStart w:id="27" w:name="_Toc76627657"/>
      <w:r>
        <w:rPr>
          <w:rFonts w:hint="eastAsia"/>
        </w:rPr>
        <w:t>3</w:t>
      </w:r>
      <w:r>
        <w:t>.</w:t>
      </w:r>
      <w:r>
        <w:rPr>
          <w:rFonts w:hint="eastAsia"/>
        </w:rPr>
        <w:t>项目绩效指标分析</w:t>
      </w:r>
      <w:bookmarkEnd w:id="27"/>
    </w:p>
    <w:p w14:paraId="084B8848">
      <w:pPr>
        <w:ind w:firstLine="640"/>
        <w:rPr>
          <w:rFonts w:ascii="仿宋_GB2312"/>
          <w:szCs w:val="32"/>
        </w:rPr>
      </w:pPr>
      <w:r>
        <w:rPr>
          <w:rFonts w:hint="eastAsia" w:ascii="仿宋_GB2312"/>
          <w:szCs w:val="32"/>
        </w:rPr>
        <w:t>在项目绩效指标上，设置了事项完成数量、事项完成质量、事项完成时效、成本控制有效性与执法效果提升5个三级指标。</w:t>
      </w:r>
    </w:p>
    <w:p w14:paraId="54B7D54C">
      <w:pPr>
        <w:ind w:firstLine="0" w:firstLineChars="0"/>
        <w:jc w:val="center"/>
        <w:rPr>
          <w:rFonts w:eastAsia="幼圆" w:cs="Times New Roman"/>
          <w:b/>
          <w:sz w:val="28"/>
          <w:szCs w:val="28"/>
        </w:rPr>
      </w:pPr>
      <w:r>
        <w:rPr>
          <w:rFonts w:eastAsia="幼圆" w:cs="Times New Roman"/>
          <w:b/>
          <w:sz w:val="28"/>
          <w:szCs w:val="28"/>
        </w:rPr>
        <w:t>附表</w:t>
      </w:r>
      <w:r>
        <w:rPr>
          <w:rFonts w:hint="eastAsia" w:eastAsia="幼圆" w:cs="Times New Roman"/>
          <w:b/>
          <w:sz w:val="28"/>
          <w:szCs w:val="28"/>
        </w:rPr>
        <w:t>项目绩效指标得分情况</w:t>
      </w:r>
    </w:p>
    <w:tbl>
      <w:tblPr>
        <w:tblStyle w:val="15"/>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450"/>
        <w:gridCol w:w="2319"/>
        <w:gridCol w:w="2200"/>
        <w:gridCol w:w="793"/>
        <w:gridCol w:w="793"/>
        <w:gridCol w:w="967"/>
      </w:tblGrid>
      <w:tr w14:paraId="6489C07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2" w:type="pct"/>
            <w:tcBorders>
              <w:left w:val="single" w:color="auto" w:sz="4" w:space="0"/>
            </w:tcBorders>
            <w:shd w:val="clear" w:color="000000" w:fill="00516B"/>
            <w:vAlign w:val="center"/>
          </w:tcPr>
          <w:p w14:paraId="2B7EA5B8">
            <w:pPr>
              <w:spacing w:line="240" w:lineRule="auto"/>
              <w:ind w:firstLine="0" w:firstLineChars="0"/>
              <w:jc w:val="center"/>
              <w:rPr>
                <w:rFonts w:eastAsia="宋体"/>
                <w:b/>
                <w:bCs/>
                <w:sz w:val="20"/>
                <w:szCs w:val="20"/>
              </w:rPr>
            </w:pPr>
            <w:r>
              <w:rPr>
                <w:rFonts w:hint="eastAsia" w:eastAsia="宋体"/>
                <w:b/>
                <w:bCs/>
                <w:sz w:val="20"/>
                <w:szCs w:val="20"/>
              </w:rPr>
              <w:t>一级指标</w:t>
            </w:r>
          </w:p>
        </w:tc>
        <w:tc>
          <w:tcPr>
            <w:tcW w:w="1362" w:type="pct"/>
            <w:shd w:val="clear" w:color="000000" w:fill="00516B"/>
            <w:vAlign w:val="center"/>
          </w:tcPr>
          <w:p w14:paraId="34A846E8">
            <w:pPr>
              <w:spacing w:line="240" w:lineRule="auto"/>
              <w:ind w:firstLine="0" w:firstLineChars="0"/>
              <w:jc w:val="center"/>
              <w:rPr>
                <w:rFonts w:eastAsia="宋体"/>
                <w:b/>
                <w:bCs/>
                <w:sz w:val="20"/>
                <w:szCs w:val="20"/>
              </w:rPr>
            </w:pPr>
            <w:r>
              <w:rPr>
                <w:rFonts w:eastAsia="宋体"/>
                <w:b/>
                <w:bCs/>
                <w:sz w:val="20"/>
                <w:szCs w:val="20"/>
              </w:rPr>
              <w:t>二级指标</w:t>
            </w:r>
          </w:p>
        </w:tc>
        <w:tc>
          <w:tcPr>
            <w:tcW w:w="1292" w:type="pct"/>
            <w:shd w:val="clear" w:color="000000" w:fill="00516B"/>
            <w:vAlign w:val="center"/>
          </w:tcPr>
          <w:p w14:paraId="36B4FB90">
            <w:pPr>
              <w:spacing w:line="240" w:lineRule="auto"/>
              <w:ind w:firstLine="0" w:firstLineChars="0"/>
              <w:jc w:val="center"/>
              <w:rPr>
                <w:rFonts w:eastAsia="宋体"/>
                <w:b/>
                <w:bCs/>
                <w:sz w:val="20"/>
                <w:szCs w:val="20"/>
              </w:rPr>
            </w:pPr>
            <w:r>
              <w:rPr>
                <w:rFonts w:eastAsia="宋体"/>
                <w:b/>
                <w:bCs/>
                <w:sz w:val="20"/>
                <w:szCs w:val="20"/>
              </w:rPr>
              <w:t>三级指标</w:t>
            </w:r>
          </w:p>
        </w:tc>
        <w:tc>
          <w:tcPr>
            <w:tcW w:w="466" w:type="pct"/>
            <w:shd w:val="clear" w:color="000000" w:fill="00516B"/>
            <w:vAlign w:val="center"/>
          </w:tcPr>
          <w:p w14:paraId="58238F83">
            <w:pPr>
              <w:spacing w:line="240" w:lineRule="auto"/>
              <w:ind w:firstLine="0" w:firstLineChars="0"/>
              <w:jc w:val="center"/>
              <w:rPr>
                <w:rFonts w:eastAsia="宋体"/>
                <w:b/>
                <w:bCs/>
                <w:sz w:val="20"/>
                <w:szCs w:val="20"/>
              </w:rPr>
            </w:pPr>
            <w:r>
              <w:rPr>
                <w:rFonts w:eastAsia="宋体"/>
                <w:b/>
                <w:bCs/>
                <w:sz w:val="20"/>
                <w:szCs w:val="20"/>
              </w:rPr>
              <w:t>指标分值</w:t>
            </w:r>
          </w:p>
        </w:tc>
        <w:tc>
          <w:tcPr>
            <w:tcW w:w="466" w:type="pct"/>
            <w:shd w:val="clear" w:color="000000" w:fill="00516B"/>
            <w:vAlign w:val="center"/>
          </w:tcPr>
          <w:p w14:paraId="67458A60">
            <w:pPr>
              <w:spacing w:line="240" w:lineRule="auto"/>
              <w:ind w:firstLine="0" w:firstLineChars="0"/>
              <w:jc w:val="center"/>
              <w:rPr>
                <w:rFonts w:eastAsia="宋体"/>
                <w:b/>
                <w:bCs/>
                <w:sz w:val="20"/>
                <w:szCs w:val="20"/>
              </w:rPr>
            </w:pPr>
            <w:r>
              <w:rPr>
                <w:rFonts w:eastAsia="宋体"/>
                <w:b/>
                <w:bCs/>
                <w:sz w:val="20"/>
                <w:szCs w:val="20"/>
              </w:rPr>
              <w:t>得分</w:t>
            </w:r>
          </w:p>
        </w:tc>
        <w:tc>
          <w:tcPr>
            <w:tcW w:w="562" w:type="pct"/>
            <w:tcBorders>
              <w:right w:val="single" w:color="auto" w:sz="4" w:space="0"/>
            </w:tcBorders>
            <w:shd w:val="clear" w:color="000000" w:fill="00516B"/>
            <w:vAlign w:val="center"/>
          </w:tcPr>
          <w:p w14:paraId="71DA7364">
            <w:pPr>
              <w:spacing w:line="240" w:lineRule="auto"/>
              <w:ind w:firstLine="0" w:firstLineChars="0"/>
              <w:jc w:val="center"/>
              <w:rPr>
                <w:rFonts w:eastAsia="宋体"/>
                <w:b/>
                <w:bCs/>
                <w:sz w:val="20"/>
                <w:szCs w:val="20"/>
              </w:rPr>
            </w:pPr>
            <w:r>
              <w:rPr>
                <w:rFonts w:eastAsia="宋体"/>
                <w:b/>
                <w:bCs/>
                <w:sz w:val="20"/>
                <w:szCs w:val="20"/>
              </w:rPr>
              <w:t>得分率</w:t>
            </w:r>
          </w:p>
        </w:tc>
      </w:tr>
      <w:tr w14:paraId="193AFE2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2" w:type="pct"/>
            <w:vMerge w:val="restart"/>
            <w:tcBorders>
              <w:left w:val="single" w:color="auto" w:sz="4" w:space="0"/>
            </w:tcBorders>
            <w:vAlign w:val="center"/>
          </w:tcPr>
          <w:p w14:paraId="13A92F89">
            <w:pPr>
              <w:spacing w:line="240" w:lineRule="auto"/>
              <w:ind w:firstLine="0" w:firstLineChars="0"/>
              <w:jc w:val="center"/>
              <w:rPr>
                <w:rFonts w:eastAsia="宋体"/>
                <w:sz w:val="20"/>
                <w:szCs w:val="20"/>
              </w:rPr>
            </w:pPr>
            <w:r>
              <w:rPr>
                <w:rFonts w:hint="eastAsia" w:eastAsia="宋体"/>
                <w:sz w:val="20"/>
                <w:szCs w:val="20"/>
              </w:rPr>
              <w:t>项目绩效</w:t>
            </w:r>
          </w:p>
        </w:tc>
        <w:tc>
          <w:tcPr>
            <w:tcW w:w="1362" w:type="pct"/>
            <w:shd w:val="clear" w:color="auto" w:fill="auto"/>
            <w:vAlign w:val="center"/>
          </w:tcPr>
          <w:p w14:paraId="5C9144E1">
            <w:pPr>
              <w:spacing w:line="240" w:lineRule="auto"/>
              <w:ind w:firstLine="0" w:firstLineChars="0"/>
              <w:jc w:val="center"/>
              <w:rPr>
                <w:rFonts w:eastAsia="宋体"/>
                <w:sz w:val="20"/>
                <w:szCs w:val="20"/>
              </w:rPr>
            </w:pPr>
            <w:r>
              <w:rPr>
                <w:rFonts w:hint="eastAsia" w:eastAsia="宋体"/>
                <w:sz w:val="20"/>
                <w:szCs w:val="20"/>
              </w:rPr>
              <w:t>完成数量</w:t>
            </w:r>
          </w:p>
        </w:tc>
        <w:tc>
          <w:tcPr>
            <w:tcW w:w="1292" w:type="pct"/>
            <w:shd w:val="clear" w:color="auto" w:fill="auto"/>
            <w:vAlign w:val="center"/>
          </w:tcPr>
          <w:p w14:paraId="4C0C48B9">
            <w:pPr>
              <w:spacing w:line="240" w:lineRule="auto"/>
              <w:ind w:firstLine="0" w:firstLineChars="0"/>
              <w:jc w:val="center"/>
              <w:rPr>
                <w:rFonts w:eastAsia="宋体"/>
                <w:sz w:val="20"/>
                <w:szCs w:val="20"/>
              </w:rPr>
            </w:pPr>
            <w:r>
              <w:rPr>
                <w:rFonts w:hint="eastAsia" w:eastAsia="宋体"/>
                <w:sz w:val="20"/>
                <w:szCs w:val="20"/>
              </w:rPr>
              <w:t>事项完成数量</w:t>
            </w:r>
          </w:p>
        </w:tc>
        <w:tc>
          <w:tcPr>
            <w:tcW w:w="466" w:type="pct"/>
            <w:shd w:val="clear" w:color="auto" w:fill="auto"/>
          </w:tcPr>
          <w:p w14:paraId="0E4ECB02">
            <w:pPr>
              <w:spacing w:line="240" w:lineRule="auto"/>
              <w:ind w:firstLine="0" w:firstLineChars="0"/>
              <w:jc w:val="center"/>
              <w:rPr>
                <w:rFonts w:eastAsia="宋体"/>
                <w:sz w:val="20"/>
                <w:szCs w:val="20"/>
              </w:rPr>
            </w:pPr>
            <w:r>
              <w:rPr>
                <w:rFonts w:eastAsia="宋体"/>
                <w:sz w:val="20"/>
                <w:szCs w:val="20"/>
              </w:rPr>
              <w:t>8</w:t>
            </w:r>
            <w:r>
              <w:rPr>
                <w:rFonts w:hint="eastAsia" w:eastAsia="宋体"/>
                <w:sz w:val="20"/>
                <w:szCs w:val="20"/>
              </w:rPr>
              <w:t>.</w:t>
            </w:r>
            <w:r>
              <w:rPr>
                <w:rFonts w:eastAsia="宋体"/>
                <w:sz w:val="20"/>
                <w:szCs w:val="20"/>
              </w:rPr>
              <w:t>00</w:t>
            </w:r>
          </w:p>
        </w:tc>
        <w:tc>
          <w:tcPr>
            <w:tcW w:w="466" w:type="pct"/>
            <w:shd w:val="clear" w:color="auto" w:fill="auto"/>
            <w:noWrap/>
          </w:tcPr>
          <w:p w14:paraId="7FCED17B">
            <w:pPr>
              <w:spacing w:line="240" w:lineRule="auto"/>
              <w:ind w:firstLine="0" w:firstLineChars="0"/>
              <w:jc w:val="center"/>
              <w:rPr>
                <w:rFonts w:eastAsia="宋体"/>
                <w:sz w:val="20"/>
                <w:szCs w:val="20"/>
              </w:rPr>
            </w:pPr>
            <w:r>
              <w:rPr>
                <w:rFonts w:hint="eastAsia" w:eastAsia="宋体"/>
                <w:sz w:val="20"/>
                <w:szCs w:val="20"/>
              </w:rPr>
              <w:t>8.</w:t>
            </w:r>
            <w:r>
              <w:rPr>
                <w:rFonts w:eastAsia="宋体"/>
                <w:sz w:val="20"/>
                <w:szCs w:val="20"/>
              </w:rPr>
              <w:t>00</w:t>
            </w:r>
          </w:p>
        </w:tc>
        <w:tc>
          <w:tcPr>
            <w:tcW w:w="562" w:type="pct"/>
            <w:tcBorders>
              <w:right w:val="single" w:color="auto" w:sz="4" w:space="0"/>
            </w:tcBorders>
            <w:shd w:val="clear" w:color="auto" w:fill="auto"/>
            <w:noWrap/>
          </w:tcPr>
          <w:p w14:paraId="3C476002">
            <w:pPr>
              <w:spacing w:line="240" w:lineRule="auto"/>
              <w:ind w:firstLine="0" w:firstLineChars="0"/>
              <w:jc w:val="center"/>
              <w:rPr>
                <w:rFonts w:eastAsia="宋体"/>
                <w:sz w:val="20"/>
                <w:szCs w:val="20"/>
              </w:rPr>
            </w:pPr>
            <w:r>
              <w:rPr>
                <w:rFonts w:eastAsia="宋体"/>
                <w:sz w:val="20"/>
                <w:szCs w:val="20"/>
              </w:rPr>
              <w:t>100.00%</w:t>
            </w:r>
          </w:p>
        </w:tc>
      </w:tr>
      <w:tr w14:paraId="4D72CEE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2" w:type="pct"/>
            <w:vMerge w:val="continue"/>
            <w:tcBorders>
              <w:left w:val="single" w:color="auto" w:sz="4" w:space="0"/>
            </w:tcBorders>
          </w:tcPr>
          <w:p w14:paraId="0735C8D6">
            <w:pPr>
              <w:spacing w:line="240" w:lineRule="auto"/>
              <w:ind w:firstLine="0" w:firstLineChars="0"/>
              <w:jc w:val="center"/>
              <w:rPr>
                <w:rFonts w:eastAsia="宋体"/>
                <w:sz w:val="20"/>
                <w:szCs w:val="20"/>
              </w:rPr>
            </w:pPr>
          </w:p>
        </w:tc>
        <w:tc>
          <w:tcPr>
            <w:tcW w:w="1362" w:type="pct"/>
            <w:shd w:val="clear" w:color="auto" w:fill="auto"/>
            <w:vAlign w:val="center"/>
          </w:tcPr>
          <w:p w14:paraId="35666DF8">
            <w:pPr>
              <w:spacing w:line="240" w:lineRule="auto"/>
              <w:ind w:firstLine="0" w:firstLineChars="0"/>
              <w:jc w:val="center"/>
              <w:rPr>
                <w:rFonts w:eastAsia="宋体"/>
                <w:sz w:val="20"/>
                <w:szCs w:val="20"/>
              </w:rPr>
            </w:pPr>
            <w:r>
              <w:rPr>
                <w:rFonts w:hint="eastAsia" w:eastAsia="宋体"/>
                <w:sz w:val="20"/>
                <w:szCs w:val="20"/>
              </w:rPr>
              <w:t>完成质量</w:t>
            </w:r>
          </w:p>
        </w:tc>
        <w:tc>
          <w:tcPr>
            <w:tcW w:w="1292" w:type="pct"/>
            <w:shd w:val="clear" w:color="auto" w:fill="auto"/>
            <w:vAlign w:val="center"/>
          </w:tcPr>
          <w:p w14:paraId="35958DB9">
            <w:pPr>
              <w:spacing w:line="240" w:lineRule="auto"/>
              <w:ind w:firstLine="0" w:firstLineChars="0"/>
              <w:jc w:val="center"/>
              <w:rPr>
                <w:rFonts w:eastAsia="宋体"/>
                <w:sz w:val="20"/>
                <w:szCs w:val="20"/>
              </w:rPr>
            </w:pPr>
            <w:r>
              <w:rPr>
                <w:rFonts w:hint="eastAsia" w:eastAsia="宋体"/>
                <w:sz w:val="20"/>
                <w:szCs w:val="20"/>
              </w:rPr>
              <w:t>事项完成质量</w:t>
            </w:r>
          </w:p>
        </w:tc>
        <w:tc>
          <w:tcPr>
            <w:tcW w:w="466" w:type="pct"/>
            <w:shd w:val="clear" w:color="auto" w:fill="auto"/>
            <w:vAlign w:val="center"/>
          </w:tcPr>
          <w:p w14:paraId="456AC8C0">
            <w:pPr>
              <w:spacing w:line="240" w:lineRule="auto"/>
              <w:ind w:firstLine="0" w:firstLineChars="0"/>
              <w:jc w:val="center"/>
              <w:rPr>
                <w:rFonts w:eastAsia="宋体"/>
                <w:sz w:val="20"/>
                <w:szCs w:val="20"/>
              </w:rPr>
            </w:pPr>
            <w:r>
              <w:rPr>
                <w:rFonts w:eastAsia="宋体"/>
                <w:sz w:val="20"/>
                <w:szCs w:val="20"/>
              </w:rPr>
              <w:t>8</w:t>
            </w:r>
            <w:r>
              <w:rPr>
                <w:rFonts w:hint="eastAsia" w:eastAsia="宋体"/>
                <w:sz w:val="20"/>
                <w:szCs w:val="20"/>
              </w:rPr>
              <w:t>.</w:t>
            </w:r>
            <w:r>
              <w:rPr>
                <w:rFonts w:eastAsia="宋体"/>
                <w:sz w:val="20"/>
                <w:szCs w:val="20"/>
              </w:rPr>
              <w:t>00</w:t>
            </w:r>
          </w:p>
        </w:tc>
        <w:tc>
          <w:tcPr>
            <w:tcW w:w="466" w:type="pct"/>
            <w:shd w:val="clear" w:color="auto" w:fill="auto"/>
            <w:noWrap/>
            <w:vAlign w:val="center"/>
          </w:tcPr>
          <w:p w14:paraId="2CA43FB9">
            <w:pPr>
              <w:spacing w:line="240" w:lineRule="auto"/>
              <w:ind w:firstLine="0" w:firstLineChars="0"/>
              <w:jc w:val="center"/>
              <w:rPr>
                <w:rFonts w:eastAsia="宋体"/>
                <w:sz w:val="20"/>
                <w:szCs w:val="20"/>
              </w:rPr>
            </w:pPr>
            <w:r>
              <w:rPr>
                <w:rFonts w:eastAsia="宋体"/>
                <w:sz w:val="20"/>
                <w:szCs w:val="20"/>
              </w:rPr>
              <w:t>8</w:t>
            </w:r>
            <w:r>
              <w:rPr>
                <w:rFonts w:hint="eastAsia" w:eastAsia="宋体"/>
                <w:sz w:val="20"/>
                <w:szCs w:val="20"/>
              </w:rPr>
              <w:t>.</w:t>
            </w:r>
            <w:r>
              <w:rPr>
                <w:rFonts w:eastAsia="宋体"/>
                <w:sz w:val="20"/>
                <w:szCs w:val="20"/>
              </w:rPr>
              <w:t>00</w:t>
            </w:r>
          </w:p>
        </w:tc>
        <w:tc>
          <w:tcPr>
            <w:tcW w:w="562" w:type="pct"/>
            <w:tcBorders>
              <w:right w:val="single" w:color="auto" w:sz="4" w:space="0"/>
            </w:tcBorders>
            <w:shd w:val="clear" w:color="auto" w:fill="auto"/>
            <w:noWrap/>
            <w:vAlign w:val="center"/>
          </w:tcPr>
          <w:p w14:paraId="342D6B1C">
            <w:pPr>
              <w:spacing w:line="240" w:lineRule="auto"/>
              <w:ind w:firstLine="0" w:firstLineChars="0"/>
              <w:jc w:val="center"/>
              <w:rPr>
                <w:rFonts w:eastAsia="宋体"/>
                <w:sz w:val="20"/>
                <w:szCs w:val="20"/>
              </w:rPr>
            </w:pPr>
            <w:r>
              <w:rPr>
                <w:rFonts w:eastAsia="宋体"/>
                <w:sz w:val="20"/>
                <w:szCs w:val="20"/>
              </w:rPr>
              <w:t>100.00%</w:t>
            </w:r>
          </w:p>
        </w:tc>
      </w:tr>
      <w:tr w14:paraId="336D137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2" w:type="pct"/>
            <w:vMerge w:val="continue"/>
            <w:tcBorders>
              <w:left w:val="single" w:color="auto" w:sz="4" w:space="0"/>
            </w:tcBorders>
          </w:tcPr>
          <w:p w14:paraId="4878B442">
            <w:pPr>
              <w:spacing w:line="240" w:lineRule="auto"/>
              <w:ind w:firstLine="0" w:firstLineChars="0"/>
              <w:jc w:val="center"/>
              <w:rPr>
                <w:rFonts w:eastAsia="宋体"/>
                <w:sz w:val="20"/>
                <w:szCs w:val="20"/>
              </w:rPr>
            </w:pPr>
          </w:p>
        </w:tc>
        <w:tc>
          <w:tcPr>
            <w:tcW w:w="1362" w:type="pct"/>
            <w:vAlign w:val="center"/>
          </w:tcPr>
          <w:p w14:paraId="59A82C3B">
            <w:pPr>
              <w:spacing w:line="240" w:lineRule="auto"/>
              <w:ind w:firstLine="0" w:firstLineChars="0"/>
              <w:jc w:val="center"/>
              <w:rPr>
                <w:rFonts w:eastAsia="宋体"/>
                <w:sz w:val="20"/>
                <w:szCs w:val="20"/>
              </w:rPr>
            </w:pPr>
            <w:r>
              <w:rPr>
                <w:rFonts w:hint="eastAsia" w:eastAsia="宋体"/>
                <w:sz w:val="20"/>
                <w:szCs w:val="20"/>
              </w:rPr>
              <w:t>完成时效</w:t>
            </w:r>
          </w:p>
        </w:tc>
        <w:tc>
          <w:tcPr>
            <w:tcW w:w="1292" w:type="pct"/>
            <w:shd w:val="clear" w:color="auto" w:fill="auto"/>
            <w:vAlign w:val="center"/>
          </w:tcPr>
          <w:p w14:paraId="23B5AEA0">
            <w:pPr>
              <w:spacing w:line="240" w:lineRule="auto"/>
              <w:ind w:firstLine="0" w:firstLineChars="0"/>
              <w:jc w:val="center"/>
              <w:rPr>
                <w:rFonts w:eastAsia="宋体"/>
                <w:sz w:val="20"/>
                <w:szCs w:val="20"/>
              </w:rPr>
            </w:pPr>
            <w:r>
              <w:rPr>
                <w:rFonts w:hint="eastAsia" w:eastAsia="宋体"/>
                <w:sz w:val="20"/>
                <w:szCs w:val="20"/>
              </w:rPr>
              <w:t>事项完成及时性</w:t>
            </w:r>
          </w:p>
        </w:tc>
        <w:tc>
          <w:tcPr>
            <w:tcW w:w="466" w:type="pct"/>
            <w:shd w:val="clear" w:color="auto" w:fill="auto"/>
            <w:vAlign w:val="center"/>
          </w:tcPr>
          <w:p w14:paraId="0BF8E5C7">
            <w:pPr>
              <w:spacing w:line="240" w:lineRule="auto"/>
              <w:ind w:firstLine="0" w:firstLineChars="0"/>
              <w:jc w:val="center"/>
              <w:rPr>
                <w:rFonts w:eastAsia="宋体"/>
                <w:sz w:val="20"/>
                <w:szCs w:val="20"/>
              </w:rPr>
            </w:pPr>
            <w:r>
              <w:rPr>
                <w:rFonts w:eastAsia="宋体"/>
                <w:sz w:val="20"/>
                <w:szCs w:val="20"/>
              </w:rPr>
              <w:t>8</w:t>
            </w:r>
            <w:r>
              <w:rPr>
                <w:rFonts w:hint="eastAsia" w:eastAsia="宋体"/>
                <w:sz w:val="20"/>
                <w:szCs w:val="20"/>
              </w:rPr>
              <w:t>.</w:t>
            </w:r>
            <w:r>
              <w:rPr>
                <w:rFonts w:eastAsia="宋体"/>
                <w:sz w:val="20"/>
                <w:szCs w:val="20"/>
              </w:rPr>
              <w:t>00</w:t>
            </w:r>
          </w:p>
        </w:tc>
        <w:tc>
          <w:tcPr>
            <w:tcW w:w="466" w:type="pct"/>
            <w:shd w:val="clear" w:color="auto" w:fill="auto"/>
            <w:noWrap/>
            <w:vAlign w:val="center"/>
          </w:tcPr>
          <w:p w14:paraId="6693B8DD">
            <w:pPr>
              <w:spacing w:line="240" w:lineRule="auto"/>
              <w:ind w:firstLine="0" w:firstLineChars="0"/>
              <w:jc w:val="center"/>
              <w:rPr>
                <w:rFonts w:eastAsia="宋体"/>
                <w:sz w:val="20"/>
                <w:szCs w:val="20"/>
              </w:rPr>
            </w:pPr>
            <w:r>
              <w:rPr>
                <w:rFonts w:hint="eastAsia" w:eastAsia="宋体"/>
                <w:sz w:val="20"/>
                <w:szCs w:val="20"/>
              </w:rPr>
              <w:t>8.</w:t>
            </w:r>
            <w:r>
              <w:rPr>
                <w:rFonts w:eastAsia="宋体"/>
                <w:sz w:val="20"/>
                <w:szCs w:val="20"/>
              </w:rPr>
              <w:t>00</w:t>
            </w:r>
          </w:p>
        </w:tc>
        <w:tc>
          <w:tcPr>
            <w:tcW w:w="562" w:type="pct"/>
            <w:tcBorders>
              <w:right w:val="single" w:color="auto" w:sz="4" w:space="0"/>
            </w:tcBorders>
            <w:shd w:val="clear" w:color="auto" w:fill="auto"/>
            <w:noWrap/>
            <w:vAlign w:val="center"/>
          </w:tcPr>
          <w:p w14:paraId="4C27F19E">
            <w:pPr>
              <w:spacing w:line="240" w:lineRule="auto"/>
              <w:ind w:firstLine="0" w:firstLineChars="0"/>
              <w:jc w:val="center"/>
              <w:rPr>
                <w:rFonts w:eastAsia="宋体"/>
                <w:sz w:val="20"/>
                <w:szCs w:val="20"/>
              </w:rPr>
            </w:pPr>
            <w:r>
              <w:rPr>
                <w:rFonts w:hint="eastAsia" w:eastAsia="宋体"/>
                <w:sz w:val="20"/>
                <w:szCs w:val="20"/>
              </w:rPr>
              <w:t>1</w:t>
            </w:r>
            <w:r>
              <w:rPr>
                <w:rFonts w:eastAsia="宋体"/>
                <w:sz w:val="20"/>
                <w:szCs w:val="20"/>
              </w:rPr>
              <w:t>00</w:t>
            </w:r>
            <w:r>
              <w:rPr>
                <w:rFonts w:hint="eastAsia" w:eastAsia="宋体"/>
                <w:sz w:val="20"/>
                <w:szCs w:val="20"/>
              </w:rPr>
              <w:t>.</w:t>
            </w:r>
            <w:r>
              <w:rPr>
                <w:rFonts w:eastAsia="宋体"/>
                <w:sz w:val="20"/>
                <w:szCs w:val="20"/>
              </w:rPr>
              <w:t>00%</w:t>
            </w:r>
          </w:p>
        </w:tc>
      </w:tr>
      <w:tr w14:paraId="1332937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2" w:type="pct"/>
            <w:vMerge w:val="continue"/>
            <w:tcBorders>
              <w:left w:val="single" w:color="auto" w:sz="4" w:space="0"/>
            </w:tcBorders>
          </w:tcPr>
          <w:p w14:paraId="7A917B1F">
            <w:pPr>
              <w:spacing w:line="240" w:lineRule="auto"/>
              <w:ind w:firstLine="0" w:firstLineChars="0"/>
              <w:jc w:val="center"/>
              <w:rPr>
                <w:rFonts w:eastAsia="宋体"/>
                <w:sz w:val="20"/>
                <w:szCs w:val="20"/>
              </w:rPr>
            </w:pPr>
          </w:p>
        </w:tc>
        <w:tc>
          <w:tcPr>
            <w:tcW w:w="1362" w:type="pct"/>
            <w:vAlign w:val="center"/>
          </w:tcPr>
          <w:p w14:paraId="3A2D56DD">
            <w:pPr>
              <w:spacing w:line="240" w:lineRule="auto"/>
              <w:ind w:firstLine="0" w:firstLineChars="0"/>
              <w:jc w:val="center"/>
              <w:rPr>
                <w:rFonts w:eastAsia="宋体"/>
                <w:sz w:val="20"/>
                <w:szCs w:val="20"/>
              </w:rPr>
            </w:pPr>
            <w:r>
              <w:rPr>
                <w:rFonts w:hint="eastAsia" w:eastAsia="宋体"/>
                <w:sz w:val="20"/>
                <w:szCs w:val="20"/>
              </w:rPr>
              <w:t>完成成本</w:t>
            </w:r>
          </w:p>
        </w:tc>
        <w:tc>
          <w:tcPr>
            <w:tcW w:w="1292" w:type="pct"/>
            <w:shd w:val="clear" w:color="auto" w:fill="auto"/>
            <w:vAlign w:val="center"/>
          </w:tcPr>
          <w:p w14:paraId="786A26D6">
            <w:pPr>
              <w:spacing w:line="240" w:lineRule="auto"/>
              <w:ind w:firstLine="0" w:firstLineChars="0"/>
              <w:jc w:val="center"/>
              <w:rPr>
                <w:rFonts w:eastAsia="宋体"/>
                <w:sz w:val="20"/>
                <w:szCs w:val="20"/>
              </w:rPr>
            </w:pPr>
            <w:r>
              <w:rPr>
                <w:rFonts w:hint="eastAsia" w:eastAsia="宋体"/>
                <w:sz w:val="20"/>
                <w:szCs w:val="20"/>
              </w:rPr>
              <w:t>成本控制有效性</w:t>
            </w:r>
          </w:p>
        </w:tc>
        <w:tc>
          <w:tcPr>
            <w:tcW w:w="466" w:type="pct"/>
            <w:shd w:val="clear" w:color="auto" w:fill="auto"/>
            <w:vAlign w:val="center"/>
          </w:tcPr>
          <w:p w14:paraId="1B60D5AF">
            <w:pPr>
              <w:spacing w:line="240" w:lineRule="auto"/>
              <w:ind w:firstLine="0" w:firstLineChars="0"/>
              <w:jc w:val="center"/>
              <w:rPr>
                <w:rFonts w:eastAsia="宋体"/>
                <w:sz w:val="20"/>
                <w:szCs w:val="20"/>
              </w:rPr>
            </w:pPr>
            <w:r>
              <w:rPr>
                <w:rFonts w:hint="eastAsia" w:eastAsia="宋体"/>
                <w:sz w:val="20"/>
                <w:szCs w:val="20"/>
              </w:rPr>
              <w:t>8.</w:t>
            </w:r>
            <w:r>
              <w:rPr>
                <w:rFonts w:eastAsia="宋体"/>
                <w:sz w:val="20"/>
                <w:szCs w:val="20"/>
              </w:rPr>
              <w:t>00</w:t>
            </w:r>
          </w:p>
        </w:tc>
        <w:tc>
          <w:tcPr>
            <w:tcW w:w="466" w:type="pct"/>
            <w:shd w:val="clear" w:color="auto" w:fill="auto"/>
            <w:noWrap/>
            <w:vAlign w:val="center"/>
          </w:tcPr>
          <w:p w14:paraId="6CF24A73">
            <w:pPr>
              <w:spacing w:line="240" w:lineRule="auto"/>
              <w:ind w:firstLine="0" w:firstLineChars="0"/>
              <w:jc w:val="center"/>
              <w:rPr>
                <w:rFonts w:eastAsia="宋体"/>
                <w:sz w:val="20"/>
                <w:szCs w:val="20"/>
              </w:rPr>
            </w:pPr>
            <w:r>
              <w:rPr>
                <w:rFonts w:hint="eastAsia" w:eastAsia="宋体"/>
                <w:sz w:val="20"/>
                <w:szCs w:val="20"/>
              </w:rPr>
              <w:t>8.</w:t>
            </w:r>
            <w:r>
              <w:rPr>
                <w:rFonts w:eastAsia="宋体"/>
                <w:sz w:val="20"/>
                <w:szCs w:val="20"/>
              </w:rPr>
              <w:t>00</w:t>
            </w:r>
          </w:p>
        </w:tc>
        <w:tc>
          <w:tcPr>
            <w:tcW w:w="562" w:type="pct"/>
            <w:tcBorders>
              <w:right w:val="single" w:color="auto" w:sz="4" w:space="0"/>
            </w:tcBorders>
            <w:shd w:val="clear" w:color="auto" w:fill="auto"/>
            <w:noWrap/>
            <w:vAlign w:val="center"/>
          </w:tcPr>
          <w:p w14:paraId="261F209B">
            <w:pPr>
              <w:spacing w:line="240" w:lineRule="auto"/>
              <w:ind w:firstLine="0" w:firstLineChars="0"/>
              <w:jc w:val="center"/>
              <w:rPr>
                <w:rFonts w:eastAsia="宋体"/>
                <w:sz w:val="20"/>
                <w:szCs w:val="20"/>
              </w:rPr>
            </w:pPr>
            <w:r>
              <w:rPr>
                <w:rFonts w:eastAsia="宋体"/>
                <w:sz w:val="20"/>
                <w:szCs w:val="20"/>
              </w:rPr>
              <w:t>100.00%</w:t>
            </w:r>
          </w:p>
        </w:tc>
      </w:tr>
      <w:tr w14:paraId="534495F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2" w:type="pct"/>
            <w:vMerge w:val="continue"/>
            <w:tcBorders>
              <w:left w:val="single" w:color="auto" w:sz="4" w:space="0"/>
            </w:tcBorders>
          </w:tcPr>
          <w:p w14:paraId="16509FDE">
            <w:pPr>
              <w:spacing w:line="240" w:lineRule="auto"/>
              <w:ind w:firstLine="0" w:firstLineChars="0"/>
              <w:jc w:val="center"/>
              <w:rPr>
                <w:rFonts w:eastAsia="宋体"/>
                <w:sz w:val="20"/>
                <w:szCs w:val="20"/>
              </w:rPr>
            </w:pPr>
          </w:p>
        </w:tc>
        <w:tc>
          <w:tcPr>
            <w:tcW w:w="1362" w:type="pct"/>
            <w:vAlign w:val="center"/>
          </w:tcPr>
          <w:p w14:paraId="2E11B462">
            <w:pPr>
              <w:spacing w:line="240" w:lineRule="auto"/>
              <w:ind w:firstLine="0" w:firstLineChars="0"/>
              <w:jc w:val="center"/>
              <w:rPr>
                <w:rFonts w:eastAsia="宋体"/>
                <w:sz w:val="20"/>
                <w:szCs w:val="20"/>
              </w:rPr>
            </w:pPr>
            <w:r>
              <w:rPr>
                <w:rFonts w:hint="eastAsia" w:eastAsia="宋体"/>
                <w:sz w:val="20"/>
                <w:szCs w:val="20"/>
              </w:rPr>
              <w:t>社会效益</w:t>
            </w:r>
          </w:p>
        </w:tc>
        <w:tc>
          <w:tcPr>
            <w:tcW w:w="1292" w:type="pct"/>
            <w:shd w:val="clear" w:color="auto" w:fill="auto"/>
            <w:vAlign w:val="center"/>
          </w:tcPr>
          <w:p w14:paraId="7841D7EF">
            <w:pPr>
              <w:spacing w:line="240" w:lineRule="auto"/>
              <w:ind w:firstLine="0" w:firstLineChars="0"/>
              <w:jc w:val="center"/>
              <w:rPr>
                <w:rFonts w:eastAsia="宋体"/>
                <w:sz w:val="20"/>
                <w:szCs w:val="20"/>
              </w:rPr>
            </w:pPr>
            <w:r>
              <w:rPr>
                <w:rFonts w:hint="eastAsia" w:eastAsia="宋体"/>
                <w:sz w:val="20"/>
                <w:szCs w:val="20"/>
              </w:rPr>
              <w:t>执法效果提升</w:t>
            </w:r>
          </w:p>
        </w:tc>
        <w:tc>
          <w:tcPr>
            <w:tcW w:w="466" w:type="pct"/>
            <w:shd w:val="clear" w:color="auto" w:fill="auto"/>
            <w:vAlign w:val="center"/>
          </w:tcPr>
          <w:p w14:paraId="1105DED8">
            <w:pPr>
              <w:spacing w:line="240" w:lineRule="auto"/>
              <w:ind w:firstLine="0" w:firstLineChars="0"/>
              <w:jc w:val="center"/>
              <w:rPr>
                <w:rFonts w:eastAsia="宋体"/>
                <w:sz w:val="20"/>
                <w:szCs w:val="20"/>
              </w:rPr>
            </w:pPr>
            <w:r>
              <w:rPr>
                <w:rFonts w:hint="eastAsia" w:eastAsia="宋体"/>
                <w:sz w:val="20"/>
                <w:szCs w:val="20"/>
              </w:rPr>
              <w:t>8.</w:t>
            </w:r>
            <w:r>
              <w:rPr>
                <w:rFonts w:eastAsia="宋体"/>
                <w:sz w:val="20"/>
                <w:szCs w:val="20"/>
              </w:rPr>
              <w:t>00</w:t>
            </w:r>
          </w:p>
        </w:tc>
        <w:tc>
          <w:tcPr>
            <w:tcW w:w="466" w:type="pct"/>
            <w:shd w:val="clear" w:color="auto" w:fill="auto"/>
            <w:noWrap/>
            <w:vAlign w:val="center"/>
          </w:tcPr>
          <w:p w14:paraId="2942B10E">
            <w:pPr>
              <w:spacing w:line="240" w:lineRule="auto"/>
              <w:ind w:firstLine="0" w:firstLineChars="0"/>
              <w:jc w:val="center"/>
              <w:rPr>
                <w:rFonts w:eastAsia="宋体"/>
                <w:sz w:val="20"/>
                <w:szCs w:val="20"/>
              </w:rPr>
            </w:pPr>
            <w:r>
              <w:rPr>
                <w:rFonts w:hint="eastAsia" w:eastAsia="宋体"/>
                <w:sz w:val="20"/>
                <w:szCs w:val="20"/>
              </w:rPr>
              <w:t>8.</w:t>
            </w:r>
            <w:r>
              <w:rPr>
                <w:rFonts w:eastAsia="宋体"/>
                <w:sz w:val="20"/>
                <w:szCs w:val="20"/>
              </w:rPr>
              <w:t>00</w:t>
            </w:r>
          </w:p>
        </w:tc>
        <w:tc>
          <w:tcPr>
            <w:tcW w:w="562" w:type="pct"/>
            <w:tcBorders>
              <w:right w:val="single" w:color="auto" w:sz="4" w:space="0"/>
            </w:tcBorders>
            <w:shd w:val="clear" w:color="auto" w:fill="auto"/>
            <w:noWrap/>
            <w:vAlign w:val="center"/>
          </w:tcPr>
          <w:p w14:paraId="7E8F1C7B">
            <w:pPr>
              <w:spacing w:line="240" w:lineRule="auto"/>
              <w:ind w:firstLine="0" w:firstLineChars="0"/>
              <w:jc w:val="center"/>
              <w:rPr>
                <w:rFonts w:eastAsia="宋体"/>
                <w:sz w:val="20"/>
                <w:szCs w:val="20"/>
              </w:rPr>
            </w:pPr>
            <w:r>
              <w:rPr>
                <w:rFonts w:hint="eastAsia" w:eastAsia="宋体"/>
                <w:sz w:val="20"/>
                <w:szCs w:val="20"/>
              </w:rPr>
              <w:t>1</w:t>
            </w:r>
            <w:r>
              <w:rPr>
                <w:rFonts w:eastAsia="宋体"/>
                <w:sz w:val="20"/>
                <w:szCs w:val="20"/>
              </w:rPr>
              <w:t>00.00%</w:t>
            </w:r>
          </w:p>
        </w:tc>
      </w:tr>
      <w:tr w14:paraId="62A39AE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852" w:type="pct"/>
            <w:vMerge w:val="continue"/>
            <w:tcBorders>
              <w:left w:val="single" w:color="auto" w:sz="4" w:space="0"/>
            </w:tcBorders>
          </w:tcPr>
          <w:p w14:paraId="093910C0">
            <w:pPr>
              <w:spacing w:line="240" w:lineRule="auto"/>
              <w:ind w:firstLine="0" w:firstLineChars="0"/>
              <w:jc w:val="center"/>
              <w:rPr>
                <w:rFonts w:eastAsia="宋体"/>
                <w:sz w:val="20"/>
                <w:szCs w:val="20"/>
              </w:rPr>
            </w:pPr>
          </w:p>
        </w:tc>
        <w:tc>
          <w:tcPr>
            <w:tcW w:w="2654" w:type="pct"/>
            <w:gridSpan w:val="2"/>
            <w:vAlign w:val="center"/>
          </w:tcPr>
          <w:p w14:paraId="6D445330">
            <w:pPr>
              <w:spacing w:line="240" w:lineRule="auto"/>
              <w:ind w:firstLine="0" w:firstLineChars="0"/>
              <w:jc w:val="center"/>
              <w:rPr>
                <w:rFonts w:eastAsia="宋体"/>
                <w:b/>
                <w:bCs/>
                <w:sz w:val="20"/>
                <w:szCs w:val="20"/>
              </w:rPr>
            </w:pPr>
            <w:r>
              <w:rPr>
                <w:rFonts w:eastAsia="宋体"/>
                <w:b/>
                <w:bCs/>
                <w:sz w:val="20"/>
                <w:szCs w:val="20"/>
              </w:rPr>
              <w:t>合计</w:t>
            </w:r>
          </w:p>
        </w:tc>
        <w:tc>
          <w:tcPr>
            <w:tcW w:w="466" w:type="pct"/>
            <w:shd w:val="clear" w:color="auto" w:fill="auto"/>
            <w:vAlign w:val="center"/>
          </w:tcPr>
          <w:p w14:paraId="7138568A">
            <w:pPr>
              <w:spacing w:line="240" w:lineRule="auto"/>
              <w:ind w:firstLine="0" w:firstLineChars="0"/>
              <w:jc w:val="center"/>
              <w:rPr>
                <w:rFonts w:eastAsia="宋体"/>
                <w:b/>
                <w:bCs/>
                <w:sz w:val="20"/>
                <w:szCs w:val="20"/>
              </w:rPr>
            </w:pPr>
            <w:r>
              <w:rPr>
                <w:rFonts w:hint="eastAsia" w:eastAsia="宋体"/>
                <w:b/>
                <w:bCs/>
                <w:sz w:val="20"/>
                <w:szCs w:val="20"/>
              </w:rPr>
              <w:t>4</w:t>
            </w:r>
            <w:r>
              <w:rPr>
                <w:rFonts w:eastAsia="宋体"/>
                <w:b/>
                <w:bCs/>
                <w:sz w:val="20"/>
                <w:szCs w:val="20"/>
              </w:rPr>
              <w:t>0</w:t>
            </w:r>
            <w:r>
              <w:rPr>
                <w:rFonts w:hint="eastAsia" w:eastAsia="宋体"/>
                <w:b/>
                <w:bCs/>
                <w:sz w:val="20"/>
                <w:szCs w:val="20"/>
              </w:rPr>
              <w:t>.</w:t>
            </w:r>
            <w:r>
              <w:rPr>
                <w:rFonts w:eastAsia="宋体"/>
                <w:b/>
                <w:bCs/>
                <w:sz w:val="20"/>
                <w:szCs w:val="20"/>
              </w:rPr>
              <w:t>00</w:t>
            </w:r>
          </w:p>
        </w:tc>
        <w:tc>
          <w:tcPr>
            <w:tcW w:w="466" w:type="pct"/>
            <w:shd w:val="clear" w:color="auto" w:fill="auto"/>
            <w:noWrap/>
            <w:vAlign w:val="center"/>
          </w:tcPr>
          <w:p w14:paraId="195CE0F3">
            <w:pPr>
              <w:spacing w:line="240" w:lineRule="auto"/>
              <w:ind w:firstLine="0" w:firstLineChars="0"/>
              <w:jc w:val="center"/>
              <w:rPr>
                <w:rFonts w:eastAsia="宋体"/>
                <w:b/>
                <w:bCs/>
                <w:sz w:val="20"/>
                <w:szCs w:val="20"/>
              </w:rPr>
            </w:pPr>
            <w:r>
              <w:rPr>
                <w:rFonts w:hint="eastAsia" w:eastAsia="宋体"/>
                <w:b/>
                <w:bCs/>
                <w:sz w:val="20"/>
                <w:szCs w:val="20"/>
              </w:rPr>
              <w:t>4</w:t>
            </w:r>
            <w:r>
              <w:rPr>
                <w:rFonts w:eastAsia="宋体"/>
                <w:b/>
                <w:bCs/>
                <w:sz w:val="20"/>
                <w:szCs w:val="20"/>
              </w:rPr>
              <w:t>0</w:t>
            </w:r>
            <w:r>
              <w:rPr>
                <w:rFonts w:hint="eastAsia" w:eastAsia="宋体"/>
                <w:b/>
                <w:bCs/>
                <w:sz w:val="20"/>
                <w:szCs w:val="20"/>
              </w:rPr>
              <w:t>.</w:t>
            </w:r>
            <w:r>
              <w:rPr>
                <w:rFonts w:eastAsia="宋体"/>
                <w:b/>
                <w:bCs/>
                <w:sz w:val="20"/>
                <w:szCs w:val="20"/>
              </w:rPr>
              <w:t>00</w:t>
            </w:r>
          </w:p>
        </w:tc>
        <w:tc>
          <w:tcPr>
            <w:tcW w:w="562" w:type="pct"/>
            <w:tcBorders>
              <w:right w:val="single" w:color="auto" w:sz="4" w:space="0"/>
            </w:tcBorders>
            <w:shd w:val="clear" w:color="auto" w:fill="auto"/>
            <w:noWrap/>
            <w:vAlign w:val="center"/>
          </w:tcPr>
          <w:p w14:paraId="1B2E84A6">
            <w:pPr>
              <w:spacing w:line="240" w:lineRule="auto"/>
              <w:ind w:firstLine="0" w:firstLineChars="0"/>
              <w:jc w:val="center"/>
              <w:rPr>
                <w:rFonts w:eastAsia="宋体"/>
                <w:b/>
                <w:bCs/>
                <w:sz w:val="20"/>
                <w:szCs w:val="20"/>
              </w:rPr>
            </w:pPr>
            <w:r>
              <w:rPr>
                <w:rFonts w:eastAsia="宋体"/>
                <w:b/>
                <w:bCs/>
                <w:sz w:val="20"/>
                <w:szCs w:val="20"/>
              </w:rPr>
              <w:t>100.00%</w:t>
            </w:r>
          </w:p>
        </w:tc>
      </w:tr>
    </w:tbl>
    <w:p w14:paraId="3979D45A">
      <w:pPr>
        <w:ind w:firstLine="640"/>
      </w:pPr>
    </w:p>
    <w:p w14:paraId="11D44B07">
      <w:pPr>
        <w:ind w:firstLine="640"/>
      </w:pPr>
      <w:r>
        <w:rPr>
          <w:rFonts w:hint="eastAsia"/>
        </w:rPr>
        <w:t>（1）事项完成数量</w:t>
      </w:r>
    </w:p>
    <w:p w14:paraId="184F0637">
      <w:pPr>
        <w:ind w:firstLine="640"/>
      </w:pPr>
      <w:r>
        <w:rPr>
          <w:rFonts w:hint="eastAsia"/>
        </w:rPr>
        <w:t>事项完成数量权重</w:t>
      </w:r>
      <w:r>
        <w:t>8.00分，实际得分8.00分，得分率100</w:t>
      </w:r>
      <w:r>
        <w:rPr>
          <w:rFonts w:hint="eastAsia"/>
        </w:rPr>
        <w:t>.</w:t>
      </w:r>
      <w:r>
        <w:t>00%</w:t>
      </w:r>
      <w:r>
        <w:rPr>
          <w:rFonts w:hint="eastAsia"/>
        </w:rPr>
        <w:t>。项目按计划完成4个项目的测绘工作，故未扣分</w:t>
      </w:r>
      <w:r>
        <w:t>。</w:t>
      </w:r>
    </w:p>
    <w:p w14:paraId="2AAE2813">
      <w:pPr>
        <w:ind w:firstLine="640"/>
      </w:pPr>
      <w:r>
        <w:rPr>
          <w:rFonts w:hint="eastAsia"/>
        </w:rPr>
        <w:t>（2）事项完成质量</w:t>
      </w:r>
    </w:p>
    <w:p w14:paraId="76442E4D">
      <w:pPr>
        <w:ind w:firstLine="640"/>
      </w:pPr>
      <w:r>
        <w:rPr>
          <w:rFonts w:hint="eastAsia"/>
        </w:rPr>
        <w:t>事项完成质量权重</w:t>
      </w:r>
      <w:r>
        <w:t>8.00分，实际得分8.00分，得分率100.00%</w:t>
      </w:r>
      <w:r>
        <w:rPr>
          <w:rFonts w:hint="eastAsia"/>
        </w:rPr>
        <w:t>。测绘结果能满足执法工作需求，故未扣分。</w:t>
      </w:r>
    </w:p>
    <w:p w14:paraId="30B1322A">
      <w:pPr>
        <w:ind w:firstLine="640"/>
      </w:pPr>
      <w:r>
        <w:rPr>
          <w:rFonts w:hint="eastAsia"/>
        </w:rPr>
        <w:t>（3）事项完成及时性</w:t>
      </w:r>
    </w:p>
    <w:p w14:paraId="18DE4835">
      <w:pPr>
        <w:ind w:firstLine="640"/>
      </w:pPr>
      <w:r>
        <w:rPr>
          <w:rFonts w:hint="eastAsia"/>
        </w:rPr>
        <w:t>事项完成及时性权重</w:t>
      </w:r>
      <w:r>
        <w:t>8.00</w:t>
      </w:r>
      <w:r>
        <w:rPr>
          <w:rFonts w:hint="eastAsia"/>
        </w:rPr>
        <w:t>分，实际得分</w:t>
      </w:r>
      <w:r>
        <w:t>8.00分，得分率100%</w:t>
      </w:r>
      <w:r>
        <w:rPr>
          <w:rFonts w:hint="eastAsia"/>
        </w:rPr>
        <w:t>。测绘结果在合同约定时间内提交，故未扣分。</w:t>
      </w:r>
    </w:p>
    <w:p w14:paraId="2284CFA7">
      <w:pPr>
        <w:ind w:firstLine="640"/>
      </w:pPr>
      <w:r>
        <w:rPr>
          <w:rFonts w:hint="eastAsia"/>
        </w:rPr>
        <w:t>（4）成本控制有效性</w:t>
      </w:r>
    </w:p>
    <w:p w14:paraId="5C1F0E8F">
      <w:pPr>
        <w:ind w:firstLine="640"/>
      </w:pPr>
      <w:r>
        <w:rPr>
          <w:rFonts w:hint="eastAsia"/>
        </w:rPr>
        <w:t>成本控制有效性权重8</w:t>
      </w:r>
      <w:r>
        <w:t>.00</w:t>
      </w:r>
      <w:r>
        <w:rPr>
          <w:rFonts w:hint="eastAsia"/>
        </w:rPr>
        <w:t>分，实际得分</w:t>
      </w:r>
      <w:r>
        <w:t>8.00分，得分率100.00%</w:t>
      </w:r>
      <w:r>
        <w:rPr>
          <w:rFonts w:hint="eastAsia"/>
        </w:rPr>
        <w:t>。项目实施未超过合同约定金额，经费使用未超支，故未扣分。</w:t>
      </w:r>
    </w:p>
    <w:p w14:paraId="2E7E7C6F">
      <w:pPr>
        <w:ind w:firstLine="640"/>
      </w:pPr>
      <w:r>
        <w:rPr>
          <w:rFonts w:hint="eastAsia"/>
        </w:rPr>
        <w:t>（5）执法效果提升</w:t>
      </w:r>
    </w:p>
    <w:p w14:paraId="45788B29">
      <w:pPr>
        <w:ind w:firstLine="640"/>
      </w:pPr>
      <w:r>
        <w:rPr>
          <w:rFonts w:hint="eastAsia"/>
        </w:rPr>
        <w:t>执法效果提升权重8</w:t>
      </w:r>
      <w:r>
        <w:t>.00</w:t>
      </w:r>
      <w:r>
        <w:rPr>
          <w:rFonts w:hint="eastAsia"/>
        </w:rPr>
        <w:t>分，实际得分</w:t>
      </w:r>
      <w:r>
        <w:t>8.00分，得分率100.00%</w:t>
      </w:r>
      <w:r>
        <w:rPr>
          <w:rFonts w:hint="eastAsia"/>
        </w:rPr>
        <w:t>。经费的使用有助于提升自然资源局的执法能力，故未扣分。</w:t>
      </w:r>
    </w:p>
    <w:p w14:paraId="3C7F7FC2">
      <w:pPr>
        <w:pStyle w:val="2"/>
        <w:ind w:firstLine="640"/>
        <w:jc w:val="both"/>
        <w:rPr>
          <w:rFonts w:ascii="黑体" w:hAnsi="黑体" w:cs="Times New Roman"/>
          <w:szCs w:val="28"/>
        </w:rPr>
      </w:pPr>
      <w:bookmarkStart w:id="28" w:name="_Toc75509295"/>
      <w:bookmarkStart w:id="29" w:name="_Toc76627658"/>
      <w:r>
        <w:rPr>
          <w:rFonts w:hint="eastAsia" w:ascii="黑体" w:hAnsi="黑体" w:cs="Times New Roman"/>
          <w:szCs w:val="28"/>
        </w:rPr>
        <w:t>四</w:t>
      </w:r>
      <w:r>
        <w:rPr>
          <w:rFonts w:ascii="黑体" w:hAnsi="黑体" w:cs="Times New Roman"/>
          <w:szCs w:val="28"/>
        </w:rPr>
        <w:t>、存在主要问题</w:t>
      </w:r>
      <w:bookmarkEnd w:id="28"/>
      <w:bookmarkEnd w:id="29"/>
    </w:p>
    <w:p w14:paraId="0255037B">
      <w:pPr>
        <w:pStyle w:val="3"/>
        <w:ind w:firstLine="643"/>
      </w:pPr>
      <w:bookmarkStart w:id="30" w:name="_Toc76627659"/>
      <w:r>
        <w:rPr>
          <w:rFonts w:hint="eastAsia"/>
        </w:rPr>
        <w:t>（一）政府采购程序履行不完整</w:t>
      </w:r>
      <w:bookmarkEnd w:id="30"/>
    </w:p>
    <w:p w14:paraId="12733C89">
      <w:pPr>
        <w:ind w:firstLine="640"/>
        <w:rPr>
          <w:rFonts w:ascii="Calibri" w:hAnsi="Calibri" w:cs="Times New Roman"/>
          <w:szCs w:val="28"/>
        </w:rPr>
      </w:pPr>
      <w:r>
        <w:rPr>
          <w:rFonts w:hint="eastAsia" w:ascii="Calibri" w:hAnsi="Calibri" w:cs="Times New Roman"/>
          <w:szCs w:val="28"/>
        </w:rPr>
        <w:t>根据《绵竹市自然资源和规划局政府采购内部控制管理制度》，执法经费的性质属于“服务的时间、数量事先不能确定等原因不能事先计算出价格总额”的采购类型，应以竞争性磋商的方式确定供应商。绵竹市自然资源和规划局确定</w:t>
      </w:r>
      <w:r>
        <w:rPr>
          <w:rFonts w:ascii="Calibri" w:hAnsi="Calibri" w:cs="Times New Roman"/>
          <w:szCs w:val="28"/>
        </w:rPr>
        <w:t>南京市测绘勘察研究院</w:t>
      </w:r>
      <w:r>
        <w:rPr>
          <w:rFonts w:hint="eastAsia" w:ascii="Calibri" w:hAnsi="Calibri" w:cs="Times New Roman"/>
          <w:szCs w:val="28"/>
        </w:rPr>
        <w:t>股</w:t>
      </w:r>
      <w:r>
        <w:rPr>
          <w:rFonts w:ascii="Calibri" w:hAnsi="Calibri" w:cs="Times New Roman"/>
          <w:szCs w:val="28"/>
        </w:rPr>
        <w:t>份有限公司</w:t>
      </w:r>
      <w:r>
        <w:rPr>
          <w:rFonts w:hint="eastAsia" w:ascii="Calibri" w:hAnsi="Calibri" w:cs="Times New Roman"/>
          <w:szCs w:val="28"/>
        </w:rPr>
        <w:t>为</w:t>
      </w:r>
      <w:r>
        <w:rPr>
          <w:rFonts w:ascii="Calibri" w:hAnsi="Calibri" w:cs="Times New Roman"/>
          <w:szCs w:val="28"/>
        </w:rPr>
        <w:t>年度所有零星测绘业务</w:t>
      </w:r>
      <w:r>
        <w:rPr>
          <w:rFonts w:hint="eastAsia" w:ascii="Calibri" w:hAnsi="Calibri" w:cs="Times New Roman"/>
          <w:szCs w:val="28"/>
        </w:rPr>
        <w:t>供应商的过程相关过程性材料不足，难以证明其竞争性磋商过程的公开性、规范性和合理性，项目管理规范性有待提升。</w:t>
      </w:r>
    </w:p>
    <w:p w14:paraId="69E605BF">
      <w:pPr>
        <w:pStyle w:val="3"/>
        <w:ind w:firstLine="643"/>
      </w:pPr>
      <w:bookmarkStart w:id="31" w:name="_Toc76627660"/>
      <w:bookmarkStart w:id="32" w:name="_Hlk76462656"/>
      <w:r>
        <w:rPr>
          <w:rFonts w:hint="eastAsia"/>
        </w:rPr>
        <w:t>（二）财务管理制度未及时更新</w:t>
      </w:r>
      <w:bookmarkEnd w:id="31"/>
    </w:p>
    <w:bookmarkEnd w:id="32"/>
    <w:p w14:paraId="38776726">
      <w:pPr>
        <w:ind w:firstLine="640"/>
        <w:rPr>
          <w:rFonts w:ascii="Calibri" w:hAnsi="Calibri" w:cs="Times New Roman"/>
          <w:szCs w:val="28"/>
        </w:rPr>
      </w:pPr>
      <w:r>
        <w:rPr>
          <w:rFonts w:hint="eastAsia" w:ascii="Calibri" w:hAnsi="Calibri" w:cs="Times New Roman"/>
          <w:szCs w:val="28"/>
        </w:rPr>
        <w:t>根据《绵竹市机构</w:t>
      </w:r>
      <w:r>
        <w:rPr>
          <w:rFonts w:hint="eastAsia"/>
        </w:rPr>
        <w:t>改革方案》（竹市委办〔</w:t>
      </w:r>
      <w:r>
        <w:t>2019〕12号），绵竹市自然资源和规划局是将原有市国土资源局、市林</w:t>
      </w:r>
      <w:r>
        <w:rPr>
          <w:rFonts w:ascii="Calibri" w:hAnsi="Calibri" w:cs="Times New Roman"/>
          <w:szCs w:val="28"/>
        </w:rPr>
        <w:t>业局的职责和原有</w:t>
      </w:r>
      <w:r>
        <w:rPr>
          <w:rFonts w:hint="eastAsia" w:ascii="Calibri" w:hAnsi="Calibri" w:cs="Times New Roman"/>
          <w:szCs w:val="28"/>
          <w:lang w:eastAsia="zh-CN"/>
        </w:rPr>
        <w:t>住房和城乡建设局</w:t>
      </w:r>
      <w:r>
        <w:rPr>
          <w:rFonts w:ascii="Calibri" w:hAnsi="Calibri" w:cs="Times New Roman"/>
          <w:szCs w:val="28"/>
        </w:rPr>
        <w:t>的风景名胜区管理职责以及相关机构的城乡规划管理职责、水资源调查和确权登记管理职责、草原资源调查和确权登记管理职责、草原监督管理职责整合优化组建而成的行政单位。</w:t>
      </w:r>
      <w:r>
        <w:rPr>
          <w:rFonts w:hint="eastAsia" w:ascii="Calibri" w:hAnsi="Calibri" w:cs="Times New Roman"/>
          <w:szCs w:val="28"/>
        </w:rPr>
        <w:t>执法经费的使用是依据</w:t>
      </w:r>
      <w:r>
        <w:rPr>
          <w:rFonts w:ascii="Calibri" w:hAnsi="Calibri" w:cs="Times New Roman"/>
          <w:szCs w:val="28"/>
        </w:rPr>
        <w:t>原国土资源局的</w:t>
      </w:r>
      <w:r>
        <w:rPr>
          <w:rFonts w:hint="eastAsia" w:ascii="Calibri" w:hAnsi="Calibri" w:cs="Times New Roman"/>
          <w:szCs w:val="28"/>
        </w:rPr>
        <w:t>《财务支出审批规定》进行财务管理</w:t>
      </w:r>
      <w:r>
        <w:rPr>
          <w:rFonts w:ascii="Calibri" w:hAnsi="Calibri" w:cs="Times New Roman"/>
          <w:szCs w:val="28"/>
        </w:rPr>
        <w:t>，</w:t>
      </w:r>
      <w:bookmarkStart w:id="33" w:name="_Toc75509296"/>
      <w:bookmarkStart w:id="34" w:name="_Toc76627661"/>
      <w:r>
        <w:rPr>
          <w:rFonts w:hint="eastAsia" w:ascii="Calibri" w:hAnsi="Calibri" w:cs="Times New Roman"/>
          <w:szCs w:val="28"/>
        </w:rPr>
        <w:t>《财务支出审批规定》适用于原绵竹市国土资源局机关各股室、下属各事业单位的所有财务活动，未能明确机构改革后的各股室是否可依此执行，财务管理依据不足。</w:t>
      </w:r>
    </w:p>
    <w:p w14:paraId="57BCF2D2">
      <w:pPr>
        <w:pStyle w:val="2"/>
        <w:ind w:firstLine="640"/>
        <w:jc w:val="both"/>
        <w:rPr>
          <w:rFonts w:ascii="黑体" w:hAnsi="黑体" w:cs="Times New Roman"/>
          <w:szCs w:val="28"/>
        </w:rPr>
      </w:pPr>
      <w:r>
        <w:rPr>
          <w:rFonts w:hint="eastAsia" w:ascii="黑体" w:hAnsi="黑体" w:cs="Times New Roman"/>
          <w:szCs w:val="28"/>
        </w:rPr>
        <w:t>五</w:t>
      </w:r>
      <w:r>
        <w:rPr>
          <w:rFonts w:ascii="黑体" w:hAnsi="黑体" w:cs="Times New Roman"/>
          <w:szCs w:val="28"/>
        </w:rPr>
        <w:t>、相关措施建议</w:t>
      </w:r>
      <w:bookmarkEnd w:id="33"/>
      <w:bookmarkEnd w:id="34"/>
    </w:p>
    <w:p w14:paraId="06BC5036">
      <w:pPr>
        <w:pStyle w:val="3"/>
        <w:ind w:firstLine="643"/>
      </w:pPr>
      <w:bookmarkStart w:id="35" w:name="_Toc76627662"/>
      <w:r>
        <w:rPr>
          <w:rFonts w:hint="eastAsia"/>
        </w:rPr>
        <w:t>（一）完善政府采购档案管理规章制度</w:t>
      </w:r>
      <w:bookmarkEnd w:id="35"/>
    </w:p>
    <w:p w14:paraId="015DED01">
      <w:pPr>
        <w:ind w:firstLine="640"/>
        <w:rPr>
          <w:rFonts w:ascii="Calibri" w:hAnsi="Calibri" w:cs="Times New Roman"/>
          <w:szCs w:val="28"/>
        </w:rPr>
      </w:pPr>
      <w:r>
        <w:rPr>
          <w:rFonts w:hint="eastAsia" w:ascii="Calibri" w:hAnsi="Calibri" w:cs="Times New Roman"/>
          <w:szCs w:val="28"/>
        </w:rPr>
        <w:t>建议绵竹市自然资源和规划局在采购过程中注意对政府采购档案的收集。进行采购的股室应严格按照《中华人民共和国政府采购法》的要求收集政府采购文件资料及相关的活动记录，无论采购金额与采购方式，做到一套流程手续齐全完整。</w:t>
      </w:r>
    </w:p>
    <w:p w14:paraId="0B59FA7C">
      <w:pPr>
        <w:pStyle w:val="3"/>
        <w:ind w:firstLine="643"/>
      </w:pPr>
      <w:bookmarkStart w:id="36" w:name="_Toc76627663"/>
      <w:r>
        <w:rPr>
          <w:rFonts w:hint="eastAsia"/>
        </w:rPr>
        <w:t>（二）根据部门现行职能职责更新调整相关管理制度</w:t>
      </w:r>
      <w:bookmarkEnd w:id="36"/>
    </w:p>
    <w:p w14:paraId="15EB2697">
      <w:pPr>
        <w:ind w:firstLine="640"/>
        <w:rPr>
          <w:rFonts w:ascii="Calibri" w:hAnsi="Calibri" w:cs="Times New Roman"/>
          <w:szCs w:val="28"/>
        </w:rPr>
      </w:pPr>
      <w:r>
        <w:rPr>
          <w:rFonts w:hint="eastAsia" w:ascii="Calibri" w:hAnsi="Calibri" w:cs="Times New Roman"/>
          <w:szCs w:val="28"/>
        </w:rPr>
        <w:t>建议绵竹市自然资源和规划局，根据部门现行职能职责，认真梳理现有的规章制度，开展规章制度的废、改、立工作。其中财务管理制度，应重点关注“改”。“改”是指对于不符合新形势、新任务要求以及现行依据有所调整的规章制度，要进行修订完善，必须依据十九大以来的新形势、新思想、新要求和机构改革后的新职能、新职责进行修订，能够满足当前部门不同业务的财务管理方面的需要。</w:t>
      </w:r>
    </w:p>
    <w:p w14:paraId="6606100D">
      <w:pPr>
        <w:widowControl/>
        <w:spacing w:before="156" w:after="156" w:line="240" w:lineRule="auto"/>
        <w:ind w:firstLine="0" w:firstLineChars="0"/>
        <w:jc w:val="left"/>
        <w:rPr>
          <w:rFonts w:ascii="Calibri" w:hAnsi="Calibri" w:cs="Times New Roman"/>
          <w:szCs w:val="28"/>
        </w:rPr>
        <w:sectPr>
          <w:footerReference r:id="rId11" w:type="default"/>
          <w:pgSz w:w="11906" w:h="16838"/>
          <w:pgMar w:top="1440" w:right="1800" w:bottom="1440" w:left="1800" w:header="851" w:footer="992" w:gutter="0"/>
          <w:pgNumType w:start="1"/>
          <w:cols w:space="425" w:num="1"/>
          <w:docGrid w:type="lines" w:linePitch="312" w:charSpace="0"/>
        </w:sectPr>
      </w:pPr>
    </w:p>
    <w:p w14:paraId="61FD22A1">
      <w:pPr>
        <w:keepNext/>
        <w:keepLines/>
        <w:spacing w:before="120" w:after="120"/>
        <w:ind w:firstLine="723"/>
        <w:outlineLvl w:val="0"/>
        <w:rPr>
          <w:rFonts w:eastAsia="黑体"/>
          <w:b/>
          <w:bCs/>
          <w:kern w:val="44"/>
          <w:sz w:val="36"/>
          <w:szCs w:val="44"/>
        </w:rPr>
      </w:pPr>
      <w:bookmarkStart w:id="37" w:name="_Toc75524272"/>
      <w:bookmarkStart w:id="38" w:name="_Toc75811851"/>
      <w:bookmarkStart w:id="39" w:name="_Toc76627664"/>
      <w:r>
        <w:rPr>
          <w:rFonts w:hint="eastAsia" w:eastAsia="黑体"/>
          <w:b/>
          <w:bCs/>
          <w:kern w:val="44"/>
          <w:sz w:val="36"/>
          <w:szCs w:val="44"/>
        </w:rPr>
        <w:t>附件绵竹市</w:t>
      </w:r>
      <w:r>
        <w:rPr>
          <w:rFonts w:eastAsia="黑体"/>
          <w:b/>
          <w:bCs/>
          <w:kern w:val="44"/>
          <w:sz w:val="36"/>
          <w:szCs w:val="44"/>
        </w:rPr>
        <w:t>2020</w:t>
      </w:r>
      <w:r>
        <w:rPr>
          <w:rFonts w:hint="eastAsia" w:eastAsia="黑体"/>
          <w:b/>
          <w:bCs/>
          <w:kern w:val="44"/>
          <w:sz w:val="36"/>
          <w:szCs w:val="44"/>
        </w:rPr>
        <w:t>年执法经费项目支出绩效评价</w:t>
      </w:r>
      <w:bookmarkEnd w:id="37"/>
      <w:bookmarkEnd w:id="38"/>
      <w:r>
        <w:rPr>
          <w:rFonts w:hint="eastAsia" w:eastAsia="黑体"/>
          <w:b/>
          <w:bCs/>
          <w:kern w:val="44"/>
          <w:sz w:val="36"/>
          <w:szCs w:val="44"/>
        </w:rPr>
        <w:t>得分表</w:t>
      </w:r>
      <w:bookmarkEnd w:id="39"/>
    </w:p>
    <w:tbl>
      <w:tblPr>
        <w:tblStyle w:val="15"/>
        <w:tblW w:w="5000" w:type="pct"/>
        <w:jc w:val="center"/>
        <w:tblLayout w:type="fixed"/>
        <w:tblCellMar>
          <w:top w:w="0" w:type="dxa"/>
          <w:left w:w="0" w:type="dxa"/>
          <w:bottom w:w="0" w:type="dxa"/>
          <w:right w:w="0" w:type="dxa"/>
        </w:tblCellMar>
      </w:tblPr>
      <w:tblGrid>
        <w:gridCol w:w="639"/>
        <w:gridCol w:w="687"/>
        <w:gridCol w:w="939"/>
        <w:gridCol w:w="1566"/>
        <w:gridCol w:w="568"/>
        <w:gridCol w:w="568"/>
        <w:gridCol w:w="570"/>
        <w:gridCol w:w="568"/>
        <w:gridCol w:w="425"/>
        <w:gridCol w:w="710"/>
        <w:gridCol w:w="2983"/>
        <w:gridCol w:w="598"/>
        <w:gridCol w:w="520"/>
        <w:gridCol w:w="730"/>
        <w:gridCol w:w="1907"/>
      </w:tblGrid>
      <w:tr w14:paraId="76138DB8">
        <w:tblPrEx>
          <w:tblCellMar>
            <w:top w:w="0" w:type="dxa"/>
            <w:left w:w="0" w:type="dxa"/>
            <w:bottom w:w="0" w:type="dxa"/>
            <w:right w:w="0" w:type="dxa"/>
          </w:tblCellMar>
        </w:tblPrEx>
        <w:trPr>
          <w:trHeight w:val="270" w:hRule="atLeast"/>
          <w:tblHeader/>
          <w:jc w:val="center"/>
        </w:trPr>
        <w:tc>
          <w:tcPr>
            <w:tcW w:w="811" w:type="pct"/>
            <w:gridSpan w:val="3"/>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47265F1E">
            <w:pPr>
              <w:widowControl/>
              <w:spacing w:before="120" w:after="120" w:line="240" w:lineRule="auto"/>
              <w:ind w:firstLine="0" w:firstLineChars="0"/>
              <w:jc w:val="center"/>
              <w:textAlignment w:val="center"/>
              <w:rPr>
                <w:rFonts w:eastAsia="宋体" w:cs="Times New Roman"/>
                <w:b/>
                <w:color w:val="FFFFFF" w:themeColor="background1"/>
                <w:sz w:val="20"/>
                <w:szCs w:val="20"/>
              </w:rPr>
            </w:pPr>
            <w:r>
              <w:rPr>
                <w:rFonts w:hint="eastAsia" w:eastAsia="宋体" w:cs="Times New Roman"/>
                <w:b/>
                <w:color w:val="FFFFFF" w:themeColor="background1"/>
                <w:kern w:val="0"/>
                <w:sz w:val="20"/>
                <w:szCs w:val="20"/>
              </w:rPr>
              <w:t>分层指标</w:t>
            </w: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261BD991">
            <w:pPr>
              <w:widowControl/>
              <w:spacing w:before="120" w:after="120" w:line="240" w:lineRule="auto"/>
              <w:ind w:firstLine="0" w:firstLineChars="0"/>
              <w:jc w:val="center"/>
              <w:textAlignment w:val="center"/>
              <w:rPr>
                <w:rFonts w:eastAsia="宋体" w:cs="Times New Roman"/>
                <w:b/>
                <w:color w:val="FFFFFF" w:themeColor="background1"/>
                <w:sz w:val="20"/>
                <w:szCs w:val="20"/>
              </w:rPr>
            </w:pPr>
            <w:r>
              <w:rPr>
                <w:rFonts w:eastAsia="宋体" w:cs="Times New Roman"/>
                <w:b/>
                <w:color w:val="FFFFFF" w:themeColor="background1"/>
                <w:kern w:val="0"/>
                <w:sz w:val="20"/>
                <w:szCs w:val="20"/>
              </w:rPr>
              <w:t>指标解释</w:t>
            </w:r>
          </w:p>
        </w:tc>
        <w:tc>
          <w:tcPr>
            <w:tcW w:w="1219" w:type="pct"/>
            <w:gridSpan w:val="6"/>
            <w:tcBorders>
              <w:top w:val="single" w:color="000000" w:sz="4" w:space="0"/>
              <w:left w:val="single" w:color="000000" w:sz="4" w:space="0"/>
              <w:bottom w:val="single" w:color="auto" w:sz="4" w:space="0"/>
              <w:right w:val="single" w:color="000000" w:sz="4" w:space="0"/>
            </w:tcBorders>
            <w:shd w:val="clear" w:color="auto" w:fill="00516B"/>
            <w:tcMar>
              <w:top w:w="15" w:type="dxa"/>
              <w:left w:w="15" w:type="dxa"/>
              <w:right w:w="15" w:type="dxa"/>
            </w:tcMar>
            <w:vAlign w:val="center"/>
          </w:tcPr>
          <w:p w14:paraId="15765716">
            <w:pPr>
              <w:widowControl/>
              <w:spacing w:before="120" w:after="120" w:line="240" w:lineRule="auto"/>
              <w:ind w:firstLine="0" w:firstLineChars="0"/>
              <w:jc w:val="center"/>
              <w:textAlignment w:val="center"/>
              <w:rPr>
                <w:rFonts w:eastAsia="宋体" w:cs="Times New Roman"/>
                <w:b/>
                <w:color w:val="FFFFFF" w:themeColor="background1"/>
                <w:sz w:val="20"/>
                <w:szCs w:val="20"/>
              </w:rPr>
            </w:pPr>
            <w:r>
              <w:rPr>
                <w:rFonts w:eastAsia="宋体" w:cs="Times New Roman"/>
                <w:b/>
                <w:color w:val="FFFFFF" w:themeColor="background1"/>
                <w:kern w:val="0"/>
                <w:sz w:val="20"/>
                <w:szCs w:val="20"/>
              </w:rPr>
              <w:t>评分方法</w:t>
            </w:r>
          </w:p>
        </w:tc>
        <w:tc>
          <w:tcPr>
            <w:tcW w:w="1067" w:type="pct"/>
            <w:vMerge w:val="restart"/>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77F79E70">
            <w:pPr>
              <w:widowControl/>
              <w:spacing w:before="120" w:after="120" w:line="240" w:lineRule="auto"/>
              <w:ind w:firstLine="0" w:firstLineChars="0"/>
              <w:jc w:val="center"/>
              <w:textAlignment w:val="center"/>
              <w:rPr>
                <w:rFonts w:eastAsia="宋体" w:cs="Times New Roman"/>
                <w:b/>
                <w:color w:val="FFFFFF" w:themeColor="background1"/>
                <w:sz w:val="20"/>
                <w:szCs w:val="20"/>
              </w:rPr>
            </w:pPr>
            <w:r>
              <w:rPr>
                <w:rFonts w:eastAsia="宋体" w:cs="Times New Roman"/>
                <w:b/>
                <w:color w:val="FFFFFF" w:themeColor="background1"/>
                <w:kern w:val="0"/>
                <w:sz w:val="20"/>
                <w:szCs w:val="20"/>
              </w:rPr>
              <w:t>评价要点及说明</w:t>
            </w:r>
          </w:p>
        </w:tc>
        <w:tc>
          <w:tcPr>
            <w:tcW w:w="214" w:type="pct"/>
            <w:vMerge w:val="restart"/>
            <w:tcBorders>
              <w:top w:val="single" w:color="000000" w:sz="4" w:space="0"/>
              <w:left w:val="single" w:color="000000" w:sz="4" w:space="0"/>
              <w:right w:val="single" w:color="000000" w:sz="4" w:space="0"/>
            </w:tcBorders>
            <w:shd w:val="clear" w:color="auto" w:fill="00516B"/>
            <w:vAlign w:val="center"/>
          </w:tcPr>
          <w:p w14:paraId="71861869">
            <w:pPr>
              <w:spacing w:before="120" w:after="120" w:line="240" w:lineRule="auto"/>
              <w:ind w:firstLine="0" w:firstLineChars="0"/>
              <w:jc w:val="center"/>
              <w:rPr>
                <w:rFonts w:eastAsia="宋体" w:cs="Times New Roman"/>
                <w:b/>
                <w:color w:val="FFFFFF" w:themeColor="background1"/>
                <w:sz w:val="20"/>
                <w:szCs w:val="20"/>
              </w:rPr>
            </w:pPr>
            <w:r>
              <w:rPr>
                <w:rFonts w:hint="eastAsia" w:eastAsia="宋体" w:cs="Times New Roman"/>
                <w:b/>
                <w:color w:val="FFFFFF" w:themeColor="background1"/>
                <w:sz w:val="20"/>
                <w:szCs w:val="20"/>
              </w:rPr>
              <w:t>分值</w:t>
            </w:r>
          </w:p>
          <w:p w14:paraId="4063595F">
            <w:pPr>
              <w:spacing w:before="120" w:after="120" w:line="240" w:lineRule="auto"/>
              <w:ind w:firstLine="0" w:firstLineChars="0"/>
              <w:jc w:val="center"/>
              <w:rPr>
                <w:rFonts w:eastAsia="宋体" w:cs="Times New Roman"/>
                <w:b/>
                <w:color w:val="FFFFFF" w:themeColor="background1"/>
                <w:kern w:val="0"/>
                <w:sz w:val="20"/>
                <w:szCs w:val="20"/>
              </w:rPr>
            </w:pPr>
            <w:r>
              <w:rPr>
                <w:rFonts w:hint="eastAsia" w:eastAsia="宋体" w:cs="Times New Roman"/>
                <w:b/>
                <w:color w:val="FFFFFF" w:themeColor="background1"/>
                <w:sz w:val="20"/>
                <w:szCs w:val="20"/>
              </w:rPr>
              <w:t>权重</w:t>
            </w:r>
          </w:p>
        </w:tc>
        <w:tc>
          <w:tcPr>
            <w:tcW w:w="186" w:type="pct"/>
            <w:vMerge w:val="restart"/>
            <w:tcBorders>
              <w:top w:val="single" w:color="000000" w:sz="4" w:space="0"/>
              <w:left w:val="single" w:color="000000" w:sz="4" w:space="0"/>
              <w:right w:val="single" w:color="000000" w:sz="4" w:space="0"/>
            </w:tcBorders>
            <w:shd w:val="clear" w:color="auto" w:fill="00516B"/>
            <w:vAlign w:val="center"/>
          </w:tcPr>
          <w:p w14:paraId="3E687AA3">
            <w:pPr>
              <w:widowControl/>
              <w:spacing w:before="120" w:after="120" w:line="240" w:lineRule="auto"/>
              <w:ind w:firstLine="0" w:firstLineChars="0"/>
              <w:jc w:val="center"/>
              <w:textAlignment w:val="center"/>
              <w:rPr>
                <w:rFonts w:eastAsia="宋体" w:cs="Times New Roman"/>
                <w:b/>
                <w:color w:val="FFFFFF" w:themeColor="background1"/>
                <w:kern w:val="0"/>
                <w:sz w:val="20"/>
                <w:szCs w:val="20"/>
              </w:rPr>
            </w:pPr>
            <w:r>
              <w:rPr>
                <w:rFonts w:eastAsia="宋体" w:cs="Times New Roman"/>
                <w:b/>
                <w:color w:val="FFFFFF" w:themeColor="background1"/>
                <w:kern w:val="0"/>
                <w:sz w:val="20"/>
                <w:szCs w:val="20"/>
              </w:rPr>
              <w:t>得分</w:t>
            </w:r>
          </w:p>
        </w:tc>
        <w:tc>
          <w:tcPr>
            <w:tcW w:w="261" w:type="pct"/>
            <w:vMerge w:val="restart"/>
            <w:tcBorders>
              <w:top w:val="single" w:color="000000" w:sz="4" w:space="0"/>
              <w:left w:val="single" w:color="000000" w:sz="4" w:space="0"/>
              <w:right w:val="single" w:color="000000" w:sz="4" w:space="0"/>
            </w:tcBorders>
            <w:shd w:val="clear" w:color="auto" w:fill="00516B"/>
            <w:vAlign w:val="center"/>
          </w:tcPr>
          <w:p w14:paraId="493592FC">
            <w:pPr>
              <w:spacing w:before="120" w:after="120" w:line="240" w:lineRule="auto"/>
              <w:ind w:firstLine="0" w:firstLineChars="0"/>
              <w:textAlignment w:val="center"/>
              <w:rPr>
                <w:rFonts w:eastAsia="宋体" w:cs="Times New Roman"/>
                <w:b/>
                <w:color w:val="FFFFFF" w:themeColor="background1"/>
                <w:kern w:val="0"/>
                <w:sz w:val="20"/>
                <w:szCs w:val="20"/>
              </w:rPr>
            </w:pPr>
            <w:r>
              <w:rPr>
                <w:rFonts w:hint="eastAsia" w:eastAsia="宋体" w:cs="Times New Roman"/>
                <w:b/>
                <w:color w:val="FFFFFF" w:themeColor="background1"/>
                <w:kern w:val="0"/>
                <w:sz w:val="20"/>
                <w:szCs w:val="20"/>
              </w:rPr>
              <w:t>得分率</w:t>
            </w:r>
          </w:p>
        </w:tc>
        <w:tc>
          <w:tcPr>
            <w:tcW w:w="682" w:type="pct"/>
            <w:vMerge w:val="restart"/>
            <w:tcBorders>
              <w:top w:val="single" w:color="000000" w:sz="4" w:space="0"/>
              <w:left w:val="single" w:color="000000" w:sz="4" w:space="0"/>
              <w:right w:val="single" w:color="000000" w:sz="4" w:space="0"/>
            </w:tcBorders>
            <w:shd w:val="clear" w:color="auto" w:fill="00516B"/>
            <w:vAlign w:val="center"/>
          </w:tcPr>
          <w:p w14:paraId="2754AA3C">
            <w:pPr>
              <w:widowControl/>
              <w:spacing w:before="120" w:after="120" w:line="240" w:lineRule="auto"/>
              <w:ind w:firstLine="0" w:firstLineChars="0"/>
              <w:jc w:val="center"/>
              <w:textAlignment w:val="center"/>
              <w:rPr>
                <w:rFonts w:eastAsia="宋体" w:cs="Times New Roman"/>
                <w:b/>
                <w:color w:val="FFFFFF" w:themeColor="background1"/>
                <w:kern w:val="0"/>
                <w:sz w:val="20"/>
                <w:szCs w:val="20"/>
              </w:rPr>
            </w:pPr>
            <w:r>
              <w:rPr>
                <w:rFonts w:hint="eastAsia" w:eastAsia="宋体" w:cs="Times New Roman"/>
                <w:b/>
                <w:color w:val="FFFFFF" w:themeColor="background1"/>
                <w:kern w:val="0"/>
                <w:sz w:val="20"/>
                <w:szCs w:val="20"/>
              </w:rPr>
              <w:t>得分</w:t>
            </w:r>
            <w:r>
              <w:rPr>
                <w:rFonts w:eastAsia="宋体" w:cs="Times New Roman"/>
                <w:b/>
                <w:color w:val="FFFFFF" w:themeColor="background1"/>
                <w:kern w:val="0"/>
                <w:sz w:val="20"/>
                <w:szCs w:val="20"/>
              </w:rPr>
              <w:t>依据</w:t>
            </w:r>
          </w:p>
        </w:tc>
      </w:tr>
      <w:tr w14:paraId="30F3A924">
        <w:tblPrEx>
          <w:tblCellMar>
            <w:top w:w="0" w:type="dxa"/>
            <w:left w:w="0" w:type="dxa"/>
            <w:bottom w:w="0" w:type="dxa"/>
            <w:right w:w="0" w:type="dxa"/>
          </w:tblCellMar>
        </w:tblPrEx>
        <w:trPr>
          <w:trHeight w:val="285" w:hRule="atLeast"/>
          <w:tblHeader/>
          <w:jc w:val="center"/>
        </w:trPr>
        <w:tc>
          <w:tcPr>
            <w:tcW w:w="229" w:type="pct"/>
            <w:vMerge w:val="restart"/>
            <w:tcBorders>
              <w:top w:val="single" w:color="000000" w:sz="4" w:space="0"/>
              <w:left w:val="single" w:color="000000" w:sz="4" w:space="0"/>
              <w:bottom w:val="single" w:color="000000" w:sz="4" w:space="0"/>
              <w:right w:val="nil"/>
            </w:tcBorders>
            <w:shd w:val="clear" w:color="auto" w:fill="00516B"/>
            <w:tcMar>
              <w:top w:w="15" w:type="dxa"/>
              <w:left w:w="15" w:type="dxa"/>
              <w:right w:w="15" w:type="dxa"/>
            </w:tcMar>
            <w:vAlign w:val="center"/>
          </w:tcPr>
          <w:p w14:paraId="6730C873">
            <w:pPr>
              <w:widowControl/>
              <w:spacing w:before="120" w:after="120" w:line="240" w:lineRule="auto"/>
              <w:ind w:firstLine="0" w:firstLineChars="0"/>
              <w:jc w:val="center"/>
              <w:textAlignment w:val="center"/>
              <w:rPr>
                <w:rFonts w:eastAsia="宋体" w:cs="Times New Roman"/>
                <w:b/>
                <w:color w:val="FFFFFF" w:themeColor="background1"/>
                <w:sz w:val="20"/>
                <w:szCs w:val="20"/>
              </w:rPr>
            </w:pPr>
            <w:r>
              <w:rPr>
                <w:rFonts w:eastAsia="宋体" w:cs="Times New Roman"/>
                <w:b/>
                <w:color w:val="FFFFFF" w:themeColor="background1"/>
                <w:kern w:val="0"/>
                <w:sz w:val="20"/>
                <w:szCs w:val="20"/>
              </w:rPr>
              <w:t>一级指标</w:t>
            </w:r>
          </w:p>
        </w:tc>
        <w:tc>
          <w:tcPr>
            <w:tcW w:w="246" w:type="pct"/>
            <w:vMerge w:val="restart"/>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5586C050">
            <w:pPr>
              <w:widowControl/>
              <w:spacing w:before="120" w:after="120" w:line="240" w:lineRule="auto"/>
              <w:ind w:firstLine="0" w:firstLineChars="0"/>
              <w:jc w:val="center"/>
              <w:textAlignment w:val="center"/>
              <w:rPr>
                <w:rFonts w:eastAsia="宋体" w:cs="Times New Roman"/>
                <w:b/>
                <w:color w:val="FFFFFF" w:themeColor="background1"/>
                <w:sz w:val="20"/>
                <w:szCs w:val="20"/>
              </w:rPr>
            </w:pPr>
            <w:r>
              <w:rPr>
                <w:rFonts w:eastAsia="宋体" w:cs="Times New Roman"/>
                <w:b/>
                <w:color w:val="FFFFFF" w:themeColor="background1"/>
                <w:kern w:val="0"/>
                <w:sz w:val="20"/>
                <w:szCs w:val="20"/>
              </w:rPr>
              <w:t>二级指标</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2D8CA36A">
            <w:pPr>
              <w:widowControl/>
              <w:spacing w:before="120" w:after="120" w:line="240" w:lineRule="auto"/>
              <w:ind w:firstLine="0" w:firstLineChars="0"/>
              <w:jc w:val="center"/>
              <w:textAlignment w:val="center"/>
              <w:rPr>
                <w:rFonts w:eastAsia="宋体" w:cs="Times New Roman"/>
                <w:b/>
                <w:color w:val="FFFFFF" w:themeColor="background1"/>
                <w:sz w:val="20"/>
                <w:szCs w:val="20"/>
              </w:rPr>
            </w:pPr>
            <w:r>
              <w:rPr>
                <w:rFonts w:eastAsia="宋体" w:cs="Times New Roman"/>
                <w:b/>
                <w:color w:val="FFFFFF" w:themeColor="background1"/>
                <w:kern w:val="0"/>
                <w:sz w:val="20"/>
                <w:szCs w:val="20"/>
              </w:rPr>
              <w:t>三级指标</w:t>
            </w:r>
          </w:p>
        </w:tc>
        <w:tc>
          <w:tcPr>
            <w:tcW w:w="560" w:type="pct"/>
            <w:vMerge w:val="continue"/>
            <w:tcBorders>
              <w:top w:val="single" w:color="000000" w:sz="4" w:space="0"/>
              <w:left w:val="single" w:color="000000" w:sz="4" w:space="0"/>
              <w:bottom w:val="single" w:color="000000" w:sz="4" w:space="0"/>
              <w:right w:val="single" w:color="auto" w:sz="4" w:space="0"/>
            </w:tcBorders>
            <w:shd w:val="clear" w:color="auto" w:fill="00516B"/>
            <w:tcMar>
              <w:top w:w="15" w:type="dxa"/>
              <w:left w:w="15" w:type="dxa"/>
              <w:right w:w="15" w:type="dxa"/>
            </w:tcMar>
            <w:vAlign w:val="center"/>
          </w:tcPr>
          <w:p w14:paraId="0765F7FF">
            <w:pPr>
              <w:spacing w:before="120" w:after="120" w:line="240" w:lineRule="auto"/>
              <w:ind w:firstLine="0" w:firstLineChars="0"/>
              <w:jc w:val="center"/>
              <w:rPr>
                <w:rFonts w:eastAsia="宋体" w:cs="Times New Roman"/>
                <w:b/>
                <w:color w:val="FFFFFF" w:themeColor="background1"/>
                <w:sz w:val="20"/>
                <w:szCs w:val="20"/>
              </w:rPr>
            </w:pPr>
          </w:p>
        </w:tc>
        <w:tc>
          <w:tcPr>
            <w:tcW w:w="203" w:type="pct"/>
            <w:vMerge w:val="restart"/>
            <w:tcBorders>
              <w:top w:val="single" w:color="auto" w:sz="4" w:space="0"/>
              <w:left w:val="single" w:color="auto" w:sz="4" w:space="0"/>
              <w:bottom w:val="single" w:color="auto" w:sz="4" w:space="0"/>
              <w:right w:val="single" w:color="auto" w:sz="4" w:space="0"/>
            </w:tcBorders>
            <w:shd w:val="clear" w:color="auto" w:fill="00516B"/>
            <w:tcMar>
              <w:top w:w="15" w:type="dxa"/>
              <w:left w:w="15" w:type="dxa"/>
              <w:right w:w="15" w:type="dxa"/>
            </w:tcMar>
            <w:vAlign w:val="center"/>
          </w:tcPr>
          <w:p w14:paraId="6DE7A6FC">
            <w:pPr>
              <w:widowControl/>
              <w:spacing w:before="120" w:after="120" w:line="240" w:lineRule="auto"/>
              <w:ind w:firstLine="0" w:firstLineChars="0"/>
              <w:jc w:val="center"/>
              <w:textAlignment w:val="center"/>
              <w:rPr>
                <w:rFonts w:eastAsia="宋体" w:cs="Times New Roman"/>
                <w:b/>
                <w:color w:val="FFFFFF" w:themeColor="background1"/>
                <w:sz w:val="20"/>
                <w:szCs w:val="20"/>
              </w:rPr>
            </w:pPr>
            <w:r>
              <w:rPr>
                <w:rFonts w:eastAsia="宋体" w:cs="Times New Roman"/>
                <w:b/>
                <w:color w:val="FFFFFF" w:themeColor="background1"/>
                <w:kern w:val="0"/>
                <w:sz w:val="20"/>
                <w:szCs w:val="20"/>
              </w:rPr>
              <w:t>方法归类</w:t>
            </w:r>
          </w:p>
        </w:tc>
        <w:tc>
          <w:tcPr>
            <w:tcW w:w="1016" w:type="pct"/>
            <w:gridSpan w:val="5"/>
            <w:tcBorders>
              <w:top w:val="single" w:color="auto" w:sz="4" w:space="0"/>
              <w:left w:val="single" w:color="auto" w:sz="4" w:space="0"/>
              <w:bottom w:val="single" w:color="auto" w:sz="4" w:space="0"/>
              <w:right w:val="single" w:color="auto" w:sz="4" w:space="0"/>
            </w:tcBorders>
            <w:shd w:val="clear" w:color="auto" w:fill="00516B"/>
            <w:tcMar>
              <w:top w:w="15" w:type="dxa"/>
              <w:left w:w="15" w:type="dxa"/>
              <w:right w:w="15" w:type="dxa"/>
            </w:tcMar>
            <w:vAlign w:val="center"/>
          </w:tcPr>
          <w:p w14:paraId="6AFDF7F9">
            <w:pPr>
              <w:widowControl/>
              <w:spacing w:before="120" w:after="120" w:line="240" w:lineRule="auto"/>
              <w:ind w:firstLine="0" w:firstLineChars="0"/>
              <w:jc w:val="center"/>
              <w:textAlignment w:val="center"/>
              <w:rPr>
                <w:rFonts w:eastAsia="宋体" w:cs="Times New Roman"/>
                <w:b/>
                <w:color w:val="FFFFFF" w:themeColor="background1"/>
                <w:sz w:val="20"/>
                <w:szCs w:val="20"/>
              </w:rPr>
            </w:pPr>
            <w:r>
              <w:rPr>
                <w:rFonts w:eastAsia="宋体" w:cs="Times New Roman"/>
                <w:b/>
                <w:color w:val="FFFFFF" w:themeColor="background1"/>
                <w:kern w:val="0"/>
                <w:sz w:val="20"/>
                <w:szCs w:val="20"/>
              </w:rPr>
              <w:t>计算公式</w:t>
            </w:r>
          </w:p>
        </w:tc>
        <w:tc>
          <w:tcPr>
            <w:tcW w:w="1067" w:type="pct"/>
            <w:vMerge w:val="continue"/>
            <w:tcBorders>
              <w:top w:val="single" w:color="000000" w:sz="4" w:space="0"/>
              <w:left w:val="single" w:color="auto" w:sz="4" w:space="0"/>
              <w:bottom w:val="single" w:color="000000" w:sz="4" w:space="0"/>
              <w:right w:val="single" w:color="000000" w:sz="4" w:space="0"/>
            </w:tcBorders>
            <w:shd w:val="clear" w:color="auto" w:fill="00516B"/>
            <w:tcMar>
              <w:top w:w="15" w:type="dxa"/>
              <w:left w:w="15" w:type="dxa"/>
              <w:right w:w="15" w:type="dxa"/>
            </w:tcMar>
            <w:vAlign w:val="center"/>
          </w:tcPr>
          <w:p w14:paraId="2C1EF0FD">
            <w:pPr>
              <w:spacing w:before="120" w:after="120" w:line="240" w:lineRule="auto"/>
              <w:ind w:firstLine="0" w:firstLineChars="0"/>
              <w:jc w:val="center"/>
              <w:rPr>
                <w:rFonts w:eastAsia="宋体" w:cs="Times New Roman"/>
                <w:b/>
                <w:color w:val="FFFFFF" w:themeColor="background1"/>
                <w:sz w:val="20"/>
                <w:szCs w:val="20"/>
              </w:rPr>
            </w:pPr>
          </w:p>
        </w:tc>
        <w:tc>
          <w:tcPr>
            <w:tcW w:w="214" w:type="pct"/>
            <w:vMerge w:val="continue"/>
            <w:tcBorders>
              <w:left w:val="single" w:color="000000" w:sz="4" w:space="0"/>
              <w:right w:val="single" w:color="000000" w:sz="4" w:space="0"/>
            </w:tcBorders>
            <w:shd w:val="clear" w:color="auto" w:fill="00516B"/>
            <w:vAlign w:val="center"/>
          </w:tcPr>
          <w:p w14:paraId="3A0FD22F">
            <w:pPr>
              <w:spacing w:before="120" w:after="120" w:line="240" w:lineRule="auto"/>
              <w:ind w:firstLine="402"/>
              <w:rPr>
                <w:rFonts w:eastAsia="宋体" w:cs="Times New Roman"/>
                <w:b/>
                <w:color w:val="FFFFFF" w:themeColor="background1"/>
                <w:kern w:val="0"/>
                <w:sz w:val="20"/>
                <w:szCs w:val="20"/>
              </w:rPr>
            </w:pPr>
          </w:p>
        </w:tc>
        <w:tc>
          <w:tcPr>
            <w:tcW w:w="186" w:type="pct"/>
            <w:vMerge w:val="continue"/>
            <w:tcBorders>
              <w:left w:val="single" w:color="000000" w:sz="4" w:space="0"/>
              <w:right w:val="single" w:color="000000" w:sz="4" w:space="0"/>
            </w:tcBorders>
            <w:shd w:val="clear" w:color="auto" w:fill="00516B"/>
            <w:vAlign w:val="center"/>
          </w:tcPr>
          <w:p w14:paraId="0BFF185D">
            <w:pPr>
              <w:widowControl/>
              <w:spacing w:before="120" w:after="120" w:line="240" w:lineRule="auto"/>
              <w:ind w:firstLine="0" w:firstLineChars="0"/>
              <w:jc w:val="center"/>
              <w:textAlignment w:val="center"/>
              <w:rPr>
                <w:rFonts w:eastAsia="宋体" w:cs="Times New Roman"/>
                <w:b/>
                <w:color w:val="FFFFFF" w:themeColor="background1"/>
                <w:kern w:val="0"/>
                <w:sz w:val="20"/>
                <w:szCs w:val="20"/>
              </w:rPr>
            </w:pPr>
          </w:p>
        </w:tc>
        <w:tc>
          <w:tcPr>
            <w:tcW w:w="261" w:type="pct"/>
            <w:vMerge w:val="continue"/>
            <w:tcBorders>
              <w:left w:val="single" w:color="000000" w:sz="4" w:space="0"/>
              <w:right w:val="single" w:color="000000" w:sz="4" w:space="0"/>
            </w:tcBorders>
            <w:shd w:val="clear" w:color="auto" w:fill="00516B"/>
            <w:vAlign w:val="center"/>
          </w:tcPr>
          <w:p w14:paraId="54565F9B">
            <w:pPr>
              <w:widowControl/>
              <w:spacing w:before="120" w:after="120" w:line="240" w:lineRule="auto"/>
              <w:ind w:firstLine="0" w:firstLineChars="0"/>
              <w:textAlignment w:val="center"/>
              <w:rPr>
                <w:rFonts w:eastAsia="宋体" w:cs="Times New Roman"/>
                <w:b/>
                <w:color w:val="FFFFFF" w:themeColor="background1"/>
                <w:kern w:val="0"/>
                <w:sz w:val="20"/>
                <w:szCs w:val="20"/>
              </w:rPr>
            </w:pPr>
          </w:p>
        </w:tc>
        <w:tc>
          <w:tcPr>
            <w:tcW w:w="682" w:type="pct"/>
            <w:vMerge w:val="continue"/>
            <w:tcBorders>
              <w:left w:val="single" w:color="000000" w:sz="4" w:space="0"/>
              <w:right w:val="single" w:color="000000" w:sz="4" w:space="0"/>
            </w:tcBorders>
            <w:shd w:val="clear" w:color="auto" w:fill="00516B"/>
            <w:vAlign w:val="center"/>
          </w:tcPr>
          <w:p w14:paraId="109EA384">
            <w:pPr>
              <w:widowControl/>
              <w:spacing w:before="120" w:after="120" w:line="240" w:lineRule="auto"/>
              <w:ind w:firstLine="0" w:firstLineChars="0"/>
              <w:jc w:val="center"/>
              <w:textAlignment w:val="center"/>
              <w:rPr>
                <w:rFonts w:eastAsia="宋体" w:cs="Times New Roman"/>
                <w:b/>
                <w:color w:val="FFFFFF" w:themeColor="background1"/>
                <w:kern w:val="0"/>
                <w:sz w:val="20"/>
                <w:szCs w:val="20"/>
              </w:rPr>
            </w:pPr>
          </w:p>
        </w:tc>
      </w:tr>
      <w:tr w14:paraId="0FFFF68B">
        <w:tblPrEx>
          <w:tblCellMar>
            <w:top w:w="0" w:type="dxa"/>
            <w:left w:w="0" w:type="dxa"/>
            <w:bottom w:w="0" w:type="dxa"/>
            <w:right w:w="0" w:type="dxa"/>
          </w:tblCellMar>
        </w:tblPrEx>
        <w:trPr>
          <w:trHeight w:val="390" w:hRule="atLeast"/>
          <w:tblHeader/>
          <w:jc w:val="center"/>
        </w:trPr>
        <w:tc>
          <w:tcPr>
            <w:tcW w:w="229" w:type="pct"/>
            <w:vMerge w:val="continue"/>
            <w:tcBorders>
              <w:top w:val="single" w:color="000000" w:sz="4" w:space="0"/>
              <w:left w:val="single" w:color="000000" w:sz="4" w:space="0"/>
              <w:bottom w:val="single" w:color="000000" w:sz="4" w:space="0"/>
              <w:right w:val="nil"/>
            </w:tcBorders>
            <w:shd w:val="clear" w:color="auto" w:fill="00516B"/>
            <w:tcMar>
              <w:top w:w="15" w:type="dxa"/>
              <w:left w:w="15" w:type="dxa"/>
              <w:right w:w="15" w:type="dxa"/>
            </w:tcMar>
            <w:vAlign w:val="center"/>
          </w:tcPr>
          <w:p w14:paraId="0EAC87AC">
            <w:pPr>
              <w:spacing w:before="120" w:after="120" w:line="240" w:lineRule="auto"/>
              <w:ind w:firstLine="0" w:firstLineChars="0"/>
              <w:jc w:val="center"/>
              <w:rPr>
                <w:rFonts w:eastAsia="宋体" w:cs="Times New Roman"/>
                <w:b/>
                <w:color w:val="FFFFFF" w:themeColor="background1"/>
                <w:sz w:val="20"/>
                <w:szCs w:val="20"/>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0BDD90CD">
            <w:pPr>
              <w:spacing w:before="120" w:after="120" w:line="240" w:lineRule="auto"/>
              <w:ind w:firstLine="0" w:firstLineChars="0"/>
              <w:jc w:val="center"/>
              <w:rPr>
                <w:rFonts w:eastAsia="宋体" w:cs="Times New Roman"/>
                <w:b/>
                <w:color w:val="FFFFFF" w:themeColor="background1"/>
                <w:sz w:val="20"/>
                <w:szCs w:val="20"/>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4E08CE9B">
            <w:pPr>
              <w:spacing w:before="120" w:after="120" w:line="240" w:lineRule="auto"/>
              <w:ind w:firstLine="0" w:firstLineChars="0"/>
              <w:jc w:val="center"/>
              <w:rPr>
                <w:rFonts w:eastAsia="宋体" w:cs="Times New Roman"/>
                <w:b/>
                <w:color w:val="FFFFFF" w:themeColor="background1"/>
                <w:sz w:val="20"/>
                <w:szCs w:val="20"/>
              </w:rPr>
            </w:pPr>
          </w:p>
        </w:tc>
        <w:tc>
          <w:tcPr>
            <w:tcW w:w="560" w:type="pct"/>
            <w:vMerge w:val="continue"/>
            <w:tcBorders>
              <w:top w:val="single" w:color="000000" w:sz="4" w:space="0"/>
              <w:left w:val="single" w:color="000000" w:sz="4" w:space="0"/>
              <w:bottom w:val="single" w:color="000000" w:sz="4" w:space="0"/>
              <w:right w:val="single" w:color="auto" w:sz="4" w:space="0"/>
            </w:tcBorders>
            <w:shd w:val="clear" w:color="auto" w:fill="00516B"/>
            <w:tcMar>
              <w:top w:w="15" w:type="dxa"/>
              <w:left w:w="15" w:type="dxa"/>
              <w:right w:w="15" w:type="dxa"/>
            </w:tcMar>
            <w:vAlign w:val="center"/>
          </w:tcPr>
          <w:p w14:paraId="42EAEABF">
            <w:pPr>
              <w:spacing w:before="120" w:after="120" w:line="240" w:lineRule="auto"/>
              <w:ind w:firstLine="0" w:firstLineChars="0"/>
              <w:jc w:val="center"/>
              <w:rPr>
                <w:rFonts w:eastAsia="宋体" w:cs="Times New Roman"/>
                <w:b/>
                <w:color w:val="FFFFFF" w:themeColor="background1"/>
                <w:sz w:val="20"/>
                <w:szCs w:val="20"/>
              </w:rPr>
            </w:pPr>
          </w:p>
        </w:tc>
        <w:tc>
          <w:tcPr>
            <w:tcW w:w="203" w:type="pct"/>
            <w:vMerge w:val="continue"/>
            <w:tcBorders>
              <w:top w:val="single" w:color="auto" w:sz="4" w:space="0"/>
              <w:left w:val="single" w:color="auto" w:sz="4" w:space="0"/>
              <w:bottom w:val="single" w:color="auto" w:sz="4" w:space="0"/>
              <w:right w:val="single" w:color="auto" w:sz="4" w:space="0"/>
            </w:tcBorders>
            <w:shd w:val="clear" w:color="auto" w:fill="00516B"/>
            <w:tcMar>
              <w:top w:w="15" w:type="dxa"/>
              <w:left w:w="15" w:type="dxa"/>
              <w:right w:w="15" w:type="dxa"/>
            </w:tcMar>
            <w:vAlign w:val="center"/>
          </w:tcPr>
          <w:p w14:paraId="493C8471">
            <w:pPr>
              <w:spacing w:before="120" w:after="120" w:line="240" w:lineRule="auto"/>
              <w:ind w:firstLine="0" w:firstLineChars="0"/>
              <w:jc w:val="center"/>
              <w:rPr>
                <w:rFonts w:eastAsia="宋体" w:cs="Times New Roman"/>
                <w:b/>
                <w:color w:val="FFFFFF" w:themeColor="background1"/>
                <w:sz w:val="20"/>
                <w:szCs w:val="20"/>
              </w:rPr>
            </w:pPr>
          </w:p>
        </w:tc>
        <w:tc>
          <w:tcPr>
            <w:tcW w:w="203" w:type="pct"/>
            <w:tcBorders>
              <w:top w:val="single" w:color="auto" w:sz="4" w:space="0"/>
              <w:left w:val="single" w:color="auto" w:sz="4" w:space="0"/>
              <w:bottom w:val="single" w:color="auto" w:sz="4" w:space="0"/>
              <w:right w:val="single" w:color="auto" w:sz="4" w:space="0"/>
            </w:tcBorders>
            <w:shd w:val="clear" w:color="auto" w:fill="00516B"/>
            <w:tcMar>
              <w:top w:w="15" w:type="dxa"/>
              <w:left w:w="15" w:type="dxa"/>
              <w:right w:w="15" w:type="dxa"/>
            </w:tcMar>
            <w:vAlign w:val="center"/>
          </w:tcPr>
          <w:p w14:paraId="31B1C1D6">
            <w:pPr>
              <w:widowControl/>
              <w:spacing w:before="120" w:after="120" w:line="240" w:lineRule="auto"/>
              <w:ind w:firstLine="0" w:firstLineChars="0"/>
              <w:jc w:val="center"/>
              <w:textAlignment w:val="center"/>
              <w:rPr>
                <w:rFonts w:eastAsia="宋体" w:cs="Times New Roman"/>
                <w:b/>
                <w:color w:val="FFFFFF" w:themeColor="background1"/>
                <w:sz w:val="20"/>
                <w:szCs w:val="20"/>
              </w:rPr>
            </w:pPr>
            <w:r>
              <w:rPr>
                <w:rFonts w:eastAsia="宋体" w:cs="Times New Roman"/>
                <w:b/>
                <w:color w:val="FFFFFF" w:themeColor="background1"/>
                <w:kern w:val="0"/>
                <w:sz w:val="20"/>
                <w:szCs w:val="20"/>
              </w:rPr>
              <w:t>0</w:t>
            </w:r>
          </w:p>
        </w:tc>
        <w:tc>
          <w:tcPr>
            <w:tcW w:w="204" w:type="pct"/>
            <w:tcBorders>
              <w:top w:val="single" w:color="auto" w:sz="4" w:space="0"/>
              <w:left w:val="single" w:color="auto" w:sz="4" w:space="0"/>
              <w:bottom w:val="single" w:color="auto" w:sz="4" w:space="0"/>
              <w:right w:val="single" w:color="auto" w:sz="4" w:space="0"/>
            </w:tcBorders>
            <w:shd w:val="clear" w:color="auto" w:fill="00516B"/>
            <w:tcMar>
              <w:top w:w="15" w:type="dxa"/>
              <w:left w:w="15" w:type="dxa"/>
              <w:right w:w="15" w:type="dxa"/>
            </w:tcMar>
            <w:vAlign w:val="center"/>
          </w:tcPr>
          <w:p w14:paraId="0B65FFF8">
            <w:pPr>
              <w:widowControl/>
              <w:spacing w:before="120" w:after="120" w:line="240" w:lineRule="auto"/>
              <w:ind w:firstLine="0" w:firstLineChars="0"/>
              <w:jc w:val="center"/>
              <w:textAlignment w:val="center"/>
              <w:rPr>
                <w:rFonts w:eastAsia="宋体" w:cs="Times New Roman"/>
                <w:b/>
                <w:color w:val="FFFFFF" w:themeColor="background1"/>
                <w:sz w:val="20"/>
                <w:szCs w:val="20"/>
              </w:rPr>
            </w:pPr>
            <w:r>
              <w:rPr>
                <w:rFonts w:eastAsia="宋体" w:cs="Times New Roman"/>
                <w:b/>
                <w:color w:val="FFFFFF" w:themeColor="background1"/>
                <w:kern w:val="0"/>
                <w:sz w:val="20"/>
                <w:szCs w:val="20"/>
              </w:rPr>
              <w:t>0.3</w:t>
            </w:r>
          </w:p>
        </w:tc>
        <w:tc>
          <w:tcPr>
            <w:tcW w:w="203" w:type="pct"/>
            <w:tcBorders>
              <w:top w:val="single" w:color="auto" w:sz="4" w:space="0"/>
              <w:left w:val="single" w:color="auto" w:sz="4" w:space="0"/>
              <w:bottom w:val="single" w:color="auto" w:sz="4" w:space="0"/>
              <w:right w:val="single" w:color="auto" w:sz="4" w:space="0"/>
            </w:tcBorders>
            <w:shd w:val="clear" w:color="auto" w:fill="00516B"/>
            <w:tcMar>
              <w:top w:w="15" w:type="dxa"/>
              <w:left w:w="15" w:type="dxa"/>
              <w:right w:w="15" w:type="dxa"/>
            </w:tcMar>
            <w:vAlign w:val="center"/>
          </w:tcPr>
          <w:p w14:paraId="63197CAC">
            <w:pPr>
              <w:widowControl/>
              <w:spacing w:before="120" w:after="120" w:line="240" w:lineRule="auto"/>
              <w:ind w:firstLine="0" w:firstLineChars="0"/>
              <w:jc w:val="center"/>
              <w:textAlignment w:val="center"/>
              <w:rPr>
                <w:rFonts w:eastAsia="宋体" w:cs="Times New Roman"/>
                <w:b/>
                <w:color w:val="FFFFFF" w:themeColor="background1"/>
                <w:sz w:val="20"/>
                <w:szCs w:val="20"/>
              </w:rPr>
            </w:pPr>
            <w:r>
              <w:rPr>
                <w:rFonts w:eastAsia="宋体" w:cs="Times New Roman"/>
                <w:b/>
                <w:color w:val="FFFFFF" w:themeColor="background1"/>
                <w:kern w:val="0"/>
                <w:sz w:val="20"/>
                <w:szCs w:val="20"/>
              </w:rPr>
              <w:t>0.6</w:t>
            </w:r>
          </w:p>
        </w:tc>
        <w:tc>
          <w:tcPr>
            <w:tcW w:w="152" w:type="pct"/>
            <w:tcBorders>
              <w:top w:val="single" w:color="auto" w:sz="4" w:space="0"/>
              <w:left w:val="single" w:color="auto" w:sz="4" w:space="0"/>
              <w:bottom w:val="single" w:color="auto" w:sz="4" w:space="0"/>
              <w:right w:val="single" w:color="auto" w:sz="4" w:space="0"/>
            </w:tcBorders>
            <w:shd w:val="clear" w:color="auto" w:fill="00516B"/>
            <w:tcMar>
              <w:top w:w="15" w:type="dxa"/>
              <w:left w:w="15" w:type="dxa"/>
              <w:right w:w="15" w:type="dxa"/>
            </w:tcMar>
            <w:vAlign w:val="center"/>
          </w:tcPr>
          <w:p w14:paraId="63D0B96F">
            <w:pPr>
              <w:widowControl/>
              <w:spacing w:before="120" w:after="120" w:line="240" w:lineRule="auto"/>
              <w:ind w:firstLine="0" w:firstLineChars="0"/>
              <w:jc w:val="center"/>
              <w:textAlignment w:val="center"/>
              <w:rPr>
                <w:rFonts w:eastAsia="宋体" w:cs="Times New Roman"/>
                <w:b/>
                <w:color w:val="FFFFFF" w:themeColor="background1"/>
                <w:sz w:val="20"/>
                <w:szCs w:val="20"/>
              </w:rPr>
            </w:pPr>
            <w:r>
              <w:rPr>
                <w:rFonts w:eastAsia="宋体" w:cs="Times New Roman"/>
                <w:b/>
                <w:color w:val="FFFFFF" w:themeColor="background1"/>
                <w:kern w:val="0"/>
                <w:sz w:val="20"/>
                <w:szCs w:val="20"/>
              </w:rPr>
              <w:t>0.8</w:t>
            </w:r>
          </w:p>
        </w:tc>
        <w:tc>
          <w:tcPr>
            <w:tcW w:w="254" w:type="pct"/>
            <w:tcBorders>
              <w:top w:val="single" w:color="000000" w:sz="4" w:space="0"/>
              <w:left w:val="single" w:color="auto" w:sz="4" w:space="0"/>
              <w:bottom w:val="single" w:color="000000" w:sz="4" w:space="0"/>
              <w:right w:val="single" w:color="000000" w:sz="4" w:space="0"/>
            </w:tcBorders>
            <w:shd w:val="clear" w:color="auto" w:fill="00516B"/>
            <w:tcMar>
              <w:top w:w="15" w:type="dxa"/>
              <w:left w:w="15" w:type="dxa"/>
              <w:right w:w="15" w:type="dxa"/>
            </w:tcMar>
            <w:vAlign w:val="center"/>
          </w:tcPr>
          <w:p w14:paraId="5966C731">
            <w:pPr>
              <w:widowControl/>
              <w:spacing w:before="120" w:after="120" w:line="240" w:lineRule="auto"/>
              <w:ind w:firstLine="0" w:firstLineChars="0"/>
              <w:jc w:val="center"/>
              <w:textAlignment w:val="center"/>
              <w:rPr>
                <w:rFonts w:eastAsia="宋体" w:cs="Times New Roman"/>
                <w:b/>
                <w:color w:val="FFFFFF" w:themeColor="background1"/>
                <w:sz w:val="20"/>
                <w:szCs w:val="20"/>
              </w:rPr>
            </w:pPr>
            <w:r>
              <w:rPr>
                <w:rFonts w:eastAsia="宋体" w:cs="Times New Roman"/>
                <w:b/>
                <w:color w:val="FFFFFF" w:themeColor="background1"/>
                <w:kern w:val="0"/>
                <w:sz w:val="20"/>
                <w:szCs w:val="20"/>
              </w:rPr>
              <w:t>1</w:t>
            </w:r>
          </w:p>
        </w:tc>
        <w:tc>
          <w:tcPr>
            <w:tcW w:w="1067" w:type="pct"/>
            <w:vMerge w:val="continue"/>
            <w:tcBorders>
              <w:top w:val="single" w:color="000000" w:sz="4" w:space="0"/>
              <w:left w:val="single" w:color="000000" w:sz="4" w:space="0"/>
              <w:bottom w:val="single" w:color="000000" w:sz="4" w:space="0"/>
              <w:right w:val="single" w:color="000000" w:sz="4" w:space="0"/>
            </w:tcBorders>
            <w:shd w:val="clear" w:color="auto" w:fill="00516B"/>
            <w:tcMar>
              <w:top w:w="15" w:type="dxa"/>
              <w:left w:w="15" w:type="dxa"/>
              <w:right w:w="15" w:type="dxa"/>
            </w:tcMar>
            <w:vAlign w:val="center"/>
          </w:tcPr>
          <w:p w14:paraId="56F483E8">
            <w:pPr>
              <w:spacing w:before="120" w:after="120" w:line="240" w:lineRule="auto"/>
              <w:ind w:firstLine="0" w:firstLineChars="0"/>
              <w:jc w:val="center"/>
              <w:rPr>
                <w:rFonts w:eastAsia="宋体" w:cs="Times New Roman"/>
                <w:b/>
                <w:color w:val="FFFFFF" w:themeColor="background1"/>
                <w:sz w:val="20"/>
                <w:szCs w:val="20"/>
              </w:rPr>
            </w:pPr>
          </w:p>
        </w:tc>
        <w:tc>
          <w:tcPr>
            <w:tcW w:w="214" w:type="pct"/>
            <w:vMerge w:val="continue"/>
            <w:tcBorders>
              <w:left w:val="single" w:color="000000" w:sz="4" w:space="0"/>
              <w:bottom w:val="single" w:color="000000" w:sz="4" w:space="0"/>
              <w:right w:val="single" w:color="000000" w:sz="4" w:space="0"/>
            </w:tcBorders>
            <w:shd w:val="clear" w:color="auto" w:fill="00516B"/>
            <w:vAlign w:val="center"/>
          </w:tcPr>
          <w:p w14:paraId="7D7544B4">
            <w:pPr>
              <w:spacing w:before="120" w:after="120" w:line="240" w:lineRule="auto"/>
              <w:ind w:firstLine="0" w:firstLineChars="0"/>
              <w:rPr>
                <w:rFonts w:eastAsia="宋体" w:cs="Times New Roman"/>
                <w:b/>
                <w:color w:val="FFFFFF" w:themeColor="background1"/>
                <w:sz w:val="20"/>
                <w:szCs w:val="20"/>
              </w:rPr>
            </w:pPr>
          </w:p>
        </w:tc>
        <w:tc>
          <w:tcPr>
            <w:tcW w:w="186" w:type="pct"/>
            <w:vMerge w:val="continue"/>
            <w:tcBorders>
              <w:left w:val="single" w:color="000000" w:sz="4" w:space="0"/>
              <w:bottom w:val="single" w:color="000000" w:sz="4" w:space="0"/>
              <w:right w:val="single" w:color="000000" w:sz="4" w:space="0"/>
            </w:tcBorders>
            <w:shd w:val="clear" w:color="auto" w:fill="00516B"/>
            <w:vAlign w:val="center"/>
          </w:tcPr>
          <w:p w14:paraId="16D99D09">
            <w:pPr>
              <w:spacing w:before="120" w:after="120" w:line="240" w:lineRule="auto"/>
              <w:ind w:firstLine="0" w:firstLineChars="0"/>
              <w:jc w:val="center"/>
              <w:rPr>
                <w:rFonts w:eastAsia="宋体" w:cs="Times New Roman"/>
                <w:b/>
                <w:color w:val="FFFFFF" w:themeColor="background1"/>
                <w:sz w:val="20"/>
                <w:szCs w:val="20"/>
              </w:rPr>
            </w:pPr>
          </w:p>
        </w:tc>
        <w:tc>
          <w:tcPr>
            <w:tcW w:w="261" w:type="pct"/>
            <w:vMerge w:val="continue"/>
            <w:tcBorders>
              <w:left w:val="single" w:color="000000" w:sz="4" w:space="0"/>
              <w:bottom w:val="single" w:color="000000" w:sz="4" w:space="0"/>
              <w:right w:val="single" w:color="000000" w:sz="4" w:space="0"/>
            </w:tcBorders>
            <w:shd w:val="clear" w:color="auto" w:fill="00516B"/>
          </w:tcPr>
          <w:p w14:paraId="356A2E9F">
            <w:pPr>
              <w:spacing w:before="120" w:after="120" w:line="240" w:lineRule="auto"/>
              <w:ind w:firstLine="0" w:firstLineChars="0"/>
              <w:jc w:val="center"/>
              <w:rPr>
                <w:rFonts w:eastAsia="宋体" w:cs="Times New Roman"/>
                <w:b/>
                <w:color w:val="FFFFFF" w:themeColor="background1"/>
                <w:sz w:val="20"/>
                <w:szCs w:val="20"/>
              </w:rPr>
            </w:pPr>
          </w:p>
        </w:tc>
        <w:tc>
          <w:tcPr>
            <w:tcW w:w="682" w:type="pct"/>
            <w:vMerge w:val="continue"/>
            <w:tcBorders>
              <w:left w:val="single" w:color="000000" w:sz="4" w:space="0"/>
              <w:bottom w:val="single" w:color="000000" w:sz="4" w:space="0"/>
              <w:right w:val="single" w:color="000000" w:sz="4" w:space="0"/>
            </w:tcBorders>
            <w:shd w:val="clear" w:color="auto" w:fill="00516B"/>
            <w:vAlign w:val="center"/>
          </w:tcPr>
          <w:p w14:paraId="458B671F">
            <w:pPr>
              <w:spacing w:before="120" w:after="120" w:line="240" w:lineRule="auto"/>
              <w:ind w:firstLine="0" w:firstLineChars="0"/>
              <w:jc w:val="center"/>
              <w:rPr>
                <w:rFonts w:eastAsia="宋体" w:cs="Times New Roman"/>
                <w:b/>
                <w:color w:val="FFFFFF" w:themeColor="background1"/>
                <w:sz w:val="20"/>
                <w:szCs w:val="20"/>
              </w:rPr>
            </w:pPr>
          </w:p>
        </w:tc>
      </w:tr>
      <w:tr w14:paraId="5F281191">
        <w:tblPrEx>
          <w:tblCellMar>
            <w:top w:w="0" w:type="dxa"/>
            <w:left w:w="0" w:type="dxa"/>
            <w:bottom w:w="0" w:type="dxa"/>
            <w:right w:w="0" w:type="dxa"/>
          </w:tblCellMar>
        </w:tblPrEx>
        <w:trPr>
          <w:trHeight w:val="690" w:hRule="atLeast"/>
          <w:jc w:val="center"/>
        </w:trPr>
        <w:tc>
          <w:tcPr>
            <w:tcW w:w="229" w:type="pct"/>
            <w:vMerge w:val="restart"/>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14:paraId="69A1E3A6">
            <w:pPr>
              <w:widowControl/>
              <w:spacing w:before="120" w:after="120" w:line="240" w:lineRule="auto"/>
              <w:ind w:firstLine="0" w:firstLineChars="0"/>
              <w:jc w:val="center"/>
              <w:textAlignment w:val="center"/>
              <w:rPr>
                <w:rFonts w:eastAsia="宋体" w:cs="Times New Roman"/>
                <w:b/>
                <w:color w:val="000000"/>
                <w:kern w:val="0"/>
                <w:sz w:val="20"/>
                <w:szCs w:val="20"/>
              </w:rPr>
            </w:pPr>
            <w:bookmarkStart w:id="40" w:name="_Hlk76462724"/>
            <w:r>
              <w:rPr>
                <w:rFonts w:eastAsia="宋体" w:cs="Times New Roman"/>
                <w:b/>
                <w:color w:val="000000"/>
                <w:kern w:val="0"/>
                <w:sz w:val="20"/>
                <w:szCs w:val="20"/>
              </w:rPr>
              <w:t>项目</w:t>
            </w:r>
          </w:p>
          <w:p w14:paraId="02A73724">
            <w:pPr>
              <w:widowControl/>
              <w:spacing w:before="120" w:after="120" w:line="240" w:lineRule="auto"/>
              <w:ind w:firstLine="0" w:firstLineChars="0"/>
              <w:jc w:val="center"/>
              <w:textAlignment w:val="center"/>
              <w:rPr>
                <w:rFonts w:eastAsia="宋体" w:cs="Times New Roman"/>
                <w:b/>
                <w:color w:val="000000"/>
                <w:sz w:val="20"/>
                <w:szCs w:val="20"/>
              </w:rPr>
            </w:pPr>
            <w:r>
              <w:rPr>
                <w:rFonts w:eastAsia="宋体" w:cs="Times New Roman"/>
                <w:b/>
                <w:color w:val="000000"/>
                <w:kern w:val="0"/>
                <w:sz w:val="20"/>
                <w:szCs w:val="20"/>
              </w:rPr>
              <w:t>决策</w:t>
            </w:r>
          </w:p>
        </w:tc>
        <w:tc>
          <w:tcPr>
            <w:tcW w:w="24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3FB1FC4">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项目依据</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3FE8B2E">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依据充分性（必要性）</w:t>
            </w:r>
          </w:p>
        </w:tc>
        <w:tc>
          <w:tcPr>
            <w:tcW w:w="560"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72E408C">
            <w:pPr>
              <w:widowControl/>
              <w:spacing w:before="120" w:after="120" w:line="240" w:lineRule="auto"/>
              <w:ind w:firstLine="0" w:firstLineChars="0"/>
              <w:textAlignment w:val="center"/>
              <w:rPr>
                <w:rFonts w:eastAsia="宋体" w:cs="Times New Roman"/>
                <w:color w:val="000000"/>
                <w:sz w:val="20"/>
                <w:szCs w:val="20"/>
              </w:rPr>
            </w:pPr>
            <w:r>
              <w:rPr>
                <w:rFonts w:eastAsia="宋体" w:cs="Times New Roman"/>
                <w:color w:val="000000"/>
                <w:kern w:val="0"/>
                <w:sz w:val="20"/>
                <w:szCs w:val="20"/>
              </w:rPr>
              <w:t>项目设定依据是否充分</w:t>
            </w:r>
          </w:p>
        </w:tc>
        <w:tc>
          <w:tcPr>
            <w:tcW w:w="203" w:type="pct"/>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46F16B8">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分级评分法</w:t>
            </w:r>
          </w:p>
        </w:tc>
        <w:tc>
          <w:tcPr>
            <w:tcW w:w="203" w:type="pct"/>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4C78535">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不符合</w:t>
            </w:r>
          </w:p>
        </w:tc>
        <w:tc>
          <w:tcPr>
            <w:tcW w:w="204" w:type="pct"/>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54E1F77">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3处及以上不符合</w:t>
            </w:r>
          </w:p>
        </w:tc>
        <w:tc>
          <w:tcPr>
            <w:tcW w:w="203" w:type="pct"/>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119F093">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2处不符合</w:t>
            </w:r>
          </w:p>
        </w:tc>
        <w:tc>
          <w:tcPr>
            <w:tcW w:w="152" w:type="pct"/>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B2EF0CD">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1处不符合</w:t>
            </w:r>
          </w:p>
        </w:tc>
        <w:tc>
          <w:tcPr>
            <w:tcW w:w="25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2D8A132">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符合</w:t>
            </w:r>
          </w:p>
        </w:tc>
        <w:tc>
          <w:tcPr>
            <w:tcW w:w="106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BACC1E6">
            <w:pPr>
              <w:widowControl/>
              <w:spacing w:before="120" w:after="120" w:line="240" w:lineRule="auto"/>
              <w:ind w:firstLine="0" w:firstLineChars="0"/>
              <w:textAlignment w:val="center"/>
              <w:rPr>
                <w:rFonts w:eastAsia="宋体" w:cs="Times New Roman"/>
                <w:color w:val="000000"/>
                <w:sz w:val="20"/>
                <w:szCs w:val="20"/>
              </w:rPr>
            </w:pPr>
            <w:r>
              <w:rPr>
                <w:rFonts w:eastAsia="宋体" w:cs="Times New Roman"/>
                <w:color w:val="000000"/>
                <w:kern w:val="0"/>
                <w:sz w:val="20"/>
                <w:szCs w:val="20"/>
              </w:rPr>
              <w:t>是否符合党中央、国务院和省委、省政府</w:t>
            </w:r>
            <w:r>
              <w:rPr>
                <w:rFonts w:hint="eastAsia" w:eastAsia="宋体" w:cs="Times New Roman"/>
                <w:color w:val="000000"/>
                <w:kern w:val="0"/>
                <w:sz w:val="20"/>
                <w:szCs w:val="20"/>
              </w:rPr>
              <w:t>、市委市政府</w:t>
            </w:r>
            <w:r>
              <w:rPr>
                <w:rFonts w:eastAsia="宋体" w:cs="Times New Roman"/>
                <w:color w:val="000000"/>
                <w:kern w:val="0"/>
                <w:sz w:val="20"/>
                <w:szCs w:val="20"/>
              </w:rPr>
              <w:t>决策部署；符合当前经济社会发展需要</w:t>
            </w:r>
          </w:p>
        </w:tc>
        <w:tc>
          <w:tcPr>
            <w:tcW w:w="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975A03">
            <w:pPr>
              <w:spacing w:before="120" w:after="120" w:line="240" w:lineRule="auto"/>
              <w:ind w:firstLine="0" w:firstLineChars="0"/>
              <w:jc w:val="center"/>
              <w:rPr>
                <w:rFonts w:eastAsia="宋体" w:cs="Times New Roman"/>
                <w:color w:val="000000"/>
                <w:sz w:val="20"/>
                <w:szCs w:val="20"/>
              </w:rPr>
            </w:pPr>
            <w:r>
              <w:rPr>
                <w:rFonts w:hint="eastAsia" w:eastAsia="宋体" w:cs="Times New Roman"/>
                <w:color w:val="000000"/>
                <w:sz w:val="20"/>
                <w:szCs w:val="20"/>
              </w:rPr>
              <w:t>8</w:t>
            </w:r>
            <w:r>
              <w:rPr>
                <w:rFonts w:eastAsia="宋体" w:cs="Times New Roman"/>
                <w:color w:val="000000"/>
                <w:sz w:val="20"/>
                <w:szCs w:val="20"/>
              </w:rPr>
              <w:t>.00</w:t>
            </w:r>
          </w:p>
        </w:tc>
        <w:tc>
          <w:tcPr>
            <w:tcW w:w="1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650D8B">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8.00</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C54910">
            <w:pPr>
              <w:spacing w:before="120" w:after="120" w:line="240" w:lineRule="auto"/>
              <w:ind w:firstLine="0" w:firstLineChars="0"/>
              <w:jc w:val="center"/>
              <w:rPr>
                <w:rFonts w:eastAsia="宋体" w:cs="Times New Roman"/>
                <w:color w:val="000000"/>
                <w:sz w:val="20"/>
                <w:szCs w:val="20"/>
              </w:rPr>
            </w:pPr>
            <w:r>
              <w:rPr>
                <w:rFonts w:hint="eastAsia" w:eastAsia="宋体" w:cs="Times New Roman"/>
                <w:color w:val="000000"/>
                <w:sz w:val="20"/>
                <w:szCs w:val="20"/>
              </w:rPr>
              <w:t>1</w:t>
            </w:r>
            <w:r>
              <w:rPr>
                <w:rFonts w:eastAsia="宋体" w:cs="Times New Roman"/>
                <w:color w:val="000000"/>
                <w:sz w:val="20"/>
                <w:szCs w:val="20"/>
              </w:rPr>
              <w:t>00.00</w:t>
            </w:r>
            <w:r>
              <w:rPr>
                <w:rFonts w:hint="eastAsia" w:eastAsia="宋体" w:cs="Times New Roman"/>
                <w:color w:val="000000"/>
                <w:sz w:val="20"/>
                <w:szCs w:val="20"/>
              </w:rPr>
              <w:t>%</w:t>
            </w:r>
          </w:p>
        </w:tc>
        <w:tc>
          <w:tcPr>
            <w:tcW w:w="68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90D429">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符合绵竹市经济社会发展需要</w:t>
            </w:r>
          </w:p>
        </w:tc>
      </w:tr>
      <w:tr w14:paraId="7A2BBD8A">
        <w:tblPrEx>
          <w:tblCellMar>
            <w:top w:w="0" w:type="dxa"/>
            <w:left w:w="0" w:type="dxa"/>
            <w:bottom w:w="0" w:type="dxa"/>
            <w:right w:w="0" w:type="dxa"/>
          </w:tblCellMar>
        </w:tblPrEx>
        <w:trPr>
          <w:trHeight w:val="1145" w:hRule="atLeast"/>
          <w:jc w:val="center"/>
        </w:trPr>
        <w:tc>
          <w:tcPr>
            <w:tcW w:w="229" w:type="pct"/>
            <w:vMerge w:val="continue"/>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14:paraId="1F36DE5D">
            <w:pPr>
              <w:spacing w:before="120" w:after="120" w:line="240" w:lineRule="auto"/>
              <w:ind w:firstLine="0" w:firstLineChars="0"/>
              <w:jc w:val="center"/>
              <w:rPr>
                <w:rFonts w:eastAsia="宋体" w:cs="Times New Roman"/>
                <w:b/>
                <w:color w:val="000000"/>
                <w:sz w:val="20"/>
                <w:szCs w:val="20"/>
              </w:rPr>
            </w:pPr>
          </w:p>
        </w:tc>
        <w:tc>
          <w:tcPr>
            <w:tcW w:w="246"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6FD64D6">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绩效目标</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212316C">
            <w:pPr>
              <w:widowControl/>
              <w:spacing w:before="120" w:after="120" w:line="240" w:lineRule="auto"/>
              <w:ind w:firstLine="0" w:firstLineChars="0"/>
              <w:jc w:val="center"/>
              <w:textAlignment w:val="center"/>
              <w:rPr>
                <w:rFonts w:eastAsia="宋体" w:cs="Times New Roman"/>
                <w:color w:val="000000"/>
                <w:sz w:val="20"/>
                <w:szCs w:val="20"/>
              </w:rPr>
            </w:pPr>
            <w:r>
              <w:rPr>
                <w:rFonts w:hint="eastAsia" w:eastAsia="宋体" w:cs="Times New Roman"/>
                <w:color w:val="000000"/>
                <w:kern w:val="0"/>
                <w:sz w:val="20"/>
                <w:szCs w:val="20"/>
              </w:rPr>
              <w:t>绩效目标</w:t>
            </w:r>
            <w:r>
              <w:rPr>
                <w:rFonts w:eastAsia="宋体" w:cs="Times New Roman"/>
                <w:color w:val="000000"/>
                <w:kern w:val="0"/>
                <w:sz w:val="20"/>
                <w:szCs w:val="20"/>
              </w:rPr>
              <w:t>明确性</w:t>
            </w:r>
          </w:p>
        </w:tc>
        <w:tc>
          <w:tcPr>
            <w:tcW w:w="560"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EFEC13E">
            <w:pPr>
              <w:widowControl/>
              <w:spacing w:before="120" w:after="120" w:line="240" w:lineRule="auto"/>
              <w:ind w:firstLine="0" w:firstLineChars="0"/>
              <w:textAlignment w:val="center"/>
              <w:rPr>
                <w:rFonts w:eastAsia="宋体" w:cs="Times New Roman"/>
                <w:color w:val="000000"/>
                <w:sz w:val="20"/>
                <w:szCs w:val="20"/>
              </w:rPr>
            </w:pPr>
            <w:r>
              <w:rPr>
                <w:rFonts w:eastAsia="宋体" w:cs="Times New Roman"/>
                <w:color w:val="000000"/>
                <w:kern w:val="0"/>
                <w:sz w:val="20"/>
                <w:szCs w:val="20"/>
              </w:rPr>
              <w:t>项目预期产品、服务、效益或其他目标是否明确</w:t>
            </w:r>
          </w:p>
        </w:tc>
        <w:tc>
          <w:tcPr>
            <w:tcW w:w="20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E484C86">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分级评分法</w:t>
            </w:r>
          </w:p>
        </w:tc>
        <w:tc>
          <w:tcPr>
            <w:tcW w:w="20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6ACAB2F">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不明确</w:t>
            </w:r>
          </w:p>
        </w:tc>
        <w:tc>
          <w:tcPr>
            <w:tcW w:w="20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93029AE">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3处及以上不明确</w:t>
            </w:r>
          </w:p>
        </w:tc>
        <w:tc>
          <w:tcPr>
            <w:tcW w:w="20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7BBB881">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2处不明确</w:t>
            </w:r>
          </w:p>
        </w:tc>
        <w:tc>
          <w:tcPr>
            <w:tcW w:w="152"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7A1DA7F">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1处不明确</w:t>
            </w:r>
          </w:p>
        </w:tc>
        <w:tc>
          <w:tcPr>
            <w:tcW w:w="25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748055E">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明确</w:t>
            </w:r>
          </w:p>
        </w:tc>
        <w:tc>
          <w:tcPr>
            <w:tcW w:w="106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102A8B6">
            <w:pPr>
              <w:widowControl/>
              <w:spacing w:before="120" w:after="120" w:line="240" w:lineRule="auto"/>
              <w:ind w:firstLine="0" w:firstLineChars="0"/>
              <w:textAlignment w:val="center"/>
              <w:rPr>
                <w:rFonts w:eastAsia="宋体" w:cs="Times New Roman"/>
                <w:color w:val="000000"/>
                <w:sz w:val="20"/>
                <w:szCs w:val="20"/>
              </w:rPr>
            </w:pPr>
            <w:r>
              <w:rPr>
                <w:rFonts w:eastAsia="宋体" w:cs="Times New Roman"/>
                <w:color w:val="000000"/>
                <w:kern w:val="0"/>
                <w:sz w:val="20"/>
                <w:szCs w:val="20"/>
              </w:rPr>
              <w:t>重点查看项目数量、质量、时效、成本、经济效益、社会效益、环境效益和可持续效益等是否明确</w:t>
            </w:r>
          </w:p>
        </w:tc>
        <w:tc>
          <w:tcPr>
            <w:tcW w:w="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0F257C">
            <w:pPr>
              <w:spacing w:before="120" w:after="120" w:line="240" w:lineRule="auto"/>
              <w:ind w:firstLine="0" w:firstLineChars="0"/>
              <w:jc w:val="center"/>
              <w:rPr>
                <w:rFonts w:eastAsia="宋体" w:cs="Times New Roman"/>
                <w:color w:val="000000"/>
                <w:sz w:val="20"/>
                <w:szCs w:val="20"/>
              </w:rPr>
            </w:pPr>
            <w:r>
              <w:rPr>
                <w:rFonts w:hint="eastAsia" w:eastAsia="宋体" w:cs="Times New Roman"/>
                <w:color w:val="000000"/>
                <w:sz w:val="20"/>
                <w:szCs w:val="20"/>
              </w:rPr>
              <w:t>8</w:t>
            </w:r>
            <w:r>
              <w:rPr>
                <w:rFonts w:eastAsia="宋体" w:cs="Times New Roman"/>
                <w:color w:val="000000"/>
                <w:sz w:val="20"/>
                <w:szCs w:val="20"/>
              </w:rPr>
              <w:t>.00</w:t>
            </w:r>
          </w:p>
        </w:tc>
        <w:tc>
          <w:tcPr>
            <w:tcW w:w="1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1DD7F1">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8.00</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F226D9">
            <w:pPr>
              <w:spacing w:before="120" w:after="120" w:line="240" w:lineRule="auto"/>
              <w:ind w:firstLine="0" w:firstLineChars="0"/>
              <w:jc w:val="center"/>
              <w:rPr>
                <w:rFonts w:eastAsia="宋体" w:cs="Times New Roman"/>
                <w:color w:val="000000"/>
                <w:sz w:val="20"/>
                <w:szCs w:val="20"/>
              </w:rPr>
            </w:pPr>
            <w:r>
              <w:rPr>
                <w:rFonts w:hint="eastAsia" w:eastAsia="宋体" w:cs="Times New Roman"/>
                <w:color w:val="000000"/>
                <w:sz w:val="20"/>
                <w:szCs w:val="20"/>
              </w:rPr>
              <w:t>1</w:t>
            </w:r>
            <w:r>
              <w:rPr>
                <w:rFonts w:eastAsia="宋体" w:cs="Times New Roman"/>
                <w:color w:val="000000"/>
                <w:sz w:val="20"/>
                <w:szCs w:val="20"/>
              </w:rPr>
              <w:t>00.00</w:t>
            </w:r>
            <w:r>
              <w:rPr>
                <w:rFonts w:hint="eastAsia" w:eastAsia="宋体" w:cs="Times New Roman"/>
                <w:color w:val="000000"/>
                <w:sz w:val="20"/>
                <w:szCs w:val="20"/>
              </w:rPr>
              <w:t>%</w:t>
            </w:r>
          </w:p>
        </w:tc>
        <w:tc>
          <w:tcPr>
            <w:tcW w:w="68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C914B1">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项目效益明确</w:t>
            </w:r>
          </w:p>
        </w:tc>
      </w:tr>
      <w:tr w14:paraId="138F6C3E">
        <w:tblPrEx>
          <w:tblCellMar>
            <w:top w:w="0" w:type="dxa"/>
            <w:left w:w="0" w:type="dxa"/>
            <w:bottom w:w="0" w:type="dxa"/>
            <w:right w:w="0" w:type="dxa"/>
          </w:tblCellMar>
        </w:tblPrEx>
        <w:trPr>
          <w:trHeight w:val="720" w:hRule="atLeast"/>
          <w:jc w:val="center"/>
        </w:trPr>
        <w:tc>
          <w:tcPr>
            <w:tcW w:w="229" w:type="pct"/>
            <w:vMerge w:val="continue"/>
            <w:tcBorders>
              <w:top w:val="single" w:color="000000" w:sz="4" w:space="0"/>
              <w:left w:val="single" w:color="000000" w:sz="4" w:space="0"/>
              <w:bottom w:val="single" w:color="auto" w:sz="4" w:space="0"/>
              <w:right w:val="nil"/>
            </w:tcBorders>
            <w:shd w:val="clear" w:color="auto" w:fill="FFFFFF"/>
            <w:tcMar>
              <w:top w:w="15" w:type="dxa"/>
              <w:left w:w="15" w:type="dxa"/>
              <w:right w:w="15" w:type="dxa"/>
            </w:tcMar>
            <w:vAlign w:val="center"/>
          </w:tcPr>
          <w:p w14:paraId="7B133EE8">
            <w:pPr>
              <w:spacing w:before="120" w:after="120" w:line="240" w:lineRule="auto"/>
              <w:ind w:firstLine="0" w:firstLineChars="0"/>
              <w:jc w:val="center"/>
              <w:rPr>
                <w:rFonts w:eastAsia="宋体" w:cs="Times New Roman"/>
                <w:b/>
                <w:color w:val="000000"/>
                <w:sz w:val="20"/>
                <w:szCs w:val="20"/>
              </w:rPr>
            </w:pPr>
          </w:p>
        </w:tc>
        <w:tc>
          <w:tcPr>
            <w:tcW w:w="246" w:type="pct"/>
            <w:vMerge w:val="continue"/>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2C613A27">
            <w:pPr>
              <w:spacing w:before="120" w:after="120" w:line="240" w:lineRule="auto"/>
              <w:ind w:firstLine="0" w:firstLineChars="0"/>
              <w:jc w:val="center"/>
              <w:rPr>
                <w:rFonts w:eastAsia="宋体" w:cs="Times New Roman"/>
                <w:color w:val="000000"/>
                <w:sz w:val="20"/>
                <w:szCs w:val="20"/>
              </w:rPr>
            </w:pPr>
          </w:p>
        </w:tc>
        <w:tc>
          <w:tcPr>
            <w:tcW w:w="336"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2900A4FD">
            <w:pPr>
              <w:widowControl/>
              <w:spacing w:before="120" w:after="120" w:line="240" w:lineRule="auto"/>
              <w:ind w:firstLine="0" w:firstLineChars="0"/>
              <w:jc w:val="center"/>
              <w:textAlignment w:val="center"/>
              <w:rPr>
                <w:rFonts w:eastAsia="宋体" w:cs="Times New Roman"/>
                <w:color w:val="000000"/>
                <w:sz w:val="20"/>
                <w:szCs w:val="20"/>
              </w:rPr>
            </w:pPr>
            <w:r>
              <w:rPr>
                <w:rFonts w:hint="eastAsia" w:eastAsia="宋体" w:cs="Times New Roman"/>
                <w:color w:val="000000"/>
                <w:kern w:val="0"/>
                <w:sz w:val="20"/>
                <w:szCs w:val="20"/>
              </w:rPr>
              <w:t>绩效目标</w:t>
            </w:r>
            <w:r>
              <w:rPr>
                <w:rFonts w:eastAsia="宋体" w:cs="Times New Roman"/>
                <w:color w:val="000000"/>
                <w:kern w:val="0"/>
                <w:sz w:val="20"/>
                <w:szCs w:val="20"/>
              </w:rPr>
              <w:t>合理性</w:t>
            </w:r>
          </w:p>
        </w:tc>
        <w:tc>
          <w:tcPr>
            <w:tcW w:w="560"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8C647F1">
            <w:pPr>
              <w:widowControl/>
              <w:spacing w:before="120" w:after="120" w:line="240" w:lineRule="auto"/>
              <w:ind w:firstLine="0" w:firstLineChars="0"/>
              <w:textAlignment w:val="center"/>
              <w:rPr>
                <w:rFonts w:eastAsia="宋体" w:cs="Times New Roman"/>
                <w:color w:val="000000"/>
                <w:sz w:val="20"/>
                <w:szCs w:val="20"/>
              </w:rPr>
            </w:pPr>
            <w:r>
              <w:rPr>
                <w:rFonts w:eastAsia="宋体" w:cs="Times New Roman"/>
                <w:color w:val="000000"/>
                <w:kern w:val="0"/>
                <w:sz w:val="20"/>
                <w:szCs w:val="20"/>
              </w:rPr>
              <w:t>绩效目标设定符合实际需求，合理可行</w:t>
            </w:r>
          </w:p>
        </w:tc>
        <w:tc>
          <w:tcPr>
            <w:tcW w:w="20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9C2ADB7">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分级评分法</w:t>
            </w:r>
          </w:p>
        </w:tc>
        <w:tc>
          <w:tcPr>
            <w:tcW w:w="20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C8EEBB3">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不合理</w:t>
            </w:r>
          </w:p>
        </w:tc>
        <w:tc>
          <w:tcPr>
            <w:tcW w:w="20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1F4D791">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3处及以上不合理</w:t>
            </w:r>
          </w:p>
        </w:tc>
        <w:tc>
          <w:tcPr>
            <w:tcW w:w="20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8FEAF98">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2处不合理</w:t>
            </w:r>
          </w:p>
        </w:tc>
        <w:tc>
          <w:tcPr>
            <w:tcW w:w="152"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DA30C7F">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1处不合理</w:t>
            </w:r>
          </w:p>
        </w:tc>
        <w:tc>
          <w:tcPr>
            <w:tcW w:w="25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3233967">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合理</w:t>
            </w:r>
          </w:p>
        </w:tc>
        <w:tc>
          <w:tcPr>
            <w:tcW w:w="106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95E1961">
            <w:pPr>
              <w:widowControl/>
              <w:spacing w:before="120" w:after="120" w:line="240" w:lineRule="auto"/>
              <w:ind w:firstLine="0" w:firstLineChars="0"/>
              <w:textAlignment w:val="center"/>
              <w:rPr>
                <w:rFonts w:eastAsia="宋体" w:cs="Times New Roman"/>
                <w:color w:val="000000"/>
                <w:sz w:val="20"/>
                <w:szCs w:val="20"/>
              </w:rPr>
            </w:pPr>
            <w:r>
              <w:rPr>
                <w:rFonts w:eastAsia="宋体" w:cs="Times New Roman"/>
                <w:color w:val="000000"/>
                <w:kern w:val="0"/>
                <w:sz w:val="20"/>
                <w:szCs w:val="20"/>
              </w:rPr>
              <w:t>重点评价项目绩效目标预期值与实际需求之间的吻合度</w:t>
            </w:r>
          </w:p>
        </w:tc>
        <w:tc>
          <w:tcPr>
            <w:tcW w:w="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008CD6">
            <w:pPr>
              <w:spacing w:before="120" w:after="120" w:line="240" w:lineRule="auto"/>
              <w:ind w:firstLine="0" w:firstLineChars="0"/>
              <w:jc w:val="center"/>
              <w:rPr>
                <w:rFonts w:eastAsia="宋体" w:cs="Times New Roman"/>
                <w:color w:val="000000"/>
                <w:sz w:val="20"/>
                <w:szCs w:val="20"/>
              </w:rPr>
            </w:pPr>
            <w:r>
              <w:rPr>
                <w:rFonts w:hint="eastAsia" w:eastAsia="宋体" w:cs="Times New Roman"/>
                <w:color w:val="000000"/>
                <w:sz w:val="20"/>
                <w:szCs w:val="20"/>
              </w:rPr>
              <w:t>8</w:t>
            </w:r>
            <w:r>
              <w:rPr>
                <w:rFonts w:eastAsia="宋体" w:cs="Times New Roman"/>
                <w:color w:val="000000"/>
                <w:sz w:val="20"/>
                <w:szCs w:val="20"/>
              </w:rPr>
              <w:t>.00</w:t>
            </w:r>
          </w:p>
        </w:tc>
        <w:tc>
          <w:tcPr>
            <w:tcW w:w="1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27A51D">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8.00</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F62C4A">
            <w:pPr>
              <w:spacing w:before="120" w:after="120" w:line="240" w:lineRule="auto"/>
              <w:ind w:firstLine="0" w:firstLineChars="0"/>
              <w:jc w:val="center"/>
              <w:rPr>
                <w:rFonts w:eastAsia="宋体" w:cs="Times New Roman"/>
                <w:color w:val="000000"/>
                <w:sz w:val="20"/>
                <w:szCs w:val="20"/>
              </w:rPr>
            </w:pPr>
            <w:r>
              <w:rPr>
                <w:rFonts w:hint="eastAsia" w:eastAsia="宋体" w:cs="Times New Roman"/>
                <w:color w:val="000000"/>
                <w:sz w:val="20"/>
                <w:szCs w:val="20"/>
              </w:rPr>
              <w:t>1</w:t>
            </w:r>
            <w:r>
              <w:rPr>
                <w:rFonts w:eastAsia="宋体" w:cs="Times New Roman"/>
                <w:color w:val="000000"/>
                <w:sz w:val="20"/>
                <w:szCs w:val="20"/>
              </w:rPr>
              <w:t>00.00</w:t>
            </w:r>
            <w:r>
              <w:rPr>
                <w:rFonts w:hint="eastAsia" w:eastAsia="宋体" w:cs="Times New Roman"/>
                <w:color w:val="000000"/>
                <w:sz w:val="20"/>
                <w:szCs w:val="20"/>
              </w:rPr>
              <w:t>%</w:t>
            </w:r>
          </w:p>
        </w:tc>
        <w:tc>
          <w:tcPr>
            <w:tcW w:w="68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0DFC28">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绩效目标符合实际</w:t>
            </w:r>
          </w:p>
        </w:tc>
      </w:tr>
      <w:tr w14:paraId="61B59120">
        <w:tblPrEx>
          <w:tblCellMar>
            <w:top w:w="0" w:type="dxa"/>
            <w:left w:w="0" w:type="dxa"/>
            <w:bottom w:w="0" w:type="dxa"/>
            <w:right w:w="0" w:type="dxa"/>
          </w:tblCellMar>
        </w:tblPrEx>
        <w:trPr>
          <w:trHeight w:val="401" w:hRule="atLeast"/>
          <w:jc w:val="center"/>
        </w:trPr>
        <w:tc>
          <w:tcPr>
            <w:tcW w:w="229" w:type="pct"/>
            <w:vMerge w:val="restar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0038349C">
            <w:pPr>
              <w:widowControl/>
              <w:spacing w:before="120" w:after="120" w:line="240" w:lineRule="auto"/>
              <w:ind w:firstLine="0" w:firstLineChars="0"/>
              <w:jc w:val="center"/>
              <w:textAlignment w:val="center"/>
              <w:rPr>
                <w:rFonts w:eastAsia="宋体" w:cs="Times New Roman"/>
                <w:b/>
                <w:color w:val="000000"/>
                <w:sz w:val="20"/>
                <w:szCs w:val="20"/>
              </w:rPr>
            </w:pPr>
            <w:r>
              <w:rPr>
                <w:rFonts w:eastAsia="宋体" w:cs="Times New Roman"/>
                <w:b/>
                <w:color w:val="000000"/>
                <w:kern w:val="0"/>
                <w:sz w:val="20"/>
                <w:szCs w:val="20"/>
              </w:rPr>
              <w:t>项目实施</w:t>
            </w:r>
          </w:p>
        </w:tc>
        <w:tc>
          <w:tcPr>
            <w:tcW w:w="246"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0746ECFD">
            <w:pPr>
              <w:widowControl/>
              <w:spacing w:before="120" w:after="120"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资金</w:t>
            </w:r>
          </w:p>
          <w:p w14:paraId="46FE4EBF">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管理</w:t>
            </w:r>
          </w:p>
        </w:tc>
        <w:tc>
          <w:tcPr>
            <w:tcW w:w="33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51FDD61">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资金分配科学性</w:t>
            </w:r>
          </w:p>
        </w:tc>
        <w:tc>
          <w:tcPr>
            <w:tcW w:w="560" w:type="pct"/>
            <w:tcBorders>
              <w:top w:val="single" w:color="000000" w:sz="4" w:space="0"/>
              <w:left w:val="single" w:color="auto" w:sz="4" w:space="0"/>
              <w:bottom w:val="single" w:color="auto" w:sz="4" w:space="0"/>
              <w:right w:val="single" w:color="000000" w:sz="4" w:space="0"/>
            </w:tcBorders>
            <w:shd w:val="clear" w:color="auto" w:fill="FFFFFF"/>
            <w:tcMar>
              <w:top w:w="15" w:type="dxa"/>
              <w:left w:w="15" w:type="dxa"/>
              <w:right w:w="15" w:type="dxa"/>
            </w:tcMar>
            <w:vAlign w:val="center"/>
          </w:tcPr>
          <w:p w14:paraId="527CA149">
            <w:pPr>
              <w:widowControl/>
              <w:spacing w:before="120" w:after="120" w:line="240" w:lineRule="auto"/>
              <w:ind w:firstLine="0" w:firstLineChars="0"/>
              <w:textAlignment w:val="center"/>
              <w:rPr>
                <w:rFonts w:eastAsia="宋体" w:cs="Times New Roman"/>
                <w:color w:val="000000"/>
                <w:sz w:val="20"/>
                <w:szCs w:val="20"/>
              </w:rPr>
            </w:pPr>
            <w:r>
              <w:rPr>
                <w:rFonts w:eastAsia="宋体" w:cs="Times New Roman"/>
                <w:color w:val="000000"/>
                <w:kern w:val="0"/>
                <w:sz w:val="20"/>
                <w:szCs w:val="20"/>
              </w:rPr>
              <w:t>项目资金分配是否科学合理</w:t>
            </w:r>
          </w:p>
        </w:tc>
        <w:tc>
          <w:tcPr>
            <w:tcW w:w="203"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12445F90">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分级评分法</w:t>
            </w:r>
          </w:p>
        </w:tc>
        <w:tc>
          <w:tcPr>
            <w:tcW w:w="203"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6412DC52">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不科学</w:t>
            </w:r>
          </w:p>
        </w:tc>
        <w:tc>
          <w:tcPr>
            <w:tcW w:w="204"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429B1ACB">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3处及以上存在问题</w:t>
            </w:r>
          </w:p>
        </w:tc>
        <w:tc>
          <w:tcPr>
            <w:tcW w:w="203"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535FB1E4">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2处存在问题</w:t>
            </w:r>
          </w:p>
        </w:tc>
        <w:tc>
          <w:tcPr>
            <w:tcW w:w="152"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193850FF">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1处存在问题</w:t>
            </w:r>
          </w:p>
        </w:tc>
        <w:tc>
          <w:tcPr>
            <w:tcW w:w="254"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2087FFF6">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分配科学合理</w:t>
            </w:r>
          </w:p>
        </w:tc>
        <w:tc>
          <w:tcPr>
            <w:tcW w:w="1067"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1C73321F">
            <w:pPr>
              <w:widowControl/>
              <w:spacing w:before="120" w:after="120" w:line="240" w:lineRule="auto"/>
              <w:ind w:firstLine="0" w:firstLineChars="0"/>
              <w:textAlignment w:val="center"/>
              <w:rPr>
                <w:rFonts w:eastAsia="宋体" w:cs="Times New Roman"/>
                <w:color w:val="000000"/>
                <w:sz w:val="20"/>
                <w:szCs w:val="20"/>
              </w:rPr>
            </w:pPr>
            <w:r>
              <w:rPr>
                <w:rFonts w:eastAsia="宋体" w:cs="Times New Roman"/>
                <w:color w:val="000000"/>
                <w:kern w:val="0"/>
                <w:sz w:val="20"/>
                <w:szCs w:val="20"/>
              </w:rPr>
              <w:t>资金分配管理是否科学合理、规范有序;是否体现突出重点或公平性，符合财政资金改革方向。资金分配的时效、方式、结构是否趋于最优化选择</w:t>
            </w:r>
          </w:p>
        </w:tc>
        <w:tc>
          <w:tcPr>
            <w:tcW w:w="214" w:type="pct"/>
            <w:tcBorders>
              <w:top w:val="single" w:color="000000" w:sz="4" w:space="0"/>
              <w:left w:val="single" w:color="000000" w:sz="4" w:space="0"/>
              <w:bottom w:val="single" w:color="auto" w:sz="4" w:space="0"/>
              <w:right w:val="single" w:color="000000" w:sz="4" w:space="0"/>
            </w:tcBorders>
            <w:shd w:val="clear" w:color="auto" w:fill="FFFFFF"/>
            <w:vAlign w:val="center"/>
          </w:tcPr>
          <w:p w14:paraId="0A569A1E">
            <w:pPr>
              <w:spacing w:before="120" w:after="120" w:line="240" w:lineRule="auto"/>
              <w:ind w:firstLine="0" w:firstLineChars="0"/>
              <w:jc w:val="center"/>
              <w:rPr>
                <w:rFonts w:eastAsia="宋体" w:cs="Times New Roman"/>
                <w:color w:val="000000"/>
                <w:sz w:val="20"/>
                <w:szCs w:val="20"/>
              </w:rPr>
            </w:pPr>
            <w:r>
              <w:rPr>
                <w:rFonts w:hint="eastAsia" w:eastAsia="宋体" w:cs="Times New Roman"/>
                <w:color w:val="000000"/>
                <w:sz w:val="20"/>
                <w:szCs w:val="20"/>
              </w:rPr>
              <w:t>1</w:t>
            </w:r>
            <w:r>
              <w:rPr>
                <w:rFonts w:eastAsia="宋体" w:cs="Times New Roman"/>
                <w:color w:val="000000"/>
                <w:sz w:val="20"/>
                <w:szCs w:val="20"/>
              </w:rPr>
              <w:t>2.00</w:t>
            </w:r>
          </w:p>
        </w:tc>
        <w:tc>
          <w:tcPr>
            <w:tcW w:w="186" w:type="pct"/>
            <w:tcBorders>
              <w:top w:val="single" w:color="000000" w:sz="4" w:space="0"/>
              <w:left w:val="single" w:color="000000" w:sz="4" w:space="0"/>
              <w:bottom w:val="single" w:color="auto" w:sz="4" w:space="0"/>
              <w:right w:val="single" w:color="000000" w:sz="4" w:space="0"/>
            </w:tcBorders>
            <w:shd w:val="clear" w:color="auto" w:fill="FFFFFF"/>
            <w:vAlign w:val="center"/>
          </w:tcPr>
          <w:p w14:paraId="376335FC">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12.00</w:t>
            </w:r>
          </w:p>
        </w:tc>
        <w:tc>
          <w:tcPr>
            <w:tcW w:w="261" w:type="pct"/>
            <w:tcBorders>
              <w:top w:val="single" w:color="000000" w:sz="4" w:space="0"/>
              <w:left w:val="single" w:color="000000" w:sz="4" w:space="0"/>
              <w:bottom w:val="single" w:color="auto" w:sz="4" w:space="0"/>
              <w:right w:val="single" w:color="000000" w:sz="4" w:space="0"/>
            </w:tcBorders>
            <w:shd w:val="clear" w:color="auto" w:fill="FFFFFF"/>
            <w:vAlign w:val="center"/>
          </w:tcPr>
          <w:p w14:paraId="741ACA27">
            <w:pPr>
              <w:spacing w:before="120" w:after="120" w:line="240" w:lineRule="auto"/>
              <w:ind w:firstLine="0" w:firstLineChars="0"/>
              <w:jc w:val="center"/>
              <w:rPr>
                <w:rFonts w:eastAsia="宋体" w:cs="Times New Roman"/>
                <w:color w:val="000000"/>
                <w:sz w:val="20"/>
                <w:szCs w:val="20"/>
              </w:rPr>
            </w:pPr>
            <w:r>
              <w:rPr>
                <w:rFonts w:hint="eastAsia" w:eastAsia="宋体" w:cs="Times New Roman"/>
                <w:color w:val="000000"/>
                <w:sz w:val="20"/>
                <w:szCs w:val="20"/>
              </w:rPr>
              <w:t>1</w:t>
            </w:r>
            <w:r>
              <w:rPr>
                <w:rFonts w:eastAsia="宋体" w:cs="Times New Roman"/>
                <w:color w:val="000000"/>
                <w:sz w:val="20"/>
                <w:szCs w:val="20"/>
              </w:rPr>
              <w:t>00.00</w:t>
            </w:r>
            <w:r>
              <w:rPr>
                <w:rFonts w:hint="eastAsia" w:eastAsia="宋体" w:cs="Times New Roman"/>
                <w:color w:val="000000"/>
                <w:sz w:val="20"/>
                <w:szCs w:val="20"/>
              </w:rPr>
              <w:t>%</w:t>
            </w:r>
          </w:p>
        </w:tc>
        <w:tc>
          <w:tcPr>
            <w:tcW w:w="682" w:type="pct"/>
            <w:tcBorders>
              <w:top w:val="single" w:color="000000" w:sz="4" w:space="0"/>
              <w:left w:val="single" w:color="000000" w:sz="4" w:space="0"/>
              <w:bottom w:val="single" w:color="auto" w:sz="4" w:space="0"/>
              <w:right w:val="single" w:color="000000" w:sz="4" w:space="0"/>
            </w:tcBorders>
            <w:shd w:val="clear" w:color="auto" w:fill="FFFFFF"/>
            <w:vAlign w:val="center"/>
          </w:tcPr>
          <w:p w14:paraId="42CA308E">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资金分配合理</w:t>
            </w:r>
          </w:p>
        </w:tc>
      </w:tr>
      <w:tr w14:paraId="7D8558BE">
        <w:tblPrEx>
          <w:tblCellMar>
            <w:top w:w="0" w:type="dxa"/>
            <w:left w:w="0" w:type="dxa"/>
            <w:bottom w:w="0" w:type="dxa"/>
            <w:right w:w="0" w:type="dxa"/>
          </w:tblCellMar>
        </w:tblPrEx>
        <w:trPr>
          <w:trHeight w:val="705" w:hRule="atLeast"/>
          <w:jc w:val="center"/>
        </w:trPr>
        <w:tc>
          <w:tcPr>
            <w:tcW w:w="229" w:type="pct"/>
            <w:vMerge w:val="continue"/>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0D8D54CA">
            <w:pPr>
              <w:spacing w:before="120" w:after="120" w:line="240" w:lineRule="auto"/>
              <w:ind w:firstLine="0" w:firstLineChars="0"/>
              <w:jc w:val="center"/>
              <w:rPr>
                <w:rFonts w:eastAsia="宋体" w:cs="Times New Roman"/>
                <w:b/>
                <w:color w:val="000000"/>
                <w:sz w:val="20"/>
                <w:szCs w:val="20"/>
              </w:rPr>
            </w:pPr>
          </w:p>
        </w:tc>
        <w:tc>
          <w:tcPr>
            <w:tcW w:w="246" w:type="pct"/>
            <w:vMerge w:val="restar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01FA8CE6">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过程控制</w:t>
            </w:r>
          </w:p>
        </w:tc>
        <w:tc>
          <w:tcPr>
            <w:tcW w:w="33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3FBF9EC">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财务管理规范性</w:t>
            </w:r>
          </w:p>
        </w:tc>
        <w:tc>
          <w:tcPr>
            <w:tcW w:w="560" w:type="pct"/>
            <w:tcBorders>
              <w:top w:val="single" w:color="000000" w:sz="4" w:space="0"/>
              <w:left w:val="single" w:color="auto" w:sz="4" w:space="0"/>
              <w:bottom w:val="single" w:color="000000" w:sz="4" w:space="0"/>
              <w:right w:val="single" w:color="000000" w:sz="4" w:space="0"/>
            </w:tcBorders>
            <w:shd w:val="clear" w:color="auto" w:fill="FFFFFF"/>
            <w:tcMar>
              <w:top w:w="15" w:type="dxa"/>
              <w:left w:w="15" w:type="dxa"/>
              <w:right w:w="15" w:type="dxa"/>
            </w:tcMar>
            <w:vAlign w:val="center"/>
          </w:tcPr>
          <w:p w14:paraId="74AF8636">
            <w:pPr>
              <w:widowControl/>
              <w:spacing w:before="120" w:after="120" w:line="240" w:lineRule="auto"/>
              <w:ind w:firstLine="0" w:firstLineChars="0"/>
              <w:textAlignment w:val="center"/>
              <w:rPr>
                <w:rFonts w:eastAsia="宋体" w:cs="Times New Roman"/>
                <w:color w:val="000000"/>
                <w:sz w:val="20"/>
                <w:szCs w:val="20"/>
              </w:rPr>
            </w:pPr>
            <w:r>
              <w:rPr>
                <w:rFonts w:eastAsia="宋体" w:cs="Times New Roman"/>
                <w:color w:val="000000"/>
                <w:kern w:val="0"/>
                <w:sz w:val="20"/>
                <w:szCs w:val="20"/>
              </w:rPr>
              <w:t>财务管理是否规范</w:t>
            </w:r>
          </w:p>
        </w:tc>
        <w:tc>
          <w:tcPr>
            <w:tcW w:w="20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0CBCAE49">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分级评分法</w:t>
            </w:r>
          </w:p>
        </w:tc>
        <w:tc>
          <w:tcPr>
            <w:tcW w:w="20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D76E7A2">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4处问题及以上</w:t>
            </w:r>
          </w:p>
        </w:tc>
        <w:tc>
          <w:tcPr>
            <w:tcW w:w="20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5A105C6">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3处及以上存在问题</w:t>
            </w:r>
          </w:p>
        </w:tc>
        <w:tc>
          <w:tcPr>
            <w:tcW w:w="20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D674130">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2处存在问题</w:t>
            </w:r>
          </w:p>
        </w:tc>
        <w:tc>
          <w:tcPr>
            <w:tcW w:w="152"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D3CBA7C">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1处存在问题</w:t>
            </w:r>
          </w:p>
        </w:tc>
        <w:tc>
          <w:tcPr>
            <w:tcW w:w="25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DCAFE09">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管理规范</w:t>
            </w:r>
          </w:p>
        </w:tc>
        <w:tc>
          <w:tcPr>
            <w:tcW w:w="106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F809B0C">
            <w:pPr>
              <w:widowControl/>
              <w:spacing w:before="120" w:after="120" w:line="240" w:lineRule="auto"/>
              <w:ind w:firstLine="0" w:firstLineChars="0"/>
              <w:textAlignment w:val="center"/>
              <w:rPr>
                <w:rFonts w:eastAsia="宋体" w:cs="Times New Roman"/>
                <w:color w:val="000000"/>
                <w:sz w:val="20"/>
                <w:szCs w:val="20"/>
              </w:rPr>
            </w:pPr>
            <w:r>
              <w:rPr>
                <w:rFonts w:eastAsia="宋体" w:cs="Times New Roman"/>
                <w:color w:val="000000"/>
                <w:kern w:val="0"/>
                <w:sz w:val="20"/>
                <w:szCs w:val="20"/>
              </w:rPr>
              <w:t>财务管理制度是否健全完善，会计核算是否规范</w:t>
            </w:r>
          </w:p>
        </w:tc>
        <w:tc>
          <w:tcPr>
            <w:tcW w:w="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C91E43">
            <w:pPr>
              <w:spacing w:before="120" w:after="120" w:line="240" w:lineRule="auto"/>
              <w:ind w:firstLine="0" w:firstLineChars="0"/>
              <w:jc w:val="center"/>
              <w:rPr>
                <w:rFonts w:eastAsia="宋体" w:cs="Times New Roman"/>
                <w:color w:val="000000"/>
                <w:sz w:val="20"/>
                <w:szCs w:val="20"/>
              </w:rPr>
            </w:pPr>
            <w:r>
              <w:rPr>
                <w:rFonts w:hint="eastAsia" w:eastAsia="宋体" w:cs="Times New Roman"/>
                <w:color w:val="000000"/>
                <w:sz w:val="20"/>
                <w:szCs w:val="20"/>
              </w:rPr>
              <w:t>1</w:t>
            </w:r>
            <w:r>
              <w:rPr>
                <w:rFonts w:eastAsia="宋体" w:cs="Times New Roman"/>
                <w:color w:val="000000"/>
                <w:sz w:val="20"/>
                <w:szCs w:val="20"/>
              </w:rPr>
              <w:t>2.00</w:t>
            </w:r>
          </w:p>
        </w:tc>
        <w:tc>
          <w:tcPr>
            <w:tcW w:w="1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9AB067">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9.60</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6E44DF">
            <w:pPr>
              <w:spacing w:before="120" w:after="120" w:line="240" w:lineRule="auto"/>
              <w:ind w:firstLine="0" w:firstLineChars="0"/>
              <w:jc w:val="center"/>
              <w:rPr>
                <w:rFonts w:eastAsia="宋体" w:cs="Times New Roman"/>
                <w:color w:val="000000"/>
                <w:sz w:val="20"/>
                <w:szCs w:val="20"/>
              </w:rPr>
            </w:pPr>
            <w:r>
              <w:rPr>
                <w:rFonts w:hint="eastAsia" w:eastAsia="宋体" w:cs="Times New Roman"/>
                <w:color w:val="000000"/>
                <w:sz w:val="20"/>
                <w:szCs w:val="20"/>
              </w:rPr>
              <w:t>8</w:t>
            </w:r>
            <w:r>
              <w:rPr>
                <w:rFonts w:eastAsia="宋体" w:cs="Times New Roman"/>
                <w:color w:val="000000"/>
                <w:sz w:val="20"/>
                <w:szCs w:val="20"/>
              </w:rPr>
              <w:t>0.00</w:t>
            </w:r>
            <w:r>
              <w:rPr>
                <w:rFonts w:hint="eastAsia" w:eastAsia="宋体" w:cs="Times New Roman"/>
                <w:color w:val="000000"/>
                <w:sz w:val="20"/>
                <w:szCs w:val="20"/>
              </w:rPr>
              <w:t>%</w:t>
            </w:r>
          </w:p>
        </w:tc>
        <w:tc>
          <w:tcPr>
            <w:tcW w:w="68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54F69A">
            <w:pPr>
              <w:spacing w:before="120" w:after="120" w:line="240" w:lineRule="auto"/>
              <w:ind w:firstLine="0" w:firstLineChars="0"/>
              <w:jc w:val="left"/>
              <w:rPr>
                <w:rFonts w:eastAsia="宋体" w:cs="Times New Roman"/>
                <w:color w:val="000000"/>
                <w:sz w:val="20"/>
                <w:szCs w:val="20"/>
              </w:rPr>
            </w:pPr>
            <w:r>
              <w:rPr>
                <w:rFonts w:eastAsia="宋体" w:cs="Times New Roman"/>
                <w:color w:val="000000"/>
                <w:sz w:val="20"/>
                <w:szCs w:val="20"/>
              </w:rPr>
              <w:t>依据原国土资源局财务管理制度进行财务管理</w:t>
            </w:r>
          </w:p>
        </w:tc>
      </w:tr>
      <w:tr w14:paraId="2A7B452A">
        <w:tblPrEx>
          <w:tblCellMar>
            <w:top w:w="0" w:type="dxa"/>
            <w:left w:w="0" w:type="dxa"/>
            <w:bottom w:w="0" w:type="dxa"/>
            <w:right w:w="0" w:type="dxa"/>
          </w:tblCellMar>
        </w:tblPrEx>
        <w:trPr>
          <w:trHeight w:val="855" w:hRule="atLeast"/>
          <w:jc w:val="center"/>
        </w:trPr>
        <w:tc>
          <w:tcPr>
            <w:tcW w:w="229" w:type="pct"/>
            <w:vMerge w:val="continue"/>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7FAA7950">
            <w:pPr>
              <w:spacing w:before="120" w:after="120" w:line="240" w:lineRule="auto"/>
              <w:ind w:firstLine="0" w:firstLineChars="0"/>
              <w:jc w:val="center"/>
              <w:rPr>
                <w:rFonts w:eastAsia="宋体" w:cs="Times New Roman"/>
                <w:b/>
                <w:color w:val="000000"/>
                <w:sz w:val="20"/>
                <w:szCs w:val="20"/>
              </w:rPr>
            </w:pPr>
          </w:p>
        </w:tc>
        <w:tc>
          <w:tcPr>
            <w:tcW w:w="246" w:type="pct"/>
            <w:vMerge w:val="continue"/>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49FD01DA">
            <w:pPr>
              <w:spacing w:before="120" w:after="120" w:line="240" w:lineRule="auto"/>
              <w:ind w:firstLine="0" w:firstLineChars="0"/>
              <w:jc w:val="center"/>
              <w:rPr>
                <w:rFonts w:eastAsia="宋体" w:cs="Times New Roman"/>
                <w:color w:val="000000"/>
                <w:sz w:val="20"/>
                <w:szCs w:val="20"/>
              </w:rPr>
            </w:pPr>
          </w:p>
        </w:tc>
        <w:tc>
          <w:tcPr>
            <w:tcW w:w="336"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0A3CD18E">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业务管理规范性</w:t>
            </w:r>
          </w:p>
        </w:tc>
        <w:tc>
          <w:tcPr>
            <w:tcW w:w="560" w:type="pct"/>
            <w:tcBorders>
              <w:top w:val="single" w:color="000000" w:sz="4" w:space="0"/>
              <w:left w:val="single" w:color="auto" w:sz="4" w:space="0"/>
              <w:bottom w:val="single" w:color="000000" w:sz="4" w:space="0"/>
              <w:right w:val="single" w:color="000000" w:sz="4" w:space="0"/>
            </w:tcBorders>
            <w:shd w:val="clear" w:color="auto" w:fill="FFFFFF"/>
            <w:tcMar>
              <w:top w:w="15" w:type="dxa"/>
              <w:left w:w="15" w:type="dxa"/>
              <w:right w:w="15" w:type="dxa"/>
            </w:tcMar>
            <w:vAlign w:val="center"/>
          </w:tcPr>
          <w:p w14:paraId="5A3FE164">
            <w:pPr>
              <w:widowControl/>
              <w:spacing w:before="120" w:after="120" w:line="240" w:lineRule="auto"/>
              <w:ind w:firstLine="0" w:firstLineChars="0"/>
              <w:textAlignment w:val="center"/>
              <w:rPr>
                <w:rFonts w:eastAsia="宋体" w:cs="Times New Roman"/>
                <w:color w:val="000000"/>
                <w:sz w:val="20"/>
                <w:szCs w:val="20"/>
              </w:rPr>
            </w:pPr>
            <w:r>
              <w:rPr>
                <w:rFonts w:eastAsia="宋体" w:cs="Times New Roman"/>
                <w:color w:val="000000"/>
                <w:kern w:val="0"/>
                <w:sz w:val="20"/>
                <w:szCs w:val="20"/>
              </w:rPr>
              <w:t>业务管理是否规范</w:t>
            </w:r>
          </w:p>
        </w:tc>
        <w:tc>
          <w:tcPr>
            <w:tcW w:w="20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FB6AAFE">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分级评分法</w:t>
            </w:r>
          </w:p>
        </w:tc>
        <w:tc>
          <w:tcPr>
            <w:tcW w:w="20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DCAC12A">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4处问题及以上</w:t>
            </w:r>
          </w:p>
        </w:tc>
        <w:tc>
          <w:tcPr>
            <w:tcW w:w="20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66161DD">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3处及以上存在问题</w:t>
            </w:r>
          </w:p>
        </w:tc>
        <w:tc>
          <w:tcPr>
            <w:tcW w:w="20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0F453FF">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2处存在问题</w:t>
            </w:r>
          </w:p>
        </w:tc>
        <w:tc>
          <w:tcPr>
            <w:tcW w:w="152"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8472903">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1处存在问题</w:t>
            </w:r>
          </w:p>
        </w:tc>
        <w:tc>
          <w:tcPr>
            <w:tcW w:w="25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CFD4DF3">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管理规范</w:t>
            </w:r>
          </w:p>
        </w:tc>
        <w:tc>
          <w:tcPr>
            <w:tcW w:w="106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CA458D6">
            <w:pPr>
              <w:widowControl/>
              <w:spacing w:before="120" w:after="120" w:line="240" w:lineRule="auto"/>
              <w:ind w:firstLine="0" w:firstLineChars="0"/>
              <w:textAlignment w:val="center"/>
              <w:rPr>
                <w:rFonts w:eastAsia="宋体" w:cs="Times New Roman"/>
                <w:color w:val="000000"/>
                <w:sz w:val="20"/>
                <w:szCs w:val="20"/>
              </w:rPr>
            </w:pPr>
            <w:r>
              <w:rPr>
                <w:rFonts w:eastAsia="宋体" w:cs="Times New Roman"/>
                <w:color w:val="000000"/>
                <w:kern w:val="0"/>
                <w:sz w:val="20"/>
                <w:szCs w:val="20"/>
              </w:rPr>
              <w:t>项目管理制度是否健全完善，执行是否有效。包括程序完善性，采购和公示制度的严格执行，进度安排、成本和风险控制、质量管理等</w:t>
            </w:r>
          </w:p>
        </w:tc>
        <w:tc>
          <w:tcPr>
            <w:tcW w:w="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F109B8">
            <w:pPr>
              <w:spacing w:before="120" w:after="120" w:line="240" w:lineRule="auto"/>
              <w:ind w:firstLine="0" w:firstLineChars="0"/>
              <w:jc w:val="center"/>
              <w:rPr>
                <w:rFonts w:eastAsia="宋体" w:cs="Times New Roman"/>
                <w:color w:val="000000"/>
                <w:sz w:val="20"/>
                <w:szCs w:val="20"/>
              </w:rPr>
            </w:pPr>
            <w:r>
              <w:rPr>
                <w:rFonts w:hint="eastAsia" w:eastAsia="宋体" w:cs="Times New Roman"/>
                <w:color w:val="000000"/>
                <w:sz w:val="20"/>
                <w:szCs w:val="20"/>
              </w:rPr>
              <w:t>1</w:t>
            </w:r>
            <w:r>
              <w:rPr>
                <w:rFonts w:eastAsia="宋体" w:cs="Times New Roman"/>
                <w:color w:val="000000"/>
                <w:sz w:val="20"/>
                <w:szCs w:val="20"/>
              </w:rPr>
              <w:t>2.00</w:t>
            </w:r>
          </w:p>
        </w:tc>
        <w:tc>
          <w:tcPr>
            <w:tcW w:w="1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0EBAFA">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9.60</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27C836">
            <w:pPr>
              <w:spacing w:before="120" w:after="120" w:line="240" w:lineRule="auto"/>
              <w:ind w:firstLine="0" w:firstLineChars="0"/>
              <w:jc w:val="left"/>
              <w:rPr>
                <w:rFonts w:eastAsia="宋体" w:cs="Times New Roman"/>
                <w:color w:val="000000"/>
                <w:sz w:val="20"/>
                <w:szCs w:val="20"/>
              </w:rPr>
            </w:pPr>
            <w:r>
              <w:rPr>
                <w:rFonts w:hint="eastAsia" w:eastAsia="宋体" w:cs="Times New Roman"/>
                <w:color w:val="000000"/>
                <w:sz w:val="20"/>
                <w:szCs w:val="20"/>
              </w:rPr>
              <w:t>8</w:t>
            </w:r>
            <w:r>
              <w:rPr>
                <w:rFonts w:eastAsia="宋体" w:cs="Times New Roman"/>
                <w:color w:val="000000"/>
                <w:sz w:val="20"/>
                <w:szCs w:val="20"/>
              </w:rPr>
              <w:t>0.00</w:t>
            </w:r>
            <w:r>
              <w:rPr>
                <w:rFonts w:hint="eastAsia" w:eastAsia="宋体" w:cs="Times New Roman"/>
                <w:color w:val="000000"/>
                <w:sz w:val="20"/>
                <w:szCs w:val="20"/>
              </w:rPr>
              <w:t>%</w:t>
            </w:r>
          </w:p>
        </w:tc>
        <w:tc>
          <w:tcPr>
            <w:tcW w:w="68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388CB9">
            <w:pPr>
              <w:spacing w:before="120" w:after="120" w:line="240" w:lineRule="auto"/>
              <w:ind w:firstLine="0" w:firstLineChars="0"/>
              <w:jc w:val="left"/>
              <w:rPr>
                <w:rFonts w:eastAsia="宋体" w:cs="Times New Roman"/>
                <w:color w:val="000000"/>
                <w:sz w:val="20"/>
                <w:szCs w:val="20"/>
              </w:rPr>
            </w:pPr>
            <w:r>
              <w:rPr>
                <w:rFonts w:eastAsia="宋体" w:cs="Times New Roman"/>
                <w:color w:val="000000"/>
                <w:sz w:val="20"/>
                <w:szCs w:val="20"/>
              </w:rPr>
              <w:t>确认供应商过程无留痕文件</w:t>
            </w:r>
          </w:p>
        </w:tc>
      </w:tr>
      <w:tr w14:paraId="46B7A72F">
        <w:tblPrEx>
          <w:tblCellMar>
            <w:top w:w="0" w:type="dxa"/>
            <w:left w:w="0" w:type="dxa"/>
            <w:bottom w:w="0" w:type="dxa"/>
            <w:right w:w="0" w:type="dxa"/>
          </w:tblCellMar>
        </w:tblPrEx>
        <w:trPr>
          <w:trHeight w:val="735" w:hRule="atLeast"/>
          <w:jc w:val="center"/>
        </w:trPr>
        <w:tc>
          <w:tcPr>
            <w:tcW w:w="229" w:type="pct"/>
            <w:vMerge w:val="restar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56191953">
            <w:pPr>
              <w:widowControl/>
              <w:spacing w:before="120" w:after="120" w:line="240" w:lineRule="auto"/>
              <w:ind w:firstLine="0" w:firstLineChars="0"/>
              <w:jc w:val="center"/>
              <w:textAlignment w:val="center"/>
              <w:rPr>
                <w:rFonts w:eastAsia="宋体" w:cs="Times New Roman"/>
                <w:b/>
                <w:color w:val="000000"/>
                <w:kern w:val="0"/>
                <w:sz w:val="20"/>
                <w:szCs w:val="20"/>
              </w:rPr>
            </w:pPr>
            <w:r>
              <w:rPr>
                <w:rFonts w:eastAsia="宋体" w:cs="Times New Roman"/>
                <w:b/>
                <w:color w:val="000000"/>
                <w:kern w:val="0"/>
                <w:sz w:val="20"/>
                <w:szCs w:val="20"/>
              </w:rPr>
              <w:t>项目</w:t>
            </w:r>
          </w:p>
          <w:p w14:paraId="1BED606B">
            <w:pPr>
              <w:widowControl/>
              <w:spacing w:before="120" w:after="120" w:line="240" w:lineRule="auto"/>
              <w:ind w:firstLine="0" w:firstLineChars="0"/>
              <w:jc w:val="center"/>
              <w:textAlignment w:val="center"/>
              <w:rPr>
                <w:rFonts w:eastAsia="宋体" w:cs="Times New Roman"/>
                <w:b/>
                <w:color w:val="000000"/>
                <w:sz w:val="20"/>
                <w:szCs w:val="20"/>
              </w:rPr>
            </w:pPr>
            <w:r>
              <w:rPr>
                <w:rFonts w:eastAsia="宋体" w:cs="Times New Roman"/>
                <w:b/>
                <w:color w:val="000000"/>
                <w:kern w:val="0"/>
                <w:sz w:val="20"/>
                <w:szCs w:val="20"/>
              </w:rPr>
              <w:t>绩效</w:t>
            </w:r>
          </w:p>
        </w:tc>
        <w:tc>
          <w:tcPr>
            <w:tcW w:w="246"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7C98A57C">
            <w:pPr>
              <w:widowControl/>
              <w:spacing w:before="120" w:after="120"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完成</w:t>
            </w:r>
          </w:p>
          <w:p w14:paraId="0711843B">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数量</w:t>
            </w:r>
          </w:p>
        </w:tc>
        <w:tc>
          <w:tcPr>
            <w:tcW w:w="33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60A7A6A">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事项完成数量</w:t>
            </w:r>
          </w:p>
        </w:tc>
        <w:tc>
          <w:tcPr>
            <w:tcW w:w="560" w:type="pct"/>
            <w:tcBorders>
              <w:top w:val="single" w:color="000000" w:sz="4" w:space="0"/>
              <w:left w:val="single" w:color="auto" w:sz="4" w:space="0"/>
              <w:bottom w:val="single" w:color="000000" w:sz="4" w:space="0"/>
              <w:right w:val="single" w:color="000000" w:sz="4" w:space="0"/>
            </w:tcBorders>
            <w:shd w:val="clear" w:color="auto" w:fill="FFFFFF"/>
            <w:tcMar>
              <w:top w:w="15" w:type="dxa"/>
              <w:left w:w="15" w:type="dxa"/>
              <w:right w:w="15" w:type="dxa"/>
            </w:tcMar>
            <w:vAlign w:val="center"/>
          </w:tcPr>
          <w:p w14:paraId="1B070A14">
            <w:pPr>
              <w:spacing w:before="120" w:after="120" w:line="240" w:lineRule="auto"/>
              <w:ind w:firstLine="0" w:firstLineChars="0"/>
              <w:rPr>
                <w:rFonts w:eastAsia="宋体" w:cs="Times New Roman"/>
                <w:color w:val="000000"/>
                <w:sz w:val="20"/>
                <w:szCs w:val="20"/>
              </w:rPr>
            </w:pPr>
            <w:r>
              <w:rPr>
                <w:rFonts w:eastAsia="宋体" w:cs="Times New Roman"/>
                <w:color w:val="000000"/>
                <w:sz w:val="20"/>
                <w:szCs w:val="20"/>
              </w:rPr>
              <w:t>经费使用是否完成了计划完成事项</w:t>
            </w:r>
          </w:p>
        </w:tc>
        <w:tc>
          <w:tcPr>
            <w:tcW w:w="20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81A655F">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比率评</w:t>
            </w:r>
          </w:p>
          <w:p w14:paraId="27AFF1FD">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分法</w:t>
            </w:r>
          </w:p>
        </w:tc>
        <w:tc>
          <w:tcPr>
            <w:tcW w:w="1016" w:type="pct"/>
            <w:gridSpan w:val="5"/>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3E32FC8">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得分=实际完成事项/应完成事项*100%*指标分值</w:t>
            </w:r>
          </w:p>
        </w:tc>
        <w:tc>
          <w:tcPr>
            <w:tcW w:w="106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DACE053">
            <w:pPr>
              <w:spacing w:before="120" w:after="120" w:line="240" w:lineRule="auto"/>
              <w:ind w:firstLine="0" w:firstLineChars="0"/>
              <w:rPr>
                <w:rFonts w:eastAsia="宋体" w:cs="Times New Roman"/>
                <w:color w:val="000000"/>
                <w:sz w:val="20"/>
                <w:szCs w:val="20"/>
              </w:rPr>
            </w:pPr>
            <w:r>
              <w:rPr>
                <w:rFonts w:eastAsia="宋体" w:cs="Times New Roman"/>
                <w:color w:val="000000"/>
                <w:sz w:val="20"/>
                <w:szCs w:val="20"/>
              </w:rPr>
              <w:t>经费支持事项是否按计划完成</w:t>
            </w:r>
          </w:p>
        </w:tc>
        <w:tc>
          <w:tcPr>
            <w:tcW w:w="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26B3BB">
            <w:pPr>
              <w:spacing w:before="120" w:after="120" w:line="240" w:lineRule="auto"/>
              <w:ind w:firstLine="0" w:firstLineChars="0"/>
              <w:jc w:val="center"/>
              <w:rPr>
                <w:rFonts w:eastAsia="宋体" w:cs="Times New Roman"/>
                <w:color w:val="000000"/>
                <w:sz w:val="20"/>
                <w:szCs w:val="20"/>
              </w:rPr>
            </w:pPr>
            <w:r>
              <w:rPr>
                <w:rFonts w:hint="eastAsia" w:eastAsia="宋体" w:cs="Times New Roman"/>
                <w:color w:val="000000"/>
                <w:sz w:val="20"/>
                <w:szCs w:val="20"/>
              </w:rPr>
              <w:t>8</w:t>
            </w:r>
            <w:r>
              <w:rPr>
                <w:rFonts w:eastAsia="宋体" w:cs="Times New Roman"/>
                <w:color w:val="000000"/>
                <w:sz w:val="20"/>
                <w:szCs w:val="20"/>
              </w:rPr>
              <w:t>.00</w:t>
            </w:r>
          </w:p>
        </w:tc>
        <w:tc>
          <w:tcPr>
            <w:tcW w:w="1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C9F623">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8.00</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F45116">
            <w:pPr>
              <w:spacing w:before="120" w:after="120" w:line="240" w:lineRule="auto"/>
              <w:ind w:firstLine="0" w:firstLineChars="0"/>
              <w:jc w:val="center"/>
              <w:rPr>
                <w:rFonts w:eastAsia="宋体" w:cs="Times New Roman"/>
                <w:color w:val="000000"/>
                <w:sz w:val="20"/>
                <w:szCs w:val="20"/>
              </w:rPr>
            </w:pPr>
            <w:r>
              <w:rPr>
                <w:rFonts w:hint="eastAsia" w:eastAsia="宋体" w:cs="Times New Roman"/>
                <w:color w:val="000000"/>
                <w:sz w:val="20"/>
                <w:szCs w:val="20"/>
              </w:rPr>
              <w:t>1</w:t>
            </w:r>
            <w:r>
              <w:rPr>
                <w:rFonts w:eastAsia="宋体" w:cs="Times New Roman"/>
                <w:color w:val="000000"/>
                <w:sz w:val="20"/>
                <w:szCs w:val="20"/>
              </w:rPr>
              <w:t>00.00</w:t>
            </w:r>
            <w:r>
              <w:rPr>
                <w:rFonts w:hint="eastAsia" w:eastAsia="宋体" w:cs="Times New Roman"/>
                <w:color w:val="000000"/>
                <w:sz w:val="20"/>
                <w:szCs w:val="20"/>
              </w:rPr>
              <w:t>%</w:t>
            </w:r>
          </w:p>
        </w:tc>
        <w:tc>
          <w:tcPr>
            <w:tcW w:w="68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D7B7EC">
            <w:pPr>
              <w:spacing w:before="120" w:after="120" w:line="240" w:lineRule="auto"/>
              <w:ind w:firstLine="0" w:firstLineChars="0"/>
              <w:jc w:val="left"/>
              <w:rPr>
                <w:rFonts w:eastAsia="宋体" w:cs="Times New Roman"/>
                <w:color w:val="000000"/>
                <w:sz w:val="20"/>
                <w:szCs w:val="20"/>
              </w:rPr>
            </w:pPr>
            <w:r>
              <w:rPr>
                <w:rFonts w:eastAsia="宋体" w:cs="Times New Roman"/>
                <w:color w:val="000000"/>
                <w:sz w:val="20"/>
                <w:szCs w:val="20"/>
              </w:rPr>
              <w:t>经费支持事项按计划完成</w:t>
            </w:r>
          </w:p>
        </w:tc>
      </w:tr>
      <w:tr w14:paraId="21F42859">
        <w:tblPrEx>
          <w:tblCellMar>
            <w:top w:w="0" w:type="dxa"/>
            <w:left w:w="0" w:type="dxa"/>
            <w:bottom w:w="0" w:type="dxa"/>
            <w:right w:w="0" w:type="dxa"/>
          </w:tblCellMar>
        </w:tblPrEx>
        <w:trPr>
          <w:trHeight w:val="1266" w:hRule="atLeast"/>
          <w:jc w:val="center"/>
        </w:trPr>
        <w:tc>
          <w:tcPr>
            <w:tcW w:w="229" w:type="pct"/>
            <w:vMerge w:val="continue"/>
            <w:tcBorders>
              <w:top w:val="single" w:color="auto" w:sz="4" w:space="0"/>
              <w:left w:val="single" w:color="000000" w:sz="4" w:space="0"/>
              <w:right w:val="single" w:color="000000" w:sz="4" w:space="0"/>
            </w:tcBorders>
            <w:shd w:val="clear" w:color="auto" w:fill="FFFFFF"/>
            <w:tcMar>
              <w:top w:w="15" w:type="dxa"/>
              <w:left w:w="15" w:type="dxa"/>
              <w:right w:w="15" w:type="dxa"/>
            </w:tcMar>
            <w:textDirection w:val="tbRlV"/>
            <w:vAlign w:val="center"/>
          </w:tcPr>
          <w:p w14:paraId="0E9596BC">
            <w:pPr>
              <w:spacing w:before="120" w:after="120" w:line="240" w:lineRule="auto"/>
              <w:ind w:firstLine="0" w:firstLineChars="0"/>
              <w:jc w:val="center"/>
              <w:rPr>
                <w:rFonts w:eastAsia="宋体" w:cs="Times New Roman"/>
                <w:b/>
                <w:color w:val="000000"/>
                <w:sz w:val="20"/>
                <w:szCs w:val="20"/>
              </w:rPr>
            </w:pPr>
          </w:p>
        </w:tc>
        <w:tc>
          <w:tcPr>
            <w:tcW w:w="246" w:type="pct"/>
            <w:tcBorders>
              <w:top w:val="single" w:color="auto"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1BC469EA">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完成质量</w:t>
            </w:r>
          </w:p>
        </w:tc>
        <w:tc>
          <w:tcPr>
            <w:tcW w:w="336" w:type="pct"/>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91FF1A6">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事项完成质量</w:t>
            </w:r>
          </w:p>
        </w:tc>
        <w:tc>
          <w:tcPr>
            <w:tcW w:w="560"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39865D9F">
            <w:pPr>
              <w:spacing w:before="120" w:after="120" w:line="240" w:lineRule="auto"/>
              <w:ind w:firstLine="0" w:firstLineChars="0"/>
              <w:rPr>
                <w:rFonts w:eastAsia="宋体" w:cs="Times New Roman"/>
                <w:color w:val="000000"/>
                <w:sz w:val="20"/>
                <w:szCs w:val="20"/>
              </w:rPr>
            </w:pPr>
            <w:r>
              <w:rPr>
                <w:rFonts w:eastAsia="宋体" w:cs="Times New Roman"/>
                <w:color w:val="000000"/>
                <w:sz w:val="20"/>
                <w:szCs w:val="20"/>
              </w:rPr>
              <w:t>经费使用完成成果是否满足部门执法需要</w:t>
            </w:r>
          </w:p>
        </w:tc>
        <w:tc>
          <w:tcPr>
            <w:tcW w:w="203"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72C28150">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是否评分法</w:t>
            </w:r>
          </w:p>
        </w:tc>
        <w:tc>
          <w:tcPr>
            <w:tcW w:w="203"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2AE7D120">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否</w:t>
            </w:r>
          </w:p>
        </w:tc>
        <w:tc>
          <w:tcPr>
            <w:tcW w:w="204" w:type="pct"/>
            <w:tcBorders>
              <w:top w:val="single" w:color="000000" w:sz="4" w:space="0"/>
              <w:left w:val="single" w:color="000000" w:sz="4" w:space="0"/>
              <w:bottom w:val="single" w:color="auto" w:sz="4" w:space="0"/>
              <w:right w:val="single" w:color="000000" w:sz="4" w:space="0"/>
            </w:tcBorders>
            <w:shd w:val="clear" w:color="auto" w:fill="FFFFFF"/>
            <w:vAlign w:val="center"/>
          </w:tcPr>
          <w:p w14:paraId="1A4E843B">
            <w:pPr>
              <w:spacing w:before="120" w:after="120" w:line="240" w:lineRule="auto"/>
              <w:ind w:firstLine="0" w:firstLineChars="0"/>
              <w:jc w:val="center"/>
              <w:rPr>
                <w:rFonts w:eastAsia="宋体" w:cs="Times New Roman"/>
                <w:color w:val="000000"/>
                <w:sz w:val="20"/>
                <w:szCs w:val="20"/>
              </w:rPr>
            </w:pPr>
          </w:p>
        </w:tc>
        <w:tc>
          <w:tcPr>
            <w:tcW w:w="203" w:type="pct"/>
            <w:tcBorders>
              <w:top w:val="single" w:color="000000" w:sz="4" w:space="0"/>
              <w:left w:val="single" w:color="000000" w:sz="4" w:space="0"/>
              <w:bottom w:val="single" w:color="auto" w:sz="4" w:space="0"/>
              <w:right w:val="single" w:color="000000" w:sz="4" w:space="0"/>
            </w:tcBorders>
            <w:shd w:val="clear" w:color="auto" w:fill="FFFFFF"/>
            <w:vAlign w:val="center"/>
          </w:tcPr>
          <w:p w14:paraId="51338979">
            <w:pPr>
              <w:spacing w:before="120" w:after="120" w:line="240" w:lineRule="auto"/>
              <w:ind w:firstLine="0" w:firstLineChars="0"/>
              <w:jc w:val="center"/>
              <w:rPr>
                <w:rFonts w:eastAsia="宋体" w:cs="Times New Roman"/>
                <w:color w:val="000000"/>
                <w:sz w:val="20"/>
                <w:szCs w:val="20"/>
              </w:rPr>
            </w:pPr>
          </w:p>
        </w:tc>
        <w:tc>
          <w:tcPr>
            <w:tcW w:w="152" w:type="pct"/>
            <w:tcBorders>
              <w:top w:val="single" w:color="000000" w:sz="4" w:space="0"/>
              <w:left w:val="single" w:color="000000" w:sz="4" w:space="0"/>
              <w:bottom w:val="single" w:color="auto" w:sz="4" w:space="0"/>
              <w:right w:val="single" w:color="000000" w:sz="4" w:space="0"/>
            </w:tcBorders>
            <w:shd w:val="clear" w:color="auto" w:fill="FFFFFF"/>
            <w:vAlign w:val="center"/>
          </w:tcPr>
          <w:p w14:paraId="412DD015">
            <w:pPr>
              <w:spacing w:before="120" w:after="120" w:line="240" w:lineRule="auto"/>
              <w:ind w:firstLine="0" w:firstLineChars="0"/>
              <w:jc w:val="center"/>
              <w:rPr>
                <w:rFonts w:eastAsia="宋体" w:cs="Times New Roman"/>
                <w:color w:val="000000"/>
                <w:sz w:val="20"/>
                <w:szCs w:val="20"/>
              </w:rPr>
            </w:pPr>
          </w:p>
        </w:tc>
        <w:tc>
          <w:tcPr>
            <w:tcW w:w="254" w:type="pct"/>
            <w:tcBorders>
              <w:top w:val="single" w:color="000000" w:sz="4" w:space="0"/>
              <w:left w:val="single" w:color="000000" w:sz="4" w:space="0"/>
              <w:bottom w:val="single" w:color="auto" w:sz="4" w:space="0"/>
              <w:right w:val="single" w:color="000000" w:sz="4" w:space="0"/>
            </w:tcBorders>
            <w:shd w:val="clear" w:color="auto" w:fill="FFFFFF"/>
            <w:vAlign w:val="center"/>
          </w:tcPr>
          <w:p w14:paraId="15948967">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是</w:t>
            </w:r>
          </w:p>
        </w:tc>
        <w:tc>
          <w:tcPr>
            <w:tcW w:w="1067"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7E67EABD">
            <w:pPr>
              <w:spacing w:before="120" w:after="120" w:line="240" w:lineRule="auto"/>
              <w:ind w:firstLine="0" w:firstLineChars="0"/>
              <w:rPr>
                <w:rFonts w:eastAsia="宋体" w:cs="Times New Roman"/>
                <w:color w:val="000000"/>
                <w:sz w:val="20"/>
                <w:szCs w:val="20"/>
              </w:rPr>
            </w:pPr>
            <w:r>
              <w:rPr>
                <w:rFonts w:eastAsia="宋体" w:cs="Times New Roman"/>
                <w:color w:val="000000"/>
                <w:sz w:val="20"/>
                <w:szCs w:val="20"/>
              </w:rPr>
              <w:t>经费使用完成成果是否满足部门执法需要</w:t>
            </w:r>
          </w:p>
        </w:tc>
        <w:tc>
          <w:tcPr>
            <w:tcW w:w="214" w:type="pct"/>
            <w:tcBorders>
              <w:top w:val="single" w:color="000000" w:sz="4" w:space="0"/>
              <w:left w:val="single" w:color="000000" w:sz="4" w:space="0"/>
              <w:bottom w:val="single" w:color="auto" w:sz="4" w:space="0"/>
              <w:right w:val="single" w:color="000000" w:sz="4" w:space="0"/>
            </w:tcBorders>
            <w:shd w:val="clear" w:color="auto" w:fill="FFFFFF"/>
            <w:vAlign w:val="center"/>
          </w:tcPr>
          <w:p w14:paraId="73A548F2">
            <w:pPr>
              <w:spacing w:before="120" w:after="120" w:line="240" w:lineRule="auto"/>
              <w:ind w:firstLine="0" w:firstLineChars="0"/>
              <w:jc w:val="center"/>
              <w:rPr>
                <w:rFonts w:eastAsia="宋体" w:cs="Times New Roman"/>
                <w:color w:val="000000"/>
                <w:sz w:val="20"/>
                <w:szCs w:val="20"/>
              </w:rPr>
            </w:pPr>
            <w:r>
              <w:rPr>
                <w:rFonts w:hint="eastAsia" w:eastAsia="宋体" w:cs="Times New Roman"/>
                <w:color w:val="000000"/>
                <w:sz w:val="20"/>
                <w:szCs w:val="20"/>
              </w:rPr>
              <w:t>8</w:t>
            </w:r>
            <w:r>
              <w:rPr>
                <w:rFonts w:eastAsia="宋体" w:cs="Times New Roman"/>
                <w:color w:val="000000"/>
                <w:sz w:val="20"/>
                <w:szCs w:val="20"/>
              </w:rPr>
              <w:t>.00</w:t>
            </w:r>
          </w:p>
        </w:tc>
        <w:tc>
          <w:tcPr>
            <w:tcW w:w="186" w:type="pct"/>
            <w:tcBorders>
              <w:top w:val="single" w:color="000000" w:sz="4" w:space="0"/>
              <w:left w:val="single" w:color="000000" w:sz="4" w:space="0"/>
              <w:bottom w:val="single" w:color="auto" w:sz="4" w:space="0"/>
              <w:right w:val="single" w:color="000000" w:sz="4" w:space="0"/>
            </w:tcBorders>
            <w:shd w:val="clear" w:color="auto" w:fill="FFFFFF"/>
            <w:vAlign w:val="center"/>
          </w:tcPr>
          <w:p w14:paraId="26EC6886">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8.00</w:t>
            </w:r>
          </w:p>
        </w:tc>
        <w:tc>
          <w:tcPr>
            <w:tcW w:w="261" w:type="pct"/>
            <w:tcBorders>
              <w:top w:val="single" w:color="000000" w:sz="4" w:space="0"/>
              <w:left w:val="single" w:color="000000" w:sz="4" w:space="0"/>
              <w:bottom w:val="single" w:color="auto" w:sz="4" w:space="0"/>
              <w:right w:val="single" w:color="000000" w:sz="4" w:space="0"/>
            </w:tcBorders>
            <w:shd w:val="clear" w:color="auto" w:fill="FFFFFF"/>
            <w:vAlign w:val="center"/>
          </w:tcPr>
          <w:p w14:paraId="567292DA">
            <w:pPr>
              <w:spacing w:before="120" w:after="120" w:line="240" w:lineRule="auto"/>
              <w:ind w:firstLine="0" w:firstLineChars="0"/>
              <w:jc w:val="center"/>
              <w:rPr>
                <w:rFonts w:eastAsia="宋体" w:cs="Times New Roman"/>
                <w:color w:val="000000"/>
                <w:sz w:val="20"/>
                <w:szCs w:val="20"/>
              </w:rPr>
            </w:pPr>
            <w:r>
              <w:rPr>
                <w:rFonts w:hint="eastAsia" w:eastAsia="宋体" w:cs="Times New Roman"/>
                <w:color w:val="000000"/>
                <w:sz w:val="20"/>
                <w:szCs w:val="20"/>
              </w:rPr>
              <w:t>1</w:t>
            </w:r>
            <w:r>
              <w:rPr>
                <w:rFonts w:eastAsia="宋体" w:cs="Times New Roman"/>
                <w:color w:val="000000"/>
                <w:sz w:val="20"/>
                <w:szCs w:val="20"/>
              </w:rPr>
              <w:t>00.00</w:t>
            </w:r>
            <w:r>
              <w:rPr>
                <w:rFonts w:hint="eastAsia" w:eastAsia="宋体" w:cs="Times New Roman"/>
                <w:color w:val="000000"/>
                <w:sz w:val="20"/>
                <w:szCs w:val="20"/>
              </w:rPr>
              <w:t>%</w:t>
            </w:r>
          </w:p>
        </w:tc>
        <w:tc>
          <w:tcPr>
            <w:tcW w:w="682" w:type="pct"/>
            <w:tcBorders>
              <w:top w:val="single" w:color="000000" w:sz="4" w:space="0"/>
              <w:left w:val="single" w:color="000000" w:sz="4" w:space="0"/>
              <w:bottom w:val="single" w:color="auto" w:sz="4" w:space="0"/>
              <w:right w:val="single" w:color="000000" w:sz="4" w:space="0"/>
            </w:tcBorders>
            <w:shd w:val="clear" w:color="auto" w:fill="FFFFFF"/>
            <w:vAlign w:val="center"/>
          </w:tcPr>
          <w:p w14:paraId="04789B8D">
            <w:pPr>
              <w:spacing w:before="120" w:after="120" w:line="240" w:lineRule="auto"/>
              <w:ind w:firstLine="0" w:firstLineChars="0"/>
              <w:jc w:val="left"/>
              <w:rPr>
                <w:rFonts w:eastAsia="宋体" w:cs="Times New Roman"/>
                <w:color w:val="000000"/>
                <w:sz w:val="20"/>
                <w:szCs w:val="20"/>
              </w:rPr>
            </w:pPr>
            <w:r>
              <w:rPr>
                <w:rFonts w:eastAsia="宋体" w:cs="Times New Roman"/>
                <w:color w:val="000000"/>
                <w:sz w:val="20"/>
                <w:szCs w:val="20"/>
              </w:rPr>
              <w:t>经费产出的成果能够满足部门执法需要</w:t>
            </w:r>
          </w:p>
        </w:tc>
      </w:tr>
      <w:tr w14:paraId="045B95A7">
        <w:tblPrEx>
          <w:tblCellMar>
            <w:top w:w="0" w:type="dxa"/>
            <w:left w:w="0" w:type="dxa"/>
            <w:bottom w:w="0" w:type="dxa"/>
            <w:right w:w="0" w:type="dxa"/>
          </w:tblCellMar>
        </w:tblPrEx>
        <w:trPr>
          <w:trHeight w:val="705" w:hRule="atLeast"/>
          <w:jc w:val="center"/>
        </w:trPr>
        <w:tc>
          <w:tcPr>
            <w:tcW w:w="229" w:type="pct"/>
            <w:vMerge w:val="continue"/>
            <w:tcBorders>
              <w:left w:val="single" w:color="000000" w:sz="4" w:space="0"/>
              <w:right w:val="single" w:color="000000" w:sz="4" w:space="0"/>
            </w:tcBorders>
            <w:shd w:val="clear" w:color="auto" w:fill="FFFFFF"/>
            <w:tcMar>
              <w:top w:w="15" w:type="dxa"/>
              <w:left w:w="15" w:type="dxa"/>
              <w:right w:w="15" w:type="dxa"/>
            </w:tcMar>
            <w:textDirection w:val="tbRlV"/>
            <w:vAlign w:val="center"/>
          </w:tcPr>
          <w:p w14:paraId="2EBC93AF">
            <w:pPr>
              <w:spacing w:before="120" w:after="120" w:line="240" w:lineRule="auto"/>
              <w:ind w:left="113" w:firstLine="0" w:firstLineChars="0"/>
              <w:jc w:val="center"/>
              <w:rPr>
                <w:rFonts w:eastAsia="宋体" w:cs="Times New Roman"/>
                <w:b/>
                <w:color w:val="000000"/>
                <w:sz w:val="20"/>
                <w:szCs w:val="20"/>
              </w:rPr>
            </w:pPr>
          </w:p>
        </w:tc>
        <w:tc>
          <w:tcPr>
            <w:tcW w:w="246"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137A60A4">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完成时效</w:t>
            </w:r>
          </w:p>
        </w:tc>
        <w:tc>
          <w:tcPr>
            <w:tcW w:w="336" w:type="pct"/>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8DA32AB">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事项完成及时性</w:t>
            </w:r>
          </w:p>
        </w:tc>
        <w:tc>
          <w:tcPr>
            <w:tcW w:w="560"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45D6A1B6">
            <w:pPr>
              <w:spacing w:before="120" w:after="120" w:line="240" w:lineRule="auto"/>
              <w:ind w:firstLine="0" w:firstLineChars="0"/>
              <w:rPr>
                <w:rFonts w:eastAsia="宋体" w:cs="Times New Roman"/>
                <w:color w:val="000000"/>
                <w:sz w:val="20"/>
                <w:szCs w:val="20"/>
              </w:rPr>
            </w:pPr>
            <w:r>
              <w:rPr>
                <w:rFonts w:eastAsia="宋体" w:cs="Times New Roman"/>
                <w:color w:val="000000"/>
                <w:sz w:val="20"/>
                <w:szCs w:val="20"/>
              </w:rPr>
              <w:t>经费使用项目是否在计划时间内完成</w:t>
            </w:r>
          </w:p>
        </w:tc>
        <w:tc>
          <w:tcPr>
            <w:tcW w:w="20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606A9EB">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是否评分法</w:t>
            </w:r>
          </w:p>
        </w:tc>
        <w:tc>
          <w:tcPr>
            <w:tcW w:w="20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8B17E4D">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4项超时及以上</w:t>
            </w:r>
          </w:p>
        </w:tc>
        <w:tc>
          <w:tcPr>
            <w:tcW w:w="20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473953">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3项超时</w:t>
            </w:r>
          </w:p>
        </w:tc>
        <w:tc>
          <w:tcPr>
            <w:tcW w:w="20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6EE777">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2项超时</w:t>
            </w:r>
          </w:p>
        </w:tc>
        <w:tc>
          <w:tcPr>
            <w:tcW w:w="15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B2908F">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1项超时</w:t>
            </w:r>
          </w:p>
        </w:tc>
        <w:tc>
          <w:tcPr>
            <w:tcW w:w="25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6066A3">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均在计划时间内完成</w:t>
            </w:r>
          </w:p>
        </w:tc>
        <w:tc>
          <w:tcPr>
            <w:tcW w:w="106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64E46E4">
            <w:pPr>
              <w:spacing w:before="120" w:after="120" w:line="240" w:lineRule="auto"/>
              <w:ind w:firstLine="0" w:firstLineChars="0"/>
              <w:rPr>
                <w:rFonts w:eastAsia="宋体" w:cs="Times New Roman"/>
                <w:color w:val="000000"/>
                <w:sz w:val="20"/>
                <w:szCs w:val="20"/>
              </w:rPr>
            </w:pPr>
            <w:r>
              <w:rPr>
                <w:rFonts w:eastAsia="宋体" w:cs="Times New Roman"/>
                <w:color w:val="000000"/>
                <w:sz w:val="20"/>
                <w:szCs w:val="20"/>
              </w:rPr>
              <w:t>经费支持事项是否在计划时间内完成</w:t>
            </w:r>
          </w:p>
        </w:tc>
        <w:tc>
          <w:tcPr>
            <w:tcW w:w="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028433">
            <w:pPr>
              <w:spacing w:before="120" w:after="120" w:line="240" w:lineRule="auto"/>
              <w:ind w:firstLine="0" w:firstLineChars="0"/>
              <w:jc w:val="center"/>
              <w:rPr>
                <w:rFonts w:eastAsia="宋体" w:cs="Times New Roman"/>
                <w:color w:val="000000"/>
                <w:sz w:val="20"/>
                <w:szCs w:val="20"/>
              </w:rPr>
            </w:pPr>
            <w:r>
              <w:rPr>
                <w:rFonts w:hint="eastAsia" w:eastAsia="宋体" w:cs="Times New Roman"/>
                <w:color w:val="000000"/>
                <w:sz w:val="20"/>
                <w:szCs w:val="20"/>
              </w:rPr>
              <w:t>8</w:t>
            </w:r>
            <w:r>
              <w:rPr>
                <w:rFonts w:eastAsia="宋体" w:cs="Times New Roman"/>
                <w:color w:val="000000"/>
                <w:sz w:val="20"/>
                <w:szCs w:val="20"/>
              </w:rPr>
              <w:t>.00</w:t>
            </w:r>
          </w:p>
        </w:tc>
        <w:tc>
          <w:tcPr>
            <w:tcW w:w="1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967D88">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8.00</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5A9E8D">
            <w:pPr>
              <w:spacing w:before="120" w:after="120" w:line="240" w:lineRule="auto"/>
              <w:ind w:firstLine="0" w:firstLineChars="0"/>
              <w:jc w:val="center"/>
              <w:rPr>
                <w:rFonts w:eastAsia="宋体" w:cs="Times New Roman"/>
                <w:color w:val="000000"/>
                <w:sz w:val="20"/>
                <w:szCs w:val="20"/>
              </w:rPr>
            </w:pPr>
            <w:r>
              <w:rPr>
                <w:rFonts w:hint="eastAsia" w:eastAsia="宋体" w:cs="Times New Roman"/>
                <w:color w:val="000000"/>
                <w:sz w:val="20"/>
                <w:szCs w:val="20"/>
              </w:rPr>
              <w:t>1</w:t>
            </w:r>
            <w:r>
              <w:rPr>
                <w:rFonts w:eastAsia="宋体" w:cs="Times New Roman"/>
                <w:color w:val="000000"/>
                <w:sz w:val="20"/>
                <w:szCs w:val="20"/>
              </w:rPr>
              <w:t>00.00</w:t>
            </w:r>
            <w:r>
              <w:rPr>
                <w:rFonts w:hint="eastAsia" w:eastAsia="宋体" w:cs="Times New Roman"/>
                <w:color w:val="000000"/>
                <w:sz w:val="20"/>
                <w:szCs w:val="20"/>
              </w:rPr>
              <w:t>%</w:t>
            </w:r>
          </w:p>
        </w:tc>
        <w:tc>
          <w:tcPr>
            <w:tcW w:w="68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816063">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供应商在约定时间内完成测绘事项</w:t>
            </w:r>
          </w:p>
        </w:tc>
      </w:tr>
      <w:tr w14:paraId="5BA8C045">
        <w:tblPrEx>
          <w:tblCellMar>
            <w:top w:w="0" w:type="dxa"/>
            <w:left w:w="0" w:type="dxa"/>
            <w:bottom w:w="0" w:type="dxa"/>
            <w:right w:w="0" w:type="dxa"/>
          </w:tblCellMar>
        </w:tblPrEx>
        <w:trPr>
          <w:trHeight w:val="720" w:hRule="atLeast"/>
          <w:jc w:val="center"/>
        </w:trPr>
        <w:tc>
          <w:tcPr>
            <w:tcW w:w="229" w:type="pct"/>
            <w:vMerge w:val="continue"/>
            <w:tcBorders>
              <w:left w:val="single" w:color="000000" w:sz="4" w:space="0"/>
              <w:right w:val="single" w:color="auto" w:sz="4" w:space="0"/>
            </w:tcBorders>
            <w:shd w:val="clear" w:color="auto" w:fill="FFFFFF"/>
            <w:tcMar>
              <w:top w:w="15" w:type="dxa"/>
              <w:left w:w="15" w:type="dxa"/>
              <w:right w:w="15" w:type="dxa"/>
            </w:tcMar>
            <w:textDirection w:val="tbRlV"/>
            <w:vAlign w:val="center"/>
          </w:tcPr>
          <w:p w14:paraId="4888D96C">
            <w:pPr>
              <w:spacing w:before="120" w:after="120" w:line="240" w:lineRule="auto"/>
              <w:ind w:firstLine="0" w:firstLineChars="0"/>
              <w:jc w:val="center"/>
              <w:rPr>
                <w:rFonts w:eastAsia="宋体" w:cs="Times New Roman"/>
                <w:b/>
                <w:color w:val="000000"/>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4509CF16">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完成成本</w:t>
            </w:r>
          </w:p>
        </w:tc>
        <w:tc>
          <w:tcPr>
            <w:tcW w:w="33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5A6A71">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成本控制有效性</w:t>
            </w:r>
          </w:p>
        </w:tc>
        <w:tc>
          <w:tcPr>
            <w:tcW w:w="560" w:type="pct"/>
            <w:tcBorders>
              <w:top w:val="single" w:color="000000" w:sz="4" w:space="0"/>
              <w:left w:val="single" w:color="auto" w:sz="4" w:space="0"/>
              <w:bottom w:val="single" w:color="000000" w:sz="4" w:space="0"/>
              <w:right w:val="single" w:color="000000" w:sz="4" w:space="0"/>
            </w:tcBorders>
            <w:shd w:val="clear" w:color="auto" w:fill="FFFFFF"/>
            <w:tcMar>
              <w:top w:w="15" w:type="dxa"/>
              <w:left w:w="15" w:type="dxa"/>
              <w:right w:w="15" w:type="dxa"/>
            </w:tcMar>
            <w:vAlign w:val="center"/>
          </w:tcPr>
          <w:p w14:paraId="3BB236A9">
            <w:pPr>
              <w:spacing w:before="120" w:after="120" w:line="240" w:lineRule="auto"/>
              <w:ind w:firstLine="0" w:firstLineChars="0"/>
              <w:rPr>
                <w:rFonts w:eastAsia="宋体" w:cs="Times New Roman"/>
                <w:color w:val="000000"/>
                <w:sz w:val="20"/>
                <w:szCs w:val="20"/>
              </w:rPr>
            </w:pPr>
            <w:r>
              <w:rPr>
                <w:rFonts w:eastAsia="宋体" w:cs="Times New Roman"/>
                <w:color w:val="000000"/>
                <w:sz w:val="20"/>
                <w:szCs w:val="20"/>
              </w:rPr>
              <w:t>经费使用项目是否超支</w:t>
            </w:r>
          </w:p>
        </w:tc>
        <w:tc>
          <w:tcPr>
            <w:tcW w:w="20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EE7C16B">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错项扣分法</w:t>
            </w:r>
          </w:p>
        </w:tc>
        <w:tc>
          <w:tcPr>
            <w:tcW w:w="1016" w:type="pct"/>
            <w:gridSpan w:val="5"/>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BF3FF69">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按照实际项目实施成本控制情况，每有一个事项实际支出（决算）超过预算5%扣1分，以5%依次累加，扣完为止</w:t>
            </w:r>
          </w:p>
        </w:tc>
        <w:tc>
          <w:tcPr>
            <w:tcW w:w="106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A9A3B4F">
            <w:pPr>
              <w:spacing w:before="120" w:after="120" w:line="240" w:lineRule="auto"/>
              <w:ind w:firstLine="0" w:firstLineChars="0"/>
              <w:rPr>
                <w:rFonts w:eastAsia="宋体" w:cs="Times New Roman"/>
                <w:color w:val="000000"/>
                <w:sz w:val="20"/>
                <w:szCs w:val="20"/>
              </w:rPr>
            </w:pPr>
            <w:r>
              <w:rPr>
                <w:rFonts w:eastAsia="宋体" w:cs="Times New Roman"/>
                <w:color w:val="000000"/>
                <w:sz w:val="20"/>
                <w:szCs w:val="20"/>
              </w:rPr>
              <w:t>是否本着经济节约原则使用经费</w:t>
            </w:r>
          </w:p>
        </w:tc>
        <w:tc>
          <w:tcPr>
            <w:tcW w:w="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E20936">
            <w:pPr>
              <w:spacing w:before="120" w:after="120" w:line="240" w:lineRule="auto"/>
              <w:ind w:firstLine="0" w:firstLineChars="0"/>
              <w:jc w:val="center"/>
              <w:rPr>
                <w:rFonts w:eastAsia="宋体" w:cs="Times New Roman"/>
                <w:color w:val="000000"/>
                <w:sz w:val="20"/>
                <w:szCs w:val="20"/>
              </w:rPr>
            </w:pPr>
            <w:r>
              <w:rPr>
                <w:rFonts w:hint="eastAsia" w:eastAsia="宋体" w:cs="Times New Roman"/>
                <w:color w:val="000000"/>
                <w:sz w:val="20"/>
                <w:szCs w:val="20"/>
              </w:rPr>
              <w:t>8</w:t>
            </w:r>
            <w:r>
              <w:rPr>
                <w:rFonts w:eastAsia="宋体" w:cs="Times New Roman"/>
                <w:color w:val="000000"/>
                <w:sz w:val="20"/>
                <w:szCs w:val="20"/>
              </w:rPr>
              <w:t>.00</w:t>
            </w:r>
          </w:p>
        </w:tc>
        <w:tc>
          <w:tcPr>
            <w:tcW w:w="1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882957">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8.00</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A6EECF">
            <w:pPr>
              <w:spacing w:before="120" w:after="120" w:line="240" w:lineRule="auto"/>
              <w:ind w:firstLine="0" w:firstLineChars="0"/>
              <w:jc w:val="center"/>
              <w:rPr>
                <w:rFonts w:eastAsia="宋体" w:cs="Times New Roman"/>
                <w:color w:val="000000"/>
                <w:sz w:val="20"/>
                <w:szCs w:val="20"/>
              </w:rPr>
            </w:pPr>
            <w:r>
              <w:rPr>
                <w:rFonts w:hint="eastAsia" w:eastAsia="宋体" w:cs="Times New Roman"/>
                <w:color w:val="000000"/>
                <w:sz w:val="20"/>
                <w:szCs w:val="20"/>
              </w:rPr>
              <w:t>1</w:t>
            </w:r>
            <w:r>
              <w:rPr>
                <w:rFonts w:eastAsia="宋体" w:cs="Times New Roman"/>
                <w:color w:val="000000"/>
                <w:sz w:val="20"/>
                <w:szCs w:val="20"/>
              </w:rPr>
              <w:t>00.00</w:t>
            </w:r>
            <w:r>
              <w:rPr>
                <w:rFonts w:hint="eastAsia" w:eastAsia="宋体" w:cs="Times New Roman"/>
                <w:color w:val="000000"/>
                <w:sz w:val="20"/>
                <w:szCs w:val="20"/>
              </w:rPr>
              <w:t>%</w:t>
            </w:r>
          </w:p>
        </w:tc>
        <w:tc>
          <w:tcPr>
            <w:tcW w:w="68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244CF3">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经费使用未超支</w:t>
            </w:r>
          </w:p>
        </w:tc>
      </w:tr>
      <w:tr w14:paraId="3B65278D">
        <w:tblPrEx>
          <w:tblCellMar>
            <w:top w:w="0" w:type="dxa"/>
            <w:left w:w="0" w:type="dxa"/>
            <w:bottom w:w="0" w:type="dxa"/>
            <w:right w:w="0" w:type="dxa"/>
          </w:tblCellMar>
        </w:tblPrEx>
        <w:trPr>
          <w:trHeight w:val="440" w:hRule="atLeast"/>
          <w:jc w:val="center"/>
        </w:trPr>
        <w:tc>
          <w:tcPr>
            <w:tcW w:w="229" w:type="pct"/>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textDirection w:val="tbRlV"/>
            <w:vAlign w:val="center"/>
          </w:tcPr>
          <w:p w14:paraId="73E50788">
            <w:pPr>
              <w:spacing w:before="120" w:after="120" w:line="240" w:lineRule="auto"/>
              <w:ind w:firstLine="0" w:firstLineChars="0"/>
              <w:jc w:val="center"/>
              <w:rPr>
                <w:rFonts w:eastAsia="宋体" w:cs="Times New Roman"/>
                <w:b/>
                <w:color w:val="000000"/>
                <w:sz w:val="20"/>
                <w:szCs w:val="20"/>
              </w:rPr>
            </w:pPr>
          </w:p>
        </w:tc>
        <w:tc>
          <w:tcPr>
            <w:tcW w:w="246" w:type="pct"/>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45EDEE6">
            <w:pPr>
              <w:widowControl/>
              <w:spacing w:before="120" w:after="120"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社会</w:t>
            </w:r>
          </w:p>
          <w:p w14:paraId="3699E603">
            <w:pPr>
              <w:widowControl/>
              <w:spacing w:before="120" w:after="120"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效益</w:t>
            </w:r>
          </w:p>
        </w:tc>
        <w:tc>
          <w:tcPr>
            <w:tcW w:w="336" w:type="pct"/>
            <w:tcBorders>
              <w:top w:val="single" w:color="auto" w:sz="4" w:space="0"/>
              <w:left w:val="nil"/>
              <w:bottom w:val="single" w:color="000000" w:sz="4" w:space="0"/>
              <w:right w:val="single" w:color="000000" w:sz="4" w:space="0"/>
            </w:tcBorders>
            <w:shd w:val="clear" w:color="auto" w:fill="auto"/>
            <w:tcMar>
              <w:top w:w="15" w:type="dxa"/>
              <w:left w:w="15" w:type="dxa"/>
              <w:right w:w="15" w:type="dxa"/>
            </w:tcMar>
            <w:vAlign w:val="center"/>
          </w:tcPr>
          <w:p w14:paraId="4919CD5E">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执法效果提升</w:t>
            </w:r>
          </w:p>
        </w:tc>
        <w:tc>
          <w:tcPr>
            <w:tcW w:w="560"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7DE8658A">
            <w:pPr>
              <w:spacing w:before="120" w:after="120" w:line="240" w:lineRule="auto"/>
              <w:ind w:firstLine="0" w:firstLineChars="0"/>
              <w:rPr>
                <w:rFonts w:eastAsia="宋体" w:cs="Times New Roman"/>
                <w:color w:val="000000"/>
                <w:sz w:val="20"/>
                <w:szCs w:val="20"/>
              </w:rPr>
            </w:pPr>
            <w:r>
              <w:rPr>
                <w:rFonts w:eastAsia="宋体" w:cs="Times New Roman"/>
                <w:color w:val="000000"/>
                <w:sz w:val="20"/>
                <w:szCs w:val="20"/>
              </w:rPr>
              <w:t>经费的使用是否提升了自然资源局的执法能力，提升了执法效果</w:t>
            </w:r>
          </w:p>
        </w:tc>
        <w:tc>
          <w:tcPr>
            <w:tcW w:w="20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78C4988">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比例评分法</w:t>
            </w:r>
          </w:p>
        </w:tc>
        <w:tc>
          <w:tcPr>
            <w:tcW w:w="20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BEDBD8C">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无提升</w:t>
            </w:r>
          </w:p>
        </w:tc>
        <w:tc>
          <w:tcPr>
            <w:tcW w:w="20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2A8D8737">
            <w:pPr>
              <w:spacing w:before="120" w:after="120" w:line="240" w:lineRule="auto"/>
              <w:ind w:firstLine="0" w:firstLineChars="0"/>
              <w:jc w:val="center"/>
              <w:rPr>
                <w:rFonts w:eastAsia="宋体" w:cs="Times New Roman"/>
                <w:color w:val="000000"/>
                <w:sz w:val="20"/>
                <w:szCs w:val="20"/>
              </w:rPr>
            </w:pPr>
          </w:p>
        </w:tc>
        <w:tc>
          <w:tcPr>
            <w:tcW w:w="20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12891D47">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有所提升</w:t>
            </w:r>
          </w:p>
        </w:tc>
        <w:tc>
          <w:tcPr>
            <w:tcW w:w="152"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3134ED88">
            <w:pPr>
              <w:spacing w:before="120" w:after="120" w:line="240" w:lineRule="auto"/>
              <w:ind w:firstLine="0" w:firstLineChars="0"/>
              <w:jc w:val="center"/>
              <w:rPr>
                <w:rFonts w:eastAsia="宋体" w:cs="Times New Roman"/>
                <w:color w:val="000000"/>
                <w:sz w:val="20"/>
                <w:szCs w:val="20"/>
              </w:rPr>
            </w:pPr>
          </w:p>
        </w:tc>
        <w:tc>
          <w:tcPr>
            <w:tcW w:w="25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568951D9">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提升较多</w:t>
            </w:r>
          </w:p>
        </w:tc>
        <w:tc>
          <w:tcPr>
            <w:tcW w:w="106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14:paraId="6D15CAB2">
            <w:pPr>
              <w:spacing w:before="120" w:after="120" w:line="240" w:lineRule="auto"/>
              <w:ind w:firstLine="0" w:firstLineChars="0"/>
              <w:rPr>
                <w:rFonts w:eastAsia="宋体" w:cs="Times New Roman"/>
                <w:color w:val="000000"/>
                <w:sz w:val="20"/>
                <w:szCs w:val="20"/>
              </w:rPr>
            </w:pPr>
            <w:r>
              <w:rPr>
                <w:rFonts w:eastAsia="宋体" w:cs="Times New Roman"/>
                <w:color w:val="000000"/>
                <w:sz w:val="20"/>
                <w:szCs w:val="20"/>
              </w:rPr>
              <w:t>经费的使用是否提升了自然资源局的执法能力，提升了执法效果</w:t>
            </w:r>
          </w:p>
        </w:tc>
        <w:tc>
          <w:tcPr>
            <w:tcW w:w="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0DF8D6">
            <w:pPr>
              <w:spacing w:before="120" w:after="120" w:line="240" w:lineRule="auto"/>
              <w:ind w:firstLine="0" w:firstLineChars="0"/>
              <w:jc w:val="center"/>
              <w:rPr>
                <w:rFonts w:eastAsia="宋体" w:cs="Times New Roman"/>
                <w:color w:val="000000"/>
                <w:sz w:val="20"/>
                <w:szCs w:val="20"/>
              </w:rPr>
            </w:pPr>
            <w:r>
              <w:rPr>
                <w:rFonts w:hint="eastAsia" w:eastAsia="宋体" w:cs="Times New Roman"/>
                <w:color w:val="000000"/>
                <w:sz w:val="20"/>
                <w:szCs w:val="20"/>
              </w:rPr>
              <w:t>8</w:t>
            </w:r>
            <w:r>
              <w:rPr>
                <w:rFonts w:eastAsia="宋体" w:cs="Times New Roman"/>
                <w:color w:val="000000"/>
                <w:sz w:val="20"/>
                <w:szCs w:val="20"/>
              </w:rPr>
              <w:t>.00</w:t>
            </w:r>
          </w:p>
        </w:tc>
        <w:tc>
          <w:tcPr>
            <w:tcW w:w="1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10126B">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8.00</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9F6345">
            <w:pPr>
              <w:spacing w:before="120" w:after="120" w:line="240" w:lineRule="auto"/>
              <w:ind w:firstLine="0" w:firstLineChars="0"/>
              <w:jc w:val="center"/>
              <w:rPr>
                <w:rFonts w:eastAsia="宋体" w:cs="Times New Roman"/>
                <w:color w:val="000000"/>
                <w:sz w:val="20"/>
                <w:szCs w:val="20"/>
              </w:rPr>
            </w:pPr>
            <w:r>
              <w:rPr>
                <w:rFonts w:hint="eastAsia" w:eastAsia="宋体" w:cs="Times New Roman"/>
                <w:color w:val="000000"/>
                <w:sz w:val="20"/>
                <w:szCs w:val="20"/>
              </w:rPr>
              <w:t>1</w:t>
            </w:r>
            <w:r>
              <w:rPr>
                <w:rFonts w:eastAsia="宋体" w:cs="Times New Roman"/>
                <w:color w:val="000000"/>
                <w:sz w:val="20"/>
                <w:szCs w:val="20"/>
              </w:rPr>
              <w:t>00.00</w:t>
            </w:r>
            <w:r>
              <w:rPr>
                <w:rFonts w:hint="eastAsia" w:eastAsia="宋体" w:cs="Times New Roman"/>
                <w:color w:val="000000"/>
                <w:sz w:val="20"/>
                <w:szCs w:val="20"/>
              </w:rPr>
              <w:t>%</w:t>
            </w:r>
          </w:p>
        </w:tc>
        <w:tc>
          <w:tcPr>
            <w:tcW w:w="68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B02415">
            <w:pPr>
              <w:spacing w:before="120" w:after="120" w:line="240" w:lineRule="auto"/>
              <w:ind w:firstLine="0" w:firstLineChars="0"/>
              <w:jc w:val="center"/>
              <w:rPr>
                <w:rFonts w:eastAsia="宋体" w:cs="Times New Roman"/>
                <w:color w:val="000000"/>
                <w:sz w:val="20"/>
                <w:szCs w:val="20"/>
              </w:rPr>
            </w:pPr>
            <w:r>
              <w:rPr>
                <w:rFonts w:eastAsia="宋体" w:cs="Times New Roman"/>
                <w:color w:val="000000"/>
                <w:sz w:val="20"/>
                <w:szCs w:val="20"/>
              </w:rPr>
              <w:t>经费的使用帮助部门对违法人员提出合适的惩戒措施，提升了执法能力</w:t>
            </w:r>
          </w:p>
        </w:tc>
      </w:tr>
      <w:bookmarkEnd w:id="40"/>
      <w:tr w14:paraId="77FADB43">
        <w:tblPrEx>
          <w:tblCellMar>
            <w:top w:w="0" w:type="dxa"/>
            <w:left w:w="0" w:type="dxa"/>
            <w:bottom w:w="0" w:type="dxa"/>
            <w:right w:w="0" w:type="dxa"/>
          </w:tblCellMar>
        </w:tblPrEx>
        <w:trPr>
          <w:trHeight w:val="440" w:hRule="atLeast"/>
          <w:jc w:val="center"/>
        </w:trPr>
        <w:tc>
          <w:tcPr>
            <w:tcW w:w="3657" w:type="pct"/>
            <w:gridSpan w:val="11"/>
            <w:tcBorders>
              <w:top w:val="single" w:color="000000" w:sz="4" w:space="0"/>
              <w:left w:val="single" w:color="000000" w:sz="4" w:space="0"/>
              <w:bottom w:val="single" w:color="auto" w:sz="4" w:space="0"/>
              <w:right w:val="single" w:color="000000" w:sz="4" w:space="0"/>
            </w:tcBorders>
            <w:shd w:val="clear" w:color="auto" w:fill="FFFFFF"/>
            <w:vAlign w:val="center"/>
          </w:tcPr>
          <w:p w14:paraId="32AB11AF">
            <w:pPr>
              <w:spacing w:before="120" w:after="120" w:line="240" w:lineRule="auto"/>
              <w:ind w:firstLine="0" w:firstLineChars="0"/>
              <w:jc w:val="center"/>
              <w:rPr>
                <w:rFonts w:eastAsia="宋体" w:cs="Times New Roman"/>
                <w:b/>
                <w:bCs/>
                <w:color w:val="000000"/>
                <w:sz w:val="20"/>
                <w:szCs w:val="20"/>
              </w:rPr>
            </w:pPr>
            <w:r>
              <w:rPr>
                <w:rFonts w:hint="eastAsia" w:eastAsia="宋体" w:cs="Times New Roman"/>
                <w:b/>
                <w:bCs/>
                <w:color w:val="000000"/>
                <w:sz w:val="20"/>
                <w:szCs w:val="20"/>
              </w:rPr>
              <w:t>合计</w:t>
            </w:r>
          </w:p>
        </w:tc>
        <w:tc>
          <w:tcPr>
            <w:tcW w:w="214" w:type="pct"/>
            <w:tcBorders>
              <w:top w:val="single" w:color="000000" w:sz="4" w:space="0"/>
              <w:left w:val="single" w:color="000000" w:sz="4" w:space="0"/>
              <w:bottom w:val="single" w:color="auto" w:sz="4" w:space="0"/>
              <w:right w:val="single" w:color="000000" w:sz="4" w:space="0"/>
            </w:tcBorders>
            <w:shd w:val="clear" w:color="auto" w:fill="FFFFFF"/>
            <w:vAlign w:val="center"/>
          </w:tcPr>
          <w:p w14:paraId="67D228A9">
            <w:pPr>
              <w:spacing w:before="120" w:after="120" w:line="240" w:lineRule="auto"/>
              <w:ind w:firstLine="0" w:firstLineChars="0"/>
              <w:jc w:val="center"/>
              <w:rPr>
                <w:rFonts w:eastAsia="宋体" w:cs="Times New Roman"/>
                <w:b/>
                <w:bCs/>
                <w:color w:val="000000"/>
                <w:sz w:val="20"/>
                <w:szCs w:val="20"/>
              </w:rPr>
            </w:pPr>
            <w:r>
              <w:rPr>
                <w:rFonts w:hint="eastAsia" w:eastAsia="宋体" w:cs="Times New Roman"/>
                <w:b/>
                <w:bCs/>
                <w:color w:val="000000"/>
                <w:sz w:val="20"/>
                <w:szCs w:val="20"/>
              </w:rPr>
              <w:t>1</w:t>
            </w:r>
            <w:r>
              <w:rPr>
                <w:rFonts w:eastAsia="宋体" w:cs="Times New Roman"/>
                <w:b/>
                <w:bCs/>
                <w:color w:val="000000"/>
                <w:sz w:val="20"/>
                <w:szCs w:val="20"/>
              </w:rPr>
              <w:t>00.00</w:t>
            </w:r>
          </w:p>
        </w:tc>
        <w:tc>
          <w:tcPr>
            <w:tcW w:w="186" w:type="pct"/>
            <w:tcBorders>
              <w:top w:val="single" w:color="000000" w:sz="4" w:space="0"/>
              <w:left w:val="single" w:color="000000" w:sz="4" w:space="0"/>
              <w:bottom w:val="single" w:color="auto" w:sz="4" w:space="0"/>
              <w:right w:val="single" w:color="000000" w:sz="4" w:space="0"/>
            </w:tcBorders>
            <w:shd w:val="clear" w:color="auto" w:fill="FFFFFF"/>
            <w:vAlign w:val="center"/>
          </w:tcPr>
          <w:p w14:paraId="046EBD2E">
            <w:pPr>
              <w:spacing w:before="120" w:after="120" w:line="240" w:lineRule="auto"/>
              <w:ind w:firstLine="0" w:firstLineChars="0"/>
              <w:jc w:val="center"/>
              <w:rPr>
                <w:rFonts w:eastAsia="宋体" w:cs="Times New Roman"/>
                <w:b/>
                <w:bCs/>
                <w:color w:val="000000"/>
                <w:sz w:val="20"/>
                <w:szCs w:val="20"/>
              </w:rPr>
            </w:pPr>
            <w:r>
              <w:rPr>
                <w:rFonts w:hint="eastAsia" w:eastAsia="宋体" w:cs="Times New Roman"/>
                <w:b/>
                <w:bCs/>
                <w:color w:val="000000"/>
                <w:sz w:val="20"/>
                <w:szCs w:val="20"/>
              </w:rPr>
              <w:t>9</w:t>
            </w:r>
            <w:r>
              <w:rPr>
                <w:rFonts w:eastAsia="宋体" w:cs="Times New Roman"/>
                <w:b/>
                <w:bCs/>
                <w:color w:val="000000"/>
                <w:sz w:val="20"/>
                <w:szCs w:val="20"/>
              </w:rPr>
              <w:t>5.20</w:t>
            </w:r>
          </w:p>
        </w:tc>
        <w:tc>
          <w:tcPr>
            <w:tcW w:w="261" w:type="pct"/>
            <w:tcBorders>
              <w:top w:val="single" w:color="000000" w:sz="4" w:space="0"/>
              <w:left w:val="single" w:color="000000" w:sz="4" w:space="0"/>
              <w:bottom w:val="single" w:color="auto" w:sz="4" w:space="0"/>
              <w:right w:val="single" w:color="000000" w:sz="4" w:space="0"/>
            </w:tcBorders>
            <w:shd w:val="clear" w:color="auto" w:fill="FFFFFF"/>
          </w:tcPr>
          <w:p w14:paraId="275C42C3">
            <w:pPr>
              <w:spacing w:before="120" w:after="120" w:line="240" w:lineRule="auto"/>
              <w:ind w:firstLine="0" w:firstLineChars="0"/>
              <w:jc w:val="center"/>
              <w:rPr>
                <w:rFonts w:eastAsia="宋体" w:cs="Times New Roman"/>
                <w:b/>
                <w:bCs/>
                <w:color w:val="000000"/>
                <w:sz w:val="20"/>
                <w:szCs w:val="20"/>
              </w:rPr>
            </w:pPr>
            <w:r>
              <w:rPr>
                <w:rFonts w:hint="eastAsia" w:eastAsia="宋体" w:cs="Times New Roman"/>
                <w:b/>
                <w:bCs/>
                <w:color w:val="000000"/>
                <w:sz w:val="20"/>
                <w:szCs w:val="20"/>
              </w:rPr>
              <w:t>9</w:t>
            </w:r>
            <w:r>
              <w:rPr>
                <w:rFonts w:eastAsia="宋体" w:cs="Times New Roman"/>
                <w:b/>
                <w:bCs/>
                <w:color w:val="000000"/>
                <w:sz w:val="20"/>
                <w:szCs w:val="20"/>
              </w:rPr>
              <w:t>5.20</w:t>
            </w:r>
            <w:r>
              <w:rPr>
                <w:rFonts w:hint="eastAsia" w:eastAsia="宋体" w:cs="Times New Roman"/>
                <w:b/>
                <w:bCs/>
                <w:color w:val="000000"/>
                <w:sz w:val="20"/>
                <w:szCs w:val="20"/>
              </w:rPr>
              <w:t>%</w:t>
            </w:r>
          </w:p>
        </w:tc>
        <w:tc>
          <w:tcPr>
            <w:tcW w:w="682" w:type="pct"/>
            <w:tcBorders>
              <w:top w:val="single" w:color="000000" w:sz="4" w:space="0"/>
              <w:left w:val="single" w:color="000000" w:sz="4" w:space="0"/>
              <w:bottom w:val="single" w:color="auto" w:sz="4" w:space="0"/>
              <w:right w:val="single" w:color="000000" w:sz="4" w:space="0"/>
            </w:tcBorders>
            <w:shd w:val="clear" w:color="auto" w:fill="FFFFFF"/>
          </w:tcPr>
          <w:p w14:paraId="1979FD65">
            <w:pPr>
              <w:spacing w:before="120" w:after="120" w:line="240" w:lineRule="auto"/>
              <w:ind w:firstLine="0" w:firstLineChars="0"/>
              <w:jc w:val="center"/>
              <w:rPr>
                <w:rFonts w:eastAsia="宋体" w:cs="Times New Roman"/>
                <w:color w:val="000000"/>
                <w:sz w:val="20"/>
                <w:szCs w:val="20"/>
              </w:rPr>
            </w:pPr>
          </w:p>
        </w:tc>
      </w:tr>
    </w:tbl>
    <w:p w14:paraId="6DBA95CB">
      <w:pPr>
        <w:spacing w:before="120" w:after="120"/>
        <w:ind w:firstLine="0" w:firstLineChars="0"/>
      </w:pPr>
    </w:p>
    <w:sectPr>
      <w:pgSz w:w="16838" w:h="11906" w:orient="landscape"/>
      <w:pgMar w:top="1797" w:right="1440" w:bottom="1797" w:left="1440" w:header="851" w:footer="992" w:gutter="0"/>
      <w:cols w:space="425"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华文仿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1" w:csb1="00000000"/>
  </w:font>
  <w:font w:name="小标宋">
    <w:altName w:val="宋体"/>
    <w:panose1 w:val="00000000000000000000"/>
    <w:charset w:val="86"/>
    <w:family w:val="roman"/>
    <w:pitch w:val="default"/>
    <w:sig w:usb0="00000000" w:usb1="00000000" w:usb2="00000000" w:usb3="00000000" w:csb0="00000000" w:csb1="00000000"/>
  </w:font>
  <w:font w:name="幼圆">
    <w:panose1 w:val="0201050906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7A3166">
    <w:pPr>
      <w:pStyle w:val="9"/>
      <w:spacing w:before="120" w:after="120"/>
      <w:ind w:firstLine="360"/>
    </w:pPr>
  </w:p>
  <w:p w14:paraId="4CC5F07E">
    <w:pPr>
      <w:pStyle w:val="9"/>
      <w:spacing w:before="120"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55D9E">
    <w:pPr>
      <w:pStyle w:val="9"/>
      <w:spacing w:before="120"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9069C">
    <w:pPr>
      <w:pStyle w:val="9"/>
      <w:spacing w:before="120" w:after="1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62557853"/>
      <w:docPartObj>
        <w:docPartGallery w:val="autotext"/>
      </w:docPartObj>
    </w:sdtPr>
    <w:sdtEndPr>
      <w:rPr>
        <w:rFonts w:cs="Times New Roman"/>
      </w:rPr>
    </w:sdtEndPr>
    <w:sdtContent>
      <w:p w14:paraId="74B086D7">
        <w:pPr>
          <w:pStyle w:val="9"/>
          <w:spacing w:before="120" w:after="120"/>
          <w:ind w:firstLine="360"/>
          <w:jc w:val="center"/>
          <w:rPr>
            <w:rFonts w:cs="Times New Roman"/>
          </w:rPr>
        </w:pPr>
        <w:r>
          <w:rPr>
            <w:rFonts w:cs="Times New Roman"/>
          </w:rPr>
          <w:fldChar w:fldCharType="begin"/>
        </w:r>
        <w:r>
          <w:rPr>
            <w:rFonts w:cs="Times New Roman"/>
          </w:rPr>
          <w:instrText xml:space="preserve">PAGE   \* MERGEFORMAT</w:instrText>
        </w:r>
        <w:r>
          <w:rPr>
            <w:rFonts w:cs="Times New Roman"/>
          </w:rPr>
          <w:fldChar w:fldCharType="separate"/>
        </w:r>
        <w:r>
          <w:rPr>
            <w:rFonts w:cs="Times New Roman"/>
            <w:lang w:val="zh-CN"/>
          </w:rPr>
          <w:t>11</w:t>
        </w:r>
        <w:r>
          <w:rPr>
            <w:rFonts w:cs="Times New Roman"/>
          </w:rPr>
          <w:fldChar w:fldCharType="end"/>
        </w:r>
      </w:p>
    </w:sdtContent>
  </w:sdt>
  <w:p w14:paraId="3331ED94">
    <w:pPr>
      <w:pStyle w:val="9"/>
      <w:spacing w:before="120" w:after="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line="240" w:lineRule="auto"/>
        <w:ind w:firstLine="640"/>
      </w:pPr>
      <w:r>
        <w:separator/>
      </w:r>
    </w:p>
  </w:footnote>
  <w:footnote w:type="continuationSeparator" w:id="5">
    <w:p>
      <w:pPr>
        <w:spacing w:line="240" w:lineRule="auto"/>
        <w:ind w:firstLine="640"/>
      </w:pPr>
      <w:r>
        <w:continuationSeparator/>
      </w:r>
    </w:p>
  </w:footnote>
  <w:footnote w:id="0">
    <w:p w14:paraId="191BD6D0">
      <w:pPr>
        <w:pStyle w:val="12"/>
        <w:spacing w:before="156" w:after="156" w:line="360" w:lineRule="auto"/>
        <w:ind w:firstLine="360"/>
      </w:pPr>
      <w:r>
        <w:rPr>
          <w:rStyle w:val="20"/>
        </w:rPr>
        <w:footnoteRef/>
      </w:r>
      <w:r>
        <w:rPr>
          <w:rFonts w:hint="eastAsia" w:ascii="黑体" w:hAnsi="黑体" w:eastAsia="黑体"/>
        </w:rPr>
        <w:t>评价结果分为优、良、中、低、差五个档次。其中：优（得分</w:t>
      </w:r>
      <m:oMath>
        <m:r>
          <m:rPr>
            <m:sty m:val="p"/>
          </m:rPr>
          <w:rPr>
            <w:rFonts w:ascii="Cambria Math" w:hAnsi="Cambria Math" w:eastAsia="黑体"/>
          </w:rPr>
          <m:t>≥</m:t>
        </m:r>
      </m:oMath>
      <w:r>
        <w:rPr>
          <w:rFonts w:hint="eastAsia" w:ascii="黑体" w:hAnsi="黑体" w:eastAsia="黑体"/>
        </w:rPr>
        <w:t>90），良（90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80），中（80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70），低（70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50），差（得分</w:t>
      </w:r>
      <m:oMath>
        <m:r>
          <m:rPr>
            <m:sty m:val="p"/>
          </m:rPr>
          <w:rPr>
            <w:rFonts w:ascii="Cambria Math" w:hAnsi="Cambria Math" w:eastAsia="黑体"/>
          </w:rPr>
          <m:t>&lt;</m:t>
        </m:r>
      </m:oMath>
      <w:r>
        <w:rPr>
          <w:rFonts w:hint="eastAsia" w:ascii="黑体" w:hAnsi="黑体" w:eastAsia="黑体"/>
        </w:rPr>
        <w:t>50）。</w:t>
      </w:r>
    </w:p>
  </w:footnote>
  <w:footnote w:id="1">
    <w:p w14:paraId="5C0CB8FC">
      <w:pPr>
        <w:pStyle w:val="12"/>
        <w:spacing w:before="156" w:after="156" w:line="360" w:lineRule="auto"/>
        <w:ind w:firstLine="360"/>
      </w:pPr>
      <w:r>
        <w:rPr>
          <w:rStyle w:val="20"/>
        </w:rPr>
        <w:footnoteRef/>
      </w:r>
      <w:r>
        <w:rPr>
          <w:rFonts w:hint="eastAsia" w:ascii="黑体" w:hAnsi="黑体" w:eastAsia="黑体"/>
        </w:rPr>
        <w:t>得分详情及评价情况见 附件</w:t>
      </w:r>
      <w:r>
        <w:rPr>
          <w:rFonts w:ascii="黑体" w:hAnsi="黑体" w:eastAsia="黑体"/>
        </w:rPr>
        <w:t xml:space="preserve"> 2020</w:t>
      </w:r>
      <w:r>
        <w:rPr>
          <w:rFonts w:hint="eastAsia" w:ascii="黑体" w:hAnsi="黑体" w:eastAsia="黑体"/>
        </w:rPr>
        <w:t>年绵竹市执法经费项目支出绩效评价指标得分表详情。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F5C75E">
    <w:pPr>
      <w:pStyle w:val="10"/>
      <w:pBdr>
        <w:bottom w:val="none" w:color="auto" w:sz="0" w:space="0"/>
      </w:pBdr>
      <w:spacing w:before="120" w:after="12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7AEEDF">
    <w:pPr>
      <w:pStyle w:val="10"/>
      <w:spacing w:before="120"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847CD">
    <w:pPr>
      <w:pStyle w:val="10"/>
      <w:spacing w:before="120" w:after="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M0NmM1YWQ3ZjJmY2RiOWNiZjg2MTAxYjY1NjYxMWYifQ=="/>
  </w:docVars>
  <w:rsids>
    <w:rsidRoot w:val="004663FF"/>
    <w:rsid w:val="000115A4"/>
    <w:rsid w:val="00014E49"/>
    <w:rsid w:val="00027687"/>
    <w:rsid w:val="00036F58"/>
    <w:rsid w:val="0004213C"/>
    <w:rsid w:val="00046218"/>
    <w:rsid w:val="00061AA5"/>
    <w:rsid w:val="00076A99"/>
    <w:rsid w:val="00080CFB"/>
    <w:rsid w:val="000B27D4"/>
    <w:rsid w:val="000D1870"/>
    <w:rsid w:val="001014FB"/>
    <w:rsid w:val="00113D0A"/>
    <w:rsid w:val="00164756"/>
    <w:rsid w:val="00173A63"/>
    <w:rsid w:val="00175DAE"/>
    <w:rsid w:val="00190C0F"/>
    <w:rsid w:val="001D23C1"/>
    <w:rsid w:val="001E3DEC"/>
    <w:rsid w:val="001F5B61"/>
    <w:rsid w:val="001F7337"/>
    <w:rsid w:val="00203C54"/>
    <w:rsid w:val="00205B59"/>
    <w:rsid w:val="0021718D"/>
    <w:rsid w:val="00250DDF"/>
    <w:rsid w:val="002523D0"/>
    <w:rsid w:val="002B6834"/>
    <w:rsid w:val="002D0405"/>
    <w:rsid w:val="002D1A3D"/>
    <w:rsid w:val="002D309A"/>
    <w:rsid w:val="002F046C"/>
    <w:rsid w:val="002F090C"/>
    <w:rsid w:val="002F6D50"/>
    <w:rsid w:val="0032437E"/>
    <w:rsid w:val="00352810"/>
    <w:rsid w:val="003629FD"/>
    <w:rsid w:val="00370DFB"/>
    <w:rsid w:val="00384924"/>
    <w:rsid w:val="003943E1"/>
    <w:rsid w:val="003D0FE0"/>
    <w:rsid w:val="003D0FE2"/>
    <w:rsid w:val="003D5448"/>
    <w:rsid w:val="003F5C8C"/>
    <w:rsid w:val="004112FA"/>
    <w:rsid w:val="00417577"/>
    <w:rsid w:val="00420F1E"/>
    <w:rsid w:val="004255B2"/>
    <w:rsid w:val="00442E6D"/>
    <w:rsid w:val="00446C5C"/>
    <w:rsid w:val="004470AB"/>
    <w:rsid w:val="00452D03"/>
    <w:rsid w:val="004663FF"/>
    <w:rsid w:val="004C085E"/>
    <w:rsid w:val="004C4B33"/>
    <w:rsid w:val="004D2BC5"/>
    <w:rsid w:val="004D388E"/>
    <w:rsid w:val="004D58B3"/>
    <w:rsid w:val="00510ED8"/>
    <w:rsid w:val="00514C94"/>
    <w:rsid w:val="005327E5"/>
    <w:rsid w:val="00537EB6"/>
    <w:rsid w:val="005472F6"/>
    <w:rsid w:val="00556CC4"/>
    <w:rsid w:val="00586E0A"/>
    <w:rsid w:val="005D77A4"/>
    <w:rsid w:val="005E17A4"/>
    <w:rsid w:val="005E41D2"/>
    <w:rsid w:val="005F686A"/>
    <w:rsid w:val="00600B4A"/>
    <w:rsid w:val="00602524"/>
    <w:rsid w:val="00664A27"/>
    <w:rsid w:val="0068152B"/>
    <w:rsid w:val="006A3E45"/>
    <w:rsid w:val="006B339E"/>
    <w:rsid w:val="006B5CDD"/>
    <w:rsid w:val="006C3C7D"/>
    <w:rsid w:val="006E1A2F"/>
    <w:rsid w:val="006E1A65"/>
    <w:rsid w:val="006E2215"/>
    <w:rsid w:val="0073222F"/>
    <w:rsid w:val="00742C44"/>
    <w:rsid w:val="00745E91"/>
    <w:rsid w:val="0078343E"/>
    <w:rsid w:val="007844C5"/>
    <w:rsid w:val="007E1884"/>
    <w:rsid w:val="007E62DC"/>
    <w:rsid w:val="007F6290"/>
    <w:rsid w:val="00801BD2"/>
    <w:rsid w:val="00845B46"/>
    <w:rsid w:val="00857DF1"/>
    <w:rsid w:val="00862398"/>
    <w:rsid w:val="00873DBA"/>
    <w:rsid w:val="008B1486"/>
    <w:rsid w:val="008C743E"/>
    <w:rsid w:val="008E3C63"/>
    <w:rsid w:val="008F276F"/>
    <w:rsid w:val="00916FAC"/>
    <w:rsid w:val="00931F84"/>
    <w:rsid w:val="0093512C"/>
    <w:rsid w:val="00937609"/>
    <w:rsid w:val="00944567"/>
    <w:rsid w:val="009473CE"/>
    <w:rsid w:val="00964C61"/>
    <w:rsid w:val="009675A4"/>
    <w:rsid w:val="009754AD"/>
    <w:rsid w:val="009B0C16"/>
    <w:rsid w:val="009C13E0"/>
    <w:rsid w:val="009D2F45"/>
    <w:rsid w:val="009D6E4E"/>
    <w:rsid w:val="009E29F0"/>
    <w:rsid w:val="009E3B22"/>
    <w:rsid w:val="00A27CBB"/>
    <w:rsid w:val="00A423DE"/>
    <w:rsid w:val="00A57901"/>
    <w:rsid w:val="00A72FCD"/>
    <w:rsid w:val="00AA6F22"/>
    <w:rsid w:val="00AB72FA"/>
    <w:rsid w:val="00AD07EB"/>
    <w:rsid w:val="00AF552E"/>
    <w:rsid w:val="00AF75C7"/>
    <w:rsid w:val="00B025C7"/>
    <w:rsid w:val="00B1595F"/>
    <w:rsid w:val="00B15A54"/>
    <w:rsid w:val="00B53CF7"/>
    <w:rsid w:val="00B55AC8"/>
    <w:rsid w:val="00B6236B"/>
    <w:rsid w:val="00B641F8"/>
    <w:rsid w:val="00B77E93"/>
    <w:rsid w:val="00B87934"/>
    <w:rsid w:val="00BF2455"/>
    <w:rsid w:val="00C01254"/>
    <w:rsid w:val="00C224E4"/>
    <w:rsid w:val="00C36279"/>
    <w:rsid w:val="00C73715"/>
    <w:rsid w:val="00C80310"/>
    <w:rsid w:val="00C93BB3"/>
    <w:rsid w:val="00C975CC"/>
    <w:rsid w:val="00CA3C9A"/>
    <w:rsid w:val="00CB6053"/>
    <w:rsid w:val="00CF04DE"/>
    <w:rsid w:val="00D120B5"/>
    <w:rsid w:val="00D44FB3"/>
    <w:rsid w:val="00D457B9"/>
    <w:rsid w:val="00D73878"/>
    <w:rsid w:val="00D90D21"/>
    <w:rsid w:val="00D93C16"/>
    <w:rsid w:val="00D96F29"/>
    <w:rsid w:val="00D972AE"/>
    <w:rsid w:val="00DA3644"/>
    <w:rsid w:val="00DB5E87"/>
    <w:rsid w:val="00DC27C0"/>
    <w:rsid w:val="00DC40C2"/>
    <w:rsid w:val="00E375FD"/>
    <w:rsid w:val="00E46E8A"/>
    <w:rsid w:val="00E75C4C"/>
    <w:rsid w:val="00E802DE"/>
    <w:rsid w:val="00E92DD5"/>
    <w:rsid w:val="00EA1707"/>
    <w:rsid w:val="00EA3F14"/>
    <w:rsid w:val="00EB00C4"/>
    <w:rsid w:val="00EC7474"/>
    <w:rsid w:val="00ED4A0F"/>
    <w:rsid w:val="00EE5B35"/>
    <w:rsid w:val="00F011F4"/>
    <w:rsid w:val="00F2304B"/>
    <w:rsid w:val="00F42260"/>
    <w:rsid w:val="00F44A66"/>
    <w:rsid w:val="00F536B5"/>
    <w:rsid w:val="00F62B9B"/>
    <w:rsid w:val="00F92798"/>
    <w:rsid w:val="00FA4737"/>
    <w:rsid w:val="00FC188E"/>
    <w:rsid w:val="00FC2C88"/>
    <w:rsid w:val="00FC7816"/>
    <w:rsid w:val="00FD6402"/>
    <w:rsid w:val="00FE1BCD"/>
    <w:rsid w:val="00FF7E77"/>
    <w:rsid w:val="196716F4"/>
    <w:rsid w:val="1F2A4FC7"/>
    <w:rsid w:val="33EF6FE9"/>
    <w:rsid w:val="40A74A60"/>
    <w:rsid w:val="46CE3649"/>
    <w:rsid w:val="58B46E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link w:val="24"/>
    <w:qFormat/>
    <w:uiPriority w:val="0"/>
    <w:pPr>
      <w:keepNext/>
      <w:keepLines/>
      <w:jc w:val="left"/>
      <w:outlineLvl w:val="0"/>
    </w:pPr>
    <w:rPr>
      <w:rFonts w:eastAsia="黑体"/>
      <w:bCs/>
      <w:kern w:val="44"/>
      <w:szCs w:val="44"/>
    </w:rPr>
  </w:style>
  <w:style w:type="paragraph" w:styleId="3">
    <w:name w:val="heading 2"/>
    <w:basedOn w:val="1"/>
    <w:next w:val="1"/>
    <w:link w:val="25"/>
    <w:unhideWhenUsed/>
    <w:qFormat/>
    <w:uiPriority w:val="9"/>
    <w:pPr>
      <w:keepNext/>
      <w:keepLines/>
      <w:outlineLvl w:val="1"/>
    </w:pPr>
    <w:rPr>
      <w:rFonts w:eastAsia="楷体_GB2312" w:cstheme="majorBidi"/>
      <w:b/>
      <w:bCs/>
      <w:szCs w:val="32"/>
    </w:rPr>
  </w:style>
  <w:style w:type="paragraph" w:styleId="4">
    <w:name w:val="heading 3"/>
    <w:basedOn w:val="1"/>
    <w:next w:val="1"/>
    <w:link w:val="31"/>
    <w:unhideWhenUsed/>
    <w:qFormat/>
    <w:uiPriority w:val="9"/>
    <w:pPr>
      <w:keepNext/>
      <w:keepLines/>
      <w:outlineLvl w:val="2"/>
    </w:pPr>
    <w:rPr>
      <w:b/>
      <w:bCs/>
      <w:szCs w:val="32"/>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32"/>
    <w:semiHidden/>
    <w:unhideWhenUsed/>
    <w:uiPriority w:val="99"/>
    <w:pPr>
      <w:spacing w:line="240" w:lineRule="auto"/>
      <w:ind w:firstLine="0" w:firstLineChars="0"/>
      <w:jc w:val="left"/>
    </w:pPr>
    <w:rPr>
      <w:rFonts w:eastAsia="黑体" w:cs="Times New Roman"/>
      <w:kern w:val="0"/>
      <w:sz w:val="28"/>
      <w:szCs w:val="28"/>
    </w:rPr>
  </w:style>
  <w:style w:type="paragraph" w:styleId="6">
    <w:name w:val="toc 3"/>
    <w:basedOn w:val="1"/>
    <w:next w:val="1"/>
    <w:unhideWhenUsed/>
    <w:qFormat/>
    <w:uiPriority w:val="39"/>
    <w:pPr>
      <w:widowControl/>
      <w:spacing w:after="100" w:line="259" w:lineRule="auto"/>
      <w:ind w:left="440" w:firstLine="0" w:firstLineChars="0"/>
      <w:jc w:val="left"/>
    </w:pPr>
    <w:rPr>
      <w:rFonts w:cs="Times New Roman" w:eastAsiaTheme="minorEastAsia"/>
      <w:kern w:val="0"/>
      <w:sz w:val="22"/>
    </w:rPr>
  </w:style>
  <w:style w:type="paragraph" w:styleId="7">
    <w:name w:val="Date"/>
    <w:basedOn w:val="1"/>
    <w:next w:val="1"/>
    <w:link w:val="28"/>
    <w:semiHidden/>
    <w:unhideWhenUsed/>
    <w:qFormat/>
    <w:uiPriority w:val="99"/>
    <w:pPr>
      <w:ind w:left="100" w:leftChars="2500"/>
    </w:pPr>
  </w:style>
  <w:style w:type="paragraph" w:styleId="8">
    <w:name w:val="Balloon Text"/>
    <w:basedOn w:val="1"/>
    <w:link w:val="23"/>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tabs>
        <w:tab w:val="right" w:leader="dot" w:pos="8296"/>
      </w:tabs>
      <w:spacing w:before="156" w:after="156"/>
      <w:ind w:firstLine="0" w:firstLineChars="0"/>
    </w:pPr>
    <w:rPr>
      <w:rFonts w:ascii="宋体" w:hAnsi="宋体" w:eastAsia="宋体" w:cs="Times New Roman"/>
      <w:b/>
      <w:bCs/>
      <w:sz w:val="24"/>
      <w:szCs w:val="24"/>
    </w:rPr>
  </w:style>
  <w:style w:type="paragraph" w:styleId="12">
    <w:name w:val="footnote text"/>
    <w:basedOn w:val="1"/>
    <w:link w:val="29"/>
    <w:semiHidden/>
    <w:unhideWhenUsed/>
    <w:qFormat/>
    <w:uiPriority w:val="99"/>
    <w:pPr>
      <w:snapToGrid w:val="0"/>
      <w:jc w:val="left"/>
    </w:pPr>
    <w:rPr>
      <w:sz w:val="18"/>
      <w:szCs w:val="18"/>
    </w:rPr>
  </w:style>
  <w:style w:type="paragraph" w:styleId="13">
    <w:name w:val="toc 2"/>
    <w:basedOn w:val="1"/>
    <w:next w:val="1"/>
    <w:unhideWhenUsed/>
    <w:qFormat/>
    <w:uiPriority w:val="39"/>
    <w:pPr>
      <w:tabs>
        <w:tab w:val="right" w:leader="dot" w:pos="8296"/>
      </w:tabs>
      <w:spacing w:before="156" w:after="156"/>
      <w:ind w:firstLine="0" w:firstLineChars="0"/>
    </w:pPr>
    <w:rPr>
      <w:rFonts w:ascii="宋体" w:hAnsi="宋体" w:eastAsia="宋体"/>
      <w:sz w:val="24"/>
      <w:szCs w:val="24"/>
    </w:rPr>
  </w:style>
  <w:style w:type="paragraph" w:styleId="14">
    <w:name w:val="annotation subject"/>
    <w:basedOn w:val="5"/>
    <w:next w:val="5"/>
    <w:link w:val="33"/>
    <w:semiHidden/>
    <w:unhideWhenUsed/>
    <w:uiPriority w:val="99"/>
    <w:pPr>
      <w:spacing w:beforeLines="50" w:afterLines="50" w:line="560" w:lineRule="exact"/>
      <w:ind w:firstLine="200" w:firstLineChars="200"/>
    </w:pPr>
    <w:rPr>
      <w:rFonts w:eastAsia="仿宋_GB2312" w:cstheme="minorBidi"/>
      <w:b/>
      <w:bCs/>
      <w:kern w:val="2"/>
      <w:sz w:val="32"/>
      <w:szCs w:val="22"/>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unhideWhenUsed/>
    <w:qFormat/>
    <w:uiPriority w:val="99"/>
    <w:rPr>
      <w:color w:val="0563C1" w:themeColor="hyperlink"/>
      <w:u w:val="single"/>
    </w:rPr>
  </w:style>
  <w:style w:type="character" w:styleId="19">
    <w:name w:val="annotation reference"/>
    <w:basedOn w:val="17"/>
    <w:semiHidden/>
    <w:unhideWhenUsed/>
    <w:uiPriority w:val="99"/>
    <w:rPr>
      <w:sz w:val="21"/>
      <w:szCs w:val="21"/>
    </w:rPr>
  </w:style>
  <w:style w:type="character" w:styleId="20">
    <w:name w:val="footnote reference"/>
    <w:basedOn w:val="17"/>
    <w:unhideWhenUsed/>
    <w:uiPriority w:val="0"/>
    <w:rPr>
      <w:vertAlign w:val="superscript"/>
    </w:rPr>
  </w:style>
  <w:style w:type="character" w:customStyle="1" w:styleId="21">
    <w:name w:val="页眉 字符"/>
    <w:basedOn w:val="17"/>
    <w:link w:val="10"/>
    <w:qFormat/>
    <w:uiPriority w:val="99"/>
    <w:rPr>
      <w:sz w:val="18"/>
      <w:szCs w:val="18"/>
    </w:rPr>
  </w:style>
  <w:style w:type="character" w:customStyle="1" w:styleId="22">
    <w:name w:val="页脚 字符"/>
    <w:basedOn w:val="17"/>
    <w:link w:val="9"/>
    <w:qFormat/>
    <w:uiPriority w:val="99"/>
    <w:rPr>
      <w:sz w:val="18"/>
      <w:szCs w:val="18"/>
    </w:rPr>
  </w:style>
  <w:style w:type="character" w:customStyle="1" w:styleId="23">
    <w:name w:val="批注框文本 字符"/>
    <w:basedOn w:val="17"/>
    <w:link w:val="8"/>
    <w:semiHidden/>
    <w:qFormat/>
    <w:uiPriority w:val="99"/>
    <w:rPr>
      <w:sz w:val="18"/>
      <w:szCs w:val="18"/>
    </w:rPr>
  </w:style>
  <w:style w:type="character" w:customStyle="1" w:styleId="24">
    <w:name w:val="标题 1 字符"/>
    <w:basedOn w:val="17"/>
    <w:link w:val="2"/>
    <w:qFormat/>
    <w:uiPriority w:val="0"/>
    <w:rPr>
      <w:rFonts w:eastAsia="黑体"/>
      <w:bCs/>
      <w:kern w:val="44"/>
      <w:sz w:val="28"/>
      <w:szCs w:val="44"/>
    </w:rPr>
  </w:style>
  <w:style w:type="character" w:customStyle="1" w:styleId="25">
    <w:name w:val="标题 2 字符"/>
    <w:basedOn w:val="17"/>
    <w:link w:val="3"/>
    <w:qFormat/>
    <w:uiPriority w:val="9"/>
    <w:rPr>
      <w:rFonts w:ascii="Times New Roman" w:hAnsi="Times New Roman" w:eastAsia="楷体_GB2312" w:cstheme="majorBidi"/>
      <w:b/>
      <w:bCs/>
      <w:sz w:val="32"/>
      <w:szCs w:val="32"/>
    </w:rPr>
  </w:style>
  <w:style w:type="paragraph" w:customStyle="1" w:styleId="26">
    <w:name w:val="TOC 标题1"/>
    <w:basedOn w:val="2"/>
    <w:next w:val="1"/>
    <w:unhideWhenUsed/>
    <w:qFormat/>
    <w:uiPriority w:val="39"/>
    <w:pPr>
      <w:widowControl/>
      <w:spacing w:before="240" w:line="259" w:lineRule="auto"/>
      <w:ind w:firstLine="0" w:firstLineChars="0"/>
      <w:outlineLvl w:val="9"/>
    </w:pPr>
    <w:rPr>
      <w:rFonts w:asciiTheme="majorHAnsi" w:hAnsiTheme="majorHAnsi" w:eastAsiaTheme="majorEastAsia" w:cstheme="majorBidi"/>
      <w:bCs w:val="0"/>
      <w:color w:val="2F5496" w:themeColor="accent1" w:themeShade="BF"/>
      <w:kern w:val="0"/>
      <w:szCs w:val="32"/>
    </w:rPr>
  </w:style>
  <w:style w:type="table" w:customStyle="1" w:styleId="27">
    <w:name w:val="网格型4"/>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8">
    <w:name w:val="日期 字符"/>
    <w:basedOn w:val="17"/>
    <w:link w:val="7"/>
    <w:semiHidden/>
    <w:qFormat/>
    <w:uiPriority w:val="99"/>
    <w:rPr>
      <w:rFonts w:eastAsia="华文仿宋"/>
      <w:sz w:val="28"/>
    </w:rPr>
  </w:style>
  <w:style w:type="character" w:customStyle="1" w:styleId="29">
    <w:name w:val="脚注文本 字符"/>
    <w:basedOn w:val="17"/>
    <w:link w:val="12"/>
    <w:semiHidden/>
    <w:uiPriority w:val="99"/>
    <w:rPr>
      <w:rFonts w:ascii="Times New Roman" w:hAnsi="Times New Roman" w:eastAsia="仿宋_GB2312"/>
      <w:sz w:val="18"/>
      <w:szCs w:val="18"/>
    </w:rPr>
  </w:style>
  <w:style w:type="paragraph" w:styleId="30">
    <w:name w:val="No Spacing"/>
    <w:qFormat/>
    <w:uiPriority w:val="1"/>
    <w:pPr>
      <w:widowControl w:val="0"/>
      <w:spacing w:beforeLines="50" w:afterLines="50"/>
      <w:ind w:firstLine="200" w:firstLineChars="200"/>
      <w:jc w:val="both"/>
    </w:pPr>
    <w:rPr>
      <w:rFonts w:ascii="Times New Roman" w:hAnsi="Times New Roman" w:eastAsia="仿宋_GB2312" w:cstheme="minorBidi"/>
      <w:kern w:val="2"/>
      <w:sz w:val="32"/>
      <w:szCs w:val="22"/>
      <w:lang w:val="en-US" w:eastAsia="zh-CN" w:bidi="ar-SA"/>
    </w:rPr>
  </w:style>
  <w:style w:type="character" w:customStyle="1" w:styleId="31">
    <w:name w:val="标题 3 字符"/>
    <w:basedOn w:val="17"/>
    <w:link w:val="4"/>
    <w:uiPriority w:val="9"/>
    <w:rPr>
      <w:rFonts w:ascii="Times New Roman" w:hAnsi="Times New Roman" w:eastAsia="仿宋_GB2312"/>
      <w:b/>
      <w:bCs/>
      <w:sz w:val="32"/>
      <w:szCs w:val="32"/>
    </w:rPr>
  </w:style>
  <w:style w:type="character" w:customStyle="1" w:styleId="32">
    <w:name w:val="批注文字 字符"/>
    <w:basedOn w:val="17"/>
    <w:link w:val="5"/>
    <w:semiHidden/>
    <w:uiPriority w:val="99"/>
    <w:rPr>
      <w:rFonts w:ascii="Times New Roman" w:hAnsi="Times New Roman" w:eastAsia="黑体" w:cs="Times New Roman"/>
      <w:kern w:val="0"/>
      <w:sz w:val="28"/>
      <w:szCs w:val="28"/>
    </w:rPr>
  </w:style>
  <w:style w:type="character" w:customStyle="1" w:styleId="33">
    <w:name w:val="批注主题 字符"/>
    <w:basedOn w:val="32"/>
    <w:link w:val="14"/>
    <w:semiHidden/>
    <w:uiPriority w:val="99"/>
    <w:rPr>
      <w:rFonts w:ascii="Times New Roman" w:hAnsi="Times New Roman" w:eastAsia="仿宋_GB2312" w:cs="Times New Roman"/>
      <w:b/>
      <w:bCs/>
      <w:kern w:val="0"/>
      <w:sz w:val="32"/>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195D0-87F3-4D1D-B3A8-F6FFC3861229}">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6274</Words>
  <Characters>7081</Characters>
  <Lines>64</Lines>
  <Paragraphs>18</Paragraphs>
  <TotalTime>157</TotalTime>
  <ScaleCrop>false</ScaleCrop>
  <LinksUpToDate>false</LinksUpToDate>
  <CharactersWithSpaces>7157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2021-07-09T09:43:00Z</dcterms:created>
  <dc:creator>梁佳</dc:creator>
  <cp:lastModifiedBy>Dell</cp:lastModifiedBy>
  <dcterms:modified xsi:type="dcterms:W3CDTF">2024-09-24T00:44:53Z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208A9ECD01AA4A3280367E09CEBF34B3_12</vt:lpwstr>
  </property>
</Properties>
</file>