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10.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968018">
      <w:pPr>
        <w:spacing w:after="156" w:afterLines="50"/>
        <w:ind w:firstLine="640"/>
        <w:rPr>
          <w:rFonts w:cs="Times New Roman"/>
        </w:rPr>
      </w:pPr>
      <w:bookmarkStart w:id="58" w:name="_GoBack"/>
      <w:bookmarkEnd w:id="58"/>
    </w:p>
    <w:p w14:paraId="39BCFB2D">
      <w:pPr>
        <w:autoSpaceDE w:val="0"/>
        <w:autoSpaceDN w:val="0"/>
        <w:adjustRightInd w:val="0"/>
        <w:spacing w:after="156" w:afterLines="50"/>
        <w:ind w:firstLine="720"/>
        <w:jc w:val="center"/>
        <w:rPr>
          <w:rFonts w:eastAsia="方正小标宋_GBK" w:cs="Times New Roman"/>
          <w:sz w:val="36"/>
          <w:szCs w:val="36"/>
        </w:rPr>
      </w:pPr>
    </w:p>
    <w:p w14:paraId="21FCC637">
      <w:pPr>
        <w:autoSpaceDE w:val="0"/>
        <w:autoSpaceDN w:val="0"/>
        <w:adjustRightInd w:val="0"/>
        <w:spacing w:after="156" w:afterLines="50"/>
        <w:ind w:firstLine="720"/>
        <w:jc w:val="center"/>
        <w:rPr>
          <w:rFonts w:eastAsia="方正小标宋_GBK" w:cs="Times New Roman"/>
          <w:sz w:val="36"/>
          <w:szCs w:val="36"/>
        </w:rPr>
      </w:pPr>
    </w:p>
    <w:p w14:paraId="7D9853FA">
      <w:pPr>
        <w:autoSpaceDE w:val="0"/>
        <w:autoSpaceDN w:val="0"/>
        <w:adjustRightInd w:val="0"/>
        <w:spacing w:after="156" w:afterLines="50"/>
        <w:ind w:firstLine="0" w:firstLineChars="0"/>
        <w:jc w:val="center"/>
        <w:rPr>
          <w:rFonts w:eastAsia="方正小标宋_GBK" w:cs="Times New Roman"/>
          <w:sz w:val="44"/>
          <w:szCs w:val="44"/>
        </w:rPr>
      </w:pPr>
      <w:r>
        <w:rPr>
          <w:rFonts w:eastAsia="方正小标宋_GBK" w:cs="Times New Roman"/>
          <w:sz w:val="44"/>
          <w:szCs w:val="44"/>
        </w:rPr>
        <w:t>绵竹市2020年城市公共汽车营运补贴</w:t>
      </w:r>
    </w:p>
    <w:p w14:paraId="179800FC">
      <w:pPr>
        <w:autoSpaceDE w:val="0"/>
        <w:autoSpaceDN w:val="0"/>
        <w:adjustRightInd w:val="0"/>
        <w:spacing w:after="156" w:afterLines="50"/>
        <w:ind w:firstLine="0" w:firstLineChars="0"/>
        <w:jc w:val="center"/>
        <w:rPr>
          <w:rFonts w:eastAsia="方正小标宋_GBK" w:cs="Times New Roman"/>
          <w:sz w:val="44"/>
          <w:szCs w:val="44"/>
        </w:rPr>
      </w:pPr>
      <w:r>
        <w:rPr>
          <w:rFonts w:eastAsia="方正小标宋_GBK" w:cs="Times New Roman"/>
          <w:sz w:val="44"/>
          <w:szCs w:val="44"/>
        </w:rPr>
        <w:t>政策支出绩效评价报告</w:t>
      </w:r>
    </w:p>
    <w:p w14:paraId="3D6A8CE7">
      <w:pPr>
        <w:autoSpaceDE w:val="0"/>
        <w:autoSpaceDN w:val="0"/>
        <w:adjustRightInd w:val="0"/>
        <w:spacing w:after="156" w:afterLines="50"/>
        <w:ind w:firstLine="0" w:firstLineChars="0"/>
        <w:jc w:val="center"/>
        <w:rPr>
          <w:rFonts w:eastAsia="方正小标宋_GBK" w:cs="Times New Roman"/>
          <w:sz w:val="44"/>
          <w:szCs w:val="44"/>
        </w:rPr>
      </w:pPr>
    </w:p>
    <w:p w14:paraId="3BAC4D17">
      <w:pPr>
        <w:autoSpaceDE w:val="0"/>
        <w:autoSpaceDN w:val="0"/>
        <w:adjustRightInd w:val="0"/>
        <w:spacing w:after="156" w:afterLines="50"/>
        <w:ind w:firstLine="0" w:firstLineChars="0"/>
        <w:jc w:val="center"/>
        <w:rPr>
          <w:rFonts w:eastAsia="方正小标宋_GBK" w:cs="Times New Roman"/>
          <w:sz w:val="44"/>
          <w:szCs w:val="44"/>
        </w:rPr>
      </w:pPr>
    </w:p>
    <w:p w14:paraId="5C1636A8">
      <w:pPr>
        <w:autoSpaceDE w:val="0"/>
        <w:autoSpaceDN w:val="0"/>
        <w:adjustRightInd w:val="0"/>
        <w:spacing w:after="156" w:afterLines="50"/>
        <w:ind w:firstLine="0" w:firstLineChars="0"/>
        <w:jc w:val="center"/>
        <w:rPr>
          <w:rFonts w:eastAsia="方正小标宋_GBK" w:cs="Times New Roman"/>
          <w:sz w:val="44"/>
          <w:szCs w:val="44"/>
        </w:rPr>
      </w:pPr>
    </w:p>
    <w:p w14:paraId="5B3BB9EC">
      <w:pPr>
        <w:autoSpaceDE w:val="0"/>
        <w:autoSpaceDN w:val="0"/>
        <w:adjustRightInd w:val="0"/>
        <w:spacing w:after="156" w:afterLines="50"/>
        <w:ind w:firstLine="0" w:firstLineChars="0"/>
        <w:jc w:val="center"/>
        <w:rPr>
          <w:rFonts w:eastAsia="方正小标宋_GBK" w:cs="Times New Roman"/>
          <w:sz w:val="44"/>
          <w:szCs w:val="44"/>
        </w:rPr>
      </w:pPr>
    </w:p>
    <w:p w14:paraId="1D588C58">
      <w:pPr>
        <w:autoSpaceDE w:val="0"/>
        <w:autoSpaceDN w:val="0"/>
        <w:adjustRightInd w:val="0"/>
        <w:spacing w:after="156" w:afterLines="50"/>
        <w:ind w:firstLine="0" w:firstLineChars="0"/>
        <w:jc w:val="center"/>
        <w:rPr>
          <w:rFonts w:eastAsia="方正小标宋_GBK" w:cs="Times New Roman"/>
          <w:sz w:val="44"/>
          <w:szCs w:val="44"/>
        </w:rPr>
      </w:pPr>
    </w:p>
    <w:p w14:paraId="2A368488">
      <w:pPr>
        <w:spacing w:after="156" w:afterLines="50"/>
        <w:ind w:firstLine="0" w:firstLineChars="0"/>
        <w:rPr>
          <w:rFonts w:eastAsia="方正小标宋_GBK" w:cs="Times New Roman"/>
          <w:sz w:val="44"/>
          <w:szCs w:val="44"/>
        </w:rPr>
      </w:pPr>
    </w:p>
    <w:p w14:paraId="72AD35B1">
      <w:pPr>
        <w:spacing w:after="156" w:afterLines="50"/>
        <w:ind w:firstLine="0" w:firstLineChars="0"/>
        <w:jc w:val="center"/>
        <w:rPr>
          <w:rFonts w:eastAsia="小标宋" w:cs="Times New Roman"/>
          <w:b/>
          <w:kern w:val="0"/>
          <w:sz w:val="28"/>
          <w:szCs w:val="24"/>
          <w:lang w:val="zh-CN"/>
        </w:rPr>
      </w:pPr>
      <w:r>
        <w:rPr>
          <w:rFonts w:hint="eastAsia" w:eastAsia="小标宋" w:cs="Times New Roman"/>
          <w:b/>
          <w:kern w:val="0"/>
          <w:sz w:val="28"/>
          <w:szCs w:val="24"/>
          <w:lang w:val="zh-CN"/>
        </w:rPr>
        <w:t xml:space="preserve"> </w:t>
      </w:r>
      <w:r>
        <w:rPr>
          <w:rFonts w:eastAsia="小标宋" w:cs="Times New Roman"/>
          <w:b/>
          <w:kern w:val="0"/>
          <w:sz w:val="28"/>
          <w:szCs w:val="24"/>
          <w:lang w:val="zh-CN"/>
        </w:rPr>
        <w:t>被评单位：绵竹市交通运输局</w:t>
      </w:r>
    </w:p>
    <w:p w14:paraId="52509A9B">
      <w:pPr>
        <w:spacing w:after="156" w:afterLines="50"/>
        <w:ind w:left="2240" w:leftChars="700" w:firstLine="141" w:firstLineChars="50"/>
        <w:rPr>
          <w:rFonts w:eastAsia="小标宋" w:cs="Times New Roman"/>
          <w:b/>
          <w:kern w:val="0"/>
          <w:sz w:val="28"/>
          <w:szCs w:val="24"/>
          <w:lang w:val="zh-CN"/>
        </w:rPr>
      </w:pPr>
      <w:r>
        <w:rPr>
          <w:rFonts w:eastAsia="小标宋" w:cs="Times New Roman"/>
          <w:b/>
          <w:kern w:val="0"/>
          <w:sz w:val="28"/>
          <w:szCs w:val="24"/>
          <w:lang w:val="zh-CN"/>
        </w:rPr>
        <w:t>委托单位：绵竹市财政局</w:t>
      </w:r>
    </w:p>
    <w:p w14:paraId="4778CC2A">
      <w:pPr>
        <w:spacing w:after="156" w:afterLines="50"/>
        <w:ind w:left="2240" w:leftChars="700" w:firstLine="141" w:firstLineChars="50"/>
        <w:rPr>
          <w:rFonts w:eastAsia="小标宋" w:cs="Times New Roman"/>
          <w:b/>
          <w:kern w:val="0"/>
          <w:sz w:val="28"/>
          <w:szCs w:val="24"/>
          <w:lang w:val="zh-CN"/>
        </w:rPr>
      </w:pPr>
      <w:r>
        <w:rPr>
          <w:rFonts w:eastAsia="小标宋" w:cs="Times New Roman"/>
          <w:b/>
          <w:kern w:val="0"/>
          <w:sz w:val="28"/>
          <w:szCs w:val="24"/>
          <w:lang w:val="zh-CN"/>
        </w:rPr>
        <w:t>评价机构：北京零点市场调查有限公司</w:t>
      </w:r>
    </w:p>
    <w:p w14:paraId="18CF89B2">
      <w:pPr>
        <w:spacing w:after="156" w:afterLines="50"/>
        <w:ind w:firstLine="0" w:firstLineChars="0"/>
        <w:rPr>
          <w:rFonts w:eastAsia="方正小标宋_GBK" w:cs="Times New Roman"/>
          <w:b/>
          <w:kern w:val="0"/>
          <w:sz w:val="44"/>
          <w:szCs w:val="44"/>
        </w:rPr>
      </w:pPr>
    </w:p>
    <w:p w14:paraId="486A5417">
      <w:pPr>
        <w:spacing w:after="156" w:afterLines="50"/>
        <w:ind w:firstLine="0" w:firstLineChars="0"/>
        <w:jc w:val="center"/>
        <w:rPr>
          <w:rFonts w:eastAsia="小标宋" w:cs="Times New Roman"/>
          <w:b/>
          <w:kern w:val="0"/>
          <w:sz w:val="28"/>
          <w:szCs w:val="24"/>
          <w:lang w:val="zh-CN"/>
        </w:rPr>
      </w:pPr>
      <w:r>
        <w:rPr>
          <w:rFonts w:eastAsia="小标宋" w:cs="Times New Roman"/>
          <w:b/>
          <w:kern w:val="0"/>
          <w:sz w:val="28"/>
          <w:szCs w:val="24"/>
          <w:lang w:val="zh-CN"/>
        </w:rPr>
        <w:t>2021年6月30日</w:t>
      </w:r>
    </w:p>
    <w:p w14:paraId="7F4C1BAA">
      <w:pPr>
        <w:spacing w:after="156" w:afterLines="50"/>
        <w:ind w:firstLine="640"/>
        <w:rPr>
          <w:rFonts w:cs="Times New Roman"/>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1AE3C877">
      <w:pPr>
        <w:spacing w:after="156" w:afterLines="50"/>
        <w:ind w:firstLine="0" w:firstLineChars="0"/>
        <w:jc w:val="center"/>
        <w:rPr>
          <w:rFonts w:eastAsia="黑体" w:cs="Times New Roman"/>
        </w:rPr>
      </w:pPr>
      <w:r>
        <w:rPr>
          <w:rFonts w:eastAsia="黑体" w:cs="Times New Roman"/>
        </w:rPr>
        <w:t>目 录</w:t>
      </w:r>
    </w:p>
    <w:p w14:paraId="1DE749D2">
      <w:pPr>
        <w:pStyle w:val="13"/>
        <w:tabs>
          <w:tab w:val="right" w:leader="dot" w:pos="8296"/>
        </w:tabs>
        <w:ind w:firstLine="480"/>
        <w:rPr>
          <w:rFonts w:ascii="Times New Roman" w:eastAsia="宋体" w:cs="Times New Roman"/>
          <w:b w:val="0"/>
          <w:bCs w:val="0"/>
          <w:caps w:val="0"/>
          <w:sz w:val="24"/>
          <w:szCs w:val="24"/>
        </w:rPr>
      </w:pPr>
      <w:r>
        <w:rPr>
          <w:rFonts w:ascii="Times New Roman" w:cs="Times New Roman"/>
          <w:sz w:val="24"/>
          <w:szCs w:val="24"/>
        </w:rPr>
        <w:fldChar w:fldCharType="begin"/>
      </w:r>
      <w:r>
        <w:rPr>
          <w:rFonts w:ascii="Times New Roman" w:cs="Times New Roman"/>
          <w:sz w:val="24"/>
          <w:szCs w:val="24"/>
        </w:rPr>
        <w:instrText xml:space="preserve"> TOC \o "1-3" \h \z \u </w:instrText>
      </w:r>
      <w:r>
        <w:rPr>
          <w:rFonts w:ascii="Times New Roman" w:cs="Times New Roman"/>
          <w:sz w:val="24"/>
          <w:szCs w:val="24"/>
        </w:rPr>
        <w:fldChar w:fldCharType="separate"/>
      </w:r>
      <w:r>
        <w:fldChar w:fldCharType="begin"/>
      </w:r>
      <w:r>
        <w:instrText xml:space="preserve"> HYPERLINK \l "_Toc78668794" </w:instrText>
      </w:r>
      <w:r>
        <w:fldChar w:fldCharType="separate"/>
      </w:r>
      <w:r>
        <w:rPr>
          <w:rStyle w:val="22"/>
          <w:rFonts w:ascii="Times New Roman" w:eastAsia="宋体" w:cs="Times New Roman"/>
          <w:sz w:val="24"/>
          <w:szCs w:val="24"/>
        </w:rPr>
        <w:t>一、政策基本情况</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_Toc78668794 \h </w:instrText>
      </w:r>
      <w:r>
        <w:rPr>
          <w:rFonts w:ascii="Times New Roman" w:eastAsia="宋体" w:cs="Times New Roman"/>
          <w:sz w:val="24"/>
          <w:szCs w:val="24"/>
        </w:rPr>
        <w:fldChar w:fldCharType="separate"/>
      </w:r>
      <w:r>
        <w:rPr>
          <w:rFonts w:ascii="Times New Roman" w:eastAsia="宋体" w:cs="Times New Roman"/>
          <w:sz w:val="24"/>
          <w:szCs w:val="24"/>
        </w:rPr>
        <w:t>1</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4D07C43F">
      <w:pPr>
        <w:pStyle w:val="17"/>
        <w:rPr>
          <w:smallCaps w:val="0"/>
          <w:kern w:val="2"/>
          <w:lang w:val="en-US"/>
        </w:rPr>
      </w:pPr>
      <w:r>
        <w:fldChar w:fldCharType="begin"/>
      </w:r>
      <w:r>
        <w:instrText xml:space="preserve"> HYPERLINK \l "_Toc78668795" </w:instrText>
      </w:r>
      <w:r>
        <w:fldChar w:fldCharType="separate"/>
      </w:r>
      <w:r>
        <w:rPr>
          <w:rStyle w:val="22"/>
        </w:rPr>
        <w:t>（一）政策制定背景及设立依据</w:t>
      </w:r>
      <w:r>
        <w:tab/>
      </w:r>
      <w:r>
        <w:fldChar w:fldCharType="begin"/>
      </w:r>
      <w:r>
        <w:instrText xml:space="preserve"> PAGEREF _Toc78668795 \h </w:instrText>
      </w:r>
      <w:r>
        <w:fldChar w:fldCharType="separate"/>
      </w:r>
      <w:r>
        <w:t>1</w:t>
      </w:r>
      <w:r>
        <w:fldChar w:fldCharType="end"/>
      </w:r>
      <w:r>
        <w:fldChar w:fldCharType="end"/>
      </w:r>
    </w:p>
    <w:p w14:paraId="3E007F40">
      <w:pPr>
        <w:pStyle w:val="17"/>
        <w:rPr>
          <w:smallCaps w:val="0"/>
          <w:kern w:val="2"/>
          <w:lang w:val="en-US"/>
        </w:rPr>
      </w:pPr>
      <w:r>
        <w:fldChar w:fldCharType="begin"/>
      </w:r>
      <w:r>
        <w:instrText xml:space="preserve"> HYPERLINK \l "_Toc78668796" </w:instrText>
      </w:r>
      <w:r>
        <w:fldChar w:fldCharType="separate"/>
      </w:r>
      <w:r>
        <w:rPr>
          <w:rStyle w:val="22"/>
        </w:rPr>
        <w:t>（二）政策年度绩效目标</w:t>
      </w:r>
      <w:r>
        <w:tab/>
      </w:r>
      <w:r>
        <w:fldChar w:fldCharType="begin"/>
      </w:r>
      <w:r>
        <w:instrText xml:space="preserve"> PAGEREF _Toc78668796 \h </w:instrText>
      </w:r>
      <w:r>
        <w:fldChar w:fldCharType="separate"/>
      </w:r>
      <w:r>
        <w:t>2</w:t>
      </w:r>
      <w:r>
        <w:fldChar w:fldCharType="end"/>
      </w:r>
      <w:r>
        <w:fldChar w:fldCharType="end"/>
      </w:r>
    </w:p>
    <w:p w14:paraId="341E9657">
      <w:pPr>
        <w:pStyle w:val="17"/>
        <w:rPr>
          <w:smallCaps w:val="0"/>
          <w:kern w:val="2"/>
          <w:lang w:val="en-US"/>
        </w:rPr>
      </w:pPr>
      <w:r>
        <w:fldChar w:fldCharType="begin"/>
      </w:r>
      <w:r>
        <w:instrText xml:space="preserve"> HYPERLINK \l "_Toc78668797" </w:instrText>
      </w:r>
      <w:r>
        <w:fldChar w:fldCharType="separate"/>
      </w:r>
      <w:r>
        <w:rPr>
          <w:rStyle w:val="22"/>
        </w:rPr>
        <w:t>（三）政策实施措施及管理方式</w:t>
      </w:r>
      <w:r>
        <w:tab/>
      </w:r>
      <w:r>
        <w:fldChar w:fldCharType="begin"/>
      </w:r>
      <w:r>
        <w:instrText xml:space="preserve"> PAGEREF _Toc78668797 \h </w:instrText>
      </w:r>
      <w:r>
        <w:fldChar w:fldCharType="separate"/>
      </w:r>
      <w:r>
        <w:t>4</w:t>
      </w:r>
      <w:r>
        <w:fldChar w:fldCharType="end"/>
      </w:r>
      <w:r>
        <w:fldChar w:fldCharType="end"/>
      </w:r>
    </w:p>
    <w:p w14:paraId="147A4427">
      <w:pPr>
        <w:pStyle w:val="8"/>
        <w:tabs>
          <w:tab w:val="right" w:leader="dot" w:pos="8296"/>
        </w:tabs>
        <w:ind w:firstLine="400"/>
        <w:rPr>
          <w:rFonts w:ascii="Times New Roman" w:eastAsia="宋体" w:cs="Times New Roman"/>
          <w:i w:val="0"/>
          <w:iCs w:val="0"/>
          <w:sz w:val="24"/>
          <w:szCs w:val="24"/>
        </w:rPr>
      </w:pPr>
      <w:r>
        <w:fldChar w:fldCharType="begin"/>
      </w:r>
      <w:r>
        <w:instrText xml:space="preserve"> HYPERLINK \l "_Toc78668798" </w:instrText>
      </w:r>
      <w:r>
        <w:fldChar w:fldCharType="separate"/>
      </w:r>
      <w:r>
        <w:rPr>
          <w:rStyle w:val="22"/>
          <w:rFonts w:ascii="Times New Roman" w:eastAsia="宋体" w:cs="Times New Roman"/>
          <w:i w:val="0"/>
          <w:iCs w:val="0"/>
          <w:sz w:val="24"/>
          <w:szCs w:val="24"/>
        </w:rPr>
        <w:t>1. 公交运营补贴方案</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_Toc78668798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4</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319536A7">
      <w:pPr>
        <w:pStyle w:val="8"/>
        <w:tabs>
          <w:tab w:val="right" w:leader="dot" w:pos="8296"/>
        </w:tabs>
        <w:ind w:firstLine="400"/>
        <w:rPr>
          <w:rFonts w:ascii="Times New Roman" w:eastAsia="宋体" w:cs="Times New Roman"/>
          <w:i w:val="0"/>
          <w:iCs w:val="0"/>
          <w:sz w:val="24"/>
          <w:szCs w:val="24"/>
        </w:rPr>
      </w:pPr>
      <w:r>
        <w:fldChar w:fldCharType="begin"/>
      </w:r>
      <w:r>
        <w:instrText xml:space="preserve"> HYPERLINK \l "_Toc78668799" </w:instrText>
      </w:r>
      <w:r>
        <w:fldChar w:fldCharType="separate"/>
      </w:r>
      <w:r>
        <w:rPr>
          <w:rStyle w:val="22"/>
          <w:rFonts w:ascii="Times New Roman" w:eastAsia="宋体" w:cs="Times New Roman"/>
          <w:i w:val="0"/>
          <w:iCs w:val="0"/>
          <w:sz w:val="24"/>
          <w:szCs w:val="24"/>
        </w:rPr>
        <w:t>2. 宏运公交公司经营状况</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_Toc78668799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4</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445E7E22">
      <w:pPr>
        <w:pStyle w:val="17"/>
        <w:rPr>
          <w:smallCaps w:val="0"/>
          <w:kern w:val="2"/>
          <w:lang w:val="en-US"/>
        </w:rPr>
      </w:pPr>
      <w:r>
        <w:fldChar w:fldCharType="begin"/>
      </w:r>
      <w:r>
        <w:instrText xml:space="preserve"> HYPERLINK \l "_Toc78668800" </w:instrText>
      </w:r>
      <w:r>
        <w:fldChar w:fldCharType="separate"/>
      </w:r>
      <w:r>
        <w:rPr>
          <w:rStyle w:val="22"/>
        </w:rPr>
        <w:t>（四）资金投入及使用情况</w:t>
      </w:r>
      <w:r>
        <w:tab/>
      </w:r>
      <w:r>
        <w:fldChar w:fldCharType="begin"/>
      </w:r>
      <w:r>
        <w:instrText xml:space="preserve"> PAGEREF _Toc78668800 \h </w:instrText>
      </w:r>
      <w:r>
        <w:fldChar w:fldCharType="separate"/>
      </w:r>
      <w:r>
        <w:t>6</w:t>
      </w:r>
      <w:r>
        <w:fldChar w:fldCharType="end"/>
      </w:r>
      <w:r>
        <w:fldChar w:fldCharType="end"/>
      </w:r>
    </w:p>
    <w:p w14:paraId="7819B38B">
      <w:pPr>
        <w:pStyle w:val="13"/>
        <w:tabs>
          <w:tab w:val="right" w:leader="dot" w:pos="8296"/>
        </w:tabs>
        <w:ind w:firstLine="400"/>
        <w:rPr>
          <w:rFonts w:ascii="Times New Roman" w:eastAsia="宋体" w:cs="Times New Roman"/>
          <w:b w:val="0"/>
          <w:bCs w:val="0"/>
          <w:caps w:val="0"/>
          <w:sz w:val="24"/>
          <w:szCs w:val="24"/>
        </w:rPr>
      </w:pPr>
      <w:r>
        <w:fldChar w:fldCharType="begin"/>
      </w:r>
      <w:r>
        <w:instrText xml:space="preserve"> HYPERLINK \l "_Toc78668801" </w:instrText>
      </w:r>
      <w:r>
        <w:fldChar w:fldCharType="separate"/>
      </w:r>
      <w:r>
        <w:rPr>
          <w:rStyle w:val="22"/>
          <w:rFonts w:ascii="Times New Roman" w:eastAsia="宋体" w:cs="Times New Roman"/>
          <w:sz w:val="24"/>
          <w:szCs w:val="24"/>
        </w:rPr>
        <w:t>二、评价工作基本情况</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_Toc78668801 \h </w:instrText>
      </w:r>
      <w:r>
        <w:rPr>
          <w:rFonts w:ascii="Times New Roman" w:eastAsia="宋体" w:cs="Times New Roman"/>
          <w:sz w:val="24"/>
          <w:szCs w:val="24"/>
        </w:rPr>
        <w:fldChar w:fldCharType="separate"/>
      </w:r>
      <w:r>
        <w:rPr>
          <w:rFonts w:ascii="Times New Roman" w:eastAsia="宋体" w:cs="Times New Roman"/>
          <w:sz w:val="24"/>
          <w:szCs w:val="24"/>
        </w:rPr>
        <w:t>7</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0D09C97F">
      <w:pPr>
        <w:pStyle w:val="17"/>
        <w:rPr>
          <w:smallCaps w:val="0"/>
          <w:kern w:val="2"/>
          <w:lang w:val="en-US"/>
        </w:rPr>
      </w:pPr>
      <w:r>
        <w:fldChar w:fldCharType="begin"/>
      </w:r>
      <w:r>
        <w:instrText xml:space="preserve"> HYPERLINK \l "_Toc78668802" </w:instrText>
      </w:r>
      <w:r>
        <w:fldChar w:fldCharType="separate"/>
      </w:r>
      <w:r>
        <w:rPr>
          <w:rStyle w:val="22"/>
        </w:rPr>
        <w:t>（一）评价目的</w:t>
      </w:r>
      <w:r>
        <w:tab/>
      </w:r>
      <w:r>
        <w:fldChar w:fldCharType="begin"/>
      </w:r>
      <w:r>
        <w:instrText xml:space="preserve"> PAGEREF _Toc78668802 \h </w:instrText>
      </w:r>
      <w:r>
        <w:fldChar w:fldCharType="separate"/>
      </w:r>
      <w:r>
        <w:t>7</w:t>
      </w:r>
      <w:r>
        <w:fldChar w:fldCharType="end"/>
      </w:r>
      <w:r>
        <w:fldChar w:fldCharType="end"/>
      </w:r>
    </w:p>
    <w:p w14:paraId="4B83B320">
      <w:pPr>
        <w:pStyle w:val="17"/>
        <w:rPr>
          <w:smallCaps w:val="0"/>
          <w:kern w:val="2"/>
          <w:lang w:val="en-US"/>
        </w:rPr>
      </w:pPr>
      <w:r>
        <w:fldChar w:fldCharType="begin"/>
      </w:r>
      <w:r>
        <w:instrText xml:space="preserve"> HYPERLINK \l "_Toc78668803" </w:instrText>
      </w:r>
      <w:r>
        <w:fldChar w:fldCharType="separate"/>
      </w:r>
      <w:r>
        <w:rPr>
          <w:rStyle w:val="22"/>
        </w:rPr>
        <w:t>（二）评价思路</w:t>
      </w:r>
      <w:r>
        <w:tab/>
      </w:r>
      <w:r>
        <w:fldChar w:fldCharType="begin"/>
      </w:r>
      <w:r>
        <w:instrText xml:space="preserve"> PAGEREF _Toc78668803 \h </w:instrText>
      </w:r>
      <w:r>
        <w:fldChar w:fldCharType="separate"/>
      </w:r>
      <w:r>
        <w:t>8</w:t>
      </w:r>
      <w:r>
        <w:fldChar w:fldCharType="end"/>
      </w:r>
      <w:r>
        <w:fldChar w:fldCharType="end"/>
      </w:r>
    </w:p>
    <w:p w14:paraId="167BAFFD">
      <w:pPr>
        <w:pStyle w:val="17"/>
        <w:rPr>
          <w:smallCaps w:val="0"/>
          <w:kern w:val="2"/>
          <w:lang w:val="en-US"/>
        </w:rPr>
      </w:pPr>
      <w:r>
        <w:fldChar w:fldCharType="begin"/>
      </w:r>
      <w:r>
        <w:instrText xml:space="preserve"> HYPERLINK \l "_Toc78668804" </w:instrText>
      </w:r>
      <w:r>
        <w:fldChar w:fldCharType="separate"/>
      </w:r>
      <w:r>
        <w:rPr>
          <w:rStyle w:val="22"/>
        </w:rPr>
        <w:t>（三）评价方法</w:t>
      </w:r>
      <w:r>
        <w:tab/>
      </w:r>
      <w:r>
        <w:fldChar w:fldCharType="begin"/>
      </w:r>
      <w:r>
        <w:instrText xml:space="preserve"> PAGEREF _Toc78668804 \h </w:instrText>
      </w:r>
      <w:r>
        <w:fldChar w:fldCharType="separate"/>
      </w:r>
      <w:r>
        <w:t>8</w:t>
      </w:r>
      <w:r>
        <w:fldChar w:fldCharType="end"/>
      </w:r>
      <w:r>
        <w:fldChar w:fldCharType="end"/>
      </w:r>
    </w:p>
    <w:p w14:paraId="221B3CD3">
      <w:pPr>
        <w:pStyle w:val="8"/>
        <w:tabs>
          <w:tab w:val="right" w:leader="dot" w:pos="8296"/>
        </w:tabs>
        <w:ind w:firstLine="400"/>
        <w:rPr>
          <w:rFonts w:ascii="Times New Roman" w:eastAsia="宋体" w:cs="Times New Roman"/>
          <w:i w:val="0"/>
          <w:iCs w:val="0"/>
          <w:sz w:val="24"/>
          <w:szCs w:val="24"/>
        </w:rPr>
      </w:pPr>
      <w:r>
        <w:fldChar w:fldCharType="begin"/>
      </w:r>
      <w:r>
        <w:instrText xml:space="preserve"> HYPERLINK \l "_Toc78668805" </w:instrText>
      </w:r>
      <w:r>
        <w:fldChar w:fldCharType="separate"/>
      </w:r>
      <w:r>
        <w:rPr>
          <w:rStyle w:val="22"/>
          <w:rFonts w:ascii="Times New Roman" w:eastAsia="宋体" w:cs="Times New Roman"/>
          <w:i w:val="0"/>
          <w:iCs w:val="0"/>
          <w:sz w:val="24"/>
          <w:szCs w:val="24"/>
        </w:rPr>
        <w:t>1. 查资料—案卷研究法</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_Toc78668805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8</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09F9422C">
      <w:pPr>
        <w:pStyle w:val="8"/>
        <w:tabs>
          <w:tab w:val="right" w:leader="dot" w:pos="8296"/>
        </w:tabs>
        <w:ind w:firstLine="400"/>
        <w:rPr>
          <w:rFonts w:ascii="Times New Roman" w:eastAsia="宋体" w:cs="Times New Roman"/>
          <w:i w:val="0"/>
          <w:iCs w:val="0"/>
          <w:sz w:val="24"/>
          <w:szCs w:val="24"/>
        </w:rPr>
      </w:pPr>
      <w:r>
        <w:fldChar w:fldCharType="begin"/>
      </w:r>
      <w:r>
        <w:instrText xml:space="preserve"> HYPERLINK \l "_Toc78668806" </w:instrText>
      </w:r>
      <w:r>
        <w:fldChar w:fldCharType="separate"/>
      </w:r>
      <w:r>
        <w:rPr>
          <w:rStyle w:val="22"/>
          <w:rFonts w:ascii="Times New Roman" w:eastAsia="宋体" w:cs="Times New Roman"/>
          <w:i w:val="0"/>
          <w:iCs w:val="0"/>
          <w:sz w:val="24"/>
          <w:szCs w:val="24"/>
        </w:rPr>
        <w:t>2. 访对象—深度访谈</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_Toc78668806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9</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3A6C4B74">
      <w:pPr>
        <w:pStyle w:val="8"/>
        <w:tabs>
          <w:tab w:val="right" w:leader="dot" w:pos="8296"/>
        </w:tabs>
        <w:ind w:firstLine="400"/>
        <w:rPr>
          <w:rFonts w:ascii="Times New Roman" w:eastAsia="宋体" w:cs="Times New Roman"/>
          <w:i w:val="0"/>
          <w:iCs w:val="0"/>
          <w:sz w:val="24"/>
          <w:szCs w:val="24"/>
        </w:rPr>
      </w:pPr>
      <w:r>
        <w:fldChar w:fldCharType="begin"/>
      </w:r>
      <w:r>
        <w:instrText xml:space="preserve"> HYPERLINK \l "_Toc78668807" </w:instrText>
      </w:r>
      <w:r>
        <w:fldChar w:fldCharType="separate"/>
      </w:r>
      <w:r>
        <w:rPr>
          <w:rStyle w:val="22"/>
          <w:rFonts w:ascii="Times New Roman" w:eastAsia="宋体" w:cs="Times New Roman"/>
          <w:i w:val="0"/>
          <w:iCs w:val="0"/>
          <w:sz w:val="24"/>
          <w:szCs w:val="24"/>
        </w:rPr>
        <w:t>3. 核落实—书面评审+现场核查+问卷调查法</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_Toc78668807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10</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67978731">
      <w:pPr>
        <w:pStyle w:val="17"/>
        <w:rPr>
          <w:smallCaps w:val="0"/>
          <w:kern w:val="2"/>
          <w:lang w:val="en-US"/>
        </w:rPr>
      </w:pPr>
      <w:r>
        <w:fldChar w:fldCharType="begin"/>
      </w:r>
      <w:r>
        <w:instrText xml:space="preserve"> HYPERLINK \l "_Toc78668808" </w:instrText>
      </w:r>
      <w:r>
        <w:fldChar w:fldCharType="separate"/>
      </w:r>
      <w:r>
        <w:rPr>
          <w:rStyle w:val="22"/>
        </w:rPr>
        <w:t>（四）评价指标</w:t>
      </w:r>
      <w:r>
        <w:tab/>
      </w:r>
      <w:r>
        <w:fldChar w:fldCharType="begin"/>
      </w:r>
      <w:r>
        <w:instrText xml:space="preserve"> PAGEREF _Toc78668808 \h </w:instrText>
      </w:r>
      <w:r>
        <w:fldChar w:fldCharType="separate"/>
      </w:r>
      <w:r>
        <w:t>11</w:t>
      </w:r>
      <w:r>
        <w:fldChar w:fldCharType="end"/>
      </w:r>
      <w:r>
        <w:fldChar w:fldCharType="end"/>
      </w:r>
    </w:p>
    <w:p w14:paraId="3B2A4BC7">
      <w:pPr>
        <w:pStyle w:val="13"/>
        <w:tabs>
          <w:tab w:val="right" w:leader="dot" w:pos="8296"/>
        </w:tabs>
        <w:ind w:firstLine="400"/>
        <w:rPr>
          <w:rFonts w:ascii="Times New Roman" w:eastAsia="宋体" w:cs="Times New Roman"/>
          <w:b w:val="0"/>
          <w:bCs w:val="0"/>
          <w:caps w:val="0"/>
          <w:sz w:val="24"/>
          <w:szCs w:val="24"/>
        </w:rPr>
      </w:pPr>
      <w:r>
        <w:fldChar w:fldCharType="begin"/>
      </w:r>
      <w:r>
        <w:instrText xml:space="preserve"> HYPERLINK \l "_Toc78668809" </w:instrText>
      </w:r>
      <w:r>
        <w:fldChar w:fldCharType="separate"/>
      </w:r>
      <w:r>
        <w:rPr>
          <w:rStyle w:val="22"/>
          <w:rFonts w:ascii="Times New Roman" w:eastAsia="宋体" w:cs="Times New Roman"/>
          <w:sz w:val="24"/>
          <w:szCs w:val="24"/>
        </w:rPr>
        <w:t>三、政策绩效评价结论</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_Toc78668809 \h </w:instrText>
      </w:r>
      <w:r>
        <w:rPr>
          <w:rFonts w:ascii="Times New Roman" w:eastAsia="宋体" w:cs="Times New Roman"/>
          <w:sz w:val="24"/>
          <w:szCs w:val="24"/>
        </w:rPr>
        <w:fldChar w:fldCharType="separate"/>
      </w:r>
      <w:r>
        <w:rPr>
          <w:rFonts w:ascii="Times New Roman" w:eastAsia="宋体" w:cs="Times New Roman"/>
          <w:sz w:val="24"/>
          <w:szCs w:val="24"/>
        </w:rPr>
        <w:t>11</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60A9D720">
      <w:pPr>
        <w:pStyle w:val="17"/>
        <w:rPr>
          <w:smallCaps w:val="0"/>
          <w:kern w:val="2"/>
          <w:lang w:val="en-US"/>
        </w:rPr>
      </w:pPr>
      <w:r>
        <w:fldChar w:fldCharType="begin"/>
      </w:r>
      <w:r>
        <w:instrText xml:space="preserve"> HYPERLINK \l "_Toc78668810" </w:instrText>
      </w:r>
      <w:r>
        <w:fldChar w:fldCharType="separate"/>
      </w:r>
      <w:r>
        <w:rPr>
          <w:rStyle w:val="22"/>
        </w:rPr>
        <w:t>（一）评价结论</w:t>
      </w:r>
      <w:r>
        <w:tab/>
      </w:r>
      <w:r>
        <w:fldChar w:fldCharType="begin"/>
      </w:r>
      <w:r>
        <w:instrText xml:space="preserve"> PAGEREF _Toc78668810 \h </w:instrText>
      </w:r>
      <w:r>
        <w:fldChar w:fldCharType="separate"/>
      </w:r>
      <w:r>
        <w:t>11</w:t>
      </w:r>
      <w:r>
        <w:fldChar w:fldCharType="end"/>
      </w:r>
      <w:r>
        <w:fldChar w:fldCharType="end"/>
      </w:r>
    </w:p>
    <w:p w14:paraId="6EAECB8D">
      <w:pPr>
        <w:pStyle w:val="17"/>
        <w:rPr>
          <w:smallCaps w:val="0"/>
          <w:kern w:val="2"/>
          <w:lang w:val="en-US"/>
        </w:rPr>
      </w:pPr>
      <w:r>
        <w:fldChar w:fldCharType="begin"/>
      </w:r>
      <w:r>
        <w:instrText xml:space="preserve"> HYPERLINK \l "_Toc78668811" </w:instrText>
      </w:r>
      <w:r>
        <w:fldChar w:fldCharType="separate"/>
      </w:r>
      <w:r>
        <w:rPr>
          <w:rStyle w:val="22"/>
        </w:rPr>
        <w:t>（二）绩效分析</w:t>
      </w:r>
      <w:r>
        <w:tab/>
      </w:r>
      <w:r>
        <w:fldChar w:fldCharType="begin"/>
      </w:r>
      <w:r>
        <w:instrText xml:space="preserve"> PAGEREF _Toc78668811 \h </w:instrText>
      </w:r>
      <w:r>
        <w:fldChar w:fldCharType="separate"/>
      </w:r>
      <w:r>
        <w:t>13</w:t>
      </w:r>
      <w:r>
        <w:fldChar w:fldCharType="end"/>
      </w:r>
      <w:r>
        <w:fldChar w:fldCharType="end"/>
      </w:r>
    </w:p>
    <w:p w14:paraId="42C3D3C3">
      <w:pPr>
        <w:pStyle w:val="8"/>
        <w:tabs>
          <w:tab w:val="right" w:leader="dot" w:pos="8296"/>
        </w:tabs>
        <w:ind w:firstLine="400"/>
        <w:rPr>
          <w:rFonts w:ascii="Times New Roman" w:eastAsia="宋体" w:cs="Times New Roman"/>
          <w:i w:val="0"/>
          <w:iCs w:val="0"/>
          <w:sz w:val="24"/>
          <w:szCs w:val="24"/>
        </w:rPr>
      </w:pPr>
      <w:r>
        <w:fldChar w:fldCharType="begin"/>
      </w:r>
      <w:r>
        <w:instrText xml:space="preserve"> HYPERLINK \l "_Toc78668812" </w:instrText>
      </w:r>
      <w:r>
        <w:fldChar w:fldCharType="separate"/>
      </w:r>
      <w:r>
        <w:rPr>
          <w:rStyle w:val="22"/>
          <w:rFonts w:ascii="Times New Roman" w:eastAsia="宋体" w:cs="Times New Roman"/>
          <w:i w:val="0"/>
          <w:iCs w:val="0"/>
          <w:sz w:val="24"/>
          <w:szCs w:val="24"/>
        </w:rPr>
        <w:t>1. 政策设计指标分析</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_Toc78668812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13</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6D9FBD46">
      <w:pPr>
        <w:pStyle w:val="8"/>
        <w:tabs>
          <w:tab w:val="right" w:leader="dot" w:pos="8296"/>
        </w:tabs>
        <w:ind w:firstLine="400"/>
        <w:rPr>
          <w:rFonts w:ascii="Times New Roman" w:eastAsia="宋体" w:cs="Times New Roman"/>
          <w:i w:val="0"/>
          <w:iCs w:val="0"/>
          <w:sz w:val="24"/>
          <w:szCs w:val="24"/>
        </w:rPr>
      </w:pPr>
      <w:r>
        <w:fldChar w:fldCharType="begin"/>
      </w:r>
      <w:r>
        <w:instrText xml:space="preserve"> HYPERLINK \l "_Toc78668813" </w:instrText>
      </w:r>
      <w:r>
        <w:fldChar w:fldCharType="separate"/>
      </w:r>
      <w:r>
        <w:rPr>
          <w:rStyle w:val="22"/>
          <w:rFonts w:ascii="Times New Roman" w:eastAsia="宋体" w:cs="Times New Roman"/>
          <w:i w:val="0"/>
          <w:iCs w:val="0"/>
          <w:sz w:val="24"/>
          <w:szCs w:val="24"/>
        </w:rPr>
        <w:t>2. 政策执行指标分析</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_Toc78668813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15</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242D13AD">
      <w:pPr>
        <w:pStyle w:val="8"/>
        <w:tabs>
          <w:tab w:val="right" w:leader="dot" w:pos="8296"/>
        </w:tabs>
        <w:ind w:firstLine="400"/>
        <w:rPr>
          <w:rFonts w:ascii="Times New Roman" w:eastAsia="宋体" w:cs="Times New Roman"/>
          <w:i w:val="0"/>
          <w:iCs w:val="0"/>
          <w:sz w:val="24"/>
          <w:szCs w:val="24"/>
        </w:rPr>
      </w:pPr>
      <w:r>
        <w:fldChar w:fldCharType="begin"/>
      </w:r>
      <w:r>
        <w:instrText xml:space="preserve"> HYPERLINK \l "_Toc78668814" </w:instrText>
      </w:r>
      <w:r>
        <w:fldChar w:fldCharType="separate"/>
      </w:r>
      <w:r>
        <w:rPr>
          <w:rStyle w:val="22"/>
          <w:rFonts w:ascii="Times New Roman" w:eastAsia="宋体" w:cs="Times New Roman"/>
          <w:i w:val="0"/>
          <w:iCs w:val="0"/>
          <w:sz w:val="24"/>
          <w:szCs w:val="24"/>
        </w:rPr>
        <w:t>3. 政策效果指标分析</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_Toc78668814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18</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7058A764">
      <w:pPr>
        <w:pStyle w:val="13"/>
        <w:tabs>
          <w:tab w:val="right" w:leader="dot" w:pos="8296"/>
        </w:tabs>
        <w:ind w:firstLine="400"/>
        <w:rPr>
          <w:rFonts w:ascii="Times New Roman" w:eastAsia="宋体" w:cs="Times New Roman"/>
          <w:b w:val="0"/>
          <w:bCs w:val="0"/>
          <w:caps w:val="0"/>
          <w:sz w:val="24"/>
          <w:szCs w:val="24"/>
        </w:rPr>
      </w:pPr>
      <w:r>
        <w:fldChar w:fldCharType="begin"/>
      </w:r>
      <w:r>
        <w:instrText xml:space="preserve"> HYPERLINK \l "_Toc78668815" </w:instrText>
      </w:r>
      <w:r>
        <w:fldChar w:fldCharType="separate"/>
      </w:r>
      <w:r>
        <w:rPr>
          <w:rStyle w:val="22"/>
          <w:rFonts w:ascii="Times New Roman" w:eastAsia="宋体" w:cs="Times New Roman"/>
          <w:sz w:val="24"/>
          <w:szCs w:val="24"/>
        </w:rPr>
        <w:t>四、存在主要问题</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_Toc78668815 \h </w:instrText>
      </w:r>
      <w:r>
        <w:rPr>
          <w:rFonts w:ascii="Times New Roman" w:eastAsia="宋体" w:cs="Times New Roman"/>
          <w:sz w:val="24"/>
          <w:szCs w:val="24"/>
        </w:rPr>
        <w:fldChar w:fldCharType="separate"/>
      </w:r>
      <w:r>
        <w:rPr>
          <w:rFonts w:ascii="Times New Roman" w:eastAsia="宋体" w:cs="Times New Roman"/>
          <w:sz w:val="24"/>
          <w:szCs w:val="24"/>
        </w:rPr>
        <w:t>21</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141A957A">
      <w:pPr>
        <w:pStyle w:val="17"/>
        <w:rPr>
          <w:smallCaps w:val="0"/>
          <w:kern w:val="2"/>
          <w:lang w:val="en-US"/>
        </w:rPr>
      </w:pPr>
      <w:r>
        <w:fldChar w:fldCharType="begin"/>
      </w:r>
      <w:r>
        <w:instrText xml:space="preserve"> HYPERLINK \l "_Toc78668816" </w:instrText>
      </w:r>
      <w:r>
        <w:fldChar w:fldCharType="separate"/>
      </w:r>
      <w:r>
        <w:rPr>
          <w:rStyle w:val="22"/>
        </w:rPr>
        <w:t>（一）公交车乘坐率总体较低，服务便利度有待加强</w:t>
      </w:r>
      <w:r>
        <w:tab/>
      </w:r>
      <w:r>
        <w:fldChar w:fldCharType="begin"/>
      </w:r>
      <w:r>
        <w:instrText xml:space="preserve"> PAGEREF _Toc78668816 \h </w:instrText>
      </w:r>
      <w:r>
        <w:fldChar w:fldCharType="separate"/>
      </w:r>
      <w:r>
        <w:t>21</w:t>
      </w:r>
      <w:r>
        <w:fldChar w:fldCharType="end"/>
      </w:r>
      <w:r>
        <w:fldChar w:fldCharType="end"/>
      </w:r>
    </w:p>
    <w:p w14:paraId="5AE51D65">
      <w:pPr>
        <w:pStyle w:val="17"/>
        <w:rPr>
          <w:smallCaps w:val="0"/>
          <w:kern w:val="2"/>
          <w:lang w:val="en-US"/>
        </w:rPr>
      </w:pPr>
      <w:r>
        <w:fldChar w:fldCharType="begin"/>
      </w:r>
      <w:r>
        <w:instrText xml:space="preserve"> HYPERLINK \l "_Toc78668817" </w:instrText>
      </w:r>
      <w:r>
        <w:fldChar w:fldCharType="separate"/>
      </w:r>
      <w:r>
        <w:rPr>
          <w:rStyle w:val="22"/>
        </w:rPr>
        <w:t>（二）公交运营数据薄弱，资金精细化管理有待提升</w:t>
      </w:r>
      <w:r>
        <w:tab/>
      </w:r>
      <w:r>
        <w:fldChar w:fldCharType="begin"/>
      </w:r>
      <w:r>
        <w:instrText xml:space="preserve"> PAGEREF _Toc78668817 \h </w:instrText>
      </w:r>
      <w:r>
        <w:fldChar w:fldCharType="separate"/>
      </w:r>
      <w:r>
        <w:t>22</w:t>
      </w:r>
      <w:r>
        <w:fldChar w:fldCharType="end"/>
      </w:r>
      <w:r>
        <w:fldChar w:fldCharType="end"/>
      </w:r>
    </w:p>
    <w:p w14:paraId="22A58EC0">
      <w:pPr>
        <w:pStyle w:val="13"/>
        <w:tabs>
          <w:tab w:val="right" w:leader="dot" w:pos="8296"/>
        </w:tabs>
        <w:ind w:firstLine="400"/>
        <w:rPr>
          <w:rFonts w:ascii="Times New Roman" w:eastAsia="宋体" w:cs="Times New Roman"/>
          <w:b w:val="0"/>
          <w:bCs w:val="0"/>
          <w:caps w:val="0"/>
          <w:sz w:val="24"/>
          <w:szCs w:val="24"/>
        </w:rPr>
      </w:pPr>
      <w:r>
        <w:fldChar w:fldCharType="begin"/>
      </w:r>
      <w:r>
        <w:instrText xml:space="preserve"> HYPERLINK \l "_Toc78668818" </w:instrText>
      </w:r>
      <w:r>
        <w:fldChar w:fldCharType="separate"/>
      </w:r>
      <w:r>
        <w:rPr>
          <w:rStyle w:val="22"/>
          <w:rFonts w:ascii="Times New Roman" w:eastAsia="宋体" w:cs="Times New Roman"/>
          <w:sz w:val="24"/>
          <w:szCs w:val="24"/>
        </w:rPr>
        <w:t>五、相关措施建议</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_Toc78668818 \h </w:instrText>
      </w:r>
      <w:r>
        <w:rPr>
          <w:rFonts w:ascii="Times New Roman" w:eastAsia="宋体" w:cs="Times New Roman"/>
          <w:sz w:val="24"/>
          <w:szCs w:val="24"/>
        </w:rPr>
        <w:fldChar w:fldCharType="separate"/>
      </w:r>
      <w:r>
        <w:rPr>
          <w:rFonts w:ascii="Times New Roman" w:eastAsia="宋体" w:cs="Times New Roman"/>
          <w:sz w:val="24"/>
          <w:szCs w:val="24"/>
        </w:rPr>
        <w:t>22</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4462142C">
      <w:pPr>
        <w:pStyle w:val="17"/>
        <w:rPr>
          <w:smallCaps w:val="0"/>
          <w:kern w:val="2"/>
          <w:lang w:val="en-US"/>
        </w:rPr>
      </w:pPr>
      <w:r>
        <w:fldChar w:fldCharType="begin"/>
      </w:r>
      <w:r>
        <w:instrText xml:space="preserve"> HYPERLINK \l "_Toc78668819" </w:instrText>
      </w:r>
      <w:r>
        <w:fldChar w:fldCharType="separate"/>
      </w:r>
      <w:r>
        <w:rPr>
          <w:rStyle w:val="22"/>
        </w:rPr>
        <w:t>（一）提高公交公司数据管理，综合性降低营运成本</w:t>
      </w:r>
      <w:r>
        <w:tab/>
      </w:r>
      <w:r>
        <w:fldChar w:fldCharType="begin"/>
      </w:r>
      <w:r>
        <w:instrText xml:space="preserve"> PAGEREF _Toc78668819 \h </w:instrText>
      </w:r>
      <w:r>
        <w:fldChar w:fldCharType="separate"/>
      </w:r>
      <w:r>
        <w:t>22</w:t>
      </w:r>
      <w:r>
        <w:fldChar w:fldCharType="end"/>
      </w:r>
      <w:r>
        <w:fldChar w:fldCharType="end"/>
      </w:r>
    </w:p>
    <w:p w14:paraId="01ACAD36">
      <w:pPr>
        <w:pStyle w:val="17"/>
        <w:rPr>
          <w:smallCaps w:val="0"/>
          <w:kern w:val="2"/>
          <w:lang w:val="en-US"/>
        </w:rPr>
      </w:pPr>
      <w:r>
        <w:fldChar w:fldCharType="begin"/>
      </w:r>
      <w:r>
        <w:instrText xml:space="preserve"> HYPERLINK \l "_Toc78668820" </w:instrText>
      </w:r>
      <w:r>
        <w:fldChar w:fldCharType="separate"/>
      </w:r>
      <w:r>
        <w:rPr>
          <w:rStyle w:val="22"/>
        </w:rPr>
        <w:t>（二）智能优化公交线网设计，创新多元化服务形式</w:t>
      </w:r>
      <w:r>
        <w:tab/>
      </w:r>
      <w:r>
        <w:fldChar w:fldCharType="begin"/>
      </w:r>
      <w:r>
        <w:instrText xml:space="preserve"> PAGEREF _Toc78668820 \h </w:instrText>
      </w:r>
      <w:r>
        <w:fldChar w:fldCharType="separate"/>
      </w:r>
      <w:r>
        <w:t>24</w:t>
      </w:r>
      <w:r>
        <w:fldChar w:fldCharType="end"/>
      </w:r>
      <w:r>
        <w:fldChar w:fldCharType="end"/>
      </w:r>
    </w:p>
    <w:p w14:paraId="587DA032">
      <w:pPr>
        <w:pStyle w:val="13"/>
        <w:tabs>
          <w:tab w:val="right" w:leader="dot" w:pos="8296"/>
        </w:tabs>
        <w:ind w:firstLine="400"/>
        <w:rPr>
          <w:rFonts w:ascii="Times New Roman" w:eastAsia="宋体" w:cs="Times New Roman"/>
          <w:b w:val="0"/>
          <w:bCs w:val="0"/>
          <w:caps w:val="0"/>
          <w:sz w:val="24"/>
          <w:szCs w:val="24"/>
        </w:rPr>
      </w:pPr>
      <w:r>
        <w:fldChar w:fldCharType="begin"/>
      </w:r>
      <w:r>
        <w:instrText xml:space="preserve"> HYPERLINK \l "_Toc78668821" </w:instrText>
      </w:r>
      <w:r>
        <w:fldChar w:fldCharType="separate"/>
      </w:r>
      <w:r>
        <w:rPr>
          <w:rStyle w:val="22"/>
          <w:rFonts w:ascii="Times New Roman" w:eastAsia="宋体" w:cs="Times New Roman"/>
          <w:sz w:val="24"/>
          <w:szCs w:val="24"/>
        </w:rPr>
        <w:t>附件1 其他常用公交补贴模式</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_Toc78668821 \h </w:instrText>
      </w:r>
      <w:r>
        <w:rPr>
          <w:rFonts w:ascii="Times New Roman" w:eastAsia="宋体" w:cs="Times New Roman"/>
          <w:sz w:val="24"/>
          <w:szCs w:val="24"/>
        </w:rPr>
        <w:fldChar w:fldCharType="separate"/>
      </w:r>
      <w:r>
        <w:rPr>
          <w:rFonts w:ascii="Times New Roman" w:eastAsia="宋体" w:cs="Times New Roman"/>
          <w:sz w:val="24"/>
          <w:szCs w:val="24"/>
        </w:rPr>
        <w:t>25</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6677851E">
      <w:pPr>
        <w:pStyle w:val="13"/>
        <w:tabs>
          <w:tab w:val="right" w:leader="dot" w:pos="8296"/>
        </w:tabs>
        <w:ind w:firstLine="400"/>
        <w:rPr>
          <w:rFonts w:ascii="Times New Roman" w:eastAsia="宋体" w:cs="Times New Roman"/>
          <w:b w:val="0"/>
          <w:bCs w:val="0"/>
          <w:caps w:val="0"/>
          <w:sz w:val="24"/>
          <w:szCs w:val="24"/>
        </w:rPr>
      </w:pPr>
      <w:r>
        <w:fldChar w:fldCharType="begin"/>
      </w:r>
      <w:r>
        <w:instrText xml:space="preserve"> HYPERLINK \l "_Toc78668822" </w:instrText>
      </w:r>
      <w:r>
        <w:fldChar w:fldCharType="separate"/>
      </w:r>
      <w:r>
        <w:rPr>
          <w:rStyle w:val="22"/>
          <w:rFonts w:ascii="Times New Roman" w:eastAsia="宋体" w:cs="Times New Roman"/>
          <w:sz w:val="24"/>
          <w:szCs w:val="24"/>
        </w:rPr>
        <w:t>附件2  绵竹市2020年城市公共汽车营运补贴政策支出绩效评价得分表</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_Toc78668822 \h </w:instrText>
      </w:r>
      <w:r>
        <w:rPr>
          <w:rFonts w:ascii="Times New Roman" w:eastAsia="宋体" w:cs="Times New Roman"/>
          <w:sz w:val="24"/>
          <w:szCs w:val="24"/>
        </w:rPr>
        <w:fldChar w:fldCharType="separate"/>
      </w:r>
      <w:r>
        <w:rPr>
          <w:rFonts w:ascii="Times New Roman" w:eastAsia="宋体" w:cs="Times New Roman"/>
          <w:sz w:val="24"/>
          <w:szCs w:val="24"/>
        </w:rPr>
        <w:t>28</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123AB069">
      <w:pPr>
        <w:pStyle w:val="13"/>
        <w:tabs>
          <w:tab w:val="right" w:leader="dot" w:pos="8296"/>
        </w:tabs>
        <w:ind w:firstLine="400"/>
        <w:rPr>
          <w:rFonts w:ascii="Times New Roman" w:eastAsia="宋体" w:cs="Times New Roman"/>
          <w:b w:val="0"/>
          <w:bCs w:val="0"/>
          <w:caps w:val="0"/>
          <w:sz w:val="24"/>
          <w:szCs w:val="24"/>
        </w:rPr>
      </w:pPr>
      <w:r>
        <w:fldChar w:fldCharType="begin"/>
      </w:r>
      <w:r>
        <w:instrText xml:space="preserve"> HYPERLINK \l "_Toc78668823" </w:instrText>
      </w:r>
      <w:r>
        <w:fldChar w:fldCharType="separate"/>
      </w:r>
      <w:r>
        <w:rPr>
          <w:rStyle w:val="22"/>
          <w:rFonts w:ascii="Times New Roman" w:eastAsia="宋体" w:cs="Times New Roman"/>
          <w:sz w:val="24"/>
          <w:szCs w:val="24"/>
        </w:rPr>
        <w:t>附件3 问卷调查结构分析</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_Toc78668823 \h </w:instrText>
      </w:r>
      <w:r>
        <w:rPr>
          <w:rFonts w:ascii="Times New Roman" w:eastAsia="宋体" w:cs="Times New Roman"/>
          <w:sz w:val="24"/>
          <w:szCs w:val="24"/>
        </w:rPr>
        <w:fldChar w:fldCharType="separate"/>
      </w:r>
      <w:r>
        <w:rPr>
          <w:rFonts w:ascii="Times New Roman" w:eastAsia="宋体" w:cs="Times New Roman"/>
          <w:sz w:val="24"/>
          <w:szCs w:val="24"/>
        </w:rPr>
        <w:t>38</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708E5DD2">
      <w:pPr>
        <w:pStyle w:val="17"/>
        <w:rPr>
          <w:smallCaps w:val="0"/>
          <w:kern w:val="2"/>
          <w:lang w:val="en-US"/>
        </w:rPr>
      </w:pPr>
      <w:r>
        <w:fldChar w:fldCharType="begin"/>
      </w:r>
      <w:r>
        <w:instrText xml:space="preserve"> HYPERLINK \l "_Toc78668824" </w:instrText>
      </w:r>
      <w:r>
        <w:fldChar w:fldCharType="separate"/>
      </w:r>
      <w:r>
        <w:rPr>
          <w:rStyle w:val="22"/>
        </w:rPr>
        <w:t>（一）乘客乘车与候车意愿</w:t>
      </w:r>
      <w:r>
        <w:tab/>
      </w:r>
      <w:r>
        <w:fldChar w:fldCharType="begin"/>
      </w:r>
      <w:r>
        <w:instrText xml:space="preserve"> PAGEREF _Toc78668824 \h </w:instrText>
      </w:r>
      <w:r>
        <w:fldChar w:fldCharType="separate"/>
      </w:r>
      <w:r>
        <w:t>38</w:t>
      </w:r>
      <w:r>
        <w:fldChar w:fldCharType="end"/>
      </w:r>
      <w:r>
        <w:fldChar w:fldCharType="end"/>
      </w:r>
    </w:p>
    <w:p w14:paraId="20B22B8A">
      <w:pPr>
        <w:pStyle w:val="17"/>
        <w:rPr>
          <w:smallCaps w:val="0"/>
          <w:kern w:val="2"/>
          <w:lang w:val="en-US"/>
        </w:rPr>
      </w:pPr>
      <w:r>
        <w:fldChar w:fldCharType="begin"/>
      </w:r>
      <w:r>
        <w:instrText xml:space="preserve"> HYPERLINK \l "_Toc78668825" </w:instrText>
      </w:r>
      <w:r>
        <w:fldChar w:fldCharType="separate"/>
      </w:r>
      <w:r>
        <w:rPr>
          <w:rStyle w:val="22"/>
        </w:rPr>
        <w:t>（二）乘车基本情况</w:t>
      </w:r>
      <w:r>
        <w:tab/>
      </w:r>
      <w:r>
        <w:fldChar w:fldCharType="begin"/>
      </w:r>
      <w:r>
        <w:instrText xml:space="preserve"> PAGEREF _Toc78668825 \h </w:instrText>
      </w:r>
      <w:r>
        <w:fldChar w:fldCharType="separate"/>
      </w:r>
      <w:r>
        <w:t>39</w:t>
      </w:r>
      <w:r>
        <w:fldChar w:fldCharType="end"/>
      </w:r>
      <w:r>
        <w:fldChar w:fldCharType="end"/>
      </w:r>
    </w:p>
    <w:p w14:paraId="6E3D167C">
      <w:pPr>
        <w:pStyle w:val="8"/>
        <w:tabs>
          <w:tab w:val="right" w:leader="dot" w:pos="8296"/>
        </w:tabs>
        <w:ind w:firstLine="400"/>
        <w:rPr>
          <w:rFonts w:ascii="Times New Roman" w:eastAsia="宋体" w:cs="Times New Roman"/>
          <w:i w:val="0"/>
          <w:iCs w:val="0"/>
          <w:sz w:val="24"/>
          <w:szCs w:val="24"/>
        </w:rPr>
      </w:pPr>
      <w:r>
        <w:fldChar w:fldCharType="begin"/>
      </w:r>
      <w:r>
        <w:instrText xml:space="preserve"> HYPERLINK \l "_Toc78668826" </w:instrText>
      </w:r>
      <w:r>
        <w:fldChar w:fldCharType="separate"/>
      </w:r>
      <w:r>
        <w:rPr>
          <w:rStyle w:val="22"/>
          <w:rFonts w:ascii="Times New Roman" w:eastAsia="宋体" w:cs="Times New Roman"/>
          <w:i w:val="0"/>
          <w:iCs w:val="0"/>
          <w:sz w:val="24"/>
          <w:szCs w:val="24"/>
          <w:lang w:val="zh-CN"/>
        </w:rPr>
        <w:t>1.乘车方便度</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_Toc78668826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39</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38948C95">
      <w:pPr>
        <w:pStyle w:val="8"/>
        <w:tabs>
          <w:tab w:val="right" w:leader="dot" w:pos="8296"/>
        </w:tabs>
        <w:ind w:firstLine="400"/>
        <w:rPr>
          <w:rFonts w:ascii="Times New Roman" w:eastAsia="宋体" w:cs="Times New Roman"/>
          <w:i w:val="0"/>
          <w:iCs w:val="0"/>
          <w:sz w:val="24"/>
          <w:szCs w:val="24"/>
        </w:rPr>
      </w:pPr>
      <w:r>
        <w:fldChar w:fldCharType="begin"/>
      </w:r>
      <w:r>
        <w:instrText xml:space="preserve"> HYPERLINK \l "_Toc78668827" </w:instrText>
      </w:r>
      <w:r>
        <w:fldChar w:fldCharType="separate"/>
      </w:r>
      <w:r>
        <w:rPr>
          <w:rStyle w:val="22"/>
          <w:rFonts w:ascii="Times New Roman" w:eastAsia="宋体" w:cs="Times New Roman"/>
          <w:i w:val="0"/>
          <w:iCs w:val="0"/>
          <w:sz w:val="24"/>
          <w:szCs w:val="24"/>
          <w:lang w:val="zh-CN"/>
        </w:rPr>
        <w:t>2.乘车安全性</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_Toc78668827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40</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35E1FB95">
      <w:pPr>
        <w:pStyle w:val="8"/>
        <w:tabs>
          <w:tab w:val="right" w:leader="dot" w:pos="8296"/>
        </w:tabs>
        <w:ind w:firstLine="400"/>
        <w:rPr>
          <w:rFonts w:ascii="Times New Roman" w:eastAsia="宋体" w:cs="Times New Roman"/>
          <w:i w:val="0"/>
          <w:iCs w:val="0"/>
          <w:sz w:val="24"/>
          <w:szCs w:val="24"/>
        </w:rPr>
      </w:pPr>
      <w:r>
        <w:fldChar w:fldCharType="begin"/>
      </w:r>
      <w:r>
        <w:instrText xml:space="preserve"> HYPERLINK \l "_Toc78668828" </w:instrText>
      </w:r>
      <w:r>
        <w:fldChar w:fldCharType="separate"/>
      </w:r>
      <w:r>
        <w:rPr>
          <w:rStyle w:val="22"/>
          <w:rFonts w:ascii="Times New Roman" w:eastAsia="宋体" w:cs="Times New Roman"/>
          <w:i w:val="0"/>
          <w:iCs w:val="0"/>
          <w:sz w:val="24"/>
          <w:szCs w:val="24"/>
          <w:lang w:val="zh-CN"/>
        </w:rPr>
        <w:t>3.乘车舒适度</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_Toc78668828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40</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397D5999">
      <w:pPr>
        <w:pStyle w:val="17"/>
        <w:rPr>
          <w:smallCaps w:val="0"/>
          <w:kern w:val="2"/>
          <w:lang w:val="en-US"/>
        </w:rPr>
      </w:pPr>
      <w:r>
        <w:fldChar w:fldCharType="begin"/>
      </w:r>
      <w:r>
        <w:instrText xml:space="preserve"> HYPERLINK \l "_Toc78668829" </w:instrText>
      </w:r>
      <w:r>
        <w:fldChar w:fldCharType="separate"/>
      </w:r>
      <w:r>
        <w:rPr>
          <w:rStyle w:val="22"/>
        </w:rPr>
        <w:t>（三）乘客出行目的</w:t>
      </w:r>
      <w:r>
        <w:tab/>
      </w:r>
      <w:r>
        <w:fldChar w:fldCharType="begin"/>
      </w:r>
      <w:r>
        <w:instrText xml:space="preserve"> PAGEREF _Toc78668829 \h </w:instrText>
      </w:r>
      <w:r>
        <w:fldChar w:fldCharType="separate"/>
      </w:r>
      <w:r>
        <w:t>41</w:t>
      </w:r>
      <w:r>
        <w:fldChar w:fldCharType="end"/>
      </w:r>
      <w:r>
        <w:fldChar w:fldCharType="end"/>
      </w:r>
    </w:p>
    <w:p w14:paraId="18E30D97">
      <w:pPr>
        <w:pStyle w:val="17"/>
        <w:rPr>
          <w:smallCaps w:val="0"/>
          <w:kern w:val="2"/>
          <w:lang w:val="en-US"/>
        </w:rPr>
      </w:pPr>
      <w:r>
        <w:fldChar w:fldCharType="begin"/>
      </w:r>
      <w:r>
        <w:instrText xml:space="preserve"> HYPERLINK \l "_Toc78668830" </w:instrText>
      </w:r>
      <w:r>
        <w:fldChar w:fldCharType="separate"/>
      </w:r>
      <w:r>
        <w:rPr>
          <w:rStyle w:val="22"/>
        </w:rPr>
        <w:t>（四）后疫情时代公共交通发展</w:t>
      </w:r>
      <w:r>
        <w:tab/>
      </w:r>
      <w:r>
        <w:fldChar w:fldCharType="begin"/>
      </w:r>
      <w:r>
        <w:instrText xml:space="preserve"> PAGEREF _Toc78668830 \h </w:instrText>
      </w:r>
      <w:r>
        <w:fldChar w:fldCharType="separate"/>
      </w:r>
      <w:r>
        <w:t>42</w:t>
      </w:r>
      <w:r>
        <w:fldChar w:fldCharType="end"/>
      </w:r>
      <w:r>
        <w:fldChar w:fldCharType="end"/>
      </w:r>
    </w:p>
    <w:p w14:paraId="4E75A9C6">
      <w:pPr>
        <w:spacing w:line="480" w:lineRule="exact"/>
        <w:ind w:firstLine="480"/>
        <w:rPr>
          <w:rFonts w:cs="Times New Roman"/>
          <w:sz w:val="24"/>
          <w:szCs w:val="24"/>
        </w:rPr>
        <w:sectPr>
          <w:pgSz w:w="11906" w:h="16838"/>
          <w:pgMar w:top="1440" w:right="1800" w:bottom="1440" w:left="1800" w:header="851" w:footer="992" w:gutter="0"/>
          <w:cols w:space="425" w:num="1"/>
          <w:docGrid w:type="lines" w:linePitch="312" w:charSpace="0"/>
        </w:sectPr>
      </w:pPr>
      <w:r>
        <w:rPr>
          <w:rFonts w:cs="Times New Roman"/>
          <w:sz w:val="24"/>
          <w:szCs w:val="24"/>
        </w:rPr>
        <w:fldChar w:fldCharType="end"/>
      </w:r>
    </w:p>
    <w:p w14:paraId="470962A1">
      <w:pPr>
        <w:autoSpaceDE w:val="0"/>
        <w:autoSpaceDN w:val="0"/>
        <w:adjustRightInd w:val="0"/>
        <w:spacing w:before="217" w:after="217" w:afterLines="50"/>
        <w:ind w:firstLine="0" w:firstLineChars="0"/>
        <w:jc w:val="center"/>
        <w:rPr>
          <w:rFonts w:eastAsia="方正小标宋_GBK" w:cs="Times New Roman"/>
          <w:b/>
          <w:bCs/>
          <w:sz w:val="44"/>
          <w:szCs w:val="44"/>
        </w:rPr>
      </w:pPr>
      <w:r>
        <w:rPr>
          <w:rFonts w:eastAsia="方正小标宋_GBK" w:cs="Times New Roman"/>
          <w:b/>
          <w:bCs/>
          <w:sz w:val="44"/>
          <w:szCs w:val="44"/>
        </w:rPr>
        <w:t>绵竹市2020年城市公共汽车营运补贴政策</w:t>
      </w:r>
    </w:p>
    <w:p w14:paraId="0D519012">
      <w:pPr>
        <w:autoSpaceDE w:val="0"/>
        <w:autoSpaceDN w:val="0"/>
        <w:adjustRightInd w:val="0"/>
        <w:spacing w:before="217" w:after="217" w:afterLines="50"/>
        <w:ind w:firstLine="0" w:firstLineChars="0"/>
        <w:jc w:val="center"/>
        <w:rPr>
          <w:rFonts w:eastAsia="方正小标宋_GBK" w:cs="Times New Roman"/>
          <w:b/>
          <w:bCs/>
          <w:sz w:val="44"/>
          <w:szCs w:val="44"/>
        </w:rPr>
      </w:pPr>
      <w:r>
        <w:rPr>
          <w:rFonts w:eastAsia="方正小标宋_GBK" w:cs="Times New Roman"/>
          <w:b/>
          <w:bCs/>
          <w:sz w:val="44"/>
          <w:szCs w:val="44"/>
        </w:rPr>
        <w:t>支出绩效评价报告</w:t>
      </w:r>
    </w:p>
    <w:p w14:paraId="66FEE3F5">
      <w:pPr>
        <w:ind w:firstLine="640"/>
        <w:rPr>
          <w:rFonts w:cs="Times New Roman"/>
        </w:rPr>
      </w:pPr>
      <w:r>
        <w:rPr>
          <w:rFonts w:cs="Times New Roman"/>
        </w:rPr>
        <w:t>按照《绵竹市财政局关于开展2021年财政支出绩效评价工作的通知》（竹财监〔2021〕145号），我们接受绵竹市财政局委托，于2021年6月2日至2021年6月3日对绵竹市交通运输局城市公共汽车营运补贴政策开展绩效评价，经过评价小组前期调研、第三方调查（含公众满意度问卷调查和实地核查）等环节，收集相关信息，依据评价指标体系对政策设计、政策执行、政策效果等方面进行综合分析评价，进行了1次座谈会、</w:t>
      </w:r>
      <w:r>
        <w:rPr>
          <w:rFonts w:hint="eastAsia" w:cs="Times New Roman"/>
        </w:rPr>
        <w:t>1</w:t>
      </w:r>
      <w:r>
        <w:rPr>
          <w:rFonts w:cs="Times New Roman"/>
        </w:rPr>
        <w:t>0人次深度访谈，分别采集1路、2路、4路、5路、6路、9路乘客问卷数据共90份。具体情况如下。</w:t>
      </w:r>
    </w:p>
    <w:p w14:paraId="4DD66673">
      <w:pPr>
        <w:pStyle w:val="2"/>
        <w:ind w:firstLine="723"/>
        <w:rPr>
          <w:rFonts w:cs="Times New Roman"/>
        </w:rPr>
      </w:pPr>
      <w:bookmarkStart w:id="0" w:name="_Toc78668794"/>
      <w:r>
        <w:rPr>
          <w:rFonts w:cs="Times New Roman"/>
        </w:rPr>
        <w:t>一、政策基本情况</w:t>
      </w:r>
      <w:bookmarkEnd w:id="0"/>
    </w:p>
    <w:p w14:paraId="3268E5C7">
      <w:pPr>
        <w:pStyle w:val="3"/>
        <w:ind w:firstLine="643"/>
        <w:rPr>
          <w:rFonts w:cs="Times New Roman"/>
        </w:rPr>
      </w:pPr>
      <w:bookmarkStart w:id="1" w:name="_Toc78668795"/>
      <w:r>
        <w:rPr>
          <w:rFonts w:cs="Times New Roman"/>
        </w:rPr>
        <w:t>（一）政策制定背景及设立依据</w:t>
      </w:r>
      <w:bookmarkEnd w:id="1"/>
    </w:p>
    <w:p w14:paraId="3A2B0842">
      <w:pPr>
        <w:ind w:firstLine="640"/>
        <w:rPr>
          <w:rFonts w:cs="Times New Roman"/>
        </w:rPr>
      </w:pPr>
      <w:r>
        <w:rPr>
          <w:rFonts w:cs="Times New Roman"/>
        </w:rPr>
        <w:t>公交优先，实质是百姓优先、民生优先。为认真贯彻落实城市公共交通优先发展战略,改善城市交通运营状况,不断满足和保障人民群众基本出行需求，绵竹市人民政府多年来致力于推动城市、城乡公交一体化进程，打造高效便捷、安全舒适、经济可靠、绿色低碳的城市公交系统。在原有个体经营的公交线路经营权已全部被收购,统一进行公司化经营的基础上，绵竹市宏运公交客运有限责任公司（以下简称宏运公司）先后取得了绵竹市城市公交和城乡公交经营权,成为绵竹市城乡一体化公共交通的承担者和市委、市政府公交优先民生政策的承载体，担负着全市城区、各镇区及村庄公交运营服务任务。</w:t>
      </w:r>
    </w:p>
    <w:p w14:paraId="1A5F704F">
      <w:pPr>
        <w:ind w:firstLine="640"/>
        <w:rPr>
          <w:rFonts w:cs="Times New Roman"/>
        </w:rPr>
      </w:pPr>
      <w:r>
        <w:rPr>
          <w:rFonts w:cs="Times New Roman"/>
        </w:rPr>
        <w:t>按照《国务院关于城市优先发展公共交通的指导意见》(国发〔2012〕64号)文件中要求完善价格补贴机制,对实行低票价、减免票、承担政府指令性任务等形成的政策性亏损,对企业在技术改造、节能减排、经营冷僻线路等方面的投入,地方财政给予适当补贴补偿。宏运公司以低于成本价方式确定的票价，属于低票价，对于形成的政策性亏损，应当获得适当补贴。经过《市交通局关于审定&lt;绵竹市城市公共交通补贴建议方案&gt;的请示》（竹交〔2018〕342号）的两次会商后，于2019年1月4日第十八届三十五次常务会议讨论通过《绵竹市城市公共汽车运营补贴办法》（竹府办〔2019〕5号），绵竹市人民政府决定给予城市公交和城乡公交亏损补贴。该政策由市交通局负责，市发改局、审计局配合，统筹考虑城乡公共交通运行实际，建立考核标准，做好补贴里程认定和成本监控。</w:t>
      </w:r>
    </w:p>
    <w:p w14:paraId="75B573DC">
      <w:pPr>
        <w:pStyle w:val="3"/>
        <w:ind w:firstLine="643"/>
        <w:rPr>
          <w:rFonts w:cs="Times New Roman"/>
        </w:rPr>
      </w:pPr>
      <w:bookmarkStart w:id="2" w:name="_Toc78668796"/>
      <w:r>
        <w:rPr>
          <w:rFonts w:cs="Times New Roman"/>
        </w:rPr>
        <w:t>（二）政策年度绩效目标</w:t>
      </w:r>
      <w:bookmarkEnd w:id="2"/>
    </w:p>
    <w:p w14:paraId="4788EB6D">
      <w:pPr>
        <w:ind w:firstLine="640"/>
        <w:rPr>
          <w:rFonts w:cs="Times New Roman"/>
        </w:rPr>
      </w:pPr>
      <w:r>
        <w:rPr>
          <w:rFonts w:cs="Times New Roman"/>
        </w:rPr>
        <w:t>根据《2020年度城市公共汽车营运补贴政策绩效目标表》，该项政策绩效总目标为进一步加快提升城市公交服务品质，保障运营企业微利经营，遵循“公开透明、责利对等、质量并考、适当补贴”的原则，建立健全政府财政补贴长效机制，预计2020年度绵竹市城市公交车运营总里程为634.00万公里，预算年度总金额330.00万元。综合参考了公交公司运营实际情况以及公交营运补贴特征，具体年度绩效目标如下所示：</w:t>
      </w:r>
    </w:p>
    <w:p w14:paraId="0E09E203">
      <w:pPr>
        <w:spacing w:after="217" w:afterLines="50"/>
        <w:ind w:firstLine="0" w:firstLineChars="0"/>
        <w:jc w:val="center"/>
        <w:rPr>
          <w:rFonts w:eastAsia="幼圆" w:cs="Times New Roman"/>
          <w:b/>
          <w:bCs/>
          <w:sz w:val="28"/>
          <w:szCs w:val="28"/>
        </w:rPr>
      </w:pPr>
      <w:r>
        <w:rPr>
          <w:rFonts w:eastAsia="幼圆" w:cs="Times New Roman"/>
          <w:b/>
          <w:bCs/>
          <w:sz w:val="28"/>
          <w:szCs w:val="28"/>
        </w:rPr>
        <w:t>附表 绵竹市公交运营补贴政策年度绩效目标</w:t>
      </w:r>
    </w:p>
    <w:tbl>
      <w:tblPr>
        <w:tblStyle w:val="20"/>
        <w:tblW w:w="497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6"/>
        <w:gridCol w:w="1100"/>
        <w:gridCol w:w="1744"/>
        <w:gridCol w:w="2714"/>
        <w:gridCol w:w="2362"/>
      </w:tblGrid>
      <w:tr w14:paraId="2C111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328" w:type="pct"/>
            <w:vMerge w:val="restart"/>
            <w:shd w:val="clear" w:color="auto" w:fill="00516B"/>
            <w:vAlign w:val="center"/>
          </w:tcPr>
          <w:p w14:paraId="009C14B9">
            <w:pPr>
              <w:spacing w:after="217" w:afterLines="50" w:line="320" w:lineRule="exact"/>
              <w:ind w:firstLine="0" w:firstLineChars="0"/>
              <w:jc w:val="center"/>
              <w:rPr>
                <w:rFonts w:eastAsia="宋体" w:cs="Times New Roman"/>
                <w:b/>
                <w:sz w:val="20"/>
                <w:szCs w:val="20"/>
              </w:rPr>
            </w:pPr>
            <w:r>
              <w:rPr>
                <w:rFonts w:eastAsia="宋体" w:cs="Times New Roman"/>
                <w:b/>
                <w:sz w:val="20"/>
                <w:szCs w:val="20"/>
              </w:rPr>
              <w:t>绩效指标</w:t>
            </w:r>
          </w:p>
        </w:tc>
        <w:tc>
          <w:tcPr>
            <w:tcW w:w="649" w:type="pct"/>
            <w:shd w:val="clear" w:color="auto" w:fill="00516B"/>
            <w:vAlign w:val="center"/>
          </w:tcPr>
          <w:p w14:paraId="7ED3BE2B">
            <w:pPr>
              <w:spacing w:after="217" w:afterLines="50" w:line="320" w:lineRule="exact"/>
              <w:ind w:firstLine="0" w:firstLineChars="0"/>
              <w:jc w:val="center"/>
              <w:rPr>
                <w:rFonts w:eastAsia="宋体" w:cs="Times New Roman"/>
                <w:b/>
                <w:sz w:val="20"/>
                <w:szCs w:val="20"/>
              </w:rPr>
            </w:pPr>
            <w:r>
              <w:rPr>
                <w:rFonts w:eastAsia="宋体" w:cs="Times New Roman"/>
                <w:b/>
                <w:sz w:val="20"/>
                <w:szCs w:val="20"/>
              </w:rPr>
              <w:t>一级指标</w:t>
            </w:r>
          </w:p>
        </w:tc>
        <w:tc>
          <w:tcPr>
            <w:tcW w:w="1029" w:type="pct"/>
            <w:shd w:val="clear" w:color="auto" w:fill="00516B"/>
            <w:vAlign w:val="center"/>
          </w:tcPr>
          <w:p w14:paraId="1C3363F9">
            <w:pPr>
              <w:spacing w:after="217" w:afterLines="50" w:line="320" w:lineRule="exact"/>
              <w:ind w:firstLine="0" w:firstLineChars="0"/>
              <w:jc w:val="center"/>
              <w:rPr>
                <w:rFonts w:eastAsia="宋体" w:cs="Times New Roman"/>
                <w:b/>
                <w:sz w:val="20"/>
                <w:szCs w:val="20"/>
              </w:rPr>
            </w:pPr>
            <w:r>
              <w:rPr>
                <w:rFonts w:eastAsia="宋体" w:cs="Times New Roman"/>
                <w:b/>
                <w:sz w:val="20"/>
                <w:szCs w:val="20"/>
              </w:rPr>
              <w:t>二级指标</w:t>
            </w:r>
          </w:p>
        </w:tc>
        <w:tc>
          <w:tcPr>
            <w:tcW w:w="1601" w:type="pct"/>
            <w:shd w:val="clear" w:color="auto" w:fill="00516B"/>
            <w:vAlign w:val="center"/>
          </w:tcPr>
          <w:p w14:paraId="7A8EF922">
            <w:pPr>
              <w:spacing w:after="217" w:afterLines="50" w:line="320" w:lineRule="exact"/>
              <w:ind w:firstLine="0" w:firstLineChars="0"/>
              <w:jc w:val="center"/>
              <w:rPr>
                <w:rFonts w:eastAsia="宋体" w:cs="Times New Roman"/>
                <w:b/>
                <w:sz w:val="20"/>
                <w:szCs w:val="20"/>
              </w:rPr>
            </w:pPr>
            <w:r>
              <w:rPr>
                <w:rFonts w:eastAsia="宋体" w:cs="Times New Roman"/>
                <w:b/>
                <w:sz w:val="20"/>
                <w:szCs w:val="20"/>
              </w:rPr>
              <w:t>三级指标</w:t>
            </w:r>
          </w:p>
        </w:tc>
        <w:tc>
          <w:tcPr>
            <w:tcW w:w="1393" w:type="pct"/>
            <w:shd w:val="clear" w:color="auto" w:fill="00516B"/>
            <w:vAlign w:val="center"/>
          </w:tcPr>
          <w:p w14:paraId="59F87799">
            <w:pPr>
              <w:spacing w:after="217" w:afterLines="50" w:line="320" w:lineRule="exact"/>
              <w:ind w:firstLine="0" w:firstLineChars="0"/>
              <w:jc w:val="center"/>
              <w:rPr>
                <w:rFonts w:eastAsia="宋体" w:cs="Times New Roman"/>
                <w:b/>
                <w:sz w:val="20"/>
                <w:szCs w:val="20"/>
              </w:rPr>
            </w:pPr>
            <w:r>
              <w:rPr>
                <w:rFonts w:eastAsia="宋体" w:cs="Times New Roman"/>
                <w:b/>
                <w:sz w:val="20"/>
                <w:szCs w:val="20"/>
              </w:rPr>
              <w:t>年度指标值</w:t>
            </w:r>
          </w:p>
        </w:tc>
      </w:tr>
      <w:tr w14:paraId="013B3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8" w:type="pct"/>
            <w:vMerge w:val="continue"/>
            <w:shd w:val="clear" w:color="auto" w:fill="00516B"/>
            <w:vAlign w:val="center"/>
          </w:tcPr>
          <w:p w14:paraId="26DE1525">
            <w:pPr>
              <w:spacing w:after="217" w:afterLines="50" w:line="320" w:lineRule="exact"/>
              <w:ind w:firstLine="0" w:firstLineChars="0"/>
              <w:jc w:val="center"/>
              <w:rPr>
                <w:rFonts w:eastAsia="宋体" w:cs="Times New Roman"/>
                <w:sz w:val="20"/>
                <w:szCs w:val="20"/>
              </w:rPr>
            </w:pPr>
          </w:p>
        </w:tc>
        <w:tc>
          <w:tcPr>
            <w:tcW w:w="649" w:type="pct"/>
            <w:vMerge w:val="restart"/>
            <w:shd w:val="clear" w:color="auto" w:fill="auto"/>
            <w:vAlign w:val="center"/>
          </w:tcPr>
          <w:p w14:paraId="30DDF7BF">
            <w:pPr>
              <w:spacing w:after="217" w:afterLines="50" w:line="320" w:lineRule="exact"/>
              <w:ind w:firstLine="0" w:firstLineChars="0"/>
              <w:jc w:val="center"/>
              <w:rPr>
                <w:rFonts w:eastAsia="宋体" w:cs="Times New Roman"/>
                <w:sz w:val="20"/>
                <w:szCs w:val="20"/>
              </w:rPr>
            </w:pPr>
            <w:r>
              <w:rPr>
                <w:rFonts w:eastAsia="宋体" w:cs="Times New Roman"/>
                <w:sz w:val="20"/>
                <w:szCs w:val="20"/>
              </w:rPr>
              <w:t>产出指标</w:t>
            </w:r>
          </w:p>
        </w:tc>
        <w:tc>
          <w:tcPr>
            <w:tcW w:w="1029" w:type="pct"/>
            <w:shd w:val="clear" w:color="auto" w:fill="auto"/>
            <w:vAlign w:val="center"/>
          </w:tcPr>
          <w:p w14:paraId="4E7622EB">
            <w:pPr>
              <w:spacing w:after="217" w:afterLines="50" w:line="320" w:lineRule="exact"/>
              <w:ind w:firstLine="0" w:firstLineChars="0"/>
              <w:jc w:val="center"/>
              <w:rPr>
                <w:rFonts w:eastAsia="宋体" w:cs="Times New Roman"/>
                <w:sz w:val="20"/>
                <w:szCs w:val="20"/>
              </w:rPr>
            </w:pPr>
            <w:r>
              <w:rPr>
                <w:rFonts w:eastAsia="宋体" w:cs="Times New Roman"/>
                <w:sz w:val="20"/>
                <w:szCs w:val="20"/>
              </w:rPr>
              <w:t>数量指标</w:t>
            </w:r>
          </w:p>
        </w:tc>
        <w:tc>
          <w:tcPr>
            <w:tcW w:w="1601" w:type="pct"/>
            <w:shd w:val="clear" w:color="auto" w:fill="auto"/>
            <w:vAlign w:val="center"/>
          </w:tcPr>
          <w:p w14:paraId="2526649E">
            <w:pPr>
              <w:spacing w:after="217" w:afterLines="50" w:line="320" w:lineRule="exact"/>
              <w:ind w:firstLine="0" w:firstLineChars="0"/>
              <w:jc w:val="center"/>
              <w:rPr>
                <w:rFonts w:eastAsia="宋体" w:cs="Times New Roman"/>
                <w:sz w:val="20"/>
                <w:szCs w:val="20"/>
              </w:rPr>
            </w:pPr>
            <w:r>
              <w:rPr>
                <w:rFonts w:eastAsia="宋体" w:cs="Times New Roman"/>
                <w:sz w:val="20"/>
                <w:szCs w:val="20"/>
              </w:rPr>
              <w:t>全市城市公交车辆</w:t>
            </w:r>
          </w:p>
        </w:tc>
        <w:tc>
          <w:tcPr>
            <w:tcW w:w="1393" w:type="pct"/>
            <w:shd w:val="clear" w:color="auto" w:fill="auto"/>
            <w:vAlign w:val="center"/>
          </w:tcPr>
          <w:p w14:paraId="4CEED3AB">
            <w:pPr>
              <w:spacing w:after="217" w:afterLines="50" w:line="320" w:lineRule="exact"/>
              <w:ind w:firstLine="0" w:firstLineChars="0"/>
              <w:jc w:val="center"/>
              <w:rPr>
                <w:rFonts w:eastAsia="宋体" w:cs="Times New Roman"/>
                <w:sz w:val="20"/>
                <w:szCs w:val="20"/>
              </w:rPr>
            </w:pPr>
            <w:r>
              <w:rPr>
                <w:rFonts w:eastAsia="宋体" w:cs="Times New Roman"/>
                <w:sz w:val="20"/>
                <w:szCs w:val="20"/>
              </w:rPr>
              <w:t xml:space="preserve">宏运公交公司12条城市公交线路共98辆城市公交车辆   </w:t>
            </w:r>
          </w:p>
        </w:tc>
      </w:tr>
      <w:tr w14:paraId="1E1CB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8" w:type="pct"/>
            <w:vMerge w:val="continue"/>
            <w:shd w:val="clear" w:color="auto" w:fill="00516B"/>
            <w:vAlign w:val="center"/>
          </w:tcPr>
          <w:p w14:paraId="56F5F1CF">
            <w:pPr>
              <w:spacing w:after="217" w:afterLines="50" w:line="320" w:lineRule="exact"/>
              <w:ind w:firstLine="0" w:firstLineChars="0"/>
              <w:jc w:val="center"/>
              <w:rPr>
                <w:rFonts w:eastAsia="宋体" w:cs="Times New Roman"/>
                <w:sz w:val="20"/>
                <w:szCs w:val="20"/>
              </w:rPr>
            </w:pPr>
          </w:p>
        </w:tc>
        <w:tc>
          <w:tcPr>
            <w:tcW w:w="649" w:type="pct"/>
            <w:vMerge w:val="continue"/>
            <w:shd w:val="clear" w:color="auto" w:fill="auto"/>
            <w:vAlign w:val="center"/>
          </w:tcPr>
          <w:p w14:paraId="344A8750">
            <w:pPr>
              <w:spacing w:after="217" w:afterLines="50" w:line="320" w:lineRule="exact"/>
              <w:ind w:firstLine="0" w:firstLineChars="0"/>
              <w:jc w:val="center"/>
              <w:rPr>
                <w:rFonts w:eastAsia="宋体" w:cs="Times New Roman"/>
                <w:sz w:val="20"/>
                <w:szCs w:val="20"/>
              </w:rPr>
            </w:pPr>
          </w:p>
        </w:tc>
        <w:tc>
          <w:tcPr>
            <w:tcW w:w="1029" w:type="pct"/>
            <w:shd w:val="clear" w:color="auto" w:fill="auto"/>
            <w:vAlign w:val="center"/>
          </w:tcPr>
          <w:p w14:paraId="2A35E9B2">
            <w:pPr>
              <w:spacing w:after="217" w:afterLines="50" w:line="320" w:lineRule="exact"/>
              <w:ind w:firstLine="0" w:firstLineChars="0"/>
              <w:jc w:val="center"/>
              <w:rPr>
                <w:rFonts w:eastAsia="宋体" w:cs="Times New Roman"/>
                <w:sz w:val="20"/>
                <w:szCs w:val="20"/>
              </w:rPr>
            </w:pPr>
            <w:r>
              <w:rPr>
                <w:rFonts w:eastAsia="宋体" w:cs="Times New Roman"/>
                <w:sz w:val="20"/>
                <w:szCs w:val="20"/>
              </w:rPr>
              <w:t>质量指标</w:t>
            </w:r>
          </w:p>
        </w:tc>
        <w:tc>
          <w:tcPr>
            <w:tcW w:w="1601" w:type="pct"/>
            <w:shd w:val="clear" w:color="auto" w:fill="auto"/>
            <w:vAlign w:val="center"/>
          </w:tcPr>
          <w:p w14:paraId="71531F23">
            <w:pPr>
              <w:spacing w:after="217" w:afterLines="50" w:line="320" w:lineRule="exact"/>
              <w:ind w:firstLine="0" w:firstLineChars="0"/>
              <w:jc w:val="center"/>
              <w:rPr>
                <w:rFonts w:eastAsia="宋体" w:cs="Times New Roman"/>
                <w:sz w:val="20"/>
                <w:szCs w:val="20"/>
              </w:rPr>
            </w:pPr>
            <w:r>
              <w:rPr>
                <w:rFonts w:eastAsia="宋体" w:cs="Times New Roman"/>
                <w:sz w:val="20"/>
                <w:szCs w:val="20"/>
              </w:rPr>
              <w:t>进一步加快提升城市公交服务品质，保障运营企业微利经营</w:t>
            </w:r>
          </w:p>
        </w:tc>
        <w:tc>
          <w:tcPr>
            <w:tcW w:w="1393" w:type="pct"/>
            <w:shd w:val="clear" w:color="auto" w:fill="auto"/>
            <w:vAlign w:val="center"/>
          </w:tcPr>
          <w:p w14:paraId="1CDE7AE0">
            <w:pPr>
              <w:spacing w:after="217" w:afterLines="50" w:line="320" w:lineRule="exact"/>
              <w:ind w:firstLine="0" w:firstLineChars="0"/>
              <w:jc w:val="center"/>
              <w:rPr>
                <w:rFonts w:eastAsia="宋体" w:cs="Times New Roman"/>
                <w:sz w:val="20"/>
                <w:szCs w:val="20"/>
              </w:rPr>
            </w:pPr>
            <w:r>
              <w:rPr>
                <w:rFonts w:eastAsia="宋体" w:cs="Times New Roman"/>
                <w:sz w:val="20"/>
                <w:szCs w:val="20"/>
              </w:rPr>
              <w:t>对我市所有城市公交纳入运营亏损补贴范围</w:t>
            </w:r>
          </w:p>
        </w:tc>
      </w:tr>
      <w:tr w14:paraId="661B9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8" w:type="pct"/>
            <w:vMerge w:val="continue"/>
            <w:shd w:val="clear" w:color="auto" w:fill="00516B"/>
            <w:vAlign w:val="center"/>
          </w:tcPr>
          <w:p w14:paraId="4DF00B89">
            <w:pPr>
              <w:spacing w:after="217" w:afterLines="50" w:line="320" w:lineRule="exact"/>
              <w:ind w:firstLine="0" w:firstLineChars="0"/>
              <w:jc w:val="center"/>
              <w:rPr>
                <w:rFonts w:eastAsia="宋体" w:cs="Times New Roman"/>
                <w:sz w:val="20"/>
                <w:szCs w:val="20"/>
              </w:rPr>
            </w:pPr>
          </w:p>
        </w:tc>
        <w:tc>
          <w:tcPr>
            <w:tcW w:w="649" w:type="pct"/>
            <w:vMerge w:val="continue"/>
            <w:shd w:val="clear" w:color="auto" w:fill="auto"/>
            <w:vAlign w:val="center"/>
          </w:tcPr>
          <w:p w14:paraId="0CF75406">
            <w:pPr>
              <w:spacing w:after="217" w:afterLines="50" w:line="320" w:lineRule="exact"/>
              <w:ind w:firstLine="0" w:firstLineChars="0"/>
              <w:jc w:val="center"/>
              <w:rPr>
                <w:rFonts w:eastAsia="宋体" w:cs="Times New Roman"/>
                <w:sz w:val="20"/>
                <w:szCs w:val="20"/>
              </w:rPr>
            </w:pPr>
          </w:p>
        </w:tc>
        <w:tc>
          <w:tcPr>
            <w:tcW w:w="1029" w:type="pct"/>
            <w:shd w:val="clear" w:color="auto" w:fill="auto"/>
            <w:vAlign w:val="center"/>
          </w:tcPr>
          <w:p w14:paraId="075F2813">
            <w:pPr>
              <w:spacing w:after="217" w:afterLines="50" w:line="320" w:lineRule="exact"/>
              <w:ind w:firstLine="0" w:firstLineChars="0"/>
              <w:jc w:val="center"/>
              <w:rPr>
                <w:rFonts w:eastAsia="宋体" w:cs="Times New Roman"/>
                <w:sz w:val="20"/>
                <w:szCs w:val="20"/>
              </w:rPr>
            </w:pPr>
            <w:r>
              <w:rPr>
                <w:rFonts w:eastAsia="宋体" w:cs="Times New Roman"/>
                <w:color w:val="000000"/>
                <w:sz w:val="20"/>
                <w:szCs w:val="20"/>
              </w:rPr>
              <w:t>时效指标</w:t>
            </w:r>
          </w:p>
        </w:tc>
        <w:tc>
          <w:tcPr>
            <w:tcW w:w="1601" w:type="pct"/>
            <w:shd w:val="clear" w:color="auto" w:fill="auto"/>
            <w:vAlign w:val="center"/>
          </w:tcPr>
          <w:p w14:paraId="689115BA">
            <w:pPr>
              <w:spacing w:after="217" w:afterLines="50" w:line="320" w:lineRule="exact"/>
              <w:ind w:firstLine="0" w:firstLineChars="0"/>
              <w:jc w:val="center"/>
              <w:rPr>
                <w:rFonts w:eastAsia="宋体" w:cs="Times New Roman"/>
                <w:sz w:val="20"/>
                <w:szCs w:val="20"/>
              </w:rPr>
            </w:pPr>
            <w:r>
              <w:rPr>
                <w:rFonts w:eastAsia="宋体" w:cs="Times New Roman"/>
                <w:color w:val="000000"/>
                <w:sz w:val="20"/>
                <w:szCs w:val="20"/>
              </w:rPr>
              <w:t>完成时间</w:t>
            </w:r>
          </w:p>
        </w:tc>
        <w:tc>
          <w:tcPr>
            <w:tcW w:w="1393" w:type="pct"/>
            <w:shd w:val="clear" w:color="auto" w:fill="auto"/>
            <w:vAlign w:val="center"/>
          </w:tcPr>
          <w:p w14:paraId="20FB5C96">
            <w:pPr>
              <w:spacing w:after="217" w:afterLines="50" w:line="320" w:lineRule="exact"/>
              <w:ind w:firstLine="0" w:firstLineChars="0"/>
              <w:jc w:val="center"/>
              <w:rPr>
                <w:rFonts w:eastAsia="宋体" w:cs="Times New Roman"/>
                <w:sz w:val="20"/>
                <w:szCs w:val="20"/>
              </w:rPr>
            </w:pPr>
            <w:r>
              <w:rPr>
                <w:rFonts w:eastAsia="宋体" w:cs="Times New Roman"/>
                <w:color w:val="000000"/>
                <w:sz w:val="20"/>
                <w:szCs w:val="20"/>
              </w:rPr>
              <w:t>2020年12月31日</w:t>
            </w:r>
          </w:p>
        </w:tc>
      </w:tr>
      <w:tr w14:paraId="25BB9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8" w:type="pct"/>
            <w:vMerge w:val="continue"/>
            <w:shd w:val="clear" w:color="auto" w:fill="00516B"/>
            <w:vAlign w:val="center"/>
          </w:tcPr>
          <w:p w14:paraId="4C3F0D25">
            <w:pPr>
              <w:spacing w:after="217" w:afterLines="50" w:line="320" w:lineRule="exact"/>
              <w:ind w:firstLine="0" w:firstLineChars="0"/>
              <w:jc w:val="center"/>
              <w:rPr>
                <w:rFonts w:eastAsia="宋体" w:cs="Times New Roman"/>
                <w:sz w:val="20"/>
                <w:szCs w:val="20"/>
              </w:rPr>
            </w:pPr>
          </w:p>
        </w:tc>
        <w:tc>
          <w:tcPr>
            <w:tcW w:w="649" w:type="pct"/>
            <w:vMerge w:val="continue"/>
            <w:shd w:val="clear" w:color="auto" w:fill="auto"/>
            <w:vAlign w:val="center"/>
          </w:tcPr>
          <w:p w14:paraId="29E81D88">
            <w:pPr>
              <w:spacing w:after="217" w:afterLines="50" w:line="320" w:lineRule="exact"/>
              <w:ind w:firstLine="0" w:firstLineChars="0"/>
              <w:jc w:val="center"/>
              <w:rPr>
                <w:rFonts w:eastAsia="宋体" w:cs="Times New Roman"/>
                <w:sz w:val="20"/>
                <w:szCs w:val="20"/>
              </w:rPr>
            </w:pPr>
          </w:p>
        </w:tc>
        <w:tc>
          <w:tcPr>
            <w:tcW w:w="1029" w:type="pct"/>
            <w:shd w:val="clear" w:color="auto" w:fill="auto"/>
            <w:vAlign w:val="center"/>
          </w:tcPr>
          <w:p w14:paraId="48C1C31F">
            <w:pPr>
              <w:spacing w:after="217" w:afterLines="50" w:line="320" w:lineRule="exact"/>
              <w:ind w:firstLine="0" w:firstLineChars="0"/>
              <w:jc w:val="center"/>
              <w:rPr>
                <w:rFonts w:eastAsia="宋体" w:cs="Times New Roman"/>
                <w:sz w:val="20"/>
                <w:szCs w:val="20"/>
              </w:rPr>
            </w:pPr>
            <w:r>
              <w:rPr>
                <w:rFonts w:eastAsia="宋体" w:cs="Times New Roman"/>
                <w:sz w:val="20"/>
                <w:szCs w:val="20"/>
              </w:rPr>
              <w:t>成本指标</w:t>
            </w:r>
          </w:p>
        </w:tc>
        <w:tc>
          <w:tcPr>
            <w:tcW w:w="1601" w:type="pct"/>
            <w:shd w:val="clear" w:color="auto" w:fill="auto"/>
            <w:vAlign w:val="center"/>
          </w:tcPr>
          <w:p w14:paraId="4C67587F">
            <w:pPr>
              <w:spacing w:after="217" w:afterLines="50" w:line="320" w:lineRule="exact"/>
              <w:ind w:firstLine="0" w:firstLineChars="0"/>
              <w:jc w:val="center"/>
              <w:rPr>
                <w:rFonts w:eastAsia="宋体" w:cs="Times New Roman"/>
                <w:sz w:val="20"/>
                <w:szCs w:val="20"/>
              </w:rPr>
            </w:pPr>
            <w:r>
              <w:rPr>
                <w:rFonts w:eastAsia="宋体" w:cs="Times New Roman"/>
                <w:sz w:val="20"/>
                <w:szCs w:val="20"/>
              </w:rPr>
              <w:t>资金安排</w:t>
            </w:r>
          </w:p>
        </w:tc>
        <w:tc>
          <w:tcPr>
            <w:tcW w:w="1393" w:type="pct"/>
            <w:shd w:val="clear" w:color="auto" w:fill="auto"/>
            <w:vAlign w:val="center"/>
          </w:tcPr>
          <w:p w14:paraId="33BAF0FB">
            <w:pPr>
              <w:spacing w:after="217" w:afterLines="50" w:line="320" w:lineRule="exact"/>
              <w:ind w:firstLine="0" w:firstLineChars="0"/>
              <w:jc w:val="center"/>
              <w:rPr>
                <w:rFonts w:eastAsia="宋体" w:cs="Times New Roman"/>
                <w:sz w:val="20"/>
                <w:szCs w:val="20"/>
              </w:rPr>
            </w:pPr>
            <w:r>
              <w:rPr>
                <w:rFonts w:eastAsia="宋体" w:cs="Times New Roman"/>
                <w:sz w:val="20"/>
                <w:szCs w:val="20"/>
              </w:rPr>
              <w:t>预计2020年度我市城市公交车运营总里程为634万公里。预算年度总金额330</w:t>
            </w:r>
            <w:r>
              <w:rPr>
                <w:rFonts w:hint="eastAsia" w:eastAsia="宋体" w:cs="Times New Roman"/>
                <w:sz w:val="20"/>
                <w:szCs w:val="20"/>
              </w:rPr>
              <w:t>.00</w:t>
            </w:r>
            <w:r>
              <w:rPr>
                <w:rFonts w:eastAsia="宋体" w:cs="Times New Roman"/>
                <w:sz w:val="20"/>
                <w:szCs w:val="20"/>
              </w:rPr>
              <w:t>万元</w:t>
            </w:r>
          </w:p>
        </w:tc>
      </w:tr>
      <w:tr w14:paraId="4C549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8" w:type="pct"/>
            <w:vMerge w:val="continue"/>
            <w:shd w:val="clear" w:color="auto" w:fill="00516B"/>
            <w:vAlign w:val="center"/>
          </w:tcPr>
          <w:p w14:paraId="286E4099">
            <w:pPr>
              <w:spacing w:after="217" w:afterLines="50" w:line="320" w:lineRule="exact"/>
              <w:ind w:firstLine="0" w:firstLineChars="0"/>
              <w:jc w:val="center"/>
              <w:rPr>
                <w:rFonts w:eastAsia="宋体" w:cs="Times New Roman"/>
                <w:sz w:val="20"/>
                <w:szCs w:val="20"/>
              </w:rPr>
            </w:pPr>
          </w:p>
        </w:tc>
        <w:tc>
          <w:tcPr>
            <w:tcW w:w="649" w:type="pct"/>
            <w:vMerge w:val="restart"/>
            <w:shd w:val="clear" w:color="auto" w:fill="auto"/>
            <w:vAlign w:val="center"/>
          </w:tcPr>
          <w:p w14:paraId="28B0FBBC">
            <w:pPr>
              <w:spacing w:after="217" w:afterLines="50" w:line="320" w:lineRule="exact"/>
              <w:ind w:firstLine="0" w:firstLineChars="0"/>
              <w:jc w:val="center"/>
              <w:rPr>
                <w:rFonts w:eastAsia="宋体" w:cs="Times New Roman"/>
                <w:sz w:val="20"/>
                <w:szCs w:val="20"/>
              </w:rPr>
            </w:pPr>
            <w:r>
              <w:rPr>
                <w:rFonts w:eastAsia="宋体" w:cs="Times New Roman"/>
                <w:sz w:val="20"/>
                <w:szCs w:val="20"/>
              </w:rPr>
              <w:t>效益指标</w:t>
            </w:r>
          </w:p>
        </w:tc>
        <w:tc>
          <w:tcPr>
            <w:tcW w:w="1029" w:type="pct"/>
            <w:shd w:val="clear" w:color="auto" w:fill="auto"/>
            <w:vAlign w:val="center"/>
          </w:tcPr>
          <w:p w14:paraId="28B62015">
            <w:pPr>
              <w:spacing w:after="217" w:afterLines="50" w:line="320" w:lineRule="exact"/>
              <w:ind w:firstLine="0" w:firstLineChars="0"/>
              <w:jc w:val="center"/>
              <w:rPr>
                <w:rFonts w:eastAsia="宋体" w:cs="Times New Roman"/>
                <w:sz w:val="20"/>
                <w:szCs w:val="20"/>
              </w:rPr>
            </w:pPr>
            <w:r>
              <w:rPr>
                <w:rFonts w:eastAsia="宋体" w:cs="Times New Roman"/>
                <w:color w:val="000000"/>
                <w:sz w:val="20"/>
                <w:szCs w:val="20"/>
              </w:rPr>
              <w:t>可持续影响指标</w:t>
            </w:r>
          </w:p>
        </w:tc>
        <w:tc>
          <w:tcPr>
            <w:tcW w:w="1601" w:type="pct"/>
            <w:shd w:val="clear" w:color="auto" w:fill="auto"/>
            <w:vAlign w:val="center"/>
          </w:tcPr>
          <w:p w14:paraId="6DF995BA">
            <w:pPr>
              <w:spacing w:after="217" w:afterLines="50" w:line="320" w:lineRule="exact"/>
              <w:ind w:firstLine="0" w:firstLineChars="0"/>
              <w:jc w:val="center"/>
              <w:rPr>
                <w:rFonts w:eastAsia="宋体" w:cs="Times New Roman"/>
                <w:sz w:val="20"/>
                <w:szCs w:val="20"/>
              </w:rPr>
            </w:pPr>
            <w:r>
              <w:rPr>
                <w:rFonts w:eastAsia="宋体" w:cs="Times New Roman"/>
                <w:color w:val="000000"/>
                <w:sz w:val="20"/>
                <w:szCs w:val="20"/>
              </w:rPr>
              <w:t>保障运营企业微利经营，能健康持续发展</w:t>
            </w:r>
          </w:p>
        </w:tc>
        <w:tc>
          <w:tcPr>
            <w:tcW w:w="1393" w:type="pct"/>
            <w:shd w:val="clear" w:color="auto" w:fill="auto"/>
            <w:vAlign w:val="center"/>
          </w:tcPr>
          <w:p w14:paraId="1AF1E115">
            <w:pPr>
              <w:spacing w:after="217" w:afterLines="50" w:line="320" w:lineRule="exact"/>
              <w:ind w:firstLine="0" w:firstLineChars="0"/>
              <w:jc w:val="center"/>
              <w:rPr>
                <w:rFonts w:eastAsia="宋体" w:cs="Times New Roman"/>
                <w:sz w:val="20"/>
                <w:szCs w:val="20"/>
              </w:rPr>
            </w:pPr>
            <w:r>
              <w:rPr>
                <w:rFonts w:eastAsia="宋体" w:cs="Times New Roman"/>
                <w:color w:val="000000"/>
                <w:sz w:val="20"/>
                <w:szCs w:val="20"/>
              </w:rPr>
              <w:t>通过建立我市城市公交车辆运营补贴机制，使企业摆脱亏损局面，能</w:t>
            </w:r>
            <w:r>
              <w:rPr>
                <w:rFonts w:hint="eastAsia" w:eastAsia="宋体" w:cs="Times New Roman"/>
                <w:color w:val="000000"/>
                <w:sz w:val="20"/>
                <w:szCs w:val="20"/>
                <w:lang w:eastAsia="zh-CN"/>
              </w:rPr>
              <w:t>更好地为</w:t>
            </w:r>
            <w:r>
              <w:rPr>
                <w:rFonts w:eastAsia="宋体" w:cs="Times New Roman"/>
                <w:color w:val="000000"/>
                <w:sz w:val="20"/>
                <w:szCs w:val="20"/>
              </w:rPr>
              <w:t>群众提高高效、便利的城市公交服务，提升城市形象</w:t>
            </w:r>
          </w:p>
        </w:tc>
      </w:tr>
      <w:tr w14:paraId="50209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8" w:type="pct"/>
            <w:vMerge w:val="continue"/>
            <w:shd w:val="clear" w:color="auto" w:fill="00516B"/>
            <w:vAlign w:val="center"/>
          </w:tcPr>
          <w:p w14:paraId="63CA5E95">
            <w:pPr>
              <w:spacing w:after="217" w:afterLines="50" w:line="320" w:lineRule="exact"/>
              <w:ind w:firstLine="0" w:firstLineChars="0"/>
              <w:jc w:val="center"/>
              <w:rPr>
                <w:rFonts w:eastAsia="宋体" w:cs="Times New Roman"/>
                <w:sz w:val="20"/>
                <w:szCs w:val="20"/>
              </w:rPr>
            </w:pPr>
          </w:p>
        </w:tc>
        <w:tc>
          <w:tcPr>
            <w:tcW w:w="649" w:type="pct"/>
            <w:vMerge w:val="continue"/>
            <w:shd w:val="clear" w:color="auto" w:fill="auto"/>
            <w:vAlign w:val="center"/>
          </w:tcPr>
          <w:p w14:paraId="659B69B2">
            <w:pPr>
              <w:spacing w:after="217" w:afterLines="50" w:line="320" w:lineRule="exact"/>
              <w:ind w:firstLine="0" w:firstLineChars="0"/>
              <w:jc w:val="center"/>
              <w:rPr>
                <w:rFonts w:eastAsia="宋体" w:cs="Times New Roman"/>
                <w:sz w:val="20"/>
                <w:szCs w:val="20"/>
              </w:rPr>
            </w:pPr>
          </w:p>
        </w:tc>
        <w:tc>
          <w:tcPr>
            <w:tcW w:w="1029" w:type="pct"/>
            <w:shd w:val="clear" w:color="auto" w:fill="auto"/>
            <w:vAlign w:val="center"/>
          </w:tcPr>
          <w:p w14:paraId="1632BD44">
            <w:pPr>
              <w:spacing w:after="217" w:afterLines="50" w:line="320" w:lineRule="exact"/>
              <w:ind w:firstLine="0" w:firstLineChars="0"/>
              <w:jc w:val="center"/>
              <w:rPr>
                <w:rFonts w:eastAsia="宋体" w:cs="Times New Roman"/>
                <w:sz w:val="20"/>
                <w:szCs w:val="20"/>
              </w:rPr>
            </w:pPr>
            <w:r>
              <w:rPr>
                <w:rFonts w:eastAsia="宋体" w:cs="Times New Roman"/>
                <w:color w:val="000000"/>
                <w:sz w:val="20"/>
                <w:szCs w:val="20"/>
              </w:rPr>
              <w:t>满意度指标</w:t>
            </w:r>
          </w:p>
        </w:tc>
        <w:tc>
          <w:tcPr>
            <w:tcW w:w="1601" w:type="pct"/>
            <w:shd w:val="clear" w:color="auto" w:fill="auto"/>
            <w:vAlign w:val="center"/>
          </w:tcPr>
          <w:p w14:paraId="339386E3">
            <w:pPr>
              <w:spacing w:after="217" w:afterLines="50" w:line="320" w:lineRule="exact"/>
              <w:ind w:firstLine="0" w:firstLineChars="0"/>
              <w:jc w:val="center"/>
              <w:rPr>
                <w:rFonts w:eastAsia="宋体" w:cs="Times New Roman"/>
                <w:sz w:val="20"/>
                <w:szCs w:val="20"/>
              </w:rPr>
            </w:pPr>
            <w:r>
              <w:rPr>
                <w:rFonts w:eastAsia="宋体" w:cs="Times New Roman"/>
                <w:color w:val="000000"/>
                <w:sz w:val="20"/>
                <w:szCs w:val="20"/>
              </w:rPr>
              <w:t>群众满意</w:t>
            </w:r>
          </w:p>
        </w:tc>
        <w:tc>
          <w:tcPr>
            <w:tcW w:w="1393" w:type="pct"/>
            <w:shd w:val="clear" w:color="auto" w:fill="auto"/>
            <w:vAlign w:val="center"/>
          </w:tcPr>
          <w:p w14:paraId="3DAA7A3F">
            <w:pPr>
              <w:spacing w:after="217" w:afterLines="50" w:line="320" w:lineRule="exact"/>
              <w:ind w:firstLine="0" w:firstLineChars="0"/>
              <w:jc w:val="center"/>
              <w:rPr>
                <w:rFonts w:eastAsia="宋体" w:cs="Times New Roman"/>
                <w:sz w:val="20"/>
                <w:szCs w:val="20"/>
              </w:rPr>
            </w:pPr>
            <w:r>
              <w:rPr>
                <w:rFonts w:eastAsia="宋体" w:cs="Times New Roman"/>
                <w:color w:val="000000"/>
                <w:sz w:val="20"/>
                <w:szCs w:val="20"/>
              </w:rPr>
              <w:t>100</w:t>
            </w:r>
            <w:r>
              <w:rPr>
                <w:rFonts w:hint="eastAsia" w:eastAsia="宋体" w:cs="Times New Roman"/>
                <w:color w:val="000000"/>
                <w:sz w:val="20"/>
                <w:szCs w:val="20"/>
              </w:rPr>
              <w:t>.00</w:t>
            </w:r>
            <w:r>
              <w:rPr>
                <w:rFonts w:eastAsia="宋体" w:cs="Times New Roman"/>
                <w:color w:val="000000"/>
                <w:sz w:val="20"/>
                <w:szCs w:val="20"/>
              </w:rPr>
              <w:t>%</w:t>
            </w:r>
          </w:p>
        </w:tc>
      </w:tr>
    </w:tbl>
    <w:p w14:paraId="1FDA208D">
      <w:pPr>
        <w:ind w:firstLine="560"/>
        <w:rPr>
          <w:rFonts w:eastAsia="幼圆" w:cs="Times New Roman"/>
          <w:sz w:val="28"/>
          <w:szCs w:val="28"/>
        </w:rPr>
      </w:pPr>
    </w:p>
    <w:p w14:paraId="22F77B9C">
      <w:pPr>
        <w:pStyle w:val="3"/>
        <w:spacing w:after="217" w:afterLines="50"/>
        <w:ind w:firstLine="643"/>
        <w:rPr>
          <w:rFonts w:cs="Times New Roman"/>
        </w:rPr>
      </w:pPr>
      <w:bookmarkStart w:id="3" w:name="_Toc78668797"/>
      <w:r>
        <w:rPr>
          <w:rFonts w:cs="Times New Roman"/>
        </w:rPr>
        <w:t>（三）政策实施措施及管理方式</w:t>
      </w:r>
      <w:bookmarkEnd w:id="3"/>
    </w:p>
    <w:p w14:paraId="3EFD78C2">
      <w:pPr>
        <w:pStyle w:val="4"/>
        <w:spacing w:after="217" w:afterLines="50"/>
        <w:ind w:firstLine="643"/>
        <w:rPr>
          <w:rFonts w:cs="Times New Roman"/>
        </w:rPr>
      </w:pPr>
      <w:bookmarkStart w:id="4" w:name="_Toc78668798"/>
      <w:r>
        <w:rPr>
          <w:rFonts w:cs="Times New Roman"/>
        </w:rPr>
        <w:t>1. 公交运营补贴方案</w:t>
      </w:r>
      <w:bookmarkEnd w:id="4"/>
    </w:p>
    <w:p w14:paraId="1D0E818C">
      <w:pPr>
        <w:ind w:firstLine="640"/>
        <w:rPr>
          <w:rFonts w:cs="Times New Roman"/>
        </w:rPr>
      </w:pPr>
      <w:r>
        <w:rPr>
          <w:rFonts w:cs="Times New Roman"/>
        </w:rPr>
        <w:t>根据绵竹市城市公共交通补贴建议方案会商意见，在借鉴德阳及其周边其他县市区的做法基础上，一方面采取公交车公里成本亏损补贴，按0.52元/公里进行补贴。该补贴标准是根据2017-2018测算公式：年平均亏损额÷年平均运行公里数=每公里亏损额(243.39万元÷466万公里=0.52元/公里)。另一方面，鼓励城市公交企业发挥自身成本和费用管控能力，实现年度利润在企业固定资产投入5.00%以内的(含5.00%)，视为企业年度合理利润回报；若企业年度利润超过企业固定资产投入的5.00%，超过部分应在下一年度补贴资金中予以抵扣。</w:t>
      </w:r>
    </w:p>
    <w:p w14:paraId="508C8DE2">
      <w:pPr>
        <w:pStyle w:val="4"/>
        <w:ind w:firstLine="643"/>
        <w:rPr>
          <w:rFonts w:cs="Times New Roman"/>
        </w:rPr>
      </w:pPr>
      <w:bookmarkStart w:id="5" w:name="_Toc78668799"/>
      <w:r>
        <w:rPr>
          <w:rFonts w:cs="Times New Roman"/>
        </w:rPr>
        <w:t>2. 宏运公交公司经营状况</w:t>
      </w:r>
      <w:bookmarkEnd w:id="5"/>
    </w:p>
    <w:p w14:paraId="6468FD90">
      <w:pPr>
        <w:ind w:firstLine="640"/>
        <w:rPr>
          <w:rFonts w:cs="Times New Roman"/>
        </w:rPr>
      </w:pPr>
      <w:r>
        <w:rPr>
          <w:rFonts w:cs="Times New Roman"/>
        </w:rPr>
        <w:t>宏运公交公司现有车辆97辆，其中燃气车37辆，电动车60辆，新能源车辆比例61.86%；2020年三类免费人群刷卡243.41万人次，比2019年（285.92万</w:t>
      </w:r>
      <w:r>
        <w:rPr>
          <w:rFonts w:hint="eastAsia" w:cs="Times New Roman"/>
        </w:rPr>
        <w:t>人次</w:t>
      </w:r>
      <w:r>
        <w:rPr>
          <w:rFonts w:cs="Times New Roman"/>
        </w:rPr>
        <w:t>）同期下降17.46%。目前绵竹市区开通城市公交线路11条，城镇公交线路1条，线路里程数共计157.70千米。</w:t>
      </w:r>
    </w:p>
    <w:p w14:paraId="326A7EF3">
      <w:pPr>
        <w:ind w:firstLine="0" w:firstLineChars="0"/>
        <w:jc w:val="center"/>
        <w:rPr>
          <w:rFonts w:eastAsia="幼圆" w:cs="Times New Roman"/>
          <w:b/>
          <w:bCs/>
          <w:sz w:val="28"/>
          <w:szCs w:val="21"/>
        </w:rPr>
      </w:pPr>
      <w:r>
        <w:rPr>
          <w:rFonts w:eastAsia="幼圆" w:cs="Times New Roman"/>
          <w:b/>
          <w:bCs/>
          <w:sz w:val="28"/>
          <w:szCs w:val="21"/>
        </w:rPr>
        <w:t>附表 宏运公交公司线路里程数</w:t>
      </w:r>
    </w:p>
    <w:tbl>
      <w:tblPr>
        <w:tblStyle w:val="20"/>
        <w:tblW w:w="5000" w:type="pct"/>
        <w:tblInd w:w="0" w:type="dxa"/>
        <w:tblLayout w:type="autofit"/>
        <w:tblCellMar>
          <w:top w:w="0" w:type="dxa"/>
          <w:left w:w="108" w:type="dxa"/>
          <w:bottom w:w="0" w:type="dxa"/>
          <w:right w:w="108" w:type="dxa"/>
        </w:tblCellMar>
      </w:tblPr>
      <w:tblGrid>
        <w:gridCol w:w="3782"/>
        <w:gridCol w:w="4740"/>
      </w:tblGrid>
      <w:tr w14:paraId="7593650E">
        <w:tblPrEx>
          <w:tblCellMar>
            <w:top w:w="0" w:type="dxa"/>
            <w:left w:w="108" w:type="dxa"/>
            <w:bottom w:w="0" w:type="dxa"/>
            <w:right w:w="108" w:type="dxa"/>
          </w:tblCellMar>
        </w:tblPrEx>
        <w:trPr>
          <w:trHeight w:val="502" w:hRule="atLeast"/>
          <w:tblHeader/>
        </w:trPr>
        <w:tc>
          <w:tcPr>
            <w:tcW w:w="2219" w:type="pct"/>
            <w:tcBorders>
              <w:top w:val="nil"/>
              <w:left w:val="single" w:color="auto" w:sz="4" w:space="0"/>
              <w:bottom w:val="single" w:color="auto" w:sz="4" w:space="0"/>
              <w:right w:val="single" w:color="auto" w:sz="4" w:space="0"/>
            </w:tcBorders>
            <w:shd w:val="clear" w:color="auto" w:fill="00516B"/>
            <w:noWrap/>
            <w:vAlign w:val="center"/>
          </w:tcPr>
          <w:p w14:paraId="55558DB1">
            <w:pPr>
              <w:widowControl/>
              <w:spacing w:after="217" w:afterLines="50" w:line="320" w:lineRule="exact"/>
              <w:ind w:firstLine="0" w:firstLineChars="0"/>
              <w:jc w:val="center"/>
              <w:rPr>
                <w:rFonts w:eastAsia="宋体" w:cs="Times New Roman"/>
                <w:color w:val="FFFFFF" w:themeColor="background1"/>
                <w:kern w:val="0"/>
                <w:sz w:val="20"/>
                <w:szCs w:val="20"/>
                <w14:textFill>
                  <w14:solidFill>
                    <w14:schemeClr w14:val="bg1"/>
                  </w14:solidFill>
                </w14:textFill>
              </w:rPr>
            </w:pPr>
            <w:r>
              <w:rPr>
                <w:rFonts w:eastAsia="宋体" w:cs="Times New Roman"/>
                <w:color w:val="FFFFFF" w:themeColor="background1"/>
                <w:kern w:val="0"/>
                <w:sz w:val="20"/>
                <w:szCs w:val="20"/>
                <w14:textFill>
                  <w14:solidFill>
                    <w14:schemeClr w14:val="bg1"/>
                  </w14:solidFill>
                </w14:textFill>
              </w:rPr>
              <w:t>线路</w:t>
            </w:r>
          </w:p>
        </w:tc>
        <w:tc>
          <w:tcPr>
            <w:tcW w:w="2781" w:type="pct"/>
            <w:tcBorders>
              <w:top w:val="nil"/>
              <w:left w:val="nil"/>
              <w:bottom w:val="single" w:color="auto" w:sz="4" w:space="0"/>
              <w:right w:val="single" w:color="auto" w:sz="4" w:space="0"/>
            </w:tcBorders>
            <w:shd w:val="clear" w:color="auto" w:fill="00516B"/>
            <w:noWrap/>
            <w:vAlign w:val="center"/>
          </w:tcPr>
          <w:p w14:paraId="4E29AD12">
            <w:pPr>
              <w:widowControl/>
              <w:spacing w:after="217" w:afterLines="50" w:line="320" w:lineRule="exact"/>
              <w:ind w:firstLine="0" w:firstLineChars="0"/>
              <w:jc w:val="center"/>
              <w:rPr>
                <w:rFonts w:eastAsia="宋体" w:cs="Times New Roman"/>
                <w:color w:val="FFFFFF" w:themeColor="background1"/>
                <w:kern w:val="0"/>
                <w:sz w:val="20"/>
                <w:szCs w:val="20"/>
                <w14:textFill>
                  <w14:solidFill>
                    <w14:schemeClr w14:val="bg1"/>
                  </w14:solidFill>
                </w14:textFill>
              </w:rPr>
            </w:pPr>
            <w:r>
              <w:rPr>
                <w:rFonts w:eastAsia="宋体" w:cs="Times New Roman"/>
                <w:color w:val="FFFFFF" w:themeColor="background1"/>
                <w:kern w:val="0"/>
                <w:sz w:val="20"/>
                <w:szCs w:val="20"/>
                <w14:textFill>
                  <w14:solidFill>
                    <w14:schemeClr w14:val="bg1"/>
                  </w14:solidFill>
                </w14:textFill>
              </w:rPr>
              <w:t>里程数（千米)</w:t>
            </w:r>
          </w:p>
        </w:tc>
      </w:tr>
      <w:tr w14:paraId="1A20B9A1">
        <w:tblPrEx>
          <w:tblCellMar>
            <w:top w:w="0" w:type="dxa"/>
            <w:left w:w="108" w:type="dxa"/>
            <w:bottom w:w="0" w:type="dxa"/>
            <w:right w:w="108" w:type="dxa"/>
          </w:tblCellMar>
        </w:tblPrEx>
        <w:trPr>
          <w:trHeight w:val="312" w:hRule="atLeast"/>
        </w:trPr>
        <w:tc>
          <w:tcPr>
            <w:tcW w:w="2219" w:type="pct"/>
            <w:tcBorders>
              <w:top w:val="nil"/>
              <w:left w:val="single" w:color="auto" w:sz="4" w:space="0"/>
              <w:bottom w:val="single" w:color="auto" w:sz="4" w:space="0"/>
              <w:right w:val="single" w:color="auto" w:sz="4" w:space="0"/>
            </w:tcBorders>
            <w:shd w:val="clear" w:color="auto" w:fill="auto"/>
            <w:noWrap/>
            <w:vAlign w:val="center"/>
          </w:tcPr>
          <w:p w14:paraId="3298AF3E">
            <w:pPr>
              <w:widowControl/>
              <w:spacing w:after="217" w:afterLines="50"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1路</w:t>
            </w:r>
          </w:p>
        </w:tc>
        <w:tc>
          <w:tcPr>
            <w:tcW w:w="2781" w:type="pct"/>
            <w:tcBorders>
              <w:top w:val="nil"/>
              <w:left w:val="nil"/>
              <w:bottom w:val="single" w:color="auto" w:sz="4" w:space="0"/>
              <w:right w:val="single" w:color="auto" w:sz="4" w:space="0"/>
            </w:tcBorders>
            <w:shd w:val="clear" w:color="auto" w:fill="auto"/>
            <w:noWrap/>
            <w:vAlign w:val="center"/>
          </w:tcPr>
          <w:p w14:paraId="26879965">
            <w:pPr>
              <w:widowControl/>
              <w:spacing w:after="217" w:afterLines="50"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11.50</w:t>
            </w:r>
          </w:p>
        </w:tc>
      </w:tr>
      <w:tr w14:paraId="42F7226A">
        <w:tblPrEx>
          <w:tblCellMar>
            <w:top w:w="0" w:type="dxa"/>
            <w:left w:w="108" w:type="dxa"/>
            <w:bottom w:w="0" w:type="dxa"/>
            <w:right w:w="108" w:type="dxa"/>
          </w:tblCellMar>
        </w:tblPrEx>
        <w:trPr>
          <w:trHeight w:val="312" w:hRule="atLeast"/>
        </w:trPr>
        <w:tc>
          <w:tcPr>
            <w:tcW w:w="2219" w:type="pct"/>
            <w:tcBorders>
              <w:top w:val="nil"/>
              <w:left w:val="single" w:color="auto" w:sz="4" w:space="0"/>
              <w:bottom w:val="single" w:color="auto" w:sz="4" w:space="0"/>
              <w:right w:val="single" w:color="auto" w:sz="4" w:space="0"/>
            </w:tcBorders>
            <w:shd w:val="clear" w:color="auto" w:fill="auto"/>
            <w:noWrap/>
            <w:vAlign w:val="center"/>
          </w:tcPr>
          <w:p w14:paraId="747E274F">
            <w:pPr>
              <w:widowControl/>
              <w:spacing w:after="217" w:afterLines="50"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2路</w:t>
            </w:r>
          </w:p>
        </w:tc>
        <w:tc>
          <w:tcPr>
            <w:tcW w:w="2781" w:type="pct"/>
            <w:tcBorders>
              <w:top w:val="nil"/>
              <w:left w:val="nil"/>
              <w:bottom w:val="single" w:color="auto" w:sz="4" w:space="0"/>
              <w:right w:val="single" w:color="auto" w:sz="4" w:space="0"/>
            </w:tcBorders>
            <w:shd w:val="clear" w:color="auto" w:fill="auto"/>
            <w:noWrap/>
            <w:vAlign w:val="center"/>
          </w:tcPr>
          <w:p w14:paraId="26B6E907">
            <w:pPr>
              <w:widowControl/>
              <w:spacing w:after="217" w:afterLines="50"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8.50</w:t>
            </w:r>
          </w:p>
        </w:tc>
      </w:tr>
      <w:tr w14:paraId="5FBDF76E">
        <w:tblPrEx>
          <w:tblCellMar>
            <w:top w:w="0" w:type="dxa"/>
            <w:left w:w="108" w:type="dxa"/>
            <w:bottom w:w="0" w:type="dxa"/>
            <w:right w:w="108" w:type="dxa"/>
          </w:tblCellMar>
        </w:tblPrEx>
        <w:trPr>
          <w:trHeight w:val="312" w:hRule="atLeast"/>
        </w:trPr>
        <w:tc>
          <w:tcPr>
            <w:tcW w:w="2219" w:type="pct"/>
            <w:tcBorders>
              <w:top w:val="nil"/>
              <w:left w:val="single" w:color="auto" w:sz="4" w:space="0"/>
              <w:bottom w:val="single" w:color="auto" w:sz="4" w:space="0"/>
              <w:right w:val="single" w:color="auto" w:sz="4" w:space="0"/>
            </w:tcBorders>
            <w:shd w:val="clear" w:color="auto" w:fill="auto"/>
            <w:noWrap/>
            <w:vAlign w:val="center"/>
          </w:tcPr>
          <w:p w14:paraId="1DF023B0">
            <w:pPr>
              <w:widowControl/>
              <w:spacing w:after="217" w:afterLines="50"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3路</w:t>
            </w:r>
          </w:p>
        </w:tc>
        <w:tc>
          <w:tcPr>
            <w:tcW w:w="2781" w:type="pct"/>
            <w:tcBorders>
              <w:top w:val="nil"/>
              <w:left w:val="nil"/>
              <w:bottom w:val="single" w:color="auto" w:sz="4" w:space="0"/>
              <w:right w:val="single" w:color="auto" w:sz="4" w:space="0"/>
            </w:tcBorders>
            <w:shd w:val="clear" w:color="auto" w:fill="auto"/>
            <w:noWrap/>
            <w:vAlign w:val="center"/>
          </w:tcPr>
          <w:p w14:paraId="2095CEFC">
            <w:pPr>
              <w:widowControl/>
              <w:spacing w:after="217" w:afterLines="50"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13.00</w:t>
            </w:r>
          </w:p>
        </w:tc>
      </w:tr>
      <w:tr w14:paraId="03EDB606">
        <w:tblPrEx>
          <w:tblCellMar>
            <w:top w:w="0" w:type="dxa"/>
            <w:left w:w="108" w:type="dxa"/>
            <w:bottom w:w="0" w:type="dxa"/>
            <w:right w:w="108" w:type="dxa"/>
          </w:tblCellMar>
        </w:tblPrEx>
        <w:trPr>
          <w:trHeight w:val="312" w:hRule="atLeast"/>
        </w:trPr>
        <w:tc>
          <w:tcPr>
            <w:tcW w:w="2219" w:type="pct"/>
            <w:tcBorders>
              <w:top w:val="nil"/>
              <w:left w:val="single" w:color="auto" w:sz="4" w:space="0"/>
              <w:bottom w:val="single" w:color="auto" w:sz="4" w:space="0"/>
              <w:right w:val="single" w:color="auto" w:sz="4" w:space="0"/>
            </w:tcBorders>
            <w:shd w:val="clear" w:color="auto" w:fill="auto"/>
            <w:noWrap/>
            <w:vAlign w:val="center"/>
          </w:tcPr>
          <w:p w14:paraId="15CA1C0B">
            <w:pPr>
              <w:widowControl/>
              <w:spacing w:after="217" w:afterLines="50"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5路</w:t>
            </w:r>
          </w:p>
        </w:tc>
        <w:tc>
          <w:tcPr>
            <w:tcW w:w="2781" w:type="pct"/>
            <w:tcBorders>
              <w:top w:val="nil"/>
              <w:left w:val="nil"/>
              <w:bottom w:val="single" w:color="auto" w:sz="4" w:space="0"/>
              <w:right w:val="single" w:color="auto" w:sz="4" w:space="0"/>
            </w:tcBorders>
            <w:shd w:val="clear" w:color="auto" w:fill="auto"/>
            <w:noWrap/>
            <w:vAlign w:val="center"/>
          </w:tcPr>
          <w:p w14:paraId="05A286C0">
            <w:pPr>
              <w:widowControl/>
              <w:spacing w:after="217" w:afterLines="50"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10.00</w:t>
            </w:r>
          </w:p>
        </w:tc>
      </w:tr>
      <w:tr w14:paraId="356223B0">
        <w:tblPrEx>
          <w:tblCellMar>
            <w:top w:w="0" w:type="dxa"/>
            <w:left w:w="108" w:type="dxa"/>
            <w:bottom w:w="0" w:type="dxa"/>
            <w:right w:w="108" w:type="dxa"/>
          </w:tblCellMar>
        </w:tblPrEx>
        <w:trPr>
          <w:trHeight w:val="312" w:hRule="atLeast"/>
        </w:trPr>
        <w:tc>
          <w:tcPr>
            <w:tcW w:w="2219" w:type="pct"/>
            <w:tcBorders>
              <w:top w:val="nil"/>
              <w:left w:val="single" w:color="auto" w:sz="4" w:space="0"/>
              <w:bottom w:val="single" w:color="auto" w:sz="4" w:space="0"/>
              <w:right w:val="single" w:color="auto" w:sz="4" w:space="0"/>
            </w:tcBorders>
            <w:shd w:val="clear" w:color="auto" w:fill="auto"/>
            <w:noWrap/>
            <w:vAlign w:val="center"/>
          </w:tcPr>
          <w:p w14:paraId="516CB269">
            <w:pPr>
              <w:widowControl/>
              <w:spacing w:after="217" w:afterLines="50"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6路</w:t>
            </w:r>
          </w:p>
        </w:tc>
        <w:tc>
          <w:tcPr>
            <w:tcW w:w="2781" w:type="pct"/>
            <w:tcBorders>
              <w:top w:val="nil"/>
              <w:left w:val="nil"/>
              <w:bottom w:val="single" w:color="auto" w:sz="4" w:space="0"/>
              <w:right w:val="single" w:color="auto" w:sz="4" w:space="0"/>
            </w:tcBorders>
            <w:shd w:val="clear" w:color="auto" w:fill="auto"/>
            <w:noWrap/>
            <w:vAlign w:val="center"/>
          </w:tcPr>
          <w:p w14:paraId="520542C1">
            <w:pPr>
              <w:widowControl/>
              <w:spacing w:after="217" w:afterLines="50"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18.00</w:t>
            </w:r>
          </w:p>
        </w:tc>
      </w:tr>
      <w:tr w14:paraId="4A3ECD92">
        <w:tblPrEx>
          <w:tblCellMar>
            <w:top w:w="0" w:type="dxa"/>
            <w:left w:w="108" w:type="dxa"/>
            <w:bottom w:w="0" w:type="dxa"/>
            <w:right w:w="108" w:type="dxa"/>
          </w:tblCellMar>
        </w:tblPrEx>
        <w:trPr>
          <w:trHeight w:val="312" w:hRule="atLeast"/>
        </w:trPr>
        <w:tc>
          <w:tcPr>
            <w:tcW w:w="2219" w:type="pct"/>
            <w:tcBorders>
              <w:top w:val="nil"/>
              <w:left w:val="single" w:color="auto" w:sz="4" w:space="0"/>
              <w:bottom w:val="single" w:color="auto" w:sz="4" w:space="0"/>
              <w:right w:val="single" w:color="auto" w:sz="4" w:space="0"/>
            </w:tcBorders>
            <w:shd w:val="clear" w:color="auto" w:fill="auto"/>
            <w:noWrap/>
            <w:vAlign w:val="center"/>
          </w:tcPr>
          <w:p w14:paraId="10FFF307">
            <w:pPr>
              <w:widowControl/>
              <w:spacing w:after="217" w:afterLines="50"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8路</w:t>
            </w:r>
          </w:p>
        </w:tc>
        <w:tc>
          <w:tcPr>
            <w:tcW w:w="2781" w:type="pct"/>
            <w:tcBorders>
              <w:top w:val="nil"/>
              <w:left w:val="nil"/>
              <w:bottom w:val="single" w:color="auto" w:sz="4" w:space="0"/>
              <w:right w:val="single" w:color="auto" w:sz="4" w:space="0"/>
            </w:tcBorders>
            <w:shd w:val="clear" w:color="auto" w:fill="auto"/>
            <w:noWrap/>
            <w:vAlign w:val="center"/>
          </w:tcPr>
          <w:p w14:paraId="461B1016">
            <w:pPr>
              <w:widowControl/>
              <w:spacing w:after="217" w:afterLines="50"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7.50</w:t>
            </w:r>
          </w:p>
        </w:tc>
      </w:tr>
      <w:tr w14:paraId="48929A6C">
        <w:tblPrEx>
          <w:tblCellMar>
            <w:top w:w="0" w:type="dxa"/>
            <w:left w:w="108" w:type="dxa"/>
            <w:bottom w:w="0" w:type="dxa"/>
            <w:right w:w="108" w:type="dxa"/>
          </w:tblCellMar>
        </w:tblPrEx>
        <w:trPr>
          <w:trHeight w:val="312" w:hRule="atLeast"/>
        </w:trPr>
        <w:tc>
          <w:tcPr>
            <w:tcW w:w="2219" w:type="pct"/>
            <w:tcBorders>
              <w:top w:val="nil"/>
              <w:left w:val="single" w:color="auto" w:sz="4" w:space="0"/>
              <w:bottom w:val="single" w:color="auto" w:sz="4" w:space="0"/>
              <w:right w:val="single" w:color="auto" w:sz="4" w:space="0"/>
            </w:tcBorders>
            <w:shd w:val="clear" w:color="auto" w:fill="auto"/>
            <w:noWrap/>
            <w:vAlign w:val="center"/>
          </w:tcPr>
          <w:p w14:paraId="66612F3B">
            <w:pPr>
              <w:widowControl/>
              <w:spacing w:after="217" w:afterLines="50"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9路</w:t>
            </w:r>
          </w:p>
        </w:tc>
        <w:tc>
          <w:tcPr>
            <w:tcW w:w="2781" w:type="pct"/>
            <w:tcBorders>
              <w:top w:val="nil"/>
              <w:left w:val="nil"/>
              <w:bottom w:val="single" w:color="auto" w:sz="4" w:space="0"/>
              <w:right w:val="single" w:color="auto" w:sz="4" w:space="0"/>
            </w:tcBorders>
            <w:shd w:val="clear" w:color="auto" w:fill="auto"/>
            <w:noWrap/>
            <w:vAlign w:val="center"/>
          </w:tcPr>
          <w:p w14:paraId="395DD86E">
            <w:pPr>
              <w:widowControl/>
              <w:spacing w:after="217" w:afterLines="50"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14.00</w:t>
            </w:r>
          </w:p>
        </w:tc>
      </w:tr>
      <w:tr w14:paraId="0A9FFCA2">
        <w:tblPrEx>
          <w:tblCellMar>
            <w:top w:w="0" w:type="dxa"/>
            <w:left w:w="108" w:type="dxa"/>
            <w:bottom w:w="0" w:type="dxa"/>
            <w:right w:w="108" w:type="dxa"/>
          </w:tblCellMar>
        </w:tblPrEx>
        <w:trPr>
          <w:trHeight w:val="312" w:hRule="atLeast"/>
        </w:trPr>
        <w:tc>
          <w:tcPr>
            <w:tcW w:w="2219" w:type="pct"/>
            <w:tcBorders>
              <w:top w:val="nil"/>
              <w:left w:val="single" w:color="auto" w:sz="4" w:space="0"/>
              <w:bottom w:val="single" w:color="auto" w:sz="4" w:space="0"/>
              <w:right w:val="single" w:color="auto" w:sz="4" w:space="0"/>
            </w:tcBorders>
            <w:shd w:val="clear" w:color="auto" w:fill="auto"/>
            <w:noWrap/>
            <w:vAlign w:val="center"/>
          </w:tcPr>
          <w:p w14:paraId="3B3B0783">
            <w:pPr>
              <w:widowControl/>
              <w:spacing w:after="217" w:afterLines="50"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12路</w:t>
            </w:r>
          </w:p>
        </w:tc>
        <w:tc>
          <w:tcPr>
            <w:tcW w:w="2781" w:type="pct"/>
            <w:tcBorders>
              <w:top w:val="nil"/>
              <w:left w:val="nil"/>
              <w:bottom w:val="single" w:color="auto" w:sz="4" w:space="0"/>
              <w:right w:val="single" w:color="auto" w:sz="4" w:space="0"/>
            </w:tcBorders>
            <w:shd w:val="clear" w:color="auto" w:fill="auto"/>
            <w:noWrap/>
            <w:vAlign w:val="center"/>
          </w:tcPr>
          <w:p w14:paraId="629C041B">
            <w:pPr>
              <w:widowControl/>
              <w:spacing w:after="217" w:afterLines="50"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6.50</w:t>
            </w:r>
          </w:p>
        </w:tc>
      </w:tr>
      <w:tr w14:paraId="29EBC447">
        <w:tblPrEx>
          <w:tblCellMar>
            <w:top w:w="0" w:type="dxa"/>
            <w:left w:w="108" w:type="dxa"/>
            <w:bottom w:w="0" w:type="dxa"/>
            <w:right w:w="108" w:type="dxa"/>
          </w:tblCellMar>
        </w:tblPrEx>
        <w:trPr>
          <w:trHeight w:val="312" w:hRule="atLeast"/>
        </w:trPr>
        <w:tc>
          <w:tcPr>
            <w:tcW w:w="2219" w:type="pct"/>
            <w:tcBorders>
              <w:top w:val="nil"/>
              <w:left w:val="single" w:color="auto" w:sz="4" w:space="0"/>
              <w:bottom w:val="single" w:color="auto" w:sz="4" w:space="0"/>
              <w:right w:val="single" w:color="auto" w:sz="4" w:space="0"/>
            </w:tcBorders>
            <w:shd w:val="clear" w:color="auto" w:fill="auto"/>
            <w:noWrap/>
            <w:vAlign w:val="center"/>
          </w:tcPr>
          <w:p w14:paraId="36AB9577">
            <w:pPr>
              <w:widowControl/>
              <w:spacing w:after="217" w:afterLines="50"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11路</w:t>
            </w:r>
          </w:p>
        </w:tc>
        <w:tc>
          <w:tcPr>
            <w:tcW w:w="2781" w:type="pct"/>
            <w:tcBorders>
              <w:top w:val="nil"/>
              <w:left w:val="nil"/>
              <w:bottom w:val="single" w:color="auto" w:sz="4" w:space="0"/>
              <w:right w:val="single" w:color="auto" w:sz="4" w:space="0"/>
            </w:tcBorders>
            <w:shd w:val="clear" w:color="auto" w:fill="auto"/>
            <w:noWrap/>
            <w:vAlign w:val="center"/>
          </w:tcPr>
          <w:p w14:paraId="6F91BC10">
            <w:pPr>
              <w:widowControl/>
              <w:spacing w:after="217" w:afterLines="50"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20.00</w:t>
            </w:r>
          </w:p>
        </w:tc>
      </w:tr>
      <w:tr w14:paraId="23756822">
        <w:tblPrEx>
          <w:tblCellMar>
            <w:top w:w="0" w:type="dxa"/>
            <w:left w:w="108" w:type="dxa"/>
            <w:bottom w:w="0" w:type="dxa"/>
            <w:right w:w="108" w:type="dxa"/>
          </w:tblCellMar>
        </w:tblPrEx>
        <w:trPr>
          <w:trHeight w:val="312" w:hRule="atLeast"/>
        </w:trPr>
        <w:tc>
          <w:tcPr>
            <w:tcW w:w="2219" w:type="pct"/>
            <w:tcBorders>
              <w:top w:val="nil"/>
              <w:left w:val="single" w:color="auto" w:sz="4" w:space="0"/>
              <w:bottom w:val="single" w:color="auto" w:sz="4" w:space="0"/>
              <w:right w:val="single" w:color="auto" w:sz="4" w:space="0"/>
            </w:tcBorders>
            <w:shd w:val="clear" w:color="auto" w:fill="auto"/>
            <w:noWrap/>
            <w:vAlign w:val="center"/>
          </w:tcPr>
          <w:p w14:paraId="54D595AF">
            <w:pPr>
              <w:widowControl/>
              <w:spacing w:after="217" w:afterLines="50"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15路</w:t>
            </w:r>
          </w:p>
        </w:tc>
        <w:tc>
          <w:tcPr>
            <w:tcW w:w="2781" w:type="pct"/>
            <w:tcBorders>
              <w:top w:val="nil"/>
              <w:left w:val="nil"/>
              <w:bottom w:val="single" w:color="auto" w:sz="4" w:space="0"/>
              <w:right w:val="single" w:color="auto" w:sz="4" w:space="0"/>
            </w:tcBorders>
            <w:shd w:val="clear" w:color="auto" w:fill="auto"/>
            <w:noWrap/>
            <w:vAlign w:val="center"/>
          </w:tcPr>
          <w:p w14:paraId="20DC35C4">
            <w:pPr>
              <w:widowControl/>
              <w:spacing w:after="217" w:afterLines="50"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20.70</w:t>
            </w:r>
          </w:p>
        </w:tc>
      </w:tr>
      <w:tr w14:paraId="2671C961">
        <w:tblPrEx>
          <w:tblCellMar>
            <w:top w:w="0" w:type="dxa"/>
            <w:left w:w="108" w:type="dxa"/>
            <w:bottom w:w="0" w:type="dxa"/>
            <w:right w:w="108" w:type="dxa"/>
          </w:tblCellMar>
        </w:tblPrEx>
        <w:trPr>
          <w:trHeight w:val="312" w:hRule="atLeast"/>
        </w:trPr>
        <w:tc>
          <w:tcPr>
            <w:tcW w:w="2219" w:type="pct"/>
            <w:tcBorders>
              <w:top w:val="nil"/>
              <w:left w:val="single" w:color="auto" w:sz="4" w:space="0"/>
              <w:bottom w:val="single" w:color="auto" w:sz="4" w:space="0"/>
              <w:right w:val="single" w:color="auto" w:sz="4" w:space="0"/>
            </w:tcBorders>
            <w:shd w:val="clear" w:color="auto" w:fill="auto"/>
            <w:noWrap/>
            <w:vAlign w:val="center"/>
          </w:tcPr>
          <w:p w14:paraId="6A28B551">
            <w:pPr>
              <w:widowControl/>
              <w:spacing w:after="217" w:afterLines="50"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10路</w:t>
            </w:r>
          </w:p>
        </w:tc>
        <w:tc>
          <w:tcPr>
            <w:tcW w:w="2781" w:type="pct"/>
            <w:tcBorders>
              <w:top w:val="nil"/>
              <w:left w:val="nil"/>
              <w:bottom w:val="single" w:color="auto" w:sz="4" w:space="0"/>
              <w:right w:val="single" w:color="auto" w:sz="4" w:space="0"/>
            </w:tcBorders>
            <w:shd w:val="clear" w:color="auto" w:fill="auto"/>
            <w:noWrap/>
            <w:vAlign w:val="center"/>
          </w:tcPr>
          <w:p w14:paraId="36C0E3E1">
            <w:pPr>
              <w:widowControl/>
              <w:spacing w:after="217" w:afterLines="50"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9.00</w:t>
            </w:r>
          </w:p>
        </w:tc>
      </w:tr>
      <w:tr w14:paraId="03448A4C">
        <w:tblPrEx>
          <w:tblCellMar>
            <w:top w:w="0" w:type="dxa"/>
            <w:left w:w="108" w:type="dxa"/>
            <w:bottom w:w="0" w:type="dxa"/>
            <w:right w:w="108" w:type="dxa"/>
          </w:tblCellMar>
        </w:tblPrEx>
        <w:trPr>
          <w:trHeight w:val="312" w:hRule="atLeast"/>
        </w:trPr>
        <w:tc>
          <w:tcPr>
            <w:tcW w:w="2219" w:type="pct"/>
            <w:tcBorders>
              <w:top w:val="nil"/>
              <w:left w:val="single" w:color="auto" w:sz="4" w:space="0"/>
              <w:bottom w:val="single" w:color="auto" w:sz="4" w:space="0"/>
              <w:right w:val="single" w:color="auto" w:sz="4" w:space="0"/>
            </w:tcBorders>
            <w:shd w:val="clear" w:color="auto" w:fill="auto"/>
            <w:noWrap/>
            <w:vAlign w:val="center"/>
          </w:tcPr>
          <w:p w14:paraId="764758B7">
            <w:pPr>
              <w:widowControl/>
              <w:spacing w:after="217" w:afterLines="50"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16路</w:t>
            </w:r>
          </w:p>
        </w:tc>
        <w:tc>
          <w:tcPr>
            <w:tcW w:w="2781" w:type="pct"/>
            <w:tcBorders>
              <w:top w:val="nil"/>
              <w:left w:val="nil"/>
              <w:bottom w:val="single" w:color="auto" w:sz="4" w:space="0"/>
              <w:right w:val="single" w:color="auto" w:sz="4" w:space="0"/>
            </w:tcBorders>
            <w:shd w:val="clear" w:color="auto" w:fill="auto"/>
            <w:noWrap/>
            <w:vAlign w:val="center"/>
          </w:tcPr>
          <w:p w14:paraId="2A235373">
            <w:pPr>
              <w:widowControl/>
              <w:spacing w:after="217" w:afterLines="50"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19.00</w:t>
            </w:r>
          </w:p>
        </w:tc>
      </w:tr>
      <w:tr w14:paraId="053804E3">
        <w:tblPrEx>
          <w:tblCellMar>
            <w:top w:w="0" w:type="dxa"/>
            <w:left w:w="108" w:type="dxa"/>
            <w:bottom w:w="0" w:type="dxa"/>
            <w:right w:w="108" w:type="dxa"/>
          </w:tblCellMar>
        </w:tblPrEx>
        <w:trPr>
          <w:trHeight w:val="312" w:hRule="atLeast"/>
        </w:trPr>
        <w:tc>
          <w:tcPr>
            <w:tcW w:w="2219" w:type="pct"/>
            <w:tcBorders>
              <w:top w:val="nil"/>
              <w:left w:val="single" w:color="auto" w:sz="4" w:space="0"/>
              <w:bottom w:val="single" w:color="auto" w:sz="4" w:space="0"/>
              <w:right w:val="single" w:color="auto" w:sz="4" w:space="0"/>
            </w:tcBorders>
            <w:shd w:val="clear" w:color="auto" w:fill="auto"/>
            <w:noWrap/>
            <w:vAlign w:val="center"/>
          </w:tcPr>
          <w:p w14:paraId="777A4645">
            <w:pPr>
              <w:widowControl/>
              <w:spacing w:after="217" w:afterLines="50"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总计</w:t>
            </w:r>
          </w:p>
        </w:tc>
        <w:tc>
          <w:tcPr>
            <w:tcW w:w="2781" w:type="pct"/>
            <w:tcBorders>
              <w:top w:val="nil"/>
              <w:left w:val="nil"/>
              <w:bottom w:val="single" w:color="auto" w:sz="4" w:space="0"/>
              <w:right w:val="single" w:color="auto" w:sz="4" w:space="0"/>
            </w:tcBorders>
            <w:shd w:val="clear" w:color="auto" w:fill="auto"/>
            <w:noWrap/>
            <w:vAlign w:val="center"/>
          </w:tcPr>
          <w:p w14:paraId="28E6BBE8">
            <w:pPr>
              <w:widowControl/>
              <w:spacing w:after="217" w:afterLines="50"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157.70</w:t>
            </w:r>
          </w:p>
        </w:tc>
      </w:tr>
    </w:tbl>
    <w:p w14:paraId="29CE99AE">
      <w:pPr>
        <w:ind w:firstLine="640"/>
        <w:rPr>
          <w:rFonts w:cs="Times New Roman"/>
        </w:rPr>
      </w:pPr>
    </w:p>
    <w:p w14:paraId="05CBCB2E">
      <w:pPr>
        <w:ind w:firstLine="640"/>
        <w:rPr>
          <w:rFonts w:cs="Times New Roman"/>
        </w:rPr>
      </w:pPr>
      <w:r>
        <w:rPr>
          <w:rFonts w:cs="Times New Roman"/>
        </w:rPr>
        <w:t>2020年度营业收入1461.92万元，比2019年（营业收入1325.57万元）同比增长10.29%，营业成本1516.05万元，比2019年（营业成本1587.46万元）同比下降4.50%，其中营运补贴收入280.00万元，比2019年</w:t>
      </w:r>
      <w:r>
        <w:rPr>
          <w:rFonts w:hint="eastAsia" w:cs="Times New Roman"/>
        </w:rPr>
        <w:t>（运营补贴3</w:t>
      </w:r>
      <w:r>
        <w:rPr>
          <w:rFonts w:cs="Times New Roman"/>
        </w:rPr>
        <w:t>03.49</w:t>
      </w:r>
      <w:r>
        <w:rPr>
          <w:rFonts w:hint="eastAsia" w:cs="Times New Roman"/>
        </w:rPr>
        <w:t>万元）</w:t>
      </w:r>
      <w:r>
        <w:rPr>
          <w:rFonts w:cs="Times New Roman"/>
        </w:rPr>
        <w:t>同比</w:t>
      </w:r>
      <w:r>
        <w:rPr>
          <w:rFonts w:hint="eastAsia" w:cs="Times New Roman"/>
        </w:rPr>
        <w:t>下降7</w:t>
      </w:r>
      <w:r>
        <w:rPr>
          <w:rFonts w:cs="Times New Roman"/>
        </w:rPr>
        <w:t>.74%。2020年度因疫情影响，共计收到补助148.76万元，减免费用143.01万元。</w:t>
      </w:r>
    </w:p>
    <w:p w14:paraId="27CD81ED">
      <w:pPr>
        <w:ind w:firstLine="640"/>
        <w:rPr>
          <w:rFonts w:eastAsia="幼圆" w:cs="Times New Roman"/>
          <w:b/>
          <w:bCs/>
          <w:sz w:val="28"/>
          <w:szCs w:val="28"/>
        </w:rPr>
      </w:pPr>
      <w:r>
        <w:rPr>
          <w:rFonts w:cs="Times New Roman"/>
        </w:rPr>
        <w:drawing>
          <wp:anchor distT="0" distB="0" distL="114300" distR="114300" simplePos="0" relativeHeight="251668480" behindDoc="0" locked="0" layoutInCell="1" allowOverlap="1">
            <wp:simplePos x="0" y="0"/>
            <wp:positionH relativeFrom="column">
              <wp:posOffset>41275</wp:posOffset>
            </wp:positionH>
            <wp:positionV relativeFrom="paragraph">
              <wp:posOffset>90805</wp:posOffset>
            </wp:positionV>
            <wp:extent cx="5274310" cy="2506980"/>
            <wp:effectExtent l="0" t="0" r="2540" b="7620"/>
            <wp:wrapTopAndBottom/>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Pr>
          <w:rFonts w:eastAsia="幼圆" w:cs="Times New Roman"/>
          <w:b/>
          <w:bCs/>
          <w:sz w:val="28"/>
          <w:szCs w:val="28"/>
        </w:rPr>
        <w:t>附图2019-2020年营业收入、成本及补贴情况（万元）</w:t>
      </w:r>
    </w:p>
    <w:p w14:paraId="79B17474">
      <w:pPr>
        <w:ind w:firstLine="640"/>
      </w:pPr>
    </w:p>
    <w:p w14:paraId="2875389A">
      <w:pPr>
        <w:pStyle w:val="3"/>
        <w:ind w:firstLine="643"/>
        <w:rPr>
          <w:rFonts w:cs="Times New Roman"/>
        </w:rPr>
      </w:pPr>
      <w:bookmarkStart w:id="6" w:name="_Toc78668800"/>
      <w:r>
        <w:rPr>
          <w:rFonts w:cs="Times New Roman"/>
        </w:rPr>
        <w:t>（四）资金投入及使用情况</w:t>
      </w:r>
      <w:bookmarkEnd w:id="6"/>
    </w:p>
    <w:p w14:paraId="2B87794C">
      <w:pPr>
        <w:ind w:firstLine="640"/>
      </w:pPr>
      <w:r>
        <w:t>2020年绵竹市城市公交运营补贴政策年初预算数330.00万元，主要根据公交公司2019年运营里程及2020年车辆运行计划进行2020年度资金测算（年度运营公里数640.00万公里*补贴0.52/公里=332.80万元），2020年城市公交运营亏损核实金额为330.00万元，已全额拨付给绵竹市宏运公交公司</w:t>
      </w:r>
      <w:r>
        <w:rPr>
          <w:rFonts w:hint="eastAsia"/>
        </w:rPr>
        <w:t>，该笔资金</w:t>
      </w:r>
      <w:r>
        <w:t>由市财政局按季度分次直接下拨给</w:t>
      </w:r>
      <w:r>
        <w:rPr>
          <w:rFonts w:hint="eastAsia"/>
        </w:rPr>
        <w:t>宏运</w:t>
      </w:r>
      <w:r>
        <w:t>公交公司。</w:t>
      </w:r>
    </w:p>
    <w:p w14:paraId="180C3293">
      <w:pPr>
        <w:ind w:firstLine="640"/>
      </w:pPr>
      <w:r>
        <w:t>2019年12月至2020年12月绵竹市城市公交运营总里程为591.50万公里，实际发生金额307.00万元（591.50*0.52=307.58）。公交公司资金结余13.00万元，多拨付资金</w:t>
      </w:r>
      <w:r>
        <w:rPr>
          <w:rFonts w:hint="eastAsia"/>
        </w:rPr>
        <w:t>于</w:t>
      </w:r>
      <w:r>
        <w:t>2021年一季度进行减扣。</w:t>
      </w:r>
    </w:p>
    <w:p w14:paraId="426C0998">
      <w:pPr>
        <w:ind w:firstLine="0" w:firstLineChars="0"/>
        <w:jc w:val="center"/>
        <w:rPr>
          <w:rFonts w:eastAsia="幼圆"/>
          <w:b/>
          <w:sz w:val="28"/>
          <w:szCs w:val="28"/>
        </w:rPr>
      </w:pPr>
    </w:p>
    <w:p w14:paraId="037105AE">
      <w:pPr>
        <w:ind w:firstLine="0" w:firstLineChars="0"/>
        <w:jc w:val="center"/>
        <w:rPr>
          <w:rFonts w:eastAsia="幼圆"/>
          <w:b/>
          <w:sz w:val="28"/>
          <w:szCs w:val="28"/>
        </w:rPr>
      </w:pPr>
      <w:r>
        <w:rPr>
          <w:rFonts w:eastAsia="幼圆"/>
          <w:b/>
          <w:sz w:val="28"/>
          <w:szCs w:val="28"/>
        </w:rPr>
        <w:t>附表 城市公交运营补贴政策资金使用情况（万元）</w:t>
      </w:r>
    </w:p>
    <w:tbl>
      <w:tblPr>
        <w:tblStyle w:val="20"/>
        <w:tblW w:w="5000" w:type="pct"/>
        <w:tblInd w:w="0" w:type="dxa"/>
        <w:tblLayout w:type="autofit"/>
        <w:tblCellMar>
          <w:top w:w="0" w:type="dxa"/>
          <w:left w:w="108" w:type="dxa"/>
          <w:bottom w:w="0" w:type="dxa"/>
          <w:right w:w="108" w:type="dxa"/>
        </w:tblCellMar>
      </w:tblPr>
      <w:tblGrid>
        <w:gridCol w:w="1645"/>
        <w:gridCol w:w="1744"/>
        <w:gridCol w:w="1744"/>
        <w:gridCol w:w="1744"/>
        <w:gridCol w:w="1645"/>
      </w:tblGrid>
      <w:tr w14:paraId="049B6289">
        <w:tblPrEx>
          <w:tblCellMar>
            <w:top w:w="0" w:type="dxa"/>
            <w:left w:w="108" w:type="dxa"/>
            <w:bottom w:w="0" w:type="dxa"/>
            <w:right w:w="108" w:type="dxa"/>
          </w:tblCellMar>
        </w:tblPrEx>
        <w:trPr>
          <w:trHeight w:val="483" w:hRule="atLeast"/>
        </w:trPr>
        <w:tc>
          <w:tcPr>
            <w:tcW w:w="966" w:type="pct"/>
            <w:tcBorders>
              <w:top w:val="single" w:color="auto" w:sz="4" w:space="0"/>
              <w:left w:val="single" w:color="auto" w:sz="4" w:space="0"/>
              <w:bottom w:val="single" w:color="auto" w:sz="4" w:space="0"/>
              <w:right w:val="single" w:color="auto" w:sz="4" w:space="0"/>
            </w:tcBorders>
            <w:shd w:val="clear" w:color="auto" w:fill="00516B"/>
            <w:noWrap/>
            <w:vAlign w:val="center"/>
          </w:tcPr>
          <w:p w14:paraId="21F39032">
            <w:pPr>
              <w:widowControl/>
              <w:spacing w:after="217" w:afterLines="50"/>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项目内容</w:t>
            </w:r>
          </w:p>
        </w:tc>
        <w:tc>
          <w:tcPr>
            <w:tcW w:w="1023" w:type="pct"/>
            <w:tcBorders>
              <w:top w:val="single" w:color="auto" w:sz="4" w:space="0"/>
              <w:left w:val="nil"/>
              <w:bottom w:val="single" w:color="auto" w:sz="4" w:space="0"/>
              <w:right w:val="single" w:color="auto" w:sz="4" w:space="0"/>
            </w:tcBorders>
            <w:shd w:val="clear" w:color="auto" w:fill="00516B"/>
            <w:noWrap/>
            <w:vAlign w:val="center"/>
          </w:tcPr>
          <w:p w14:paraId="17EF998B">
            <w:pPr>
              <w:widowControl/>
              <w:spacing w:after="217" w:afterLines="50"/>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年初预算数</w:t>
            </w:r>
          </w:p>
        </w:tc>
        <w:tc>
          <w:tcPr>
            <w:tcW w:w="1023" w:type="pct"/>
            <w:tcBorders>
              <w:top w:val="single" w:color="auto" w:sz="4" w:space="0"/>
              <w:left w:val="nil"/>
              <w:bottom w:val="single" w:color="auto" w:sz="4" w:space="0"/>
              <w:right w:val="single" w:color="auto" w:sz="4" w:space="0"/>
            </w:tcBorders>
            <w:shd w:val="clear" w:color="auto" w:fill="00516B"/>
            <w:noWrap/>
            <w:vAlign w:val="center"/>
          </w:tcPr>
          <w:p w14:paraId="4AB15DC3">
            <w:pPr>
              <w:widowControl/>
              <w:spacing w:after="217" w:afterLines="50"/>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实际支出数</w:t>
            </w:r>
          </w:p>
        </w:tc>
        <w:tc>
          <w:tcPr>
            <w:tcW w:w="1023" w:type="pct"/>
            <w:tcBorders>
              <w:top w:val="single" w:color="auto" w:sz="4" w:space="0"/>
              <w:left w:val="nil"/>
              <w:bottom w:val="single" w:color="auto" w:sz="4" w:space="0"/>
              <w:right w:val="single" w:color="auto" w:sz="4" w:space="0"/>
            </w:tcBorders>
            <w:shd w:val="clear" w:color="auto" w:fill="00516B"/>
            <w:noWrap/>
            <w:vAlign w:val="center"/>
          </w:tcPr>
          <w:p w14:paraId="1166D47D">
            <w:pPr>
              <w:widowControl/>
              <w:spacing w:after="217" w:afterLines="50"/>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资金结余数</w:t>
            </w:r>
          </w:p>
        </w:tc>
        <w:tc>
          <w:tcPr>
            <w:tcW w:w="965" w:type="pct"/>
            <w:tcBorders>
              <w:top w:val="single" w:color="auto" w:sz="4" w:space="0"/>
              <w:left w:val="nil"/>
              <w:bottom w:val="single" w:color="auto" w:sz="4" w:space="0"/>
              <w:right w:val="single" w:color="auto" w:sz="4" w:space="0"/>
            </w:tcBorders>
            <w:shd w:val="clear" w:color="auto" w:fill="00516B"/>
            <w:noWrap/>
            <w:vAlign w:val="center"/>
          </w:tcPr>
          <w:p w14:paraId="30F2804D">
            <w:pPr>
              <w:widowControl/>
              <w:spacing w:after="217" w:afterLines="50"/>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支出率</w:t>
            </w:r>
          </w:p>
        </w:tc>
      </w:tr>
      <w:tr w14:paraId="77D6DEC8">
        <w:tblPrEx>
          <w:tblCellMar>
            <w:top w:w="0" w:type="dxa"/>
            <w:left w:w="108" w:type="dxa"/>
            <w:bottom w:w="0" w:type="dxa"/>
            <w:right w:w="108" w:type="dxa"/>
          </w:tblCellMar>
        </w:tblPrEx>
        <w:trPr>
          <w:trHeight w:val="966" w:hRule="atLeast"/>
        </w:trPr>
        <w:tc>
          <w:tcPr>
            <w:tcW w:w="966" w:type="pct"/>
            <w:tcBorders>
              <w:top w:val="nil"/>
              <w:left w:val="single" w:color="auto" w:sz="4" w:space="0"/>
              <w:bottom w:val="single" w:color="auto" w:sz="4" w:space="0"/>
              <w:right w:val="single" w:color="auto" w:sz="4" w:space="0"/>
            </w:tcBorders>
            <w:shd w:val="clear" w:color="auto" w:fill="auto"/>
            <w:vAlign w:val="center"/>
          </w:tcPr>
          <w:p w14:paraId="581FE654">
            <w:pPr>
              <w:widowControl/>
              <w:spacing w:after="217" w:afterLines="50"/>
              <w:ind w:firstLine="0" w:firstLineChars="0"/>
              <w:jc w:val="center"/>
              <w:rPr>
                <w:rFonts w:eastAsia="宋体" w:cs="Times New Roman"/>
                <w:color w:val="000000"/>
                <w:kern w:val="0"/>
                <w:sz w:val="20"/>
                <w:szCs w:val="20"/>
              </w:rPr>
            </w:pPr>
            <w:r>
              <w:rPr>
                <w:rFonts w:eastAsia="宋体" w:cs="Times New Roman"/>
                <w:color w:val="000000"/>
                <w:kern w:val="0"/>
                <w:sz w:val="20"/>
                <w:szCs w:val="20"/>
              </w:rPr>
              <w:t>城市公共汽车营运补贴政策</w:t>
            </w:r>
          </w:p>
        </w:tc>
        <w:tc>
          <w:tcPr>
            <w:tcW w:w="1023" w:type="pct"/>
            <w:tcBorders>
              <w:top w:val="nil"/>
              <w:left w:val="nil"/>
              <w:bottom w:val="single" w:color="auto" w:sz="4" w:space="0"/>
              <w:right w:val="single" w:color="auto" w:sz="4" w:space="0"/>
            </w:tcBorders>
            <w:shd w:val="clear" w:color="auto" w:fill="auto"/>
            <w:noWrap/>
            <w:vAlign w:val="center"/>
          </w:tcPr>
          <w:p w14:paraId="5AD40612">
            <w:pPr>
              <w:widowControl/>
              <w:spacing w:after="217" w:afterLines="50"/>
              <w:ind w:firstLine="0" w:firstLineChars="0"/>
              <w:jc w:val="center"/>
              <w:rPr>
                <w:rFonts w:eastAsia="宋体" w:cs="Times New Roman"/>
                <w:color w:val="000000"/>
                <w:kern w:val="0"/>
                <w:sz w:val="20"/>
                <w:szCs w:val="20"/>
              </w:rPr>
            </w:pPr>
            <w:r>
              <w:rPr>
                <w:rFonts w:eastAsia="宋体" w:cs="Times New Roman"/>
                <w:color w:val="000000"/>
                <w:kern w:val="0"/>
                <w:sz w:val="20"/>
                <w:szCs w:val="20"/>
              </w:rPr>
              <w:t>330.00</w:t>
            </w:r>
          </w:p>
        </w:tc>
        <w:tc>
          <w:tcPr>
            <w:tcW w:w="1023" w:type="pct"/>
            <w:tcBorders>
              <w:top w:val="nil"/>
              <w:left w:val="nil"/>
              <w:bottom w:val="single" w:color="auto" w:sz="4" w:space="0"/>
              <w:right w:val="single" w:color="auto" w:sz="4" w:space="0"/>
            </w:tcBorders>
            <w:shd w:val="clear" w:color="auto" w:fill="auto"/>
            <w:noWrap/>
            <w:vAlign w:val="center"/>
          </w:tcPr>
          <w:p w14:paraId="144A0C10">
            <w:pPr>
              <w:widowControl/>
              <w:spacing w:after="217" w:afterLines="50"/>
              <w:ind w:firstLine="0" w:firstLineChars="0"/>
              <w:jc w:val="center"/>
              <w:rPr>
                <w:rFonts w:eastAsia="宋体" w:cs="Times New Roman"/>
                <w:color w:val="000000"/>
                <w:kern w:val="0"/>
                <w:sz w:val="20"/>
                <w:szCs w:val="20"/>
              </w:rPr>
            </w:pPr>
            <w:r>
              <w:rPr>
                <w:rFonts w:eastAsia="宋体" w:cs="Times New Roman"/>
                <w:color w:val="000000"/>
                <w:kern w:val="0"/>
                <w:sz w:val="20"/>
                <w:szCs w:val="20"/>
              </w:rPr>
              <w:t>307.58</w:t>
            </w:r>
          </w:p>
        </w:tc>
        <w:tc>
          <w:tcPr>
            <w:tcW w:w="1023" w:type="pct"/>
            <w:tcBorders>
              <w:top w:val="nil"/>
              <w:left w:val="nil"/>
              <w:bottom w:val="single" w:color="auto" w:sz="4" w:space="0"/>
              <w:right w:val="single" w:color="auto" w:sz="4" w:space="0"/>
            </w:tcBorders>
            <w:shd w:val="clear" w:color="auto" w:fill="auto"/>
            <w:noWrap/>
            <w:vAlign w:val="center"/>
          </w:tcPr>
          <w:p w14:paraId="77BD9042">
            <w:pPr>
              <w:widowControl/>
              <w:spacing w:after="217" w:afterLines="50"/>
              <w:ind w:firstLine="0" w:firstLineChars="0"/>
              <w:jc w:val="center"/>
              <w:rPr>
                <w:rFonts w:eastAsia="宋体" w:cs="Times New Roman"/>
                <w:color w:val="000000"/>
                <w:kern w:val="0"/>
                <w:sz w:val="20"/>
                <w:szCs w:val="20"/>
              </w:rPr>
            </w:pPr>
            <w:r>
              <w:rPr>
                <w:rFonts w:eastAsia="宋体" w:cs="Times New Roman"/>
                <w:color w:val="000000"/>
                <w:kern w:val="0"/>
                <w:sz w:val="20"/>
                <w:szCs w:val="20"/>
              </w:rPr>
              <w:t>13.00</w:t>
            </w:r>
          </w:p>
        </w:tc>
        <w:tc>
          <w:tcPr>
            <w:tcW w:w="965" w:type="pct"/>
            <w:tcBorders>
              <w:top w:val="nil"/>
              <w:left w:val="nil"/>
              <w:bottom w:val="single" w:color="auto" w:sz="4" w:space="0"/>
              <w:right w:val="single" w:color="auto" w:sz="4" w:space="0"/>
            </w:tcBorders>
            <w:shd w:val="clear" w:color="auto" w:fill="auto"/>
            <w:noWrap/>
            <w:vAlign w:val="center"/>
          </w:tcPr>
          <w:p w14:paraId="3E543AFF">
            <w:pPr>
              <w:widowControl/>
              <w:spacing w:after="217" w:afterLines="50"/>
              <w:ind w:firstLine="0" w:firstLineChars="0"/>
              <w:jc w:val="center"/>
              <w:rPr>
                <w:rFonts w:eastAsia="宋体" w:cs="Times New Roman"/>
                <w:color w:val="000000"/>
                <w:kern w:val="0"/>
                <w:sz w:val="20"/>
                <w:szCs w:val="20"/>
              </w:rPr>
            </w:pPr>
            <w:r>
              <w:rPr>
                <w:rFonts w:eastAsia="宋体" w:cs="Times New Roman"/>
                <w:color w:val="000000"/>
                <w:kern w:val="0"/>
                <w:sz w:val="20"/>
                <w:szCs w:val="20"/>
              </w:rPr>
              <w:t>93.21%</w:t>
            </w:r>
          </w:p>
        </w:tc>
      </w:tr>
    </w:tbl>
    <w:p w14:paraId="5BCF986B">
      <w:pPr>
        <w:ind w:firstLine="640"/>
      </w:pPr>
    </w:p>
    <w:p w14:paraId="570BACC0">
      <w:pPr>
        <w:pStyle w:val="2"/>
        <w:ind w:firstLine="723"/>
        <w:rPr>
          <w:rFonts w:cs="Times New Roman"/>
        </w:rPr>
      </w:pPr>
      <w:bookmarkStart w:id="7" w:name="_Toc78668801"/>
      <w:r>
        <w:rPr>
          <w:rFonts w:cs="Times New Roman"/>
        </w:rPr>
        <w:t>二、评价工作基本情况</w:t>
      </w:r>
      <w:bookmarkEnd w:id="7"/>
    </w:p>
    <w:p w14:paraId="6E2FFBCC">
      <w:pPr>
        <w:pStyle w:val="3"/>
        <w:ind w:firstLine="643"/>
        <w:rPr>
          <w:rFonts w:cs="Times New Roman"/>
        </w:rPr>
      </w:pPr>
      <w:bookmarkStart w:id="8" w:name="_Toc78668802"/>
      <w:r>
        <w:rPr>
          <w:rFonts w:cs="Times New Roman"/>
        </w:rPr>
        <w:t>（一）评价目的</w:t>
      </w:r>
      <w:bookmarkEnd w:id="8"/>
    </w:p>
    <w:p w14:paraId="2D8900BF">
      <w:pPr>
        <w:ind w:firstLine="640"/>
        <w:rPr>
          <w:rFonts w:cs="Times New Roman"/>
        </w:rPr>
      </w:pPr>
      <w:r>
        <w:rPr>
          <w:rFonts w:cs="Times New Roman"/>
        </w:rPr>
        <w:t>绵竹市城市公共汽车营运补贴政策绩效评价主要目的如下：</w:t>
      </w:r>
    </w:p>
    <w:p w14:paraId="7BEE6391">
      <w:pPr>
        <w:ind w:firstLine="640"/>
        <w:rPr>
          <w:rFonts w:cs="Times New Roman"/>
        </w:rPr>
      </w:pPr>
      <w:r>
        <w:rPr>
          <w:rFonts w:cs="Times New Roman"/>
        </w:rPr>
        <w:t>（1）衡量政策制定的科学性和适切性。在实际评价中通过政策出台背景、政策依据、决策过程和政策目标，对政策决策内容的完整性、政策目标的科学性、合理性进行分析，发现政策设计中存在的问题，并对具体原因进行深入挖掘。</w:t>
      </w:r>
    </w:p>
    <w:p w14:paraId="036EBD1F">
      <w:pPr>
        <w:ind w:firstLine="640"/>
        <w:rPr>
          <w:rFonts w:cs="Times New Roman"/>
        </w:rPr>
      </w:pPr>
      <w:r>
        <w:rPr>
          <w:rFonts w:cs="Times New Roman"/>
        </w:rPr>
        <w:t>（2）评估政策执行的有效性和规范性。对政策管理要素展开分析，就政策执行有效性和管理规范性进行判断，对其不符合规范的操作进行流程梳理，发现在组织实施与资金管理中存在的问题和薄弱环节，针对性地提出改进政策执行和项目管理的建议。</w:t>
      </w:r>
    </w:p>
    <w:p w14:paraId="4A5A0316">
      <w:pPr>
        <w:ind w:firstLine="640"/>
        <w:rPr>
          <w:rFonts w:cs="Times New Roman"/>
        </w:rPr>
      </w:pPr>
      <w:r>
        <w:rPr>
          <w:rFonts w:cs="Times New Roman"/>
        </w:rPr>
        <w:t>（3）检验政策资金分配、使用的经济性、效益性和公平性。考察政策资金分配、使用的实际情况，反映预期政策目标的实现程度，结合政策受益群体满意度调查，就政策实施是否总体有效或阶段性有效作出总体判断。</w:t>
      </w:r>
    </w:p>
    <w:p w14:paraId="72B8C859">
      <w:pPr>
        <w:ind w:firstLine="640"/>
        <w:rPr>
          <w:rFonts w:cs="Times New Roman"/>
        </w:rPr>
      </w:pPr>
      <w:r>
        <w:rPr>
          <w:rFonts w:cs="Times New Roman"/>
        </w:rPr>
        <w:t>（4）分析上述三项关键问题并分析原因。对优化政策修订、完善政策执行和提升政策效益提出合理参考建议。</w:t>
      </w:r>
    </w:p>
    <w:p w14:paraId="0724EFE3">
      <w:pPr>
        <w:pStyle w:val="3"/>
        <w:ind w:firstLine="643"/>
        <w:rPr>
          <w:rFonts w:cs="Times New Roman"/>
        </w:rPr>
      </w:pPr>
      <w:bookmarkStart w:id="9" w:name="_Toc78668803"/>
      <w:r>
        <w:rPr>
          <w:rFonts w:cs="Times New Roman"/>
        </w:rPr>
        <w:t>（二）评价思路</w:t>
      </w:r>
      <w:bookmarkEnd w:id="9"/>
    </w:p>
    <w:p w14:paraId="744574BD">
      <w:pPr>
        <w:ind w:firstLine="640"/>
        <w:rPr>
          <w:rFonts w:cs="Times New Roman"/>
        </w:rPr>
      </w:pPr>
      <w:r>
        <w:rPr>
          <w:rFonts w:cs="Times New Roman"/>
        </w:rPr>
        <w:t>本次绩效评价将在城市公共服务专项资金绩效管理的基础上，首先运用整套的绩效评价指标体系，对绵竹市公交运营补贴资金的成本效益展开评价，一是从</w:t>
      </w:r>
      <w:r>
        <w:rPr>
          <w:rFonts w:hint="eastAsia" w:cs="Times New Roman"/>
        </w:rPr>
        <w:t>“</w:t>
      </w:r>
      <w:r>
        <w:rPr>
          <w:rFonts w:cs="Times New Roman"/>
        </w:rPr>
        <w:t>资金流</w:t>
      </w:r>
      <w:r>
        <w:rPr>
          <w:rFonts w:hint="eastAsia" w:cs="Times New Roman"/>
        </w:rPr>
        <w:t>”</w:t>
      </w:r>
      <w:r>
        <w:rPr>
          <w:rFonts w:cs="Times New Roman"/>
        </w:rPr>
        <w:t>出发，通过收集、汇总和分析公交公司财务数据，重点评价公交的成本效益情况，将采用客流量及营收情况这两个维度对公交线路进行分类的方法，核算公交运营单位成本，评价公交运行效率；二是从</w:t>
      </w:r>
      <w:r>
        <w:rPr>
          <w:rFonts w:hint="eastAsia" w:cs="Times New Roman"/>
        </w:rPr>
        <w:t>“</w:t>
      </w:r>
      <w:r>
        <w:rPr>
          <w:rFonts w:cs="Times New Roman"/>
        </w:rPr>
        <w:t>业务流</w:t>
      </w:r>
      <w:r>
        <w:rPr>
          <w:rFonts w:hint="eastAsia" w:cs="Times New Roman"/>
        </w:rPr>
        <w:t>”</w:t>
      </w:r>
      <w:r>
        <w:rPr>
          <w:rFonts w:cs="Times New Roman"/>
        </w:rPr>
        <w:t>出发，通过对城市重点功能分区公交线路及站点进行实地勘察以及对乘客与司机分别开展实地访谈，更直观对公交实际运行与服务情况形成判断，并参考财务数据，得到全面的评价结论。最后将以</w:t>
      </w:r>
      <w:r>
        <w:rPr>
          <w:rFonts w:hint="eastAsia" w:cs="Times New Roman"/>
        </w:rPr>
        <w:t>“</w:t>
      </w:r>
      <w:r>
        <w:rPr>
          <w:rFonts w:cs="Times New Roman"/>
        </w:rPr>
        <w:t>结果导向</w:t>
      </w:r>
      <w:r>
        <w:rPr>
          <w:rFonts w:hint="eastAsia" w:cs="Times New Roman"/>
        </w:rPr>
        <w:t>”</w:t>
      </w:r>
      <w:r>
        <w:rPr>
          <w:rFonts w:cs="Times New Roman"/>
        </w:rPr>
        <w:t>为原则，聚焦城市发展与公共汽车交通定位，研究职能部门和公众等主要利益相关方在不同阶段的公交出行行为及公交经济、社会效果，梳理出服务管理过程中存在的问题，重点评价补贴模式合理性，对比其他地市补贴情况进行分析和建议。</w:t>
      </w:r>
    </w:p>
    <w:p w14:paraId="62C9CF67">
      <w:pPr>
        <w:pStyle w:val="3"/>
        <w:ind w:firstLine="643"/>
        <w:rPr>
          <w:rFonts w:cs="Times New Roman"/>
        </w:rPr>
      </w:pPr>
      <w:bookmarkStart w:id="10" w:name="_Toc78668804"/>
      <w:r>
        <w:rPr>
          <w:rFonts w:cs="Times New Roman"/>
        </w:rPr>
        <w:t>（三）评价方法</w:t>
      </w:r>
      <w:bookmarkEnd w:id="10"/>
    </w:p>
    <w:p w14:paraId="7DF230BB">
      <w:pPr>
        <w:ind w:firstLine="640"/>
        <w:rPr>
          <w:rFonts w:cs="Times New Roman"/>
        </w:rPr>
      </w:pPr>
      <w:r>
        <w:rPr>
          <w:rFonts w:cs="Times New Roman"/>
        </w:rPr>
        <w:t>本次城市公共汽车营运补贴政策绩效评价主要采用了案卷研究法、现场核查法和深度访谈法进行综合评价。</w:t>
      </w:r>
    </w:p>
    <w:p w14:paraId="4F446653">
      <w:pPr>
        <w:pStyle w:val="4"/>
        <w:ind w:firstLine="643"/>
        <w:rPr>
          <w:rFonts w:cs="Times New Roman"/>
        </w:rPr>
      </w:pPr>
      <w:bookmarkStart w:id="11" w:name="_Toc78668805"/>
      <w:r>
        <w:rPr>
          <w:rFonts w:cs="Times New Roman"/>
        </w:rPr>
        <w:t>1. 查资料—案卷研究法</w:t>
      </w:r>
      <w:bookmarkEnd w:id="11"/>
    </w:p>
    <w:p w14:paraId="0E1669AE">
      <w:pPr>
        <w:ind w:firstLine="640"/>
        <w:rPr>
          <w:rFonts w:cs="Times New Roman"/>
        </w:rPr>
      </w:pPr>
      <w:r>
        <w:rPr>
          <w:rFonts w:cs="Times New Roman"/>
        </w:rPr>
        <w:t>通过深入研究《国务院关于城市优先发展公共交通的指导意见》(国发〔2012〕64号)、《市交通局关于审定&lt;绵竹市城市公共交通补贴建议方案&gt;的请示》（竹交〔2018〕342号）、《绵竹市城市公共汽车运营补贴办法》等文件，全方位了解城市公共汽车营运补贴政策特性和使用规范等，梳理项目涉及部门及职能职责，并对公交运营补贴资金管理等做出判断。</w:t>
      </w:r>
    </w:p>
    <w:p w14:paraId="0CE0DE6E">
      <w:pPr>
        <w:pStyle w:val="4"/>
        <w:ind w:firstLine="643"/>
        <w:rPr>
          <w:rFonts w:cs="Times New Roman"/>
        </w:rPr>
      </w:pPr>
      <w:bookmarkStart w:id="12" w:name="_Toc78668806"/>
      <w:r>
        <w:rPr>
          <w:rFonts w:cs="Times New Roman"/>
        </w:rPr>
        <w:t>2. 访对象—深度访谈</w:t>
      </w:r>
      <w:bookmarkEnd w:id="12"/>
    </w:p>
    <w:p w14:paraId="29C1C780">
      <w:pPr>
        <w:ind w:firstLine="640"/>
        <w:rPr>
          <w:rFonts w:cs="Times New Roman"/>
        </w:rPr>
      </w:pPr>
      <w:r>
        <w:rPr>
          <w:rFonts w:cs="Times New Roman"/>
        </w:rPr>
        <w:t>访对象指走访项目主管部门（单位），听取城市公共汽车营运补贴政策资金使用情况和资金拨付进度等项目管理情况，主要对市交通局部门（单位）1名分管领导、1名财务负责人和1名业务负责人，</w:t>
      </w:r>
      <w:r>
        <w:rPr>
          <w:rFonts w:hint="eastAsia" w:cs="Times New Roman"/>
        </w:rPr>
        <w:t>宏运公交公司1名负责人、1名财务负责人和</w:t>
      </w:r>
      <w:r>
        <w:rPr>
          <w:rFonts w:cs="Times New Roman"/>
        </w:rPr>
        <w:t>5</w:t>
      </w:r>
      <w:r>
        <w:rPr>
          <w:rFonts w:hint="eastAsia" w:cs="Times New Roman"/>
        </w:rPr>
        <w:t>名公交司机进行访谈，</w:t>
      </w:r>
      <w:r>
        <w:rPr>
          <w:rFonts w:cs="Times New Roman"/>
        </w:rPr>
        <w:t>了解城市公共汽车营运补贴的资金使用和管理规范，并探寻城市公共汽车营运补贴使用过程中的困难和挑战，为提高城市公共汽车营运资金管理和社会效益提供经验借鉴。在本绩效评价中，将在现场核查时使用一对一深访的形式，访谈内容包括但不限于：</w:t>
      </w:r>
    </w:p>
    <w:p w14:paraId="0A0F536B">
      <w:pPr>
        <w:ind w:firstLine="640"/>
        <w:rPr>
          <w:rFonts w:cs="Times New Roman"/>
        </w:rPr>
      </w:pPr>
      <w:r>
        <w:rPr>
          <w:rFonts w:cs="Times New Roman"/>
        </w:rPr>
        <w:t>（1）城市公共汽车营运补贴政策设计管理制度完善性，如城市公共汽车营运补贴政策立项依据、资金管理办法、效益评估工作实施方案等；</w:t>
      </w:r>
    </w:p>
    <w:p w14:paraId="08FFE227">
      <w:pPr>
        <w:ind w:firstLine="640"/>
        <w:rPr>
          <w:rFonts w:cs="Times New Roman"/>
        </w:rPr>
      </w:pPr>
      <w:r>
        <w:rPr>
          <w:rFonts w:cs="Times New Roman"/>
        </w:rPr>
        <w:t>（2）城市公共汽车营运补贴政策的资金使用规范性和效率性，如城乡居民养老保险财政补助资金支出情况和项目收益情况；</w:t>
      </w:r>
    </w:p>
    <w:p w14:paraId="5B93A112">
      <w:pPr>
        <w:ind w:firstLine="640"/>
        <w:rPr>
          <w:rFonts w:cs="Times New Roman"/>
        </w:rPr>
      </w:pPr>
      <w:r>
        <w:rPr>
          <w:rFonts w:cs="Times New Roman"/>
        </w:rPr>
        <w:t>（3）现阶段城乡居民养老保险财政补助政策的经验、不足以及相关建议等。</w:t>
      </w:r>
    </w:p>
    <w:p w14:paraId="49972480">
      <w:pPr>
        <w:pStyle w:val="4"/>
        <w:ind w:firstLine="643"/>
        <w:rPr>
          <w:rFonts w:cs="Times New Roman"/>
        </w:rPr>
      </w:pPr>
      <w:bookmarkStart w:id="13" w:name="_Toc78668807"/>
      <w:r>
        <w:rPr>
          <w:rFonts w:cs="Times New Roman"/>
        </w:rPr>
        <w:t>3. 核落实—书面评审+现场核查+</w:t>
      </w:r>
      <w:r>
        <w:rPr>
          <w:rFonts w:cs="Times New Roman"/>
          <w:szCs w:val="22"/>
        </w:rPr>
        <w:t>问卷调查法</w:t>
      </w:r>
      <w:bookmarkEnd w:id="13"/>
    </w:p>
    <w:p w14:paraId="46603118">
      <w:pPr>
        <w:ind w:firstLine="640"/>
        <w:rPr>
          <w:rFonts w:cs="Times New Roman"/>
        </w:rPr>
      </w:pPr>
      <w:r>
        <w:rPr>
          <w:rFonts w:cs="Times New Roman"/>
        </w:rPr>
        <w:t>一是书面评审。书面评审工作将通过对政策总体情况、绩效情况等内容进行评审，并根据书面评审和现场评价结果，提出存在问题及相关建议，及时反馈至公司，进一步补充、调整材料，并根据评价指标进行初步打分。主要包括材料初审、模块审核、指标评分、汇总核查、总结反馈、最终归档等六个步骤。</w:t>
      </w:r>
    </w:p>
    <w:p w14:paraId="73484374">
      <w:pPr>
        <w:ind w:firstLine="640"/>
        <w:rPr>
          <w:rFonts w:cs="Times New Roman"/>
        </w:rPr>
      </w:pPr>
      <w:r>
        <w:rPr>
          <w:rFonts w:cs="Times New Roman"/>
        </w:rPr>
        <w:t>二是现场核查。现场核查主要包括对财务原件审核、资料核查、项目实施点实地勘察工作。</w:t>
      </w:r>
    </w:p>
    <w:p w14:paraId="36509BE6">
      <w:pPr>
        <w:ind w:firstLine="640"/>
        <w:rPr>
          <w:rFonts w:cs="Times New Roman"/>
        </w:rPr>
      </w:pPr>
      <w:r>
        <w:rPr>
          <w:rFonts w:cs="Times New Roman"/>
        </w:rPr>
        <w:t>绵竹市城市公共汽车营运补贴政策现场核查内容包括且不限于：</w:t>
      </w:r>
    </w:p>
    <w:p w14:paraId="4D79899D">
      <w:pPr>
        <w:ind w:firstLine="640"/>
        <w:rPr>
          <w:rFonts w:cs="Times New Roman"/>
        </w:rPr>
      </w:pPr>
      <w:r>
        <w:rPr>
          <w:rFonts w:cs="Times New Roman"/>
        </w:rPr>
        <w:t>（1）绵竹市城市公共汽车营运补贴政策资金的收支情况和凭证；</w:t>
      </w:r>
    </w:p>
    <w:p w14:paraId="4AA13BAE">
      <w:pPr>
        <w:ind w:firstLine="640"/>
        <w:rPr>
          <w:rFonts w:cs="Times New Roman"/>
        </w:rPr>
      </w:pPr>
      <w:r>
        <w:rPr>
          <w:rFonts w:cs="Times New Roman"/>
        </w:rPr>
        <w:t>（2）绵竹市城市公共汽车营运补贴政策资金管理机制建立情况；</w:t>
      </w:r>
    </w:p>
    <w:p w14:paraId="267B4E6A">
      <w:pPr>
        <w:ind w:firstLine="640"/>
        <w:rPr>
          <w:rFonts w:cs="Times New Roman"/>
        </w:rPr>
      </w:pPr>
      <w:r>
        <w:rPr>
          <w:rFonts w:cs="Times New Roman"/>
        </w:rPr>
        <w:t>（3）该财政支出政策预期补助情况、结余资金收益情况；</w:t>
      </w:r>
    </w:p>
    <w:p w14:paraId="637C07EE">
      <w:pPr>
        <w:ind w:firstLine="640"/>
        <w:rPr>
          <w:rFonts w:cs="Times New Roman"/>
        </w:rPr>
      </w:pPr>
      <w:r>
        <w:rPr>
          <w:rFonts w:cs="Times New Roman"/>
        </w:rPr>
        <w:t>（4）该财政支出政策完成的产出和绩效。</w:t>
      </w:r>
    </w:p>
    <w:p w14:paraId="0D69C386">
      <w:pPr>
        <w:ind w:firstLine="640"/>
        <w:rPr>
          <w:rFonts w:cs="Times New Roman"/>
        </w:rPr>
      </w:pPr>
      <w:r>
        <w:rPr>
          <w:rFonts w:cs="Times New Roman"/>
        </w:rPr>
        <w:t>三是问卷调查法。本次项目组采集90份问卷调查数据，可以定位项目相关利益群体，收集村民的满意程度，形成具有代表性的结构化证据，并为资源分配和县级基本财力保障机制政策的制定提供定量参考依</w:t>
      </w:r>
      <w:bookmarkStart w:id="14" w:name="_Toc32573_WPSOffice_Level1"/>
      <w:r>
        <w:rPr>
          <w:rFonts w:cs="Times New Roman"/>
        </w:rPr>
        <w:t>据，促进资金</w:t>
      </w:r>
      <w:bookmarkEnd w:id="14"/>
      <w:r>
        <w:rPr>
          <w:rFonts w:cs="Times New Roman"/>
        </w:rPr>
        <w:t>实现其效果目的。</w:t>
      </w:r>
    </w:p>
    <w:p w14:paraId="2870CB05">
      <w:pPr>
        <w:pStyle w:val="3"/>
        <w:ind w:firstLine="643"/>
        <w:rPr>
          <w:rFonts w:cs="Times New Roman"/>
        </w:rPr>
      </w:pPr>
      <w:bookmarkStart w:id="15" w:name="_Toc78668808"/>
      <w:r>
        <w:rPr>
          <w:rFonts w:cs="Times New Roman"/>
        </w:rPr>
        <w:t>（四）评价指标</w:t>
      </w:r>
      <w:bookmarkEnd w:id="15"/>
    </w:p>
    <w:p w14:paraId="691D120E">
      <w:pPr>
        <w:ind w:firstLine="640"/>
        <w:rPr>
          <w:rFonts w:cs="Times New Roman"/>
        </w:rPr>
      </w:pPr>
      <w:r>
        <w:rPr>
          <w:rFonts w:cs="Times New Roman"/>
        </w:rPr>
        <w:t>为衡量补贴资金绩效目标实现程度，本次绵竹市城市公共汽车营运补贴政策绩效评价遵循定性与定量相结合、共性指标与个性指标相结合的原则，设计绩效评价指标，兼顾成本规制情况和服务质量管理结果，既要考核财政支出政策的财务管理，又要评价政策执行和管理情况，从而将正向引导与逆向约束有机结合。因此，本项目绩效评价指标设计要围绕成本效益、服务管理、资金管理、线网规划和公交服务产生的社会效益等方面做绩效评价，重点考核公交运营的产出和效益。</w:t>
      </w:r>
    </w:p>
    <w:p w14:paraId="74D442E4">
      <w:pPr>
        <w:ind w:firstLine="640"/>
        <w:rPr>
          <w:rFonts w:cs="Times New Roman"/>
        </w:rPr>
      </w:pPr>
      <w:r>
        <w:rPr>
          <w:rFonts w:cs="Times New Roman"/>
        </w:rPr>
        <w:t>基于绩效评价原则及项目实施内容，从政策设计、政策执行和政策效果3个方面建立评价指标体系，共构建3项一级指标，11项二级指标，21项三级指标。</w:t>
      </w:r>
    </w:p>
    <w:p w14:paraId="1688BB1B">
      <w:pPr>
        <w:pStyle w:val="2"/>
        <w:ind w:firstLine="723"/>
        <w:rPr>
          <w:rFonts w:cs="Times New Roman"/>
        </w:rPr>
      </w:pPr>
      <w:bookmarkStart w:id="16" w:name="_Toc78668809"/>
      <w:r>
        <w:rPr>
          <w:rFonts w:cs="Times New Roman"/>
        </w:rPr>
        <w:t>三、政策绩效评价结论</w:t>
      </w:r>
      <w:bookmarkEnd w:id="16"/>
    </w:p>
    <w:p w14:paraId="55C83724">
      <w:pPr>
        <w:pStyle w:val="3"/>
        <w:ind w:firstLine="643"/>
        <w:rPr>
          <w:rFonts w:cs="Times New Roman"/>
        </w:rPr>
      </w:pPr>
      <w:bookmarkStart w:id="17" w:name="_Toc78668810"/>
      <w:r>
        <w:rPr>
          <w:rFonts w:cs="Times New Roman"/>
        </w:rPr>
        <w:t>（一）评价结论</w:t>
      </w:r>
      <w:bookmarkEnd w:id="17"/>
    </w:p>
    <w:p w14:paraId="35A7B8D1">
      <w:pPr>
        <w:ind w:firstLine="643"/>
        <w:rPr>
          <w:rFonts w:cs="Times New Roman"/>
          <w:b/>
          <w:bCs/>
        </w:rPr>
      </w:pPr>
      <w:r>
        <w:rPr>
          <w:rFonts w:cs="Times New Roman"/>
          <w:b/>
          <w:bCs/>
        </w:rPr>
        <w:t>2020年绵竹市城市公共汽车营运补贴政策支出绩效评价得分为92.46分，等级判定为：良</w:t>
      </w:r>
      <w:r>
        <w:rPr>
          <w:rStyle w:val="24"/>
          <w:rFonts w:cs="Times New Roman"/>
          <w:b/>
          <w:bCs/>
        </w:rPr>
        <w:footnoteReference w:id="0"/>
      </w:r>
      <w:r>
        <w:rPr>
          <w:rFonts w:cs="Times New Roman"/>
          <w:b/>
          <w:bCs/>
        </w:rPr>
        <w:t>。</w:t>
      </w:r>
    </w:p>
    <w:p w14:paraId="5A3639E5">
      <w:pPr>
        <w:ind w:firstLine="640"/>
        <w:rPr>
          <w:rFonts w:cs="Times New Roman"/>
        </w:rPr>
      </w:pPr>
      <w:r>
        <w:rPr>
          <w:rFonts w:cs="Times New Roman"/>
        </w:rPr>
        <w:t>总体而言，城市公共汽车营运补贴政策在政策执行方面表现较好，项目执行相对有效且目标完成度较高。但在政策设计和政策效果方面还存在不足，一是由于绩效目标设置不合理出现政策效果难以有效管理；二是就政策效果而言，受疫情影响，营运客流量和成本控制有待进一步提升。</w:t>
      </w:r>
    </w:p>
    <w:p w14:paraId="25B66260">
      <w:pPr>
        <w:ind w:firstLine="640"/>
        <w:rPr>
          <w:rFonts w:cs="Times New Roman"/>
          <w:b/>
          <w:bCs/>
        </w:rPr>
      </w:pPr>
      <w:r>
        <w:rPr>
          <w:rFonts w:cs="Times New Roman"/>
        </w:rPr>
        <w:t>本次评价综合运用案卷研究、深度访谈、书面评审、现场评价及问卷调查等方法进行多源数据采集，依据评价指标进行打分，一级指标得分情况如下：政策设计15.00分，实际得分12.00分，得分率80.00%；政策执行22.00分，实际得分21.00分，得分率95.45%；政策效果63.00分，实际得分59.46分，得分率94.38%。</w:t>
      </w:r>
      <w:r>
        <w:rPr>
          <w:rFonts w:cs="Times New Roman"/>
          <w:b/>
          <w:bCs/>
        </w:rPr>
        <w:t>整体指标得分详情如下：</w:t>
      </w:r>
    </w:p>
    <w:p w14:paraId="4CD05258">
      <w:pPr>
        <w:spacing w:after="217" w:afterLines="50"/>
        <w:ind w:firstLine="0" w:firstLineChars="0"/>
        <w:jc w:val="center"/>
        <w:rPr>
          <w:rFonts w:eastAsia="幼圆" w:cs="Times New Roman"/>
          <w:b/>
          <w:sz w:val="28"/>
          <w:szCs w:val="28"/>
        </w:rPr>
      </w:pPr>
      <w:r>
        <w:rPr>
          <w:rFonts w:eastAsia="幼圆" w:cs="Times New Roman"/>
          <w:b/>
          <w:sz w:val="28"/>
          <w:szCs w:val="28"/>
        </w:rPr>
        <w:t>附表 城市公共汽车营运补贴政策支出绩效评价指标得分情况</w:t>
      </w:r>
      <w:r>
        <w:rPr>
          <w:rFonts w:eastAsia="幼圆" w:cs="Times New Roman"/>
          <w:b/>
          <w:sz w:val="28"/>
          <w:szCs w:val="28"/>
          <w:vertAlign w:val="superscript"/>
        </w:rPr>
        <w:footnoteReference w:id="1"/>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7"/>
        <w:gridCol w:w="1312"/>
        <w:gridCol w:w="3204"/>
        <w:gridCol w:w="873"/>
        <w:gridCol w:w="876"/>
        <w:gridCol w:w="1100"/>
      </w:tblGrid>
      <w:tr w14:paraId="603C4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blHeader/>
          <w:jc w:val="center"/>
        </w:trPr>
        <w:tc>
          <w:tcPr>
            <w:tcW w:w="679" w:type="pct"/>
            <w:shd w:val="clear" w:color="auto" w:fill="00516B"/>
            <w:vAlign w:val="center"/>
          </w:tcPr>
          <w:p w14:paraId="1A0909C6">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一级指标</w:t>
            </w:r>
          </w:p>
        </w:tc>
        <w:tc>
          <w:tcPr>
            <w:tcW w:w="770" w:type="pct"/>
            <w:shd w:val="clear" w:color="auto" w:fill="00516B"/>
            <w:vAlign w:val="center"/>
          </w:tcPr>
          <w:p w14:paraId="16A003BC">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二级指标</w:t>
            </w:r>
          </w:p>
        </w:tc>
        <w:tc>
          <w:tcPr>
            <w:tcW w:w="1879" w:type="pct"/>
            <w:shd w:val="clear" w:color="auto" w:fill="00516B"/>
            <w:vAlign w:val="center"/>
          </w:tcPr>
          <w:p w14:paraId="2C2DA4A8">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三级指标</w:t>
            </w:r>
          </w:p>
        </w:tc>
        <w:tc>
          <w:tcPr>
            <w:tcW w:w="512" w:type="pct"/>
            <w:shd w:val="clear" w:color="auto" w:fill="00516B"/>
            <w:vAlign w:val="center"/>
          </w:tcPr>
          <w:p w14:paraId="6E1287FC">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权重</w:t>
            </w:r>
          </w:p>
        </w:tc>
        <w:tc>
          <w:tcPr>
            <w:tcW w:w="514" w:type="pct"/>
            <w:shd w:val="clear" w:color="auto" w:fill="00516B"/>
            <w:vAlign w:val="center"/>
          </w:tcPr>
          <w:p w14:paraId="57F7CF46">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得分</w:t>
            </w:r>
          </w:p>
        </w:tc>
        <w:tc>
          <w:tcPr>
            <w:tcW w:w="645" w:type="pct"/>
            <w:shd w:val="clear" w:color="auto" w:fill="00516B"/>
            <w:vAlign w:val="center"/>
          </w:tcPr>
          <w:p w14:paraId="58D78CAA">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得分率</w:t>
            </w:r>
          </w:p>
        </w:tc>
      </w:tr>
      <w:tr w14:paraId="16AF7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79" w:type="pct"/>
            <w:vMerge w:val="restart"/>
            <w:shd w:val="clear" w:color="auto" w:fill="auto"/>
            <w:vAlign w:val="center"/>
          </w:tcPr>
          <w:p w14:paraId="12D1DD70">
            <w:pPr>
              <w:widowControl/>
              <w:spacing w:after="217" w:afterLines="50" w:line="320" w:lineRule="exact"/>
              <w:ind w:firstLine="0" w:firstLineChars="0"/>
              <w:rPr>
                <w:rFonts w:eastAsia="宋体" w:cs="Times New Roman"/>
                <w:kern w:val="0"/>
                <w:sz w:val="20"/>
                <w:szCs w:val="20"/>
              </w:rPr>
            </w:pPr>
            <w:r>
              <w:rPr>
                <w:rFonts w:eastAsia="宋体" w:cs="Times New Roman"/>
                <w:kern w:val="0"/>
                <w:sz w:val="20"/>
                <w:szCs w:val="20"/>
              </w:rPr>
              <w:t>政策设计(15分）</w:t>
            </w:r>
          </w:p>
        </w:tc>
        <w:tc>
          <w:tcPr>
            <w:tcW w:w="770" w:type="pct"/>
            <w:vMerge w:val="restart"/>
            <w:shd w:val="clear" w:color="auto" w:fill="auto"/>
            <w:vAlign w:val="center"/>
          </w:tcPr>
          <w:p w14:paraId="22DF8B39">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目标科学</w:t>
            </w:r>
          </w:p>
        </w:tc>
        <w:tc>
          <w:tcPr>
            <w:tcW w:w="1879" w:type="pct"/>
            <w:vAlign w:val="center"/>
          </w:tcPr>
          <w:p w14:paraId="74ECC978">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政策目标合理性</w:t>
            </w:r>
          </w:p>
        </w:tc>
        <w:tc>
          <w:tcPr>
            <w:tcW w:w="512" w:type="pct"/>
            <w:shd w:val="clear" w:color="auto" w:fill="auto"/>
            <w:vAlign w:val="center"/>
          </w:tcPr>
          <w:p w14:paraId="3AF9F08A">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4.00</w:t>
            </w:r>
          </w:p>
        </w:tc>
        <w:tc>
          <w:tcPr>
            <w:tcW w:w="514" w:type="pct"/>
            <w:vAlign w:val="center"/>
          </w:tcPr>
          <w:p w14:paraId="218D9FFF">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4.00</w:t>
            </w:r>
          </w:p>
        </w:tc>
        <w:tc>
          <w:tcPr>
            <w:tcW w:w="645" w:type="pct"/>
            <w:vAlign w:val="center"/>
          </w:tcPr>
          <w:p w14:paraId="513FC683">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14:paraId="36406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679" w:type="pct"/>
            <w:vMerge w:val="continue"/>
            <w:vAlign w:val="center"/>
          </w:tcPr>
          <w:p w14:paraId="64831A94">
            <w:pPr>
              <w:widowControl/>
              <w:spacing w:after="217" w:afterLines="50" w:line="320" w:lineRule="exact"/>
              <w:ind w:firstLine="0" w:firstLineChars="0"/>
              <w:jc w:val="left"/>
              <w:rPr>
                <w:rFonts w:eastAsia="宋体" w:cs="Times New Roman"/>
                <w:kern w:val="0"/>
                <w:sz w:val="20"/>
                <w:szCs w:val="20"/>
              </w:rPr>
            </w:pPr>
          </w:p>
        </w:tc>
        <w:tc>
          <w:tcPr>
            <w:tcW w:w="770" w:type="pct"/>
            <w:vMerge w:val="continue"/>
            <w:vAlign w:val="center"/>
          </w:tcPr>
          <w:p w14:paraId="149F79E8">
            <w:pPr>
              <w:widowControl/>
              <w:spacing w:after="217" w:afterLines="50" w:line="320" w:lineRule="exact"/>
              <w:ind w:firstLine="0" w:firstLineChars="0"/>
              <w:jc w:val="left"/>
              <w:rPr>
                <w:rFonts w:eastAsia="宋体" w:cs="Times New Roman"/>
                <w:kern w:val="0"/>
                <w:sz w:val="20"/>
                <w:szCs w:val="20"/>
              </w:rPr>
            </w:pPr>
          </w:p>
        </w:tc>
        <w:tc>
          <w:tcPr>
            <w:tcW w:w="1879" w:type="pct"/>
            <w:vAlign w:val="center"/>
          </w:tcPr>
          <w:p w14:paraId="45148077">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绩效指标科学性</w:t>
            </w:r>
          </w:p>
        </w:tc>
        <w:tc>
          <w:tcPr>
            <w:tcW w:w="512" w:type="pct"/>
            <w:shd w:val="clear" w:color="auto" w:fill="auto"/>
            <w:vAlign w:val="center"/>
          </w:tcPr>
          <w:p w14:paraId="3E911E23">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14" w:type="pct"/>
            <w:vAlign w:val="center"/>
          </w:tcPr>
          <w:p w14:paraId="603DF47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645" w:type="pct"/>
            <w:vAlign w:val="center"/>
          </w:tcPr>
          <w:p w14:paraId="43D750B8">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40.00%</w:t>
            </w:r>
          </w:p>
        </w:tc>
      </w:tr>
      <w:tr w14:paraId="1733F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679" w:type="pct"/>
            <w:vMerge w:val="continue"/>
            <w:vAlign w:val="center"/>
          </w:tcPr>
          <w:p w14:paraId="600DD900">
            <w:pPr>
              <w:widowControl/>
              <w:spacing w:after="217" w:afterLines="50" w:line="320" w:lineRule="exact"/>
              <w:ind w:firstLine="0" w:firstLineChars="0"/>
              <w:jc w:val="left"/>
              <w:rPr>
                <w:rFonts w:eastAsia="宋体" w:cs="Times New Roman"/>
                <w:kern w:val="0"/>
                <w:sz w:val="20"/>
                <w:szCs w:val="20"/>
              </w:rPr>
            </w:pPr>
          </w:p>
        </w:tc>
        <w:tc>
          <w:tcPr>
            <w:tcW w:w="770" w:type="pct"/>
            <w:shd w:val="clear" w:color="auto" w:fill="auto"/>
            <w:vAlign w:val="center"/>
          </w:tcPr>
          <w:p w14:paraId="62479E18">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标准合理</w:t>
            </w:r>
          </w:p>
        </w:tc>
        <w:tc>
          <w:tcPr>
            <w:tcW w:w="1879" w:type="pct"/>
            <w:vAlign w:val="center"/>
          </w:tcPr>
          <w:p w14:paraId="7088EF42">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补贴资金规模合理性</w:t>
            </w:r>
          </w:p>
        </w:tc>
        <w:tc>
          <w:tcPr>
            <w:tcW w:w="512" w:type="pct"/>
            <w:shd w:val="clear" w:color="auto" w:fill="auto"/>
            <w:vAlign w:val="center"/>
          </w:tcPr>
          <w:p w14:paraId="504FB06F">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6.00</w:t>
            </w:r>
          </w:p>
        </w:tc>
        <w:tc>
          <w:tcPr>
            <w:tcW w:w="514" w:type="pct"/>
            <w:vAlign w:val="center"/>
          </w:tcPr>
          <w:p w14:paraId="1C307D19">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6.00</w:t>
            </w:r>
          </w:p>
        </w:tc>
        <w:tc>
          <w:tcPr>
            <w:tcW w:w="645" w:type="pct"/>
            <w:vAlign w:val="center"/>
          </w:tcPr>
          <w:p w14:paraId="0B3BFBB5">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14:paraId="108D3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679" w:type="pct"/>
            <w:vMerge w:val="restart"/>
            <w:shd w:val="clear" w:color="auto" w:fill="auto"/>
            <w:vAlign w:val="center"/>
          </w:tcPr>
          <w:p w14:paraId="039FA462">
            <w:pPr>
              <w:widowControl/>
              <w:spacing w:after="217" w:afterLines="50" w:line="320" w:lineRule="exact"/>
              <w:ind w:firstLine="0" w:firstLineChars="0"/>
              <w:rPr>
                <w:rFonts w:eastAsia="宋体" w:cs="Times New Roman"/>
                <w:kern w:val="0"/>
                <w:sz w:val="20"/>
                <w:szCs w:val="20"/>
              </w:rPr>
            </w:pPr>
            <w:r>
              <w:rPr>
                <w:rFonts w:eastAsia="宋体" w:cs="Times New Roman"/>
                <w:kern w:val="0"/>
                <w:sz w:val="20"/>
                <w:szCs w:val="20"/>
              </w:rPr>
              <w:t>政策执行(22分）</w:t>
            </w:r>
          </w:p>
        </w:tc>
        <w:tc>
          <w:tcPr>
            <w:tcW w:w="770" w:type="pct"/>
            <w:vMerge w:val="restart"/>
            <w:shd w:val="clear" w:color="auto" w:fill="auto"/>
            <w:vAlign w:val="center"/>
          </w:tcPr>
          <w:p w14:paraId="16935B42">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业务管理</w:t>
            </w:r>
          </w:p>
        </w:tc>
        <w:tc>
          <w:tcPr>
            <w:tcW w:w="1879" w:type="pct"/>
            <w:vAlign w:val="center"/>
          </w:tcPr>
          <w:p w14:paraId="2E20AB79">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人员管理制度健全性</w:t>
            </w:r>
          </w:p>
        </w:tc>
        <w:tc>
          <w:tcPr>
            <w:tcW w:w="512" w:type="pct"/>
            <w:shd w:val="clear" w:color="auto" w:fill="auto"/>
            <w:vAlign w:val="center"/>
          </w:tcPr>
          <w:p w14:paraId="365F1926">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514" w:type="pct"/>
            <w:vAlign w:val="center"/>
          </w:tcPr>
          <w:p w14:paraId="795498A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645" w:type="pct"/>
            <w:vAlign w:val="center"/>
          </w:tcPr>
          <w:p w14:paraId="3D701974">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14:paraId="19DAF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679" w:type="pct"/>
            <w:vMerge w:val="continue"/>
            <w:vAlign w:val="center"/>
          </w:tcPr>
          <w:p w14:paraId="1571A100">
            <w:pPr>
              <w:widowControl/>
              <w:spacing w:after="217" w:afterLines="50" w:line="320" w:lineRule="exact"/>
              <w:ind w:firstLine="0" w:firstLineChars="0"/>
              <w:jc w:val="left"/>
              <w:rPr>
                <w:rFonts w:eastAsia="宋体" w:cs="Times New Roman"/>
                <w:kern w:val="0"/>
                <w:sz w:val="20"/>
                <w:szCs w:val="20"/>
              </w:rPr>
            </w:pPr>
          </w:p>
        </w:tc>
        <w:tc>
          <w:tcPr>
            <w:tcW w:w="770" w:type="pct"/>
            <w:vMerge w:val="continue"/>
            <w:vAlign w:val="center"/>
          </w:tcPr>
          <w:p w14:paraId="433A3DD0">
            <w:pPr>
              <w:widowControl/>
              <w:spacing w:after="217" w:afterLines="50" w:line="320" w:lineRule="exact"/>
              <w:ind w:firstLine="0" w:firstLineChars="0"/>
              <w:jc w:val="left"/>
              <w:rPr>
                <w:rFonts w:eastAsia="宋体" w:cs="Times New Roman"/>
                <w:kern w:val="0"/>
                <w:sz w:val="20"/>
                <w:szCs w:val="20"/>
              </w:rPr>
            </w:pPr>
          </w:p>
        </w:tc>
        <w:tc>
          <w:tcPr>
            <w:tcW w:w="1879" w:type="pct"/>
            <w:vAlign w:val="center"/>
          </w:tcPr>
          <w:p w14:paraId="2C6232F9">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服务质量管理制度健全性</w:t>
            </w:r>
          </w:p>
        </w:tc>
        <w:tc>
          <w:tcPr>
            <w:tcW w:w="512" w:type="pct"/>
            <w:shd w:val="clear" w:color="auto" w:fill="auto"/>
            <w:vAlign w:val="center"/>
          </w:tcPr>
          <w:p w14:paraId="4E4A4F33">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514" w:type="pct"/>
            <w:vAlign w:val="center"/>
          </w:tcPr>
          <w:p w14:paraId="13CD4214">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645" w:type="pct"/>
            <w:vAlign w:val="center"/>
          </w:tcPr>
          <w:p w14:paraId="446CB7F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14:paraId="0BE20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79" w:type="pct"/>
            <w:vMerge w:val="continue"/>
            <w:vAlign w:val="center"/>
          </w:tcPr>
          <w:p w14:paraId="7FB47FA6">
            <w:pPr>
              <w:widowControl/>
              <w:spacing w:after="217" w:afterLines="50" w:line="320" w:lineRule="exact"/>
              <w:ind w:firstLine="0" w:firstLineChars="0"/>
              <w:jc w:val="left"/>
              <w:rPr>
                <w:rFonts w:eastAsia="宋体" w:cs="Times New Roman"/>
                <w:kern w:val="0"/>
                <w:sz w:val="20"/>
                <w:szCs w:val="20"/>
              </w:rPr>
            </w:pPr>
          </w:p>
        </w:tc>
        <w:tc>
          <w:tcPr>
            <w:tcW w:w="770" w:type="pct"/>
            <w:vMerge w:val="continue"/>
            <w:vAlign w:val="center"/>
          </w:tcPr>
          <w:p w14:paraId="4A9209BA">
            <w:pPr>
              <w:widowControl/>
              <w:spacing w:after="217" w:afterLines="50" w:line="320" w:lineRule="exact"/>
              <w:ind w:firstLine="0" w:firstLineChars="0"/>
              <w:jc w:val="left"/>
              <w:rPr>
                <w:rFonts w:eastAsia="宋体" w:cs="Times New Roman"/>
                <w:kern w:val="0"/>
                <w:sz w:val="20"/>
                <w:szCs w:val="20"/>
              </w:rPr>
            </w:pPr>
          </w:p>
        </w:tc>
        <w:tc>
          <w:tcPr>
            <w:tcW w:w="1879" w:type="pct"/>
            <w:vAlign w:val="center"/>
          </w:tcPr>
          <w:p w14:paraId="5F8BF95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公共汽电车责任事故死亡率</w:t>
            </w:r>
          </w:p>
        </w:tc>
        <w:tc>
          <w:tcPr>
            <w:tcW w:w="512" w:type="pct"/>
            <w:shd w:val="clear" w:color="auto" w:fill="auto"/>
            <w:vAlign w:val="center"/>
          </w:tcPr>
          <w:p w14:paraId="17E85C9D">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3.00</w:t>
            </w:r>
          </w:p>
        </w:tc>
        <w:tc>
          <w:tcPr>
            <w:tcW w:w="514" w:type="pct"/>
            <w:vAlign w:val="center"/>
          </w:tcPr>
          <w:p w14:paraId="4835B1C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3.00</w:t>
            </w:r>
          </w:p>
        </w:tc>
        <w:tc>
          <w:tcPr>
            <w:tcW w:w="645" w:type="pct"/>
            <w:vAlign w:val="center"/>
          </w:tcPr>
          <w:p w14:paraId="4EF0EDDD">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14:paraId="097A1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79" w:type="pct"/>
            <w:vMerge w:val="continue"/>
            <w:vAlign w:val="center"/>
          </w:tcPr>
          <w:p w14:paraId="79FFD292">
            <w:pPr>
              <w:widowControl/>
              <w:spacing w:after="217" w:afterLines="50" w:line="320" w:lineRule="exact"/>
              <w:ind w:firstLine="0" w:firstLineChars="0"/>
              <w:jc w:val="left"/>
              <w:rPr>
                <w:rFonts w:eastAsia="宋体" w:cs="Times New Roman"/>
                <w:kern w:val="0"/>
                <w:sz w:val="20"/>
                <w:szCs w:val="20"/>
              </w:rPr>
            </w:pPr>
          </w:p>
        </w:tc>
        <w:tc>
          <w:tcPr>
            <w:tcW w:w="770" w:type="pct"/>
            <w:vMerge w:val="continue"/>
            <w:vAlign w:val="center"/>
          </w:tcPr>
          <w:p w14:paraId="663E25FF">
            <w:pPr>
              <w:widowControl/>
              <w:spacing w:after="217" w:afterLines="50" w:line="320" w:lineRule="exact"/>
              <w:ind w:firstLine="0" w:firstLineChars="0"/>
              <w:jc w:val="left"/>
              <w:rPr>
                <w:rFonts w:eastAsia="宋体" w:cs="Times New Roman"/>
                <w:kern w:val="0"/>
                <w:sz w:val="20"/>
                <w:szCs w:val="20"/>
              </w:rPr>
            </w:pPr>
          </w:p>
        </w:tc>
        <w:tc>
          <w:tcPr>
            <w:tcW w:w="1879" w:type="pct"/>
            <w:shd w:val="clear" w:color="auto" w:fill="auto"/>
            <w:vAlign w:val="center"/>
          </w:tcPr>
          <w:p w14:paraId="79448452">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交通违章率</w:t>
            </w:r>
          </w:p>
        </w:tc>
        <w:tc>
          <w:tcPr>
            <w:tcW w:w="512" w:type="pct"/>
            <w:shd w:val="clear" w:color="auto" w:fill="auto"/>
            <w:vAlign w:val="center"/>
          </w:tcPr>
          <w:p w14:paraId="54953214">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514" w:type="pct"/>
            <w:vAlign w:val="center"/>
          </w:tcPr>
          <w:p w14:paraId="7AAEFF81">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645" w:type="pct"/>
            <w:vAlign w:val="center"/>
          </w:tcPr>
          <w:p w14:paraId="268CFAB1">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14:paraId="55C2A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679" w:type="pct"/>
            <w:vMerge w:val="continue"/>
            <w:vAlign w:val="center"/>
          </w:tcPr>
          <w:p w14:paraId="2AFD1923">
            <w:pPr>
              <w:widowControl/>
              <w:spacing w:after="217" w:afterLines="50" w:line="320" w:lineRule="exact"/>
              <w:ind w:firstLine="0" w:firstLineChars="0"/>
              <w:jc w:val="left"/>
              <w:rPr>
                <w:rFonts w:eastAsia="宋体" w:cs="Times New Roman"/>
                <w:kern w:val="0"/>
                <w:sz w:val="20"/>
                <w:szCs w:val="20"/>
              </w:rPr>
            </w:pPr>
          </w:p>
        </w:tc>
        <w:tc>
          <w:tcPr>
            <w:tcW w:w="770" w:type="pct"/>
            <w:vMerge w:val="continue"/>
            <w:vAlign w:val="center"/>
          </w:tcPr>
          <w:p w14:paraId="4ABA26CF">
            <w:pPr>
              <w:widowControl/>
              <w:spacing w:after="217" w:afterLines="50" w:line="320" w:lineRule="exact"/>
              <w:ind w:firstLine="0" w:firstLineChars="0"/>
              <w:jc w:val="left"/>
              <w:rPr>
                <w:rFonts w:eastAsia="宋体" w:cs="Times New Roman"/>
                <w:kern w:val="0"/>
                <w:sz w:val="20"/>
                <w:szCs w:val="20"/>
              </w:rPr>
            </w:pPr>
          </w:p>
        </w:tc>
        <w:tc>
          <w:tcPr>
            <w:tcW w:w="1879" w:type="pct"/>
            <w:vAlign w:val="center"/>
          </w:tcPr>
          <w:p w14:paraId="626FBDE5">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司机工作强度</w:t>
            </w:r>
          </w:p>
        </w:tc>
        <w:tc>
          <w:tcPr>
            <w:tcW w:w="512" w:type="pct"/>
            <w:shd w:val="clear" w:color="auto" w:fill="auto"/>
            <w:vAlign w:val="center"/>
          </w:tcPr>
          <w:p w14:paraId="73D4ED34">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3.00</w:t>
            </w:r>
          </w:p>
        </w:tc>
        <w:tc>
          <w:tcPr>
            <w:tcW w:w="514" w:type="pct"/>
            <w:vAlign w:val="center"/>
          </w:tcPr>
          <w:p w14:paraId="4A9CDD2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645" w:type="pct"/>
            <w:vAlign w:val="center"/>
          </w:tcPr>
          <w:p w14:paraId="7EDBEA9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66.67%</w:t>
            </w:r>
          </w:p>
        </w:tc>
      </w:tr>
      <w:tr w14:paraId="0835A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79" w:type="pct"/>
            <w:vMerge w:val="continue"/>
            <w:vAlign w:val="center"/>
          </w:tcPr>
          <w:p w14:paraId="270C2125">
            <w:pPr>
              <w:widowControl/>
              <w:spacing w:after="217" w:afterLines="50" w:line="320" w:lineRule="exact"/>
              <w:ind w:firstLine="0" w:firstLineChars="0"/>
              <w:jc w:val="left"/>
              <w:rPr>
                <w:rFonts w:eastAsia="宋体" w:cs="Times New Roman"/>
                <w:kern w:val="0"/>
                <w:sz w:val="20"/>
                <w:szCs w:val="20"/>
              </w:rPr>
            </w:pPr>
          </w:p>
        </w:tc>
        <w:tc>
          <w:tcPr>
            <w:tcW w:w="770" w:type="pct"/>
            <w:vMerge w:val="restart"/>
            <w:shd w:val="clear" w:color="auto" w:fill="auto"/>
            <w:vAlign w:val="center"/>
          </w:tcPr>
          <w:p w14:paraId="6514F371">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财务管理</w:t>
            </w:r>
          </w:p>
        </w:tc>
        <w:tc>
          <w:tcPr>
            <w:tcW w:w="1879" w:type="pct"/>
            <w:vAlign w:val="center"/>
          </w:tcPr>
          <w:p w14:paraId="6FCC2671">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财务制度健全性</w:t>
            </w:r>
          </w:p>
        </w:tc>
        <w:tc>
          <w:tcPr>
            <w:tcW w:w="512" w:type="pct"/>
            <w:shd w:val="clear" w:color="auto" w:fill="auto"/>
            <w:vAlign w:val="center"/>
          </w:tcPr>
          <w:p w14:paraId="05EBA894">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3.00</w:t>
            </w:r>
          </w:p>
        </w:tc>
        <w:tc>
          <w:tcPr>
            <w:tcW w:w="514" w:type="pct"/>
            <w:vAlign w:val="center"/>
          </w:tcPr>
          <w:p w14:paraId="3CAEDC0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3.00</w:t>
            </w:r>
          </w:p>
        </w:tc>
        <w:tc>
          <w:tcPr>
            <w:tcW w:w="645" w:type="pct"/>
            <w:vAlign w:val="center"/>
          </w:tcPr>
          <w:p w14:paraId="1B3CD7F6">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14:paraId="3356D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79" w:type="pct"/>
            <w:vMerge w:val="continue"/>
            <w:vAlign w:val="center"/>
          </w:tcPr>
          <w:p w14:paraId="0D731621">
            <w:pPr>
              <w:widowControl/>
              <w:spacing w:after="217" w:afterLines="50" w:line="320" w:lineRule="exact"/>
              <w:ind w:firstLine="0" w:firstLineChars="0"/>
              <w:jc w:val="left"/>
              <w:rPr>
                <w:rFonts w:eastAsia="宋体" w:cs="Times New Roman"/>
                <w:kern w:val="0"/>
                <w:sz w:val="20"/>
                <w:szCs w:val="20"/>
              </w:rPr>
            </w:pPr>
          </w:p>
        </w:tc>
        <w:tc>
          <w:tcPr>
            <w:tcW w:w="770" w:type="pct"/>
            <w:vMerge w:val="continue"/>
            <w:vAlign w:val="center"/>
          </w:tcPr>
          <w:p w14:paraId="13249B60">
            <w:pPr>
              <w:widowControl/>
              <w:spacing w:after="217" w:afterLines="50" w:line="320" w:lineRule="exact"/>
              <w:ind w:firstLine="0" w:firstLineChars="0"/>
              <w:jc w:val="left"/>
              <w:rPr>
                <w:rFonts w:eastAsia="宋体" w:cs="Times New Roman"/>
                <w:kern w:val="0"/>
                <w:sz w:val="20"/>
                <w:szCs w:val="20"/>
              </w:rPr>
            </w:pPr>
          </w:p>
        </w:tc>
        <w:tc>
          <w:tcPr>
            <w:tcW w:w="1879" w:type="pct"/>
            <w:vAlign w:val="center"/>
          </w:tcPr>
          <w:p w14:paraId="7E696BD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资金使用合规性</w:t>
            </w:r>
          </w:p>
        </w:tc>
        <w:tc>
          <w:tcPr>
            <w:tcW w:w="512" w:type="pct"/>
            <w:shd w:val="clear" w:color="auto" w:fill="auto"/>
            <w:vAlign w:val="center"/>
          </w:tcPr>
          <w:p w14:paraId="2D5C141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4.00</w:t>
            </w:r>
          </w:p>
        </w:tc>
        <w:tc>
          <w:tcPr>
            <w:tcW w:w="514" w:type="pct"/>
            <w:vAlign w:val="center"/>
          </w:tcPr>
          <w:p w14:paraId="407C8F1A">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4.00</w:t>
            </w:r>
          </w:p>
        </w:tc>
        <w:tc>
          <w:tcPr>
            <w:tcW w:w="645" w:type="pct"/>
            <w:vAlign w:val="center"/>
          </w:tcPr>
          <w:p w14:paraId="058AA7E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14:paraId="08A2B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79" w:type="pct"/>
            <w:vMerge w:val="continue"/>
            <w:vAlign w:val="center"/>
          </w:tcPr>
          <w:p w14:paraId="2695EE64">
            <w:pPr>
              <w:widowControl/>
              <w:spacing w:after="217" w:afterLines="50" w:line="320" w:lineRule="exact"/>
              <w:ind w:firstLine="0" w:firstLineChars="0"/>
              <w:jc w:val="left"/>
              <w:rPr>
                <w:rFonts w:eastAsia="宋体" w:cs="Times New Roman"/>
                <w:kern w:val="0"/>
                <w:sz w:val="20"/>
                <w:szCs w:val="20"/>
              </w:rPr>
            </w:pPr>
          </w:p>
        </w:tc>
        <w:tc>
          <w:tcPr>
            <w:tcW w:w="770" w:type="pct"/>
            <w:vMerge w:val="continue"/>
            <w:vAlign w:val="center"/>
          </w:tcPr>
          <w:p w14:paraId="60E732D7">
            <w:pPr>
              <w:widowControl/>
              <w:spacing w:after="217" w:afterLines="50" w:line="320" w:lineRule="exact"/>
              <w:ind w:firstLine="0" w:firstLineChars="0"/>
              <w:jc w:val="left"/>
              <w:rPr>
                <w:rFonts w:eastAsia="宋体" w:cs="Times New Roman"/>
                <w:kern w:val="0"/>
                <w:sz w:val="20"/>
                <w:szCs w:val="20"/>
              </w:rPr>
            </w:pPr>
          </w:p>
        </w:tc>
        <w:tc>
          <w:tcPr>
            <w:tcW w:w="1879" w:type="pct"/>
            <w:vAlign w:val="center"/>
          </w:tcPr>
          <w:p w14:paraId="20964B02">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财务监控到位性</w:t>
            </w:r>
          </w:p>
        </w:tc>
        <w:tc>
          <w:tcPr>
            <w:tcW w:w="512" w:type="pct"/>
            <w:shd w:val="clear" w:color="auto" w:fill="auto"/>
            <w:vAlign w:val="center"/>
          </w:tcPr>
          <w:p w14:paraId="40C84A97">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3.00</w:t>
            </w:r>
          </w:p>
        </w:tc>
        <w:tc>
          <w:tcPr>
            <w:tcW w:w="514" w:type="pct"/>
            <w:vAlign w:val="center"/>
          </w:tcPr>
          <w:p w14:paraId="5EE26BE7">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3.00</w:t>
            </w:r>
          </w:p>
        </w:tc>
        <w:tc>
          <w:tcPr>
            <w:tcW w:w="645" w:type="pct"/>
            <w:vAlign w:val="center"/>
          </w:tcPr>
          <w:p w14:paraId="2F527016">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14:paraId="640AD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679" w:type="pct"/>
            <w:vMerge w:val="restart"/>
            <w:shd w:val="clear" w:color="auto" w:fill="auto"/>
            <w:vAlign w:val="center"/>
          </w:tcPr>
          <w:p w14:paraId="7589B935">
            <w:pPr>
              <w:widowControl/>
              <w:spacing w:after="217" w:afterLines="50" w:line="320" w:lineRule="exact"/>
              <w:ind w:firstLine="0" w:firstLineChars="0"/>
              <w:rPr>
                <w:rFonts w:eastAsia="宋体" w:cs="Times New Roman"/>
                <w:kern w:val="0"/>
                <w:sz w:val="20"/>
                <w:szCs w:val="20"/>
              </w:rPr>
            </w:pPr>
            <w:r>
              <w:rPr>
                <w:rFonts w:eastAsia="宋体" w:cs="Times New Roman"/>
                <w:kern w:val="0"/>
                <w:sz w:val="20"/>
                <w:szCs w:val="20"/>
              </w:rPr>
              <w:t>政策效果</w:t>
            </w:r>
          </w:p>
          <w:p w14:paraId="0B3861EE">
            <w:pPr>
              <w:widowControl/>
              <w:spacing w:after="217" w:afterLines="50" w:line="320" w:lineRule="exact"/>
              <w:ind w:firstLine="0" w:firstLineChars="0"/>
              <w:rPr>
                <w:rFonts w:eastAsia="宋体" w:cs="Times New Roman"/>
                <w:kern w:val="0"/>
                <w:sz w:val="20"/>
                <w:szCs w:val="20"/>
              </w:rPr>
            </w:pPr>
            <w:r>
              <w:rPr>
                <w:rFonts w:eastAsia="宋体" w:cs="Times New Roman"/>
                <w:kern w:val="0"/>
                <w:sz w:val="20"/>
                <w:szCs w:val="20"/>
              </w:rPr>
              <w:t>(63分）</w:t>
            </w:r>
          </w:p>
        </w:tc>
        <w:tc>
          <w:tcPr>
            <w:tcW w:w="770" w:type="pct"/>
            <w:vMerge w:val="restart"/>
            <w:shd w:val="clear" w:color="auto" w:fill="auto"/>
            <w:vAlign w:val="center"/>
          </w:tcPr>
          <w:p w14:paraId="752D14F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产出数量</w:t>
            </w:r>
          </w:p>
        </w:tc>
        <w:tc>
          <w:tcPr>
            <w:tcW w:w="1879" w:type="pct"/>
            <w:vAlign w:val="center"/>
          </w:tcPr>
          <w:p w14:paraId="5D8AD565">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营运里程数</w:t>
            </w:r>
          </w:p>
        </w:tc>
        <w:tc>
          <w:tcPr>
            <w:tcW w:w="512" w:type="pct"/>
            <w:shd w:val="clear" w:color="auto" w:fill="auto"/>
            <w:vAlign w:val="center"/>
          </w:tcPr>
          <w:p w14:paraId="32297968">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8.00</w:t>
            </w:r>
          </w:p>
        </w:tc>
        <w:tc>
          <w:tcPr>
            <w:tcW w:w="514" w:type="pct"/>
            <w:vAlign w:val="center"/>
          </w:tcPr>
          <w:p w14:paraId="7C234BF7">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7.58</w:t>
            </w:r>
          </w:p>
        </w:tc>
        <w:tc>
          <w:tcPr>
            <w:tcW w:w="645" w:type="pct"/>
            <w:vAlign w:val="center"/>
          </w:tcPr>
          <w:p w14:paraId="712643F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94.71%</w:t>
            </w:r>
          </w:p>
        </w:tc>
      </w:tr>
      <w:tr w14:paraId="22773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679" w:type="pct"/>
            <w:vMerge w:val="continue"/>
            <w:vAlign w:val="center"/>
          </w:tcPr>
          <w:p w14:paraId="0F7737F2">
            <w:pPr>
              <w:widowControl/>
              <w:spacing w:after="217" w:afterLines="50" w:line="320" w:lineRule="exact"/>
              <w:ind w:firstLine="0" w:firstLineChars="0"/>
              <w:jc w:val="left"/>
              <w:rPr>
                <w:rFonts w:eastAsia="宋体" w:cs="Times New Roman"/>
                <w:kern w:val="0"/>
                <w:sz w:val="20"/>
                <w:szCs w:val="20"/>
              </w:rPr>
            </w:pPr>
          </w:p>
        </w:tc>
        <w:tc>
          <w:tcPr>
            <w:tcW w:w="770" w:type="pct"/>
            <w:vMerge w:val="continue"/>
            <w:vAlign w:val="center"/>
          </w:tcPr>
          <w:p w14:paraId="6BA9EEDE">
            <w:pPr>
              <w:widowControl/>
              <w:spacing w:after="217" w:afterLines="50" w:line="320" w:lineRule="exact"/>
              <w:ind w:firstLine="0" w:firstLineChars="0"/>
              <w:jc w:val="left"/>
              <w:rPr>
                <w:rFonts w:eastAsia="宋体" w:cs="Times New Roman"/>
                <w:kern w:val="0"/>
                <w:sz w:val="20"/>
                <w:szCs w:val="20"/>
              </w:rPr>
            </w:pPr>
          </w:p>
        </w:tc>
        <w:tc>
          <w:tcPr>
            <w:tcW w:w="1879" w:type="pct"/>
            <w:vAlign w:val="center"/>
          </w:tcPr>
          <w:p w14:paraId="713D9E13">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营运载客量（仅免费人群）</w:t>
            </w:r>
          </w:p>
        </w:tc>
        <w:tc>
          <w:tcPr>
            <w:tcW w:w="512" w:type="pct"/>
            <w:shd w:val="clear" w:color="auto" w:fill="auto"/>
            <w:vAlign w:val="center"/>
          </w:tcPr>
          <w:p w14:paraId="63E6409A">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7.00</w:t>
            </w:r>
          </w:p>
        </w:tc>
        <w:tc>
          <w:tcPr>
            <w:tcW w:w="514" w:type="pct"/>
            <w:vAlign w:val="center"/>
          </w:tcPr>
          <w:p w14:paraId="13493DF9">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6.66</w:t>
            </w:r>
          </w:p>
        </w:tc>
        <w:tc>
          <w:tcPr>
            <w:tcW w:w="645" w:type="pct"/>
            <w:vAlign w:val="center"/>
          </w:tcPr>
          <w:p w14:paraId="7BDB2DC1">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95.14%</w:t>
            </w:r>
          </w:p>
        </w:tc>
      </w:tr>
      <w:tr w14:paraId="78D7A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79" w:type="pct"/>
            <w:vMerge w:val="continue"/>
            <w:vAlign w:val="center"/>
          </w:tcPr>
          <w:p w14:paraId="536ED466">
            <w:pPr>
              <w:widowControl/>
              <w:spacing w:after="217" w:afterLines="50" w:line="320" w:lineRule="exact"/>
              <w:ind w:firstLine="0" w:firstLineChars="0"/>
              <w:jc w:val="left"/>
              <w:rPr>
                <w:rFonts w:eastAsia="宋体" w:cs="Times New Roman"/>
                <w:kern w:val="0"/>
                <w:sz w:val="20"/>
                <w:szCs w:val="20"/>
              </w:rPr>
            </w:pPr>
          </w:p>
        </w:tc>
        <w:tc>
          <w:tcPr>
            <w:tcW w:w="770" w:type="pct"/>
            <w:shd w:val="clear" w:color="auto" w:fill="auto"/>
            <w:vAlign w:val="center"/>
          </w:tcPr>
          <w:p w14:paraId="21E7D1C5">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产出质量</w:t>
            </w:r>
          </w:p>
        </w:tc>
        <w:tc>
          <w:tcPr>
            <w:tcW w:w="1879" w:type="pct"/>
            <w:vAlign w:val="center"/>
          </w:tcPr>
          <w:p w14:paraId="5567427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站台信息准确性</w:t>
            </w:r>
          </w:p>
        </w:tc>
        <w:tc>
          <w:tcPr>
            <w:tcW w:w="512" w:type="pct"/>
            <w:shd w:val="clear" w:color="auto" w:fill="auto"/>
            <w:vAlign w:val="center"/>
          </w:tcPr>
          <w:p w14:paraId="756CB4A7">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14" w:type="pct"/>
            <w:vAlign w:val="center"/>
          </w:tcPr>
          <w:p w14:paraId="665B4F12">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645" w:type="pct"/>
            <w:vAlign w:val="center"/>
          </w:tcPr>
          <w:p w14:paraId="57F54EAA">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14:paraId="27A69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679" w:type="pct"/>
            <w:vMerge w:val="continue"/>
            <w:vAlign w:val="center"/>
          </w:tcPr>
          <w:p w14:paraId="03A94EBC">
            <w:pPr>
              <w:widowControl/>
              <w:spacing w:after="217" w:afterLines="50" w:line="320" w:lineRule="exact"/>
              <w:ind w:firstLine="0" w:firstLineChars="0"/>
              <w:jc w:val="left"/>
              <w:rPr>
                <w:rFonts w:eastAsia="宋体" w:cs="Times New Roman"/>
                <w:kern w:val="0"/>
                <w:sz w:val="20"/>
                <w:szCs w:val="20"/>
              </w:rPr>
            </w:pPr>
          </w:p>
        </w:tc>
        <w:tc>
          <w:tcPr>
            <w:tcW w:w="770" w:type="pct"/>
            <w:shd w:val="clear" w:color="auto" w:fill="auto"/>
            <w:vAlign w:val="center"/>
          </w:tcPr>
          <w:p w14:paraId="18DB930A">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产出成本</w:t>
            </w:r>
          </w:p>
        </w:tc>
        <w:tc>
          <w:tcPr>
            <w:tcW w:w="1879" w:type="pct"/>
            <w:vAlign w:val="center"/>
          </w:tcPr>
          <w:p w14:paraId="3AA4989C">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千公里营运成本节约率</w:t>
            </w:r>
          </w:p>
        </w:tc>
        <w:tc>
          <w:tcPr>
            <w:tcW w:w="512" w:type="pct"/>
            <w:shd w:val="clear" w:color="auto" w:fill="auto"/>
            <w:vAlign w:val="center"/>
          </w:tcPr>
          <w:p w14:paraId="577F786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8.00</w:t>
            </w:r>
          </w:p>
        </w:tc>
        <w:tc>
          <w:tcPr>
            <w:tcW w:w="514" w:type="pct"/>
            <w:vAlign w:val="center"/>
          </w:tcPr>
          <w:p w14:paraId="503BF30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8.00</w:t>
            </w:r>
          </w:p>
        </w:tc>
        <w:tc>
          <w:tcPr>
            <w:tcW w:w="645" w:type="pct"/>
            <w:vAlign w:val="center"/>
          </w:tcPr>
          <w:p w14:paraId="26E7DA18">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14:paraId="1CB3C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679" w:type="pct"/>
            <w:vMerge w:val="continue"/>
            <w:shd w:val="clear" w:color="auto" w:fill="auto"/>
            <w:vAlign w:val="center"/>
          </w:tcPr>
          <w:p w14:paraId="3BF5F6CC">
            <w:pPr>
              <w:widowControl/>
              <w:spacing w:after="217" w:afterLines="50" w:line="320" w:lineRule="exact"/>
              <w:ind w:firstLine="0" w:firstLineChars="0"/>
              <w:jc w:val="center"/>
              <w:rPr>
                <w:rFonts w:eastAsia="宋体" w:cs="Times New Roman"/>
                <w:kern w:val="0"/>
                <w:sz w:val="20"/>
                <w:szCs w:val="20"/>
              </w:rPr>
            </w:pPr>
          </w:p>
        </w:tc>
        <w:tc>
          <w:tcPr>
            <w:tcW w:w="770" w:type="pct"/>
            <w:vMerge w:val="restart"/>
            <w:shd w:val="clear" w:color="auto" w:fill="auto"/>
            <w:vAlign w:val="center"/>
          </w:tcPr>
          <w:p w14:paraId="21C5F33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社会效益</w:t>
            </w:r>
          </w:p>
        </w:tc>
        <w:tc>
          <w:tcPr>
            <w:tcW w:w="1879" w:type="pct"/>
            <w:vAlign w:val="center"/>
          </w:tcPr>
          <w:p w14:paraId="42115C14">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定制公交服务体系</w:t>
            </w:r>
          </w:p>
        </w:tc>
        <w:tc>
          <w:tcPr>
            <w:tcW w:w="512" w:type="pct"/>
            <w:shd w:val="clear" w:color="auto" w:fill="auto"/>
            <w:vAlign w:val="center"/>
          </w:tcPr>
          <w:p w14:paraId="2F063AD7">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14" w:type="pct"/>
            <w:vAlign w:val="center"/>
          </w:tcPr>
          <w:p w14:paraId="1D0C2033">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4.00</w:t>
            </w:r>
          </w:p>
        </w:tc>
        <w:tc>
          <w:tcPr>
            <w:tcW w:w="645" w:type="pct"/>
            <w:vAlign w:val="center"/>
          </w:tcPr>
          <w:p w14:paraId="753C130D">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80.00%</w:t>
            </w:r>
          </w:p>
        </w:tc>
      </w:tr>
      <w:tr w14:paraId="6F706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79" w:type="pct"/>
            <w:vMerge w:val="continue"/>
            <w:vAlign w:val="center"/>
          </w:tcPr>
          <w:p w14:paraId="370D5544">
            <w:pPr>
              <w:widowControl/>
              <w:spacing w:after="217" w:afterLines="50" w:line="320" w:lineRule="exact"/>
              <w:ind w:firstLine="0" w:firstLineChars="0"/>
              <w:jc w:val="left"/>
              <w:rPr>
                <w:rFonts w:eastAsia="宋体" w:cs="Times New Roman"/>
                <w:kern w:val="0"/>
                <w:sz w:val="20"/>
                <w:szCs w:val="20"/>
              </w:rPr>
            </w:pPr>
          </w:p>
        </w:tc>
        <w:tc>
          <w:tcPr>
            <w:tcW w:w="770" w:type="pct"/>
            <w:vMerge w:val="continue"/>
            <w:vAlign w:val="center"/>
          </w:tcPr>
          <w:p w14:paraId="158CD4B1">
            <w:pPr>
              <w:widowControl/>
              <w:spacing w:after="217" w:afterLines="50" w:line="320" w:lineRule="exact"/>
              <w:ind w:firstLine="0" w:firstLineChars="0"/>
              <w:jc w:val="left"/>
              <w:rPr>
                <w:rFonts w:eastAsia="宋体" w:cs="Times New Roman"/>
                <w:kern w:val="0"/>
                <w:sz w:val="20"/>
                <w:szCs w:val="20"/>
              </w:rPr>
            </w:pPr>
          </w:p>
        </w:tc>
        <w:tc>
          <w:tcPr>
            <w:tcW w:w="1879" w:type="pct"/>
            <w:vAlign w:val="center"/>
          </w:tcPr>
          <w:p w14:paraId="56C84C9C">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公交政策性优惠情况</w:t>
            </w:r>
          </w:p>
        </w:tc>
        <w:tc>
          <w:tcPr>
            <w:tcW w:w="512" w:type="pct"/>
            <w:shd w:val="clear" w:color="auto" w:fill="auto"/>
            <w:vAlign w:val="center"/>
          </w:tcPr>
          <w:p w14:paraId="5D2FF35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14" w:type="pct"/>
            <w:vAlign w:val="center"/>
          </w:tcPr>
          <w:p w14:paraId="1397DF79">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4.76</w:t>
            </w:r>
          </w:p>
        </w:tc>
        <w:tc>
          <w:tcPr>
            <w:tcW w:w="645" w:type="pct"/>
            <w:vAlign w:val="center"/>
          </w:tcPr>
          <w:p w14:paraId="4464F0A2">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95.20%</w:t>
            </w:r>
          </w:p>
        </w:tc>
      </w:tr>
      <w:tr w14:paraId="0938C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679" w:type="pct"/>
            <w:vMerge w:val="continue"/>
            <w:vAlign w:val="center"/>
          </w:tcPr>
          <w:p w14:paraId="457509B6">
            <w:pPr>
              <w:widowControl/>
              <w:spacing w:after="217" w:afterLines="50" w:line="320" w:lineRule="exact"/>
              <w:ind w:firstLine="0" w:firstLineChars="0"/>
              <w:jc w:val="left"/>
              <w:rPr>
                <w:rFonts w:eastAsia="宋体" w:cs="Times New Roman"/>
                <w:kern w:val="0"/>
                <w:sz w:val="20"/>
                <w:szCs w:val="20"/>
              </w:rPr>
            </w:pPr>
          </w:p>
        </w:tc>
        <w:tc>
          <w:tcPr>
            <w:tcW w:w="770" w:type="pct"/>
            <w:shd w:val="clear" w:color="auto" w:fill="auto"/>
            <w:vAlign w:val="center"/>
          </w:tcPr>
          <w:p w14:paraId="140D6682">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生态效益</w:t>
            </w:r>
          </w:p>
        </w:tc>
        <w:tc>
          <w:tcPr>
            <w:tcW w:w="1879" w:type="pct"/>
            <w:vAlign w:val="center"/>
          </w:tcPr>
          <w:p w14:paraId="6122428C">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清洁能源和新能源城市公交车辆比例</w:t>
            </w:r>
          </w:p>
        </w:tc>
        <w:tc>
          <w:tcPr>
            <w:tcW w:w="512" w:type="pct"/>
            <w:shd w:val="clear" w:color="auto" w:fill="auto"/>
            <w:vAlign w:val="center"/>
          </w:tcPr>
          <w:p w14:paraId="7A5FCCF9">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14" w:type="pct"/>
            <w:vAlign w:val="center"/>
          </w:tcPr>
          <w:p w14:paraId="48475DAC">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645" w:type="pct"/>
            <w:vAlign w:val="center"/>
          </w:tcPr>
          <w:p w14:paraId="74E17B01">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14:paraId="3AA0B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79" w:type="pct"/>
            <w:vMerge w:val="continue"/>
            <w:vAlign w:val="center"/>
          </w:tcPr>
          <w:p w14:paraId="62692463">
            <w:pPr>
              <w:widowControl/>
              <w:spacing w:after="217" w:afterLines="50" w:line="320" w:lineRule="exact"/>
              <w:ind w:firstLine="0" w:firstLineChars="0"/>
              <w:jc w:val="left"/>
              <w:rPr>
                <w:rFonts w:eastAsia="宋体" w:cs="Times New Roman"/>
                <w:kern w:val="0"/>
                <w:sz w:val="20"/>
                <w:szCs w:val="20"/>
              </w:rPr>
            </w:pPr>
          </w:p>
        </w:tc>
        <w:tc>
          <w:tcPr>
            <w:tcW w:w="770" w:type="pct"/>
            <w:vMerge w:val="restart"/>
            <w:shd w:val="clear" w:color="auto" w:fill="auto"/>
            <w:vAlign w:val="center"/>
          </w:tcPr>
          <w:p w14:paraId="76A5D1D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可持续影响</w:t>
            </w:r>
          </w:p>
        </w:tc>
        <w:tc>
          <w:tcPr>
            <w:tcW w:w="1879" w:type="pct"/>
            <w:vAlign w:val="center"/>
          </w:tcPr>
          <w:p w14:paraId="526F0F53">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主营业务收入</w:t>
            </w:r>
          </w:p>
        </w:tc>
        <w:tc>
          <w:tcPr>
            <w:tcW w:w="512" w:type="pct"/>
            <w:shd w:val="clear" w:color="auto" w:fill="auto"/>
            <w:vAlign w:val="center"/>
          </w:tcPr>
          <w:p w14:paraId="09ABB94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14" w:type="pct"/>
            <w:vAlign w:val="center"/>
          </w:tcPr>
          <w:p w14:paraId="1BEE746A">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645" w:type="pct"/>
            <w:vAlign w:val="center"/>
          </w:tcPr>
          <w:p w14:paraId="25F4C7C6">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14:paraId="79418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679" w:type="pct"/>
            <w:vMerge w:val="continue"/>
            <w:vAlign w:val="center"/>
          </w:tcPr>
          <w:p w14:paraId="41E9BB9E">
            <w:pPr>
              <w:widowControl/>
              <w:spacing w:after="217" w:afterLines="50" w:line="320" w:lineRule="exact"/>
              <w:ind w:firstLine="0" w:firstLineChars="0"/>
              <w:jc w:val="left"/>
              <w:rPr>
                <w:rFonts w:eastAsia="宋体" w:cs="Times New Roman"/>
                <w:kern w:val="0"/>
                <w:sz w:val="20"/>
                <w:szCs w:val="20"/>
              </w:rPr>
            </w:pPr>
          </w:p>
        </w:tc>
        <w:tc>
          <w:tcPr>
            <w:tcW w:w="770" w:type="pct"/>
            <w:vMerge w:val="continue"/>
            <w:vAlign w:val="center"/>
          </w:tcPr>
          <w:p w14:paraId="3ECF62D5">
            <w:pPr>
              <w:widowControl/>
              <w:spacing w:after="217" w:afterLines="50" w:line="320" w:lineRule="exact"/>
              <w:ind w:firstLine="0" w:firstLineChars="0"/>
              <w:jc w:val="left"/>
              <w:rPr>
                <w:rFonts w:eastAsia="宋体" w:cs="Times New Roman"/>
                <w:kern w:val="0"/>
                <w:sz w:val="20"/>
                <w:szCs w:val="20"/>
              </w:rPr>
            </w:pPr>
          </w:p>
        </w:tc>
        <w:tc>
          <w:tcPr>
            <w:tcW w:w="1879" w:type="pct"/>
            <w:vAlign w:val="center"/>
          </w:tcPr>
          <w:p w14:paraId="350F5554">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营业外收入</w:t>
            </w:r>
          </w:p>
        </w:tc>
        <w:tc>
          <w:tcPr>
            <w:tcW w:w="512" w:type="pct"/>
            <w:shd w:val="clear" w:color="auto" w:fill="auto"/>
            <w:vAlign w:val="center"/>
          </w:tcPr>
          <w:p w14:paraId="28494A17">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14" w:type="pct"/>
            <w:vAlign w:val="center"/>
          </w:tcPr>
          <w:p w14:paraId="1EAC0E47">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645" w:type="pct"/>
            <w:vAlign w:val="center"/>
          </w:tcPr>
          <w:p w14:paraId="49AC7CE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14:paraId="12ED3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679" w:type="pct"/>
            <w:vMerge w:val="continue"/>
            <w:vAlign w:val="center"/>
          </w:tcPr>
          <w:p w14:paraId="61D9BC32">
            <w:pPr>
              <w:widowControl/>
              <w:spacing w:after="217" w:afterLines="50" w:line="320" w:lineRule="exact"/>
              <w:ind w:firstLine="0" w:firstLineChars="0"/>
              <w:jc w:val="left"/>
              <w:rPr>
                <w:rFonts w:eastAsia="宋体" w:cs="Times New Roman"/>
                <w:kern w:val="0"/>
                <w:sz w:val="20"/>
                <w:szCs w:val="20"/>
              </w:rPr>
            </w:pPr>
          </w:p>
        </w:tc>
        <w:tc>
          <w:tcPr>
            <w:tcW w:w="770" w:type="pct"/>
            <w:shd w:val="clear" w:color="auto" w:fill="auto"/>
            <w:vAlign w:val="center"/>
          </w:tcPr>
          <w:p w14:paraId="7915C079">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城市公共交通满意度</w:t>
            </w:r>
          </w:p>
        </w:tc>
        <w:tc>
          <w:tcPr>
            <w:tcW w:w="1879" w:type="pct"/>
            <w:vAlign w:val="center"/>
          </w:tcPr>
          <w:p w14:paraId="5285DAE4">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乘客满意度</w:t>
            </w:r>
          </w:p>
        </w:tc>
        <w:tc>
          <w:tcPr>
            <w:tcW w:w="512" w:type="pct"/>
            <w:shd w:val="clear" w:color="auto" w:fill="auto"/>
            <w:vAlign w:val="center"/>
          </w:tcPr>
          <w:p w14:paraId="742B3D42">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w:t>
            </w:r>
          </w:p>
        </w:tc>
        <w:tc>
          <w:tcPr>
            <w:tcW w:w="514" w:type="pct"/>
            <w:vAlign w:val="center"/>
          </w:tcPr>
          <w:p w14:paraId="39DA046A">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8.46</w:t>
            </w:r>
          </w:p>
        </w:tc>
        <w:tc>
          <w:tcPr>
            <w:tcW w:w="645" w:type="pct"/>
            <w:vAlign w:val="center"/>
          </w:tcPr>
          <w:p w14:paraId="7BE81EA9">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84.60%</w:t>
            </w:r>
          </w:p>
        </w:tc>
      </w:tr>
      <w:tr w14:paraId="4BEF1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3329" w:type="pct"/>
            <w:gridSpan w:val="3"/>
            <w:vAlign w:val="center"/>
          </w:tcPr>
          <w:p w14:paraId="0AFEE7B3">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合计</w:t>
            </w:r>
          </w:p>
        </w:tc>
        <w:tc>
          <w:tcPr>
            <w:tcW w:w="512" w:type="pct"/>
            <w:shd w:val="clear" w:color="auto" w:fill="auto"/>
            <w:vAlign w:val="center"/>
          </w:tcPr>
          <w:p w14:paraId="700B645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c>
          <w:tcPr>
            <w:tcW w:w="514" w:type="pct"/>
            <w:vAlign w:val="center"/>
          </w:tcPr>
          <w:p w14:paraId="00144A4D">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92.46</w:t>
            </w:r>
          </w:p>
        </w:tc>
        <w:tc>
          <w:tcPr>
            <w:tcW w:w="645" w:type="pct"/>
            <w:vAlign w:val="center"/>
          </w:tcPr>
          <w:p w14:paraId="25731B67">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92.46%</w:t>
            </w:r>
          </w:p>
        </w:tc>
      </w:tr>
    </w:tbl>
    <w:p w14:paraId="1ED09B11">
      <w:pPr>
        <w:ind w:firstLine="640"/>
      </w:pPr>
    </w:p>
    <w:p w14:paraId="66803D96">
      <w:pPr>
        <w:pStyle w:val="3"/>
        <w:ind w:firstLine="643"/>
        <w:rPr>
          <w:rFonts w:cs="Times New Roman"/>
        </w:rPr>
      </w:pPr>
      <w:bookmarkStart w:id="18" w:name="_Toc78668811"/>
      <w:r>
        <w:rPr>
          <w:rFonts w:cs="Times New Roman"/>
        </w:rPr>
        <w:t>（二）绩效分析</w:t>
      </w:r>
      <w:bookmarkEnd w:id="18"/>
    </w:p>
    <w:p w14:paraId="1A38EF8C">
      <w:pPr>
        <w:pStyle w:val="4"/>
        <w:ind w:firstLine="643"/>
        <w:rPr>
          <w:rFonts w:cs="Times New Roman"/>
        </w:rPr>
      </w:pPr>
      <w:bookmarkStart w:id="19" w:name="_Toc78668812"/>
      <w:r>
        <w:rPr>
          <w:rFonts w:cs="Times New Roman"/>
        </w:rPr>
        <w:t>1. 政策设计指标分析</w:t>
      </w:r>
      <w:bookmarkEnd w:id="19"/>
    </w:p>
    <w:p w14:paraId="00397793">
      <w:pPr>
        <w:ind w:firstLine="640"/>
        <w:rPr>
          <w:rFonts w:cs="Times New Roman"/>
        </w:rPr>
      </w:pPr>
      <w:r>
        <w:rPr>
          <w:rFonts w:cs="Times New Roman"/>
        </w:rPr>
        <w:t>在政策设计指标上，设置了政策目标合理性、绩效指标科学性、补贴资金规模合理性3个三级指标。</w:t>
      </w:r>
    </w:p>
    <w:p w14:paraId="2A898A9C">
      <w:pPr>
        <w:ind w:firstLine="0" w:firstLineChars="0"/>
        <w:jc w:val="center"/>
        <w:rPr>
          <w:rFonts w:eastAsia="幼圆" w:cs="Times New Roman"/>
          <w:b/>
          <w:sz w:val="28"/>
          <w:szCs w:val="28"/>
        </w:rPr>
      </w:pPr>
      <w:r>
        <w:rPr>
          <w:rFonts w:eastAsia="幼圆" w:cs="Times New Roman"/>
          <w:b/>
          <w:sz w:val="28"/>
          <w:szCs w:val="28"/>
        </w:rPr>
        <w:t>附表 政策设计指标得分情况</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1087"/>
        <w:gridCol w:w="3203"/>
        <w:gridCol w:w="873"/>
        <w:gridCol w:w="876"/>
        <w:gridCol w:w="1099"/>
      </w:tblGrid>
      <w:tr w14:paraId="73CAB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blHeader/>
          <w:jc w:val="center"/>
        </w:trPr>
        <w:tc>
          <w:tcPr>
            <w:tcW w:w="812" w:type="pct"/>
            <w:shd w:val="clear" w:color="auto" w:fill="00516B"/>
            <w:vAlign w:val="center"/>
          </w:tcPr>
          <w:p w14:paraId="44A33583">
            <w:pPr>
              <w:widowControl/>
              <w:spacing w:after="217" w:afterLines="50"/>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一级指标</w:t>
            </w:r>
          </w:p>
        </w:tc>
        <w:tc>
          <w:tcPr>
            <w:tcW w:w="638" w:type="pct"/>
            <w:shd w:val="clear" w:color="auto" w:fill="00516B"/>
            <w:vAlign w:val="center"/>
          </w:tcPr>
          <w:p w14:paraId="4448C32C">
            <w:pPr>
              <w:widowControl/>
              <w:spacing w:after="217" w:afterLines="50"/>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二级指标</w:t>
            </w:r>
          </w:p>
        </w:tc>
        <w:tc>
          <w:tcPr>
            <w:tcW w:w="1879" w:type="pct"/>
            <w:shd w:val="clear" w:color="auto" w:fill="00516B"/>
            <w:vAlign w:val="center"/>
          </w:tcPr>
          <w:p w14:paraId="36744DFF">
            <w:pPr>
              <w:widowControl/>
              <w:spacing w:after="217" w:afterLines="50"/>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三级指标</w:t>
            </w:r>
          </w:p>
        </w:tc>
        <w:tc>
          <w:tcPr>
            <w:tcW w:w="512" w:type="pct"/>
            <w:shd w:val="clear" w:color="auto" w:fill="00516B"/>
            <w:vAlign w:val="center"/>
          </w:tcPr>
          <w:p w14:paraId="26E0EF67">
            <w:pPr>
              <w:widowControl/>
              <w:spacing w:after="217" w:afterLines="50"/>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权重</w:t>
            </w:r>
          </w:p>
        </w:tc>
        <w:tc>
          <w:tcPr>
            <w:tcW w:w="514" w:type="pct"/>
            <w:shd w:val="clear" w:color="auto" w:fill="00516B"/>
            <w:vAlign w:val="center"/>
          </w:tcPr>
          <w:p w14:paraId="1E4D0C00">
            <w:pPr>
              <w:widowControl/>
              <w:spacing w:after="217" w:afterLines="50"/>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得分</w:t>
            </w:r>
          </w:p>
        </w:tc>
        <w:tc>
          <w:tcPr>
            <w:tcW w:w="645" w:type="pct"/>
            <w:shd w:val="clear" w:color="auto" w:fill="00516B"/>
            <w:vAlign w:val="center"/>
          </w:tcPr>
          <w:p w14:paraId="0CD21DB7">
            <w:pPr>
              <w:widowControl/>
              <w:spacing w:after="217" w:afterLines="50"/>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得分率</w:t>
            </w:r>
          </w:p>
        </w:tc>
      </w:tr>
      <w:tr w14:paraId="3FF84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812" w:type="pct"/>
            <w:vMerge w:val="restart"/>
            <w:shd w:val="clear" w:color="auto" w:fill="auto"/>
            <w:vAlign w:val="center"/>
          </w:tcPr>
          <w:p w14:paraId="478022BB">
            <w:pPr>
              <w:widowControl/>
              <w:spacing w:after="217" w:afterLines="50"/>
              <w:ind w:firstLine="0" w:firstLineChars="0"/>
              <w:jc w:val="center"/>
              <w:rPr>
                <w:rFonts w:eastAsia="宋体" w:cs="Times New Roman"/>
                <w:kern w:val="0"/>
                <w:sz w:val="20"/>
                <w:szCs w:val="20"/>
              </w:rPr>
            </w:pPr>
            <w:r>
              <w:rPr>
                <w:rFonts w:eastAsia="宋体" w:cs="Times New Roman"/>
                <w:kern w:val="0"/>
                <w:sz w:val="20"/>
                <w:szCs w:val="20"/>
              </w:rPr>
              <w:t>政策</w:t>
            </w:r>
            <w:r>
              <w:rPr>
                <w:rFonts w:hint="eastAsia" w:eastAsia="宋体" w:cs="Times New Roman"/>
                <w:kern w:val="0"/>
                <w:sz w:val="20"/>
                <w:szCs w:val="20"/>
              </w:rPr>
              <w:t>设计</w:t>
            </w:r>
          </w:p>
          <w:p w14:paraId="42785CE4">
            <w:pPr>
              <w:widowControl/>
              <w:spacing w:after="217" w:afterLines="50"/>
              <w:ind w:firstLine="0" w:firstLineChars="0"/>
              <w:jc w:val="center"/>
              <w:rPr>
                <w:rFonts w:eastAsia="宋体" w:cs="Times New Roman"/>
                <w:kern w:val="0"/>
                <w:sz w:val="20"/>
                <w:szCs w:val="20"/>
              </w:rPr>
            </w:pPr>
            <w:r>
              <w:rPr>
                <w:rFonts w:eastAsia="宋体" w:cs="Times New Roman"/>
                <w:kern w:val="0"/>
                <w:sz w:val="20"/>
                <w:szCs w:val="20"/>
              </w:rPr>
              <w:t>（15分）</w:t>
            </w:r>
          </w:p>
        </w:tc>
        <w:tc>
          <w:tcPr>
            <w:tcW w:w="638" w:type="pct"/>
            <w:vMerge w:val="restart"/>
            <w:shd w:val="clear" w:color="auto" w:fill="auto"/>
            <w:vAlign w:val="center"/>
          </w:tcPr>
          <w:p w14:paraId="1E905F96">
            <w:pPr>
              <w:widowControl/>
              <w:spacing w:after="217" w:afterLines="50"/>
              <w:ind w:firstLine="0" w:firstLineChars="0"/>
              <w:jc w:val="center"/>
              <w:rPr>
                <w:rFonts w:eastAsia="宋体" w:cs="Times New Roman"/>
                <w:kern w:val="0"/>
                <w:sz w:val="20"/>
                <w:szCs w:val="20"/>
              </w:rPr>
            </w:pPr>
            <w:r>
              <w:rPr>
                <w:rFonts w:eastAsia="宋体" w:cs="Times New Roman"/>
                <w:kern w:val="0"/>
                <w:sz w:val="20"/>
                <w:szCs w:val="20"/>
              </w:rPr>
              <w:t>目标科学</w:t>
            </w:r>
          </w:p>
        </w:tc>
        <w:tc>
          <w:tcPr>
            <w:tcW w:w="1879" w:type="pct"/>
            <w:vAlign w:val="center"/>
          </w:tcPr>
          <w:p w14:paraId="23AFBF48">
            <w:pPr>
              <w:widowControl/>
              <w:spacing w:after="217" w:afterLines="50"/>
              <w:ind w:firstLine="0" w:firstLineChars="0"/>
              <w:jc w:val="center"/>
              <w:rPr>
                <w:rFonts w:eastAsia="宋体" w:cs="Times New Roman"/>
                <w:kern w:val="0"/>
                <w:sz w:val="20"/>
                <w:szCs w:val="20"/>
              </w:rPr>
            </w:pPr>
            <w:r>
              <w:rPr>
                <w:rFonts w:eastAsia="宋体" w:cs="Times New Roman"/>
                <w:kern w:val="0"/>
                <w:sz w:val="20"/>
                <w:szCs w:val="20"/>
              </w:rPr>
              <w:t>政策目标合理性</w:t>
            </w:r>
          </w:p>
        </w:tc>
        <w:tc>
          <w:tcPr>
            <w:tcW w:w="512" w:type="pct"/>
            <w:shd w:val="clear" w:color="auto" w:fill="auto"/>
            <w:vAlign w:val="center"/>
          </w:tcPr>
          <w:p w14:paraId="2849F311">
            <w:pPr>
              <w:widowControl/>
              <w:spacing w:after="217" w:afterLines="50"/>
              <w:ind w:firstLine="0" w:firstLineChars="0"/>
              <w:jc w:val="center"/>
              <w:rPr>
                <w:rFonts w:eastAsia="宋体" w:cs="Times New Roman"/>
                <w:kern w:val="0"/>
                <w:sz w:val="20"/>
                <w:szCs w:val="20"/>
              </w:rPr>
            </w:pPr>
            <w:r>
              <w:rPr>
                <w:rFonts w:eastAsia="宋体" w:cs="Times New Roman"/>
                <w:kern w:val="0"/>
                <w:sz w:val="20"/>
                <w:szCs w:val="20"/>
              </w:rPr>
              <w:t>4.00</w:t>
            </w:r>
          </w:p>
        </w:tc>
        <w:tc>
          <w:tcPr>
            <w:tcW w:w="514" w:type="pct"/>
            <w:vAlign w:val="center"/>
          </w:tcPr>
          <w:p w14:paraId="37FE98B6">
            <w:pPr>
              <w:widowControl/>
              <w:spacing w:after="217" w:afterLines="50"/>
              <w:ind w:firstLine="0" w:firstLineChars="0"/>
              <w:jc w:val="center"/>
              <w:rPr>
                <w:rFonts w:eastAsia="宋体" w:cs="Times New Roman"/>
                <w:kern w:val="0"/>
                <w:sz w:val="20"/>
                <w:szCs w:val="20"/>
              </w:rPr>
            </w:pPr>
            <w:r>
              <w:rPr>
                <w:rFonts w:eastAsia="宋体" w:cs="Times New Roman"/>
                <w:kern w:val="0"/>
                <w:sz w:val="20"/>
                <w:szCs w:val="20"/>
              </w:rPr>
              <w:t>4.00</w:t>
            </w:r>
          </w:p>
        </w:tc>
        <w:tc>
          <w:tcPr>
            <w:tcW w:w="645" w:type="pct"/>
            <w:vAlign w:val="center"/>
          </w:tcPr>
          <w:p w14:paraId="3D35472C">
            <w:pPr>
              <w:widowControl/>
              <w:spacing w:after="217" w:afterLines="50"/>
              <w:ind w:firstLine="0" w:firstLineChars="0"/>
              <w:jc w:val="center"/>
              <w:rPr>
                <w:rFonts w:eastAsia="宋体" w:cs="Times New Roman"/>
                <w:kern w:val="0"/>
                <w:sz w:val="20"/>
                <w:szCs w:val="20"/>
              </w:rPr>
            </w:pPr>
            <w:r>
              <w:rPr>
                <w:rFonts w:eastAsia="宋体" w:cs="Times New Roman"/>
                <w:kern w:val="0"/>
                <w:sz w:val="20"/>
                <w:szCs w:val="20"/>
              </w:rPr>
              <w:t>100%</w:t>
            </w:r>
          </w:p>
        </w:tc>
      </w:tr>
      <w:tr w14:paraId="5CB1B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812" w:type="pct"/>
            <w:vMerge w:val="continue"/>
            <w:vAlign w:val="center"/>
          </w:tcPr>
          <w:p w14:paraId="31D4D5BB">
            <w:pPr>
              <w:widowControl/>
              <w:spacing w:after="217" w:afterLines="50"/>
              <w:ind w:firstLine="0" w:firstLineChars="0"/>
              <w:jc w:val="left"/>
              <w:rPr>
                <w:rFonts w:eastAsia="宋体" w:cs="Times New Roman"/>
                <w:kern w:val="0"/>
                <w:sz w:val="20"/>
                <w:szCs w:val="20"/>
              </w:rPr>
            </w:pPr>
          </w:p>
        </w:tc>
        <w:tc>
          <w:tcPr>
            <w:tcW w:w="638" w:type="pct"/>
            <w:vMerge w:val="continue"/>
            <w:vAlign w:val="center"/>
          </w:tcPr>
          <w:p w14:paraId="4D182DF7">
            <w:pPr>
              <w:widowControl/>
              <w:spacing w:after="217" w:afterLines="50"/>
              <w:ind w:firstLine="0" w:firstLineChars="0"/>
              <w:jc w:val="left"/>
              <w:rPr>
                <w:rFonts w:eastAsia="宋体" w:cs="Times New Roman"/>
                <w:kern w:val="0"/>
                <w:sz w:val="20"/>
                <w:szCs w:val="20"/>
              </w:rPr>
            </w:pPr>
          </w:p>
        </w:tc>
        <w:tc>
          <w:tcPr>
            <w:tcW w:w="1879" w:type="pct"/>
            <w:vAlign w:val="center"/>
          </w:tcPr>
          <w:p w14:paraId="33A83E10">
            <w:pPr>
              <w:widowControl/>
              <w:spacing w:after="217" w:afterLines="50"/>
              <w:ind w:firstLine="0" w:firstLineChars="0"/>
              <w:jc w:val="center"/>
              <w:rPr>
                <w:rFonts w:eastAsia="宋体" w:cs="Times New Roman"/>
                <w:kern w:val="0"/>
                <w:sz w:val="20"/>
                <w:szCs w:val="20"/>
              </w:rPr>
            </w:pPr>
            <w:r>
              <w:rPr>
                <w:rFonts w:eastAsia="宋体" w:cs="Times New Roman"/>
                <w:kern w:val="0"/>
                <w:sz w:val="20"/>
                <w:szCs w:val="20"/>
              </w:rPr>
              <w:t>绩效指标科学性</w:t>
            </w:r>
          </w:p>
        </w:tc>
        <w:tc>
          <w:tcPr>
            <w:tcW w:w="512" w:type="pct"/>
            <w:shd w:val="clear" w:color="auto" w:fill="auto"/>
            <w:vAlign w:val="center"/>
          </w:tcPr>
          <w:p w14:paraId="5861C3C7">
            <w:pPr>
              <w:widowControl/>
              <w:spacing w:after="217" w:afterLines="50"/>
              <w:ind w:firstLine="0" w:firstLineChars="0"/>
              <w:jc w:val="center"/>
              <w:rPr>
                <w:rFonts w:eastAsia="宋体" w:cs="Times New Roman"/>
                <w:kern w:val="0"/>
                <w:sz w:val="20"/>
                <w:szCs w:val="20"/>
              </w:rPr>
            </w:pPr>
            <w:r>
              <w:rPr>
                <w:rFonts w:eastAsia="宋体" w:cs="Times New Roman"/>
                <w:kern w:val="0"/>
                <w:sz w:val="20"/>
                <w:szCs w:val="20"/>
              </w:rPr>
              <w:t>5.00</w:t>
            </w:r>
          </w:p>
        </w:tc>
        <w:tc>
          <w:tcPr>
            <w:tcW w:w="514" w:type="pct"/>
            <w:vAlign w:val="center"/>
          </w:tcPr>
          <w:p w14:paraId="39A08C93">
            <w:pPr>
              <w:widowControl/>
              <w:spacing w:after="217" w:afterLines="50"/>
              <w:ind w:firstLine="0" w:firstLineChars="0"/>
              <w:jc w:val="center"/>
              <w:rPr>
                <w:rFonts w:eastAsia="宋体" w:cs="Times New Roman"/>
                <w:kern w:val="0"/>
                <w:sz w:val="20"/>
                <w:szCs w:val="20"/>
              </w:rPr>
            </w:pPr>
            <w:r>
              <w:rPr>
                <w:rFonts w:eastAsia="宋体" w:cs="Times New Roman"/>
                <w:kern w:val="0"/>
                <w:sz w:val="20"/>
                <w:szCs w:val="20"/>
              </w:rPr>
              <w:t>2.00</w:t>
            </w:r>
          </w:p>
        </w:tc>
        <w:tc>
          <w:tcPr>
            <w:tcW w:w="645" w:type="pct"/>
            <w:vAlign w:val="center"/>
          </w:tcPr>
          <w:p w14:paraId="5F3DB0BA">
            <w:pPr>
              <w:widowControl/>
              <w:spacing w:after="217" w:afterLines="50"/>
              <w:ind w:firstLine="0" w:firstLineChars="0"/>
              <w:jc w:val="center"/>
              <w:rPr>
                <w:rFonts w:eastAsia="宋体" w:cs="Times New Roman"/>
                <w:kern w:val="0"/>
                <w:sz w:val="20"/>
                <w:szCs w:val="20"/>
              </w:rPr>
            </w:pPr>
            <w:r>
              <w:rPr>
                <w:rFonts w:eastAsia="宋体" w:cs="Times New Roman"/>
                <w:kern w:val="0"/>
                <w:sz w:val="20"/>
                <w:szCs w:val="20"/>
              </w:rPr>
              <w:t>40.00%</w:t>
            </w:r>
          </w:p>
        </w:tc>
      </w:tr>
      <w:tr w14:paraId="41C59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812" w:type="pct"/>
            <w:vMerge w:val="continue"/>
            <w:vAlign w:val="center"/>
          </w:tcPr>
          <w:p w14:paraId="2957D4D1">
            <w:pPr>
              <w:widowControl/>
              <w:spacing w:after="217" w:afterLines="50"/>
              <w:ind w:firstLine="0" w:firstLineChars="0"/>
              <w:jc w:val="left"/>
              <w:rPr>
                <w:rFonts w:eastAsia="宋体" w:cs="Times New Roman"/>
                <w:kern w:val="0"/>
                <w:sz w:val="20"/>
                <w:szCs w:val="20"/>
              </w:rPr>
            </w:pPr>
          </w:p>
        </w:tc>
        <w:tc>
          <w:tcPr>
            <w:tcW w:w="638" w:type="pct"/>
            <w:shd w:val="clear" w:color="auto" w:fill="auto"/>
            <w:vAlign w:val="center"/>
          </w:tcPr>
          <w:p w14:paraId="298C0BF3">
            <w:pPr>
              <w:widowControl/>
              <w:spacing w:after="217" w:afterLines="50"/>
              <w:ind w:firstLine="0" w:firstLineChars="0"/>
              <w:jc w:val="center"/>
              <w:rPr>
                <w:rFonts w:eastAsia="宋体" w:cs="Times New Roman"/>
                <w:kern w:val="0"/>
                <w:sz w:val="20"/>
                <w:szCs w:val="20"/>
              </w:rPr>
            </w:pPr>
            <w:r>
              <w:rPr>
                <w:rFonts w:eastAsia="宋体" w:cs="Times New Roman"/>
                <w:kern w:val="0"/>
                <w:sz w:val="20"/>
                <w:szCs w:val="20"/>
              </w:rPr>
              <w:t>标准合理</w:t>
            </w:r>
          </w:p>
        </w:tc>
        <w:tc>
          <w:tcPr>
            <w:tcW w:w="1879" w:type="pct"/>
            <w:vAlign w:val="center"/>
          </w:tcPr>
          <w:p w14:paraId="7CB341B0">
            <w:pPr>
              <w:widowControl/>
              <w:spacing w:after="217" w:afterLines="50"/>
              <w:ind w:firstLine="0" w:firstLineChars="0"/>
              <w:jc w:val="center"/>
              <w:rPr>
                <w:rFonts w:eastAsia="宋体" w:cs="Times New Roman"/>
                <w:kern w:val="0"/>
                <w:sz w:val="20"/>
                <w:szCs w:val="20"/>
              </w:rPr>
            </w:pPr>
            <w:r>
              <w:rPr>
                <w:rFonts w:eastAsia="宋体" w:cs="Times New Roman"/>
                <w:kern w:val="0"/>
                <w:sz w:val="20"/>
                <w:szCs w:val="20"/>
              </w:rPr>
              <w:t>补贴资金规模合理性</w:t>
            </w:r>
          </w:p>
        </w:tc>
        <w:tc>
          <w:tcPr>
            <w:tcW w:w="512" w:type="pct"/>
            <w:shd w:val="clear" w:color="auto" w:fill="auto"/>
            <w:vAlign w:val="center"/>
          </w:tcPr>
          <w:p w14:paraId="03EC0A08">
            <w:pPr>
              <w:widowControl/>
              <w:spacing w:after="217" w:afterLines="50"/>
              <w:ind w:firstLine="0" w:firstLineChars="0"/>
              <w:jc w:val="center"/>
              <w:rPr>
                <w:rFonts w:eastAsia="宋体" w:cs="Times New Roman"/>
                <w:kern w:val="0"/>
                <w:sz w:val="20"/>
                <w:szCs w:val="20"/>
              </w:rPr>
            </w:pPr>
            <w:r>
              <w:rPr>
                <w:rFonts w:eastAsia="宋体" w:cs="Times New Roman"/>
                <w:kern w:val="0"/>
                <w:sz w:val="20"/>
                <w:szCs w:val="20"/>
              </w:rPr>
              <w:t>6.00</w:t>
            </w:r>
          </w:p>
        </w:tc>
        <w:tc>
          <w:tcPr>
            <w:tcW w:w="514" w:type="pct"/>
            <w:vAlign w:val="center"/>
          </w:tcPr>
          <w:p w14:paraId="11498996">
            <w:pPr>
              <w:widowControl/>
              <w:spacing w:after="217" w:afterLines="50"/>
              <w:ind w:firstLine="0" w:firstLineChars="0"/>
              <w:jc w:val="center"/>
              <w:rPr>
                <w:rFonts w:eastAsia="宋体" w:cs="Times New Roman"/>
                <w:kern w:val="0"/>
                <w:sz w:val="20"/>
                <w:szCs w:val="20"/>
              </w:rPr>
            </w:pPr>
            <w:r>
              <w:rPr>
                <w:rFonts w:eastAsia="宋体" w:cs="Times New Roman"/>
                <w:kern w:val="0"/>
                <w:sz w:val="20"/>
                <w:szCs w:val="20"/>
              </w:rPr>
              <w:t>6.00</w:t>
            </w:r>
          </w:p>
        </w:tc>
        <w:tc>
          <w:tcPr>
            <w:tcW w:w="645" w:type="pct"/>
            <w:vAlign w:val="center"/>
          </w:tcPr>
          <w:p w14:paraId="4D2FE734">
            <w:pPr>
              <w:widowControl/>
              <w:spacing w:after="217" w:afterLines="50"/>
              <w:ind w:firstLine="0" w:firstLineChars="0"/>
              <w:jc w:val="center"/>
              <w:rPr>
                <w:rFonts w:eastAsia="宋体" w:cs="Times New Roman"/>
                <w:kern w:val="0"/>
                <w:sz w:val="20"/>
                <w:szCs w:val="20"/>
              </w:rPr>
            </w:pPr>
            <w:r>
              <w:rPr>
                <w:rFonts w:eastAsia="宋体" w:cs="Times New Roman"/>
                <w:kern w:val="0"/>
                <w:sz w:val="20"/>
                <w:szCs w:val="20"/>
              </w:rPr>
              <w:t>100.00%</w:t>
            </w:r>
          </w:p>
        </w:tc>
      </w:tr>
    </w:tbl>
    <w:p w14:paraId="229ECBF4">
      <w:pPr>
        <w:ind w:firstLine="640"/>
      </w:pPr>
    </w:p>
    <w:p w14:paraId="365333CE">
      <w:pPr>
        <w:ind w:firstLine="640"/>
      </w:pPr>
      <w:r>
        <w:t>（1）政策目标合理性</w:t>
      </w:r>
    </w:p>
    <w:p w14:paraId="2B6BE7BF">
      <w:pPr>
        <w:ind w:firstLine="640"/>
      </w:pPr>
      <w:r>
        <w:t>政策目标合理性权重4.00分，实际得分4.00分，得分率100</w:t>
      </w:r>
      <w:r>
        <w:rPr>
          <w:rFonts w:hint="eastAsia"/>
        </w:rPr>
        <w:t>.00</w:t>
      </w:r>
      <w:r>
        <w:t>%。按照《国务院关于城市优先发展公共交通的指导意见》(国发〔2012〕64号)文件中要求完善价格补贴机制,对实行低票价、减免票、承担政府指令性任务等形成的政策性亏损,对企业在技术改造、节能减排、经营冷僻线路等方面的投入,地方财政给予适当补贴补偿。宏运公司以低于成本价方式确定的票价，属于低票价，对于形成的政策性亏损，应当获得适当补贴，故未扣分。</w:t>
      </w:r>
    </w:p>
    <w:p w14:paraId="60EA471D">
      <w:pPr>
        <w:ind w:firstLine="640"/>
      </w:pPr>
      <w:r>
        <w:t>（2）绩效指标科学性</w:t>
      </w:r>
    </w:p>
    <w:p w14:paraId="69DCA655">
      <w:pPr>
        <w:ind w:firstLine="640"/>
      </w:pPr>
      <w:r>
        <w:t>绩效指标科学性权重5.00分，实际得分2.00分，得分率40.00%。一是绩效指标较为模糊，</w:t>
      </w:r>
      <w:r>
        <w:rPr>
          <w:rFonts w:hint="eastAsia"/>
        </w:rPr>
        <w:t>“</w:t>
      </w:r>
      <w:r>
        <w:t>质量指标</w:t>
      </w:r>
      <w:r>
        <w:rPr>
          <w:rFonts w:hint="eastAsia"/>
        </w:rPr>
        <w:t>”</w:t>
      </w:r>
      <w:r>
        <w:t>的指标值为</w:t>
      </w:r>
      <w:r>
        <w:rPr>
          <w:rFonts w:hint="eastAsia"/>
        </w:rPr>
        <w:t>“</w:t>
      </w:r>
      <w:r>
        <w:t>对我市所有城市公交纳入运营亏损补贴范围</w:t>
      </w:r>
      <w:r>
        <w:rPr>
          <w:rFonts w:hint="eastAsia"/>
        </w:rPr>
        <w:t>”</w:t>
      </w:r>
      <w:r>
        <w:t>，难以量化；二是效益指标缺失，经济效益、社会效益和生态效益指标均未填写；三是</w:t>
      </w:r>
      <w:r>
        <w:rPr>
          <w:rFonts w:hint="eastAsia"/>
        </w:rPr>
        <w:t>“</w:t>
      </w:r>
      <w:r>
        <w:t>成本指标</w:t>
      </w:r>
      <w:r>
        <w:rPr>
          <w:rFonts w:hint="eastAsia"/>
        </w:rPr>
        <w:t>”</w:t>
      </w:r>
      <w:r>
        <w:t>和</w:t>
      </w:r>
      <w:r>
        <w:rPr>
          <w:rFonts w:hint="eastAsia"/>
        </w:rPr>
        <w:t>“</w:t>
      </w:r>
      <w:r>
        <w:t>时效指标</w:t>
      </w:r>
      <w:r>
        <w:rPr>
          <w:rFonts w:hint="eastAsia"/>
        </w:rPr>
        <w:t>”</w:t>
      </w:r>
      <w:r>
        <w:t>设置不恰当，</w:t>
      </w:r>
      <w:r>
        <w:rPr>
          <w:rFonts w:hint="eastAsia"/>
        </w:rPr>
        <w:t>“</w:t>
      </w:r>
      <w:r>
        <w:t>成本指标</w:t>
      </w:r>
      <w:r>
        <w:rPr>
          <w:rFonts w:hint="eastAsia"/>
        </w:rPr>
        <w:t>”</w:t>
      </w:r>
      <w:r>
        <w:t>设置为资金安排的金额数，城市公交的成本主要指每公里成本金额。以上三处不合理，故扣3.00分。</w:t>
      </w:r>
    </w:p>
    <w:p w14:paraId="33E72A0A">
      <w:pPr>
        <w:ind w:firstLine="640"/>
        <w:rPr>
          <w:rFonts w:cs="Times New Roman"/>
        </w:rPr>
      </w:pPr>
      <w:r>
        <w:rPr>
          <w:rFonts w:cs="Times New Roman"/>
        </w:rPr>
        <w:t>（3）补贴资金规模合理性</w:t>
      </w:r>
    </w:p>
    <w:p w14:paraId="43283703">
      <w:pPr>
        <w:ind w:firstLine="640"/>
        <w:rPr>
          <w:rFonts w:cs="Times New Roman"/>
        </w:rPr>
      </w:pPr>
      <w:r>
        <w:rPr>
          <w:rFonts w:cs="Times New Roman"/>
        </w:rPr>
        <w:t>补贴资金规模合理性权重6.00分，实际得分6.00分，得分率100.00%。补贴资金依据2019年营运数据测算，通过对上年度的营运公里数补贴方案，预计2020年度绵竹市城市公交车运营总里程为634.00万公里，预算年度总金额330.00万元，而2020年公交公司营业收入1318</w:t>
      </w:r>
      <w:r>
        <w:rPr>
          <w:rFonts w:hint="eastAsia" w:cs="Times New Roman"/>
        </w:rPr>
        <w:t>.</w:t>
      </w:r>
      <w:r>
        <w:rPr>
          <w:rFonts w:cs="Times New Roman"/>
        </w:rPr>
        <w:t>00万元，营业成本1409.82万元，</w:t>
      </w:r>
      <w:r>
        <w:rPr>
          <w:rFonts w:hint="eastAsia" w:cs="Times New Roman"/>
        </w:rPr>
        <w:t>净利润-</w:t>
      </w:r>
      <w:r>
        <w:rPr>
          <w:rFonts w:cs="Times New Roman"/>
        </w:rPr>
        <w:t>19.52</w:t>
      </w:r>
      <w:r>
        <w:rPr>
          <w:rFonts w:hint="eastAsia" w:cs="Times New Roman"/>
        </w:rPr>
        <w:t>万元</w:t>
      </w:r>
      <w:r>
        <w:rPr>
          <w:rFonts w:cs="Times New Roman"/>
        </w:rPr>
        <w:t>，故</w:t>
      </w:r>
      <w:r>
        <w:rPr>
          <w:rFonts w:hint="eastAsia" w:cs="Times New Roman"/>
        </w:rPr>
        <w:t>未扣</w:t>
      </w:r>
      <w:r>
        <w:rPr>
          <w:rFonts w:cs="Times New Roman"/>
        </w:rPr>
        <w:t>分。</w:t>
      </w:r>
    </w:p>
    <w:p w14:paraId="70C4A41D">
      <w:pPr>
        <w:pStyle w:val="4"/>
        <w:ind w:firstLine="643"/>
        <w:rPr>
          <w:rFonts w:cs="Times New Roman"/>
        </w:rPr>
      </w:pPr>
      <w:bookmarkStart w:id="20" w:name="_Toc78668813"/>
      <w:r>
        <w:rPr>
          <w:rFonts w:cs="Times New Roman"/>
        </w:rPr>
        <w:t>2. 政策执行指标分析</w:t>
      </w:r>
      <w:bookmarkEnd w:id="20"/>
    </w:p>
    <w:p w14:paraId="758E4432">
      <w:pPr>
        <w:ind w:firstLine="640"/>
        <w:rPr>
          <w:rFonts w:cs="Times New Roman"/>
        </w:rPr>
      </w:pPr>
      <w:r>
        <w:rPr>
          <w:rFonts w:cs="Times New Roman"/>
        </w:rPr>
        <w:t>在政策执行指标上，设置了人员管理制度健全性、服务质量管理制度健全性、公共汽电车责任事故死亡率、交通违章率、司机工作强度、财务制度健全性、资金使用合规性、财务监控到位性8个三级指标。</w:t>
      </w:r>
    </w:p>
    <w:p w14:paraId="7D3BEBE2">
      <w:pPr>
        <w:ind w:firstLine="0" w:firstLineChars="0"/>
        <w:jc w:val="center"/>
        <w:rPr>
          <w:rFonts w:eastAsia="幼圆" w:cs="Times New Roman"/>
          <w:b/>
          <w:sz w:val="28"/>
          <w:szCs w:val="28"/>
        </w:rPr>
      </w:pPr>
      <w:r>
        <w:rPr>
          <w:rFonts w:eastAsia="幼圆" w:cs="Times New Roman"/>
          <w:b/>
          <w:sz w:val="28"/>
          <w:szCs w:val="28"/>
        </w:rPr>
        <w:t>附表 政策执行指标得分情况</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7"/>
        <w:gridCol w:w="1313"/>
        <w:gridCol w:w="3203"/>
        <w:gridCol w:w="873"/>
        <w:gridCol w:w="876"/>
        <w:gridCol w:w="1100"/>
      </w:tblGrid>
      <w:tr w14:paraId="329E7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blHeader/>
          <w:jc w:val="center"/>
        </w:trPr>
        <w:tc>
          <w:tcPr>
            <w:tcW w:w="679" w:type="pct"/>
            <w:shd w:val="clear" w:color="auto" w:fill="00516B"/>
            <w:vAlign w:val="center"/>
          </w:tcPr>
          <w:p w14:paraId="656BA6CB">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一级指标</w:t>
            </w:r>
          </w:p>
        </w:tc>
        <w:tc>
          <w:tcPr>
            <w:tcW w:w="770" w:type="pct"/>
            <w:shd w:val="clear" w:color="auto" w:fill="00516B"/>
            <w:vAlign w:val="center"/>
          </w:tcPr>
          <w:p w14:paraId="6DEAA531">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二级指标</w:t>
            </w:r>
          </w:p>
        </w:tc>
        <w:tc>
          <w:tcPr>
            <w:tcW w:w="1879" w:type="pct"/>
            <w:shd w:val="clear" w:color="auto" w:fill="00516B"/>
            <w:vAlign w:val="center"/>
          </w:tcPr>
          <w:p w14:paraId="5DD04BC6">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三级指标</w:t>
            </w:r>
          </w:p>
        </w:tc>
        <w:tc>
          <w:tcPr>
            <w:tcW w:w="512" w:type="pct"/>
            <w:shd w:val="clear" w:color="auto" w:fill="00516B"/>
            <w:vAlign w:val="center"/>
          </w:tcPr>
          <w:p w14:paraId="1AF7D841">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权重</w:t>
            </w:r>
          </w:p>
        </w:tc>
        <w:tc>
          <w:tcPr>
            <w:tcW w:w="514" w:type="pct"/>
            <w:shd w:val="clear" w:color="auto" w:fill="00516B"/>
            <w:vAlign w:val="center"/>
          </w:tcPr>
          <w:p w14:paraId="312FE99D">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得分</w:t>
            </w:r>
          </w:p>
        </w:tc>
        <w:tc>
          <w:tcPr>
            <w:tcW w:w="645" w:type="pct"/>
            <w:shd w:val="clear" w:color="auto" w:fill="00516B"/>
            <w:vAlign w:val="center"/>
          </w:tcPr>
          <w:p w14:paraId="16220820">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得分率</w:t>
            </w:r>
          </w:p>
        </w:tc>
      </w:tr>
      <w:tr w14:paraId="677CB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679" w:type="pct"/>
            <w:vMerge w:val="restart"/>
            <w:shd w:val="clear" w:color="auto" w:fill="auto"/>
            <w:vAlign w:val="center"/>
          </w:tcPr>
          <w:p w14:paraId="5394F661">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政策执行</w:t>
            </w:r>
            <w:r>
              <w:rPr>
                <w:rFonts w:hint="eastAsia" w:eastAsia="宋体" w:cs="Times New Roman"/>
                <w:kern w:val="0"/>
                <w:sz w:val="20"/>
                <w:szCs w:val="20"/>
              </w:rPr>
              <w:t>(</w:t>
            </w:r>
            <w:r>
              <w:rPr>
                <w:rFonts w:eastAsia="宋体" w:cs="Times New Roman"/>
                <w:kern w:val="0"/>
                <w:sz w:val="20"/>
                <w:szCs w:val="20"/>
              </w:rPr>
              <w:t>22</w:t>
            </w:r>
            <w:r>
              <w:rPr>
                <w:rFonts w:hint="eastAsia" w:eastAsia="宋体" w:cs="Times New Roman"/>
                <w:kern w:val="0"/>
                <w:sz w:val="20"/>
                <w:szCs w:val="20"/>
              </w:rPr>
              <w:t>.00</w:t>
            </w:r>
            <w:r>
              <w:rPr>
                <w:rFonts w:eastAsia="宋体" w:cs="Times New Roman"/>
                <w:kern w:val="0"/>
                <w:sz w:val="20"/>
                <w:szCs w:val="20"/>
              </w:rPr>
              <w:t>分）</w:t>
            </w:r>
          </w:p>
        </w:tc>
        <w:tc>
          <w:tcPr>
            <w:tcW w:w="770" w:type="pct"/>
            <w:vMerge w:val="restart"/>
            <w:shd w:val="clear" w:color="auto" w:fill="auto"/>
            <w:vAlign w:val="center"/>
          </w:tcPr>
          <w:p w14:paraId="14BCC174">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业务管理（12</w:t>
            </w:r>
            <w:r>
              <w:rPr>
                <w:rFonts w:hint="eastAsia" w:eastAsia="宋体" w:cs="Times New Roman"/>
                <w:kern w:val="0"/>
                <w:sz w:val="20"/>
                <w:szCs w:val="20"/>
              </w:rPr>
              <w:t>.00</w:t>
            </w:r>
            <w:r>
              <w:rPr>
                <w:rFonts w:eastAsia="宋体" w:cs="Times New Roman"/>
                <w:kern w:val="0"/>
                <w:sz w:val="20"/>
                <w:szCs w:val="20"/>
              </w:rPr>
              <w:t>）</w:t>
            </w:r>
          </w:p>
        </w:tc>
        <w:tc>
          <w:tcPr>
            <w:tcW w:w="1879" w:type="pct"/>
            <w:vAlign w:val="center"/>
          </w:tcPr>
          <w:p w14:paraId="28564D4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人员管理制度健全性</w:t>
            </w:r>
          </w:p>
        </w:tc>
        <w:tc>
          <w:tcPr>
            <w:tcW w:w="512" w:type="pct"/>
            <w:shd w:val="clear" w:color="auto" w:fill="auto"/>
            <w:vAlign w:val="center"/>
          </w:tcPr>
          <w:p w14:paraId="11DFFB09">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514" w:type="pct"/>
            <w:vAlign w:val="center"/>
          </w:tcPr>
          <w:p w14:paraId="58AE3201">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645" w:type="pct"/>
            <w:vAlign w:val="center"/>
          </w:tcPr>
          <w:p w14:paraId="2DC130DF">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14:paraId="5EF30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679" w:type="pct"/>
            <w:vMerge w:val="continue"/>
            <w:vAlign w:val="center"/>
          </w:tcPr>
          <w:p w14:paraId="35EDE3F9">
            <w:pPr>
              <w:widowControl/>
              <w:spacing w:after="217" w:afterLines="50" w:line="320" w:lineRule="exact"/>
              <w:ind w:firstLine="0" w:firstLineChars="0"/>
              <w:jc w:val="left"/>
              <w:rPr>
                <w:rFonts w:eastAsia="宋体" w:cs="Times New Roman"/>
                <w:kern w:val="0"/>
                <w:sz w:val="20"/>
                <w:szCs w:val="20"/>
              </w:rPr>
            </w:pPr>
          </w:p>
        </w:tc>
        <w:tc>
          <w:tcPr>
            <w:tcW w:w="770" w:type="pct"/>
            <w:vMerge w:val="continue"/>
            <w:vAlign w:val="center"/>
          </w:tcPr>
          <w:p w14:paraId="024F90AB">
            <w:pPr>
              <w:widowControl/>
              <w:spacing w:after="217" w:afterLines="50" w:line="320" w:lineRule="exact"/>
              <w:ind w:firstLine="0" w:firstLineChars="0"/>
              <w:jc w:val="left"/>
              <w:rPr>
                <w:rFonts w:eastAsia="宋体" w:cs="Times New Roman"/>
                <w:kern w:val="0"/>
                <w:sz w:val="20"/>
                <w:szCs w:val="20"/>
              </w:rPr>
            </w:pPr>
          </w:p>
        </w:tc>
        <w:tc>
          <w:tcPr>
            <w:tcW w:w="1879" w:type="pct"/>
            <w:vAlign w:val="center"/>
          </w:tcPr>
          <w:p w14:paraId="416D8EFE">
            <w:pPr>
              <w:widowControl/>
              <w:spacing w:after="217" w:afterLines="50" w:line="320" w:lineRule="exact"/>
              <w:ind w:firstLine="0" w:firstLineChars="0"/>
              <w:jc w:val="center"/>
              <w:rPr>
                <w:rFonts w:eastAsia="宋体" w:cs="Times New Roman"/>
                <w:kern w:val="0"/>
                <w:sz w:val="20"/>
                <w:szCs w:val="20"/>
              </w:rPr>
            </w:pPr>
            <w:bookmarkStart w:id="21" w:name="_Hlk76372006"/>
            <w:r>
              <w:rPr>
                <w:rFonts w:eastAsia="宋体" w:cs="Times New Roman"/>
                <w:kern w:val="0"/>
                <w:sz w:val="20"/>
                <w:szCs w:val="20"/>
              </w:rPr>
              <w:t>服务质量管理制度健全性</w:t>
            </w:r>
            <w:bookmarkEnd w:id="21"/>
          </w:p>
        </w:tc>
        <w:tc>
          <w:tcPr>
            <w:tcW w:w="512" w:type="pct"/>
            <w:shd w:val="clear" w:color="auto" w:fill="auto"/>
            <w:vAlign w:val="center"/>
          </w:tcPr>
          <w:p w14:paraId="231379D3">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514" w:type="pct"/>
            <w:vAlign w:val="center"/>
          </w:tcPr>
          <w:p w14:paraId="3D354C13">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645" w:type="pct"/>
            <w:vAlign w:val="center"/>
          </w:tcPr>
          <w:p w14:paraId="40B4462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14:paraId="32391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79" w:type="pct"/>
            <w:vMerge w:val="continue"/>
            <w:vAlign w:val="center"/>
          </w:tcPr>
          <w:p w14:paraId="2DA914A1">
            <w:pPr>
              <w:widowControl/>
              <w:spacing w:after="217" w:afterLines="50" w:line="320" w:lineRule="exact"/>
              <w:ind w:firstLine="0" w:firstLineChars="0"/>
              <w:jc w:val="left"/>
              <w:rPr>
                <w:rFonts w:eastAsia="宋体" w:cs="Times New Roman"/>
                <w:kern w:val="0"/>
                <w:sz w:val="20"/>
                <w:szCs w:val="20"/>
              </w:rPr>
            </w:pPr>
          </w:p>
        </w:tc>
        <w:tc>
          <w:tcPr>
            <w:tcW w:w="770" w:type="pct"/>
            <w:vMerge w:val="continue"/>
            <w:vAlign w:val="center"/>
          </w:tcPr>
          <w:p w14:paraId="4A892DFE">
            <w:pPr>
              <w:widowControl/>
              <w:spacing w:after="217" w:afterLines="50" w:line="320" w:lineRule="exact"/>
              <w:ind w:firstLine="0" w:firstLineChars="0"/>
              <w:jc w:val="left"/>
              <w:rPr>
                <w:rFonts w:eastAsia="宋体" w:cs="Times New Roman"/>
                <w:kern w:val="0"/>
                <w:sz w:val="20"/>
                <w:szCs w:val="20"/>
              </w:rPr>
            </w:pPr>
          </w:p>
        </w:tc>
        <w:tc>
          <w:tcPr>
            <w:tcW w:w="1879" w:type="pct"/>
            <w:vAlign w:val="center"/>
          </w:tcPr>
          <w:p w14:paraId="0BB64A62">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公共汽电车责任事故死亡率</w:t>
            </w:r>
          </w:p>
        </w:tc>
        <w:tc>
          <w:tcPr>
            <w:tcW w:w="512" w:type="pct"/>
            <w:shd w:val="clear" w:color="auto" w:fill="auto"/>
            <w:vAlign w:val="center"/>
          </w:tcPr>
          <w:p w14:paraId="6B5054A9">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3.00</w:t>
            </w:r>
          </w:p>
        </w:tc>
        <w:tc>
          <w:tcPr>
            <w:tcW w:w="514" w:type="pct"/>
            <w:vAlign w:val="center"/>
          </w:tcPr>
          <w:p w14:paraId="03CCC70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3.00</w:t>
            </w:r>
          </w:p>
        </w:tc>
        <w:tc>
          <w:tcPr>
            <w:tcW w:w="645" w:type="pct"/>
            <w:vAlign w:val="center"/>
          </w:tcPr>
          <w:p w14:paraId="61FC96FC">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14:paraId="6C73B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79" w:type="pct"/>
            <w:vMerge w:val="continue"/>
            <w:vAlign w:val="center"/>
          </w:tcPr>
          <w:p w14:paraId="5463908F">
            <w:pPr>
              <w:widowControl/>
              <w:spacing w:after="217" w:afterLines="50" w:line="320" w:lineRule="exact"/>
              <w:ind w:firstLine="0" w:firstLineChars="0"/>
              <w:jc w:val="left"/>
              <w:rPr>
                <w:rFonts w:eastAsia="宋体" w:cs="Times New Roman"/>
                <w:kern w:val="0"/>
                <w:sz w:val="20"/>
                <w:szCs w:val="20"/>
              </w:rPr>
            </w:pPr>
          </w:p>
        </w:tc>
        <w:tc>
          <w:tcPr>
            <w:tcW w:w="770" w:type="pct"/>
            <w:vMerge w:val="continue"/>
            <w:vAlign w:val="center"/>
          </w:tcPr>
          <w:p w14:paraId="0AAD9578">
            <w:pPr>
              <w:widowControl/>
              <w:spacing w:after="217" w:afterLines="50" w:line="320" w:lineRule="exact"/>
              <w:ind w:firstLine="0" w:firstLineChars="0"/>
              <w:jc w:val="left"/>
              <w:rPr>
                <w:rFonts w:eastAsia="宋体" w:cs="Times New Roman"/>
                <w:kern w:val="0"/>
                <w:sz w:val="20"/>
                <w:szCs w:val="20"/>
              </w:rPr>
            </w:pPr>
          </w:p>
        </w:tc>
        <w:tc>
          <w:tcPr>
            <w:tcW w:w="1879" w:type="pct"/>
            <w:shd w:val="clear" w:color="auto" w:fill="auto"/>
            <w:vAlign w:val="center"/>
          </w:tcPr>
          <w:p w14:paraId="404BD61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交通违章率</w:t>
            </w:r>
          </w:p>
        </w:tc>
        <w:tc>
          <w:tcPr>
            <w:tcW w:w="512" w:type="pct"/>
            <w:shd w:val="clear" w:color="auto" w:fill="auto"/>
            <w:vAlign w:val="center"/>
          </w:tcPr>
          <w:p w14:paraId="386009D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514" w:type="pct"/>
            <w:vAlign w:val="center"/>
          </w:tcPr>
          <w:p w14:paraId="57674C42">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645" w:type="pct"/>
            <w:vAlign w:val="center"/>
          </w:tcPr>
          <w:p w14:paraId="30E56C2D">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14:paraId="2306A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679" w:type="pct"/>
            <w:vMerge w:val="continue"/>
            <w:vAlign w:val="center"/>
          </w:tcPr>
          <w:p w14:paraId="2E89B62F">
            <w:pPr>
              <w:widowControl/>
              <w:spacing w:after="217" w:afterLines="50" w:line="320" w:lineRule="exact"/>
              <w:ind w:firstLine="0" w:firstLineChars="0"/>
              <w:jc w:val="left"/>
              <w:rPr>
                <w:rFonts w:eastAsia="宋体" w:cs="Times New Roman"/>
                <w:kern w:val="0"/>
                <w:sz w:val="20"/>
                <w:szCs w:val="20"/>
              </w:rPr>
            </w:pPr>
          </w:p>
        </w:tc>
        <w:tc>
          <w:tcPr>
            <w:tcW w:w="770" w:type="pct"/>
            <w:vMerge w:val="continue"/>
            <w:vAlign w:val="center"/>
          </w:tcPr>
          <w:p w14:paraId="741F0682">
            <w:pPr>
              <w:widowControl/>
              <w:spacing w:after="217" w:afterLines="50" w:line="320" w:lineRule="exact"/>
              <w:ind w:firstLine="0" w:firstLineChars="0"/>
              <w:jc w:val="left"/>
              <w:rPr>
                <w:rFonts w:eastAsia="宋体" w:cs="Times New Roman"/>
                <w:kern w:val="0"/>
                <w:sz w:val="20"/>
                <w:szCs w:val="20"/>
              </w:rPr>
            </w:pPr>
          </w:p>
        </w:tc>
        <w:tc>
          <w:tcPr>
            <w:tcW w:w="1879" w:type="pct"/>
            <w:vAlign w:val="center"/>
          </w:tcPr>
          <w:p w14:paraId="65499678">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司机工作强度</w:t>
            </w:r>
          </w:p>
        </w:tc>
        <w:tc>
          <w:tcPr>
            <w:tcW w:w="512" w:type="pct"/>
            <w:shd w:val="clear" w:color="auto" w:fill="auto"/>
            <w:vAlign w:val="center"/>
          </w:tcPr>
          <w:p w14:paraId="531E738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3.00</w:t>
            </w:r>
          </w:p>
        </w:tc>
        <w:tc>
          <w:tcPr>
            <w:tcW w:w="514" w:type="pct"/>
            <w:vAlign w:val="center"/>
          </w:tcPr>
          <w:p w14:paraId="5241E3A5">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645" w:type="pct"/>
            <w:vAlign w:val="center"/>
          </w:tcPr>
          <w:p w14:paraId="44C70B3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66.67%</w:t>
            </w:r>
          </w:p>
        </w:tc>
      </w:tr>
      <w:tr w14:paraId="2BBFB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79" w:type="pct"/>
            <w:vMerge w:val="continue"/>
            <w:vAlign w:val="center"/>
          </w:tcPr>
          <w:p w14:paraId="51F02740">
            <w:pPr>
              <w:widowControl/>
              <w:spacing w:after="217" w:afterLines="50" w:line="320" w:lineRule="exact"/>
              <w:ind w:firstLine="0" w:firstLineChars="0"/>
              <w:jc w:val="left"/>
              <w:rPr>
                <w:rFonts w:eastAsia="宋体" w:cs="Times New Roman"/>
                <w:kern w:val="0"/>
                <w:sz w:val="20"/>
                <w:szCs w:val="20"/>
              </w:rPr>
            </w:pPr>
          </w:p>
        </w:tc>
        <w:tc>
          <w:tcPr>
            <w:tcW w:w="770" w:type="pct"/>
            <w:vMerge w:val="restart"/>
            <w:shd w:val="clear" w:color="auto" w:fill="auto"/>
            <w:vAlign w:val="center"/>
          </w:tcPr>
          <w:p w14:paraId="051E92BA">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财务管理（10</w:t>
            </w:r>
            <w:r>
              <w:rPr>
                <w:rFonts w:hint="eastAsia" w:eastAsia="宋体" w:cs="Times New Roman"/>
                <w:kern w:val="0"/>
                <w:sz w:val="20"/>
                <w:szCs w:val="20"/>
              </w:rPr>
              <w:t>.00</w:t>
            </w:r>
            <w:r>
              <w:rPr>
                <w:rFonts w:eastAsia="宋体" w:cs="Times New Roman"/>
                <w:kern w:val="0"/>
                <w:sz w:val="20"/>
                <w:szCs w:val="20"/>
              </w:rPr>
              <w:t>）</w:t>
            </w:r>
          </w:p>
        </w:tc>
        <w:tc>
          <w:tcPr>
            <w:tcW w:w="1879" w:type="pct"/>
            <w:vAlign w:val="center"/>
          </w:tcPr>
          <w:p w14:paraId="00EFA032">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财务制度健全性</w:t>
            </w:r>
          </w:p>
        </w:tc>
        <w:tc>
          <w:tcPr>
            <w:tcW w:w="512" w:type="pct"/>
            <w:shd w:val="clear" w:color="auto" w:fill="auto"/>
            <w:vAlign w:val="center"/>
          </w:tcPr>
          <w:p w14:paraId="03E1619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3.00</w:t>
            </w:r>
          </w:p>
        </w:tc>
        <w:tc>
          <w:tcPr>
            <w:tcW w:w="514" w:type="pct"/>
            <w:vAlign w:val="center"/>
          </w:tcPr>
          <w:p w14:paraId="786A16B4">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3.00</w:t>
            </w:r>
          </w:p>
        </w:tc>
        <w:tc>
          <w:tcPr>
            <w:tcW w:w="645" w:type="pct"/>
            <w:vAlign w:val="center"/>
          </w:tcPr>
          <w:p w14:paraId="18F5E0DA">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14:paraId="27E93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79" w:type="pct"/>
            <w:vMerge w:val="continue"/>
            <w:vAlign w:val="center"/>
          </w:tcPr>
          <w:p w14:paraId="75C920BD">
            <w:pPr>
              <w:widowControl/>
              <w:spacing w:after="217" w:afterLines="50" w:line="320" w:lineRule="exact"/>
              <w:ind w:firstLine="0" w:firstLineChars="0"/>
              <w:jc w:val="left"/>
              <w:rPr>
                <w:rFonts w:eastAsia="宋体" w:cs="Times New Roman"/>
                <w:kern w:val="0"/>
                <w:sz w:val="20"/>
                <w:szCs w:val="20"/>
              </w:rPr>
            </w:pPr>
          </w:p>
        </w:tc>
        <w:tc>
          <w:tcPr>
            <w:tcW w:w="770" w:type="pct"/>
            <w:vMerge w:val="continue"/>
            <w:vAlign w:val="center"/>
          </w:tcPr>
          <w:p w14:paraId="3FF9F81C">
            <w:pPr>
              <w:widowControl/>
              <w:spacing w:after="217" w:afterLines="50" w:line="320" w:lineRule="exact"/>
              <w:ind w:firstLine="0" w:firstLineChars="0"/>
              <w:jc w:val="left"/>
              <w:rPr>
                <w:rFonts w:eastAsia="宋体" w:cs="Times New Roman"/>
                <w:kern w:val="0"/>
                <w:sz w:val="20"/>
                <w:szCs w:val="20"/>
              </w:rPr>
            </w:pPr>
          </w:p>
        </w:tc>
        <w:tc>
          <w:tcPr>
            <w:tcW w:w="1879" w:type="pct"/>
            <w:vAlign w:val="center"/>
          </w:tcPr>
          <w:p w14:paraId="73B010FA">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资金使用合规性</w:t>
            </w:r>
          </w:p>
        </w:tc>
        <w:tc>
          <w:tcPr>
            <w:tcW w:w="512" w:type="pct"/>
            <w:shd w:val="clear" w:color="auto" w:fill="auto"/>
            <w:vAlign w:val="center"/>
          </w:tcPr>
          <w:p w14:paraId="4488399C">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4.00</w:t>
            </w:r>
          </w:p>
        </w:tc>
        <w:tc>
          <w:tcPr>
            <w:tcW w:w="514" w:type="pct"/>
            <w:vAlign w:val="center"/>
          </w:tcPr>
          <w:p w14:paraId="3916FA0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4.00</w:t>
            </w:r>
          </w:p>
        </w:tc>
        <w:tc>
          <w:tcPr>
            <w:tcW w:w="645" w:type="pct"/>
            <w:vAlign w:val="center"/>
          </w:tcPr>
          <w:p w14:paraId="4181B428">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14:paraId="609BE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79" w:type="pct"/>
            <w:vMerge w:val="continue"/>
            <w:vAlign w:val="center"/>
          </w:tcPr>
          <w:p w14:paraId="39731D8C">
            <w:pPr>
              <w:widowControl/>
              <w:spacing w:after="217" w:afterLines="50" w:line="320" w:lineRule="exact"/>
              <w:ind w:firstLine="0" w:firstLineChars="0"/>
              <w:jc w:val="left"/>
              <w:rPr>
                <w:rFonts w:eastAsia="宋体" w:cs="Times New Roman"/>
                <w:kern w:val="0"/>
                <w:sz w:val="20"/>
                <w:szCs w:val="20"/>
              </w:rPr>
            </w:pPr>
          </w:p>
        </w:tc>
        <w:tc>
          <w:tcPr>
            <w:tcW w:w="770" w:type="pct"/>
            <w:vMerge w:val="continue"/>
            <w:vAlign w:val="center"/>
          </w:tcPr>
          <w:p w14:paraId="1041554F">
            <w:pPr>
              <w:widowControl/>
              <w:spacing w:after="217" w:afterLines="50" w:line="320" w:lineRule="exact"/>
              <w:ind w:firstLine="0" w:firstLineChars="0"/>
              <w:jc w:val="left"/>
              <w:rPr>
                <w:rFonts w:eastAsia="宋体" w:cs="Times New Roman"/>
                <w:kern w:val="0"/>
                <w:sz w:val="20"/>
                <w:szCs w:val="20"/>
              </w:rPr>
            </w:pPr>
          </w:p>
        </w:tc>
        <w:tc>
          <w:tcPr>
            <w:tcW w:w="1879" w:type="pct"/>
            <w:vAlign w:val="center"/>
          </w:tcPr>
          <w:p w14:paraId="35727C2F">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财务监控到位性</w:t>
            </w:r>
          </w:p>
        </w:tc>
        <w:tc>
          <w:tcPr>
            <w:tcW w:w="512" w:type="pct"/>
            <w:shd w:val="clear" w:color="auto" w:fill="auto"/>
            <w:vAlign w:val="center"/>
          </w:tcPr>
          <w:p w14:paraId="0412F1A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3.00</w:t>
            </w:r>
          </w:p>
        </w:tc>
        <w:tc>
          <w:tcPr>
            <w:tcW w:w="514" w:type="pct"/>
            <w:vAlign w:val="center"/>
          </w:tcPr>
          <w:p w14:paraId="65CDD162">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3.00</w:t>
            </w:r>
          </w:p>
        </w:tc>
        <w:tc>
          <w:tcPr>
            <w:tcW w:w="645" w:type="pct"/>
            <w:vAlign w:val="center"/>
          </w:tcPr>
          <w:p w14:paraId="23E69982">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bl>
    <w:p w14:paraId="014776FE">
      <w:pPr>
        <w:ind w:firstLine="640"/>
      </w:pPr>
    </w:p>
    <w:p w14:paraId="7D3CF4E6">
      <w:pPr>
        <w:ind w:firstLine="640"/>
      </w:pPr>
      <w:r>
        <w:t>（1）人员管理制度健全性</w:t>
      </w:r>
    </w:p>
    <w:p w14:paraId="65C5FB39">
      <w:pPr>
        <w:ind w:firstLine="640"/>
      </w:pPr>
      <w:r>
        <w:t>人员管理制度健全性</w:t>
      </w:r>
      <w:r>
        <w:rPr>
          <w:kern w:val="0"/>
          <w:szCs w:val="24"/>
        </w:rPr>
        <w:t>权重2.00分，实际得分2.00分，得分率100.00%。宏运公司组织机构及人员管理制度健全，故未扣分。</w:t>
      </w:r>
    </w:p>
    <w:p w14:paraId="1C07BC1F">
      <w:pPr>
        <w:ind w:firstLine="640"/>
      </w:pPr>
      <w:r>
        <w:t>（2）服务质量管理制度健全性</w:t>
      </w:r>
    </w:p>
    <w:p w14:paraId="55602A8C">
      <w:pPr>
        <w:ind w:firstLine="640"/>
      </w:pPr>
      <w:r>
        <w:t>服务质量管理制度健全性</w:t>
      </w:r>
      <w:r>
        <w:rPr>
          <w:kern w:val="0"/>
          <w:szCs w:val="24"/>
        </w:rPr>
        <w:t>权重2.00分，实际得分2.00分，得分率100.00%。一是绵竹市交通局制定《绵竹市城市公共汽车运营企业安全服务质量考核办法（试行）》（竹交〔2019〕21号）对公交客运经营行为进行管理和考核；二是宏运公司安全管理制度、司乘人员考勤和财务管理制度相对健全，故未扣分。</w:t>
      </w:r>
    </w:p>
    <w:p w14:paraId="48476909">
      <w:pPr>
        <w:ind w:firstLine="640"/>
      </w:pPr>
      <w:r>
        <w:t>（3）公共汽电车责任事故死亡率</w:t>
      </w:r>
    </w:p>
    <w:p w14:paraId="321FA9A1">
      <w:pPr>
        <w:ind w:firstLine="640"/>
      </w:pPr>
      <w:r>
        <w:t>公共汽电车责任事故死亡率</w:t>
      </w:r>
      <w:r>
        <w:rPr>
          <w:kern w:val="0"/>
          <w:szCs w:val="24"/>
        </w:rPr>
        <w:t>权重3.00分，实际得分3.00分，得分率100.00%。调研发现，宏运公司2020年未发生责任事故死亡情况，达成安全运营目标，故未扣分。</w:t>
      </w:r>
    </w:p>
    <w:p w14:paraId="7E8FA591">
      <w:pPr>
        <w:ind w:firstLine="640"/>
      </w:pPr>
      <w:r>
        <w:t>（4）交通违章率</w:t>
      </w:r>
    </w:p>
    <w:p w14:paraId="2BE70192">
      <w:pPr>
        <w:ind w:firstLine="640"/>
      </w:pPr>
      <w:r>
        <w:t>交通违章率</w:t>
      </w:r>
      <w:r>
        <w:rPr>
          <w:kern w:val="0"/>
          <w:szCs w:val="24"/>
        </w:rPr>
        <w:t>权重2.00分，实际得分2.00分，得分率100.00%。调研发现，宏运公司2020年未发生交通违章情况，故未扣分。</w:t>
      </w:r>
    </w:p>
    <w:p w14:paraId="40E9D99A">
      <w:pPr>
        <w:ind w:firstLine="640"/>
      </w:pPr>
      <w:r>
        <w:t>（5）司机工作强度</w:t>
      </w:r>
    </w:p>
    <w:p w14:paraId="0ECA8158">
      <w:pPr>
        <w:ind w:firstLine="640"/>
      </w:pPr>
      <w:r>
        <w:t>司机工作强度权重3.00分，实际得分2.00分，得分率66.67%。实地访谈发现，部分公交司机反映工作时间较长，强度较大。司机工作时间从早上7点至下午6点半，中间休息时间半个小时左右（含午饭时间），其次，司机日均往返驾驶8趟左右公交，到站休息到下一班发车间隔10分钟以内。故扣1.00分。</w:t>
      </w:r>
    </w:p>
    <w:p w14:paraId="01E59BB8">
      <w:pPr>
        <w:ind w:firstLine="640"/>
      </w:pPr>
      <w:r>
        <w:t>（6）财务制度健全性</w:t>
      </w:r>
    </w:p>
    <w:p w14:paraId="6B5C7FC9">
      <w:pPr>
        <w:ind w:firstLine="640"/>
      </w:pPr>
      <w:r>
        <w:t>财务制度健全性权重3.00分，实际得分3.00分，得分率100.00%。制定《绵竹市城市公共汽车营运补贴资金监督管理办法（实行）》（竹府办〔2019〕7号），合理界定城市公共汽车营运补贴范围和补贴标准，故未扣分。</w:t>
      </w:r>
    </w:p>
    <w:p w14:paraId="55BC4638">
      <w:pPr>
        <w:ind w:firstLine="640"/>
      </w:pPr>
      <w:r>
        <w:t>（7）资金使用合规性</w:t>
      </w:r>
    </w:p>
    <w:p w14:paraId="68B16F38">
      <w:pPr>
        <w:ind w:firstLine="640"/>
      </w:pPr>
      <w:r>
        <w:t>资金使用合规性权重4.00分，实际得分4.00分，得分率100.00%。资金使用符合国家财经法规和财务管理制度以及有关专项资金管理办法的规定；资金的拨付有完整的审批程序和手续，未发现截留、挤占、挪用、虚列支出等情况，故未扣分。</w:t>
      </w:r>
    </w:p>
    <w:p w14:paraId="664DC8A0">
      <w:pPr>
        <w:ind w:firstLine="640"/>
      </w:pPr>
      <w:r>
        <w:t>（8）财务监控到位性</w:t>
      </w:r>
    </w:p>
    <w:p w14:paraId="57C9020A">
      <w:pPr>
        <w:ind w:firstLine="640"/>
      </w:pPr>
      <w:r>
        <w:t>财务监控到位性权重3.00分，实际得分3.00分，得分率100.00%。调研过程中未发现财务监控不到位的情况，故未扣分。</w:t>
      </w:r>
    </w:p>
    <w:p w14:paraId="1E4927FF">
      <w:pPr>
        <w:pStyle w:val="4"/>
        <w:ind w:firstLine="643"/>
        <w:rPr>
          <w:rFonts w:cs="Times New Roman"/>
        </w:rPr>
      </w:pPr>
      <w:bookmarkStart w:id="22" w:name="_Toc78668814"/>
      <w:r>
        <w:rPr>
          <w:rFonts w:cs="Times New Roman"/>
        </w:rPr>
        <w:t>3. 政策效果指标分析</w:t>
      </w:r>
      <w:bookmarkEnd w:id="22"/>
    </w:p>
    <w:p w14:paraId="6547C7CD">
      <w:pPr>
        <w:ind w:firstLine="640"/>
        <w:rPr>
          <w:rFonts w:cs="Times New Roman"/>
        </w:rPr>
      </w:pPr>
      <w:r>
        <w:rPr>
          <w:rFonts w:cs="Times New Roman"/>
        </w:rPr>
        <w:t>在政策效果指标上，设置了营运里程数、营运载客量（仅免费人群）、站台信息准确性、千公里营运成本节约率、定制公交服务体系、公交政策性优惠情况、清洁能源和新能源城市公交车辆比例、主营业务收入、营业外收入、乘客满意度10个三级指标。</w:t>
      </w:r>
    </w:p>
    <w:p w14:paraId="6F8AC4C7">
      <w:pPr>
        <w:ind w:firstLine="0" w:firstLineChars="0"/>
        <w:jc w:val="center"/>
        <w:rPr>
          <w:rFonts w:eastAsia="幼圆" w:cs="Times New Roman"/>
          <w:b/>
          <w:sz w:val="28"/>
          <w:szCs w:val="28"/>
        </w:rPr>
      </w:pPr>
      <w:r>
        <w:rPr>
          <w:rFonts w:eastAsia="幼圆" w:cs="Times New Roman"/>
          <w:b/>
          <w:sz w:val="28"/>
          <w:szCs w:val="28"/>
        </w:rPr>
        <w:t>附表 政策效果指标得分情况</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7"/>
        <w:gridCol w:w="1313"/>
        <w:gridCol w:w="3203"/>
        <w:gridCol w:w="873"/>
        <w:gridCol w:w="876"/>
        <w:gridCol w:w="1100"/>
      </w:tblGrid>
      <w:tr w14:paraId="0DC72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blHeader/>
          <w:jc w:val="center"/>
        </w:trPr>
        <w:tc>
          <w:tcPr>
            <w:tcW w:w="679" w:type="pct"/>
            <w:shd w:val="clear" w:color="auto" w:fill="00516B"/>
            <w:vAlign w:val="center"/>
          </w:tcPr>
          <w:p w14:paraId="0354E8B4">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一级指标</w:t>
            </w:r>
          </w:p>
        </w:tc>
        <w:tc>
          <w:tcPr>
            <w:tcW w:w="770" w:type="pct"/>
            <w:shd w:val="clear" w:color="auto" w:fill="00516B"/>
            <w:vAlign w:val="center"/>
          </w:tcPr>
          <w:p w14:paraId="6B6FE175">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二级指标</w:t>
            </w:r>
          </w:p>
        </w:tc>
        <w:tc>
          <w:tcPr>
            <w:tcW w:w="1879" w:type="pct"/>
            <w:shd w:val="clear" w:color="auto" w:fill="00516B"/>
            <w:vAlign w:val="center"/>
          </w:tcPr>
          <w:p w14:paraId="3E293BD2">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三级指标</w:t>
            </w:r>
          </w:p>
        </w:tc>
        <w:tc>
          <w:tcPr>
            <w:tcW w:w="512" w:type="pct"/>
            <w:shd w:val="clear" w:color="auto" w:fill="00516B"/>
            <w:vAlign w:val="center"/>
          </w:tcPr>
          <w:p w14:paraId="4EE8AA80">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权重</w:t>
            </w:r>
          </w:p>
        </w:tc>
        <w:tc>
          <w:tcPr>
            <w:tcW w:w="514" w:type="pct"/>
            <w:shd w:val="clear" w:color="auto" w:fill="00516B"/>
            <w:vAlign w:val="center"/>
          </w:tcPr>
          <w:p w14:paraId="4EE1C7B7">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得分</w:t>
            </w:r>
          </w:p>
        </w:tc>
        <w:tc>
          <w:tcPr>
            <w:tcW w:w="645" w:type="pct"/>
            <w:shd w:val="clear" w:color="auto" w:fill="00516B"/>
            <w:vAlign w:val="center"/>
          </w:tcPr>
          <w:p w14:paraId="46B7A1CE">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得分率</w:t>
            </w:r>
          </w:p>
        </w:tc>
      </w:tr>
      <w:tr w14:paraId="41A41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679" w:type="pct"/>
            <w:vMerge w:val="restart"/>
            <w:shd w:val="clear" w:color="auto" w:fill="auto"/>
            <w:vAlign w:val="center"/>
          </w:tcPr>
          <w:p w14:paraId="3679AB6C">
            <w:pPr>
              <w:widowControl/>
              <w:spacing w:after="217" w:afterLines="50" w:line="320" w:lineRule="exact"/>
              <w:ind w:firstLine="0" w:firstLineChars="0"/>
              <w:rPr>
                <w:rFonts w:eastAsia="宋体" w:cs="Times New Roman"/>
                <w:kern w:val="0"/>
                <w:sz w:val="20"/>
                <w:szCs w:val="20"/>
              </w:rPr>
            </w:pPr>
            <w:r>
              <w:rPr>
                <w:rFonts w:eastAsia="宋体" w:cs="Times New Roman"/>
                <w:kern w:val="0"/>
                <w:sz w:val="20"/>
                <w:szCs w:val="20"/>
              </w:rPr>
              <w:t>政策效果</w:t>
            </w:r>
          </w:p>
          <w:p w14:paraId="74B212D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（63</w:t>
            </w:r>
            <w:r>
              <w:rPr>
                <w:rFonts w:hint="eastAsia" w:eastAsia="宋体" w:cs="Times New Roman"/>
                <w:kern w:val="0"/>
                <w:sz w:val="20"/>
                <w:szCs w:val="20"/>
              </w:rPr>
              <w:t>.00</w:t>
            </w:r>
            <w:r>
              <w:rPr>
                <w:rFonts w:eastAsia="宋体" w:cs="Times New Roman"/>
                <w:kern w:val="0"/>
                <w:sz w:val="20"/>
                <w:szCs w:val="20"/>
              </w:rPr>
              <w:t>分）</w:t>
            </w:r>
          </w:p>
        </w:tc>
        <w:tc>
          <w:tcPr>
            <w:tcW w:w="770" w:type="pct"/>
            <w:vMerge w:val="restart"/>
            <w:shd w:val="clear" w:color="auto" w:fill="auto"/>
            <w:vAlign w:val="center"/>
          </w:tcPr>
          <w:p w14:paraId="6E8AB72C">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产出数量</w:t>
            </w:r>
          </w:p>
        </w:tc>
        <w:tc>
          <w:tcPr>
            <w:tcW w:w="1879" w:type="pct"/>
            <w:vAlign w:val="center"/>
          </w:tcPr>
          <w:p w14:paraId="5AA1FBCF">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营运里程数</w:t>
            </w:r>
          </w:p>
        </w:tc>
        <w:tc>
          <w:tcPr>
            <w:tcW w:w="512" w:type="pct"/>
            <w:shd w:val="clear" w:color="auto" w:fill="auto"/>
            <w:vAlign w:val="center"/>
          </w:tcPr>
          <w:p w14:paraId="13461289">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8.00</w:t>
            </w:r>
          </w:p>
        </w:tc>
        <w:tc>
          <w:tcPr>
            <w:tcW w:w="514" w:type="pct"/>
            <w:vAlign w:val="center"/>
          </w:tcPr>
          <w:p w14:paraId="0241DF8D">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7.58</w:t>
            </w:r>
          </w:p>
        </w:tc>
        <w:tc>
          <w:tcPr>
            <w:tcW w:w="645" w:type="pct"/>
            <w:vAlign w:val="center"/>
          </w:tcPr>
          <w:p w14:paraId="3429C62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94.71%</w:t>
            </w:r>
          </w:p>
        </w:tc>
      </w:tr>
      <w:tr w14:paraId="098DD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679" w:type="pct"/>
            <w:vMerge w:val="continue"/>
            <w:vAlign w:val="center"/>
          </w:tcPr>
          <w:p w14:paraId="501E5C01">
            <w:pPr>
              <w:widowControl/>
              <w:spacing w:after="217" w:afterLines="50" w:line="320" w:lineRule="exact"/>
              <w:ind w:firstLine="0" w:firstLineChars="0"/>
              <w:jc w:val="left"/>
              <w:rPr>
                <w:rFonts w:eastAsia="宋体" w:cs="Times New Roman"/>
                <w:kern w:val="0"/>
                <w:sz w:val="20"/>
                <w:szCs w:val="20"/>
              </w:rPr>
            </w:pPr>
          </w:p>
        </w:tc>
        <w:tc>
          <w:tcPr>
            <w:tcW w:w="770" w:type="pct"/>
            <w:vMerge w:val="continue"/>
            <w:vAlign w:val="center"/>
          </w:tcPr>
          <w:p w14:paraId="37BC72F2">
            <w:pPr>
              <w:widowControl/>
              <w:spacing w:after="217" w:afterLines="50" w:line="320" w:lineRule="exact"/>
              <w:ind w:firstLine="0" w:firstLineChars="0"/>
              <w:jc w:val="left"/>
              <w:rPr>
                <w:rFonts w:eastAsia="宋体" w:cs="Times New Roman"/>
                <w:kern w:val="0"/>
                <w:sz w:val="20"/>
                <w:szCs w:val="20"/>
              </w:rPr>
            </w:pPr>
          </w:p>
        </w:tc>
        <w:tc>
          <w:tcPr>
            <w:tcW w:w="1879" w:type="pct"/>
            <w:vAlign w:val="center"/>
          </w:tcPr>
          <w:p w14:paraId="53928CEC">
            <w:pPr>
              <w:widowControl/>
              <w:spacing w:after="217" w:afterLines="50" w:line="320" w:lineRule="exact"/>
              <w:ind w:firstLine="0" w:firstLineChars="0"/>
              <w:jc w:val="center"/>
              <w:rPr>
                <w:rFonts w:eastAsia="宋体" w:cs="Times New Roman"/>
                <w:kern w:val="0"/>
                <w:sz w:val="20"/>
                <w:szCs w:val="20"/>
              </w:rPr>
            </w:pPr>
            <w:bookmarkStart w:id="23" w:name="_Hlk76372269"/>
            <w:r>
              <w:rPr>
                <w:rFonts w:eastAsia="宋体" w:cs="Times New Roman"/>
                <w:kern w:val="0"/>
                <w:sz w:val="20"/>
                <w:szCs w:val="20"/>
              </w:rPr>
              <w:t>营运载客量（仅免费人群）</w:t>
            </w:r>
            <w:bookmarkEnd w:id="23"/>
          </w:p>
        </w:tc>
        <w:tc>
          <w:tcPr>
            <w:tcW w:w="512" w:type="pct"/>
            <w:shd w:val="clear" w:color="auto" w:fill="auto"/>
            <w:vAlign w:val="center"/>
          </w:tcPr>
          <w:p w14:paraId="38351FDD">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7.00</w:t>
            </w:r>
          </w:p>
        </w:tc>
        <w:tc>
          <w:tcPr>
            <w:tcW w:w="514" w:type="pct"/>
            <w:vAlign w:val="center"/>
          </w:tcPr>
          <w:p w14:paraId="69142ADD">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6.66</w:t>
            </w:r>
          </w:p>
        </w:tc>
        <w:tc>
          <w:tcPr>
            <w:tcW w:w="645" w:type="pct"/>
            <w:vAlign w:val="center"/>
          </w:tcPr>
          <w:p w14:paraId="45BD485C">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95.14%</w:t>
            </w:r>
          </w:p>
        </w:tc>
      </w:tr>
      <w:tr w14:paraId="1D29E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79" w:type="pct"/>
            <w:vMerge w:val="continue"/>
            <w:vAlign w:val="center"/>
          </w:tcPr>
          <w:p w14:paraId="2173673A">
            <w:pPr>
              <w:widowControl/>
              <w:spacing w:after="217" w:afterLines="50" w:line="320" w:lineRule="exact"/>
              <w:ind w:firstLine="0" w:firstLineChars="0"/>
              <w:jc w:val="left"/>
              <w:rPr>
                <w:rFonts w:eastAsia="宋体" w:cs="Times New Roman"/>
                <w:kern w:val="0"/>
                <w:sz w:val="20"/>
                <w:szCs w:val="20"/>
              </w:rPr>
            </w:pPr>
          </w:p>
        </w:tc>
        <w:tc>
          <w:tcPr>
            <w:tcW w:w="770" w:type="pct"/>
            <w:shd w:val="clear" w:color="auto" w:fill="auto"/>
            <w:vAlign w:val="center"/>
          </w:tcPr>
          <w:p w14:paraId="634BE4C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产出质量</w:t>
            </w:r>
          </w:p>
        </w:tc>
        <w:tc>
          <w:tcPr>
            <w:tcW w:w="1879" w:type="pct"/>
            <w:vAlign w:val="center"/>
          </w:tcPr>
          <w:p w14:paraId="71937AE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站台信息准确性</w:t>
            </w:r>
          </w:p>
        </w:tc>
        <w:tc>
          <w:tcPr>
            <w:tcW w:w="512" w:type="pct"/>
            <w:shd w:val="clear" w:color="auto" w:fill="auto"/>
            <w:vAlign w:val="center"/>
          </w:tcPr>
          <w:p w14:paraId="41DFECD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14" w:type="pct"/>
            <w:vAlign w:val="center"/>
          </w:tcPr>
          <w:p w14:paraId="468E52B8">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645" w:type="pct"/>
            <w:vAlign w:val="center"/>
          </w:tcPr>
          <w:p w14:paraId="5D08296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14:paraId="39F4E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679" w:type="pct"/>
            <w:vMerge w:val="continue"/>
            <w:vAlign w:val="center"/>
          </w:tcPr>
          <w:p w14:paraId="6A8878A0">
            <w:pPr>
              <w:widowControl/>
              <w:spacing w:after="217" w:afterLines="50" w:line="320" w:lineRule="exact"/>
              <w:ind w:firstLine="0" w:firstLineChars="0"/>
              <w:jc w:val="left"/>
              <w:rPr>
                <w:rFonts w:eastAsia="宋体" w:cs="Times New Roman"/>
                <w:kern w:val="0"/>
                <w:sz w:val="20"/>
                <w:szCs w:val="20"/>
              </w:rPr>
            </w:pPr>
          </w:p>
        </w:tc>
        <w:tc>
          <w:tcPr>
            <w:tcW w:w="770" w:type="pct"/>
            <w:shd w:val="clear" w:color="auto" w:fill="auto"/>
            <w:vAlign w:val="center"/>
          </w:tcPr>
          <w:p w14:paraId="10889122">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产出成本</w:t>
            </w:r>
          </w:p>
        </w:tc>
        <w:tc>
          <w:tcPr>
            <w:tcW w:w="1879" w:type="pct"/>
            <w:vAlign w:val="center"/>
          </w:tcPr>
          <w:p w14:paraId="62347441">
            <w:pPr>
              <w:widowControl/>
              <w:spacing w:after="217" w:afterLines="50" w:line="320" w:lineRule="exact"/>
              <w:ind w:firstLine="0" w:firstLineChars="0"/>
              <w:jc w:val="center"/>
              <w:rPr>
                <w:rFonts w:eastAsia="宋体" w:cs="Times New Roman"/>
                <w:kern w:val="0"/>
                <w:sz w:val="20"/>
                <w:szCs w:val="20"/>
              </w:rPr>
            </w:pPr>
            <w:bookmarkStart w:id="24" w:name="_Hlk76372284"/>
            <w:r>
              <w:rPr>
                <w:rFonts w:eastAsia="宋体" w:cs="Times New Roman"/>
                <w:kern w:val="0"/>
                <w:sz w:val="20"/>
                <w:szCs w:val="20"/>
              </w:rPr>
              <w:t>千公里营运成本节约率</w:t>
            </w:r>
            <w:bookmarkEnd w:id="24"/>
          </w:p>
        </w:tc>
        <w:tc>
          <w:tcPr>
            <w:tcW w:w="512" w:type="pct"/>
            <w:shd w:val="clear" w:color="auto" w:fill="auto"/>
            <w:vAlign w:val="center"/>
          </w:tcPr>
          <w:p w14:paraId="115CD694">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8.00</w:t>
            </w:r>
          </w:p>
        </w:tc>
        <w:tc>
          <w:tcPr>
            <w:tcW w:w="514" w:type="pct"/>
            <w:vAlign w:val="center"/>
          </w:tcPr>
          <w:p w14:paraId="31A0B3FF">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8.00</w:t>
            </w:r>
          </w:p>
        </w:tc>
        <w:tc>
          <w:tcPr>
            <w:tcW w:w="645" w:type="pct"/>
            <w:vAlign w:val="center"/>
          </w:tcPr>
          <w:p w14:paraId="7D261B5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14:paraId="1F40A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679" w:type="pct"/>
            <w:vMerge w:val="continue"/>
            <w:shd w:val="clear" w:color="auto" w:fill="auto"/>
            <w:vAlign w:val="center"/>
          </w:tcPr>
          <w:p w14:paraId="04659022">
            <w:pPr>
              <w:widowControl/>
              <w:spacing w:after="217" w:afterLines="50" w:line="320" w:lineRule="exact"/>
              <w:ind w:firstLine="0" w:firstLineChars="0"/>
              <w:jc w:val="center"/>
              <w:rPr>
                <w:rFonts w:eastAsia="宋体" w:cs="Times New Roman"/>
                <w:kern w:val="0"/>
                <w:sz w:val="20"/>
                <w:szCs w:val="20"/>
              </w:rPr>
            </w:pPr>
          </w:p>
        </w:tc>
        <w:tc>
          <w:tcPr>
            <w:tcW w:w="770" w:type="pct"/>
            <w:vMerge w:val="restart"/>
            <w:shd w:val="clear" w:color="auto" w:fill="auto"/>
            <w:vAlign w:val="center"/>
          </w:tcPr>
          <w:p w14:paraId="47570B45">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社会效益</w:t>
            </w:r>
          </w:p>
        </w:tc>
        <w:tc>
          <w:tcPr>
            <w:tcW w:w="1879" w:type="pct"/>
            <w:vAlign w:val="center"/>
          </w:tcPr>
          <w:p w14:paraId="71582244">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定制公交服务体系</w:t>
            </w:r>
          </w:p>
        </w:tc>
        <w:tc>
          <w:tcPr>
            <w:tcW w:w="512" w:type="pct"/>
            <w:shd w:val="clear" w:color="auto" w:fill="auto"/>
            <w:vAlign w:val="center"/>
          </w:tcPr>
          <w:p w14:paraId="5D27807D">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14" w:type="pct"/>
            <w:vAlign w:val="center"/>
          </w:tcPr>
          <w:p w14:paraId="4F7929E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4.00</w:t>
            </w:r>
          </w:p>
        </w:tc>
        <w:tc>
          <w:tcPr>
            <w:tcW w:w="645" w:type="pct"/>
            <w:vAlign w:val="center"/>
          </w:tcPr>
          <w:p w14:paraId="764A663A">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80.00%</w:t>
            </w:r>
          </w:p>
        </w:tc>
      </w:tr>
      <w:tr w14:paraId="1EA8E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79" w:type="pct"/>
            <w:vMerge w:val="continue"/>
            <w:vAlign w:val="center"/>
          </w:tcPr>
          <w:p w14:paraId="0E2B1DE4">
            <w:pPr>
              <w:widowControl/>
              <w:spacing w:after="217" w:afterLines="50" w:line="320" w:lineRule="exact"/>
              <w:ind w:firstLine="0" w:firstLineChars="0"/>
              <w:jc w:val="left"/>
              <w:rPr>
                <w:rFonts w:eastAsia="宋体" w:cs="Times New Roman"/>
                <w:kern w:val="0"/>
                <w:sz w:val="20"/>
                <w:szCs w:val="20"/>
              </w:rPr>
            </w:pPr>
          </w:p>
        </w:tc>
        <w:tc>
          <w:tcPr>
            <w:tcW w:w="770" w:type="pct"/>
            <w:vMerge w:val="continue"/>
            <w:vAlign w:val="center"/>
          </w:tcPr>
          <w:p w14:paraId="272679AA">
            <w:pPr>
              <w:widowControl/>
              <w:spacing w:after="217" w:afterLines="50" w:line="320" w:lineRule="exact"/>
              <w:ind w:firstLine="0" w:firstLineChars="0"/>
              <w:jc w:val="left"/>
              <w:rPr>
                <w:rFonts w:eastAsia="宋体" w:cs="Times New Roman"/>
                <w:kern w:val="0"/>
                <w:sz w:val="20"/>
                <w:szCs w:val="20"/>
              </w:rPr>
            </w:pPr>
          </w:p>
        </w:tc>
        <w:tc>
          <w:tcPr>
            <w:tcW w:w="1879" w:type="pct"/>
            <w:vAlign w:val="center"/>
          </w:tcPr>
          <w:p w14:paraId="0A162D54">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公交政策性优惠情况</w:t>
            </w:r>
          </w:p>
        </w:tc>
        <w:tc>
          <w:tcPr>
            <w:tcW w:w="512" w:type="pct"/>
            <w:shd w:val="clear" w:color="auto" w:fill="auto"/>
            <w:vAlign w:val="center"/>
          </w:tcPr>
          <w:p w14:paraId="0FD59655">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14" w:type="pct"/>
            <w:vAlign w:val="center"/>
          </w:tcPr>
          <w:p w14:paraId="0FF4F1C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4.76</w:t>
            </w:r>
          </w:p>
        </w:tc>
        <w:tc>
          <w:tcPr>
            <w:tcW w:w="645" w:type="pct"/>
            <w:vAlign w:val="center"/>
          </w:tcPr>
          <w:p w14:paraId="42ED24C8">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95.20%</w:t>
            </w:r>
          </w:p>
        </w:tc>
      </w:tr>
      <w:tr w14:paraId="1CE47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679" w:type="pct"/>
            <w:vMerge w:val="continue"/>
            <w:vAlign w:val="center"/>
          </w:tcPr>
          <w:p w14:paraId="50E464B4">
            <w:pPr>
              <w:widowControl/>
              <w:spacing w:after="217" w:afterLines="50" w:line="320" w:lineRule="exact"/>
              <w:ind w:firstLine="0" w:firstLineChars="0"/>
              <w:jc w:val="left"/>
              <w:rPr>
                <w:rFonts w:eastAsia="宋体" w:cs="Times New Roman"/>
                <w:kern w:val="0"/>
                <w:sz w:val="20"/>
                <w:szCs w:val="20"/>
              </w:rPr>
            </w:pPr>
          </w:p>
        </w:tc>
        <w:tc>
          <w:tcPr>
            <w:tcW w:w="770" w:type="pct"/>
            <w:shd w:val="clear" w:color="auto" w:fill="auto"/>
            <w:vAlign w:val="center"/>
          </w:tcPr>
          <w:p w14:paraId="64F836F6">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生态效益</w:t>
            </w:r>
          </w:p>
        </w:tc>
        <w:tc>
          <w:tcPr>
            <w:tcW w:w="1879" w:type="pct"/>
            <w:vAlign w:val="center"/>
          </w:tcPr>
          <w:p w14:paraId="216178F3">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清洁能源和新能源城市公交车辆比例</w:t>
            </w:r>
          </w:p>
        </w:tc>
        <w:tc>
          <w:tcPr>
            <w:tcW w:w="512" w:type="pct"/>
            <w:shd w:val="clear" w:color="auto" w:fill="auto"/>
            <w:vAlign w:val="center"/>
          </w:tcPr>
          <w:p w14:paraId="3369C63D">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14" w:type="pct"/>
            <w:vAlign w:val="center"/>
          </w:tcPr>
          <w:p w14:paraId="7BE6E255">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645" w:type="pct"/>
            <w:vAlign w:val="center"/>
          </w:tcPr>
          <w:p w14:paraId="6385BE5A">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14:paraId="274D4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79" w:type="pct"/>
            <w:vMerge w:val="continue"/>
            <w:vAlign w:val="center"/>
          </w:tcPr>
          <w:p w14:paraId="049E4D51">
            <w:pPr>
              <w:widowControl/>
              <w:spacing w:after="217" w:afterLines="50" w:line="320" w:lineRule="exact"/>
              <w:ind w:firstLine="0" w:firstLineChars="0"/>
              <w:jc w:val="left"/>
              <w:rPr>
                <w:rFonts w:eastAsia="宋体" w:cs="Times New Roman"/>
                <w:kern w:val="0"/>
                <w:sz w:val="20"/>
                <w:szCs w:val="20"/>
              </w:rPr>
            </w:pPr>
          </w:p>
        </w:tc>
        <w:tc>
          <w:tcPr>
            <w:tcW w:w="770" w:type="pct"/>
            <w:vMerge w:val="restart"/>
            <w:shd w:val="clear" w:color="auto" w:fill="auto"/>
            <w:vAlign w:val="center"/>
          </w:tcPr>
          <w:p w14:paraId="4808DDFD">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可持续影响</w:t>
            </w:r>
          </w:p>
        </w:tc>
        <w:tc>
          <w:tcPr>
            <w:tcW w:w="1879" w:type="pct"/>
            <w:vAlign w:val="center"/>
          </w:tcPr>
          <w:p w14:paraId="17390A48">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主营业务收入</w:t>
            </w:r>
          </w:p>
        </w:tc>
        <w:tc>
          <w:tcPr>
            <w:tcW w:w="512" w:type="pct"/>
            <w:shd w:val="clear" w:color="auto" w:fill="auto"/>
            <w:vAlign w:val="center"/>
          </w:tcPr>
          <w:p w14:paraId="024C17B2">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14" w:type="pct"/>
            <w:vAlign w:val="center"/>
          </w:tcPr>
          <w:p w14:paraId="3C35A93C">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645" w:type="pct"/>
            <w:vAlign w:val="center"/>
          </w:tcPr>
          <w:p w14:paraId="71AA24A9">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14:paraId="69B14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679" w:type="pct"/>
            <w:vMerge w:val="continue"/>
            <w:vAlign w:val="center"/>
          </w:tcPr>
          <w:p w14:paraId="5B4D9B36">
            <w:pPr>
              <w:widowControl/>
              <w:spacing w:after="217" w:afterLines="50" w:line="320" w:lineRule="exact"/>
              <w:ind w:firstLine="0" w:firstLineChars="0"/>
              <w:jc w:val="left"/>
              <w:rPr>
                <w:rFonts w:eastAsia="宋体" w:cs="Times New Roman"/>
                <w:kern w:val="0"/>
                <w:sz w:val="20"/>
                <w:szCs w:val="20"/>
              </w:rPr>
            </w:pPr>
          </w:p>
        </w:tc>
        <w:tc>
          <w:tcPr>
            <w:tcW w:w="770" w:type="pct"/>
            <w:vMerge w:val="continue"/>
            <w:vAlign w:val="center"/>
          </w:tcPr>
          <w:p w14:paraId="4B485E34">
            <w:pPr>
              <w:widowControl/>
              <w:spacing w:after="217" w:afterLines="50" w:line="320" w:lineRule="exact"/>
              <w:ind w:firstLine="0" w:firstLineChars="0"/>
              <w:jc w:val="left"/>
              <w:rPr>
                <w:rFonts w:eastAsia="宋体" w:cs="Times New Roman"/>
                <w:kern w:val="0"/>
                <w:sz w:val="20"/>
                <w:szCs w:val="20"/>
              </w:rPr>
            </w:pPr>
          </w:p>
        </w:tc>
        <w:tc>
          <w:tcPr>
            <w:tcW w:w="1879" w:type="pct"/>
            <w:vAlign w:val="center"/>
          </w:tcPr>
          <w:p w14:paraId="3252C6D6">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营业外收入</w:t>
            </w:r>
          </w:p>
        </w:tc>
        <w:tc>
          <w:tcPr>
            <w:tcW w:w="512" w:type="pct"/>
            <w:shd w:val="clear" w:color="auto" w:fill="auto"/>
            <w:vAlign w:val="center"/>
          </w:tcPr>
          <w:p w14:paraId="2CA2C055">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14" w:type="pct"/>
            <w:vAlign w:val="center"/>
          </w:tcPr>
          <w:p w14:paraId="7AB94661">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645" w:type="pct"/>
            <w:vAlign w:val="center"/>
          </w:tcPr>
          <w:p w14:paraId="30CDFEB6">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14:paraId="58D6C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679" w:type="pct"/>
            <w:vMerge w:val="continue"/>
            <w:vAlign w:val="center"/>
          </w:tcPr>
          <w:p w14:paraId="523760FD">
            <w:pPr>
              <w:widowControl/>
              <w:spacing w:after="217" w:afterLines="50" w:line="320" w:lineRule="exact"/>
              <w:ind w:firstLine="0" w:firstLineChars="0"/>
              <w:jc w:val="left"/>
              <w:rPr>
                <w:rFonts w:eastAsia="宋体" w:cs="Times New Roman"/>
                <w:kern w:val="0"/>
                <w:sz w:val="20"/>
                <w:szCs w:val="20"/>
              </w:rPr>
            </w:pPr>
          </w:p>
        </w:tc>
        <w:tc>
          <w:tcPr>
            <w:tcW w:w="770" w:type="pct"/>
            <w:shd w:val="clear" w:color="auto" w:fill="auto"/>
            <w:vAlign w:val="center"/>
          </w:tcPr>
          <w:p w14:paraId="3190BC7A">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城市公共交通满意度</w:t>
            </w:r>
          </w:p>
        </w:tc>
        <w:tc>
          <w:tcPr>
            <w:tcW w:w="1879" w:type="pct"/>
            <w:vAlign w:val="center"/>
          </w:tcPr>
          <w:p w14:paraId="189B63BF">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乘客满意度</w:t>
            </w:r>
          </w:p>
        </w:tc>
        <w:tc>
          <w:tcPr>
            <w:tcW w:w="512" w:type="pct"/>
            <w:shd w:val="clear" w:color="auto" w:fill="auto"/>
            <w:vAlign w:val="center"/>
          </w:tcPr>
          <w:p w14:paraId="1C4E5E8C">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w:t>
            </w:r>
          </w:p>
        </w:tc>
        <w:tc>
          <w:tcPr>
            <w:tcW w:w="514" w:type="pct"/>
            <w:vAlign w:val="center"/>
          </w:tcPr>
          <w:p w14:paraId="058DD144">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8.46</w:t>
            </w:r>
          </w:p>
        </w:tc>
        <w:tc>
          <w:tcPr>
            <w:tcW w:w="645" w:type="pct"/>
            <w:vAlign w:val="center"/>
          </w:tcPr>
          <w:p w14:paraId="2CA1DE38">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84.60%</w:t>
            </w:r>
          </w:p>
        </w:tc>
      </w:tr>
    </w:tbl>
    <w:p w14:paraId="536461D5">
      <w:pPr>
        <w:ind w:firstLine="640"/>
      </w:pPr>
    </w:p>
    <w:p w14:paraId="421A5981">
      <w:pPr>
        <w:ind w:firstLine="640"/>
      </w:pPr>
      <w:r>
        <w:t>（1）营运里程数</w:t>
      </w:r>
    </w:p>
    <w:p w14:paraId="707C4371">
      <w:pPr>
        <w:ind w:firstLine="640"/>
      </w:pPr>
      <w:r>
        <w:t>营运里程数权重8.00分，实际得分7.58分，得分率94.71%。根据《2020年度城市公交运营补贴政策支出绩效目标基本情况表》，2020年度绵竹市计划城市公交车运营总里程为634万公里，2020年绵竹市宏运公司实际行驶里程538.26万公里，调整后2020年公里数约为600.82公里</w:t>
      </w:r>
      <w:r>
        <w:rPr>
          <w:rStyle w:val="24"/>
          <w:rFonts w:cs="Times New Roman"/>
          <w:kern w:val="0"/>
          <w:szCs w:val="24"/>
        </w:rPr>
        <w:footnoteReference w:id="2"/>
      </w:r>
      <w:r>
        <w:t>，计算公式为：600.82/634*8*100%=7.58分</w:t>
      </w:r>
      <w:r>
        <w:rPr>
          <w:rFonts w:hint="eastAsia"/>
        </w:rPr>
        <w:t>，故扣0</w:t>
      </w:r>
      <w:r>
        <w:t>.42</w:t>
      </w:r>
      <w:r>
        <w:rPr>
          <w:rFonts w:hint="eastAsia"/>
        </w:rPr>
        <w:t>分</w:t>
      </w:r>
      <w:r>
        <w:t>。</w:t>
      </w:r>
    </w:p>
    <w:p w14:paraId="454B2B0C">
      <w:pPr>
        <w:ind w:firstLine="640"/>
        <w:rPr>
          <w:rFonts w:cs="Times New Roman"/>
        </w:rPr>
      </w:pPr>
      <w:r>
        <w:rPr>
          <w:rFonts w:cs="Times New Roman"/>
        </w:rPr>
        <w:t>（2）营运载客量（仅免费人群）</w:t>
      </w:r>
    </w:p>
    <w:p w14:paraId="25B5E04D">
      <w:pPr>
        <w:ind w:firstLine="640"/>
        <w:rPr>
          <w:rFonts w:cs="Times New Roman"/>
        </w:rPr>
      </w:pPr>
      <w:r>
        <w:rPr>
          <w:rFonts w:cs="Times New Roman"/>
        </w:rPr>
        <w:t>营运载客量（仅免费人群）权重7.00分，实际得分6.66分，得分率95.14%。2020年免费刷卡人次约为2719885人，2019年免费刷卡人次为2859166人，由此可见运载客运量持续下降，计算公式2719885/2859166*7*100%=6.66</w:t>
      </w:r>
      <w:r>
        <w:rPr>
          <w:rFonts w:hint="eastAsia" w:cs="Times New Roman"/>
        </w:rPr>
        <w:t>，故扣0</w:t>
      </w:r>
      <w:r>
        <w:rPr>
          <w:rFonts w:cs="Times New Roman"/>
        </w:rPr>
        <w:t>.34</w:t>
      </w:r>
      <w:r>
        <w:rPr>
          <w:rFonts w:hint="eastAsia" w:cs="Times New Roman"/>
        </w:rPr>
        <w:t>分</w:t>
      </w:r>
      <w:r>
        <w:rPr>
          <w:rFonts w:cs="Times New Roman"/>
        </w:rPr>
        <w:t>。</w:t>
      </w:r>
    </w:p>
    <w:p w14:paraId="5681BA89">
      <w:pPr>
        <w:ind w:firstLine="640"/>
        <w:rPr>
          <w:rFonts w:cs="Times New Roman"/>
        </w:rPr>
      </w:pPr>
      <w:r>
        <w:rPr>
          <w:rFonts w:cs="Times New Roman"/>
        </w:rPr>
        <w:t>（3）站台信息准确性</w:t>
      </w:r>
    </w:p>
    <w:p w14:paraId="3D577D75">
      <w:pPr>
        <w:ind w:firstLine="640"/>
        <w:rPr>
          <w:rFonts w:cs="Times New Roman"/>
        </w:rPr>
      </w:pPr>
      <w:r>
        <w:rPr>
          <w:rFonts w:cs="Times New Roman"/>
        </w:rPr>
        <w:t>站台信息准确性权重5.00分，实际得分5.00分，得分率100.00%。车辆信息到站时间准确，其他站台车辆线路信息基本准确。问卷调查中乘客普遍认为站台信息准确</w:t>
      </w:r>
      <w:r>
        <w:rPr>
          <w:rFonts w:hint="eastAsia" w:cs="Times New Roman"/>
        </w:rPr>
        <w:t>，故未扣分</w:t>
      </w:r>
      <w:r>
        <w:rPr>
          <w:rFonts w:cs="Times New Roman"/>
        </w:rPr>
        <w:t>。</w:t>
      </w:r>
    </w:p>
    <w:p w14:paraId="0AB07717">
      <w:pPr>
        <w:ind w:firstLine="640"/>
        <w:rPr>
          <w:rFonts w:cs="Times New Roman"/>
        </w:rPr>
      </w:pPr>
      <w:r>
        <w:rPr>
          <w:rFonts w:cs="Times New Roman"/>
        </w:rPr>
        <w:t>（4）千公里营运成本节约率</w:t>
      </w:r>
    </w:p>
    <w:p w14:paraId="37567ADA">
      <w:pPr>
        <w:ind w:firstLine="640"/>
        <w:rPr>
          <w:rFonts w:cs="Times New Roman"/>
        </w:rPr>
      </w:pPr>
      <w:r>
        <w:rPr>
          <w:rFonts w:cs="Times New Roman"/>
        </w:rPr>
        <w:t>千公里营运成本节约率权重8.00分，实际得分8.00分</w:t>
      </w:r>
      <w:r>
        <w:rPr>
          <w:rFonts w:hint="eastAsia" w:cs="Times New Roman"/>
        </w:rPr>
        <w:t>，得分率1</w:t>
      </w:r>
      <w:r>
        <w:rPr>
          <w:rFonts w:cs="Times New Roman"/>
        </w:rPr>
        <w:t>00.00</w:t>
      </w:r>
      <w:r>
        <w:rPr>
          <w:rFonts w:hint="eastAsia" w:cs="Times New Roman"/>
        </w:rPr>
        <w:t>%</w:t>
      </w:r>
      <w:r>
        <w:rPr>
          <w:rFonts w:cs="Times New Roman"/>
        </w:rPr>
        <w:t>。2020年绵竹公交全年完成总行驶里程6,008</w:t>
      </w:r>
      <w:r>
        <w:rPr>
          <w:rFonts w:hint="eastAsia" w:cs="Times New Roman"/>
        </w:rPr>
        <w:t>,</w:t>
      </w:r>
      <w:r>
        <w:rPr>
          <w:rFonts w:cs="Times New Roman"/>
        </w:rPr>
        <w:t>272.85公里</w:t>
      </w:r>
      <w:r>
        <w:rPr>
          <w:rStyle w:val="24"/>
          <w:rFonts w:cs="Times New Roman"/>
        </w:rPr>
        <w:footnoteReference w:id="3"/>
      </w:r>
      <w:r>
        <w:rPr>
          <w:rFonts w:cs="Times New Roman"/>
        </w:rPr>
        <w:t>，主营业务成本为15,160,541.27元，营运成本为2.52元/公里；2019年总行驶里程为5,836,485.49公里，主营业务成本为15,874,599.76元，营运成本为2.72元/公里。与2019年相比，2020年每公里营运成本同比</w:t>
      </w:r>
      <w:r>
        <w:rPr>
          <w:rFonts w:hint="eastAsia" w:cs="Times New Roman"/>
        </w:rPr>
        <w:t>下降7</w:t>
      </w:r>
      <w:r>
        <w:rPr>
          <w:rFonts w:cs="Times New Roman"/>
        </w:rPr>
        <w:t>.25%。因此，营运成本节约</w:t>
      </w:r>
      <w:r>
        <w:rPr>
          <w:rFonts w:hint="eastAsia" w:cs="Times New Roman"/>
        </w:rPr>
        <w:t>明显，故未扣</w:t>
      </w:r>
      <w:r>
        <w:rPr>
          <w:rFonts w:cs="Times New Roman"/>
        </w:rPr>
        <w:t>分。</w:t>
      </w:r>
    </w:p>
    <w:p w14:paraId="5AE9B4FC">
      <w:pPr>
        <w:ind w:firstLine="640"/>
        <w:rPr>
          <w:rFonts w:cs="Times New Roman"/>
        </w:rPr>
      </w:pPr>
      <w:r>
        <w:rPr>
          <w:rFonts w:cs="Times New Roman"/>
        </w:rPr>
        <w:t>（5）定制公交服务体系</w:t>
      </w:r>
    </w:p>
    <w:p w14:paraId="1FD932CB">
      <w:pPr>
        <w:ind w:firstLine="640"/>
        <w:rPr>
          <w:rFonts w:cs="Times New Roman"/>
        </w:rPr>
      </w:pPr>
      <w:r>
        <w:rPr>
          <w:rFonts w:cs="Times New Roman"/>
        </w:rPr>
        <w:t>定制公交服务体系</w:t>
      </w:r>
      <w:r>
        <w:rPr>
          <w:rFonts w:cs="Times New Roman"/>
          <w:kern w:val="0"/>
          <w:szCs w:val="24"/>
        </w:rPr>
        <w:t>权重5.00分，实际得分4.00分，得分率80.00%。调研发现，2020年宏运公交公司开设和发展职工通勤班车、校园专线、活动专线等，总体而言，绵竹公交定制化服务处于起步与发展阶段，但依旧存在夜班线路停运的问题，未能很好地适应乘客多元出行需求。故针对该指标，扣1.00分。</w:t>
      </w:r>
    </w:p>
    <w:p w14:paraId="534D81FE">
      <w:pPr>
        <w:ind w:firstLine="640"/>
        <w:rPr>
          <w:rFonts w:cs="Times New Roman"/>
        </w:rPr>
      </w:pPr>
      <w:r>
        <w:rPr>
          <w:rFonts w:cs="Times New Roman"/>
        </w:rPr>
        <w:t>（6）公交政策性优惠情况</w:t>
      </w:r>
    </w:p>
    <w:p w14:paraId="3E1FEBEC">
      <w:pPr>
        <w:ind w:firstLine="640"/>
        <w:rPr>
          <w:rFonts w:cs="Times New Roman"/>
        </w:rPr>
      </w:pPr>
      <w:r>
        <w:rPr>
          <w:rFonts w:cs="Times New Roman"/>
        </w:rPr>
        <w:t>公交政策性优惠情况</w:t>
      </w:r>
      <w:r>
        <w:rPr>
          <w:rFonts w:cs="Times New Roman"/>
          <w:kern w:val="0"/>
          <w:szCs w:val="24"/>
        </w:rPr>
        <w:t>权重5.00分，实际得分4.76分，得分率95.20%。2020年各类免费卡刷卡2434072人次，调整后免费卡刷卡人次为2719885（2020年1-3月数据参考2019年同期），比2019年同期下降4.78%，故扣0.24分。</w:t>
      </w:r>
    </w:p>
    <w:p w14:paraId="42627561">
      <w:pPr>
        <w:ind w:firstLine="640"/>
        <w:rPr>
          <w:rFonts w:cs="Times New Roman"/>
        </w:rPr>
      </w:pPr>
      <w:r>
        <w:rPr>
          <w:rFonts w:cs="Times New Roman"/>
        </w:rPr>
        <w:t>（7）清洁能源和新能源城市公交车辆比例</w:t>
      </w:r>
    </w:p>
    <w:p w14:paraId="35444E0D">
      <w:pPr>
        <w:ind w:firstLine="640"/>
        <w:rPr>
          <w:rFonts w:cs="Times New Roman"/>
        </w:rPr>
      </w:pPr>
      <w:r>
        <w:rPr>
          <w:rFonts w:cs="Times New Roman"/>
        </w:rPr>
        <w:t>清洁能源和新能源城市公交车辆比例</w:t>
      </w:r>
      <w:r>
        <w:rPr>
          <w:rFonts w:cs="Times New Roman"/>
          <w:kern w:val="0"/>
          <w:szCs w:val="24"/>
        </w:rPr>
        <w:t>权重5.00分，实际得分5.00分，得分率100.00%。绵竹市区现有公交车97辆，其中新能源车辆60辆，占比61.86%，超过标准值50%，故未扣分。</w:t>
      </w:r>
    </w:p>
    <w:p w14:paraId="37BAEB15">
      <w:pPr>
        <w:ind w:firstLine="640"/>
        <w:rPr>
          <w:rFonts w:cs="Times New Roman"/>
        </w:rPr>
      </w:pPr>
      <w:r>
        <w:rPr>
          <w:rFonts w:cs="Times New Roman"/>
        </w:rPr>
        <w:t>（8）主营业务收入</w:t>
      </w:r>
    </w:p>
    <w:p w14:paraId="6E776ECB">
      <w:pPr>
        <w:ind w:firstLine="640"/>
        <w:rPr>
          <w:rFonts w:cs="Times New Roman"/>
        </w:rPr>
      </w:pPr>
      <w:r>
        <w:rPr>
          <w:rFonts w:cs="Times New Roman"/>
        </w:rPr>
        <w:t>主营业务收入权重5.00分，实际得分5.00分，得分率100.00%。根据利润表，绵竹公交2020年主营业务收入为1461.92万元，2019年主营业务收入为1325.57万元，同比增长10.29%，故未扣分。</w:t>
      </w:r>
    </w:p>
    <w:p w14:paraId="1B72C470">
      <w:pPr>
        <w:ind w:firstLine="640"/>
        <w:rPr>
          <w:rFonts w:cs="Times New Roman"/>
        </w:rPr>
      </w:pPr>
      <w:r>
        <w:rPr>
          <w:rFonts w:cs="Times New Roman"/>
        </w:rPr>
        <w:t>（9）营业外收入</w:t>
      </w:r>
    </w:p>
    <w:p w14:paraId="32A41634">
      <w:pPr>
        <w:ind w:firstLine="640"/>
        <w:rPr>
          <w:rFonts w:cs="Times New Roman"/>
        </w:rPr>
      </w:pPr>
      <w:r>
        <w:rPr>
          <w:rFonts w:cs="Times New Roman"/>
        </w:rPr>
        <w:t>营业外收入权重5.00分，实际得分5.00分，得分率100.00%。根据利润表，绵竹公交2020年营业外收入为204.35万元，2019年主营业务收入为15.18万元，故未扣分。</w:t>
      </w:r>
    </w:p>
    <w:p w14:paraId="4A92F885">
      <w:pPr>
        <w:ind w:firstLine="640"/>
        <w:rPr>
          <w:rFonts w:cs="Times New Roman"/>
        </w:rPr>
      </w:pPr>
      <w:r>
        <w:rPr>
          <w:rFonts w:cs="Times New Roman"/>
        </w:rPr>
        <w:t>（10）乘客满意度</w:t>
      </w:r>
    </w:p>
    <w:p w14:paraId="0114972F">
      <w:pPr>
        <w:ind w:firstLine="640"/>
        <w:rPr>
          <w:rFonts w:cs="Times New Roman"/>
        </w:rPr>
      </w:pPr>
      <w:r>
        <w:rPr>
          <w:rFonts w:cs="Times New Roman"/>
        </w:rPr>
        <w:t>乘客满意度权重10.00分，实际得分8.46分，得分率84.60%。乘客总体满意度为84.60%，故扣1.54分。</w:t>
      </w:r>
    </w:p>
    <w:p w14:paraId="3BB2753F">
      <w:pPr>
        <w:pStyle w:val="2"/>
        <w:ind w:firstLine="723"/>
        <w:rPr>
          <w:rFonts w:cs="Times New Roman"/>
        </w:rPr>
      </w:pPr>
      <w:bookmarkStart w:id="25" w:name="_Toc78668815"/>
      <w:r>
        <w:rPr>
          <w:rFonts w:cs="Times New Roman"/>
        </w:rPr>
        <w:t>四、存在主要问题</w:t>
      </w:r>
      <w:bookmarkEnd w:id="25"/>
    </w:p>
    <w:p w14:paraId="206296A9">
      <w:pPr>
        <w:pStyle w:val="3"/>
        <w:ind w:firstLine="643"/>
        <w:rPr>
          <w:rFonts w:eastAsia="仿宋_GB2312" w:cs="Times New Roman"/>
        </w:rPr>
      </w:pPr>
      <w:bookmarkStart w:id="26" w:name="_Toc78668816"/>
      <w:bookmarkStart w:id="27" w:name="_Toc59464035"/>
      <w:bookmarkStart w:id="28" w:name="_Toc60239028"/>
      <w:r>
        <w:rPr>
          <w:rFonts w:cs="Times New Roman"/>
        </w:rPr>
        <w:t>（</w:t>
      </w:r>
      <w:r>
        <w:rPr>
          <w:rFonts w:hint="eastAsia" w:cs="Times New Roman"/>
        </w:rPr>
        <w:t>一</w:t>
      </w:r>
      <w:r>
        <w:rPr>
          <w:rFonts w:cs="Times New Roman"/>
        </w:rPr>
        <w:t>）</w:t>
      </w:r>
      <w:bookmarkStart w:id="29" w:name="_Toc60239029"/>
      <w:r>
        <w:rPr>
          <w:rFonts w:cs="Times New Roman"/>
        </w:rPr>
        <w:t>公交车乘坐率总体较低</w:t>
      </w:r>
      <w:bookmarkEnd w:id="29"/>
      <w:r>
        <w:rPr>
          <w:rFonts w:cs="Times New Roman"/>
        </w:rPr>
        <w:t>，服务</w:t>
      </w:r>
      <w:r>
        <w:rPr>
          <w:rFonts w:hint="eastAsia" w:cs="Times New Roman"/>
        </w:rPr>
        <w:t>便利度</w:t>
      </w:r>
      <w:r>
        <w:rPr>
          <w:rFonts w:cs="Times New Roman"/>
        </w:rPr>
        <w:t>有待加强</w:t>
      </w:r>
      <w:bookmarkEnd w:id="26"/>
    </w:p>
    <w:p w14:paraId="013A93C9">
      <w:pPr>
        <w:ind w:firstLine="640"/>
        <w:rPr>
          <w:rFonts w:cs="Times New Roman"/>
        </w:rPr>
      </w:pPr>
      <w:r>
        <w:rPr>
          <w:rFonts w:cs="Times New Roman"/>
        </w:rPr>
        <w:t>公交车乘坐率是反映城市公交服务能力的直观体现，更是衡量市民对公交期望值和满意度的重要指标。一是</w:t>
      </w:r>
      <w:r>
        <w:rPr>
          <w:rFonts w:cs="Times New Roman"/>
          <w:bCs/>
        </w:rPr>
        <w:t>通过实地勘察发现，57.78%</w:t>
      </w:r>
      <w:r>
        <w:rPr>
          <w:rFonts w:cs="Times New Roman"/>
        </w:rPr>
        <w:t>绵竹市民短途出行倾向于使用网约车、公共自行车、电瓶车或自驾等更为灵活快捷的方式，而在中长途出行或是目的地周边不方便停车时才会选择乘坐公交。实地勘察发现，公交车乘坐率总体上仍然处于偏低水平，公交车空驶情况明显。二是站台信息或智能APP上关于公交到站信息处于关闭状态，乘客难以</w:t>
      </w:r>
      <w:r>
        <w:rPr>
          <w:rFonts w:hint="eastAsia" w:cs="Times New Roman"/>
        </w:rPr>
        <w:t>“</w:t>
      </w:r>
      <w:r>
        <w:rPr>
          <w:rFonts w:cs="Times New Roman"/>
        </w:rPr>
        <w:t>掐点出行</w:t>
      </w:r>
      <w:r>
        <w:rPr>
          <w:rFonts w:hint="eastAsia" w:cs="Times New Roman"/>
        </w:rPr>
        <w:t>”</w:t>
      </w:r>
      <w:r>
        <w:rPr>
          <w:rFonts w:cs="Times New Roman"/>
        </w:rPr>
        <w:t>。在居民不掌握运行时间的情况下，往往造成乘客候车时间较长、抱怨较多、公交线路乘客满意度不高等诸多问题，一定程度制约了公交发展。</w:t>
      </w:r>
    </w:p>
    <w:p w14:paraId="0345DD23">
      <w:pPr>
        <w:pStyle w:val="3"/>
        <w:ind w:firstLine="643"/>
        <w:rPr>
          <w:rFonts w:cs="Times New Roman"/>
        </w:rPr>
      </w:pPr>
      <w:bookmarkStart w:id="30" w:name="_Toc78668817"/>
      <w:r>
        <w:rPr>
          <w:rFonts w:cs="Times New Roman"/>
        </w:rPr>
        <w:t>（二）公交运营数据薄弱，</w:t>
      </w:r>
      <w:bookmarkEnd w:id="27"/>
      <w:bookmarkEnd w:id="28"/>
      <w:r>
        <w:rPr>
          <w:rFonts w:cs="Times New Roman"/>
        </w:rPr>
        <w:t>资金精细化管理有待提升</w:t>
      </w:r>
      <w:bookmarkEnd w:id="30"/>
    </w:p>
    <w:p w14:paraId="600E14F2">
      <w:pPr>
        <w:ind w:firstLine="640"/>
        <w:rPr>
          <w:rFonts w:cs="Times New Roman"/>
        </w:rPr>
      </w:pPr>
      <w:r>
        <w:rPr>
          <w:rFonts w:cs="Times New Roman"/>
        </w:rPr>
        <w:t>绵竹市区大部分乘客使用优惠政策、现金支付、站点电子支付、免费换乘等方式，宏运公司对公交客流量的统计仅有刷卡人次数据，未保留服务留痕底层数据，导致总客流量及分线路人次等关键营运信息难以准确统计，不利于</w:t>
      </w:r>
      <w:r>
        <w:rPr>
          <w:rFonts w:hint="eastAsia" w:cs="Times New Roman"/>
        </w:rPr>
        <w:t>日常运营及财政资金</w:t>
      </w:r>
      <w:r>
        <w:rPr>
          <w:rFonts w:cs="Times New Roman"/>
        </w:rPr>
        <w:t>的精细化管理。原因在于，乘客普遍年龄偏大，习惯使用现金支付，而公交公司对这部分收入缺乏日常台账管理。其次是目前公交车支持多种线上支付平台，公交公司未对各平台业务数据进行统计，较难从宏观角度掌握客流量等业务数据，更难以据此动态调整日常运营管理方式。</w:t>
      </w:r>
    </w:p>
    <w:p w14:paraId="3993A9AF">
      <w:pPr>
        <w:pStyle w:val="2"/>
        <w:ind w:firstLine="723"/>
        <w:rPr>
          <w:rFonts w:cs="Times New Roman"/>
        </w:rPr>
      </w:pPr>
      <w:bookmarkStart w:id="31" w:name="_Toc78668818"/>
      <w:r>
        <w:rPr>
          <w:rFonts w:hint="eastAsia" w:cs="Times New Roman"/>
        </w:rPr>
        <w:t>五</w:t>
      </w:r>
      <w:r>
        <w:rPr>
          <w:rFonts w:cs="Times New Roman"/>
        </w:rPr>
        <w:t>、相关措施建议</w:t>
      </w:r>
      <w:bookmarkEnd w:id="31"/>
    </w:p>
    <w:p w14:paraId="128810DA">
      <w:pPr>
        <w:pStyle w:val="3"/>
        <w:ind w:firstLine="643"/>
        <w:rPr>
          <w:rFonts w:cs="Times New Roman"/>
        </w:rPr>
      </w:pPr>
      <w:bookmarkStart w:id="32" w:name="_Toc60239044"/>
      <w:bookmarkStart w:id="33" w:name="_Toc78668819"/>
      <w:bookmarkStart w:id="34" w:name="_Hlk59455956"/>
      <w:r>
        <w:rPr>
          <w:rFonts w:cs="Times New Roman"/>
        </w:rPr>
        <w:t>（</w:t>
      </w:r>
      <w:r>
        <w:rPr>
          <w:rFonts w:hint="eastAsia" w:cs="Times New Roman"/>
        </w:rPr>
        <w:t>一</w:t>
      </w:r>
      <w:r>
        <w:rPr>
          <w:rFonts w:cs="Times New Roman"/>
        </w:rPr>
        <w:t>）提高公交公司数据管理，综合性降低营运成本</w:t>
      </w:r>
      <w:bookmarkEnd w:id="32"/>
      <w:bookmarkEnd w:id="33"/>
    </w:p>
    <w:p w14:paraId="08FB2934">
      <w:pPr>
        <w:ind w:firstLine="640"/>
        <w:rPr>
          <w:rFonts w:cs="Times New Roman"/>
        </w:rPr>
      </w:pPr>
      <w:r>
        <w:rPr>
          <w:rFonts w:cs="Times New Roman"/>
        </w:rPr>
        <w:t>宏运公交公司作为政府长期补助，提供基础公共交通服务的国营企业，兼具社会公益性及商业营利性。在收到政府补贴的同时，市公交公司应自主发展，重视企业商业化可持续，加强自我造血能力。因此，在精准补贴的基础上，鼓励企业拓展公交多样化、个性化的市场服务，不仅能反哺公交的亏损，还能满足市民个性化、品质化的出行需求。</w:t>
      </w:r>
    </w:p>
    <w:p w14:paraId="26687799">
      <w:pPr>
        <w:ind w:firstLine="640"/>
        <w:rPr>
          <w:rFonts w:cs="Times New Roman"/>
        </w:rPr>
      </w:pPr>
      <w:r>
        <w:rPr>
          <w:rFonts w:cs="Times New Roman"/>
        </w:rPr>
        <w:t>数据化管理是公交公司展开多样化市场服务的基础，也是公交综合性降低营运成本，减少人工成本及不必要的浪费的关键。因此，提出以下三点意见：</w:t>
      </w:r>
    </w:p>
    <w:p w14:paraId="10C0FBE8">
      <w:pPr>
        <w:ind w:firstLine="640"/>
        <w:rPr>
          <w:rFonts w:cs="Times New Roman"/>
        </w:rPr>
      </w:pPr>
      <w:r>
        <w:rPr>
          <w:rFonts w:cs="Times New Roman"/>
        </w:rPr>
        <w:t>一是打通多个营运系统，完善基础信息。公交公司将刷卡系统与公交GPS系统进行打通。打通系统后，公交刷卡基础信息将与车辆行驶信息相匹配，刷卡数据基础信息得以完善，能直观看出线路上下集中性站点，乘客主要出行方向及路段，有利于线路优化，可提高线路质量。</w:t>
      </w:r>
    </w:p>
    <w:p w14:paraId="568CA628">
      <w:pPr>
        <w:ind w:firstLine="640"/>
        <w:rPr>
          <w:rFonts w:cs="Times New Roman"/>
        </w:rPr>
      </w:pPr>
      <w:r>
        <w:rPr>
          <w:rFonts w:cs="Times New Roman"/>
        </w:rPr>
        <w:t>二是及时监控数据信息，灵活运用数据信息。公交公司应建立自身的数据部门，或是与交通运输局合作，对多个营运系统的数据进行实时监测，掌握线路信息，对公交班次进行及时调度，根据具体情况增加或减少运力，最终达到精准投放运力的作用。</w:t>
      </w:r>
    </w:p>
    <w:p w14:paraId="6CCF332E">
      <w:pPr>
        <w:ind w:firstLine="640"/>
        <w:rPr>
          <w:rFonts w:cs="Times New Roman"/>
        </w:rPr>
      </w:pPr>
      <w:bookmarkStart w:id="35" w:name="_Hlk59990565"/>
      <w:bookmarkStart w:id="36" w:name="_Hlk59456452"/>
      <w:r>
        <w:rPr>
          <w:rFonts w:cs="Times New Roman"/>
        </w:rPr>
        <w:t>三是鼓励市民刷卡乘车，培养底层数据留痕意识。为节约财政资金，吸引更多市民刷卡乘坐公交，建议公交公司采用</w:t>
      </w:r>
      <w:r>
        <w:rPr>
          <w:rFonts w:hint="eastAsia" w:cs="Times New Roman"/>
        </w:rPr>
        <w:t>“</w:t>
      </w:r>
      <w:r>
        <w:rPr>
          <w:rFonts w:cs="Times New Roman"/>
        </w:rPr>
        <w:t>寓教于乐</w:t>
      </w:r>
      <w:r>
        <w:rPr>
          <w:rFonts w:hint="eastAsia" w:cs="Times New Roman"/>
        </w:rPr>
        <w:t>”</w:t>
      </w:r>
      <w:r>
        <w:rPr>
          <w:rFonts w:cs="Times New Roman"/>
        </w:rPr>
        <w:t>的形式开展主题活动。具体全面建议如下：由公交公司出台明确规定，要求市民乘坐公交一律刷卡或使用手机支付，培养公交公司管理人员、司乘人员</w:t>
      </w:r>
      <w:r>
        <w:rPr>
          <w:rFonts w:hint="eastAsia" w:cs="Times New Roman"/>
        </w:rPr>
        <w:t>“</w:t>
      </w:r>
      <w:r>
        <w:rPr>
          <w:rFonts w:cs="Times New Roman"/>
        </w:rPr>
        <w:t>服务必留痕</w:t>
      </w:r>
      <w:r>
        <w:rPr>
          <w:rFonts w:hint="eastAsia" w:cs="Times New Roman"/>
        </w:rPr>
        <w:t>”</w:t>
      </w:r>
      <w:r>
        <w:rPr>
          <w:rFonts w:cs="Times New Roman"/>
        </w:rPr>
        <w:t>的意识。</w:t>
      </w:r>
      <w:bookmarkEnd w:id="35"/>
    </w:p>
    <w:bookmarkEnd w:id="34"/>
    <w:bookmarkEnd w:id="36"/>
    <w:p w14:paraId="46ABCB17">
      <w:pPr>
        <w:pStyle w:val="3"/>
        <w:ind w:firstLine="643"/>
        <w:rPr>
          <w:rFonts w:cs="Times New Roman"/>
        </w:rPr>
      </w:pPr>
      <w:bookmarkStart w:id="37" w:name="_Toc60239038"/>
      <w:bookmarkStart w:id="38" w:name="_Toc78668820"/>
      <w:r>
        <w:rPr>
          <w:rFonts w:cs="Times New Roman"/>
        </w:rPr>
        <w:t>（</w:t>
      </w:r>
      <w:r>
        <w:rPr>
          <w:rFonts w:hint="eastAsia" w:cs="Times New Roman"/>
        </w:rPr>
        <w:t>二</w:t>
      </w:r>
      <w:r>
        <w:rPr>
          <w:rFonts w:cs="Times New Roman"/>
        </w:rPr>
        <w:t>）</w:t>
      </w:r>
      <w:bookmarkEnd w:id="37"/>
      <w:r>
        <w:rPr>
          <w:rFonts w:cs="Times New Roman"/>
        </w:rPr>
        <w:t>智能优化公交线网设计，创新多元化服务形式</w:t>
      </w:r>
      <w:bookmarkEnd w:id="38"/>
    </w:p>
    <w:p w14:paraId="5915E017">
      <w:pPr>
        <w:ind w:firstLine="640"/>
        <w:rPr>
          <w:rFonts w:cs="Times New Roman"/>
        </w:rPr>
      </w:pPr>
      <w:r>
        <w:rPr>
          <w:rFonts w:cs="Times New Roman"/>
        </w:rPr>
        <w:t>合理规划好公交线路的布局不仅可以方便市民的出行，还能从效率上为当地经济成长加强保障。一是采用智能化的技术手段，减少公共交通出行等候时间，是提高公共交通吸引力的首要前提。结合智能调度系统，为出行乘客提供车辆基本信息，包括线路、换乘、首末班时间等基本出行信息，以及车辆GPS位置、车辆到站预报、车辆速度、道路路况等信息，方便乘客</w:t>
      </w:r>
      <w:r>
        <w:rPr>
          <w:rFonts w:hint="eastAsia" w:cs="Times New Roman"/>
        </w:rPr>
        <w:t>“</w:t>
      </w:r>
      <w:r>
        <w:rPr>
          <w:rFonts w:cs="Times New Roman"/>
        </w:rPr>
        <w:t>掐点</w:t>
      </w:r>
      <w:r>
        <w:rPr>
          <w:rFonts w:hint="eastAsia" w:cs="Times New Roman"/>
        </w:rPr>
        <w:t>”</w:t>
      </w:r>
      <w:r>
        <w:rPr>
          <w:rFonts w:cs="Times New Roman"/>
        </w:rPr>
        <w:t>出行，节约候车时间。二是以服务乘客为中心，吸引乘客参与线路设计，并灵活形成线路，是提高公交服务品质的重要一环。首先，主要服务于通勤出行的</w:t>
      </w:r>
      <w:r>
        <w:rPr>
          <w:rFonts w:hint="eastAsia" w:cs="Times New Roman"/>
          <w:bCs/>
        </w:rPr>
        <w:t>“</w:t>
      </w:r>
      <w:r>
        <w:rPr>
          <w:rFonts w:cs="Times New Roman"/>
          <w:bCs/>
        </w:rPr>
        <w:t>定制公交</w:t>
      </w:r>
      <w:r>
        <w:rPr>
          <w:rFonts w:hint="eastAsia" w:cs="Times New Roman"/>
          <w:bCs/>
        </w:rPr>
        <w:t>”</w:t>
      </w:r>
      <w:r>
        <w:rPr>
          <w:rFonts w:cs="Times New Roman"/>
        </w:rPr>
        <w:t>线。根据乘客要求，当出行量达到了一定规模时，线路及时生成。其次，主要服务于大型活动的</w:t>
      </w:r>
      <w:r>
        <w:rPr>
          <w:rFonts w:hint="eastAsia" w:cs="Times New Roman"/>
          <w:bCs/>
        </w:rPr>
        <w:t>“</w:t>
      </w:r>
      <w:r>
        <w:rPr>
          <w:rFonts w:cs="Times New Roman"/>
          <w:bCs/>
        </w:rPr>
        <w:t>特定需求</w:t>
      </w:r>
      <w:r>
        <w:rPr>
          <w:rFonts w:hint="eastAsia" w:cs="Times New Roman"/>
          <w:bCs/>
        </w:rPr>
        <w:t>”</w:t>
      </w:r>
      <w:r>
        <w:rPr>
          <w:rFonts w:cs="Times New Roman"/>
        </w:rPr>
        <w:t>公交线。上述两个服务层级，绵竹公交已经进行了初步尝试。最后主要服务于个体化、离散化出行的</w:t>
      </w:r>
      <w:r>
        <w:rPr>
          <w:rFonts w:hint="eastAsia" w:cs="Times New Roman"/>
          <w:bCs/>
        </w:rPr>
        <w:t>“</w:t>
      </w:r>
      <w:r>
        <w:rPr>
          <w:rFonts w:cs="Times New Roman"/>
          <w:bCs/>
        </w:rPr>
        <w:t>及时响应</w:t>
      </w:r>
      <w:r>
        <w:rPr>
          <w:rFonts w:hint="eastAsia" w:cs="Times New Roman"/>
          <w:bCs/>
        </w:rPr>
        <w:t>”</w:t>
      </w:r>
      <w:r>
        <w:rPr>
          <w:rFonts w:cs="Times New Roman"/>
        </w:rPr>
        <w:t>公交线。在一定的区域内，乘客通过手机等通讯手段向公交企业提出服务需求，公交企业将这些随机生成的需求通过智能系统即时形成合理线路，即时响应提供服务。</w:t>
      </w:r>
    </w:p>
    <w:p w14:paraId="2F813F70">
      <w:pPr>
        <w:ind w:firstLine="0" w:firstLineChars="0"/>
        <w:rPr>
          <w:rFonts w:cs="Times New Roman"/>
        </w:rPr>
      </w:pPr>
    </w:p>
    <w:p w14:paraId="1FABE718">
      <w:pPr>
        <w:pStyle w:val="2"/>
        <w:spacing w:after="217" w:afterLines="50"/>
        <w:ind w:firstLine="723"/>
        <w:rPr>
          <w:rFonts w:cs="Times New Roman"/>
        </w:rPr>
        <w:sectPr>
          <w:footerReference r:id="rId11" w:type="default"/>
          <w:pgSz w:w="11906" w:h="16838"/>
          <w:pgMar w:top="1440" w:right="1800" w:bottom="1440" w:left="1800" w:header="851" w:footer="992" w:gutter="0"/>
          <w:pgNumType w:start="1"/>
          <w:cols w:space="425" w:num="1"/>
          <w:docGrid w:type="lines" w:linePitch="435" w:charSpace="0"/>
        </w:sectPr>
      </w:pPr>
    </w:p>
    <w:p w14:paraId="14E8ABF0">
      <w:pPr>
        <w:pStyle w:val="2"/>
        <w:spacing w:after="217" w:afterLines="50"/>
        <w:ind w:firstLine="723"/>
        <w:rPr>
          <w:rFonts w:cs="Times New Roman"/>
        </w:rPr>
      </w:pPr>
      <w:bookmarkStart w:id="39" w:name="_Toc78668821"/>
      <w:r>
        <w:rPr>
          <w:rFonts w:cs="Times New Roman"/>
        </w:rPr>
        <w:t>附件1 其他常用公交补贴模式</w:t>
      </w:r>
      <w:bookmarkEnd w:id="39"/>
    </w:p>
    <w:p w14:paraId="1820255D">
      <w:pPr>
        <w:ind w:firstLine="640"/>
        <w:rPr>
          <w:rFonts w:cs="Times New Roman"/>
        </w:rPr>
      </w:pPr>
      <w:r>
        <w:rPr>
          <w:rFonts w:cs="Times New Roman"/>
        </w:rPr>
        <w:t>零点公司通过文献研究等方法，将国内主要城市常用的公交补贴模式进行了汇总。总体而言，目前补贴模式以显性补贴为主，包括成本兜底、定额补贴、车公里补贴、人次补贴等方式。</w:t>
      </w:r>
    </w:p>
    <w:p w14:paraId="71181D23">
      <w:pPr>
        <w:ind w:firstLine="0" w:firstLineChars="0"/>
        <w:jc w:val="center"/>
        <w:rPr>
          <w:rFonts w:eastAsia="幼圆" w:cs="Times New Roman"/>
          <w:b/>
          <w:bCs/>
          <w:sz w:val="28"/>
          <w:szCs w:val="28"/>
        </w:rPr>
      </w:pPr>
      <w:r>
        <w:rPr>
          <w:rFonts w:eastAsia="幼圆" w:cs="Times New Roman"/>
          <w:b/>
          <w:bCs/>
          <w:sz w:val="28"/>
          <w:szCs w:val="28"/>
        </w:rPr>
        <w:t>附表 公交补贴主要模式汇总</w:t>
      </w:r>
    </w:p>
    <w:tbl>
      <w:tblPr>
        <w:tblStyle w:val="2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8"/>
        <w:gridCol w:w="1456"/>
        <w:gridCol w:w="4224"/>
        <w:gridCol w:w="1974"/>
      </w:tblGrid>
      <w:tr w14:paraId="3E05F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1364" w:type="pct"/>
            <w:gridSpan w:val="2"/>
            <w:shd w:val="clear" w:color="auto" w:fill="00516B"/>
            <w:vAlign w:val="center"/>
          </w:tcPr>
          <w:p w14:paraId="4522C658">
            <w:pPr>
              <w:spacing w:after="217" w:afterLines="50" w:line="320" w:lineRule="exact"/>
              <w:ind w:firstLine="0" w:firstLineChars="0"/>
              <w:jc w:val="center"/>
              <w:rPr>
                <w:rFonts w:eastAsia="宋体" w:cs="Times New Roman"/>
                <w:b/>
                <w:sz w:val="20"/>
                <w:szCs w:val="20"/>
              </w:rPr>
            </w:pPr>
            <w:r>
              <w:rPr>
                <w:rFonts w:eastAsia="宋体" w:cs="Times New Roman"/>
                <w:b/>
                <w:sz w:val="20"/>
                <w:szCs w:val="20"/>
              </w:rPr>
              <w:t>补贴方式</w:t>
            </w:r>
          </w:p>
        </w:tc>
        <w:tc>
          <w:tcPr>
            <w:tcW w:w="2478" w:type="pct"/>
            <w:shd w:val="clear" w:color="auto" w:fill="00516B"/>
            <w:vAlign w:val="center"/>
          </w:tcPr>
          <w:p w14:paraId="621FF6E8">
            <w:pPr>
              <w:spacing w:after="217" w:afterLines="50" w:line="320" w:lineRule="exact"/>
              <w:ind w:firstLine="0" w:firstLineChars="0"/>
              <w:jc w:val="center"/>
              <w:rPr>
                <w:rFonts w:eastAsia="宋体" w:cs="Times New Roman"/>
                <w:b/>
                <w:sz w:val="20"/>
                <w:szCs w:val="20"/>
              </w:rPr>
            </w:pPr>
            <w:r>
              <w:rPr>
                <w:rFonts w:eastAsia="宋体" w:cs="Times New Roman"/>
                <w:b/>
                <w:sz w:val="20"/>
                <w:szCs w:val="20"/>
              </w:rPr>
              <w:t>优缺点</w:t>
            </w:r>
          </w:p>
        </w:tc>
        <w:tc>
          <w:tcPr>
            <w:tcW w:w="1158" w:type="pct"/>
            <w:shd w:val="clear" w:color="auto" w:fill="00516B"/>
            <w:vAlign w:val="center"/>
          </w:tcPr>
          <w:p w14:paraId="7F50136B">
            <w:pPr>
              <w:spacing w:after="217" w:afterLines="50" w:line="320" w:lineRule="exact"/>
              <w:ind w:firstLine="0" w:firstLineChars="0"/>
              <w:jc w:val="center"/>
              <w:rPr>
                <w:rFonts w:eastAsia="宋体" w:cs="Times New Roman"/>
                <w:b/>
                <w:sz w:val="20"/>
                <w:szCs w:val="20"/>
              </w:rPr>
            </w:pPr>
            <w:r>
              <w:rPr>
                <w:rFonts w:eastAsia="宋体" w:cs="Times New Roman"/>
                <w:b/>
                <w:sz w:val="20"/>
                <w:szCs w:val="20"/>
              </w:rPr>
              <w:t>要  求</w:t>
            </w:r>
          </w:p>
        </w:tc>
      </w:tr>
      <w:tr w14:paraId="77C96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10" w:type="pct"/>
            <w:vMerge w:val="restart"/>
            <w:shd w:val="clear" w:color="auto" w:fill="auto"/>
            <w:vAlign w:val="center"/>
          </w:tcPr>
          <w:p w14:paraId="0670084A">
            <w:pPr>
              <w:spacing w:after="217" w:afterLines="50" w:line="320" w:lineRule="exact"/>
              <w:ind w:firstLine="0" w:firstLineChars="0"/>
              <w:jc w:val="center"/>
              <w:rPr>
                <w:rFonts w:eastAsia="宋体" w:cs="Times New Roman"/>
                <w:sz w:val="20"/>
                <w:szCs w:val="20"/>
              </w:rPr>
            </w:pPr>
            <w:r>
              <w:rPr>
                <w:rFonts w:eastAsia="宋体" w:cs="Times New Roman"/>
                <w:sz w:val="20"/>
                <w:szCs w:val="20"/>
              </w:rPr>
              <w:t>显性</w:t>
            </w:r>
          </w:p>
          <w:p w14:paraId="12FAAF24">
            <w:pPr>
              <w:spacing w:after="217" w:afterLines="50" w:line="320" w:lineRule="exact"/>
              <w:ind w:firstLine="0" w:firstLineChars="0"/>
              <w:jc w:val="center"/>
              <w:rPr>
                <w:rFonts w:eastAsia="宋体" w:cs="Times New Roman"/>
                <w:sz w:val="20"/>
                <w:szCs w:val="20"/>
              </w:rPr>
            </w:pPr>
            <w:r>
              <w:rPr>
                <w:rFonts w:eastAsia="宋体" w:cs="Times New Roman"/>
                <w:sz w:val="20"/>
                <w:szCs w:val="20"/>
              </w:rPr>
              <w:t>补贴</w:t>
            </w:r>
          </w:p>
        </w:tc>
        <w:tc>
          <w:tcPr>
            <w:tcW w:w="854" w:type="pct"/>
            <w:shd w:val="clear" w:color="auto" w:fill="auto"/>
            <w:vAlign w:val="center"/>
          </w:tcPr>
          <w:p w14:paraId="361DAAA8">
            <w:pPr>
              <w:spacing w:after="217" w:afterLines="50" w:line="320" w:lineRule="exact"/>
              <w:ind w:firstLine="0" w:firstLineChars="0"/>
              <w:rPr>
                <w:rFonts w:eastAsia="宋体" w:cs="Times New Roman"/>
                <w:sz w:val="20"/>
                <w:szCs w:val="20"/>
              </w:rPr>
            </w:pPr>
            <w:r>
              <w:rPr>
                <w:rFonts w:eastAsia="宋体" w:cs="Times New Roman"/>
                <w:sz w:val="20"/>
                <w:szCs w:val="20"/>
              </w:rPr>
              <w:t>成本（规制）兜底</w:t>
            </w:r>
          </w:p>
        </w:tc>
        <w:tc>
          <w:tcPr>
            <w:tcW w:w="2478" w:type="pct"/>
            <w:shd w:val="clear" w:color="auto" w:fill="auto"/>
            <w:vAlign w:val="center"/>
          </w:tcPr>
          <w:p w14:paraId="2B28B9D0">
            <w:pPr>
              <w:spacing w:after="217" w:afterLines="50" w:line="320" w:lineRule="exact"/>
              <w:ind w:firstLine="0" w:firstLineChars="0"/>
              <w:rPr>
                <w:rFonts w:eastAsia="宋体" w:cs="Times New Roman"/>
                <w:sz w:val="20"/>
                <w:szCs w:val="20"/>
              </w:rPr>
            </w:pPr>
            <w:r>
              <w:rPr>
                <w:rFonts w:eastAsia="宋体" w:cs="Times New Roman"/>
                <w:sz w:val="20"/>
                <w:szCs w:val="20"/>
              </w:rPr>
              <w:t>优点：有效保障公交公益性及司乘人员队伍稳定。</w:t>
            </w:r>
          </w:p>
          <w:p w14:paraId="546D1EAD">
            <w:pPr>
              <w:spacing w:after="217" w:afterLines="50" w:line="320" w:lineRule="exact"/>
              <w:ind w:firstLine="0" w:firstLineChars="0"/>
              <w:rPr>
                <w:rFonts w:eastAsia="宋体" w:cs="Times New Roman"/>
                <w:sz w:val="20"/>
                <w:szCs w:val="20"/>
              </w:rPr>
            </w:pPr>
            <w:r>
              <w:rPr>
                <w:rFonts w:eastAsia="宋体" w:cs="Times New Roman"/>
                <w:sz w:val="20"/>
                <w:szCs w:val="20"/>
              </w:rPr>
              <w:t>缺点：不利于财政补贴的高效利用。</w:t>
            </w:r>
          </w:p>
        </w:tc>
        <w:tc>
          <w:tcPr>
            <w:tcW w:w="1158" w:type="pct"/>
            <w:shd w:val="clear" w:color="auto" w:fill="auto"/>
            <w:vAlign w:val="center"/>
          </w:tcPr>
          <w:p w14:paraId="793EC2F0">
            <w:pPr>
              <w:spacing w:after="217" w:afterLines="50" w:line="320" w:lineRule="exact"/>
              <w:ind w:firstLine="0" w:firstLineChars="0"/>
              <w:rPr>
                <w:rFonts w:eastAsia="宋体" w:cs="Times New Roman"/>
                <w:sz w:val="20"/>
                <w:szCs w:val="20"/>
              </w:rPr>
            </w:pPr>
            <w:r>
              <w:rPr>
                <w:rFonts w:eastAsia="宋体" w:cs="Times New Roman"/>
                <w:sz w:val="20"/>
                <w:szCs w:val="20"/>
              </w:rPr>
              <w:t>建立行业单位成本标准</w:t>
            </w:r>
          </w:p>
        </w:tc>
      </w:tr>
      <w:tr w14:paraId="0F956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10" w:type="pct"/>
            <w:vMerge w:val="continue"/>
            <w:shd w:val="clear" w:color="auto" w:fill="auto"/>
            <w:vAlign w:val="center"/>
          </w:tcPr>
          <w:p w14:paraId="0488ECAB">
            <w:pPr>
              <w:spacing w:after="217" w:afterLines="50" w:line="320" w:lineRule="exact"/>
              <w:ind w:firstLine="0" w:firstLineChars="0"/>
              <w:jc w:val="center"/>
              <w:rPr>
                <w:rFonts w:eastAsia="宋体" w:cs="Times New Roman"/>
                <w:sz w:val="20"/>
                <w:szCs w:val="20"/>
              </w:rPr>
            </w:pPr>
          </w:p>
        </w:tc>
        <w:tc>
          <w:tcPr>
            <w:tcW w:w="854" w:type="pct"/>
            <w:shd w:val="clear" w:color="auto" w:fill="auto"/>
            <w:vAlign w:val="center"/>
          </w:tcPr>
          <w:p w14:paraId="13EC0735">
            <w:pPr>
              <w:spacing w:after="217" w:afterLines="50" w:line="320" w:lineRule="exact"/>
              <w:ind w:firstLine="0" w:firstLineChars="0"/>
              <w:rPr>
                <w:rFonts w:eastAsia="宋体" w:cs="Times New Roman"/>
                <w:sz w:val="20"/>
                <w:szCs w:val="20"/>
              </w:rPr>
            </w:pPr>
            <w:r>
              <w:rPr>
                <w:rFonts w:eastAsia="宋体" w:cs="Times New Roman"/>
                <w:sz w:val="20"/>
                <w:szCs w:val="20"/>
              </w:rPr>
              <w:t>定额补贴</w:t>
            </w:r>
          </w:p>
        </w:tc>
        <w:tc>
          <w:tcPr>
            <w:tcW w:w="2478" w:type="pct"/>
            <w:shd w:val="clear" w:color="auto" w:fill="auto"/>
            <w:vAlign w:val="center"/>
          </w:tcPr>
          <w:p w14:paraId="60DD40BD">
            <w:pPr>
              <w:spacing w:after="217" w:afterLines="50" w:line="320" w:lineRule="exact"/>
              <w:ind w:firstLine="0" w:firstLineChars="0"/>
              <w:rPr>
                <w:rFonts w:eastAsia="宋体" w:cs="Times New Roman"/>
                <w:sz w:val="20"/>
                <w:szCs w:val="20"/>
              </w:rPr>
            </w:pPr>
            <w:r>
              <w:rPr>
                <w:rFonts w:eastAsia="宋体" w:cs="Times New Roman"/>
                <w:sz w:val="20"/>
                <w:szCs w:val="20"/>
              </w:rPr>
              <w:t>优点：操作简便，对于企业发挥自身能动性、积极增收减支有一定的作用。</w:t>
            </w:r>
          </w:p>
          <w:p w14:paraId="23096D40">
            <w:pPr>
              <w:spacing w:after="217" w:afterLines="50" w:line="320" w:lineRule="exact"/>
              <w:ind w:firstLine="0" w:firstLineChars="0"/>
              <w:rPr>
                <w:rFonts w:eastAsia="宋体" w:cs="Times New Roman"/>
                <w:sz w:val="20"/>
                <w:szCs w:val="20"/>
              </w:rPr>
            </w:pPr>
            <w:r>
              <w:rPr>
                <w:rFonts w:eastAsia="宋体" w:cs="Times New Roman"/>
                <w:sz w:val="20"/>
                <w:szCs w:val="20"/>
              </w:rPr>
              <w:t>缺点：不能促进企业持续提升经营能力。</w:t>
            </w:r>
          </w:p>
        </w:tc>
        <w:tc>
          <w:tcPr>
            <w:tcW w:w="1158" w:type="pct"/>
            <w:shd w:val="clear" w:color="auto" w:fill="auto"/>
            <w:vAlign w:val="center"/>
          </w:tcPr>
          <w:p w14:paraId="3BB0FAE1">
            <w:pPr>
              <w:spacing w:after="217" w:afterLines="50" w:line="320" w:lineRule="exact"/>
              <w:ind w:firstLine="0" w:firstLineChars="0"/>
              <w:rPr>
                <w:rFonts w:eastAsia="宋体" w:cs="Times New Roman"/>
                <w:sz w:val="20"/>
                <w:szCs w:val="20"/>
              </w:rPr>
            </w:pPr>
            <w:r>
              <w:rPr>
                <w:rFonts w:eastAsia="宋体" w:cs="Times New Roman"/>
                <w:sz w:val="20"/>
                <w:szCs w:val="20"/>
              </w:rPr>
              <w:t>准确预判未来几年公交服务规模，建立对应的补贴核减机制。</w:t>
            </w:r>
          </w:p>
        </w:tc>
      </w:tr>
      <w:tr w14:paraId="19F14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10" w:type="pct"/>
            <w:vMerge w:val="continue"/>
            <w:shd w:val="clear" w:color="auto" w:fill="auto"/>
            <w:vAlign w:val="center"/>
          </w:tcPr>
          <w:p w14:paraId="709B7C20">
            <w:pPr>
              <w:spacing w:after="217" w:afterLines="50" w:line="320" w:lineRule="exact"/>
              <w:ind w:firstLine="0" w:firstLineChars="0"/>
              <w:jc w:val="center"/>
              <w:rPr>
                <w:rFonts w:eastAsia="宋体" w:cs="Times New Roman"/>
                <w:sz w:val="20"/>
                <w:szCs w:val="20"/>
              </w:rPr>
            </w:pPr>
          </w:p>
        </w:tc>
        <w:tc>
          <w:tcPr>
            <w:tcW w:w="854" w:type="pct"/>
            <w:shd w:val="clear" w:color="auto" w:fill="auto"/>
            <w:vAlign w:val="center"/>
          </w:tcPr>
          <w:p w14:paraId="17F5CCE4">
            <w:pPr>
              <w:spacing w:after="217" w:afterLines="50" w:line="320" w:lineRule="exact"/>
              <w:ind w:firstLine="0" w:firstLineChars="0"/>
              <w:rPr>
                <w:rFonts w:eastAsia="宋体" w:cs="Times New Roman"/>
                <w:sz w:val="20"/>
                <w:szCs w:val="20"/>
              </w:rPr>
            </w:pPr>
            <w:r>
              <w:rPr>
                <w:rFonts w:eastAsia="宋体" w:cs="Times New Roman"/>
                <w:sz w:val="20"/>
                <w:szCs w:val="20"/>
              </w:rPr>
              <w:t>车公里补贴</w:t>
            </w:r>
          </w:p>
        </w:tc>
        <w:tc>
          <w:tcPr>
            <w:tcW w:w="2478" w:type="pct"/>
            <w:shd w:val="clear" w:color="auto" w:fill="auto"/>
            <w:vAlign w:val="center"/>
          </w:tcPr>
          <w:p w14:paraId="4BC204A5">
            <w:pPr>
              <w:spacing w:after="217" w:afterLines="50" w:line="320" w:lineRule="exact"/>
              <w:ind w:firstLine="0" w:firstLineChars="0"/>
              <w:rPr>
                <w:rFonts w:eastAsia="宋体" w:cs="Times New Roman"/>
                <w:sz w:val="20"/>
                <w:szCs w:val="20"/>
              </w:rPr>
            </w:pPr>
            <w:r>
              <w:rPr>
                <w:rFonts w:eastAsia="宋体" w:cs="Times New Roman"/>
                <w:sz w:val="20"/>
                <w:szCs w:val="20"/>
              </w:rPr>
              <w:t>优点：可以有效保障冷僻线路的补贴金额，保护边远地区运量较低的运营企业的服务质量和基本权益。</w:t>
            </w:r>
          </w:p>
          <w:p w14:paraId="6D390229">
            <w:pPr>
              <w:spacing w:after="217" w:afterLines="50" w:line="320" w:lineRule="exact"/>
              <w:ind w:firstLine="0" w:firstLineChars="0"/>
              <w:rPr>
                <w:rFonts w:eastAsia="宋体" w:cs="Times New Roman"/>
                <w:sz w:val="20"/>
                <w:szCs w:val="20"/>
              </w:rPr>
            </w:pPr>
            <w:r>
              <w:rPr>
                <w:rFonts w:eastAsia="宋体" w:cs="Times New Roman"/>
                <w:sz w:val="20"/>
                <w:szCs w:val="20"/>
              </w:rPr>
              <w:t>缺点：由于不受客运量的影响，公交公司缺乏增减借支的动力。</w:t>
            </w:r>
          </w:p>
        </w:tc>
        <w:tc>
          <w:tcPr>
            <w:tcW w:w="1158" w:type="pct"/>
            <w:vMerge w:val="restart"/>
            <w:shd w:val="clear" w:color="auto" w:fill="auto"/>
            <w:vAlign w:val="center"/>
          </w:tcPr>
          <w:p w14:paraId="3F14BF07">
            <w:pPr>
              <w:spacing w:after="217" w:afterLines="50" w:line="320" w:lineRule="exact"/>
              <w:ind w:firstLine="0" w:firstLineChars="0"/>
              <w:rPr>
                <w:rFonts w:eastAsia="宋体" w:cs="Times New Roman"/>
                <w:sz w:val="20"/>
                <w:szCs w:val="20"/>
              </w:rPr>
            </w:pPr>
            <w:r>
              <w:rPr>
                <w:rFonts w:eastAsia="宋体" w:cs="Times New Roman"/>
                <w:sz w:val="20"/>
                <w:szCs w:val="20"/>
              </w:rPr>
              <w:t>核定科学合理的补贴标准。</w:t>
            </w:r>
          </w:p>
        </w:tc>
      </w:tr>
      <w:tr w14:paraId="01DED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10" w:type="pct"/>
            <w:vMerge w:val="continue"/>
            <w:shd w:val="clear" w:color="auto" w:fill="auto"/>
            <w:vAlign w:val="center"/>
          </w:tcPr>
          <w:p w14:paraId="58DE032B">
            <w:pPr>
              <w:spacing w:after="217" w:afterLines="50" w:line="320" w:lineRule="exact"/>
              <w:ind w:firstLine="0" w:firstLineChars="0"/>
              <w:jc w:val="center"/>
              <w:rPr>
                <w:rFonts w:eastAsia="宋体" w:cs="Times New Roman"/>
                <w:sz w:val="20"/>
                <w:szCs w:val="20"/>
              </w:rPr>
            </w:pPr>
          </w:p>
        </w:tc>
        <w:tc>
          <w:tcPr>
            <w:tcW w:w="854" w:type="pct"/>
            <w:shd w:val="clear" w:color="auto" w:fill="auto"/>
            <w:vAlign w:val="center"/>
          </w:tcPr>
          <w:p w14:paraId="582C7232">
            <w:pPr>
              <w:spacing w:after="217" w:afterLines="50" w:line="320" w:lineRule="exact"/>
              <w:ind w:firstLine="0" w:firstLineChars="0"/>
              <w:rPr>
                <w:rFonts w:eastAsia="宋体" w:cs="Times New Roman"/>
                <w:sz w:val="20"/>
                <w:szCs w:val="20"/>
              </w:rPr>
            </w:pPr>
            <w:r>
              <w:rPr>
                <w:rFonts w:eastAsia="宋体" w:cs="Times New Roman"/>
                <w:sz w:val="20"/>
                <w:szCs w:val="20"/>
              </w:rPr>
              <w:t>人次补贴</w:t>
            </w:r>
          </w:p>
        </w:tc>
        <w:tc>
          <w:tcPr>
            <w:tcW w:w="2478" w:type="pct"/>
            <w:shd w:val="clear" w:color="auto" w:fill="auto"/>
            <w:vAlign w:val="center"/>
          </w:tcPr>
          <w:p w14:paraId="3C25BF62">
            <w:pPr>
              <w:spacing w:after="217" w:afterLines="50" w:line="320" w:lineRule="exact"/>
              <w:ind w:firstLine="0" w:firstLineChars="0"/>
              <w:rPr>
                <w:rFonts w:eastAsia="宋体" w:cs="Times New Roman"/>
                <w:sz w:val="20"/>
                <w:szCs w:val="20"/>
              </w:rPr>
            </w:pPr>
            <w:r>
              <w:rPr>
                <w:rFonts w:eastAsia="宋体" w:cs="Times New Roman"/>
                <w:sz w:val="20"/>
                <w:szCs w:val="20"/>
              </w:rPr>
              <w:t>优点：有效促进企业提高运行效率，提高补贴的绩效。</w:t>
            </w:r>
          </w:p>
          <w:p w14:paraId="0F2BD691">
            <w:pPr>
              <w:spacing w:after="217" w:afterLines="50" w:line="320" w:lineRule="exact"/>
              <w:ind w:firstLine="0" w:firstLineChars="0"/>
              <w:rPr>
                <w:rFonts w:eastAsia="宋体" w:cs="Times New Roman"/>
                <w:sz w:val="20"/>
                <w:szCs w:val="20"/>
              </w:rPr>
            </w:pPr>
            <w:r>
              <w:rPr>
                <w:rFonts w:eastAsia="宋体" w:cs="Times New Roman"/>
                <w:sz w:val="20"/>
                <w:szCs w:val="20"/>
              </w:rPr>
              <w:t>缺点：无法保障偏远、冷僻线路的服务。</w:t>
            </w:r>
          </w:p>
        </w:tc>
        <w:tc>
          <w:tcPr>
            <w:tcW w:w="1158" w:type="pct"/>
            <w:vMerge w:val="continue"/>
            <w:shd w:val="clear" w:color="auto" w:fill="auto"/>
            <w:vAlign w:val="center"/>
          </w:tcPr>
          <w:p w14:paraId="1FD3227D">
            <w:pPr>
              <w:spacing w:after="217" w:afterLines="50" w:line="320" w:lineRule="exact"/>
              <w:ind w:firstLine="0" w:firstLineChars="0"/>
              <w:rPr>
                <w:rFonts w:eastAsia="宋体" w:cs="Times New Roman"/>
                <w:sz w:val="20"/>
                <w:szCs w:val="20"/>
              </w:rPr>
            </w:pPr>
          </w:p>
        </w:tc>
      </w:tr>
      <w:tr w14:paraId="18941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10" w:type="pct"/>
            <w:vMerge w:val="restart"/>
            <w:shd w:val="clear" w:color="auto" w:fill="auto"/>
            <w:vAlign w:val="center"/>
          </w:tcPr>
          <w:p w14:paraId="5CD8A699">
            <w:pPr>
              <w:spacing w:after="217" w:afterLines="50" w:line="320" w:lineRule="exact"/>
              <w:ind w:firstLine="0" w:firstLineChars="0"/>
              <w:jc w:val="center"/>
              <w:rPr>
                <w:rFonts w:eastAsia="宋体" w:cs="Times New Roman"/>
                <w:sz w:val="20"/>
                <w:szCs w:val="20"/>
              </w:rPr>
            </w:pPr>
            <w:r>
              <w:rPr>
                <w:rFonts w:eastAsia="宋体" w:cs="Times New Roman"/>
                <w:sz w:val="20"/>
                <w:szCs w:val="20"/>
              </w:rPr>
              <w:t>隐性</w:t>
            </w:r>
          </w:p>
          <w:p w14:paraId="7E7C2634">
            <w:pPr>
              <w:spacing w:after="217" w:afterLines="50" w:line="320" w:lineRule="exact"/>
              <w:ind w:firstLine="0" w:firstLineChars="0"/>
              <w:jc w:val="center"/>
              <w:rPr>
                <w:rFonts w:eastAsia="宋体" w:cs="Times New Roman"/>
                <w:sz w:val="20"/>
                <w:szCs w:val="20"/>
              </w:rPr>
            </w:pPr>
            <w:r>
              <w:rPr>
                <w:rFonts w:eastAsia="宋体" w:cs="Times New Roman"/>
                <w:sz w:val="20"/>
                <w:szCs w:val="20"/>
              </w:rPr>
              <w:t>补贴</w:t>
            </w:r>
          </w:p>
        </w:tc>
        <w:tc>
          <w:tcPr>
            <w:tcW w:w="854" w:type="pct"/>
            <w:shd w:val="clear" w:color="auto" w:fill="auto"/>
            <w:vAlign w:val="center"/>
          </w:tcPr>
          <w:p w14:paraId="7BD29BF0">
            <w:pPr>
              <w:spacing w:after="217" w:afterLines="50" w:line="320" w:lineRule="exact"/>
              <w:ind w:firstLine="0" w:firstLineChars="0"/>
              <w:rPr>
                <w:rFonts w:eastAsia="宋体" w:cs="Times New Roman"/>
                <w:sz w:val="20"/>
                <w:szCs w:val="20"/>
              </w:rPr>
            </w:pPr>
            <w:r>
              <w:rPr>
                <w:rFonts w:eastAsia="宋体" w:cs="Times New Roman"/>
                <w:sz w:val="20"/>
                <w:szCs w:val="20"/>
              </w:rPr>
              <w:t>税收减免优惠</w:t>
            </w:r>
          </w:p>
        </w:tc>
        <w:tc>
          <w:tcPr>
            <w:tcW w:w="3636" w:type="pct"/>
            <w:gridSpan w:val="2"/>
            <w:shd w:val="clear" w:color="auto" w:fill="auto"/>
            <w:vAlign w:val="center"/>
          </w:tcPr>
          <w:p w14:paraId="59B53A8D">
            <w:pPr>
              <w:spacing w:after="217" w:afterLines="50" w:line="320" w:lineRule="exact"/>
              <w:ind w:firstLine="0" w:firstLineChars="0"/>
              <w:rPr>
                <w:rFonts w:eastAsia="宋体" w:cs="Times New Roman"/>
                <w:sz w:val="20"/>
                <w:szCs w:val="20"/>
              </w:rPr>
            </w:pPr>
            <w:r>
              <w:rPr>
                <w:rFonts w:eastAsia="宋体" w:cs="Times New Roman"/>
                <w:sz w:val="20"/>
                <w:szCs w:val="20"/>
              </w:rPr>
              <w:t>给予公交企业较低的营业税率，对各项税费减免，节省开支、变相增加企业受益。</w:t>
            </w:r>
          </w:p>
        </w:tc>
      </w:tr>
      <w:tr w14:paraId="1D5B3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10" w:type="pct"/>
            <w:vMerge w:val="continue"/>
            <w:shd w:val="clear" w:color="auto" w:fill="auto"/>
            <w:vAlign w:val="center"/>
          </w:tcPr>
          <w:p w14:paraId="034A2A8A">
            <w:pPr>
              <w:spacing w:after="217" w:afterLines="50" w:line="320" w:lineRule="exact"/>
              <w:ind w:firstLine="0" w:firstLineChars="0"/>
              <w:jc w:val="center"/>
              <w:rPr>
                <w:rFonts w:eastAsia="宋体" w:cs="Times New Roman"/>
                <w:sz w:val="20"/>
                <w:szCs w:val="20"/>
              </w:rPr>
            </w:pPr>
          </w:p>
        </w:tc>
        <w:tc>
          <w:tcPr>
            <w:tcW w:w="854" w:type="pct"/>
            <w:shd w:val="clear" w:color="auto" w:fill="auto"/>
            <w:vAlign w:val="center"/>
          </w:tcPr>
          <w:p w14:paraId="4F4EA568">
            <w:pPr>
              <w:spacing w:after="217" w:afterLines="50" w:line="320" w:lineRule="exact"/>
              <w:ind w:firstLine="0" w:firstLineChars="0"/>
              <w:rPr>
                <w:rFonts w:eastAsia="宋体" w:cs="Times New Roman"/>
                <w:sz w:val="20"/>
                <w:szCs w:val="20"/>
              </w:rPr>
            </w:pPr>
            <w:r>
              <w:rPr>
                <w:rFonts w:eastAsia="宋体" w:cs="Times New Roman"/>
                <w:sz w:val="20"/>
                <w:szCs w:val="20"/>
              </w:rPr>
              <w:t>公交运营条件改善</w:t>
            </w:r>
          </w:p>
        </w:tc>
        <w:tc>
          <w:tcPr>
            <w:tcW w:w="3636" w:type="pct"/>
            <w:gridSpan w:val="2"/>
            <w:shd w:val="clear" w:color="auto" w:fill="auto"/>
            <w:vAlign w:val="center"/>
          </w:tcPr>
          <w:p w14:paraId="172C663F">
            <w:pPr>
              <w:spacing w:after="217" w:afterLines="50" w:line="320" w:lineRule="exact"/>
              <w:ind w:firstLine="0" w:firstLineChars="0"/>
              <w:rPr>
                <w:rFonts w:eastAsia="宋体" w:cs="Times New Roman"/>
                <w:sz w:val="20"/>
                <w:szCs w:val="20"/>
              </w:rPr>
            </w:pPr>
            <w:r>
              <w:rPr>
                <w:rFonts w:eastAsia="宋体" w:cs="Times New Roman"/>
                <w:sz w:val="20"/>
                <w:szCs w:val="20"/>
              </w:rPr>
              <w:t>以经济、法律和行政等措施确保城市交通的政策环境与市场环境等逐步实现企业正常运营与健康成长的目标。</w:t>
            </w:r>
          </w:p>
        </w:tc>
      </w:tr>
      <w:tr w14:paraId="1C500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10" w:type="pct"/>
            <w:vMerge w:val="continue"/>
            <w:shd w:val="clear" w:color="auto" w:fill="auto"/>
            <w:vAlign w:val="center"/>
          </w:tcPr>
          <w:p w14:paraId="4EB64ACF">
            <w:pPr>
              <w:spacing w:after="217" w:afterLines="50" w:line="320" w:lineRule="exact"/>
              <w:ind w:firstLine="0" w:firstLineChars="0"/>
              <w:jc w:val="center"/>
              <w:rPr>
                <w:rFonts w:eastAsia="宋体" w:cs="Times New Roman"/>
                <w:sz w:val="20"/>
                <w:szCs w:val="20"/>
              </w:rPr>
            </w:pPr>
          </w:p>
        </w:tc>
        <w:tc>
          <w:tcPr>
            <w:tcW w:w="854" w:type="pct"/>
            <w:shd w:val="clear" w:color="auto" w:fill="auto"/>
            <w:vAlign w:val="center"/>
          </w:tcPr>
          <w:p w14:paraId="4260D259">
            <w:pPr>
              <w:spacing w:after="217" w:afterLines="50" w:line="320" w:lineRule="exact"/>
              <w:ind w:firstLine="0" w:firstLineChars="0"/>
              <w:rPr>
                <w:rFonts w:eastAsia="宋体" w:cs="Times New Roman"/>
                <w:sz w:val="20"/>
                <w:szCs w:val="20"/>
              </w:rPr>
            </w:pPr>
            <w:r>
              <w:rPr>
                <w:rFonts w:eastAsia="宋体" w:cs="Times New Roman"/>
                <w:sz w:val="20"/>
                <w:szCs w:val="20"/>
              </w:rPr>
              <w:t>土地使用受益受让</w:t>
            </w:r>
          </w:p>
        </w:tc>
        <w:tc>
          <w:tcPr>
            <w:tcW w:w="3636" w:type="pct"/>
            <w:gridSpan w:val="2"/>
            <w:shd w:val="clear" w:color="auto" w:fill="auto"/>
            <w:vAlign w:val="center"/>
          </w:tcPr>
          <w:p w14:paraId="1772706F">
            <w:pPr>
              <w:spacing w:after="217" w:afterLines="50" w:line="320" w:lineRule="exact"/>
              <w:ind w:firstLine="0" w:firstLineChars="0"/>
              <w:rPr>
                <w:rFonts w:eastAsia="宋体" w:cs="Times New Roman"/>
                <w:sz w:val="20"/>
                <w:szCs w:val="20"/>
              </w:rPr>
            </w:pPr>
            <w:r>
              <w:rPr>
                <w:rFonts w:eastAsia="宋体" w:cs="Times New Roman"/>
                <w:sz w:val="20"/>
                <w:szCs w:val="20"/>
              </w:rPr>
              <w:t>公交设施周围部分土地交由投资方或运营方使用，所获得的运营受益对公交运营亏损予以补贴。</w:t>
            </w:r>
          </w:p>
        </w:tc>
      </w:tr>
      <w:tr w14:paraId="16096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10" w:type="pct"/>
            <w:vMerge w:val="continue"/>
            <w:shd w:val="clear" w:color="auto" w:fill="auto"/>
            <w:vAlign w:val="center"/>
          </w:tcPr>
          <w:p w14:paraId="45FB2FA2">
            <w:pPr>
              <w:spacing w:after="217" w:afterLines="50" w:line="320" w:lineRule="exact"/>
              <w:ind w:firstLine="0" w:firstLineChars="0"/>
              <w:jc w:val="center"/>
              <w:rPr>
                <w:rFonts w:eastAsia="宋体" w:cs="Times New Roman"/>
                <w:sz w:val="20"/>
                <w:szCs w:val="20"/>
              </w:rPr>
            </w:pPr>
          </w:p>
        </w:tc>
        <w:tc>
          <w:tcPr>
            <w:tcW w:w="854" w:type="pct"/>
            <w:shd w:val="clear" w:color="auto" w:fill="auto"/>
            <w:vAlign w:val="center"/>
          </w:tcPr>
          <w:p w14:paraId="505F4419">
            <w:pPr>
              <w:spacing w:after="217" w:afterLines="50" w:line="320" w:lineRule="exact"/>
              <w:ind w:firstLine="0" w:firstLineChars="0"/>
              <w:rPr>
                <w:rFonts w:eastAsia="宋体" w:cs="Times New Roman"/>
                <w:sz w:val="20"/>
                <w:szCs w:val="20"/>
              </w:rPr>
            </w:pPr>
            <w:r>
              <w:rPr>
                <w:rFonts w:eastAsia="宋体" w:cs="Times New Roman"/>
                <w:sz w:val="20"/>
                <w:szCs w:val="20"/>
              </w:rPr>
              <w:t>广告、商贸特许经营</w:t>
            </w:r>
          </w:p>
        </w:tc>
        <w:tc>
          <w:tcPr>
            <w:tcW w:w="3636" w:type="pct"/>
            <w:gridSpan w:val="2"/>
            <w:shd w:val="clear" w:color="auto" w:fill="auto"/>
            <w:vAlign w:val="center"/>
          </w:tcPr>
          <w:p w14:paraId="71C462A6">
            <w:pPr>
              <w:spacing w:after="217" w:afterLines="50" w:line="320" w:lineRule="exact"/>
              <w:ind w:firstLine="0" w:firstLineChars="0"/>
              <w:rPr>
                <w:rFonts w:eastAsia="宋体" w:cs="Times New Roman"/>
                <w:sz w:val="20"/>
                <w:szCs w:val="20"/>
              </w:rPr>
            </w:pPr>
            <w:r>
              <w:rPr>
                <w:rFonts w:eastAsia="宋体" w:cs="Times New Roman"/>
                <w:sz w:val="20"/>
                <w:szCs w:val="20"/>
              </w:rPr>
              <w:t>开展多元化经营，从而弥补主业形成的亏损。</w:t>
            </w:r>
          </w:p>
        </w:tc>
      </w:tr>
    </w:tbl>
    <w:p w14:paraId="33C08269">
      <w:pPr>
        <w:ind w:firstLine="640"/>
        <w:rPr>
          <w:rFonts w:cs="Times New Roman"/>
        </w:rPr>
      </w:pPr>
      <w:r>
        <w:rPr>
          <w:rFonts w:cs="Times New Roman"/>
        </w:rPr>
        <w:t xml:space="preserve">在公交补贴具体工作中，许多城市采用的是多种补贴方式相结合的形式。为了给绵竹现代化公交发展提高借鉴，零点公司选择公交发展优于绵竹公交发展现状的南通市、德阳市内区域交通发展情况相似的广汉市，重点对财政补贴模式进行了分析： </w:t>
      </w:r>
    </w:p>
    <w:p w14:paraId="49083510">
      <w:pPr>
        <w:ind w:firstLine="643"/>
        <w:rPr>
          <w:rFonts w:cs="Times New Roman"/>
          <w:b/>
          <w:bCs/>
        </w:rPr>
      </w:pPr>
      <w:r>
        <w:rPr>
          <w:rFonts w:cs="Times New Roman"/>
          <w:b/>
          <w:bCs/>
        </w:rPr>
        <w:t>1. 南通市</w:t>
      </w:r>
    </w:p>
    <w:p w14:paraId="5AE8805A">
      <w:pPr>
        <w:ind w:firstLine="640"/>
        <w:rPr>
          <w:rFonts w:cs="Times New Roman"/>
        </w:rPr>
      </w:pPr>
      <w:r>
        <w:rPr>
          <w:rFonts w:cs="Times New Roman"/>
        </w:rPr>
        <w:t>南通市2019年出台的公交补贴方案主要包括三个方面：分别是政府购买服务补贴、油价补贴和充电费用补贴三个部分。政府购买服务补贴主要针对免费及优惠人群，例如老人、军人、残疾人、学生等。油价补贴以2003年为基数年，将补贴年度企业汽油、柴油消耗平均价格换算成含税价（增值税），对涨价部分给予100</w:t>
      </w:r>
      <w:r>
        <w:rPr>
          <w:rFonts w:hint="eastAsia" w:cs="Times New Roman"/>
        </w:rPr>
        <w:t>.00</w:t>
      </w:r>
      <w:r>
        <w:rPr>
          <w:rFonts w:cs="Times New Roman"/>
        </w:rPr>
        <w:t>%的补贴。充电费用补贴为鼓励使用新能源公交车辆，在纯电动车辆充电费用已执行充电服务企业优惠电价后，单车行驶里程年超过3</w:t>
      </w:r>
      <w:r>
        <w:rPr>
          <w:rFonts w:hint="eastAsia" w:cs="Times New Roman"/>
        </w:rPr>
        <w:t>.00</w:t>
      </w:r>
      <w:r>
        <w:rPr>
          <w:rFonts w:cs="Times New Roman"/>
        </w:rPr>
        <w:t>万公里的车辆，财政对充电费用给予全额补贴。</w:t>
      </w:r>
    </w:p>
    <w:p w14:paraId="2490D8DC">
      <w:pPr>
        <w:ind w:firstLine="643"/>
        <w:rPr>
          <w:rFonts w:cs="Times New Roman"/>
          <w:b/>
          <w:bCs/>
        </w:rPr>
      </w:pPr>
      <w:r>
        <w:rPr>
          <w:rFonts w:cs="Times New Roman"/>
          <w:b/>
          <w:bCs/>
        </w:rPr>
        <w:t>2. 广汉市</w:t>
      </w:r>
    </w:p>
    <w:p w14:paraId="7B32F72F">
      <w:pPr>
        <w:ind w:firstLine="640"/>
        <w:rPr>
          <w:rFonts w:cs="Times New Roman"/>
        </w:rPr>
      </w:pPr>
      <w:r>
        <w:rPr>
          <w:rFonts w:cs="Times New Roman"/>
        </w:rPr>
        <w:t>广汉市2018年出台《广汉市城市公共汽车运营补贴办法（试行）》，规定公交车公里数、企业年度合理利润和乘客福利性补贴等多种补贴方式相结合。首先，公交车公里成本亏损补贴：CNG车辆按2.65元/公里，纯电动车辆1.84元/公里。其次，企业年度合理利润：固定资产投入×10</w:t>
      </w:r>
      <w:r>
        <w:rPr>
          <w:rFonts w:hint="eastAsia" w:cs="Times New Roman"/>
        </w:rPr>
        <w:t>.00</w:t>
      </w:r>
      <w:r>
        <w:rPr>
          <w:rFonts w:cs="Times New Roman"/>
        </w:rPr>
        <w:t>%；固定资产包括车辆购置费用和充电站（桩）建设以及智能调度平台建设费用。如经年终审计、审核，企业综合收益未达总投入的10</w:t>
      </w:r>
      <w:r>
        <w:rPr>
          <w:rFonts w:hint="eastAsia" w:cs="Times New Roman"/>
        </w:rPr>
        <w:t>.00</w:t>
      </w:r>
      <w:r>
        <w:rPr>
          <w:rFonts w:cs="Times New Roman"/>
        </w:rPr>
        <w:t>%，年度合理利润按差额予以补贴；企业综合收益已超过总投入的10</w:t>
      </w:r>
      <w:r>
        <w:rPr>
          <w:rFonts w:hint="eastAsia" w:cs="Times New Roman"/>
        </w:rPr>
        <w:t>.00</w:t>
      </w:r>
      <w:r>
        <w:rPr>
          <w:rFonts w:cs="Times New Roman"/>
        </w:rPr>
        <w:t>%，则不予补贴。最后，乘客福利性亏损补贴：指70岁以上老年人、学生、残疾人、军人等特殊人群实施的免费及优惠乘车所减少的收入，由财政据实足额补贴。</w:t>
      </w:r>
    </w:p>
    <w:p w14:paraId="0D349F36">
      <w:pPr>
        <w:pStyle w:val="2"/>
        <w:spacing w:after="217" w:afterLines="50"/>
        <w:ind w:firstLine="723"/>
        <w:rPr>
          <w:rFonts w:cs="Times New Roman"/>
        </w:rPr>
        <w:sectPr>
          <w:pgSz w:w="11906" w:h="16838"/>
          <w:pgMar w:top="1440" w:right="1800" w:bottom="1440" w:left="1800" w:header="851" w:footer="992" w:gutter="0"/>
          <w:cols w:space="425" w:num="1"/>
          <w:docGrid w:type="lines" w:linePitch="435" w:charSpace="0"/>
        </w:sectPr>
      </w:pPr>
    </w:p>
    <w:p w14:paraId="5AA651BC">
      <w:pPr>
        <w:pStyle w:val="2"/>
        <w:spacing w:after="217" w:afterLines="50"/>
        <w:ind w:firstLine="723"/>
        <w:rPr>
          <w:rFonts w:cs="Times New Roman"/>
        </w:rPr>
      </w:pPr>
      <w:bookmarkStart w:id="40" w:name="_Toc78668822"/>
      <w:r>
        <w:rPr>
          <w:rFonts w:cs="Times New Roman"/>
        </w:rPr>
        <w:t>附件2  绵竹市2020年城市公共汽车营运补贴政策支出绩效评价得分表</w:t>
      </w:r>
      <w:bookmarkEnd w:id="40"/>
    </w:p>
    <w:tbl>
      <w:tblPr>
        <w:tblStyle w:val="20"/>
        <w:tblW w:w="50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721"/>
        <w:gridCol w:w="1006"/>
        <w:gridCol w:w="581"/>
        <w:gridCol w:w="2295"/>
        <w:gridCol w:w="2745"/>
        <w:gridCol w:w="1011"/>
        <w:gridCol w:w="1006"/>
        <w:gridCol w:w="4237"/>
      </w:tblGrid>
      <w:tr w14:paraId="020A1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blHeader/>
          <w:jc w:val="center"/>
        </w:trPr>
        <w:tc>
          <w:tcPr>
            <w:tcW w:w="252" w:type="pct"/>
            <w:shd w:val="clear" w:color="auto" w:fill="00516B"/>
            <w:vAlign w:val="center"/>
          </w:tcPr>
          <w:p w14:paraId="45ED330E">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一级</w:t>
            </w:r>
          </w:p>
          <w:p w14:paraId="37CC77D4">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指标</w:t>
            </w:r>
          </w:p>
        </w:tc>
        <w:tc>
          <w:tcPr>
            <w:tcW w:w="252" w:type="pct"/>
            <w:shd w:val="clear" w:color="auto" w:fill="00516B"/>
            <w:vAlign w:val="center"/>
          </w:tcPr>
          <w:p w14:paraId="3A1DCE64">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二级</w:t>
            </w:r>
          </w:p>
          <w:p w14:paraId="2483AC05">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指标</w:t>
            </w:r>
          </w:p>
        </w:tc>
        <w:tc>
          <w:tcPr>
            <w:tcW w:w="351" w:type="pct"/>
            <w:shd w:val="clear" w:color="auto" w:fill="00516B"/>
            <w:vAlign w:val="center"/>
          </w:tcPr>
          <w:p w14:paraId="6A6AFF8D">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三级</w:t>
            </w:r>
          </w:p>
          <w:p w14:paraId="25DAA5DB">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指标</w:t>
            </w:r>
          </w:p>
        </w:tc>
        <w:tc>
          <w:tcPr>
            <w:tcW w:w="203" w:type="pct"/>
            <w:shd w:val="clear" w:color="auto" w:fill="00516B"/>
            <w:vAlign w:val="center"/>
          </w:tcPr>
          <w:p w14:paraId="50199009">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权重</w:t>
            </w:r>
          </w:p>
        </w:tc>
        <w:tc>
          <w:tcPr>
            <w:tcW w:w="801" w:type="pct"/>
            <w:shd w:val="clear" w:color="auto" w:fill="00516B"/>
            <w:vAlign w:val="center"/>
          </w:tcPr>
          <w:p w14:paraId="7FB77C10">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指标解释</w:t>
            </w:r>
          </w:p>
        </w:tc>
        <w:tc>
          <w:tcPr>
            <w:tcW w:w="958" w:type="pct"/>
            <w:shd w:val="clear" w:color="auto" w:fill="00516B"/>
            <w:vAlign w:val="center"/>
          </w:tcPr>
          <w:p w14:paraId="3D1F6700">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评分依据</w:t>
            </w:r>
          </w:p>
        </w:tc>
        <w:tc>
          <w:tcPr>
            <w:tcW w:w="353" w:type="pct"/>
            <w:shd w:val="clear" w:color="auto" w:fill="00516B"/>
            <w:vAlign w:val="center"/>
          </w:tcPr>
          <w:p w14:paraId="78BF4822">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得分</w:t>
            </w:r>
          </w:p>
        </w:tc>
        <w:tc>
          <w:tcPr>
            <w:tcW w:w="351" w:type="pct"/>
            <w:shd w:val="clear" w:color="auto" w:fill="00516B"/>
            <w:vAlign w:val="center"/>
          </w:tcPr>
          <w:p w14:paraId="5D3F3816">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得分率</w:t>
            </w:r>
          </w:p>
        </w:tc>
        <w:tc>
          <w:tcPr>
            <w:tcW w:w="1479" w:type="pct"/>
            <w:shd w:val="clear" w:color="auto" w:fill="00516B"/>
            <w:vAlign w:val="center"/>
          </w:tcPr>
          <w:p w14:paraId="5D578805">
            <w:pPr>
              <w:widowControl/>
              <w:spacing w:after="217" w:afterLines="50" w:line="320" w:lineRule="exact"/>
              <w:ind w:firstLine="0" w:firstLineChars="0"/>
              <w:jc w:val="center"/>
              <w:rPr>
                <w:rFonts w:eastAsia="宋体" w:cs="Times New Roman"/>
                <w:b/>
                <w:bCs/>
                <w:color w:val="FFFFFF" w:themeColor="background1"/>
                <w:kern w:val="0"/>
                <w:sz w:val="20"/>
                <w:szCs w:val="20"/>
                <w14:textFill>
                  <w14:solidFill>
                    <w14:schemeClr w14:val="bg1"/>
                  </w14:solidFill>
                </w14:textFill>
              </w:rPr>
            </w:pPr>
            <w:r>
              <w:rPr>
                <w:rFonts w:eastAsia="宋体" w:cs="Times New Roman"/>
                <w:b/>
                <w:bCs/>
                <w:color w:val="FFFFFF" w:themeColor="background1"/>
                <w:kern w:val="0"/>
                <w:sz w:val="20"/>
                <w:szCs w:val="20"/>
                <w14:textFill>
                  <w14:solidFill>
                    <w14:schemeClr w14:val="bg1"/>
                  </w14:solidFill>
                </w14:textFill>
              </w:rPr>
              <w:t>得分（扣分）依据</w:t>
            </w:r>
          </w:p>
        </w:tc>
      </w:tr>
      <w:tr w14:paraId="286E3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252" w:type="pct"/>
            <w:vMerge w:val="restart"/>
            <w:shd w:val="clear" w:color="auto" w:fill="auto"/>
            <w:vAlign w:val="center"/>
          </w:tcPr>
          <w:p w14:paraId="764AB456">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政策设计（15</w:t>
            </w:r>
            <w:r>
              <w:rPr>
                <w:rFonts w:hint="eastAsia" w:eastAsia="宋体" w:cs="Times New Roman"/>
                <w:kern w:val="0"/>
                <w:sz w:val="20"/>
                <w:szCs w:val="20"/>
              </w:rPr>
              <w:t>分</w:t>
            </w:r>
            <w:r>
              <w:rPr>
                <w:rFonts w:eastAsia="宋体" w:cs="Times New Roman"/>
                <w:kern w:val="0"/>
                <w:sz w:val="20"/>
                <w:szCs w:val="20"/>
              </w:rPr>
              <w:t>）</w:t>
            </w:r>
          </w:p>
        </w:tc>
        <w:tc>
          <w:tcPr>
            <w:tcW w:w="252" w:type="pct"/>
            <w:vMerge w:val="restart"/>
            <w:shd w:val="clear" w:color="auto" w:fill="auto"/>
            <w:vAlign w:val="center"/>
          </w:tcPr>
          <w:p w14:paraId="2AF53DC8">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目</w:t>
            </w:r>
          </w:p>
          <w:p w14:paraId="1D4FE2EC">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标</w:t>
            </w:r>
          </w:p>
          <w:p w14:paraId="1CC1333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科</w:t>
            </w:r>
          </w:p>
          <w:p w14:paraId="3AD71A74">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学</w:t>
            </w:r>
          </w:p>
          <w:p w14:paraId="691E9A92">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（9</w:t>
            </w:r>
            <w:r>
              <w:rPr>
                <w:rFonts w:hint="eastAsia" w:eastAsia="宋体" w:cs="Times New Roman"/>
                <w:kern w:val="0"/>
                <w:sz w:val="20"/>
                <w:szCs w:val="20"/>
              </w:rPr>
              <w:t>分</w:t>
            </w:r>
            <w:r>
              <w:rPr>
                <w:rFonts w:eastAsia="宋体" w:cs="Times New Roman"/>
                <w:kern w:val="0"/>
                <w:sz w:val="20"/>
                <w:szCs w:val="20"/>
              </w:rPr>
              <w:t>）</w:t>
            </w:r>
          </w:p>
        </w:tc>
        <w:tc>
          <w:tcPr>
            <w:tcW w:w="351" w:type="pct"/>
            <w:vAlign w:val="center"/>
          </w:tcPr>
          <w:p w14:paraId="561CC95A">
            <w:pPr>
              <w:widowControl/>
              <w:spacing w:after="217" w:afterLines="50" w:line="320" w:lineRule="exact"/>
              <w:ind w:firstLine="0" w:firstLineChars="0"/>
              <w:jc w:val="center"/>
              <w:rPr>
                <w:rFonts w:eastAsia="宋体" w:cs="Times New Roman"/>
                <w:kern w:val="0"/>
                <w:sz w:val="20"/>
                <w:szCs w:val="20"/>
              </w:rPr>
            </w:pPr>
            <w:bookmarkStart w:id="41" w:name="RANGE!D2"/>
            <w:r>
              <w:rPr>
                <w:rFonts w:eastAsia="宋体" w:cs="Times New Roman"/>
                <w:kern w:val="0"/>
                <w:sz w:val="20"/>
                <w:szCs w:val="20"/>
              </w:rPr>
              <w:t>政策目标合理性</w:t>
            </w:r>
            <w:bookmarkEnd w:id="41"/>
          </w:p>
        </w:tc>
        <w:tc>
          <w:tcPr>
            <w:tcW w:w="203" w:type="pct"/>
            <w:shd w:val="clear" w:color="auto" w:fill="auto"/>
            <w:vAlign w:val="center"/>
          </w:tcPr>
          <w:p w14:paraId="29655445">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4.00</w:t>
            </w:r>
          </w:p>
        </w:tc>
        <w:tc>
          <w:tcPr>
            <w:tcW w:w="801" w:type="pct"/>
            <w:shd w:val="clear" w:color="auto" w:fill="auto"/>
            <w:vAlign w:val="center"/>
          </w:tcPr>
          <w:p w14:paraId="2F5E94FD">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考察专项政策资金所设定的目标是否符合客观事实。</w:t>
            </w:r>
          </w:p>
        </w:tc>
        <w:tc>
          <w:tcPr>
            <w:tcW w:w="958" w:type="pct"/>
            <w:shd w:val="clear" w:color="auto" w:fill="auto"/>
            <w:vAlign w:val="center"/>
          </w:tcPr>
          <w:p w14:paraId="5A86710B">
            <w:pPr>
              <w:widowControl/>
              <w:spacing w:after="217" w:afterLines="50" w:line="320" w:lineRule="exact"/>
              <w:ind w:firstLine="0" w:firstLineChars="0"/>
              <w:jc w:val="center"/>
              <w:rPr>
                <w:rFonts w:eastAsia="宋体" w:cs="Times New Roman"/>
                <w:kern w:val="0"/>
                <w:sz w:val="20"/>
                <w:szCs w:val="20"/>
              </w:rPr>
            </w:pPr>
            <w:bookmarkStart w:id="42" w:name="RANGE!G2"/>
            <w:r>
              <w:rPr>
                <w:rFonts w:hint="eastAsia" w:ascii="宋体" w:hAnsi="宋体" w:eastAsia="宋体" w:cs="宋体"/>
                <w:kern w:val="0"/>
                <w:sz w:val="20"/>
                <w:szCs w:val="20"/>
              </w:rPr>
              <w:t>①</w:t>
            </w:r>
            <w:r>
              <w:rPr>
                <w:rFonts w:eastAsia="宋体" w:cs="Times New Roman"/>
                <w:kern w:val="0"/>
                <w:sz w:val="20"/>
                <w:szCs w:val="20"/>
              </w:rPr>
              <w:t>政策预期效益和效果是否清晰、明确；</w:t>
            </w:r>
            <w:r>
              <w:rPr>
                <w:rFonts w:hint="eastAsia" w:ascii="宋体" w:hAnsi="宋体" w:eastAsia="宋体" w:cs="宋体"/>
                <w:kern w:val="0"/>
                <w:sz w:val="20"/>
                <w:szCs w:val="20"/>
              </w:rPr>
              <w:t>②</w:t>
            </w:r>
            <w:r>
              <w:rPr>
                <w:rFonts w:eastAsia="宋体" w:cs="Times New Roman"/>
                <w:kern w:val="0"/>
                <w:sz w:val="20"/>
                <w:szCs w:val="20"/>
              </w:rPr>
              <w:t>政策预期效益和效果是否符合国家相关法律法规、国民经济发展规划和党委政府决策；</w:t>
            </w:r>
            <w:r>
              <w:rPr>
                <w:rFonts w:hint="eastAsia" w:ascii="宋体" w:hAnsi="宋体" w:eastAsia="宋体" w:cs="宋体"/>
                <w:kern w:val="0"/>
                <w:sz w:val="20"/>
                <w:szCs w:val="20"/>
              </w:rPr>
              <w:t>③</w:t>
            </w:r>
            <w:r>
              <w:rPr>
                <w:rFonts w:eastAsia="宋体" w:cs="Times New Roman"/>
                <w:kern w:val="0"/>
                <w:sz w:val="20"/>
                <w:szCs w:val="20"/>
              </w:rPr>
              <w:t>是否与委托单位职责密切相关；</w:t>
            </w:r>
            <w:r>
              <w:rPr>
                <w:rFonts w:hint="eastAsia" w:ascii="宋体" w:hAnsi="宋体" w:eastAsia="宋体" w:cs="宋体"/>
                <w:kern w:val="0"/>
                <w:sz w:val="20"/>
                <w:szCs w:val="20"/>
              </w:rPr>
              <w:t>④</w:t>
            </w:r>
            <w:r>
              <w:rPr>
                <w:rFonts w:eastAsia="宋体" w:cs="Times New Roman"/>
                <w:kern w:val="0"/>
                <w:sz w:val="20"/>
                <w:szCs w:val="20"/>
              </w:rPr>
              <w:t>是否符合绵竹市正常的社会和行业发展水平</w:t>
            </w:r>
            <w:bookmarkEnd w:id="42"/>
          </w:p>
        </w:tc>
        <w:tc>
          <w:tcPr>
            <w:tcW w:w="353" w:type="pct"/>
            <w:vAlign w:val="center"/>
          </w:tcPr>
          <w:p w14:paraId="72ABA99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4.00</w:t>
            </w:r>
          </w:p>
        </w:tc>
        <w:tc>
          <w:tcPr>
            <w:tcW w:w="351" w:type="pct"/>
            <w:vAlign w:val="center"/>
          </w:tcPr>
          <w:p w14:paraId="3E968DC1">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c>
          <w:tcPr>
            <w:tcW w:w="1479" w:type="pct"/>
            <w:vAlign w:val="center"/>
          </w:tcPr>
          <w:p w14:paraId="30C8F51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按照《国务院关于城市优先发展公共交通的指导意见》(国发〔2012〕64号)文件中要求完善价格补贴机制,对实行低票价、减免票、承担政府指令性任务等形成的政策性亏损,对企业在技术改造、节能减排、经营冷僻线路等方面的投入,地方财政给予适当补贴补偿。宏运公司以低于成本价方式确定的票价，属于低票价，对于形成的政策性亏损，应当获得适当补贴，故未扣分。</w:t>
            </w:r>
          </w:p>
        </w:tc>
      </w:tr>
      <w:tr w14:paraId="02ED9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252" w:type="pct"/>
            <w:vMerge w:val="continue"/>
            <w:vAlign w:val="center"/>
          </w:tcPr>
          <w:p w14:paraId="279C44E3">
            <w:pPr>
              <w:widowControl/>
              <w:spacing w:after="217" w:afterLines="50" w:line="320" w:lineRule="exact"/>
              <w:ind w:firstLine="0" w:firstLineChars="0"/>
              <w:jc w:val="center"/>
              <w:rPr>
                <w:rFonts w:eastAsia="宋体" w:cs="Times New Roman"/>
                <w:kern w:val="0"/>
                <w:sz w:val="20"/>
                <w:szCs w:val="20"/>
              </w:rPr>
            </w:pPr>
          </w:p>
        </w:tc>
        <w:tc>
          <w:tcPr>
            <w:tcW w:w="252" w:type="pct"/>
            <w:vMerge w:val="continue"/>
            <w:vAlign w:val="center"/>
          </w:tcPr>
          <w:p w14:paraId="310B7B9A">
            <w:pPr>
              <w:widowControl/>
              <w:spacing w:after="217" w:afterLines="50" w:line="320" w:lineRule="exact"/>
              <w:ind w:firstLine="0" w:firstLineChars="0"/>
              <w:jc w:val="center"/>
              <w:rPr>
                <w:rFonts w:eastAsia="宋体" w:cs="Times New Roman"/>
                <w:kern w:val="0"/>
                <w:sz w:val="20"/>
                <w:szCs w:val="20"/>
              </w:rPr>
            </w:pPr>
          </w:p>
        </w:tc>
        <w:tc>
          <w:tcPr>
            <w:tcW w:w="351" w:type="pct"/>
            <w:vAlign w:val="center"/>
          </w:tcPr>
          <w:p w14:paraId="20919332">
            <w:pPr>
              <w:widowControl/>
              <w:spacing w:after="217" w:afterLines="50" w:line="320" w:lineRule="exact"/>
              <w:ind w:firstLine="0" w:firstLineChars="0"/>
              <w:jc w:val="center"/>
              <w:rPr>
                <w:rFonts w:eastAsia="宋体" w:cs="Times New Roman"/>
                <w:kern w:val="0"/>
                <w:sz w:val="20"/>
                <w:szCs w:val="20"/>
              </w:rPr>
            </w:pPr>
            <w:bookmarkStart w:id="43" w:name="RANGE!D3"/>
            <w:r>
              <w:rPr>
                <w:rFonts w:eastAsia="宋体" w:cs="Times New Roman"/>
                <w:kern w:val="0"/>
                <w:sz w:val="20"/>
                <w:szCs w:val="20"/>
              </w:rPr>
              <w:t>绩效指标科学性</w:t>
            </w:r>
            <w:bookmarkEnd w:id="43"/>
          </w:p>
        </w:tc>
        <w:tc>
          <w:tcPr>
            <w:tcW w:w="203" w:type="pct"/>
            <w:shd w:val="clear" w:color="auto" w:fill="auto"/>
            <w:vAlign w:val="center"/>
          </w:tcPr>
          <w:p w14:paraId="0BC8AD4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801" w:type="pct"/>
            <w:shd w:val="clear" w:color="auto" w:fill="auto"/>
            <w:vAlign w:val="center"/>
          </w:tcPr>
          <w:p w14:paraId="2CAB19B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依据绩效目标设定的绩效指标是否清晰、细化、可衡量等，用以反映和考核专项资金绩效目标的明细化情况。</w:t>
            </w:r>
          </w:p>
        </w:tc>
        <w:tc>
          <w:tcPr>
            <w:tcW w:w="958" w:type="pct"/>
            <w:shd w:val="clear" w:color="auto" w:fill="auto"/>
            <w:vAlign w:val="center"/>
          </w:tcPr>
          <w:p w14:paraId="3B053993">
            <w:pPr>
              <w:widowControl/>
              <w:spacing w:after="217" w:afterLines="50" w:line="320" w:lineRule="exact"/>
              <w:ind w:firstLine="0" w:firstLineChars="0"/>
              <w:jc w:val="center"/>
              <w:rPr>
                <w:rFonts w:eastAsia="宋体" w:cs="Times New Roman"/>
                <w:kern w:val="0"/>
                <w:sz w:val="20"/>
                <w:szCs w:val="20"/>
              </w:rPr>
            </w:pPr>
            <w:r>
              <w:rPr>
                <w:rFonts w:hint="eastAsia" w:ascii="宋体" w:hAnsi="宋体" w:eastAsia="宋体" w:cs="宋体"/>
                <w:kern w:val="0"/>
                <w:sz w:val="20"/>
                <w:szCs w:val="20"/>
              </w:rPr>
              <w:t>①</w:t>
            </w:r>
            <w:r>
              <w:rPr>
                <w:rFonts w:eastAsia="宋体" w:cs="Times New Roman"/>
                <w:kern w:val="0"/>
                <w:sz w:val="20"/>
                <w:szCs w:val="20"/>
              </w:rPr>
              <w:t>是否将项目绩效目标细化分解为具体的绩效指标；</w:t>
            </w:r>
            <w:r>
              <w:rPr>
                <w:rFonts w:hint="eastAsia" w:ascii="宋体" w:hAnsi="宋体" w:eastAsia="宋体" w:cs="宋体"/>
                <w:kern w:val="0"/>
                <w:sz w:val="20"/>
                <w:szCs w:val="20"/>
              </w:rPr>
              <w:t>②</w:t>
            </w:r>
            <w:r>
              <w:rPr>
                <w:rFonts w:eastAsia="宋体" w:cs="Times New Roman"/>
                <w:kern w:val="0"/>
                <w:sz w:val="20"/>
                <w:szCs w:val="20"/>
              </w:rPr>
              <w:t>是否通过清晰、可衡量的指标值予以体现；</w:t>
            </w:r>
            <w:r>
              <w:rPr>
                <w:rFonts w:hint="eastAsia" w:ascii="宋体" w:hAnsi="宋体" w:eastAsia="宋体" w:cs="宋体"/>
                <w:kern w:val="0"/>
                <w:sz w:val="20"/>
                <w:szCs w:val="20"/>
              </w:rPr>
              <w:t>③</w:t>
            </w:r>
            <w:r>
              <w:rPr>
                <w:rFonts w:eastAsia="宋体" w:cs="Times New Roman"/>
                <w:kern w:val="0"/>
                <w:sz w:val="20"/>
                <w:szCs w:val="20"/>
              </w:rPr>
              <w:t>绩效目标的可实现性，是否与预算确定的项目投资额或资金量相匹配；</w:t>
            </w:r>
          </w:p>
        </w:tc>
        <w:tc>
          <w:tcPr>
            <w:tcW w:w="353" w:type="pct"/>
            <w:vAlign w:val="center"/>
          </w:tcPr>
          <w:p w14:paraId="527E7E9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351" w:type="pct"/>
            <w:vAlign w:val="center"/>
          </w:tcPr>
          <w:p w14:paraId="59CA431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40.00%</w:t>
            </w:r>
          </w:p>
        </w:tc>
        <w:tc>
          <w:tcPr>
            <w:tcW w:w="1479" w:type="pct"/>
            <w:vAlign w:val="center"/>
          </w:tcPr>
          <w:p w14:paraId="3F7B941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一是绩效指标较为模糊，“质量指标”的指标值为“对我市所有城市公交纳入运营亏损补贴范围”，难以量化；二是效益指标缺失，经济效益、社会效益和生态效益指标均未填写；三是“成本指标”和“时效指标”设置不恰当，“成本指标”设置为资金安排的金额数，城市公交的成本主要指每公里成本金额。以上三处不合理，故扣3.00分。</w:t>
            </w:r>
          </w:p>
        </w:tc>
      </w:tr>
      <w:tr w14:paraId="57945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252" w:type="pct"/>
            <w:vMerge w:val="continue"/>
            <w:vAlign w:val="center"/>
          </w:tcPr>
          <w:p w14:paraId="705610B6">
            <w:pPr>
              <w:widowControl/>
              <w:spacing w:after="217" w:afterLines="50" w:line="320" w:lineRule="exact"/>
              <w:ind w:firstLine="0" w:firstLineChars="0"/>
              <w:jc w:val="center"/>
              <w:rPr>
                <w:rFonts w:eastAsia="宋体" w:cs="Times New Roman"/>
                <w:kern w:val="0"/>
                <w:sz w:val="20"/>
                <w:szCs w:val="20"/>
              </w:rPr>
            </w:pPr>
          </w:p>
        </w:tc>
        <w:tc>
          <w:tcPr>
            <w:tcW w:w="252" w:type="pct"/>
            <w:shd w:val="clear" w:color="auto" w:fill="auto"/>
            <w:vAlign w:val="center"/>
          </w:tcPr>
          <w:p w14:paraId="30CBFDF9">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标准</w:t>
            </w:r>
          </w:p>
          <w:p w14:paraId="147111B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合理</w:t>
            </w:r>
          </w:p>
          <w:p w14:paraId="1CDAFA92">
            <w:pPr>
              <w:widowControl/>
              <w:spacing w:after="217" w:afterLines="50" w:line="320" w:lineRule="exact"/>
              <w:ind w:firstLine="0" w:firstLineChars="0"/>
              <w:rPr>
                <w:rFonts w:eastAsia="宋体" w:cs="Times New Roman"/>
                <w:kern w:val="0"/>
                <w:sz w:val="20"/>
                <w:szCs w:val="20"/>
              </w:rPr>
            </w:pPr>
            <w:r>
              <w:rPr>
                <w:rFonts w:eastAsia="宋体" w:cs="Times New Roman"/>
                <w:kern w:val="0"/>
                <w:sz w:val="20"/>
                <w:szCs w:val="20"/>
              </w:rPr>
              <w:t>（6</w:t>
            </w:r>
            <w:r>
              <w:rPr>
                <w:rFonts w:hint="eastAsia" w:eastAsia="宋体" w:cs="Times New Roman"/>
                <w:kern w:val="0"/>
                <w:sz w:val="20"/>
                <w:szCs w:val="20"/>
              </w:rPr>
              <w:t>分</w:t>
            </w:r>
            <w:r>
              <w:rPr>
                <w:rFonts w:eastAsia="宋体" w:cs="Times New Roman"/>
                <w:kern w:val="0"/>
                <w:sz w:val="20"/>
                <w:szCs w:val="20"/>
              </w:rPr>
              <w:t>）</w:t>
            </w:r>
          </w:p>
        </w:tc>
        <w:tc>
          <w:tcPr>
            <w:tcW w:w="351" w:type="pct"/>
            <w:vAlign w:val="center"/>
          </w:tcPr>
          <w:p w14:paraId="17CB86F6">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补贴资金规模合理性</w:t>
            </w:r>
          </w:p>
        </w:tc>
        <w:tc>
          <w:tcPr>
            <w:tcW w:w="203" w:type="pct"/>
            <w:shd w:val="clear" w:color="auto" w:fill="auto"/>
            <w:vAlign w:val="center"/>
          </w:tcPr>
          <w:p w14:paraId="76054FA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6.00</w:t>
            </w:r>
          </w:p>
        </w:tc>
        <w:tc>
          <w:tcPr>
            <w:tcW w:w="801" w:type="pct"/>
            <w:shd w:val="clear" w:color="auto" w:fill="auto"/>
            <w:vAlign w:val="center"/>
          </w:tcPr>
          <w:p w14:paraId="44CC992C">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考察亏损补贴资金总规模是否合理。</w:t>
            </w:r>
          </w:p>
        </w:tc>
        <w:tc>
          <w:tcPr>
            <w:tcW w:w="958" w:type="pct"/>
            <w:shd w:val="clear" w:color="auto" w:fill="auto"/>
            <w:vAlign w:val="center"/>
          </w:tcPr>
          <w:p w14:paraId="781D041F">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补贴资金总规模合理</w:t>
            </w:r>
          </w:p>
        </w:tc>
        <w:tc>
          <w:tcPr>
            <w:tcW w:w="353" w:type="pct"/>
            <w:vAlign w:val="center"/>
          </w:tcPr>
          <w:p w14:paraId="0C3422FC">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6.00</w:t>
            </w:r>
          </w:p>
        </w:tc>
        <w:tc>
          <w:tcPr>
            <w:tcW w:w="351" w:type="pct"/>
            <w:vAlign w:val="center"/>
          </w:tcPr>
          <w:p w14:paraId="472ECBA1">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c>
          <w:tcPr>
            <w:tcW w:w="1479" w:type="pct"/>
            <w:vAlign w:val="center"/>
          </w:tcPr>
          <w:p w14:paraId="6946AE29">
            <w:pPr>
              <w:widowControl/>
              <w:spacing w:after="217" w:afterLines="50" w:line="320" w:lineRule="exact"/>
              <w:ind w:firstLine="0" w:firstLineChars="0"/>
              <w:jc w:val="center"/>
              <w:rPr>
                <w:rFonts w:eastAsia="宋体" w:cs="Times New Roman"/>
                <w:kern w:val="0"/>
                <w:sz w:val="20"/>
                <w:szCs w:val="20"/>
              </w:rPr>
            </w:pPr>
            <w:r>
              <w:rPr>
                <w:rFonts w:hint="eastAsia" w:eastAsia="宋体" w:cs="Times New Roman"/>
                <w:kern w:val="0"/>
                <w:sz w:val="20"/>
                <w:szCs w:val="20"/>
              </w:rPr>
              <w:t>补贴资金依据2019年营运数据测算，通过对上年度的营运公里数补贴方案，预计2020年度绵竹市城市公交车运营总里程为634.00万公里，预算年度总金额330.00万元，而2020年公交公司营业收入1318.00万元，营业成本1409.82万元，净利润-19.52万元</w:t>
            </w:r>
          </w:p>
        </w:tc>
      </w:tr>
      <w:tr w14:paraId="2B0B7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252" w:type="pct"/>
            <w:vMerge w:val="restart"/>
            <w:shd w:val="clear" w:color="auto" w:fill="auto"/>
            <w:vAlign w:val="center"/>
          </w:tcPr>
          <w:p w14:paraId="6FDF721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政策</w:t>
            </w:r>
          </w:p>
          <w:p w14:paraId="15EF19D5">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执行</w:t>
            </w:r>
          </w:p>
          <w:p w14:paraId="6A29CC07">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（22</w:t>
            </w:r>
            <w:r>
              <w:rPr>
                <w:rFonts w:hint="eastAsia" w:eastAsia="宋体" w:cs="Times New Roman"/>
                <w:kern w:val="0"/>
                <w:sz w:val="20"/>
                <w:szCs w:val="20"/>
              </w:rPr>
              <w:t>分</w:t>
            </w:r>
            <w:r>
              <w:rPr>
                <w:rFonts w:eastAsia="宋体" w:cs="Times New Roman"/>
                <w:kern w:val="0"/>
                <w:sz w:val="20"/>
                <w:szCs w:val="20"/>
              </w:rPr>
              <w:t>）</w:t>
            </w:r>
          </w:p>
        </w:tc>
        <w:tc>
          <w:tcPr>
            <w:tcW w:w="252" w:type="pct"/>
            <w:vMerge w:val="restart"/>
            <w:shd w:val="clear" w:color="auto" w:fill="auto"/>
            <w:vAlign w:val="center"/>
          </w:tcPr>
          <w:p w14:paraId="60850E5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业务</w:t>
            </w:r>
          </w:p>
          <w:p w14:paraId="7F2D787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管理</w:t>
            </w:r>
          </w:p>
          <w:p w14:paraId="6B852694">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（12</w:t>
            </w:r>
            <w:r>
              <w:rPr>
                <w:rFonts w:hint="eastAsia" w:eastAsia="宋体" w:cs="Times New Roman"/>
                <w:kern w:val="0"/>
                <w:sz w:val="20"/>
                <w:szCs w:val="20"/>
              </w:rPr>
              <w:t>分</w:t>
            </w:r>
            <w:r>
              <w:rPr>
                <w:rFonts w:eastAsia="宋体" w:cs="Times New Roman"/>
                <w:kern w:val="0"/>
                <w:sz w:val="20"/>
                <w:szCs w:val="20"/>
              </w:rPr>
              <w:t>）</w:t>
            </w:r>
          </w:p>
        </w:tc>
        <w:tc>
          <w:tcPr>
            <w:tcW w:w="351" w:type="pct"/>
            <w:vAlign w:val="center"/>
          </w:tcPr>
          <w:p w14:paraId="6E25F453">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人员管理制度健全性</w:t>
            </w:r>
          </w:p>
        </w:tc>
        <w:tc>
          <w:tcPr>
            <w:tcW w:w="203" w:type="pct"/>
            <w:shd w:val="clear" w:color="auto" w:fill="auto"/>
            <w:vAlign w:val="center"/>
          </w:tcPr>
          <w:p w14:paraId="411AF808">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801" w:type="pct"/>
            <w:shd w:val="clear" w:color="auto" w:fill="auto"/>
            <w:vAlign w:val="center"/>
          </w:tcPr>
          <w:p w14:paraId="42AA29B1">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与项目实施的相关的业务质量管理制度、财务管理制度和监督管理制度是否健全，用以反映和考核业务管理制度对项目顺利实施的保障情况和对资金规范、安全运行的保障情况。</w:t>
            </w:r>
          </w:p>
        </w:tc>
        <w:tc>
          <w:tcPr>
            <w:tcW w:w="958" w:type="pct"/>
            <w:shd w:val="clear" w:color="auto" w:fill="auto"/>
            <w:vAlign w:val="center"/>
          </w:tcPr>
          <w:p w14:paraId="150E3C87">
            <w:pPr>
              <w:widowControl/>
              <w:spacing w:after="217" w:afterLines="50" w:line="320" w:lineRule="exact"/>
              <w:ind w:firstLine="0" w:firstLineChars="0"/>
              <w:jc w:val="center"/>
              <w:rPr>
                <w:rFonts w:eastAsia="宋体" w:cs="Times New Roman"/>
                <w:kern w:val="0"/>
                <w:sz w:val="20"/>
                <w:szCs w:val="20"/>
              </w:rPr>
            </w:pPr>
            <w:r>
              <w:rPr>
                <w:rFonts w:hint="eastAsia" w:ascii="宋体" w:hAnsi="宋体" w:eastAsia="宋体" w:cs="宋体"/>
                <w:kern w:val="0"/>
                <w:sz w:val="20"/>
                <w:szCs w:val="20"/>
              </w:rPr>
              <w:t>①</w:t>
            </w:r>
            <w:r>
              <w:rPr>
                <w:rFonts w:eastAsia="宋体" w:cs="Times New Roman"/>
                <w:kern w:val="0"/>
                <w:sz w:val="20"/>
                <w:szCs w:val="20"/>
              </w:rPr>
              <w:t xml:space="preserve">项目组织形式和机构设置是否合理； </w:t>
            </w:r>
            <w:r>
              <w:rPr>
                <w:rFonts w:hint="eastAsia" w:ascii="宋体" w:hAnsi="宋体" w:eastAsia="宋体" w:cs="宋体"/>
                <w:kern w:val="0"/>
                <w:sz w:val="20"/>
                <w:szCs w:val="20"/>
              </w:rPr>
              <w:t>②</w:t>
            </w:r>
            <w:r>
              <w:rPr>
                <w:rFonts w:eastAsia="宋体" w:cs="Times New Roman"/>
                <w:kern w:val="0"/>
                <w:sz w:val="20"/>
                <w:szCs w:val="20"/>
              </w:rPr>
              <w:t>人员配备是否符合要求，及时到位，尽职履责</w:t>
            </w:r>
          </w:p>
        </w:tc>
        <w:tc>
          <w:tcPr>
            <w:tcW w:w="353" w:type="pct"/>
            <w:vAlign w:val="center"/>
          </w:tcPr>
          <w:p w14:paraId="5E34B69F">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351" w:type="pct"/>
            <w:vAlign w:val="center"/>
          </w:tcPr>
          <w:p w14:paraId="274ED8B7">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c>
          <w:tcPr>
            <w:tcW w:w="1479" w:type="pct"/>
            <w:vAlign w:val="center"/>
          </w:tcPr>
          <w:p w14:paraId="16DCADFD">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宏运公司下设一室四科，即行政办公室、安全科、技术科、运管科、财务科,组织机构及人员配备合理。</w:t>
            </w:r>
          </w:p>
        </w:tc>
      </w:tr>
      <w:tr w14:paraId="6618A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5" w:hRule="atLeast"/>
          <w:jc w:val="center"/>
        </w:trPr>
        <w:tc>
          <w:tcPr>
            <w:tcW w:w="252" w:type="pct"/>
            <w:vMerge w:val="continue"/>
            <w:vAlign w:val="center"/>
          </w:tcPr>
          <w:p w14:paraId="72E05917">
            <w:pPr>
              <w:widowControl/>
              <w:spacing w:after="217" w:afterLines="50" w:line="320" w:lineRule="exact"/>
              <w:ind w:firstLine="0" w:firstLineChars="0"/>
              <w:jc w:val="center"/>
              <w:rPr>
                <w:rFonts w:eastAsia="宋体" w:cs="Times New Roman"/>
                <w:kern w:val="0"/>
                <w:sz w:val="20"/>
                <w:szCs w:val="20"/>
              </w:rPr>
            </w:pPr>
          </w:p>
        </w:tc>
        <w:tc>
          <w:tcPr>
            <w:tcW w:w="252" w:type="pct"/>
            <w:vMerge w:val="continue"/>
            <w:vAlign w:val="center"/>
          </w:tcPr>
          <w:p w14:paraId="23C6B700">
            <w:pPr>
              <w:widowControl/>
              <w:spacing w:after="217" w:afterLines="50" w:line="320" w:lineRule="exact"/>
              <w:ind w:firstLine="0" w:firstLineChars="0"/>
              <w:jc w:val="center"/>
              <w:rPr>
                <w:rFonts w:eastAsia="宋体" w:cs="Times New Roman"/>
                <w:kern w:val="0"/>
                <w:sz w:val="20"/>
                <w:szCs w:val="20"/>
              </w:rPr>
            </w:pPr>
          </w:p>
        </w:tc>
        <w:tc>
          <w:tcPr>
            <w:tcW w:w="351" w:type="pct"/>
            <w:vAlign w:val="center"/>
          </w:tcPr>
          <w:p w14:paraId="1967475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服务质量管理制度健全性</w:t>
            </w:r>
          </w:p>
        </w:tc>
        <w:tc>
          <w:tcPr>
            <w:tcW w:w="203" w:type="pct"/>
            <w:shd w:val="clear" w:color="auto" w:fill="auto"/>
            <w:vAlign w:val="center"/>
          </w:tcPr>
          <w:p w14:paraId="2A29250F">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801" w:type="pct"/>
            <w:shd w:val="clear" w:color="auto" w:fill="auto"/>
            <w:vAlign w:val="center"/>
          </w:tcPr>
          <w:p w14:paraId="077F705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与项目实施的相关的服务质量管理制度是否健全，用以反映和考核业务管理制度对项目顺利实施的保障情况和对资金规范、安全运行的保障情况。</w:t>
            </w:r>
          </w:p>
        </w:tc>
        <w:tc>
          <w:tcPr>
            <w:tcW w:w="958" w:type="pct"/>
            <w:shd w:val="clear" w:color="auto" w:fill="auto"/>
            <w:vAlign w:val="center"/>
          </w:tcPr>
          <w:p w14:paraId="3F06774D">
            <w:pPr>
              <w:widowControl/>
              <w:spacing w:after="217" w:afterLines="50" w:line="320" w:lineRule="exact"/>
              <w:ind w:firstLine="0" w:firstLineChars="0"/>
              <w:jc w:val="center"/>
              <w:rPr>
                <w:rFonts w:eastAsia="宋体" w:cs="Times New Roman"/>
                <w:kern w:val="0"/>
                <w:sz w:val="20"/>
                <w:szCs w:val="20"/>
              </w:rPr>
            </w:pPr>
            <w:bookmarkStart w:id="44" w:name="RANGE!D4"/>
            <w:bookmarkEnd w:id="44"/>
            <w:bookmarkStart w:id="45" w:name="RANGE!G6"/>
            <w:r>
              <w:rPr>
                <w:rFonts w:hint="eastAsia" w:ascii="宋体" w:hAnsi="宋体" w:eastAsia="宋体" w:cs="宋体"/>
                <w:kern w:val="0"/>
                <w:sz w:val="20"/>
                <w:szCs w:val="20"/>
              </w:rPr>
              <w:t>①</w:t>
            </w:r>
            <w:r>
              <w:rPr>
                <w:rFonts w:eastAsia="宋体" w:cs="Times New Roman"/>
                <w:kern w:val="0"/>
                <w:sz w:val="20"/>
                <w:szCs w:val="20"/>
              </w:rPr>
              <w:t>具备适用于公交行业发展的服务质量管理制度、办法或方案；</w:t>
            </w:r>
            <w:r>
              <w:rPr>
                <w:rFonts w:hint="eastAsia" w:ascii="宋体" w:hAnsi="宋体" w:eastAsia="宋体" w:cs="宋体"/>
                <w:kern w:val="0"/>
                <w:sz w:val="20"/>
                <w:szCs w:val="20"/>
              </w:rPr>
              <w:t>②</w:t>
            </w:r>
            <w:r>
              <w:rPr>
                <w:rFonts w:eastAsia="宋体" w:cs="Times New Roman"/>
                <w:kern w:val="0"/>
                <w:sz w:val="20"/>
                <w:szCs w:val="20"/>
              </w:rPr>
              <w:t>服务质量管理制度内容完整，覆盖明确的技术管理制度、质量管理制度、成本控制制度、安全管理制度、司乘人员考勤制度、财务管理制度，档案资料管理制度；</w:t>
            </w:r>
            <w:r>
              <w:rPr>
                <w:rFonts w:hint="eastAsia" w:ascii="宋体" w:hAnsi="宋体" w:eastAsia="宋体" w:cs="宋体"/>
                <w:kern w:val="0"/>
                <w:sz w:val="20"/>
                <w:szCs w:val="20"/>
              </w:rPr>
              <w:t>③</w:t>
            </w:r>
            <w:r>
              <w:rPr>
                <w:rFonts w:eastAsia="宋体" w:cs="Times New Roman"/>
                <w:kern w:val="0"/>
                <w:sz w:val="20"/>
                <w:szCs w:val="20"/>
              </w:rPr>
              <w:t>项目管理制度具备可操作性</w:t>
            </w:r>
            <w:bookmarkEnd w:id="45"/>
          </w:p>
        </w:tc>
        <w:tc>
          <w:tcPr>
            <w:tcW w:w="353" w:type="pct"/>
            <w:vAlign w:val="center"/>
          </w:tcPr>
          <w:p w14:paraId="761BA4C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351" w:type="pct"/>
            <w:vAlign w:val="center"/>
          </w:tcPr>
          <w:p w14:paraId="1D8E58E4">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c>
          <w:tcPr>
            <w:tcW w:w="1479" w:type="pct"/>
            <w:vAlign w:val="center"/>
          </w:tcPr>
          <w:p w14:paraId="78F4E596">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一是绵竹市交通局制定《绵竹市城市公共汽车运营企业安全服务质量考核办法（试行）》（竹交〔2019〕21号）对公交客运经营行为进行管理和考核；二是宏运公司安全管理制度、司乘人员考勤和财务管理制度相对健全，故未扣分。</w:t>
            </w:r>
          </w:p>
        </w:tc>
      </w:tr>
      <w:tr w14:paraId="37E41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52" w:type="pct"/>
            <w:vMerge w:val="continue"/>
            <w:vAlign w:val="center"/>
          </w:tcPr>
          <w:p w14:paraId="5A96C7F6">
            <w:pPr>
              <w:widowControl/>
              <w:spacing w:after="217" w:afterLines="50" w:line="320" w:lineRule="exact"/>
              <w:ind w:firstLine="0" w:firstLineChars="0"/>
              <w:jc w:val="center"/>
              <w:rPr>
                <w:rFonts w:eastAsia="宋体" w:cs="Times New Roman"/>
                <w:kern w:val="0"/>
                <w:sz w:val="20"/>
                <w:szCs w:val="20"/>
              </w:rPr>
            </w:pPr>
          </w:p>
        </w:tc>
        <w:tc>
          <w:tcPr>
            <w:tcW w:w="252" w:type="pct"/>
            <w:vMerge w:val="continue"/>
            <w:vAlign w:val="center"/>
          </w:tcPr>
          <w:p w14:paraId="6582043A">
            <w:pPr>
              <w:widowControl/>
              <w:spacing w:after="217" w:afterLines="50" w:line="320" w:lineRule="exact"/>
              <w:ind w:firstLine="0" w:firstLineChars="0"/>
              <w:jc w:val="center"/>
              <w:rPr>
                <w:rFonts w:eastAsia="宋体" w:cs="Times New Roman"/>
                <w:kern w:val="0"/>
                <w:sz w:val="20"/>
                <w:szCs w:val="20"/>
              </w:rPr>
            </w:pPr>
          </w:p>
        </w:tc>
        <w:tc>
          <w:tcPr>
            <w:tcW w:w="351" w:type="pct"/>
            <w:vAlign w:val="center"/>
          </w:tcPr>
          <w:p w14:paraId="47E9196F">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公共汽电车责任事故死亡率</w:t>
            </w:r>
          </w:p>
        </w:tc>
        <w:tc>
          <w:tcPr>
            <w:tcW w:w="203" w:type="pct"/>
            <w:shd w:val="clear" w:color="auto" w:fill="auto"/>
            <w:vAlign w:val="center"/>
          </w:tcPr>
          <w:p w14:paraId="54819489">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3.00</w:t>
            </w:r>
          </w:p>
        </w:tc>
        <w:tc>
          <w:tcPr>
            <w:tcW w:w="801" w:type="pct"/>
            <w:shd w:val="clear" w:color="auto" w:fill="auto"/>
            <w:vAlign w:val="center"/>
          </w:tcPr>
          <w:p w14:paraId="0A2C241D">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考察公交运营过程中发生责任事故死亡的数量，用以反映公交安全管理情况。</w:t>
            </w:r>
          </w:p>
        </w:tc>
        <w:tc>
          <w:tcPr>
            <w:tcW w:w="958" w:type="pct"/>
            <w:shd w:val="clear" w:color="auto" w:fill="auto"/>
            <w:vAlign w:val="center"/>
          </w:tcPr>
          <w:p w14:paraId="5A7225E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通过主管部门和公交公司访谈和基础数据分析</w:t>
            </w:r>
          </w:p>
        </w:tc>
        <w:tc>
          <w:tcPr>
            <w:tcW w:w="353" w:type="pct"/>
            <w:vAlign w:val="center"/>
          </w:tcPr>
          <w:p w14:paraId="6825FA8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3.00</w:t>
            </w:r>
          </w:p>
        </w:tc>
        <w:tc>
          <w:tcPr>
            <w:tcW w:w="351" w:type="pct"/>
            <w:vAlign w:val="center"/>
          </w:tcPr>
          <w:p w14:paraId="14099398">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c>
          <w:tcPr>
            <w:tcW w:w="1479" w:type="pct"/>
            <w:vAlign w:val="center"/>
          </w:tcPr>
          <w:p w14:paraId="4E6FF3AD">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调研发现，宏运公司2020年未发生责任事故死亡情况，达成安全运营目标</w:t>
            </w:r>
          </w:p>
        </w:tc>
      </w:tr>
      <w:tr w14:paraId="0EC7C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52" w:type="pct"/>
            <w:vMerge w:val="continue"/>
            <w:vAlign w:val="center"/>
          </w:tcPr>
          <w:p w14:paraId="451E7164">
            <w:pPr>
              <w:widowControl/>
              <w:spacing w:after="217" w:afterLines="50" w:line="320" w:lineRule="exact"/>
              <w:ind w:firstLine="0" w:firstLineChars="0"/>
              <w:jc w:val="center"/>
              <w:rPr>
                <w:rFonts w:eastAsia="宋体" w:cs="Times New Roman"/>
                <w:kern w:val="0"/>
                <w:sz w:val="20"/>
                <w:szCs w:val="20"/>
              </w:rPr>
            </w:pPr>
          </w:p>
        </w:tc>
        <w:tc>
          <w:tcPr>
            <w:tcW w:w="252" w:type="pct"/>
            <w:vMerge w:val="continue"/>
            <w:vAlign w:val="center"/>
          </w:tcPr>
          <w:p w14:paraId="3BF0E4BE">
            <w:pPr>
              <w:widowControl/>
              <w:spacing w:after="217" w:afterLines="50" w:line="320" w:lineRule="exact"/>
              <w:ind w:firstLine="0" w:firstLineChars="0"/>
              <w:jc w:val="center"/>
              <w:rPr>
                <w:rFonts w:eastAsia="宋体" w:cs="Times New Roman"/>
                <w:kern w:val="0"/>
                <w:sz w:val="20"/>
                <w:szCs w:val="20"/>
              </w:rPr>
            </w:pPr>
          </w:p>
        </w:tc>
        <w:tc>
          <w:tcPr>
            <w:tcW w:w="351" w:type="pct"/>
            <w:shd w:val="clear" w:color="auto" w:fill="auto"/>
            <w:vAlign w:val="center"/>
          </w:tcPr>
          <w:p w14:paraId="23841794">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交通违章率</w:t>
            </w:r>
          </w:p>
        </w:tc>
        <w:tc>
          <w:tcPr>
            <w:tcW w:w="203" w:type="pct"/>
            <w:shd w:val="clear" w:color="auto" w:fill="auto"/>
            <w:vAlign w:val="center"/>
          </w:tcPr>
          <w:p w14:paraId="1D895858">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801" w:type="pct"/>
            <w:shd w:val="clear" w:color="auto" w:fill="auto"/>
            <w:vAlign w:val="center"/>
          </w:tcPr>
          <w:p w14:paraId="390ED7B3">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考察公交运营过程中发生交通违章的数量，用以反映公交安全管理情况。</w:t>
            </w:r>
          </w:p>
        </w:tc>
        <w:tc>
          <w:tcPr>
            <w:tcW w:w="958" w:type="pct"/>
            <w:shd w:val="clear" w:color="auto" w:fill="auto"/>
            <w:vAlign w:val="center"/>
          </w:tcPr>
          <w:p w14:paraId="0975BC8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通过主管部门和公交公司访谈和基础数据分析</w:t>
            </w:r>
          </w:p>
        </w:tc>
        <w:tc>
          <w:tcPr>
            <w:tcW w:w="353" w:type="pct"/>
            <w:vAlign w:val="center"/>
          </w:tcPr>
          <w:p w14:paraId="04CF54DA">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351" w:type="pct"/>
            <w:vAlign w:val="center"/>
          </w:tcPr>
          <w:p w14:paraId="20F6EAB1">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c>
          <w:tcPr>
            <w:tcW w:w="1479" w:type="pct"/>
            <w:vAlign w:val="center"/>
          </w:tcPr>
          <w:p w14:paraId="3B964452">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调研发现，宏运公司2020年未发生交通违章情况，故未扣分。</w:t>
            </w:r>
          </w:p>
        </w:tc>
      </w:tr>
      <w:tr w14:paraId="124E9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52" w:type="pct"/>
            <w:vMerge w:val="continue"/>
            <w:vAlign w:val="center"/>
          </w:tcPr>
          <w:p w14:paraId="20BF8EA8">
            <w:pPr>
              <w:widowControl/>
              <w:spacing w:after="217" w:afterLines="50" w:line="320" w:lineRule="exact"/>
              <w:ind w:firstLine="0" w:firstLineChars="0"/>
              <w:jc w:val="center"/>
              <w:rPr>
                <w:rFonts w:eastAsia="宋体" w:cs="Times New Roman"/>
                <w:kern w:val="0"/>
                <w:sz w:val="20"/>
                <w:szCs w:val="20"/>
              </w:rPr>
            </w:pPr>
          </w:p>
        </w:tc>
        <w:tc>
          <w:tcPr>
            <w:tcW w:w="252" w:type="pct"/>
            <w:vMerge w:val="continue"/>
            <w:vAlign w:val="center"/>
          </w:tcPr>
          <w:p w14:paraId="6FD0959A">
            <w:pPr>
              <w:widowControl/>
              <w:spacing w:after="217" w:afterLines="50" w:line="320" w:lineRule="exact"/>
              <w:ind w:firstLine="0" w:firstLineChars="0"/>
              <w:jc w:val="center"/>
              <w:rPr>
                <w:rFonts w:eastAsia="宋体" w:cs="Times New Roman"/>
                <w:kern w:val="0"/>
                <w:sz w:val="20"/>
                <w:szCs w:val="20"/>
              </w:rPr>
            </w:pPr>
          </w:p>
        </w:tc>
        <w:tc>
          <w:tcPr>
            <w:tcW w:w="351" w:type="pct"/>
            <w:vAlign w:val="center"/>
          </w:tcPr>
          <w:p w14:paraId="3008153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司机工作强度</w:t>
            </w:r>
          </w:p>
        </w:tc>
        <w:tc>
          <w:tcPr>
            <w:tcW w:w="203" w:type="pct"/>
            <w:shd w:val="clear" w:color="auto" w:fill="auto"/>
            <w:vAlign w:val="center"/>
          </w:tcPr>
          <w:p w14:paraId="21C5F7C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3.00</w:t>
            </w:r>
          </w:p>
          <w:p w14:paraId="41233BA5">
            <w:pPr>
              <w:widowControl/>
              <w:spacing w:after="217" w:afterLines="50" w:line="320" w:lineRule="exact"/>
              <w:ind w:firstLine="0" w:firstLineChars="0"/>
              <w:jc w:val="center"/>
              <w:rPr>
                <w:rFonts w:eastAsia="宋体" w:cs="Times New Roman"/>
                <w:kern w:val="0"/>
                <w:sz w:val="20"/>
                <w:szCs w:val="20"/>
              </w:rPr>
            </w:pPr>
          </w:p>
        </w:tc>
        <w:tc>
          <w:tcPr>
            <w:tcW w:w="801" w:type="pct"/>
            <w:shd w:val="clear" w:color="auto" w:fill="auto"/>
            <w:vAlign w:val="center"/>
          </w:tcPr>
          <w:p w14:paraId="7FB40028">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考验司机工作时长、工作压力及工作福利，防止发生因司机疲劳驾驶或压力过大而产生的交通事故</w:t>
            </w:r>
          </w:p>
        </w:tc>
        <w:tc>
          <w:tcPr>
            <w:tcW w:w="958" w:type="pct"/>
            <w:shd w:val="clear" w:color="auto" w:fill="auto"/>
            <w:vAlign w:val="center"/>
          </w:tcPr>
          <w:p w14:paraId="3776E8D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通过人事信息及实地访谈得出</w:t>
            </w:r>
          </w:p>
        </w:tc>
        <w:tc>
          <w:tcPr>
            <w:tcW w:w="353" w:type="pct"/>
            <w:vAlign w:val="center"/>
          </w:tcPr>
          <w:p w14:paraId="67CFE9C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351" w:type="pct"/>
            <w:vAlign w:val="center"/>
          </w:tcPr>
          <w:p w14:paraId="2E497248">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66.67%</w:t>
            </w:r>
          </w:p>
        </w:tc>
        <w:tc>
          <w:tcPr>
            <w:tcW w:w="1479" w:type="pct"/>
            <w:vAlign w:val="center"/>
          </w:tcPr>
          <w:p w14:paraId="52B203F4">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实地访谈发现，部分公交司机反映工作时间较长，强度较大。司机工作时间从早上7点至下午6点半，日均往返驾驶8趟左右，间隔只有几分钟，中间吃饭休息时间半个小时左右。故扣1.00分。</w:t>
            </w:r>
          </w:p>
        </w:tc>
      </w:tr>
      <w:tr w14:paraId="52F72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252" w:type="pct"/>
            <w:vMerge w:val="continue"/>
            <w:vAlign w:val="center"/>
          </w:tcPr>
          <w:p w14:paraId="6B5C5FBD">
            <w:pPr>
              <w:widowControl/>
              <w:spacing w:after="217" w:afterLines="50" w:line="320" w:lineRule="exact"/>
              <w:ind w:firstLine="0" w:firstLineChars="0"/>
              <w:jc w:val="center"/>
              <w:rPr>
                <w:rFonts w:eastAsia="宋体" w:cs="Times New Roman"/>
                <w:kern w:val="0"/>
                <w:sz w:val="20"/>
                <w:szCs w:val="20"/>
              </w:rPr>
            </w:pPr>
          </w:p>
        </w:tc>
        <w:tc>
          <w:tcPr>
            <w:tcW w:w="252" w:type="pct"/>
            <w:vMerge w:val="restart"/>
            <w:shd w:val="clear" w:color="auto" w:fill="auto"/>
            <w:vAlign w:val="center"/>
          </w:tcPr>
          <w:p w14:paraId="51D1BE69">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财务</w:t>
            </w:r>
          </w:p>
          <w:p w14:paraId="76829995">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管理（10）</w:t>
            </w:r>
          </w:p>
        </w:tc>
        <w:tc>
          <w:tcPr>
            <w:tcW w:w="351" w:type="pct"/>
            <w:vAlign w:val="center"/>
          </w:tcPr>
          <w:p w14:paraId="0B4AE85C">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财务制度健全性</w:t>
            </w:r>
          </w:p>
        </w:tc>
        <w:tc>
          <w:tcPr>
            <w:tcW w:w="203" w:type="pct"/>
            <w:shd w:val="clear" w:color="auto" w:fill="auto"/>
            <w:vAlign w:val="center"/>
          </w:tcPr>
          <w:p w14:paraId="53C0D562">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3.00</w:t>
            </w:r>
          </w:p>
        </w:tc>
        <w:tc>
          <w:tcPr>
            <w:tcW w:w="801" w:type="pct"/>
            <w:shd w:val="clear" w:color="auto" w:fill="auto"/>
            <w:vAlign w:val="center"/>
          </w:tcPr>
          <w:p w14:paraId="27C6E0C7">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与项目实施的相关的财务管理制度和监督管理制度是否健全，用以反映和考核业务管理制度对项目顺利实施的保障情况和对资金规范、安全运行的保障情况。</w:t>
            </w:r>
          </w:p>
        </w:tc>
        <w:tc>
          <w:tcPr>
            <w:tcW w:w="958" w:type="pct"/>
            <w:shd w:val="clear" w:color="auto" w:fill="auto"/>
            <w:vAlign w:val="center"/>
          </w:tcPr>
          <w:p w14:paraId="13A9F369">
            <w:pPr>
              <w:widowControl/>
              <w:spacing w:after="217" w:afterLines="50" w:line="320" w:lineRule="exact"/>
              <w:ind w:firstLine="0" w:firstLineChars="0"/>
              <w:jc w:val="center"/>
              <w:rPr>
                <w:rFonts w:eastAsia="宋体" w:cs="Times New Roman"/>
                <w:kern w:val="0"/>
                <w:sz w:val="20"/>
                <w:szCs w:val="20"/>
              </w:rPr>
            </w:pPr>
            <w:bookmarkStart w:id="46" w:name="RANGE!G11"/>
            <w:r>
              <w:rPr>
                <w:rFonts w:hint="eastAsia" w:ascii="宋体" w:hAnsi="宋体" w:eastAsia="宋体" w:cs="宋体"/>
                <w:kern w:val="0"/>
                <w:sz w:val="20"/>
                <w:szCs w:val="20"/>
              </w:rPr>
              <w:t>①</w:t>
            </w:r>
            <w:r>
              <w:rPr>
                <w:rFonts w:eastAsia="宋体" w:cs="Times New Roman"/>
                <w:kern w:val="0"/>
                <w:sz w:val="20"/>
                <w:szCs w:val="20"/>
              </w:rPr>
              <w:t>具备适用于公交行业成本控制或管理的制度、办法或方案；</w:t>
            </w:r>
            <w:r>
              <w:rPr>
                <w:rFonts w:hint="eastAsia" w:ascii="宋体" w:hAnsi="宋体" w:eastAsia="宋体" w:cs="宋体"/>
                <w:kern w:val="0"/>
                <w:sz w:val="20"/>
                <w:szCs w:val="20"/>
              </w:rPr>
              <w:t>②</w:t>
            </w:r>
            <w:r>
              <w:rPr>
                <w:rFonts w:eastAsia="宋体" w:cs="Times New Roman"/>
                <w:kern w:val="0"/>
                <w:sz w:val="20"/>
                <w:szCs w:val="20"/>
              </w:rPr>
              <w:t>财务管理制度具备可操作性</w:t>
            </w:r>
            <w:bookmarkEnd w:id="46"/>
          </w:p>
        </w:tc>
        <w:tc>
          <w:tcPr>
            <w:tcW w:w="353" w:type="pct"/>
            <w:vAlign w:val="center"/>
          </w:tcPr>
          <w:p w14:paraId="79EBB0B3">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3.00</w:t>
            </w:r>
          </w:p>
        </w:tc>
        <w:tc>
          <w:tcPr>
            <w:tcW w:w="351" w:type="pct"/>
            <w:vAlign w:val="center"/>
          </w:tcPr>
          <w:p w14:paraId="61E6ADA6">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c>
          <w:tcPr>
            <w:tcW w:w="1479" w:type="pct"/>
            <w:vAlign w:val="center"/>
          </w:tcPr>
          <w:p w14:paraId="69A0A56D">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制定《绵竹市城市公共汽车营运补贴资金监督管理办法（实行）》（竹府办〔2019〕7号），合理界定城市公共汽车营运补贴范围和补贴标准，故未扣分。</w:t>
            </w:r>
          </w:p>
        </w:tc>
      </w:tr>
      <w:tr w14:paraId="08B1B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252" w:type="pct"/>
            <w:vMerge w:val="continue"/>
            <w:vAlign w:val="center"/>
          </w:tcPr>
          <w:p w14:paraId="6E42533E">
            <w:pPr>
              <w:widowControl/>
              <w:spacing w:after="217" w:afterLines="50" w:line="320" w:lineRule="exact"/>
              <w:ind w:firstLine="0" w:firstLineChars="0"/>
              <w:jc w:val="center"/>
              <w:rPr>
                <w:rFonts w:eastAsia="宋体" w:cs="Times New Roman"/>
                <w:kern w:val="0"/>
                <w:sz w:val="20"/>
                <w:szCs w:val="20"/>
              </w:rPr>
            </w:pPr>
          </w:p>
        </w:tc>
        <w:tc>
          <w:tcPr>
            <w:tcW w:w="252" w:type="pct"/>
            <w:vMerge w:val="continue"/>
            <w:vAlign w:val="center"/>
          </w:tcPr>
          <w:p w14:paraId="018074CD">
            <w:pPr>
              <w:widowControl/>
              <w:spacing w:after="217" w:afterLines="50" w:line="320" w:lineRule="exact"/>
              <w:ind w:firstLine="0" w:firstLineChars="0"/>
              <w:jc w:val="center"/>
              <w:rPr>
                <w:rFonts w:eastAsia="宋体" w:cs="Times New Roman"/>
                <w:kern w:val="0"/>
                <w:sz w:val="20"/>
                <w:szCs w:val="20"/>
              </w:rPr>
            </w:pPr>
          </w:p>
        </w:tc>
        <w:tc>
          <w:tcPr>
            <w:tcW w:w="351" w:type="pct"/>
            <w:vAlign w:val="center"/>
          </w:tcPr>
          <w:p w14:paraId="380D98F1">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资金使用合规性</w:t>
            </w:r>
          </w:p>
        </w:tc>
        <w:tc>
          <w:tcPr>
            <w:tcW w:w="203" w:type="pct"/>
            <w:shd w:val="clear" w:color="auto" w:fill="auto"/>
            <w:vAlign w:val="center"/>
          </w:tcPr>
          <w:p w14:paraId="7CB11F6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4.00</w:t>
            </w:r>
          </w:p>
        </w:tc>
        <w:tc>
          <w:tcPr>
            <w:tcW w:w="801" w:type="pct"/>
            <w:shd w:val="clear" w:color="auto" w:fill="auto"/>
            <w:vAlign w:val="center"/>
          </w:tcPr>
          <w:p w14:paraId="320FA803">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考察资金使用是否符合相关的财务管理制度规定，用以反映和考核项目资金的规范运行情况。</w:t>
            </w:r>
          </w:p>
        </w:tc>
        <w:tc>
          <w:tcPr>
            <w:tcW w:w="958" w:type="pct"/>
            <w:shd w:val="clear" w:color="auto" w:fill="auto"/>
            <w:vAlign w:val="center"/>
          </w:tcPr>
          <w:p w14:paraId="1DAD480B">
            <w:pPr>
              <w:widowControl/>
              <w:spacing w:after="217" w:afterLines="50" w:line="320" w:lineRule="exact"/>
              <w:ind w:firstLine="0" w:firstLineChars="0"/>
              <w:jc w:val="center"/>
              <w:rPr>
                <w:rFonts w:eastAsia="宋体" w:cs="Times New Roman"/>
                <w:kern w:val="0"/>
                <w:sz w:val="20"/>
                <w:szCs w:val="20"/>
              </w:rPr>
            </w:pPr>
            <w:bookmarkStart w:id="47" w:name="RANGE!G12"/>
            <w:r>
              <w:rPr>
                <w:rFonts w:hint="eastAsia" w:ascii="宋体" w:hAnsi="宋体" w:eastAsia="宋体" w:cs="宋体"/>
                <w:kern w:val="0"/>
                <w:sz w:val="20"/>
                <w:szCs w:val="20"/>
              </w:rPr>
              <w:t>①</w:t>
            </w:r>
            <w:r>
              <w:rPr>
                <w:rFonts w:eastAsia="宋体" w:cs="Times New Roman"/>
                <w:kern w:val="0"/>
                <w:sz w:val="20"/>
                <w:szCs w:val="20"/>
              </w:rPr>
              <w:t>是否符合国家财经法规和财务管理制度以及有关专项资金管理办法的规定；</w:t>
            </w:r>
            <w:r>
              <w:rPr>
                <w:rFonts w:hint="eastAsia" w:ascii="宋体" w:hAnsi="宋体" w:eastAsia="宋体" w:cs="宋体"/>
                <w:kern w:val="0"/>
                <w:sz w:val="20"/>
                <w:szCs w:val="20"/>
              </w:rPr>
              <w:t>②</w:t>
            </w:r>
            <w:r>
              <w:rPr>
                <w:rFonts w:eastAsia="宋体" w:cs="Times New Roman"/>
                <w:kern w:val="0"/>
                <w:sz w:val="20"/>
                <w:szCs w:val="20"/>
              </w:rPr>
              <w:t>资金的拨付是否有完整的审批程序和手续；</w:t>
            </w:r>
            <w:r>
              <w:rPr>
                <w:rFonts w:hint="eastAsia" w:ascii="宋体" w:hAnsi="宋体" w:eastAsia="宋体" w:cs="宋体"/>
                <w:kern w:val="0"/>
                <w:sz w:val="20"/>
                <w:szCs w:val="20"/>
              </w:rPr>
              <w:t>③</w:t>
            </w:r>
            <w:r>
              <w:rPr>
                <w:rFonts w:eastAsia="宋体" w:cs="Times New Roman"/>
                <w:kern w:val="0"/>
                <w:sz w:val="20"/>
                <w:szCs w:val="20"/>
              </w:rPr>
              <w:t>项目的重大开支是否经过评估认证；</w:t>
            </w:r>
            <w:r>
              <w:rPr>
                <w:rFonts w:hint="eastAsia" w:ascii="宋体" w:hAnsi="宋体" w:eastAsia="宋体" w:cs="宋体"/>
                <w:kern w:val="0"/>
                <w:sz w:val="20"/>
                <w:szCs w:val="20"/>
              </w:rPr>
              <w:t>④</w:t>
            </w:r>
            <w:r>
              <w:rPr>
                <w:rFonts w:eastAsia="宋体" w:cs="Times New Roman"/>
                <w:kern w:val="0"/>
                <w:sz w:val="20"/>
                <w:szCs w:val="20"/>
              </w:rPr>
              <w:t>是否符合项目预算批复或合同规定的用途；</w:t>
            </w:r>
            <w:r>
              <w:rPr>
                <w:rFonts w:hint="eastAsia" w:ascii="宋体" w:hAnsi="宋体" w:eastAsia="宋体" w:cs="宋体"/>
                <w:kern w:val="0"/>
                <w:sz w:val="20"/>
                <w:szCs w:val="20"/>
              </w:rPr>
              <w:t>⑤</w:t>
            </w:r>
            <w:r>
              <w:rPr>
                <w:rFonts w:eastAsia="宋体" w:cs="Times New Roman"/>
                <w:kern w:val="0"/>
                <w:sz w:val="20"/>
                <w:szCs w:val="20"/>
              </w:rPr>
              <w:t>是否存在截留、挤占、挪用、虚列支出等情况</w:t>
            </w:r>
            <w:bookmarkEnd w:id="47"/>
          </w:p>
        </w:tc>
        <w:tc>
          <w:tcPr>
            <w:tcW w:w="353" w:type="pct"/>
            <w:vAlign w:val="center"/>
          </w:tcPr>
          <w:p w14:paraId="1BB19661">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4.00</w:t>
            </w:r>
          </w:p>
        </w:tc>
        <w:tc>
          <w:tcPr>
            <w:tcW w:w="351" w:type="pct"/>
            <w:vAlign w:val="center"/>
          </w:tcPr>
          <w:p w14:paraId="06E2CC8D">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c>
          <w:tcPr>
            <w:tcW w:w="1479" w:type="pct"/>
            <w:vAlign w:val="center"/>
          </w:tcPr>
          <w:p w14:paraId="45CDF15F">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资金使用符合国家财经法规和财务管理制度以及有关专项资金管理办法的规定；资金的拨付有完整的审批程序和手续，未发现截留、挤占、挪用、虚列支出等情况，故未扣分。</w:t>
            </w:r>
          </w:p>
        </w:tc>
      </w:tr>
      <w:tr w14:paraId="3AB71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252" w:type="pct"/>
            <w:vMerge w:val="continue"/>
            <w:vAlign w:val="center"/>
          </w:tcPr>
          <w:p w14:paraId="2441696F">
            <w:pPr>
              <w:widowControl/>
              <w:spacing w:after="217" w:afterLines="50" w:line="320" w:lineRule="exact"/>
              <w:ind w:firstLine="0" w:firstLineChars="0"/>
              <w:jc w:val="center"/>
              <w:rPr>
                <w:rFonts w:eastAsia="宋体" w:cs="Times New Roman"/>
                <w:kern w:val="0"/>
                <w:sz w:val="20"/>
                <w:szCs w:val="20"/>
              </w:rPr>
            </w:pPr>
          </w:p>
        </w:tc>
        <w:tc>
          <w:tcPr>
            <w:tcW w:w="252" w:type="pct"/>
            <w:vMerge w:val="continue"/>
            <w:vAlign w:val="center"/>
          </w:tcPr>
          <w:p w14:paraId="7C7698EB">
            <w:pPr>
              <w:widowControl/>
              <w:spacing w:after="217" w:afterLines="50" w:line="320" w:lineRule="exact"/>
              <w:ind w:firstLine="0" w:firstLineChars="0"/>
              <w:jc w:val="center"/>
              <w:rPr>
                <w:rFonts w:eastAsia="宋体" w:cs="Times New Roman"/>
                <w:kern w:val="0"/>
                <w:sz w:val="20"/>
                <w:szCs w:val="20"/>
              </w:rPr>
            </w:pPr>
          </w:p>
        </w:tc>
        <w:tc>
          <w:tcPr>
            <w:tcW w:w="351" w:type="pct"/>
            <w:vAlign w:val="center"/>
          </w:tcPr>
          <w:p w14:paraId="6CD56827">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财务监控到位性</w:t>
            </w:r>
          </w:p>
        </w:tc>
        <w:tc>
          <w:tcPr>
            <w:tcW w:w="203" w:type="pct"/>
            <w:shd w:val="clear" w:color="auto" w:fill="auto"/>
            <w:vAlign w:val="center"/>
          </w:tcPr>
          <w:p w14:paraId="520998E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3.00</w:t>
            </w:r>
          </w:p>
        </w:tc>
        <w:tc>
          <w:tcPr>
            <w:tcW w:w="801" w:type="pct"/>
            <w:shd w:val="clear" w:color="auto" w:fill="auto"/>
            <w:vAlign w:val="center"/>
          </w:tcPr>
          <w:p w14:paraId="553ABB31">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考察主管单位对于公交公司财务监控情况，用以反映财务监控到位性。</w:t>
            </w:r>
          </w:p>
        </w:tc>
        <w:tc>
          <w:tcPr>
            <w:tcW w:w="958" w:type="pct"/>
            <w:shd w:val="clear" w:color="auto" w:fill="auto"/>
            <w:vAlign w:val="center"/>
          </w:tcPr>
          <w:p w14:paraId="492C1D45">
            <w:pPr>
              <w:widowControl/>
              <w:spacing w:after="217" w:afterLines="50" w:line="320" w:lineRule="exact"/>
              <w:ind w:firstLine="0" w:firstLineChars="0"/>
              <w:jc w:val="center"/>
              <w:rPr>
                <w:rFonts w:eastAsia="宋体" w:cs="Times New Roman"/>
                <w:kern w:val="0"/>
                <w:sz w:val="20"/>
                <w:szCs w:val="20"/>
              </w:rPr>
            </w:pPr>
            <w:bookmarkStart w:id="48" w:name="RANGE!G13"/>
            <w:r>
              <w:rPr>
                <w:rFonts w:eastAsia="宋体" w:cs="Times New Roman"/>
                <w:kern w:val="0"/>
                <w:sz w:val="20"/>
                <w:szCs w:val="20"/>
              </w:rPr>
              <w:t>根据公交行业管理网格及各部门职能，主管部门、财政部门及公交公司需要对亏损补贴资金进行监管。</w:t>
            </w:r>
            <w:r>
              <w:rPr>
                <w:rFonts w:hint="eastAsia" w:ascii="宋体" w:hAnsi="宋体" w:eastAsia="宋体" w:cs="宋体"/>
                <w:kern w:val="0"/>
                <w:sz w:val="20"/>
                <w:szCs w:val="20"/>
              </w:rPr>
              <w:t>①</w:t>
            </w:r>
            <w:r>
              <w:rPr>
                <w:rFonts w:eastAsia="宋体" w:cs="Times New Roman"/>
                <w:kern w:val="0"/>
                <w:sz w:val="20"/>
                <w:szCs w:val="20"/>
              </w:rPr>
              <w:t>主管部门是否对资金使用进行及时到位的监管，并有监管留痕文件；</w:t>
            </w:r>
            <w:r>
              <w:rPr>
                <w:rFonts w:hint="eastAsia" w:ascii="宋体" w:hAnsi="宋体" w:eastAsia="宋体" w:cs="宋体"/>
                <w:kern w:val="0"/>
                <w:sz w:val="20"/>
                <w:szCs w:val="20"/>
              </w:rPr>
              <w:t>②</w:t>
            </w:r>
            <w:r>
              <w:rPr>
                <w:rFonts w:eastAsia="宋体" w:cs="Times New Roman"/>
                <w:kern w:val="0"/>
                <w:sz w:val="20"/>
                <w:szCs w:val="20"/>
              </w:rPr>
              <w:t>财政部门是否对资金使用进行及时到位的监管，并有监管留痕文件；</w:t>
            </w:r>
            <w:r>
              <w:rPr>
                <w:rFonts w:hint="eastAsia" w:ascii="宋体" w:hAnsi="宋体" w:eastAsia="宋体" w:cs="宋体"/>
                <w:kern w:val="0"/>
                <w:sz w:val="20"/>
                <w:szCs w:val="20"/>
              </w:rPr>
              <w:t>③</w:t>
            </w:r>
            <w:r>
              <w:rPr>
                <w:rFonts w:eastAsia="宋体" w:cs="Times New Roman"/>
                <w:kern w:val="0"/>
                <w:sz w:val="20"/>
                <w:szCs w:val="20"/>
              </w:rPr>
              <w:t>公交公司是否对资金使用情况进行及时到位的监管，并有监管留痕文件</w:t>
            </w:r>
            <w:bookmarkEnd w:id="48"/>
          </w:p>
        </w:tc>
        <w:tc>
          <w:tcPr>
            <w:tcW w:w="353" w:type="pct"/>
            <w:vAlign w:val="center"/>
          </w:tcPr>
          <w:p w14:paraId="3C6BAB12">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3.00</w:t>
            </w:r>
          </w:p>
        </w:tc>
        <w:tc>
          <w:tcPr>
            <w:tcW w:w="351" w:type="pct"/>
            <w:vAlign w:val="center"/>
          </w:tcPr>
          <w:p w14:paraId="098EA49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c>
          <w:tcPr>
            <w:tcW w:w="1479" w:type="pct"/>
            <w:vAlign w:val="center"/>
          </w:tcPr>
          <w:p w14:paraId="404BE5A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调研过程中未发现财务监控不到位的情况，故未扣分。</w:t>
            </w:r>
          </w:p>
        </w:tc>
      </w:tr>
      <w:tr w14:paraId="4DC0C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52" w:type="pct"/>
            <w:vMerge w:val="restart"/>
            <w:shd w:val="clear" w:color="auto" w:fill="auto"/>
            <w:vAlign w:val="center"/>
          </w:tcPr>
          <w:p w14:paraId="1CACDA0C">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政策</w:t>
            </w:r>
          </w:p>
          <w:p w14:paraId="2E35B15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结果（65）</w:t>
            </w:r>
          </w:p>
        </w:tc>
        <w:tc>
          <w:tcPr>
            <w:tcW w:w="252" w:type="pct"/>
            <w:vMerge w:val="restart"/>
            <w:shd w:val="clear" w:color="auto" w:fill="auto"/>
            <w:vAlign w:val="center"/>
          </w:tcPr>
          <w:p w14:paraId="5CE01151">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产出</w:t>
            </w:r>
          </w:p>
          <w:p w14:paraId="1B0546AA">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数量（15）</w:t>
            </w:r>
          </w:p>
        </w:tc>
        <w:tc>
          <w:tcPr>
            <w:tcW w:w="351" w:type="pct"/>
            <w:vAlign w:val="center"/>
          </w:tcPr>
          <w:p w14:paraId="3474B35D">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营运里程数</w:t>
            </w:r>
          </w:p>
        </w:tc>
        <w:tc>
          <w:tcPr>
            <w:tcW w:w="203" w:type="pct"/>
            <w:shd w:val="clear" w:color="auto" w:fill="auto"/>
            <w:vAlign w:val="center"/>
          </w:tcPr>
          <w:p w14:paraId="7C11B4D3">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8.00</w:t>
            </w:r>
          </w:p>
        </w:tc>
        <w:tc>
          <w:tcPr>
            <w:tcW w:w="801" w:type="pct"/>
            <w:shd w:val="clear" w:color="auto" w:fill="auto"/>
            <w:vAlign w:val="center"/>
          </w:tcPr>
          <w:p w14:paraId="4E52EBC7">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考察运营里程数任务完成情况</w:t>
            </w:r>
          </w:p>
        </w:tc>
        <w:tc>
          <w:tcPr>
            <w:tcW w:w="958" w:type="pct"/>
            <w:shd w:val="clear" w:color="auto" w:fill="auto"/>
            <w:vAlign w:val="center"/>
          </w:tcPr>
          <w:p w14:paraId="5E2C0523">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项目绩效目标申报表年度指标值</w:t>
            </w:r>
          </w:p>
        </w:tc>
        <w:tc>
          <w:tcPr>
            <w:tcW w:w="353" w:type="pct"/>
            <w:vAlign w:val="center"/>
          </w:tcPr>
          <w:p w14:paraId="59CDF35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7.58</w:t>
            </w:r>
          </w:p>
        </w:tc>
        <w:tc>
          <w:tcPr>
            <w:tcW w:w="351" w:type="pct"/>
            <w:vAlign w:val="center"/>
          </w:tcPr>
          <w:p w14:paraId="4CFE4D51">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94.71%</w:t>
            </w:r>
          </w:p>
        </w:tc>
        <w:tc>
          <w:tcPr>
            <w:tcW w:w="1479" w:type="pct"/>
            <w:vAlign w:val="center"/>
          </w:tcPr>
          <w:p w14:paraId="52E8F30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根据《2020年度城市公交运营补贴政策支出绩效目标基本情况表》， 2020年度绵竹市计划城市公交车运营总里程为634万公里，2019年绵竹市宏运公司实际行驶里程538.26万公里，未达成绩效目标值。为排除疫情影响，2020年1-3月的公里数按照2019年同期计算，调整后2020年公里数约为600.82公里，计算公式为：600.32/634*8*100%=7.58</w:t>
            </w:r>
          </w:p>
        </w:tc>
      </w:tr>
      <w:tr w14:paraId="300B6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252" w:type="pct"/>
            <w:vMerge w:val="continue"/>
            <w:vAlign w:val="center"/>
          </w:tcPr>
          <w:p w14:paraId="777652F6">
            <w:pPr>
              <w:widowControl/>
              <w:spacing w:after="217" w:afterLines="50" w:line="320" w:lineRule="exact"/>
              <w:ind w:firstLine="0" w:firstLineChars="0"/>
              <w:jc w:val="center"/>
              <w:rPr>
                <w:rFonts w:eastAsia="宋体" w:cs="Times New Roman"/>
                <w:kern w:val="0"/>
                <w:sz w:val="20"/>
                <w:szCs w:val="20"/>
              </w:rPr>
            </w:pPr>
          </w:p>
        </w:tc>
        <w:tc>
          <w:tcPr>
            <w:tcW w:w="252" w:type="pct"/>
            <w:vMerge w:val="continue"/>
            <w:vAlign w:val="center"/>
          </w:tcPr>
          <w:p w14:paraId="1159B236">
            <w:pPr>
              <w:widowControl/>
              <w:spacing w:after="217" w:afterLines="50" w:line="320" w:lineRule="exact"/>
              <w:ind w:firstLine="0" w:firstLineChars="0"/>
              <w:jc w:val="center"/>
              <w:rPr>
                <w:rFonts w:eastAsia="宋体" w:cs="Times New Roman"/>
                <w:kern w:val="0"/>
                <w:sz w:val="20"/>
                <w:szCs w:val="20"/>
              </w:rPr>
            </w:pPr>
          </w:p>
        </w:tc>
        <w:tc>
          <w:tcPr>
            <w:tcW w:w="351" w:type="pct"/>
            <w:vAlign w:val="center"/>
          </w:tcPr>
          <w:p w14:paraId="39168B6C">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营运载客量（仅免费人群）</w:t>
            </w:r>
          </w:p>
        </w:tc>
        <w:tc>
          <w:tcPr>
            <w:tcW w:w="203" w:type="pct"/>
            <w:shd w:val="clear" w:color="auto" w:fill="auto"/>
            <w:vAlign w:val="center"/>
          </w:tcPr>
          <w:p w14:paraId="30EF84DA">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7.00</w:t>
            </w:r>
          </w:p>
        </w:tc>
        <w:tc>
          <w:tcPr>
            <w:tcW w:w="801" w:type="pct"/>
            <w:shd w:val="clear" w:color="auto" w:fill="auto"/>
            <w:vAlign w:val="center"/>
          </w:tcPr>
          <w:p w14:paraId="6FC87822">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考察运营载客量任务完成情况</w:t>
            </w:r>
          </w:p>
        </w:tc>
        <w:tc>
          <w:tcPr>
            <w:tcW w:w="958" w:type="pct"/>
            <w:shd w:val="clear" w:color="auto" w:fill="auto"/>
            <w:vAlign w:val="center"/>
          </w:tcPr>
          <w:p w14:paraId="78B5A17D">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通过公交公司的基础业务数据分析</w:t>
            </w:r>
          </w:p>
        </w:tc>
        <w:tc>
          <w:tcPr>
            <w:tcW w:w="353" w:type="pct"/>
            <w:vAlign w:val="center"/>
          </w:tcPr>
          <w:p w14:paraId="6B014366">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6.66</w:t>
            </w:r>
          </w:p>
        </w:tc>
        <w:tc>
          <w:tcPr>
            <w:tcW w:w="351" w:type="pct"/>
            <w:vAlign w:val="center"/>
          </w:tcPr>
          <w:p w14:paraId="2A839E29">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95.14%</w:t>
            </w:r>
          </w:p>
        </w:tc>
        <w:tc>
          <w:tcPr>
            <w:tcW w:w="1479" w:type="pct"/>
            <w:vAlign w:val="center"/>
          </w:tcPr>
          <w:p w14:paraId="16575959">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2020年免费刷卡人次约为2719885，2019年免费刷卡人次为2859166，由此可见运载客运量持续下降，计算公式为2719885/2859166*7*100%=6.66。</w:t>
            </w:r>
          </w:p>
        </w:tc>
      </w:tr>
      <w:tr w14:paraId="61B5F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52" w:type="pct"/>
            <w:vMerge w:val="continue"/>
            <w:vAlign w:val="center"/>
          </w:tcPr>
          <w:p w14:paraId="4046911A">
            <w:pPr>
              <w:widowControl/>
              <w:spacing w:after="217" w:afterLines="50" w:line="320" w:lineRule="exact"/>
              <w:ind w:firstLine="0" w:firstLineChars="0"/>
              <w:jc w:val="center"/>
              <w:rPr>
                <w:rFonts w:eastAsia="宋体" w:cs="Times New Roman"/>
                <w:kern w:val="0"/>
                <w:sz w:val="20"/>
                <w:szCs w:val="20"/>
              </w:rPr>
            </w:pPr>
          </w:p>
        </w:tc>
        <w:tc>
          <w:tcPr>
            <w:tcW w:w="252" w:type="pct"/>
            <w:shd w:val="clear" w:color="auto" w:fill="auto"/>
            <w:vAlign w:val="center"/>
          </w:tcPr>
          <w:p w14:paraId="2D355019">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产出质量（5</w:t>
            </w:r>
            <w:r>
              <w:rPr>
                <w:rFonts w:hint="eastAsia" w:eastAsia="宋体" w:cs="Times New Roman"/>
                <w:kern w:val="0"/>
                <w:sz w:val="20"/>
                <w:szCs w:val="20"/>
              </w:rPr>
              <w:t>分</w:t>
            </w:r>
            <w:r>
              <w:rPr>
                <w:rFonts w:eastAsia="宋体" w:cs="Times New Roman"/>
                <w:kern w:val="0"/>
                <w:sz w:val="20"/>
                <w:szCs w:val="20"/>
              </w:rPr>
              <w:t>）</w:t>
            </w:r>
          </w:p>
        </w:tc>
        <w:tc>
          <w:tcPr>
            <w:tcW w:w="351" w:type="pct"/>
            <w:vAlign w:val="center"/>
          </w:tcPr>
          <w:p w14:paraId="714E8D58">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站台信息准确性</w:t>
            </w:r>
          </w:p>
        </w:tc>
        <w:tc>
          <w:tcPr>
            <w:tcW w:w="203" w:type="pct"/>
            <w:shd w:val="clear" w:color="auto" w:fill="auto"/>
            <w:vAlign w:val="center"/>
          </w:tcPr>
          <w:p w14:paraId="6D9166FF">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801" w:type="pct"/>
            <w:shd w:val="clear" w:color="auto" w:fill="auto"/>
            <w:vAlign w:val="center"/>
          </w:tcPr>
          <w:p w14:paraId="7E29328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考察公交站点信息准确性</w:t>
            </w:r>
          </w:p>
        </w:tc>
        <w:tc>
          <w:tcPr>
            <w:tcW w:w="958" w:type="pct"/>
            <w:shd w:val="clear" w:color="auto" w:fill="auto"/>
            <w:vAlign w:val="center"/>
          </w:tcPr>
          <w:p w14:paraId="0D855D69">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通过实地勘察及问卷走访得出</w:t>
            </w:r>
          </w:p>
        </w:tc>
        <w:tc>
          <w:tcPr>
            <w:tcW w:w="353" w:type="pct"/>
            <w:vAlign w:val="center"/>
          </w:tcPr>
          <w:p w14:paraId="505D474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351" w:type="pct"/>
            <w:vAlign w:val="center"/>
          </w:tcPr>
          <w:p w14:paraId="25856416">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c>
          <w:tcPr>
            <w:tcW w:w="1479" w:type="pct"/>
            <w:vAlign w:val="center"/>
          </w:tcPr>
          <w:p w14:paraId="095D774A">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车辆信息到站时间准确，其他站台车辆线路信息基本准确。问卷调查中乘客普遍认为站台信息准确。</w:t>
            </w:r>
          </w:p>
        </w:tc>
      </w:tr>
      <w:tr w14:paraId="1D44A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252" w:type="pct"/>
            <w:vMerge w:val="continue"/>
            <w:vAlign w:val="center"/>
          </w:tcPr>
          <w:p w14:paraId="1CBC65D5">
            <w:pPr>
              <w:widowControl/>
              <w:spacing w:after="217" w:afterLines="50" w:line="320" w:lineRule="exact"/>
              <w:ind w:firstLine="0" w:firstLineChars="0"/>
              <w:jc w:val="center"/>
              <w:rPr>
                <w:rFonts w:eastAsia="宋体" w:cs="Times New Roman"/>
                <w:kern w:val="0"/>
                <w:sz w:val="20"/>
                <w:szCs w:val="20"/>
              </w:rPr>
            </w:pPr>
          </w:p>
        </w:tc>
        <w:tc>
          <w:tcPr>
            <w:tcW w:w="252" w:type="pct"/>
            <w:shd w:val="clear" w:color="auto" w:fill="auto"/>
            <w:vAlign w:val="center"/>
          </w:tcPr>
          <w:p w14:paraId="1D6CDE0D">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产出成本（8</w:t>
            </w:r>
            <w:r>
              <w:rPr>
                <w:rFonts w:hint="eastAsia" w:eastAsia="宋体" w:cs="Times New Roman"/>
                <w:kern w:val="0"/>
                <w:sz w:val="20"/>
                <w:szCs w:val="20"/>
              </w:rPr>
              <w:t>分</w:t>
            </w:r>
            <w:r>
              <w:rPr>
                <w:rFonts w:eastAsia="宋体" w:cs="Times New Roman"/>
                <w:kern w:val="0"/>
                <w:sz w:val="20"/>
                <w:szCs w:val="20"/>
              </w:rPr>
              <w:t>）</w:t>
            </w:r>
          </w:p>
        </w:tc>
        <w:tc>
          <w:tcPr>
            <w:tcW w:w="351" w:type="pct"/>
            <w:vAlign w:val="center"/>
          </w:tcPr>
          <w:p w14:paraId="748F486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千公里营运成本节约率</w:t>
            </w:r>
          </w:p>
        </w:tc>
        <w:tc>
          <w:tcPr>
            <w:tcW w:w="203" w:type="pct"/>
            <w:shd w:val="clear" w:color="auto" w:fill="auto"/>
            <w:vAlign w:val="center"/>
          </w:tcPr>
          <w:p w14:paraId="37D88FCC">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8.00</w:t>
            </w:r>
          </w:p>
        </w:tc>
        <w:tc>
          <w:tcPr>
            <w:tcW w:w="801" w:type="pct"/>
            <w:shd w:val="clear" w:color="auto" w:fill="auto"/>
            <w:vAlign w:val="center"/>
          </w:tcPr>
          <w:p w14:paraId="0A1167F2">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考核2020年千公里营运成本与2019年相比，同比节约的情况。</w:t>
            </w:r>
          </w:p>
        </w:tc>
        <w:tc>
          <w:tcPr>
            <w:tcW w:w="958" w:type="pct"/>
            <w:shd w:val="clear" w:color="auto" w:fill="auto"/>
            <w:vAlign w:val="center"/>
          </w:tcPr>
          <w:p w14:paraId="58CD526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通过对比2019与2020年基础运营数据分析</w:t>
            </w:r>
          </w:p>
        </w:tc>
        <w:tc>
          <w:tcPr>
            <w:tcW w:w="353" w:type="pct"/>
            <w:vAlign w:val="center"/>
          </w:tcPr>
          <w:p w14:paraId="57E0238C">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8.00</w:t>
            </w:r>
          </w:p>
        </w:tc>
        <w:tc>
          <w:tcPr>
            <w:tcW w:w="351" w:type="pct"/>
            <w:vAlign w:val="center"/>
          </w:tcPr>
          <w:p w14:paraId="4CC086A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c>
          <w:tcPr>
            <w:tcW w:w="1479" w:type="pct"/>
            <w:vAlign w:val="center"/>
          </w:tcPr>
          <w:p w14:paraId="10FB8C5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2020年绵竹公交全年完成总行驶里程6,008,272.85公里，主营业务成本为15,160,541.27元，营运成本为2.52元/公里；2019年总行驶里程为5,836,485.49公里，主营业务成本为15,874,599.76元，营运成本为2.72元/公里。与2019年相比，2020年每公里营运成本同比</w:t>
            </w:r>
            <w:r>
              <w:rPr>
                <w:rFonts w:hint="eastAsia" w:eastAsia="宋体" w:cs="Times New Roman"/>
                <w:kern w:val="0"/>
                <w:sz w:val="20"/>
                <w:szCs w:val="20"/>
              </w:rPr>
              <w:t>下降7</w:t>
            </w:r>
            <w:r>
              <w:rPr>
                <w:rFonts w:eastAsia="宋体" w:cs="Times New Roman"/>
                <w:kern w:val="0"/>
                <w:sz w:val="20"/>
                <w:szCs w:val="20"/>
              </w:rPr>
              <w:t>.25%。</w:t>
            </w:r>
          </w:p>
        </w:tc>
      </w:tr>
      <w:tr w14:paraId="67D09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252" w:type="pct"/>
            <w:vMerge w:val="restart"/>
            <w:shd w:val="clear" w:color="auto" w:fill="auto"/>
            <w:vAlign w:val="center"/>
          </w:tcPr>
          <w:p w14:paraId="6EA3D082">
            <w:pPr>
              <w:widowControl/>
              <w:spacing w:after="217" w:afterLines="50" w:line="320" w:lineRule="exact"/>
              <w:ind w:firstLine="0" w:firstLineChars="0"/>
              <w:jc w:val="center"/>
              <w:rPr>
                <w:rFonts w:eastAsia="宋体" w:cs="Times New Roman"/>
                <w:kern w:val="0"/>
                <w:sz w:val="20"/>
                <w:szCs w:val="20"/>
              </w:rPr>
            </w:pPr>
          </w:p>
        </w:tc>
        <w:tc>
          <w:tcPr>
            <w:tcW w:w="252" w:type="pct"/>
            <w:vMerge w:val="restart"/>
            <w:shd w:val="clear" w:color="auto" w:fill="auto"/>
            <w:vAlign w:val="center"/>
          </w:tcPr>
          <w:p w14:paraId="461B3AFD">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社会效益（10</w:t>
            </w:r>
            <w:r>
              <w:rPr>
                <w:rFonts w:hint="eastAsia" w:eastAsia="宋体" w:cs="Times New Roman"/>
                <w:kern w:val="0"/>
                <w:sz w:val="20"/>
                <w:szCs w:val="20"/>
              </w:rPr>
              <w:t>分</w:t>
            </w:r>
            <w:r>
              <w:rPr>
                <w:rFonts w:eastAsia="宋体" w:cs="Times New Roman"/>
                <w:kern w:val="0"/>
                <w:sz w:val="20"/>
                <w:szCs w:val="20"/>
              </w:rPr>
              <w:t>）</w:t>
            </w:r>
          </w:p>
        </w:tc>
        <w:tc>
          <w:tcPr>
            <w:tcW w:w="351" w:type="pct"/>
            <w:vAlign w:val="center"/>
          </w:tcPr>
          <w:p w14:paraId="1DB2D261">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定制公交服务体系</w:t>
            </w:r>
          </w:p>
        </w:tc>
        <w:tc>
          <w:tcPr>
            <w:tcW w:w="203" w:type="pct"/>
            <w:shd w:val="clear" w:color="auto" w:fill="auto"/>
            <w:vAlign w:val="center"/>
          </w:tcPr>
          <w:p w14:paraId="703D9E3D">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801" w:type="pct"/>
            <w:shd w:val="clear" w:color="auto" w:fill="auto"/>
            <w:vAlign w:val="center"/>
          </w:tcPr>
          <w:p w14:paraId="06EC838C">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考察公交公司开设夜班车、旅游观光车、职工通勤班车、校园专线、机场专线等不同类型定制客运的情况。</w:t>
            </w:r>
          </w:p>
        </w:tc>
        <w:tc>
          <w:tcPr>
            <w:tcW w:w="958" w:type="pct"/>
            <w:shd w:val="clear" w:color="auto" w:fill="auto"/>
            <w:vAlign w:val="center"/>
          </w:tcPr>
          <w:p w14:paraId="3A7F4F3A">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开设夜班车、旅游观光车、职工通勤班车、校园专线、机场专线等不同类型定制客运的情况</w:t>
            </w:r>
          </w:p>
        </w:tc>
        <w:tc>
          <w:tcPr>
            <w:tcW w:w="353" w:type="pct"/>
            <w:vAlign w:val="center"/>
          </w:tcPr>
          <w:p w14:paraId="410F34D8">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4.00</w:t>
            </w:r>
          </w:p>
        </w:tc>
        <w:tc>
          <w:tcPr>
            <w:tcW w:w="351" w:type="pct"/>
            <w:vAlign w:val="center"/>
          </w:tcPr>
          <w:p w14:paraId="7F6B14F6">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80.00%</w:t>
            </w:r>
          </w:p>
        </w:tc>
        <w:tc>
          <w:tcPr>
            <w:tcW w:w="1479" w:type="pct"/>
            <w:vAlign w:val="center"/>
          </w:tcPr>
          <w:p w14:paraId="4A10210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调研发现，2020年宏运公交公司开设和发展职工通勤班车、校园专线、活动专线等，总体而言，绵竹公交定制化服务处于起步与发展阶段，但依旧存在夜班线路停运的问题，未能很好地适应乘客多元出行需求。故针对该指标，扣除1分。</w:t>
            </w:r>
          </w:p>
        </w:tc>
      </w:tr>
      <w:tr w14:paraId="60F5B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52" w:type="pct"/>
            <w:vMerge w:val="continue"/>
            <w:vAlign w:val="center"/>
          </w:tcPr>
          <w:p w14:paraId="4748CD46">
            <w:pPr>
              <w:widowControl/>
              <w:spacing w:after="217" w:afterLines="50" w:line="320" w:lineRule="exact"/>
              <w:ind w:firstLine="0" w:firstLineChars="0"/>
              <w:jc w:val="center"/>
              <w:rPr>
                <w:rFonts w:eastAsia="宋体" w:cs="Times New Roman"/>
                <w:kern w:val="0"/>
                <w:sz w:val="20"/>
                <w:szCs w:val="20"/>
              </w:rPr>
            </w:pPr>
          </w:p>
        </w:tc>
        <w:tc>
          <w:tcPr>
            <w:tcW w:w="252" w:type="pct"/>
            <w:vMerge w:val="continue"/>
            <w:vAlign w:val="center"/>
          </w:tcPr>
          <w:p w14:paraId="4EF7C208">
            <w:pPr>
              <w:widowControl/>
              <w:spacing w:after="217" w:afterLines="50" w:line="320" w:lineRule="exact"/>
              <w:ind w:firstLine="0" w:firstLineChars="0"/>
              <w:jc w:val="center"/>
              <w:rPr>
                <w:rFonts w:eastAsia="宋体" w:cs="Times New Roman"/>
                <w:kern w:val="0"/>
                <w:sz w:val="20"/>
                <w:szCs w:val="20"/>
              </w:rPr>
            </w:pPr>
          </w:p>
        </w:tc>
        <w:tc>
          <w:tcPr>
            <w:tcW w:w="351" w:type="pct"/>
            <w:vAlign w:val="center"/>
          </w:tcPr>
          <w:p w14:paraId="11DB9150">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公交政策性优惠情况</w:t>
            </w:r>
          </w:p>
        </w:tc>
        <w:tc>
          <w:tcPr>
            <w:tcW w:w="203" w:type="pct"/>
            <w:shd w:val="clear" w:color="auto" w:fill="auto"/>
            <w:vAlign w:val="center"/>
          </w:tcPr>
          <w:p w14:paraId="2F626CD3">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801" w:type="pct"/>
            <w:shd w:val="clear" w:color="auto" w:fill="auto"/>
            <w:vAlign w:val="center"/>
          </w:tcPr>
          <w:p w14:paraId="6DF5AE6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考核免费卡刷卡人次数是否达标。</w:t>
            </w:r>
          </w:p>
        </w:tc>
        <w:tc>
          <w:tcPr>
            <w:tcW w:w="958" w:type="pct"/>
            <w:shd w:val="clear" w:color="auto" w:fill="auto"/>
            <w:vAlign w:val="center"/>
          </w:tcPr>
          <w:p w14:paraId="053141ED">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项目绩效目标申报表年度指标值</w:t>
            </w:r>
          </w:p>
        </w:tc>
        <w:tc>
          <w:tcPr>
            <w:tcW w:w="353" w:type="pct"/>
            <w:vAlign w:val="center"/>
          </w:tcPr>
          <w:p w14:paraId="4DBAC8BC">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4.76</w:t>
            </w:r>
          </w:p>
        </w:tc>
        <w:tc>
          <w:tcPr>
            <w:tcW w:w="351" w:type="pct"/>
            <w:vAlign w:val="center"/>
          </w:tcPr>
          <w:p w14:paraId="11B3B183">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95.20%</w:t>
            </w:r>
          </w:p>
        </w:tc>
        <w:tc>
          <w:tcPr>
            <w:tcW w:w="1479" w:type="pct"/>
            <w:vAlign w:val="center"/>
          </w:tcPr>
          <w:p w14:paraId="35ADA091">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2020年各类免费卡刷卡2434072人次，调整后免费卡刷卡人次为2719885（2020年1-3月数据参考2019年同期），比2019年同期下降4.78%。</w:t>
            </w:r>
          </w:p>
        </w:tc>
      </w:tr>
      <w:tr w14:paraId="28462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52" w:type="pct"/>
            <w:vMerge w:val="continue"/>
            <w:vAlign w:val="center"/>
          </w:tcPr>
          <w:p w14:paraId="4DFE1368">
            <w:pPr>
              <w:widowControl/>
              <w:spacing w:after="217" w:afterLines="50" w:line="320" w:lineRule="exact"/>
              <w:ind w:firstLine="0" w:firstLineChars="0"/>
              <w:jc w:val="center"/>
              <w:rPr>
                <w:rFonts w:eastAsia="宋体" w:cs="Times New Roman"/>
                <w:kern w:val="0"/>
                <w:sz w:val="20"/>
                <w:szCs w:val="20"/>
              </w:rPr>
            </w:pPr>
          </w:p>
        </w:tc>
        <w:tc>
          <w:tcPr>
            <w:tcW w:w="252" w:type="pct"/>
            <w:shd w:val="clear" w:color="auto" w:fill="auto"/>
            <w:vAlign w:val="center"/>
          </w:tcPr>
          <w:p w14:paraId="2D59A233">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生态效益（5</w:t>
            </w:r>
            <w:r>
              <w:rPr>
                <w:rFonts w:hint="eastAsia" w:eastAsia="宋体" w:cs="Times New Roman"/>
                <w:kern w:val="0"/>
                <w:sz w:val="20"/>
                <w:szCs w:val="20"/>
              </w:rPr>
              <w:t>分</w:t>
            </w:r>
            <w:r>
              <w:rPr>
                <w:rFonts w:eastAsia="宋体" w:cs="Times New Roman"/>
                <w:kern w:val="0"/>
                <w:sz w:val="20"/>
                <w:szCs w:val="20"/>
              </w:rPr>
              <w:t>）</w:t>
            </w:r>
          </w:p>
        </w:tc>
        <w:tc>
          <w:tcPr>
            <w:tcW w:w="351" w:type="pct"/>
            <w:vAlign w:val="center"/>
          </w:tcPr>
          <w:p w14:paraId="62B0409D">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清洁能源和新能源城市公交车辆比例</w:t>
            </w:r>
          </w:p>
        </w:tc>
        <w:tc>
          <w:tcPr>
            <w:tcW w:w="203" w:type="pct"/>
            <w:shd w:val="clear" w:color="auto" w:fill="auto"/>
            <w:vAlign w:val="center"/>
          </w:tcPr>
          <w:p w14:paraId="1EABA8D2">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801" w:type="pct"/>
            <w:shd w:val="clear" w:color="auto" w:fill="auto"/>
            <w:vAlign w:val="center"/>
          </w:tcPr>
          <w:p w14:paraId="3A783557">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考察清洁能源和新能源城市公交车辆比例完成情况</w:t>
            </w:r>
          </w:p>
        </w:tc>
        <w:tc>
          <w:tcPr>
            <w:tcW w:w="958" w:type="pct"/>
            <w:shd w:val="clear" w:color="auto" w:fill="auto"/>
            <w:vAlign w:val="center"/>
          </w:tcPr>
          <w:p w14:paraId="30A31529">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四川省政府出台《四川省推进运输结构调整三年行动计划实施方案》规定，到2020年新能源车辆和达到国六排放标准清洁能源车辆的比例超过50.00%</w:t>
            </w:r>
          </w:p>
        </w:tc>
        <w:tc>
          <w:tcPr>
            <w:tcW w:w="353" w:type="pct"/>
            <w:vAlign w:val="center"/>
          </w:tcPr>
          <w:p w14:paraId="7B6F9577">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351" w:type="pct"/>
            <w:vAlign w:val="center"/>
          </w:tcPr>
          <w:p w14:paraId="02C5F2B1">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c>
          <w:tcPr>
            <w:tcW w:w="1479" w:type="pct"/>
            <w:vAlign w:val="center"/>
          </w:tcPr>
          <w:p w14:paraId="7EFC1889">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绵竹市区现有公交车97辆，其中新能源车辆60辆，占比61.86%，超过标准值50%。</w:t>
            </w:r>
          </w:p>
        </w:tc>
      </w:tr>
      <w:tr w14:paraId="2B87C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252" w:type="pct"/>
            <w:vMerge w:val="continue"/>
            <w:vAlign w:val="center"/>
          </w:tcPr>
          <w:p w14:paraId="276D9A9A">
            <w:pPr>
              <w:widowControl/>
              <w:spacing w:after="217" w:afterLines="50" w:line="320" w:lineRule="exact"/>
              <w:ind w:firstLine="0" w:firstLineChars="0"/>
              <w:jc w:val="center"/>
              <w:rPr>
                <w:rFonts w:eastAsia="宋体" w:cs="Times New Roman"/>
                <w:kern w:val="0"/>
                <w:sz w:val="20"/>
                <w:szCs w:val="20"/>
              </w:rPr>
            </w:pPr>
          </w:p>
        </w:tc>
        <w:tc>
          <w:tcPr>
            <w:tcW w:w="252" w:type="pct"/>
            <w:vMerge w:val="restart"/>
            <w:shd w:val="clear" w:color="auto" w:fill="auto"/>
            <w:vAlign w:val="center"/>
          </w:tcPr>
          <w:p w14:paraId="32D0C03E">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可持续影响（10</w:t>
            </w:r>
            <w:r>
              <w:rPr>
                <w:rFonts w:hint="eastAsia" w:eastAsia="宋体" w:cs="Times New Roman"/>
                <w:kern w:val="0"/>
                <w:sz w:val="20"/>
                <w:szCs w:val="20"/>
              </w:rPr>
              <w:t>分</w:t>
            </w:r>
            <w:r>
              <w:rPr>
                <w:rFonts w:eastAsia="宋体" w:cs="Times New Roman"/>
                <w:kern w:val="0"/>
                <w:sz w:val="20"/>
                <w:szCs w:val="20"/>
              </w:rPr>
              <w:t>）</w:t>
            </w:r>
          </w:p>
        </w:tc>
        <w:tc>
          <w:tcPr>
            <w:tcW w:w="351" w:type="pct"/>
            <w:vAlign w:val="center"/>
          </w:tcPr>
          <w:p w14:paraId="0D6BCA24">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主营业务收入</w:t>
            </w:r>
          </w:p>
        </w:tc>
        <w:tc>
          <w:tcPr>
            <w:tcW w:w="203" w:type="pct"/>
            <w:shd w:val="clear" w:color="auto" w:fill="auto"/>
            <w:vAlign w:val="center"/>
          </w:tcPr>
          <w:p w14:paraId="7B3682B8">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801" w:type="pct"/>
            <w:shd w:val="clear" w:color="auto" w:fill="auto"/>
            <w:vAlign w:val="center"/>
          </w:tcPr>
          <w:p w14:paraId="7541BD29">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考察公交公司主营业务收入同比增幅情况。</w:t>
            </w:r>
          </w:p>
        </w:tc>
        <w:tc>
          <w:tcPr>
            <w:tcW w:w="958" w:type="pct"/>
            <w:shd w:val="clear" w:color="auto" w:fill="auto"/>
            <w:vAlign w:val="center"/>
          </w:tcPr>
          <w:p w14:paraId="7602B285">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项目绩效目标申报表年度指标值</w:t>
            </w:r>
          </w:p>
        </w:tc>
        <w:tc>
          <w:tcPr>
            <w:tcW w:w="353" w:type="pct"/>
            <w:vAlign w:val="center"/>
          </w:tcPr>
          <w:p w14:paraId="6087966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351" w:type="pct"/>
            <w:vAlign w:val="center"/>
          </w:tcPr>
          <w:p w14:paraId="4CA27BAF">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c>
          <w:tcPr>
            <w:tcW w:w="1479" w:type="pct"/>
            <w:vAlign w:val="center"/>
          </w:tcPr>
          <w:p w14:paraId="106FC93C">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根据利润表，绵竹公交2020年主营业务收入为1461.92万元，2019年主营业务收入为1325.57万元，同比增长10.29%，故未扣分。</w:t>
            </w:r>
          </w:p>
        </w:tc>
      </w:tr>
      <w:tr w14:paraId="1B5FD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252" w:type="pct"/>
            <w:vMerge w:val="continue"/>
            <w:vAlign w:val="center"/>
          </w:tcPr>
          <w:p w14:paraId="123A1827">
            <w:pPr>
              <w:widowControl/>
              <w:spacing w:after="217" w:afterLines="50" w:line="320" w:lineRule="exact"/>
              <w:ind w:firstLine="0" w:firstLineChars="0"/>
              <w:jc w:val="center"/>
              <w:rPr>
                <w:rFonts w:eastAsia="宋体" w:cs="Times New Roman"/>
                <w:kern w:val="0"/>
                <w:sz w:val="20"/>
                <w:szCs w:val="20"/>
              </w:rPr>
            </w:pPr>
          </w:p>
        </w:tc>
        <w:tc>
          <w:tcPr>
            <w:tcW w:w="252" w:type="pct"/>
            <w:vMerge w:val="continue"/>
            <w:vAlign w:val="center"/>
          </w:tcPr>
          <w:p w14:paraId="59BD5A1F">
            <w:pPr>
              <w:widowControl/>
              <w:spacing w:after="217" w:afterLines="50" w:line="320" w:lineRule="exact"/>
              <w:ind w:firstLine="0" w:firstLineChars="0"/>
              <w:jc w:val="center"/>
              <w:rPr>
                <w:rFonts w:eastAsia="宋体" w:cs="Times New Roman"/>
                <w:kern w:val="0"/>
                <w:sz w:val="20"/>
                <w:szCs w:val="20"/>
              </w:rPr>
            </w:pPr>
          </w:p>
        </w:tc>
        <w:tc>
          <w:tcPr>
            <w:tcW w:w="351" w:type="pct"/>
            <w:vAlign w:val="center"/>
          </w:tcPr>
          <w:p w14:paraId="50373BD1">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营业外收入</w:t>
            </w:r>
          </w:p>
        </w:tc>
        <w:tc>
          <w:tcPr>
            <w:tcW w:w="203" w:type="pct"/>
            <w:shd w:val="clear" w:color="auto" w:fill="auto"/>
            <w:vAlign w:val="center"/>
          </w:tcPr>
          <w:p w14:paraId="71FE919F">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801" w:type="pct"/>
            <w:shd w:val="clear" w:color="auto" w:fill="auto"/>
            <w:vAlign w:val="center"/>
          </w:tcPr>
          <w:p w14:paraId="4E2572A7">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考察公交公司开拓经济收益渠道，提供多样化公交服务体系的情况。</w:t>
            </w:r>
          </w:p>
        </w:tc>
        <w:tc>
          <w:tcPr>
            <w:tcW w:w="958" w:type="pct"/>
            <w:shd w:val="clear" w:color="auto" w:fill="auto"/>
            <w:vAlign w:val="center"/>
          </w:tcPr>
          <w:p w14:paraId="0DAC4E1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评价公交公司强化市场化开拓，增加公交外包收入，与新增公交车辆相配比增加车身广告收入、车载电视广告收入等进展</w:t>
            </w:r>
          </w:p>
        </w:tc>
        <w:tc>
          <w:tcPr>
            <w:tcW w:w="353" w:type="pct"/>
            <w:vAlign w:val="center"/>
          </w:tcPr>
          <w:p w14:paraId="263D28B1">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351" w:type="pct"/>
            <w:vAlign w:val="center"/>
          </w:tcPr>
          <w:p w14:paraId="134EE1B3">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c>
          <w:tcPr>
            <w:tcW w:w="1479" w:type="pct"/>
            <w:vAlign w:val="center"/>
          </w:tcPr>
          <w:p w14:paraId="543549DF">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根据利润表，绵竹公交2020年营业外收入为204.35万元，2019年主营业务收入为15.18万元，故未扣分。</w:t>
            </w:r>
          </w:p>
        </w:tc>
      </w:tr>
      <w:tr w14:paraId="763B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52" w:type="pct"/>
            <w:vMerge w:val="continue"/>
            <w:vAlign w:val="center"/>
          </w:tcPr>
          <w:p w14:paraId="461CF2DE">
            <w:pPr>
              <w:widowControl/>
              <w:spacing w:after="217" w:afterLines="50" w:line="320" w:lineRule="exact"/>
              <w:ind w:firstLine="0" w:firstLineChars="0"/>
              <w:jc w:val="center"/>
              <w:rPr>
                <w:rFonts w:eastAsia="宋体" w:cs="Times New Roman"/>
                <w:kern w:val="0"/>
                <w:sz w:val="20"/>
                <w:szCs w:val="20"/>
              </w:rPr>
            </w:pPr>
          </w:p>
        </w:tc>
        <w:tc>
          <w:tcPr>
            <w:tcW w:w="252" w:type="pct"/>
            <w:shd w:val="clear" w:color="auto" w:fill="auto"/>
            <w:vAlign w:val="center"/>
          </w:tcPr>
          <w:p w14:paraId="5F9DF65A">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城市公共交通满意度（10</w:t>
            </w:r>
            <w:r>
              <w:rPr>
                <w:rFonts w:hint="eastAsia" w:eastAsia="宋体" w:cs="Times New Roman"/>
                <w:kern w:val="0"/>
                <w:sz w:val="20"/>
                <w:szCs w:val="20"/>
              </w:rPr>
              <w:t>分</w:t>
            </w:r>
            <w:r>
              <w:rPr>
                <w:rFonts w:eastAsia="宋体" w:cs="Times New Roman"/>
                <w:kern w:val="0"/>
                <w:sz w:val="20"/>
                <w:szCs w:val="20"/>
              </w:rPr>
              <w:t>）</w:t>
            </w:r>
          </w:p>
        </w:tc>
        <w:tc>
          <w:tcPr>
            <w:tcW w:w="351" w:type="pct"/>
            <w:vAlign w:val="center"/>
          </w:tcPr>
          <w:p w14:paraId="4A00D461">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乘客满意度</w:t>
            </w:r>
          </w:p>
        </w:tc>
        <w:tc>
          <w:tcPr>
            <w:tcW w:w="203" w:type="pct"/>
            <w:shd w:val="clear" w:color="auto" w:fill="auto"/>
            <w:vAlign w:val="center"/>
          </w:tcPr>
          <w:p w14:paraId="1CE0667B">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10</w:t>
            </w:r>
          </w:p>
        </w:tc>
        <w:tc>
          <w:tcPr>
            <w:tcW w:w="801" w:type="pct"/>
            <w:shd w:val="clear" w:color="auto" w:fill="auto"/>
            <w:vAlign w:val="center"/>
          </w:tcPr>
          <w:p w14:paraId="67C83CF8">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采取调查问卷等形式了解公交乘客满意度，包括票价满意度、便捷满意度、速度满意度、安全满意度、服务满意度等维度。</w:t>
            </w:r>
          </w:p>
        </w:tc>
        <w:tc>
          <w:tcPr>
            <w:tcW w:w="958" w:type="pct"/>
            <w:shd w:val="clear" w:color="auto" w:fill="auto"/>
            <w:vAlign w:val="center"/>
          </w:tcPr>
          <w:p w14:paraId="07D7F075">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根据乘客满意度问卷得分进行评判</w:t>
            </w:r>
          </w:p>
        </w:tc>
        <w:tc>
          <w:tcPr>
            <w:tcW w:w="353" w:type="pct"/>
            <w:vAlign w:val="center"/>
          </w:tcPr>
          <w:p w14:paraId="02305D5F">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8.46</w:t>
            </w:r>
          </w:p>
        </w:tc>
        <w:tc>
          <w:tcPr>
            <w:tcW w:w="351" w:type="pct"/>
            <w:vAlign w:val="center"/>
          </w:tcPr>
          <w:p w14:paraId="147AC714">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84.60%</w:t>
            </w:r>
          </w:p>
        </w:tc>
        <w:tc>
          <w:tcPr>
            <w:tcW w:w="1479" w:type="pct"/>
            <w:vAlign w:val="center"/>
          </w:tcPr>
          <w:p w14:paraId="4533FB45">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乘客总体满意度为84.60%，达到标准值85.00%。</w:t>
            </w:r>
          </w:p>
        </w:tc>
      </w:tr>
      <w:tr w14:paraId="6008F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855" w:type="pct"/>
            <w:gridSpan w:val="3"/>
            <w:vAlign w:val="center"/>
          </w:tcPr>
          <w:p w14:paraId="386CBD56">
            <w:pPr>
              <w:widowControl/>
              <w:spacing w:after="217" w:afterLines="50" w:line="320" w:lineRule="exact"/>
              <w:ind w:firstLine="0" w:firstLineChars="0"/>
              <w:jc w:val="center"/>
              <w:rPr>
                <w:rFonts w:eastAsia="宋体" w:cs="Times New Roman"/>
                <w:b/>
                <w:bCs/>
                <w:kern w:val="0"/>
                <w:sz w:val="20"/>
                <w:szCs w:val="20"/>
              </w:rPr>
            </w:pPr>
            <w:r>
              <w:rPr>
                <w:rFonts w:eastAsia="宋体" w:cs="Times New Roman"/>
                <w:b/>
                <w:bCs/>
                <w:kern w:val="0"/>
                <w:sz w:val="20"/>
                <w:szCs w:val="20"/>
              </w:rPr>
              <w:t>合计</w:t>
            </w:r>
          </w:p>
        </w:tc>
        <w:tc>
          <w:tcPr>
            <w:tcW w:w="203" w:type="pct"/>
            <w:vAlign w:val="center"/>
          </w:tcPr>
          <w:p w14:paraId="3EA85466">
            <w:pPr>
              <w:widowControl/>
              <w:spacing w:after="217" w:afterLines="50" w:line="320" w:lineRule="exact"/>
              <w:ind w:firstLine="0" w:firstLineChars="0"/>
              <w:jc w:val="center"/>
              <w:rPr>
                <w:rFonts w:eastAsia="宋体" w:cs="Times New Roman"/>
                <w:b/>
                <w:bCs/>
                <w:kern w:val="0"/>
                <w:sz w:val="20"/>
                <w:szCs w:val="20"/>
              </w:rPr>
            </w:pPr>
            <w:r>
              <w:rPr>
                <w:rFonts w:eastAsia="宋体" w:cs="Times New Roman"/>
                <w:b/>
                <w:bCs/>
                <w:kern w:val="0"/>
                <w:sz w:val="20"/>
                <w:szCs w:val="20"/>
              </w:rPr>
              <w:t>100</w:t>
            </w:r>
          </w:p>
        </w:tc>
        <w:tc>
          <w:tcPr>
            <w:tcW w:w="1759" w:type="pct"/>
            <w:gridSpan w:val="2"/>
            <w:vAlign w:val="center"/>
          </w:tcPr>
          <w:p w14:paraId="611CDEF5">
            <w:pPr>
              <w:widowControl/>
              <w:spacing w:after="217" w:afterLines="50" w:line="320" w:lineRule="exact"/>
              <w:ind w:firstLine="0" w:firstLineChars="0"/>
              <w:jc w:val="center"/>
              <w:rPr>
                <w:rFonts w:eastAsia="宋体" w:cs="Times New Roman"/>
                <w:b/>
                <w:bCs/>
                <w:kern w:val="0"/>
                <w:sz w:val="20"/>
                <w:szCs w:val="20"/>
              </w:rPr>
            </w:pPr>
            <w:r>
              <w:rPr>
                <w:rFonts w:eastAsia="宋体" w:cs="Times New Roman"/>
                <w:b/>
                <w:bCs/>
                <w:kern w:val="0"/>
                <w:sz w:val="20"/>
                <w:szCs w:val="20"/>
              </w:rPr>
              <w:t>-</w:t>
            </w:r>
          </w:p>
        </w:tc>
        <w:tc>
          <w:tcPr>
            <w:tcW w:w="353" w:type="pct"/>
            <w:vAlign w:val="center"/>
          </w:tcPr>
          <w:p w14:paraId="2BA24621">
            <w:pPr>
              <w:widowControl/>
              <w:spacing w:after="217" w:afterLines="50" w:line="320" w:lineRule="exact"/>
              <w:ind w:firstLine="0" w:firstLineChars="0"/>
              <w:jc w:val="center"/>
              <w:rPr>
                <w:rFonts w:eastAsia="宋体" w:cs="Times New Roman"/>
                <w:b/>
                <w:bCs/>
                <w:kern w:val="0"/>
                <w:sz w:val="20"/>
                <w:szCs w:val="20"/>
              </w:rPr>
            </w:pPr>
            <w:r>
              <w:rPr>
                <w:rFonts w:eastAsia="宋体" w:cs="Times New Roman"/>
                <w:b/>
                <w:bCs/>
                <w:kern w:val="0"/>
                <w:sz w:val="20"/>
                <w:szCs w:val="20"/>
              </w:rPr>
              <w:t>92.46</w:t>
            </w:r>
          </w:p>
        </w:tc>
        <w:tc>
          <w:tcPr>
            <w:tcW w:w="351" w:type="pct"/>
            <w:vAlign w:val="center"/>
          </w:tcPr>
          <w:p w14:paraId="0B6933C3">
            <w:pPr>
              <w:widowControl/>
              <w:spacing w:after="217" w:afterLines="50" w:line="320" w:lineRule="exact"/>
              <w:ind w:firstLine="0" w:firstLineChars="0"/>
              <w:jc w:val="center"/>
              <w:rPr>
                <w:rFonts w:eastAsia="宋体" w:cs="Times New Roman"/>
                <w:b/>
                <w:bCs/>
                <w:kern w:val="0"/>
                <w:sz w:val="20"/>
                <w:szCs w:val="20"/>
              </w:rPr>
            </w:pPr>
            <w:r>
              <w:rPr>
                <w:rFonts w:eastAsia="宋体" w:cs="Times New Roman"/>
                <w:b/>
                <w:bCs/>
                <w:kern w:val="0"/>
                <w:sz w:val="20"/>
                <w:szCs w:val="20"/>
              </w:rPr>
              <w:t>92.46%</w:t>
            </w:r>
          </w:p>
        </w:tc>
        <w:tc>
          <w:tcPr>
            <w:tcW w:w="1479" w:type="pct"/>
            <w:vAlign w:val="center"/>
          </w:tcPr>
          <w:p w14:paraId="5DF37629">
            <w:pPr>
              <w:widowControl/>
              <w:spacing w:after="217" w:afterLines="50" w:line="320" w:lineRule="exact"/>
              <w:ind w:firstLine="0" w:firstLineChars="0"/>
              <w:jc w:val="center"/>
              <w:rPr>
                <w:rFonts w:eastAsia="宋体" w:cs="Times New Roman"/>
                <w:kern w:val="0"/>
                <w:sz w:val="20"/>
                <w:szCs w:val="20"/>
              </w:rPr>
            </w:pPr>
            <w:r>
              <w:rPr>
                <w:rFonts w:eastAsia="宋体" w:cs="Times New Roman"/>
                <w:kern w:val="0"/>
                <w:sz w:val="20"/>
                <w:szCs w:val="20"/>
              </w:rPr>
              <w:t>——</w:t>
            </w:r>
          </w:p>
        </w:tc>
      </w:tr>
    </w:tbl>
    <w:p w14:paraId="03141391">
      <w:pPr>
        <w:spacing w:after="217" w:afterLines="50"/>
        <w:ind w:firstLine="0" w:firstLineChars="0"/>
        <w:rPr>
          <w:rFonts w:cs="Times New Roman"/>
        </w:rPr>
        <w:sectPr>
          <w:pgSz w:w="16838" w:h="11906" w:orient="landscape"/>
          <w:pgMar w:top="1800" w:right="1440" w:bottom="1800" w:left="1440" w:header="851" w:footer="992" w:gutter="0"/>
          <w:cols w:space="425" w:num="1"/>
          <w:docGrid w:type="lines" w:linePitch="435" w:charSpace="0"/>
        </w:sectPr>
      </w:pPr>
    </w:p>
    <w:p w14:paraId="31886482">
      <w:pPr>
        <w:pStyle w:val="2"/>
        <w:spacing w:after="120" w:afterLines="50"/>
        <w:ind w:firstLine="723"/>
        <w:rPr>
          <w:rFonts w:cs="Times New Roman"/>
        </w:rPr>
      </w:pPr>
      <w:bookmarkStart w:id="49" w:name="_Toc78668823"/>
      <w:r>
        <w:rPr>
          <w:rFonts w:cs="Times New Roman"/>
        </w:rPr>
        <w:t>附件3 问卷调查结构分析</w:t>
      </w:r>
      <w:bookmarkEnd w:id="49"/>
    </w:p>
    <w:p w14:paraId="3BD454DC">
      <w:pPr>
        <w:spacing w:after="120" w:afterLines="50"/>
        <w:ind w:firstLine="640"/>
        <w:rPr>
          <w:rFonts w:cs="Times New Roman"/>
        </w:rPr>
      </w:pPr>
      <w:r>
        <w:rPr>
          <w:rFonts w:cs="Times New Roman"/>
        </w:rPr>
        <w:t>本次问卷调查对象为乘坐公交出行的绵竹市市民。问卷调查对城市公共汽车营运及服务质量情况展开满意度调查。调查显示，受访者对绵竹公共交通总体满意度为84.60分，满意度良好。问卷调查具体结果见下文：</w:t>
      </w:r>
    </w:p>
    <w:p w14:paraId="6F76FE88">
      <w:pPr>
        <w:keepNext/>
        <w:keepLines/>
        <w:widowControl/>
        <w:pBdr>
          <w:top w:val="none" w:color="auto" w:sz="0" w:space="0"/>
          <w:left w:val="none" w:color="auto" w:sz="0" w:space="0"/>
          <w:bottom w:val="none" w:color="auto" w:sz="0" w:space="0"/>
          <w:right w:val="none" w:color="auto" w:sz="0" w:space="0"/>
          <w:between w:val="none" w:color="auto" w:sz="0" w:space="0"/>
        </w:pBdr>
        <w:spacing w:after="120" w:afterLines="50"/>
        <w:ind w:firstLine="643"/>
        <w:outlineLvl w:val="1"/>
        <w:rPr>
          <w:rFonts w:eastAsia="楷体_GB2312" w:cs="Times New Roman"/>
          <w:b/>
          <w:bCs/>
          <w:color w:val="000000"/>
          <w:kern w:val="0"/>
          <w:szCs w:val="32"/>
          <w:lang w:val="zh-CN"/>
        </w:rPr>
      </w:pPr>
      <w:bookmarkStart w:id="50" w:name="_Toc78668824"/>
      <w:r>
        <w:rPr>
          <w:rFonts w:hint="eastAsia" w:eastAsia="楷体_GB2312" w:cs="Times New Roman"/>
          <w:b/>
          <w:bCs/>
          <w:color w:val="000000"/>
          <w:kern w:val="0"/>
          <w:szCs w:val="32"/>
          <w:lang w:val="zh-CN"/>
        </w:rPr>
        <w:t>（一）</w:t>
      </w:r>
      <w:r>
        <w:rPr>
          <w:rFonts w:eastAsia="楷体_GB2312" w:cs="Times New Roman"/>
          <w:b/>
          <w:bCs/>
          <w:color w:val="000000"/>
          <w:kern w:val="0"/>
          <w:szCs w:val="32"/>
          <w:lang w:val="zh-CN"/>
        </w:rPr>
        <w:t>乘客乘车与候车意愿</w:t>
      </w:r>
      <w:bookmarkEnd w:id="50"/>
    </w:p>
    <w:p w14:paraId="1E93AACD">
      <w:pPr>
        <w:spacing w:after="120" w:afterLines="50"/>
        <w:ind w:firstLine="640"/>
        <w:rPr>
          <w:rFonts w:cs="Times New Roman"/>
          <w:lang w:val="zh-CN"/>
        </w:rPr>
      </w:pPr>
      <w:r>
        <w:rPr>
          <w:rFonts w:cs="Times New Roman"/>
          <w:lang w:val="zh-CN"/>
        </w:rPr>
        <w:t>在公交候车方面，愿意花费6-10分钟等待公交车的乘客最多，占比为39.00%，其次是愿意花费15分钟以上等待的乘客，占比为22.22%，愿意在3分钟以内等候公交车的乘客仅占比为2.00%；75.56%乘客在候车超过10分钟后会选择其他交通方式。</w:t>
      </w:r>
    </w:p>
    <w:p w14:paraId="3FC3CD65">
      <w:pPr>
        <w:spacing w:after="120" w:afterLines="50"/>
        <w:ind w:firstLine="640"/>
        <w:rPr>
          <w:rFonts w:cs="Times New Roman"/>
          <w:lang w:val="zh-CN"/>
        </w:rPr>
      </w:pPr>
      <w:r>
        <w:rPr>
          <w:rFonts w:cs="Times New Roman"/>
          <w:lang w:val="zh-CN"/>
        </w:rPr>
        <w:t>在出门到公交站耗时方面，73.34%乘客从出门到公交站点一般在6分钟以内，15.56%乘客从出门到公交站耗时6-10分钟，11.12%乘客从出门到公交站耗时10分钟及以上。</w:t>
      </w:r>
    </w:p>
    <w:p w14:paraId="5A615B79">
      <w:pPr>
        <w:spacing w:after="120" w:afterLines="50"/>
        <w:ind w:firstLine="0" w:firstLineChars="0"/>
        <w:jc w:val="center"/>
        <w:rPr>
          <w:rFonts w:eastAsia="幼圆" w:cs="Times New Roman"/>
          <w:b/>
          <w:bCs/>
          <w:sz w:val="28"/>
          <w:szCs w:val="28"/>
          <w:lang w:val="zh-CN"/>
        </w:rPr>
      </w:pPr>
      <w:r>
        <w:rPr>
          <w:rFonts w:cs="Times New Roman"/>
        </w:rPr>
        <w:drawing>
          <wp:anchor distT="0" distB="0" distL="114300" distR="114300" simplePos="0" relativeHeight="251659264" behindDoc="0" locked="0" layoutInCell="1" allowOverlap="1">
            <wp:simplePos x="0" y="0"/>
            <wp:positionH relativeFrom="column">
              <wp:posOffset>763905</wp:posOffset>
            </wp:positionH>
            <wp:positionV relativeFrom="paragraph">
              <wp:posOffset>140970</wp:posOffset>
            </wp:positionV>
            <wp:extent cx="4641215" cy="2708910"/>
            <wp:effectExtent l="0" t="0" r="0" b="0"/>
            <wp:wrapTopAndBottom/>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Pr>
          <w:rFonts w:eastAsia="幼圆" w:cs="Times New Roman"/>
          <w:b/>
          <w:bCs/>
          <w:sz w:val="28"/>
          <w:szCs w:val="28"/>
          <w:lang w:val="zh-CN"/>
        </w:rPr>
        <w:t>附图 乘客候车意愿及耗时情况</w:t>
      </w:r>
    </w:p>
    <w:p w14:paraId="228DC93D">
      <w:pPr>
        <w:spacing w:after="120" w:afterLines="50"/>
        <w:ind w:firstLine="640"/>
        <w:rPr>
          <w:rFonts w:cs="Times New Roman"/>
          <w:lang w:val="zh-CN"/>
        </w:rPr>
      </w:pPr>
      <w:r>
        <w:rPr>
          <w:rFonts w:cs="Times New Roman"/>
        </w:rPr>
        <w:drawing>
          <wp:anchor distT="0" distB="0" distL="114300" distR="114300" simplePos="0" relativeHeight="251660288" behindDoc="0" locked="0" layoutInCell="1" allowOverlap="1">
            <wp:simplePos x="0" y="0"/>
            <wp:positionH relativeFrom="column">
              <wp:posOffset>506730</wp:posOffset>
            </wp:positionH>
            <wp:positionV relativeFrom="paragraph">
              <wp:posOffset>1223010</wp:posOffset>
            </wp:positionV>
            <wp:extent cx="5295900" cy="2146935"/>
            <wp:effectExtent l="0" t="0" r="0" b="5715"/>
            <wp:wrapTopAndBottom/>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r>
        <w:rPr>
          <w:rFonts w:cs="Times New Roman"/>
          <w:lang w:val="zh-CN"/>
        </w:rPr>
        <w:t>在乘车耗时方面，88.89%乘客乘车耗时20分钟以内，6.67%乘客乘车耗时20-30分钟以内，2.22%乘客乘车耗时40分钟及以上。这表明选乘公交车的市民一般是近距离出行。</w:t>
      </w:r>
    </w:p>
    <w:p w14:paraId="6E23A35D">
      <w:pPr>
        <w:spacing w:after="120" w:afterLines="50"/>
        <w:ind w:firstLine="0" w:firstLineChars="0"/>
        <w:jc w:val="center"/>
        <w:rPr>
          <w:rFonts w:cs="Times New Roman"/>
          <w:lang w:val="zh-CN"/>
        </w:rPr>
      </w:pPr>
      <w:r>
        <w:rPr>
          <w:rFonts w:eastAsia="幼圆" w:cs="Times New Roman"/>
          <w:b/>
          <w:bCs/>
          <w:sz w:val="28"/>
          <w:szCs w:val="21"/>
          <w:lang w:val="zh-CN"/>
        </w:rPr>
        <w:t xml:space="preserve">附图 </w:t>
      </w:r>
      <w:bookmarkStart w:id="51" w:name="_Hlk76415640"/>
      <w:r>
        <w:rPr>
          <w:rFonts w:eastAsia="幼圆" w:cs="Times New Roman"/>
          <w:b/>
          <w:bCs/>
          <w:sz w:val="28"/>
          <w:szCs w:val="21"/>
          <w:lang w:val="zh-CN"/>
        </w:rPr>
        <w:t>乘客</w:t>
      </w:r>
      <w:bookmarkEnd w:id="51"/>
      <w:r>
        <w:rPr>
          <w:rFonts w:eastAsia="幼圆" w:cs="Times New Roman"/>
          <w:b/>
          <w:bCs/>
          <w:sz w:val="28"/>
          <w:szCs w:val="21"/>
          <w:lang w:val="zh-CN"/>
        </w:rPr>
        <w:t>乘车耗时（上车-下车）</w:t>
      </w:r>
    </w:p>
    <w:p w14:paraId="67E0D7B0">
      <w:pPr>
        <w:keepNext/>
        <w:keepLines/>
        <w:widowControl/>
        <w:pBdr>
          <w:top w:val="none" w:color="auto" w:sz="0" w:space="0"/>
          <w:left w:val="none" w:color="auto" w:sz="0" w:space="0"/>
          <w:bottom w:val="none" w:color="auto" w:sz="0" w:space="0"/>
          <w:right w:val="none" w:color="auto" w:sz="0" w:space="0"/>
          <w:between w:val="none" w:color="auto" w:sz="0" w:space="0"/>
        </w:pBdr>
        <w:spacing w:after="120" w:afterLines="50"/>
        <w:ind w:firstLine="643"/>
        <w:outlineLvl w:val="1"/>
        <w:rPr>
          <w:rFonts w:eastAsia="楷体_GB2312" w:cs="Times New Roman"/>
          <w:b/>
          <w:bCs/>
          <w:color w:val="000000"/>
          <w:kern w:val="0"/>
          <w:szCs w:val="32"/>
          <w:lang w:val="zh-CN"/>
        </w:rPr>
      </w:pPr>
      <w:bookmarkStart w:id="52" w:name="_Toc78668825"/>
      <w:r>
        <w:rPr>
          <w:rFonts w:hint="eastAsia" w:eastAsia="楷体_GB2312" w:cs="Times New Roman"/>
          <w:b/>
          <w:bCs/>
          <w:color w:val="000000"/>
          <w:kern w:val="0"/>
          <w:szCs w:val="32"/>
          <w:lang w:val="zh-CN"/>
        </w:rPr>
        <w:t>（二）</w:t>
      </w:r>
      <w:r>
        <w:rPr>
          <w:rFonts w:eastAsia="楷体_GB2312" w:cs="Times New Roman"/>
          <w:b/>
          <w:bCs/>
          <w:color w:val="000000"/>
          <w:kern w:val="0"/>
          <w:szCs w:val="32"/>
          <w:lang w:val="zh-CN"/>
        </w:rPr>
        <w:t>乘车基本情况</w:t>
      </w:r>
      <w:bookmarkEnd w:id="52"/>
    </w:p>
    <w:p w14:paraId="2B4AFECC">
      <w:pPr>
        <w:pStyle w:val="4"/>
        <w:spacing w:after="120" w:afterLines="50"/>
        <w:ind w:firstLine="643"/>
        <w:rPr>
          <w:rFonts w:cs="Times New Roman"/>
          <w:lang w:val="zh-CN"/>
        </w:rPr>
      </w:pPr>
      <w:bookmarkStart w:id="53" w:name="_Toc78668826"/>
      <w:r>
        <w:rPr>
          <w:rFonts w:cs="Times New Roman"/>
          <w:lang w:val="zh-CN"/>
        </w:rPr>
        <w:t>1.乘车方便度</w:t>
      </w:r>
      <w:bookmarkEnd w:id="53"/>
    </w:p>
    <w:p w14:paraId="6EDC8EE6">
      <w:pPr>
        <w:spacing w:after="120" w:afterLines="50"/>
        <w:ind w:firstLine="640"/>
        <w:rPr>
          <w:rFonts w:cs="Times New Roman"/>
          <w:lang w:val="zh-CN"/>
        </w:rPr>
      </w:pPr>
      <w:r>
        <w:rPr>
          <w:rFonts w:cs="Times New Roman"/>
        </w:rPr>
        <w:drawing>
          <wp:anchor distT="0" distB="0" distL="114300" distR="114300" simplePos="0" relativeHeight="251661312" behindDoc="0" locked="0" layoutInCell="1" allowOverlap="1">
            <wp:simplePos x="0" y="0"/>
            <wp:positionH relativeFrom="column">
              <wp:posOffset>255270</wp:posOffset>
            </wp:positionH>
            <wp:positionV relativeFrom="paragraph">
              <wp:posOffset>819150</wp:posOffset>
            </wp:positionV>
            <wp:extent cx="5486400" cy="2148840"/>
            <wp:effectExtent l="0" t="0" r="0" b="3810"/>
            <wp:wrapTopAndBottom/>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r>
        <w:rPr>
          <w:rFonts w:cs="Times New Roman"/>
          <w:lang w:val="zh-CN"/>
        </w:rPr>
        <w:t>80%乘客认为公交车换乘比较方便，78.90%乘客认为乘坐公交行车较为通行顺畅，较少出现堵车、红灯等车时间过长情况。</w:t>
      </w:r>
    </w:p>
    <w:p w14:paraId="3BE93684">
      <w:pPr>
        <w:spacing w:after="120" w:afterLines="50"/>
        <w:ind w:firstLine="0" w:firstLineChars="0"/>
        <w:jc w:val="center"/>
        <w:rPr>
          <w:rFonts w:eastAsia="幼圆" w:cs="Times New Roman"/>
          <w:b/>
          <w:bCs/>
          <w:sz w:val="28"/>
          <w:szCs w:val="21"/>
          <w:lang w:val="zh-CN"/>
        </w:rPr>
      </w:pPr>
      <w:r>
        <w:rPr>
          <w:rFonts w:eastAsia="幼圆" w:cs="Times New Roman"/>
          <w:b/>
          <w:bCs/>
          <w:sz w:val="28"/>
          <w:szCs w:val="21"/>
          <w:lang w:val="zh-CN"/>
        </w:rPr>
        <w:t>附图 乘客乘车方便方面情况</w:t>
      </w:r>
    </w:p>
    <w:p w14:paraId="45CE39DB">
      <w:pPr>
        <w:pStyle w:val="4"/>
        <w:spacing w:after="120" w:afterLines="50"/>
        <w:ind w:firstLine="643"/>
        <w:rPr>
          <w:rFonts w:cs="Times New Roman"/>
          <w:lang w:val="zh-CN"/>
        </w:rPr>
      </w:pPr>
      <w:bookmarkStart w:id="54" w:name="_Toc78668827"/>
      <w:r>
        <w:rPr>
          <w:rFonts w:cs="Times New Roman"/>
          <w:lang w:val="zh-CN"/>
        </w:rPr>
        <w:t>2.乘车安全性</w:t>
      </w:r>
      <w:bookmarkEnd w:id="54"/>
    </w:p>
    <w:p w14:paraId="50AA9609">
      <w:pPr>
        <w:spacing w:after="120" w:afterLines="50"/>
        <w:ind w:firstLine="640"/>
        <w:rPr>
          <w:rFonts w:cs="Times New Roman"/>
          <w:lang w:val="zh-CN"/>
        </w:rPr>
      </w:pPr>
      <w:r>
        <w:rPr>
          <w:rFonts w:cs="Times New Roman"/>
        </w:rPr>
        <w:drawing>
          <wp:anchor distT="0" distB="0" distL="114300" distR="114300" simplePos="0" relativeHeight="251662336" behindDoc="0" locked="0" layoutInCell="1" allowOverlap="1">
            <wp:simplePos x="0" y="0"/>
            <wp:positionH relativeFrom="column">
              <wp:posOffset>544830</wp:posOffset>
            </wp:positionH>
            <wp:positionV relativeFrom="paragraph">
              <wp:posOffset>1248410</wp:posOffset>
            </wp:positionV>
            <wp:extent cx="4884420" cy="2087880"/>
            <wp:effectExtent l="0" t="0" r="0" b="7620"/>
            <wp:wrapTopAndBottom/>
            <wp:docPr id="1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r>
        <w:rPr>
          <w:rFonts w:cs="Times New Roman"/>
          <w:lang w:val="zh-CN"/>
        </w:rPr>
        <w:t>总体而言，85.00%乘客认为公交出行安全程度十分高。其中，82.60%乘客认为公交站周边过马路比较安全，84.0%乘客认为公交车上的安全设施，如安全锤、灭火器、监控系统、气窗等安全设施较为完善。</w:t>
      </w:r>
    </w:p>
    <w:p w14:paraId="25564FD9">
      <w:pPr>
        <w:spacing w:after="120" w:afterLines="50"/>
        <w:ind w:firstLine="0" w:firstLineChars="0"/>
        <w:jc w:val="center"/>
        <w:rPr>
          <w:rFonts w:eastAsia="幼圆" w:cs="Times New Roman"/>
          <w:b/>
          <w:bCs/>
          <w:sz w:val="28"/>
          <w:szCs w:val="21"/>
          <w:lang w:val="zh-CN"/>
        </w:rPr>
      </w:pPr>
      <w:r>
        <w:rPr>
          <w:rFonts w:eastAsia="幼圆" w:cs="Times New Roman"/>
          <w:b/>
          <w:bCs/>
          <w:sz w:val="28"/>
          <w:szCs w:val="21"/>
          <w:lang w:val="zh-CN"/>
        </w:rPr>
        <w:t>附图 乘客乘车安全方面情况</w:t>
      </w:r>
    </w:p>
    <w:p w14:paraId="4D410F65">
      <w:pPr>
        <w:spacing w:after="120" w:afterLines="50"/>
        <w:ind w:firstLine="640"/>
        <w:rPr>
          <w:rFonts w:cs="Times New Roman"/>
          <w:lang w:val="zh-CN"/>
        </w:rPr>
      </w:pPr>
    </w:p>
    <w:p w14:paraId="542031BE">
      <w:pPr>
        <w:pStyle w:val="4"/>
        <w:spacing w:after="120" w:afterLines="50"/>
        <w:ind w:firstLine="643"/>
        <w:rPr>
          <w:rFonts w:cs="Times New Roman"/>
          <w:lang w:val="zh-CN"/>
        </w:rPr>
      </w:pPr>
      <w:bookmarkStart w:id="55" w:name="_Toc78668828"/>
      <w:r>
        <w:rPr>
          <w:rFonts w:cs="Times New Roman"/>
          <w:lang w:val="zh-CN"/>
        </w:rPr>
        <w:t>3.乘车舒适度</w:t>
      </w:r>
      <w:bookmarkEnd w:id="55"/>
    </w:p>
    <w:p w14:paraId="2ACDC1C7">
      <w:pPr>
        <w:spacing w:after="120" w:afterLines="50"/>
        <w:ind w:firstLine="640"/>
        <w:rPr>
          <w:rFonts w:cs="Times New Roman"/>
          <w:lang w:val="zh-CN"/>
        </w:rPr>
      </w:pPr>
      <w:r>
        <w:rPr>
          <w:rFonts w:cs="Times New Roman"/>
          <w:lang w:val="zh-CN"/>
        </w:rPr>
        <w:t>总体而言，乘客乘车舒适度70.20%。其中，设施及周边候车环境满意程度为77.20%，部分站台存在遮雨棚破损、地面不平整、违章占道停车等现象；82.80%乘客认为公交车内环境整洁干净；77.30%乘客认为候车、上车的秩序良好，还有待进一步规范；公交驾驶员经常发生急停、急起、变道的情况频率仅为35.00%，大部分乘客很满意驾驶员的行车技术；41.00%乘客认为平常坐车车内一般不拥挤，这表明客流量表现欠佳；77.90%认为公交车内老、弱、病、残、孕的席位设计合理。</w:t>
      </w:r>
    </w:p>
    <w:p w14:paraId="34BE885A">
      <w:pPr>
        <w:spacing w:after="120" w:afterLines="50"/>
        <w:ind w:firstLine="0" w:firstLineChars="0"/>
        <w:jc w:val="center"/>
        <w:rPr>
          <w:rFonts w:eastAsia="幼圆" w:cs="Times New Roman"/>
          <w:b/>
          <w:bCs/>
          <w:sz w:val="28"/>
          <w:szCs w:val="21"/>
          <w:lang w:val="zh-CN"/>
        </w:rPr>
      </w:pPr>
      <w:r>
        <w:rPr>
          <w:rFonts w:eastAsia="幼圆" w:cs="Times New Roman"/>
          <w:b/>
          <w:bCs/>
          <w:sz w:val="28"/>
          <w:szCs w:val="21"/>
          <w:lang w:val="zh-CN"/>
        </w:rPr>
        <w:t>附图 乘客乘车舒适度情况</w:t>
      </w:r>
      <w:r>
        <w:rPr>
          <w:rFonts w:eastAsia="幼圆" w:cs="Times New Roman"/>
          <w:b/>
          <w:bCs/>
          <w:sz w:val="28"/>
          <w:szCs w:val="21"/>
        </w:rPr>
        <w:drawing>
          <wp:anchor distT="0" distB="0" distL="114300" distR="114300" simplePos="0" relativeHeight="251663360" behindDoc="0" locked="0" layoutInCell="1" allowOverlap="1">
            <wp:simplePos x="0" y="0"/>
            <wp:positionH relativeFrom="column">
              <wp:posOffset>240030</wp:posOffset>
            </wp:positionH>
            <wp:positionV relativeFrom="paragraph">
              <wp:posOffset>25400</wp:posOffset>
            </wp:positionV>
            <wp:extent cx="5486400" cy="2903220"/>
            <wp:effectExtent l="0" t="0" r="0" b="0"/>
            <wp:wrapTopAndBottom/>
            <wp:docPr id="15" name="图表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p>
    <w:p w14:paraId="55C261D3">
      <w:pPr>
        <w:spacing w:after="120" w:afterLines="50"/>
        <w:ind w:firstLine="640"/>
        <w:rPr>
          <w:rFonts w:cs="Times New Roman"/>
          <w:lang w:val="zh-CN"/>
        </w:rPr>
      </w:pPr>
    </w:p>
    <w:p w14:paraId="722F0280">
      <w:pPr>
        <w:pStyle w:val="3"/>
        <w:spacing w:after="120" w:afterLines="50"/>
        <w:ind w:firstLine="643"/>
        <w:rPr>
          <w:rFonts w:cs="Times New Roman"/>
          <w:lang w:val="zh-CN"/>
        </w:rPr>
      </w:pPr>
      <w:bookmarkStart w:id="56" w:name="_Toc78668829"/>
      <w:r>
        <w:rPr>
          <w:rFonts w:hint="eastAsia" w:cs="Times New Roman"/>
          <w:lang w:val="zh-CN"/>
        </w:rPr>
        <w:t>（三）</w:t>
      </w:r>
      <w:r>
        <w:rPr>
          <w:rFonts w:cs="Times New Roman"/>
          <w:lang w:val="zh-CN"/>
        </w:rPr>
        <w:t>乘客出行目的</w:t>
      </w:r>
      <w:bookmarkEnd w:id="56"/>
    </w:p>
    <w:p w14:paraId="2325B8A3">
      <w:pPr>
        <w:spacing w:after="120" w:afterLines="50"/>
        <w:ind w:firstLine="640"/>
        <w:rPr>
          <w:rFonts w:cs="Times New Roman"/>
          <w:lang w:val="zh-CN"/>
        </w:rPr>
      </w:pPr>
      <w:r>
        <w:rPr>
          <w:rFonts w:cs="Times New Roman"/>
        </w:rPr>
        <w:drawing>
          <wp:anchor distT="0" distB="0" distL="114300" distR="114300" simplePos="0" relativeHeight="251664384" behindDoc="0" locked="0" layoutInCell="1" allowOverlap="1">
            <wp:simplePos x="0" y="0"/>
            <wp:positionH relativeFrom="column">
              <wp:posOffset>0</wp:posOffset>
            </wp:positionH>
            <wp:positionV relativeFrom="paragraph">
              <wp:posOffset>1337945</wp:posOffset>
            </wp:positionV>
            <wp:extent cx="5486400" cy="2353310"/>
            <wp:effectExtent l="0" t="0" r="0" b="8890"/>
            <wp:wrapTopAndBottom/>
            <wp:docPr id="19" name="图表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r>
        <w:rPr>
          <w:rFonts w:cs="Times New Roman"/>
          <w:lang w:val="zh-CN"/>
        </w:rPr>
        <w:t>在日常生活中，40.00%乘客主要出行目的是外出购物和聚餐吃饭，37.78%乘坐公交出行是为了文化体育等休闲活动，26.67%乘坐公交出行是为了走访亲友，其他出行目的详见下图。</w:t>
      </w:r>
    </w:p>
    <w:p w14:paraId="2DBC08E4">
      <w:pPr>
        <w:spacing w:after="120" w:afterLines="50"/>
        <w:ind w:firstLine="0" w:firstLineChars="0"/>
        <w:jc w:val="center"/>
        <w:rPr>
          <w:rFonts w:eastAsia="幼圆" w:cs="Times New Roman"/>
          <w:b/>
          <w:bCs/>
          <w:sz w:val="28"/>
          <w:szCs w:val="21"/>
          <w:lang w:val="zh-CN"/>
        </w:rPr>
      </w:pPr>
      <w:r>
        <w:rPr>
          <w:rFonts w:eastAsia="幼圆" w:cs="Times New Roman"/>
          <w:b/>
          <w:bCs/>
          <w:sz w:val="28"/>
          <w:szCs w:val="21"/>
          <w:lang w:val="zh-CN"/>
        </w:rPr>
        <w:t>附图 乘客主要出行目的分布图</w:t>
      </w:r>
    </w:p>
    <w:p w14:paraId="7F806308">
      <w:pPr>
        <w:pStyle w:val="3"/>
        <w:spacing w:after="120" w:afterLines="50"/>
        <w:ind w:firstLine="643"/>
        <w:rPr>
          <w:rFonts w:cs="Times New Roman"/>
          <w:lang w:val="zh-CN"/>
        </w:rPr>
      </w:pPr>
      <w:bookmarkStart w:id="57" w:name="_Toc78668830"/>
      <w:r>
        <w:rPr>
          <w:rFonts w:hint="eastAsia" w:cs="Times New Roman"/>
          <w:lang w:val="zh-CN"/>
        </w:rPr>
        <w:t>（四）</w:t>
      </w:r>
      <w:r>
        <w:rPr>
          <w:rFonts w:cs="Times New Roman"/>
          <w:lang w:val="zh-CN"/>
        </w:rPr>
        <w:t>后疫情时代公共交通发展</w:t>
      </w:r>
      <w:bookmarkEnd w:id="57"/>
    </w:p>
    <w:p w14:paraId="72A8A990">
      <w:pPr>
        <w:spacing w:after="120" w:afterLines="50"/>
        <w:ind w:firstLine="640"/>
        <w:rPr>
          <w:rFonts w:cs="Times New Roman"/>
          <w:lang w:val="zh-CN"/>
        </w:rPr>
      </w:pPr>
      <w:r>
        <w:rPr>
          <w:rFonts w:cs="Times New Roman"/>
        </w:rPr>
        <w:drawing>
          <wp:anchor distT="0" distB="0" distL="114300" distR="114300" simplePos="0" relativeHeight="251665408" behindDoc="0" locked="0" layoutInCell="1" allowOverlap="1">
            <wp:simplePos x="0" y="0"/>
            <wp:positionH relativeFrom="column">
              <wp:posOffset>-25400</wp:posOffset>
            </wp:positionH>
            <wp:positionV relativeFrom="paragraph">
              <wp:posOffset>2841625</wp:posOffset>
            </wp:positionV>
            <wp:extent cx="3234055" cy="2438400"/>
            <wp:effectExtent l="0" t="0" r="0" b="0"/>
            <wp:wrapTopAndBottom/>
            <wp:docPr id="17" name="图表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r>
        <w:rPr>
          <w:rFonts w:cs="Times New Roman"/>
        </w:rPr>
        <w:drawing>
          <wp:anchor distT="0" distB="0" distL="114300" distR="114300" simplePos="0" relativeHeight="251666432" behindDoc="0" locked="0" layoutInCell="1" allowOverlap="1">
            <wp:simplePos x="0" y="0"/>
            <wp:positionH relativeFrom="column">
              <wp:posOffset>3216910</wp:posOffset>
            </wp:positionH>
            <wp:positionV relativeFrom="paragraph">
              <wp:posOffset>2889885</wp:posOffset>
            </wp:positionV>
            <wp:extent cx="3454400" cy="2607310"/>
            <wp:effectExtent l="0" t="0" r="0" b="0"/>
            <wp:wrapTopAndBottom/>
            <wp:docPr id="20" name="图表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r>
        <w:rPr>
          <w:rFonts w:cs="Times New Roman"/>
          <w:lang w:val="zh-CN"/>
        </w:rPr>
        <w:t>在乘车频率方面，过去一个月，26.67%乘客每天乘坐公交出行。33.33%乘客坐公交的频率为平均一周三到五次，27.78%乘客坐公交的频率为平均一周一次，仅7.78%乘客很少乘坐。在频率改变程度方面，疫情后66.67%乘客出行频率并未改变，有轻微减少的乘客占比为16.67%，其余乘客频率减少相对较小（明显减少的占6.67%，有一定程度减少的7.78%）。这表明国内疫情防控较好，公共交通风险较低，市民选乘公交意愿持续提升，公共交通运力也逐渐恢复。</w:t>
      </w:r>
    </w:p>
    <w:p w14:paraId="5286F917">
      <w:pPr>
        <w:spacing w:after="120" w:afterLines="50"/>
        <w:ind w:firstLine="0" w:firstLineChars="0"/>
        <w:jc w:val="center"/>
        <w:rPr>
          <w:rFonts w:eastAsia="幼圆" w:cs="Times New Roman"/>
          <w:b/>
          <w:bCs/>
          <w:sz w:val="28"/>
          <w:szCs w:val="21"/>
          <w:lang w:val="zh-CN"/>
        </w:rPr>
      </w:pPr>
      <w:r>
        <w:rPr>
          <w:rFonts w:eastAsia="幼圆" w:cs="Times New Roman"/>
          <w:b/>
          <w:bCs/>
          <w:sz w:val="28"/>
          <w:szCs w:val="21"/>
          <w:lang w:val="zh-CN"/>
        </w:rPr>
        <w:t>附图 乘客乘车频率分布图（左）和疫情改变乘车频率图（右）</w:t>
      </w:r>
    </w:p>
    <w:p w14:paraId="5907224F">
      <w:pPr>
        <w:spacing w:after="120" w:afterLines="50"/>
        <w:ind w:firstLine="640"/>
        <w:rPr>
          <w:rFonts w:cs="Times New Roman"/>
          <w:lang w:val="zh-CN"/>
        </w:rPr>
        <w:sectPr>
          <w:pgSz w:w="11906" w:h="16838"/>
          <w:pgMar w:top="1134" w:right="1134" w:bottom="1134" w:left="1134" w:header="709" w:footer="850" w:gutter="0"/>
          <w:cols w:space="720" w:num="1"/>
          <w:docGrid w:linePitch="435" w:charSpace="0"/>
        </w:sectPr>
      </w:pPr>
    </w:p>
    <w:p w14:paraId="5F75A5D1">
      <w:pPr>
        <w:spacing w:after="217" w:afterLines="50"/>
        <w:ind w:firstLine="640"/>
        <w:rPr>
          <w:rFonts w:cs="Times New Roman"/>
          <w:lang w:val="zh-CN"/>
        </w:rPr>
      </w:pPr>
      <w:r>
        <w:rPr>
          <w:rFonts w:cs="Times New Roman"/>
        </w:rPr>
        <w:drawing>
          <wp:anchor distT="0" distB="0" distL="114300" distR="114300" simplePos="0" relativeHeight="251667456" behindDoc="0" locked="0" layoutInCell="1" allowOverlap="1">
            <wp:simplePos x="0" y="0"/>
            <wp:positionH relativeFrom="column">
              <wp:posOffset>447675</wp:posOffset>
            </wp:positionH>
            <wp:positionV relativeFrom="paragraph">
              <wp:posOffset>1461770</wp:posOffset>
            </wp:positionV>
            <wp:extent cx="4893310" cy="2048510"/>
            <wp:effectExtent l="0" t="0" r="0" b="0"/>
            <wp:wrapTopAndBottom/>
            <wp:docPr id="22" name="图表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r>
        <w:rPr>
          <w:rFonts w:cs="Times New Roman"/>
          <w:lang w:val="zh-CN"/>
        </w:rPr>
        <w:t>在出行方式选择方面，疫情后91.11%乘客认为公共汽车是最安全放心的交通方式，其次是出租车/网约车、公共自行车及通勤班车。</w:t>
      </w:r>
    </w:p>
    <w:p w14:paraId="60A26C49">
      <w:pPr>
        <w:tabs>
          <w:tab w:val="left" w:pos="2573"/>
        </w:tabs>
        <w:spacing w:after="217" w:afterLines="50"/>
        <w:ind w:firstLine="0" w:firstLineChars="0"/>
        <w:jc w:val="center"/>
        <w:rPr>
          <w:rFonts w:cs="Times New Roman"/>
        </w:rPr>
      </w:pPr>
      <w:r>
        <w:rPr>
          <w:rFonts w:eastAsia="幼圆" w:cs="Times New Roman"/>
          <w:b/>
          <w:bCs/>
          <w:sz w:val="28"/>
          <w:szCs w:val="21"/>
          <w:lang w:val="zh-CN"/>
        </w:rPr>
        <w:t>附图 乘客认为最安全的出行方式</w:t>
      </w:r>
    </w:p>
    <w:sectPr>
      <w:pgSz w:w="11906" w:h="16838"/>
      <w:pgMar w:top="1440" w:right="1800" w:bottom="1440" w:left="1800" w:header="851" w:footer="992" w:gutter="0"/>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1" w:csb1="00000000"/>
  </w:font>
  <w:font w:name="小标宋">
    <w:altName w:val="宋体"/>
    <w:panose1 w:val="00000000000000000000"/>
    <w:charset w:val="86"/>
    <w:family w:val="roman"/>
    <w:pitch w:val="default"/>
    <w:sig w:usb0="00000000" w:usb1="00000000" w:usb2="00000000" w:usb3="00000000" w:csb0="00000000" w:csb1="00000000"/>
  </w:font>
  <w:font w:name="幼圆">
    <w:panose1 w:val="02010509060101010101"/>
    <w:charset w:val="86"/>
    <w:family w:val="modern"/>
    <w:pitch w:val="default"/>
    <w:sig w:usb0="00000001" w:usb1="080E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B67D54">
    <w:pPr>
      <w:pStyle w:val="11"/>
      <w:spacing w:before="120" w:after="1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7D1B8">
    <w:pPr>
      <w:pStyle w:val="11"/>
      <w:spacing w:before="120"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ED080">
    <w:pPr>
      <w:pStyle w:val="11"/>
      <w:spacing w:before="120" w:after="12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05797241"/>
      <w:docPartObj>
        <w:docPartGallery w:val="AutoText"/>
      </w:docPartObj>
    </w:sdtPr>
    <w:sdtContent>
      <w:p w14:paraId="627EDEF1">
        <w:pPr>
          <w:pStyle w:val="11"/>
          <w:spacing w:before="120" w:after="120"/>
          <w:ind w:firstLine="360"/>
          <w:jc w:val="center"/>
        </w:pPr>
        <w:r>
          <w:fldChar w:fldCharType="begin"/>
        </w:r>
        <w:r>
          <w:instrText xml:space="preserve">PAGE   \* MERGEFORMAT</w:instrText>
        </w:r>
        <w:r>
          <w:fldChar w:fldCharType="separate"/>
        </w:r>
        <w:r>
          <w:rPr>
            <w:lang w:val="zh-CN"/>
          </w:rPr>
          <w:t>1</w:t>
        </w:r>
        <w:r>
          <w:fldChar w:fldCharType="end"/>
        </w:r>
      </w:p>
    </w:sdtContent>
  </w:sdt>
  <w:p w14:paraId="383BB96A">
    <w:pPr>
      <w:pStyle w:val="11"/>
      <w:spacing w:before="120" w:after="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8">
    <w:p>
      <w:pPr>
        <w:spacing w:line="240" w:lineRule="auto"/>
        <w:ind w:firstLine="640"/>
      </w:pPr>
      <w:r>
        <w:separator/>
      </w:r>
    </w:p>
  </w:footnote>
  <w:footnote w:type="continuationSeparator" w:id="9">
    <w:p>
      <w:pPr>
        <w:spacing w:line="240" w:lineRule="auto"/>
        <w:ind w:firstLine="640"/>
      </w:pPr>
      <w:r>
        <w:continuationSeparator/>
      </w:r>
    </w:p>
  </w:footnote>
  <w:footnote w:id="0">
    <w:p w14:paraId="7E69EA49">
      <w:pPr>
        <w:pStyle w:val="15"/>
        <w:spacing w:before="217" w:after="217"/>
        <w:ind w:firstLine="360"/>
      </w:pPr>
      <w:r>
        <w:rPr>
          <w:rStyle w:val="24"/>
        </w:rPr>
        <w:footnoteRef/>
      </w:r>
      <w:r>
        <w:t xml:space="preserve"> </w:t>
      </w:r>
      <w:r>
        <w:rPr>
          <w:rFonts w:hint="eastAsia" w:ascii="黑体" w:hAnsi="黑体" w:eastAsia="黑体"/>
        </w:rPr>
        <w:t>评价结果分为优、良、中、低、差五个档次。其中：优（得分</w:t>
      </w:r>
      <m:oMath>
        <m:r>
          <m:rPr>
            <m:sty m:val="p"/>
          </m:rPr>
          <w:rPr>
            <w:rFonts w:ascii="Cambria Math" w:hAnsi="Cambria Math" w:eastAsia="黑体"/>
          </w:rPr>
          <m:t>≥</m:t>
        </m:r>
      </m:oMath>
      <w:r>
        <w:rPr>
          <w:rFonts w:hint="eastAsia" w:ascii="黑体" w:hAnsi="黑体" w:eastAsia="黑体"/>
        </w:rPr>
        <w:t>90），良（90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80），中（80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70），低（70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50），差（得分</w:t>
      </w:r>
      <m:oMath>
        <m:r>
          <m:rPr>
            <m:sty m:val="p"/>
          </m:rPr>
          <w:rPr>
            <w:rFonts w:ascii="Cambria Math" w:hAnsi="Cambria Math" w:eastAsia="黑体"/>
          </w:rPr>
          <m:t>&lt;</m:t>
        </m:r>
      </m:oMath>
      <w:r>
        <w:rPr>
          <w:rFonts w:hint="eastAsia" w:ascii="黑体" w:hAnsi="黑体" w:eastAsia="黑体"/>
        </w:rPr>
        <w:t>50）。</w:t>
      </w:r>
    </w:p>
  </w:footnote>
  <w:footnote w:id="1">
    <w:p w14:paraId="7AC63FBB">
      <w:pPr>
        <w:pStyle w:val="15"/>
        <w:spacing w:before="217" w:after="217" w:line="276" w:lineRule="auto"/>
        <w:ind w:firstLine="360"/>
        <w:rPr>
          <w:rFonts w:ascii="黑体" w:hAnsi="黑体" w:eastAsia="黑体"/>
        </w:rPr>
      </w:pPr>
      <w:r>
        <w:rPr>
          <w:rStyle w:val="24"/>
          <w:rFonts w:ascii="黑体" w:hAnsi="黑体" w:eastAsia="黑体"/>
        </w:rPr>
        <w:footnoteRef/>
      </w:r>
      <w:r>
        <w:rPr>
          <w:rFonts w:ascii="黑体" w:hAnsi="黑体" w:eastAsia="黑体"/>
        </w:rPr>
        <w:t xml:space="preserve"> </w:t>
      </w:r>
      <w:r>
        <w:rPr>
          <w:rFonts w:hint="eastAsia" w:ascii="黑体" w:hAnsi="黑体" w:eastAsia="黑体"/>
        </w:rPr>
        <w:t>得分详情及评价情况见 附件</w:t>
      </w:r>
      <w:r>
        <w:rPr>
          <w:rFonts w:ascii="黑体" w:hAnsi="黑体" w:eastAsia="黑体"/>
        </w:rPr>
        <w:t xml:space="preserve"> </w:t>
      </w:r>
      <w:r>
        <w:rPr>
          <w:rFonts w:hint="eastAsia" w:ascii="黑体" w:hAnsi="黑体" w:eastAsia="黑体"/>
        </w:rPr>
        <w:t>城市公共汽车营运补贴政策支出绩效评价指标得分详情。</w:t>
      </w:r>
    </w:p>
  </w:footnote>
  <w:footnote w:id="2">
    <w:p w14:paraId="03170598">
      <w:pPr>
        <w:pStyle w:val="15"/>
        <w:spacing w:after="217"/>
        <w:ind w:firstLine="360"/>
        <w:rPr>
          <w:rFonts w:ascii="黑体" w:hAnsi="黑体" w:eastAsia="黑体"/>
        </w:rPr>
      </w:pPr>
      <w:r>
        <w:rPr>
          <w:rStyle w:val="24"/>
          <w:rFonts w:ascii="黑体" w:hAnsi="黑体" w:eastAsia="黑体"/>
        </w:rPr>
        <w:footnoteRef/>
      </w:r>
      <w:r>
        <w:rPr>
          <w:rFonts w:ascii="黑体" w:hAnsi="黑体" w:eastAsia="黑体"/>
        </w:rPr>
        <w:t xml:space="preserve"> </w:t>
      </w:r>
      <w:r>
        <w:rPr>
          <w:rFonts w:hint="eastAsia" w:ascii="黑体" w:hAnsi="黑体" w:eastAsia="黑体" w:cs="Times New Roman"/>
          <w:kern w:val="0"/>
          <w:szCs w:val="24"/>
        </w:rPr>
        <w:t>为排除疫情影响，2020年1-3月的公里数按照2019年1-</w:t>
      </w:r>
      <w:r>
        <w:rPr>
          <w:rFonts w:ascii="黑体" w:hAnsi="黑体" w:eastAsia="黑体" w:cs="Times New Roman"/>
          <w:kern w:val="0"/>
          <w:szCs w:val="24"/>
        </w:rPr>
        <w:t>3</w:t>
      </w:r>
      <w:r>
        <w:rPr>
          <w:rFonts w:hint="eastAsia" w:ascii="黑体" w:hAnsi="黑体" w:eastAsia="黑体" w:cs="Times New Roman"/>
          <w:kern w:val="0"/>
          <w:szCs w:val="24"/>
        </w:rPr>
        <w:t>月计算。</w:t>
      </w:r>
    </w:p>
  </w:footnote>
  <w:footnote w:id="3">
    <w:p w14:paraId="670B5CB1">
      <w:pPr>
        <w:pStyle w:val="15"/>
        <w:ind w:firstLine="360"/>
        <w:rPr>
          <w:rFonts w:ascii="黑体" w:hAnsi="黑体" w:eastAsia="黑体"/>
        </w:rPr>
      </w:pPr>
      <w:r>
        <w:rPr>
          <w:rStyle w:val="24"/>
          <w:rFonts w:hint="eastAsia" w:ascii="黑体" w:hAnsi="黑体" w:eastAsia="黑体"/>
        </w:rPr>
        <w:footnoteRef/>
      </w:r>
      <w:r>
        <w:rPr>
          <w:rFonts w:hint="eastAsia" w:ascii="黑体" w:hAnsi="黑体" w:eastAsia="黑体"/>
        </w:rPr>
        <w:t>考虑2</w:t>
      </w:r>
      <w:r>
        <w:rPr>
          <w:rFonts w:ascii="黑体" w:hAnsi="黑体" w:eastAsia="黑体"/>
        </w:rPr>
        <w:t>002</w:t>
      </w:r>
      <w:r>
        <w:rPr>
          <w:rFonts w:hint="eastAsia" w:ascii="黑体" w:hAnsi="黑体" w:eastAsia="黑体"/>
        </w:rPr>
        <w:t>年疫情影响，2020年1-3月运营里程数参考2019年1-3月运营里程数（6,008,272.85公里）。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E4F5EC">
    <w:pPr>
      <w:pStyle w:val="12"/>
      <w:pBdr>
        <w:bottom w:val="none" w:color="auto" w:sz="0" w:space="0"/>
      </w:pBdr>
      <w:spacing w:before="120" w:after="12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FBA904">
    <w:pPr>
      <w:pStyle w:val="12"/>
      <w:spacing w:before="120" w:after="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24AC5">
    <w:pPr>
      <w:pStyle w:val="12"/>
      <w:spacing w:before="120" w:after="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3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footnotePr>
    <w:footnote w:id="8"/>
    <w:footnote w:id="9"/>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0NmM1YWQ3ZjJmY2RiOWNiZjg2MTAxYjY1NjYxMWYifQ=="/>
  </w:docVars>
  <w:rsids>
    <w:rsidRoot w:val="00214505"/>
    <w:rsid w:val="00014D39"/>
    <w:rsid w:val="00021FDF"/>
    <w:rsid w:val="000964AA"/>
    <w:rsid w:val="000D7805"/>
    <w:rsid w:val="000E0CC4"/>
    <w:rsid w:val="001015CC"/>
    <w:rsid w:val="00167D5B"/>
    <w:rsid w:val="00174F30"/>
    <w:rsid w:val="00181D9D"/>
    <w:rsid w:val="001867BE"/>
    <w:rsid w:val="00190A94"/>
    <w:rsid w:val="0019224C"/>
    <w:rsid w:val="00196412"/>
    <w:rsid w:val="001B0EDA"/>
    <w:rsid w:val="001C60D0"/>
    <w:rsid w:val="002078DD"/>
    <w:rsid w:val="002100EF"/>
    <w:rsid w:val="00214505"/>
    <w:rsid w:val="00231DC3"/>
    <w:rsid w:val="0025406F"/>
    <w:rsid w:val="002825B3"/>
    <w:rsid w:val="00283384"/>
    <w:rsid w:val="00294F89"/>
    <w:rsid w:val="002A023A"/>
    <w:rsid w:val="002C5036"/>
    <w:rsid w:val="002E3488"/>
    <w:rsid w:val="002F0327"/>
    <w:rsid w:val="0030087D"/>
    <w:rsid w:val="00326C99"/>
    <w:rsid w:val="0034717D"/>
    <w:rsid w:val="003653AF"/>
    <w:rsid w:val="0036573A"/>
    <w:rsid w:val="0036685B"/>
    <w:rsid w:val="00370E1E"/>
    <w:rsid w:val="00392E7B"/>
    <w:rsid w:val="003C3016"/>
    <w:rsid w:val="003D13B3"/>
    <w:rsid w:val="003D7ADC"/>
    <w:rsid w:val="003E2CC6"/>
    <w:rsid w:val="003F6ECD"/>
    <w:rsid w:val="00424229"/>
    <w:rsid w:val="00433438"/>
    <w:rsid w:val="0044404E"/>
    <w:rsid w:val="00450F73"/>
    <w:rsid w:val="004703C3"/>
    <w:rsid w:val="00482D1B"/>
    <w:rsid w:val="00494B32"/>
    <w:rsid w:val="004F49AA"/>
    <w:rsid w:val="00544ED3"/>
    <w:rsid w:val="00546EAB"/>
    <w:rsid w:val="005A77BA"/>
    <w:rsid w:val="005C0847"/>
    <w:rsid w:val="005C3E61"/>
    <w:rsid w:val="005C4E0C"/>
    <w:rsid w:val="005F1FCF"/>
    <w:rsid w:val="00620C4C"/>
    <w:rsid w:val="00621077"/>
    <w:rsid w:val="00626E2C"/>
    <w:rsid w:val="00634711"/>
    <w:rsid w:val="0064182B"/>
    <w:rsid w:val="00654352"/>
    <w:rsid w:val="006765EF"/>
    <w:rsid w:val="00697289"/>
    <w:rsid w:val="006B1231"/>
    <w:rsid w:val="006C0B52"/>
    <w:rsid w:val="006D2F75"/>
    <w:rsid w:val="006F14B3"/>
    <w:rsid w:val="00701FE5"/>
    <w:rsid w:val="00716E9D"/>
    <w:rsid w:val="00725A5E"/>
    <w:rsid w:val="00744569"/>
    <w:rsid w:val="0076252A"/>
    <w:rsid w:val="007B5577"/>
    <w:rsid w:val="007F5DA2"/>
    <w:rsid w:val="00811D7D"/>
    <w:rsid w:val="008435C2"/>
    <w:rsid w:val="00860934"/>
    <w:rsid w:val="00863C93"/>
    <w:rsid w:val="00871450"/>
    <w:rsid w:val="00890619"/>
    <w:rsid w:val="00892DB6"/>
    <w:rsid w:val="0089468F"/>
    <w:rsid w:val="008B239A"/>
    <w:rsid w:val="00907BC9"/>
    <w:rsid w:val="0091370B"/>
    <w:rsid w:val="00916443"/>
    <w:rsid w:val="00992F87"/>
    <w:rsid w:val="009D1A51"/>
    <w:rsid w:val="009E70F5"/>
    <w:rsid w:val="009E7F7C"/>
    <w:rsid w:val="009F7EA1"/>
    <w:rsid w:val="00A00734"/>
    <w:rsid w:val="00A12519"/>
    <w:rsid w:val="00A1588F"/>
    <w:rsid w:val="00A176B5"/>
    <w:rsid w:val="00A176F3"/>
    <w:rsid w:val="00A37AEF"/>
    <w:rsid w:val="00A523AB"/>
    <w:rsid w:val="00A66847"/>
    <w:rsid w:val="00A91DD2"/>
    <w:rsid w:val="00AA378F"/>
    <w:rsid w:val="00AC2DB1"/>
    <w:rsid w:val="00B00EF8"/>
    <w:rsid w:val="00B438B5"/>
    <w:rsid w:val="00B60991"/>
    <w:rsid w:val="00B61B43"/>
    <w:rsid w:val="00B73FC5"/>
    <w:rsid w:val="00B847BA"/>
    <w:rsid w:val="00BA7484"/>
    <w:rsid w:val="00BD004E"/>
    <w:rsid w:val="00BE3327"/>
    <w:rsid w:val="00C04D7E"/>
    <w:rsid w:val="00C22B7C"/>
    <w:rsid w:val="00C36C4F"/>
    <w:rsid w:val="00C450D6"/>
    <w:rsid w:val="00C80051"/>
    <w:rsid w:val="00C80217"/>
    <w:rsid w:val="00C81B4F"/>
    <w:rsid w:val="00C968E9"/>
    <w:rsid w:val="00CE7E8B"/>
    <w:rsid w:val="00D02D8A"/>
    <w:rsid w:val="00D2067B"/>
    <w:rsid w:val="00D416B6"/>
    <w:rsid w:val="00D51595"/>
    <w:rsid w:val="00D5392A"/>
    <w:rsid w:val="00D64E34"/>
    <w:rsid w:val="00D804F7"/>
    <w:rsid w:val="00DA7281"/>
    <w:rsid w:val="00DB3109"/>
    <w:rsid w:val="00DB522C"/>
    <w:rsid w:val="00DE0AEE"/>
    <w:rsid w:val="00DE637D"/>
    <w:rsid w:val="00DF6093"/>
    <w:rsid w:val="00E2280B"/>
    <w:rsid w:val="00E33286"/>
    <w:rsid w:val="00EB40A5"/>
    <w:rsid w:val="00EB51AA"/>
    <w:rsid w:val="00EC0D58"/>
    <w:rsid w:val="00ED7BC1"/>
    <w:rsid w:val="00EE304A"/>
    <w:rsid w:val="00F244B4"/>
    <w:rsid w:val="00F54F2A"/>
    <w:rsid w:val="00F55348"/>
    <w:rsid w:val="00F61236"/>
    <w:rsid w:val="00F66E24"/>
    <w:rsid w:val="00F8608A"/>
    <w:rsid w:val="7C3B74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semiHidden="0" w:name="toc 3"/>
    <w:lsdException w:qFormat="1" w:uiPriority="39" w:semiHidden="0" w:name="toc 4"/>
    <w:lsdException w:uiPriority="39" w:semiHidden="0" w:name="toc 5"/>
    <w:lsdException w:qFormat="1" w:uiPriority="39" w:semiHidden="0" w:name="toc 6"/>
    <w:lsdException w:uiPriority="39" w:semiHidden="0" w:name="toc 7"/>
    <w:lsdException w:uiPriority="39" w:semiHidden="0" w:name="toc 8"/>
    <w:lsdException w:uiPriority="39" w:semiHidden="0" w:name="toc 9"/>
    <w:lsdException w:uiPriority="99" w:name="Normal Indent"/>
    <w:lsdException w:qFormat="1" w:uiPriority="0" w:semiHidden="0"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link w:val="25"/>
    <w:qFormat/>
    <w:uiPriority w:val="9"/>
    <w:pPr>
      <w:keepNext/>
      <w:keepLines/>
      <w:outlineLvl w:val="0"/>
    </w:pPr>
    <w:rPr>
      <w:rFonts w:eastAsia="黑体"/>
      <w:b/>
      <w:bCs/>
      <w:kern w:val="44"/>
      <w:sz w:val="36"/>
      <w:szCs w:val="44"/>
    </w:rPr>
  </w:style>
  <w:style w:type="paragraph" w:styleId="3">
    <w:name w:val="heading 2"/>
    <w:basedOn w:val="1"/>
    <w:next w:val="1"/>
    <w:link w:val="26"/>
    <w:unhideWhenUsed/>
    <w:qFormat/>
    <w:uiPriority w:val="9"/>
    <w:pPr>
      <w:keepNext/>
      <w:keepLines/>
      <w:outlineLvl w:val="1"/>
    </w:pPr>
    <w:rPr>
      <w:rFonts w:eastAsia="楷体_GB2312" w:cstheme="majorBidi"/>
      <w:b/>
      <w:bCs/>
      <w:szCs w:val="32"/>
    </w:rPr>
  </w:style>
  <w:style w:type="paragraph" w:styleId="4">
    <w:name w:val="heading 3"/>
    <w:basedOn w:val="1"/>
    <w:next w:val="1"/>
    <w:link w:val="27"/>
    <w:unhideWhenUsed/>
    <w:qFormat/>
    <w:uiPriority w:val="9"/>
    <w:pPr>
      <w:keepNext/>
      <w:keepLines/>
      <w:outlineLvl w:val="2"/>
    </w:pPr>
    <w:rPr>
      <w:b/>
      <w:bCs/>
      <w:szCs w:val="32"/>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autoRedefine/>
    <w:unhideWhenUsed/>
    <w:uiPriority w:val="39"/>
    <w:pPr>
      <w:ind w:left="1920"/>
      <w:jc w:val="left"/>
    </w:pPr>
    <w:rPr>
      <w:rFonts w:asciiTheme="minorHAnsi" w:eastAsiaTheme="minorHAnsi"/>
      <w:sz w:val="18"/>
      <w:szCs w:val="18"/>
    </w:rPr>
  </w:style>
  <w:style w:type="paragraph" w:styleId="6">
    <w:name w:val="annotation text"/>
    <w:basedOn w:val="1"/>
    <w:link w:val="31"/>
    <w:semiHidden/>
    <w:unhideWhenUsed/>
    <w:uiPriority w:val="99"/>
    <w:pPr>
      <w:jc w:val="left"/>
    </w:pPr>
  </w:style>
  <w:style w:type="paragraph" w:styleId="7">
    <w:name w:val="toc 5"/>
    <w:basedOn w:val="1"/>
    <w:next w:val="1"/>
    <w:autoRedefine/>
    <w:unhideWhenUsed/>
    <w:uiPriority w:val="39"/>
    <w:pPr>
      <w:ind w:left="1280"/>
      <w:jc w:val="left"/>
    </w:pPr>
    <w:rPr>
      <w:rFonts w:asciiTheme="minorHAnsi" w:eastAsiaTheme="minorHAnsi"/>
      <w:sz w:val="18"/>
      <w:szCs w:val="18"/>
    </w:rPr>
  </w:style>
  <w:style w:type="paragraph" w:styleId="8">
    <w:name w:val="toc 3"/>
    <w:basedOn w:val="1"/>
    <w:next w:val="1"/>
    <w:autoRedefine/>
    <w:unhideWhenUsed/>
    <w:uiPriority w:val="39"/>
    <w:pPr>
      <w:ind w:left="640"/>
      <w:jc w:val="left"/>
    </w:pPr>
    <w:rPr>
      <w:rFonts w:asciiTheme="minorHAnsi" w:eastAsiaTheme="minorHAnsi"/>
      <w:i/>
      <w:iCs/>
      <w:sz w:val="20"/>
      <w:szCs w:val="20"/>
    </w:rPr>
  </w:style>
  <w:style w:type="paragraph" w:styleId="9">
    <w:name w:val="toc 8"/>
    <w:basedOn w:val="1"/>
    <w:next w:val="1"/>
    <w:autoRedefine/>
    <w:unhideWhenUsed/>
    <w:uiPriority w:val="39"/>
    <w:pPr>
      <w:ind w:left="2240"/>
      <w:jc w:val="left"/>
    </w:pPr>
    <w:rPr>
      <w:rFonts w:asciiTheme="minorHAnsi" w:eastAsiaTheme="minorHAnsi"/>
      <w:sz w:val="18"/>
      <w:szCs w:val="18"/>
    </w:rPr>
  </w:style>
  <w:style w:type="paragraph" w:styleId="10">
    <w:name w:val="Balloon Text"/>
    <w:basedOn w:val="1"/>
    <w:link w:val="28"/>
    <w:semiHidden/>
    <w:unhideWhenUsed/>
    <w:qFormat/>
    <w:uiPriority w:val="99"/>
    <w:pPr>
      <w:spacing w:line="240" w:lineRule="auto"/>
    </w:pPr>
    <w:rPr>
      <w:sz w:val="18"/>
      <w:szCs w:val="18"/>
    </w:rPr>
  </w:style>
  <w:style w:type="paragraph" w:styleId="11">
    <w:name w:val="footer"/>
    <w:basedOn w:val="1"/>
    <w:link w:val="30"/>
    <w:unhideWhenUsed/>
    <w:uiPriority w:val="99"/>
    <w:pPr>
      <w:tabs>
        <w:tab w:val="center" w:pos="4153"/>
        <w:tab w:val="right" w:pos="8306"/>
      </w:tabs>
      <w:snapToGrid w:val="0"/>
      <w:jc w:val="left"/>
    </w:pPr>
    <w:rPr>
      <w:sz w:val="18"/>
      <w:szCs w:val="18"/>
    </w:rPr>
  </w:style>
  <w:style w:type="paragraph" w:styleId="12">
    <w:name w:val="header"/>
    <w:basedOn w:val="1"/>
    <w:link w:val="33"/>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13">
    <w:name w:val="toc 1"/>
    <w:basedOn w:val="1"/>
    <w:next w:val="1"/>
    <w:autoRedefine/>
    <w:unhideWhenUsed/>
    <w:qFormat/>
    <w:uiPriority w:val="39"/>
    <w:pPr>
      <w:spacing w:before="120" w:after="120"/>
      <w:jc w:val="left"/>
    </w:pPr>
    <w:rPr>
      <w:rFonts w:asciiTheme="minorHAnsi" w:eastAsiaTheme="minorHAnsi"/>
      <w:b/>
      <w:bCs/>
      <w:caps/>
      <w:sz w:val="20"/>
      <w:szCs w:val="20"/>
    </w:rPr>
  </w:style>
  <w:style w:type="paragraph" w:styleId="14">
    <w:name w:val="toc 4"/>
    <w:basedOn w:val="1"/>
    <w:next w:val="1"/>
    <w:autoRedefine/>
    <w:unhideWhenUsed/>
    <w:qFormat/>
    <w:uiPriority w:val="39"/>
    <w:pPr>
      <w:ind w:left="960"/>
      <w:jc w:val="left"/>
    </w:pPr>
    <w:rPr>
      <w:rFonts w:asciiTheme="minorHAnsi" w:eastAsiaTheme="minorHAnsi"/>
      <w:sz w:val="18"/>
      <w:szCs w:val="18"/>
    </w:rPr>
  </w:style>
  <w:style w:type="paragraph" w:styleId="15">
    <w:name w:val="footnote text"/>
    <w:basedOn w:val="1"/>
    <w:link w:val="29"/>
    <w:unhideWhenUsed/>
    <w:qFormat/>
    <w:uiPriority w:val="0"/>
    <w:pPr>
      <w:snapToGrid w:val="0"/>
      <w:jc w:val="left"/>
    </w:pPr>
    <w:rPr>
      <w:sz w:val="18"/>
      <w:szCs w:val="18"/>
    </w:rPr>
  </w:style>
  <w:style w:type="paragraph" w:styleId="16">
    <w:name w:val="toc 6"/>
    <w:basedOn w:val="1"/>
    <w:next w:val="1"/>
    <w:autoRedefine/>
    <w:unhideWhenUsed/>
    <w:qFormat/>
    <w:uiPriority w:val="39"/>
    <w:pPr>
      <w:ind w:left="1600"/>
      <w:jc w:val="left"/>
    </w:pPr>
    <w:rPr>
      <w:rFonts w:asciiTheme="minorHAnsi" w:eastAsiaTheme="minorHAnsi"/>
      <w:sz w:val="18"/>
      <w:szCs w:val="18"/>
    </w:rPr>
  </w:style>
  <w:style w:type="paragraph" w:styleId="17">
    <w:name w:val="toc 2"/>
    <w:basedOn w:val="1"/>
    <w:next w:val="1"/>
    <w:autoRedefine/>
    <w:unhideWhenUsed/>
    <w:uiPriority w:val="39"/>
    <w:pPr>
      <w:tabs>
        <w:tab w:val="right" w:leader="dot" w:pos="8296"/>
      </w:tabs>
      <w:spacing w:after="156" w:line="480" w:lineRule="exact"/>
      <w:ind w:left="318" w:firstLine="480"/>
      <w:jc w:val="left"/>
    </w:pPr>
    <w:rPr>
      <w:rFonts w:eastAsia="宋体" w:cs="Times New Roman"/>
      <w:smallCaps/>
      <w:kern w:val="0"/>
      <w:sz w:val="24"/>
      <w:szCs w:val="24"/>
      <w:lang w:val="zh-CN"/>
    </w:rPr>
  </w:style>
  <w:style w:type="paragraph" w:styleId="18">
    <w:name w:val="toc 9"/>
    <w:basedOn w:val="1"/>
    <w:next w:val="1"/>
    <w:autoRedefine/>
    <w:unhideWhenUsed/>
    <w:uiPriority w:val="39"/>
    <w:pPr>
      <w:ind w:left="2560"/>
      <w:jc w:val="left"/>
    </w:pPr>
    <w:rPr>
      <w:rFonts w:asciiTheme="minorHAnsi" w:eastAsiaTheme="minorHAnsi"/>
      <w:sz w:val="18"/>
      <w:szCs w:val="18"/>
    </w:rPr>
  </w:style>
  <w:style w:type="paragraph" w:styleId="19">
    <w:name w:val="annotation subject"/>
    <w:basedOn w:val="6"/>
    <w:next w:val="6"/>
    <w:link w:val="32"/>
    <w:semiHidden/>
    <w:unhideWhenUsed/>
    <w:uiPriority w:val="99"/>
    <w:rPr>
      <w:b/>
      <w:bCs/>
    </w:rPr>
  </w:style>
  <w:style w:type="character" w:styleId="22">
    <w:name w:val="Hyperlink"/>
    <w:basedOn w:val="21"/>
    <w:unhideWhenUsed/>
    <w:uiPriority w:val="99"/>
    <w:rPr>
      <w:color w:val="0563C1" w:themeColor="hyperlink"/>
      <w:u w:val="single"/>
      <w14:textFill>
        <w14:solidFill>
          <w14:schemeClr w14:val="hlink"/>
        </w14:solidFill>
      </w14:textFill>
    </w:rPr>
  </w:style>
  <w:style w:type="character" w:styleId="23">
    <w:name w:val="annotation reference"/>
    <w:basedOn w:val="21"/>
    <w:semiHidden/>
    <w:unhideWhenUsed/>
    <w:uiPriority w:val="99"/>
    <w:rPr>
      <w:sz w:val="21"/>
      <w:szCs w:val="21"/>
    </w:rPr>
  </w:style>
  <w:style w:type="character" w:styleId="24">
    <w:name w:val="footnote reference"/>
    <w:basedOn w:val="21"/>
    <w:unhideWhenUsed/>
    <w:qFormat/>
    <w:uiPriority w:val="0"/>
    <w:rPr>
      <w:vertAlign w:val="superscript"/>
    </w:rPr>
  </w:style>
  <w:style w:type="character" w:customStyle="1" w:styleId="25">
    <w:name w:val="标题 1 字符"/>
    <w:basedOn w:val="21"/>
    <w:link w:val="2"/>
    <w:qFormat/>
    <w:uiPriority w:val="9"/>
    <w:rPr>
      <w:rFonts w:ascii="Times New Roman" w:hAnsi="Times New Roman" w:eastAsia="黑体"/>
      <w:b/>
      <w:bCs/>
      <w:kern w:val="44"/>
      <w:sz w:val="36"/>
      <w:szCs w:val="44"/>
    </w:rPr>
  </w:style>
  <w:style w:type="character" w:customStyle="1" w:styleId="26">
    <w:name w:val="标题 2 字符"/>
    <w:basedOn w:val="21"/>
    <w:link w:val="3"/>
    <w:qFormat/>
    <w:uiPriority w:val="9"/>
    <w:rPr>
      <w:rFonts w:ascii="Times New Roman" w:hAnsi="Times New Roman" w:eastAsia="楷体_GB2312" w:cstheme="majorBidi"/>
      <w:b/>
      <w:bCs/>
      <w:sz w:val="32"/>
      <w:szCs w:val="32"/>
    </w:rPr>
  </w:style>
  <w:style w:type="character" w:customStyle="1" w:styleId="27">
    <w:name w:val="标题 3 字符"/>
    <w:basedOn w:val="21"/>
    <w:link w:val="4"/>
    <w:qFormat/>
    <w:uiPriority w:val="9"/>
    <w:rPr>
      <w:rFonts w:ascii="Times New Roman" w:hAnsi="Times New Roman" w:eastAsia="仿宋_GB2312"/>
      <w:b/>
      <w:bCs/>
      <w:sz w:val="32"/>
      <w:szCs w:val="32"/>
    </w:rPr>
  </w:style>
  <w:style w:type="character" w:customStyle="1" w:styleId="28">
    <w:name w:val="批注框文本 字符"/>
    <w:basedOn w:val="21"/>
    <w:link w:val="10"/>
    <w:semiHidden/>
    <w:qFormat/>
    <w:uiPriority w:val="99"/>
    <w:rPr>
      <w:rFonts w:ascii="Times New Roman" w:hAnsi="Times New Roman" w:eastAsia="仿宋_GB2312"/>
      <w:sz w:val="18"/>
      <w:szCs w:val="18"/>
    </w:rPr>
  </w:style>
  <w:style w:type="character" w:customStyle="1" w:styleId="29">
    <w:name w:val="脚注文本 字符"/>
    <w:basedOn w:val="21"/>
    <w:link w:val="15"/>
    <w:qFormat/>
    <w:uiPriority w:val="0"/>
    <w:rPr>
      <w:rFonts w:ascii="Times New Roman" w:hAnsi="Times New Roman" w:eastAsia="仿宋_GB2312"/>
      <w:sz w:val="18"/>
      <w:szCs w:val="18"/>
    </w:rPr>
  </w:style>
  <w:style w:type="character" w:customStyle="1" w:styleId="30">
    <w:name w:val="页脚 字符"/>
    <w:basedOn w:val="21"/>
    <w:link w:val="11"/>
    <w:qFormat/>
    <w:uiPriority w:val="99"/>
    <w:rPr>
      <w:rFonts w:ascii="Times New Roman" w:hAnsi="Times New Roman" w:eastAsia="仿宋_GB2312"/>
      <w:sz w:val="18"/>
      <w:szCs w:val="18"/>
    </w:rPr>
  </w:style>
  <w:style w:type="character" w:customStyle="1" w:styleId="31">
    <w:name w:val="批注文字 字符"/>
    <w:basedOn w:val="21"/>
    <w:link w:val="6"/>
    <w:semiHidden/>
    <w:uiPriority w:val="99"/>
    <w:rPr>
      <w:rFonts w:ascii="Times New Roman" w:hAnsi="Times New Roman" w:eastAsia="仿宋_GB2312"/>
      <w:sz w:val="32"/>
    </w:rPr>
  </w:style>
  <w:style w:type="character" w:customStyle="1" w:styleId="32">
    <w:name w:val="批注主题 字符"/>
    <w:basedOn w:val="31"/>
    <w:link w:val="19"/>
    <w:semiHidden/>
    <w:uiPriority w:val="99"/>
    <w:rPr>
      <w:rFonts w:ascii="Times New Roman" w:hAnsi="Times New Roman" w:eastAsia="仿宋_GB2312"/>
      <w:b/>
      <w:bCs/>
      <w:sz w:val="32"/>
    </w:rPr>
  </w:style>
  <w:style w:type="character" w:customStyle="1" w:styleId="33">
    <w:name w:val="页眉 字符"/>
    <w:basedOn w:val="21"/>
    <w:link w:val="12"/>
    <w:uiPriority w:val="99"/>
    <w:rPr>
      <w:rFonts w:ascii="Times New Roman" w:hAnsi="Times New Roman" w:eastAsia="仿宋_GB231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chart" Target="charts/chart10.xml"/><Relationship Id="rId21" Type="http://schemas.openxmlformats.org/officeDocument/2006/relationships/chart" Target="charts/chart9.xml"/><Relationship Id="rId20" Type="http://schemas.openxmlformats.org/officeDocument/2006/relationships/chart" Target="charts/chart8.xml"/><Relationship Id="rId2" Type="http://schemas.openxmlformats.org/officeDocument/2006/relationships/settings" Target="settings.xml"/><Relationship Id="rId19" Type="http://schemas.openxmlformats.org/officeDocument/2006/relationships/chart" Target="charts/chart7.xml"/><Relationship Id="rId18" Type="http://schemas.openxmlformats.org/officeDocument/2006/relationships/chart" Target="charts/chart6.xml"/><Relationship Id="rId17" Type="http://schemas.openxmlformats.org/officeDocument/2006/relationships/chart" Target="charts/chart5.xml"/><Relationship Id="rId16" Type="http://schemas.openxmlformats.org/officeDocument/2006/relationships/chart" Target="charts/chart4.xml"/><Relationship Id="rId15" Type="http://schemas.openxmlformats.org/officeDocument/2006/relationships/chart" Target="charts/chart3.xml"/><Relationship Id="rId14" Type="http://schemas.openxmlformats.org/officeDocument/2006/relationships/chart" Target="charts/chart2.xml"/><Relationship Id="rId13" Type="http://schemas.openxmlformats.org/officeDocument/2006/relationships/chart" Target="charts/chart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6.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Workbook10.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9.xlsx"/></Relationships>
</file>

<file path=word/charts/_rels/chart3.xml.rels><?xml version="1.0" encoding="UTF-8" standalone="yes"?>
<Relationships xmlns="http://schemas.openxmlformats.org/package/2006/relationships"><Relationship Id="rId1" Type="http://schemas.openxmlformats.org/officeDocument/2006/relationships/package" Target="../embeddings/Workbook7.xlsx"/></Relationships>
</file>

<file path=word/charts/_rels/chart4.xml.rels><?xml version="1.0" encoding="UTF-8" standalone="yes"?>
<Relationships xmlns="http://schemas.openxmlformats.org/package/2006/relationships"><Relationship Id="rId1" Type="http://schemas.openxmlformats.org/officeDocument/2006/relationships/package" Target="../embeddings/Workbook5.xlsx"/></Relationships>
</file>

<file path=word/charts/_rels/chart5.xml.rels><?xml version="1.0" encoding="UTF-8" standalone="yes"?>
<Relationships xmlns="http://schemas.openxmlformats.org/package/2006/relationships"><Relationship Id="rId1" Type="http://schemas.openxmlformats.org/officeDocument/2006/relationships/package" Target="../embeddings/Workbook8.xlsx"/></Relationships>
</file>

<file path=word/charts/_rels/chart6.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7.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8.xml.rels><?xml version="1.0" encoding="UTF-8" standalone="yes"?>
<Relationships xmlns="http://schemas.openxmlformats.org/package/2006/relationships"><Relationship Id="rId1" Type="http://schemas.openxmlformats.org/officeDocument/2006/relationships/package" Target="../embeddings/Workbook3.xlsx"/></Relationships>
</file>

<file path=word/charts/_rels/chart9.xml.rels><?xml version="1.0" encoding="UTF-8" standalone="yes"?>
<Relationships xmlns="http://schemas.openxmlformats.org/package/2006/relationships"><Relationship Id="rId1" Type="http://schemas.openxmlformats.org/officeDocument/2006/relationships/package" Target="../embeddings/Workbook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营业收入</c:v>
                </c:pt>
              </c:strCache>
            </c:strRef>
          </c:tx>
          <c:spPr>
            <a:solidFill>
              <a:srgbClr val="00516B"/>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numRef>
              <c:f>Sheet1!$A$2:$A$3</c:f>
              <c:numCache>
                <c:formatCode>General</c:formatCode>
                <c:ptCount val="2"/>
                <c:pt idx="0">
                  <c:v>2019</c:v>
                </c:pt>
                <c:pt idx="1">
                  <c:v>2020</c:v>
                </c:pt>
              </c:numCache>
            </c:numRef>
          </c:cat>
          <c:val>
            <c:numRef>
              <c:f>Sheet1!$B$2:$B$3</c:f>
              <c:numCache>
                <c:formatCode>General</c:formatCode>
                <c:ptCount val="2"/>
                <c:pt idx="0">
                  <c:v>1325.57</c:v>
                </c:pt>
                <c:pt idx="1">
                  <c:v>1461.92</c:v>
                </c:pt>
              </c:numCache>
            </c:numRef>
          </c:val>
        </c:ser>
        <c:ser>
          <c:idx val="1"/>
          <c:order val="1"/>
          <c:tx>
            <c:strRef>
              <c:f>Sheet1!$C$1</c:f>
              <c:strCache>
                <c:ptCount val="1"/>
                <c:pt idx="0">
                  <c:v>营业成本</c:v>
                </c:pt>
              </c:strCache>
            </c:strRef>
          </c:tx>
          <c:spPr>
            <a:solidFill>
              <a:schemeClr val="accent5">
                <a:lumMod val="20000"/>
                <a:lumOff val="8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numRef>
              <c:f>Sheet1!$A$2:$A$3</c:f>
              <c:numCache>
                <c:formatCode>General</c:formatCode>
                <c:ptCount val="2"/>
                <c:pt idx="0">
                  <c:v>2019</c:v>
                </c:pt>
                <c:pt idx="1">
                  <c:v>2020</c:v>
                </c:pt>
              </c:numCache>
            </c:numRef>
          </c:cat>
          <c:val>
            <c:numRef>
              <c:f>Sheet1!$C$2:$C$3</c:f>
              <c:numCache>
                <c:formatCode>General</c:formatCode>
                <c:ptCount val="2"/>
                <c:pt idx="0">
                  <c:v>1587.46</c:v>
                </c:pt>
                <c:pt idx="1">
                  <c:v>1516.05</c:v>
                </c:pt>
              </c:numCache>
            </c:numRef>
          </c:val>
        </c:ser>
        <c:ser>
          <c:idx val="2"/>
          <c:order val="2"/>
          <c:tx>
            <c:strRef>
              <c:f>Sheet1!$D$1</c:f>
              <c:strCache>
                <c:ptCount val="1"/>
                <c:pt idx="0">
                  <c:v>营业补贴</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numRef>
              <c:f>Sheet1!$A$2:$A$3</c:f>
              <c:numCache>
                <c:formatCode>General</c:formatCode>
                <c:ptCount val="2"/>
                <c:pt idx="0">
                  <c:v>2019</c:v>
                </c:pt>
                <c:pt idx="1">
                  <c:v>2020</c:v>
                </c:pt>
              </c:numCache>
            </c:numRef>
          </c:cat>
          <c:val>
            <c:numRef>
              <c:f>Sheet1!$D$2:$D$3</c:f>
              <c:numCache>
                <c:formatCode>General</c:formatCode>
                <c:ptCount val="2"/>
                <c:pt idx="0">
                  <c:v>275.88</c:v>
                </c:pt>
                <c:pt idx="1">
                  <c:v>307.61</c:v>
                </c:pt>
              </c:numCache>
            </c:numRef>
          </c:val>
        </c:ser>
        <c:dLbls>
          <c:showLegendKey val="0"/>
          <c:showVal val="0"/>
          <c:showCatName val="0"/>
          <c:showSerName val="0"/>
          <c:showPercent val="0"/>
          <c:showBubbleSize val="0"/>
        </c:dLbls>
        <c:gapWidth val="219"/>
        <c:overlap val="-27"/>
        <c:axId val="593692928"/>
        <c:axId val="593702912"/>
      </c:barChart>
      <c:catAx>
        <c:axId val="593692928"/>
        <c:scaling>
          <c:orientation val="minMax"/>
        </c:scaling>
        <c:delete val="0"/>
        <c:axPos val="b"/>
        <c:numFmt formatCode="General" sourceLinked="1"/>
        <c:majorTickMark val="out"/>
        <c:minorTickMark val="out"/>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mn-cs"/>
              </a:defRPr>
            </a:pPr>
          </a:p>
        </c:txPr>
        <c:crossAx val="593702912"/>
        <c:crosses val="autoZero"/>
        <c:auto val="1"/>
        <c:lblAlgn val="ctr"/>
        <c:lblOffset val="100"/>
        <c:noMultiLvlLbl val="0"/>
      </c:catAx>
      <c:valAx>
        <c:axId val="593702912"/>
        <c:scaling>
          <c:orientation val="minMax"/>
          <c:max val="1600"/>
          <c:min val="0"/>
        </c:scaling>
        <c:delete val="0"/>
        <c:axPos val="l"/>
        <c:numFmt formatCode="General" sourceLinked="1"/>
        <c:majorTickMark val="out"/>
        <c:minorTickMark val="out"/>
        <c:tickLblPos val="nextTo"/>
        <c:spPr>
          <a:noFill/>
          <a:ln w="6350" cap="flat" cmpd="sng" algn="ctr">
            <a:solidFill>
              <a:schemeClr val="bg2">
                <a:lumMod val="90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mn-cs"/>
              </a:defRPr>
            </a:pPr>
          </a:p>
        </c:txPr>
        <c:crossAx val="593692928"/>
        <c:crosses val="autoZero"/>
        <c:crossBetween val="between"/>
        <c:minorUnit val="200"/>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mn-cs"/>
            </a:defRPr>
          </a:pPr>
        </a:p>
      </c:txPr>
    </c:legend>
    <c:plotVisOnly val="1"/>
    <c:dispBlanksAs val="gap"/>
    <c:showDLblsOverMax val="0"/>
  </c:chart>
  <c:spPr>
    <a:solidFill>
      <a:schemeClr val="bg1"/>
    </a:solidFill>
    <a:ln w="9525" cap="flat" cmpd="sng" algn="ctr">
      <a:noFill/>
      <a:prstDash val="solid"/>
      <a:round/>
    </a:ln>
    <a:effectLst/>
  </c:spPr>
  <c:txPr>
    <a:bodyPr/>
    <a:lstStyle/>
    <a:p>
      <a:pPr>
        <a:defRPr lang="zh-CN"/>
      </a:pPr>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系列 1</c:v>
                </c:pt>
              </c:strCache>
            </c:strRef>
          </c:tx>
          <c:spPr>
            <a:solidFill>
              <a:srgbClr val="00516B"/>
            </a:solidFill>
            <a:ln>
              <a:noFill/>
            </a:ln>
            <a:effectLst/>
          </c:spPr>
          <c:invertIfNegative val="0"/>
          <c:dLbls>
            <c:dLbl>
              <c:idx val="0"/>
              <c:layout/>
              <c:tx>
                <c:rich>
                  <a:bodyPr rot="0" spcFirstLastPara="1" vertOverflow="ellipsis" vert="horz" wrap="square" lIns="38100" tIns="19050" rIns="38100" bIns="19050" anchor="ctr" anchorCtr="1"/>
                  <a:lstStyle/>
                  <a:p>
                    <a:fld id="{07732cb0-04e1-442c-85b9-82d0ad3e0fd7}" type="VALUE">
                      <a:t>[VALUE]</a:t>
                    </a:fld>
                    <a:endParaRPr lang="zh-CN" altLang="en-US" b="0" i="0" u="none" strike="noStrike" baseline="0">
                      <a:latin typeface="Times New Roman" panose="02020603050405020304" charset="0"/>
                      <a:ea typeface="Times New Roman" panose="02020603050405020304" charset="0"/>
                      <a:cs typeface="+mn-ea"/>
                    </a:endParaRPr>
                  </a:p>
                </c:rich>
              </c:tx>
              <c:dLblPos val="outEnd"/>
              <c:showLegendKey val="0"/>
              <c:showVal val="1"/>
              <c:showCatName val="0"/>
              <c:showSerName val="0"/>
              <c:showPercent val="0"/>
              <c:showBubbleSize val="0"/>
              <c:extLst>
                <c:ext xmlns:c15="http://schemas.microsoft.com/office/drawing/2012/chart" uri="{CE6537A1-D6FC-4f65-9D91-7224C49458BB}"/>
              </c:extLst>
            </c:dLbl>
            <c:dLbl>
              <c:idx val="2"/>
              <c:layout/>
              <c:tx>
                <c:rich>
                  <a:bodyPr rot="0" spcFirstLastPara="1" vertOverflow="ellipsis" vert="horz" wrap="square" lIns="38100" tIns="19050" rIns="38100" bIns="19050" anchor="ctr" anchorCtr="1"/>
                  <a:lstStyle/>
                  <a:p>
                    <a:fld id="{e8d131c1-c0ba-4307-bc94-4fffef21d0e5}" type="VALUE">
                      <a:t>[VALUE]</a:t>
                    </a:fld>
                    <a:endParaRPr lang="zh-CN" altLang="en-US" b="0" i="0" u="none" strike="noStrike" baseline="0">
                      <a:latin typeface="Times New Roman" panose="02020603050405020304" charset="0"/>
                      <a:ea typeface="Times New Roman" panose="02020603050405020304" charset="0"/>
                      <a:cs typeface="+mn-ea"/>
                    </a:endParaRPr>
                  </a:p>
                </c:rich>
              </c:tx>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Sheet1!$A$2:$A$6</c:f>
              <c:strCache>
                <c:ptCount val="5"/>
                <c:pt idx="0">
                  <c:v>公共汽车</c:v>
                </c:pt>
                <c:pt idx="1">
                  <c:v>出租车/软件打车</c:v>
                </c:pt>
                <c:pt idx="2">
                  <c:v>公共自行车</c:v>
                </c:pt>
                <c:pt idx="3">
                  <c:v>通勤班车</c:v>
                </c:pt>
                <c:pt idx="4">
                  <c:v>其他</c:v>
                </c:pt>
              </c:strCache>
            </c:strRef>
          </c:cat>
          <c:val>
            <c:numRef>
              <c:f>Sheet1!$B$2:$B$6</c:f>
              <c:numCache>
                <c:formatCode>General</c:formatCode>
                <c:ptCount val="5"/>
                <c:pt idx="0">
                  <c:v>91.11</c:v>
                </c:pt>
                <c:pt idx="1">
                  <c:v>45.56</c:v>
                </c:pt>
                <c:pt idx="2">
                  <c:v>6.67</c:v>
                </c:pt>
                <c:pt idx="3">
                  <c:v>3.33</c:v>
                </c:pt>
                <c:pt idx="4">
                  <c:v>5.56</c:v>
                </c:pt>
              </c:numCache>
            </c:numRef>
          </c:val>
        </c:ser>
        <c:dLbls>
          <c:showLegendKey val="0"/>
          <c:showVal val="0"/>
          <c:showCatName val="0"/>
          <c:showSerName val="0"/>
          <c:showPercent val="0"/>
          <c:showBubbleSize val="0"/>
        </c:dLbls>
        <c:gapWidth val="219"/>
        <c:overlap val="-27"/>
        <c:axId val="600191744"/>
        <c:axId val="600193280"/>
      </c:barChart>
      <c:catAx>
        <c:axId val="600191744"/>
        <c:scaling>
          <c:orientation val="minMax"/>
        </c:scaling>
        <c:delete val="0"/>
        <c:axPos val="b"/>
        <c:numFmt formatCode="General" sourceLinked="1"/>
        <c:majorTickMark val="out"/>
        <c:minorTickMark val="out"/>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mn-cs"/>
              </a:defRPr>
            </a:pPr>
          </a:p>
        </c:txPr>
        <c:crossAx val="600193280"/>
        <c:crosses val="autoZero"/>
        <c:auto val="1"/>
        <c:lblAlgn val="ctr"/>
        <c:lblOffset val="100"/>
        <c:noMultiLvlLbl val="0"/>
      </c:catAx>
      <c:valAx>
        <c:axId val="600193280"/>
        <c:scaling>
          <c:orientation val="minMax"/>
          <c:max val="100"/>
          <c:min val="0"/>
        </c:scaling>
        <c:delete val="0"/>
        <c:axPos val="l"/>
        <c:numFmt formatCode="General" sourceLinked="1"/>
        <c:majorTickMark val="out"/>
        <c:minorTickMark val="out"/>
        <c:tickLblPos val="nextTo"/>
        <c:spPr>
          <a:noFill/>
          <a:ln w="6350" cap="flat" cmpd="sng" algn="ctr">
            <a:solidFill>
              <a:schemeClr val="bg2">
                <a:lumMod val="90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mn-cs"/>
              </a:defRPr>
            </a:pPr>
          </a:p>
        </c:txPr>
        <c:crossAx val="600191744"/>
        <c:crosses val="autoZero"/>
        <c:crossBetween val="between"/>
        <c:majorUnit val="20"/>
        <c:minorUnit val="20"/>
      </c:valAx>
      <c:spPr>
        <a:no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愿意花费等候公交车时长</c:v>
                </c:pt>
              </c:strCache>
            </c:strRef>
          </c:tx>
          <c:spPr>
            <a:solidFill>
              <a:srgbClr val="00516B"/>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Sheet1!$A$2:$A$7</c:f>
              <c:strCache>
                <c:ptCount val="6"/>
                <c:pt idx="0">
                  <c:v>3分钟以内</c:v>
                </c:pt>
                <c:pt idx="1">
                  <c:v>3-6分钟以内</c:v>
                </c:pt>
                <c:pt idx="2">
                  <c:v>6-10分钟以内</c:v>
                </c:pt>
                <c:pt idx="3">
                  <c:v>10-15分钟以内</c:v>
                </c:pt>
                <c:pt idx="4">
                  <c:v>15分钟及以上</c:v>
                </c:pt>
                <c:pt idx="5">
                  <c:v>说不清</c:v>
                </c:pt>
              </c:strCache>
            </c:strRef>
          </c:cat>
          <c:val>
            <c:numRef>
              <c:f>Sheet1!$B$2:$B$7</c:f>
              <c:numCache>
                <c:formatCode>0.00_ </c:formatCode>
                <c:ptCount val="6"/>
                <c:pt idx="0">
                  <c:v>2.22222222222222</c:v>
                </c:pt>
                <c:pt idx="1">
                  <c:v>7.77777777777778</c:v>
                </c:pt>
                <c:pt idx="2">
                  <c:v>43.3333333333333</c:v>
                </c:pt>
                <c:pt idx="3">
                  <c:v>16.6666666666667</c:v>
                </c:pt>
                <c:pt idx="4">
                  <c:v>22.2222222222222</c:v>
                </c:pt>
                <c:pt idx="5">
                  <c:v>7.77777777777778</c:v>
                </c:pt>
              </c:numCache>
            </c:numRef>
          </c:val>
        </c:ser>
        <c:ser>
          <c:idx val="1"/>
          <c:order val="1"/>
          <c:tx>
            <c:strRef>
              <c:f>Sheet1!$C$1</c:f>
              <c:strCache>
                <c:ptCount val="1"/>
                <c:pt idx="0">
                  <c:v>出门到公交站花费时长</c:v>
                </c:pt>
              </c:strCache>
            </c:strRef>
          </c:tx>
          <c:spPr>
            <a:solidFill>
              <a:schemeClr val="accent5">
                <a:lumMod val="20000"/>
                <a:lumOff val="8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Sheet1!$A$2:$A$7</c:f>
              <c:strCache>
                <c:ptCount val="6"/>
                <c:pt idx="0">
                  <c:v>3分钟以内</c:v>
                </c:pt>
                <c:pt idx="1">
                  <c:v>3-6分钟以内</c:v>
                </c:pt>
                <c:pt idx="2">
                  <c:v>6-10分钟以内</c:v>
                </c:pt>
                <c:pt idx="3">
                  <c:v>10-15分钟以内</c:v>
                </c:pt>
                <c:pt idx="4">
                  <c:v>15分钟及以上</c:v>
                </c:pt>
                <c:pt idx="5">
                  <c:v>说不清</c:v>
                </c:pt>
              </c:strCache>
            </c:strRef>
          </c:cat>
          <c:val>
            <c:numRef>
              <c:f>Sheet1!$C$2:$C$7</c:f>
              <c:numCache>
                <c:formatCode>0.00_ </c:formatCode>
                <c:ptCount val="6"/>
                <c:pt idx="0">
                  <c:v>36.6666666666667</c:v>
                </c:pt>
                <c:pt idx="1">
                  <c:v>36.6666666666667</c:v>
                </c:pt>
                <c:pt idx="2">
                  <c:v>15.5555555555556</c:v>
                </c:pt>
                <c:pt idx="3">
                  <c:v>5.55555555555556</c:v>
                </c:pt>
                <c:pt idx="4">
                  <c:v>5.55555555555556</c:v>
                </c:pt>
                <c:pt idx="5">
                  <c:v>0</c:v>
                </c:pt>
              </c:numCache>
            </c:numRef>
          </c:val>
        </c:ser>
        <c:dLbls>
          <c:showLegendKey val="0"/>
          <c:showVal val="0"/>
          <c:showCatName val="0"/>
          <c:showSerName val="0"/>
          <c:showPercent val="0"/>
          <c:showBubbleSize val="0"/>
        </c:dLbls>
        <c:gapWidth val="219"/>
        <c:overlap val="-27"/>
        <c:axId val="595360000"/>
        <c:axId val="595378176"/>
      </c:barChart>
      <c:catAx>
        <c:axId val="595360000"/>
        <c:scaling>
          <c:orientation val="minMax"/>
        </c:scaling>
        <c:delete val="0"/>
        <c:axPos val="b"/>
        <c:numFmt formatCode="General" sourceLinked="1"/>
        <c:majorTickMark val="out"/>
        <c:minorTickMark val="out"/>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mn-cs"/>
              </a:defRPr>
            </a:pPr>
          </a:p>
        </c:txPr>
        <c:crossAx val="595378176"/>
        <c:crosses val="autoZero"/>
        <c:auto val="1"/>
        <c:lblAlgn val="ctr"/>
        <c:lblOffset val="100"/>
        <c:noMultiLvlLbl val="0"/>
      </c:catAx>
      <c:valAx>
        <c:axId val="595378176"/>
        <c:scaling>
          <c:orientation val="minMax"/>
        </c:scaling>
        <c:delete val="0"/>
        <c:axPos val="l"/>
        <c:numFmt formatCode="0_ " sourceLinked="0"/>
        <c:majorTickMark val="out"/>
        <c:minorTickMark val="out"/>
        <c:tickLblPos val="nextTo"/>
        <c:spPr>
          <a:noFill/>
          <a:ln w="6350" cap="flat" cmpd="sng" algn="ctr">
            <a:solidFill>
              <a:schemeClr val="bg2">
                <a:lumMod val="90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mn-cs"/>
              </a:defRPr>
            </a:pPr>
          </a:p>
        </c:txPr>
        <c:crossAx val="595360000"/>
        <c:crosses val="autoZero"/>
        <c:crossBetween val="between"/>
        <c:minorUnit val="10"/>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mn-cs"/>
            </a:defRPr>
          </a:pPr>
        </a:p>
      </c:txPr>
    </c:legend>
    <c:plotVisOnly val="1"/>
    <c:dispBlanksAs val="gap"/>
    <c:showDLblsOverMax val="0"/>
  </c:chart>
  <c:spPr>
    <a:solidFill>
      <a:schemeClr val="bg1"/>
    </a:solidFill>
    <a:ln w="9525" cap="flat" cmpd="sng" algn="ctr">
      <a:no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列1</c:v>
                </c:pt>
              </c:strCache>
            </c:strRef>
          </c:tx>
          <c:explosion val="0"/>
          <c:dPt>
            <c:idx val="0"/>
            <c:bubble3D val="0"/>
            <c:spPr>
              <a:solidFill>
                <a:schemeClr val="tx1">
                  <a:lumMod val="50000"/>
                  <a:lumOff val="50000"/>
                </a:schemeClr>
              </a:solidFill>
              <a:ln w="19050">
                <a:solidFill>
                  <a:schemeClr val="lt1"/>
                </a:solidFill>
              </a:ln>
              <a:effectLst/>
            </c:spPr>
          </c:dPt>
          <c:dPt>
            <c:idx val="1"/>
            <c:bubble3D val="0"/>
            <c:spPr>
              <a:solidFill>
                <a:srgbClr val="00516B"/>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5"/>
              </a:solidFill>
              <a:ln w="19050">
                <a:solidFill>
                  <a:schemeClr val="lt1"/>
                </a:solidFill>
              </a:ln>
              <a:effectLst/>
            </c:spPr>
          </c:dPt>
          <c:dPt>
            <c:idx val="4"/>
            <c:bubble3D val="0"/>
            <c:spPr>
              <a:solidFill>
                <a:schemeClr val="tx2">
                  <a:lumMod val="60000"/>
                  <a:lumOff val="40000"/>
                </a:schemeClr>
              </a:solidFill>
              <a:ln w="19050">
                <a:solidFill>
                  <a:schemeClr val="lt1"/>
                </a:solidFill>
              </a:ln>
              <a:effectLst/>
            </c:spPr>
          </c:dPt>
          <c:dPt>
            <c:idx val="5"/>
            <c:bubble3D val="0"/>
            <c:spPr>
              <a:solidFill>
                <a:schemeClr val="accent5">
                  <a:lumMod val="20000"/>
                  <a:lumOff val="80000"/>
                </a:schemeClr>
              </a:solidFill>
              <a:ln w="19050">
                <a:solidFill>
                  <a:schemeClr val="lt1"/>
                </a:solidFill>
              </a:ln>
              <a:effectLst/>
            </c:spPr>
          </c:dPt>
          <c:dLbls>
            <c:dLbl>
              <c:idx val="0"/>
              <c:layout>
                <c:manualLayout>
                  <c:x val="0.0974478346456692"/>
                  <c:y val="0.0676317634208767"/>
                </c:manualLayout>
              </c:layout>
              <c:tx>
                <c:rich>
                  <a:bodyPr rot="0" spcFirstLastPara="1" vertOverflow="ellipsis" vert="horz" wrap="square" lIns="38100" tIns="19050" rIns="38100" bIns="19050" anchor="ctr" anchorCtr="1"/>
                  <a:lstStyle/>
                  <a:p>
                    <a:fld id="{96d0077e-3013-4cfe-b238-d87ee1878aea}" type="CATEGORYNAME">
                      <a:t>[CATEGORY NAME]</a:t>
                    </a:fld>
                    <a:r>
                      <a:t>,</a:t>
                    </a:r>
                    <a:fld id="{abdf977b-90e0-475a-98f1-fa4a2dc7e83e}" type="VALUE">
                      <a:t>[VALUE]</a:t>
                    </a:fld>
                    <a:endParaRPr lang="en-US" altLang="zh-CN" b="0" i="0" u="none" strike="noStrike" baseline="0">
                      <a:latin typeface="Times New Roman" panose="02020603050405020304" charset="0"/>
                      <a:ea typeface="Times New Roman" panose="02020603050405020304" charset="0"/>
                      <a:cs typeface="+mn-ea"/>
                    </a:endParaRPr>
                  </a:p>
                </c:rich>
              </c:tx>
              <c:dLblPos val="bestFit"/>
              <c:showLegendKey val="0"/>
              <c:showVal val="1"/>
              <c:showCatName val="1"/>
              <c:showSerName val="0"/>
              <c:showPercent val="0"/>
              <c:showBubbleSize val="0"/>
              <c:extLst>
                <c:ext xmlns:c15="http://schemas.microsoft.com/office/drawing/2012/chart" uri="{CE6537A1-D6FC-4f65-9D91-7224C49458BB}">
                  <c15:layout/>
                </c:ext>
              </c:extLst>
            </c:dLbl>
            <c:dLbl>
              <c:idx val="1"/>
              <c:layout>
                <c:manualLayout>
                  <c:x val="0.0448098753280839"/>
                  <c:y val="0.00899049109544537"/>
                </c:manualLayout>
              </c:layout>
              <c:tx>
                <c:rich>
                  <a:bodyPr rot="0" spcFirstLastPara="1" vertOverflow="ellipsis" vert="horz" wrap="square" lIns="38100" tIns="19050" rIns="38100" bIns="19050" anchor="ctr" anchorCtr="1"/>
                  <a:lstStyle/>
                  <a:p>
                    <a:fld id="{1db9e013-1780-477a-8251-e318984808e6}" type="CATEGORYNAME">
                      <a:t>[CATEGORY NAME]</a:t>
                    </a:fld>
                    <a:r>
                      <a:t>,</a:t>
                    </a:r>
                    <a:fld id="{6d9c413b-0649-4fae-9081-1ac79fad2e39}" type="VALUE">
                      <a:t>[VALUE]</a:t>
                    </a:fld>
                    <a:endParaRPr lang="en-US" altLang="zh-CN" b="0" i="0" u="none" strike="noStrike" baseline="0">
                      <a:latin typeface="Times New Roman" panose="02020603050405020304" charset="0"/>
                      <a:ea typeface="Times New Roman" panose="02020603050405020304" charset="0"/>
                      <a:cs typeface="+mn-ea"/>
                    </a:endParaRPr>
                  </a:p>
                </c:rich>
              </c:tx>
              <c:dLblPos val="bestFit"/>
              <c:showLegendKey val="0"/>
              <c:showVal val="1"/>
              <c:showCatName val="1"/>
              <c:showSerName val="0"/>
              <c:showPercent val="0"/>
              <c:showBubbleSize val="0"/>
              <c:extLst>
                <c:ext xmlns:c15="http://schemas.microsoft.com/office/drawing/2012/chart" uri="{CE6537A1-D6FC-4f65-9D91-7224C49458BB}">
                  <c15:layout/>
                </c:ext>
              </c:extLst>
            </c:dLbl>
            <c:dLbl>
              <c:idx val="2"/>
              <c:layout>
                <c:manualLayout>
                  <c:x val="-0.0121160597112861"/>
                  <c:y val="-0.0459594724572472"/>
                </c:manualLayout>
              </c:layout>
              <c:tx>
                <c:rich>
                  <a:bodyPr rot="0" spcFirstLastPara="1" vertOverflow="ellipsis" vert="horz" wrap="square" lIns="38100" tIns="19050" rIns="38100" bIns="19050" anchor="ctr" anchorCtr="1"/>
                  <a:lstStyle/>
                  <a:p>
                    <a:fld id="{aa1d4d8a-4a6c-4dba-9bda-02d39af19b26}" type="CATEGORYNAME">
                      <a:t>[CATEGORY NAME]</a:t>
                    </a:fld>
                    <a:r>
                      <a:t>,</a:t>
                    </a:r>
                    <a:fld id="{7dcc5e1b-77a3-4308-ba66-626a1382c47f}" type="VALUE">
                      <a:t>[VALUE]</a:t>
                    </a:fld>
                    <a:endParaRPr lang="en-US" altLang="zh-CN" b="0" i="0" u="none" strike="noStrike" baseline="0">
                      <a:latin typeface="Times New Roman" panose="02020603050405020304" charset="0"/>
                      <a:ea typeface="Times New Roman" panose="02020603050405020304" charset="0"/>
                      <a:cs typeface="+mn-ea"/>
                    </a:endParaRPr>
                  </a:p>
                </c:rich>
              </c:tx>
              <c:dLblPos val="bestFit"/>
              <c:showLegendKey val="0"/>
              <c:showVal val="1"/>
              <c:showCatName val="1"/>
              <c:showSerName val="0"/>
              <c:showPercent val="0"/>
              <c:showBubbleSize val="0"/>
              <c:extLst>
                <c:ext xmlns:c15="http://schemas.microsoft.com/office/drawing/2012/chart" uri="{CE6537A1-D6FC-4f65-9D91-7224C49458BB}">
                  <c15:layout/>
                </c:ext>
              </c:extLst>
            </c:dLbl>
            <c:dLbl>
              <c:idx val="3"/>
              <c:layout>
                <c:manualLayout>
                  <c:x val="-0.0682573311429596"/>
                  <c:y val="0.178941141674061"/>
                </c:manualLayout>
              </c:layout>
              <c:tx>
                <c:rich>
                  <a:bodyPr rot="0" spcFirstLastPara="1" vertOverflow="ellipsis" vert="horz" wrap="square" lIns="38100" tIns="19050" rIns="38100" bIns="19050" anchor="ctr" anchorCtr="1"/>
                  <a:lstStyle/>
                  <a:p>
                    <a:fld id="{5f6543c5-e7be-4041-b6ee-be2cf135300d}" type="CATEGORYNAME">
                      <a:t>[CATEGORY NAME]</a:t>
                    </a:fld>
                    <a:r>
                      <a:t>,</a:t>
                    </a:r>
                    <a:fld id="{bb118a4d-e107-4c6f-9c6b-e6defa275f92}" type="VALUE">
                      <a:t>[VALUE]</a:t>
                    </a:fld>
                    <a:endParaRPr lang="en-US" altLang="zh-CN" b="0" i="0" u="none" strike="noStrike" baseline="0">
                      <a:latin typeface="Times New Roman" panose="02020603050405020304" charset="0"/>
                      <a:ea typeface="Times New Roman" panose="02020603050405020304" charset="0"/>
                      <a:cs typeface="+mn-ea"/>
                    </a:endParaRPr>
                  </a:p>
                </c:rich>
              </c:tx>
              <c:dLblPos val="bestFit"/>
              <c:showLegendKey val="0"/>
              <c:showVal val="1"/>
              <c:showCatName val="1"/>
              <c:showSerName val="0"/>
              <c:showPercent val="0"/>
              <c:showBubbleSize val="0"/>
              <c:extLst>
                <c:ext xmlns:c15="http://schemas.microsoft.com/office/drawing/2012/chart" uri="{CE6537A1-D6FC-4f65-9D91-7224C49458BB}">
                  <c15:layout/>
                </c:ext>
              </c:extLst>
            </c:dLbl>
            <c:dLbl>
              <c:idx val="4"/>
              <c:layout>
                <c:manualLayout>
                  <c:x val="-0.194080137464831"/>
                  <c:y val="0.00147885241052943"/>
                </c:manualLayout>
              </c:layout>
              <c:tx>
                <c:rich>
                  <a:bodyPr rot="0" spcFirstLastPara="1" vertOverflow="ellipsis" vert="horz" wrap="square" lIns="38100" tIns="19050" rIns="38100" bIns="19050" anchor="ctr" anchorCtr="1"/>
                  <a:lstStyle/>
                  <a:p>
                    <a:fld id="{b34828b9-d67c-4b18-9fd9-5fe3402142db}" type="CATEGORYNAME">
                      <a:t>[CATEGORY NAME]</a:t>
                    </a:fld>
                    <a:r>
                      <a:t>,</a:t>
                    </a:r>
                    <a:fld id="{492c9643-55dd-4854-bfd0-441372a466d0}" type="VALUE">
                      <a:t>[VALUE]</a:t>
                    </a:fld>
                    <a:endParaRPr lang="en-US" altLang="zh-CN" b="0" i="0" u="none" strike="noStrike" baseline="0">
                      <a:latin typeface="Times New Roman" panose="02020603050405020304" charset="0"/>
                      <a:ea typeface="Times New Roman" panose="02020603050405020304" charset="0"/>
                      <a:cs typeface="+mn-ea"/>
                    </a:endParaRPr>
                  </a:p>
                </c:rich>
              </c:tx>
              <c:dLblPos val="bestFit"/>
              <c:showLegendKey val="0"/>
              <c:showVal val="1"/>
              <c:showCatName val="1"/>
              <c:showSerName val="0"/>
              <c:showPercent val="0"/>
              <c:showBubbleSize val="0"/>
              <c:extLst>
                <c:ext xmlns:c15="http://schemas.microsoft.com/office/drawing/2012/chart" uri="{CE6537A1-D6FC-4f65-9D91-7224C49458BB}">
                  <c15:layout/>
                </c:ext>
              </c:extLst>
            </c:dLbl>
            <c:dLbl>
              <c:idx val="5"/>
              <c:layout>
                <c:manualLayout>
                  <c:x val="0.131703083989501"/>
                  <c:y val="-0.0223090126156591"/>
                </c:manualLayout>
              </c:layout>
              <c:tx>
                <c:rich>
                  <a:bodyPr rot="0" spcFirstLastPara="1" vertOverflow="ellipsis" vert="horz" wrap="square" lIns="38100" tIns="19050" rIns="38100" bIns="19050" anchor="ctr" anchorCtr="1"/>
                  <a:lstStyle/>
                  <a:p>
                    <a:fld id="{4ab15fb5-d5d6-4a61-a6c8-b39884f9461b}" type="CATEGORYNAME">
                      <a:t>[CATEGORY NAME]</a:t>
                    </a:fld>
                    <a:r>
                      <a:t>,</a:t>
                    </a:r>
                    <a:fld id="{353516ce-ca23-4382-9524-19f4f13c1044}" type="VALUE">
                      <a:t>[VALUE]</a:t>
                    </a:fld>
                    <a:endParaRPr lang="en-US" altLang="zh-CN" b="0" i="0" u="none" strike="noStrike" baseline="0">
                      <a:latin typeface="Times New Roman" panose="02020603050405020304" charset="0"/>
                      <a:ea typeface="Times New Roman" panose="02020603050405020304" charset="0"/>
                      <a:cs typeface="+mn-ea"/>
                    </a:endParaRPr>
                  </a:p>
                </c:rich>
              </c:tx>
              <c:dLblPos val="bestFit"/>
              <c:showLegendKey val="0"/>
              <c:showVal val="1"/>
              <c:showCatName val="1"/>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mn-cs"/>
                  </a:defRPr>
                </a:pPr>
              </a:p>
            </c:txPr>
            <c:dLblPos val="bestFit"/>
            <c:showLegendKey val="0"/>
            <c:showVal val="1"/>
            <c:showCatName val="1"/>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Sheet1!$A$2:$A$7</c:f>
              <c:strCache>
                <c:ptCount val="6"/>
                <c:pt idx="0">
                  <c:v>5分钟以内</c:v>
                </c:pt>
                <c:pt idx="1">
                  <c:v>5-10分钟（含）</c:v>
                </c:pt>
                <c:pt idx="2">
                  <c:v>10-20分钟以内（含）</c:v>
                </c:pt>
                <c:pt idx="3">
                  <c:v>20-30分钟以内（含）</c:v>
                </c:pt>
                <c:pt idx="4">
                  <c:v>40分钟及以上</c:v>
                </c:pt>
                <c:pt idx="5">
                  <c:v>说不清</c:v>
                </c:pt>
              </c:strCache>
            </c:strRef>
          </c:cat>
          <c:val>
            <c:numRef>
              <c:f>Sheet1!$B$2:$B$7</c:f>
              <c:numCache>
                <c:formatCode>General</c:formatCode>
                <c:ptCount val="6"/>
                <c:pt idx="0">
                  <c:v>10</c:v>
                </c:pt>
                <c:pt idx="1">
                  <c:v>31.11</c:v>
                </c:pt>
                <c:pt idx="2">
                  <c:v>47.78</c:v>
                </c:pt>
                <c:pt idx="3">
                  <c:v>6.67</c:v>
                </c:pt>
                <c:pt idx="4">
                  <c:v>2.22</c:v>
                </c:pt>
                <c:pt idx="5">
                  <c:v>2.22</c:v>
                </c:pt>
              </c:numCache>
            </c:numRef>
          </c:val>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系列 1</c:v>
                </c:pt>
              </c:strCache>
            </c:strRef>
          </c:tx>
          <c:spPr>
            <a:solidFill>
              <a:srgbClr val="00516B"/>
            </a:solidFill>
            <a:ln>
              <a:noFill/>
            </a:ln>
            <a:effectLst/>
          </c:spPr>
          <c:invertIfNegative val="0"/>
          <c:dLbls>
            <c:dLbl>
              <c:idx val="0"/>
              <c:layout/>
              <c:tx>
                <c:rich>
                  <a:bodyPr rot="0" spcFirstLastPara="1" vertOverflow="ellipsis" vert="horz" wrap="square" lIns="38100" tIns="19050" rIns="38100" bIns="19050" anchor="ctr" anchorCtr="1"/>
                  <a:lstStyle/>
                  <a:p>
                    <a:fld id="{0495276f-efea-4478-a44a-56b30aad449a}" type="VALUE">
                      <a:t>[VALUE]</a:t>
                    </a:fld>
                    <a:endParaRPr lang="en-US" altLang="zh-CN" b="0" i="0" u="none" strike="noStrike" baseline="0">
                      <a:latin typeface="Times New Roman" panose="02020603050405020304" charset="0"/>
                      <a:ea typeface="Times New Roman" panose="02020603050405020304" charset="0"/>
                      <a:cs typeface="+mn-ea"/>
                    </a:endParaRPr>
                  </a:p>
                </c:rich>
              </c:tx>
              <c:dLblPos val="outEnd"/>
              <c:showLegendKey val="0"/>
              <c:showVal val="1"/>
              <c:showCatName val="0"/>
              <c:showSerName val="0"/>
              <c:showPercent val="0"/>
              <c:showBubbleSize val="0"/>
              <c:extLst>
                <c:ext xmlns:c15="http://schemas.microsoft.com/office/drawing/2012/chart" uri="{CE6537A1-D6FC-4f65-9D91-7224C49458BB}"/>
              </c:extLst>
            </c:dLbl>
            <c:dLbl>
              <c:idx val="1"/>
              <c:layout/>
              <c:tx>
                <c:rich>
                  <a:bodyPr rot="0" spcFirstLastPara="1" vertOverflow="ellipsis" vert="horz" wrap="square" lIns="38100" tIns="19050" rIns="38100" bIns="19050" anchor="ctr" anchorCtr="1"/>
                  <a:lstStyle/>
                  <a:p>
                    <a:fld id="{5ae87fc3-8dbf-4fe2-a106-bda4ff698b4b}" type="VALUE">
                      <a:t>[VALUE]</a:t>
                    </a:fld>
                    <a:endParaRPr lang="en-US" altLang="zh-CN" b="0" i="0" u="none" strike="noStrike" baseline="0">
                      <a:latin typeface="Times New Roman" panose="02020603050405020304" charset="0"/>
                      <a:ea typeface="Times New Roman" panose="02020603050405020304" charset="0"/>
                      <a:cs typeface="+mn-ea"/>
                    </a:endParaRPr>
                  </a:p>
                </c:rich>
              </c:tx>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换乘方便程度</c:v>
                </c:pt>
                <c:pt idx="1">
                  <c:v>公交行车通畅度</c:v>
                </c:pt>
              </c:strCache>
            </c:strRef>
          </c:cat>
          <c:val>
            <c:numRef>
              <c:f>Sheet1!$B$2:$B$3</c:f>
              <c:numCache>
                <c:formatCode>General</c:formatCode>
                <c:ptCount val="2"/>
                <c:pt idx="0">
                  <c:v>80</c:v>
                </c:pt>
                <c:pt idx="1">
                  <c:v>78.9</c:v>
                </c:pt>
              </c:numCache>
            </c:numRef>
          </c:val>
        </c:ser>
        <c:dLbls>
          <c:showLegendKey val="0"/>
          <c:showVal val="0"/>
          <c:showCatName val="0"/>
          <c:showSerName val="0"/>
          <c:showPercent val="0"/>
          <c:showBubbleSize val="0"/>
        </c:dLbls>
        <c:gapWidth val="219"/>
        <c:overlap val="-27"/>
        <c:axId val="597043840"/>
        <c:axId val="597053824"/>
      </c:barChart>
      <c:catAx>
        <c:axId val="597043840"/>
        <c:scaling>
          <c:orientation val="minMax"/>
        </c:scaling>
        <c:delete val="0"/>
        <c:axPos val="b"/>
        <c:numFmt formatCode="General" sourceLinked="1"/>
        <c:majorTickMark val="out"/>
        <c:minorTickMark val="out"/>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mn-cs"/>
              </a:defRPr>
            </a:pPr>
          </a:p>
        </c:txPr>
        <c:crossAx val="597053824"/>
        <c:crosses val="autoZero"/>
        <c:auto val="1"/>
        <c:lblAlgn val="ctr"/>
        <c:lblOffset val="100"/>
        <c:noMultiLvlLbl val="0"/>
      </c:catAx>
      <c:valAx>
        <c:axId val="597053824"/>
        <c:scaling>
          <c:orientation val="minMax"/>
          <c:max val="100"/>
          <c:min val="0"/>
        </c:scaling>
        <c:delete val="0"/>
        <c:axPos val="l"/>
        <c:numFmt formatCode="General" sourceLinked="1"/>
        <c:majorTickMark val="out"/>
        <c:minorTickMark val="out"/>
        <c:tickLblPos val="nextTo"/>
        <c:spPr>
          <a:noFill/>
          <a:ln w="6350" cap="flat" cmpd="sng" algn="ctr">
            <a:solidFill>
              <a:schemeClr val="bg2">
                <a:lumMod val="90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mn-cs"/>
              </a:defRPr>
            </a:pPr>
          </a:p>
        </c:txPr>
        <c:crossAx val="597043840"/>
        <c:crosses val="autoZero"/>
        <c:crossBetween val="between"/>
        <c:majorUnit val="20"/>
        <c:minorUnit val="20"/>
      </c:valAx>
      <c:spPr>
        <a:no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系列 1</c:v>
                </c:pt>
              </c:strCache>
            </c:strRef>
          </c:tx>
          <c:spPr>
            <a:solidFill>
              <a:srgbClr val="00516B"/>
            </a:solidFill>
            <a:ln>
              <a:noFill/>
            </a:ln>
            <a:effectLst/>
          </c:spPr>
          <c:invertIfNegative val="0"/>
          <c:dLbls>
            <c:dLbl>
              <c:idx val="0"/>
              <c:layout/>
              <c:tx>
                <c:rich>
                  <a:bodyPr rot="0" spcFirstLastPara="1" vertOverflow="ellipsis" vert="horz" wrap="square" lIns="38100" tIns="19050" rIns="38100" bIns="19050" anchor="ctr" anchorCtr="1"/>
                  <a:lstStyle/>
                  <a:p>
                    <a:fld id="{932db11f-4ef7-4120-8f47-b73d0b742182}" type="VALUE">
                      <a:t>[VALUE]</a:t>
                    </a:fld>
                    <a:endParaRPr lang="en-US" altLang="zh-CN" b="0" i="0" u="none" strike="noStrike" baseline="0">
                      <a:latin typeface="Times New Roman" panose="02020603050405020304" charset="0"/>
                      <a:ea typeface="Times New Roman" panose="02020603050405020304" charset="0"/>
                      <a:cs typeface="+mn-ea"/>
                    </a:endParaRPr>
                  </a:p>
                </c:rich>
              </c:tx>
              <c:dLblPos val="outEnd"/>
              <c:showLegendKey val="0"/>
              <c:showVal val="1"/>
              <c:showCatName val="0"/>
              <c:showSerName val="0"/>
              <c:showPercent val="0"/>
              <c:showBubbleSize val="0"/>
              <c:extLst>
                <c:ext xmlns:c15="http://schemas.microsoft.com/office/drawing/2012/chart" uri="{CE6537A1-D6FC-4f65-9D91-7224C49458BB}"/>
              </c:extLst>
            </c:dLbl>
            <c:dLbl>
              <c:idx val="1"/>
              <c:layout/>
              <c:tx>
                <c:rich>
                  <a:bodyPr rot="0" spcFirstLastPara="1" vertOverflow="ellipsis" vert="horz" wrap="square" lIns="38100" tIns="19050" rIns="38100" bIns="19050" anchor="ctr" anchorCtr="1"/>
                  <a:lstStyle/>
                  <a:p>
                    <a:fld id="{99051e89-4dc6-4f4b-8495-8ef975580c08}" type="VALUE">
                      <a:t>[VALUE]</a:t>
                    </a:fld>
                    <a:endParaRPr lang="en-US" altLang="zh-CN" b="0" i="0" u="none" strike="noStrike" baseline="0">
                      <a:latin typeface="Times New Roman" panose="02020603050405020304" charset="0"/>
                      <a:ea typeface="Times New Roman" panose="02020603050405020304" charset="0"/>
                      <a:cs typeface="+mn-ea"/>
                    </a:endParaRPr>
                  </a:p>
                </c:rich>
              </c:tx>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Sheet1!$A$2:$A$4</c:f>
              <c:strCache>
                <c:ptCount val="3"/>
                <c:pt idx="0">
                  <c:v>站点周边安全程度</c:v>
                </c:pt>
                <c:pt idx="1">
                  <c:v>安全设施完善程度</c:v>
                </c:pt>
                <c:pt idx="2">
                  <c:v>公交出行安全程度</c:v>
                </c:pt>
              </c:strCache>
            </c:strRef>
          </c:cat>
          <c:val>
            <c:numRef>
              <c:f>Sheet1!$B$2:$B$4</c:f>
              <c:numCache>
                <c:formatCode>General</c:formatCode>
                <c:ptCount val="3"/>
                <c:pt idx="0">
                  <c:v>82.6</c:v>
                </c:pt>
                <c:pt idx="1">
                  <c:v>84.4</c:v>
                </c:pt>
                <c:pt idx="2">
                  <c:v>85</c:v>
                </c:pt>
              </c:numCache>
            </c:numRef>
          </c:val>
        </c:ser>
        <c:dLbls>
          <c:showLegendKey val="0"/>
          <c:showVal val="0"/>
          <c:showCatName val="0"/>
          <c:showSerName val="0"/>
          <c:showPercent val="0"/>
          <c:showBubbleSize val="0"/>
        </c:dLbls>
        <c:gapWidth val="219"/>
        <c:overlap val="-27"/>
        <c:axId val="598845696"/>
        <c:axId val="598867968"/>
      </c:barChart>
      <c:catAx>
        <c:axId val="598845696"/>
        <c:scaling>
          <c:orientation val="minMax"/>
        </c:scaling>
        <c:delete val="0"/>
        <c:axPos val="b"/>
        <c:numFmt formatCode="General" sourceLinked="1"/>
        <c:majorTickMark val="out"/>
        <c:minorTickMark val="out"/>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mn-cs"/>
              </a:defRPr>
            </a:pPr>
          </a:p>
        </c:txPr>
        <c:crossAx val="598867968"/>
        <c:crosses val="autoZero"/>
        <c:auto val="1"/>
        <c:lblAlgn val="ctr"/>
        <c:lblOffset val="100"/>
        <c:noMultiLvlLbl val="0"/>
      </c:catAx>
      <c:valAx>
        <c:axId val="598867968"/>
        <c:scaling>
          <c:orientation val="minMax"/>
          <c:max val="100"/>
          <c:min val="0"/>
        </c:scaling>
        <c:delete val="0"/>
        <c:axPos val="l"/>
        <c:numFmt formatCode="General" sourceLinked="1"/>
        <c:majorTickMark val="out"/>
        <c:minorTickMark val="out"/>
        <c:tickLblPos val="nextTo"/>
        <c:spPr>
          <a:noFill/>
          <a:ln w="6350" cap="flat" cmpd="sng" algn="ctr">
            <a:solidFill>
              <a:schemeClr val="bg2">
                <a:lumMod val="90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mn-cs"/>
              </a:defRPr>
            </a:pPr>
          </a:p>
        </c:txPr>
        <c:crossAx val="598845696"/>
        <c:crosses val="autoZero"/>
        <c:crossBetween val="between"/>
        <c:majorUnit val="20"/>
        <c:minorUnit val="20"/>
      </c:valAx>
      <c:spPr>
        <a:no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系列 1</c:v>
                </c:pt>
              </c:strCache>
            </c:strRef>
          </c:tx>
          <c:spPr>
            <a:solidFill>
              <a:srgbClr val="00516B"/>
            </a:solidFill>
            <a:ln>
              <a:noFill/>
            </a:ln>
            <a:effectLst/>
          </c:spPr>
          <c:invertIfNegative val="0"/>
          <c:dLbls>
            <c:dLbl>
              <c:idx val="0"/>
              <c:layout/>
              <c:tx>
                <c:rich>
                  <a:bodyPr rot="0" spcFirstLastPara="1" vertOverflow="ellipsis" vert="horz" wrap="square" lIns="38100" tIns="19050" rIns="38100" bIns="19050" anchor="ctr" anchorCtr="1"/>
                  <a:lstStyle/>
                  <a:p>
                    <a:fld id="{74fb6d64-b61e-473f-a36a-54dadba406f1}" type="VALUE">
                      <a:t>[VALUE]</a:t>
                    </a:fld>
                    <a:endParaRPr lang="en-US" altLang="zh-CN" b="0" i="0" u="none" strike="noStrike" baseline="0">
                      <a:latin typeface="Times New Roman" panose="02020603050405020304" charset="0"/>
                      <a:ea typeface="Times New Roman" panose="02020603050405020304" charset="0"/>
                      <a:cs typeface="+mn-ea"/>
                    </a:endParaRPr>
                  </a:p>
                </c:rich>
              </c:tx>
              <c:dLblPos val="outEnd"/>
              <c:showLegendKey val="0"/>
              <c:showVal val="1"/>
              <c:showCatName val="0"/>
              <c:showSerName val="0"/>
              <c:showPercent val="0"/>
              <c:showBubbleSize val="0"/>
              <c:extLst>
                <c:ext xmlns:c15="http://schemas.microsoft.com/office/drawing/2012/chart" uri="{CE6537A1-D6FC-4f65-9D91-7224C49458BB}"/>
              </c:extLst>
            </c:dLbl>
            <c:dLbl>
              <c:idx val="2"/>
              <c:layout/>
              <c:tx>
                <c:rich>
                  <a:bodyPr rot="0" spcFirstLastPara="1" vertOverflow="ellipsis" vert="horz" wrap="square" lIns="38100" tIns="19050" rIns="38100" bIns="19050" anchor="ctr" anchorCtr="1"/>
                  <a:lstStyle/>
                  <a:p>
                    <a:fld id="{0f572b61-400d-4a37-b9e7-75210e7d7c0a}" type="VALUE">
                      <a:t>[VALUE]</a:t>
                    </a:fld>
                    <a:endParaRPr lang="en-US" altLang="zh-CN" b="0" i="0" u="none" strike="noStrike" baseline="0">
                      <a:latin typeface="Times New Roman" panose="02020603050405020304" charset="0"/>
                      <a:ea typeface="Times New Roman" panose="02020603050405020304" charset="0"/>
                      <a:cs typeface="+mn-ea"/>
                    </a:endParaRPr>
                  </a:p>
                </c:rich>
              </c:tx>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Sheet1!$A$2:$A$7</c:f>
              <c:strCache>
                <c:ptCount val="6"/>
                <c:pt idx="0">
                  <c:v>站点周边环境</c:v>
                </c:pt>
                <c:pt idx="1">
                  <c:v>车内环境</c:v>
                </c:pt>
                <c:pt idx="2">
                  <c:v>候车秩序</c:v>
                </c:pt>
                <c:pt idx="3">
                  <c:v>驾驶员技术</c:v>
                </c:pt>
                <c:pt idx="4">
                  <c:v>车内拥挤程度</c:v>
                </c:pt>
                <c:pt idx="5">
                  <c:v>车内老弱病残孕席位设计合理性</c:v>
                </c:pt>
              </c:strCache>
            </c:strRef>
          </c:cat>
          <c:val>
            <c:numRef>
              <c:f>Sheet1!$B$2:$B$7</c:f>
              <c:numCache>
                <c:formatCode>General</c:formatCode>
                <c:ptCount val="6"/>
                <c:pt idx="0">
                  <c:v>77.2</c:v>
                </c:pt>
                <c:pt idx="1">
                  <c:v>82.8</c:v>
                </c:pt>
                <c:pt idx="2">
                  <c:v>77.3</c:v>
                </c:pt>
                <c:pt idx="3">
                  <c:v>35</c:v>
                </c:pt>
                <c:pt idx="4">
                  <c:v>41</c:v>
                </c:pt>
                <c:pt idx="5">
                  <c:v>77.9</c:v>
                </c:pt>
              </c:numCache>
            </c:numRef>
          </c:val>
        </c:ser>
        <c:dLbls>
          <c:showLegendKey val="0"/>
          <c:showVal val="0"/>
          <c:showCatName val="0"/>
          <c:showSerName val="0"/>
          <c:showPercent val="0"/>
          <c:showBubbleSize val="0"/>
        </c:dLbls>
        <c:gapWidth val="219"/>
        <c:overlap val="-27"/>
        <c:axId val="598882176"/>
        <c:axId val="598883712"/>
      </c:barChart>
      <c:catAx>
        <c:axId val="598882176"/>
        <c:scaling>
          <c:orientation val="minMax"/>
        </c:scaling>
        <c:delete val="0"/>
        <c:axPos val="b"/>
        <c:numFmt formatCode="General" sourceLinked="1"/>
        <c:majorTickMark val="out"/>
        <c:minorTickMark val="out"/>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mn-cs"/>
              </a:defRPr>
            </a:pPr>
          </a:p>
        </c:txPr>
        <c:crossAx val="598883712"/>
        <c:crosses val="autoZero"/>
        <c:auto val="1"/>
        <c:lblAlgn val="ctr"/>
        <c:lblOffset val="100"/>
        <c:noMultiLvlLbl val="0"/>
      </c:catAx>
      <c:valAx>
        <c:axId val="598883712"/>
        <c:scaling>
          <c:orientation val="minMax"/>
          <c:max val="100"/>
          <c:min val="0"/>
        </c:scaling>
        <c:delete val="0"/>
        <c:axPos val="l"/>
        <c:numFmt formatCode="General" sourceLinked="1"/>
        <c:majorTickMark val="out"/>
        <c:minorTickMark val="out"/>
        <c:tickLblPos val="nextTo"/>
        <c:spPr>
          <a:noFill/>
          <a:ln w="6350" cap="flat" cmpd="sng" algn="ctr">
            <a:solidFill>
              <a:schemeClr val="bg2">
                <a:lumMod val="90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mn-cs"/>
              </a:defRPr>
            </a:pPr>
          </a:p>
        </c:txPr>
        <c:crossAx val="598882176"/>
        <c:crosses val="autoZero"/>
        <c:crossBetween val="between"/>
        <c:majorUnit val="20"/>
        <c:minorUnit val="20"/>
      </c:valAx>
      <c:spPr>
        <a:no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rgbClr val="00516B"/>
            </a:solidFill>
            <a:ln>
              <a:noFill/>
            </a:ln>
            <a:effectLst/>
          </c:spPr>
          <c:invertIfNegative val="0"/>
          <c:dLbls>
            <c:dLbl>
              <c:idx val="0"/>
              <c:layout/>
              <c:tx>
                <c:rich>
                  <a:bodyPr rot="0" spcFirstLastPara="1" vertOverflow="ellipsis" vert="horz" wrap="square" lIns="38100" tIns="19050" rIns="38100" bIns="19050" anchor="ctr" anchorCtr="1"/>
                  <a:lstStyle/>
                  <a:p>
                    <a:fld id="{f8165921-8d97-46ec-8c7c-71498f806d52}" type="VALUE">
                      <a:t>[VALUE]</a:t>
                    </a:fld>
                    <a:endParaRPr lang="zh-CN" altLang="en-US" b="0" i="0" u="none" strike="noStrike" baseline="0">
                      <a:latin typeface="Times New Roman" panose="02020603050405020304" charset="0"/>
                      <a:ea typeface="Times New Roman" panose="02020603050405020304" charset="0"/>
                      <a:cs typeface="+mn-ea"/>
                    </a:endParaRPr>
                  </a:p>
                </c:rich>
              </c:tx>
              <c:dLblPos val="outEnd"/>
              <c:showLegendKey val="0"/>
              <c:showVal val="1"/>
              <c:showCatName val="0"/>
              <c:showSerName val="0"/>
              <c:showPercent val="0"/>
              <c:showBubbleSize val="0"/>
              <c:extLst>
                <c:ext xmlns:c15="http://schemas.microsoft.com/office/drawing/2012/chart" uri="{CE6537A1-D6FC-4f65-9D91-7224C49458BB}"/>
              </c:extLst>
            </c:dLbl>
            <c:dLbl>
              <c:idx val="5"/>
              <c:layout/>
              <c:tx>
                <c:rich>
                  <a:bodyPr rot="0" spcFirstLastPara="1" vertOverflow="ellipsis" vert="horz" wrap="square" lIns="38100" tIns="19050" rIns="38100" bIns="19050" anchor="ctr" anchorCtr="1"/>
                  <a:lstStyle/>
                  <a:p>
                    <a:fld id="{dcb3319b-ac60-4356-a0f0-cc4d0f820e5f}" type="VALUE">
                      <a:t>[VALUE]</a:t>
                    </a:fld>
                    <a:endParaRPr lang="zh-CN" altLang="en-US" b="0" i="0" u="none" strike="noStrike" baseline="0">
                      <a:latin typeface="Times New Roman" panose="02020603050405020304" charset="0"/>
                      <a:ea typeface="Times New Roman" panose="02020603050405020304" charset="0"/>
                      <a:cs typeface="+mn-ea"/>
                    </a:endParaRPr>
                  </a:p>
                </c:rich>
              </c:tx>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Sheet1!$A$2:$A$10</c:f>
              <c:strCache>
                <c:ptCount val="9"/>
                <c:pt idx="0">
                  <c:v>上下学</c:v>
                </c:pt>
                <c:pt idx="1">
                  <c:v>公务（如开会、见客户、送货）</c:v>
                </c:pt>
                <c:pt idx="2">
                  <c:v>其他</c:v>
                </c:pt>
                <c:pt idx="3">
                  <c:v>接送孩子</c:v>
                </c:pt>
                <c:pt idx="4">
                  <c:v>公园景区旅游</c:v>
                </c:pt>
                <c:pt idx="5">
                  <c:v>上下班</c:v>
                </c:pt>
                <c:pt idx="6">
                  <c:v>走访亲友</c:v>
                </c:pt>
                <c:pt idx="7">
                  <c:v>文化体育活动</c:v>
                </c:pt>
                <c:pt idx="8">
                  <c:v>购物、餐饮</c:v>
                </c:pt>
              </c:strCache>
            </c:strRef>
          </c:cat>
          <c:val>
            <c:numRef>
              <c:f>Sheet1!$B$2:$B$10</c:f>
              <c:numCache>
                <c:formatCode>General</c:formatCode>
                <c:ptCount val="9"/>
                <c:pt idx="0">
                  <c:v>3.33</c:v>
                </c:pt>
                <c:pt idx="1">
                  <c:v>7.78</c:v>
                </c:pt>
                <c:pt idx="2">
                  <c:v>8.89</c:v>
                </c:pt>
                <c:pt idx="3">
                  <c:v>17.78</c:v>
                </c:pt>
                <c:pt idx="4">
                  <c:v>18.89</c:v>
                </c:pt>
                <c:pt idx="5">
                  <c:v>21.11</c:v>
                </c:pt>
                <c:pt idx="6">
                  <c:v>26.67</c:v>
                </c:pt>
                <c:pt idx="7">
                  <c:v>37.78</c:v>
                </c:pt>
                <c:pt idx="8">
                  <c:v>40</c:v>
                </c:pt>
              </c:numCache>
            </c:numRef>
          </c:val>
        </c:ser>
        <c:dLbls>
          <c:showLegendKey val="0"/>
          <c:showVal val="0"/>
          <c:showCatName val="0"/>
          <c:showSerName val="0"/>
          <c:showPercent val="0"/>
          <c:showBubbleSize val="0"/>
        </c:dLbls>
        <c:gapWidth val="219"/>
        <c:axId val="599614976"/>
        <c:axId val="599616512"/>
      </c:barChart>
      <c:catAx>
        <c:axId val="599614976"/>
        <c:scaling>
          <c:orientation val="minMax"/>
        </c:scaling>
        <c:delete val="0"/>
        <c:axPos val="l"/>
        <c:numFmt formatCode="General" sourceLinked="1"/>
        <c:majorTickMark val="out"/>
        <c:minorTickMark val="out"/>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mn-cs"/>
              </a:defRPr>
            </a:pPr>
          </a:p>
        </c:txPr>
        <c:crossAx val="599616512"/>
        <c:crosses val="autoZero"/>
        <c:auto val="1"/>
        <c:lblAlgn val="ctr"/>
        <c:lblOffset val="100"/>
        <c:noMultiLvlLbl val="0"/>
      </c:catAx>
      <c:valAx>
        <c:axId val="599616512"/>
        <c:scaling>
          <c:orientation val="minMax"/>
          <c:max val="40"/>
          <c:min val="0"/>
        </c:scaling>
        <c:delete val="0"/>
        <c:axPos val="b"/>
        <c:numFmt formatCode="General" sourceLinked="1"/>
        <c:majorTickMark val="out"/>
        <c:minorTickMark val="out"/>
        <c:tickLblPos val="nextTo"/>
        <c:spPr>
          <a:noFill/>
          <a:ln w="6350" cap="flat" cmpd="sng" algn="ctr">
            <a:solidFill>
              <a:schemeClr val="bg2">
                <a:lumMod val="90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mn-cs"/>
              </a:defRPr>
            </a:pPr>
          </a:p>
        </c:txPr>
        <c:crossAx val="599614976"/>
        <c:crosses val="autoZero"/>
        <c:crossBetween val="between"/>
        <c:majorUnit val="20"/>
        <c:minorUnit val="20"/>
      </c:valAx>
      <c:spPr>
        <a:no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lang="zh-CN"/>
      </a:pPr>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系列 1</c:v>
                </c:pt>
              </c:strCache>
            </c:strRef>
          </c:tx>
          <c:spPr>
            <a:solidFill>
              <a:srgbClr val="00516B"/>
            </a:solidFill>
            <a:ln>
              <a:noFill/>
            </a:ln>
            <a:effectLst/>
          </c:spPr>
          <c:invertIfNegative val="0"/>
          <c:dLbls>
            <c:dLbl>
              <c:idx val="0"/>
              <c:layout/>
              <c:tx>
                <c:rich>
                  <a:bodyPr rot="0" spcFirstLastPara="1" vertOverflow="ellipsis" vert="horz" wrap="square" lIns="38100" tIns="19050" rIns="38100" bIns="19050" anchor="ctr" anchorCtr="1"/>
                  <a:lstStyle/>
                  <a:p>
                    <a:fld id="{267a2ffe-0372-455c-ab7c-2502c813bd5b}" type="VALUE">
                      <a:t>[VALUE]</a:t>
                    </a:fld>
                    <a:endParaRPr lang="zh-CN" altLang="en-US" b="0" i="0" u="none" strike="noStrike" baseline="0">
                      <a:latin typeface="Times New Roman" panose="02020603050405020304" charset="0"/>
                      <a:ea typeface="Times New Roman" panose="02020603050405020304" charset="0"/>
                      <a:cs typeface="+mn-ea"/>
                    </a:endParaRPr>
                  </a:p>
                </c:rich>
              </c:tx>
              <c:dLblPos val="outEnd"/>
              <c:showLegendKey val="0"/>
              <c:showVal val="1"/>
              <c:showCatName val="0"/>
              <c:showSerName val="0"/>
              <c:showPercent val="0"/>
              <c:showBubbleSize val="0"/>
              <c:extLst>
                <c:ext xmlns:c15="http://schemas.microsoft.com/office/drawing/2012/chart" uri="{CE6537A1-D6FC-4f65-9D91-7224C49458BB}"/>
              </c:extLst>
            </c:dLbl>
            <c:dLbl>
              <c:idx val="2"/>
              <c:layout/>
              <c:tx>
                <c:rich>
                  <a:bodyPr rot="0" spcFirstLastPara="1" vertOverflow="ellipsis" vert="horz" wrap="square" lIns="38100" tIns="19050" rIns="38100" bIns="19050" anchor="ctr" anchorCtr="1"/>
                  <a:lstStyle/>
                  <a:p>
                    <a:fld id="{363cca90-8828-4d58-90b9-d845bf65d3af}" type="VALUE">
                      <a:t>[VALUE]</a:t>
                    </a:fld>
                    <a:endParaRPr lang="zh-CN" altLang="en-US" b="0" i="0" u="none" strike="noStrike" baseline="0">
                      <a:latin typeface="Times New Roman" panose="02020603050405020304" charset="0"/>
                      <a:ea typeface="Times New Roman" panose="02020603050405020304" charset="0"/>
                      <a:cs typeface="+mn-ea"/>
                    </a:endParaRPr>
                  </a:p>
                </c:rich>
              </c:tx>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Sheet1!$A$2:$A$6</c:f>
              <c:strCache>
                <c:ptCount val="5"/>
                <c:pt idx="0">
                  <c:v>每天</c:v>
                </c:pt>
                <c:pt idx="1">
                  <c:v>一周三到五次</c:v>
                </c:pt>
                <c:pt idx="2">
                  <c:v>一周一次</c:v>
                </c:pt>
                <c:pt idx="3">
                  <c:v>一月一次</c:v>
                </c:pt>
                <c:pt idx="4">
                  <c:v>很少乘坐</c:v>
                </c:pt>
              </c:strCache>
            </c:strRef>
          </c:cat>
          <c:val>
            <c:numRef>
              <c:f>Sheet1!$B$2:$B$6</c:f>
              <c:numCache>
                <c:formatCode>General</c:formatCode>
                <c:ptCount val="5"/>
                <c:pt idx="0">
                  <c:v>26.67</c:v>
                </c:pt>
                <c:pt idx="1">
                  <c:v>33.33</c:v>
                </c:pt>
                <c:pt idx="2">
                  <c:v>27.78</c:v>
                </c:pt>
                <c:pt idx="3">
                  <c:v>4.44</c:v>
                </c:pt>
                <c:pt idx="4">
                  <c:v>7.78</c:v>
                </c:pt>
              </c:numCache>
            </c:numRef>
          </c:val>
        </c:ser>
        <c:dLbls>
          <c:showLegendKey val="0"/>
          <c:showVal val="0"/>
          <c:showCatName val="0"/>
          <c:showSerName val="0"/>
          <c:showPercent val="0"/>
          <c:showBubbleSize val="0"/>
        </c:dLbls>
        <c:gapWidth val="219"/>
        <c:overlap val="-27"/>
        <c:axId val="599639168"/>
        <c:axId val="599640704"/>
      </c:barChart>
      <c:catAx>
        <c:axId val="599639168"/>
        <c:scaling>
          <c:orientation val="minMax"/>
        </c:scaling>
        <c:delete val="0"/>
        <c:axPos val="b"/>
        <c:numFmt formatCode="General" sourceLinked="1"/>
        <c:majorTickMark val="out"/>
        <c:minorTickMark val="out"/>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mn-cs"/>
              </a:defRPr>
            </a:pPr>
          </a:p>
        </c:txPr>
        <c:crossAx val="599640704"/>
        <c:crosses val="autoZero"/>
        <c:auto val="1"/>
        <c:lblAlgn val="ctr"/>
        <c:lblOffset val="100"/>
        <c:noMultiLvlLbl val="0"/>
      </c:catAx>
      <c:valAx>
        <c:axId val="599640704"/>
        <c:scaling>
          <c:orientation val="minMax"/>
          <c:max val="40"/>
          <c:min val="0"/>
        </c:scaling>
        <c:delete val="0"/>
        <c:axPos val="l"/>
        <c:numFmt formatCode="General" sourceLinked="1"/>
        <c:majorTickMark val="out"/>
        <c:minorTickMark val="out"/>
        <c:tickLblPos val="nextTo"/>
        <c:spPr>
          <a:noFill/>
          <a:ln w="6350" cap="flat" cmpd="sng" algn="ctr">
            <a:solidFill>
              <a:schemeClr val="bg2">
                <a:lumMod val="90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mn-cs"/>
              </a:defRPr>
            </a:pPr>
          </a:p>
        </c:txPr>
        <c:crossAx val="599639168"/>
        <c:crosses val="autoZero"/>
        <c:crossBetween val="between"/>
        <c:majorUnit val="20"/>
        <c:minorUnit val="20"/>
      </c:valAx>
      <c:spPr>
        <a:no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lang="zh-CN"/>
      </a:pPr>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系列 1</c:v>
                </c:pt>
              </c:strCache>
            </c:strRef>
          </c:tx>
          <c:spPr>
            <a:solidFill>
              <a:srgbClr val="00516B"/>
            </a:solidFill>
            <a:ln>
              <a:noFill/>
            </a:ln>
            <a:effectLst/>
          </c:spPr>
          <c:invertIfNegative val="0"/>
          <c:dLbls>
            <c:dLbl>
              <c:idx val="0"/>
              <c:layout/>
              <c:tx>
                <c:rich>
                  <a:bodyPr rot="0" spcFirstLastPara="1" vertOverflow="ellipsis" vert="horz" wrap="square" lIns="38100" tIns="19050" rIns="38100" bIns="19050" anchor="ctr" anchorCtr="1"/>
                  <a:lstStyle/>
                  <a:p>
                    <a:fld id="{76074cd7-f6da-41e8-ab2d-d2009fd091bd}" type="VALUE">
                      <a:t>[VALUE]</a:t>
                    </a:fld>
                    <a:endParaRPr lang="zh-CN" altLang="en-US" b="0" i="0" u="none" strike="noStrike" baseline="0">
                      <a:latin typeface="Times New Roman" panose="02020603050405020304" charset="0"/>
                      <a:ea typeface="Times New Roman" panose="02020603050405020304" charset="0"/>
                      <a:cs typeface="+mn-ea"/>
                    </a:endParaRPr>
                  </a:p>
                </c:rich>
              </c:tx>
              <c:dLblPos val="outEnd"/>
              <c:showLegendKey val="0"/>
              <c:showVal val="1"/>
              <c:showCatName val="0"/>
              <c:showSerName val="0"/>
              <c:showPercent val="0"/>
              <c:showBubbleSize val="0"/>
              <c:extLst>
                <c:ext xmlns:c15="http://schemas.microsoft.com/office/drawing/2012/chart" uri="{CE6537A1-D6FC-4f65-9D91-7224C49458BB}"/>
              </c:extLst>
            </c:dLbl>
            <c:dLbl>
              <c:idx val="2"/>
              <c:layout/>
              <c:tx>
                <c:rich>
                  <a:bodyPr rot="0" spcFirstLastPara="1" vertOverflow="ellipsis" vert="horz" wrap="square" lIns="38100" tIns="19050" rIns="38100" bIns="19050" anchor="ctr" anchorCtr="1"/>
                  <a:lstStyle/>
                  <a:p>
                    <a:fld id="{a47a243a-bcfa-420b-b625-973159725d40}" type="VALUE">
                      <a:t>[VALUE]</a:t>
                    </a:fld>
                    <a:endParaRPr lang="zh-CN" altLang="en-US" b="0" i="0" u="none" strike="noStrike" baseline="0">
                      <a:latin typeface="Times New Roman" panose="02020603050405020304" charset="0"/>
                      <a:ea typeface="Times New Roman" panose="02020603050405020304" charset="0"/>
                      <a:cs typeface="+mn-ea"/>
                    </a:endParaRPr>
                  </a:p>
                </c:rich>
              </c:tx>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Sheet1!$A$2:$A$7</c:f>
              <c:strCache>
                <c:ptCount val="6"/>
                <c:pt idx="0">
                  <c:v>有明显减少</c:v>
                </c:pt>
                <c:pt idx="1">
                  <c:v>有一定程度的较少</c:v>
                </c:pt>
                <c:pt idx="2">
                  <c:v>有轻微减少</c:v>
                </c:pt>
                <c:pt idx="3">
                  <c:v>无变化</c:v>
                </c:pt>
                <c:pt idx="4">
                  <c:v>有轻微增多</c:v>
                </c:pt>
                <c:pt idx="5">
                  <c:v>有一定程度增多</c:v>
                </c:pt>
              </c:strCache>
            </c:strRef>
          </c:cat>
          <c:val>
            <c:numRef>
              <c:f>Sheet1!$B$2:$B$7</c:f>
              <c:numCache>
                <c:formatCode>General</c:formatCode>
                <c:ptCount val="6"/>
                <c:pt idx="0">
                  <c:v>6.67</c:v>
                </c:pt>
                <c:pt idx="1">
                  <c:v>7.78</c:v>
                </c:pt>
                <c:pt idx="2">
                  <c:v>16.67</c:v>
                </c:pt>
                <c:pt idx="3">
                  <c:v>66.67</c:v>
                </c:pt>
                <c:pt idx="4">
                  <c:v>1.11</c:v>
                </c:pt>
                <c:pt idx="5">
                  <c:v>1.11</c:v>
                </c:pt>
              </c:numCache>
            </c:numRef>
          </c:val>
        </c:ser>
        <c:dLbls>
          <c:showLegendKey val="0"/>
          <c:showVal val="0"/>
          <c:showCatName val="0"/>
          <c:showSerName val="0"/>
          <c:showPercent val="0"/>
          <c:showBubbleSize val="0"/>
        </c:dLbls>
        <c:gapWidth val="219"/>
        <c:overlap val="-27"/>
        <c:axId val="600093440"/>
        <c:axId val="600094976"/>
      </c:barChart>
      <c:catAx>
        <c:axId val="600093440"/>
        <c:scaling>
          <c:orientation val="minMax"/>
        </c:scaling>
        <c:delete val="0"/>
        <c:axPos val="b"/>
        <c:numFmt formatCode="General" sourceLinked="1"/>
        <c:majorTickMark val="out"/>
        <c:minorTickMark val="out"/>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mn-cs"/>
              </a:defRPr>
            </a:pPr>
          </a:p>
        </c:txPr>
        <c:crossAx val="600094976"/>
        <c:crosses val="autoZero"/>
        <c:auto val="1"/>
        <c:lblAlgn val="ctr"/>
        <c:lblOffset val="100"/>
        <c:noMultiLvlLbl val="0"/>
      </c:catAx>
      <c:valAx>
        <c:axId val="600094976"/>
        <c:scaling>
          <c:orientation val="minMax"/>
          <c:max val="80"/>
          <c:min val="0"/>
        </c:scaling>
        <c:delete val="0"/>
        <c:axPos val="l"/>
        <c:numFmt formatCode="General" sourceLinked="1"/>
        <c:majorTickMark val="out"/>
        <c:minorTickMark val="out"/>
        <c:tickLblPos val="nextTo"/>
        <c:spPr>
          <a:noFill/>
          <a:ln w="6350" cap="flat" cmpd="sng" algn="ctr">
            <a:solidFill>
              <a:schemeClr val="bg2">
                <a:lumMod val="90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mn-cs"/>
              </a:defRPr>
            </a:pPr>
          </a:p>
        </c:txPr>
        <c:crossAx val="600093440"/>
        <c:crosses val="autoZero"/>
        <c:crossBetween val="between"/>
        <c:majorUnit val="20"/>
        <c:minorUnit val="20"/>
      </c:valAx>
      <c:spPr>
        <a:no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8BEE4A-FA5C-4C50-9F93-E655F4F960A5}">
  <ds:schemaRefs/>
</ds:datastoreItem>
</file>

<file path=docProps/app.xml><?xml version="1.0" encoding="utf-8"?>
<Properties xmlns="http://schemas.openxmlformats.org/officeDocument/2006/extended-properties" xmlns:vt="http://schemas.openxmlformats.org/officeDocument/2006/docPropsVTypes">
  <Template>Normal.dotm</Template>
  <Pages>45</Pages>
  <Words>15900</Words>
  <Characters>18322</Characters>
  <Lines>153</Lines>
  <Paragraphs>43</Paragraphs>
  <TotalTime>13</TotalTime>
  <ScaleCrop>false</ScaleCrop>
  <LinksUpToDate>false</LinksUpToDate>
  <CharactersWithSpaces>18411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2021-07-31T16:07:00Z</dcterms:created>
  <dc:creator>忠阳 李</dc:creator>
  <cp:lastModifiedBy>Dell</cp:lastModifiedBy>
  <dcterms:modified xsi:type="dcterms:W3CDTF">2024-09-24T00:44:57Z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02645B71132B42438A1637A0DBE714CD_12</vt:lpwstr>
  </property>
</Properties>
</file>