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2020年四川德阳国家农业科技园区部门</w:t>
      </w:r>
    </w:p>
    <w:p>
      <w:pPr>
        <w:autoSpaceDE w:val="0"/>
        <w:autoSpaceDN w:val="0"/>
        <w:adjustRightInd w:val="0"/>
        <w:spacing w:line="560" w:lineRule="exact"/>
        <w:ind w:left="0" w:leftChars="0"/>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整体支出绩效评价报告</w:t>
      </w: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ascii="Times New Roman" w:hAnsi="Times New Roman" w:eastAsia="方正小标宋_GBK" w:cs="Times New Roman"/>
          <w:sz w:val="44"/>
          <w:szCs w:val="44"/>
        </w:rPr>
      </w:pPr>
    </w:p>
    <w:p>
      <w:pPr>
        <w:autoSpaceDE w:val="0"/>
        <w:autoSpaceDN w:val="0"/>
        <w:adjustRightInd w:val="0"/>
        <w:spacing w:line="560" w:lineRule="exact"/>
        <w:ind w:left="0" w:leftChars="0" w:firstLine="880" w:firstLineChars="200"/>
        <w:jc w:val="center"/>
        <w:rPr>
          <w:rFonts w:hint="eastAsia" w:ascii="Times New Roman" w:hAnsi="Times New Roman" w:eastAsia="方正小标宋_GBK" w:cs="Times New Roman"/>
          <w:sz w:val="44"/>
          <w:szCs w:val="44"/>
        </w:rPr>
      </w:pPr>
    </w:p>
    <w:p>
      <w:pPr>
        <w:spacing w:line="560" w:lineRule="exact"/>
        <w:ind w:left="0" w:leftChars="0"/>
        <w:rPr>
          <w:rFonts w:ascii="Times New Roman" w:hAnsi="Times New Roman" w:eastAsia="方正小标宋_GBK" w:cs="Times New Roman"/>
          <w:sz w:val="44"/>
          <w:szCs w:val="44"/>
        </w:rPr>
      </w:pPr>
    </w:p>
    <w:p>
      <w:pPr>
        <w:spacing w:line="560" w:lineRule="exact"/>
        <w:ind w:left="0" w:leftChars="0"/>
        <w:rPr>
          <w:rFonts w:hint="eastAsia" w:ascii="Times New Roman" w:hAnsi="Times New Roman" w:eastAsia="方正小标宋_GBK" w:cs="Times New Roman"/>
          <w:sz w:val="44"/>
          <w:szCs w:val="44"/>
        </w:rPr>
      </w:pPr>
    </w:p>
    <w:p>
      <w:pPr>
        <w:spacing w:line="560" w:lineRule="exact"/>
        <w:ind w:left="0" w:leftChars="0" w:firstLine="1968" w:firstLineChars="700"/>
        <w:rPr>
          <w:rFonts w:ascii="Times New Roman" w:hAnsi="Times New Roman" w:eastAsia="小标宋" w:cs="Times New Roman"/>
          <w:b/>
          <w:bCs/>
          <w:kern w:val="0"/>
          <w:sz w:val="28"/>
          <w:szCs w:val="24"/>
        </w:rPr>
      </w:pPr>
      <w:r>
        <w:rPr>
          <w:rFonts w:ascii="Times New Roman" w:hAnsi="Times New Roman" w:eastAsia="小标宋" w:cs="Times New Roman"/>
          <w:b/>
          <w:kern w:val="0"/>
          <w:sz w:val="28"/>
          <w:szCs w:val="24"/>
          <w:lang w:val="zh-CN"/>
        </w:rPr>
        <w:t>被评单位：</w:t>
      </w:r>
      <w:r>
        <w:rPr>
          <w:rFonts w:ascii="Times New Roman" w:hAnsi="Times New Roman" w:eastAsia="小标宋" w:cs="Times New Roman"/>
          <w:b/>
          <w:bCs/>
          <w:kern w:val="0"/>
          <w:sz w:val="28"/>
          <w:szCs w:val="24"/>
        </w:rPr>
        <w:t>德阳国家农业科技园区</w:t>
      </w:r>
    </w:p>
    <w:p>
      <w:pPr>
        <w:spacing w:line="560" w:lineRule="exact"/>
        <w:ind w:left="0" w:leftChars="0" w:firstLine="1968" w:firstLineChars="700"/>
        <w:rPr>
          <w:rFonts w:ascii="Times New Roman" w:hAnsi="Times New Roman" w:eastAsia="小标宋" w:cs="Times New Roman"/>
          <w:b/>
          <w:bCs/>
          <w:kern w:val="0"/>
          <w:sz w:val="28"/>
          <w:szCs w:val="24"/>
        </w:rPr>
      </w:pPr>
      <w:r>
        <w:rPr>
          <w:rFonts w:ascii="Times New Roman" w:hAnsi="Times New Roman" w:eastAsia="小标宋" w:cs="Times New Roman"/>
          <w:b/>
          <w:kern w:val="0"/>
          <w:sz w:val="28"/>
          <w:szCs w:val="24"/>
          <w:lang w:val="zh-CN"/>
        </w:rPr>
        <w:t>委托单位：绵竹市财政局</w:t>
      </w:r>
    </w:p>
    <w:p>
      <w:pPr>
        <w:spacing w:line="560" w:lineRule="exact"/>
        <w:ind w:left="0" w:leftChars="0" w:firstLine="1968" w:firstLineChars="700"/>
        <w:rPr>
          <w:rFonts w:ascii="Times New Roman" w:hAnsi="Times New Roman" w:eastAsia="小标宋" w:cs="Times New Roman"/>
          <w:b/>
          <w:bCs/>
          <w:kern w:val="0"/>
          <w:sz w:val="28"/>
          <w:szCs w:val="24"/>
        </w:rPr>
      </w:pPr>
      <w:r>
        <w:rPr>
          <w:rFonts w:ascii="Times New Roman" w:hAnsi="Times New Roman" w:eastAsia="小标宋" w:cs="Times New Roman"/>
          <w:b/>
          <w:kern w:val="0"/>
          <w:sz w:val="28"/>
          <w:szCs w:val="24"/>
          <w:lang w:val="zh-CN"/>
        </w:rPr>
        <w:t>评价机构：北京零点市场调查有限公司</w:t>
      </w:r>
    </w:p>
    <w:p>
      <w:pPr>
        <w:spacing w:line="560" w:lineRule="exact"/>
        <w:ind w:left="0" w:leftChars="0"/>
        <w:rPr>
          <w:rFonts w:ascii="Times New Roman" w:hAnsi="Times New Roman" w:eastAsia="小标宋" w:cs="Times New Roman"/>
          <w:b/>
          <w:bCs/>
          <w:kern w:val="0"/>
          <w:sz w:val="28"/>
          <w:szCs w:val="24"/>
        </w:rPr>
      </w:pPr>
    </w:p>
    <w:p>
      <w:pPr>
        <w:spacing w:line="560" w:lineRule="exact"/>
        <w:ind w:left="0" w:leftChars="0"/>
        <w:jc w:val="center"/>
        <w:rPr>
          <w:rFonts w:ascii="Times New Roman" w:hAnsi="Times New Roman" w:eastAsia="小标宋" w:cs="Times New Roman"/>
          <w:b/>
          <w:bCs/>
          <w:kern w:val="0"/>
          <w:sz w:val="28"/>
          <w:szCs w:val="24"/>
        </w:rPr>
      </w:pPr>
      <w:r>
        <w:rPr>
          <w:rFonts w:ascii="Times New Roman" w:hAnsi="Times New Roman" w:eastAsia="小标宋" w:cs="Times New Roman"/>
          <w:b/>
          <w:kern w:val="0"/>
          <w:sz w:val="28"/>
          <w:szCs w:val="24"/>
          <w:lang w:val="zh-CN"/>
        </w:rPr>
        <w:t>2021年6月30日</w:t>
      </w:r>
    </w:p>
    <w:p>
      <w:pPr>
        <w:autoSpaceDE w:val="0"/>
        <w:autoSpaceDN w:val="0"/>
        <w:adjustRightInd w:val="0"/>
        <w:spacing w:line="560" w:lineRule="exact"/>
        <w:ind w:left="0" w:leftChars="0" w:firstLine="560" w:firstLineChars="200"/>
        <w:rPr>
          <w:rFonts w:ascii="Times New Roman" w:hAnsi="Times New Roman" w:eastAsia="方正小标宋_GBK" w:cs="Times New Roman"/>
          <w:sz w:val="28"/>
          <w:szCs w:val="28"/>
        </w:rPr>
      </w:pPr>
    </w:p>
    <w:p>
      <w:pPr>
        <w:autoSpaceDE w:val="0"/>
        <w:autoSpaceDN w:val="0"/>
        <w:adjustRightInd w:val="0"/>
        <w:spacing w:line="560" w:lineRule="exact"/>
        <w:ind w:left="0" w:leftChars="0" w:firstLine="560" w:firstLineChars="200"/>
        <w:rPr>
          <w:rFonts w:ascii="Times New Roman" w:hAnsi="Times New Roman" w:eastAsia="方正小标宋_GBK" w:cs="Times New Roman"/>
          <w:sz w:val="28"/>
          <w:szCs w:val="28"/>
        </w:rPr>
      </w:pPr>
    </w:p>
    <w:p>
      <w:pPr>
        <w:pStyle w:val="11"/>
        <w:rPr>
          <w:rFonts w:ascii="Times New Roman" w:hAnsi="Times New Roman"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312" w:charSpace="0"/>
        </w:sectPr>
      </w:pPr>
    </w:p>
    <w:p>
      <w:pPr>
        <w:pStyle w:val="11"/>
        <w:rPr>
          <w:rFonts w:ascii="Times New Roman" w:hAnsi="Times New Roman" w:cs="Times New Roman"/>
        </w:rPr>
      </w:pPr>
      <w:r>
        <w:rPr>
          <w:rFonts w:ascii="Times New Roman" w:hAnsi="Times New Roman" w:cs="Times New Roman"/>
        </w:rPr>
        <w:t>目 录</w:t>
      </w:r>
    </w:p>
    <w:p>
      <w:pPr>
        <w:pStyle w:val="11"/>
        <w:spacing w:line="480" w:lineRule="exact"/>
        <w:rPr>
          <w:rFonts w:ascii="Times New Roman" w:hAnsi="Times New Roman" w:eastAsia="宋体" w:cs="Times New Roman"/>
          <w:b w:val="0"/>
          <w:sz w:val="24"/>
          <w:szCs w:val="24"/>
        </w:rPr>
      </w:pPr>
      <w:r>
        <w:rPr>
          <w:rFonts w:ascii="Times New Roman" w:hAnsi="Times New Roman" w:cs="Times New Roman"/>
          <w:bCs/>
        </w:rPr>
        <w:fldChar w:fldCharType="begin"/>
      </w:r>
      <w:r>
        <w:rPr>
          <w:rFonts w:ascii="Times New Roman" w:hAnsi="Times New Roman" w:cs="Times New Roman"/>
          <w:bCs/>
        </w:rPr>
        <w:instrText xml:space="preserve"> TOC \o "1-3" \h \z \u </w:instrText>
      </w:r>
      <w:r>
        <w:rPr>
          <w:rFonts w:ascii="Times New Roman" w:hAnsi="Times New Roman" w:cs="Times New Roman"/>
          <w:bCs/>
        </w:rPr>
        <w:fldChar w:fldCharType="separate"/>
      </w:r>
      <w:r>
        <w:fldChar w:fldCharType="begin"/>
      </w:r>
      <w:r>
        <w:instrText xml:space="preserve"> HYPERLINK \l "_Toc77922524" </w:instrText>
      </w:r>
      <w:r>
        <w:fldChar w:fldCharType="separate"/>
      </w:r>
      <w:r>
        <w:rPr>
          <w:rStyle w:val="18"/>
          <w:rFonts w:ascii="Times New Roman" w:hAnsi="Times New Roman" w:eastAsia="宋体" w:cs="Times New Roman"/>
          <w:sz w:val="24"/>
          <w:szCs w:val="24"/>
        </w:rPr>
        <w:t>一、园区概况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_Toc77922524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spacing w:line="480" w:lineRule="exact"/>
        <w:rPr>
          <w:rFonts w:ascii="Times New Roman" w:hAnsi="Times New Roman"/>
        </w:rPr>
      </w:pPr>
      <w:r>
        <w:fldChar w:fldCharType="begin"/>
      </w:r>
      <w:r>
        <w:instrText xml:space="preserve"> HYPERLINK \l "_Toc77922525" </w:instrText>
      </w:r>
      <w:r>
        <w:fldChar w:fldCharType="separate"/>
      </w:r>
      <w:r>
        <w:rPr>
          <w:rStyle w:val="18"/>
          <w:rFonts w:ascii="Times New Roman" w:hAnsi="Times New Roman"/>
        </w:rPr>
        <w:t>（一）园区基本情况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_Toc77922525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"_Toc77922526" </w:instrText>
      </w:r>
      <w:r>
        <w:fldChar w:fldCharType="separate"/>
      </w:r>
      <w:r>
        <w:rPr>
          <w:rStyle w:val="18"/>
          <w:rFonts w:ascii="Times New Roman" w:hAnsi="Times New Roman"/>
        </w:rPr>
        <w:t>1.园区设立背景</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_Toc77922526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"_Toc77922527" </w:instrText>
      </w:r>
      <w:r>
        <w:fldChar w:fldCharType="separate"/>
      </w:r>
      <w:r>
        <w:rPr>
          <w:rStyle w:val="18"/>
          <w:rFonts w:ascii="Times New Roman" w:hAnsi="Times New Roman"/>
        </w:rPr>
        <w:t>2.园区职责</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_Toc77922527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"_Toc77922528" </w:instrText>
      </w:r>
      <w:r>
        <w:fldChar w:fldCharType="separate"/>
      </w:r>
      <w:r>
        <w:rPr>
          <w:rStyle w:val="18"/>
          <w:rFonts w:ascii="Times New Roman" w:hAnsi="Times New Roman"/>
        </w:rPr>
        <w:t>3.园区内设机构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_Toc77922528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"_Toc77922529" </w:instrText>
      </w:r>
      <w:r>
        <w:fldChar w:fldCharType="separate"/>
      </w:r>
      <w:r>
        <w:rPr>
          <w:rStyle w:val="18"/>
          <w:rFonts w:ascii="Times New Roman" w:hAnsi="Times New Roman"/>
        </w:rPr>
        <w:t>4.园区人员构成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_Toc77922529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"_Toc77922530" </w:instrText>
      </w:r>
      <w:r>
        <w:fldChar w:fldCharType="separate"/>
      </w:r>
      <w:r>
        <w:rPr>
          <w:rStyle w:val="18"/>
          <w:rFonts w:ascii="Times New Roman" w:hAnsi="Times New Roman"/>
        </w:rPr>
        <w:t>（二）年度主要工作目标及重点工作</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"_Toc77922531" </w:instrText>
      </w:r>
      <w:r>
        <w:fldChar w:fldCharType="separate"/>
      </w:r>
      <w:r>
        <w:rPr>
          <w:rStyle w:val="18"/>
          <w:rFonts w:ascii="Times New Roman" w:hAnsi="Times New Roman"/>
        </w:rPr>
        <w:t>1.年度主要工作目标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_Toc77922531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"_Toc77922532" </w:instrText>
      </w:r>
      <w:r>
        <w:fldChar w:fldCharType="separate"/>
      </w:r>
      <w:r>
        <w:rPr>
          <w:rStyle w:val="18"/>
          <w:rFonts w:ascii="Times New Roman" w:hAnsi="Times New Roman"/>
        </w:rPr>
        <w:t>2.年度重点工作任务</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_Toc77922532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"_Toc77922533" </w:instrText>
      </w:r>
      <w:r>
        <w:fldChar w:fldCharType="separate"/>
      </w:r>
      <w:r>
        <w:rPr>
          <w:rStyle w:val="18"/>
          <w:rFonts w:ascii="Times New Roman" w:hAnsi="Times New Roman"/>
        </w:rPr>
        <w:t>3.目标完成情况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_Toc77922533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1"/>
        <w:spacing w:line="480" w:lineRule="exact"/>
        <w:rPr>
          <w:rFonts w:ascii="Times New Roman" w:hAnsi="Times New Roman" w:eastAsia="宋体" w:cs="Times New Roman"/>
          <w:b w:val="0"/>
          <w:sz w:val="24"/>
          <w:szCs w:val="24"/>
        </w:rPr>
      </w:pPr>
      <w:r>
        <w:fldChar w:fldCharType="begin"/>
      </w:r>
      <w:r>
        <w:instrText xml:space="preserve"> HYPERLINK \l "_Toc77922534" </w:instrText>
      </w:r>
      <w:r>
        <w:fldChar w:fldCharType="separate"/>
      </w:r>
      <w:r>
        <w:rPr>
          <w:rStyle w:val="18"/>
          <w:rFonts w:ascii="Times New Roman" w:hAnsi="Times New Roman" w:eastAsia="宋体" w:cs="Times New Roman"/>
          <w:sz w:val="24"/>
          <w:szCs w:val="24"/>
        </w:rPr>
        <w:t>二、部门财政资金情况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_Toc77922534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spacing w:line="480" w:lineRule="exact"/>
        <w:rPr>
          <w:rFonts w:ascii="Times New Roman" w:hAnsi="Times New Roman"/>
        </w:rPr>
      </w:pPr>
      <w:r>
        <w:fldChar w:fldCharType="begin"/>
      </w:r>
      <w:r>
        <w:instrText xml:space="preserve"> HYPERLINK \l "_Toc77922535" </w:instrText>
      </w:r>
      <w:r>
        <w:fldChar w:fldCharType="separate"/>
      </w:r>
      <w:r>
        <w:rPr>
          <w:rStyle w:val="18"/>
          <w:rFonts w:ascii="Times New Roman" w:hAnsi="Times New Roman"/>
        </w:rPr>
        <w:t>（一）预算管理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_Toc77922535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"_Toc77922536" </w:instrText>
      </w:r>
      <w:r>
        <w:fldChar w:fldCharType="separate"/>
      </w:r>
      <w:r>
        <w:rPr>
          <w:rStyle w:val="18"/>
          <w:rFonts w:ascii="Times New Roman" w:hAnsi="Times New Roman"/>
        </w:rPr>
        <w:t>（二）保障资金管理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_Toc77922536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"_Toc77922537" </w:instrText>
      </w:r>
      <w:r>
        <w:fldChar w:fldCharType="separate"/>
      </w:r>
      <w:r>
        <w:rPr>
          <w:rStyle w:val="18"/>
          <w:rFonts w:ascii="Times New Roman" w:hAnsi="Times New Roman"/>
        </w:rPr>
        <w:t>（二）部门财政资金预算编制情况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_Toc77922537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"_Toc77922538" </w:instrText>
      </w:r>
      <w:r>
        <w:fldChar w:fldCharType="separate"/>
      </w:r>
      <w:r>
        <w:rPr>
          <w:rStyle w:val="18"/>
          <w:rFonts w:ascii="Times New Roman" w:hAnsi="Times New Roman"/>
        </w:rPr>
        <w:t>（三）部门财政资金执行进度情况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_Toc77922538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1"/>
        <w:spacing w:line="480" w:lineRule="exact"/>
        <w:rPr>
          <w:rFonts w:ascii="Times New Roman" w:hAnsi="Times New Roman" w:eastAsia="宋体" w:cs="Times New Roman"/>
          <w:b w:val="0"/>
          <w:sz w:val="24"/>
          <w:szCs w:val="24"/>
        </w:rPr>
      </w:pPr>
      <w:r>
        <w:fldChar w:fldCharType="begin"/>
      </w:r>
      <w:r>
        <w:instrText xml:space="preserve"> HYPERLINK \l "_Toc77922539" </w:instrText>
      </w:r>
      <w:r>
        <w:fldChar w:fldCharType="separate"/>
      </w:r>
      <w:r>
        <w:rPr>
          <w:rStyle w:val="18"/>
          <w:rFonts w:ascii="Times New Roman" w:hAnsi="Times New Roman" w:eastAsia="宋体" w:cs="Times New Roman"/>
          <w:sz w:val="24"/>
          <w:szCs w:val="24"/>
        </w:rPr>
        <w:t>三、部门管理情况</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_Toc77922539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spacing w:line="480" w:lineRule="exact"/>
        <w:rPr>
          <w:rFonts w:ascii="Times New Roman" w:hAnsi="Times New Roman"/>
        </w:rPr>
      </w:pPr>
      <w:r>
        <w:fldChar w:fldCharType="begin"/>
      </w:r>
      <w:r>
        <w:instrText xml:space="preserve"> HYPERLINK \l "_Toc77922540" </w:instrText>
      </w:r>
      <w:r>
        <w:fldChar w:fldCharType="separate"/>
      </w:r>
      <w:r>
        <w:rPr>
          <w:rStyle w:val="18"/>
          <w:rFonts w:ascii="Times New Roman" w:hAnsi="Times New Roman"/>
        </w:rPr>
        <w:t>（一）基础管理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_Toc77922540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"_Toc77922541" </w:instrText>
      </w:r>
      <w:r>
        <w:fldChar w:fldCharType="separate"/>
      </w:r>
      <w:r>
        <w:rPr>
          <w:rStyle w:val="18"/>
          <w:rFonts w:ascii="Times New Roman" w:hAnsi="Times New Roman"/>
        </w:rPr>
        <w:t>（二）“三公”经费控制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_Toc77922541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"_Toc77922542" </w:instrText>
      </w:r>
      <w:r>
        <w:fldChar w:fldCharType="separate"/>
      </w:r>
      <w:r>
        <w:rPr>
          <w:rStyle w:val="18"/>
          <w:rFonts w:ascii="Times New Roman" w:hAnsi="Times New Roman"/>
        </w:rPr>
        <w:t>（三）政府采购</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_Toc77922542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"_Toc77922543" </w:instrText>
      </w:r>
      <w:r>
        <w:fldChar w:fldCharType="separate"/>
      </w:r>
      <w:r>
        <w:rPr>
          <w:rStyle w:val="18"/>
          <w:rFonts w:ascii="Times New Roman" w:hAnsi="Times New Roman"/>
        </w:rPr>
        <w:t>（四）资产管理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_Toc77922543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"_Toc77922544" </w:instrText>
      </w:r>
      <w:r>
        <w:fldChar w:fldCharType="separate"/>
      </w:r>
      <w:r>
        <w:rPr>
          <w:rStyle w:val="18"/>
          <w:rFonts w:ascii="Times New Roman" w:hAnsi="Times New Roman"/>
        </w:rPr>
        <w:t>（五）信息公开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_Toc77922544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1"/>
        <w:spacing w:line="480" w:lineRule="exact"/>
        <w:rPr>
          <w:rFonts w:ascii="Times New Roman" w:hAnsi="Times New Roman" w:eastAsia="宋体" w:cs="Times New Roman"/>
          <w:b w:val="0"/>
          <w:sz w:val="24"/>
          <w:szCs w:val="24"/>
        </w:rPr>
      </w:pPr>
      <w:r>
        <w:fldChar w:fldCharType="begin"/>
      </w:r>
      <w:r>
        <w:instrText xml:space="preserve"> HYPERLINK \l "_Toc77922545" </w:instrText>
      </w:r>
      <w:r>
        <w:fldChar w:fldCharType="separate"/>
      </w:r>
      <w:r>
        <w:rPr>
          <w:rStyle w:val="18"/>
          <w:rFonts w:ascii="Times New Roman" w:hAnsi="Times New Roman" w:eastAsia="宋体" w:cs="Times New Roman"/>
          <w:sz w:val="24"/>
          <w:szCs w:val="24"/>
        </w:rPr>
        <w:t>四、履职效能</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_Toc77922545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spacing w:line="480" w:lineRule="exact"/>
        <w:rPr>
          <w:rFonts w:ascii="Times New Roman" w:hAnsi="Times New Roman"/>
        </w:rPr>
      </w:pPr>
      <w:r>
        <w:fldChar w:fldCharType="begin"/>
      </w:r>
      <w:r>
        <w:instrText xml:space="preserve"> HYPERLINK \l "_Toc77922546" </w:instrText>
      </w:r>
      <w:r>
        <w:fldChar w:fldCharType="separate"/>
      </w:r>
      <w:r>
        <w:rPr>
          <w:rStyle w:val="18"/>
          <w:rFonts w:ascii="Times New Roman" w:hAnsi="Times New Roman"/>
        </w:rPr>
        <w:t>（一）部门履职的年度总体目标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_Toc77922546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"_Toc77922547" </w:instrText>
      </w:r>
      <w:r>
        <w:fldChar w:fldCharType="separate"/>
      </w:r>
      <w:r>
        <w:rPr>
          <w:rStyle w:val="18"/>
          <w:rFonts w:ascii="Times New Roman" w:hAnsi="Times New Roman"/>
        </w:rPr>
        <w:t>（二）重点工作任务绩效目标完成情况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_Toc77922547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"_Toc77922548" </w:instrText>
      </w:r>
      <w:r>
        <w:fldChar w:fldCharType="separate"/>
      </w:r>
      <w:r>
        <w:rPr>
          <w:rStyle w:val="18"/>
          <w:rFonts w:ascii="Times New Roman" w:hAnsi="Times New Roman"/>
        </w:rPr>
        <w:t>1.重点任务完成度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_Toc77922548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"_Toc77922549" </w:instrText>
      </w:r>
      <w:r>
        <w:fldChar w:fldCharType="separate"/>
      </w:r>
      <w:r>
        <w:rPr>
          <w:rStyle w:val="18"/>
          <w:rFonts w:ascii="Times New Roman" w:hAnsi="Times New Roman"/>
        </w:rPr>
        <w:t>2.园区对外宣传</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_Toc77922549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"_Toc77922550" </w:instrText>
      </w:r>
      <w:r>
        <w:fldChar w:fldCharType="separate"/>
      </w:r>
      <w:r>
        <w:rPr>
          <w:rStyle w:val="18"/>
          <w:rFonts w:ascii="Times New Roman" w:hAnsi="Times New Roman"/>
        </w:rPr>
        <w:t>3.园区建设完成度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_Toc77922550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"_Toc77922551" </w:instrText>
      </w:r>
      <w:r>
        <w:fldChar w:fldCharType="separate"/>
      </w:r>
      <w:r>
        <w:rPr>
          <w:rStyle w:val="18"/>
          <w:rFonts w:ascii="Times New Roman" w:hAnsi="Times New Roman"/>
        </w:rPr>
        <w:t>4.对外引进力度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_Toc77922551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"_Toc77922552" </w:instrText>
      </w:r>
      <w:r>
        <w:fldChar w:fldCharType="separate"/>
      </w:r>
      <w:r>
        <w:rPr>
          <w:rStyle w:val="18"/>
          <w:rFonts w:ascii="Times New Roman" w:hAnsi="Times New Roman"/>
        </w:rPr>
        <w:t>5.企业满意度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_Toc77922552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1"/>
        <w:spacing w:line="480" w:lineRule="exact"/>
        <w:rPr>
          <w:rFonts w:ascii="Times New Roman" w:hAnsi="Times New Roman" w:eastAsia="宋体" w:cs="Times New Roman"/>
          <w:b w:val="0"/>
          <w:sz w:val="24"/>
          <w:szCs w:val="24"/>
        </w:rPr>
      </w:pPr>
      <w:r>
        <w:fldChar w:fldCharType="begin"/>
      </w:r>
      <w:r>
        <w:instrText xml:space="preserve"> HYPERLINK \l "_Toc77922553" </w:instrText>
      </w:r>
      <w:r>
        <w:fldChar w:fldCharType="separate"/>
      </w:r>
      <w:r>
        <w:rPr>
          <w:rStyle w:val="18"/>
          <w:rFonts w:ascii="Times New Roman" w:hAnsi="Times New Roman" w:eastAsia="宋体" w:cs="Times New Roman"/>
          <w:sz w:val="24"/>
          <w:szCs w:val="24"/>
        </w:rPr>
        <w:t>五、评价结论及措施</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_Toc77922553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spacing w:line="480" w:lineRule="exact"/>
        <w:rPr>
          <w:rFonts w:ascii="Times New Roman" w:hAnsi="Times New Roman"/>
        </w:rPr>
      </w:pPr>
      <w:r>
        <w:fldChar w:fldCharType="begin"/>
      </w:r>
      <w:r>
        <w:instrText xml:space="preserve"> HYPERLINK \l "_Toc77922554" </w:instrText>
      </w:r>
      <w:r>
        <w:fldChar w:fldCharType="separate"/>
      </w:r>
      <w:r>
        <w:rPr>
          <w:rStyle w:val="18"/>
          <w:rFonts w:ascii="Times New Roman" w:hAnsi="Times New Roman"/>
        </w:rPr>
        <w:t>（一）评价结论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_Toc77922554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"_Toc77922555" </w:instrText>
      </w:r>
      <w:r>
        <w:fldChar w:fldCharType="separate"/>
      </w:r>
      <w:r>
        <w:rPr>
          <w:rStyle w:val="18"/>
          <w:rFonts w:ascii="Times New Roman" w:hAnsi="Times New Roman"/>
        </w:rPr>
        <w:t>（二）存在问题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_Toc77922555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"_Toc77922556" </w:instrText>
      </w:r>
      <w:r>
        <w:fldChar w:fldCharType="separate"/>
      </w:r>
      <w:r>
        <w:rPr>
          <w:rStyle w:val="18"/>
          <w:rFonts w:ascii="Times New Roman" w:hAnsi="Times New Roman"/>
        </w:rPr>
        <w:t>1.资金使用不规范，财务管理制度有待完善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_Toc77922556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"_Toc77922557" </w:instrText>
      </w:r>
      <w:r>
        <w:fldChar w:fldCharType="separate"/>
      </w:r>
      <w:r>
        <w:rPr>
          <w:rStyle w:val="18"/>
          <w:rFonts w:ascii="Times New Roman" w:hAnsi="Times New Roman"/>
        </w:rPr>
        <w:t>2.部门管理制度不健全，管理精细化水平有待加强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_Toc77922557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13"/>
        <w:spacing w:line="480" w:lineRule="exact"/>
        <w:rPr>
          <w:rFonts w:ascii="Times New Roman" w:hAnsi="Times New Roman"/>
        </w:rPr>
      </w:pPr>
      <w:r>
        <w:fldChar w:fldCharType="begin"/>
      </w:r>
      <w:r>
        <w:instrText xml:space="preserve"> HYPERLINK \l "_Toc77922558" </w:instrText>
      </w:r>
      <w:r>
        <w:fldChar w:fldCharType="separate"/>
      </w:r>
      <w:r>
        <w:rPr>
          <w:rStyle w:val="18"/>
          <w:rFonts w:ascii="Times New Roman" w:hAnsi="Times New Roman"/>
        </w:rPr>
        <w:t>（三）改进措施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_Toc77922558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"_Toc77922559" </w:instrText>
      </w:r>
      <w:r>
        <w:fldChar w:fldCharType="separate"/>
      </w:r>
      <w:r>
        <w:rPr>
          <w:rStyle w:val="18"/>
          <w:rFonts w:ascii="Times New Roman" w:hAnsi="Times New Roman"/>
        </w:rPr>
        <w:t>1.严格把控资金支出，完善财务管理机制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_Toc77922559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7"/>
        <w:spacing w:line="480" w:lineRule="exact"/>
        <w:rPr>
          <w:rFonts w:ascii="Times New Roman" w:hAnsi="Times New Roman"/>
        </w:rPr>
      </w:pPr>
      <w:r>
        <w:fldChar w:fldCharType="begin"/>
      </w:r>
      <w:r>
        <w:instrText xml:space="preserve"> HYPERLINK \l "_Toc77922560" </w:instrText>
      </w:r>
      <w:r>
        <w:fldChar w:fldCharType="separate"/>
      </w:r>
      <w:r>
        <w:rPr>
          <w:rStyle w:val="18"/>
          <w:rFonts w:ascii="Times New Roman" w:hAnsi="Times New Roman"/>
        </w:rPr>
        <w:t>2.完善项目管理机制，提高部门工作效率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_Toc77922560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11"/>
        <w:spacing w:line="480" w:lineRule="exact"/>
        <w:rPr>
          <w:rFonts w:ascii="Times New Roman" w:hAnsi="Times New Roman" w:eastAsia="宋体" w:cs="Times New Roman"/>
          <w:b w:val="0"/>
          <w:sz w:val="24"/>
          <w:szCs w:val="24"/>
        </w:rPr>
      </w:pPr>
      <w:r>
        <w:fldChar w:fldCharType="begin"/>
      </w:r>
      <w:r>
        <w:instrText xml:space="preserve"> HYPERLINK \l "_Toc77922561" </w:instrText>
      </w:r>
      <w:r>
        <w:fldChar w:fldCharType="separate"/>
      </w:r>
      <w:r>
        <w:rPr>
          <w:rStyle w:val="18"/>
          <w:rFonts w:ascii="Times New Roman" w:hAnsi="Times New Roman" w:eastAsia="宋体" w:cs="Times New Roman"/>
          <w:sz w:val="24"/>
          <w:szCs w:val="24"/>
        </w:rPr>
        <w:t>附件 绵竹市2020年农科园部门整体支出绩效评价指标得分表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_Toc77922561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20</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autoSpaceDE w:val="0"/>
        <w:autoSpaceDN w:val="0"/>
        <w:adjustRightInd w:val="0"/>
        <w:spacing w:line="560" w:lineRule="exact"/>
        <w:ind w:left="0" w:leftChars="0"/>
        <w:rPr>
          <w:rFonts w:ascii="Times New Roman" w:hAnsi="Times New Roman" w:eastAsia="宋体" w:cs="Times New Roman"/>
          <w:b/>
          <w:bCs/>
          <w:sz w:val="24"/>
          <w:szCs w:val="24"/>
        </w:rPr>
      </w:pPr>
      <w:r>
        <w:rPr>
          <w:rFonts w:ascii="Times New Roman" w:hAnsi="Times New Roman" w:eastAsia="宋体" w:cs="Times New Roman"/>
          <w:b/>
          <w:bCs/>
          <w:sz w:val="24"/>
          <w:szCs w:val="24"/>
        </w:rPr>
        <w:fldChar w:fldCharType="end"/>
      </w:r>
    </w:p>
    <w:p>
      <w:pPr>
        <w:spacing w:line="560" w:lineRule="exact"/>
        <w:ind w:left="0" w:leftChars="0"/>
        <w:rPr>
          <w:rFonts w:ascii="Times New Roman" w:hAnsi="Times New Roman" w:eastAsia="宋体" w:cs="Times New Roman"/>
          <w:sz w:val="24"/>
          <w:szCs w:val="24"/>
        </w:rPr>
      </w:pPr>
    </w:p>
    <w:p>
      <w:pPr>
        <w:spacing w:line="560" w:lineRule="exact"/>
        <w:ind w:left="0" w:leftChars="0"/>
        <w:rPr>
          <w:rFonts w:ascii="Times New Roman" w:hAnsi="Times New Roman" w:eastAsia="方正小标宋_GBK" w:cs="Times New Roman"/>
          <w:sz w:val="44"/>
          <w:szCs w:val="44"/>
        </w:rPr>
        <w:sectPr>
          <w:pgSz w:w="11906" w:h="16838"/>
          <w:pgMar w:top="1440" w:right="1800" w:bottom="1440" w:left="1800" w:header="851" w:footer="992" w:gutter="0"/>
          <w:pgNumType w:start="1"/>
          <w:cols w:space="425" w:num="1"/>
          <w:docGrid w:type="lines" w:linePitch="312" w:charSpace="0"/>
        </w:sectPr>
      </w:pPr>
    </w:p>
    <w:p>
      <w:pPr>
        <w:autoSpaceDE w:val="0"/>
        <w:autoSpaceDN w:val="0"/>
        <w:adjustRightInd w:val="0"/>
        <w:spacing w:line="560" w:lineRule="exact"/>
        <w:ind w:left="0" w:leftChars="0"/>
        <w:jc w:val="center"/>
        <w:rPr>
          <w:rFonts w:ascii="Times New Roman" w:hAnsi="Times New Roman" w:eastAsia="方正小标宋_GBK" w:cs="Times New Roman"/>
          <w:b/>
          <w:bCs/>
          <w:sz w:val="44"/>
          <w:szCs w:val="44"/>
        </w:rPr>
      </w:pPr>
      <w:r>
        <w:rPr>
          <w:rFonts w:ascii="Times New Roman" w:hAnsi="Times New Roman" w:eastAsia="方正小标宋_GBK" w:cs="Times New Roman"/>
          <w:b/>
          <w:bCs/>
          <w:sz w:val="44"/>
          <w:szCs w:val="44"/>
        </w:rPr>
        <w:t>2020年四川德阳国家农业科技园区部门</w:t>
      </w:r>
    </w:p>
    <w:p>
      <w:pPr>
        <w:autoSpaceDE w:val="0"/>
        <w:autoSpaceDN w:val="0"/>
        <w:adjustRightInd w:val="0"/>
        <w:spacing w:line="560" w:lineRule="exact"/>
        <w:ind w:left="0" w:leftChars="0"/>
        <w:jc w:val="center"/>
        <w:rPr>
          <w:rFonts w:ascii="Times New Roman" w:hAnsi="Times New Roman" w:eastAsia="方正小标宋_GBK" w:cs="Times New Roman"/>
          <w:b/>
          <w:bCs/>
          <w:sz w:val="44"/>
          <w:szCs w:val="44"/>
        </w:rPr>
      </w:pPr>
      <w:r>
        <w:rPr>
          <w:rFonts w:ascii="Times New Roman" w:hAnsi="Times New Roman" w:eastAsia="方正小标宋_GBK" w:cs="Times New Roman"/>
          <w:b/>
          <w:bCs/>
          <w:sz w:val="44"/>
          <w:szCs w:val="44"/>
        </w:rPr>
        <w:t>整体支出绩效评价报告</w:t>
      </w:r>
    </w:p>
    <w:p>
      <w:pPr>
        <w:autoSpaceDE w:val="0"/>
        <w:autoSpaceDN w:val="0"/>
        <w:adjustRightInd w:val="0"/>
        <w:spacing w:line="560" w:lineRule="exact"/>
        <w:ind w:left="0" w:leftChars="0" w:firstLine="640" w:firstLineChars="200"/>
        <w:rPr>
          <w:rFonts w:ascii="Times New Roman" w:hAnsi="Times New Roman" w:eastAsia="方正小标宋_GBK" w:cs="Times New Roman"/>
          <w:b/>
          <w:bCs/>
          <w:szCs w:val="32"/>
        </w:rPr>
      </w:pPr>
      <w:r>
        <w:rPr>
          <w:rFonts w:ascii="Times New Roman" w:hAnsi="Times New Roman" w:cs="Times New Roman"/>
          <w:szCs w:val="32"/>
        </w:rPr>
        <w:t>按照《绵竹市财政局关于开展2021年财政支出绩效评价工作的通知》（竹财监〔2021〕145号），我们接受绵竹市财政局委托，于2021年6月6日至6月7日对四川德阳国家农业科技园区（以下统称农科园）开展部门整体支出绩效评价，并实地调研走访了农科院孵化园中心建设基地，具体情况如下。</w:t>
      </w:r>
    </w:p>
    <w:p>
      <w:pPr>
        <w:pStyle w:val="2"/>
        <w:spacing w:before="0" w:beforeLines="0" w:after="0" w:afterLines="0"/>
        <w:ind w:firstLine="496" w:firstLineChars="155"/>
        <w:jc w:val="both"/>
        <w:rPr>
          <w:rFonts w:ascii="Times New Roman" w:hAnsi="Times New Roman" w:cs="Times New Roman"/>
        </w:rPr>
      </w:pPr>
      <w:bookmarkStart w:id="0" w:name="_Toc77922524"/>
      <w:r>
        <w:rPr>
          <w:rFonts w:ascii="Times New Roman" w:hAnsi="Times New Roman" w:cs="Times New Roman"/>
        </w:rPr>
        <w:t>一、园区概况</w:t>
      </w:r>
      <w:bookmarkEnd w:id="0"/>
    </w:p>
    <w:p>
      <w:pPr>
        <w:pStyle w:val="4"/>
        <w:spacing w:before="0" w:beforeLines="0" w:after="0" w:afterLines="0"/>
        <w:ind w:firstLine="177" w:firstLineChars="55"/>
        <w:rPr>
          <w:rFonts w:cs="Times New Roman"/>
        </w:rPr>
      </w:pPr>
      <w:bookmarkStart w:id="1" w:name="_Toc77922525"/>
      <w:r>
        <w:rPr>
          <w:rFonts w:cs="Times New Roman"/>
        </w:rPr>
        <w:t>（一）园区基本情况</w:t>
      </w:r>
      <w:bookmarkEnd w:id="1"/>
    </w:p>
    <w:p>
      <w:pPr>
        <w:pStyle w:val="5"/>
        <w:spacing w:before="0" w:beforeLines="0" w:after="0" w:afterLines="0"/>
        <w:ind w:firstLine="643"/>
        <w:rPr>
          <w:rFonts w:ascii="Times New Roman" w:hAnsi="Times New Roman" w:cs="Times New Roman"/>
        </w:rPr>
      </w:pPr>
      <w:bookmarkStart w:id="2" w:name="_Toc77922526"/>
      <w:r>
        <w:rPr>
          <w:rFonts w:ascii="Times New Roman" w:hAnsi="Times New Roman" w:cs="Times New Roman"/>
        </w:rPr>
        <w:t>1.园区设立背景</w:t>
      </w:r>
      <w:bookmarkEnd w:id="2"/>
    </w:p>
    <w:p>
      <w:pPr>
        <w:spacing w:line="560" w:lineRule="exact"/>
        <w:ind w:left="0" w:leftChars="0" w:firstLine="640" w:firstLineChars="200"/>
        <w:rPr>
          <w:rFonts w:ascii="Times New Roman" w:hAnsi="Times New Roman" w:cs="Times New Roman"/>
          <w:bCs/>
        </w:rPr>
      </w:pPr>
      <w:r>
        <w:rPr>
          <w:rFonts w:ascii="Times New Roman" w:hAnsi="Times New Roman" w:cs="Times New Roman"/>
        </w:rPr>
        <w:t>根据德阳市委、市政府相关要求，2020年建立农科园，园区以“新模式促融合、新科技提质量、新成果增效益、新主体振乡村”发展理念，打造“中国西南地区高端经济作物产业创新融合发展示范样板”为目标，促进特色产</w:t>
      </w:r>
      <w:r>
        <w:rPr>
          <w:rFonts w:ascii="Times New Roman" w:hAnsi="Times New Roman" w:cs="Times New Roman"/>
          <w:bCs/>
        </w:rPr>
        <w:t>业全产业链创新发展和三产融合发展，推进各项农业科技工作有序进行</w:t>
      </w:r>
      <w:r>
        <w:rPr>
          <w:rFonts w:ascii="Times New Roman" w:hAnsi="Times New Roman" w:cs="Times New Roman"/>
        </w:rPr>
        <w:t>。</w:t>
      </w:r>
    </w:p>
    <w:p>
      <w:pPr>
        <w:pStyle w:val="5"/>
        <w:spacing w:before="0" w:beforeLines="0" w:after="0" w:afterLines="0"/>
        <w:ind w:firstLine="643"/>
        <w:rPr>
          <w:rFonts w:ascii="Times New Roman" w:hAnsi="Times New Roman" w:cs="Times New Roman"/>
        </w:rPr>
      </w:pPr>
      <w:bookmarkStart w:id="3" w:name="_Toc77922527"/>
      <w:r>
        <w:rPr>
          <w:rFonts w:ascii="Times New Roman" w:hAnsi="Times New Roman" w:cs="Times New Roman"/>
        </w:rPr>
        <w:t>2.园区职责</w:t>
      </w:r>
      <w:bookmarkEnd w:id="3"/>
    </w:p>
    <w:p>
      <w:pPr>
        <w:spacing w:line="560" w:lineRule="exact"/>
        <w:ind w:left="0" w:leftChars="0" w:firstLine="640" w:firstLineChars="200"/>
        <w:rPr>
          <w:rFonts w:ascii="Times New Roman" w:hAnsi="Times New Roman" w:cs="Times New Roman"/>
        </w:rPr>
      </w:pPr>
      <w:r>
        <w:rPr>
          <w:rFonts w:ascii="Times New Roman" w:hAnsi="Times New Roman" w:cs="Times New Roman"/>
        </w:rPr>
        <w:t>（1）贯彻执行国家、省和市有关建设农科园区的方针政策，研究提出农科园的管理体制和运行机制、发展方向、产业政策的建议，参与拟订农科园发展规划、产业扶持政策，制订年度计划，提出加快推进农科园建设的政策建议。</w:t>
      </w:r>
    </w:p>
    <w:p>
      <w:pPr>
        <w:spacing w:line="560" w:lineRule="exact"/>
        <w:ind w:left="0" w:leftChars="0" w:firstLine="640" w:firstLineChars="200"/>
        <w:rPr>
          <w:rFonts w:ascii="Times New Roman" w:hAnsi="Times New Roman" w:cs="Times New Roman"/>
        </w:rPr>
      </w:pPr>
      <w:r>
        <w:rPr>
          <w:rFonts w:ascii="Times New Roman" w:hAnsi="Times New Roman" w:cs="Times New Roman"/>
        </w:rPr>
        <w:t>（2）参与编制农科园高新技术产业发展规划并组织实施，促进农科园内的农业高新技术成果转化，并在全市示范、辐射和推广;组织推荐申报农科园科技计划项目，组织开展对外科技交流与合作。</w:t>
      </w:r>
    </w:p>
    <w:p>
      <w:pPr>
        <w:spacing w:line="560" w:lineRule="exact"/>
        <w:ind w:left="0" w:leftChars="0" w:firstLine="640" w:firstLineChars="200"/>
        <w:rPr>
          <w:rFonts w:ascii="Times New Roman" w:hAnsi="Times New Roman" w:cs="Times New Roman"/>
        </w:rPr>
      </w:pPr>
      <w:r>
        <w:rPr>
          <w:rFonts w:ascii="Times New Roman" w:hAnsi="Times New Roman" w:cs="Times New Roman"/>
        </w:rPr>
        <w:t>（3）参与拟订农科园招商引资政策，参与对外招商活动，发布对外招商项目，吸引企业、项目和资金进入农科园发展，协助农科园企业办理各项行政审批事项。</w:t>
      </w:r>
    </w:p>
    <w:p>
      <w:pPr>
        <w:spacing w:line="560" w:lineRule="exact"/>
        <w:ind w:left="0" w:leftChars="0" w:firstLine="640" w:firstLineChars="200"/>
        <w:rPr>
          <w:rFonts w:ascii="Times New Roman" w:hAnsi="Times New Roman" w:cs="Times New Roman"/>
        </w:rPr>
      </w:pPr>
      <w:r>
        <w:rPr>
          <w:rFonts w:ascii="Times New Roman" w:hAnsi="Times New Roman" w:cs="Times New Roman"/>
        </w:rPr>
        <w:t>（4）拟订农科园旅游业发展中长期规划并组织实施。</w:t>
      </w:r>
    </w:p>
    <w:p>
      <w:pPr>
        <w:spacing w:line="560" w:lineRule="exact"/>
        <w:ind w:left="0" w:leftChars="0" w:firstLine="640" w:firstLineChars="200"/>
        <w:rPr>
          <w:rFonts w:ascii="Times New Roman" w:hAnsi="Times New Roman" w:cs="Times New Roman"/>
        </w:rPr>
      </w:pPr>
      <w:r>
        <w:rPr>
          <w:rFonts w:ascii="Times New Roman" w:hAnsi="Times New Roman" w:cs="Times New Roman"/>
        </w:rPr>
        <w:t>（5）负责编制农科园建设规划并组织实施，承担农科园各项基础设施、公用设施和其他建设项目的建设、监督和管理。</w:t>
      </w:r>
    </w:p>
    <w:p>
      <w:pPr>
        <w:spacing w:line="560" w:lineRule="exact"/>
        <w:ind w:left="0" w:leftChars="0" w:firstLine="640" w:firstLineChars="200"/>
        <w:rPr>
          <w:rFonts w:ascii="Times New Roman" w:hAnsi="Times New Roman" w:cs="Times New Roman"/>
        </w:rPr>
      </w:pPr>
      <w:r>
        <w:rPr>
          <w:rFonts w:ascii="Times New Roman" w:hAnsi="Times New Roman" w:cs="Times New Roman"/>
        </w:rPr>
        <w:t>（6）负责政府投入农科园资金的管理和使用，负责农科园财政计划安排、支出管理;负责国有、集体资产的管理工作。</w:t>
      </w:r>
    </w:p>
    <w:p>
      <w:pPr>
        <w:spacing w:line="560" w:lineRule="exact"/>
        <w:ind w:left="0" w:leftChars="0" w:firstLine="640" w:firstLineChars="200"/>
        <w:rPr>
          <w:rFonts w:ascii="Times New Roman" w:hAnsi="Times New Roman" w:cs="Times New Roman"/>
        </w:rPr>
      </w:pPr>
      <w:r>
        <w:rPr>
          <w:rFonts w:ascii="Times New Roman" w:hAnsi="Times New Roman" w:cs="Times New Roman"/>
        </w:rPr>
        <w:t>（7）依法依规负责农科园区内安全生产、生态环境保护和职业健康等工作。</w:t>
      </w:r>
    </w:p>
    <w:p>
      <w:pPr>
        <w:spacing w:line="560" w:lineRule="exact"/>
        <w:ind w:left="0" w:leftChars="0" w:firstLine="640" w:firstLineChars="200"/>
        <w:rPr>
          <w:rFonts w:ascii="Times New Roman" w:hAnsi="Times New Roman" w:cs="Times New Roman"/>
        </w:rPr>
      </w:pPr>
      <w:r>
        <w:rPr>
          <w:rFonts w:ascii="Times New Roman" w:hAnsi="Times New Roman" w:cs="Times New Roman"/>
        </w:rPr>
        <w:t>（8）完成德阳市委、市政府及绵竹市委、市政府交办的其他任务。</w:t>
      </w:r>
    </w:p>
    <w:p>
      <w:pPr>
        <w:pStyle w:val="5"/>
        <w:spacing w:before="0" w:beforeLines="0" w:after="0" w:afterLines="0"/>
        <w:ind w:firstLine="643"/>
        <w:rPr>
          <w:rFonts w:ascii="Times New Roman" w:hAnsi="Times New Roman" w:cs="Times New Roman"/>
        </w:rPr>
      </w:pPr>
      <w:bookmarkStart w:id="4" w:name="_Toc77922528"/>
      <w:r>
        <w:rPr>
          <w:rFonts w:ascii="Times New Roman" w:hAnsi="Times New Roman" w:cs="Times New Roman"/>
        </w:rPr>
        <w:t>3.园区内设机构</w:t>
      </w:r>
      <w:bookmarkEnd w:id="4"/>
    </w:p>
    <w:p>
      <w:pPr>
        <w:spacing w:line="560" w:lineRule="exact"/>
        <w:ind w:left="0" w:leftChars="0" w:firstLine="640" w:firstLineChars="200"/>
        <w:rPr>
          <w:rFonts w:ascii="Times New Roman" w:hAnsi="Times New Roman" w:cs="Times New Roman"/>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160020</wp:posOffset>
            </wp:positionH>
            <wp:positionV relativeFrom="paragraph">
              <wp:posOffset>787400</wp:posOffset>
            </wp:positionV>
            <wp:extent cx="5097780" cy="1844040"/>
            <wp:effectExtent l="0" t="0" r="762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9">
                      <a:extLst>
                        <a:ext uri="{28A0092B-C50C-407E-A947-70E740481C1C}">
                          <a14:useLocalDpi xmlns:a14="http://schemas.microsoft.com/office/drawing/2010/main" val="0"/>
                        </a:ext>
                      </a:extLst>
                    </a:blip>
                    <a:srcRect t="16336" b="8169"/>
                    <a:stretch>
                      <a:fillRect/>
                    </a:stretch>
                  </pic:blipFill>
                  <pic:spPr>
                    <a:xfrm>
                      <a:off x="0" y="0"/>
                      <a:ext cx="5097780" cy="1844040"/>
                    </a:xfrm>
                    <a:prstGeom prst="rect">
                      <a:avLst/>
                    </a:prstGeom>
                    <a:noFill/>
                    <a:ln>
                      <a:noFill/>
                    </a:ln>
                  </pic:spPr>
                </pic:pic>
              </a:graphicData>
            </a:graphic>
          </wp:anchor>
        </w:drawing>
      </w:r>
      <w:r>
        <w:rPr>
          <w:rFonts w:ascii="Times New Roman" w:hAnsi="Times New Roman" w:cs="Times New Roman"/>
        </w:rPr>
        <w:t>农科园内设3个办公室，分别是综合事务办公室、市场开发办公室和产业指导办公室。主要职能职责如下表所示。</w:t>
      </w:r>
    </w:p>
    <w:p>
      <w:pPr>
        <w:spacing w:line="560" w:lineRule="exact"/>
        <w:ind w:left="0" w:leftChars="0" w:firstLine="560" w:firstLineChars="200"/>
        <w:jc w:val="center"/>
        <w:rPr>
          <w:rFonts w:ascii="Times New Roman" w:hAnsi="Times New Roman" w:eastAsia="幼圆" w:cs="Times New Roman"/>
          <w:b/>
          <w:sz w:val="28"/>
          <w:szCs w:val="28"/>
        </w:rPr>
      </w:pPr>
      <w:r>
        <w:rPr>
          <w:rFonts w:ascii="Times New Roman" w:hAnsi="Times New Roman" w:eastAsia="幼圆" w:cs="Times New Roman"/>
          <w:b/>
          <w:sz w:val="28"/>
          <w:szCs w:val="28"/>
        </w:rPr>
        <w:t>附图 农科园内设机构</w:t>
      </w:r>
    </w:p>
    <w:p>
      <w:pPr>
        <w:spacing w:line="560" w:lineRule="exact"/>
        <w:ind w:left="0" w:leftChars="0" w:firstLine="560" w:firstLineChars="200"/>
        <w:jc w:val="center"/>
        <w:rPr>
          <w:rFonts w:ascii="Times New Roman" w:hAnsi="Times New Roman" w:eastAsia="幼圆" w:cs="Times New Roman"/>
          <w:b/>
          <w:sz w:val="28"/>
          <w:szCs w:val="28"/>
        </w:rPr>
      </w:pPr>
      <w:r>
        <w:rPr>
          <w:rFonts w:ascii="Times New Roman" w:hAnsi="Times New Roman" w:eastAsia="幼圆" w:cs="Times New Roman"/>
          <w:b/>
          <w:sz w:val="28"/>
          <w:szCs w:val="28"/>
        </w:rPr>
        <w:t>附表 农科园内设机构及下属事业单位主要职责</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6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blHeader/>
        </w:trPr>
        <w:tc>
          <w:tcPr>
            <w:tcW w:w="1228" w:type="pct"/>
            <w:shd w:val="clear" w:color="000000" w:fill="00516B"/>
            <w:noWrap/>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内设机构/下属单位</w:t>
            </w:r>
          </w:p>
        </w:tc>
        <w:tc>
          <w:tcPr>
            <w:tcW w:w="3772" w:type="pc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228" w:type="pct"/>
            <w:shd w:val="clear" w:color="auto" w:fill="auto"/>
            <w:noWrap/>
            <w:vAlign w:val="center"/>
          </w:tcPr>
          <w:p>
            <w:pPr>
              <w:widowControl/>
              <w:spacing w:line="560" w:lineRule="exact"/>
              <w:ind w:left="0" w:leftChars="0" w:firstLine="200" w:firstLineChars="100"/>
              <w:rPr>
                <w:rFonts w:ascii="Times New Roman" w:hAnsi="Times New Roman" w:eastAsia="宋体" w:cs="Times New Roman"/>
                <w:color w:val="000000"/>
                <w:kern w:val="0"/>
                <w:sz w:val="20"/>
                <w:szCs w:val="20"/>
              </w:rPr>
            </w:pPr>
            <w:r>
              <w:rPr>
                <w:rFonts w:ascii="Times New Roman" w:hAnsi="Times New Roman" w:eastAsia="宋体" w:cs="Times New Roman"/>
                <w:sz w:val="20"/>
                <w:szCs w:val="20"/>
              </w:rPr>
              <w:t>综合事务办公室</w:t>
            </w:r>
          </w:p>
        </w:tc>
        <w:tc>
          <w:tcPr>
            <w:tcW w:w="3772" w:type="pct"/>
            <w:shd w:val="clear" w:color="auto" w:fill="auto"/>
            <w:vAlign w:val="center"/>
          </w:tcPr>
          <w:p>
            <w:pPr>
              <w:spacing w:line="560" w:lineRule="exact"/>
              <w:ind w:left="0" w:leftChars="0" w:firstLine="400" w:firstLineChars="200"/>
              <w:rPr>
                <w:rFonts w:ascii="Times New Roman" w:hAnsi="Times New Roman" w:eastAsia="宋体" w:cs="Times New Roman"/>
                <w:sz w:val="20"/>
                <w:szCs w:val="20"/>
              </w:rPr>
            </w:pPr>
            <w:r>
              <w:rPr>
                <w:rFonts w:ascii="Times New Roman" w:hAnsi="Times New Roman" w:eastAsia="宋体" w:cs="Times New Roman"/>
                <w:sz w:val="20"/>
                <w:szCs w:val="20"/>
              </w:rPr>
              <w:t>组织协调党工委（管委会）日常事务，负责重大活动的统筹协调；负责文秘、人事、档案、印鉴管理、公务接待、后勤服务工作；负责党建、组织、纪检监察、宣传、精神文明、工会、共青团、妇联、计划生育工作;负责组织、人事、机构编制、干部教育培训及人才引进等工作;负责党政信息、政务公开和电子政务建设;负责政策及法律法规研究，宣传普法工作；负责规范性文件的合法性审查、备案以及各类协议、合同文本的初审工作。负责党代表、人大代表、政协委员联络等工作；办理人大代表建议、政协委员提案。协助指导农科园内新经济组织、新社会组织党建工作。负责农科园基建项目筹融资及债权债务、国有资产、财务管理等工作;负责政府采购、财政评审和预(决)算编制;负责入园项目资金监管工作;协助有关部门开展财务人员培训;参与农业投融资平台公司组建及投融资管理等工作;负责农科园内部审计及财政金融、专项资金、固定资产、政府投资建设项目审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228" w:type="pct"/>
            <w:shd w:val="clear" w:color="auto" w:fill="auto"/>
            <w:noWrap/>
            <w:vAlign w:val="center"/>
          </w:tcPr>
          <w:p>
            <w:pPr>
              <w:widowControl/>
              <w:spacing w:line="560" w:lineRule="exact"/>
              <w:ind w:left="0" w:leftChars="0"/>
              <w:rPr>
                <w:rFonts w:ascii="Times New Roman" w:hAnsi="Times New Roman" w:eastAsia="宋体" w:cs="Times New Roman"/>
                <w:sz w:val="20"/>
                <w:szCs w:val="20"/>
              </w:rPr>
            </w:pPr>
            <w:r>
              <w:rPr>
                <w:rFonts w:ascii="Times New Roman" w:hAnsi="Times New Roman" w:eastAsia="宋体" w:cs="Times New Roman"/>
                <w:sz w:val="20"/>
                <w:szCs w:val="20"/>
              </w:rPr>
              <w:t>产业指导办公室</w:t>
            </w:r>
          </w:p>
        </w:tc>
        <w:tc>
          <w:tcPr>
            <w:tcW w:w="3772" w:type="pct"/>
            <w:shd w:val="clear" w:color="auto" w:fill="auto"/>
            <w:vAlign w:val="center"/>
          </w:tcPr>
          <w:p>
            <w:pPr>
              <w:spacing w:line="560" w:lineRule="exact"/>
              <w:ind w:left="0" w:leftChars="0" w:firstLine="400" w:firstLineChars="200"/>
              <w:rPr>
                <w:rFonts w:ascii="Times New Roman" w:hAnsi="Times New Roman" w:eastAsia="宋体" w:cs="Times New Roman"/>
                <w:sz w:val="20"/>
                <w:szCs w:val="20"/>
              </w:rPr>
            </w:pPr>
            <w:r>
              <w:rPr>
                <w:rFonts w:ascii="Times New Roman" w:hAnsi="Times New Roman" w:eastAsia="宋体" w:cs="Times New Roman"/>
                <w:sz w:val="20"/>
                <w:szCs w:val="20"/>
              </w:rPr>
              <w:t>牵头编制农科园总体规划、控制性详规、分区详规和专项规划并组织实施，配合开展土地征用（收）、租用、储备、出让和开发利用;参与项目选址定点工作；负责根据全市城乡发展战略和农科园总体规划，编制农科园建设中期计划和年度计划;负责基础及配套设施的规划及建设工作；负责水、电、气、通讯等要素供应和管线建设、迁改的协调工作。参与编制农科园高新技术产业发展规划并组织实施;负责编制农科园科技合作与交流项目，制定科普活动年度项目建设施工现场管理工作；负责项目实施过程中安全监督管理备案工作；负责指导入园企业的科技管理工作;负责国有资产的出租、出借、对外投资、担保及处置管理的报批手续工作;负责科技政策的咨询与服务工作。负责提出农科园大宗农产品和农业生产资料的流通及价格政策建议，指导农科园业主信息系统建设;负责农科园现代农业产业的技术标准制定和实施，组织实施农科园现代农业技术培训;负责农产品标准化建设，指导无公害产品、有机食品、绿色食品与GAP认证工作，监督农科园农业投入品和农产品质量安全,指导农科园企业加工生产、</w:t>
            </w:r>
            <w:r>
              <w:rPr>
                <w:rFonts w:hint="eastAsia" w:ascii="Times New Roman" w:hAnsi="Times New Roman" w:eastAsia="宋体" w:cs="Times New Roman"/>
                <w:sz w:val="20"/>
                <w:szCs w:val="20"/>
              </w:rPr>
              <w:t>市场</w:t>
            </w:r>
            <w:r>
              <w:rPr>
                <w:rFonts w:ascii="Times New Roman" w:hAnsi="Times New Roman" w:eastAsia="宋体" w:cs="Times New Roman"/>
                <w:sz w:val="20"/>
                <w:szCs w:val="20"/>
              </w:rPr>
              <w:t>物流等工作;负责落实农科园年度经济目标考核任务及统计工作。</w:t>
            </w:r>
            <w:bookmarkStart w:id="50" w:name="_GoBack"/>
            <w:bookmarkEnd w:id="50"/>
          </w:p>
          <w:p>
            <w:pPr>
              <w:spacing w:line="560" w:lineRule="exact"/>
              <w:ind w:left="0" w:leftChars="0" w:firstLine="400" w:firstLineChars="200"/>
              <w:rPr>
                <w:rFonts w:ascii="Times New Roman" w:hAnsi="Times New Roman" w:eastAsia="宋体" w:cs="Times New Roman"/>
                <w:sz w:val="20"/>
                <w:szCs w:val="20"/>
              </w:rPr>
            </w:pPr>
            <w:r>
              <w:rPr>
                <w:rFonts w:ascii="Times New Roman" w:hAnsi="Times New Roman" w:eastAsia="宋体" w:cs="Times New Roman"/>
                <w:sz w:val="20"/>
                <w:szCs w:val="20"/>
              </w:rPr>
              <w:t>负责拟订农科园旅游业发展的中长期规划和年度计划并组织实筒；负责指导园区内企业开展农旅融合发展工作，负责旅游商品开发与销售;负责全园的旅游管理及对口部门的协调，制定并监督实施农科园有关景点管理规定；负责旅游统计与分析工作。负责农科园所辖企业内的安全管理工作及所辖范围与工程建设、土地流转等有关的信访维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228" w:type="pct"/>
            <w:shd w:val="clear" w:color="auto" w:fill="auto"/>
            <w:noWrap/>
            <w:vAlign w:val="center"/>
          </w:tcPr>
          <w:p>
            <w:pPr>
              <w:widowControl/>
              <w:spacing w:line="560" w:lineRule="exact"/>
              <w:ind w:left="0" w:leftChars="0"/>
              <w:rPr>
                <w:rFonts w:ascii="Times New Roman" w:hAnsi="Times New Roman" w:eastAsia="宋体" w:cs="Times New Roman"/>
                <w:sz w:val="20"/>
                <w:szCs w:val="20"/>
              </w:rPr>
            </w:pPr>
            <w:r>
              <w:rPr>
                <w:rFonts w:ascii="Times New Roman" w:hAnsi="Times New Roman" w:eastAsia="宋体" w:cs="Times New Roman"/>
                <w:sz w:val="20"/>
                <w:szCs w:val="20"/>
              </w:rPr>
              <w:t>市场开发办公室</w:t>
            </w:r>
          </w:p>
        </w:tc>
        <w:tc>
          <w:tcPr>
            <w:tcW w:w="3772" w:type="pct"/>
            <w:shd w:val="clear" w:color="auto" w:fill="auto"/>
            <w:vAlign w:val="center"/>
          </w:tcPr>
          <w:p>
            <w:pPr>
              <w:spacing w:line="560" w:lineRule="exact"/>
              <w:ind w:left="0" w:leftChars="0" w:firstLine="400" w:firstLineChars="200"/>
              <w:rPr>
                <w:rFonts w:ascii="Times New Roman" w:hAnsi="Times New Roman" w:eastAsia="宋体" w:cs="Times New Roman"/>
                <w:sz w:val="20"/>
                <w:szCs w:val="20"/>
              </w:rPr>
            </w:pPr>
            <w:r>
              <w:rPr>
                <w:rFonts w:ascii="Times New Roman" w:hAnsi="Times New Roman" w:eastAsia="宋体" w:cs="Times New Roman"/>
                <w:sz w:val="20"/>
                <w:szCs w:val="20"/>
              </w:rPr>
              <w:t>参与拟订农科园招商引资政策;参与对外招商引资，完成招商引资任务目标，负责制订年度招商引资工作计划;负责农业科技回重点招商引资项目的策划、包装、推介及招商引资项目的接洽、谈判、签约;协调做好农科园项目的招投标工作;负责农业科技回公共品牌的打造，指导入园企业品牌创建及农产品地理标志产品申报工作，组织农科园企业参加各类农业博览会、洽谈会等。负责农科园内各种资源、国有资产的统筹整合，开展农科园的投融资工作，协调整合产业化项目、资金进入农科园。</w:t>
            </w:r>
          </w:p>
        </w:tc>
      </w:tr>
    </w:tbl>
    <w:p>
      <w:pPr>
        <w:ind w:left="640"/>
        <w:rPr>
          <w:rFonts w:ascii="Times New Roman" w:hAnsi="Times New Roman" w:cs="Times New Roman"/>
        </w:rPr>
        <w:sectPr>
          <w:footerReference r:id="rId11" w:type="default"/>
          <w:pgSz w:w="11906" w:h="16838"/>
          <w:pgMar w:top="1440" w:right="1800" w:bottom="1440" w:left="1800" w:header="851" w:footer="992" w:gutter="0"/>
          <w:pgNumType w:start="1"/>
          <w:cols w:space="425" w:num="1"/>
          <w:docGrid w:type="lines" w:linePitch="312" w:charSpace="0"/>
        </w:sectPr>
      </w:pPr>
      <w:bookmarkStart w:id="5" w:name="_Toc77922529"/>
    </w:p>
    <w:p>
      <w:pPr>
        <w:pStyle w:val="5"/>
        <w:spacing w:before="0" w:beforeLines="0" w:after="0" w:afterLines="0"/>
        <w:ind w:firstLine="643"/>
        <w:rPr>
          <w:rFonts w:ascii="Times New Roman" w:hAnsi="Times New Roman" w:cs="Times New Roman"/>
        </w:rPr>
      </w:pPr>
      <w:r>
        <w:rPr>
          <w:rFonts w:ascii="Times New Roman" w:hAnsi="Times New Roman" w:cs="Times New Roman"/>
        </w:rPr>
        <w:t>4.园区人员构成</w:t>
      </w:r>
      <w:bookmarkEnd w:id="5"/>
    </w:p>
    <w:p>
      <w:pPr>
        <w:spacing w:line="560" w:lineRule="exact"/>
        <w:ind w:left="0" w:leftChars="0" w:firstLine="640" w:firstLineChars="200"/>
        <w:rPr>
          <w:rFonts w:ascii="Times New Roman" w:hAnsi="Times New Roman" w:cs="Times New Roman"/>
        </w:rPr>
      </w:pPr>
      <w:r>
        <w:rPr>
          <w:rFonts w:ascii="Times New Roman" w:hAnsi="Times New Roman" w:cs="Times New Roman"/>
        </w:rPr>
        <w:t>根据农科园党工委（管委会）《三定方案》中规定，核定事业编制12名（人员参照公务员法管理)，其中：党工委书记1名(正科级)，党工委副书记莱管委会主任1名(正科级)；管委会副主任2名（副科级)；正股级领导职教3名，以上领导职数均不含兼职；实际在职员工7人，其中有2名为兼职人员。</w:t>
      </w:r>
    </w:p>
    <w:p>
      <w:pPr>
        <w:pStyle w:val="4"/>
        <w:spacing w:before="0" w:beforeLines="0" w:after="0" w:afterLines="0"/>
        <w:ind w:firstLine="0" w:firstLineChars="0"/>
        <w:rPr>
          <w:rFonts w:cs="Times New Roman"/>
        </w:rPr>
      </w:pPr>
      <w:bookmarkStart w:id="6" w:name="_Toc77503468"/>
      <w:bookmarkStart w:id="7" w:name="_Toc73927477"/>
      <w:bookmarkStart w:id="8" w:name="_Toc77922530"/>
      <w:r>
        <w:rPr>
          <w:rFonts w:cs="Times New Roman"/>
        </w:rPr>
        <w:t>（二）年度主要工作目标及重点工作</w:t>
      </w:r>
      <w:bookmarkEnd w:id="6"/>
      <w:bookmarkEnd w:id="7"/>
      <w:bookmarkEnd w:id="8"/>
    </w:p>
    <w:p>
      <w:pPr>
        <w:pStyle w:val="5"/>
        <w:spacing w:before="0" w:beforeLines="0" w:after="0" w:afterLines="0"/>
        <w:ind w:firstLine="643"/>
        <w:rPr>
          <w:rFonts w:ascii="Times New Roman" w:hAnsi="Times New Roman" w:cs="Times New Roman"/>
        </w:rPr>
      </w:pPr>
      <w:bookmarkStart w:id="9" w:name="_Toc77922531"/>
      <w:bookmarkStart w:id="10" w:name="_Toc73927478"/>
      <w:bookmarkStart w:id="11" w:name="_Toc77503469"/>
      <w:r>
        <w:rPr>
          <w:rFonts w:ascii="Times New Roman" w:hAnsi="Times New Roman" w:cs="Times New Roman"/>
        </w:rPr>
        <w:t>1.年度主要工作目标</w:t>
      </w:r>
      <w:bookmarkEnd w:id="9"/>
      <w:bookmarkEnd w:id="10"/>
      <w:bookmarkEnd w:id="11"/>
    </w:p>
    <w:p>
      <w:pPr>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2020年度农科园主要工作目标有：一是园区管理体系基本形成；二是创建工作稳步推进，克服新冠肺炎疫情影响，推进园区创建验收相关工作；三是推进科技创新和企业入驻；四是推动专项债券项目申报，包装绵竹市科技创新创业孵化中心项目，组织申报和实施一批科技项目。</w:t>
      </w:r>
    </w:p>
    <w:p>
      <w:pPr>
        <w:pStyle w:val="5"/>
        <w:spacing w:before="0" w:beforeLines="0" w:after="0" w:afterLines="0"/>
        <w:ind w:firstLine="643"/>
        <w:rPr>
          <w:rFonts w:ascii="Times New Roman" w:hAnsi="Times New Roman" w:cs="Times New Roman"/>
        </w:rPr>
      </w:pPr>
      <w:bookmarkStart w:id="12" w:name="_Toc73927479"/>
      <w:bookmarkStart w:id="13" w:name="_Toc77503470"/>
      <w:bookmarkStart w:id="14" w:name="_Toc77922532"/>
      <w:r>
        <w:rPr>
          <w:rFonts w:ascii="Times New Roman" w:hAnsi="Times New Roman" w:cs="Times New Roman"/>
        </w:rPr>
        <w:t>2.年度重点工作任务</w:t>
      </w:r>
      <w:bookmarkEnd w:id="12"/>
      <w:bookmarkEnd w:id="13"/>
      <w:bookmarkEnd w:id="14"/>
    </w:p>
    <w:p>
      <w:pPr>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2020年度农科园重点工作任务为：一是构建农科园硬件设施建设，园区装新与孵化园建设；二是构建内部组织管理架构，完善企业入驻条件和园区管理规定。</w:t>
      </w:r>
    </w:p>
    <w:p>
      <w:pPr>
        <w:pStyle w:val="5"/>
        <w:spacing w:before="156" w:after="156"/>
        <w:ind w:firstLine="643"/>
        <w:rPr>
          <w:rFonts w:ascii="Times New Roman" w:hAnsi="Times New Roman" w:cs="Times New Roman"/>
        </w:rPr>
      </w:pPr>
      <w:bookmarkStart w:id="15" w:name="_Toc77922533"/>
      <w:r>
        <w:rPr>
          <w:rFonts w:ascii="Times New Roman" w:hAnsi="Times New Roman" w:cs="Times New Roman"/>
        </w:rPr>
        <w:t>3.目标完成情况</w:t>
      </w:r>
      <w:bookmarkEnd w:id="15"/>
    </w:p>
    <w:p>
      <w:pPr>
        <w:spacing w:line="560" w:lineRule="exact"/>
        <w:ind w:left="0" w:leftChars="0" w:firstLine="640" w:firstLineChars="200"/>
        <w:rPr>
          <w:rFonts w:ascii="Times New Roman" w:hAnsi="Times New Roman" w:cs="Times New Roman"/>
        </w:rPr>
      </w:pPr>
      <w:r>
        <w:rPr>
          <w:rFonts w:ascii="Times New Roman" w:hAnsi="Times New Roman" w:cs="Times New Roman"/>
        </w:rPr>
        <w:t>农科园成立时间较短，年度绩效目标主要从单位内部管理制度建设及监督；组织资金筹集、调度和使用；债权债务及时结算、结清；各项部门整体资金支出实行限额把关、审核审批；对取得的资产物资及时进行会计核算等方面设置，总体来说，2020年农科园绩效目标基本完成。</w:t>
      </w:r>
    </w:p>
    <w:p>
      <w:pPr>
        <w:pStyle w:val="2"/>
        <w:spacing w:before="0" w:beforeLines="0" w:after="0" w:afterLines="0"/>
        <w:ind w:firstLine="176" w:firstLineChars="55"/>
        <w:rPr>
          <w:rFonts w:ascii="Times New Roman" w:hAnsi="Times New Roman" w:cs="Times New Roman"/>
        </w:rPr>
      </w:pPr>
      <w:bookmarkStart w:id="16" w:name="_Toc77922534"/>
      <w:r>
        <w:rPr>
          <w:rFonts w:ascii="Times New Roman" w:hAnsi="Times New Roman" w:cs="Times New Roman"/>
        </w:rPr>
        <w:t>二、</w:t>
      </w:r>
      <w:bookmarkEnd w:id="16"/>
      <w:r>
        <w:rPr>
          <w:rFonts w:ascii="Times New Roman" w:hAnsi="Times New Roman" w:cs="Times New Roman"/>
        </w:rPr>
        <w:t>预算管理情况</w:t>
      </w:r>
    </w:p>
    <w:p>
      <w:pPr>
        <w:spacing w:line="560" w:lineRule="exact"/>
        <w:ind w:left="0" w:leftChars="0" w:firstLine="640" w:firstLineChars="200"/>
        <w:rPr>
          <w:rFonts w:ascii="Times New Roman" w:hAnsi="Times New Roman" w:cs="Times New Roman"/>
        </w:rPr>
      </w:pPr>
      <w:r>
        <w:rPr>
          <w:rFonts w:ascii="Times New Roman" w:hAnsi="Times New Roman" w:cs="Times New Roman"/>
        </w:rPr>
        <w:t>在预算管理指标上，设定预算编制和预算执行两个方面。总体而言，预算编制和预算执行进度均较好。</w:t>
      </w:r>
    </w:p>
    <w:p>
      <w:pPr>
        <w:spacing w:line="560" w:lineRule="exact"/>
        <w:ind w:left="640"/>
        <w:jc w:val="center"/>
        <w:rPr>
          <w:rFonts w:ascii="Times New Roman" w:hAnsi="Times New Roman" w:eastAsia="幼圆" w:cs="Times New Roman"/>
          <w:b/>
          <w:sz w:val="28"/>
          <w:szCs w:val="32"/>
        </w:rPr>
      </w:pPr>
      <w:r>
        <w:rPr>
          <w:rFonts w:ascii="Times New Roman" w:hAnsi="Times New Roman" w:eastAsia="幼圆" w:cs="Times New Roman"/>
          <w:b/>
          <w:sz w:val="28"/>
          <w:szCs w:val="32"/>
        </w:rPr>
        <w:t>附表 预算管理指标得分情况</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945"/>
        <w:gridCol w:w="897"/>
        <w:gridCol w:w="142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834" w:type="pc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一级指标</w:t>
            </w:r>
          </w:p>
        </w:tc>
        <w:tc>
          <w:tcPr>
            <w:tcW w:w="833" w:type="pct"/>
            <w:shd w:val="clear" w:color="000000" w:fill="00516B"/>
            <w:noWrap/>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二级指标</w:t>
            </w:r>
          </w:p>
        </w:tc>
        <w:tc>
          <w:tcPr>
            <w:tcW w:w="1141" w:type="pct"/>
            <w:shd w:val="clear" w:color="000000" w:fill="00516B"/>
            <w:noWrap/>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三级指标</w:t>
            </w:r>
          </w:p>
        </w:tc>
        <w:tc>
          <w:tcPr>
            <w:tcW w:w="526" w:type="pc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分值</w:t>
            </w:r>
          </w:p>
        </w:tc>
        <w:tc>
          <w:tcPr>
            <w:tcW w:w="833" w:type="pc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w:t>
            </w:r>
          </w:p>
        </w:tc>
        <w:tc>
          <w:tcPr>
            <w:tcW w:w="833" w:type="pc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34" w:type="pct"/>
            <w:vMerge w:val="restar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预算管理</w:t>
            </w:r>
          </w:p>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w:t>
            </w:r>
            <w:r>
              <w:rPr>
                <w:rFonts w:ascii="Times New Roman" w:hAnsi="Times New Roman" w:eastAsia="等线" w:cs="Times New Roman"/>
                <w:color w:val="000000"/>
                <w:kern w:val="0"/>
                <w:sz w:val="20"/>
                <w:szCs w:val="20"/>
              </w:rPr>
              <w:t>10</w:t>
            </w:r>
            <w:r>
              <w:rPr>
                <w:rFonts w:ascii="Times New Roman" w:hAnsi="Times New Roman" w:eastAsia="宋体" w:cs="Times New Roman"/>
                <w:color w:val="000000"/>
                <w:kern w:val="0"/>
                <w:sz w:val="20"/>
                <w:szCs w:val="20"/>
              </w:rPr>
              <w:t>分）</w:t>
            </w:r>
          </w:p>
        </w:tc>
        <w:tc>
          <w:tcPr>
            <w:tcW w:w="833" w:type="pct"/>
            <w:shd w:val="clear" w:color="auto" w:fill="auto"/>
            <w:noWrap/>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预算编制</w:t>
            </w:r>
          </w:p>
        </w:tc>
        <w:tc>
          <w:tcPr>
            <w:tcW w:w="1141"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预算安排准确性</w:t>
            </w:r>
          </w:p>
        </w:tc>
        <w:tc>
          <w:tcPr>
            <w:tcW w:w="526" w:type="pct"/>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5.00</w:t>
            </w:r>
          </w:p>
        </w:tc>
        <w:tc>
          <w:tcPr>
            <w:tcW w:w="833" w:type="pct"/>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5.00</w:t>
            </w:r>
          </w:p>
        </w:tc>
        <w:tc>
          <w:tcPr>
            <w:tcW w:w="833" w:type="pct"/>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34" w:type="pct"/>
            <w:vMerge w:val="continue"/>
            <w:shd w:val="clear" w:color="auto" w:fill="auto"/>
            <w:vAlign w:val="center"/>
          </w:tcPr>
          <w:p>
            <w:pPr>
              <w:spacing w:line="320" w:lineRule="exact"/>
              <w:ind w:left="640"/>
              <w:jc w:val="center"/>
              <w:rPr>
                <w:rFonts w:ascii="Times New Roman" w:hAnsi="Times New Roman" w:eastAsia="宋体" w:cs="Times New Roman"/>
                <w:color w:val="000000"/>
                <w:kern w:val="0"/>
                <w:sz w:val="20"/>
                <w:szCs w:val="20"/>
              </w:rPr>
            </w:pPr>
          </w:p>
        </w:tc>
        <w:tc>
          <w:tcPr>
            <w:tcW w:w="833" w:type="pct"/>
            <w:shd w:val="clear" w:color="auto" w:fill="auto"/>
            <w:noWrap/>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执行进度</w:t>
            </w:r>
          </w:p>
        </w:tc>
        <w:tc>
          <w:tcPr>
            <w:tcW w:w="1141"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部门总体执行进度</w:t>
            </w:r>
          </w:p>
        </w:tc>
        <w:tc>
          <w:tcPr>
            <w:tcW w:w="526" w:type="pct"/>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5.00</w:t>
            </w:r>
          </w:p>
        </w:tc>
        <w:tc>
          <w:tcPr>
            <w:tcW w:w="833" w:type="pct"/>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5.00</w:t>
            </w:r>
          </w:p>
        </w:tc>
        <w:tc>
          <w:tcPr>
            <w:tcW w:w="833" w:type="pct"/>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34" w:type="pct"/>
            <w:vMerge w:val="continue"/>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2"/>
              </w:rPr>
            </w:pPr>
          </w:p>
        </w:tc>
        <w:tc>
          <w:tcPr>
            <w:tcW w:w="1974" w:type="pct"/>
            <w:gridSpan w:val="2"/>
            <w:shd w:val="clear" w:color="auto" w:fill="auto"/>
            <w:noWrap/>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合计</w:t>
            </w:r>
          </w:p>
        </w:tc>
        <w:tc>
          <w:tcPr>
            <w:tcW w:w="526" w:type="pct"/>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w:t>
            </w:r>
          </w:p>
        </w:tc>
        <w:tc>
          <w:tcPr>
            <w:tcW w:w="833" w:type="pct"/>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w:t>
            </w:r>
          </w:p>
        </w:tc>
        <w:tc>
          <w:tcPr>
            <w:tcW w:w="833" w:type="pct"/>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bl>
    <w:p>
      <w:pPr>
        <w:spacing w:line="560" w:lineRule="exact"/>
        <w:ind w:left="0" w:leftChars="0"/>
        <w:rPr>
          <w:rFonts w:ascii="Times New Roman" w:hAnsi="Times New Roman" w:cs="Times New Roman"/>
        </w:rPr>
      </w:pPr>
    </w:p>
    <w:p>
      <w:pPr>
        <w:pStyle w:val="4"/>
        <w:spacing w:before="0" w:beforeLines="0" w:after="0" w:afterLines="0"/>
        <w:ind w:firstLine="0" w:firstLineChars="0"/>
        <w:rPr>
          <w:rFonts w:cs="Times New Roman"/>
        </w:rPr>
      </w:pPr>
      <w:bookmarkStart w:id="17" w:name="_Toc77922535"/>
      <w:r>
        <w:rPr>
          <w:rFonts w:cs="Times New Roman"/>
        </w:rPr>
        <w:t>（一）预算</w:t>
      </w:r>
      <w:bookmarkEnd w:id="17"/>
      <w:r>
        <w:rPr>
          <w:rFonts w:cs="Times New Roman"/>
        </w:rPr>
        <w:t>编制情况</w:t>
      </w:r>
    </w:p>
    <w:p>
      <w:pPr>
        <w:spacing w:line="560" w:lineRule="exact"/>
        <w:ind w:left="0" w:leftChars="0" w:firstLine="480" w:firstLineChars="150"/>
        <w:rPr>
          <w:rFonts w:ascii="Times New Roman" w:hAnsi="Times New Roman" w:cs="Times New Roman"/>
        </w:rPr>
      </w:pPr>
      <w:r>
        <w:rPr>
          <w:rFonts w:ascii="Times New Roman" w:hAnsi="Times New Roman" w:cs="Times New Roman"/>
        </w:rPr>
        <w:t>预算编制下设预算安排准确性单个指标，权重5.00分，实际得分5.00分，得分率100%。</w:t>
      </w:r>
    </w:p>
    <w:p>
      <w:pPr>
        <w:spacing w:line="560" w:lineRule="exact"/>
        <w:ind w:left="0" w:leftChars="0" w:firstLine="480" w:firstLineChars="150"/>
        <w:rPr>
          <w:rFonts w:ascii="Times New Roman" w:hAnsi="Times New Roman" w:cs="Times New Roman"/>
        </w:rPr>
      </w:pPr>
      <w:r>
        <w:rPr>
          <w:rFonts w:ascii="Times New Roman" w:hAnsi="Times New Roman" w:cs="Times New Roman"/>
        </w:rPr>
        <w:t>部门预算执行进度情况按《预算法》和财政有关规定，职工工资等人员部门整体资金按月发放，公用部门整体资金报计划经财政相关股室审核后及时支付。在支付方式上，工资实行财政直接支付；项目资金及公用部门整体资金申请授权支付并采取转账支付或公务卡支付，尽量减少现金支出。在执行各项资金预算中，按照中央、省、市、区各级财经政策规定使用资金。同时，按照农科园内部控制建设要求制定相应的“财务管理规定”等相关制度，在专项项目资金使用过程中，按照项目资金管理办法的规定做好项目实施和监管，做到专款专用，发挥项目资金对项目实施的促进作用；资金拨付遵照相关要求经局务会研究决定。</w:t>
      </w:r>
    </w:p>
    <w:p>
      <w:pPr>
        <w:pStyle w:val="4"/>
        <w:spacing w:before="0" w:beforeLines="0" w:after="0" w:afterLines="0"/>
        <w:ind w:firstLine="199" w:firstLineChars="62"/>
        <w:rPr>
          <w:rFonts w:cs="Times New Roman"/>
        </w:rPr>
      </w:pPr>
      <w:bookmarkStart w:id="18" w:name="_Toc77922538"/>
      <w:r>
        <w:rPr>
          <w:rFonts w:cs="Times New Roman"/>
        </w:rPr>
        <w:t>（二）</w:t>
      </w:r>
      <w:bookmarkEnd w:id="18"/>
      <w:r>
        <w:rPr>
          <w:rFonts w:cs="Times New Roman"/>
        </w:rPr>
        <w:t>预算执行情况</w:t>
      </w:r>
    </w:p>
    <w:p>
      <w:pPr>
        <w:ind w:left="0" w:leftChars="0" w:firstLine="640" w:firstLineChars="200"/>
        <w:rPr>
          <w:rFonts w:ascii="Times New Roman" w:hAnsi="Times New Roman" w:cs="Times New Roman"/>
        </w:rPr>
      </w:pPr>
      <w:r>
        <w:rPr>
          <w:rFonts w:ascii="Times New Roman" w:hAnsi="Times New Roman" w:cs="Times New Roman"/>
        </w:rPr>
        <w:t>预算执行下设部门总体执行进度单个指标，权重5.00分，实际得分5.00分，得分率100.00%。因农科园为新成立单位，2020年初尚未做预算，故该指标不扣分。2020年预算收入1811.42万元，其中，一般公共预算财政拨款收入162.42万元，政府性基金财政拨款收入1649.00万元。</w:t>
      </w:r>
    </w:p>
    <w:p>
      <w:pPr>
        <w:spacing w:before="120" w:after="120"/>
        <w:ind w:left="640"/>
        <w:jc w:val="center"/>
        <w:rPr>
          <w:rFonts w:ascii="Times New Roman" w:hAnsi="Times New Roman" w:eastAsia="幼圆" w:cs="Times New Roman"/>
          <w:b/>
          <w:bCs/>
          <w:sz w:val="28"/>
          <w:szCs w:val="28"/>
        </w:rPr>
      </w:pPr>
      <w:r>
        <w:rPr>
          <w:rFonts w:ascii="Times New Roman" w:hAnsi="Times New Roman" w:eastAsia="幼圆" w:cs="Times New Roman"/>
          <w:b/>
          <w:bCs/>
          <w:sz w:val="28"/>
          <w:szCs w:val="28"/>
        </w:rPr>
        <w:t>附表 2020年预算支出执行情况（按项目支出性质分类）</w:t>
      </w:r>
    </w:p>
    <w:tbl>
      <w:tblPr>
        <w:tblStyle w:val="15"/>
        <w:tblW w:w="5000" w:type="pct"/>
        <w:tblInd w:w="0" w:type="dxa"/>
        <w:tblLayout w:type="autofit"/>
        <w:tblCellMar>
          <w:top w:w="0" w:type="dxa"/>
          <w:left w:w="108" w:type="dxa"/>
          <w:bottom w:w="0" w:type="dxa"/>
          <w:right w:w="108" w:type="dxa"/>
        </w:tblCellMar>
      </w:tblPr>
      <w:tblGrid>
        <w:gridCol w:w="1578"/>
        <w:gridCol w:w="1578"/>
        <w:gridCol w:w="2857"/>
        <w:gridCol w:w="931"/>
        <w:gridCol w:w="1578"/>
      </w:tblGrid>
      <w:tr>
        <w:tblPrEx>
          <w:tblCellMar>
            <w:top w:w="0" w:type="dxa"/>
            <w:left w:w="108" w:type="dxa"/>
            <w:bottom w:w="0" w:type="dxa"/>
            <w:right w:w="108" w:type="dxa"/>
          </w:tblCellMar>
        </w:tblPrEx>
        <w:trPr>
          <w:trHeight w:val="946" w:hRule="atLeast"/>
        </w:trPr>
        <w:tc>
          <w:tcPr>
            <w:tcW w:w="926" w:type="pct"/>
            <w:tcBorders>
              <w:top w:val="single" w:color="auto" w:sz="4" w:space="0"/>
              <w:left w:val="single" w:color="auto" w:sz="4" w:space="0"/>
              <w:bottom w:val="single" w:color="auto" w:sz="4" w:space="0"/>
              <w:right w:val="single" w:color="auto" w:sz="4" w:space="0"/>
            </w:tcBorders>
            <w:shd w:val="clear" w:color="000000" w:fill="00516B"/>
            <w:vAlign w:val="center"/>
          </w:tcPr>
          <w:p>
            <w:pPr>
              <w:widowControl/>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科目名称</w:t>
            </w:r>
          </w:p>
        </w:tc>
        <w:tc>
          <w:tcPr>
            <w:tcW w:w="926" w:type="pct"/>
            <w:tcBorders>
              <w:top w:val="single" w:color="auto" w:sz="4" w:space="0"/>
              <w:left w:val="nil"/>
              <w:right w:val="single" w:color="auto" w:sz="4" w:space="0"/>
            </w:tcBorders>
            <w:shd w:val="clear" w:color="000000" w:fill="00516B"/>
            <w:vAlign w:val="center"/>
          </w:tcPr>
          <w:p>
            <w:pPr>
              <w:widowControl/>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年初预算数（万元）</w:t>
            </w:r>
          </w:p>
        </w:tc>
        <w:tc>
          <w:tcPr>
            <w:tcW w:w="1676" w:type="pct"/>
            <w:tcBorders>
              <w:top w:val="single" w:color="auto" w:sz="4" w:space="0"/>
              <w:left w:val="nil"/>
              <w:right w:val="single" w:color="auto" w:sz="4" w:space="0"/>
            </w:tcBorders>
            <w:shd w:val="clear" w:color="000000" w:fill="00516B"/>
            <w:vAlign w:val="center"/>
          </w:tcPr>
          <w:p>
            <w:pPr>
              <w:widowControl/>
              <w:ind w:left="0" w:leftChars="0"/>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调整预算数（万元）</w:t>
            </w:r>
          </w:p>
        </w:tc>
        <w:tc>
          <w:tcPr>
            <w:tcW w:w="546" w:type="pct"/>
            <w:tcBorders>
              <w:top w:val="single" w:color="auto" w:sz="4" w:space="0"/>
              <w:left w:val="nil"/>
              <w:right w:val="single" w:color="auto" w:sz="4" w:space="0"/>
            </w:tcBorders>
            <w:shd w:val="clear" w:color="000000" w:fill="00516B"/>
            <w:vAlign w:val="center"/>
          </w:tcPr>
          <w:p>
            <w:pPr>
              <w:widowControl/>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决算数（万元）</w:t>
            </w:r>
          </w:p>
        </w:tc>
        <w:tc>
          <w:tcPr>
            <w:tcW w:w="926" w:type="pct"/>
            <w:tcBorders>
              <w:top w:val="single" w:color="auto" w:sz="4" w:space="0"/>
              <w:left w:val="single" w:color="auto" w:sz="4" w:space="0"/>
              <w:bottom w:val="single" w:color="auto" w:sz="4" w:space="0"/>
              <w:right w:val="single" w:color="auto" w:sz="4" w:space="0"/>
            </w:tcBorders>
            <w:shd w:val="clear" w:color="000000" w:fill="00516B"/>
            <w:vAlign w:val="center"/>
          </w:tcPr>
          <w:p>
            <w:pPr>
              <w:widowControl/>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预算执行率（%）</w:t>
            </w:r>
          </w:p>
        </w:tc>
      </w:tr>
      <w:tr>
        <w:tblPrEx>
          <w:tblCellMar>
            <w:top w:w="0" w:type="dxa"/>
            <w:left w:w="108" w:type="dxa"/>
            <w:bottom w:w="0" w:type="dxa"/>
            <w:right w:w="108" w:type="dxa"/>
          </w:tblCellMar>
        </w:tblPrEx>
        <w:trPr>
          <w:trHeight w:val="26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一、基本支出</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2300.65</w:t>
            </w:r>
          </w:p>
        </w:tc>
        <w:tc>
          <w:tcPr>
            <w:tcW w:w="167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2611.67</w:t>
            </w:r>
          </w:p>
        </w:tc>
        <w:tc>
          <w:tcPr>
            <w:tcW w:w="54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2611.67</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r>
      <w:tr>
        <w:tblPrEx>
          <w:tblCellMar>
            <w:top w:w="0" w:type="dxa"/>
            <w:left w:w="108" w:type="dxa"/>
            <w:bottom w:w="0" w:type="dxa"/>
            <w:right w:w="108" w:type="dxa"/>
          </w:tblCellMar>
        </w:tblPrEx>
        <w:trPr>
          <w:trHeight w:val="26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人员经费</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1902.14</w:t>
            </w:r>
          </w:p>
        </w:tc>
        <w:tc>
          <w:tcPr>
            <w:tcW w:w="167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2277.59</w:t>
            </w:r>
          </w:p>
        </w:tc>
        <w:tc>
          <w:tcPr>
            <w:tcW w:w="54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2277.59</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r>
      <w:tr>
        <w:tblPrEx>
          <w:tblCellMar>
            <w:top w:w="0" w:type="dxa"/>
            <w:left w:w="108" w:type="dxa"/>
            <w:bottom w:w="0" w:type="dxa"/>
            <w:right w:w="108" w:type="dxa"/>
          </w:tblCellMar>
        </w:tblPrEx>
        <w:trPr>
          <w:trHeight w:val="26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公用经费</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398.51</w:t>
            </w:r>
          </w:p>
        </w:tc>
        <w:tc>
          <w:tcPr>
            <w:tcW w:w="167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334.07</w:t>
            </w:r>
          </w:p>
        </w:tc>
        <w:tc>
          <w:tcPr>
            <w:tcW w:w="54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334.07</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r>
      <w:tr>
        <w:tblPrEx>
          <w:tblCellMar>
            <w:top w:w="0" w:type="dxa"/>
            <w:left w:w="108" w:type="dxa"/>
            <w:bottom w:w="0" w:type="dxa"/>
            <w:right w:w="108" w:type="dxa"/>
          </w:tblCellMar>
        </w:tblPrEx>
        <w:trPr>
          <w:trHeight w:val="26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二、项目支出</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191.34</w:t>
            </w:r>
          </w:p>
        </w:tc>
        <w:tc>
          <w:tcPr>
            <w:tcW w:w="167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459.37</w:t>
            </w:r>
          </w:p>
        </w:tc>
        <w:tc>
          <w:tcPr>
            <w:tcW w:w="54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459.37</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r>
      <w:tr>
        <w:tblPrEx>
          <w:tblCellMar>
            <w:top w:w="0" w:type="dxa"/>
            <w:left w:w="108" w:type="dxa"/>
            <w:bottom w:w="0" w:type="dxa"/>
            <w:right w:w="108" w:type="dxa"/>
          </w:tblCellMar>
        </w:tblPrEx>
        <w:trPr>
          <w:trHeight w:val="26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合计</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1811.42</w:t>
            </w:r>
          </w:p>
        </w:tc>
        <w:tc>
          <w:tcPr>
            <w:tcW w:w="167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1811.42</w:t>
            </w:r>
          </w:p>
        </w:tc>
        <w:tc>
          <w:tcPr>
            <w:tcW w:w="54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1811.42</w:t>
            </w:r>
          </w:p>
        </w:tc>
        <w:tc>
          <w:tcPr>
            <w:tcW w:w="926" w:type="pct"/>
            <w:tcBorders>
              <w:top w:val="nil"/>
              <w:left w:val="nil"/>
              <w:bottom w:val="single" w:color="auto" w:sz="4" w:space="0"/>
              <w:right w:val="single" w:color="auto" w:sz="4" w:space="0"/>
            </w:tcBorders>
            <w:shd w:val="clear" w:color="auto" w:fill="auto"/>
            <w:noWrap/>
            <w:vAlign w:val="center"/>
          </w:tcPr>
          <w:p>
            <w:pPr>
              <w:widowControl/>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100</w:t>
            </w:r>
          </w:p>
        </w:tc>
      </w:tr>
    </w:tbl>
    <w:p>
      <w:pPr>
        <w:ind w:left="0" w:leftChars="0"/>
        <w:rPr>
          <w:rFonts w:ascii="Times New Roman" w:hAnsi="Times New Roman" w:cs="Times New Roman"/>
        </w:rPr>
      </w:pPr>
    </w:p>
    <w:p>
      <w:pPr>
        <w:spacing w:line="560" w:lineRule="exact"/>
        <w:ind w:left="0" w:leftChars="0" w:firstLine="720" w:firstLineChars="200"/>
        <w:rPr>
          <w:rFonts w:ascii="Times New Roman" w:hAnsi="Times New Roman" w:cs="Times New Roman"/>
        </w:rPr>
      </w:pPr>
      <w:r>
        <w:rPr>
          <w:rFonts w:ascii="Times New Roman" w:hAnsi="Times New Roman" w:cs="Times New Roman"/>
          <w:sz w:val="36"/>
          <w:szCs w:val="24"/>
        </w:rPr>
        <w:drawing>
          <wp:anchor distT="0" distB="0" distL="114300" distR="114300" simplePos="0" relativeHeight="251660288" behindDoc="0" locked="0" layoutInCell="1" allowOverlap="1">
            <wp:simplePos x="0" y="0"/>
            <wp:positionH relativeFrom="column">
              <wp:posOffset>-1270</wp:posOffset>
            </wp:positionH>
            <wp:positionV relativeFrom="paragraph">
              <wp:posOffset>2548255</wp:posOffset>
            </wp:positionV>
            <wp:extent cx="5274310" cy="1668780"/>
            <wp:effectExtent l="0" t="0" r="2540" b="7620"/>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Pr>
          <w:rFonts w:ascii="Times New Roman" w:hAnsi="Times New Roman" w:cs="Times New Roman"/>
        </w:rPr>
        <w:t>根据预算收入支出性质来看，一般公共服务收入151.03万元，占总收入8.34%；社会保障和就业收入5.24万元，占总收入0.29%；卫生健康收入1.53万元，占总收入0.08%；住房保障收入4.92万元，占总收入0.25%；其他收入1000万元，占总收入的55.21%；安排抗疫特别国债649.00万元，占总收入的35.83%。由于农科园2019年12月刚成立，年初未设置预算，故预算收入与支出相等。</w:t>
      </w:r>
    </w:p>
    <w:p>
      <w:pPr>
        <w:spacing w:line="560" w:lineRule="exact"/>
        <w:ind w:left="0" w:leftChars="0"/>
        <w:jc w:val="center"/>
        <w:rPr>
          <w:rFonts w:ascii="Times New Roman" w:hAnsi="Times New Roman" w:eastAsia="幼圆" w:cs="Times New Roman"/>
          <w:b/>
          <w:sz w:val="28"/>
          <w:szCs w:val="28"/>
        </w:rPr>
      </w:pPr>
      <w:r>
        <w:rPr>
          <w:rFonts w:ascii="Times New Roman" w:hAnsi="Times New Roman" w:eastAsia="幼圆" w:cs="Times New Roman"/>
          <w:b/>
          <w:sz w:val="28"/>
          <w:szCs w:val="28"/>
        </w:rPr>
        <w:t>附图 农科园财政资金收入结构</w:t>
      </w:r>
    </w:p>
    <w:p>
      <w:pPr>
        <w:pStyle w:val="4"/>
        <w:spacing w:before="0" w:beforeLines="0" w:after="0" w:afterLines="0"/>
        <w:ind w:firstLine="0" w:firstLineChars="0"/>
        <w:rPr>
          <w:rFonts w:cs="Times New Roman"/>
        </w:rPr>
      </w:pPr>
      <w:bookmarkStart w:id="19" w:name="_Toc77922536"/>
      <w:r>
        <w:rPr>
          <w:rFonts w:cs="Times New Roman"/>
        </w:rPr>
        <w:t>（三）保障资金管理</w:t>
      </w:r>
      <w:bookmarkEnd w:id="19"/>
    </w:p>
    <w:p>
      <w:pPr>
        <w:spacing w:line="560" w:lineRule="exact"/>
        <w:ind w:left="0" w:leftChars="0" w:firstLine="640" w:firstLineChars="200"/>
        <w:rPr>
          <w:rFonts w:ascii="Times New Roman" w:hAnsi="Times New Roman" w:cs="Times New Roman"/>
        </w:rPr>
      </w:pPr>
      <w:r>
        <w:rPr>
          <w:rFonts w:ascii="Times New Roman" w:hAnsi="Times New Roman" w:cs="Times New Roman"/>
        </w:rPr>
        <w:t>2020年度预算安排支出主要用于保障单位机构正常运转，完成日常工作任务，管理和应用好项目资金，保障园区事业发展等项工作。基本支出，是用于保障机关正常运转的日常支出，包括基本工资、津贴补贴、社会保障、机关事业单位基本养老保险、离退休费、住房公积金和日常公用部门整体资金等。项目支出，是用于保障园区创新创业孵化中心的专项部门整体资金支出，孵化中心投入资金为649.00万元。</w:t>
      </w:r>
    </w:p>
    <w:p>
      <w:pPr>
        <w:pStyle w:val="2"/>
        <w:spacing w:before="0" w:beforeLines="0" w:after="0" w:afterLines="0"/>
        <w:ind w:firstLine="0" w:firstLineChars="0"/>
        <w:rPr>
          <w:rFonts w:ascii="Times New Roman" w:hAnsi="Times New Roman" w:cs="Times New Roman"/>
        </w:rPr>
      </w:pPr>
      <w:bookmarkStart w:id="20" w:name="_Toc77922539"/>
      <w:r>
        <w:rPr>
          <w:rFonts w:ascii="Times New Roman" w:hAnsi="Times New Roman" w:cs="Times New Roman"/>
        </w:rPr>
        <w:t>三、部门管理情况</w:t>
      </w:r>
      <w:bookmarkEnd w:id="20"/>
    </w:p>
    <w:p>
      <w:pPr>
        <w:spacing w:line="560" w:lineRule="exact"/>
        <w:ind w:left="0" w:leftChars="0" w:firstLine="640" w:firstLineChars="200"/>
        <w:rPr>
          <w:rFonts w:ascii="Times New Roman" w:hAnsi="Times New Roman" w:cs="Times New Roman"/>
        </w:rPr>
      </w:pPr>
      <w:r>
        <w:rPr>
          <w:rFonts w:ascii="Times New Roman" w:hAnsi="Times New Roman" w:cs="Times New Roman"/>
        </w:rPr>
        <w:t xml:space="preserve">在部门管理指标上，设定管理制度、财务管理、“三公”经费控制、资产管理、政府购买服务、信息公开6个方面。  </w:t>
      </w:r>
    </w:p>
    <w:p>
      <w:pPr>
        <w:spacing w:line="560" w:lineRule="exact"/>
        <w:ind w:left="0" w:leftChars="0" w:firstLine="640" w:firstLineChars="200"/>
        <w:rPr>
          <w:rFonts w:ascii="Times New Roman" w:hAnsi="Times New Roman" w:cs="Times New Roman"/>
        </w:rPr>
      </w:pPr>
      <w:r>
        <w:rPr>
          <w:rFonts w:ascii="Times New Roman" w:hAnsi="Times New Roman" w:cs="Times New Roman"/>
        </w:rPr>
        <w:t>总体而言，部门内部管理制度制定较健全，条款明确，可操作性较强，且管理较为规范。其中，“三公”经费控制较好，固定资产在用率较高。但在资金使用合规性方面，未按照规定进行补贴发放；在财务监控有效性方面，尚未建立相关考核制度；在政府采购方面，采购规范性有待加强。该部分指标分值为10.00分，得分为8.50分，得分率为85.00%。</w:t>
      </w:r>
    </w:p>
    <w:p>
      <w:pPr>
        <w:widowControl/>
        <w:spacing w:line="560" w:lineRule="exact"/>
        <w:ind w:left="0" w:leftChars="0" w:firstLine="562"/>
        <w:jc w:val="center"/>
        <w:rPr>
          <w:rFonts w:ascii="Times New Roman" w:hAnsi="Times New Roman" w:eastAsia="幼圆" w:cs="Times New Roman"/>
          <w:b/>
          <w:sz w:val="28"/>
          <w:szCs w:val="28"/>
        </w:rPr>
      </w:pPr>
      <w:r>
        <w:rPr>
          <w:rFonts w:ascii="Times New Roman" w:hAnsi="Times New Roman" w:eastAsia="幼圆" w:cs="Times New Roman"/>
          <w:b/>
          <w:sz w:val="28"/>
          <w:szCs w:val="28"/>
        </w:rPr>
        <w:t>附表 部门管理指标得分情况</w:t>
      </w:r>
    </w:p>
    <w:tbl>
      <w:tblPr>
        <w:tblStyle w:val="15"/>
        <w:tblW w:w="5000" w:type="pct"/>
        <w:tblInd w:w="0" w:type="dxa"/>
        <w:tblLayout w:type="autofit"/>
        <w:tblCellMar>
          <w:top w:w="0" w:type="dxa"/>
          <w:left w:w="108" w:type="dxa"/>
          <w:bottom w:w="0" w:type="dxa"/>
          <w:right w:w="108" w:type="dxa"/>
        </w:tblCellMar>
      </w:tblPr>
      <w:tblGrid>
        <w:gridCol w:w="960"/>
        <w:gridCol w:w="1416"/>
        <w:gridCol w:w="1836"/>
        <w:gridCol w:w="1428"/>
        <w:gridCol w:w="1415"/>
        <w:gridCol w:w="1467"/>
      </w:tblGrid>
      <w:tr>
        <w:tblPrEx>
          <w:tblCellMar>
            <w:top w:w="0" w:type="dxa"/>
            <w:left w:w="108" w:type="dxa"/>
            <w:bottom w:w="0" w:type="dxa"/>
            <w:right w:w="108" w:type="dxa"/>
          </w:tblCellMar>
        </w:tblPrEx>
        <w:trPr>
          <w:trHeight w:val="624" w:hRule="atLeast"/>
          <w:tblHeader/>
        </w:trPr>
        <w:tc>
          <w:tcPr>
            <w:tcW w:w="563"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一级指标</w:t>
            </w:r>
          </w:p>
        </w:tc>
        <w:tc>
          <w:tcPr>
            <w:tcW w:w="831"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二级指标</w:t>
            </w:r>
          </w:p>
        </w:tc>
        <w:tc>
          <w:tcPr>
            <w:tcW w:w="1077"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三级指标</w:t>
            </w:r>
          </w:p>
        </w:tc>
        <w:tc>
          <w:tcPr>
            <w:tcW w:w="838"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权重</w:t>
            </w:r>
          </w:p>
        </w:tc>
        <w:tc>
          <w:tcPr>
            <w:tcW w:w="830"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w:t>
            </w:r>
          </w:p>
        </w:tc>
        <w:tc>
          <w:tcPr>
            <w:tcW w:w="861"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得分率</w:t>
            </w:r>
          </w:p>
        </w:tc>
      </w:tr>
      <w:tr>
        <w:tblPrEx>
          <w:tblCellMar>
            <w:top w:w="0" w:type="dxa"/>
            <w:left w:w="108" w:type="dxa"/>
            <w:bottom w:w="0" w:type="dxa"/>
            <w:right w:w="108" w:type="dxa"/>
          </w:tblCellMar>
        </w:tblPrEx>
        <w:trPr>
          <w:trHeight w:val="624" w:hRule="atLeast"/>
        </w:trPr>
        <w:tc>
          <w:tcPr>
            <w:tcW w:w="56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FFFFFF"/>
                <w:kern w:val="0"/>
                <w:sz w:val="20"/>
                <w:szCs w:val="20"/>
              </w:rPr>
            </w:pPr>
          </w:p>
        </w:tc>
        <w:tc>
          <w:tcPr>
            <w:tcW w:w="83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FFFFFF"/>
                <w:kern w:val="0"/>
                <w:sz w:val="20"/>
                <w:szCs w:val="20"/>
              </w:rPr>
            </w:pPr>
          </w:p>
        </w:tc>
        <w:tc>
          <w:tcPr>
            <w:tcW w:w="107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FFFFFF"/>
                <w:kern w:val="0"/>
                <w:sz w:val="20"/>
                <w:szCs w:val="20"/>
              </w:rPr>
            </w:pPr>
          </w:p>
        </w:tc>
        <w:tc>
          <w:tcPr>
            <w:tcW w:w="83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FFFFFF"/>
                <w:kern w:val="0"/>
                <w:sz w:val="20"/>
                <w:szCs w:val="20"/>
              </w:rPr>
            </w:pPr>
          </w:p>
        </w:tc>
        <w:tc>
          <w:tcPr>
            <w:tcW w:w="83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FFFFFF"/>
                <w:kern w:val="0"/>
                <w:sz w:val="20"/>
                <w:szCs w:val="20"/>
              </w:rPr>
            </w:pPr>
          </w:p>
        </w:tc>
        <w:tc>
          <w:tcPr>
            <w:tcW w:w="86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FFFFFF"/>
                <w:kern w:val="0"/>
                <w:sz w:val="20"/>
                <w:szCs w:val="20"/>
              </w:rPr>
            </w:pPr>
          </w:p>
        </w:tc>
      </w:tr>
      <w:tr>
        <w:tblPrEx>
          <w:tblCellMar>
            <w:top w:w="0" w:type="dxa"/>
            <w:left w:w="108" w:type="dxa"/>
            <w:bottom w:w="0" w:type="dxa"/>
            <w:right w:w="108" w:type="dxa"/>
          </w:tblCellMar>
        </w:tblPrEx>
        <w:trPr>
          <w:trHeight w:val="520" w:hRule="atLeast"/>
        </w:trPr>
        <w:tc>
          <w:tcPr>
            <w:tcW w:w="56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部门管理</w:t>
            </w:r>
          </w:p>
        </w:tc>
        <w:tc>
          <w:tcPr>
            <w:tcW w:w="831" w:type="pct"/>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基础管理</w:t>
            </w: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管理制度健全性</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CellMar>
            <w:top w:w="0" w:type="dxa"/>
            <w:left w:w="108" w:type="dxa"/>
            <w:bottom w:w="0" w:type="dxa"/>
            <w:right w:w="108" w:type="dxa"/>
          </w:tblCellMar>
        </w:tblPrEx>
        <w:trPr>
          <w:trHeight w:val="520" w:hRule="atLeast"/>
        </w:trPr>
        <w:tc>
          <w:tcPr>
            <w:tcW w:w="563"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000000"/>
                <w:kern w:val="0"/>
                <w:sz w:val="20"/>
                <w:szCs w:val="20"/>
              </w:rPr>
            </w:pPr>
          </w:p>
        </w:tc>
        <w:tc>
          <w:tcPr>
            <w:tcW w:w="831"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color w:val="000000"/>
                <w:kern w:val="0"/>
                <w:sz w:val="20"/>
                <w:szCs w:val="20"/>
              </w:rPr>
            </w:pP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资金使用合规性</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0. 50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50.00%</w:t>
            </w:r>
          </w:p>
        </w:tc>
      </w:tr>
      <w:tr>
        <w:tblPrEx>
          <w:tblCellMar>
            <w:top w:w="0" w:type="dxa"/>
            <w:left w:w="108" w:type="dxa"/>
            <w:bottom w:w="0" w:type="dxa"/>
            <w:right w:w="108" w:type="dxa"/>
          </w:tblCellMar>
        </w:tblPrEx>
        <w:trPr>
          <w:trHeight w:val="520" w:hRule="atLeast"/>
        </w:trPr>
        <w:tc>
          <w:tcPr>
            <w:tcW w:w="563"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000000"/>
                <w:kern w:val="0"/>
                <w:sz w:val="20"/>
                <w:szCs w:val="20"/>
              </w:rPr>
            </w:pPr>
          </w:p>
        </w:tc>
        <w:tc>
          <w:tcPr>
            <w:tcW w:w="831"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color w:val="000000"/>
                <w:kern w:val="0"/>
                <w:sz w:val="20"/>
                <w:szCs w:val="20"/>
              </w:rPr>
            </w:pP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财务监控有效性</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2.00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50.00%</w:t>
            </w:r>
          </w:p>
        </w:tc>
      </w:tr>
      <w:tr>
        <w:tblPrEx>
          <w:tblCellMar>
            <w:top w:w="0" w:type="dxa"/>
            <w:left w:w="108" w:type="dxa"/>
            <w:bottom w:w="0" w:type="dxa"/>
            <w:right w:w="108" w:type="dxa"/>
          </w:tblCellMar>
        </w:tblPrEx>
        <w:trPr>
          <w:trHeight w:val="790" w:hRule="atLeast"/>
        </w:trPr>
        <w:tc>
          <w:tcPr>
            <w:tcW w:w="563"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000000"/>
                <w:kern w:val="0"/>
                <w:sz w:val="20"/>
                <w:szCs w:val="20"/>
              </w:rPr>
            </w:pPr>
          </w:p>
        </w:tc>
        <w:tc>
          <w:tcPr>
            <w:tcW w:w="831"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行政成本</w:t>
            </w: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w:t>
            </w:r>
            <w:r>
              <w:rPr>
                <w:rFonts w:ascii="Times New Roman" w:hAnsi="Times New Roman" w:eastAsia="宋体" w:cs="Times New Roman"/>
                <w:color w:val="000000"/>
                <w:kern w:val="0"/>
                <w:sz w:val="20"/>
                <w:szCs w:val="20"/>
              </w:rPr>
              <w:t>三公</w:t>
            </w:r>
            <w:r>
              <w:rPr>
                <w:rFonts w:ascii="Times New Roman" w:hAnsi="Times New Roman" w:eastAsia="等线" w:cs="Times New Roman"/>
                <w:color w:val="000000"/>
                <w:kern w:val="0"/>
                <w:sz w:val="20"/>
                <w:szCs w:val="20"/>
              </w:rPr>
              <w:t>”</w:t>
            </w:r>
            <w:r>
              <w:rPr>
                <w:rFonts w:ascii="Times New Roman" w:hAnsi="Times New Roman" w:eastAsia="宋体" w:cs="Times New Roman"/>
                <w:color w:val="000000"/>
                <w:kern w:val="0"/>
                <w:sz w:val="20"/>
                <w:szCs w:val="20"/>
              </w:rPr>
              <w:t>部门整体资金控制</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CellMar>
            <w:top w:w="0" w:type="dxa"/>
            <w:left w:w="108" w:type="dxa"/>
            <w:bottom w:w="0" w:type="dxa"/>
            <w:right w:w="108" w:type="dxa"/>
          </w:tblCellMar>
        </w:tblPrEx>
        <w:trPr>
          <w:trHeight w:val="520" w:hRule="atLeast"/>
        </w:trPr>
        <w:tc>
          <w:tcPr>
            <w:tcW w:w="563"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000000"/>
                <w:kern w:val="0"/>
                <w:sz w:val="20"/>
                <w:szCs w:val="20"/>
              </w:rPr>
            </w:pPr>
          </w:p>
        </w:tc>
        <w:tc>
          <w:tcPr>
            <w:tcW w:w="831"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政府采购</w:t>
            </w: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采购规范性</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CellMar>
            <w:top w:w="0" w:type="dxa"/>
            <w:left w:w="108" w:type="dxa"/>
            <w:bottom w:w="0" w:type="dxa"/>
            <w:right w:w="108" w:type="dxa"/>
          </w:tblCellMar>
        </w:tblPrEx>
        <w:trPr>
          <w:trHeight w:val="520" w:hRule="atLeast"/>
        </w:trPr>
        <w:tc>
          <w:tcPr>
            <w:tcW w:w="563"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000000"/>
                <w:kern w:val="0"/>
                <w:sz w:val="20"/>
                <w:szCs w:val="20"/>
              </w:rPr>
            </w:pPr>
          </w:p>
        </w:tc>
        <w:tc>
          <w:tcPr>
            <w:tcW w:w="831"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资产管理</w:t>
            </w: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固定资产在用率</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2.00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2.00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CellMar>
            <w:top w:w="0" w:type="dxa"/>
            <w:left w:w="108" w:type="dxa"/>
            <w:bottom w:w="0" w:type="dxa"/>
            <w:right w:w="108" w:type="dxa"/>
          </w:tblCellMar>
        </w:tblPrEx>
        <w:trPr>
          <w:trHeight w:val="280" w:hRule="atLeast"/>
        </w:trPr>
        <w:tc>
          <w:tcPr>
            <w:tcW w:w="563" w:type="pct"/>
            <w:vMerge w:val="continue"/>
            <w:tcBorders>
              <w:top w:val="nil"/>
              <w:left w:val="single" w:color="auto" w:sz="4" w:space="0"/>
              <w:bottom w:val="single" w:color="auto" w:sz="4" w:space="0"/>
              <w:right w:val="single" w:color="auto" w:sz="4" w:space="0"/>
            </w:tcBorders>
            <w:vAlign w:val="center"/>
          </w:tcPr>
          <w:p>
            <w:pPr>
              <w:widowControl/>
              <w:spacing w:line="320" w:lineRule="exact"/>
              <w:ind w:left="0" w:leftChars="0"/>
              <w:jc w:val="left"/>
              <w:rPr>
                <w:rFonts w:ascii="Times New Roman" w:hAnsi="Times New Roman" w:eastAsia="宋体" w:cs="Times New Roman"/>
                <w:b/>
                <w:bCs/>
                <w:color w:val="000000"/>
                <w:kern w:val="0"/>
                <w:sz w:val="20"/>
                <w:szCs w:val="20"/>
              </w:rPr>
            </w:pPr>
          </w:p>
        </w:tc>
        <w:tc>
          <w:tcPr>
            <w:tcW w:w="831"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信息公开</w:t>
            </w:r>
          </w:p>
        </w:tc>
        <w:tc>
          <w:tcPr>
            <w:tcW w:w="1077"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信息公开</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2.00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2.00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100.00%</w:t>
            </w:r>
          </w:p>
        </w:tc>
      </w:tr>
      <w:tr>
        <w:tblPrEx>
          <w:tblCellMar>
            <w:top w:w="0" w:type="dxa"/>
            <w:left w:w="108" w:type="dxa"/>
            <w:bottom w:w="0" w:type="dxa"/>
            <w:right w:w="108" w:type="dxa"/>
          </w:tblCellMar>
        </w:tblPrEx>
        <w:trPr>
          <w:trHeight w:val="280" w:hRule="atLeast"/>
        </w:trPr>
        <w:tc>
          <w:tcPr>
            <w:tcW w:w="247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合计</w:t>
            </w:r>
          </w:p>
        </w:tc>
        <w:tc>
          <w:tcPr>
            <w:tcW w:w="838" w:type="pct"/>
            <w:tcBorders>
              <w:top w:val="nil"/>
              <w:left w:val="nil"/>
              <w:bottom w:val="single" w:color="auto" w:sz="4" w:space="0"/>
              <w:right w:val="single" w:color="auto" w:sz="4" w:space="0"/>
            </w:tcBorders>
            <w:shd w:val="clear" w:color="000000" w:fill="FFFFFF"/>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10.00 </w:t>
            </w:r>
          </w:p>
        </w:tc>
        <w:tc>
          <w:tcPr>
            <w:tcW w:w="830" w:type="pct"/>
            <w:tcBorders>
              <w:top w:val="nil"/>
              <w:left w:val="nil"/>
              <w:bottom w:val="single" w:color="auto" w:sz="4" w:space="0"/>
              <w:right w:val="single" w:color="auto" w:sz="4" w:space="0"/>
            </w:tcBorders>
            <w:shd w:val="clear" w:color="auto" w:fill="auto"/>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xml:space="preserve">8.50 </w:t>
            </w:r>
          </w:p>
        </w:tc>
        <w:tc>
          <w:tcPr>
            <w:tcW w:w="861" w:type="pct"/>
            <w:tcBorders>
              <w:top w:val="nil"/>
              <w:left w:val="nil"/>
              <w:bottom w:val="single" w:color="auto" w:sz="4" w:space="0"/>
              <w:right w:val="single" w:color="auto" w:sz="4" w:space="0"/>
            </w:tcBorders>
            <w:shd w:val="clear" w:color="auto" w:fill="auto"/>
            <w:noWrap/>
            <w:vAlign w:val="center"/>
          </w:tcPr>
          <w:p>
            <w:pPr>
              <w:widowControl/>
              <w:spacing w:line="320" w:lineRule="exact"/>
              <w:ind w:left="0" w:leftChars="0"/>
              <w:jc w:val="center"/>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85.00%</w:t>
            </w:r>
          </w:p>
        </w:tc>
      </w:tr>
    </w:tbl>
    <w:p>
      <w:pPr>
        <w:spacing w:line="560" w:lineRule="exact"/>
        <w:ind w:left="640"/>
        <w:rPr>
          <w:rFonts w:ascii="Times New Roman" w:hAnsi="Times New Roman" w:cs="Times New Roman"/>
        </w:rPr>
      </w:pPr>
    </w:p>
    <w:p>
      <w:pPr>
        <w:pStyle w:val="4"/>
        <w:spacing w:before="0" w:beforeLines="0" w:after="0" w:afterLines="0"/>
        <w:ind w:firstLine="0" w:firstLineChars="0"/>
        <w:rPr>
          <w:rFonts w:cs="Times New Roman"/>
        </w:rPr>
      </w:pPr>
      <w:bookmarkStart w:id="21" w:name="_Toc77922540"/>
      <w:r>
        <w:rPr>
          <w:rFonts w:cs="Times New Roman"/>
        </w:rPr>
        <w:t>（一）基础管理</w:t>
      </w:r>
      <w:bookmarkEnd w:id="21"/>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基础管理下设管理制度健全性、资金使用合规性、财务监控有效性3个三级指标。</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1.管理制度健全性</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管理制度健全性权重1.00分，实际得分1.00分，得分率100.00%。农科园内部各类事务均有相关的文件制度依据，内部管理制度主要依据《农科园管理委员会机关管理制度》执行，故未扣分。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2.资金使用合规性</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资金使用合规性权重1.00分，实际得分0.50分，得分率50.00%。调研发现，一是2020年第二季度公职人员差旅费发放标准，未注明出差地，出差原因以及出差时间等，仅有每个正式职工没人补贴1500元记录；二是发放劳务费时未代扣税款；三是发放工会职工生日费（1800元）无发放个人明细表，故扣0.50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3.财务监控有效性</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财务监控有效性权重2.00分，实际得分1.00分。农科园内部财务管理制度，仅有针对财务人员职能职责、报销管理、合同管理等相关规定，无财务监督考核制度，故扣1.00分。</w:t>
      </w:r>
    </w:p>
    <w:p>
      <w:pPr>
        <w:pStyle w:val="4"/>
        <w:spacing w:before="0" w:beforeLines="0" w:after="0" w:afterLines="0"/>
        <w:ind w:firstLine="0" w:firstLineChars="0"/>
        <w:rPr>
          <w:rFonts w:cs="Times New Roman"/>
        </w:rPr>
      </w:pPr>
      <w:bookmarkStart w:id="22" w:name="_Toc77922541"/>
      <w:r>
        <w:rPr>
          <w:rFonts w:cs="Times New Roman"/>
        </w:rPr>
        <w:t>（二）“三公”经费控制</w:t>
      </w:r>
      <w:bookmarkEnd w:id="22"/>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rPr>
        <w:t>行政成本下设“三公”经费控制单个指标，</w:t>
      </w:r>
      <w:r>
        <w:rPr>
          <w:rFonts w:ascii="Times New Roman" w:hAnsi="Times New Roman" w:cs="Times New Roman"/>
          <w:szCs w:val="32"/>
        </w:rPr>
        <w:t>权重1.00分，实际得分1.00分，得分率100.00%。</w:t>
      </w:r>
      <w:r>
        <w:rPr>
          <w:rFonts w:ascii="Times New Roman" w:hAnsi="Times New Roman" w:cs="Times New Roman"/>
        </w:rPr>
        <w:t>农科园2020年“三公”部门整体资金2167.00元，主要用途为公务接待费。农科园“三公”部门整体资金控制在预算范围内。</w:t>
      </w:r>
      <w:r>
        <w:rPr>
          <w:rFonts w:ascii="Times New Roman" w:hAnsi="Times New Roman" w:cs="Times New Roman"/>
          <w:szCs w:val="32"/>
        </w:rPr>
        <w:t>2020年农科园无因公出国（境）费用；公务接待费0.22万元，无超支之处，故未扣分。</w:t>
      </w:r>
    </w:p>
    <w:p>
      <w:pPr>
        <w:pStyle w:val="4"/>
        <w:spacing w:before="0" w:beforeLines="0" w:after="0" w:afterLines="0"/>
        <w:ind w:firstLine="643"/>
        <w:rPr>
          <w:rFonts w:cs="Times New Roman"/>
        </w:rPr>
      </w:pPr>
      <w:bookmarkStart w:id="23" w:name="_Toc77922542"/>
      <w:r>
        <w:rPr>
          <w:rFonts w:cs="Times New Roman"/>
        </w:rPr>
        <w:t>（三）政府采购</w:t>
      </w:r>
      <w:bookmarkEnd w:id="23"/>
    </w:p>
    <w:p>
      <w:pPr>
        <w:spacing w:line="560" w:lineRule="exact"/>
        <w:ind w:left="0" w:leftChars="0" w:firstLine="640" w:firstLineChars="200"/>
        <w:rPr>
          <w:rFonts w:ascii="Times New Roman" w:hAnsi="Times New Roman" w:cs="Times New Roman"/>
          <w:szCs w:val="32"/>
        </w:rPr>
      </w:pPr>
      <w:r>
        <w:rPr>
          <w:rFonts w:ascii="Times New Roman" w:hAnsi="Times New Roman" w:cs="Times New Roman"/>
        </w:rPr>
        <w:t>政府采购下设采购规范性单个指标，</w:t>
      </w:r>
      <w:r>
        <w:rPr>
          <w:rFonts w:ascii="Times New Roman" w:hAnsi="Times New Roman" w:cs="Times New Roman"/>
          <w:szCs w:val="32"/>
        </w:rPr>
        <w:t>权重1.00分，实际得分1.00分。</w:t>
      </w:r>
      <w:r>
        <w:rPr>
          <w:rFonts w:ascii="Times New Roman" w:hAnsi="Times New Roman" w:cs="Times New Roman"/>
        </w:rPr>
        <w:t>2020年农科园政府采购资金共计1725.97万，主要用途为办公设备购置、基础设施建设和无形资产购置方面。农科园对于政府采购资金使用建立相关规定，对于采购业务的记录进行控制。</w:t>
      </w:r>
      <w:r>
        <w:rPr>
          <w:rFonts w:ascii="Times New Roman" w:hAnsi="Times New Roman" w:cs="Times New Roman"/>
          <w:szCs w:val="32"/>
        </w:rPr>
        <w:t>该孵化中心建设与园区内装修采购等大额项目资金支出时审核资料等均由财政局负责，农科园负责实施和执行，故不扣分。</w:t>
      </w:r>
    </w:p>
    <w:p>
      <w:pPr>
        <w:spacing w:line="560" w:lineRule="exact"/>
        <w:ind w:left="0" w:leftChars="0"/>
        <w:jc w:val="center"/>
        <w:rPr>
          <w:rFonts w:ascii="Times New Roman" w:hAnsi="Times New Roman" w:cs="Times New Roman"/>
          <w:szCs w:val="32"/>
        </w:rPr>
      </w:pPr>
      <w:r>
        <w:rPr>
          <w:rFonts w:ascii="Times New Roman" w:hAnsi="Times New Roman" w:eastAsia="幼圆" w:cs="Times New Roman"/>
          <w:b/>
          <w:sz w:val="28"/>
          <w:szCs w:val="28"/>
        </w:rPr>
        <w:t>附表 农科园2020年政府采购情况</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4"/>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blHeader/>
          <w:jc w:val="center"/>
        </w:trPr>
        <w:tc>
          <w:tcPr>
            <w:tcW w:w="3687" w:type="pct"/>
            <w:shd w:val="clear" w:color="000000" w:fill="00516B"/>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采购支出类别</w:t>
            </w:r>
          </w:p>
        </w:tc>
        <w:tc>
          <w:tcPr>
            <w:tcW w:w="1313" w:type="pct"/>
            <w:shd w:val="clear" w:color="000000" w:fill="00516B"/>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 w:hRule="atLeast"/>
          <w:jc w:val="center"/>
        </w:trPr>
        <w:tc>
          <w:tcPr>
            <w:tcW w:w="3687" w:type="pct"/>
            <w:shd w:val="clear" w:color="000000" w:fill="FFFFFF"/>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付电梯预付款</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购台式计算机等采购</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办公家具采购</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采购空调等</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采购相机、电脑等</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640"/>
              <w:jc w:val="center"/>
              <w:rPr>
                <w:rFonts w:ascii="Times New Roman" w:hAnsi="Times New Roman" w:eastAsia="宋体" w:cs="Times New Roman"/>
                <w:sz w:val="20"/>
                <w:szCs w:val="20"/>
              </w:rPr>
            </w:pPr>
            <w:r>
              <w:rPr>
                <w:rFonts w:ascii="Times New Roman" w:hAnsi="Times New Roman" w:eastAsia="宋体" w:cs="Times New Roman"/>
                <w:sz w:val="20"/>
                <w:szCs w:val="20"/>
              </w:rPr>
              <w:t>退项目剩余部门整体资金至代管金</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838.00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 w:hRule="atLeast"/>
          <w:jc w:val="center"/>
        </w:trPr>
        <w:tc>
          <w:tcPr>
            <w:tcW w:w="3687" w:type="pct"/>
            <w:shd w:val="clear" w:color="000000" w:fill="FFFFFF"/>
            <w:vAlign w:val="center"/>
          </w:tcPr>
          <w:p>
            <w:pPr>
              <w:spacing w:line="320" w:lineRule="exact"/>
              <w:ind w:left="640"/>
              <w:jc w:val="center"/>
              <w:rPr>
                <w:rFonts w:ascii="Times New Roman" w:hAnsi="Times New Roman" w:eastAsia="宋体" w:cs="Times New Roman"/>
                <w:sz w:val="20"/>
                <w:szCs w:val="20"/>
              </w:rPr>
            </w:pPr>
            <w:r>
              <w:rPr>
                <w:rFonts w:ascii="Times New Roman" w:hAnsi="Times New Roman" w:eastAsia="宋体" w:cs="Times New Roman"/>
                <w:sz w:val="20"/>
                <w:szCs w:val="20"/>
              </w:rPr>
              <w:t>付朗润天成公司工程款</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 w:hRule="atLeast"/>
          <w:jc w:val="center"/>
        </w:trPr>
        <w:tc>
          <w:tcPr>
            <w:tcW w:w="3687" w:type="pct"/>
            <w:shd w:val="clear" w:color="000000" w:fill="FFFFFF"/>
            <w:vAlign w:val="center"/>
          </w:tcPr>
          <w:p>
            <w:pPr>
              <w:spacing w:line="320" w:lineRule="exact"/>
              <w:ind w:left="640"/>
              <w:jc w:val="center"/>
              <w:rPr>
                <w:rFonts w:ascii="Times New Roman" w:hAnsi="Times New Roman" w:eastAsia="宋体" w:cs="Times New Roman"/>
                <w:sz w:val="20"/>
                <w:szCs w:val="20"/>
              </w:rPr>
            </w:pPr>
            <w:r>
              <w:rPr>
                <w:rFonts w:ascii="Times New Roman" w:hAnsi="Times New Roman" w:eastAsia="宋体" w:cs="Times New Roman"/>
                <w:sz w:val="20"/>
                <w:szCs w:val="20"/>
              </w:rPr>
              <w:t>付铭智勘察设计公司设计费</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64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付土地竞买费</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645.16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 w:hRule="atLeast"/>
          <w:jc w:val="center"/>
        </w:trPr>
        <w:tc>
          <w:tcPr>
            <w:tcW w:w="3687" w:type="pct"/>
            <w:shd w:val="clear" w:color="000000" w:fill="FFFFFF"/>
            <w:vAlign w:val="center"/>
          </w:tcPr>
          <w:p>
            <w:pPr>
              <w:spacing w:line="320" w:lineRule="exact"/>
              <w:ind w:left="64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付创新创业孵化中心项目用地竞买保证金</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162.00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jc w:val="center"/>
        </w:trPr>
        <w:tc>
          <w:tcPr>
            <w:tcW w:w="3687" w:type="pct"/>
            <w:shd w:val="clear" w:color="000000" w:fill="FFFFFF"/>
            <w:vAlign w:val="center"/>
          </w:tcPr>
          <w:p>
            <w:pPr>
              <w:spacing w:line="320" w:lineRule="exact"/>
              <w:ind w:left="640"/>
              <w:jc w:val="center"/>
              <w:rPr>
                <w:rFonts w:ascii="Times New Roman" w:hAnsi="Times New Roman" w:eastAsia="宋体" w:cs="Times New Roman"/>
                <w:sz w:val="20"/>
                <w:szCs w:val="20"/>
              </w:rPr>
            </w:pPr>
            <w:r>
              <w:rPr>
                <w:rFonts w:ascii="Times New Roman" w:hAnsi="Times New Roman" w:eastAsia="宋体" w:cs="Times New Roman"/>
                <w:sz w:val="20"/>
                <w:szCs w:val="20"/>
              </w:rPr>
              <w:t>合计</w:t>
            </w:r>
          </w:p>
        </w:tc>
        <w:tc>
          <w:tcPr>
            <w:tcW w:w="1313" w:type="pct"/>
            <w:shd w:val="clear" w:color="auto" w:fill="auto"/>
            <w:noWrap/>
            <w:vAlign w:val="center"/>
          </w:tcPr>
          <w:p>
            <w:pPr>
              <w:widowControl/>
              <w:spacing w:line="320" w:lineRule="exact"/>
              <w:ind w:left="0" w:leftChars="0" w:firstLine="40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1725.97</w:t>
            </w:r>
          </w:p>
        </w:tc>
      </w:tr>
    </w:tbl>
    <w:p>
      <w:pPr>
        <w:spacing w:line="560" w:lineRule="exact"/>
        <w:ind w:left="0" w:leftChars="0"/>
        <w:rPr>
          <w:rFonts w:ascii="Times New Roman" w:hAnsi="Times New Roman" w:cs="Times New Roman"/>
        </w:rPr>
      </w:pPr>
    </w:p>
    <w:p>
      <w:pPr>
        <w:pStyle w:val="4"/>
        <w:spacing w:before="0" w:beforeLines="0" w:after="0" w:afterLines="0"/>
        <w:ind w:firstLine="643"/>
        <w:rPr>
          <w:rFonts w:cs="Times New Roman"/>
        </w:rPr>
      </w:pPr>
      <w:bookmarkStart w:id="24" w:name="_Toc77922543"/>
      <w:r>
        <w:rPr>
          <w:rFonts w:cs="Times New Roman"/>
        </w:rPr>
        <w:t>（四）资产管理</w:t>
      </w:r>
      <w:bookmarkEnd w:id="24"/>
    </w:p>
    <w:p>
      <w:pPr>
        <w:spacing w:line="560" w:lineRule="exact"/>
        <w:ind w:left="0" w:leftChars="0" w:firstLine="640" w:firstLineChars="200"/>
        <w:rPr>
          <w:rFonts w:ascii="Times New Roman" w:hAnsi="Times New Roman" w:cs="Times New Roman"/>
        </w:rPr>
      </w:pPr>
      <w:r>
        <w:rPr>
          <w:rFonts w:ascii="Times New Roman" w:hAnsi="Times New Roman" w:cs="Times New Roman"/>
        </w:rPr>
        <w:t>资产管理设置资产在用率单个指标，</w:t>
      </w:r>
      <w:r>
        <w:rPr>
          <w:rFonts w:ascii="Times New Roman" w:hAnsi="Times New Roman" w:cs="Times New Roman"/>
          <w:szCs w:val="32"/>
        </w:rPr>
        <w:t>权重2.00分，实际得分2.00分，得分率100.00%。</w:t>
      </w:r>
      <w:r>
        <w:rPr>
          <w:rFonts w:ascii="Times New Roman" w:hAnsi="Times New Roman" w:cs="Times New Roman"/>
        </w:rPr>
        <w:t>农科园固定资产总值为861.43万元，主要包括政府所属土地、台式计算机、笔记本电脑、激光打印机、碎纸机、多功能一体机、办公桌、沙发等。</w:t>
      </w:r>
      <w:r>
        <w:rPr>
          <w:rFonts w:ascii="Times New Roman" w:hAnsi="Times New Roman" w:cs="Times New Roman"/>
          <w:szCs w:val="32"/>
        </w:rPr>
        <w:t>因农科为新成立单位，固定资产为新购置，暂无固定资产折旧情况，故未扣分。</w:t>
      </w:r>
    </w:p>
    <w:p>
      <w:pPr>
        <w:pStyle w:val="4"/>
        <w:spacing w:before="0" w:beforeLines="0" w:after="0" w:afterLines="0"/>
        <w:ind w:firstLine="643"/>
        <w:rPr>
          <w:rFonts w:cs="Times New Roman"/>
        </w:rPr>
      </w:pPr>
      <w:bookmarkStart w:id="25" w:name="_Toc77922544"/>
      <w:r>
        <w:rPr>
          <w:rFonts w:cs="Times New Roman"/>
        </w:rPr>
        <w:t>（五）信息公开</w:t>
      </w:r>
      <w:bookmarkEnd w:id="25"/>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rPr>
        <w:t>信息公开设置信息公开单个指标，</w:t>
      </w:r>
      <w:r>
        <w:rPr>
          <w:rFonts w:ascii="Times New Roman" w:hAnsi="Times New Roman" w:cs="Times New Roman"/>
          <w:szCs w:val="32"/>
        </w:rPr>
        <w:t>权重2.00分，实际得分2.00分，得分率100.00%。2020年农科园预算及绩效信息在绵竹市政府网公开，故未扣分。</w:t>
      </w:r>
    </w:p>
    <w:p>
      <w:pPr>
        <w:pStyle w:val="2"/>
        <w:spacing w:before="0" w:beforeLines="0" w:after="0" w:afterLines="0"/>
        <w:ind w:firstLine="0" w:firstLineChars="0"/>
        <w:rPr>
          <w:rFonts w:ascii="Times New Roman" w:hAnsi="Times New Roman" w:cs="Times New Roman"/>
        </w:rPr>
      </w:pPr>
      <w:bookmarkStart w:id="26" w:name="_Toc77922545"/>
      <w:r>
        <w:rPr>
          <w:rFonts w:ascii="Times New Roman" w:hAnsi="Times New Roman" w:cs="Times New Roman"/>
        </w:rPr>
        <w:t>四、履职效能</w:t>
      </w:r>
      <w:bookmarkEnd w:id="26"/>
    </w:p>
    <w:p>
      <w:pPr>
        <w:pStyle w:val="4"/>
        <w:spacing w:before="0" w:beforeLines="0" w:after="0" w:afterLines="0"/>
        <w:ind w:firstLine="643"/>
        <w:rPr>
          <w:rFonts w:cs="Times New Roman"/>
        </w:rPr>
      </w:pPr>
      <w:bookmarkStart w:id="27" w:name="_Toc77922546"/>
      <w:bookmarkStart w:id="28" w:name="_Toc77503486"/>
      <w:bookmarkStart w:id="29" w:name="_Toc73927495"/>
      <w:r>
        <w:rPr>
          <w:rFonts w:cs="Times New Roman"/>
        </w:rPr>
        <w:t>（一）部门履职的年度总体目标</w:t>
      </w:r>
      <w:bookmarkEnd w:id="27"/>
      <w:bookmarkEnd w:id="28"/>
      <w:bookmarkEnd w:id="29"/>
    </w:p>
    <w:p>
      <w:pPr>
        <w:spacing w:line="560" w:lineRule="exact"/>
        <w:ind w:left="0" w:leftChars="0" w:firstLine="640" w:firstLineChars="200"/>
        <w:rPr>
          <w:rFonts w:ascii="Times New Roman" w:hAnsi="Times New Roman" w:cs="Times New Roman"/>
        </w:rPr>
      </w:pPr>
      <w:r>
        <w:rPr>
          <w:rFonts w:ascii="Times New Roman" w:hAnsi="Times New Roman" w:cs="Times New Roman"/>
        </w:rPr>
        <w:t>2020年，在市委、市政府的坚强领导下，园区建设本着“新模式促融合、新科技提质量、新成果增效益、新主体振乡村”发展理念，打造“中国西南地区高端经济作物产业创新融合发展示范样板”为目标，促进特色产业全产业链创新发展和三产融合发展等各项工作有序推进，推动绵竹市农业产业由传统农业向现代化农业的转变。</w:t>
      </w:r>
    </w:p>
    <w:p>
      <w:pPr>
        <w:pStyle w:val="4"/>
        <w:spacing w:before="0" w:beforeLines="0" w:after="0" w:afterLines="0"/>
        <w:ind w:firstLine="643"/>
        <w:rPr>
          <w:rFonts w:eastAsia="仿宋_GB2312" w:cs="Times New Roman"/>
          <w:b w:val="0"/>
          <w:bCs w:val="0"/>
          <w:szCs w:val="22"/>
        </w:rPr>
      </w:pPr>
      <w:bookmarkStart w:id="30" w:name="_Toc77503487"/>
      <w:bookmarkStart w:id="31" w:name="_Toc77922547"/>
      <w:bookmarkStart w:id="32" w:name="_Toc73927496"/>
      <w:r>
        <w:rPr>
          <w:rFonts w:cs="Times New Roman"/>
        </w:rPr>
        <w:t>（二）重点工作任务绩效目标完成情况</w:t>
      </w:r>
      <w:bookmarkEnd w:id="30"/>
      <w:bookmarkEnd w:id="31"/>
      <w:bookmarkEnd w:id="32"/>
    </w:p>
    <w:p>
      <w:pPr>
        <w:spacing w:line="560" w:lineRule="exact"/>
        <w:ind w:left="0" w:leftChars="0" w:firstLine="640" w:firstLineChars="200"/>
        <w:rPr>
          <w:rFonts w:ascii="Times New Roman" w:hAnsi="Times New Roman" w:cs="Times New Roman"/>
        </w:rPr>
      </w:pPr>
      <w:r>
        <w:rPr>
          <w:rFonts w:ascii="Times New Roman" w:hAnsi="Times New Roman" w:cs="Times New Roman"/>
        </w:rPr>
        <w:t>2020年度农科园重点工作任务为：一是构建农科园硬件设施建设，园区装新与孵化园建设；二是构建内部组织管理架构，完善企业入驻条件和园区管理规定，以上工作重点基本完成。</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在履职效能指标上，设置了任务完成率、孵化园建设进度、科技园区科技农业宣传力度、企业入驻宣传力度、硬件设施完成度、内部人员安排完成度、农业园区合作数、科技人才引进数、农业科技项目申报数、入驻企业满意度10个三级指标。</w:t>
      </w:r>
    </w:p>
    <w:p>
      <w:pPr>
        <w:widowControl/>
        <w:spacing w:line="560" w:lineRule="exact"/>
        <w:ind w:left="0" w:leftChars="0" w:firstLine="562"/>
        <w:jc w:val="center"/>
        <w:rPr>
          <w:rFonts w:ascii="Times New Roman" w:hAnsi="Times New Roman" w:eastAsia="幼圆" w:cs="Times New Roman"/>
          <w:b/>
          <w:sz w:val="28"/>
          <w:szCs w:val="28"/>
        </w:rPr>
      </w:pPr>
      <w:r>
        <w:rPr>
          <w:rFonts w:ascii="Times New Roman" w:hAnsi="Times New Roman" w:eastAsia="幼圆" w:cs="Times New Roman"/>
          <w:b/>
          <w:sz w:val="28"/>
          <w:szCs w:val="28"/>
        </w:rPr>
        <w:t>附表 履职效能指标得分情况</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624"/>
        <w:gridCol w:w="2628"/>
        <w:gridCol w:w="992"/>
        <w:gridCol w:w="992"/>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blHeader/>
        </w:trPr>
        <w:tc>
          <w:tcPr>
            <w:tcW w:w="646" w:type="pct"/>
            <w:vMerge w:val="restar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一级指标</w:t>
            </w:r>
          </w:p>
        </w:tc>
        <w:tc>
          <w:tcPr>
            <w:tcW w:w="953" w:type="pct"/>
            <w:vMerge w:val="restar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二级指标</w:t>
            </w:r>
          </w:p>
        </w:tc>
        <w:tc>
          <w:tcPr>
            <w:tcW w:w="1542" w:type="pct"/>
            <w:vMerge w:val="restart"/>
            <w:shd w:val="clear" w:color="000000" w:fill="00516B"/>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三级指标</w:t>
            </w:r>
          </w:p>
        </w:tc>
        <w:tc>
          <w:tcPr>
            <w:tcW w:w="582" w:type="pct"/>
            <w:vMerge w:val="restar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权重</w:t>
            </w:r>
          </w:p>
        </w:tc>
        <w:tc>
          <w:tcPr>
            <w:tcW w:w="582" w:type="pct"/>
            <w:vMerge w:val="restart"/>
            <w:shd w:val="clear" w:color="000000" w:fill="00516B"/>
            <w:vAlign w:val="center"/>
          </w:tcPr>
          <w:p>
            <w:pPr>
              <w:widowControl/>
              <w:spacing w:line="32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w:t>
            </w:r>
          </w:p>
        </w:tc>
        <w:tc>
          <w:tcPr>
            <w:tcW w:w="695" w:type="pct"/>
            <w:vMerge w:val="restart"/>
            <w:shd w:val="clear" w:color="000000" w:fill="00516B"/>
            <w:vAlign w:val="center"/>
          </w:tcPr>
          <w:p>
            <w:pPr>
              <w:widowControl/>
              <w:spacing w:line="320" w:lineRule="exact"/>
              <w:ind w:left="0" w:leftChars="0"/>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46" w:type="pct"/>
            <w:vMerge w:val="continue"/>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p>
        </w:tc>
        <w:tc>
          <w:tcPr>
            <w:tcW w:w="953" w:type="pct"/>
            <w:vMerge w:val="continue"/>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p>
        </w:tc>
        <w:tc>
          <w:tcPr>
            <w:tcW w:w="1542" w:type="pct"/>
            <w:vMerge w:val="continue"/>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p>
        </w:tc>
        <w:tc>
          <w:tcPr>
            <w:tcW w:w="582" w:type="pct"/>
            <w:vMerge w:val="continue"/>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p>
        </w:tc>
        <w:tc>
          <w:tcPr>
            <w:tcW w:w="582" w:type="pct"/>
            <w:vMerge w:val="continue"/>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p>
        </w:tc>
        <w:tc>
          <w:tcPr>
            <w:tcW w:w="695" w:type="pct"/>
            <w:vMerge w:val="continue"/>
            <w:vAlign w:val="center"/>
          </w:tcPr>
          <w:p>
            <w:pPr>
              <w:widowControl/>
              <w:spacing w:line="320" w:lineRule="exact"/>
              <w:ind w:left="0" w:leftChars="0" w:firstLine="402"/>
              <w:jc w:val="center"/>
              <w:rPr>
                <w:rFonts w:ascii="Times New Roman" w:hAnsi="Times New Roman" w:eastAsia="宋体" w:cs="Times New Roman"/>
                <w:b/>
                <w:bCs/>
                <w:color w:val="FFFFFF"/>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restart"/>
            <w:shd w:val="clear" w:color="auto" w:fill="auto"/>
            <w:vAlign w:val="center"/>
          </w:tcPr>
          <w:p>
            <w:pPr>
              <w:widowControl/>
              <w:spacing w:line="320" w:lineRule="exact"/>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履职效能</w:t>
            </w:r>
          </w:p>
        </w:tc>
        <w:tc>
          <w:tcPr>
            <w:tcW w:w="953" w:type="pct"/>
            <w:vMerge w:val="restar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重点任务完成度</w:t>
            </w: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任务完成率</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vAlign w:val="center"/>
          </w:tcPr>
          <w:p>
            <w:pPr>
              <w:widowControl/>
              <w:spacing w:line="320" w:lineRule="exact"/>
              <w:ind w:left="0" w:leftChars="0" w:firstLine="400"/>
              <w:jc w:val="center"/>
              <w:rPr>
                <w:rFonts w:ascii="Times New Roman" w:hAnsi="Times New Roman" w:eastAsia="宋体" w:cs="Times New Roman"/>
                <w:color w:val="000000"/>
                <w:kern w:val="0"/>
                <w:sz w:val="20"/>
                <w:szCs w:val="20"/>
              </w:rPr>
            </w:pP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孵化园建设进度</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restar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园区对外宣传</w:t>
            </w: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科技园区科技农业宣传力度</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auto" w:fill="auto"/>
            <w:vAlign w:val="center"/>
          </w:tcPr>
          <w:p>
            <w:pPr>
              <w:widowControl/>
              <w:spacing w:line="320" w:lineRule="exact"/>
              <w:ind w:left="0" w:leftChars="0" w:firstLine="400"/>
              <w:jc w:val="center"/>
              <w:rPr>
                <w:rFonts w:ascii="Times New Roman" w:hAnsi="Times New Roman" w:eastAsia="宋体" w:cs="Times New Roman"/>
                <w:color w:val="000000"/>
                <w:kern w:val="0"/>
                <w:sz w:val="20"/>
                <w:szCs w:val="20"/>
              </w:rPr>
            </w:pP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企业入驻宣传力度</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restar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园区建设完成度</w:t>
            </w:r>
          </w:p>
        </w:tc>
        <w:tc>
          <w:tcPr>
            <w:tcW w:w="1542" w:type="pct"/>
            <w:shd w:val="clear" w:color="auto" w:fill="auto"/>
            <w:vAlign w:val="center"/>
          </w:tcPr>
          <w:p>
            <w:pPr>
              <w:spacing w:line="320" w:lineRule="exact"/>
              <w:ind w:left="0" w:leftChars="0" w:firstLine="400"/>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硬件设施完成度</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auto" w:fill="auto"/>
            <w:vAlign w:val="center"/>
          </w:tcPr>
          <w:p>
            <w:pPr>
              <w:widowControl/>
              <w:spacing w:line="320" w:lineRule="exact"/>
              <w:ind w:left="0" w:leftChars="0" w:firstLine="400"/>
              <w:jc w:val="center"/>
              <w:rPr>
                <w:rFonts w:ascii="Times New Roman" w:hAnsi="Times New Roman" w:eastAsia="宋体" w:cs="Times New Roman"/>
                <w:color w:val="000000"/>
                <w:kern w:val="0"/>
                <w:sz w:val="20"/>
                <w:szCs w:val="20"/>
              </w:rPr>
            </w:pP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内部人员安排完成度</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6.00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2.50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41.67%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0"/>
              <w:jc w:val="center"/>
              <w:rPr>
                <w:rFonts w:ascii="Times New Roman" w:hAnsi="Times New Roman" w:eastAsia="宋体" w:cs="Times New Roman"/>
                <w:bCs/>
                <w:color w:val="000000"/>
                <w:kern w:val="0"/>
                <w:sz w:val="20"/>
                <w:szCs w:val="20"/>
              </w:rPr>
            </w:pPr>
          </w:p>
        </w:tc>
        <w:tc>
          <w:tcPr>
            <w:tcW w:w="953" w:type="pct"/>
            <w:vMerge w:val="restar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对外引进力度</w:t>
            </w: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农业园区合作数</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0"/>
              <w:jc w:val="center"/>
              <w:rPr>
                <w:rFonts w:ascii="Times New Roman" w:hAnsi="Times New Roman" w:eastAsia="宋体" w:cs="Times New Roman"/>
                <w:bCs/>
                <w:color w:val="000000"/>
                <w:kern w:val="0"/>
                <w:sz w:val="20"/>
                <w:szCs w:val="20"/>
              </w:rPr>
            </w:pPr>
          </w:p>
        </w:tc>
        <w:tc>
          <w:tcPr>
            <w:tcW w:w="953" w:type="pct"/>
            <w:vMerge w:val="continue"/>
            <w:shd w:val="clear" w:color="auto" w:fill="auto"/>
            <w:vAlign w:val="center"/>
          </w:tcPr>
          <w:p>
            <w:pPr>
              <w:spacing w:line="320" w:lineRule="exact"/>
              <w:ind w:left="0" w:leftChars="0" w:firstLine="400"/>
              <w:jc w:val="center"/>
              <w:rPr>
                <w:rFonts w:ascii="Times New Roman" w:hAnsi="Times New Roman" w:eastAsia="宋体" w:cs="Times New Roman"/>
                <w:color w:val="000000"/>
                <w:sz w:val="20"/>
                <w:szCs w:val="20"/>
              </w:rPr>
            </w:pP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科技人才引进数</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0"/>
              <w:jc w:val="center"/>
              <w:rPr>
                <w:rFonts w:ascii="Times New Roman" w:hAnsi="Times New Roman" w:eastAsia="宋体" w:cs="Times New Roman"/>
                <w:bCs/>
                <w:color w:val="000000"/>
                <w:kern w:val="0"/>
                <w:sz w:val="20"/>
                <w:szCs w:val="20"/>
              </w:rPr>
            </w:pPr>
          </w:p>
        </w:tc>
        <w:tc>
          <w:tcPr>
            <w:tcW w:w="953" w:type="pct"/>
            <w:vMerge w:val="continue"/>
            <w:shd w:val="clear" w:color="auto" w:fill="auto"/>
            <w:vAlign w:val="center"/>
          </w:tcPr>
          <w:p>
            <w:pPr>
              <w:spacing w:line="320" w:lineRule="exact"/>
              <w:ind w:left="0" w:leftChars="0" w:firstLine="400"/>
              <w:jc w:val="center"/>
              <w:rPr>
                <w:rFonts w:ascii="Times New Roman" w:hAnsi="Times New Roman" w:eastAsia="宋体" w:cs="Times New Roman"/>
                <w:color w:val="000000"/>
                <w:sz w:val="20"/>
                <w:szCs w:val="20"/>
              </w:rPr>
            </w:pPr>
          </w:p>
        </w:tc>
        <w:tc>
          <w:tcPr>
            <w:tcW w:w="1542" w:type="pct"/>
            <w:shd w:val="clear" w:color="auto" w:fill="auto"/>
            <w:vAlign w:val="center"/>
          </w:tcPr>
          <w:p>
            <w:pPr>
              <w:spacing w:line="32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农业科技项目申报数</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6" w:type="pct"/>
            <w:vMerge w:val="continue"/>
            <w:vAlign w:val="center"/>
          </w:tcPr>
          <w:p>
            <w:pPr>
              <w:widowControl/>
              <w:spacing w:line="320" w:lineRule="exact"/>
              <w:ind w:left="0" w:leftChars="0" w:firstLine="400"/>
              <w:jc w:val="center"/>
              <w:rPr>
                <w:rFonts w:ascii="Times New Roman" w:hAnsi="Times New Roman" w:eastAsia="宋体" w:cs="Times New Roman"/>
                <w:bCs/>
                <w:color w:val="000000"/>
                <w:kern w:val="0"/>
                <w:sz w:val="20"/>
                <w:szCs w:val="20"/>
              </w:rPr>
            </w:pPr>
          </w:p>
        </w:tc>
        <w:tc>
          <w:tcPr>
            <w:tcW w:w="953" w:type="pct"/>
            <w:shd w:val="clear" w:color="auto" w:fill="auto"/>
            <w:vAlign w:val="center"/>
          </w:tcPr>
          <w:p>
            <w:pPr>
              <w:widowControl/>
              <w:spacing w:line="320" w:lineRule="exact"/>
              <w:ind w:left="0" w:leftChars="0"/>
              <w:jc w:val="center"/>
              <w:rPr>
                <w:rFonts w:ascii="Times New Roman" w:hAnsi="Times New Roman" w:eastAsia="宋体" w:cs="Times New Roman"/>
                <w:bCs/>
                <w:color w:val="000000"/>
                <w:kern w:val="0"/>
                <w:sz w:val="20"/>
                <w:szCs w:val="20"/>
              </w:rPr>
            </w:pPr>
            <w:r>
              <w:rPr>
                <w:rFonts w:ascii="Times New Roman" w:hAnsi="Times New Roman" w:eastAsia="宋体" w:cs="Times New Roman"/>
                <w:bCs/>
                <w:color w:val="000000"/>
                <w:kern w:val="0"/>
                <w:sz w:val="20"/>
                <w:szCs w:val="20"/>
              </w:rPr>
              <w:t>企业满意度</w:t>
            </w:r>
          </w:p>
        </w:tc>
        <w:tc>
          <w:tcPr>
            <w:tcW w:w="154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入驻企业满意度</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95" w:type="pct"/>
            <w:shd w:val="clear" w:color="auto" w:fill="auto"/>
            <w:noWrap/>
            <w:vAlign w:val="center"/>
          </w:tcPr>
          <w:p>
            <w:pPr>
              <w:widowControl/>
              <w:spacing w:line="320" w:lineRule="exact"/>
              <w:ind w:left="0" w:leftChars="0"/>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3141" w:type="pct"/>
            <w:gridSpan w:val="3"/>
            <w:shd w:val="clear" w:color="auto" w:fill="auto"/>
            <w:vAlign w:val="center"/>
          </w:tcPr>
          <w:p>
            <w:pPr>
              <w:widowControl/>
              <w:spacing w:line="320" w:lineRule="exact"/>
              <w:ind w:left="0" w:leftChars="0" w:firstLine="402"/>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总计</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70.00</w:t>
            </w:r>
          </w:p>
        </w:tc>
        <w:tc>
          <w:tcPr>
            <w:tcW w:w="582" w:type="pct"/>
            <w:shd w:val="clear" w:color="auto" w:fill="auto"/>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66.50</w:t>
            </w:r>
          </w:p>
        </w:tc>
        <w:tc>
          <w:tcPr>
            <w:tcW w:w="695" w:type="pct"/>
            <w:shd w:val="clear" w:color="auto" w:fill="auto"/>
            <w:noWrap/>
            <w:vAlign w:val="center"/>
          </w:tcPr>
          <w:p>
            <w:pPr>
              <w:widowControl/>
              <w:spacing w:line="32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95.00%</w:t>
            </w:r>
          </w:p>
        </w:tc>
      </w:tr>
    </w:tbl>
    <w:p>
      <w:pPr>
        <w:autoSpaceDE w:val="0"/>
        <w:autoSpaceDN w:val="0"/>
        <w:adjustRightInd w:val="0"/>
        <w:spacing w:line="560" w:lineRule="exact"/>
        <w:ind w:left="0" w:leftChars="0" w:firstLine="640" w:firstLineChars="200"/>
        <w:rPr>
          <w:rFonts w:ascii="Times New Roman" w:hAnsi="Times New Roman" w:cs="Times New Roman"/>
          <w:szCs w:val="32"/>
        </w:rPr>
      </w:pPr>
    </w:p>
    <w:p>
      <w:pPr>
        <w:pStyle w:val="5"/>
        <w:spacing w:before="0" w:beforeLines="0" w:after="0" w:afterLines="0"/>
        <w:ind w:left="1000" w:firstLine="0" w:firstLineChars="0"/>
        <w:rPr>
          <w:rFonts w:ascii="Times New Roman" w:hAnsi="Times New Roman" w:cs="Times New Roman"/>
        </w:rPr>
      </w:pPr>
      <w:bookmarkStart w:id="33" w:name="_Toc77922548"/>
      <w:r>
        <w:rPr>
          <w:rFonts w:ascii="Times New Roman" w:hAnsi="Times New Roman" w:cs="Times New Roman"/>
        </w:rPr>
        <w:t>1.重点任务完成度</w:t>
      </w:r>
      <w:bookmarkEnd w:id="33"/>
    </w:p>
    <w:p>
      <w:pPr>
        <w:spacing w:line="560" w:lineRule="exact"/>
        <w:ind w:left="0" w:leftChars="0" w:firstLine="640" w:firstLineChars="200"/>
        <w:rPr>
          <w:rFonts w:ascii="Times New Roman" w:hAnsi="Times New Roman" w:cs="Times New Roman"/>
        </w:rPr>
      </w:pPr>
      <w:r>
        <w:rPr>
          <w:rFonts w:ascii="Times New Roman" w:hAnsi="Times New Roman" w:cs="Times New Roman"/>
        </w:rPr>
        <w:t>在重点任务完成度上，下设</w:t>
      </w:r>
      <w:r>
        <w:rPr>
          <w:rFonts w:ascii="Times New Roman" w:hAnsi="Times New Roman" w:cs="Times New Roman"/>
          <w:szCs w:val="32"/>
        </w:rPr>
        <w:t>任务完成率、孵化园建设进度2个二级指标。</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（1）任务完成率</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任务完成率权重7.00分，实际得分7.00分，得分率100.00%。2020年度重点工作任务：园区建设，基本部门体系搭建、协助企业入驻园区、优化企业的引入和退出机制基本均已完成，故未扣分。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（2）孵化园建设进度</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孵化园建设进度权重7.00分，实际得分7.00分，得分率100.00%。孵化园中心预计动工时间为2020年12月，实际按照计划执行，故未扣分。</w:t>
      </w:r>
    </w:p>
    <w:p>
      <w:pPr>
        <w:pStyle w:val="5"/>
        <w:spacing w:before="0" w:beforeLines="0" w:after="0" w:afterLines="0"/>
        <w:ind w:firstLine="643"/>
        <w:rPr>
          <w:rFonts w:ascii="Times New Roman" w:hAnsi="Times New Roman" w:cs="Times New Roman"/>
        </w:rPr>
      </w:pPr>
      <w:bookmarkStart w:id="34" w:name="_Toc77922549"/>
      <w:r>
        <w:rPr>
          <w:rFonts w:ascii="Times New Roman" w:hAnsi="Times New Roman" w:cs="Times New Roman"/>
        </w:rPr>
        <w:t>2.园区对外宣传</w:t>
      </w:r>
      <w:bookmarkEnd w:id="34"/>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在园区对外宣传上，下设科技园区科技农业宣传力度、企业入驻宣传力度2个三级指标</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（1）科技园区科技农业宣传力度</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科技园区科技农业宣传力度权重5.00分，实际得分5.00分，得分率100.00%。农科园对外宣传主要通过三个渠道，一是农科园区一楼的各类农业科技产品的展示和宣传；二是政府各类在线平台宣传和推广；三是依靠农科园内部的市场开发办公室进行实地企业走访，农园走访宣传等，故未扣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（2）企业入驻宣传力度</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企业入驻宣传力度权重5.00分，实际得分5.00分，得分率100.00%。农科园整体建设装修和整体布置于2020年10月份左右完工，截至评价期入驻企业为4家，符合预期入驻数量，故未扣分。</w:t>
      </w:r>
    </w:p>
    <w:p>
      <w:pPr>
        <w:pStyle w:val="5"/>
        <w:spacing w:before="0" w:beforeLines="0" w:after="0" w:afterLines="0"/>
        <w:ind w:firstLine="482" w:firstLineChars="150"/>
        <w:rPr>
          <w:rFonts w:ascii="Times New Roman" w:hAnsi="Times New Roman" w:cs="Times New Roman"/>
        </w:rPr>
      </w:pPr>
      <w:bookmarkStart w:id="35" w:name="_Toc77922550"/>
      <w:r>
        <w:rPr>
          <w:rFonts w:ascii="Times New Roman" w:hAnsi="Times New Roman" w:cs="Times New Roman"/>
        </w:rPr>
        <w:t>3.园区建设完成度</w:t>
      </w:r>
      <w:bookmarkEnd w:id="35"/>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rPr>
        <w:t>在</w:t>
      </w:r>
      <w:r>
        <w:rPr>
          <w:rFonts w:ascii="Times New Roman" w:hAnsi="Times New Roman" w:cs="Times New Roman"/>
          <w:szCs w:val="32"/>
        </w:rPr>
        <w:t>园区建设完成度上，下设硬件设施完成度、内部人员安排完成度2个三级指标。</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（1）硬件设施完成度</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硬件设施完成度权重10.00分，实际得分10.00分，得分率100.00%。据调研走访，全区内所有装修已全部完工，无未完成之处，故未扣分。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（2）内部人员安排完成度</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内部人员安排完成度权重6.00分，实际得分2.50分，得分率41.67%。根据“三定方案”相关要求，农科园应设置人员安排为12人，不包括兼职人员，调查发现，农科园实际在职人数人为7人，其中2名为兼职，在职率为41.67%，故扣3.50分。</w:t>
      </w:r>
    </w:p>
    <w:p>
      <w:pPr>
        <w:pStyle w:val="5"/>
        <w:spacing w:before="0" w:beforeLines="0" w:after="0" w:afterLines="0"/>
        <w:ind w:firstLine="643"/>
        <w:rPr>
          <w:rFonts w:ascii="Times New Roman" w:hAnsi="Times New Roman" w:cs="Times New Roman"/>
        </w:rPr>
      </w:pPr>
      <w:bookmarkStart w:id="36" w:name="_Toc77922551"/>
      <w:r>
        <w:rPr>
          <w:rFonts w:ascii="Times New Roman" w:hAnsi="Times New Roman" w:cs="Times New Roman"/>
        </w:rPr>
        <w:t>4.对外引进力度</w:t>
      </w:r>
      <w:bookmarkEnd w:id="36"/>
    </w:p>
    <w:p>
      <w:pPr>
        <w:spacing w:line="560" w:lineRule="exact"/>
        <w:ind w:left="0" w:leftChars="0" w:firstLine="640" w:firstLineChars="200"/>
        <w:rPr>
          <w:rFonts w:ascii="Times New Roman" w:hAnsi="Times New Roman" w:cs="Times New Roman"/>
        </w:rPr>
      </w:pPr>
      <w:r>
        <w:rPr>
          <w:rFonts w:ascii="Times New Roman" w:hAnsi="Times New Roman" w:cs="Times New Roman"/>
        </w:rPr>
        <w:t>在对外引进力度上，下设</w:t>
      </w:r>
      <w:r>
        <w:rPr>
          <w:rFonts w:ascii="Times New Roman" w:hAnsi="Times New Roman" w:cs="Times New Roman"/>
          <w:szCs w:val="32"/>
        </w:rPr>
        <w:t>农业园区合作数、科技人才引进数、农业科技项目申报数3个三级指标。</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（1）农业园区合作数</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农业园区合作数权重5.00分，实际得分5.00分，得分率100.00%。2020年度农科园引进川大、川农大等专家教授团队在园区企业建立工作站，成立由25名国内外专家组成的“园区专家顾问委员会，合作工作符合预期要求，故未扣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（2）科技人才引进数</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科技人才引进数权重5.00分，实际得分5.00分，得分率100.00%。引进国内外专家人才26名深入园区服务，符合预期数，故未扣分。</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（3）农业科技项目申报数</w:t>
      </w:r>
    </w:p>
    <w:p>
      <w:pPr>
        <w:autoSpaceDE w:val="0"/>
        <w:autoSpaceDN w:val="0"/>
        <w:adjustRightInd w:val="0"/>
        <w:spacing w:line="560" w:lineRule="exact"/>
        <w:ind w:left="0" w:leftChars="0" w:firstLine="640" w:firstLineChars="200"/>
        <w:rPr>
          <w:rFonts w:ascii="Times New Roman" w:hAnsi="Times New Roman" w:cs="Times New Roman"/>
          <w:szCs w:val="32"/>
        </w:rPr>
      </w:pPr>
      <w:r>
        <w:rPr>
          <w:rFonts w:ascii="Times New Roman" w:hAnsi="Times New Roman" w:cs="Times New Roman"/>
          <w:szCs w:val="32"/>
        </w:rPr>
        <w:t>农业科技项目申报数权重5.00分，实际得分5.00分，得分率100.00%。</w:t>
      </w:r>
      <w:r>
        <w:rPr>
          <w:rFonts w:ascii="Times New Roman" w:hAnsi="Times New Roman" w:cs="Times New Roman"/>
        </w:rPr>
        <w:t>2020年组织申报国省市级项目共15个，符合预期申报数</w:t>
      </w:r>
      <w:r>
        <w:rPr>
          <w:rFonts w:ascii="Times New Roman" w:hAnsi="Times New Roman" w:cs="Times New Roman"/>
          <w:szCs w:val="32"/>
        </w:rPr>
        <w:t>，故未扣分。</w:t>
      </w:r>
    </w:p>
    <w:p>
      <w:pPr>
        <w:pStyle w:val="5"/>
        <w:spacing w:before="0" w:beforeLines="0" w:after="0" w:afterLines="0"/>
        <w:ind w:firstLine="643"/>
        <w:rPr>
          <w:rFonts w:ascii="Times New Roman" w:hAnsi="Times New Roman" w:cs="Times New Roman"/>
        </w:rPr>
      </w:pPr>
      <w:bookmarkStart w:id="37" w:name="_Toc77922552"/>
      <w:r>
        <w:rPr>
          <w:rFonts w:ascii="Times New Roman" w:hAnsi="Times New Roman" w:cs="Times New Roman"/>
        </w:rPr>
        <w:t>5.企业满意度</w:t>
      </w:r>
      <w:bookmarkEnd w:id="37"/>
    </w:p>
    <w:p>
      <w:pPr>
        <w:widowControl/>
        <w:spacing w:line="560" w:lineRule="exact"/>
        <w:ind w:left="0" w:leftChars="0" w:firstLine="480" w:firstLineChars="150"/>
        <w:rPr>
          <w:rFonts w:ascii="Times New Roman" w:hAnsi="Times New Roman" w:cs="Times New Roman"/>
          <w:szCs w:val="32"/>
        </w:rPr>
      </w:pPr>
      <w:r>
        <w:rPr>
          <w:rFonts w:ascii="Times New Roman" w:hAnsi="Times New Roman" w:cs="Times New Roman"/>
          <w:szCs w:val="32"/>
        </w:rPr>
        <w:t>在企业满意度上，下设入驻企业满意度单个指标权重10.00分，实际得分10.00分，得分率100.00%。</w:t>
      </w:r>
      <w:r>
        <w:rPr>
          <w:rFonts w:ascii="Times New Roman" w:hAnsi="Times New Roman" w:cs="Times New Roman"/>
        </w:rPr>
        <w:t>调研发现，在园区内入驻的4家企业均对农业园区的整体服务表示非常满意</w:t>
      </w:r>
      <w:r>
        <w:rPr>
          <w:rFonts w:ascii="Times New Roman" w:hAnsi="Times New Roman" w:cs="Times New Roman"/>
          <w:szCs w:val="32"/>
        </w:rPr>
        <w:t>，故未扣分。</w:t>
      </w:r>
    </w:p>
    <w:p>
      <w:pPr>
        <w:pStyle w:val="2"/>
        <w:spacing w:before="0" w:beforeLines="0" w:after="0" w:afterLines="0"/>
        <w:ind w:firstLine="496" w:firstLineChars="155"/>
        <w:rPr>
          <w:rFonts w:ascii="Times New Roman" w:hAnsi="Times New Roman" w:cs="Times New Roman"/>
        </w:rPr>
      </w:pPr>
      <w:bookmarkStart w:id="38" w:name="_Toc77922553"/>
      <w:r>
        <w:rPr>
          <w:rFonts w:ascii="Times New Roman" w:hAnsi="Times New Roman" w:cs="Times New Roman"/>
        </w:rPr>
        <w:t>五、</w:t>
      </w:r>
      <w:r>
        <w:rPr>
          <w:rFonts w:ascii="Times New Roman" w:hAnsi="Times New Roman" w:cs="Times New Roman"/>
          <w:bCs w:val="0"/>
          <w:szCs w:val="32"/>
        </w:rPr>
        <w:t>评价结论及措施</w:t>
      </w:r>
      <w:bookmarkEnd w:id="38"/>
    </w:p>
    <w:p>
      <w:pPr>
        <w:pStyle w:val="4"/>
        <w:spacing w:before="0" w:beforeLines="0" w:after="0" w:afterLines="0"/>
        <w:ind w:firstLine="643"/>
        <w:rPr>
          <w:rFonts w:cs="Times New Roman"/>
        </w:rPr>
      </w:pPr>
      <w:bookmarkStart w:id="39" w:name="_Toc77922554"/>
      <w:r>
        <w:rPr>
          <w:rFonts w:cs="Times New Roman"/>
        </w:rPr>
        <w:t>（一）评价结论</w:t>
      </w:r>
      <w:bookmarkEnd w:id="39"/>
    </w:p>
    <w:p>
      <w:pPr>
        <w:spacing w:line="560" w:lineRule="exact"/>
        <w:ind w:left="0" w:leftChars="0" w:firstLine="643" w:firstLineChars="200"/>
        <w:rPr>
          <w:rFonts w:ascii="Times New Roman" w:hAnsi="Times New Roman" w:cs="Times New Roman"/>
          <w:b/>
          <w:bCs/>
        </w:rPr>
      </w:pPr>
      <w:r>
        <w:rPr>
          <w:rFonts w:ascii="Times New Roman" w:hAnsi="Times New Roman" w:cs="Times New Roman"/>
          <w:b/>
          <w:bCs/>
        </w:rPr>
        <w:t xml:space="preserve">2020年四川德阳国家农业科技园区部门整体支出绩效评价得分为95.00分，等级判定为：优 </w:t>
      </w:r>
      <w:r>
        <w:rPr>
          <w:rFonts w:ascii="Times New Roman" w:hAnsi="Times New Roman" w:cs="Times New Roman"/>
          <w:b/>
          <w:bCs/>
          <w:vertAlign w:val="superscript"/>
        </w:rPr>
        <w:footnoteReference w:id="0"/>
      </w:r>
      <w:r>
        <w:rPr>
          <w:rFonts w:ascii="Times New Roman" w:hAnsi="Times New Roman" w:cs="Times New Roman"/>
          <w:b/>
          <w:bCs/>
        </w:rPr>
        <w:t>。</w:t>
      </w:r>
    </w:p>
    <w:p>
      <w:pPr>
        <w:ind w:left="0" w:leftChars="0" w:firstLine="640" w:firstLineChars="200"/>
        <w:rPr>
          <w:rFonts w:ascii="Times New Roman" w:hAnsi="Times New Roman" w:cs="Times New Roman"/>
          <w:kern w:val="0"/>
          <w:szCs w:val="32"/>
        </w:rPr>
      </w:pPr>
      <w:r>
        <w:rPr>
          <w:rFonts w:ascii="Times New Roman" w:hAnsi="Times New Roman" w:cs="Times New Roman"/>
          <w:szCs w:val="32"/>
        </w:rPr>
        <w:t>总体而言，农科园</w:t>
      </w:r>
      <w:r>
        <w:rPr>
          <w:rFonts w:ascii="Times New Roman" w:hAnsi="Times New Roman" w:cs="Times New Roman"/>
          <w:kern w:val="0"/>
          <w:szCs w:val="32"/>
        </w:rPr>
        <w:t>部门整体管理较为规范，能够按照职能职责要求及绩效目标要求内容完成，并取得不错部门效果。但在基础管理和部门履职效能方面还存在部分问题，一是资金使用规范性有待加强；二是部门人员安排方面，有较大改进和优化空间。</w:t>
      </w:r>
    </w:p>
    <w:p>
      <w:pPr>
        <w:autoSpaceDE w:val="0"/>
        <w:autoSpaceDN w:val="0"/>
        <w:adjustRightInd w:val="0"/>
        <w:spacing w:line="560" w:lineRule="exact"/>
        <w:ind w:left="0" w:leftChars="0" w:firstLine="640" w:firstLineChars="200"/>
        <w:rPr>
          <w:rFonts w:ascii="Times New Roman" w:hAnsi="Times New Roman" w:cs="Times New Roman"/>
          <w:b/>
          <w:bCs/>
          <w:szCs w:val="32"/>
        </w:rPr>
      </w:pPr>
      <w:r>
        <w:rPr>
          <w:rFonts w:ascii="Times New Roman" w:hAnsi="Times New Roman" w:cs="Times New Roman"/>
          <w:szCs w:val="32"/>
        </w:rPr>
        <w:t>本次评价综合运用案卷研究、深度访谈、书面评审、现场评价及问卷调查等方法进行多源数据采集，依据评价指标进行打分，一级指标得分情况如下：预算管理10.00分，实际得分10.00分，得分率100.00%；项目管理10.00分，实际得分10.00分，得分率100.00%；部门管理10.00分，实际得分8.50分，得分率85.00%；履职效能70.00分，实际得分66.50分，得分率95.00%。</w:t>
      </w:r>
      <w:r>
        <w:rPr>
          <w:rFonts w:ascii="Times New Roman" w:hAnsi="Times New Roman" w:cs="Times New Roman"/>
          <w:b/>
          <w:bCs/>
          <w:szCs w:val="32"/>
        </w:rPr>
        <w:t>整体指标得分详情如下：</w:t>
      </w:r>
    </w:p>
    <w:p>
      <w:pPr>
        <w:autoSpaceDE w:val="0"/>
        <w:autoSpaceDN w:val="0"/>
        <w:adjustRightInd w:val="0"/>
        <w:spacing w:line="560" w:lineRule="exact"/>
        <w:ind w:left="0" w:leftChars="0"/>
        <w:jc w:val="center"/>
        <w:rPr>
          <w:rFonts w:ascii="Times New Roman" w:hAnsi="Times New Roman" w:eastAsia="幼圆" w:cs="Times New Roman"/>
          <w:b/>
          <w:sz w:val="28"/>
          <w:szCs w:val="28"/>
        </w:rPr>
      </w:pPr>
      <w:r>
        <w:rPr>
          <w:rFonts w:ascii="Times New Roman" w:hAnsi="Times New Roman" w:eastAsia="幼圆" w:cs="Times New Roman"/>
          <w:b/>
          <w:sz w:val="28"/>
          <w:szCs w:val="28"/>
        </w:rPr>
        <w:t>附表 农科园项目支出绩效评价指标得分情况</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1624"/>
        <w:gridCol w:w="2768"/>
        <w:gridCol w:w="1137"/>
        <w:gridCol w:w="85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blHeader/>
        </w:trPr>
        <w:tc>
          <w:tcPr>
            <w:tcW w:w="647"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一级指标</w:t>
            </w:r>
          </w:p>
        </w:tc>
        <w:tc>
          <w:tcPr>
            <w:tcW w:w="953"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二级指标</w:t>
            </w:r>
          </w:p>
        </w:tc>
        <w:tc>
          <w:tcPr>
            <w:tcW w:w="1624" w:type="pct"/>
            <w:vMerge w:val="restart"/>
            <w:shd w:val="clear" w:color="000000" w:fill="00516B"/>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三级指标</w:t>
            </w:r>
          </w:p>
        </w:tc>
        <w:tc>
          <w:tcPr>
            <w:tcW w:w="667"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权重</w:t>
            </w:r>
          </w:p>
        </w:tc>
        <w:tc>
          <w:tcPr>
            <w:tcW w:w="499"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w:t>
            </w:r>
          </w:p>
        </w:tc>
        <w:tc>
          <w:tcPr>
            <w:tcW w:w="611"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p>
        </w:tc>
        <w:tc>
          <w:tcPr>
            <w:tcW w:w="953" w:type="pct"/>
            <w:vMerge w:val="continue"/>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p>
        </w:tc>
        <w:tc>
          <w:tcPr>
            <w:tcW w:w="1624" w:type="pct"/>
            <w:vMerge w:val="continue"/>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p>
        </w:tc>
        <w:tc>
          <w:tcPr>
            <w:tcW w:w="667" w:type="pct"/>
            <w:vMerge w:val="continue"/>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p>
        </w:tc>
        <w:tc>
          <w:tcPr>
            <w:tcW w:w="499" w:type="pct"/>
            <w:vMerge w:val="continue"/>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p>
        </w:tc>
        <w:tc>
          <w:tcPr>
            <w:tcW w:w="611" w:type="pct"/>
            <w:vMerge w:val="continue"/>
            <w:vAlign w:val="center"/>
          </w:tcPr>
          <w:p>
            <w:pPr>
              <w:widowControl/>
              <w:spacing w:line="560" w:lineRule="exact"/>
              <w:ind w:left="0" w:leftChars="0" w:firstLine="402"/>
              <w:jc w:val="center"/>
              <w:rPr>
                <w:rFonts w:ascii="Times New Roman" w:hAnsi="Times New Roman" w:eastAsia="宋体" w:cs="Times New Roman"/>
                <w:b/>
                <w:bCs/>
                <w:color w:val="FFFFFF"/>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restart"/>
            <w:shd w:val="clear" w:color="auto" w:fill="auto"/>
            <w:vAlign w:val="center"/>
          </w:tcPr>
          <w:p>
            <w:pPr>
              <w:widowControl/>
              <w:spacing w:line="560" w:lineRule="exact"/>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预算管理</w:t>
            </w:r>
          </w:p>
        </w:tc>
        <w:tc>
          <w:tcPr>
            <w:tcW w:w="953"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预算编制</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预算安排准确性</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执行进度</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部门总体执行进度</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restart"/>
            <w:shd w:val="clear" w:color="auto" w:fill="auto"/>
            <w:vAlign w:val="center"/>
          </w:tcPr>
          <w:p>
            <w:pPr>
              <w:widowControl/>
              <w:spacing w:line="560" w:lineRule="exact"/>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目标管理</w:t>
            </w:r>
          </w:p>
        </w:tc>
        <w:tc>
          <w:tcPr>
            <w:tcW w:w="953" w:type="pct"/>
            <w:vMerge w:val="restar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绩效目标</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目标填报</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vAlign w:val="center"/>
          </w:tcPr>
          <w:p>
            <w:pPr>
              <w:spacing w:line="560" w:lineRule="exact"/>
              <w:ind w:left="640" w:firstLine="400"/>
              <w:jc w:val="center"/>
              <w:rPr>
                <w:rFonts w:ascii="Times New Roman" w:hAnsi="Times New Roman" w:eastAsia="宋体" w:cs="Times New Roman"/>
                <w:color w:val="000000"/>
                <w:kern w:val="0"/>
                <w:sz w:val="20"/>
                <w:szCs w:val="20"/>
              </w:rPr>
            </w:pP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目标量化</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000000" w:fill="FFFFFF"/>
            <w:vAlign w:val="center"/>
          </w:tcPr>
          <w:p>
            <w:pPr>
              <w:spacing w:line="560" w:lineRule="exact"/>
              <w:ind w:left="640" w:firstLine="400"/>
              <w:jc w:val="center"/>
              <w:rPr>
                <w:rFonts w:ascii="Times New Roman" w:hAnsi="Times New Roman" w:eastAsia="宋体" w:cs="Times New Roman"/>
                <w:color w:val="000000"/>
                <w:kern w:val="0"/>
                <w:sz w:val="20"/>
                <w:szCs w:val="20"/>
              </w:rPr>
            </w:pP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目标匹配</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restart"/>
            <w:shd w:val="clear" w:color="auto" w:fill="auto"/>
            <w:vAlign w:val="center"/>
          </w:tcPr>
          <w:p>
            <w:pPr>
              <w:widowControl/>
              <w:spacing w:line="560" w:lineRule="exact"/>
              <w:ind w:left="0" w:leftChars="0"/>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部门管理</w:t>
            </w:r>
          </w:p>
        </w:tc>
        <w:tc>
          <w:tcPr>
            <w:tcW w:w="953" w:type="pct"/>
            <w:vMerge w:val="restar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基础管理</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管理制度健全性</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shd w:val="clear" w:color="auto" w:fill="auto"/>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000000" w:fill="FFFFFF"/>
            <w:vAlign w:val="center"/>
          </w:tcPr>
          <w:p>
            <w:pPr>
              <w:widowControl/>
              <w:spacing w:line="560" w:lineRule="exact"/>
              <w:ind w:left="0" w:leftChars="0" w:firstLine="400"/>
              <w:jc w:val="center"/>
              <w:rPr>
                <w:rFonts w:ascii="Times New Roman" w:hAnsi="Times New Roman" w:eastAsia="宋体" w:cs="Times New Roman"/>
                <w:color w:val="000000"/>
                <w:kern w:val="0"/>
                <w:sz w:val="20"/>
                <w:szCs w:val="20"/>
              </w:rPr>
            </w:pP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资金使用合规性</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0. 50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shd w:val="clear" w:color="auto" w:fill="auto"/>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000000" w:fill="FFFFFF"/>
            <w:vAlign w:val="center"/>
          </w:tcPr>
          <w:p>
            <w:pPr>
              <w:widowControl/>
              <w:spacing w:line="560" w:lineRule="exact"/>
              <w:ind w:left="0" w:leftChars="0" w:firstLine="400"/>
              <w:jc w:val="center"/>
              <w:rPr>
                <w:rFonts w:ascii="Times New Roman" w:hAnsi="Times New Roman" w:eastAsia="宋体" w:cs="Times New Roman"/>
                <w:color w:val="000000"/>
                <w:kern w:val="0"/>
                <w:sz w:val="20"/>
                <w:szCs w:val="20"/>
              </w:rPr>
            </w:pP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财务监控有效性</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shd w:val="clear" w:color="auto" w:fill="auto"/>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行政成本</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“三公”部门整体资金控制</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政府采购</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采购规范性</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资产管理</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固定资产在用率</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信息公开</w:t>
            </w:r>
          </w:p>
        </w:tc>
        <w:tc>
          <w:tcPr>
            <w:tcW w:w="1624" w:type="pct"/>
            <w:shd w:val="clear" w:color="000000" w:fill="FFFFFF"/>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信息公开</w:t>
            </w:r>
          </w:p>
        </w:tc>
        <w:tc>
          <w:tcPr>
            <w:tcW w:w="667"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restart"/>
            <w:shd w:val="clear" w:color="auto" w:fill="auto"/>
            <w:vAlign w:val="center"/>
          </w:tcPr>
          <w:p>
            <w:pPr>
              <w:widowControl/>
              <w:spacing w:line="560" w:lineRule="exact"/>
              <w:ind w:left="0" w:leftChars="0"/>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履职效能</w:t>
            </w:r>
          </w:p>
        </w:tc>
        <w:tc>
          <w:tcPr>
            <w:tcW w:w="953" w:type="pct"/>
            <w:vMerge w:val="restar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重点任务完成度</w:t>
            </w: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任务完成率</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vAlign w:val="center"/>
          </w:tcPr>
          <w:p>
            <w:pPr>
              <w:widowControl/>
              <w:spacing w:line="560" w:lineRule="exact"/>
              <w:ind w:left="0" w:leftChars="0" w:firstLine="400"/>
              <w:jc w:val="center"/>
              <w:rPr>
                <w:rFonts w:ascii="Times New Roman" w:hAnsi="Times New Roman" w:eastAsia="宋体" w:cs="Times New Roman"/>
                <w:color w:val="000000"/>
                <w:kern w:val="0"/>
                <w:sz w:val="20"/>
                <w:szCs w:val="20"/>
              </w:rPr>
            </w:pP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孵化园建设进度</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restar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园区对外宣传</w:t>
            </w: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科技园区科技农业宣传力度</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auto" w:fill="auto"/>
            <w:vAlign w:val="center"/>
          </w:tcPr>
          <w:p>
            <w:pPr>
              <w:widowControl/>
              <w:spacing w:line="560" w:lineRule="exact"/>
              <w:ind w:left="0" w:leftChars="0" w:firstLine="400"/>
              <w:jc w:val="center"/>
              <w:rPr>
                <w:rFonts w:ascii="Times New Roman" w:hAnsi="Times New Roman" w:eastAsia="宋体" w:cs="Times New Roman"/>
                <w:color w:val="000000"/>
                <w:kern w:val="0"/>
                <w:sz w:val="20"/>
                <w:szCs w:val="20"/>
              </w:rPr>
            </w:pP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企业入驻宣传力度</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restar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园区建设完成度</w:t>
            </w: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硬件设施完成度</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p>
        </w:tc>
        <w:tc>
          <w:tcPr>
            <w:tcW w:w="953" w:type="pct"/>
            <w:vMerge w:val="continue"/>
            <w:shd w:val="clear" w:color="auto" w:fill="auto"/>
            <w:vAlign w:val="center"/>
          </w:tcPr>
          <w:p>
            <w:pPr>
              <w:widowControl/>
              <w:spacing w:line="560" w:lineRule="exact"/>
              <w:ind w:left="0" w:leftChars="0" w:firstLine="400"/>
              <w:jc w:val="center"/>
              <w:rPr>
                <w:rFonts w:ascii="Times New Roman" w:hAnsi="Times New Roman" w:eastAsia="宋体" w:cs="Times New Roman"/>
                <w:color w:val="000000"/>
                <w:kern w:val="0"/>
                <w:sz w:val="20"/>
                <w:szCs w:val="20"/>
              </w:rPr>
            </w:pP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内部人员安排完成度</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6.00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2.50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41.67%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0"/>
              <w:jc w:val="center"/>
              <w:rPr>
                <w:rFonts w:ascii="Times New Roman" w:hAnsi="Times New Roman" w:eastAsia="宋体" w:cs="Times New Roman"/>
                <w:bCs/>
                <w:color w:val="000000"/>
                <w:kern w:val="0"/>
                <w:sz w:val="20"/>
                <w:szCs w:val="20"/>
              </w:rPr>
            </w:pPr>
          </w:p>
        </w:tc>
        <w:tc>
          <w:tcPr>
            <w:tcW w:w="953" w:type="pct"/>
            <w:vMerge w:val="restar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对外引进力度</w:t>
            </w: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农业园区合作数</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0"/>
              <w:jc w:val="center"/>
              <w:rPr>
                <w:rFonts w:ascii="Times New Roman" w:hAnsi="Times New Roman" w:eastAsia="宋体" w:cs="Times New Roman"/>
                <w:bCs/>
                <w:color w:val="000000"/>
                <w:kern w:val="0"/>
                <w:sz w:val="20"/>
                <w:szCs w:val="20"/>
              </w:rPr>
            </w:pPr>
          </w:p>
        </w:tc>
        <w:tc>
          <w:tcPr>
            <w:tcW w:w="953" w:type="pct"/>
            <w:vMerge w:val="continue"/>
            <w:shd w:val="clear" w:color="auto" w:fill="auto"/>
            <w:vAlign w:val="center"/>
          </w:tcPr>
          <w:p>
            <w:pPr>
              <w:spacing w:line="560" w:lineRule="exact"/>
              <w:ind w:left="0" w:leftChars="0" w:firstLine="400"/>
              <w:jc w:val="center"/>
              <w:rPr>
                <w:rFonts w:ascii="Times New Roman" w:hAnsi="Times New Roman" w:eastAsia="宋体" w:cs="Times New Roman"/>
                <w:color w:val="000000"/>
                <w:sz w:val="20"/>
                <w:szCs w:val="20"/>
              </w:rPr>
            </w:pP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科技人才引进数</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0"/>
              <w:jc w:val="center"/>
              <w:rPr>
                <w:rFonts w:ascii="Times New Roman" w:hAnsi="Times New Roman" w:eastAsia="宋体" w:cs="Times New Roman"/>
                <w:bCs/>
                <w:color w:val="000000"/>
                <w:kern w:val="0"/>
                <w:sz w:val="20"/>
                <w:szCs w:val="20"/>
              </w:rPr>
            </w:pPr>
          </w:p>
        </w:tc>
        <w:tc>
          <w:tcPr>
            <w:tcW w:w="953" w:type="pct"/>
            <w:vMerge w:val="continue"/>
            <w:shd w:val="clear" w:color="auto" w:fill="auto"/>
            <w:vAlign w:val="center"/>
          </w:tcPr>
          <w:p>
            <w:pPr>
              <w:spacing w:line="560" w:lineRule="exact"/>
              <w:ind w:left="0" w:leftChars="0" w:firstLine="400"/>
              <w:jc w:val="center"/>
              <w:rPr>
                <w:rFonts w:ascii="Times New Roman" w:hAnsi="Times New Roman" w:eastAsia="宋体" w:cs="Times New Roman"/>
                <w:color w:val="000000"/>
                <w:sz w:val="20"/>
                <w:szCs w:val="20"/>
              </w:rPr>
            </w:pPr>
          </w:p>
        </w:tc>
        <w:tc>
          <w:tcPr>
            <w:tcW w:w="1624" w:type="pct"/>
            <w:shd w:val="clear" w:color="auto" w:fill="auto"/>
            <w:vAlign w:val="center"/>
          </w:tcPr>
          <w:p>
            <w:pPr>
              <w:spacing w:line="560" w:lineRule="exact"/>
              <w:ind w:left="0" w:leftChars="0"/>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农业科技项目申报数</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647" w:type="pct"/>
            <w:vMerge w:val="continue"/>
            <w:vAlign w:val="center"/>
          </w:tcPr>
          <w:p>
            <w:pPr>
              <w:widowControl/>
              <w:spacing w:line="560" w:lineRule="exact"/>
              <w:ind w:left="0" w:leftChars="0" w:firstLine="400"/>
              <w:jc w:val="center"/>
              <w:rPr>
                <w:rFonts w:ascii="Times New Roman" w:hAnsi="Times New Roman" w:eastAsia="宋体" w:cs="Times New Roman"/>
                <w:bCs/>
                <w:color w:val="000000"/>
                <w:kern w:val="0"/>
                <w:sz w:val="20"/>
                <w:szCs w:val="20"/>
              </w:rPr>
            </w:pPr>
          </w:p>
        </w:tc>
        <w:tc>
          <w:tcPr>
            <w:tcW w:w="953" w:type="pct"/>
            <w:shd w:val="clear" w:color="auto" w:fill="auto"/>
            <w:vAlign w:val="center"/>
          </w:tcPr>
          <w:p>
            <w:pPr>
              <w:widowControl/>
              <w:spacing w:line="560" w:lineRule="exact"/>
              <w:ind w:left="0" w:leftChars="0"/>
              <w:jc w:val="center"/>
              <w:rPr>
                <w:rFonts w:ascii="Times New Roman" w:hAnsi="Times New Roman" w:eastAsia="宋体" w:cs="Times New Roman"/>
                <w:bCs/>
                <w:color w:val="000000"/>
                <w:kern w:val="0"/>
                <w:sz w:val="20"/>
                <w:szCs w:val="20"/>
              </w:rPr>
            </w:pPr>
            <w:r>
              <w:rPr>
                <w:rFonts w:ascii="Times New Roman" w:hAnsi="Times New Roman" w:eastAsia="宋体" w:cs="Times New Roman"/>
                <w:bCs/>
                <w:color w:val="000000"/>
                <w:kern w:val="0"/>
                <w:sz w:val="20"/>
                <w:szCs w:val="20"/>
              </w:rPr>
              <w:t>企业满意度</w:t>
            </w:r>
          </w:p>
        </w:tc>
        <w:tc>
          <w:tcPr>
            <w:tcW w:w="1624"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入驻企业满意度</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 w:hRule="atLeast"/>
        </w:trPr>
        <w:tc>
          <w:tcPr>
            <w:tcW w:w="3224" w:type="pct"/>
            <w:gridSpan w:val="3"/>
            <w:shd w:val="clear" w:color="auto" w:fill="auto"/>
            <w:vAlign w:val="center"/>
          </w:tcPr>
          <w:p>
            <w:pPr>
              <w:widowControl/>
              <w:spacing w:line="560" w:lineRule="exact"/>
              <w:ind w:left="0" w:leftChars="0" w:firstLine="402"/>
              <w:jc w:val="center"/>
              <w:rPr>
                <w:rFonts w:ascii="Times New Roman" w:hAnsi="Times New Roman" w:eastAsia="宋体" w:cs="Times New Roman"/>
                <w:b/>
                <w:bCs/>
                <w:color w:val="000000"/>
                <w:kern w:val="0"/>
                <w:sz w:val="20"/>
                <w:szCs w:val="20"/>
              </w:rPr>
            </w:pPr>
            <w:r>
              <w:rPr>
                <w:rFonts w:ascii="Times New Roman" w:hAnsi="Times New Roman" w:eastAsia="宋体" w:cs="Times New Roman"/>
                <w:b/>
                <w:bCs/>
                <w:color w:val="000000"/>
                <w:kern w:val="0"/>
                <w:sz w:val="20"/>
                <w:szCs w:val="20"/>
              </w:rPr>
              <w:t>总计</w:t>
            </w:r>
          </w:p>
        </w:tc>
        <w:tc>
          <w:tcPr>
            <w:tcW w:w="66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499"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95.00</w:t>
            </w:r>
          </w:p>
        </w:tc>
        <w:tc>
          <w:tcPr>
            <w:tcW w:w="611" w:type="pct"/>
            <w:shd w:val="clear" w:color="auto" w:fill="auto"/>
            <w:noWrap/>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95.00%</w:t>
            </w:r>
          </w:p>
        </w:tc>
      </w:tr>
    </w:tbl>
    <w:p>
      <w:pPr>
        <w:spacing w:line="560" w:lineRule="exact"/>
        <w:ind w:left="0" w:leftChars="0" w:firstLine="420"/>
        <w:rPr>
          <w:rFonts w:ascii="Times New Roman" w:hAnsi="Times New Roman" w:cs="Times New Roman" w:eastAsiaTheme="minorEastAsia"/>
          <w:sz w:val="21"/>
        </w:rPr>
      </w:pPr>
    </w:p>
    <w:p>
      <w:pPr>
        <w:pStyle w:val="4"/>
        <w:spacing w:before="0" w:beforeLines="0" w:after="0" w:afterLines="0"/>
        <w:ind w:firstLine="0" w:firstLineChars="0"/>
        <w:rPr>
          <w:rFonts w:cs="Times New Roman"/>
        </w:rPr>
      </w:pPr>
      <w:bookmarkStart w:id="40" w:name="_Toc77922555"/>
      <w:r>
        <w:rPr>
          <w:rFonts w:cs="Times New Roman"/>
        </w:rPr>
        <w:t>（二）存在问题</w:t>
      </w:r>
      <w:bookmarkEnd w:id="40"/>
    </w:p>
    <w:p>
      <w:pPr>
        <w:pStyle w:val="5"/>
        <w:spacing w:before="0" w:beforeLines="0" w:after="0" w:afterLines="0"/>
        <w:ind w:firstLine="643"/>
        <w:rPr>
          <w:rFonts w:ascii="Times New Roman" w:hAnsi="Times New Roman" w:cs="Times New Roman"/>
        </w:rPr>
      </w:pPr>
      <w:bookmarkStart w:id="41" w:name="_Toc77922556"/>
      <w:r>
        <w:rPr>
          <w:rFonts w:ascii="Times New Roman" w:hAnsi="Times New Roman" w:cs="Times New Roman"/>
        </w:rPr>
        <w:t>1.资金使用规范性不足，财务管理制度有待完善</w:t>
      </w:r>
      <w:bookmarkEnd w:id="41"/>
    </w:p>
    <w:p>
      <w:pPr>
        <w:spacing w:line="560" w:lineRule="exact"/>
        <w:ind w:left="0" w:leftChars="0" w:firstLine="640" w:firstLineChars="200"/>
        <w:rPr>
          <w:rFonts w:ascii="Times New Roman" w:hAnsi="Times New Roman" w:cs="Times New Roman"/>
        </w:rPr>
      </w:pPr>
      <w:r>
        <w:rPr>
          <w:rFonts w:ascii="Times New Roman" w:hAnsi="Times New Roman" w:cs="Times New Roman"/>
        </w:rPr>
        <w:t>农科园未严格按照财务管理规范使用资金，资金把控不到位。调研发现，</w:t>
      </w:r>
      <w:r>
        <w:rPr>
          <w:rFonts w:ascii="Times New Roman" w:hAnsi="Times New Roman" w:cs="Times New Roman"/>
          <w:szCs w:val="32"/>
        </w:rPr>
        <w:t>一是差旅、工作餐和劳务费发放缺少相关的报销凭证。首先，2020年发放第二季度公职人员差旅费仅有每个正式职工每人补贴1500元记录，未注明出差地、出差原因及出差时间等；其次，工会发放职工生日费（1800元）缺少个人发放明细</w:t>
      </w:r>
      <w:r>
        <w:rPr>
          <w:rFonts w:ascii="Times New Roman" w:hAnsi="Times New Roman" w:cs="Times New Roman"/>
        </w:rPr>
        <w:t>；二是农科园采购项目的采购程序及采购方式不规范，在孵化中心建设与园区内装修采购等大额项目资金支出时，会计报销凭证附件资料不全。以上表明，新成立的农科园存在资金使用不规范的问题。</w:t>
      </w:r>
    </w:p>
    <w:p>
      <w:pPr>
        <w:pStyle w:val="5"/>
        <w:spacing w:before="0" w:beforeLines="0" w:after="0" w:afterLines="0"/>
        <w:ind w:firstLine="643"/>
        <w:rPr>
          <w:rStyle w:val="23"/>
          <w:rFonts w:ascii="Times New Roman" w:hAnsi="Times New Roman" w:eastAsia="楷体_GB2312" w:cs="Times New Roman"/>
          <w:b/>
          <w:bCs/>
        </w:rPr>
      </w:pPr>
      <w:bookmarkStart w:id="42" w:name="_Toc77922557"/>
      <w:r>
        <w:rPr>
          <w:rFonts w:ascii="Times New Roman" w:hAnsi="Times New Roman" w:cs="Times New Roman"/>
        </w:rPr>
        <w:t>2.</w:t>
      </w:r>
      <w:r>
        <w:rPr>
          <w:rStyle w:val="23"/>
          <w:rFonts w:ascii="Times New Roman" w:hAnsi="Times New Roman" w:eastAsia="楷体_GB2312" w:cs="Times New Roman"/>
          <w:b/>
          <w:bCs/>
        </w:rPr>
        <w:t>部门管理制度不健全，管理精细化水平有待加强</w:t>
      </w:r>
      <w:bookmarkEnd w:id="42"/>
    </w:p>
    <w:p>
      <w:pPr>
        <w:spacing w:line="560" w:lineRule="exact"/>
        <w:ind w:left="0" w:leftChars="0" w:firstLine="640" w:firstLineChars="200"/>
        <w:rPr>
          <w:rFonts w:ascii="Times New Roman" w:hAnsi="Times New Roman" w:cs="Times New Roman"/>
        </w:rPr>
      </w:pPr>
      <w:r>
        <w:rPr>
          <w:rFonts w:ascii="Times New Roman" w:hAnsi="Times New Roman" w:cs="Times New Roman"/>
        </w:rPr>
        <w:t>一是农科园财务监督管理制度不健全。农科园成立之初</w:t>
      </w:r>
      <w:r>
        <w:rPr>
          <w:rFonts w:ascii="Times New Roman" w:hAnsi="Times New Roman" w:cs="Times New Roman"/>
          <w:bCs/>
        </w:rPr>
        <w:t>仅针对财务人员职能职责、报销管理、合同管理等方面进行相关规定，目前缺少</w:t>
      </w:r>
      <w:r>
        <w:rPr>
          <w:rFonts w:ascii="Times New Roman" w:hAnsi="Times New Roman" w:cs="Times New Roman"/>
        </w:rPr>
        <w:t>内部财务管理制度，</w:t>
      </w:r>
      <w:r>
        <w:rPr>
          <w:rFonts w:ascii="Times New Roman" w:hAnsi="Times New Roman" w:cs="Times New Roman"/>
          <w:bCs/>
        </w:rPr>
        <w:t>难以对资金使用进行管理和监督。</w:t>
      </w:r>
      <w:r>
        <w:rPr>
          <w:rFonts w:ascii="Times New Roman" w:hAnsi="Times New Roman" w:cs="Times New Roman"/>
        </w:rPr>
        <w:t>二是农科园内部人员管理制度尚不完善。根据“三定方案”相关要求，农科园人员编制为12人，不包括兼职人员。调查发现，农科园实际在职人数人为7人，其中2名为兼职，在职率为41.67%，尚未按照“三定方案”中规定的人员设置，进行安排职能岗位。</w:t>
      </w:r>
    </w:p>
    <w:p>
      <w:pPr>
        <w:pStyle w:val="4"/>
        <w:spacing w:before="0" w:beforeLines="0" w:after="0" w:afterLines="0"/>
        <w:ind w:firstLine="0" w:firstLineChars="0"/>
        <w:rPr>
          <w:rFonts w:cs="Times New Roman"/>
        </w:rPr>
      </w:pPr>
      <w:bookmarkStart w:id="43" w:name="_Toc77922558"/>
      <w:r>
        <w:rPr>
          <w:rFonts w:cs="Times New Roman"/>
        </w:rPr>
        <w:t>（三）改进措施</w:t>
      </w:r>
      <w:bookmarkEnd w:id="43"/>
    </w:p>
    <w:p>
      <w:pPr>
        <w:pStyle w:val="5"/>
        <w:spacing w:before="0" w:beforeLines="0" w:after="0" w:afterLines="0"/>
        <w:ind w:firstLine="643"/>
        <w:rPr>
          <w:rStyle w:val="23"/>
          <w:rFonts w:ascii="Times New Roman" w:hAnsi="Times New Roman" w:eastAsia="楷体_GB2312" w:cs="Times New Roman"/>
          <w:b/>
          <w:bCs/>
        </w:rPr>
      </w:pPr>
      <w:bookmarkStart w:id="44" w:name="_Toc77922559"/>
      <w:r>
        <w:rPr>
          <w:rStyle w:val="23"/>
          <w:rFonts w:ascii="Times New Roman" w:hAnsi="Times New Roman" w:eastAsia="楷体_GB2312" w:cs="Times New Roman"/>
          <w:b/>
          <w:bCs/>
        </w:rPr>
        <w:t>1.建立健全财务管理制度，严格把控资金支出</w:t>
      </w:r>
      <w:bookmarkEnd w:id="44"/>
      <w:r>
        <w:rPr>
          <w:rStyle w:val="23"/>
          <w:rFonts w:ascii="Times New Roman" w:hAnsi="Times New Roman" w:eastAsia="楷体_GB2312" w:cs="Times New Roman"/>
          <w:b/>
          <w:bCs/>
        </w:rPr>
        <w:t xml:space="preserve"> </w:t>
      </w:r>
    </w:p>
    <w:p>
      <w:pPr>
        <w:spacing w:line="560" w:lineRule="exact"/>
        <w:ind w:left="0" w:leftChars="0" w:firstLine="640" w:firstLineChars="200"/>
        <w:rPr>
          <w:rFonts w:ascii="Times New Roman" w:hAnsi="Times New Roman" w:cs="Times New Roman"/>
          <w:bCs/>
        </w:rPr>
      </w:pPr>
      <w:bookmarkStart w:id="45" w:name="_Toc77031717"/>
      <w:r>
        <w:rPr>
          <w:rFonts w:ascii="Times New Roman" w:hAnsi="Times New Roman" w:cs="Times New Roman"/>
          <w:bCs/>
        </w:rPr>
        <w:t>一是建议农科园完善相关内部管理制度，尤其是财务管理制度。</w:t>
      </w:r>
      <w:r>
        <w:rPr>
          <w:rFonts w:ascii="Times New Roman" w:hAnsi="Times New Roman" w:cs="Times New Roman"/>
        </w:rPr>
        <w:t>根据财务制度和相关管理规定，对各类资金使用作出相应规范性说明，如资金使用范围、资金报销程序以及手续资料等，增强制度的可行性和操作性。</w:t>
      </w:r>
      <w:r>
        <w:rPr>
          <w:rFonts w:ascii="Times New Roman" w:hAnsi="Times New Roman" w:cs="Times New Roman"/>
          <w:bCs/>
        </w:rPr>
        <w:t>二是建议</w:t>
      </w:r>
      <w:bookmarkEnd w:id="45"/>
      <w:r>
        <w:rPr>
          <w:rFonts w:ascii="Times New Roman" w:hAnsi="Times New Roman" w:cs="Times New Roman"/>
          <w:bCs/>
        </w:rPr>
        <w:t>农科园根据采购法和德阳市现行管理规定，进一步规范政府采购行为。</w:t>
      </w:r>
    </w:p>
    <w:p>
      <w:pPr>
        <w:pStyle w:val="5"/>
        <w:spacing w:before="0" w:beforeLines="0" w:after="0" w:afterLines="0"/>
        <w:ind w:firstLine="643"/>
        <w:rPr>
          <w:rFonts w:ascii="Times New Roman" w:hAnsi="Times New Roman" w:cs="Times New Roman"/>
        </w:rPr>
      </w:pPr>
      <w:bookmarkStart w:id="46" w:name="_Toc77922560"/>
      <w:r>
        <w:rPr>
          <w:rFonts w:ascii="Times New Roman" w:hAnsi="Times New Roman" w:cs="Times New Roman"/>
        </w:rPr>
        <w:t>2.完善项目管理机制，提高部门工作效率</w:t>
      </w:r>
      <w:bookmarkEnd w:id="46"/>
    </w:p>
    <w:p>
      <w:pPr>
        <w:spacing w:line="560" w:lineRule="exact"/>
        <w:ind w:left="0" w:leftChars="0" w:firstLine="640" w:firstLineChars="200"/>
        <w:rPr>
          <w:rFonts w:ascii="Times New Roman" w:hAnsi="Times New Roman" w:cs="Times New Roman"/>
        </w:rPr>
        <w:sectPr>
          <w:pgSz w:w="11906" w:h="16838"/>
          <w:pgMar w:top="1440" w:right="1800" w:bottom="1440" w:left="1800" w:header="851" w:footer="992" w:gutter="0"/>
          <w:pgNumType w:start="1"/>
          <w:cols w:space="425" w:num="1"/>
          <w:docGrid w:type="lines" w:linePitch="312" w:charSpace="0"/>
        </w:sectPr>
      </w:pPr>
      <w:r>
        <w:rPr>
          <w:rFonts w:ascii="Times New Roman" w:hAnsi="Times New Roman" w:cs="Times New Roman"/>
          <w:szCs w:val="32"/>
        </w:rPr>
        <w:t>建议农科园建立和完善相关项目管理制度，从难点和盲点入手，查找项目管理疏漏部分，完善人员管理及业务管理办法，加强人员管理和过程管控。</w:t>
      </w:r>
      <w:bookmarkStart w:id="47" w:name="_Toc77031719"/>
      <w:r>
        <w:rPr>
          <w:rFonts w:ascii="Times New Roman" w:hAnsi="Times New Roman" w:cs="Times New Roman"/>
          <w:szCs w:val="32"/>
        </w:rPr>
        <w:t>二是</w:t>
      </w:r>
      <w:r>
        <w:rPr>
          <w:rFonts w:ascii="Times New Roman" w:hAnsi="Times New Roman" w:cs="Times New Roman"/>
        </w:rPr>
        <w:t>针对人员方面，</w:t>
      </w:r>
      <w:r>
        <w:rPr>
          <w:rFonts w:ascii="Times New Roman" w:hAnsi="Times New Roman" w:cs="Times New Roman"/>
          <w:bCs/>
        </w:rPr>
        <w:t>建议农科园根据“三定方案”和园区实际发展需求进行人员组建，保障农科园在职人员充分发挥作用</w:t>
      </w:r>
      <w:bookmarkEnd w:id="47"/>
      <w:r>
        <w:rPr>
          <w:rFonts w:ascii="Times New Roman" w:hAnsi="Times New Roman" w:cs="Times New Roman"/>
          <w:bCs/>
        </w:rPr>
        <w:t>；其次，完善内部人员管理制度，根据职位职能明确工作任务，形成工作内容权责清单。</w:t>
      </w:r>
    </w:p>
    <w:p>
      <w:pPr>
        <w:pStyle w:val="2"/>
        <w:spacing w:before="0" w:beforeLines="0" w:after="0" w:afterLines="0"/>
        <w:ind w:firstLine="640"/>
        <w:rPr>
          <w:rFonts w:ascii="Times New Roman" w:hAnsi="Times New Roman" w:cs="Times New Roman"/>
        </w:rPr>
      </w:pPr>
      <w:bookmarkStart w:id="48" w:name="_Toc77503501"/>
      <w:bookmarkStart w:id="49" w:name="_Toc77922561"/>
      <w:r>
        <w:rPr>
          <w:rFonts w:ascii="Times New Roman" w:hAnsi="Times New Roman" w:cs="Times New Roman"/>
        </w:rPr>
        <w:t>附件 绵竹市2020年农科园部门整体支出绩效评价指标得分表</w:t>
      </w:r>
      <w:bookmarkEnd w:id="48"/>
      <w:bookmarkEnd w:id="49"/>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992"/>
        <w:gridCol w:w="955"/>
        <w:gridCol w:w="887"/>
        <w:gridCol w:w="1780"/>
        <w:gridCol w:w="4034"/>
        <w:gridCol w:w="709"/>
        <w:gridCol w:w="1134"/>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1438" w:type="pct"/>
            <w:gridSpan w:val="4"/>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评价指标</w:t>
            </w:r>
          </w:p>
        </w:tc>
        <w:tc>
          <w:tcPr>
            <w:tcW w:w="628"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指标解释</w:t>
            </w:r>
          </w:p>
        </w:tc>
        <w:tc>
          <w:tcPr>
            <w:tcW w:w="1423"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评分标准</w:t>
            </w:r>
          </w:p>
        </w:tc>
        <w:tc>
          <w:tcPr>
            <w:tcW w:w="250"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w:t>
            </w:r>
          </w:p>
        </w:tc>
        <w:tc>
          <w:tcPr>
            <w:tcW w:w="400"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得分率</w:t>
            </w:r>
          </w:p>
        </w:tc>
        <w:tc>
          <w:tcPr>
            <w:tcW w:w="861" w:type="pct"/>
            <w:vMerge w:val="restar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扣分（得分）依据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438" w:type="pc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一级指标</w:t>
            </w:r>
          </w:p>
        </w:tc>
        <w:tc>
          <w:tcPr>
            <w:tcW w:w="350" w:type="pc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二级指标</w:t>
            </w:r>
          </w:p>
        </w:tc>
        <w:tc>
          <w:tcPr>
            <w:tcW w:w="337" w:type="pc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三级指标</w:t>
            </w:r>
          </w:p>
        </w:tc>
        <w:tc>
          <w:tcPr>
            <w:tcW w:w="313" w:type="pct"/>
            <w:shd w:val="clear" w:color="000000" w:fill="00516B"/>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r>
              <w:rPr>
                <w:rFonts w:ascii="Times New Roman" w:hAnsi="Times New Roman" w:eastAsia="宋体" w:cs="Times New Roman"/>
                <w:b/>
                <w:bCs/>
                <w:color w:val="FFFFFF"/>
                <w:kern w:val="0"/>
                <w:sz w:val="20"/>
                <w:szCs w:val="20"/>
              </w:rPr>
              <w:t>分值</w:t>
            </w:r>
          </w:p>
        </w:tc>
        <w:tc>
          <w:tcPr>
            <w:tcW w:w="628" w:type="pct"/>
            <w:vMerge w:val="continue"/>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p>
        </w:tc>
        <w:tc>
          <w:tcPr>
            <w:tcW w:w="1423" w:type="pct"/>
            <w:vMerge w:val="continue"/>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p>
        </w:tc>
        <w:tc>
          <w:tcPr>
            <w:tcW w:w="250" w:type="pct"/>
            <w:vMerge w:val="continue"/>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p>
        </w:tc>
        <w:tc>
          <w:tcPr>
            <w:tcW w:w="400" w:type="pct"/>
            <w:vMerge w:val="continue"/>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p>
        </w:tc>
        <w:tc>
          <w:tcPr>
            <w:tcW w:w="861" w:type="pct"/>
            <w:vMerge w:val="continue"/>
            <w:vAlign w:val="center"/>
          </w:tcPr>
          <w:p>
            <w:pPr>
              <w:widowControl/>
              <w:spacing w:line="560" w:lineRule="exact"/>
              <w:ind w:left="0" w:leftChars="0"/>
              <w:jc w:val="center"/>
              <w:rPr>
                <w:rFonts w:ascii="Times New Roman" w:hAnsi="Times New Roman" w:eastAsia="宋体" w:cs="Times New Roman"/>
                <w:b/>
                <w:bCs/>
                <w:color w:val="FFFFFF"/>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restart"/>
            <w:shd w:val="clear" w:color="auto" w:fill="auto"/>
            <w:textDirection w:val="tbRlV"/>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预算管理（10分）</w:t>
            </w:r>
          </w:p>
        </w:tc>
        <w:tc>
          <w:tcPr>
            <w:tcW w:w="3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预算编制</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预算安排准确性</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反映部门（单位）年初预算安排的准确性</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指标得分=年初预算资金总数/预算资金总来源*指标分值，预算资金总来源是指年初预算与执行中追加预算（不含当年中央、省专款）总和。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因农科园2020为新成立单位，年初并未设置预算，该部门资金均以追加的形式拨付，故该项不考虑在内，该指标不扣分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执行进度</w:t>
            </w:r>
          </w:p>
        </w:tc>
        <w:tc>
          <w:tcPr>
            <w:tcW w:w="337"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部门总体执行进度</w:t>
            </w:r>
          </w:p>
        </w:tc>
        <w:tc>
          <w:tcPr>
            <w:tcW w:w="313"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部门（单位）按要求严格预算管理</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部门总体执行进度达96%以上，不扣分；达92%以上，按80%打分；达88%以上，按60%打分；未达到88%，不得分。</w:t>
            </w:r>
          </w:p>
        </w:tc>
        <w:tc>
          <w:tcPr>
            <w:tcW w:w="2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因农科园2021为新成立单位，年初并未设置预算，该部门资金均以追加的形式拨付，故该项不考虑在内，该指标不扣分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13"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62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总体执行进度=财政拨款执行数÷财政拨款调整预算数，财政拨款包括当年一般公共预算财政拨款数和政府性基金预算财政拨款数、上年结转一般公共预算财政拨款数和政府性基金预算财政拨款数以及通过收回的存量资金再安排的预算数。调整预算数不包括年终时已进入政府采购程序的项目和跨年度执行的基建项目。</w:t>
            </w:r>
          </w:p>
        </w:tc>
        <w:tc>
          <w:tcPr>
            <w:tcW w:w="2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40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861"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restart"/>
            <w:shd w:val="clear" w:color="auto" w:fill="auto"/>
            <w:textDirection w:val="tbRlV"/>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目标管理（10分）</w:t>
            </w: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绩效目标</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目标填报</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考核部门是否按要求编制专项资金、部门专项类项目绩效目标</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应编制绩效目标的专项类项目、专项资金未按要求申报绩效目标，发现1个项目扣0.5分；填报内容不规范，发现1处扣0.5分。直至扣完。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由于该部门去年新成立，年初未填报预算编制和绩效目标，故此项不扣分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目标量化</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考核部门申报绩效目标的量化程度</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专项类项目、专项资金设定的产出指标均应量化，效果指标中应至少50%以上量化指标。发现1个项目未达到要求扣0.5分，直至扣完。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3.00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由于该部门去年新成立，年初未填报预算编制和绩效目标，故此项不扣分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目标匹配</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考核部门申报的绩效目标是否与部门职能职责相关</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专项类项目、专项资金设定的绩效目标与部门职能职责不一致的，发现一个项目扣1分，直至扣完。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由于该部门去年新成立，年初未填报预算编制和绩效目标，故此项不扣分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restart"/>
            <w:shd w:val="clear" w:color="auto" w:fill="auto"/>
            <w:textDirection w:val="tbRlV"/>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部门管理（10分）</w:t>
            </w: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基础管理</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管理制度健全性</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部门（单位）为加强预算管理、推进厉行节约、规范财务行为而制定的管理制度是否健全完整</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是否已制定或具有预算资金管理办法、厉行节约管理措施、内部财务管理制度、会计核算制度等管理制度；相关管理制度是否合法、合规、完整；相关管理制度是否得到有效执行。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农科园内部各类事务均有相关的文件制度依据，内部管理制度主要依据《农科园管理委员会机关管理制度》执行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资金使用合规性</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部门（单位）使用预算资金是否符合相关的预算财务管理制度的规定</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0.50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调研发现，一是发放劳务费时未代扣税款；二是发放工会职工生日费（1800元）无发放个人明细表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财务监控有效性</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考察部门是否对部门内部、各所属单位，专项资金分配的区（市）县或项目实施主体进行工作监督和定期考核。</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对部门内部、下属单位、分配的专项资金</w:t>
            </w:r>
            <w:r>
              <w:rPr>
                <w:rFonts w:ascii="Cambria Math" w:hAnsi="Cambria Math" w:eastAsia="宋体" w:cs="Cambria Math"/>
                <w:color w:val="000000"/>
                <w:kern w:val="0"/>
                <w:sz w:val="20"/>
                <w:szCs w:val="20"/>
              </w:rPr>
              <w:t>①</w:t>
            </w:r>
            <w:r>
              <w:rPr>
                <w:rFonts w:ascii="Times New Roman" w:hAnsi="Times New Roman" w:eastAsia="宋体" w:cs="Times New Roman"/>
                <w:color w:val="000000"/>
                <w:kern w:val="0"/>
                <w:sz w:val="20"/>
                <w:szCs w:val="20"/>
              </w:rPr>
              <w:t>制定明确的财务监控监督措施，得1分；</w:t>
            </w:r>
            <w:r>
              <w:rPr>
                <w:rFonts w:ascii="Cambria Math" w:hAnsi="Cambria Math" w:eastAsia="宋体" w:cs="Cambria Math"/>
                <w:color w:val="000000"/>
                <w:kern w:val="0"/>
                <w:sz w:val="20"/>
                <w:szCs w:val="20"/>
              </w:rPr>
              <w:t>②</w:t>
            </w:r>
            <w:r>
              <w:rPr>
                <w:rFonts w:ascii="Times New Roman" w:hAnsi="Times New Roman" w:eastAsia="宋体" w:cs="Times New Roman"/>
                <w:color w:val="000000"/>
                <w:kern w:val="0"/>
                <w:sz w:val="20"/>
                <w:szCs w:val="20"/>
              </w:rPr>
              <w:t>监控、监督措施执行有效，得1分。</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农科园暂无下属单位，内部财务管理制度，仅有针对财务人员职能职责、报销管理、合同管理等相关规定，无财务监督考核制度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行政成本</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“三公”部门整体资金控制</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当年“三公”部门整体资金预算与当年决算比，反映“三公”部门整体资金控制情况</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部门“三公”部门整体资金决算数一项超预算扣0.5分，两项扣1分</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2020年农科园无因公出国（境）费用；公务接待费0.22万元，无超支之处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政府采购</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采购规范性</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考察政府采购项目的采购程序、 采购方式的规范性</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采购方式、程序中每一点不规范，扣 0.5 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在孵化中心建设与园区内装修采购等大额项目资金支出时审核不严，附件不全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资产管理</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固定资产在用率</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部门实际在用固定资产总额与所有固定资产总额的比率， 用以反映和考核部门固定资产使用效率及程度</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固定资产在用率=（实际在用固定资产总额/所有固定资产总额）×100%。 固定资产在用率达到 95%以上得满分。 相较95%，每降低 5个百分点扣1分，直至扣完。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因农科为新成立单位，固定资产为新购置，暂无固定资产折旧情况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信息公开</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信息公开</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除涉密单位和信息外，考核部门（单位）是否按财政要求及时完成预算、决算、绩效等信息公开工作</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一项公开工作未完成的扣1分，直至扣完。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2020年农科园预算及绩效信息在绵竹市政府网公开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restart"/>
            <w:shd w:val="clear" w:color="auto" w:fill="auto"/>
            <w:textDirection w:val="tbRlV"/>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履职效能（70分）</w:t>
            </w: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重点任务完成度</w:t>
            </w:r>
          </w:p>
        </w:tc>
        <w:tc>
          <w:tcPr>
            <w:tcW w:w="337"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任务完成率</w:t>
            </w:r>
          </w:p>
        </w:tc>
        <w:tc>
          <w:tcPr>
            <w:tcW w:w="313"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628"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得分=分值×实际完成任务量/绩效目标设定任务量×100%。实际完成任务量大于绩效目标设定任务量得满分。</w:t>
            </w:r>
          </w:p>
        </w:tc>
        <w:tc>
          <w:tcPr>
            <w:tcW w:w="1423" w:type="pct"/>
            <w:shd w:val="clear" w:color="000000" w:fill="FFFFFF"/>
            <w:vAlign w:val="center"/>
          </w:tcPr>
          <w:p>
            <w:pPr>
              <w:widowControl/>
              <w:spacing w:line="560" w:lineRule="exact"/>
              <w:ind w:left="0" w:leftChars="0"/>
              <w:jc w:val="center"/>
              <w:rPr>
                <w:rFonts w:ascii="Times New Roman" w:hAnsi="Times New Roman" w:eastAsia="宋体" w:cs="Times New Roman"/>
                <w:kern w:val="0"/>
                <w:sz w:val="24"/>
                <w:szCs w:val="24"/>
              </w:rPr>
            </w:pPr>
          </w:p>
        </w:tc>
        <w:tc>
          <w:tcPr>
            <w:tcW w:w="2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40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2020年度重点工作任务：园区建设，基本部门体系搭建、协助企业入驻园区、优化企业的引入和退出机制基本均已完成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13"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62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1423" w:type="pct"/>
            <w:shd w:val="clear" w:color="000000" w:fill="FFFFFF"/>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根据2020年度重点工作主要为园区建设，基本部门体系搭建、协助企业入驻园区、优化企业的引入和退出机制</w:t>
            </w:r>
          </w:p>
        </w:tc>
        <w:tc>
          <w:tcPr>
            <w:tcW w:w="2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40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861"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孵化园建设进度</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根据建设进度打分</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建设进度是否有按2020年计划的进度完成</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7.00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孵化园中心预计动工时间为2020年12月，实际按照该计划执行，故不扣分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园区对外宣传</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科技园区科技农业宣传力度</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针对农科园宣传整体做打分</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宣传渠道是否全覆盖，宣传手段是否科学合理，一项不合理或宣传不到位扣1分，直至扣完。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农科园对外宣传主要通过三个渠道，一个是农科园区一楼的各类农业科技产品的展示、宣传；二是在线政府各类平台的宣传和推广；三是依靠农科园内部的市场开发办公室进行实地企业走访，农园走访宣传等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企业入驻宣传力度</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企业入驻宣传是否到位</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根据企业入驻数，是否符合预期设置，一项不符合扣1分，直至扣完。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农科园整体建设装修和整体布置于2020年10月份左右完工，截至评价期入驻企业为4家，符合预期入驻数量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园区建设完成度</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硬件设施完成度</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根据2020年初针对园区进行装修和办公用品，办公桌椅等购置，是否全部按照计划完成</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一项工作未完成的扣1分，直至扣完。</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据调研走访，全区内所有装修已全部完工，无未完成之处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内部人员安排完成度</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6.00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人员安排是否按照“三定方案”中的人员设置完成对应的人员组建</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按照实际在职人数/实际要求人数*指标得分</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2.50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41.67%</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根据“三定方案”相关要求，农科园应设置人员安排为12人，不包括兼职人员，调查发现，农科园实际在职人数人为7人，其中2名为兼职，在职率为41.67%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restar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对外引进力度</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农业园区合作数</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行政执法人数是否相比2019年审查人数有上升</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根据人数对比是否有提升，无增加（0%）；有增加（60%）；增幅很大（100%）</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2020年度农科园引进川大、川农大等专家教授团队在园区企业建立工作站，成立由25名国内外专家组成的“园区专家顾问委员会，合作工作符合预期要求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科技人才引进数</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律师审查人数是否相比2020年审查人数有上升</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根据律师审查人数对比是否有提升，无增加（0%）；有增加（60%）；增幅很大（100%）</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引进国内外专家人才26名深入园区服务，符合预期数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农业科技项目申报数</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是否有组织开展内部法治培训</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根据2020年度协助企业申报农业科技项目数，是否符合预计完成数</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2020年组织申报国省市级项目共15个，符合预期申报数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 w:hRule="atLeast"/>
        </w:trPr>
        <w:tc>
          <w:tcPr>
            <w:tcW w:w="438" w:type="pct"/>
            <w:vMerge w:val="continue"/>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3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企业满意度</w:t>
            </w:r>
          </w:p>
        </w:tc>
        <w:tc>
          <w:tcPr>
            <w:tcW w:w="337"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入驻企业满意度</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628"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根据满意度调查评分</w:t>
            </w:r>
          </w:p>
        </w:tc>
        <w:tc>
          <w:tcPr>
            <w:tcW w:w="142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根据2020年企业入驻情况情况，按照满意度占比分数打分（指标分数=满意度占比*指标权重）</w:t>
            </w: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调研发现，在园区内入驻的4家企业均对农业园区的整体服务表示非常满意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1125" w:type="pct"/>
            <w:gridSpan w:val="3"/>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合计</w:t>
            </w:r>
          </w:p>
        </w:tc>
        <w:tc>
          <w:tcPr>
            <w:tcW w:w="313"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100.00</w:t>
            </w:r>
          </w:p>
        </w:tc>
        <w:tc>
          <w:tcPr>
            <w:tcW w:w="2051" w:type="pct"/>
            <w:gridSpan w:val="2"/>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c>
          <w:tcPr>
            <w:tcW w:w="25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95.00</w:t>
            </w:r>
          </w:p>
        </w:tc>
        <w:tc>
          <w:tcPr>
            <w:tcW w:w="400"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95.00%</w:t>
            </w:r>
          </w:p>
        </w:tc>
        <w:tc>
          <w:tcPr>
            <w:tcW w:w="861" w:type="pct"/>
            <w:shd w:val="clear" w:color="auto" w:fill="auto"/>
            <w:vAlign w:val="center"/>
          </w:tcPr>
          <w:p>
            <w:pPr>
              <w:widowControl/>
              <w:spacing w:line="560" w:lineRule="exact"/>
              <w:ind w:left="0" w:leftChars="0"/>
              <w:jc w:val="center"/>
              <w:rPr>
                <w:rFonts w:ascii="Times New Roman" w:hAnsi="Times New Roman" w:eastAsia="宋体" w:cs="Times New Roman"/>
                <w:color w:val="000000"/>
                <w:kern w:val="0"/>
                <w:sz w:val="20"/>
                <w:szCs w:val="20"/>
              </w:rPr>
            </w:pPr>
          </w:p>
        </w:tc>
      </w:tr>
    </w:tbl>
    <w:p>
      <w:pPr>
        <w:spacing w:line="560" w:lineRule="exact"/>
        <w:ind w:left="0" w:leftChars="0" w:firstLine="640"/>
        <w:rPr>
          <w:rFonts w:ascii="Times New Roman" w:hAnsi="Times New Roman" w:eastAsia="黑体" w:cs="Times New Roman"/>
          <w:kern w:val="0"/>
          <w:szCs w:val="32"/>
        </w:rPr>
      </w:pPr>
    </w:p>
    <w:sectPr>
      <w:headerReference r:id="rId14" w:type="first"/>
      <w:footerReference r:id="rId17" w:type="first"/>
      <w:headerReference r:id="rId12" w:type="default"/>
      <w:footerReference r:id="rId15" w:type="default"/>
      <w:headerReference r:id="rId13" w:type="even"/>
      <w:footerReference r:id="rId16" w:type="even"/>
      <w:pgSz w:w="16838" w:h="11906" w:orient="landscape"/>
      <w:pgMar w:top="1803" w:right="1440" w:bottom="1803" w:left="1440" w:header="851" w:footer="992" w:gutter="0"/>
      <w:cols w:space="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left="640"/>
      </w:pPr>
      <w:r>
        <w:separator/>
      </w:r>
    </w:p>
  </w:endnote>
  <w:endnote w:type="continuationSeparator" w:id="1">
    <w:p>
      <w:pPr>
        <w:ind w:left="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1" w:csb1="00000000"/>
  </w:font>
  <w:font w:name="楷体_GB2312">
    <w:altName w:val="楷体"/>
    <w:panose1 w:val="02010609030101010101"/>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640"/>
      <w:jc w:val="center"/>
    </w:pPr>
  </w:p>
  <w:p>
    <w:pPr>
      <w:pStyle w:val="9"/>
      <w:ind w:left="64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64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64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8878040"/>
      <w:docPartObj>
        <w:docPartGallery w:val="AutoText"/>
      </w:docPartObj>
    </w:sdtPr>
    <w:sdtContent>
      <w:p>
        <w:pPr>
          <w:pStyle w:val="9"/>
          <w:ind w:left="640"/>
          <w:jc w:val="center"/>
        </w:pPr>
        <w:r>
          <w:fldChar w:fldCharType="begin"/>
        </w:r>
        <w:r>
          <w:instrText xml:space="preserve">PAGE   \* MERGEFORMAT</w:instrText>
        </w:r>
        <w:r>
          <w:fldChar w:fldCharType="separate"/>
        </w:r>
        <w:r>
          <w:rPr>
            <w:lang w:val="zh-CN"/>
          </w:rPr>
          <w:t>13</w:t>
        </w:r>
        <w:r>
          <w:fldChar w:fldCharType="end"/>
        </w:r>
      </w:p>
    </w:sdtContent>
  </w:sdt>
  <w:p>
    <w:pPr>
      <w:pStyle w:val="9"/>
      <w:ind w:left="64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64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64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64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left="640"/>
      </w:pPr>
      <w:r>
        <w:separator/>
      </w:r>
    </w:p>
  </w:footnote>
  <w:footnote w:type="continuationSeparator" w:id="3">
    <w:p>
      <w:pPr>
        <w:ind w:left="640"/>
      </w:pPr>
      <w:r>
        <w:continuationSeparator/>
      </w:r>
    </w:p>
  </w:footnote>
  <w:footnote w:id="0">
    <w:p>
      <w:pPr>
        <w:pStyle w:val="28"/>
        <w:spacing w:before="156" w:after="156"/>
        <w:ind w:left="640" w:firstLine="360"/>
      </w:pPr>
      <w:r>
        <w:rPr>
          <w:rStyle w:val="20"/>
        </w:rPr>
        <w:footnoteRef/>
      </w:r>
      <w: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64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64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64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640"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64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60"/>
  <w:drawingGridVerticalSpacing w:val="435"/>
  <w:displayHorizontalDrawingGridEvery w:val="2"/>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E6"/>
    <w:rsid w:val="0000528D"/>
    <w:rsid w:val="0001495D"/>
    <w:rsid w:val="000158EC"/>
    <w:rsid w:val="00053E3F"/>
    <w:rsid w:val="000A2135"/>
    <w:rsid w:val="000A4100"/>
    <w:rsid w:val="000A60CD"/>
    <w:rsid w:val="000B030B"/>
    <w:rsid w:val="000B622A"/>
    <w:rsid w:val="000B7711"/>
    <w:rsid w:val="000C5C51"/>
    <w:rsid w:val="000C6905"/>
    <w:rsid w:val="000E03A0"/>
    <w:rsid w:val="000F7AA1"/>
    <w:rsid w:val="00103110"/>
    <w:rsid w:val="001169B3"/>
    <w:rsid w:val="001307DD"/>
    <w:rsid w:val="00130832"/>
    <w:rsid w:val="00131A61"/>
    <w:rsid w:val="00141E9A"/>
    <w:rsid w:val="00143014"/>
    <w:rsid w:val="0015286D"/>
    <w:rsid w:val="00181DA4"/>
    <w:rsid w:val="00191EC1"/>
    <w:rsid w:val="001936CF"/>
    <w:rsid w:val="001A0B31"/>
    <w:rsid w:val="001B7292"/>
    <w:rsid w:val="001B7E4E"/>
    <w:rsid w:val="001C19DA"/>
    <w:rsid w:val="001C371F"/>
    <w:rsid w:val="001F16CE"/>
    <w:rsid w:val="001F3773"/>
    <w:rsid w:val="001F42A9"/>
    <w:rsid w:val="001F609C"/>
    <w:rsid w:val="002024AD"/>
    <w:rsid w:val="00203139"/>
    <w:rsid w:val="00214A80"/>
    <w:rsid w:val="002215A8"/>
    <w:rsid w:val="002313C6"/>
    <w:rsid w:val="002371DD"/>
    <w:rsid w:val="00241244"/>
    <w:rsid w:val="0025324A"/>
    <w:rsid w:val="002535B1"/>
    <w:rsid w:val="00253D85"/>
    <w:rsid w:val="00290147"/>
    <w:rsid w:val="00290446"/>
    <w:rsid w:val="002A183A"/>
    <w:rsid w:val="002A4442"/>
    <w:rsid w:val="002B3C17"/>
    <w:rsid w:val="002B65C9"/>
    <w:rsid w:val="002C05EC"/>
    <w:rsid w:val="002C3E08"/>
    <w:rsid w:val="002D1DA6"/>
    <w:rsid w:val="002D7448"/>
    <w:rsid w:val="002F0FB3"/>
    <w:rsid w:val="002F14B7"/>
    <w:rsid w:val="002F22FA"/>
    <w:rsid w:val="00316542"/>
    <w:rsid w:val="003173A3"/>
    <w:rsid w:val="0032521E"/>
    <w:rsid w:val="00333CB5"/>
    <w:rsid w:val="00334C32"/>
    <w:rsid w:val="00344592"/>
    <w:rsid w:val="00353EED"/>
    <w:rsid w:val="0036100F"/>
    <w:rsid w:val="00376BB2"/>
    <w:rsid w:val="003848ED"/>
    <w:rsid w:val="00390158"/>
    <w:rsid w:val="0039178D"/>
    <w:rsid w:val="00391F05"/>
    <w:rsid w:val="00396D9D"/>
    <w:rsid w:val="003A0FFC"/>
    <w:rsid w:val="003A1B45"/>
    <w:rsid w:val="003A4284"/>
    <w:rsid w:val="003B635A"/>
    <w:rsid w:val="003B793A"/>
    <w:rsid w:val="003C27ED"/>
    <w:rsid w:val="003D2150"/>
    <w:rsid w:val="003D3378"/>
    <w:rsid w:val="003D3D7D"/>
    <w:rsid w:val="003E1216"/>
    <w:rsid w:val="003E2506"/>
    <w:rsid w:val="003E37E7"/>
    <w:rsid w:val="00416B8B"/>
    <w:rsid w:val="0042453A"/>
    <w:rsid w:val="004468A8"/>
    <w:rsid w:val="004511FD"/>
    <w:rsid w:val="00451EE6"/>
    <w:rsid w:val="00457D8E"/>
    <w:rsid w:val="0046209A"/>
    <w:rsid w:val="00466302"/>
    <w:rsid w:val="004679CA"/>
    <w:rsid w:val="00476A39"/>
    <w:rsid w:val="00483687"/>
    <w:rsid w:val="00484E16"/>
    <w:rsid w:val="00485952"/>
    <w:rsid w:val="004918C2"/>
    <w:rsid w:val="00493031"/>
    <w:rsid w:val="00497EAF"/>
    <w:rsid w:val="004A40EC"/>
    <w:rsid w:val="004B01BB"/>
    <w:rsid w:val="004C78B6"/>
    <w:rsid w:val="004D07EC"/>
    <w:rsid w:val="004D51A4"/>
    <w:rsid w:val="004D7C86"/>
    <w:rsid w:val="005138AE"/>
    <w:rsid w:val="00516015"/>
    <w:rsid w:val="005351F9"/>
    <w:rsid w:val="0053597B"/>
    <w:rsid w:val="00553B8E"/>
    <w:rsid w:val="005554B2"/>
    <w:rsid w:val="00565183"/>
    <w:rsid w:val="00570714"/>
    <w:rsid w:val="00574C40"/>
    <w:rsid w:val="00583967"/>
    <w:rsid w:val="0058612F"/>
    <w:rsid w:val="00595C8B"/>
    <w:rsid w:val="005A11FA"/>
    <w:rsid w:val="005B7181"/>
    <w:rsid w:val="005C6019"/>
    <w:rsid w:val="005C779B"/>
    <w:rsid w:val="005D1A03"/>
    <w:rsid w:val="005E2544"/>
    <w:rsid w:val="005E29D3"/>
    <w:rsid w:val="005F03B9"/>
    <w:rsid w:val="005F5E13"/>
    <w:rsid w:val="00600AB7"/>
    <w:rsid w:val="00603905"/>
    <w:rsid w:val="0061459F"/>
    <w:rsid w:val="00617546"/>
    <w:rsid w:val="006275CF"/>
    <w:rsid w:val="00631B0D"/>
    <w:rsid w:val="00634026"/>
    <w:rsid w:val="00635B26"/>
    <w:rsid w:val="0064281E"/>
    <w:rsid w:val="00651289"/>
    <w:rsid w:val="006604F2"/>
    <w:rsid w:val="00660DF0"/>
    <w:rsid w:val="00665F60"/>
    <w:rsid w:val="00671A29"/>
    <w:rsid w:val="00677757"/>
    <w:rsid w:val="00681BE1"/>
    <w:rsid w:val="00692AE6"/>
    <w:rsid w:val="006B7047"/>
    <w:rsid w:val="006C2F32"/>
    <w:rsid w:val="006C6124"/>
    <w:rsid w:val="006D1EBE"/>
    <w:rsid w:val="006E5287"/>
    <w:rsid w:val="006F2208"/>
    <w:rsid w:val="00700CCD"/>
    <w:rsid w:val="00743498"/>
    <w:rsid w:val="00750C69"/>
    <w:rsid w:val="0075760B"/>
    <w:rsid w:val="00761458"/>
    <w:rsid w:val="00773847"/>
    <w:rsid w:val="00796C7E"/>
    <w:rsid w:val="007C0228"/>
    <w:rsid w:val="007C15F9"/>
    <w:rsid w:val="007C3800"/>
    <w:rsid w:val="007C52E0"/>
    <w:rsid w:val="007D769B"/>
    <w:rsid w:val="007F63A1"/>
    <w:rsid w:val="00800385"/>
    <w:rsid w:val="00803243"/>
    <w:rsid w:val="0082377B"/>
    <w:rsid w:val="00827060"/>
    <w:rsid w:val="008408FC"/>
    <w:rsid w:val="0085373C"/>
    <w:rsid w:val="0086022B"/>
    <w:rsid w:val="008613A5"/>
    <w:rsid w:val="00872180"/>
    <w:rsid w:val="00882E1A"/>
    <w:rsid w:val="00890D58"/>
    <w:rsid w:val="0089543B"/>
    <w:rsid w:val="008A10F8"/>
    <w:rsid w:val="008A3666"/>
    <w:rsid w:val="008A418C"/>
    <w:rsid w:val="008A6FEF"/>
    <w:rsid w:val="008B3D71"/>
    <w:rsid w:val="008B61A6"/>
    <w:rsid w:val="008C22D4"/>
    <w:rsid w:val="008D45D1"/>
    <w:rsid w:val="008E3B62"/>
    <w:rsid w:val="008E5480"/>
    <w:rsid w:val="008F013D"/>
    <w:rsid w:val="009046A2"/>
    <w:rsid w:val="009120DE"/>
    <w:rsid w:val="009147F4"/>
    <w:rsid w:val="00920657"/>
    <w:rsid w:val="00920AFE"/>
    <w:rsid w:val="009308C7"/>
    <w:rsid w:val="00935805"/>
    <w:rsid w:val="00941F5F"/>
    <w:rsid w:val="0094431C"/>
    <w:rsid w:val="00961752"/>
    <w:rsid w:val="009749AE"/>
    <w:rsid w:val="00982C48"/>
    <w:rsid w:val="00995B85"/>
    <w:rsid w:val="00997D9F"/>
    <w:rsid w:val="009A3BBF"/>
    <w:rsid w:val="009B3562"/>
    <w:rsid w:val="009B5D1F"/>
    <w:rsid w:val="009C7CCF"/>
    <w:rsid w:val="009E670E"/>
    <w:rsid w:val="009E67E9"/>
    <w:rsid w:val="009F5728"/>
    <w:rsid w:val="00A01442"/>
    <w:rsid w:val="00A0374E"/>
    <w:rsid w:val="00A27BB8"/>
    <w:rsid w:val="00A27CE2"/>
    <w:rsid w:val="00A31673"/>
    <w:rsid w:val="00A3553A"/>
    <w:rsid w:val="00A51540"/>
    <w:rsid w:val="00A51B41"/>
    <w:rsid w:val="00A82A6F"/>
    <w:rsid w:val="00A912F2"/>
    <w:rsid w:val="00A92D11"/>
    <w:rsid w:val="00A955B2"/>
    <w:rsid w:val="00AA43F5"/>
    <w:rsid w:val="00AA6B8D"/>
    <w:rsid w:val="00AA79EC"/>
    <w:rsid w:val="00AB2A0B"/>
    <w:rsid w:val="00AC1A44"/>
    <w:rsid w:val="00AD66FC"/>
    <w:rsid w:val="00AE0247"/>
    <w:rsid w:val="00B01531"/>
    <w:rsid w:val="00B12BCC"/>
    <w:rsid w:val="00B4720F"/>
    <w:rsid w:val="00B5314D"/>
    <w:rsid w:val="00B535CA"/>
    <w:rsid w:val="00B66E81"/>
    <w:rsid w:val="00B722C4"/>
    <w:rsid w:val="00B81A44"/>
    <w:rsid w:val="00B82170"/>
    <w:rsid w:val="00B82478"/>
    <w:rsid w:val="00B87BEF"/>
    <w:rsid w:val="00B9112E"/>
    <w:rsid w:val="00BA0AB5"/>
    <w:rsid w:val="00BA751E"/>
    <w:rsid w:val="00BB386C"/>
    <w:rsid w:val="00BC2EC0"/>
    <w:rsid w:val="00BD02C2"/>
    <w:rsid w:val="00BD0C5E"/>
    <w:rsid w:val="00BE0D7D"/>
    <w:rsid w:val="00BE219E"/>
    <w:rsid w:val="00BE475E"/>
    <w:rsid w:val="00BE70FC"/>
    <w:rsid w:val="00C026B1"/>
    <w:rsid w:val="00C046FC"/>
    <w:rsid w:val="00C11ED5"/>
    <w:rsid w:val="00C20D16"/>
    <w:rsid w:val="00C23874"/>
    <w:rsid w:val="00C23DC4"/>
    <w:rsid w:val="00C34359"/>
    <w:rsid w:val="00C3759D"/>
    <w:rsid w:val="00C479A7"/>
    <w:rsid w:val="00C47ED1"/>
    <w:rsid w:val="00C6297D"/>
    <w:rsid w:val="00C8085E"/>
    <w:rsid w:val="00CA06B2"/>
    <w:rsid w:val="00CB00E0"/>
    <w:rsid w:val="00CE3A82"/>
    <w:rsid w:val="00CF144F"/>
    <w:rsid w:val="00D06A8B"/>
    <w:rsid w:val="00D302B1"/>
    <w:rsid w:val="00D311BD"/>
    <w:rsid w:val="00D322DA"/>
    <w:rsid w:val="00D61CA9"/>
    <w:rsid w:val="00D72DF1"/>
    <w:rsid w:val="00D763C6"/>
    <w:rsid w:val="00D77916"/>
    <w:rsid w:val="00D81333"/>
    <w:rsid w:val="00D82B33"/>
    <w:rsid w:val="00DA2A6F"/>
    <w:rsid w:val="00DB6287"/>
    <w:rsid w:val="00DB71E2"/>
    <w:rsid w:val="00DC1EF1"/>
    <w:rsid w:val="00DC209E"/>
    <w:rsid w:val="00DC23F8"/>
    <w:rsid w:val="00DF0E41"/>
    <w:rsid w:val="00E412B1"/>
    <w:rsid w:val="00E503CC"/>
    <w:rsid w:val="00E55116"/>
    <w:rsid w:val="00E570C1"/>
    <w:rsid w:val="00E65C68"/>
    <w:rsid w:val="00E6707D"/>
    <w:rsid w:val="00E743E3"/>
    <w:rsid w:val="00E779AF"/>
    <w:rsid w:val="00E84A04"/>
    <w:rsid w:val="00E959EA"/>
    <w:rsid w:val="00EA02B9"/>
    <w:rsid w:val="00EA4A93"/>
    <w:rsid w:val="00EB1D47"/>
    <w:rsid w:val="00ED1E56"/>
    <w:rsid w:val="00EE26E2"/>
    <w:rsid w:val="00EF571B"/>
    <w:rsid w:val="00F10012"/>
    <w:rsid w:val="00F179EE"/>
    <w:rsid w:val="00F3000E"/>
    <w:rsid w:val="00F3627F"/>
    <w:rsid w:val="00F64A92"/>
    <w:rsid w:val="00F77F50"/>
    <w:rsid w:val="00F82869"/>
    <w:rsid w:val="00F83D0F"/>
    <w:rsid w:val="00F96E25"/>
    <w:rsid w:val="00F979E8"/>
    <w:rsid w:val="00FA1A55"/>
    <w:rsid w:val="00FA384E"/>
    <w:rsid w:val="00FA6417"/>
    <w:rsid w:val="00FA64D2"/>
    <w:rsid w:val="00FB16B5"/>
    <w:rsid w:val="00FB53EC"/>
    <w:rsid w:val="00FB6DCD"/>
    <w:rsid w:val="00FD3196"/>
    <w:rsid w:val="00FE2105"/>
    <w:rsid w:val="00FF062E"/>
    <w:rsid w:val="00FF3C08"/>
    <w:rsid w:val="00FF7613"/>
    <w:rsid w:val="12752170"/>
    <w:rsid w:val="155A77C9"/>
    <w:rsid w:val="38301A65"/>
    <w:rsid w:val="447675A9"/>
    <w:rsid w:val="623A5E38"/>
    <w:rsid w:val="781C7310"/>
    <w:rsid w:val="7BDF3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420" w:leftChars="200"/>
      <w:jc w:val="both"/>
    </w:pPr>
    <w:rPr>
      <w:rFonts w:eastAsia="仿宋_GB2312" w:asciiTheme="minorHAnsi" w:hAnsiTheme="minorHAnsi" w:cstheme="minorBidi"/>
      <w:kern w:val="2"/>
      <w:sz w:val="32"/>
      <w:szCs w:val="22"/>
      <w:lang w:val="en-US" w:eastAsia="zh-CN" w:bidi="ar-SA"/>
    </w:rPr>
  </w:style>
  <w:style w:type="paragraph" w:styleId="2">
    <w:name w:val="heading 1"/>
    <w:basedOn w:val="3"/>
    <w:next w:val="1"/>
    <w:link w:val="22"/>
    <w:qFormat/>
    <w:uiPriority w:val="9"/>
    <w:pPr>
      <w:keepNext/>
      <w:keepLines/>
      <w:spacing w:before="50" w:beforeLines="50" w:after="50" w:afterLines="50" w:line="560" w:lineRule="exact"/>
      <w:ind w:left="0" w:leftChars="0" w:right="0" w:rightChars="0" w:firstLine="200" w:firstLineChars="200"/>
      <w:jc w:val="left"/>
      <w:outlineLvl w:val="0"/>
    </w:pPr>
    <w:rPr>
      <w:rFonts w:eastAsia="黑体"/>
      <w:bCs/>
      <w:kern w:val="44"/>
      <w:szCs w:val="44"/>
    </w:rPr>
  </w:style>
  <w:style w:type="paragraph" w:styleId="4">
    <w:name w:val="heading 2"/>
    <w:basedOn w:val="1"/>
    <w:next w:val="1"/>
    <w:link w:val="21"/>
    <w:unhideWhenUsed/>
    <w:qFormat/>
    <w:uiPriority w:val="9"/>
    <w:pPr>
      <w:keepNext/>
      <w:keepLines/>
      <w:spacing w:before="50" w:beforeLines="50" w:after="50" w:afterLines="50" w:line="560" w:lineRule="exact"/>
      <w:ind w:left="0" w:leftChars="0" w:firstLine="200" w:firstLineChars="200"/>
      <w:outlineLvl w:val="1"/>
    </w:pPr>
    <w:rPr>
      <w:rFonts w:ascii="Times New Roman" w:hAnsi="Times New Roman" w:eastAsia="楷体_GB2312" w:cstheme="majorBidi"/>
      <w:b/>
      <w:bCs/>
      <w:szCs w:val="32"/>
    </w:rPr>
  </w:style>
  <w:style w:type="paragraph" w:styleId="5">
    <w:name w:val="heading 3"/>
    <w:basedOn w:val="1"/>
    <w:next w:val="1"/>
    <w:link w:val="23"/>
    <w:unhideWhenUsed/>
    <w:qFormat/>
    <w:uiPriority w:val="9"/>
    <w:pPr>
      <w:keepNext/>
      <w:keepLines/>
      <w:spacing w:before="50" w:beforeLines="50" w:after="50" w:afterLines="50" w:line="560" w:lineRule="exact"/>
      <w:ind w:left="0" w:leftChars="0" w:firstLine="200" w:firstLineChars="200"/>
      <w:outlineLvl w:val="2"/>
    </w:pPr>
    <w:rPr>
      <w:b/>
      <w:bCs/>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Block Text"/>
    <w:basedOn w:val="1"/>
    <w:semiHidden/>
    <w:unhideWhenUsed/>
    <w:uiPriority w:val="99"/>
    <w:pPr>
      <w:spacing w:after="120"/>
      <w:ind w:left="1440" w:leftChars="700" w:right="700" w:rightChars="700"/>
    </w:pPr>
  </w:style>
  <w:style w:type="paragraph" w:styleId="6">
    <w:name w:val="annotation text"/>
    <w:basedOn w:val="1"/>
    <w:link w:val="31"/>
    <w:semiHidden/>
    <w:unhideWhenUsed/>
    <w:uiPriority w:val="99"/>
    <w:pPr>
      <w:jc w:val="left"/>
    </w:pPr>
  </w:style>
  <w:style w:type="paragraph" w:styleId="7">
    <w:name w:val="toc 3"/>
    <w:basedOn w:val="1"/>
    <w:next w:val="1"/>
    <w:unhideWhenUsed/>
    <w:uiPriority w:val="39"/>
    <w:pPr>
      <w:tabs>
        <w:tab w:val="right" w:leader="dot" w:pos="8296"/>
      </w:tabs>
      <w:spacing w:line="560" w:lineRule="exact"/>
      <w:ind w:left="1280" w:leftChars="400"/>
    </w:pPr>
    <w:rPr>
      <w:rFonts w:ascii="宋体" w:hAnsi="宋体" w:eastAsia="宋体" w:cs="Times New Roman"/>
      <w:sz w:val="24"/>
      <w:szCs w:val="24"/>
    </w:rPr>
  </w:style>
  <w:style w:type="paragraph" w:styleId="8">
    <w:name w:val="Balloon Text"/>
    <w:basedOn w:val="1"/>
    <w:link w:val="30"/>
    <w:semiHidden/>
    <w:unhideWhenUsed/>
    <w:uiPriority w:val="99"/>
    <w:rPr>
      <w:sz w:val="18"/>
      <w:szCs w:val="18"/>
    </w:rPr>
  </w:style>
  <w:style w:type="paragraph" w:styleId="9">
    <w:name w:val="footer"/>
    <w:basedOn w:val="1"/>
    <w:link w:val="25"/>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uiPriority w:val="39"/>
    <w:pPr>
      <w:tabs>
        <w:tab w:val="right" w:leader="dot" w:pos="8296"/>
      </w:tabs>
      <w:spacing w:line="560" w:lineRule="exact"/>
      <w:ind w:left="0" w:leftChars="0"/>
      <w:jc w:val="center"/>
    </w:pPr>
    <w:rPr>
      <w:rFonts w:ascii="黑体" w:hAnsi="黑体" w:eastAsia="黑体"/>
      <w:b/>
      <w:szCs w:val="32"/>
    </w:rPr>
  </w:style>
  <w:style w:type="paragraph" w:styleId="12">
    <w:name w:val="footnote text"/>
    <w:basedOn w:val="1"/>
    <w:link w:val="29"/>
    <w:semiHidden/>
    <w:unhideWhenUsed/>
    <w:uiPriority w:val="99"/>
    <w:pPr>
      <w:snapToGrid w:val="0"/>
      <w:jc w:val="left"/>
    </w:pPr>
    <w:rPr>
      <w:sz w:val="18"/>
      <w:szCs w:val="18"/>
    </w:rPr>
  </w:style>
  <w:style w:type="paragraph" w:styleId="13">
    <w:name w:val="toc 2"/>
    <w:basedOn w:val="1"/>
    <w:next w:val="1"/>
    <w:unhideWhenUsed/>
    <w:uiPriority w:val="39"/>
    <w:pPr>
      <w:tabs>
        <w:tab w:val="right" w:leader="dot" w:pos="8296"/>
      </w:tabs>
      <w:spacing w:line="560" w:lineRule="exact"/>
      <w:ind w:left="640"/>
    </w:pPr>
    <w:rPr>
      <w:rFonts w:ascii="宋体" w:hAnsi="宋体" w:eastAsia="宋体" w:cs="Times New Roman"/>
      <w:sz w:val="24"/>
      <w:szCs w:val="24"/>
    </w:rPr>
  </w:style>
  <w:style w:type="paragraph" w:styleId="14">
    <w:name w:val="annotation subject"/>
    <w:basedOn w:val="6"/>
    <w:next w:val="6"/>
    <w:link w:val="32"/>
    <w:semiHidden/>
    <w:unhideWhenUsed/>
    <w:uiPriority w:val="99"/>
    <w:rPr>
      <w:b/>
      <w:bCs/>
    </w:rPr>
  </w:style>
  <w:style w:type="table" w:styleId="16">
    <w:name w:val="Table Grid"/>
    <w:basedOn w:val="15"/>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uiPriority w:val="99"/>
    <w:rPr>
      <w:color w:val="0563C1" w:themeColor="hyperlink"/>
      <w:u w:val="single"/>
      <w14:textFill>
        <w14:solidFill>
          <w14:schemeClr w14:val="hlink"/>
        </w14:solidFill>
      </w14:textFill>
    </w:rPr>
  </w:style>
  <w:style w:type="character" w:styleId="19">
    <w:name w:val="annotation reference"/>
    <w:basedOn w:val="17"/>
    <w:semiHidden/>
    <w:unhideWhenUsed/>
    <w:uiPriority w:val="99"/>
    <w:rPr>
      <w:sz w:val="21"/>
      <w:szCs w:val="21"/>
    </w:rPr>
  </w:style>
  <w:style w:type="character" w:styleId="20">
    <w:name w:val="footnote reference"/>
    <w:basedOn w:val="17"/>
    <w:unhideWhenUsed/>
    <w:qFormat/>
    <w:uiPriority w:val="0"/>
    <w:rPr>
      <w:vertAlign w:val="superscript"/>
    </w:rPr>
  </w:style>
  <w:style w:type="character" w:customStyle="1" w:styleId="21">
    <w:name w:val="标题 2 字符"/>
    <w:basedOn w:val="17"/>
    <w:link w:val="4"/>
    <w:qFormat/>
    <w:uiPriority w:val="9"/>
    <w:rPr>
      <w:rFonts w:ascii="Times New Roman" w:hAnsi="Times New Roman" w:eastAsia="楷体_GB2312" w:cstheme="majorBidi"/>
      <w:b/>
      <w:bCs/>
      <w:kern w:val="2"/>
      <w:sz w:val="32"/>
      <w:szCs w:val="32"/>
    </w:rPr>
  </w:style>
  <w:style w:type="character" w:customStyle="1" w:styleId="22">
    <w:name w:val="标题 1 字符"/>
    <w:basedOn w:val="17"/>
    <w:link w:val="2"/>
    <w:qFormat/>
    <w:uiPriority w:val="9"/>
    <w:rPr>
      <w:rFonts w:eastAsia="黑体"/>
      <w:bCs/>
      <w:kern w:val="44"/>
      <w:sz w:val="32"/>
      <w:szCs w:val="44"/>
    </w:rPr>
  </w:style>
  <w:style w:type="character" w:customStyle="1" w:styleId="23">
    <w:name w:val="标题 3 字符"/>
    <w:basedOn w:val="17"/>
    <w:link w:val="5"/>
    <w:qFormat/>
    <w:uiPriority w:val="9"/>
    <w:rPr>
      <w:rFonts w:eastAsia="仿宋"/>
      <w:b/>
      <w:bCs/>
      <w:kern w:val="2"/>
      <w:sz w:val="32"/>
      <w:szCs w:val="32"/>
    </w:rPr>
  </w:style>
  <w:style w:type="character" w:customStyle="1" w:styleId="24">
    <w:name w:val="页眉 字符"/>
    <w:basedOn w:val="17"/>
    <w:link w:val="10"/>
    <w:qFormat/>
    <w:uiPriority w:val="99"/>
    <w:rPr>
      <w:sz w:val="18"/>
      <w:szCs w:val="18"/>
    </w:rPr>
  </w:style>
  <w:style w:type="character" w:customStyle="1" w:styleId="25">
    <w:name w:val="页脚 字符"/>
    <w:basedOn w:val="17"/>
    <w:link w:val="9"/>
    <w:qFormat/>
    <w:uiPriority w:val="99"/>
    <w:rPr>
      <w:sz w:val="18"/>
      <w:szCs w:val="18"/>
    </w:rPr>
  </w:style>
  <w:style w:type="paragraph" w:styleId="26">
    <w:name w:val="List Paragraph"/>
    <w:basedOn w:val="1"/>
    <w:unhideWhenUsed/>
    <w:qFormat/>
    <w:uiPriority w:val="34"/>
    <w:pPr>
      <w:ind w:firstLine="420" w:firstLineChars="200"/>
    </w:pPr>
  </w:style>
  <w:style w:type="paragraph" w:customStyle="1" w:styleId="27">
    <w:name w:val="列出段落1"/>
    <w:basedOn w:val="1"/>
    <w:qFormat/>
    <w:uiPriority w:val="0"/>
    <w:pPr>
      <w:ind w:left="0" w:leftChars="0" w:firstLine="420" w:firstLineChars="200"/>
    </w:pPr>
    <w:rPr>
      <w:rFonts w:eastAsiaTheme="minorEastAsia"/>
      <w:sz w:val="21"/>
    </w:rPr>
  </w:style>
  <w:style w:type="paragraph" w:customStyle="1" w:styleId="28">
    <w:name w:val="脚注文本1"/>
    <w:basedOn w:val="1"/>
    <w:next w:val="12"/>
    <w:unhideWhenUsed/>
    <w:qFormat/>
    <w:uiPriority w:val="0"/>
    <w:pPr>
      <w:snapToGrid w:val="0"/>
      <w:spacing w:before="50" w:beforeLines="50" w:after="50" w:afterLines="50" w:line="560" w:lineRule="exact"/>
      <w:ind w:left="0" w:leftChars="0" w:firstLine="200" w:firstLineChars="200"/>
      <w:jc w:val="left"/>
    </w:pPr>
    <w:rPr>
      <w:rFonts w:ascii="Times New Roman" w:hAnsi="Times New Roman"/>
      <w:sz w:val="18"/>
      <w:szCs w:val="18"/>
    </w:rPr>
  </w:style>
  <w:style w:type="character" w:customStyle="1" w:styleId="29">
    <w:name w:val="脚注文本 字符"/>
    <w:basedOn w:val="17"/>
    <w:link w:val="12"/>
    <w:semiHidden/>
    <w:qFormat/>
    <w:uiPriority w:val="99"/>
    <w:rPr>
      <w:rFonts w:eastAsia="仿宋"/>
      <w:kern w:val="2"/>
      <w:sz w:val="18"/>
      <w:szCs w:val="18"/>
    </w:rPr>
  </w:style>
  <w:style w:type="character" w:customStyle="1" w:styleId="30">
    <w:name w:val="批注框文本 字符"/>
    <w:basedOn w:val="17"/>
    <w:link w:val="8"/>
    <w:semiHidden/>
    <w:uiPriority w:val="99"/>
    <w:rPr>
      <w:rFonts w:eastAsia="仿宋"/>
      <w:kern w:val="2"/>
      <w:sz w:val="18"/>
      <w:szCs w:val="18"/>
    </w:rPr>
  </w:style>
  <w:style w:type="character" w:customStyle="1" w:styleId="31">
    <w:name w:val="批注文字 字符"/>
    <w:basedOn w:val="17"/>
    <w:link w:val="6"/>
    <w:semiHidden/>
    <w:uiPriority w:val="99"/>
    <w:rPr>
      <w:rFonts w:eastAsia="仿宋_GB2312"/>
      <w:kern w:val="2"/>
      <w:sz w:val="32"/>
      <w:szCs w:val="22"/>
    </w:rPr>
  </w:style>
  <w:style w:type="character" w:customStyle="1" w:styleId="32">
    <w:name w:val="批注主题 字符"/>
    <w:basedOn w:val="31"/>
    <w:link w:val="14"/>
    <w:semiHidden/>
    <w:uiPriority w:val="99"/>
    <w:rPr>
      <w:rFonts w:eastAsia="仿宋_GB2312"/>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chart" Target="charts/chart1.xml"/><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300140302712582"/>
                  <c:y val="0.047564687975646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168118199347403"/>
                  <c:y val="0.24484381858411"/>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0337126562526662"/>
                  <c:y val="-0.121176981716876"/>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0426802747657987"/>
                  <c:y val="0.0880447537914416"/>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spAutoFit/>
              </a:bodyPr>
              <a:lstStyle/>
              <a:p>
                <a:pPr>
                  <a:defRPr lang="zh-CN" sz="900" b="0" i="0" u="none" strike="noStrike" kern="1200" baseline="0">
                    <a:solidFill>
                      <a:schemeClr val="tx1"/>
                    </a:solidFill>
                    <a:latin typeface="微软雅黑" panose="020B0503020204020204" pitchFamily="34" charset="-122"/>
                    <a:ea typeface="微软雅黑" panose="020B0503020204020204" pitchFamily="34" charset="-122"/>
                    <a:cs typeface="+mn-cs"/>
                  </a:defRPr>
                </a:pPr>
              </a:p>
            </c:txPr>
            <c:dLblPos val="bestFit"/>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ext>
            </c:extLst>
          </c:dLbls>
          <c:cat>
            <c:strRef>
              <c:f>Sheet1!$A$2:$A$7</c:f>
              <c:strCache>
                <c:ptCount val="6"/>
                <c:pt idx="0">
                  <c:v>一般公共服务</c:v>
                </c:pt>
                <c:pt idx="1">
                  <c:v>社会保障和就业</c:v>
                </c:pt>
                <c:pt idx="2">
                  <c:v>卫生健康</c:v>
                </c:pt>
                <c:pt idx="3">
                  <c:v>住房保障</c:v>
                </c:pt>
                <c:pt idx="4">
                  <c:v>抗疫特别国债</c:v>
                </c:pt>
                <c:pt idx="5">
                  <c:v>其他</c:v>
                </c:pt>
              </c:strCache>
            </c:strRef>
          </c:cat>
          <c:val>
            <c:numRef>
              <c:f>Sheet1!$B$2:$B$7</c:f>
              <c:numCache>
                <c:formatCode>0.00%</c:formatCode>
                <c:ptCount val="6"/>
                <c:pt idx="0">
                  <c:v>0.0834</c:v>
                </c:pt>
                <c:pt idx="1">
                  <c:v>0.0029</c:v>
                </c:pt>
                <c:pt idx="2">
                  <c:v>0.0008</c:v>
                </c:pt>
                <c:pt idx="3">
                  <c:v>0.0025</c:v>
                </c:pt>
                <c:pt idx="4">
                  <c:v>0.552</c:v>
                </c:pt>
                <c:pt idx="5">
                  <c:v>0.3583</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w="6350" cap="flat" cmpd="sng" algn="ctr">
      <a:solidFill>
        <a:schemeClr val="bg1"/>
      </a:solid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86B8BC-BB7E-445A-B309-FB8420FF7B4D}">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2459</Words>
  <Characters>14020</Characters>
  <Lines>116</Lines>
  <Paragraphs>32</Paragraphs>
  <TotalTime>14</TotalTime>
  <ScaleCrop>false</ScaleCrop>
  <LinksUpToDate>false</LinksUpToDate>
  <CharactersWithSpaces>16447</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2021-08-04T05:19:00Z</dcterms:created>
  <dc:creator>忠阳 李</dc:creator>
  <cp:lastModifiedBy>韩丽萍</cp:lastModifiedBy>
  <dcterms:modified xsi:type="dcterms:W3CDTF">2024-01-17T03:16:57Z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