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0" w:firstLineChars="0"/>
        <w:jc w:val="center"/>
        <w:rPr>
          <w:rFonts w:eastAsia="方正小标宋_GBK" w:cs="Times New Roman"/>
          <w:sz w:val="44"/>
          <w:szCs w:val="44"/>
        </w:rPr>
      </w:pPr>
    </w:p>
    <w:p>
      <w:pPr>
        <w:autoSpaceDE w:val="0"/>
        <w:autoSpaceDN w:val="0"/>
        <w:adjustRightInd w:val="0"/>
        <w:ind w:firstLine="0" w:firstLineChars="0"/>
        <w:jc w:val="center"/>
        <w:rPr>
          <w:rFonts w:eastAsia="方正小标宋_GBK" w:cs="Times New Roman"/>
          <w:sz w:val="44"/>
          <w:szCs w:val="44"/>
        </w:rPr>
      </w:pPr>
    </w:p>
    <w:p>
      <w:pPr>
        <w:autoSpaceDE w:val="0"/>
        <w:autoSpaceDN w:val="0"/>
        <w:adjustRightInd w:val="0"/>
        <w:ind w:firstLine="0" w:firstLineChars="0"/>
        <w:jc w:val="center"/>
        <w:rPr>
          <w:rFonts w:eastAsia="方正小标宋_GBK" w:cs="Times New Roman"/>
          <w:sz w:val="44"/>
          <w:szCs w:val="44"/>
        </w:rPr>
      </w:pPr>
    </w:p>
    <w:p>
      <w:pPr>
        <w:autoSpaceDE w:val="0"/>
        <w:autoSpaceDN w:val="0"/>
        <w:adjustRightInd w:val="0"/>
        <w:ind w:firstLine="0" w:firstLineChars="0"/>
        <w:jc w:val="center"/>
        <w:rPr>
          <w:rFonts w:eastAsia="方正小标宋_GBK" w:cs="Times New Roman"/>
          <w:sz w:val="44"/>
          <w:szCs w:val="44"/>
        </w:rPr>
      </w:pPr>
      <w:bookmarkStart w:id="0" w:name="_Hlk77253924"/>
      <w:r>
        <w:rPr>
          <w:rFonts w:hint="eastAsia" w:eastAsia="方正小标宋_GBK" w:cs="Times New Roman"/>
          <w:sz w:val="44"/>
          <w:szCs w:val="44"/>
        </w:rPr>
        <w:t>绵竹</w:t>
      </w:r>
      <w:r>
        <w:rPr>
          <w:rFonts w:eastAsia="方正小标宋_GBK" w:cs="Times New Roman"/>
          <w:sz w:val="44"/>
          <w:szCs w:val="44"/>
        </w:rPr>
        <w:t>市2020年</w:t>
      </w:r>
      <w:r>
        <w:rPr>
          <w:rFonts w:hint="eastAsia" w:eastAsia="方正小标宋_GBK" w:cs="Times New Roman"/>
          <w:sz w:val="44"/>
          <w:szCs w:val="44"/>
        </w:rPr>
        <w:t>医疗保障局</w:t>
      </w:r>
      <w:r>
        <w:rPr>
          <w:rFonts w:eastAsia="方正小标宋_GBK" w:cs="Times New Roman"/>
          <w:sz w:val="44"/>
          <w:szCs w:val="44"/>
        </w:rPr>
        <w:t>部门整体支出</w:t>
      </w:r>
    </w:p>
    <w:p>
      <w:pPr>
        <w:autoSpaceDE w:val="0"/>
        <w:autoSpaceDN w:val="0"/>
        <w:adjustRightInd w:val="0"/>
        <w:ind w:firstLine="0" w:firstLineChars="0"/>
        <w:jc w:val="center"/>
        <w:rPr>
          <w:rFonts w:eastAsia="方正小标宋_GBK" w:cs="Times New Roman"/>
          <w:sz w:val="44"/>
          <w:szCs w:val="44"/>
        </w:rPr>
      </w:pPr>
      <w:r>
        <w:rPr>
          <w:rFonts w:eastAsia="方正小标宋_GBK" w:cs="Times New Roman"/>
          <w:sz w:val="44"/>
          <w:szCs w:val="44"/>
        </w:rPr>
        <w:t>绩效评价报告</w:t>
      </w:r>
    </w:p>
    <w:bookmarkEnd w:id="0"/>
    <w:p>
      <w:pPr>
        <w:autoSpaceDE w:val="0"/>
        <w:autoSpaceDN w:val="0"/>
        <w:adjustRightInd w:val="0"/>
        <w:spacing w:line="600" w:lineRule="exact"/>
        <w:ind w:firstLine="0" w:firstLineChars="0"/>
        <w:rPr>
          <w:rFonts w:eastAsia="方正小标宋_GBK" w:cs="Times New Roman"/>
          <w:sz w:val="44"/>
          <w:szCs w:val="44"/>
        </w:rPr>
      </w:pPr>
    </w:p>
    <w:p>
      <w:pPr>
        <w:autoSpaceDE w:val="0"/>
        <w:autoSpaceDN w:val="0"/>
        <w:adjustRightInd w:val="0"/>
        <w:spacing w:line="600" w:lineRule="exact"/>
        <w:ind w:firstLine="880"/>
        <w:jc w:val="center"/>
        <w:rPr>
          <w:rFonts w:eastAsia="方正小标宋_GBK" w:cs="Times New Roman"/>
          <w:sz w:val="44"/>
          <w:szCs w:val="44"/>
        </w:rPr>
      </w:pPr>
    </w:p>
    <w:p>
      <w:pPr>
        <w:autoSpaceDE w:val="0"/>
        <w:autoSpaceDN w:val="0"/>
        <w:adjustRightInd w:val="0"/>
        <w:spacing w:line="600" w:lineRule="exact"/>
        <w:ind w:firstLine="880"/>
        <w:jc w:val="center"/>
        <w:rPr>
          <w:rFonts w:eastAsia="方正小标宋_GBK" w:cs="Times New Roman"/>
          <w:sz w:val="44"/>
          <w:szCs w:val="44"/>
        </w:rPr>
      </w:pPr>
    </w:p>
    <w:p>
      <w:pPr>
        <w:autoSpaceDE w:val="0"/>
        <w:autoSpaceDN w:val="0"/>
        <w:adjustRightInd w:val="0"/>
        <w:spacing w:line="600" w:lineRule="exact"/>
        <w:ind w:firstLine="880"/>
        <w:jc w:val="center"/>
        <w:rPr>
          <w:rFonts w:eastAsia="方正小标宋_GBK" w:cs="Times New Roman"/>
          <w:sz w:val="44"/>
          <w:szCs w:val="44"/>
        </w:rPr>
      </w:pPr>
    </w:p>
    <w:p>
      <w:pPr>
        <w:spacing w:before="120" w:line="600" w:lineRule="exact"/>
        <w:ind w:firstLine="0" w:firstLineChars="0"/>
        <w:jc w:val="left"/>
        <w:rPr>
          <w:rFonts w:eastAsia="方正小标宋_GBK" w:cs="Times New Roman"/>
          <w:sz w:val="44"/>
          <w:szCs w:val="44"/>
        </w:rPr>
      </w:pPr>
    </w:p>
    <w:p>
      <w:pPr>
        <w:autoSpaceDE w:val="0"/>
        <w:autoSpaceDN w:val="0"/>
        <w:adjustRightInd w:val="0"/>
        <w:spacing w:line="600" w:lineRule="exact"/>
        <w:ind w:firstLine="880"/>
        <w:jc w:val="center"/>
        <w:rPr>
          <w:rFonts w:eastAsia="方正小标宋_GBK" w:cs="Times New Roman"/>
          <w:sz w:val="44"/>
          <w:szCs w:val="44"/>
        </w:rPr>
      </w:pPr>
    </w:p>
    <w:p>
      <w:pPr>
        <w:spacing w:before="120" w:line="600" w:lineRule="exact"/>
        <w:ind w:firstLine="0" w:firstLineChars="0"/>
        <w:jc w:val="left"/>
        <w:rPr>
          <w:rFonts w:eastAsia="方正小标宋_GBK" w:cs="Times New Roman"/>
          <w:sz w:val="44"/>
          <w:szCs w:val="44"/>
        </w:rPr>
      </w:pPr>
    </w:p>
    <w:p>
      <w:pPr>
        <w:spacing w:before="120" w:line="600" w:lineRule="exact"/>
        <w:ind w:firstLine="2389" w:firstLineChars="850"/>
        <w:jc w:val="left"/>
        <w:rPr>
          <w:rFonts w:eastAsia="小标宋" w:cs="Times New Roman"/>
          <w:b/>
          <w:kern w:val="0"/>
          <w:sz w:val="28"/>
          <w:szCs w:val="28"/>
          <w:lang w:val="zh-CN"/>
        </w:rPr>
      </w:pPr>
      <w:r>
        <w:rPr>
          <w:rFonts w:eastAsia="小标宋" w:cs="Times New Roman"/>
          <w:b/>
          <w:kern w:val="0"/>
          <w:sz w:val="28"/>
          <w:szCs w:val="28"/>
          <w:lang w:val="zh-CN"/>
        </w:rPr>
        <w:t>被评单位：</w:t>
      </w:r>
      <w:r>
        <w:rPr>
          <w:rFonts w:hint="eastAsia" w:eastAsia="小标宋" w:cs="Times New Roman"/>
          <w:b/>
          <w:kern w:val="0"/>
          <w:sz w:val="28"/>
          <w:szCs w:val="28"/>
          <w:lang w:val="zh-CN"/>
        </w:rPr>
        <w:t>绵竹市医疗保障局</w:t>
      </w:r>
    </w:p>
    <w:p>
      <w:pPr>
        <w:spacing w:before="120" w:line="600" w:lineRule="exact"/>
        <w:ind w:firstLine="2389" w:firstLineChars="850"/>
        <w:jc w:val="left"/>
        <w:rPr>
          <w:rFonts w:eastAsia="小标宋" w:cs="Times New Roman"/>
          <w:b/>
          <w:kern w:val="0"/>
          <w:sz w:val="28"/>
          <w:szCs w:val="28"/>
          <w:lang w:val="zh-CN"/>
        </w:rPr>
      </w:pPr>
      <w:r>
        <w:rPr>
          <w:rFonts w:eastAsia="小标宋" w:cs="Times New Roman"/>
          <w:b/>
          <w:kern w:val="0"/>
          <w:sz w:val="28"/>
          <w:szCs w:val="28"/>
          <w:lang w:val="zh-CN"/>
        </w:rPr>
        <w:t>委托单位：</w:t>
      </w:r>
      <w:r>
        <w:rPr>
          <w:rFonts w:hint="eastAsia" w:eastAsia="小标宋" w:cs="Times New Roman"/>
          <w:b/>
          <w:kern w:val="0"/>
          <w:sz w:val="28"/>
          <w:szCs w:val="28"/>
          <w:lang w:val="zh-CN"/>
        </w:rPr>
        <w:t>绵竹市</w:t>
      </w:r>
      <w:r>
        <w:rPr>
          <w:rFonts w:eastAsia="小标宋" w:cs="Times New Roman"/>
          <w:b/>
          <w:kern w:val="0"/>
          <w:sz w:val="28"/>
          <w:szCs w:val="28"/>
          <w:lang w:val="zh-CN"/>
        </w:rPr>
        <w:t>财政局</w:t>
      </w:r>
    </w:p>
    <w:p>
      <w:pPr>
        <w:spacing w:before="120" w:line="600" w:lineRule="exact"/>
        <w:ind w:firstLine="2389" w:firstLineChars="850"/>
        <w:jc w:val="left"/>
        <w:rPr>
          <w:rFonts w:eastAsia="小标宋" w:cs="Times New Roman"/>
          <w:b/>
          <w:kern w:val="0"/>
          <w:sz w:val="28"/>
          <w:szCs w:val="28"/>
          <w:lang w:val="zh-CN"/>
        </w:rPr>
      </w:pPr>
      <w:r>
        <w:rPr>
          <w:rFonts w:eastAsia="小标宋" w:cs="Times New Roman"/>
          <w:b/>
          <w:kern w:val="0"/>
          <w:sz w:val="28"/>
          <w:szCs w:val="28"/>
          <w:lang w:val="zh-CN"/>
        </w:rPr>
        <w:t>评价机构：北京零点市场调查有限公司</w:t>
      </w:r>
    </w:p>
    <w:p>
      <w:pPr>
        <w:spacing w:before="120" w:line="600" w:lineRule="exact"/>
        <w:ind w:firstLine="0" w:firstLineChars="0"/>
        <w:rPr>
          <w:rFonts w:eastAsia="方正小标宋_GBK" w:cs="Times New Roman"/>
          <w:b/>
          <w:kern w:val="0"/>
          <w:sz w:val="44"/>
          <w:szCs w:val="44"/>
        </w:rPr>
      </w:pPr>
    </w:p>
    <w:p>
      <w:pPr>
        <w:spacing w:before="120" w:line="600" w:lineRule="exact"/>
        <w:ind w:firstLine="0" w:firstLineChars="0"/>
        <w:jc w:val="center"/>
        <w:rPr>
          <w:rFonts w:eastAsia="小标宋" w:cs="Times New Roman"/>
          <w:b/>
          <w:kern w:val="0"/>
          <w:sz w:val="28"/>
          <w:szCs w:val="28"/>
          <w:lang w:val="zh-CN"/>
        </w:rPr>
      </w:pPr>
      <w:r>
        <w:rPr>
          <w:rFonts w:eastAsia="小标宋" w:cs="Times New Roman"/>
          <w:b/>
          <w:kern w:val="0"/>
          <w:sz w:val="28"/>
          <w:szCs w:val="28"/>
          <w:lang w:val="zh-CN"/>
        </w:rPr>
        <w:t>2021年6月30日</w:t>
      </w:r>
    </w:p>
    <w:p>
      <w:pPr>
        <w:tabs>
          <w:tab w:val="left" w:pos="1270"/>
          <w:tab w:val="center" w:pos="4153"/>
        </w:tabs>
        <w:autoSpaceDE w:val="0"/>
        <w:autoSpaceDN w:val="0"/>
        <w:adjustRightInd w:val="0"/>
        <w:ind w:firstLine="880"/>
        <w:jc w:val="left"/>
        <w:rPr>
          <w:rFonts w:eastAsia="方正小标宋_GBK" w:cs="Times New Roman"/>
          <w:sz w:val="44"/>
          <w:szCs w:val="44"/>
        </w:rPr>
      </w:pPr>
      <w:r>
        <w:rPr>
          <w:rFonts w:eastAsia="方正小标宋_GBK" w:cs="Times New Roman"/>
          <w:sz w:val="44"/>
          <w:szCs w:val="44"/>
        </w:rPr>
        <w:tab/>
      </w:r>
    </w:p>
    <w:p>
      <w:pPr>
        <w:ind w:firstLine="880"/>
        <w:rPr>
          <w:rFonts w:eastAsia="方正小标宋_GBK" w:cs="Times New Roman"/>
          <w:sz w:val="44"/>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tabs>
          <w:tab w:val="left" w:pos="1720"/>
        </w:tabs>
        <w:ind w:firstLine="640"/>
        <w:jc w:val="center"/>
        <w:rPr>
          <w:rFonts w:ascii="黑体" w:hAnsi="黑体" w:eastAsia="黑体" w:cs="Times New Roman"/>
          <w:szCs w:val="32"/>
        </w:rPr>
      </w:pPr>
      <w:r>
        <w:rPr>
          <w:rFonts w:hint="eastAsia" w:ascii="黑体" w:hAnsi="黑体" w:eastAsia="黑体" w:cs="Times New Roman"/>
          <w:szCs w:val="32"/>
        </w:rPr>
        <w:t>目 录</w:t>
      </w:r>
      <w:r>
        <w:rPr>
          <w:rFonts w:ascii="黑体" w:hAnsi="黑体" w:eastAsia="黑体" w:cs="Times New Roman"/>
          <w:szCs w:val="32"/>
        </w:rPr>
        <w:tab/>
      </w:r>
    </w:p>
    <w:p>
      <w:pPr>
        <w:pStyle w:val="14"/>
        <w:tabs>
          <w:tab w:val="right" w:leader="dot" w:pos="8296"/>
        </w:tabs>
        <w:spacing w:before="0" w:after="0" w:line="480" w:lineRule="exact"/>
        <w:ind w:firstLine="482"/>
        <w:rPr>
          <w:rFonts w:eastAsia="宋体" w:cs="Times New Roman"/>
          <w:caps w:val="0"/>
          <w:sz w:val="24"/>
          <w:szCs w:val="24"/>
        </w:rPr>
      </w:pPr>
      <w:r>
        <w:rPr>
          <w:rFonts w:eastAsia="宋体" w:cs="Times New Roman"/>
          <w:sz w:val="24"/>
          <w:szCs w:val="24"/>
        </w:rPr>
        <w:fldChar w:fldCharType="begin"/>
      </w:r>
      <w:r>
        <w:rPr>
          <w:rFonts w:eastAsia="宋体" w:cs="Times New Roman"/>
          <w:sz w:val="24"/>
          <w:szCs w:val="24"/>
        </w:rPr>
        <w:instrText xml:space="preserve"> TOC \o "1-3" \h \z \u </w:instrText>
      </w:r>
      <w:r>
        <w:rPr>
          <w:rFonts w:eastAsia="宋体" w:cs="Times New Roman"/>
          <w:sz w:val="24"/>
          <w:szCs w:val="24"/>
        </w:rPr>
        <w:fldChar w:fldCharType="separate"/>
      </w:r>
      <w:r>
        <w:fldChar w:fldCharType="begin"/>
      </w:r>
      <w:r>
        <w:instrText xml:space="preserve"> HYPERLINK \l "_Toc77503460" </w:instrText>
      </w:r>
      <w:r>
        <w:fldChar w:fldCharType="separate"/>
      </w:r>
      <w:r>
        <w:rPr>
          <w:rStyle w:val="25"/>
          <w:rFonts w:eastAsia="宋体" w:cs="Times New Roman"/>
          <w:sz w:val="24"/>
          <w:szCs w:val="24"/>
        </w:rPr>
        <w:t>一、 部门概况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_Toc77503460 \h </w:instrText>
      </w:r>
      <w:r>
        <w:rPr>
          <w:rFonts w:eastAsia="宋体" w:cs="Times New Roman"/>
          <w:sz w:val="24"/>
          <w:szCs w:val="24"/>
        </w:rPr>
        <w:fldChar w:fldCharType="separate"/>
      </w:r>
      <w:r>
        <w:rPr>
          <w:rFonts w:eastAsia="宋体" w:cs="Times New Roman"/>
          <w:sz w:val="24"/>
          <w:szCs w:val="24"/>
        </w:rPr>
        <w:t>1</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"_Toc77503461" </w:instrText>
      </w:r>
      <w:r>
        <w:fldChar w:fldCharType="separate"/>
      </w:r>
      <w:r>
        <w:rPr>
          <w:rStyle w:val="25"/>
          <w:rFonts w:eastAsia="宋体" w:cs="Times New Roman"/>
          <w:sz w:val="24"/>
          <w:szCs w:val="24"/>
        </w:rPr>
        <w:t>（一）部门基本情况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_Toc77503461 \h </w:instrText>
      </w:r>
      <w:r>
        <w:rPr>
          <w:rFonts w:eastAsia="宋体" w:cs="Times New Roman"/>
          <w:sz w:val="24"/>
          <w:szCs w:val="24"/>
        </w:rPr>
        <w:fldChar w:fldCharType="separate"/>
      </w:r>
      <w:r>
        <w:rPr>
          <w:rFonts w:eastAsia="宋体" w:cs="Times New Roman"/>
          <w:sz w:val="24"/>
          <w:szCs w:val="24"/>
        </w:rPr>
        <w:t>1</w:t>
      </w:r>
      <w:r>
        <w:rPr>
          <w:rFonts w:eastAsia="宋体" w:cs="Times New Roman"/>
          <w:sz w:val="24"/>
          <w:szCs w:val="24"/>
        </w:rPr>
        <w:fldChar w:fldCharType="end"/>
      </w:r>
      <w:r>
        <w:rPr>
          <w:rFonts w:eastAsia="宋体" w:cs="Times New Roman"/>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"_Toc77503462" </w:instrText>
      </w:r>
      <w:r>
        <w:fldChar w:fldCharType="separate"/>
      </w:r>
      <w:r>
        <w:rPr>
          <w:rStyle w:val="25"/>
          <w:rFonts w:eastAsia="宋体" w:cs="Times New Roman"/>
          <w:i w:val="0"/>
          <w:iCs w:val="0"/>
          <w:sz w:val="24"/>
          <w:szCs w:val="24"/>
        </w:rPr>
        <w:t>1.部门设立背景及职能变革</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_Toc77503462 \h </w:instrText>
      </w:r>
      <w:r>
        <w:rPr>
          <w:rFonts w:eastAsia="宋体" w:cs="Times New Roman"/>
          <w:i w:val="0"/>
          <w:iCs w:val="0"/>
          <w:sz w:val="24"/>
          <w:szCs w:val="24"/>
        </w:rPr>
        <w:fldChar w:fldCharType="separate"/>
      </w:r>
      <w:r>
        <w:rPr>
          <w:rFonts w:eastAsia="宋体" w:cs="Times New Roman"/>
          <w:i w:val="0"/>
          <w:iCs w:val="0"/>
          <w:sz w:val="24"/>
          <w:szCs w:val="24"/>
        </w:rPr>
        <w:t>1</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"_Toc77503463" </w:instrText>
      </w:r>
      <w:r>
        <w:fldChar w:fldCharType="separate"/>
      </w:r>
      <w:r>
        <w:rPr>
          <w:rStyle w:val="25"/>
          <w:rFonts w:eastAsia="宋体" w:cs="Times New Roman"/>
          <w:i w:val="0"/>
          <w:iCs w:val="0"/>
          <w:sz w:val="24"/>
          <w:szCs w:val="24"/>
        </w:rPr>
        <w:t>2.部门机构设置</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_Toc77503463 \h </w:instrText>
      </w:r>
      <w:r>
        <w:rPr>
          <w:rFonts w:eastAsia="宋体" w:cs="Times New Roman"/>
          <w:i w:val="0"/>
          <w:iCs w:val="0"/>
          <w:sz w:val="24"/>
          <w:szCs w:val="24"/>
        </w:rPr>
        <w:fldChar w:fldCharType="separate"/>
      </w:r>
      <w:r>
        <w:rPr>
          <w:rFonts w:eastAsia="宋体" w:cs="Times New Roman"/>
          <w:i w:val="0"/>
          <w:iCs w:val="0"/>
          <w:sz w:val="24"/>
          <w:szCs w:val="24"/>
        </w:rPr>
        <w:t>2</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"_Toc77503466" </w:instrText>
      </w:r>
      <w:r>
        <w:fldChar w:fldCharType="separate"/>
      </w:r>
      <w:r>
        <w:rPr>
          <w:rStyle w:val="25"/>
          <w:rFonts w:eastAsia="宋体" w:cs="Times New Roman"/>
          <w:i w:val="0"/>
          <w:iCs w:val="0"/>
          <w:sz w:val="24"/>
          <w:szCs w:val="24"/>
        </w:rPr>
        <w:t>3.部门组织结构</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_Toc77503466 \h </w:instrText>
      </w:r>
      <w:r>
        <w:rPr>
          <w:rFonts w:eastAsia="宋体" w:cs="Times New Roman"/>
          <w:i w:val="0"/>
          <w:iCs w:val="0"/>
          <w:sz w:val="24"/>
          <w:szCs w:val="24"/>
        </w:rPr>
        <w:fldChar w:fldCharType="separate"/>
      </w:r>
      <w:r>
        <w:rPr>
          <w:rFonts w:eastAsia="宋体" w:cs="Times New Roman"/>
          <w:i w:val="0"/>
          <w:iCs w:val="0"/>
          <w:sz w:val="24"/>
          <w:szCs w:val="24"/>
        </w:rPr>
        <w:t>5</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"_Toc77503467" </w:instrText>
      </w:r>
      <w:r>
        <w:fldChar w:fldCharType="separate"/>
      </w:r>
      <w:r>
        <w:rPr>
          <w:rStyle w:val="25"/>
          <w:rFonts w:eastAsia="宋体" w:cs="Times New Roman"/>
          <w:i w:val="0"/>
          <w:iCs w:val="0"/>
          <w:sz w:val="24"/>
          <w:szCs w:val="24"/>
        </w:rPr>
        <w:t>4.部门人员结构</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_Toc77503467 \h </w:instrText>
      </w:r>
      <w:r>
        <w:rPr>
          <w:rFonts w:eastAsia="宋体" w:cs="Times New Roman"/>
          <w:i w:val="0"/>
          <w:iCs w:val="0"/>
          <w:sz w:val="24"/>
          <w:szCs w:val="24"/>
        </w:rPr>
        <w:fldChar w:fldCharType="separate"/>
      </w:r>
      <w:r>
        <w:rPr>
          <w:rFonts w:eastAsia="宋体" w:cs="Times New Roman"/>
          <w:i w:val="0"/>
          <w:iCs w:val="0"/>
          <w:sz w:val="24"/>
          <w:szCs w:val="24"/>
        </w:rPr>
        <w:t>6</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"_Toc77503468" </w:instrText>
      </w:r>
      <w:r>
        <w:fldChar w:fldCharType="separate"/>
      </w:r>
      <w:r>
        <w:rPr>
          <w:rStyle w:val="25"/>
          <w:rFonts w:eastAsia="宋体" w:cs="Times New Roman"/>
          <w:sz w:val="24"/>
          <w:szCs w:val="24"/>
        </w:rPr>
        <w:t>（二）年度主要工作目标及重点工作</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_Toc77503468 \h </w:instrText>
      </w:r>
      <w:r>
        <w:rPr>
          <w:rFonts w:eastAsia="宋体" w:cs="Times New Roman"/>
          <w:sz w:val="24"/>
          <w:szCs w:val="24"/>
        </w:rPr>
        <w:fldChar w:fldCharType="separate"/>
      </w:r>
      <w:r>
        <w:rPr>
          <w:rFonts w:eastAsia="宋体" w:cs="Times New Roman"/>
          <w:sz w:val="24"/>
          <w:szCs w:val="24"/>
        </w:rPr>
        <w:t>8</w:t>
      </w:r>
      <w:r>
        <w:rPr>
          <w:rFonts w:eastAsia="宋体" w:cs="Times New Roman"/>
          <w:sz w:val="24"/>
          <w:szCs w:val="24"/>
        </w:rPr>
        <w:fldChar w:fldCharType="end"/>
      </w:r>
      <w:r>
        <w:rPr>
          <w:rFonts w:eastAsia="宋体" w:cs="Times New Roman"/>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"_Toc77503469" </w:instrText>
      </w:r>
      <w:r>
        <w:fldChar w:fldCharType="separate"/>
      </w:r>
      <w:r>
        <w:rPr>
          <w:rStyle w:val="25"/>
          <w:rFonts w:eastAsia="宋体" w:cs="Times New Roman"/>
          <w:i w:val="0"/>
          <w:iCs w:val="0"/>
          <w:sz w:val="24"/>
          <w:szCs w:val="24"/>
        </w:rPr>
        <w:t>1.年度主要工作目标</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_Toc77503469 \h </w:instrText>
      </w:r>
      <w:r>
        <w:rPr>
          <w:rFonts w:eastAsia="宋体" w:cs="Times New Roman"/>
          <w:i w:val="0"/>
          <w:iCs w:val="0"/>
          <w:sz w:val="24"/>
          <w:szCs w:val="24"/>
        </w:rPr>
        <w:fldChar w:fldCharType="separate"/>
      </w:r>
      <w:r>
        <w:rPr>
          <w:rFonts w:eastAsia="宋体" w:cs="Times New Roman"/>
          <w:i w:val="0"/>
          <w:iCs w:val="0"/>
          <w:sz w:val="24"/>
          <w:szCs w:val="24"/>
        </w:rPr>
        <w:t>8</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"_Toc77503470" </w:instrText>
      </w:r>
      <w:r>
        <w:fldChar w:fldCharType="separate"/>
      </w:r>
      <w:r>
        <w:rPr>
          <w:rStyle w:val="25"/>
          <w:rFonts w:eastAsia="宋体" w:cs="Times New Roman"/>
          <w:i w:val="0"/>
          <w:iCs w:val="0"/>
          <w:sz w:val="24"/>
          <w:szCs w:val="24"/>
        </w:rPr>
        <w:t>2.年度重点工作任务</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_Toc77503470 \h </w:instrText>
      </w:r>
      <w:r>
        <w:rPr>
          <w:rFonts w:eastAsia="宋体" w:cs="Times New Roman"/>
          <w:i w:val="0"/>
          <w:iCs w:val="0"/>
          <w:sz w:val="24"/>
          <w:szCs w:val="24"/>
        </w:rPr>
        <w:fldChar w:fldCharType="separate"/>
      </w:r>
      <w:r>
        <w:rPr>
          <w:rFonts w:eastAsia="宋体" w:cs="Times New Roman"/>
          <w:i w:val="0"/>
          <w:iCs w:val="0"/>
          <w:sz w:val="24"/>
          <w:szCs w:val="24"/>
        </w:rPr>
        <w:t>8</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14"/>
        <w:tabs>
          <w:tab w:val="right" w:leader="dot" w:pos="8296"/>
        </w:tabs>
        <w:spacing w:before="0" w:after="0" w:line="480" w:lineRule="exact"/>
        <w:ind w:firstLine="402"/>
        <w:rPr>
          <w:rFonts w:eastAsia="宋体" w:cs="Times New Roman"/>
          <w:caps w:val="0"/>
          <w:sz w:val="24"/>
          <w:szCs w:val="24"/>
        </w:rPr>
      </w:pPr>
      <w:r>
        <w:fldChar w:fldCharType="begin"/>
      </w:r>
      <w:r>
        <w:instrText xml:space="preserve"> HYPERLINK \l "_Toc77503471" </w:instrText>
      </w:r>
      <w:r>
        <w:fldChar w:fldCharType="separate"/>
      </w:r>
      <w:r>
        <w:rPr>
          <w:rStyle w:val="25"/>
          <w:rFonts w:eastAsia="宋体" w:cs="Times New Roman"/>
          <w:sz w:val="24"/>
          <w:szCs w:val="24"/>
        </w:rPr>
        <w:t>三、预算管理情况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_Toc77503471 \h </w:instrText>
      </w:r>
      <w:r>
        <w:rPr>
          <w:rFonts w:eastAsia="宋体" w:cs="Times New Roman"/>
          <w:sz w:val="24"/>
          <w:szCs w:val="24"/>
        </w:rPr>
        <w:fldChar w:fldCharType="separate"/>
      </w:r>
      <w:r>
        <w:rPr>
          <w:rFonts w:eastAsia="宋体" w:cs="Times New Roman"/>
          <w:sz w:val="24"/>
          <w:szCs w:val="24"/>
        </w:rPr>
        <w:t>10</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"_Toc77503472" </w:instrText>
      </w:r>
      <w:r>
        <w:fldChar w:fldCharType="separate"/>
      </w:r>
      <w:r>
        <w:rPr>
          <w:rStyle w:val="25"/>
          <w:rFonts w:eastAsia="宋体" w:cs="Times New Roman"/>
          <w:sz w:val="24"/>
          <w:szCs w:val="24"/>
        </w:rPr>
        <w:t>（一）预算编制情况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_Toc77503472 \h </w:instrText>
      </w:r>
      <w:r>
        <w:rPr>
          <w:rFonts w:eastAsia="宋体" w:cs="Times New Roman"/>
          <w:sz w:val="24"/>
          <w:szCs w:val="24"/>
        </w:rPr>
        <w:fldChar w:fldCharType="separate"/>
      </w:r>
      <w:r>
        <w:rPr>
          <w:rFonts w:eastAsia="宋体" w:cs="Times New Roman"/>
          <w:sz w:val="24"/>
          <w:szCs w:val="24"/>
        </w:rPr>
        <w:t>10</w:t>
      </w:r>
      <w:r>
        <w:rPr>
          <w:rFonts w:eastAsia="宋体" w:cs="Times New Roman"/>
          <w:sz w:val="24"/>
          <w:szCs w:val="24"/>
        </w:rPr>
        <w:fldChar w:fldCharType="end"/>
      </w:r>
      <w:r>
        <w:rPr>
          <w:rFonts w:eastAsia="宋体" w:cs="Times New Roman"/>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"_Toc77503473" </w:instrText>
      </w:r>
      <w:r>
        <w:fldChar w:fldCharType="separate"/>
      </w:r>
      <w:r>
        <w:rPr>
          <w:rStyle w:val="25"/>
          <w:rFonts w:eastAsia="宋体" w:cs="Times New Roman"/>
          <w:i w:val="0"/>
          <w:iCs w:val="0"/>
          <w:sz w:val="24"/>
          <w:szCs w:val="24"/>
        </w:rPr>
        <w:t>1.预算收入情况</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_Toc77503473 \h </w:instrText>
      </w:r>
      <w:r>
        <w:rPr>
          <w:rFonts w:eastAsia="宋体" w:cs="Times New Roman"/>
          <w:i w:val="0"/>
          <w:iCs w:val="0"/>
          <w:sz w:val="24"/>
          <w:szCs w:val="24"/>
        </w:rPr>
        <w:fldChar w:fldCharType="separate"/>
      </w:r>
      <w:r>
        <w:rPr>
          <w:rFonts w:eastAsia="宋体" w:cs="Times New Roman"/>
          <w:i w:val="0"/>
          <w:iCs w:val="0"/>
          <w:sz w:val="24"/>
          <w:szCs w:val="24"/>
        </w:rPr>
        <w:t>10</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"_Toc77503474" </w:instrText>
      </w:r>
      <w:r>
        <w:fldChar w:fldCharType="separate"/>
      </w:r>
      <w:r>
        <w:rPr>
          <w:rStyle w:val="25"/>
          <w:rFonts w:eastAsia="宋体" w:cs="Times New Roman"/>
          <w:i w:val="0"/>
          <w:iCs w:val="0"/>
          <w:sz w:val="24"/>
          <w:szCs w:val="24"/>
        </w:rPr>
        <w:t>2.预算支出情况</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_Toc77503474 \h </w:instrText>
      </w:r>
      <w:r>
        <w:rPr>
          <w:rFonts w:eastAsia="宋体" w:cs="Times New Roman"/>
          <w:i w:val="0"/>
          <w:iCs w:val="0"/>
          <w:sz w:val="24"/>
          <w:szCs w:val="24"/>
        </w:rPr>
        <w:fldChar w:fldCharType="separate"/>
      </w:r>
      <w:r>
        <w:rPr>
          <w:rFonts w:eastAsia="宋体" w:cs="Times New Roman"/>
          <w:i w:val="0"/>
          <w:iCs w:val="0"/>
          <w:sz w:val="24"/>
          <w:szCs w:val="24"/>
        </w:rPr>
        <w:t>12</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"_Toc77503475" </w:instrText>
      </w:r>
      <w:r>
        <w:fldChar w:fldCharType="separate"/>
      </w:r>
      <w:r>
        <w:rPr>
          <w:rStyle w:val="25"/>
          <w:rFonts w:eastAsia="宋体" w:cs="Times New Roman"/>
          <w:sz w:val="24"/>
          <w:szCs w:val="24"/>
        </w:rPr>
        <w:t>（二） 预算执行情况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_Toc77503475 \h </w:instrText>
      </w:r>
      <w:r>
        <w:rPr>
          <w:rFonts w:eastAsia="宋体" w:cs="Times New Roman"/>
          <w:sz w:val="24"/>
          <w:szCs w:val="24"/>
        </w:rPr>
        <w:fldChar w:fldCharType="separate"/>
      </w:r>
      <w:r>
        <w:rPr>
          <w:rFonts w:eastAsia="宋体" w:cs="Times New Roman"/>
          <w:sz w:val="24"/>
          <w:szCs w:val="24"/>
        </w:rPr>
        <w:t>13</w:t>
      </w:r>
      <w:r>
        <w:rPr>
          <w:rFonts w:eastAsia="宋体" w:cs="Times New Roman"/>
          <w:sz w:val="24"/>
          <w:szCs w:val="24"/>
        </w:rPr>
        <w:fldChar w:fldCharType="end"/>
      </w:r>
      <w:r>
        <w:rPr>
          <w:rFonts w:eastAsia="宋体" w:cs="Times New Roman"/>
          <w:sz w:val="24"/>
          <w:szCs w:val="24"/>
        </w:rPr>
        <w:fldChar w:fldCharType="end"/>
      </w:r>
    </w:p>
    <w:p>
      <w:pPr>
        <w:pStyle w:val="14"/>
        <w:tabs>
          <w:tab w:val="right" w:leader="dot" w:pos="8296"/>
        </w:tabs>
        <w:spacing w:before="0" w:after="0" w:line="480" w:lineRule="exact"/>
        <w:ind w:firstLine="402"/>
        <w:rPr>
          <w:rFonts w:eastAsia="宋体" w:cs="Times New Roman"/>
          <w:caps w:val="0"/>
          <w:sz w:val="24"/>
          <w:szCs w:val="24"/>
        </w:rPr>
      </w:pPr>
      <w:r>
        <w:fldChar w:fldCharType="begin"/>
      </w:r>
      <w:r>
        <w:instrText xml:space="preserve"> HYPERLINK \l "_Toc77503476" </w:instrText>
      </w:r>
      <w:r>
        <w:fldChar w:fldCharType="separate"/>
      </w:r>
      <w:r>
        <w:rPr>
          <w:rStyle w:val="25"/>
          <w:rFonts w:eastAsia="宋体" w:cs="Times New Roman"/>
          <w:sz w:val="24"/>
          <w:szCs w:val="24"/>
        </w:rPr>
        <w:t>四、部门管理情况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_Toc77503476 \h </w:instrText>
      </w:r>
      <w:r>
        <w:rPr>
          <w:rFonts w:eastAsia="宋体" w:cs="Times New Roman"/>
          <w:sz w:val="24"/>
          <w:szCs w:val="24"/>
        </w:rPr>
        <w:fldChar w:fldCharType="separate"/>
      </w:r>
      <w:r>
        <w:rPr>
          <w:rFonts w:eastAsia="宋体" w:cs="Times New Roman"/>
          <w:sz w:val="24"/>
          <w:szCs w:val="24"/>
        </w:rPr>
        <w:t>14</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"_Toc77503477" </w:instrText>
      </w:r>
      <w:r>
        <w:fldChar w:fldCharType="separate"/>
      </w:r>
      <w:r>
        <w:rPr>
          <w:rStyle w:val="25"/>
          <w:rFonts w:eastAsia="宋体" w:cs="Times New Roman"/>
          <w:sz w:val="24"/>
          <w:szCs w:val="24"/>
        </w:rPr>
        <w:t>（一）基础管理</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_Toc77503477 \h </w:instrText>
      </w:r>
      <w:r>
        <w:rPr>
          <w:rFonts w:eastAsia="宋体" w:cs="Times New Roman"/>
          <w:sz w:val="24"/>
          <w:szCs w:val="24"/>
        </w:rPr>
        <w:fldChar w:fldCharType="separate"/>
      </w:r>
      <w:r>
        <w:rPr>
          <w:rFonts w:eastAsia="宋体" w:cs="Times New Roman"/>
          <w:sz w:val="24"/>
          <w:szCs w:val="24"/>
        </w:rPr>
        <w:t>15</w:t>
      </w:r>
      <w:r>
        <w:rPr>
          <w:rFonts w:eastAsia="宋体" w:cs="Times New Roman"/>
          <w:sz w:val="24"/>
          <w:szCs w:val="24"/>
        </w:rPr>
        <w:fldChar w:fldCharType="end"/>
      </w:r>
      <w:r>
        <w:rPr>
          <w:rFonts w:eastAsia="宋体" w:cs="Times New Roman"/>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"_Toc77503478" </w:instrText>
      </w:r>
      <w:r>
        <w:fldChar w:fldCharType="separate"/>
      </w:r>
      <w:r>
        <w:rPr>
          <w:rStyle w:val="25"/>
          <w:rFonts w:eastAsia="宋体" w:cs="Times New Roman"/>
          <w:i w:val="0"/>
          <w:iCs w:val="0"/>
          <w:sz w:val="24"/>
          <w:szCs w:val="24"/>
        </w:rPr>
        <w:t>1.管理制度健全性</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_Toc77503478 \h </w:instrText>
      </w:r>
      <w:r>
        <w:rPr>
          <w:rFonts w:eastAsia="宋体" w:cs="Times New Roman"/>
          <w:i w:val="0"/>
          <w:iCs w:val="0"/>
          <w:sz w:val="24"/>
          <w:szCs w:val="24"/>
        </w:rPr>
        <w:fldChar w:fldCharType="separate"/>
      </w:r>
      <w:r>
        <w:rPr>
          <w:rFonts w:eastAsia="宋体" w:cs="Times New Roman"/>
          <w:i w:val="0"/>
          <w:iCs w:val="0"/>
          <w:sz w:val="24"/>
          <w:szCs w:val="24"/>
        </w:rPr>
        <w:t>15</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"_Toc77503479" </w:instrText>
      </w:r>
      <w:r>
        <w:fldChar w:fldCharType="separate"/>
      </w:r>
      <w:r>
        <w:rPr>
          <w:rStyle w:val="25"/>
          <w:rFonts w:eastAsia="宋体" w:cs="Times New Roman"/>
          <w:i w:val="0"/>
          <w:iCs w:val="0"/>
          <w:sz w:val="24"/>
          <w:szCs w:val="24"/>
        </w:rPr>
        <w:t>2.资金使用合规性</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_Toc77503479 \h </w:instrText>
      </w:r>
      <w:r>
        <w:rPr>
          <w:rFonts w:eastAsia="宋体" w:cs="Times New Roman"/>
          <w:i w:val="0"/>
          <w:iCs w:val="0"/>
          <w:sz w:val="24"/>
          <w:szCs w:val="24"/>
        </w:rPr>
        <w:fldChar w:fldCharType="separate"/>
      </w:r>
      <w:r>
        <w:rPr>
          <w:rFonts w:eastAsia="宋体" w:cs="Times New Roman"/>
          <w:i w:val="0"/>
          <w:iCs w:val="0"/>
          <w:sz w:val="24"/>
          <w:szCs w:val="24"/>
        </w:rPr>
        <w:t>16</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"_Toc77503480" </w:instrText>
      </w:r>
      <w:r>
        <w:fldChar w:fldCharType="separate"/>
      </w:r>
      <w:r>
        <w:rPr>
          <w:rStyle w:val="25"/>
          <w:rFonts w:eastAsia="宋体" w:cs="Times New Roman"/>
          <w:i w:val="0"/>
          <w:iCs w:val="0"/>
          <w:sz w:val="24"/>
          <w:szCs w:val="24"/>
        </w:rPr>
        <w:t>3.财务监控有效性</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_Toc77503480 \h </w:instrText>
      </w:r>
      <w:r>
        <w:rPr>
          <w:rFonts w:eastAsia="宋体" w:cs="Times New Roman"/>
          <w:i w:val="0"/>
          <w:iCs w:val="0"/>
          <w:sz w:val="24"/>
          <w:szCs w:val="24"/>
        </w:rPr>
        <w:fldChar w:fldCharType="separate"/>
      </w:r>
      <w:r>
        <w:rPr>
          <w:rFonts w:eastAsia="宋体" w:cs="Times New Roman"/>
          <w:i w:val="0"/>
          <w:iCs w:val="0"/>
          <w:sz w:val="24"/>
          <w:szCs w:val="24"/>
        </w:rPr>
        <w:t>16</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"_Toc77503481" </w:instrText>
      </w:r>
      <w:r>
        <w:fldChar w:fldCharType="separate"/>
      </w:r>
      <w:r>
        <w:rPr>
          <w:rStyle w:val="25"/>
          <w:rFonts w:eastAsia="宋体" w:cs="Times New Roman"/>
          <w:sz w:val="24"/>
          <w:szCs w:val="24"/>
        </w:rPr>
        <w:t>（二）“三公”经费控制</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_Toc77503481 \h </w:instrText>
      </w:r>
      <w:r>
        <w:rPr>
          <w:rFonts w:eastAsia="宋体" w:cs="Times New Roman"/>
          <w:sz w:val="24"/>
          <w:szCs w:val="24"/>
        </w:rPr>
        <w:fldChar w:fldCharType="separate"/>
      </w:r>
      <w:r>
        <w:rPr>
          <w:rFonts w:eastAsia="宋体" w:cs="Times New Roman"/>
          <w:sz w:val="24"/>
          <w:szCs w:val="24"/>
        </w:rPr>
        <w:t>17</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"_Toc77503482" </w:instrText>
      </w:r>
      <w:r>
        <w:fldChar w:fldCharType="separate"/>
      </w:r>
      <w:r>
        <w:rPr>
          <w:rStyle w:val="25"/>
          <w:rFonts w:eastAsia="宋体" w:cs="Times New Roman"/>
          <w:sz w:val="24"/>
          <w:szCs w:val="24"/>
        </w:rPr>
        <w:t>（三）政府采购</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_Toc77503482 \h </w:instrText>
      </w:r>
      <w:r>
        <w:rPr>
          <w:rFonts w:eastAsia="宋体" w:cs="Times New Roman"/>
          <w:sz w:val="24"/>
          <w:szCs w:val="24"/>
        </w:rPr>
        <w:fldChar w:fldCharType="separate"/>
      </w:r>
      <w:r>
        <w:rPr>
          <w:rFonts w:eastAsia="宋体" w:cs="Times New Roman"/>
          <w:sz w:val="24"/>
          <w:szCs w:val="24"/>
        </w:rPr>
        <w:t>17</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"_Toc77503483" </w:instrText>
      </w:r>
      <w:r>
        <w:fldChar w:fldCharType="separate"/>
      </w:r>
      <w:r>
        <w:rPr>
          <w:rStyle w:val="25"/>
          <w:rFonts w:eastAsia="宋体" w:cs="Times New Roman"/>
          <w:sz w:val="24"/>
          <w:szCs w:val="24"/>
        </w:rPr>
        <w:t>（四）资产管理</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_Toc77503483 \h </w:instrText>
      </w:r>
      <w:r>
        <w:rPr>
          <w:rFonts w:eastAsia="宋体" w:cs="Times New Roman"/>
          <w:sz w:val="24"/>
          <w:szCs w:val="24"/>
        </w:rPr>
        <w:fldChar w:fldCharType="separate"/>
      </w:r>
      <w:r>
        <w:rPr>
          <w:rFonts w:eastAsia="宋体" w:cs="Times New Roman"/>
          <w:sz w:val="24"/>
          <w:szCs w:val="24"/>
        </w:rPr>
        <w:t>17</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"_Toc77503484" </w:instrText>
      </w:r>
      <w:r>
        <w:fldChar w:fldCharType="separate"/>
      </w:r>
      <w:r>
        <w:rPr>
          <w:rStyle w:val="25"/>
          <w:rFonts w:eastAsia="宋体" w:cs="Times New Roman"/>
          <w:sz w:val="24"/>
          <w:szCs w:val="24"/>
        </w:rPr>
        <w:t>（五）信息公开</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_Toc77503484 \h </w:instrText>
      </w:r>
      <w:r>
        <w:rPr>
          <w:rFonts w:eastAsia="宋体" w:cs="Times New Roman"/>
          <w:sz w:val="24"/>
          <w:szCs w:val="24"/>
        </w:rPr>
        <w:fldChar w:fldCharType="separate"/>
      </w:r>
      <w:r>
        <w:rPr>
          <w:rFonts w:eastAsia="宋体" w:cs="Times New Roman"/>
          <w:sz w:val="24"/>
          <w:szCs w:val="24"/>
        </w:rPr>
        <w:t>18</w:t>
      </w:r>
      <w:r>
        <w:rPr>
          <w:rFonts w:eastAsia="宋体" w:cs="Times New Roman"/>
          <w:sz w:val="24"/>
          <w:szCs w:val="24"/>
        </w:rPr>
        <w:fldChar w:fldCharType="end"/>
      </w:r>
      <w:r>
        <w:rPr>
          <w:rFonts w:eastAsia="宋体" w:cs="Times New Roman"/>
          <w:sz w:val="24"/>
          <w:szCs w:val="24"/>
        </w:rPr>
        <w:fldChar w:fldCharType="end"/>
      </w:r>
    </w:p>
    <w:p>
      <w:pPr>
        <w:pStyle w:val="14"/>
        <w:tabs>
          <w:tab w:val="right" w:leader="dot" w:pos="8296"/>
        </w:tabs>
        <w:spacing w:before="0" w:after="0" w:line="480" w:lineRule="exact"/>
        <w:ind w:firstLine="402"/>
        <w:rPr>
          <w:rFonts w:eastAsia="宋体" w:cs="Times New Roman"/>
          <w:caps w:val="0"/>
          <w:sz w:val="24"/>
          <w:szCs w:val="24"/>
        </w:rPr>
      </w:pPr>
      <w:r>
        <w:fldChar w:fldCharType="begin"/>
      </w:r>
      <w:r>
        <w:instrText xml:space="preserve"> HYPERLINK \l "_Toc77503485" </w:instrText>
      </w:r>
      <w:r>
        <w:fldChar w:fldCharType="separate"/>
      </w:r>
      <w:r>
        <w:rPr>
          <w:rStyle w:val="25"/>
          <w:rFonts w:eastAsia="宋体" w:cs="Times New Roman"/>
          <w:sz w:val="24"/>
          <w:szCs w:val="24"/>
        </w:rPr>
        <w:t>五、部门履职效能</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_Toc77503485 \h </w:instrText>
      </w:r>
      <w:r>
        <w:rPr>
          <w:rFonts w:eastAsia="宋体" w:cs="Times New Roman"/>
          <w:sz w:val="24"/>
          <w:szCs w:val="24"/>
        </w:rPr>
        <w:fldChar w:fldCharType="separate"/>
      </w:r>
      <w:r>
        <w:rPr>
          <w:rFonts w:eastAsia="宋体" w:cs="Times New Roman"/>
          <w:sz w:val="24"/>
          <w:szCs w:val="24"/>
        </w:rPr>
        <w:t>18</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"_Toc77503486" </w:instrText>
      </w:r>
      <w:r>
        <w:fldChar w:fldCharType="separate"/>
      </w:r>
      <w:r>
        <w:rPr>
          <w:rStyle w:val="25"/>
          <w:rFonts w:eastAsia="宋体" w:cs="Times New Roman"/>
          <w:sz w:val="24"/>
          <w:szCs w:val="24"/>
        </w:rPr>
        <w:t>（一）部门履职的年度总体目标</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_Toc77503486 \h </w:instrText>
      </w:r>
      <w:r>
        <w:rPr>
          <w:rFonts w:eastAsia="宋体" w:cs="Times New Roman"/>
          <w:sz w:val="24"/>
          <w:szCs w:val="24"/>
        </w:rPr>
        <w:fldChar w:fldCharType="separate"/>
      </w:r>
      <w:r>
        <w:rPr>
          <w:rFonts w:eastAsia="宋体" w:cs="Times New Roman"/>
          <w:sz w:val="24"/>
          <w:szCs w:val="24"/>
        </w:rPr>
        <w:t>18</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"_Toc77503487" </w:instrText>
      </w:r>
      <w:r>
        <w:fldChar w:fldCharType="separate"/>
      </w:r>
      <w:r>
        <w:rPr>
          <w:rStyle w:val="25"/>
          <w:rFonts w:eastAsia="宋体" w:cs="Times New Roman"/>
          <w:sz w:val="24"/>
          <w:szCs w:val="24"/>
        </w:rPr>
        <w:t>（二）重点工作任务绩效目标完成情况</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_Toc77503487 \h </w:instrText>
      </w:r>
      <w:r>
        <w:rPr>
          <w:rFonts w:eastAsia="宋体" w:cs="Times New Roman"/>
          <w:sz w:val="24"/>
          <w:szCs w:val="24"/>
        </w:rPr>
        <w:fldChar w:fldCharType="separate"/>
      </w:r>
      <w:r>
        <w:rPr>
          <w:rFonts w:eastAsia="宋体" w:cs="Times New Roman"/>
          <w:sz w:val="24"/>
          <w:szCs w:val="24"/>
        </w:rPr>
        <w:t>19</w:t>
      </w:r>
      <w:r>
        <w:rPr>
          <w:rFonts w:eastAsia="宋体" w:cs="Times New Roman"/>
          <w:sz w:val="24"/>
          <w:szCs w:val="24"/>
        </w:rPr>
        <w:fldChar w:fldCharType="end"/>
      </w:r>
      <w:r>
        <w:rPr>
          <w:rFonts w:eastAsia="宋体" w:cs="Times New Roman"/>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"_Toc77503488" </w:instrText>
      </w:r>
      <w:r>
        <w:fldChar w:fldCharType="separate"/>
      </w:r>
      <w:r>
        <w:rPr>
          <w:rStyle w:val="25"/>
          <w:rFonts w:eastAsia="宋体" w:cs="Times New Roman"/>
          <w:i w:val="0"/>
          <w:iCs w:val="0"/>
          <w:sz w:val="24"/>
          <w:szCs w:val="24"/>
        </w:rPr>
        <w:t>1.廉政建设与意识形态工作</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_Toc77503488 \h </w:instrText>
      </w:r>
      <w:r>
        <w:rPr>
          <w:rFonts w:eastAsia="宋体" w:cs="Times New Roman"/>
          <w:i w:val="0"/>
          <w:iCs w:val="0"/>
          <w:sz w:val="24"/>
          <w:szCs w:val="24"/>
        </w:rPr>
        <w:fldChar w:fldCharType="separate"/>
      </w:r>
      <w:r>
        <w:rPr>
          <w:rFonts w:eastAsia="宋体" w:cs="Times New Roman"/>
          <w:i w:val="0"/>
          <w:iCs w:val="0"/>
          <w:sz w:val="24"/>
          <w:szCs w:val="24"/>
        </w:rPr>
        <w:t>20</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"_Toc77503489" </w:instrText>
      </w:r>
      <w:r>
        <w:fldChar w:fldCharType="separate"/>
      </w:r>
      <w:r>
        <w:rPr>
          <w:rStyle w:val="25"/>
          <w:rFonts w:eastAsia="宋体" w:cs="Times New Roman"/>
          <w:i w:val="0"/>
          <w:iCs w:val="0"/>
          <w:sz w:val="24"/>
          <w:szCs w:val="24"/>
        </w:rPr>
        <w:t>2.“应保尽保”深化全民医保</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_Toc77503489 \h </w:instrText>
      </w:r>
      <w:r>
        <w:rPr>
          <w:rFonts w:eastAsia="宋体" w:cs="Times New Roman"/>
          <w:i w:val="0"/>
          <w:iCs w:val="0"/>
          <w:sz w:val="24"/>
          <w:szCs w:val="24"/>
        </w:rPr>
        <w:fldChar w:fldCharType="separate"/>
      </w:r>
      <w:r>
        <w:rPr>
          <w:rFonts w:eastAsia="宋体" w:cs="Times New Roman"/>
          <w:i w:val="0"/>
          <w:iCs w:val="0"/>
          <w:sz w:val="24"/>
          <w:szCs w:val="24"/>
        </w:rPr>
        <w:t>21</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"_Toc77503490" </w:instrText>
      </w:r>
      <w:r>
        <w:fldChar w:fldCharType="separate"/>
      </w:r>
      <w:r>
        <w:rPr>
          <w:rStyle w:val="25"/>
          <w:rFonts w:eastAsia="宋体" w:cs="Times New Roman"/>
          <w:i w:val="0"/>
          <w:iCs w:val="0"/>
          <w:sz w:val="24"/>
          <w:szCs w:val="24"/>
        </w:rPr>
        <w:t>3.医保监管工作</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_Toc77503490 \h </w:instrText>
      </w:r>
      <w:r>
        <w:rPr>
          <w:rFonts w:eastAsia="宋体" w:cs="Times New Roman"/>
          <w:i w:val="0"/>
          <w:iCs w:val="0"/>
          <w:sz w:val="24"/>
          <w:szCs w:val="24"/>
        </w:rPr>
        <w:fldChar w:fldCharType="separate"/>
      </w:r>
      <w:r>
        <w:rPr>
          <w:rFonts w:eastAsia="宋体" w:cs="Times New Roman"/>
          <w:i w:val="0"/>
          <w:iCs w:val="0"/>
          <w:sz w:val="24"/>
          <w:szCs w:val="24"/>
        </w:rPr>
        <w:t>22</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14"/>
        <w:tabs>
          <w:tab w:val="right" w:leader="dot" w:pos="8296"/>
        </w:tabs>
        <w:spacing w:before="0" w:after="0" w:line="480" w:lineRule="exact"/>
        <w:ind w:firstLine="402"/>
        <w:rPr>
          <w:rFonts w:eastAsia="宋体" w:cs="Times New Roman"/>
          <w:caps w:val="0"/>
          <w:sz w:val="24"/>
          <w:szCs w:val="24"/>
        </w:rPr>
      </w:pPr>
      <w:r>
        <w:fldChar w:fldCharType="begin"/>
      </w:r>
      <w:r>
        <w:instrText xml:space="preserve"> HYPERLINK \l "_Toc77503491" </w:instrText>
      </w:r>
      <w:r>
        <w:fldChar w:fldCharType="separate"/>
      </w:r>
      <w:r>
        <w:rPr>
          <w:rStyle w:val="25"/>
          <w:rFonts w:eastAsia="宋体" w:cs="Times New Roman"/>
          <w:sz w:val="24"/>
          <w:szCs w:val="24"/>
        </w:rPr>
        <w:t>六、评价结论及措施</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_Toc77503491 \h </w:instrText>
      </w:r>
      <w:r>
        <w:rPr>
          <w:rFonts w:eastAsia="宋体" w:cs="Times New Roman"/>
          <w:sz w:val="24"/>
          <w:szCs w:val="24"/>
        </w:rPr>
        <w:fldChar w:fldCharType="separate"/>
      </w:r>
      <w:r>
        <w:rPr>
          <w:rFonts w:eastAsia="宋体" w:cs="Times New Roman"/>
          <w:sz w:val="24"/>
          <w:szCs w:val="24"/>
        </w:rPr>
        <w:t>25</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"_Toc77503492" </w:instrText>
      </w:r>
      <w:r>
        <w:fldChar w:fldCharType="separate"/>
      </w:r>
      <w:r>
        <w:rPr>
          <w:rStyle w:val="25"/>
          <w:rFonts w:eastAsia="宋体" w:cs="Times New Roman"/>
          <w:sz w:val="24"/>
          <w:szCs w:val="24"/>
        </w:rPr>
        <w:t>（一）评价结论</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_Toc77503492 \h </w:instrText>
      </w:r>
      <w:r>
        <w:rPr>
          <w:rFonts w:eastAsia="宋体" w:cs="Times New Roman"/>
          <w:sz w:val="24"/>
          <w:szCs w:val="24"/>
        </w:rPr>
        <w:fldChar w:fldCharType="separate"/>
      </w:r>
      <w:r>
        <w:rPr>
          <w:rFonts w:eastAsia="宋体" w:cs="Times New Roman"/>
          <w:sz w:val="24"/>
          <w:szCs w:val="24"/>
        </w:rPr>
        <w:t>25</w:t>
      </w:r>
      <w:r>
        <w:rPr>
          <w:rFonts w:eastAsia="宋体" w:cs="Times New Roman"/>
          <w:sz w:val="24"/>
          <w:szCs w:val="24"/>
        </w:rPr>
        <w:fldChar w:fldCharType="end"/>
      </w:r>
      <w:r>
        <w:rPr>
          <w:rFonts w:eastAsia="宋体" w:cs="Times New Roman"/>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"_Toc77503493" </w:instrText>
      </w:r>
      <w:r>
        <w:fldChar w:fldCharType="separate"/>
      </w:r>
      <w:r>
        <w:rPr>
          <w:rStyle w:val="25"/>
          <w:rFonts w:eastAsia="宋体" w:cs="Times New Roman"/>
          <w:sz w:val="24"/>
          <w:szCs w:val="24"/>
        </w:rPr>
        <w:t>（二）存在问题</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_Toc77503493 \h </w:instrText>
      </w:r>
      <w:r>
        <w:rPr>
          <w:rFonts w:eastAsia="宋体" w:cs="Times New Roman"/>
          <w:sz w:val="24"/>
          <w:szCs w:val="24"/>
        </w:rPr>
        <w:fldChar w:fldCharType="separate"/>
      </w:r>
      <w:r>
        <w:rPr>
          <w:rFonts w:eastAsia="宋体" w:cs="Times New Roman"/>
          <w:sz w:val="24"/>
          <w:szCs w:val="24"/>
        </w:rPr>
        <w:t>27</w:t>
      </w:r>
      <w:r>
        <w:rPr>
          <w:rFonts w:eastAsia="宋体" w:cs="Times New Roman"/>
          <w:sz w:val="24"/>
          <w:szCs w:val="24"/>
        </w:rPr>
        <w:fldChar w:fldCharType="end"/>
      </w:r>
      <w:r>
        <w:rPr>
          <w:rFonts w:eastAsia="宋体" w:cs="Times New Roman"/>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"_Toc77503494" </w:instrText>
      </w:r>
      <w:r>
        <w:fldChar w:fldCharType="separate"/>
      </w:r>
      <w:r>
        <w:rPr>
          <w:rStyle w:val="25"/>
          <w:rFonts w:eastAsia="宋体" w:cs="Times New Roman"/>
          <w:i w:val="0"/>
          <w:iCs w:val="0"/>
          <w:sz w:val="24"/>
          <w:szCs w:val="24"/>
        </w:rPr>
        <w:t>1.绩效目标管理不到位，项目监控能力有待提升</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_Toc77503494 \h </w:instrText>
      </w:r>
      <w:r>
        <w:rPr>
          <w:rFonts w:eastAsia="宋体" w:cs="Times New Roman"/>
          <w:i w:val="0"/>
          <w:iCs w:val="0"/>
          <w:sz w:val="24"/>
          <w:szCs w:val="24"/>
        </w:rPr>
        <w:fldChar w:fldCharType="separate"/>
      </w:r>
      <w:r>
        <w:rPr>
          <w:rFonts w:eastAsia="宋体" w:cs="Times New Roman"/>
          <w:i w:val="0"/>
          <w:iCs w:val="0"/>
          <w:sz w:val="24"/>
          <w:szCs w:val="24"/>
        </w:rPr>
        <w:t>27</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"_Toc77503495" </w:instrText>
      </w:r>
      <w:r>
        <w:fldChar w:fldCharType="separate"/>
      </w:r>
      <w:r>
        <w:rPr>
          <w:rStyle w:val="25"/>
          <w:rFonts w:eastAsia="宋体" w:cs="Times New Roman"/>
          <w:i w:val="0"/>
          <w:iCs w:val="0"/>
          <w:sz w:val="24"/>
          <w:szCs w:val="24"/>
        </w:rPr>
        <w:t>2.项目支出分配有交叉，预算编制准确性有待提高</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_Toc77503495 \h </w:instrText>
      </w:r>
      <w:r>
        <w:rPr>
          <w:rFonts w:eastAsia="宋体" w:cs="Times New Roman"/>
          <w:i w:val="0"/>
          <w:iCs w:val="0"/>
          <w:sz w:val="24"/>
          <w:szCs w:val="24"/>
        </w:rPr>
        <w:fldChar w:fldCharType="separate"/>
      </w:r>
      <w:r>
        <w:rPr>
          <w:rFonts w:eastAsia="宋体" w:cs="Times New Roman"/>
          <w:i w:val="0"/>
          <w:iCs w:val="0"/>
          <w:sz w:val="24"/>
          <w:szCs w:val="24"/>
        </w:rPr>
        <w:t>28</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"_Toc77503496" </w:instrText>
      </w:r>
      <w:r>
        <w:fldChar w:fldCharType="separate"/>
      </w:r>
      <w:r>
        <w:rPr>
          <w:rStyle w:val="25"/>
          <w:rFonts w:eastAsia="宋体" w:cs="Times New Roman"/>
          <w:i w:val="0"/>
          <w:iCs w:val="0"/>
          <w:sz w:val="24"/>
          <w:szCs w:val="24"/>
        </w:rPr>
        <w:t>3.部门工作目标细化不够，管理精细化水平有待加强</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_Toc77503496 \h </w:instrText>
      </w:r>
      <w:r>
        <w:rPr>
          <w:rFonts w:eastAsia="宋体" w:cs="Times New Roman"/>
          <w:i w:val="0"/>
          <w:iCs w:val="0"/>
          <w:sz w:val="24"/>
          <w:szCs w:val="24"/>
        </w:rPr>
        <w:fldChar w:fldCharType="separate"/>
      </w:r>
      <w:r>
        <w:rPr>
          <w:rFonts w:eastAsia="宋体" w:cs="Times New Roman"/>
          <w:i w:val="0"/>
          <w:iCs w:val="0"/>
          <w:sz w:val="24"/>
          <w:szCs w:val="24"/>
        </w:rPr>
        <w:t>29</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18"/>
        <w:tabs>
          <w:tab w:val="right" w:leader="dot" w:pos="8296"/>
        </w:tabs>
        <w:spacing w:line="480" w:lineRule="exact"/>
        <w:ind w:firstLine="400"/>
        <w:rPr>
          <w:rFonts w:eastAsia="宋体" w:cs="Times New Roman"/>
          <w:smallCaps w:val="0"/>
          <w:sz w:val="24"/>
          <w:szCs w:val="24"/>
        </w:rPr>
      </w:pPr>
      <w:r>
        <w:fldChar w:fldCharType="begin"/>
      </w:r>
      <w:r>
        <w:instrText xml:space="preserve"> HYPERLINK \l "_Toc77503497" </w:instrText>
      </w:r>
      <w:r>
        <w:fldChar w:fldCharType="separate"/>
      </w:r>
      <w:r>
        <w:rPr>
          <w:rStyle w:val="25"/>
          <w:rFonts w:eastAsia="宋体" w:cs="Times New Roman"/>
          <w:sz w:val="24"/>
          <w:szCs w:val="24"/>
        </w:rPr>
        <w:t>（三）相关建议</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_Toc77503497 \h </w:instrText>
      </w:r>
      <w:r>
        <w:rPr>
          <w:rFonts w:eastAsia="宋体" w:cs="Times New Roman"/>
          <w:sz w:val="24"/>
          <w:szCs w:val="24"/>
        </w:rPr>
        <w:fldChar w:fldCharType="separate"/>
      </w:r>
      <w:r>
        <w:rPr>
          <w:rFonts w:eastAsia="宋体" w:cs="Times New Roman"/>
          <w:sz w:val="24"/>
          <w:szCs w:val="24"/>
        </w:rPr>
        <w:t>30</w:t>
      </w:r>
      <w:r>
        <w:rPr>
          <w:rFonts w:eastAsia="宋体" w:cs="Times New Roman"/>
          <w:sz w:val="24"/>
          <w:szCs w:val="24"/>
        </w:rPr>
        <w:fldChar w:fldCharType="end"/>
      </w:r>
      <w:r>
        <w:rPr>
          <w:rFonts w:eastAsia="宋体" w:cs="Times New Roman"/>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"_Toc77503498" </w:instrText>
      </w:r>
      <w:r>
        <w:fldChar w:fldCharType="separate"/>
      </w:r>
      <w:r>
        <w:rPr>
          <w:rStyle w:val="25"/>
          <w:rFonts w:eastAsia="宋体" w:cs="Times New Roman"/>
          <w:i w:val="0"/>
          <w:iCs w:val="0"/>
          <w:sz w:val="24"/>
          <w:szCs w:val="24"/>
        </w:rPr>
        <w:t>1.加强财务人员绩效培训，提高目标编制科学性</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_Toc77503498 \h </w:instrText>
      </w:r>
      <w:r>
        <w:rPr>
          <w:rFonts w:eastAsia="宋体" w:cs="Times New Roman"/>
          <w:i w:val="0"/>
          <w:iCs w:val="0"/>
          <w:sz w:val="24"/>
          <w:szCs w:val="24"/>
        </w:rPr>
        <w:fldChar w:fldCharType="separate"/>
      </w:r>
      <w:r>
        <w:rPr>
          <w:rFonts w:eastAsia="宋体" w:cs="Times New Roman"/>
          <w:i w:val="0"/>
          <w:iCs w:val="0"/>
          <w:sz w:val="24"/>
          <w:szCs w:val="24"/>
        </w:rPr>
        <w:t>30</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"_Toc77503499" </w:instrText>
      </w:r>
      <w:r>
        <w:fldChar w:fldCharType="separate"/>
      </w:r>
      <w:r>
        <w:rPr>
          <w:rStyle w:val="25"/>
          <w:rFonts w:eastAsia="宋体" w:cs="Times New Roman"/>
          <w:i w:val="0"/>
          <w:iCs w:val="0"/>
          <w:sz w:val="24"/>
          <w:szCs w:val="24"/>
        </w:rPr>
        <w:t>2.合理划分项目经费，制定预算编制操作手册</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_Toc77503499 \h </w:instrText>
      </w:r>
      <w:r>
        <w:rPr>
          <w:rFonts w:eastAsia="宋体" w:cs="Times New Roman"/>
          <w:i w:val="0"/>
          <w:iCs w:val="0"/>
          <w:sz w:val="24"/>
          <w:szCs w:val="24"/>
        </w:rPr>
        <w:fldChar w:fldCharType="separate"/>
      </w:r>
      <w:r>
        <w:rPr>
          <w:rFonts w:eastAsia="宋体" w:cs="Times New Roman"/>
          <w:i w:val="0"/>
          <w:iCs w:val="0"/>
          <w:sz w:val="24"/>
          <w:szCs w:val="24"/>
        </w:rPr>
        <w:t>31</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9"/>
        <w:tabs>
          <w:tab w:val="right" w:leader="dot" w:pos="8296"/>
        </w:tabs>
        <w:spacing w:line="480" w:lineRule="exact"/>
        <w:ind w:firstLine="600" w:firstLineChars="300"/>
        <w:rPr>
          <w:rFonts w:eastAsia="宋体" w:cs="Times New Roman"/>
          <w:i w:val="0"/>
          <w:iCs w:val="0"/>
          <w:sz w:val="24"/>
          <w:szCs w:val="24"/>
        </w:rPr>
      </w:pPr>
      <w:r>
        <w:fldChar w:fldCharType="begin"/>
      </w:r>
      <w:r>
        <w:instrText xml:space="preserve"> HYPERLINK \l "_Toc77503500" </w:instrText>
      </w:r>
      <w:r>
        <w:fldChar w:fldCharType="separate"/>
      </w:r>
      <w:r>
        <w:rPr>
          <w:rStyle w:val="25"/>
          <w:rFonts w:eastAsia="宋体" w:cs="Times New Roman"/>
          <w:i w:val="0"/>
          <w:iCs w:val="0"/>
          <w:sz w:val="24"/>
          <w:szCs w:val="24"/>
        </w:rPr>
        <w:t>3.合理制定工作目标，提升医保管理服务水平</w:t>
      </w:r>
      <w:r>
        <w:rPr>
          <w:rFonts w:eastAsia="宋体" w:cs="Times New Roman"/>
          <w:i w:val="0"/>
          <w:iCs w:val="0"/>
          <w:sz w:val="24"/>
          <w:szCs w:val="24"/>
        </w:rPr>
        <w:tab/>
      </w:r>
      <w:r>
        <w:rPr>
          <w:rFonts w:eastAsia="宋体" w:cs="Times New Roman"/>
          <w:i w:val="0"/>
          <w:iCs w:val="0"/>
          <w:sz w:val="24"/>
          <w:szCs w:val="24"/>
        </w:rPr>
        <w:fldChar w:fldCharType="begin"/>
      </w:r>
      <w:r>
        <w:rPr>
          <w:rFonts w:eastAsia="宋体" w:cs="Times New Roman"/>
          <w:i w:val="0"/>
          <w:iCs w:val="0"/>
          <w:sz w:val="24"/>
          <w:szCs w:val="24"/>
        </w:rPr>
        <w:instrText xml:space="preserve"> PAGEREF _Toc77503500 \h </w:instrText>
      </w:r>
      <w:r>
        <w:rPr>
          <w:rFonts w:eastAsia="宋体" w:cs="Times New Roman"/>
          <w:i w:val="0"/>
          <w:iCs w:val="0"/>
          <w:sz w:val="24"/>
          <w:szCs w:val="24"/>
        </w:rPr>
        <w:fldChar w:fldCharType="separate"/>
      </w:r>
      <w:r>
        <w:rPr>
          <w:rFonts w:eastAsia="宋体" w:cs="Times New Roman"/>
          <w:i w:val="0"/>
          <w:iCs w:val="0"/>
          <w:sz w:val="24"/>
          <w:szCs w:val="24"/>
        </w:rPr>
        <w:t>31</w:t>
      </w:r>
      <w:r>
        <w:rPr>
          <w:rFonts w:eastAsia="宋体" w:cs="Times New Roman"/>
          <w:i w:val="0"/>
          <w:iCs w:val="0"/>
          <w:sz w:val="24"/>
          <w:szCs w:val="24"/>
        </w:rPr>
        <w:fldChar w:fldCharType="end"/>
      </w:r>
      <w:r>
        <w:rPr>
          <w:rFonts w:eastAsia="宋体" w:cs="Times New Roman"/>
          <w:i w:val="0"/>
          <w:iCs w:val="0"/>
          <w:sz w:val="24"/>
          <w:szCs w:val="24"/>
        </w:rPr>
        <w:fldChar w:fldCharType="end"/>
      </w:r>
    </w:p>
    <w:p>
      <w:pPr>
        <w:pStyle w:val="14"/>
        <w:tabs>
          <w:tab w:val="right" w:leader="dot" w:pos="8296"/>
        </w:tabs>
        <w:spacing w:before="0" w:after="0" w:line="480" w:lineRule="exact"/>
        <w:ind w:firstLine="402"/>
        <w:rPr>
          <w:rFonts w:eastAsia="宋体" w:cs="Times New Roman"/>
          <w:caps w:val="0"/>
          <w:sz w:val="24"/>
          <w:szCs w:val="24"/>
        </w:rPr>
      </w:pPr>
      <w:r>
        <w:fldChar w:fldCharType="begin"/>
      </w:r>
      <w:r>
        <w:instrText xml:space="preserve"> HYPERLINK \l "_Toc77503501" </w:instrText>
      </w:r>
      <w:r>
        <w:fldChar w:fldCharType="separate"/>
      </w:r>
      <w:r>
        <w:rPr>
          <w:rStyle w:val="25"/>
          <w:rFonts w:eastAsia="宋体" w:cs="Times New Roman"/>
          <w:sz w:val="24"/>
          <w:szCs w:val="24"/>
        </w:rPr>
        <w:t>附件1 绵竹市2020年医疗保障局部门整体支出绩效评价指标得分表</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_Toc77503501 \h </w:instrText>
      </w:r>
      <w:r>
        <w:rPr>
          <w:rFonts w:eastAsia="宋体" w:cs="Times New Roman"/>
          <w:sz w:val="24"/>
          <w:szCs w:val="24"/>
        </w:rPr>
        <w:fldChar w:fldCharType="separate"/>
      </w:r>
      <w:r>
        <w:rPr>
          <w:rFonts w:eastAsia="宋体" w:cs="Times New Roman"/>
          <w:sz w:val="24"/>
          <w:szCs w:val="24"/>
        </w:rPr>
        <w:t>33</w:t>
      </w:r>
      <w:r>
        <w:rPr>
          <w:rFonts w:eastAsia="宋体" w:cs="Times New Roman"/>
          <w:sz w:val="24"/>
          <w:szCs w:val="24"/>
        </w:rPr>
        <w:fldChar w:fldCharType="end"/>
      </w:r>
      <w:r>
        <w:rPr>
          <w:rFonts w:eastAsia="宋体" w:cs="Times New Roman"/>
          <w:sz w:val="24"/>
          <w:szCs w:val="24"/>
        </w:rPr>
        <w:fldChar w:fldCharType="end"/>
      </w:r>
    </w:p>
    <w:p>
      <w:pPr>
        <w:pStyle w:val="14"/>
        <w:tabs>
          <w:tab w:val="right" w:leader="dot" w:pos="8296"/>
        </w:tabs>
        <w:spacing w:before="0" w:after="0" w:line="480" w:lineRule="exact"/>
        <w:ind w:firstLine="402"/>
        <w:rPr>
          <w:rFonts w:eastAsia="宋体" w:cs="Times New Roman"/>
          <w:caps w:val="0"/>
          <w:sz w:val="24"/>
          <w:szCs w:val="24"/>
        </w:rPr>
      </w:pPr>
      <w:r>
        <w:fldChar w:fldCharType="begin"/>
      </w:r>
      <w:r>
        <w:instrText xml:space="preserve"> HYPERLINK \l "_Toc77503502" </w:instrText>
      </w:r>
      <w:r>
        <w:fldChar w:fldCharType="separate"/>
      </w:r>
      <w:r>
        <w:rPr>
          <w:rStyle w:val="25"/>
          <w:rFonts w:eastAsia="宋体" w:cs="Times New Roman"/>
          <w:sz w:val="24"/>
          <w:szCs w:val="24"/>
        </w:rPr>
        <w:t>附件2 绵竹市医保局内设机构主要职责</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_Toc77503502 \h </w:instrText>
      </w:r>
      <w:r>
        <w:rPr>
          <w:rFonts w:eastAsia="宋体" w:cs="Times New Roman"/>
          <w:sz w:val="24"/>
          <w:szCs w:val="24"/>
        </w:rPr>
        <w:fldChar w:fldCharType="separate"/>
      </w:r>
      <w:r>
        <w:rPr>
          <w:rFonts w:eastAsia="宋体" w:cs="Times New Roman"/>
          <w:sz w:val="24"/>
          <w:szCs w:val="24"/>
        </w:rPr>
        <w:t>44</w:t>
      </w:r>
      <w:r>
        <w:rPr>
          <w:rFonts w:eastAsia="宋体" w:cs="Times New Roman"/>
          <w:sz w:val="24"/>
          <w:szCs w:val="24"/>
        </w:rPr>
        <w:fldChar w:fldCharType="end"/>
      </w:r>
      <w:r>
        <w:rPr>
          <w:rFonts w:eastAsia="宋体" w:cs="Times New Roman"/>
          <w:sz w:val="24"/>
          <w:szCs w:val="24"/>
        </w:rPr>
        <w:fldChar w:fldCharType="end"/>
      </w:r>
    </w:p>
    <w:p>
      <w:pPr>
        <w:pStyle w:val="14"/>
        <w:tabs>
          <w:tab w:val="right" w:leader="dot" w:pos="8296"/>
        </w:tabs>
        <w:spacing w:before="0" w:after="0" w:line="480" w:lineRule="exact"/>
        <w:ind w:firstLine="402"/>
        <w:rPr>
          <w:rFonts w:eastAsia="宋体" w:cs="Times New Roman"/>
          <w:caps w:val="0"/>
          <w:sz w:val="24"/>
          <w:szCs w:val="24"/>
        </w:rPr>
      </w:pPr>
      <w:r>
        <w:fldChar w:fldCharType="begin"/>
      </w:r>
      <w:r>
        <w:instrText xml:space="preserve"> HYPERLINK \l "_Toc77503503" </w:instrText>
      </w:r>
      <w:r>
        <w:fldChar w:fldCharType="separate"/>
      </w:r>
      <w:r>
        <w:rPr>
          <w:rStyle w:val="25"/>
          <w:rFonts w:eastAsia="宋体" w:cs="Times New Roman"/>
          <w:sz w:val="24"/>
          <w:szCs w:val="24"/>
        </w:rPr>
        <w:t>附件3 绵竹市医疗保障事务中心内设机构主要职责</w:t>
      </w:r>
      <w:r>
        <w:rPr>
          <w:rFonts w:eastAsia="宋体" w:cs="Times New Roman"/>
          <w:sz w:val="24"/>
          <w:szCs w:val="24"/>
        </w:rPr>
        <w:tab/>
      </w:r>
      <w:r>
        <w:rPr>
          <w:rFonts w:eastAsia="宋体" w:cs="Times New Roman"/>
          <w:sz w:val="24"/>
          <w:szCs w:val="24"/>
        </w:rPr>
        <w:fldChar w:fldCharType="begin"/>
      </w:r>
      <w:r>
        <w:rPr>
          <w:rFonts w:eastAsia="宋体" w:cs="Times New Roman"/>
          <w:sz w:val="24"/>
          <w:szCs w:val="24"/>
        </w:rPr>
        <w:instrText xml:space="preserve"> PAGEREF _Toc77503503 \h </w:instrText>
      </w:r>
      <w:r>
        <w:rPr>
          <w:rFonts w:eastAsia="宋体" w:cs="Times New Roman"/>
          <w:sz w:val="24"/>
          <w:szCs w:val="24"/>
        </w:rPr>
        <w:fldChar w:fldCharType="separate"/>
      </w:r>
      <w:r>
        <w:rPr>
          <w:rFonts w:eastAsia="宋体" w:cs="Times New Roman"/>
          <w:sz w:val="24"/>
          <w:szCs w:val="24"/>
        </w:rPr>
        <w:t>45</w:t>
      </w:r>
      <w:r>
        <w:rPr>
          <w:rFonts w:eastAsia="宋体" w:cs="Times New Roman"/>
          <w:sz w:val="24"/>
          <w:szCs w:val="24"/>
        </w:rPr>
        <w:fldChar w:fldCharType="end"/>
      </w:r>
      <w:r>
        <w:rPr>
          <w:rFonts w:eastAsia="宋体" w:cs="Times New Roman"/>
          <w:sz w:val="24"/>
          <w:szCs w:val="24"/>
        </w:rPr>
        <w:fldChar w:fldCharType="end"/>
      </w:r>
    </w:p>
    <w:p>
      <w:pPr>
        <w:tabs>
          <w:tab w:val="left" w:pos="1720"/>
        </w:tabs>
        <w:ind w:firstLine="480"/>
        <w:jc w:val="center"/>
        <w:rPr>
          <w:rFonts w:eastAsia="宋体" w:cs="Times New Roman"/>
          <w:sz w:val="24"/>
        </w:rPr>
        <w:sectPr>
          <w:pgSz w:w="11906" w:h="16838"/>
          <w:pgMar w:top="1440" w:right="1800" w:bottom="1440" w:left="1800" w:header="851" w:footer="992" w:gutter="0"/>
          <w:cols w:space="425" w:num="1"/>
          <w:docGrid w:type="lines" w:linePitch="312" w:charSpace="0"/>
        </w:sectPr>
      </w:pPr>
      <w:r>
        <w:rPr>
          <w:rFonts w:eastAsia="宋体" w:cs="Times New Roman"/>
          <w:sz w:val="24"/>
        </w:rPr>
        <w:fldChar w:fldCharType="end"/>
      </w:r>
    </w:p>
    <w:p>
      <w:pPr>
        <w:autoSpaceDE w:val="0"/>
        <w:autoSpaceDN w:val="0"/>
        <w:adjustRightInd w:val="0"/>
        <w:spacing w:before="217" w:after="156" w:afterLines="50"/>
        <w:ind w:firstLine="0" w:firstLineChars="0"/>
        <w:jc w:val="center"/>
        <w:rPr>
          <w:rFonts w:eastAsia="方正小标宋_GBK" w:cs="Times New Roman"/>
          <w:b/>
          <w:bCs/>
          <w:sz w:val="44"/>
          <w:szCs w:val="44"/>
        </w:rPr>
      </w:pPr>
      <w:bookmarkStart w:id="1" w:name="_Hlk77257017"/>
      <w:r>
        <w:rPr>
          <w:rFonts w:hint="eastAsia" w:eastAsia="方正小标宋_GBK" w:cs="Times New Roman"/>
          <w:b/>
          <w:bCs/>
          <w:sz w:val="44"/>
          <w:szCs w:val="44"/>
        </w:rPr>
        <w:t>绵竹市2</w:t>
      </w:r>
      <w:r>
        <w:rPr>
          <w:rFonts w:eastAsia="方正小标宋_GBK" w:cs="Times New Roman"/>
          <w:b/>
          <w:bCs/>
          <w:sz w:val="44"/>
          <w:szCs w:val="44"/>
        </w:rPr>
        <w:t>020</w:t>
      </w:r>
      <w:r>
        <w:rPr>
          <w:rFonts w:hint="eastAsia" w:eastAsia="方正小标宋_GBK" w:cs="Times New Roman"/>
          <w:b/>
          <w:bCs/>
          <w:sz w:val="44"/>
          <w:szCs w:val="44"/>
        </w:rPr>
        <w:t>年医疗保障局部门整体</w:t>
      </w:r>
    </w:p>
    <w:p>
      <w:pPr>
        <w:autoSpaceDE w:val="0"/>
        <w:autoSpaceDN w:val="0"/>
        <w:adjustRightInd w:val="0"/>
        <w:spacing w:before="217" w:after="156" w:afterLines="50"/>
        <w:ind w:firstLine="0" w:firstLineChars="0"/>
        <w:jc w:val="center"/>
        <w:rPr>
          <w:rFonts w:eastAsia="方正小标宋_GBK" w:cs="Times New Roman"/>
          <w:b/>
          <w:bCs/>
          <w:sz w:val="44"/>
          <w:szCs w:val="44"/>
        </w:rPr>
      </w:pPr>
      <w:r>
        <w:rPr>
          <w:rFonts w:hint="eastAsia" w:eastAsia="方正小标宋_GBK" w:cs="Times New Roman"/>
          <w:b/>
          <w:bCs/>
          <w:sz w:val="44"/>
          <w:szCs w:val="44"/>
        </w:rPr>
        <w:t>支出绩效评价报告</w:t>
      </w:r>
    </w:p>
    <w:bookmarkEnd w:id="1"/>
    <w:p>
      <w:pPr>
        <w:ind w:firstLine="640"/>
      </w:pPr>
      <w:r>
        <w:rPr>
          <w:rFonts w:hint="eastAsia"/>
        </w:rPr>
        <w:t>按照《绵竹市财政局关于开展2021年财政支出绩效评价工作的通知》（竹财监〔2021〕145号），我们接受绵竹市财政局委托，于2021年6月1日至6月</w:t>
      </w:r>
      <w:r>
        <w:t>2</w:t>
      </w:r>
      <w:r>
        <w:rPr>
          <w:rFonts w:hint="eastAsia"/>
        </w:rPr>
        <w:t>日对绵竹市医疗保障局开展部门整体支出绩效评价，具体情况如下。</w:t>
      </w:r>
    </w:p>
    <w:p>
      <w:pPr>
        <w:pStyle w:val="2"/>
        <w:numPr>
          <w:ilvl w:val="0"/>
          <w:numId w:val="1"/>
        </w:numPr>
        <w:ind w:firstLine="640"/>
        <w:rPr>
          <w:rFonts w:eastAsia="黑体" w:cs="Times New Roman"/>
          <w:bCs w:val="0"/>
          <w:szCs w:val="32"/>
        </w:rPr>
      </w:pPr>
      <w:bookmarkStart w:id="2" w:name="_Toc73927469"/>
      <w:bookmarkStart w:id="3" w:name="_Toc77503460"/>
      <w:r>
        <w:rPr>
          <w:rFonts w:eastAsia="黑体" w:cs="Times New Roman"/>
          <w:bCs w:val="0"/>
          <w:szCs w:val="32"/>
        </w:rPr>
        <w:t>部门概况</w:t>
      </w:r>
      <w:bookmarkEnd w:id="2"/>
      <w:bookmarkEnd w:id="3"/>
    </w:p>
    <w:p>
      <w:pPr>
        <w:pStyle w:val="3"/>
        <w:ind w:firstLine="643"/>
        <w:rPr>
          <w:rFonts w:cs="Times New Roman"/>
        </w:rPr>
      </w:pPr>
      <w:bookmarkStart w:id="4" w:name="_Toc73927470"/>
      <w:bookmarkStart w:id="5" w:name="_Toc77503461"/>
      <w:r>
        <w:rPr>
          <w:rFonts w:cs="Times New Roman"/>
        </w:rPr>
        <w:t>（一）部门基本情况</w:t>
      </w:r>
      <w:bookmarkEnd w:id="4"/>
      <w:bookmarkEnd w:id="5"/>
    </w:p>
    <w:p>
      <w:pPr>
        <w:pStyle w:val="4"/>
        <w:ind w:firstLine="643"/>
        <w:rPr>
          <w:rFonts w:cs="Times New Roman"/>
        </w:rPr>
      </w:pPr>
      <w:bookmarkStart w:id="6" w:name="_Toc77503462"/>
      <w:bookmarkStart w:id="7" w:name="_Toc73927471"/>
      <w:r>
        <w:rPr>
          <w:rFonts w:hint="eastAsia" w:cs="Times New Roman"/>
        </w:rPr>
        <w:t>1</w:t>
      </w:r>
      <w:r>
        <w:rPr>
          <w:rFonts w:cs="Times New Roman"/>
        </w:rPr>
        <w:t>.部门设立背景及职能变革</w:t>
      </w:r>
      <w:bookmarkEnd w:id="6"/>
      <w:bookmarkEnd w:id="7"/>
    </w:p>
    <w:p>
      <w:pPr>
        <w:ind w:firstLine="640"/>
        <w:rPr>
          <w:rFonts w:cs="Times New Roman"/>
        </w:rPr>
      </w:pPr>
      <w:r>
        <w:rPr>
          <w:rFonts w:hint="eastAsia" w:cs="Times New Roman"/>
        </w:rPr>
        <w:t>为完善统一的</w:t>
      </w:r>
      <w:r>
        <w:fldChar w:fldCharType="begin"/>
      </w:r>
      <w:r>
        <w:instrText xml:space="preserve"> HYPERLINK "https://baike.baidu.com/item/%E5%9F%8E%E4%B9%A1%E5%B1%85%E6%B0%91%E5%9F%BA%E6%9C%AC%E5%8C%BB%E7%96%97%E4%BF%9D%E9%99%A9%E5%88%B6%E5%BA%A6/19272734" \t "https://baike.baidu.com/item/%E5%9B%BD%E5%AE%B6%E5%8C%BB%E7%96%97%E4%BF%9D%E9%9A%9C%E5%B1%80/_blank" </w:instrText>
      </w:r>
      <w:r>
        <w:fldChar w:fldCharType="separate"/>
      </w:r>
      <w:r>
        <w:rPr>
          <w:rFonts w:cs="Times New Roman"/>
        </w:rPr>
        <w:t>城乡居民基本医疗保险制度</w:t>
      </w:r>
      <w:r>
        <w:rPr>
          <w:rFonts w:cs="Times New Roman"/>
        </w:rPr>
        <w:fldChar w:fldCharType="end"/>
      </w:r>
      <w:r>
        <w:rPr>
          <w:rFonts w:cs="Times New Roman"/>
        </w:rPr>
        <w:t>和大病保险制度，不断提高医疗保障水平，确保医保资金合理使用、安全可控，统筹推进医疗、</w:t>
      </w:r>
      <w:r>
        <w:fldChar w:fldCharType="begin"/>
      </w:r>
      <w:r>
        <w:instrText xml:space="preserve"> HYPERLINK "https://baike.baidu.com/item/%E5%8C%BB%E4%BF%9D/5693485" \t "https://baike.baidu.com/item/%E5%9B%BD%E5%AE%B6%E5%8C%BB%E7%96%97%E4%BF%9D%E9%9A%9C%E5%B1%80/_blank" </w:instrText>
      </w:r>
      <w:r>
        <w:fldChar w:fldCharType="separate"/>
      </w:r>
      <w:r>
        <w:rPr>
          <w:rFonts w:cs="Times New Roman"/>
        </w:rPr>
        <w:t>医保</w:t>
      </w:r>
      <w:r>
        <w:rPr>
          <w:rFonts w:cs="Times New Roman"/>
        </w:rPr>
        <w:fldChar w:fldCharType="end"/>
      </w:r>
      <w:r>
        <w:rPr>
          <w:rFonts w:cs="Times New Roman"/>
        </w:rPr>
        <w:t>、医药改革，更好</w:t>
      </w:r>
      <w:r>
        <w:rPr>
          <w:rFonts w:hint="eastAsia" w:cs="Times New Roman"/>
        </w:rPr>
        <w:t>地</w:t>
      </w:r>
      <w:r>
        <w:rPr>
          <w:rFonts w:cs="Times New Roman"/>
        </w:rPr>
        <w:t>保障病有所医</w:t>
      </w:r>
      <w:r>
        <w:rPr>
          <w:rFonts w:hint="eastAsia" w:cs="Times New Roman"/>
        </w:rPr>
        <w:t>，2018年3月十三届全国人大一次会议表决通过了《关于国务院机构改革方案的决定》</w:t>
      </w:r>
      <w:r>
        <w:rPr>
          <w:rFonts w:cs="Times New Roman"/>
        </w:rPr>
        <w:t>，将人力资源和社会保障部的城镇职工和城镇居民基本医疗保险、生育保险职责，</w:t>
      </w:r>
      <w:r>
        <w:rPr>
          <w:rFonts w:hint="eastAsia" w:cs="Times New Roman"/>
        </w:rPr>
        <w:t>国家卫生健康委员会</w:t>
      </w:r>
      <w:bookmarkStart w:id="89" w:name="_GoBack"/>
      <w:bookmarkEnd w:id="89"/>
      <w:r>
        <w:rPr>
          <w:rFonts w:cs="Times New Roman"/>
        </w:rPr>
        <w:t>的新型农村合作医疗职责，国家发展和改革委员会的药品和医疗服务价格管理职责，民政部的医疗救助职责</w:t>
      </w:r>
      <w:r>
        <w:rPr>
          <w:rFonts w:hint="eastAsia" w:cs="Times New Roman"/>
        </w:rPr>
        <w:t>进行</w:t>
      </w:r>
      <w:r>
        <w:rPr>
          <w:rFonts w:cs="Times New Roman"/>
        </w:rPr>
        <w:t>整合</w:t>
      </w:r>
      <w:r>
        <w:rPr>
          <w:rFonts w:hint="eastAsia" w:cs="Times New Roman"/>
        </w:rPr>
        <w:t>并</w:t>
      </w:r>
      <w:r>
        <w:rPr>
          <w:rFonts w:cs="Times New Roman"/>
        </w:rPr>
        <w:t>组建国家医疗保障局</w:t>
      </w:r>
      <w:r>
        <w:rPr>
          <w:rFonts w:hint="eastAsia" w:cs="Times New Roman"/>
        </w:rPr>
        <w:t>。</w:t>
      </w:r>
    </w:p>
    <w:p>
      <w:pPr>
        <w:ind w:firstLine="640"/>
        <w:rPr>
          <w:rFonts w:cs="Times New Roman"/>
        </w:rPr>
      </w:pPr>
      <w:r>
        <w:rPr>
          <w:rFonts w:hint="eastAsia" w:cs="Times New Roman"/>
        </w:rPr>
        <w:t>根据国家机构改革要求，《绵竹市机构改革方案》（竹市委办〔2019〕12号）和《关于&lt;绵竹市机构改革方案&gt;的实施意见》（竹机改〔2019〕1号）精神，同时结合《绵竹市医疗保障局职能配置、内设机构和人编制规定》（竹市委办〔2019〕21号）规定将绵竹市人力资源和社会保障局的城镇职工和城镇居民基本医疗保险、生育保险职责，新型农村合作医疗职责和市发展改革局的药品和医疗服务价格管理职责，市民政局的医疗救助职责以及相关机构的医疗保障行政职责整合优化，共同组建绵竹市医疗保障局（以下简称市医保局）。</w:t>
      </w:r>
    </w:p>
    <w:p>
      <w:pPr>
        <w:pStyle w:val="4"/>
        <w:ind w:firstLine="643"/>
        <w:rPr>
          <w:rFonts w:cs="Times New Roman"/>
        </w:rPr>
      </w:pPr>
      <w:bookmarkStart w:id="8" w:name="_Toc77503463"/>
      <w:bookmarkStart w:id="9" w:name="_Toc73927472"/>
      <w:r>
        <w:rPr>
          <w:rFonts w:cs="Times New Roman"/>
        </w:rPr>
        <w:t>2.部门机构设置</w:t>
      </w:r>
      <w:bookmarkEnd w:id="8"/>
      <w:bookmarkEnd w:id="9"/>
    </w:p>
    <w:p>
      <w:pPr>
        <w:ind w:firstLine="640"/>
      </w:pPr>
      <w:r>
        <w:rPr>
          <w:rFonts w:hint="eastAsia"/>
        </w:rPr>
        <w:t>市医保局是绵竹市人民政府正科级工作部门，下属公益一类事业单位（八级）为绵竹市医疗保障事务中心。</w:t>
      </w:r>
    </w:p>
    <w:p>
      <w:pPr>
        <w:ind w:firstLine="640"/>
      </w:pPr>
      <w:bookmarkStart w:id="10" w:name="_Toc77503464"/>
      <w:bookmarkStart w:id="11" w:name="_Toc73927473"/>
      <w:r>
        <w:rPr>
          <w:rFonts w:hint="eastAsia"/>
        </w:rPr>
        <w:t>（1）市医保局</w:t>
      </w:r>
      <w:r>
        <w:t>主要职责</w:t>
      </w:r>
      <w:bookmarkEnd w:id="10"/>
      <w:bookmarkEnd w:id="11"/>
    </w:p>
    <w:p>
      <w:pPr>
        <w:ind w:firstLine="640"/>
        <w:rPr>
          <w:rFonts w:cs="Times New Roman"/>
        </w:rPr>
      </w:pPr>
      <w:r>
        <w:rPr>
          <w:rFonts w:hint="eastAsia" w:cs="Times New Roman"/>
        </w:rPr>
        <w:t>一是组织拟订全市医疗保险、生育保险、医疗救助等医疗保障制度的发展规划、政策和标准，并组织实施和监督检查。</w:t>
      </w:r>
    </w:p>
    <w:p>
      <w:pPr>
        <w:ind w:firstLine="640"/>
        <w:rPr>
          <w:rFonts w:cs="Times New Roman"/>
        </w:rPr>
      </w:pPr>
      <w:r>
        <w:rPr>
          <w:rFonts w:hint="eastAsia" w:cs="Times New Roman"/>
        </w:rPr>
        <w:t>二是组织实施医疗保障基金监督管理制度，建立健全医疗保障基金安全防控机制，监督强化全市医疗保障基金运行管理。</w:t>
      </w:r>
    </w:p>
    <w:p>
      <w:pPr>
        <w:ind w:firstLine="640"/>
        <w:rPr>
          <w:rFonts w:cs="Times New Roman"/>
        </w:rPr>
      </w:pPr>
      <w:r>
        <w:rPr>
          <w:rFonts w:hint="eastAsia" w:cs="Times New Roman"/>
        </w:rPr>
        <w:t>三是组织实施医疗保障筹资和待遇政策，实施城乡医疗保障待遇标准统筹，实施长期护理保险制度。</w:t>
      </w:r>
    </w:p>
    <w:p>
      <w:pPr>
        <w:ind w:firstLine="640"/>
        <w:rPr>
          <w:rFonts w:cs="Times New Roman"/>
        </w:rPr>
      </w:pPr>
      <w:r>
        <w:rPr>
          <w:rFonts w:hint="eastAsia" w:cs="Times New Roman"/>
        </w:rPr>
        <w:t>四是组织实施全省城乡统一的药品、医用耗材、医疗服务项目、医疗服务设施等医疗保障目录和支付标准，并监督实施。组织实施全市特殊医用材料、特殊检查和治疗、医院制剂等相关目录和支付标准，并监督实施。</w:t>
      </w:r>
    </w:p>
    <w:p>
      <w:pPr>
        <w:ind w:firstLine="640"/>
        <w:rPr>
          <w:rFonts w:cs="Times New Roman"/>
        </w:rPr>
      </w:pPr>
      <w:r>
        <w:rPr>
          <w:rFonts w:hint="eastAsia" w:cs="Times New Roman"/>
        </w:rPr>
        <w:t>五是组织实施医疗服务项目、医疗服务设施收费等政策，按照医保支付医药服务价格合理确定和动态调整机制推动建立市场主导的社会医药服务价格形成机制，建立相应价格信息监测和信息发布制度。</w:t>
      </w:r>
    </w:p>
    <w:p>
      <w:pPr>
        <w:ind w:firstLine="640"/>
        <w:rPr>
          <w:rFonts w:cs="Times New Roman"/>
        </w:rPr>
      </w:pPr>
      <w:r>
        <w:rPr>
          <w:rFonts w:hint="eastAsia" w:cs="Times New Roman"/>
        </w:rPr>
        <w:t>六是监督全市药品、医用耗材的招标采购政策实施，按省市要求参与药品、医用耗材招标采购平台建设。</w:t>
      </w:r>
    </w:p>
    <w:p>
      <w:pPr>
        <w:ind w:firstLine="640"/>
        <w:rPr>
          <w:rFonts w:cs="Times New Roman"/>
        </w:rPr>
      </w:pPr>
      <w:r>
        <w:rPr>
          <w:rFonts w:hint="eastAsia" w:cs="Times New Roman"/>
        </w:rPr>
        <w:t>七是推进医疗保障基金支付方式改革，组织实施全市定点医药机构协议和支付管理，负责全市医疗保障定点机构管理。建立健全市医疗保障信用评价体系和信息披露制度，监督管理纳入医疗保障范围内的医疗服务行为和医疗费用，依法查处医疗保障领域违法违规行为。</w:t>
      </w:r>
    </w:p>
    <w:p>
      <w:pPr>
        <w:ind w:firstLine="640"/>
        <w:rPr>
          <w:rFonts w:cs="Times New Roman"/>
        </w:rPr>
      </w:pPr>
      <w:r>
        <w:rPr>
          <w:rFonts w:hint="eastAsia" w:cs="Times New Roman"/>
        </w:rPr>
        <w:t>八是负责全市医疗保障经办管理和公共服务体系建设。组织实施异地就医管理和费用结算。建立健全医疗保障关系转移接续制度。监督管理全市医保经办服务工作。开展医疗保障领域对外合作交流。</w:t>
      </w:r>
    </w:p>
    <w:p>
      <w:pPr>
        <w:ind w:firstLine="640"/>
      </w:pPr>
      <w:r>
        <w:rPr>
          <w:rFonts w:hint="eastAsia"/>
        </w:rPr>
        <w:t>九是组织实施全市医疗保障信息化建设以及医疗保障数据管理和应用。</w:t>
      </w:r>
    </w:p>
    <w:p>
      <w:pPr>
        <w:ind w:firstLine="640"/>
      </w:pPr>
      <w:r>
        <w:rPr>
          <w:rFonts w:hint="eastAsia"/>
        </w:rPr>
        <w:t>十是负责职责范围内的安全生产和职业健康、生态环境保护、服务便民化等工作。</w:t>
      </w:r>
    </w:p>
    <w:p>
      <w:pPr>
        <w:ind w:firstLine="640"/>
      </w:pPr>
      <w:r>
        <w:rPr>
          <w:rFonts w:hint="eastAsia"/>
        </w:rPr>
        <w:t>十一是完成市委、市政府交办的其他任务。</w:t>
      </w:r>
    </w:p>
    <w:p>
      <w:pPr>
        <w:ind w:firstLine="640"/>
      </w:pPr>
      <w:r>
        <w:rPr>
          <w:rFonts w:hint="eastAsia"/>
        </w:rPr>
        <w:t>十二是职能转变。完善统一的城乡居民基本医疗保险和大病保险制度，不断提高医疗保障水平，建立健全覆盖全民、城乡统筹的多层次医疗保障资金合理使用、安全可控，推进医疗、医保、医药“三医联动”改革，更好地保障人民群众就医需求、减轻医药费用负担。</w:t>
      </w:r>
    </w:p>
    <w:p>
      <w:pPr>
        <w:ind w:firstLine="640"/>
        <w:rPr>
          <w:rFonts w:cs="Times New Roman"/>
        </w:rPr>
      </w:pPr>
      <w:r>
        <w:rPr>
          <w:rFonts w:hint="eastAsia" w:cs="Times New Roman"/>
        </w:rPr>
        <w:t>十三是与市卫生健康局的有关职责分工。两部门在医疗、医保、医药等方面加强制度、政策衔接，建立沟通协商机制，协同推进改革，提高医疗资源使用效率和医疗保障水平。</w:t>
      </w:r>
    </w:p>
    <w:p>
      <w:pPr>
        <w:ind w:firstLine="640"/>
      </w:pPr>
      <w:bookmarkStart w:id="12" w:name="_Toc77503465"/>
      <w:bookmarkStart w:id="13" w:name="_Toc73927474"/>
      <w:r>
        <w:rPr>
          <w:rFonts w:hint="eastAsia"/>
        </w:rPr>
        <w:t>（2）市医疗保障事务中心</w:t>
      </w:r>
      <w:r>
        <w:t>主要职责</w:t>
      </w:r>
      <w:bookmarkEnd w:id="12"/>
      <w:bookmarkEnd w:id="13"/>
    </w:p>
    <w:p>
      <w:pPr>
        <w:ind w:firstLine="640"/>
        <w:rPr>
          <w:rFonts w:cs="Times New Roman"/>
        </w:rPr>
      </w:pPr>
      <w:r>
        <w:rPr>
          <w:rFonts w:hint="eastAsia" w:cs="Times New Roman"/>
        </w:rPr>
        <w:t>一是</w:t>
      </w:r>
      <w:r>
        <w:rPr>
          <w:rFonts w:cs="Times New Roman"/>
        </w:rPr>
        <w:t>负责全市医疗保险（生育保险）业务经办工作目标任务的完成。</w:t>
      </w:r>
    </w:p>
    <w:p>
      <w:pPr>
        <w:ind w:firstLine="640"/>
        <w:rPr>
          <w:rFonts w:cs="Times New Roman"/>
        </w:rPr>
      </w:pPr>
      <w:r>
        <w:rPr>
          <w:rFonts w:hint="eastAsia" w:cs="Times New Roman"/>
        </w:rPr>
        <w:t>二是</w:t>
      </w:r>
      <w:r>
        <w:rPr>
          <w:rFonts w:cs="Times New Roman"/>
        </w:rPr>
        <w:t>负责全市参保单位和个人基本医疗保险参保登记、缴费申报、医保关系接续转移的经办服务</w:t>
      </w:r>
      <w:r>
        <w:rPr>
          <w:rFonts w:hint="eastAsia" w:cs="Times New Roman"/>
        </w:rPr>
        <w:t>。</w:t>
      </w:r>
    </w:p>
    <w:p>
      <w:pPr>
        <w:ind w:firstLine="640"/>
        <w:rPr>
          <w:rFonts w:cs="Times New Roman"/>
        </w:rPr>
      </w:pPr>
      <w:r>
        <w:rPr>
          <w:rFonts w:hint="eastAsia" w:cs="Times New Roman"/>
        </w:rPr>
        <w:t>三是</w:t>
      </w:r>
      <w:r>
        <w:rPr>
          <w:rFonts w:cs="Times New Roman"/>
        </w:rPr>
        <w:t>负责全市定点医疗机构、省内异地就医和跨省异地就医联网结算定点医药机构申报医药费用的审核结算等经办工作</w:t>
      </w:r>
    </w:p>
    <w:p>
      <w:pPr>
        <w:ind w:firstLine="640"/>
        <w:rPr>
          <w:rFonts w:cs="Times New Roman"/>
        </w:rPr>
      </w:pPr>
      <w:r>
        <w:rPr>
          <w:rFonts w:hint="eastAsia" w:cs="Times New Roman"/>
        </w:rPr>
        <w:t>四是</w:t>
      </w:r>
      <w:r>
        <w:rPr>
          <w:rFonts w:cs="Times New Roman"/>
        </w:rPr>
        <w:t>负责疾病应急救助基金支付的审核工作，全市医疗保险先行支付及追偿工作。</w:t>
      </w:r>
    </w:p>
    <w:p>
      <w:pPr>
        <w:ind w:firstLine="640"/>
        <w:rPr>
          <w:rFonts w:cs="Times New Roman"/>
        </w:rPr>
      </w:pPr>
      <w:r>
        <w:rPr>
          <w:rFonts w:hint="eastAsia" w:cs="Times New Roman"/>
        </w:rPr>
        <w:t>五是</w:t>
      </w:r>
      <w:r>
        <w:rPr>
          <w:rFonts w:cs="Times New Roman"/>
        </w:rPr>
        <w:t>负责本级离休人员、副县级干部、1-6级伤残军人、公务员等人员参保登记和医疗待遇支付 。</w:t>
      </w:r>
    </w:p>
    <w:p>
      <w:pPr>
        <w:ind w:firstLine="640"/>
        <w:rPr>
          <w:rFonts w:cs="Times New Roman"/>
        </w:rPr>
      </w:pPr>
      <w:r>
        <w:rPr>
          <w:rFonts w:hint="eastAsia" w:cs="Times New Roman"/>
        </w:rPr>
        <w:t>六是</w:t>
      </w:r>
      <w:r>
        <w:rPr>
          <w:rFonts w:cs="Times New Roman"/>
        </w:rPr>
        <w:t>负责全市定点医药机构协议管理和考核工作。</w:t>
      </w:r>
    </w:p>
    <w:p>
      <w:pPr>
        <w:ind w:firstLine="640"/>
        <w:rPr>
          <w:rFonts w:cs="Times New Roman"/>
        </w:rPr>
      </w:pPr>
      <w:r>
        <w:rPr>
          <w:rFonts w:hint="eastAsia" w:cs="Times New Roman"/>
        </w:rPr>
        <w:t>七是负责全市医疗保险（生育保险）基金和统计报表汇总、基金运行分析和大数据运用工作。</w:t>
      </w:r>
    </w:p>
    <w:p>
      <w:pPr>
        <w:ind w:firstLine="640"/>
        <w:rPr>
          <w:rFonts w:cs="Times New Roman"/>
        </w:rPr>
      </w:pPr>
      <w:r>
        <w:rPr>
          <w:rFonts w:hint="eastAsia" w:cs="Times New Roman"/>
        </w:rPr>
        <w:t>八是负责全市公共服务体系建设、标准化建设和窗口作风建设及医保精准扶贫等业务指导。</w:t>
      </w:r>
    </w:p>
    <w:p>
      <w:pPr>
        <w:ind w:firstLine="640"/>
        <w:rPr>
          <w:rFonts w:cs="Times New Roman"/>
        </w:rPr>
      </w:pPr>
      <w:r>
        <w:rPr>
          <w:rFonts w:hint="eastAsia" w:cs="Times New Roman"/>
        </w:rPr>
        <w:t>九是负责医疗救助工作。</w:t>
      </w:r>
    </w:p>
    <w:p>
      <w:pPr>
        <w:ind w:firstLine="640"/>
        <w:rPr>
          <w:rFonts w:cs="Times New Roman"/>
        </w:rPr>
      </w:pPr>
      <w:r>
        <w:rPr>
          <w:rFonts w:hint="eastAsia" w:cs="Times New Roman"/>
        </w:rPr>
        <w:t>十是组织开展内控管理和风险防范工作。</w:t>
      </w:r>
    </w:p>
    <w:p>
      <w:pPr>
        <w:ind w:firstLine="640"/>
        <w:rPr>
          <w:rFonts w:cs="Times New Roman"/>
        </w:rPr>
      </w:pPr>
      <w:r>
        <w:rPr>
          <w:rFonts w:hint="eastAsia" w:cs="Times New Roman"/>
        </w:rPr>
        <w:t>十一是承办上级业务部门和绵竹市医疗保障局交办的其他工作。</w:t>
      </w:r>
    </w:p>
    <w:p>
      <w:pPr>
        <w:pStyle w:val="4"/>
        <w:ind w:firstLine="643"/>
        <w:rPr>
          <w:rFonts w:cs="Times New Roman"/>
        </w:rPr>
      </w:pPr>
      <w:bookmarkStart w:id="14" w:name="_Toc73927475"/>
      <w:bookmarkStart w:id="15" w:name="_Toc77503466"/>
      <w:r>
        <w:rPr>
          <w:rFonts w:hint="eastAsia" w:cs="Times New Roman"/>
        </w:rPr>
        <w:t>3.</w:t>
      </w:r>
      <w:r>
        <w:rPr>
          <w:rFonts w:cs="Times New Roman"/>
        </w:rPr>
        <w:t>部门</w:t>
      </w:r>
      <w:r>
        <w:rPr>
          <w:rFonts w:hint="eastAsia" w:cs="Times New Roman"/>
        </w:rPr>
        <w:t>组织结构</w:t>
      </w:r>
      <w:bookmarkEnd w:id="14"/>
      <w:bookmarkEnd w:id="15"/>
    </w:p>
    <w:p>
      <w:pPr>
        <w:ind w:firstLine="640"/>
        <w:rPr>
          <w:rFonts w:cs="Times New Roman"/>
        </w:rPr>
      </w:pPr>
      <w:r>
        <w:drawing>
          <wp:anchor distT="0" distB="0" distL="114300" distR="114300" simplePos="0" relativeHeight="251659264" behindDoc="0" locked="0" layoutInCell="1" allowOverlap="1">
            <wp:simplePos x="0" y="0"/>
            <wp:positionH relativeFrom="column">
              <wp:posOffset>123190</wp:posOffset>
            </wp:positionH>
            <wp:positionV relativeFrom="paragraph">
              <wp:posOffset>1605915</wp:posOffset>
            </wp:positionV>
            <wp:extent cx="5273040" cy="2597150"/>
            <wp:effectExtent l="0" t="0" r="3810" b="0"/>
            <wp:wrapTopAndBottom/>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273040" cy="2597150"/>
                    </a:xfrm>
                    <a:prstGeom prst="rect">
                      <a:avLst/>
                    </a:prstGeom>
                    <a:noFill/>
                  </pic:spPr>
                </pic:pic>
              </a:graphicData>
            </a:graphic>
          </wp:anchor>
        </w:drawing>
      </w:r>
      <w:r>
        <w:rPr>
          <w:rFonts w:hint="eastAsia" w:cs="Times New Roman"/>
        </w:rPr>
        <w:t>市医保局内设股室包括办公室、政策法规与医药管理股、财务与基金管理股。下属单位市医疗保障事务中心设有综合业务股、参保登记股、住院业务股、门诊业务股、特殊医疗股、基金稽核股。</w:t>
      </w:r>
    </w:p>
    <w:p>
      <w:pPr>
        <w:ind w:firstLine="0" w:firstLineChars="0"/>
        <w:jc w:val="center"/>
        <w:rPr>
          <w:rFonts w:eastAsia="幼圆" w:cs="Times New Roman"/>
          <w:b/>
          <w:sz w:val="28"/>
          <w:szCs w:val="32"/>
        </w:rPr>
      </w:pPr>
      <w:r>
        <w:rPr>
          <w:rFonts w:hint="eastAsia" w:eastAsia="幼圆" w:cs="Times New Roman"/>
          <w:b/>
          <w:sz w:val="28"/>
          <w:szCs w:val="32"/>
        </w:rPr>
        <w:t>附图</w:t>
      </w:r>
      <w:r>
        <w:rPr>
          <w:rFonts w:eastAsia="幼圆" w:cs="Times New Roman"/>
          <w:b/>
          <w:sz w:val="28"/>
          <w:szCs w:val="32"/>
        </w:rPr>
        <w:t xml:space="preserve"> </w:t>
      </w:r>
      <w:r>
        <w:rPr>
          <w:rFonts w:hint="eastAsia" w:eastAsia="幼圆" w:cs="Times New Roman"/>
          <w:b/>
          <w:sz w:val="28"/>
          <w:szCs w:val="32"/>
        </w:rPr>
        <w:t>绵竹市医保局组织架构图</w:t>
      </w:r>
    </w:p>
    <w:p>
      <w:pPr>
        <w:pStyle w:val="4"/>
        <w:spacing w:before="120" w:after="120" w:line="600" w:lineRule="exact"/>
        <w:ind w:firstLine="643"/>
        <w:rPr>
          <w:rFonts w:cs="Times New Roman"/>
        </w:rPr>
      </w:pPr>
      <w:bookmarkStart w:id="16" w:name="_Toc73927476"/>
      <w:bookmarkStart w:id="17" w:name="_Toc77503467"/>
      <w:r>
        <w:rPr>
          <w:rFonts w:hint="eastAsia" w:cs="Times New Roman"/>
        </w:rPr>
        <w:t>4.</w:t>
      </w:r>
      <w:r>
        <w:rPr>
          <w:rFonts w:cs="Times New Roman"/>
        </w:rPr>
        <w:t>部门人员结构</w:t>
      </w:r>
      <w:bookmarkEnd w:id="16"/>
      <w:bookmarkEnd w:id="17"/>
    </w:p>
    <w:p>
      <w:pPr>
        <w:ind w:firstLine="562"/>
      </w:pPr>
      <w:r>
        <w:rPr>
          <w:rFonts w:eastAsia="幼圆" w:cs="Times New Roman"/>
          <w:b/>
          <w:sz w:val="28"/>
          <w:szCs w:val="32"/>
        </w:rPr>
        <w:drawing>
          <wp:anchor distT="0" distB="0" distL="114300" distR="114300" simplePos="0" relativeHeight="251660288" behindDoc="0" locked="0" layoutInCell="1" allowOverlap="1">
            <wp:simplePos x="0" y="0"/>
            <wp:positionH relativeFrom="column">
              <wp:posOffset>7620</wp:posOffset>
            </wp:positionH>
            <wp:positionV relativeFrom="paragraph">
              <wp:posOffset>1228090</wp:posOffset>
            </wp:positionV>
            <wp:extent cx="5274310" cy="1973580"/>
            <wp:effectExtent l="0" t="0" r="2540" b="762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hint="eastAsia"/>
        </w:rPr>
        <w:t>截至2020年12月31日，医保局实有工作人员57人，其中行政6人，事业27人，临聘人员3人，从医院借调人员14人，人寿保险公司工作人员6人，见习生1人。</w:t>
      </w:r>
    </w:p>
    <w:p>
      <w:pPr>
        <w:spacing w:line="600" w:lineRule="exact"/>
        <w:ind w:firstLine="0" w:firstLineChars="0"/>
        <w:jc w:val="center"/>
        <w:rPr>
          <w:rFonts w:eastAsia="幼圆" w:cs="Times New Roman"/>
          <w:b/>
          <w:sz w:val="28"/>
          <w:szCs w:val="32"/>
        </w:rPr>
      </w:pPr>
      <w:r>
        <w:rPr>
          <w:rFonts w:eastAsia="幼圆" w:cs="Times New Roman"/>
          <w:b/>
          <w:sz w:val="28"/>
          <w:szCs w:val="32"/>
        </w:rPr>
        <w:t>附</w:t>
      </w:r>
      <w:r>
        <w:rPr>
          <w:rFonts w:hint="eastAsia" w:eastAsia="幼圆" w:cs="Times New Roman"/>
          <w:b/>
          <w:sz w:val="28"/>
          <w:szCs w:val="32"/>
        </w:rPr>
        <w:t>图</w:t>
      </w:r>
      <w:r>
        <w:rPr>
          <w:rFonts w:eastAsia="幼圆" w:cs="Times New Roman"/>
          <w:b/>
          <w:sz w:val="28"/>
          <w:szCs w:val="32"/>
        </w:rPr>
        <w:t xml:space="preserve"> </w:t>
      </w:r>
      <w:r>
        <w:rPr>
          <w:rFonts w:hint="eastAsia" w:eastAsia="幼圆" w:cs="Times New Roman"/>
          <w:b/>
          <w:sz w:val="28"/>
          <w:szCs w:val="32"/>
        </w:rPr>
        <w:t>绵竹</w:t>
      </w:r>
      <w:r>
        <w:rPr>
          <w:rFonts w:eastAsia="幼圆" w:cs="Times New Roman"/>
          <w:b/>
          <w:sz w:val="28"/>
          <w:szCs w:val="32"/>
        </w:rPr>
        <w:t>市</w:t>
      </w:r>
      <w:r>
        <w:rPr>
          <w:rFonts w:hint="eastAsia" w:eastAsia="幼圆" w:cs="Times New Roman"/>
          <w:b/>
          <w:sz w:val="28"/>
          <w:szCs w:val="32"/>
        </w:rPr>
        <w:t>医疗保障局人员结构表</w:t>
      </w:r>
    </w:p>
    <w:p>
      <w:pPr>
        <w:ind w:firstLine="0" w:firstLineChars="0"/>
      </w:pPr>
    </w:p>
    <w:p>
      <w:pPr>
        <w:ind w:firstLine="640"/>
        <w:rPr>
          <w:rFonts w:cs="Times New Roman"/>
        </w:rPr>
      </w:pPr>
      <w:r>
        <w:rPr>
          <w:rFonts w:cs="Times New Roman"/>
        </w:rPr>
        <w:t>一</w:t>
      </w:r>
      <w:r>
        <w:rPr>
          <w:rFonts w:hint="eastAsia" w:cs="Times New Roman"/>
        </w:rPr>
        <w:t>是局本级人员情况</w:t>
      </w:r>
      <w:r>
        <w:rPr>
          <w:rFonts w:cs="Times New Roman"/>
        </w:rPr>
        <w:t>。截止20</w:t>
      </w:r>
      <w:r>
        <w:rPr>
          <w:rFonts w:hint="eastAsia" w:cs="Times New Roman"/>
        </w:rPr>
        <w:t>20</w:t>
      </w:r>
      <w:r>
        <w:rPr>
          <w:rFonts w:cs="Times New Roman"/>
        </w:rPr>
        <w:t>年末，</w:t>
      </w:r>
      <w:r>
        <w:rPr>
          <w:rFonts w:hint="eastAsia" w:cs="Times New Roman"/>
        </w:rPr>
        <w:t>绵竹市医疗保障局本级工作人员13名，</w:t>
      </w:r>
      <w:r>
        <w:rPr>
          <w:rFonts w:cs="Times New Roman"/>
        </w:rPr>
        <w:t>行政人员</w:t>
      </w:r>
      <w:r>
        <w:rPr>
          <w:rFonts w:hint="eastAsia" w:cs="Times New Roman"/>
        </w:rPr>
        <w:t>6</w:t>
      </w:r>
      <w:r>
        <w:rPr>
          <w:rFonts w:cs="Times New Roman"/>
        </w:rPr>
        <w:t>名</w:t>
      </w:r>
      <w:r>
        <w:rPr>
          <w:rFonts w:hint="eastAsia" w:cs="Times New Roman"/>
        </w:rPr>
        <w:t>（局长1人，副局长2人，办公室2人，政策法规与医药管理股1人）；</w:t>
      </w:r>
      <w:r>
        <w:rPr>
          <w:rFonts w:cs="Times New Roman"/>
        </w:rPr>
        <w:t>事业编人员</w:t>
      </w:r>
      <w:r>
        <w:rPr>
          <w:rFonts w:hint="eastAsia" w:cs="Times New Roman"/>
        </w:rPr>
        <w:t>7</w:t>
      </w:r>
      <w:r>
        <w:rPr>
          <w:rFonts w:cs="Times New Roman"/>
        </w:rPr>
        <w:t>名</w:t>
      </w:r>
      <w:r>
        <w:rPr>
          <w:rFonts w:hint="eastAsia" w:cs="Times New Roman"/>
        </w:rPr>
        <w:t>（支部书记1名，办公室1名，财务与基金管理股5）</w:t>
      </w:r>
      <w:r>
        <w:rPr>
          <w:rFonts w:cs="Times New Roman"/>
        </w:rPr>
        <w:t>。</w:t>
      </w:r>
    </w:p>
    <w:p>
      <w:pPr>
        <w:ind w:firstLine="640"/>
        <w:rPr>
          <w:rFonts w:cs="Times New Roman"/>
        </w:rPr>
      </w:pPr>
      <w:r>
        <w:rPr>
          <w:rFonts w:cs="Times New Roman"/>
        </w:rPr>
        <w:t>二是下属事业单位人员情况。截止20</w:t>
      </w:r>
      <w:r>
        <w:rPr>
          <w:rFonts w:hint="eastAsia" w:cs="Times New Roman"/>
        </w:rPr>
        <w:t>20</w:t>
      </w:r>
      <w:r>
        <w:rPr>
          <w:rFonts w:cs="Times New Roman"/>
        </w:rPr>
        <w:t>年末，</w:t>
      </w:r>
      <w:r>
        <w:rPr>
          <w:rFonts w:hint="eastAsia" w:cs="Times New Roman"/>
        </w:rPr>
        <w:t>绵竹市医疗保障事务中心事业编制在编人员20人</w:t>
      </w:r>
      <w:r>
        <w:rPr>
          <w:rFonts w:cs="Times New Roman"/>
        </w:rPr>
        <w:t>。其中，主任1人，</w:t>
      </w:r>
      <w:r>
        <w:rPr>
          <w:rFonts w:hint="eastAsia" w:cs="Times New Roman"/>
        </w:rPr>
        <w:t>副主任2人，工会主席1人，综合业务股室2人，参保登记股室3人，住院业务股室4人，门诊业务股室2人，特殊医疗股室2人，基金稽核股室3人。另含临聘人员综合业务股室1人，参保登记股室1人，基金稽核股室1人。市内医院借调人员综合业务股室1人，参保登记股室1人，住院业务股室3人，门诊业务股室5人，特殊医疗股室3人，基金稽核股室1人。人寿保险公司工作人员综合业务股室1人，参保登记股室4人，基金稽核股室1人。见习生参保登记股室1人。</w:t>
      </w:r>
    </w:p>
    <w:tbl>
      <w:tblPr>
        <w:tblStyle w:val="23"/>
        <w:tblpPr w:leftFromText="180" w:rightFromText="180" w:vertAnchor="text" w:horzAnchor="margin" w:tblpY="379"/>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894"/>
        <w:gridCol w:w="1286"/>
        <w:gridCol w:w="956"/>
        <w:gridCol w:w="426"/>
        <w:gridCol w:w="439"/>
        <w:gridCol w:w="870"/>
        <w:gridCol w:w="681"/>
        <w:gridCol w:w="183"/>
        <w:gridCol w:w="953"/>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5000" w:type="pct"/>
            <w:gridSpan w:val="11"/>
            <w:tcBorders>
              <w:tl2br w:val="nil"/>
              <w:tr2bl w:val="nil"/>
            </w:tcBorders>
            <w:shd w:val="clear" w:color="auto" w:fill="00516B"/>
          </w:tcPr>
          <w:p>
            <w:pPr>
              <w:ind w:firstLine="402"/>
              <w:jc w:val="center"/>
              <w:rPr>
                <w:rFonts w:eastAsia="宋体" w:cs="Times New Roman"/>
                <w:b/>
                <w:bCs/>
                <w:sz w:val="20"/>
                <w:szCs w:val="20"/>
              </w:rPr>
            </w:pPr>
            <w:r>
              <w:rPr>
                <w:rFonts w:eastAsia="宋体" w:cs="Times New Roman"/>
                <w:b/>
                <w:bCs/>
                <w:sz w:val="20"/>
                <w:szCs w:val="20"/>
              </w:rPr>
              <w:t>绵竹市医保局人员构成表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2" w:type="pct"/>
            <w:gridSpan w:val="5"/>
            <w:tcBorders>
              <w:right w:val="nil"/>
              <w:tl2br w:val="nil"/>
              <w:tr2bl w:val="nil"/>
            </w:tcBorders>
          </w:tcPr>
          <w:p>
            <w:pPr>
              <w:ind w:firstLine="0" w:firstLineChars="0"/>
              <w:jc w:val="left"/>
              <w:rPr>
                <w:rFonts w:eastAsia="宋体" w:cs="Times New Roman"/>
                <w:b/>
                <w:bCs/>
                <w:sz w:val="20"/>
                <w:szCs w:val="20"/>
              </w:rPr>
            </w:pPr>
            <w:r>
              <w:rPr>
                <w:rFonts w:eastAsia="宋体" w:cs="Times New Roman"/>
                <w:b/>
                <w:bCs/>
                <w:sz w:val="20"/>
                <w:szCs w:val="20"/>
              </w:rPr>
              <w:t>局本级</w:t>
            </w:r>
          </w:p>
        </w:tc>
        <w:tc>
          <w:tcPr>
            <w:tcW w:w="2358" w:type="pct"/>
            <w:gridSpan w:val="6"/>
            <w:tcBorders>
              <w:left w:val="nil"/>
              <w:tl2br w:val="nil"/>
              <w:tr2bl w:val="nil"/>
            </w:tcBorders>
          </w:tcPr>
          <w:p>
            <w:pPr>
              <w:ind w:firstLine="402"/>
              <w:jc w:val="right"/>
              <w:rPr>
                <w:rFonts w:eastAsia="宋体" w:cs="Times New Roman"/>
                <w:b/>
                <w:bCs/>
                <w:sz w:val="20"/>
                <w:szCs w:val="20"/>
              </w:rPr>
            </w:pPr>
            <w:r>
              <w:rPr>
                <w:rFonts w:eastAsia="宋体" w:cs="Times New Roman"/>
                <w:b/>
                <w:bCs/>
                <w:sz w:val="20"/>
                <w:szCs w:val="20"/>
              </w:rPr>
              <w:t>13人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sz w:val="20"/>
                <w:szCs w:val="20"/>
              </w:rPr>
            </w:pPr>
          </w:p>
        </w:tc>
        <w:tc>
          <w:tcPr>
            <w:tcW w:w="527" w:type="pct"/>
            <w:tcBorders>
              <w:tl2br w:val="nil"/>
              <w:tr2bl w:val="nil"/>
            </w:tcBorders>
          </w:tcPr>
          <w:p>
            <w:pPr>
              <w:ind w:firstLine="0" w:firstLineChars="0"/>
              <w:rPr>
                <w:rFonts w:eastAsia="宋体" w:cs="Times New Roman"/>
                <w:sz w:val="20"/>
                <w:szCs w:val="20"/>
              </w:rPr>
            </w:pPr>
            <w:r>
              <w:rPr>
                <w:rFonts w:eastAsia="宋体" w:cs="Times New Roman"/>
                <w:sz w:val="20"/>
                <w:szCs w:val="20"/>
              </w:rPr>
              <w:t>局长/副局长</w:t>
            </w:r>
          </w:p>
        </w:tc>
        <w:tc>
          <w:tcPr>
            <w:tcW w:w="757" w:type="pct"/>
            <w:tcBorders>
              <w:tl2br w:val="nil"/>
              <w:tr2bl w:val="nil"/>
            </w:tcBorders>
          </w:tcPr>
          <w:p>
            <w:pPr>
              <w:ind w:firstLine="0" w:firstLineChars="0"/>
              <w:rPr>
                <w:rFonts w:eastAsia="宋体" w:cs="Times New Roman"/>
                <w:sz w:val="20"/>
                <w:szCs w:val="20"/>
              </w:rPr>
            </w:pPr>
            <w:r>
              <w:rPr>
                <w:rFonts w:eastAsia="宋体" w:cs="Times New Roman"/>
                <w:sz w:val="20"/>
                <w:szCs w:val="20"/>
              </w:rPr>
              <w:t>支部书记</w:t>
            </w:r>
          </w:p>
        </w:tc>
        <w:tc>
          <w:tcPr>
            <w:tcW w:w="538" w:type="pct"/>
            <w:tcBorders>
              <w:tl2br w:val="nil"/>
              <w:tr2bl w:val="nil"/>
            </w:tcBorders>
          </w:tcPr>
          <w:p>
            <w:pPr>
              <w:ind w:firstLine="0" w:firstLineChars="0"/>
              <w:rPr>
                <w:rFonts w:eastAsia="宋体" w:cs="Times New Roman"/>
                <w:sz w:val="20"/>
                <w:szCs w:val="20"/>
              </w:rPr>
            </w:pPr>
            <w:r>
              <w:rPr>
                <w:rFonts w:eastAsia="宋体" w:cs="Times New Roman"/>
                <w:sz w:val="20"/>
                <w:szCs w:val="20"/>
              </w:rPr>
              <w:t>办公室</w:t>
            </w:r>
          </w:p>
        </w:tc>
        <w:tc>
          <w:tcPr>
            <w:tcW w:w="1427" w:type="pct"/>
            <w:gridSpan w:val="4"/>
            <w:tcBorders>
              <w:tl2br w:val="nil"/>
              <w:tr2bl w:val="nil"/>
            </w:tcBorders>
          </w:tcPr>
          <w:p>
            <w:pPr>
              <w:ind w:firstLine="0" w:firstLineChars="0"/>
              <w:jc w:val="center"/>
              <w:rPr>
                <w:rFonts w:eastAsia="宋体" w:cs="Times New Roman"/>
                <w:sz w:val="20"/>
                <w:szCs w:val="20"/>
              </w:rPr>
            </w:pPr>
            <w:r>
              <w:rPr>
                <w:rFonts w:eastAsia="宋体" w:cs="Times New Roman"/>
                <w:sz w:val="20"/>
                <w:szCs w:val="20"/>
              </w:rPr>
              <w:t>政策法规与医药管理股</w:t>
            </w:r>
          </w:p>
        </w:tc>
        <w:tc>
          <w:tcPr>
            <w:tcW w:w="1184" w:type="pct"/>
            <w:gridSpan w:val="3"/>
            <w:tcBorders>
              <w:tl2br w:val="nil"/>
              <w:tr2bl w:val="nil"/>
            </w:tcBorders>
          </w:tcPr>
          <w:p>
            <w:pPr>
              <w:ind w:firstLine="0" w:firstLineChars="0"/>
              <w:rPr>
                <w:rFonts w:eastAsia="宋体" w:cs="Times New Roman"/>
                <w:sz w:val="20"/>
                <w:szCs w:val="20"/>
              </w:rPr>
            </w:pPr>
            <w:r>
              <w:rPr>
                <w:rFonts w:eastAsia="宋体" w:cs="Times New Roman"/>
                <w:sz w:val="20"/>
                <w:szCs w:val="20"/>
              </w:rPr>
              <w:t>财务与基金管理股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sz w:val="20"/>
                <w:szCs w:val="20"/>
              </w:rPr>
            </w:pPr>
            <w:r>
              <w:rPr>
                <w:rFonts w:eastAsia="宋体" w:cs="Times New Roman"/>
                <w:b/>
                <w:bCs/>
                <w:sz w:val="20"/>
                <w:szCs w:val="20"/>
              </w:rPr>
              <w:t>总计</w:t>
            </w:r>
          </w:p>
        </w:tc>
        <w:tc>
          <w:tcPr>
            <w:tcW w:w="527"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3</w:t>
            </w:r>
          </w:p>
        </w:tc>
        <w:tc>
          <w:tcPr>
            <w:tcW w:w="757" w:type="pct"/>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1</w:t>
            </w:r>
          </w:p>
        </w:tc>
        <w:tc>
          <w:tcPr>
            <w:tcW w:w="538" w:type="pct"/>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3</w:t>
            </w:r>
          </w:p>
        </w:tc>
        <w:tc>
          <w:tcPr>
            <w:tcW w:w="1427" w:type="pct"/>
            <w:gridSpan w:val="4"/>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1</w:t>
            </w:r>
          </w:p>
        </w:tc>
        <w:tc>
          <w:tcPr>
            <w:tcW w:w="1184" w:type="pct"/>
            <w:gridSpan w:val="3"/>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sz w:val="20"/>
                <w:szCs w:val="20"/>
              </w:rPr>
            </w:pPr>
            <w:r>
              <w:rPr>
                <w:rFonts w:eastAsia="宋体" w:cs="Times New Roman"/>
                <w:b/>
                <w:bCs/>
                <w:sz w:val="20"/>
                <w:szCs w:val="20"/>
              </w:rPr>
              <w:t>行政</w:t>
            </w:r>
          </w:p>
        </w:tc>
        <w:tc>
          <w:tcPr>
            <w:tcW w:w="527"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3</w:t>
            </w:r>
          </w:p>
        </w:tc>
        <w:tc>
          <w:tcPr>
            <w:tcW w:w="757" w:type="pct"/>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0</w:t>
            </w:r>
          </w:p>
        </w:tc>
        <w:tc>
          <w:tcPr>
            <w:tcW w:w="538" w:type="pct"/>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2</w:t>
            </w:r>
          </w:p>
        </w:tc>
        <w:tc>
          <w:tcPr>
            <w:tcW w:w="1427" w:type="pct"/>
            <w:gridSpan w:val="4"/>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1</w:t>
            </w:r>
          </w:p>
        </w:tc>
        <w:tc>
          <w:tcPr>
            <w:tcW w:w="1184" w:type="pct"/>
            <w:gridSpan w:val="3"/>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b/>
                <w:bCs/>
                <w:sz w:val="20"/>
                <w:szCs w:val="20"/>
              </w:rPr>
            </w:pPr>
            <w:r>
              <w:rPr>
                <w:rFonts w:eastAsia="宋体" w:cs="Times New Roman"/>
                <w:b/>
                <w:bCs/>
                <w:sz w:val="20"/>
                <w:szCs w:val="20"/>
              </w:rPr>
              <w:t>事业</w:t>
            </w:r>
          </w:p>
        </w:tc>
        <w:tc>
          <w:tcPr>
            <w:tcW w:w="527"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757" w:type="pct"/>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1</w:t>
            </w:r>
          </w:p>
        </w:tc>
        <w:tc>
          <w:tcPr>
            <w:tcW w:w="538" w:type="pct"/>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1</w:t>
            </w:r>
          </w:p>
        </w:tc>
        <w:tc>
          <w:tcPr>
            <w:tcW w:w="1427" w:type="pct"/>
            <w:gridSpan w:val="4"/>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0</w:t>
            </w:r>
          </w:p>
        </w:tc>
        <w:tc>
          <w:tcPr>
            <w:tcW w:w="1184" w:type="pct"/>
            <w:gridSpan w:val="3"/>
            <w:tcBorders>
              <w:tl2br w:val="nil"/>
              <w:tr2bl w:val="nil"/>
            </w:tcBorders>
            <w:vAlign w:val="center"/>
          </w:tcPr>
          <w:p>
            <w:pPr>
              <w:ind w:firstLine="400"/>
              <w:jc w:val="center"/>
              <w:rPr>
                <w:rFonts w:eastAsia="宋体" w:cs="Times New Roman"/>
                <w:sz w:val="20"/>
                <w:szCs w:val="20"/>
              </w:rPr>
            </w:pPr>
            <w:r>
              <w:rPr>
                <w:rFonts w:cs="Times New Roman"/>
                <w:color w:val="00000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642" w:type="pct"/>
            <w:gridSpan w:val="5"/>
            <w:tcBorders>
              <w:right w:val="nil"/>
              <w:tl2br w:val="nil"/>
              <w:tr2bl w:val="nil"/>
            </w:tcBorders>
          </w:tcPr>
          <w:p>
            <w:pPr>
              <w:ind w:firstLine="0" w:firstLineChars="0"/>
              <w:jc w:val="left"/>
              <w:rPr>
                <w:rFonts w:eastAsia="宋体" w:cs="Times New Roman"/>
                <w:b/>
                <w:bCs/>
                <w:sz w:val="20"/>
                <w:szCs w:val="20"/>
              </w:rPr>
            </w:pPr>
            <w:r>
              <w:rPr>
                <w:rFonts w:eastAsia="宋体" w:cs="Times New Roman"/>
                <w:b/>
                <w:bCs/>
                <w:sz w:val="20"/>
                <w:szCs w:val="20"/>
              </w:rPr>
              <w:t>事务中心</w:t>
            </w:r>
          </w:p>
        </w:tc>
        <w:tc>
          <w:tcPr>
            <w:tcW w:w="2358" w:type="pct"/>
            <w:gridSpan w:val="6"/>
            <w:tcBorders>
              <w:left w:val="nil"/>
              <w:tl2br w:val="nil"/>
              <w:tr2bl w:val="nil"/>
            </w:tcBorders>
          </w:tcPr>
          <w:p>
            <w:pPr>
              <w:ind w:firstLine="402"/>
              <w:jc w:val="right"/>
              <w:rPr>
                <w:rFonts w:eastAsia="宋体" w:cs="Times New Roman"/>
                <w:b/>
                <w:bCs/>
                <w:sz w:val="20"/>
                <w:szCs w:val="20"/>
              </w:rPr>
            </w:pPr>
            <w:r>
              <w:rPr>
                <w:rFonts w:eastAsia="宋体" w:cs="Times New Roman"/>
                <w:b/>
                <w:bCs/>
                <w:sz w:val="20"/>
                <w:szCs w:val="20"/>
              </w:rPr>
              <w:t>44人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Chars="100"/>
              <w:rPr>
                <w:rFonts w:eastAsia="宋体" w:cs="Times New Roman"/>
                <w:sz w:val="20"/>
                <w:szCs w:val="20"/>
              </w:rPr>
            </w:pPr>
          </w:p>
        </w:tc>
        <w:tc>
          <w:tcPr>
            <w:tcW w:w="527" w:type="pct"/>
            <w:tcBorders>
              <w:tl2br w:val="nil"/>
              <w:tr2bl w:val="nil"/>
            </w:tcBorders>
          </w:tcPr>
          <w:p>
            <w:pPr>
              <w:ind w:firstLine="0" w:firstLineChars="0"/>
              <w:rPr>
                <w:rFonts w:eastAsia="宋体" w:cs="Times New Roman"/>
                <w:sz w:val="20"/>
                <w:szCs w:val="20"/>
              </w:rPr>
            </w:pPr>
            <w:r>
              <w:rPr>
                <w:rFonts w:eastAsia="宋体" w:cs="Times New Roman"/>
                <w:sz w:val="20"/>
                <w:szCs w:val="20"/>
              </w:rPr>
              <w:t>主任/副主任</w:t>
            </w:r>
          </w:p>
        </w:tc>
        <w:tc>
          <w:tcPr>
            <w:tcW w:w="757" w:type="pct"/>
            <w:tcBorders>
              <w:tl2br w:val="nil"/>
              <w:tr2bl w:val="nil"/>
            </w:tcBorders>
          </w:tcPr>
          <w:p>
            <w:pPr>
              <w:ind w:firstLine="0" w:firstLineChars="0"/>
              <w:jc w:val="center"/>
              <w:rPr>
                <w:rFonts w:eastAsia="宋体" w:cs="Times New Roman"/>
                <w:sz w:val="20"/>
                <w:szCs w:val="20"/>
              </w:rPr>
            </w:pPr>
            <w:r>
              <w:rPr>
                <w:rFonts w:eastAsia="宋体" w:cs="Times New Roman"/>
                <w:sz w:val="20"/>
                <w:szCs w:val="20"/>
              </w:rPr>
              <w:t>工会</w:t>
            </w:r>
          </w:p>
          <w:p>
            <w:pPr>
              <w:ind w:firstLine="0" w:firstLineChars="0"/>
              <w:jc w:val="center"/>
              <w:rPr>
                <w:rFonts w:eastAsia="宋体" w:cs="Times New Roman"/>
                <w:sz w:val="20"/>
                <w:szCs w:val="20"/>
              </w:rPr>
            </w:pPr>
            <w:r>
              <w:rPr>
                <w:rFonts w:eastAsia="宋体" w:cs="Times New Roman"/>
                <w:sz w:val="20"/>
                <w:szCs w:val="20"/>
              </w:rPr>
              <w:t>主席</w:t>
            </w:r>
          </w:p>
        </w:tc>
        <w:tc>
          <w:tcPr>
            <w:tcW w:w="538" w:type="pct"/>
            <w:tcBorders>
              <w:tl2br w:val="nil"/>
              <w:tr2bl w:val="nil"/>
            </w:tcBorders>
          </w:tcPr>
          <w:p>
            <w:pPr>
              <w:ind w:firstLine="0" w:firstLineChars="0"/>
              <w:jc w:val="center"/>
              <w:rPr>
                <w:rFonts w:eastAsia="宋体" w:cs="Times New Roman"/>
                <w:sz w:val="20"/>
                <w:szCs w:val="20"/>
              </w:rPr>
            </w:pPr>
            <w:r>
              <w:rPr>
                <w:rFonts w:eastAsia="宋体" w:cs="Times New Roman"/>
                <w:sz w:val="20"/>
                <w:szCs w:val="20"/>
              </w:rPr>
              <w:t>综合业务股室</w:t>
            </w:r>
          </w:p>
        </w:tc>
        <w:tc>
          <w:tcPr>
            <w:tcW w:w="512" w:type="pct"/>
            <w:gridSpan w:val="2"/>
            <w:tcBorders>
              <w:tl2br w:val="nil"/>
              <w:tr2bl w:val="nil"/>
            </w:tcBorders>
          </w:tcPr>
          <w:p>
            <w:pPr>
              <w:ind w:firstLine="0" w:firstLineChars="0"/>
              <w:rPr>
                <w:rFonts w:eastAsia="宋体" w:cs="Times New Roman"/>
                <w:sz w:val="20"/>
                <w:szCs w:val="20"/>
              </w:rPr>
            </w:pPr>
            <w:r>
              <w:rPr>
                <w:rFonts w:eastAsia="宋体" w:cs="Times New Roman"/>
                <w:sz w:val="20"/>
                <w:szCs w:val="20"/>
              </w:rPr>
              <w:t>参保登记股室</w:t>
            </w:r>
          </w:p>
        </w:tc>
        <w:tc>
          <w:tcPr>
            <w:tcW w:w="513" w:type="pct"/>
            <w:tcBorders>
              <w:tl2br w:val="nil"/>
              <w:tr2bl w:val="nil"/>
            </w:tcBorders>
          </w:tcPr>
          <w:p>
            <w:pPr>
              <w:ind w:firstLine="0" w:firstLineChars="0"/>
              <w:rPr>
                <w:rFonts w:eastAsia="宋体" w:cs="Times New Roman"/>
                <w:sz w:val="20"/>
                <w:szCs w:val="20"/>
              </w:rPr>
            </w:pPr>
            <w:r>
              <w:rPr>
                <w:rFonts w:eastAsia="宋体" w:cs="Times New Roman"/>
                <w:sz w:val="20"/>
                <w:szCs w:val="20"/>
              </w:rPr>
              <w:t>住院业务股室</w:t>
            </w:r>
          </w:p>
        </w:tc>
        <w:tc>
          <w:tcPr>
            <w:tcW w:w="512" w:type="pct"/>
            <w:gridSpan w:val="2"/>
            <w:tcBorders>
              <w:tl2br w:val="nil"/>
              <w:tr2bl w:val="nil"/>
            </w:tcBorders>
          </w:tcPr>
          <w:p>
            <w:pPr>
              <w:ind w:firstLine="0" w:firstLineChars="0"/>
              <w:rPr>
                <w:rFonts w:eastAsia="宋体" w:cs="Times New Roman"/>
                <w:sz w:val="20"/>
                <w:szCs w:val="20"/>
              </w:rPr>
            </w:pPr>
            <w:r>
              <w:rPr>
                <w:rFonts w:eastAsia="宋体" w:cs="Times New Roman"/>
                <w:sz w:val="20"/>
                <w:szCs w:val="20"/>
              </w:rPr>
              <w:t>门诊业务股室</w:t>
            </w:r>
          </w:p>
        </w:tc>
        <w:tc>
          <w:tcPr>
            <w:tcW w:w="561" w:type="pct"/>
            <w:tcBorders>
              <w:tl2br w:val="nil"/>
              <w:tr2bl w:val="nil"/>
            </w:tcBorders>
          </w:tcPr>
          <w:p>
            <w:pPr>
              <w:ind w:firstLine="0" w:firstLineChars="0"/>
              <w:rPr>
                <w:rFonts w:eastAsia="宋体" w:cs="Times New Roman"/>
                <w:sz w:val="20"/>
                <w:szCs w:val="20"/>
              </w:rPr>
            </w:pPr>
            <w:r>
              <w:rPr>
                <w:rFonts w:eastAsia="宋体" w:cs="Times New Roman"/>
                <w:sz w:val="20"/>
                <w:szCs w:val="20"/>
              </w:rPr>
              <w:t>特殊医疗股室</w:t>
            </w:r>
          </w:p>
        </w:tc>
        <w:tc>
          <w:tcPr>
            <w:tcW w:w="512" w:type="pct"/>
            <w:tcBorders>
              <w:tl2br w:val="nil"/>
              <w:tr2bl w:val="nil"/>
            </w:tcBorders>
          </w:tcPr>
          <w:p>
            <w:pPr>
              <w:ind w:firstLine="0" w:firstLineChars="0"/>
              <w:rPr>
                <w:rFonts w:eastAsia="宋体" w:cs="Times New Roman"/>
                <w:sz w:val="20"/>
                <w:szCs w:val="20"/>
              </w:rPr>
            </w:pPr>
            <w:r>
              <w:rPr>
                <w:rFonts w:eastAsia="宋体" w:cs="Times New Roman"/>
                <w:sz w:val="20"/>
                <w:szCs w:val="20"/>
              </w:rPr>
              <w:t>基金稽核股室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sz w:val="20"/>
                <w:szCs w:val="20"/>
              </w:rPr>
            </w:pPr>
            <w:r>
              <w:rPr>
                <w:rFonts w:eastAsia="宋体" w:cs="Times New Roman"/>
                <w:b/>
                <w:bCs/>
                <w:sz w:val="20"/>
                <w:szCs w:val="20"/>
              </w:rPr>
              <w:t>总计</w:t>
            </w:r>
          </w:p>
        </w:tc>
        <w:tc>
          <w:tcPr>
            <w:tcW w:w="527"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3</w:t>
            </w:r>
          </w:p>
        </w:tc>
        <w:tc>
          <w:tcPr>
            <w:tcW w:w="757" w:type="pct"/>
            <w:tcBorders>
              <w:tl2br w:val="nil"/>
              <w:tr2bl w:val="nil"/>
            </w:tcBorders>
            <w:vAlign w:val="center"/>
          </w:tcPr>
          <w:p>
            <w:pPr>
              <w:ind w:firstLine="400"/>
              <w:rPr>
                <w:rFonts w:eastAsia="宋体" w:cs="Times New Roman"/>
                <w:sz w:val="20"/>
                <w:szCs w:val="20"/>
              </w:rPr>
            </w:pPr>
            <w:r>
              <w:rPr>
                <w:rFonts w:cs="Times New Roman"/>
                <w:color w:val="000000"/>
                <w:sz w:val="20"/>
                <w:szCs w:val="20"/>
              </w:rPr>
              <w:t>1</w:t>
            </w:r>
          </w:p>
        </w:tc>
        <w:tc>
          <w:tcPr>
            <w:tcW w:w="538"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5</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10</w:t>
            </w:r>
          </w:p>
        </w:tc>
        <w:tc>
          <w:tcPr>
            <w:tcW w:w="513"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7</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7</w:t>
            </w:r>
          </w:p>
        </w:tc>
        <w:tc>
          <w:tcPr>
            <w:tcW w:w="561"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5</w:t>
            </w:r>
          </w:p>
        </w:tc>
        <w:tc>
          <w:tcPr>
            <w:tcW w:w="512"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b/>
                <w:bCs/>
                <w:sz w:val="20"/>
                <w:szCs w:val="20"/>
              </w:rPr>
            </w:pPr>
            <w:r>
              <w:rPr>
                <w:rFonts w:eastAsia="宋体" w:cs="Times New Roman"/>
                <w:b/>
                <w:bCs/>
                <w:sz w:val="20"/>
                <w:szCs w:val="20"/>
              </w:rPr>
              <w:t>事业</w:t>
            </w:r>
          </w:p>
        </w:tc>
        <w:tc>
          <w:tcPr>
            <w:tcW w:w="527"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3</w:t>
            </w:r>
          </w:p>
        </w:tc>
        <w:tc>
          <w:tcPr>
            <w:tcW w:w="757" w:type="pct"/>
            <w:tcBorders>
              <w:tl2br w:val="nil"/>
              <w:tr2bl w:val="nil"/>
            </w:tcBorders>
            <w:vAlign w:val="center"/>
          </w:tcPr>
          <w:p>
            <w:pPr>
              <w:ind w:firstLine="400"/>
              <w:rPr>
                <w:rFonts w:eastAsia="宋体" w:cs="Times New Roman"/>
                <w:sz w:val="20"/>
                <w:szCs w:val="20"/>
              </w:rPr>
            </w:pPr>
            <w:r>
              <w:rPr>
                <w:rFonts w:cs="Times New Roman"/>
                <w:color w:val="000000"/>
                <w:sz w:val="20"/>
                <w:szCs w:val="20"/>
              </w:rPr>
              <w:t>1</w:t>
            </w:r>
          </w:p>
        </w:tc>
        <w:tc>
          <w:tcPr>
            <w:tcW w:w="538"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2</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3</w:t>
            </w:r>
          </w:p>
        </w:tc>
        <w:tc>
          <w:tcPr>
            <w:tcW w:w="513"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4</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2</w:t>
            </w:r>
          </w:p>
        </w:tc>
        <w:tc>
          <w:tcPr>
            <w:tcW w:w="561"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2</w:t>
            </w:r>
          </w:p>
        </w:tc>
        <w:tc>
          <w:tcPr>
            <w:tcW w:w="512"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b/>
                <w:bCs/>
                <w:sz w:val="20"/>
                <w:szCs w:val="20"/>
              </w:rPr>
            </w:pPr>
            <w:r>
              <w:rPr>
                <w:rFonts w:eastAsia="宋体" w:cs="Times New Roman"/>
                <w:b/>
                <w:bCs/>
                <w:sz w:val="20"/>
                <w:szCs w:val="20"/>
              </w:rPr>
              <w:t>临聘</w:t>
            </w:r>
          </w:p>
        </w:tc>
        <w:tc>
          <w:tcPr>
            <w:tcW w:w="527"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0</w:t>
            </w:r>
          </w:p>
        </w:tc>
        <w:tc>
          <w:tcPr>
            <w:tcW w:w="757" w:type="pct"/>
            <w:tcBorders>
              <w:tl2br w:val="nil"/>
              <w:tr2bl w:val="nil"/>
            </w:tcBorders>
            <w:vAlign w:val="center"/>
          </w:tcPr>
          <w:p>
            <w:pPr>
              <w:ind w:firstLine="400"/>
              <w:rPr>
                <w:rFonts w:eastAsia="宋体" w:cs="Times New Roman"/>
                <w:sz w:val="20"/>
                <w:szCs w:val="20"/>
              </w:rPr>
            </w:pPr>
            <w:r>
              <w:rPr>
                <w:rFonts w:cs="Times New Roman"/>
                <w:color w:val="000000"/>
                <w:sz w:val="20"/>
                <w:szCs w:val="20"/>
              </w:rPr>
              <w:t>0</w:t>
            </w:r>
          </w:p>
        </w:tc>
        <w:tc>
          <w:tcPr>
            <w:tcW w:w="538"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1</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1</w:t>
            </w:r>
          </w:p>
        </w:tc>
        <w:tc>
          <w:tcPr>
            <w:tcW w:w="513"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61"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12"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b/>
                <w:bCs/>
                <w:sz w:val="20"/>
                <w:szCs w:val="20"/>
              </w:rPr>
            </w:pPr>
            <w:r>
              <w:rPr>
                <w:rFonts w:eastAsia="宋体" w:cs="Times New Roman"/>
                <w:b/>
                <w:bCs/>
                <w:sz w:val="20"/>
                <w:szCs w:val="20"/>
              </w:rPr>
              <w:t>借调</w:t>
            </w:r>
          </w:p>
        </w:tc>
        <w:tc>
          <w:tcPr>
            <w:tcW w:w="527"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0</w:t>
            </w:r>
          </w:p>
        </w:tc>
        <w:tc>
          <w:tcPr>
            <w:tcW w:w="757" w:type="pct"/>
            <w:tcBorders>
              <w:tl2br w:val="nil"/>
              <w:tr2bl w:val="nil"/>
            </w:tcBorders>
            <w:vAlign w:val="center"/>
          </w:tcPr>
          <w:p>
            <w:pPr>
              <w:ind w:firstLine="400"/>
              <w:rPr>
                <w:rFonts w:eastAsia="宋体" w:cs="Times New Roman"/>
                <w:sz w:val="20"/>
                <w:szCs w:val="20"/>
              </w:rPr>
            </w:pPr>
            <w:r>
              <w:rPr>
                <w:rFonts w:cs="Times New Roman"/>
                <w:color w:val="000000"/>
                <w:sz w:val="20"/>
                <w:szCs w:val="20"/>
              </w:rPr>
              <w:t>0</w:t>
            </w:r>
          </w:p>
        </w:tc>
        <w:tc>
          <w:tcPr>
            <w:tcW w:w="538"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1</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1</w:t>
            </w:r>
          </w:p>
        </w:tc>
        <w:tc>
          <w:tcPr>
            <w:tcW w:w="513"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3</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5</w:t>
            </w:r>
          </w:p>
        </w:tc>
        <w:tc>
          <w:tcPr>
            <w:tcW w:w="561"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3</w:t>
            </w:r>
          </w:p>
        </w:tc>
        <w:tc>
          <w:tcPr>
            <w:tcW w:w="512"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b/>
                <w:bCs/>
                <w:sz w:val="20"/>
                <w:szCs w:val="20"/>
              </w:rPr>
            </w:pPr>
            <w:r>
              <w:rPr>
                <w:rFonts w:eastAsia="宋体" w:cs="Times New Roman"/>
                <w:b/>
                <w:bCs/>
                <w:sz w:val="20"/>
                <w:szCs w:val="20"/>
              </w:rPr>
              <w:t>人寿</w:t>
            </w:r>
          </w:p>
        </w:tc>
        <w:tc>
          <w:tcPr>
            <w:tcW w:w="527"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0</w:t>
            </w:r>
          </w:p>
        </w:tc>
        <w:tc>
          <w:tcPr>
            <w:tcW w:w="757" w:type="pct"/>
            <w:tcBorders>
              <w:tl2br w:val="nil"/>
              <w:tr2bl w:val="nil"/>
            </w:tcBorders>
            <w:vAlign w:val="center"/>
          </w:tcPr>
          <w:p>
            <w:pPr>
              <w:ind w:firstLine="400"/>
              <w:rPr>
                <w:rFonts w:eastAsia="宋体" w:cs="Times New Roman"/>
                <w:sz w:val="20"/>
                <w:szCs w:val="20"/>
              </w:rPr>
            </w:pPr>
            <w:r>
              <w:rPr>
                <w:rFonts w:cs="Times New Roman"/>
                <w:color w:val="000000"/>
                <w:sz w:val="20"/>
                <w:szCs w:val="20"/>
              </w:rPr>
              <w:t>0</w:t>
            </w:r>
          </w:p>
        </w:tc>
        <w:tc>
          <w:tcPr>
            <w:tcW w:w="538"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1</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4</w:t>
            </w:r>
          </w:p>
        </w:tc>
        <w:tc>
          <w:tcPr>
            <w:tcW w:w="513"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61"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12"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Borders>
              <w:tl2br w:val="nil"/>
              <w:tr2bl w:val="nil"/>
            </w:tcBorders>
          </w:tcPr>
          <w:p>
            <w:pPr>
              <w:ind w:firstLine="0" w:firstLineChars="0"/>
              <w:rPr>
                <w:rFonts w:eastAsia="宋体" w:cs="Times New Roman"/>
                <w:b/>
                <w:bCs/>
                <w:sz w:val="20"/>
                <w:szCs w:val="20"/>
              </w:rPr>
            </w:pPr>
            <w:r>
              <w:rPr>
                <w:rFonts w:eastAsia="宋体" w:cs="Times New Roman"/>
                <w:b/>
                <w:bCs/>
                <w:sz w:val="20"/>
                <w:szCs w:val="20"/>
              </w:rPr>
              <w:t>见习生</w:t>
            </w:r>
          </w:p>
        </w:tc>
        <w:tc>
          <w:tcPr>
            <w:tcW w:w="527"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0</w:t>
            </w:r>
          </w:p>
        </w:tc>
        <w:tc>
          <w:tcPr>
            <w:tcW w:w="757" w:type="pct"/>
            <w:tcBorders>
              <w:tl2br w:val="nil"/>
              <w:tr2bl w:val="nil"/>
            </w:tcBorders>
            <w:vAlign w:val="center"/>
          </w:tcPr>
          <w:p>
            <w:pPr>
              <w:ind w:firstLine="400"/>
              <w:rPr>
                <w:rFonts w:eastAsia="宋体" w:cs="Times New Roman"/>
                <w:sz w:val="20"/>
                <w:szCs w:val="20"/>
              </w:rPr>
            </w:pPr>
            <w:r>
              <w:rPr>
                <w:rFonts w:cs="Times New Roman"/>
                <w:color w:val="000000"/>
                <w:sz w:val="20"/>
                <w:szCs w:val="20"/>
              </w:rPr>
              <w:t>0</w:t>
            </w:r>
          </w:p>
        </w:tc>
        <w:tc>
          <w:tcPr>
            <w:tcW w:w="538" w:type="pct"/>
            <w:tcBorders>
              <w:tl2br w:val="nil"/>
              <w:tr2bl w:val="nil"/>
            </w:tcBorders>
            <w:vAlign w:val="center"/>
          </w:tcPr>
          <w:p>
            <w:pPr>
              <w:ind w:firstLine="0" w:firstLineChars="0"/>
              <w:jc w:val="center"/>
              <w:rPr>
                <w:rFonts w:eastAsia="宋体" w:cs="Times New Roman"/>
                <w:sz w:val="20"/>
                <w:szCs w:val="20"/>
              </w:rPr>
            </w:pPr>
            <w:r>
              <w:rPr>
                <w:rFonts w:cs="Times New Roman"/>
                <w:color w:val="000000"/>
                <w:sz w:val="20"/>
                <w:szCs w:val="20"/>
              </w:rPr>
              <w:t>0</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1</w:t>
            </w:r>
          </w:p>
        </w:tc>
        <w:tc>
          <w:tcPr>
            <w:tcW w:w="513"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12" w:type="pct"/>
            <w:gridSpan w:val="2"/>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61"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c>
          <w:tcPr>
            <w:tcW w:w="512" w:type="pct"/>
            <w:tcBorders>
              <w:tl2br w:val="nil"/>
              <w:tr2bl w:val="nil"/>
            </w:tcBorders>
            <w:vAlign w:val="center"/>
          </w:tcPr>
          <w:p>
            <w:pPr>
              <w:ind w:firstLineChars="100"/>
              <w:rPr>
                <w:rFonts w:eastAsia="宋体" w:cs="Times New Roman"/>
                <w:sz w:val="20"/>
                <w:szCs w:val="20"/>
              </w:rPr>
            </w:pPr>
            <w:r>
              <w:rPr>
                <w:rFonts w:cs="Times New Roman"/>
                <w:color w:val="000000"/>
                <w:sz w:val="20"/>
                <w:szCs w:val="20"/>
              </w:rPr>
              <w:t>0</w:t>
            </w:r>
          </w:p>
        </w:tc>
      </w:tr>
    </w:tbl>
    <w:p>
      <w:pPr>
        <w:pStyle w:val="3"/>
        <w:ind w:firstLine="643"/>
        <w:rPr>
          <w:rFonts w:cs="Times New Roman"/>
        </w:rPr>
      </w:pPr>
      <w:bookmarkStart w:id="18" w:name="_Toc77503468"/>
      <w:bookmarkStart w:id="19" w:name="_Toc73927477"/>
      <w:r>
        <w:rPr>
          <w:rFonts w:hint="eastAsia" w:cs="Times New Roman"/>
        </w:rPr>
        <w:t>（二）年度主要工作目标及重点工作</w:t>
      </w:r>
      <w:bookmarkEnd w:id="18"/>
      <w:bookmarkEnd w:id="19"/>
    </w:p>
    <w:p>
      <w:pPr>
        <w:pStyle w:val="4"/>
        <w:ind w:firstLine="643"/>
        <w:rPr>
          <w:rFonts w:cs="Times New Roman"/>
        </w:rPr>
      </w:pPr>
      <w:bookmarkStart w:id="20" w:name="_Toc77503469"/>
      <w:bookmarkStart w:id="21" w:name="_Toc73927478"/>
      <w:r>
        <w:rPr>
          <w:rFonts w:hint="eastAsia" w:cs="Times New Roman"/>
        </w:rPr>
        <w:t>1</w:t>
      </w:r>
      <w:r>
        <w:rPr>
          <w:rFonts w:cs="Times New Roman"/>
        </w:rPr>
        <w:t>.</w:t>
      </w:r>
      <w:r>
        <w:rPr>
          <w:rFonts w:hint="eastAsia" w:cs="Times New Roman"/>
        </w:rPr>
        <w:t>年度主要工作目标</w:t>
      </w:r>
      <w:bookmarkEnd w:id="20"/>
      <w:bookmarkEnd w:id="21"/>
    </w:p>
    <w:p>
      <w:pPr>
        <w:ind w:firstLine="640"/>
        <w:rPr>
          <w:rFonts w:cs="Times New Roman"/>
        </w:rPr>
      </w:pPr>
      <w:r>
        <w:rPr>
          <w:rFonts w:hint="eastAsia" w:cs="Times New Roman"/>
        </w:rPr>
        <w:t>在市委、市政府正确领导下，在德阳市医疗保障局指导下，市医保局围绕党的十九届三中、四中全会及习近平新时代中国特色社会主义思想，牢固树立“四个意识”，坚决做好“两个维护”，突出“从严治党”，加强自身建设不褪色；突出“以民为本”，完善保障体系不停步；突出“惠民优先”，提升服务效能不懈怠；突出“监管到位”，狠抓基金安全不动摇；突出“信息透明”，打通宣传末梢不堵塞；突出“主动作为”，长抓疫情防控不松懈；突出“精准发力”，助推脱贫攻坚不掉队。</w:t>
      </w:r>
    </w:p>
    <w:p>
      <w:pPr>
        <w:pStyle w:val="4"/>
        <w:ind w:firstLine="643"/>
        <w:rPr>
          <w:rFonts w:cs="Times New Roman"/>
        </w:rPr>
      </w:pPr>
      <w:bookmarkStart w:id="22" w:name="_Toc77503470"/>
      <w:bookmarkStart w:id="23" w:name="_Toc73927479"/>
      <w:r>
        <w:rPr>
          <w:rFonts w:hint="eastAsia" w:cs="Times New Roman"/>
        </w:rPr>
        <w:t>2</w:t>
      </w:r>
      <w:r>
        <w:rPr>
          <w:rFonts w:cs="Times New Roman"/>
        </w:rPr>
        <w:t>.</w:t>
      </w:r>
      <w:r>
        <w:rPr>
          <w:rFonts w:hint="eastAsia" w:cs="Times New Roman"/>
        </w:rPr>
        <w:t>年度重点工作任务</w:t>
      </w:r>
      <w:bookmarkEnd w:id="22"/>
      <w:bookmarkEnd w:id="23"/>
    </w:p>
    <w:p>
      <w:pPr>
        <w:ind w:firstLine="640"/>
        <w:rPr>
          <w:rFonts w:cs="Times New Roman"/>
        </w:rPr>
      </w:pPr>
      <w:r>
        <w:rPr>
          <w:rFonts w:hint="eastAsia" w:cs="Times New Roman"/>
        </w:rPr>
        <w:t>2020年度重点工作任务主要为深入实施全民医保计划；持续巩固打击“欺诈骗保”，加强医疗保障基金监管，切实保障基金安全；扎实做好医保扶贫，健全医保和医疗救助服务机制；规范办事制度和业务流程，“惠民优先”全面提升政务服务能力等活动。</w:t>
      </w:r>
    </w:p>
    <w:p>
      <w:pPr>
        <w:spacing w:line="600" w:lineRule="exact"/>
        <w:ind w:firstLine="0" w:firstLineChars="0"/>
        <w:jc w:val="center"/>
        <w:rPr>
          <w:rFonts w:eastAsia="幼圆" w:cs="Times New Roman"/>
          <w:b/>
          <w:sz w:val="28"/>
          <w:szCs w:val="32"/>
        </w:rPr>
        <w:sectPr>
          <w:footerReference r:id="rId11" w:type="default"/>
          <w:pgSz w:w="11906" w:h="16838"/>
          <w:pgMar w:top="1440" w:right="1800" w:bottom="1440" w:left="1800" w:header="851" w:footer="992" w:gutter="0"/>
          <w:pgNumType w:start="1"/>
          <w:cols w:space="425" w:num="1"/>
          <w:docGrid w:type="lines" w:linePitch="312" w:charSpace="0"/>
        </w:sectPr>
      </w:pPr>
    </w:p>
    <w:p>
      <w:pPr>
        <w:spacing w:line="600" w:lineRule="exact"/>
        <w:ind w:firstLine="0" w:firstLineChars="0"/>
        <w:jc w:val="center"/>
        <w:rPr>
          <w:rFonts w:eastAsia="幼圆" w:cs="Times New Roman"/>
          <w:b/>
          <w:sz w:val="28"/>
          <w:szCs w:val="32"/>
        </w:rPr>
      </w:pPr>
      <w:r>
        <w:rPr>
          <w:rFonts w:eastAsia="幼圆" w:cs="Times New Roman"/>
          <w:b/>
          <w:sz w:val="28"/>
          <w:szCs w:val="32"/>
        </w:rPr>
        <w:t>附表</w:t>
      </w:r>
      <w:r>
        <w:rPr>
          <w:rFonts w:hint="eastAsia" w:eastAsia="幼圆" w:cs="Times New Roman"/>
          <w:b/>
          <w:sz w:val="28"/>
          <w:szCs w:val="32"/>
        </w:rPr>
        <w:t xml:space="preserve"> </w:t>
      </w:r>
      <w:r>
        <w:rPr>
          <w:rFonts w:eastAsia="幼圆" w:cs="Times New Roman"/>
          <w:b/>
          <w:sz w:val="28"/>
          <w:szCs w:val="32"/>
        </w:rPr>
        <w:t>2020年</w:t>
      </w:r>
      <w:r>
        <w:rPr>
          <w:rFonts w:hint="eastAsia" w:eastAsia="幼圆" w:cs="Times New Roman"/>
          <w:b/>
          <w:sz w:val="28"/>
          <w:szCs w:val="32"/>
        </w:rPr>
        <w:t>市医保局</w:t>
      </w:r>
      <w:r>
        <w:rPr>
          <w:rFonts w:eastAsia="幼圆" w:cs="Times New Roman"/>
          <w:b/>
          <w:sz w:val="28"/>
          <w:szCs w:val="32"/>
        </w:rPr>
        <w:t>重点工作</w:t>
      </w:r>
      <w:r>
        <w:rPr>
          <w:rFonts w:hint="eastAsia" w:eastAsia="幼圆" w:cs="Times New Roman"/>
          <w:b/>
          <w:sz w:val="28"/>
          <w:szCs w:val="32"/>
        </w:rPr>
        <w:t>及对应负责部门</w:t>
      </w:r>
      <w:r>
        <w:rPr>
          <w:rStyle w:val="27"/>
          <w:rFonts w:eastAsia="幼圆" w:cs="Times New Roman"/>
          <w:b/>
          <w:sz w:val="28"/>
          <w:szCs w:val="32"/>
        </w:rPr>
        <w:footnoteReference w:id="0"/>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4371"/>
        <w:gridCol w:w="1309"/>
        <w:gridCol w:w="1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765" w:type="pct"/>
            <w:shd w:val="clear" w:color="auto" w:fill="00516B"/>
            <w:vAlign w:val="center"/>
          </w:tcPr>
          <w:p>
            <w:pPr>
              <w:spacing w:line="480" w:lineRule="exact"/>
              <w:ind w:firstLine="124" w:firstLineChars="62"/>
              <w:rPr>
                <w:rFonts w:ascii="宋体" w:hAnsi="宋体" w:eastAsia="宋体" w:cs="仿宋"/>
                <w:b/>
                <w:color w:val="FFFFFF"/>
                <w:sz w:val="20"/>
                <w:szCs w:val="13"/>
              </w:rPr>
            </w:pPr>
            <w:r>
              <w:rPr>
                <w:rFonts w:hint="eastAsia" w:ascii="宋体" w:hAnsi="宋体" w:eastAsia="宋体" w:cs="仿宋"/>
                <w:b/>
                <w:color w:val="FFFFFF"/>
                <w:sz w:val="20"/>
                <w:szCs w:val="13"/>
              </w:rPr>
              <w:t>重点工作</w:t>
            </w:r>
          </w:p>
        </w:tc>
        <w:tc>
          <w:tcPr>
            <w:tcW w:w="2564" w:type="pct"/>
            <w:shd w:val="clear" w:color="auto" w:fill="00516B"/>
            <w:vAlign w:val="center"/>
          </w:tcPr>
          <w:p>
            <w:pPr>
              <w:spacing w:line="480" w:lineRule="exact"/>
              <w:ind w:firstLine="0" w:firstLineChars="0"/>
              <w:jc w:val="center"/>
              <w:rPr>
                <w:rFonts w:ascii="宋体" w:hAnsi="宋体" w:eastAsia="宋体" w:cs="仿宋"/>
                <w:b/>
                <w:color w:val="FFFFFF"/>
                <w:sz w:val="20"/>
                <w:szCs w:val="13"/>
              </w:rPr>
            </w:pPr>
            <w:r>
              <w:rPr>
                <w:rFonts w:hint="eastAsia" w:ascii="宋体" w:hAnsi="宋体" w:eastAsia="宋体" w:cs="仿宋"/>
                <w:b/>
                <w:color w:val="FFFFFF"/>
                <w:sz w:val="20"/>
                <w:szCs w:val="13"/>
              </w:rPr>
              <w:t>工作内容</w:t>
            </w:r>
          </w:p>
        </w:tc>
        <w:tc>
          <w:tcPr>
            <w:tcW w:w="768" w:type="pct"/>
            <w:shd w:val="clear" w:color="auto" w:fill="00516B"/>
            <w:vAlign w:val="center"/>
          </w:tcPr>
          <w:p>
            <w:pPr>
              <w:spacing w:line="480" w:lineRule="exact"/>
              <w:ind w:firstLine="0" w:firstLineChars="0"/>
              <w:jc w:val="center"/>
              <w:rPr>
                <w:rFonts w:ascii="宋体" w:hAnsi="宋体" w:eastAsia="宋体" w:cs="仿宋"/>
                <w:b/>
                <w:color w:val="FFFFFF"/>
                <w:sz w:val="20"/>
                <w:szCs w:val="13"/>
              </w:rPr>
            </w:pPr>
            <w:r>
              <w:rPr>
                <w:rFonts w:hint="eastAsia" w:ascii="宋体" w:hAnsi="宋体" w:eastAsia="宋体" w:cs="仿宋"/>
                <w:b/>
                <w:color w:val="FFFFFF"/>
                <w:sz w:val="20"/>
                <w:szCs w:val="13"/>
              </w:rPr>
              <w:t>归口业务</w:t>
            </w:r>
          </w:p>
          <w:p>
            <w:pPr>
              <w:spacing w:line="480" w:lineRule="exact"/>
              <w:ind w:firstLine="0" w:firstLineChars="0"/>
              <w:jc w:val="center"/>
              <w:rPr>
                <w:rFonts w:ascii="宋体" w:hAnsi="宋体" w:eastAsia="宋体" w:cs="仿宋"/>
                <w:b/>
                <w:color w:val="FFFFFF"/>
                <w:sz w:val="20"/>
                <w:szCs w:val="13"/>
              </w:rPr>
            </w:pPr>
            <w:r>
              <w:rPr>
                <w:rFonts w:hint="eastAsia" w:ascii="宋体" w:hAnsi="宋体" w:eastAsia="宋体" w:cs="仿宋"/>
                <w:b/>
                <w:color w:val="FFFFFF"/>
                <w:sz w:val="20"/>
                <w:szCs w:val="13"/>
              </w:rPr>
              <w:t>股室</w:t>
            </w:r>
          </w:p>
        </w:tc>
        <w:tc>
          <w:tcPr>
            <w:tcW w:w="902" w:type="pct"/>
            <w:shd w:val="clear" w:color="auto" w:fill="00516B"/>
            <w:vAlign w:val="center"/>
          </w:tcPr>
          <w:p>
            <w:pPr>
              <w:spacing w:line="480" w:lineRule="exact"/>
              <w:ind w:firstLine="0" w:firstLineChars="0"/>
              <w:jc w:val="center"/>
              <w:rPr>
                <w:rFonts w:ascii="宋体" w:hAnsi="宋体" w:eastAsia="宋体" w:cs="仿宋"/>
                <w:b/>
                <w:color w:val="FFFFFF"/>
                <w:sz w:val="20"/>
                <w:szCs w:val="13"/>
              </w:rPr>
            </w:pPr>
            <w:r>
              <w:rPr>
                <w:rFonts w:hint="eastAsia" w:ascii="宋体" w:hAnsi="宋体" w:eastAsia="宋体" w:cs="仿宋"/>
                <w:b/>
                <w:color w:val="FFFFFF"/>
                <w:sz w:val="20"/>
                <w:szCs w:val="13"/>
              </w:rPr>
              <w:t>医保事务中心主要执行部门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jc w:val="center"/>
        </w:trPr>
        <w:tc>
          <w:tcPr>
            <w:tcW w:w="765" w:type="pct"/>
            <w:vAlign w:val="center"/>
          </w:tcPr>
          <w:p>
            <w:pPr>
              <w:spacing w:line="480" w:lineRule="exact"/>
              <w:ind w:firstLine="0" w:firstLineChars="0"/>
              <w:rPr>
                <w:rFonts w:ascii="宋体" w:hAnsi="宋体" w:eastAsia="宋体" w:cs="仿宋"/>
                <w:sz w:val="20"/>
                <w:szCs w:val="13"/>
              </w:rPr>
            </w:pPr>
            <w:r>
              <w:rPr>
                <w:rFonts w:hint="eastAsia" w:ascii="宋体" w:hAnsi="宋体" w:eastAsia="宋体" w:cs="仿宋"/>
                <w:color w:val="000000"/>
                <w:kern w:val="0"/>
                <w:sz w:val="20"/>
                <w:szCs w:val="13"/>
              </w:rPr>
              <w:t>深入实施全民医保计划</w:t>
            </w:r>
          </w:p>
        </w:tc>
        <w:tc>
          <w:tcPr>
            <w:tcW w:w="2564" w:type="pct"/>
            <w:vAlign w:val="center"/>
          </w:tcPr>
          <w:p>
            <w:pPr>
              <w:spacing w:line="480" w:lineRule="exact"/>
              <w:ind w:firstLine="0" w:firstLineChars="0"/>
              <w:rPr>
                <w:rFonts w:ascii="宋体" w:hAnsi="宋体" w:eastAsia="宋体" w:cs="仿宋"/>
                <w:sz w:val="20"/>
                <w:szCs w:val="13"/>
              </w:rPr>
            </w:pPr>
            <w:r>
              <w:rPr>
                <w:rFonts w:hint="eastAsia" w:ascii="宋体" w:hAnsi="宋体" w:eastAsia="宋体" w:cs="仿宋"/>
                <w:color w:val="000000"/>
                <w:kern w:val="0"/>
                <w:sz w:val="20"/>
                <w:szCs w:val="13"/>
              </w:rPr>
              <w:t>突出“应保尽保”，扎实推进精准扩面。加大宣传力度，加强部门、镇（街）协作联动，确保完成德阳下达的36万人参保任务。</w:t>
            </w:r>
          </w:p>
        </w:tc>
        <w:tc>
          <w:tcPr>
            <w:tcW w:w="768" w:type="pct"/>
            <w:vAlign w:val="center"/>
          </w:tcPr>
          <w:p>
            <w:pPr>
              <w:spacing w:line="480" w:lineRule="exact"/>
              <w:ind w:firstLine="0" w:firstLineChars="0"/>
              <w:rPr>
                <w:rFonts w:ascii="宋体" w:hAnsi="宋体" w:eastAsia="宋体" w:cs="仿宋"/>
                <w:color w:val="000000"/>
                <w:kern w:val="0"/>
                <w:sz w:val="20"/>
                <w:szCs w:val="13"/>
              </w:rPr>
            </w:pPr>
            <w:r>
              <w:rPr>
                <w:rFonts w:hint="eastAsia" w:ascii="宋体" w:hAnsi="宋体" w:eastAsia="宋体" w:cs="仿宋"/>
                <w:color w:val="000000"/>
                <w:kern w:val="0"/>
                <w:sz w:val="20"/>
                <w:szCs w:val="13"/>
              </w:rPr>
              <w:t>政策法规与医药管理股</w:t>
            </w:r>
          </w:p>
        </w:tc>
        <w:tc>
          <w:tcPr>
            <w:tcW w:w="902"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参保登记股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5" w:type="pct"/>
            <w:shd w:val="clear" w:color="auto" w:fill="auto"/>
            <w:vAlign w:val="center"/>
          </w:tcPr>
          <w:p>
            <w:pPr>
              <w:spacing w:line="480" w:lineRule="exact"/>
              <w:ind w:firstLine="0" w:firstLineChars="0"/>
              <w:rPr>
                <w:rFonts w:ascii="宋体" w:hAnsi="宋体" w:eastAsia="宋体" w:cs="仿宋"/>
                <w:color w:val="000000"/>
                <w:kern w:val="0"/>
                <w:sz w:val="20"/>
                <w:szCs w:val="13"/>
              </w:rPr>
            </w:pPr>
            <w:r>
              <w:rPr>
                <w:rFonts w:hint="eastAsia" w:ascii="宋体" w:hAnsi="宋体" w:eastAsia="宋体" w:cs="仿宋"/>
                <w:color w:val="000000"/>
                <w:kern w:val="0"/>
                <w:sz w:val="20"/>
                <w:szCs w:val="13"/>
              </w:rPr>
              <w:t>加强医疗保障基金监管</w:t>
            </w:r>
          </w:p>
        </w:tc>
        <w:tc>
          <w:tcPr>
            <w:tcW w:w="2564" w:type="pct"/>
            <w:shd w:val="clear" w:color="auto" w:fill="auto"/>
            <w:vAlign w:val="center"/>
          </w:tcPr>
          <w:p>
            <w:pPr>
              <w:spacing w:line="480" w:lineRule="exact"/>
              <w:ind w:firstLine="0" w:firstLineChars="0"/>
              <w:rPr>
                <w:rFonts w:ascii="宋体" w:hAnsi="宋体" w:eastAsia="宋体" w:cs="仿宋"/>
                <w:sz w:val="20"/>
                <w:szCs w:val="13"/>
                <w:highlight w:val="yellow"/>
              </w:rPr>
            </w:pPr>
            <w:r>
              <w:rPr>
                <w:rFonts w:hint="eastAsia" w:ascii="宋体" w:hAnsi="宋体" w:eastAsia="宋体" w:cs="仿宋"/>
                <w:color w:val="000000"/>
                <w:kern w:val="0"/>
                <w:sz w:val="20"/>
                <w:szCs w:val="13"/>
              </w:rPr>
              <w:t>保持打击“欺诈骗保”高压态势，修订完善医保服务协议，强化协议管理。明确权责,着重从监管内容、方式、措施、违规行为查处等方面继续加强基金监督管理工作,切实保障医保基金安全。</w:t>
            </w:r>
          </w:p>
        </w:tc>
        <w:tc>
          <w:tcPr>
            <w:tcW w:w="768"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财务与基金管理股</w:t>
            </w:r>
          </w:p>
        </w:tc>
        <w:tc>
          <w:tcPr>
            <w:tcW w:w="902"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基金稽核股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5"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扎实做好医保扶贫</w:t>
            </w:r>
          </w:p>
        </w:tc>
        <w:tc>
          <w:tcPr>
            <w:tcW w:w="2564" w:type="pct"/>
            <w:vAlign w:val="center"/>
          </w:tcPr>
          <w:p>
            <w:pPr>
              <w:spacing w:line="480" w:lineRule="exact"/>
              <w:ind w:firstLine="0" w:firstLineChars="0"/>
              <w:rPr>
                <w:rFonts w:ascii="宋体" w:hAnsi="宋体" w:eastAsia="宋体" w:cs="仿宋"/>
                <w:sz w:val="20"/>
                <w:szCs w:val="13"/>
              </w:rPr>
            </w:pPr>
            <w:r>
              <w:rPr>
                <w:rFonts w:hint="eastAsia" w:ascii="宋体" w:hAnsi="宋体" w:eastAsia="宋体" w:cs="仿宋"/>
                <w:color w:val="000000"/>
                <w:kern w:val="0"/>
                <w:sz w:val="20"/>
                <w:szCs w:val="13"/>
              </w:rPr>
              <w:t>按照“参保全覆盖资助全落实、待遇全享受”的要求,健全基本医疗保险和医疗救助等服务机制,动态比对部门数据,准确掌握参保状态和待遇享受等信息,确保救助精准到位。</w:t>
            </w:r>
          </w:p>
        </w:tc>
        <w:tc>
          <w:tcPr>
            <w:tcW w:w="768"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财务与基金管理股</w:t>
            </w:r>
          </w:p>
        </w:tc>
        <w:tc>
          <w:tcPr>
            <w:tcW w:w="902"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住院业务股、门诊业务股、特殊医疗股、基金稽核股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5" w:type="pct"/>
            <w:vAlign w:val="center"/>
          </w:tcPr>
          <w:p>
            <w:pPr>
              <w:spacing w:line="480" w:lineRule="exact"/>
              <w:ind w:firstLine="0" w:firstLineChars="0"/>
              <w:rPr>
                <w:rFonts w:ascii="宋体" w:hAnsi="宋体" w:eastAsia="宋体" w:cs="仿宋"/>
                <w:color w:val="000000"/>
                <w:kern w:val="0"/>
                <w:sz w:val="20"/>
                <w:szCs w:val="13"/>
              </w:rPr>
            </w:pPr>
            <w:r>
              <w:rPr>
                <w:rFonts w:hint="eastAsia" w:ascii="宋体" w:hAnsi="宋体" w:eastAsia="宋体" w:cs="仿宋"/>
                <w:color w:val="000000"/>
                <w:kern w:val="0"/>
                <w:sz w:val="20"/>
                <w:szCs w:val="13"/>
              </w:rPr>
              <w:t>全面提升政务服务能力</w:t>
            </w:r>
          </w:p>
        </w:tc>
        <w:tc>
          <w:tcPr>
            <w:tcW w:w="2564" w:type="pct"/>
            <w:vAlign w:val="center"/>
          </w:tcPr>
          <w:p>
            <w:pPr>
              <w:spacing w:line="480" w:lineRule="exact"/>
              <w:ind w:firstLine="0" w:firstLineChars="0"/>
              <w:rPr>
                <w:rFonts w:ascii="宋体" w:hAnsi="宋体" w:eastAsia="宋体" w:cs="仿宋"/>
                <w:sz w:val="20"/>
                <w:szCs w:val="13"/>
              </w:rPr>
            </w:pPr>
            <w:r>
              <w:rPr>
                <w:rFonts w:hint="eastAsia" w:ascii="宋体" w:hAnsi="宋体" w:eastAsia="宋体" w:cs="仿宋"/>
                <w:color w:val="000000"/>
                <w:kern w:val="0"/>
                <w:sz w:val="20"/>
                <w:szCs w:val="13"/>
              </w:rPr>
              <w:t>结合系统行风建设工作,不断提升医保服务质量;全面完成医保中心窗口标准化和信息化升级改造工程;细化经办流程,推广“不见面”服务,引导参保人员通过“掌上办”、“线上办”等方式完成参保登记各案申报、关系转移等服务,真正实现数据多跑路、群众少跑腿。</w:t>
            </w:r>
          </w:p>
        </w:tc>
        <w:tc>
          <w:tcPr>
            <w:tcW w:w="768"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办公室</w:t>
            </w:r>
          </w:p>
        </w:tc>
        <w:tc>
          <w:tcPr>
            <w:tcW w:w="902" w:type="pct"/>
            <w:vAlign w:val="center"/>
          </w:tcPr>
          <w:p>
            <w:pPr>
              <w:spacing w:line="480" w:lineRule="exact"/>
              <w:ind w:firstLine="0" w:firstLineChars="0"/>
              <w:jc w:val="center"/>
              <w:rPr>
                <w:rFonts w:ascii="宋体" w:hAnsi="宋体" w:eastAsia="宋体" w:cs="仿宋"/>
                <w:color w:val="000000"/>
                <w:kern w:val="0"/>
                <w:sz w:val="20"/>
                <w:szCs w:val="13"/>
              </w:rPr>
            </w:pPr>
            <w:r>
              <w:rPr>
                <w:rFonts w:hint="eastAsia" w:ascii="宋体" w:hAnsi="宋体" w:eastAsia="宋体" w:cs="仿宋"/>
                <w:color w:val="000000"/>
                <w:kern w:val="0"/>
                <w:sz w:val="20"/>
                <w:szCs w:val="13"/>
              </w:rPr>
              <w:t>综合业务股</w:t>
            </w:r>
          </w:p>
        </w:tc>
      </w:tr>
    </w:tbl>
    <w:p>
      <w:pPr>
        <w:ind w:firstLine="640"/>
      </w:pPr>
    </w:p>
    <w:p>
      <w:pPr>
        <w:pStyle w:val="2"/>
        <w:spacing w:before="120" w:after="120" w:line="600" w:lineRule="exact"/>
        <w:ind w:firstLine="640"/>
        <w:rPr>
          <w:rFonts w:eastAsia="黑体" w:cs="Times New Roman"/>
          <w:bCs w:val="0"/>
          <w:szCs w:val="32"/>
        </w:rPr>
      </w:pPr>
      <w:bookmarkStart w:id="24" w:name="_Toc77503471"/>
      <w:bookmarkStart w:id="25" w:name="_Toc73927480"/>
      <w:r>
        <w:rPr>
          <w:rFonts w:eastAsia="黑体" w:cs="Times New Roman"/>
          <w:bCs w:val="0"/>
          <w:szCs w:val="32"/>
        </w:rPr>
        <w:t>三、预算管理情况</w:t>
      </w:r>
      <w:bookmarkEnd w:id="24"/>
      <w:bookmarkEnd w:id="25"/>
    </w:p>
    <w:p>
      <w:pPr>
        <w:ind w:firstLine="640"/>
      </w:pPr>
      <w:r>
        <w:rPr>
          <w:rFonts w:hint="eastAsia"/>
        </w:rPr>
        <w:t>在预算管理指标上，设定预算编制和预算执行两个方面。总体而言，预算编制和预算执行进度均较好。</w:t>
      </w:r>
    </w:p>
    <w:p>
      <w:pPr>
        <w:ind w:firstLine="0" w:firstLineChars="0"/>
        <w:jc w:val="center"/>
      </w:pPr>
      <w:r>
        <w:rPr>
          <w:rFonts w:eastAsia="幼圆"/>
          <w:b/>
          <w:sz w:val="28"/>
          <w:szCs w:val="32"/>
        </w:rPr>
        <w:t xml:space="preserve">附表 </w:t>
      </w:r>
      <w:r>
        <w:rPr>
          <w:rFonts w:hint="eastAsia" w:eastAsia="幼圆"/>
          <w:b/>
          <w:sz w:val="28"/>
          <w:szCs w:val="32"/>
        </w:rPr>
        <w:t>预算</w:t>
      </w:r>
      <w:r>
        <w:rPr>
          <w:rFonts w:eastAsia="幼圆"/>
          <w:b/>
          <w:sz w:val="28"/>
          <w:szCs w:val="32"/>
        </w:rPr>
        <w:t>管理指标得分情况</w:t>
      </w:r>
    </w:p>
    <w:tbl>
      <w:tblPr>
        <w:tblStyle w:val="22"/>
        <w:tblW w:w="5000" w:type="pct"/>
        <w:tblInd w:w="0" w:type="dxa"/>
        <w:tblLayout w:type="autofit"/>
        <w:tblCellMar>
          <w:top w:w="0" w:type="dxa"/>
          <w:left w:w="108" w:type="dxa"/>
          <w:bottom w:w="0" w:type="dxa"/>
          <w:right w:w="108" w:type="dxa"/>
        </w:tblCellMar>
      </w:tblPr>
      <w:tblGrid>
        <w:gridCol w:w="1149"/>
        <w:gridCol w:w="1149"/>
        <w:gridCol w:w="2777"/>
        <w:gridCol w:w="1149"/>
        <w:gridCol w:w="1149"/>
        <w:gridCol w:w="1149"/>
      </w:tblGrid>
      <w:tr>
        <w:tblPrEx>
          <w:tblCellMar>
            <w:top w:w="0" w:type="dxa"/>
            <w:left w:w="108" w:type="dxa"/>
            <w:bottom w:w="0" w:type="dxa"/>
            <w:right w:w="108" w:type="dxa"/>
          </w:tblCellMar>
        </w:tblPrEx>
        <w:trPr>
          <w:trHeight w:val="432" w:hRule="atLeast"/>
        </w:trPr>
        <w:tc>
          <w:tcPr>
            <w:tcW w:w="674" w:type="pct"/>
            <w:tcBorders>
              <w:top w:val="single" w:color="auto" w:sz="8" w:space="0"/>
              <w:left w:val="single" w:color="auto" w:sz="8" w:space="0"/>
              <w:bottom w:val="single" w:color="auto" w:sz="8" w:space="0"/>
              <w:right w:val="single" w:color="auto" w:sz="8" w:space="0"/>
            </w:tcBorders>
            <w:shd w:val="clear" w:color="000000" w:fill="00516B"/>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一级指标</w:t>
            </w:r>
          </w:p>
        </w:tc>
        <w:tc>
          <w:tcPr>
            <w:tcW w:w="674"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二级指标</w:t>
            </w:r>
          </w:p>
        </w:tc>
        <w:tc>
          <w:tcPr>
            <w:tcW w:w="1629"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三级指标</w:t>
            </w:r>
          </w:p>
        </w:tc>
        <w:tc>
          <w:tcPr>
            <w:tcW w:w="674"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分值</w:t>
            </w:r>
          </w:p>
        </w:tc>
        <w:tc>
          <w:tcPr>
            <w:tcW w:w="674" w:type="pct"/>
            <w:tcBorders>
              <w:top w:val="single" w:color="auto" w:sz="8" w:space="0"/>
              <w:left w:val="nil"/>
              <w:bottom w:val="nil"/>
              <w:right w:val="single" w:color="auto" w:sz="8" w:space="0"/>
            </w:tcBorders>
            <w:shd w:val="clear" w:color="000000" w:fill="00516B"/>
            <w:vAlign w:val="center"/>
          </w:tcPr>
          <w:p>
            <w:pPr>
              <w:widowControl/>
              <w:spacing w:line="240" w:lineRule="auto"/>
              <w:ind w:firstLine="0" w:firstLineChars="0"/>
              <w:jc w:val="right"/>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得分</w:t>
            </w:r>
          </w:p>
        </w:tc>
        <w:tc>
          <w:tcPr>
            <w:tcW w:w="674"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得分率</w:t>
            </w:r>
          </w:p>
        </w:tc>
      </w:tr>
      <w:tr>
        <w:tblPrEx>
          <w:tblCellMar>
            <w:top w:w="0" w:type="dxa"/>
            <w:left w:w="108" w:type="dxa"/>
            <w:bottom w:w="0" w:type="dxa"/>
            <w:right w:w="108" w:type="dxa"/>
          </w:tblCellMar>
        </w:tblPrEx>
        <w:trPr>
          <w:trHeight w:val="492" w:hRule="atLeast"/>
        </w:trPr>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预算管理（</w:t>
            </w:r>
            <w:r>
              <w:rPr>
                <w:rFonts w:eastAsia="宋体" w:cs="Times New Roman"/>
                <w:color w:val="000000"/>
                <w:kern w:val="0"/>
                <w:sz w:val="20"/>
                <w:szCs w:val="20"/>
              </w:rPr>
              <w:t>10</w:t>
            </w:r>
            <w:r>
              <w:rPr>
                <w:rFonts w:hint="eastAsia" w:ascii="宋体" w:hAnsi="宋体" w:eastAsia="宋体" w:cs="宋体"/>
                <w:color w:val="000000"/>
                <w:kern w:val="0"/>
                <w:sz w:val="20"/>
                <w:szCs w:val="20"/>
              </w:rPr>
              <w:t>分）</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预算编制</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预算安排准确性</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single" w:color="auto" w:sz="8" w:space="0"/>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4.94</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98.80%</w:t>
            </w:r>
          </w:p>
        </w:tc>
      </w:tr>
      <w:tr>
        <w:tblPrEx>
          <w:tblCellMar>
            <w:top w:w="0" w:type="dxa"/>
            <w:left w:w="108" w:type="dxa"/>
            <w:bottom w:w="0" w:type="dxa"/>
            <w:right w:w="108" w:type="dxa"/>
          </w:tblCellMar>
        </w:tblPrEx>
        <w:trPr>
          <w:trHeight w:val="492" w:hRule="atLeast"/>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执行进度</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部门总体执行进度</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w:t>
            </w:r>
            <w:r>
              <w:rPr>
                <w:rFonts w:hint="eastAsia" w:eastAsia="等线" w:cs="Times New Roman"/>
                <w:color w:val="000000"/>
                <w:kern w:val="0"/>
                <w:sz w:val="20"/>
                <w:szCs w:val="20"/>
              </w:rPr>
              <w:t>.</w:t>
            </w:r>
            <w:r>
              <w:rPr>
                <w:rFonts w:eastAsia="等线" w:cs="Times New Roman"/>
                <w:color w:val="000000"/>
                <w:kern w:val="0"/>
                <w:sz w:val="20"/>
                <w:szCs w:val="20"/>
              </w:rPr>
              <w:t>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bl>
    <w:p>
      <w:pPr>
        <w:ind w:firstLine="640"/>
      </w:pPr>
    </w:p>
    <w:p>
      <w:pPr>
        <w:pStyle w:val="3"/>
        <w:ind w:firstLine="643"/>
        <w:rPr>
          <w:rFonts w:cs="Times New Roman"/>
        </w:rPr>
      </w:pPr>
      <w:bookmarkStart w:id="26" w:name="_Toc73927481"/>
      <w:bookmarkStart w:id="27" w:name="_Toc77503472"/>
      <w:r>
        <w:rPr>
          <w:rFonts w:cs="Times New Roman"/>
        </w:rPr>
        <w:t>（一）预算编制情况</w:t>
      </w:r>
      <w:bookmarkEnd w:id="26"/>
      <w:bookmarkEnd w:id="27"/>
    </w:p>
    <w:p>
      <w:pPr>
        <w:ind w:firstLine="640"/>
      </w:pPr>
      <w:r>
        <w:rPr>
          <w:rFonts w:hint="eastAsia"/>
        </w:rPr>
        <w:t>预算编制下设预算安排准确性单个指标，权重5</w:t>
      </w:r>
      <w:r>
        <w:t>.00</w:t>
      </w:r>
      <w:r>
        <w:rPr>
          <w:rFonts w:hint="eastAsia"/>
        </w:rPr>
        <w:t>分，实际得分4</w:t>
      </w:r>
      <w:r>
        <w:t>.94</w:t>
      </w:r>
      <w:r>
        <w:rPr>
          <w:rFonts w:hint="eastAsia"/>
        </w:rPr>
        <w:t>分，得分率</w:t>
      </w:r>
      <w:r>
        <w:t>98.80</w:t>
      </w:r>
      <w:r>
        <w:rPr>
          <w:rFonts w:hint="eastAsia"/>
        </w:rPr>
        <w:t>%。根据计算方式，预算安排准确性达9</w:t>
      </w:r>
      <w:r>
        <w:t>8.80</w:t>
      </w:r>
      <w:r>
        <w:rPr>
          <w:rFonts w:hint="eastAsia"/>
        </w:rPr>
        <w:t>%（年初收入预算数为</w:t>
      </w:r>
      <w:r>
        <w:t>1856.70</w:t>
      </w:r>
      <w:r>
        <w:rPr>
          <w:rFonts w:hint="eastAsia"/>
        </w:rPr>
        <w:t>万元）/预算收入</w:t>
      </w:r>
      <w:r>
        <w:t>1880.22</w:t>
      </w:r>
      <w:r>
        <w:rPr>
          <w:rFonts w:hint="eastAsia"/>
        </w:rPr>
        <w:t>万元，故扣0</w:t>
      </w:r>
      <w:r>
        <w:t>.16</w:t>
      </w:r>
      <w:r>
        <w:rPr>
          <w:rFonts w:hint="eastAsia"/>
        </w:rPr>
        <w:t>分。</w:t>
      </w:r>
    </w:p>
    <w:p>
      <w:pPr>
        <w:pStyle w:val="4"/>
        <w:ind w:firstLine="643"/>
      </w:pPr>
      <w:bookmarkStart w:id="28" w:name="_Toc73927482"/>
      <w:bookmarkStart w:id="29" w:name="_Toc77503473"/>
      <w:r>
        <w:t>1.预算收入情况</w:t>
      </w:r>
      <w:bookmarkEnd w:id="28"/>
      <w:bookmarkEnd w:id="29"/>
    </w:p>
    <w:p>
      <w:pPr>
        <w:ind w:firstLine="640"/>
        <w:rPr>
          <w:rFonts w:cs="Times New Roman"/>
        </w:rPr>
      </w:pPr>
      <w:r>
        <w:rPr>
          <w:rFonts w:hint="eastAsia" w:cs="Times New Roman"/>
        </w:rPr>
        <w:t>2020年市医保局年初收入预算数1856.70万元，调整预算数1880.22万元，预算追加数23.52万元，占年初比为1.27%。</w:t>
      </w:r>
    </w:p>
    <w:p>
      <w:pPr>
        <w:ind w:firstLine="0" w:firstLineChars="0"/>
        <w:jc w:val="center"/>
        <w:rPr>
          <w:rFonts w:eastAsia="幼圆" w:cs="Times New Roman"/>
          <w:b/>
          <w:sz w:val="28"/>
          <w:szCs w:val="32"/>
        </w:rPr>
      </w:pPr>
      <w:r>
        <w:rPr>
          <w:rFonts w:hint="eastAsia" w:eastAsia="幼圆" w:cs="Times New Roman"/>
          <w:b/>
          <w:sz w:val="28"/>
          <w:szCs w:val="32"/>
        </w:rPr>
        <w:t>附表</w:t>
      </w:r>
      <w:r>
        <w:rPr>
          <w:rFonts w:eastAsia="幼圆" w:cs="Times New Roman"/>
          <w:b/>
          <w:sz w:val="28"/>
          <w:szCs w:val="32"/>
        </w:rPr>
        <w:t xml:space="preserve"> </w:t>
      </w:r>
      <w:r>
        <w:rPr>
          <w:rFonts w:hint="eastAsia" w:eastAsia="幼圆" w:cs="Times New Roman"/>
          <w:b/>
          <w:sz w:val="28"/>
          <w:szCs w:val="32"/>
        </w:rPr>
        <w:t>2020年市医保局</w:t>
      </w:r>
      <w:r>
        <w:rPr>
          <w:rFonts w:eastAsia="幼圆" w:cs="Times New Roman"/>
          <w:b/>
          <w:sz w:val="28"/>
          <w:szCs w:val="32"/>
        </w:rPr>
        <w:t>预算收入情况</w:t>
      </w:r>
    </w:p>
    <w:tbl>
      <w:tblPr>
        <w:tblStyle w:val="22"/>
        <w:tblW w:w="5000" w:type="pct"/>
        <w:tblInd w:w="0" w:type="dxa"/>
        <w:tblLayout w:type="fixed"/>
        <w:tblCellMar>
          <w:top w:w="0" w:type="dxa"/>
          <w:left w:w="108" w:type="dxa"/>
          <w:bottom w:w="0" w:type="dxa"/>
          <w:right w:w="108" w:type="dxa"/>
        </w:tblCellMar>
      </w:tblPr>
      <w:tblGrid>
        <w:gridCol w:w="1742"/>
        <w:gridCol w:w="1602"/>
        <w:gridCol w:w="1747"/>
        <w:gridCol w:w="1747"/>
        <w:gridCol w:w="1683"/>
      </w:tblGrid>
      <w:tr>
        <w:tblPrEx>
          <w:tblCellMar>
            <w:top w:w="0" w:type="dxa"/>
            <w:left w:w="108" w:type="dxa"/>
            <w:bottom w:w="0" w:type="dxa"/>
            <w:right w:w="108" w:type="dxa"/>
          </w:tblCellMar>
        </w:tblPrEx>
        <w:trPr>
          <w:trHeight w:val="752" w:hRule="atLeast"/>
          <w:tblHeader/>
        </w:trPr>
        <w:tc>
          <w:tcPr>
            <w:tcW w:w="1022" w:type="pct"/>
            <w:tcBorders>
              <w:top w:val="single" w:color="auto" w:sz="4" w:space="0"/>
              <w:left w:val="single" w:color="auto" w:sz="4" w:space="0"/>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hint="eastAsia" w:eastAsia="宋体" w:cs="Times New Roman"/>
                <w:b/>
                <w:bCs/>
                <w:color w:val="FFFFFF"/>
                <w:kern w:val="0"/>
                <w:sz w:val="20"/>
                <w:szCs w:val="13"/>
                <w:lang w:bidi="ar"/>
              </w:rPr>
              <w:t>部门</w:t>
            </w:r>
          </w:p>
        </w:tc>
        <w:tc>
          <w:tcPr>
            <w:tcW w:w="940" w:type="pct"/>
            <w:tcBorders>
              <w:top w:val="single" w:color="auto" w:sz="4" w:space="0"/>
              <w:left w:val="nil"/>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年初预算数</w:t>
            </w:r>
          </w:p>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（万元）</w:t>
            </w:r>
          </w:p>
        </w:tc>
        <w:tc>
          <w:tcPr>
            <w:tcW w:w="1025" w:type="pct"/>
            <w:tcBorders>
              <w:top w:val="single" w:color="auto" w:sz="4" w:space="0"/>
              <w:left w:val="nil"/>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调整预算数</w:t>
            </w:r>
          </w:p>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（万元）</w:t>
            </w:r>
          </w:p>
        </w:tc>
        <w:tc>
          <w:tcPr>
            <w:tcW w:w="1025" w:type="pct"/>
            <w:tcBorders>
              <w:top w:val="single" w:color="auto" w:sz="4" w:space="0"/>
              <w:left w:val="nil"/>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预算追加数</w:t>
            </w:r>
          </w:p>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（万元）</w:t>
            </w:r>
          </w:p>
        </w:tc>
        <w:tc>
          <w:tcPr>
            <w:tcW w:w="987" w:type="pct"/>
            <w:tcBorders>
              <w:top w:val="single" w:color="auto" w:sz="4" w:space="0"/>
              <w:left w:val="nil"/>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追加占年初比率（%）</w:t>
            </w:r>
          </w:p>
        </w:tc>
      </w:tr>
      <w:tr>
        <w:tblPrEx>
          <w:tblCellMar>
            <w:top w:w="0" w:type="dxa"/>
            <w:left w:w="108" w:type="dxa"/>
            <w:bottom w:w="0" w:type="dxa"/>
            <w:right w:w="108" w:type="dxa"/>
          </w:tblCellMar>
        </w:tblPrEx>
        <w:trPr>
          <w:trHeight w:val="285" w:hRule="atLeast"/>
        </w:trPr>
        <w:tc>
          <w:tcPr>
            <w:tcW w:w="1022" w:type="pct"/>
            <w:tcBorders>
              <w:top w:val="nil"/>
              <w:left w:val="single" w:color="auto" w:sz="4" w:space="0"/>
              <w:bottom w:val="single" w:color="auto" w:sz="4" w:space="0"/>
              <w:right w:val="single" w:color="auto" w:sz="4" w:space="0"/>
            </w:tcBorders>
            <w:shd w:val="clear" w:color="auto" w:fill="auto"/>
            <w:noWrap/>
            <w:vAlign w:val="center"/>
          </w:tcPr>
          <w:p>
            <w:pPr>
              <w:ind w:firstLine="0" w:firstLineChars="0"/>
              <w:jc w:val="center"/>
              <w:rPr>
                <w:rFonts w:eastAsia="宋体" w:cs="Times New Roman"/>
                <w:color w:val="000000"/>
                <w:kern w:val="0"/>
                <w:sz w:val="20"/>
                <w:szCs w:val="13"/>
              </w:rPr>
            </w:pPr>
            <w:r>
              <w:rPr>
                <w:rFonts w:eastAsia="宋体" w:cs="Times New Roman"/>
                <w:color w:val="000000"/>
                <w:kern w:val="0"/>
                <w:sz w:val="20"/>
                <w:szCs w:val="13"/>
              </w:rPr>
              <w:t>市医疗保障局</w:t>
            </w:r>
          </w:p>
        </w:tc>
        <w:tc>
          <w:tcPr>
            <w:tcW w:w="940" w:type="pct"/>
            <w:tcBorders>
              <w:top w:val="nil"/>
              <w:left w:val="nil"/>
              <w:bottom w:val="single" w:color="auto" w:sz="4" w:space="0"/>
              <w:right w:val="single" w:color="auto" w:sz="4" w:space="0"/>
            </w:tcBorders>
            <w:shd w:val="clear" w:color="auto" w:fill="auto"/>
            <w:noWrap/>
            <w:vAlign w:val="center"/>
          </w:tcPr>
          <w:p>
            <w:pPr>
              <w:ind w:firstLine="0" w:firstLineChars="0"/>
              <w:jc w:val="center"/>
              <w:rPr>
                <w:rFonts w:eastAsia="宋体" w:cs="Times New Roman"/>
                <w:color w:val="000000"/>
                <w:kern w:val="0"/>
                <w:sz w:val="20"/>
                <w:szCs w:val="13"/>
              </w:rPr>
            </w:pPr>
            <w:r>
              <w:rPr>
                <w:rFonts w:eastAsia="宋体" w:cs="Times New Roman"/>
                <w:color w:val="000000"/>
                <w:sz w:val="20"/>
                <w:szCs w:val="13"/>
              </w:rPr>
              <w:t>1856.70</w:t>
            </w:r>
          </w:p>
        </w:tc>
        <w:tc>
          <w:tcPr>
            <w:tcW w:w="1025" w:type="pct"/>
            <w:tcBorders>
              <w:top w:val="nil"/>
              <w:left w:val="nil"/>
              <w:bottom w:val="single" w:color="auto" w:sz="4" w:space="0"/>
              <w:right w:val="single" w:color="auto" w:sz="4" w:space="0"/>
            </w:tcBorders>
            <w:shd w:val="clear" w:color="auto" w:fill="auto"/>
            <w:noWrap/>
            <w:vAlign w:val="center"/>
          </w:tcPr>
          <w:p>
            <w:pPr>
              <w:ind w:firstLine="0" w:firstLineChars="0"/>
              <w:jc w:val="center"/>
              <w:rPr>
                <w:rFonts w:eastAsia="宋体" w:cs="Times New Roman"/>
                <w:color w:val="000000"/>
                <w:kern w:val="0"/>
                <w:sz w:val="20"/>
                <w:szCs w:val="13"/>
              </w:rPr>
            </w:pPr>
            <w:r>
              <w:rPr>
                <w:rFonts w:eastAsia="宋体" w:cs="Times New Roman"/>
                <w:color w:val="000000"/>
                <w:sz w:val="20"/>
                <w:szCs w:val="13"/>
              </w:rPr>
              <w:t>1880.22</w:t>
            </w:r>
          </w:p>
        </w:tc>
        <w:tc>
          <w:tcPr>
            <w:tcW w:w="1025" w:type="pct"/>
            <w:tcBorders>
              <w:top w:val="nil"/>
              <w:left w:val="nil"/>
              <w:bottom w:val="single" w:color="auto" w:sz="4" w:space="0"/>
              <w:right w:val="single" w:color="auto" w:sz="4" w:space="0"/>
            </w:tcBorders>
            <w:shd w:val="clear" w:color="auto" w:fill="auto"/>
            <w:noWrap/>
            <w:vAlign w:val="center"/>
          </w:tcPr>
          <w:p>
            <w:pPr>
              <w:ind w:firstLine="0" w:firstLineChars="0"/>
              <w:jc w:val="center"/>
              <w:rPr>
                <w:rFonts w:eastAsia="宋体" w:cs="Times New Roman"/>
                <w:color w:val="000000"/>
                <w:kern w:val="0"/>
                <w:sz w:val="20"/>
                <w:szCs w:val="13"/>
              </w:rPr>
            </w:pPr>
            <w:r>
              <w:rPr>
                <w:rFonts w:eastAsia="宋体" w:cs="Times New Roman"/>
                <w:color w:val="000000"/>
                <w:sz w:val="20"/>
                <w:szCs w:val="13"/>
              </w:rPr>
              <w:t>23.52</w:t>
            </w:r>
          </w:p>
        </w:tc>
        <w:tc>
          <w:tcPr>
            <w:tcW w:w="987" w:type="pct"/>
            <w:tcBorders>
              <w:top w:val="nil"/>
              <w:left w:val="nil"/>
              <w:bottom w:val="single" w:color="auto" w:sz="4" w:space="0"/>
              <w:right w:val="single" w:color="auto" w:sz="4" w:space="0"/>
            </w:tcBorders>
            <w:shd w:val="clear" w:color="auto" w:fill="auto"/>
            <w:noWrap/>
            <w:vAlign w:val="center"/>
          </w:tcPr>
          <w:p>
            <w:pPr>
              <w:ind w:firstLine="0" w:firstLineChars="0"/>
              <w:jc w:val="center"/>
              <w:rPr>
                <w:rFonts w:eastAsia="宋体" w:cs="Times New Roman"/>
                <w:color w:val="000000"/>
                <w:kern w:val="0"/>
                <w:sz w:val="20"/>
                <w:szCs w:val="13"/>
              </w:rPr>
            </w:pPr>
            <w:r>
              <w:rPr>
                <w:rFonts w:eastAsia="宋体" w:cs="Times New Roman"/>
                <w:color w:val="000000"/>
                <w:sz w:val="20"/>
                <w:szCs w:val="13"/>
              </w:rPr>
              <w:t>1.27</w:t>
            </w:r>
          </w:p>
        </w:tc>
      </w:tr>
    </w:tbl>
    <w:p>
      <w:pPr>
        <w:spacing w:line="600" w:lineRule="exact"/>
        <w:ind w:firstLine="0" w:firstLineChars="0"/>
        <w:rPr>
          <w:rFonts w:eastAsia="幼圆" w:cs="Times New Roman"/>
          <w:b/>
          <w:sz w:val="28"/>
          <w:szCs w:val="32"/>
        </w:rPr>
      </w:pPr>
    </w:p>
    <w:p>
      <w:pPr>
        <w:spacing w:line="600" w:lineRule="exact"/>
        <w:ind w:firstLine="0" w:firstLineChars="0"/>
        <w:jc w:val="center"/>
        <w:rPr>
          <w:rFonts w:eastAsia="幼圆" w:cs="Times New Roman"/>
          <w:b/>
          <w:sz w:val="28"/>
          <w:szCs w:val="32"/>
        </w:rPr>
        <w:sectPr>
          <w:pgSz w:w="11906" w:h="16838"/>
          <w:pgMar w:top="1440" w:right="1800" w:bottom="1440" w:left="1800" w:header="851" w:footer="992" w:gutter="0"/>
          <w:cols w:space="425" w:num="1"/>
          <w:docGrid w:type="lines" w:linePitch="312" w:charSpace="0"/>
        </w:sectPr>
      </w:pPr>
    </w:p>
    <w:p>
      <w:pPr>
        <w:spacing w:line="600" w:lineRule="exact"/>
        <w:ind w:firstLine="0" w:firstLineChars="0"/>
        <w:jc w:val="center"/>
        <w:rPr>
          <w:rFonts w:eastAsia="幼圆" w:cs="Times New Roman"/>
          <w:b/>
          <w:sz w:val="28"/>
          <w:szCs w:val="32"/>
        </w:rPr>
      </w:pPr>
      <w:r>
        <w:rPr>
          <w:rFonts w:eastAsia="幼圆" w:cs="Times New Roman"/>
          <w:b/>
          <w:sz w:val="28"/>
          <w:szCs w:val="32"/>
        </w:rPr>
        <w:t>附表 20</w:t>
      </w:r>
      <w:r>
        <w:rPr>
          <w:rFonts w:hint="eastAsia" w:eastAsia="幼圆" w:cs="Times New Roman"/>
          <w:b/>
          <w:sz w:val="28"/>
          <w:szCs w:val="32"/>
        </w:rPr>
        <w:t>20</w:t>
      </w:r>
      <w:r>
        <w:rPr>
          <w:rFonts w:eastAsia="幼圆" w:cs="Times New Roman"/>
          <w:b/>
          <w:sz w:val="28"/>
          <w:szCs w:val="32"/>
        </w:rPr>
        <w:t>年市医保局按科目类别收入情况</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9"/>
        <w:gridCol w:w="1571"/>
        <w:gridCol w:w="1571"/>
        <w:gridCol w:w="1300"/>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blHeader/>
        </w:trPr>
        <w:tc>
          <w:tcPr>
            <w:tcW w:w="1470"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bookmarkStart w:id="30" w:name="_Toc73927483"/>
            <w:r>
              <w:rPr>
                <w:rFonts w:hint="eastAsia" w:ascii="宋体" w:hAnsi="宋体" w:eastAsia="宋体" w:cs="宋体"/>
                <w:b/>
                <w:bCs/>
                <w:color w:val="FFFFFF"/>
                <w:kern w:val="0"/>
                <w:sz w:val="20"/>
                <w:szCs w:val="20"/>
              </w:rPr>
              <w:t>科目类别</w:t>
            </w:r>
          </w:p>
        </w:tc>
        <w:tc>
          <w:tcPr>
            <w:tcW w:w="922" w:type="pct"/>
            <w:shd w:val="clear" w:color="000000" w:fill="00516B"/>
            <w:noWrap/>
            <w:vAlign w:val="center"/>
          </w:tcPr>
          <w:p>
            <w:pPr>
              <w:widowControl/>
              <w:spacing w:line="320" w:lineRule="exact"/>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年初预算收入（万元）</w:t>
            </w:r>
          </w:p>
        </w:tc>
        <w:tc>
          <w:tcPr>
            <w:tcW w:w="922" w:type="pct"/>
            <w:shd w:val="clear" w:color="000000" w:fill="00516B"/>
            <w:noWrap/>
            <w:vAlign w:val="center"/>
          </w:tcPr>
          <w:p>
            <w:pPr>
              <w:widowControl/>
              <w:spacing w:line="320" w:lineRule="exact"/>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调整预算收入（万元）</w:t>
            </w:r>
          </w:p>
        </w:tc>
        <w:tc>
          <w:tcPr>
            <w:tcW w:w="764"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预算追加（减）数</w:t>
            </w:r>
          </w:p>
        </w:tc>
        <w:tc>
          <w:tcPr>
            <w:tcW w:w="922"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追加占年初比率（</w:t>
            </w:r>
            <w:r>
              <w:rPr>
                <w:rFonts w:eastAsia="宋体" w:cs="Times New Roman"/>
                <w:b/>
                <w:bCs/>
                <w:color w:val="FFFFFF"/>
                <w:kern w:val="0"/>
                <w:sz w:val="20"/>
                <w:szCs w:val="20"/>
              </w:rPr>
              <w:t>%</w:t>
            </w:r>
            <w:r>
              <w:rPr>
                <w:rFonts w:hint="eastAsia" w:ascii="宋体" w:hAnsi="宋体" w:eastAsia="宋体" w:cs="宋体"/>
                <w:b/>
                <w:bCs/>
                <w:color w:val="FFFFFF"/>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470" w:type="pct"/>
            <w:shd w:val="clear" w:color="000000" w:fill="FFFFFF"/>
            <w:noWrap/>
            <w:vAlign w:val="center"/>
          </w:tcPr>
          <w:p>
            <w:pPr>
              <w:widowControl/>
              <w:spacing w:line="320" w:lineRule="exact"/>
              <w:ind w:firstLine="0" w:firstLineChars="0"/>
              <w:rPr>
                <w:rFonts w:eastAsia="宋体" w:cs="Times New Roman"/>
                <w:color w:val="000000"/>
                <w:kern w:val="0"/>
                <w:sz w:val="20"/>
                <w:szCs w:val="20"/>
              </w:rPr>
            </w:pPr>
            <w:r>
              <w:rPr>
                <w:rFonts w:hint="eastAsia" w:ascii="宋体" w:hAnsi="宋体" w:eastAsia="宋体" w:cs="Times New Roman"/>
                <w:color w:val="000000"/>
                <w:kern w:val="0"/>
                <w:sz w:val="20"/>
                <w:szCs w:val="20"/>
              </w:rPr>
              <w:t>社会保障和就业支出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57.72</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54.34</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-3.37</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人力资源和社会保障管理事务</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11.07</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10.43</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-0.64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其他人力资源和社会保障管理事务支出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11.07</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10.43</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-0.64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行政事业单位养老支出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45.48</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42.75</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-2.73</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机关事业单位基本养老保险缴费支出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30.32</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28.89</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-1.43</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机关事业单位职业年金缴费支出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15.16</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13.86</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-1.30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其他社会保障和就业支出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1.17</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1.17</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其他社会保障和就业支出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1.17</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1.17</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卫生健康支出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1335.30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1359.44</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24.15</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行政事业单位医疗</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367.32</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314.53</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-52.79</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行政单位医疗</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2.14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2.32</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0.18</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事业单位医疗</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9.23</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10.47</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1.24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公务员医疗补助</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355.00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301.74</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-53.26</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优抚对象医疗</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45.00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21.74</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-23.26</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优抚对象医疗补助</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45.00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21.74</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-23.26</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医疗保障管理事务</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922.98</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1023.18</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100.20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行政运行</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83.98</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165.53</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81.55</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97.11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信息化建设</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5.00</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医疗保障政策管理</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9.00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7.00</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医疗保障经办事务</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36.00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36.00</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事业运行</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277.50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249.32</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-28.17</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其他医疗保障管理事务支出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511.50</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560.32</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48.82</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城乡社区事务支出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422.94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420.60</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-2.34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国有土地使用权出让收入安排的支出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422.94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420.60</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-2.34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补助被征地农民支出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422.94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420.60</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-2.34</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住房保障支出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40.75</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45.83</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5.08</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住房改革支出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40.75</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45.83</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5.08</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住房公积金</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40.75</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45.83</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5.08</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color w:val="000000"/>
                <w:kern w:val="0"/>
                <w:sz w:val="20"/>
                <w:szCs w:val="20"/>
              </w:rPr>
            </w:pPr>
            <w:r>
              <w:rPr>
                <w:rFonts w:hint="eastAsia" w:ascii="宋体" w:hAnsi="宋体" w:eastAsia="宋体" w:cs="宋体"/>
                <w:color w:val="000000"/>
                <w:kern w:val="0"/>
                <w:sz w:val="20"/>
                <w:szCs w:val="20"/>
              </w:rPr>
              <w:t>其他行政事业单位医疗支出</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0.95</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0.00</w:t>
            </w:r>
          </w:p>
        </w:tc>
        <w:tc>
          <w:tcPr>
            <w:tcW w:w="764"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-0.95</w:t>
            </w:r>
          </w:p>
        </w:tc>
        <w:tc>
          <w:tcPr>
            <w:tcW w:w="92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cs="Times New Roman"/>
                <w:color w:val="00000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70" w:type="pct"/>
            <w:shd w:val="clear" w:color="000000" w:fill="FFFFFF"/>
            <w:noWrap/>
            <w:vAlign w:val="center"/>
          </w:tcPr>
          <w:p>
            <w:pPr>
              <w:widowControl/>
              <w:spacing w:line="320" w:lineRule="exact"/>
              <w:ind w:firstLine="0" w:firstLineChars="0"/>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合计</w:t>
            </w:r>
          </w:p>
        </w:tc>
        <w:tc>
          <w:tcPr>
            <w:tcW w:w="922"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cs="Times New Roman"/>
                <w:b/>
                <w:bCs/>
                <w:color w:val="000000"/>
                <w:sz w:val="20"/>
                <w:szCs w:val="20"/>
              </w:rPr>
              <w:t>1856.70</w:t>
            </w:r>
          </w:p>
        </w:tc>
        <w:tc>
          <w:tcPr>
            <w:tcW w:w="922"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cs="Times New Roman"/>
                <w:b/>
                <w:bCs/>
                <w:color w:val="000000"/>
                <w:sz w:val="20"/>
                <w:szCs w:val="20"/>
              </w:rPr>
              <w:t>1880.22</w:t>
            </w:r>
          </w:p>
        </w:tc>
        <w:tc>
          <w:tcPr>
            <w:tcW w:w="764"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cs="Times New Roman"/>
                <w:b/>
                <w:bCs/>
                <w:color w:val="000000"/>
                <w:sz w:val="20"/>
                <w:szCs w:val="20"/>
              </w:rPr>
              <w:t>23.52</w:t>
            </w:r>
          </w:p>
        </w:tc>
        <w:tc>
          <w:tcPr>
            <w:tcW w:w="922"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cs="Times New Roman"/>
                <w:b/>
                <w:bCs/>
                <w:color w:val="000000"/>
                <w:sz w:val="20"/>
                <w:szCs w:val="20"/>
              </w:rPr>
              <w:t>1.27</w:t>
            </w:r>
          </w:p>
        </w:tc>
      </w:tr>
    </w:tbl>
    <w:p>
      <w:pPr>
        <w:ind w:firstLine="640"/>
      </w:pPr>
    </w:p>
    <w:p>
      <w:pPr>
        <w:pStyle w:val="4"/>
        <w:ind w:firstLine="643"/>
      </w:pPr>
      <w:bookmarkStart w:id="31" w:name="_Toc77503474"/>
      <w:r>
        <w:rPr>
          <w:rFonts w:hint="eastAsia"/>
        </w:rPr>
        <w:t>2.</w:t>
      </w:r>
      <w:r>
        <w:t>预算支出情况</w:t>
      </w:r>
      <w:bookmarkEnd w:id="30"/>
      <w:bookmarkEnd w:id="31"/>
    </w:p>
    <w:p>
      <w:pPr>
        <w:ind w:firstLine="640"/>
        <w:rPr>
          <w:rFonts w:cs="Times New Roman"/>
        </w:rPr>
      </w:pPr>
      <w:r>
        <w:rPr>
          <w:rFonts w:cs="Times New Roman"/>
        </w:rPr>
        <w:t>20</w:t>
      </w:r>
      <w:r>
        <w:rPr>
          <w:rFonts w:hint="eastAsia" w:cs="Times New Roman"/>
        </w:rPr>
        <w:t>20</w:t>
      </w:r>
      <w:r>
        <w:rPr>
          <w:rFonts w:cs="Times New Roman"/>
        </w:rPr>
        <w:t>年</w:t>
      </w:r>
      <w:r>
        <w:rPr>
          <w:rFonts w:hint="eastAsia" w:cs="Times New Roman"/>
        </w:rPr>
        <w:t>绵竹市</w:t>
      </w:r>
      <w:r>
        <w:rPr>
          <w:rFonts w:cs="Times New Roman"/>
        </w:rPr>
        <w:t>医疗保障局年初支出预算数185</w:t>
      </w:r>
      <w:r>
        <w:rPr>
          <w:rFonts w:hint="eastAsia" w:cs="Times New Roman"/>
        </w:rPr>
        <w:t>6.</w:t>
      </w:r>
      <w:r>
        <w:rPr>
          <w:rFonts w:cs="Times New Roman"/>
        </w:rPr>
        <w:t>70万元，188</w:t>
      </w:r>
      <w:r>
        <w:rPr>
          <w:rFonts w:hint="eastAsia" w:cs="Times New Roman"/>
        </w:rPr>
        <w:t>0.</w:t>
      </w:r>
      <w:r>
        <w:rPr>
          <w:rFonts w:cs="Times New Roman"/>
        </w:rPr>
        <w:t>2</w:t>
      </w:r>
      <w:r>
        <w:rPr>
          <w:rFonts w:hint="eastAsia" w:cs="Times New Roman"/>
        </w:rPr>
        <w:t>2</w:t>
      </w:r>
      <w:r>
        <w:rPr>
          <w:rFonts w:cs="Times New Roman"/>
        </w:rPr>
        <w:t>万元，预算追加数</w:t>
      </w:r>
      <w:r>
        <w:rPr>
          <w:rFonts w:hint="eastAsia" w:cs="Times New Roman"/>
        </w:rPr>
        <w:t>23.52</w:t>
      </w:r>
      <w:r>
        <w:rPr>
          <w:rFonts w:cs="Times New Roman"/>
        </w:rPr>
        <w:t>万元，占</w:t>
      </w:r>
      <w:r>
        <w:rPr>
          <w:rFonts w:hint="eastAsia" w:cs="Times New Roman"/>
        </w:rPr>
        <w:t>年初</w:t>
      </w:r>
      <w:r>
        <w:rPr>
          <w:rFonts w:cs="Times New Roman"/>
        </w:rPr>
        <w:t>预算数比为</w:t>
      </w:r>
      <w:r>
        <w:rPr>
          <w:rFonts w:hint="eastAsia" w:cs="Times New Roman"/>
        </w:rPr>
        <w:t>1.27</w:t>
      </w:r>
      <w:r>
        <w:rPr>
          <w:rFonts w:cs="Times New Roman"/>
        </w:rPr>
        <w:t>%</w:t>
      </w:r>
      <w:r>
        <w:rPr>
          <w:rFonts w:hint="eastAsia" w:cs="Times New Roman"/>
        </w:rPr>
        <w:t>，</w:t>
      </w:r>
      <w:r>
        <w:rPr>
          <w:rFonts w:cs="Times New Roman"/>
        </w:rPr>
        <w:t>预算支出</w:t>
      </w:r>
      <w:r>
        <w:rPr>
          <w:rFonts w:hint="eastAsia" w:cs="Times New Roman"/>
        </w:rPr>
        <w:t>1880.21万元，支出率100%</w:t>
      </w:r>
      <w:r>
        <w:rPr>
          <w:rFonts w:cs="Times New Roman"/>
        </w:rPr>
        <w:t>。</w:t>
      </w:r>
    </w:p>
    <w:p>
      <w:pPr>
        <w:ind w:firstLine="0" w:firstLineChars="0"/>
        <w:jc w:val="center"/>
        <w:rPr>
          <w:rFonts w:eastAsia="幼圆" w:cs="Times New Roman"/>
          <w:b/>
          <w:sz w:val="28"/>
          <w:szCs w:val="32"/>
        </w:rPr>
      </w:pPr>
      <w:r>
        <w:rPr>
          <w:rFonts w:eastAsia="幼圆" w:cs="Times New Roman"/>
          <w:b/>
          <w:sz w:val="28"/>
          <w:szCs w:val="32"/>
        </w:rPr>
        <w:t>附表 20</w:t>
      </w:r>
      <w:r>
        <w:rPr>
          <w:rFonts w:hint="eastAsia" w:eastAsia="幼圆" w:cs="Times New Roman"/>
          <w:b/>
          <w:sz w:val="28"/>
          <w:szCs w:val="32"/>
        </w:rPr>
        <w:t>20</w:t>
      </w:r>
      <w:r>
        <w:rPr>
          <w:rFonts w:eastAsia="幼圆" w:cs="Times New Roman"/>
          <w:b/>
          <w:sz w:val="28"/>
          <w:szCs w:val="32"/>
        </w:rPr>
        <w:t>年</w:t>
      </w:r>
      <w:r>
        <w:rPr>
          <w:rFonts w:hint="eastAsia" w:eastAsia="幼圆" w:cs="Times New Roman"/>
          <w:b/>
          <w:sz w:val="28"/>
          <w:szCs w:val="32"/>
        </w:rPr>
        <w:t>市医保局支出</w:t>
      </w:r>
      <w:r>
        <w:rPr>
          <w:rFonts w:eastAsia="幼圆" w:cs="Times New Roman"/>
          <w:b/>
          <w:sz w:val="28"/>
          <w:szCs w:val="32"/>
        </w:rPr>
        <w:t>预算情况</w:t>
      </w:r>
    </w:p>
    <w:tbl>
      <w:tblPr>
        <w:tblStyle w:val="22"/>
        <w:tblW w:w="5000" w:type="pct"/>
        <w:tblInd w:w="0" w:type="dxa"/>
        <w:tblLayout w:type="fixed"/>
        <w:tblCellMar>
          <w:top w:w="0" w:type="dxa"/>
          <w:left w:w="108" w:type="dxa"/>
          <w:bottom w:w="0" w:type="dxa"/>
          <w:right w:w="108" w:type="dxa"/>
        </w:tblCellMar>
      </w:tblPr>
      <w:tblGrid>
        <w:gridCol w:w="1597"/>
        <w:gridCol w:w="2038"/>
        <w:gridCol w:w="2038"/>
        <w:gridCol w:w="1602"/>
        <w:gridCol w:w="1246"/>
      </w:tblGrid>
      <w:tr>
        <w:tblPrEx>
          <w:tblCellMar>
            <w:top w:w="0" w:type="dxa"/>
            <w:left w:w="108" w:type="dxa"/>
            <w:bottom w:w="0" w:type="dxa"/>
            <w:right w:w="108" w:type="dxa"/>
          </w:tblCellMar>
        </w:tblPrEx>
        <w:trPr>
          <w:trHeight w:val="406" w:hRule="atLeast"/>
          <w:tblHeader/>
        </w:trPr>
        <w:tc>
          <w:tcPr>
            <w:tcW w:w="937" w:type="pct"/>
            <w:tcBorders>
              <w:top w:val="single" w:color="auto" w:sz="4" w:space="0"/>
              <w:left w:val="single" w:color="auto" w:sz="4" w:space="0"/>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部门</w:t>
            </w:r>
          </w:p>
        </w:tc>
        <w:tc>
          <w:tcPr>
            <w:tcW w:w="1196" w:type="pct"/>
            <w:tcBorders>
              <w:top w:val="single" w:color="auto" w:sz="4" w:space="0"/>
              <w:left w:val="nil"/>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年初预算数</w:t>
            </w:r>
          </w:p>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（万元）</w:t>
            </w:r>
          </w:p>
        </w:tc>
        <w:tc>
          <w:tcPr>
            <w:tcW w:w="1196" w:type="pct"/>
            <w:tcBorders>
              <w:top w:val="single" w:color="auto" w:sz="4" w:space="0"/>
              <w:left w:val="nil"/>
              <w:bottom w:val="single" w:color="auto" w:sz="4" w:space="0"/>
              <w:right w:val="single" w:color="auto" w:sz="4" w:space="0"/>
            </w:tcBorders>
            <w:shd w:val="clear" w:color="auto" w:fill="00516B"/>
            <w:noWrap/>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调整预算数</w:t>
            </w:r>
          </w:p>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（万元）</w:t>
            </w:r>
          </w:p>
        </w:tc>
        <w:tc>
          <w:tcPr>
            <w:tcW w:w="940" w:type="pct"/>
            <w:tcBorders>
              <w:top w:val="single" w:color="auto" w:sz="4" w:space="0"/>
              <w:left w:val="nil"/>
              <w:bottom w:val="single" w:color="auto" w:sz="4" w:space="0"/>
              <w:right w:val="single" w:color="auto" w:sz="4" w:space="0"/>
            </w:tcBorders>
            <w:shd w:val="clear" w:color="auto" w:fill="00516B"/>
            <w:vAlign w:val="center"/>
          </w:tcPr>
          <w:p>
            <w:pPr>
              <w:widowControl/>
              <w:ind w:firstLine="0" w:firstLineChars="0"/>
              <w:jc w:val="center"/>
              <w:textAlignment w:val="center"/>
              <w:rPr>
                <w:rFonts w:eastAsia="宋体" w:cs="Times New Roman"/>
                <w:b/>
                <w:bCs/>
                <w:color w:val="FFFFFF"/>
                <w:kern w:val="0"/>
                <w:sz w:val="20"/>
                <w:szCs w:val="13"/>
                <w:lang w:bidi="ar"/>
              </w:rPr>
            </w:pPr>
            <w:r>
              <w:rPr>
                <w:rFonts w:hint="eastAsia" w:eastAsia="宋体" w:cs="Times New Roman"/>
                <w:b/>
                <w:bCs/>
                <w:color w:val="FFFFFF"/>
                <w:kern w:val="0"/>
                <w:sz w:val="20"/>
                <w:szCs w:val="13"/>
                <w:lang w:bidi="ar"/>
              </w:rPr>
              <w:t>实际支出</w:t>
            </w:r>
          </w:p>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（万元）</w:t>
            </w:r>
          </w:p>
        </w:tc>
        <w:tc>
          <w:tcPr>
            <w:tcW w:w="731" w:type="pct"/>
            <w:tcBorders>
              <w:top w:val="single" w:color="auto" w:sz="4" w:space="0"/>
              <w:left w:val="nil"/>
              <w:bottom w:val="single" w:color="auto" w:sz="4" w:space="0"/>
              <w:right w:val="single" w:color="auto" w:sz="4" w:space="0"/>
            </w:tcBorders>
            <w:shd w:val="clear" w:color="auto" w:fill="00516B"/>
            <w:vAlign w:val="center"/>
          </w:tcPr>
          <w:p>
            <w:pPr>
              <w:widowControl/>
              <w:ind w:firstLine="0" w:firstLineChars="0"/>
              <w:jc w:val="center"/>
              <w:textAlignment w:val="center"/>
              <w:rPr>
                <w:rFonts w:eastAsia="宋体" w:cs="Times New Roman"/>
                <w:b/>
                <w:bCs/>
                <w:color w:val="FFFFFF"/>
                <w:kern w:val="0"/>
                <w:sz w:val="20"/>
                <w:szCs w:val="13"/>
                <w:lang w:bidi="ar"/>
              </w:rPr>
            </w:pPr>
            <w:r>
              <w:rPr>
                <w:rFonts w:eastAsia="宋体" w:cs="Times New Roman"/>
                <w:b/>
                <w:bCs/>
                <w:color w:val="FFFFFF"/>
                <w:kern w:val="0"/>
                <w:sz w:val="20"/>
                <w:szCs w:val="13"/>
                <w:lang w:bidi="ar"/>
              </w:rPr>
              <w:t>支出率（%）</w:t>
            </w:r>
          </w:p>
        </w:tc>
      </w:tr>
      <w:tr>
        <w:tblPrEx>
          <w:tblCellMar>
            <w:top w:w="0" w:type="dxa"/>
            <w:left w:w="108" w:type="dxa"/>
            <w:bottom w:w="0" w:type="dxa"/>
            <w:right w:w="108" w:type="dxa"/>
          </w:tblCellMar>
        </w:tblPrEx>
        <w:trPr>
          <w:trHeight w:val="406" w:hRule="atLeast"/>
        </w:trPr>
        <w:tc>
          <w:tcPr>
            <w:tcW w:w="937" w:type="pct"/>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textAlignment w:val="center"/>
              <w:rPr>
                <w:rFonts w:eastAsia="宋体" w:cs="Times New Roman"/>
                <w:bCs/>
                <w:color w:val="000000"/>
                <w:kern w:val="0"/>
                <w:sz w:val="20"/>
                <w:szCs w:val="13"/>
                <w:lang w:bidi="ar"/>
              </w:rPr>
            </w:pPr>
            <w:r>
              <w:rPr>
                <w:rFonts w:eastAsia="宋体" w:cs="Times New Roman"/>
                <w:bCs/>
                <w:color w:val="000000"/>
                <w:kern w:val="0"/>
                <w:sz w:val="20"/>
                <w:szCs w:val="13"/>
                <w:lang w:bidi="ar"/>
              </w:rPr>
              <w:t>市医疗保障局</w:t>
            </w:r>
          </w:p>
        </w:tc>
        <w:tc>
          <w:tcPr>
            <w:tcW w:w="1196" w:type="pct"/>
            <w:tcBorders>
              <w:top w:val="nil"/>
              <w:left w:val="nil"/>
              <w:bottom w:val="single" w:color="auto" w:sz="4" w:space="0"/>
              <w:right w:val="single" w:color="auto" w:sz="4" w:space="0"/>
            </w:tcBorders>
            <w:shd w:val="clear" w:color="auto" w:fill="auto"/>
            <w:noWrap/>
            <w:vAlign w:val="center"/>
          </w:tcPr>
          <w:p>
            <w:pPr>
              <w:widowControl/>
              <w:ind w:firstLine="0" w:firstLineChars="0"/>
              <w:jc w:val="center"/>
              <w:textAlignment w:val="center"/>
              <w:rPr>
                <w:rFonts w:eastAsia="宋体" w:cs="Times New Roman"/>
                <w:color w:val="000000"/>
                <w:kern w:val="0"/>
                <w:sz w:val="20"/>
                <w:szCs w:val="13"/>
                <w:lang w:bidi="ar"/>
              </w:rPr>
            </w:pPr>
            <w:r>
              <w:rPr>
                <w:rFonts w:eastAsia="宋体" w:cs="Times New Roman"/>
                <w:color w:val="000000"/>
                <w:sz w:val="20"/>
                <w:szCs w:val="13"/>
              </w:rPr>
              <w:t>1856.70</w:t>
            </w:r>
          </w:p>
        </w:tc>
        <w:tc>
          <w:tcPr>
            <w:tcW w:w="1196" w:type="pct"/>
            <w:tcBorders>
              <w:top w:val="nil"/>
              <w:left w:val="nil"/>
              <w:bottom w:val="single" w:color="auto" w:sz="4" w:space="0"/>
              <w:right w:val="single" w:color="auto" w:sz="4" w:space="0"/>
            </w:tcBorders>
            <w:shd w:val="clear" w:color="auto" w:fill="auto"/>
            <w:noWrap/>
            <w:vAlign w:val="center"/>
          </w:tcPr>
          <w:p>
            <w:pPr>
              <w:widowControl/>
              <w:ind w:firstLine="0" w:firstLineChars="0"/>
              <w:jc w:val="center"/>
              <w:textAlignment w:val="center"/>
              <w:rPr>
                <w:rFonts w:eastAsia="宋体" w:cs="Times New Roman"/>
                <w:color w:val="000000"/>
                <w:kern w:val="0"/>
                <w:sz w:val="20"/>
                <w:szCs w:val="13"/>
                <w:lang w:bidi="ar"/>
              </w:rPr>
            </w:pPr>
            <w:r>
              <w:rPr>
                <w:rFonts w:eastAsia="宋体" w:cs="Times New Roman"/>
                <w:color w:val="000000"/>
                <w:sz w:val="20"/>
                <w:szCs w:val="13"/>
              </w:rPr>
              <w:t>1880.22</w:t>
            </w:r>
          </w:p>
        </w:tc>
        <w:tc>
          <w:tcPr>
            <w:tcW w:w="940" w:type="pct"/>
            <w:tcBorders>
              <w:top w:val="nil"/>
              <w:left w:val="nil"/>
              <w:bottom w:val="single" w:color="auto" w:sz="4" w:space="0"/>
              <w:right w:val="single" w:color="auto" w:sz="4" w:space="0"/>
            </w:tcBorders>
            <w:vAlign w:val="center"/>
          </w:tcPr>
          <w:p>
            <w:pPr>
              <w:widowControl/>
              <w:ind w:firstLine="0" w:firstLineChars="0"/>
              <w:jc w:val="center"/>
              <w:textAlignment w:val="center"/>
              <w:rPr>
                <w:rFonts w:eastAsia="宋体" w:cs="Times New Roman"/>
                <w:color w:val="000000"/>
                <w:kern w:val="0"/>
                <w:sz w:val="20"/>
                <w:szCs w:val="13"/>
                <w:lang w:bidi="ar"/>
              </w:rPr>
            </w:pPr>
            <w:r>
              <w:rPr>
                <w:rFonts w:eastAsia="宋体" w:cs="Times New Roman"/>
                <w:color w:val="000000"/>
                <w:sz w:val="20"/>
                <w:szCs w:val="13"/>
              </w:rPr>
              <w:t>1880.22</w:t>
            </w:r>
          </w:p>
        </w:tc>
        <w:tc>
          <w:tcPr>
            <w:tcW w:w="731" w:type="pct"/>
            <w:tcBorders>
              <w:top w:val="nil"/>
              <w:left w:val="nil"/>
              <w:bottom w:val="single" w:color="auto" w:sz="4" w:space="0"/>
              <w:right w:val="single" w:color="auto" w:sz="4" w:space="0"/>
            </w:tcBorders>
            <w:vAlign w:val="center"/>
          </w:tcPr>
          <w:p>
            <w:pPr>
              <w:widowControl/>
              <w:ind w:firstLine="0" w:firstLineChars="0"/>
              <w:jc w:val="center"/>
              <w:textAlignment w:val="center"/>
              <w:rPr>
                <w:rFonts w:eastAsia="宋体" w:cs="Times New Roman"/>
                <w:color w:val="000000"/>
                <w:kern w:val="0"/>
                <w:sz w:val="20"/>
                <w:szCs w:val="13"/>
                <w:lang w:bidi="ar"/>
              </w:rPr>
            </w:pPr>
            <w:r>
              <w:rPr>
                <w:rFonts w:eastAsia="宋体" w:cs="Times New Roman"/>
                <w:color w:val="000000"/>
                <w:sz w:val="20"/>
                <w:szCs w:val="13"/>
              </w:rPr>
              <w:t>100.00</w:t>
            </w:r>
          </w:p>
        </w:tc>
      </w:tr>
    </w:tbl>
    <w:p>
      <w:pPr>
        <w:ind w:firstLine="640"/>
      </w:pPr>
    </w:p>
    <w:p>
      <w:pPr>
        <w:ind w:firstLine="640"/>
        <w:rPr>
          <w:rFonts w:cs="Times New Roman"/>
        </w:rPr>
      </w:pPr>
      <w:r>
        <w:rPr>
          <w:rFonts w:hint="eastAsia" w:cs="Times New Roman"/>
        </w:rPr>
        <w:t>从支出性质来看，2020年基本支出年初预算为461.19万元，调整预算数522.7</w:t>
      </w:r>
      <w:r>
        <w:rPr>
          <w:rFonts w:cs="Times New Roman"/>
        </w:rPr>
        <w:t>9</w:t>
      </w:r>
      <w:r>
        <w:rPr>
          <w:rFonts w:hint="eastAsia" w:cs="Times New Roman"/>
        </w:rPr>
        <w:t>万元，其中人员经费年初预算为4</w:t>
      </w:r>
      <w:r>
        <w:rPr>
          <w:rFonts w:cs="Times New Roman"/>
        </w:rPr>
        <w:t>00.91</w:t>
      </w:r>
      <w:r>
        <w:rPr>
          <w:rFonts w:hint="eastAsia" w:cs="Times New Roman"/>
        </w:rPr>
        <w:t>万元，调整预算数460.41万元，公用经费年初预算为60.28万元，调整预算数62.37万元；项目支出年初预算为1395.51万元，调整预算数1357.43万元。</w:t>
      </w:r>
    </w:p>
    <w:p>
      <w:pPr>
        <w:ind w:firstLine="1" w:firstLineChars="0"/>
        <w:jc w:val="center"/>
        <w:rPr>
          <w:rFonts w:eastAsia="幼圆" w:cs="Times New Roman"/>
          <w:b/>
          <w:sz w:val="28"/>
          <w:szCs w:val="32"/>
        </w:rPr>
      </w:pPr>
      <w:r>
        <w:rPr>
          <w:rFonts w:eastAsia="幼圆" w:cs="Times New Roman"/>
          <w:b/>
          <w:sz w:val="28"/>
          <w:szCs w:val="32"/>
        </w:rPr>
        <w:t>附表</w:t>
      </w:r>
      <w:r>
        <w:rPr>
          <w:rFonts w:hint="eastAsia" w:eastAsia="幼圆" w:cs="Times New Roman"/>
          <w:b/>
          <w:sz w:val="28"/>
          <w:szCs w:val="32"/>
        </w:rPr>
        <w:t xml:space="preserve"> </w:t>
      </w:r>
      <w:r>
        <w:rPr>
          <w:rFonts w:eastAsia="幼圆" w:cs="Times New Roman"/>
          <w:b/>
          <w:sz w:val="28"/>
          <w:szCs w:val="32"/>
        </w:rPr>
        <w:t>20</w:t>
      </w:r>
      <w:r>
        <w:rPr>
          <w:rFonts w:hint="eastAsia" w:eastAsia="幼圆" w:cs="Times New Roman"/>
          <w:b/>
          <w:sz w:val="28"/>
          <w:szCs w:val="32"/>
        </w:rPr>
        <w:t>20</w:t>
      </w:r>
      <w:r>
        <w:rPr>
          <w:rFonts w:eastAsia="幼圆" w:cs="Times New Roman"/>
          <w:b/>
          <w:sz w:val="28"/>
          <w:szCs w:val="32"/>
        </w:rPr>
        <w:t>年</w:t>
      </w:r>
      <w:r>
        <w:rPr>
          <w:rFonts w:hint="eastAsia" w:eastAsia="幼圆" w:cs="Times New Roman"/>
          <w:b/>
          <w:sz w:val="28"/>
          <w:szCs w:val="32"/>
        </w:rPr>
        <w:t>市医保局</w:t>
      </w:r>
      <w:r>
        <w:rPr>
          <w:rFonts w:eastAsia="幼圆" w:cs="Times New Roman"/>
          <w:b/>
          <w:sz w:val="28"/>
          <w:szCs w:val="32"/>
        </w:rPr>
        <w:t>预算</w:t>
      </w:r>
      <w:r>
        <w:rPr>
          <w:rFonts w:hint="eastAsia" w:eastAsia="幼圆" w:cs="Times New Roman"/>
          <w:b/>
          <w:sz w:val="28"/>
          <w:szCs w:val="32"/>
        </w:rPr>
        <w:t>（按支出性质分类）支出</w:t>
      </w:r>
      <w:r>
        <w:rPr>
          <w:rFonts w:eastAsia="幼圆" w:cs="Times New Roman"/>
          <w:b/>
          <w:sz w:val="28"/>
          <w:szCs w:val="32"/>
        </w:rPr>
        <w:t>情况</w:t>
      </w:r>
    </w:p>
    <w:tbl>
      <w:tblPr>
        <w:tblStyle w:val="22"/>
        <w:tblW w:w="5000" w:type="pct"/>
        <w:tblInd w:w="0" w:type="dxa"/>
        <w:tblLayout w:type="autofit"/>
        <w:tblCellMar>
          <w:top w:w="0" w:type="dxa"/>
          <w:left w:w="108" w:type="dxa"/>
          <w:bottom w:w="0" w:type="dxa"/>
          <w:right w:w="108" w:type="dxa"/>
        </w:tblCellMar>
      </w:tblPr>
      <w:tblGrid>
        <w:gridCol w:w="1888"/>
        <w:gridCol w:w="2892"/>
        <w:gridCol w:w="3742"/>
      </w:tblGrid>
      <w:tr>
        <w:tblPrEx>
          <w:tblCellMar>
            <w:top w:w="0" w:type="dxa"/>
            <w:left w:w="108" w:type="dxa"/>
            <w:bottom w:w="0" w:type="dxa"/>
            <w:right w:w="108" w:type="dxa"/>
          </w:tblCellMar>
        </w:tblPrEx>
        <w:trPr>
          <w:trHeight w:val="315" w:hRule="atLeast"/>
        </w:trPr>
        <w:tc>
          <w:tcPr>
            <w:tcW w:w="1108" w:type="pct"/>
            <w:tcBorders>
              <w:top w:val="single" w:color="auto" w:sz="4" w:space="0"/>
              <w:left w:val="single" w:color="auto" w:sz="4" w:space="0"/>
              <w:bottom w:val="single" w:color="auto" w:sz="4" w:space="0"/>
              <w:right w:val="single" w:color="auto" w:sz="4" w:space="0"/>
            </w:tcBorders>
            <w:shd w:val="clear" w:color="auto" w:fill="00516B"/>
            <w:noWrap/>
            <w:vAlign w:val="center"/>
          </w:tcPr>
          <w:p>
            <w:pPr>
              <w:widowControl/>
              <w:ind w:firstLine="0" w:firstLineChars="0"/>
              <w:jc w:val="center"/>
              <w:rPr>
                <w:rFonts w:eastAsia="宋体" w:cs="Times New Roman"/>
                <w:b/>
                <w:bCs/>
                <w:color w:val="FFFFFF" w:themeColor="background1"/>
                <w:kern w:val="0"/>
                <w:sz w:val="20"/>
                <w:szCs w:val="13"/>
                <w14:textFill>
                  <w14:solidFill>
                    <w14:schemeClr w14:val="bg1"/>
                  </w14:solidFill>
                </w14:textFill>
              </w:rPr>
            </w:pPr>
            <w:r>
              <w:rPr>
                <w:rFonts w:eastAsia="宋体" w:cs="Times New Roman"/>
                <w:b/>
                <w:bCs/>
                <w:color w:val="FFFFFF" w:themeColor="background1"/>
                <w:kern w:val="0"/>
                <w:sz w:val="20"/>
                <w:szCs w:val="13"/>
                <w14:textFill>
                  <w14:solidFill>
                    <w14:schemeClr w14:val="bg1"/>
                  </w14:solidFill>
                </w14:textFill>
              </w:rPr>
              <w:t>科目类别</w:t>
            </w:r>
          </w:p>
        </w:tc>
        <w:tc>
          <w:tcPr>
            <w:tcW w:w="1697" w:type="pct"/>
            <w:tcBorders>
              <w:top w:val="single" w:color="auto" w:sz="4" w:space="0"/>
              <w:left w:val="nil"/>
              <w:bottom w:val="single" w:color="auto" w:sz="4" w:space="0"/>
              <w:right w:val="single" w:color="auto" w:sz="4" w:space="0"/>
            </w:tcBorders>
            <w:shd w:val="clear" w:color="auto" w:fill="00516B"/>
            <w:noWrap/>
            <w:vAlign w:val="center"/>
          </w:tcPr>
          <w:p>
            <w:pPr>
              <w:widowControl/>
              <w:ind w:firstLine="0" w:firstLineChars="0"/>
              <w:jc w:val="center"/>
              <w:rPr>
                <w:rFonts w:eastAsia="宋体" w:cs="Times New Roman"/>
                <w:b/>
                <w:bCs/>
                <w:color w:val="FFFFFF" w:themeColor="background1"/>
                <w:kern w:val="0"/>
                <w:sz w:val="20"/>
                <w:szCs w:val="13"/>
                <w14:textFill>
                  <w14:solidFill>
                    <w14:schemeClr w14:val="bg1"/>
                  </w14:solidFill>
                </w14:textFill>
              </w:rPr>
            </w:pPr>
            <w:r>
              <w:rPr>
                <w:rFonts w:eastAsia="宋体" w:cs="Times New Roman"/>
                <w:b/>
                <w:bCs/>
                <w:color w:val="FFFFFF" w:themeColor="background1"/>
                <w:kern w:val="0"/>
                <w:sz w:val="20"/>
                <w:szCs w:val="13"/>
                <w14:textFill>
                  <w14:solidFill>
                    <w14:schemeClr w14:val="bg1"/>
                  </w14:solidFill>
                </w14:textFill>
              </w:rPr>
              <w:t>2020年预算支出（万元）</w:t>
            </w:r>
          </w:p>
        </w:tc>
        <w:tc>
          <w:tcPr>
            <w:tcW w:w="2195" w:type="pct"/>
            <w:tcBorders>
              <w:top w:val="single" w:color="auto" w:sz="4" w:space="0"/>
              <w:left w:val="nil"/>
              <w:bottom w:val="single" w:color="auto" w:sz="4" w:space="0"/>
              <w:right w:val="single" w:color="auto" w:sz="4" w:space="0"/>
            </w:tcBorders>
            <w:shd w:val="clear" w:color="auto" w:fill="00516B"/>
            <w:noWrap/>
            <w:vAlign w:val="center"/>
          </w:tcPr>
          <w:p>
            <w:pPr>
              <w:widowControl/>
              <w:ind w:firstLine="199" w:firstLineChars="99"/>
              <w:jc w:val="center"/>
              <w:rPr>
                <w:rFonts w:eastAsia="宋体" w:cs="Times New Roman"/>
                <w:b/>
                <w:bCs/>
                <w:color w:val="FFFFFF" w:themeColor="background1"/>
                <w:kern w:val="0"/>
                <w:sz w:val="20"/>
                <w:szCs w:val="13"/>
                <w14:textFill>
                  <w14:solidFill>
                    <w14:schemeClr w14:val="bg1"/>
                  </w14:solidFill>
                </w14:textFill>
              </w:rPr>
            </w:pPr>
            <w:r>
              <w:rPr>
                <w:rFonts w:eastAsia="宋体" w:cs="Times New Roman"/>
                <w:b/>
                <w:bCs/>
                <w:color w:val="FFFFFF" w:themeColor="background1"/>
                <w:kern w:val="0"/>
                <w:sz w:val="20"/>
                <w:szCs w:val="13"/>
                <w14:textFill>
                  <w14:solidFill>
                    <w14:schemeClr w14:val="bg1"/>
                  </w14:solidFill>
                </w14:textFill>
              </w:rPr>
              <w:t>2020年调整预算支出（万元）</w:t>
            </w:r>
          </w:p>
        </w:tc>
      </w:tr>
      <w:tr>
        <w:tblPrEx>
          <w:tblCellMar>
            <w:top w:w="0" w:type="dxa"/>
            <w:left w:w="108" w:type="dxa"/>
            <w:bottom w:w="0" w:type="dxa"/>
            <w:right w:w="108" w:type="dxa"/>
          </w:tblCellMar>
        </w:tblPrEx>
        <w:trPr>
          <w:trHeight w:val="315" w:hRule="atLeast"/>
        </w:trPr>
        <w:tc>
          <w:tcPr>
            <w:tcW w:w="1108" w:type="pct"/>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rPr>
                <w:rFonts w:eastAsia="宋体" w:cs="Times New Roman"/>
                <w:color w:val="000000"/>
                <w:kern w:val="0"/>
                <w:sz w:val="20"/>
                <w:szCs w:val="13"/>
              </w:rPr>
            </w:pPr>
            <w:r>
              <w:rPr>
                <w:rFonts w:eastAsia="宋体" w:cs="Times New Roman"/>
                <w:color w:val="000000"/>
                <w:kern w:val="0"/>
                <w:sz w:val="20"/>
                <w:szCs w:val="13"/>
              </w:rPr>
              <w:t>一、基本支出</w:t>
            </w:r>
          </w:p>
        </w:tc>
        <w:tc>
          <w:tcPr>
            <w:tcW w:w="1697"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461.19</w:t>
            </w:r>
          </w:p>
        </w:tc>
        <w:tc>
          <w:tcPr>
            <w:tcW w:w="2195"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522.79</w:t>
            </w:r>
          </w:p>
        </w:tc>
      </w:tr>
      <w:tr>
        <w:tblPrEx>
          <w:tblCellMar>
            <w:top w:w="0" w:type="dxa"/>
            <w:left w:w="108" w:type="dxa"/>
            <w:bottom w:w="0" w:type="dxa"/>
            <w:right w:w="108" w:type="dxa"/>
          </w:tblCellMar>
        </w:tblPrEx>
        <w:trPr>
          <w:trHeight w:val="315" w:hRule="atLeast"/>
        </w:trPr>
        <w:tc>
          <w:tcPr>
            <w:tcW w:w="1108" w:type="pct"/>
            <w:tcBorders>
              <w:top w:val="nil"/>
              <w:left w:val="single" w:color="auto" w:sz="4" w:space="0"/>
              <w:bottom w:val="single" w:color="auto" w:sz="4" w:space="0"/>
              <w:right w:val="single" w:color="auto" w:sz="4" w:space="0"/>
            </w:tcBorders>
            <w:shd w:val="clear" w:color="auto" w:fill="auto"/>
            <w:noWrap/>
            <w:vAlign w:val="center"/>
          </w:tcPr>
          <w:p>
            <w:pPr>
              <w:widowControl/>
              <w:ind w:firstLine="400"/>
              <w:rPr>
                <w:rFonts w:eastAsia="宋体" w:cs="Times New Roman"/>
                <w:color w:val="000000"/>
                <w:kern w:val="0"/>
                <w:sz w:val="20"/>
                <w:szCs w:val="13"/>
              </w:rPr>
            </w:pPr>
            <w:r>
              <w:rPr>
                <w:rFonts w:eastAsia="宋体" w:cs="Times New Roman"/>
                <w:color w:val="000000"/>
                <w:kern w:val="0"/>
                <w:sz w:val="20"/>
                <w:szCs w:val="13"/>
              </w:rPr>
              <w:t>人员经费</w:t>
            </w:r>
          </w:p>
        </w:tc>
        <w:tc>
          <w:tcPr>
            <w:tcW w:w="1697"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400.91</w:t>
            </w:r>
          </w:p>
        </w:tc>
        <w:tc>
          <w:tcPr>
            <w:tcW w:w="2195"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460.41</w:t>
            </w:r>
          </w:p>
        </w:tc>
      </w:tr>
      <w:tr>
        <w:tblPrEx>
          <w:tblCellMar>
            <w:top w:w="0" w:type="dxa"/>
            <w:left w:w="108" w:type="dxa"/>
            <w:bottom w:w="0" w:type="dxa"/>
            <w:right w:w="108" w:type="dxa"/>
          </w:tblCellMar>
        </w:tblPrEx>
        <w:trPr>
          <w:trHeight w:val="315" w:hRule="atLeast"/>
        </w:trPr>
        <w:tc>
          <w:tcPr>
            <w:tcW w:w="1108" w:type="pct"/>
            <w:tcBorders>
              <w:top w:val="nil"/>
              <w:left w:val="single" w:color="auto" w:sz="4" w:space="0"/>
              <w:bottom w:val="single" w:color="auto" w:sz="4" w:space="0"/>
              <w:right w:val="single" w:color="auto" w:sz="4" w:space="0"/>
            </w:tcBorders>
            <w:shd w:val="clear" w:color="auto" w:fill="auto"/>
            <w:noWrap/>
            <w:vAlign w:val="center"/>
          </w:tcPr>
          <w:p>
            <w:pPr>
              <w:widowControl/>
              <w:ind w:firstLine="400"/>
              <w:rPr>
                <w:rFonts w:eastAsia="宋体" w:cs="Times New Roman"/>
                <w:color w:val="000000"/>
                <w:kern w:val="0"/>
                <w:sz w:val="20"/>
                <w:szCs w:val="13"/>
              </w:rPr>
            </w:pPr>
            <w:r>
              <w:rPr>
                <w:rFonts w:eastAsia="宋体" w:cs="Times New Roman"/>
                <w:color w:val="000000"/>
                <w:kern w:val="0"/>
                <w:sz w:val="20"/>
                <w:szCs w:val="13"/>
              </w:rPr>
              <w:t>公用经费</w:t>
            </w:r>
          </w:p>
        </w:tc>
        <w:tc>
          <w:tcPr>
            <w:tcW w:w="1697"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60.28</w:t>
            </w:r>
          </w:p>
        </w:tc>
        <w:tc>
          <w:tcPr>
            <w:tcW w:w="2195"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62.37</w:t>
            </w:r>
          </w:p>
        </w:tc>
      </w:tr>
      <w:tr>
        <w:tblPrEx>
          <w:tblCellMar>
            <w:top w:w="0" w:type="dxa"/>
            <w:left w:w="108" w:type="dxa"/>
            <w:bottom w:w="0" w:type="dxa"/>
            <w:right w:w="108" w:type="dxa"/>
          </w:tblCellMar>
        </w:tblPrEx>
        <w:trPr>
          <w:trHeight w:val="315" w:hRule="atLeast"/>
        </w:trPr>
        <w:tc>
          <w:tcPr>
            <w:tcW w:w="1108" w:type="pct"/>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rPr>
                <w:rFonts w:eastAsia="宋体" w:cs="Times New Roman"/>
                <w:color w:val="000000"/>
                <w:kern w:val="0"/>
                <w:sz w:val="20"/>
                <w:szCs w:val="13"/>
              </w:rPr>
            </w:pPr>
            <w:r>
              <w:rPr>
                <w:rFonts w:eastAsia="宋体" w:cs="Times New Roman"/>
                <w:color w:val="000000"/>
                <w:kern w:val="0"/>
                <w:sz w:val="20"/>
                <w:szCs w:val="13"/>
              </w:rPr>
              <w:t>二、项目支出</w:t>
            </w:r>
          </w:p>
        </w:tc>
        <w:tc>
          <w:tcPr>
            <w:tcW w:w="1697"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1395.51</w:t>
            </w:r>
          </w:p>
        </w:tc>
        <w:tc>
          <w:tcPr>
            <w:tcW w:w="2195" w:type="pct"/>
            <w:tcBorders>
              <w:top w:val="nil"/>
              <w:left w:val="nil"/>
              <w:bottom w:val="single" w:color="auto" w:sz="4" w:space="0"/>
              <w:right w:val="single" w:color="auto" w:sz="4" w:space="0"/>
            </w:tcBorders>
            <w:shd w:val="clear" w:color="auto" w:fill="auto"/>
            <w:noWrap/>
            <w:vAlign w:val="center"/>
          </w:tcPr>
          <w:p>
            <w:pPr>
              <w:widowControl/>
              <w:ind w:firstLine="400"/>
              <w:jc w:val="center"/>
              <w:rPr>
                <w:rFonts w:eastAsia="宋体" w:cs="Times New Roman"/>
                <w:color w:val="000000"/>
                <w:kern w:val="0"/>
                <w:sz w:val="20"/>
                <w:szCs w:val="13"/>
              </w:rPr>
            </w:pPr>
            <w:r>
              <w:rPr>
                <w:rFonts w:eastAsia="宋体" w:cs="Times New Roman"/>
                <w:color w:val="000000"/>
                <w:sz w:val="20"/>
                <w:szCs w:val="13"/>
              </w:rPr>
              <w:t>1357.43</w:t>
            </w:r>
          </w:p>
        </w:tc>
      </w:tr>
      <w:tr>
        <w:tblPrEx>
          <w:tblCellMar>
            <w:top w:w="0" w:type="dxa"/>
            <w:left w:w="108" w:type="dxa"/>
            <w:bottom w:w="0" w:type="dxa"/>
            <w:right w:w="108" w:type="dxa"/>
          </w:tblCellMar>
        </w:tblPrEx>
        <w:trPr>
          <w:trHeight w:val="315" w:hRule="atLeast"/>
        </w:trPr>
        <w:tc>
          <w:tcPr>
            <w:tcW w:w="1108" w:type="pct"/>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eastAsia="宋体" w:cs="Times New Roman"/>
                <w:b/>
                <w:bCs/>
                <w:color w:val="000000"/>
                <w:kern w:val="0"/>
                <w:sz w:val="20"/>
                <w:szCs w:val="13"/>
              </w:rPr>
            </w:pPr>
            <w:r>
              <w:rPr>
                <w:rFonts w:eastAsia="宋体" w:cs="Times New Roman"/>
                <w:b/>
                <w:bCs/>
                <w:color w:val="000000"/>
                <w:kern w:val="0"/>
                <w:sz w:val="20"/>
                <w:szCs w:val="13"/>
              </w:rPr>
              <w:t>合计</w:t>
            </w:r>
          </w:p>
        </w:tc>
        <w:tc>
          <w:tcPr>
            <w:tcW w:w="1697" w:type="pct"/>
            <w:tcBorders>
              <w:top w:val="nil"/>
              <w:left w:val="nil"/>
              <w:bottom w:val="single" w:color="auto" w:sz="4" w:space="0"/>
              <w:right w:val="single" w:color="auto" w:sz="4" w:space="0"/>
            </w:tcBorders>
            <w:shd w:val="clear" w:color="auto" w:fill="auto"/>
            <w:noWrap/>
            <w:vAlign w:val="center"/>
          </w:tcPr>
          <w:p>
            <w:pPr>
              <w:widowControl/>
              <w:ind w:firstLine="402"/>
              <w:jc w:val="center"/>
              <w:rPr>
                <w:rFonts w:eastAsia="宋体" w:cs="Times New Roman"/>
                <w:b/>
                <w:bCs/>
                <w:color w:val="000000"/>
                <w:kern w:val="0"/>
                <w:sz w:val="20"/>
                <w:szCs w:val="13"/>
              </w:rPr>
            </w:pPr>
            <w:r>
              <w:rPr>
                <w:rFonts w:eastAsia="宋体" w:cs="Times New Roman"/>
                <w:b/>
                <w:bCs/>
                <w:color w:val="000000"/>
                <w:sz w:val="20"/>
                <w:szCs w:val="13"/>
              </w:rPr>
              <w:t>1856.70</w:t>
            </w:r>
          </w:p>
        </w:tc>
        <w:tc>
          <w:tcPr>
            <w:tcW w:w="2195" w:type="pct"/>
            <w:tcBorders>
              <w:top w:val="nil"/>
              <w:left w:val="nil"/>
              <w:bottom w:val="single" w:color="auto" w:sz="4" w:space="0"/>
              <w:right w:val="single" w:color="auto" w:sz="4" w:space="0"/>
            </w:tcBorders>
            <w:shd w:val="clear" w:color="auto" w:fill="auto"/>
            <w:noWrap/>
            <w:vAlign w:val="center"/>
          </w:tcPr>
          <w:p>
            <w:pPr>
              <w:widowControl/>
              <w:ind w:firstLine="402"/>
              <w:jc w:val="center"/>
              <w:rPr>
                <w:rFonts w:eastAsia="宋体" w:cs="Times New Roman"/>
                <w:b/>
                <w:bCs/>
                <w:color w:val="000000"/>
                <w:kern w:val="0"/>
                <w:sz w:val="20"/>
                <w:szCs w:val="13"/>
              </w:rPr>
            </w:pPr>
            <w:r>
              <w:rPr>
                <w:rFonts w:eastAsia="宋体" w:cs="Times New Roman"/>
                <w:b/>
                <w:bCs/>
                <w:color w:val="000000"/>
                <w:sz w:val="20"/>
                <w:szCs w:val="13"/>
              </w:rPr>
              <w:t>1880.22</w:t>
            </w:r>
          </w:p>
        </w:tc>
      </w:tr>
    </w:tbl>
    <w:p>
      <w:pPr>
        <w:ind w:firstLine="640"/>
      </w:pPr>
    </w:p>
    <w:p>
      <w:pPr>
        <w:pStyle w:val="3"/>
        <w:numPr>
          <w:ilvl w:val="0"/>
          <w:numId w:val="2"/>
        </w:numPr>
        <w:ind w:firstLine="643"/>
        <w:rPr>
          <w:rFonts w:cs="Times New Roman"/>
        </w:rPr>
      </w:pPr>
      <w:bookmarkStart w:id="32" w:name="_Toc73927484"/>
      <w:bookmarkStart w:id="33" w:name="_Toc77503475"/>
      <w:r>
        <w:rPr>
          <w:rFonts w:cs="Times New Roman"/>
        </w:rPr>
        <w:t>预算执行情况</w:t>
      </w:r>
      <w:bookmarkEnd w:id="32"/>
      <w:bookmarkEnd w:id="33"/>
    </w:p>
    <w:p>
      <w:pPr>
        <w:ind w:firstLine="640"/>
        <w:rPr>
          <w:lang w:val="zh-CN"/>
        </w:rPr>
      </w:pPr>
      <w:r>
        <w:rPr>
          <w:rFonts w:hint="eastAsia"/>
        </w:rPr>
        <w:t>预算执行下设部门总体执行进度单个指标，权重5</w:t>
      </w:r>
      <w:r>
        <w:t>.00</w:t>
      </w:r>
      <w:r>
        <w:rPr>
          <w:rFonts w:hint="eastAsia"/>
        </w:rPr>
        <w:t>分，实际得分</w:t>
      </w:r>
      <w:r>
        <w:t>5.00</w:t>
      </w:r>
      <w:r>
        <w:rPr>
          <w:rFonts w:hint="eastAsia"/>
        </w:rPr>
        <w:t>分，得分率</w:t>
      </w:r>
      <w:r>
        <w:t>100.00</w:t>
      </w:r>
      <w:r>
        <w:rPr>
          <w:rFonts w:hint="eastAsia"/>
        </w:rPr>
        <w:t>%。</w:t>
      </w:r>
      <w:r>
        <w:rPr>
          <w:rFonts w:hint="eastAsia"/>
          <w:lang w:val="zh-CN"/>
        </w:rPr>
        <w:t>2020年市场监管局部门整体预算支出执行率100.00%，故未扣分。</w:t>
      </w:r>
    </w:p>
    <w:p>
      <w:pPr>
        <w:ind w:firstLine="640"/>
        <w:rPr>
          <w:rFonts w:cs="Times New Roman"/>
        </w:rPr>
      </w:pPr>
      <w:r>
        <w:rPr>
          <w:rFonts w:hint="eastAsia" w:cs="Times New Roman"/>
        </w:rPr>
        <w:t>2020年绵竹市医疗保障局部门整体预算执行进度较好，调整预算数1</w:t>
      </w:r>
      <w:r>
        <w:rPr>
          <w:rFonts w:cs="Times New Roman"/>
        </w:rPr>
        <w:t>880.22</w:t>
      </w:r>
      <w:r>
        <w:rPr>
          <w:rFonts w:hint="eastAsia" w:cs="Times New Roman"/>
        </w:rPr>
        <w:t>万元，决算数1</w:t>
      </w:r>
      <w:r>
        <w:rPr>
          <w:rFonts w:cs="Times New Roman"/>
        </w:rPr>
        <w:t>880.22</w:t>
      </w:r>
      <w:r>
        <w:rPr>
          <w:rFonts w:hint="eastAsia" w:cs="Times New Roman"/>
        </w:rPr>
        <w:t>万元，预算支出执行率100%，其中年初预算数1856.70万元，中期调整预算数1880.22万元，预算追加数23.52万元(其中本级调整23.51万元)，占预算总数比为1.27%。</w:t>
      </w:r>
    </w:p>
    <w:p>
      <w:pPr>
        <w:ind w:firstLine="640"/>
        <w:rPr>
          <w:rFonts w:cs="Times New Roman"/>
        </w:rPr>
      </w:pPr>
      <w:r>
        <w:rPr>
          <w:rFonts w:hint="eastAsia" w:cs="Times New Roman"/>
        </w:rPr>
        <w:t>按支出性质来看，2020年绵竹市医疗保障局部门整体基本支出执行率100%，经营支出执行率100%，项目支出执行率100%。</w:t>
      </w:r>
    </w:p>
    <w:p>
      <w:pPr>
        <w:spacing w:line="600" w:lineRule="exact"/>
        <w:ind w:firstLine="0" w:firstLineChars="0"/>
        <w:jc w:val="center"/>
        <w:rPr>
          <w:rFonts w:eastAsia="幼圆" w:cs="Times New Roman"/>
          <w:b/>
          <w:sz w:val="28"/>
          <w:szCs w:val="32"/>
        </w:rPr>
        <w:sectPr>
          <w:pgSz w:w="11906" w:h="16838"/>
          <w:pgMar w:top="1440" w:right="1800" w:bottom="1440" w:left="1800" w:header="851" w:footer="992" w:gutter="0"/>
          <w:cols w:space="425" w:num="1"/>
          <w:docGrid w:type="lines" w:linePitch="312" w:charSpace="0"/>
        </w:sectPr>
      </w:pPr>
    </w:p>
    <w:p>
      <w:pPr>
        <w:spacing w:line="600" w:lineRule="exact"/>
        <w:ind w:firstLine="0" w:firstLineChars="0"/>
        <w:jc w:val="center"/>
        <w:rPr>
          <w:rFonts w:eastAsia="幼圆" w:cs="Times New Roman"/>
          <w:b/>
          <w:sz w:val="28"/>
          <w:szCs w:val="32"/>
        </w:rPr>
      </w:pPr>
      <w:r>
        <w:rPr>
          <w:rFonts w:eastAsia="幼圆" w:cs="Times New Roman"/>
          <w:b/>
          <w:sz w:val="28"/>
          <w:szCs w:val="32"/>
        </w:rPr>
        <w:t>附表 20</w:t>
      </w:r>
      <w:r>
        <w:rPr>
          <w:rFonts w:hint="eastAsia" w:eastAsia="幼圆" w:cs="Times New Roman"/>
          <w:b/>
          <w:sz w:val="28"/>
          <w:szCs w:val="32"/>
        </w:rPr>
        <w:t>20</w:t>
      </w:r>
      <w:r>
        <w:rPr>
          <w:rFonts w:eastAsia="幼圆" w:cs="Times New Roman"/>
          <w:b/>
          <w:sz w:val="28"/>
          <w:szCs w:val="32"/>
        </w:rPr>
        <w:t>年</w:t>
      </w:r>
      <w:r>
        <w:rPr>
          <w:rFonts w:hint="eastAsia" w:eastAsia="幼圆" w:cs="Times New Roman"/>
          <w:b/>
          <w:sz w:val="28"/>
          <w:szCs w:val="32"/>
        </w:rPr>
        <w:t>市医保局</w:t>
      </w:r>
      <w:r>
        <w:rPr>
          <w:rFonts w:eastAsia="幼圆" w:cs="Times New Roman"/>
          <w:b/>
          <w:sz w:val="28"/>
          <w:szCs w:val="32"/>
        </w:rPr>
        <w:t>预算支出执行情况（按项目支出性质分类）</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3"/>
        <w:gridCol w:w="1549"/>
        <w:gridCol w:w="1549"/>
        <w:gridCol w:w="1549"/>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1175" w:type="pct"/>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科目类别</w:t>
            </w:r>
          </w:p>
        </w:tc>
        <w:tc>
          <w:tcPr>
            <w:tcW w:w="909" w:type="pct"/>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年初预算</w:t>
            </w:r>
          </w:p>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（万元）</w:t>
            </w:r>
          </w:p>
        </w:tc>
        <w:tc>
          <w:tcPr>
            <w:tcW w:w="909" w:type="pct"/>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调整预算数</w:t>
            </w:r>
          </w:p>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（万元）</w:t>
            </w:r>
          </w:p>
        </w:tc>
        <w:tc>
          <w:tcPr>
            <w:tcW w:w="909" w:type="pct"/>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决算数</w:t>
            </w:r>
          </w:p>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（万元）</w:t>
            </w:r>
          </w:p>
        </w:tc>
        <w:tc>
          <w:tcPr>
            <w:tcW w:w="1098" w:type="pct"/>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预算执行率</w:t>
            </w:r>
          </w:p>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w:t>
            </w:r>
            <w:r>
              <w:rPr>
                <w:rFonts w:eastAsia="宋体" w:cs="Times New Roman"/>
                <w:b/>
                <w:bCs/>
                <w:color w:val="FFFFFF"/>
                <w:kern w:val="0"/>
                <w:sz w:val="20"/>
                <w:szCs w:val="20"/>
              </w:rPr>
              <w:t>%</w:t>
            </w:r>
            <w:r>
              <w:rPr>
                <w:rFonts w:hint="eastAsia" w:ascii="宋体" w:hAnsi="宋体" w:eastAsia="宋体" w:cs="宋体"/>
                <w:b/>
                <w:bCs/>
                <w:color w:val="FFFFFF"/>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175" w:type="pct"/>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一、基本支出</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461.19</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522.79</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522.79</w:t>
            </w:r>
          </w:p>
        </w:tc>
        <w:tc>
          <w:tcPr>
            <w:tcW w:w="1098"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175"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 xml:space="preserve"> </w:t>
            </w:r>
            <w:r>
              <w:rPr>
                <w:rFonts w:hint="eastAsia" w:ascii="宋体" w:hAnsi="宋体" w:eastAsia="宋体" w:cs="Times New Roman"/>
                <w:color w:val="000000"/>
                <w:kern w:val="0"/>
                <w:sz w:val="20"/>
                <w:szCs w:val="20"/>
              </w:rPr>
              <w:t>人员经费</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400.91</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460.41</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460.41</w:t>
            </w:r>
          </w:p>
        </w:tc>
        <w:tc>
          <w:tcPr>
            <w:tcW w:w="1098"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175"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 xml:space="preserve"> </w:t>
            </w:r>
            <w:r>
              <w:rPr>
                <w:rFonts w:hint="eastAsia" w:ascii="宋体" w:hAnsi="宋体" w:eastAsia="宋体" w:cs="Times New Roman"/>
                <w:color w:val="000000"/>
                <w:kern w:val="0"/>
                <w:sz w:val="20"/>
                <w:szCs w:val="20"/>
              </w:rPr>
              <w:t>公用经费</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60.28</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62.37</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62.37</w:t>
            </w:r>
          </w:p>
        </w:tc>
        <w:tc>
          <w:tcPr>
            <w:tcW w:w="1098"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75" w:type="pct"/>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二、项目支出</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1395.51</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1357.43</w:t>
            </w:r>
          </w:p>
        </w:tc>
        <w:tc>
          <w:tcPr>
            <w:tcW w:w="909"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1357.43</w:t>
            </w:r>
          </w:p>
        </w:tc>
        <w:tc>
          <w:tcPr>
            <w:tcW w:w="1098" w:type="pct"/>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175" w:type="pct"/>
            <w:shd w:val="clear" w:color="auto" w:fill="auto"/>
            <w:noWrap/>
            <w:vAlign w:val="center"/>
          </w:tcPr>
          <w:p>
            <w:pPr>
              <w:widowControl/>
              <w:spacing w:line="240" w:lineRule="auto"/>
              <w:ind w:firstLine="0" w:firstLineChars="0"/>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合计</w:t>
            </w:r>
          </w:p>
        </w:tc>
        <w:tc>
          <w:tcPr>
            <w:tcW w:w="909" w:type="pct"/>
            <w:shd w:val="clear" w:color="auto" w:fill="auto"/>
            <w:noWrap/>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1856.7</w:t>
            </w:r>
          </w:p>
        </w:tc>
        <w:tc>
          <w:tcPr>
            <w:tcW w:w="909" w:type="pct"/>
            <w:shd w:val="clear" w:color="auto" w:fill="auto"/>
            <w:noWrap/>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1880.22</w:t>
            </w:r>
          </w:p>
        </w:tc>
        <w:tc>
          <w:tcPr>
            <w:tcW w:w="909" w:type="pct"/>
            <w:shd w:val="clear" w:color="auto" w:fill="auto"/>
            <w:noWrap/>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1880.22</w:t>
            </w:r>
          </w:p>
        </w:tc>
        <w:tc>
          <w:tcPr>
            <w:tcW w:w="1098" w:type="pct"/>
            <w:shd w:val="clear" w:color="auto" w:fill="auto"/>
            <w:noWrap/>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100.00</w:t>
            </w:r>
          </w:p>
        </w:tc>
      </w:tr>
    </w:tbl>
    <w:p>
      <w:pPr>
        <w:spacing w:line="600" w:lineRule="exact"/>
        <w:ind w:firstLine="0" w:firstLineChars="0"/>
        <w:jc w:val="center"/>
        <w:rPr>
          <w:rFonts w:eastAsia="幼圆" w:cs="Times New Roman"/>
          <w:b/>
          <w:sz w:val="28"/>
          <w:szCs w:val="32"/>
        </w:rPr>
      </w:pPr>
      <w:r>
        <w:rPr>
          <w:rFonts w:eastAsia="幼圆" w:cs="Times New Roman"/>
          <w:b/>
          <w:sz w:val="28"/>
          <w:szCs w:val="32"/>
        </w:rPr>
        <w:t>附表20</w:t>
      </w:r>
      <w:r>
        <w:rPr>
          <w:rFonts w:hint="eastAsia" w:eastAsia="幼圆" w:cs="Times New Roman"/>
          <w:b/>
          <w:sz w:val="28"/>
          <w:szCs w:val="32"/>
        </w:rPr>
        <w:t>20</w:t>
      </w:r>
      <w:r>
        <w:rPr>
          <w:rFonts w:eastAsia="幼圆" w:cs="Times New Roman"/>
          <w:b/>
          <w:sz w:val="28"/>
          <w:szCs w:val="32"/>
        </w:rPr>
        <w:t>年预算支出执行情况（按</w:t>
      </w:r>
      <w:r>
        <w:rPr>
          <w:rFonts w:hint="eastAsia" w:eastAsia="幼圆" w:cs="Times New Roman"/>
          <w:b/>
          <w:sz w:val="28"/>
          <w:szCs w:val="32"/>
        </w:rPr>
        <w:t>项目功能</w:t>
      </w:r>
      <w:r>
        <w:rPr>
          <w:rFonts w:eastAsia="幼圆" w:cs="Times New Roman"/>
          <w:b/>
          <w:sz w:val="28"/>
          <w:szCs w:val="32"/>
        </w:rPr>
        <w:t>分类）</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6"/>
        <w:gridCol w:w="1606"/>
        <w:gridCol w:w="1747"/>
        <w:gridCol w:w="1602"/>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blHeader/>
        </w:trPr>
        <w:tc>
          <w:tcPr>
            <w:tcW w:w="1277"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科目类别</w:t>
            </w:r>
          </w:p>
        </w:tc>
        <w:tc>
          <w:tcPr>
            <w:tcW w:w="942"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年初预算数</w:t>
            </w:r>
          </w:p>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（万元）</w:t>
            </w:r>
          </w:p>
        </w:tc>
        <w:tc>
          <w:tcPr>
            <w:tcW w:w="1025"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调整预算数</w:t>
            </w:r>
          </w:p>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（万元）</w:t>
            </w:r>
          </w:p>
        </w:tc>
        <w:tc>
          <w:tcPr>
            <w:tcW w:w="940"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决算数</w:t>
            </w:r>
          </w:p>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（万元）</w:t>
            </w:r>
          </w:p>
        </w:tc>
        <w:tc>
          <w:tcPr>
            <w:tcW w:w="816" w:type="pct"/>
            <w:shd w:val="clear" w:color="000000" w:fill="00516B"/>
            <w:noWrap/>
            <w:vAlign w:val="center"/>
          </w:tcPr>
          <w:p>
            <w:pPr>
              <w:widowControl/>
              <w:spacing w:line="320" w:lineRule="exact"/>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预算执行率（</w:t>
            </w:r>
            <w:r>
              <w:rPr>
                <w:rFonts w:eastAsia="宋体" w:cs="Times New Roman"/>
                <w:b/>
                <w:bCs/>
                <w:color w:val="FFFFFF"/>
                <w:kern w:val="0"/>
                <w:sz w:val="20"/>
                <w:szCs w:val="20"/>
              </w:rPr>
              <w:t>%</w:t>
            </w:r>
            <w:r>
              <w:rPr>
                <w:rFonts w:hint="eastAsia" w:ascii="宋体" w:hAnsi="宋体" w:eastAsia="宋体" w:cs="宋体"/>
                <w:b/>
                <w:bCs/>
                <w:color w:val="FFFFFF"/>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277" w:type="pct"/>
            <w:shd w:val="clear" w:color="auto" w:fill="auto"/>
            <w:noWrap/>
            <w:vAlign w:val="center"/>
          </w:tcPr>
          <w:p>
            <w:pPr>
              <w:widowControl/>
              <w:spacing w:line="320" w:lineRule="exact"/>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社会保障和就业支出</w:t>
            </w:r>
          </w:p>
        </w:tc>
        <w:tc>
          <w:tcPr>
            <w:tcW w:w="94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57.72</w:t>
            </w:r>
          </w:p>
        </w:tc>
        <w:tc>
          <w:tcPr>
            <w:tcW w:w="1025"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54.34</w:t>
            </w:r>
          </w:p>
        </w:tc>
        <w:tc>
          <w:tcPr>
            <w:tcW w:w="940"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54.34</w:t>
            </w:r>
          </w:p>
        </w:tc>
        <w:tc>
          <w:tcPr>
            <w:tcW w:w="816"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77" w:type="pct"/>
            <w:shd w:val="clear" w:color="auto" w:fill="auto"/>
            <w:noWrap/>
            <w:vAlign w:val="center"/>
          </w:tcPr>
          <w:p>
            <w:pPr>
              <w:widowControl/>
              <w:spacing w:line="320" w:lineRule="exact"/>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卫生健康支出</w:t>
            </w:r>
          </w:p>
        </w:tc>
        <w:tc>
          <w:tcPr>
            <w:tcW w:w="94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1335.30</w:t>
            </w:r>
          </w:p>
        </w:tc>
        <w:tc>
          <w:tcPr>
            <w:tcW w:w="1025"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1359.44</w:t>
            </w:r>
          </w:p>
        </w:tc>
        <w:tc>
          <w:tcPr>
            <w:tcW w:w="940"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1359.44</w:t>
            </w:r>
          </w:p>
        </w:tc>
        <w:tc>
          <w:tcPr>
            <w:tcW w:w="816"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77" w:type="pct"/>
            <w:shd w:val="clear" w:color="auto" w:fill="auto"/>
            <w:noWrap/>
            <w:vAlign w:val="center"/>
          </w:tcPr>
          <w:p>
            <w:pPr>
              <w:widowControl/>
              <w:spacing w:line="320" w:lineRule="exact"/>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城乡社区支出</w:t>
            </w:r>
          </w:p>
        </w:tc>
        <w:tc>
          <w:tcPr>
            <w:tcW w:w="94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422.94</w:t>
            </w:r>
          </w:p>
        </w:tc>
        <w:tc>
          <w:tcPr>
            <w:tcW w:w="1025"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420.60</w:t>
            </w:r>
          </w:p>
        </w:tc>
        <w:tc>
          <w:tcPr>
            <w:tcW w:w="940"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420.60</w:t>
            </w:r>
          </w:p>
        </w:tc>
        <w:tc>
          <w:tcPr>
            <w:tcW w:w="816"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277" w:type="pct"/>
            <w:shd w:val="clear" w:color="auto" w:fill="auto"/>
            <w:noWrap/>
            <w:vAlign w:val="center"/>
          </w:tcPr>
          <w:p>
            <w:pPr>
              <w:widowControl/>
              <w:spacing w:line="320" w:lineRule="exact"/>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住房保障支出</w:t>
            </w:r>
          </w:p>
        </w:tc>
        <w:tc>
          <w:tcPr>
            <w:tcW w:w="942"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40.75</w:t>
            </w:r>
          </w:p>
        </w:tc>
        <w:tc>
          <w:tcPr>
            <w:tcW w:w="1025"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45.83</w:t>
            </w:r>
          </w:p>
        </w:tc>
        <w:tc>
          <w:tcPr>
            <w:tcW w:w="940"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45.83</w:t>
            </w:r>
          </w:p>
        </w:tc>
        <w:tc>
          <w:tcPr>
            <w:tcW w:w="816" w:type="pct"/>
            <w:shd w:val="clear" w:color="auto" w:fill="auto"/>
            <w:noWrap/>
            <w:vAlign w:val="center"/>
          </w:tcPr>
          <w:p>
            <w:pPr>
              <w:widowControl/>
              <w:spacing w:line="320" w:lineRule="exact"/>
              <w:ind w:firstLine="0" w:firstLineChars="0"/>
              <w:jc w:val="center"/>
              <w:rPr>
                <w:rFonts w:eastAsia="宋体" w:cs="Times New Roman"/>
                <w:color w:val="000000"/>
                <w:kern w:val="0"/>
                <w:sz w:val="20"/>
                <w:szCs w:val="20"/>
              </w:rPr>
            </w:pPr>
            <w:r>
              <w:rPr>
                <w:rFonts w:eastAsia="宋体" w:cs="Times New Roman"/>
                <w:color w:val="000000"/>
                <w:kern w:val="0"/>
                <w:sz w:val="20"/>
                <w:szCs w:val="2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277" w:type="pct"/>
            <w:shd w:val="clear" w:color="auto" w:fill="auto"/>
            <w:noWrap/>
            <w:vAlign w:val="center"/>
          </w:tcPr>
          <w:p>
            <w:pPr>
              <w:widowControl/>
              <w:spacing w:line="320" w:lineRule="exact"/>
              <w:ind w:firstLine="0" w:firstLineChars="0"/>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合计</w:t>
            </w:r>
          </w:p>
        </w:tc>
        <w:tc>
          <w:tcPr>
            <w:tcW w:w="942"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1856.70</w:t>
            </w:r>
          </w:p>
        </w:tc>
        <w:tc>
          <w:tcPr>
            <w:tcW w:w="1025"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1880.22</w:t>
            </w:r>
          </w:p>
        </w:tc>
        <w:tc>
          <w:tcPr>
            <w:tcW w:w="940"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1880.22</w:t>
            </w:r>
          </w:p>
        </w:tc>
        <w:tc>
          <w:tcPr>
            <w:tcW w:w="816" w:type="pct"/>
            <w:shd w:val="clear" w:color="auto" w:fill="auto"/>
            <w:noWrap/>
            <w:vAlign w:val="center"/>
          </w:tcPr>
          <w:p>
            <w:pPr>
              <w:widowControl/>
              <w:spacing w:line="320" w:lineRule="exact"/>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100.00</w:t>
            </w:r>
          </w:p>
        </w:tc>
      </w:tr>
    </w:tbl>
    <w:p>
      <w:pPr>
        <w:ind w:firstLine="640"/>
      </w:pPr>
    </w:p>
    <w:p>
      <w:pPr>
        <w:pStyle w:val="2"/>
        <w:ind w:firstLine="640"/>
        <w:rPr>
          <w:rFonts w:eastAsia="黑体" w:cs="Times New Roman"/>
          <w:bCs w:val="0"/>
          <w:szCs w:val="32"/>
        </w:rPr>
      </w:pPr>
      <w:bookmarkStart w:id="34" w:name="_Toc73927485"/>
      <w:bookmarkStart w:id="35" w:name="_Toc77503476"/>
      <w:r>
        <w:rPr>
          <w:rFonts w:eastAsia="黑体" w:cs="Times New Roman"/>
          <w:bCs w:val="0"/>
          <w:szCs w:val="32"/>
        </w:rPr>
        <w:t>四、部门管理情况</w:t>
      </w:r>
      <w:bookmarkEnd w:id="34"/>
      <w:bookmarkEnd w:id="35"/>
    </w:p>
    <w:p>
      <w:pPr>
        <w:ind w:firstLine="640"/>
      </w:pPr>
      <w:r>
        <w:t>在部门管理指标上，设定管理制度、财务管理、“三公”经费控制、资产管理、政府购买服务、信息公开6</w:t>
      </w:r>
      <w:r>
        <w:rPr>
          <w:rFonts w:hint="eastAsia"/>
        </w:rPr>
        <w:t>个方面</w:t>
      </w:r>
      <w:r>
        <w:t>。总体而言，部门内部管理制度</w:t>
      </w:r>
      <w:r>
        <w:rPr>
          <w:rFonts w:hint="eastAsia"/>
        </w:rPr>
        <w:t>较为完善。</w:t>
      </w:r>
      <w:r>
        <w:t>其中，“三公”经费控制较好，固定资产在用率较高</w:t>
      </w:r>
      <w:r>
        <w:rPr>
          <w:rFonts w:hint="eastAsia"/>
        </w:rPr>
        <w:t>，信息公开程度较高</w:t>
      </w:r>
      <w:r>
        <w:t>。但</w:t>
      </w:r>
      <w:r>
        <w:rPr>
          <w:rFonts w:hint="eastAsia"/>
        </w:rPr>
        <w:t>管理制度健全性、</w:t>
      </w:r>
      <w:r>
        <w:t>资金使用合规性</w:t>
      </w:r>
      <w:r>
        <w:rPr>
          <w:rFonts w:hint="eastAsia"/>
        </w:rPr>
        <w:t>、</w:t>
      </w:r>
      <w:r>
        <w:t>财务监控有效性</w:t>
      </w:r>
      <w:r>
        <w:rPr>
          <w:rFonts w:hint="eastAsia"/>
        </w:rPr>
        <w:t>及采购规范性等方面</w:t>
      </w:r>
      <w:r>
        <w:t>有待提高，存在</w:t>
      </w:r>
      <w:r>
        <w:rPr>
          <w:rFonts w:hint="eastAsia"/>
        </w:rPr>
        <w:t>不同项目资金间调整程序不齐全，未做到专款专用的情况。</w:t>
      </w:r>
      <w:r>
        <w:t>该部分指标分值为10分，得分为</w:t>
      </w:r>
      <w:r>
        <w:rPr>
          <w:rFonts w:hint="eastAsia"/>
        </w:rPr>
        <w:t>7</w:t>
      </w:r>
      <w:r>
        <w:t>.00分，得分率为</w:t>
      </w:r>
      <w:r>
        <w:rPr>
          <w:rFonts w:hint="eastAsia"/>
        </w:rPr>
        <w:t>7</w:t>
      </w:r>
      <w:r>
        <w:t>0.00%。</w:t>
      </w:r>
    </w:p>
    <w:p>
      <w:pPr>
        <w:ind w:firstLine="0" w:firstLineChars="0"/>
        <w:jc w:val="center"/>
        <w:rPr>
          <w:rFonts w:eastAsia="幼圆"/>
          <w:b/>
          <w:sz w:val="28"/>
          <w:szCs w:val="32"/>
        </w:rPr>
      </w:pPr>
      <w:r>
        <w:rPr>
          <w:rFonts w:eastAsia="幼圆"/>
          <w:b/>
          <w:sz w:val="28"/>
          <w:szCs w:val="32"/>
        </w:rPr>
        <w:t>附表</w:t>
      </w:r>
      <w:r>
        <w:rPr>
          <w:rFonts w:hint="eastAsia" w:eastAsia="幼圆"/>
          <w:b/>
          <w:sz w:val="28"/>
          <w:szCs w:val="32"/>
        </w:rPr>
        <w:t xml:space="preserve"> </w:t>
      </w:r>
      <w:r>
        <w:rPr>
          <w:rFonts w:eastAsia="幼圆"/>
          <w:b/>
          <w:sz w:val="28"/>
          <w:szCs w:val="32"/>
        </w:rPr>
        <w:t>部门管理指标得分情况</w:t>
      </w:r>
    </w:p>
    <w:tbl>
      <w:tblPr>
        <w:tblStyle w:val="22"/>
        <w:tblW w:w="5000" w:type="pct"/>
        <w:tblInd w:w="0" w:type="dxa"/>
        <w:tblLayout w:type="autofit"/>
        <w:tblCellMar>
          <w:top w:w="0" w:type="dxa"/>
          <w:left w:w="108" w:type="dxa"/>
          <w:bottom w:w="0" w:type="dxa"/>
          <w:right w:w="108" w:type="dxa"/>
        </w:tblCellMar>
      </w:tblPr>
      <w:tblGrid>
        <w:gridCol w:w="1418"/>
        <w:gridCol w:w="1418"/>
        <w:gridCol w:w="2258"/>
        <w:gridCol w:w="1304"/>
        <w:gridCol w:w="1166"/>
        <w:gridCol w:w="958"/>
      </w:tblGrid>
      <w:tr>
        <w:tblPrEx>
          <w:tblCellMar>
            <w:top w:w="0" w:type="dxa"/>
            <w:left w:w="108" w:type="dxa"/>
            <w:bottom w:w="0" w:type="dxa"/>
            <w:right w:w="108" w:type="dxa"/>
          </w:tblCellMar>
        </w:tblPrEx>
        <w:trPr>
          <w:trHeight w:val="612" w:hRule="atLeast"/>
          <w:tblHeader/>
        </w:trPr>
        <w:tc>
          <w:tcPr>
            <w:tcW w:w="832" w:type="pct"/>
            <w:tcBorders>
              <w:top w:val="single" w:color="auto" w:sz="8" w:space="0"/>
              <w:left w:val="single" w:color="auto" w:sz="8" w:space="0"/>
              <w:bottom w:val="single" w:color="auto" w:sz="8" w:space="0"/>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832"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325"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765"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684" w:type="pct"/>
            <w:tcBorders>
              <w:top w:val="single" w:color="auto" w:sz="8" w:space="0"/>
              <w:left w:val="nil"/>
              <w:bottom w:val="nil"/>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563"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CellMar>
            <w:top w:w="0" w:type="dxa"/>
            <w:left w:w="108" w:type="dxa"/>
            <w:bottom w:w="0" w:type="dxa"/>
            <w:right w:w="108" w:type="dxa"/>
          </w:tblCellMar>
        </w:tblPrEx>
        <w:trPr>
          <w:trHeight w:val="492" w:hRule="atLeast"/>
        </w:trPr>
        <w:tc>
          <w:tcPr>
            <w:tcW w:w="832"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部门管理（10分）</w:t>
            </w:r>
          </w:p>
        </w:tc>
        <w:tc>
          <w:tcPr>
            <w:tcW w:w="832" w:type="pct"/>
            <w:vMerge w:val="restart"/>
            <w:tcBorders>
              <w:top w:val="nil"/>
              <w:left w:val="single" w:color="auto" w:sz="8" w:space="0"/>
              <w:bottom w:val="single" w:color="000000"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基础管理</w:t>
            </w:r>
          </w:p>
        </w:tc>
        <w:tc>
          <w:tcPr>
            <w:tcW w:w="132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76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0.50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50.00%</w:t>
            </w:r>
          </w:p>
        </w:tc>
      </w:tr>
      <w:tr>
        <w:tblPrEx>
          <w:tblCellMar>
            <w:top w:w="0" w:type="dxa"/>
            <w:left w:w="108" w:type="dxa"/>
            <w:bottom w:w="0" w:type="dxa"/>
            <w:right w:w="108" w:type="dxa"/>
          </w:tblCellMar>
        </w:tblPrEx>
        <w:trPr>
          <w:trHeight w:val="492" w:hRule="atLeast"/>
        </w:trPr>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32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76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0.50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50.00%</w:t>
            </w:r>
          </w:p>
        </w:tc>
      </w:tr>
      <w:tr>
        <w:tblPrEx>
          <w:tblCellMar>
            <w:top w:w="0" w:type="dxa"/>
            <w:left w:w="108" w:type="dxa"/>
            <w:bottom w:w="0" w:type="dxa"/>
            <w:right w:w="108" w:type="dxa"/>
          </w:tblCellMar>
        </w:tblPrEx>
        <w:trPr>
          <w:trHeight w:val="492" w:hRule="atLeast"/>
        </w:trPr>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32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财务监控有效性</w:t>
            </w:r>
          </w:p>
        </w:tc>
        <w:tc>
          <w:tcPr>
            <w:tcW w:w="76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50.00%</w:t>
            </w:r>
          </w:p>
        </w:tc>
      </w:tr>
      <w:tr>
        <w:tblPrEx>
          <w:tblCellMar>
            <w:top w:w="0" w:type="dxa"/>
            <w:left w:w="108" w:type="dxa"/>
            <w:bottom w:w="0" w:type="dxa"/>
            <w:right w:w="108" w:type="dxa"/>
          </w:tblCellMar>
        </w:tblPrEx>
        <w:trPr>
          <w:trHeight w:val="516" w:hRule="atLeast"/>
        </w:trPr>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832"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行政成本</w:t>
            </w:r>
          </w:p>
        </w:tc>
        <w:tc>
          <w:tcPr>
            <w:tcW w:w="132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w:t>
            </w:r>
            <w:r>
              <w:rPr>
                <w:rFonts w:eastAsia="宋体" w:cs="Times New Roman"/>
                <w:color w:val="000000"/>
                <w:kern w:val="0"/>
                <w:sz w:val="20"/>
                <w:szCs w:val="20"/>
              </w:rPr>
              <w:t>三公</w:t>
            </w:r>
            <w:r>
              <w:rPr>
                <w:rFonts w:eastAsia="等线" w:cs="Times New Roman"/>
                <w:color w:val="000000"/>
                <w:kern w:val="0"/>
                <w:sz w:val="20"/>
                <w:szCs w:val="20"/>
              </w:rPr>
              <w:t>”</w:t>
            </w:r>
            <w:r>
              <w:rPr>
                <w:rFonts w:eastAsia="宋体" w:cs="Times New Roman"/>
                <w:color w:val="000000"/>
                <w:kern w:val="0"/>
                <w:sz w:val="20"/>
                <w:szCs w:val="20"/>
              </w:rPr>
              <w:t>经费控制</w:t>
            </w:r>
          </w:p>
        </w:tc>
        <w:tc>
          <w:tcPr>
            <w:tcW w:w="765"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trPr>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832"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政府采购</w:t>
            </w:r>
          </w:p>
        </w:tc>
        <w:tc>
          <w:tcPr>
            <w:tcW w:w="132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采购规范性</w:t>
            </w:r>
          </w:p>
        </w:tc>
        <w:tc>
          <w:tcPr>
            <w:tcW w:w="765"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r>
      <w:tr>
        <w:tblPrEx>
          <w:tblCellMar>
            <w:top w:w="0" w:type="dxa"/>
            <w:left w:w="108" w:type="dxa"/>
            <w:bottom w:w="0" w:type="dxa"/>
            <w:right w:w="108" w:type="dxa"/>
          </w:tblCellMar>
        </w:tblPrEx>
        <w:trPr>
          <w:trHeight w:val="492" w:hRule="atLeast"/>
        </w:trPr>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832"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资产管理</w:t>
            </w:r>
          </w:p>
        </w:tc>
        <w:tc>
          <w:tcPr>
            <w:tcW w:w="132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固定资产在用率</w:t>
            </w:r>
          </w:p>
        </w:tc>
        <w:tc>
          <w:tcPr>
            <w:tcW w:w="765"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288" w:hRule="atLeast"/>
        </w:trPr>
        <w:tc>
          <w:tcPr>
            <w:tcW w:w="832"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832"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信息公开</w:t>
            </w:r>
          </w:p>
        </w:tc>
        <w:tc>
          <w:tcPr>
            <w:tcW w:w="1325"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信息公开</w:t>
            </w:r>
          </w:p>
        </w:tc>
        <w:tc>
          <w:tcPr>
            <w:tcW w:w="765"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288" w:hRule="atLeast"/>
        </w:trPr>
        <w:tc>
          <w:tcPr>
            <w:tcW w:w="2988"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765"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10.00</w:t>
            </w:r>
          </w:p>
        </w:tc>
        <w:tc>
          <w:tcPr>
            <w:tcW w:w="68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7.00</w:t>
            </w:r>
          </w:p>
        </w:tc>
        <w:tc>
          <w:tcPr>
            <w:tcW w:w="56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7.00%</w:t>
            </w:r>
          </w:p>
        </w:tc>
      </w:tr>
    </w:tbl>
    <w:p>
      <w:pPr>
        <w:spacing w:after="156" w:afterLines="50"/>
        <w:ind w:firstLine="0" w:firstLineChars="0"/>
        <w:jc w:val="center"/>
        <w:rPr>
          <w:rFonts w:eastAsia="幼圆"/>
          <w:b/>
          <w:sz w:val="28"/>
          <w:szCs w:val="32"/>
        </w:rPr>
      </w:pPr>
    </w:p>
    <w:p>
      <w:pPr>
        <w:pStyle w:val="3"/>
        <w:ind w:firstLine="643"/>
      </w:pPr>
      <w:bookmarkStart w:id="36" w:name="_Toc73927486"/>
      <w:bookmarkStart w:id="37" w:name="_Toc77503477"/>
      <w:r>
        <w:t>（一）基础管理</w:t>
      </w:r>
      <w:bookmarkEnd w:id="36"/>
      <w:bookmarkEnd w:id="37"/>
    </w:p>
    <w:p>
      <w:pPr>
        <w:spacing w:line="600" w:lineRule="exact"/>
        <w:ind w:firstLine="640"/>
        <w:rPr>
          <w:rFonts w:cs="Times New Roman"/>
        </w:rPr>
      </w:pPr>
      <w:r>
        <w:rPr>
          <w:rFonts w:cs="Times New Roman"/>
        </w:rPr>
        <w:t>在基础管理指标上</w:t>
      </w:r>
      <w:r>
        <w:rPr>
          <w:rFonts w:hint="eastAsia" w:cs="Times New Roman"/>
        </w:rPr>
        <w:t>，</w:t>
      </w:r>
      <w:r>
        <w:rPr>
          <w:rFonts w:cs="Times New Roman"/>
        </w:rPr>
        <w:t>设定了管理制度健全性、资金使用合规性、财务监控有效性3项三级指标。</w:t>
      </w:r>
    </w:p>
    <w:p>
      <w:pPr>
        <w:pStyle w:val="4"/>
        <w:ind w:firstLine="643"/>
      </w:pPr>
      <w:bookmarkStart w:id="38" w:name="_Toc77503478"/>
      <w:bookmarkStart w:id="39" w:name="_Toc73927487"/>
      <w:r>
        <w:t>1.管理制度健全性</w:t>
      </w:r>
      <w:bookmarkEnd w:id="38"/>
      <w:bookmarkEnd w:id="39"/>
    </w:p>
    <w:p>
      <w:pPr>
        <w:pStyle w:val="7"/>
        <w:ind w:firstLine="640"/>
        <w:jc w:val="both"/>
        <w:rPr>
          <w:rFonts w:cs="Times New Roman"/>
        </w:rPr>
      </w:pPr>
      <w:r>
        <w:rPr>
          <w:rFonts w:cs="Times New Roman"/>
          <w:szCs w:val="32"/>
        </w:rPr>
        <w:t>管理制度健全性权重</w:t>
      </w:r>
      <w:r>
        <w:rPr>
          <w:rFonts w:hint="eastAsia" w:cs="Times New Roman"/>
          <w:szCs w:val="32"/>
        </w:rPr>
        <w:t>1</w:t>
      </w:r>
      <w:r>
        <w:rPr>
          <w:rFonts w:cs="Times New Roman"/>
          <w:szCs w:val="32"/>
        </w:rPr>
        <w:t>.00分，实际得分</w:t>
      </w:r>
      <w:r>
        <w:rPr>
          <w:rFonts w:hint="eastAsia" w:cs="Times New Roman"/>
          <w:szCs w:val="32"/>
        </w:rPr>
        <w:t>0.5</w:t>
      </w:r>
      <w:r>
        <w:rPr>
          <w:rFonts w:cs="Times New Roman"/>
          <w:szCs w:val="32"/>
        </w:rPr>
        <w:t>0分，得分率为50.00%。</w:t>
      </w:r>
      <w:r>
        <w:rPr>
          <w:rFonts w:hint="eastAsia" w:cs="Times New Roman"/>
          <w:szCs w:val="32"/>
        </w:rPr>
        <w:t>市医保局</w:t>
      </w:r>
      <w:r>
        <w:rPr>
          <w:rFonts w:cs="Times New Roman"/>
        </w:rPr>
        <w:t>内</w:t>
      </w:r>
      <w:r>
        <w:rPr>
          <w:rFonts w:hint="eastAsia" w:cs="Times New Roman"/>
        </w:rPr>
        <w:t>部管理</w:t>
      </w:r>
      <w:r>
        <w:rPr>
          <w:rFonts w:cs="Times New Roman"/>
        </w:rPr>
        <w:t>制度</w:t>
      </w:r>
      <w:r>
        <w:rPr>
          <w:rFonts w:hint="eastAsia" w:cs="Times New Roman"/>
        </w:rPr>
        <w:t>及财务管理制度较为</w:t>
      </w:r>
      <w:r>
        <w:rPr>
          <w:rFonts w:cs="Times New Roman"/>
        </w:rPr>
        <w:t>健全，</w:t>
      </w:r>
      <w:r>
        <w:rPr>
          <w:rFonts w:hint="eastAsia" w:cs="Times New Roman"/>
        </w:rPr>
        <w:t>制定有</w:t>
      </w:r>
      <w:r>
        <w:rPr>
          <w:rFonts w:cs="Times New Roman"/>
        </w:rPr>
        <w:t>《</w:t>
      </w:r>
      <w:r>
        <w:rPr>
          <w:rFonts w:hint="eastAsia" w:cs="Times New Roman"/>
        </w:rPr>
        <w:t>窗口工作人员工作制度</w:t>
      </w:r>
      <w:r>
        <w:rPr>
          <w:rFonts w:cs="Times New Roman"/>
        </w:rPr>
        <w:t>》《</w:t>
      </w:r>
      <w:r>
        <w:rPr>
          <w:rFonts w:hint="eastAsia" w:cs="Times New Roman"/>
        </w:rPr>
        <w:t>安全管理制度</w:t>
      </w:r>
      <w:r>
        <w:rPr>
          <w:rFonts w:cs="Times New Roman"/>
        </w:rPr>
        <w:t>》</w:t>
      </w:r>
      <w:r>
        <w:rPr>
          <w:rFonts w:hint="eastAsia" w:cs="Times New Roman"/>
        </w:rPr>
        <w:t>《财务会计内部控制制度》《社会保险财务票据管理制度》《资金审批流程》《财务会计管理制度》等文件，但在厉行节约内部管理制度有待建立。2020年市医保局进行了厉行节约制止餐饮浪费行为工作总结，但厉行节约相应规定尚未制度化,故</w:t>
      </w:r>
      <w:r>
        <w:drawing>
          <wp:anchor distT="0" distB="0" distL="114300" distR="114300" simplePos="0" relativeHeight="251661312" behindDoc="0" locked="0" layoutInCell="1" allowOverlap="1">
            <wp:simplePos x="0" y="0"/>
            <wp:positionH relativeFrom="margin">
              <wp:posOffset>0</wp:posOffset>
            </wp:positionH>
            <wp:positionV relativeFrom="paragraph">
              <wp:posOffset>457835</wp:posOffset>
            </wp:positionV>
            <wp:extent cx="5215255" cy="1932305"/>
            <wp:effectExtent l="0" t="0" r="4445" b="0"/>
            <wp:wrapTopAndBottom/>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215255" cy="1932305"/>
                    </a:xfrm>
                    <a:prstGeom prst="rect">
                      <a:avLst/>
                    </a:prstGeom>
                    <a:noFill/>
                    <a:ln>
                      <a:noFill/>
                    </a:ln>
                  </pic:spPr>
                </pic:pic>
              </a:graphicData>
            </a:graphic>
          </wp:anchor>
        </w:drawing>
      </w:r>
      <w:r>
        <w:rPr>
          <w:rFonts w:hint="eastAsia" w:cs="Times New Roman"/>
        </w:rPr>
        <w:t>扣0</w:t>
      </w:r>
      <w:r>
        <w:rPr>
          <w:rFonts w:cs="Times New Roman"/>
        </w:rPr>
        <w:t>.50</w:t>
      </w:r>
      <w:r>
        <w:rPr>
          <w:rFonts w:hint="eastAsia" w:cs="Times New Roman"/>
        </w:rPr>
        <w:t>分。</w:t>
      </w:r>
    </w:p>
    <w:p>
      <w:pPr>
        <w:ind w:firstLine="0" w:firstLineChars="0"/>
        <w:jc w:val="center"/>
        <w:rPr>
          <w:rFonts w:eastAsia="幼圆"/>
          <w:b/>
          <w:sz w:val="28"/>
          <w:szCs w:val="32"/>
        </w:rPr>
      </w:pPr>
      <w:r>
        <w:rPr>
          <w:rFonts w:hint="eastAsia" w:eastAsia="幼圆"/>
          <w:b/>
          <w:sz w:val="28"/>
          <w:szCs w:val="32"/>
        </w:rPr>
        <w:t>附图 绵竹市医保局管理制度一览图</w:t>
      </w:r>
    </w:p>
    <w:p>
      <w:pPr>
        <w:ind w:firstLine="0" w:firstLineChars="0"/>
        <w:jc w:val="center"/>
        <w:rPr>
          <w:rFonts w:cs="Times New Roman"/>
        </w:rPr>
      </w:pPr>
    </w:p>
    <w:p>
      <w:pPr>
        <w:keepNext/>
        <w:keepLines/>
        <w:ind w:firstLine="640"/>
        <w:outlineLvl w:val="2"/>
        <w:rPr>
          <w:rFonts w:cs="Times New Roman"/>
          <w:szCs w:val="32"/>
        </w:rPr>
      </w:pPr>
      <w:bookmarkStart w:id="40" w:name="_Toc73927488"/>
      <w:bookmarkStart w:id="41" w:name="_Toc77503479"/>
      <w:r>
        <w:rPr>
          <w:rFonts w:cs="Times New Roman"/>
          <w:szCs w:val="32"/>
        </w:rPr>
        <w:t>2.资金使用合规性</w:t>
      </w:r>
      <w:bookmarkEnd w:id="40"/>
      <w:bookmarkEnd w:id="41"/>
    </w:p>
    <w:p>
      <w:pPr>
        <w:pStyle w:val="7"/>
        <w:ind w:firstLine="640"/>
        <w:jc w:val="both"/>
        <w:rPr>
          <w:rFonts w:cs="Times New Roman"/>
          <w:szCs w:val="32"/>
        </w:rPr>
      </w:pPr>
      <w:r>
        <w:rPr>
          <w:rFonts w:cs="Times New Roman"/>
          <w:szCs w:val="32"/>
        </w:rPr>
        <w:t>资金使用合规性权重1.00分，实际得分0.50分</w:t>
      </w:r>
      <w:r>
        <w:rPr>
          <w:rFonts w:hint="eastAsia" w:cs="Times New Roman"/>
          <w:szCs w:val="32"/>
        </w:rPr>
        <w:t>，得分率5</w:t>
      </w:r>
      <w:r>
        <w:rPr>
          <w:rFonts w:cs="Times New Roman"/>
          <w:szCs w:val="32"/>
        </w:rPr>
        <w:t>0.00</w:t>
      </w:r>
      <w:r>
        <w:rPr>
          <w:rFonts w:hint="eastAsia" w:cs="Times New Roman"/>
          <w:szCs w:val="32"/>
        </w:rPr>
        <w:t>%。</w:t>
      </w:r>
      <w:r>
        <w:rPr>
          <w:rFonts w:hint="eastAsia"/>
        </w:rPr>
        <w:t>部分资金使用超出项目预算支出范围，</w:t>
      </w:r>
      <w:r>
        <w:rPr>
          <w:rFonts w:hint="eastAsia" w:cs="Times New Roman"/>
          <w:szCs w:val="32"/>
        </w:rPr>
        <w:t>存在资金在项目之间调整以及未专款专用的情况。城乡医疗一体化专项经费沿用人社局往年预算额度，未根据现市医保局的实际工作内容进行明确规定，导致资金支出出现多项与城乡一体化相关性不强的资金支出，例如医保大厅维修改造、电信服务费、办公用品耗材等，故扣</w:t>
      </w:r>
      <w:r>
        <w:rPr>
          <w:rFonts w:cs="Times New Roman"/>
          <w:szCs w:val="32"/>
        </w:rPr>
        <w:t>0.50</w:t>
      </w:r>
      <w:r>
        <w:rPr>
          <w:rFonts w:hint="eastAsia" w:cs="Times New Roman"/>
          <w:szCs w:val="32"/>
        </w:rPr>
        <w:t>分。</w:t>
      </w:r>
      <w:r>
        <w:rPr>
          <w:rFonts w:cs="Times New Roman"/>
          <w:szCs w:val="32"/>
        </w:rPr>
        <w:t xml:space="preserve"> </w:t>
      </w:r>
    </w:p>
    <w:p>
      <w:pPr>
        <w:keepNext/>
        <w:keepLines/>
        <w:ind w:firstLine="640"/>
        <w:outlineLvl w:val="2"/>
        <w:rPr>
          <w:rFonts w:cs="Times New Roman"/>
          <w:szCs w:val="32"/>
        </w:rPr>
      </w:pPr>
      <w:bookmarkStart w:id="42" w:name="_Toc77503480"/>
      <w:bookmarkStart w:id="43" w:name="_Toc73927489"/>
      <w:r>
        <w:rPr>
          <w:rFonts w:cs="Times New Roman"/>
          <w:szCs w:val="32"/>
        </w:rPr>
        <w:t>3.财务监控有效性</w:t>
      </w:r>
      <w:bookmarkEnd w:id="42"/>
      <w:bookmarkEnd w:id="43"/>
    </w:p>
    <w:p>
      <w:pPr>
        <w:ind w:firstLine="640"/>
        <w:rPr>
          <w:rFonts w:cs="Times New Roman"/>
        </w:rPr>
      </w:pPr>
      <w:r>
        <w:rPr>
          <w:rFonts w:cs="Times New Roman"/>
        </w:rPr>
        <w:t>财务监控有效性权重2.00分，实际得分1.00分，得分率50.00%。财务及项目管理相关制度</w:t>
      </w:r>
      <w:r>
        <w:rPr>
          <w:rFonts w:hint="eastAsia" w:cs="Times New Roman"/>
        </w:rPr>
        <w:t>较</w:t>
      </w:r>
      <w:r>
        <w:rPr>
          <w:rFonts w:cs="Times New Roman"/>
        </w:rPr>
        <w:t>健全，</w:t>
      </w:r>
      <w:r>
        <w:rPr>
          <w:rFonts w:hint="eastAsia" w:cs="Times New Roman"/>
        </w:rPr>
        <w:t>有统一的项目资金管理办法例如《项目资金管理暂行办法》《资金审批流程》等，但存在较多项目之间资金互相调整且未经领导或财政审批的情况，监督监控措施未有效执行，故扣1</w:t>
      </w:r>
      <w:r>
        <w:rPr>
          <w:rFonts w:cs="Times New Roman"/>
        </w:rPr>
        <w:t>.00</w:t>
      </w:r>
      <w:r>
        <w:rPr>
          <w:rFonts w:hint="eastAsia" w:cs="Times New Roman"/>
        </w:rPr>
        <w:t>分。</w:t>
      </w:r>
    </w:p>
    <w:p>
      <w:pPr>
        <w:keepNext/>
        <w:keepLines/>
        <w:ind w:firstLine="643"/>
        <w:outlineLvl w:val="1"/>
        <w:rPr>
          <w:rFonts w:eastAsia="楷体_GB2312" w:cs="Times New Roman"/>
          <w:b/>
          <w:bCs/>
          <w:szCs w:val="32"/>
        </w:rPr>
      </w:pPr>
      <w:bookmarkStart w:id="44" w:name="_Toc77503481"/>
      <w:bookmarkStart w:id="45" w:name="_Toc73927490"/>
      <w:r>
        <w:rPr>
          <w:rFonts w:eastAsia="楷体_GB2312" w:cs="Times New Roman"/>
          <w:b/>
          <w:bCs/>
          <w:szCs w:val="32"/>
        </w:rPr>
        <w:t>（二）“三公”经费控制</w:t>
      </w:r>
      <w:bookmarkEnd w:id="44"/>
      <w:bookmarkEnd w:id="45"/>
    </w:p>
    <w:p>
      <w:pPr>
        <w:ind w:firstLine="640"/>
        <w:rPr>
          <w:rFonts w:cs="Times New Roman"/>
        </w:rPr>
      </w:pPr>
      <w:r>
        <w:rPr>
          <w:rFonts w:cs="Times New Roman"/>
        </w:rPr>
        <w:t>行政成本下设“三公”经费控制单个指标项，权重1.00分，实际得分1.00分，得分率100.00%。</w:t>
      </w:r>
      <w:r>
        <w:rPr>
          <w:rFonts w:hint="eastAsia" w:cs="Times New Roman"/>
        </w:rPr>
        <w:t>2019年因机构改革无公务接待费预算。2020</w:t>
      </w:r>
      <w:r>
        <w:rPr>
          <w:rFonts w:cs="Times New Roman"/>
        </w:rPr>
        <w:t>年“三公”经费年初预算</w:t>
      </w:r>
      <w:r>
        <w:rPr>
          <w:rFonts w:hint="eastAsia" w:cs="Times New Roman"/>
        </w:rPr>
        <w:t>1.60</w:t>
      </w:r>
      <w:r>
        <w:rPr>
          <w:rFonts w:cs="Times New Roman"/>
        </w:rPr>
        <w:t>万</w:t>
      </w:r>
      <w:r>
        <w:rPr>
          <w:rFonts w:hint="eastAsia" w:cs="Times New Roman"/>
        </w:rPr>
        <w:t>元</w:t>
      </w:r>
      <w:r>
        <w:rPr>
          <w:rFonts w:cs="Times New Roman"/>
        </w:rPr>
        <w:t>，年决算数</w:t>
      </w:r>
      <w:r>
        <w:rPr>
          <w:rFonts w:hint="eastAsia" w:cs="Times New Roman"/>
        </w:rPr>
        <w:t>0.6703</w:t>
      </w:r>
      <w:r>
        <w:rPr>
          <w:rFonts w:cs="Times New Roman"/>
        </w:rPr>
        <w:t>万元，执行率</w:t>
      </w:r>
      <w:r>
        <w:rPr>
          <w:rFonts w:hint="eastAsia" w:cs="Times New Roman"/>
        </w:rPr>
        <w:t>41</w:t>
      </w:r>
      <w:r>
        <w:rPr>
          <w:rFonts w:cs="Times New Roman"/>
        </w:rPr>
        <w:t>.</w:t>
      </w:r>
      <w:r>
        <w:rPr>
          <w:rFonts w:hint="eastAsia" w:cs="Times New Roman"/>
        </w:rPr>
        <w:t>89</w:t>
      </w:r>
      <w:r>
        <w:rPr>
          <w:rFonts w:cs="Times New Roman"/>
        </w:rPr>
        <w:t>%</w:t>
      </w:r>
      <w:r>
        <w:rPr>
          <w:rFonts w:hint="eastAsia" w:cs="Times New Roman"/>
        </w:rPr>
        <w:t>，决算数未超预算数，</w:t>
      </w:r>
      <w:r>
        <w:rPr>
          <w:rFonts w:cs="Times New Roman"/>
        </w:rPr>
        <w:t>“三公”经费控制较好</w:t>
      </w:r>
      <w:r>
        <w:rPr>
          <w:rFonts w:hint="eastAsia" w:cs="Times New Roman"/>
        </w:rPr>
        <w:t>，故未扣分。</w:t>
      </w:r>
    </w:p>
    <w:p>
      <w:pPr>
        <w:keepNext/>
        <w:keepLines/>
        <w:ind w:firstLine="643"/>
        <w:outlineLvl w:val="1"/>
        <w:rPr>
          <w:rFonts w:eastAsia="楷体_GB2312" w:cs="Times New Roman"/>
          <w:b/>
          <w:bCs/>
          <w:szCs w:val="32"/>
        </w:rPr>
      </w:pPr>
      <w:bookmarkStart w:id="46" w:name="_Toc77503482"/>
      <w:bookmarkStart w:id="47" w:name="_Toc73927491"/>
      <w:r>
        <w:rPr>
          <w:rFonts w:eastAsia="楷体_GB2312" w:cs="Times New Roman"/>
          <w:b/>
          <w:bCs/>
          <w:szCs w:val="32"/>
        </w:rPr>
        <w:t>（三）政府采购</w:t>
      </w:r>
      <w:bookmarkEnd w:id="46"/>
      <w:bookmarkEnd w:id="47"/>
    </w:p>
    <w:p>
      <w:pPr>
        <w:pStyle w:val="7"/>
        <w:ind w:firstLine="640"/>
        <w:jc w:val="both"/>
        <w:rPr>
          <w:rFonts w:cs="Times New Roman"/>
        </w:rPr>
      </w:pPr>
      <w:r>
        <w:rPr>
          <w:rFonts w:cs="Times New Roman"/>
        </w:rPr>
        <w:t>政府采购下设采购规范性单个指标，权重1.00分，实际得分0.00分</w:t>
      </w:r>
      <w:r>
        <w:rPr>
          <w:rFonts w:hint="eastAsia" w:cs="Times New Roman"/>
        </w:rPr>
        <w:t>。政府购买服务规范性有待进一步加强。一方面部分项目管理尚未严格执行验收流程，项目质量难以监控。德阳市火星广告传媒有限公司受市医保局委托做</w:t>
      </w:r>
      <w:r>
        <w:rPr>
          <w:rFonts w:hint="eastAsia" w:ascii="仿宋" w:hAnsi="仿宋" w:eastAsia="仿宋" w:cs="Times New Roman"/>
        </w:rPr>
        <w:t>党建墙制作项目，</w:t>
      </w:r>
      <w:r>
        <w:rPr>
          <w:rFonts w:hint="eastAsia" w:cs="Times New Roman"/>
        </w:rPr>
        <w:t>因缺少最后的验收环节，难以衡量和监控服务质量。另一方面个别项目存在项目实施时间早于项目采购时间。在大厅窗口标准化信息化建设采购项目中，存在项目实施时间早于项目采购时间。通过公开招标的方式，市医保局与高蓝电子科技有限公司签订合同，并于2</w:t>
      </w:r>
      <w:r>
        <w:rPr>
          <w:rFonts w:cs="Times New Roman"/>
        </w:rPr>
        <w:t>019</w:t>
      </w:r>
      <w:r>
        <w:rPr>
          <w:rFonts w:hint="eastAsia" w:cs="Times New Roman"/>
        </w:rPr>
        <w:t>年4月1</w:t>
      </w:r>
      <w:r>
        <w:rPr>
          <w:rFonts w:cs="Times New Roman"/>
        </w:rPr>
        <w:t>6</w:t>
      </w:r>
      <w:r>
        <w:rPr>
          <w:rFonts w:hint="eastAsia" w:cs="Times New Roman"/>
        </w:rPr>
        <w:t>日交货，但2</w:t>
      </w:r>
      <w:r>
        <w:rPr>
          <w:rFonts w:cs="Times New Roman"/>
        </w:rPr>
        <w:t>019</w:t>
      </w:r>
      <w:r>
        <w:rPr>
          <w:rFonts w:hint="eastAsia" w:cs="Times New Roman"/>
        </w:rPr>
        <w:t>年1</w:t>
      </w:r>
      <w:r>
        <w:rPr>
          <w:rFonts w:cs="Times New Roman"/>
        </w:rPr>
        <w:t>1</w:t>
      </w:r>
      <w:r>
        <w:rPr>
          <w:rFonts w:hint="eastAsia" w:cs="Times New Roman"/>
        </w:rPr>
        <w:t>月5日市医保局才进行预算审批，出现先执行后申请预算的情况。以上发现两处政府采购不合理，故扣1</w:t>
      </w:r>
      <w:r>
        <w:rPr>
          <w:rFonts w:cs="Times New Roman"/>
        </w:rPr>
        <w:t>.00</w:t>
      </w:r>
      <w:r>
        <w:rPr>
          <w:rFonts w:hint="eastAsia" w:cs="Times New Roman"/>
        </w:rPr>
        <w:t>分。</w:t>
      </w:r>
    </w:p>
    <w:p>
      <w:pPr>
        <w:keepNext/>
        <w:keepLines/>
        <w:ind w:firstLine="643"/>
        <w:outlineLvl w:val="1"/>
        <w:rPr>
          <w:rFonts w:eastAsia="楷体_GB2312" w:cs="Times New Roman"/>
          <w:b/>
          <w:bCs/>
          <w:szCs w:val="32"/>
        </w:rPr>
      </w:pPr>
      <w:bookmarkStart w:id="48" w:name="_Toc77503483"/>
      <w:bookmarkStart w:id="49" w:name="_Toc73927492"/>
      <w:r>
        <w:rPr>
          <w:rFonts w:eastAsia="楷体_GB2312" w:cs="Times New Roman"/>
          <w:b/>
          <w:bCs/>
          <w:szCs w:val="32"/>
        </w:rPr>
        <w:t>（四）资产管理</w:t>
      </w:r>
      <w:bookmarkEnd w:id="48"/>
      <w:bookmarkEnd w:id="49"/>
    </w:p>
    <w:p>
      <w:pPr>
        <w:ind w:firstLine="640"/>
        <w:rPr>
          <w:rFonts w:cs="Times New Roman"/>
        </w:rPr>
      </w:pPr>
      <w:r>
        <w:rPr>
          <w:rFonts w:cs="Times New Roman"/>
        </w:rPr>
        <w:t>资产管理设置资产在用率单个指标，权重2.00分，实际得分</w:t>
      </w:r>
      <w:r>
        <w:rPr>
          <w:rFonts w:hint="eastAsia" w:cs="Times New Roman"/>
        </w:rPr>
        <w:t>2</w:t>
      </w:r>
      <w:r>
        <w:rPr>
          <w:rFonts w:cs="Times New Roman"/>
        </w:rPr>
        <w:t>.00分，得分率</w:t>
      </w:r>
      <w:r>
        <w:rPr>
          <w:rFonts w:hint="eastAsia" w:cs="Times New Roman"/>
        </w:rPr>
        <w:t>100</w:t>
      </w:r>
      <w:r>
        <w:rPr>
          <w:rFonts w:cs="Times New Roman"/>
        </w:rPr>
        <w:t>.00%</w:t>
      </w:r>
      <w:r>
        <w:rPr>
          <w:rFonts w:hint="eastAsia" w:cs="Times New Roman"/>
        </w:rPr>
        <w:t>。</w:t>
      </w:r>
      <w:r>
        <w:rPr>
          <w:rFonts w:cs="Times New Roman"/>
        </w:rPr>
        <w:t>20</w:t>
      </w:r>
      <w:r>
        <w:rPr>
          <w:rFonts w:hint="eastAsia" w:cs="Times New Roman"/>
        </w:rPr>
        <w:t>20</w:t>
      </w:r>
      <w:r>
        <w:rPr>
          <w:rFonts w:cs="Times New Roman"/>
        </w:rPr>
        <w:t>年期初固定资产账面</w:t>
      </w:r>
      <w:r>
        <w:rPr>
          <w:rFonts w:hint="eastAsia" w:cs="Times New Roman"/>
        </w:rPr>
        <w:t>原值19.93</w:t>
      </w:r>
      <w:r>
        <w:rPr>
          <w:rFonts w:cs="Times New Roman"/>
        </w:rPr>
        <w:t>万元，期末固定资产余额</w:t>
      </w:r>
      <w:r>
        <w:rPr>
          <w:rFonts w:hint="eastAsia" w:cs="Times New Roman"/>
        </w:rPr>
        <w:t>45.68</w:t>
      </w:r>
      <w:r>
        <w:rPr>
          <w:rFonts w:cs="Times New Roman"/>
        </w:rPr>
        <w:t>万，在用原值</w:t>
      </w:r>
      <w:r>
        <w:rPr>
          <w:rFonts w:hint="eastAsia" w:cs="Times New Roman"/>
        </w:rPr>
        <w:t>45.68</w:t>
      </w:r>
      <w:r>
        <w:rPr>
          <w:rFonts w:cs="Times New Roman"/>
        </w:rPr>
        <w:t>万元，在用率</w:t>
      </w:r>
      <w:r>
        <w:rPr>
          <w:rFonts w:hint="eastAsia" w:cs="Times New Roman"/>
        </w:rPr>
        <w:t>100</w:t>
      </w:r>
      <w:r>
        <w:rPr>
          <w:rFonts w:cs="Times New Roman"/>
        </w:rPr>
        <w:t>.00%。其中，</w:t>
      </w:r>
      <w:r>
        <w:rPr>
          <w:rFonts w:hint="eastAsia" w:cs="Times New Roman"/>
        </w:rPr>
        <w:t>2020</w:t>
      </w:r>
      <w:r>
        <w:rPr>
          <w:rFonts w:cs="Times New Roman"/>
        </w:rPr>
        <w:t>年新增资产原值</w:t>
      </w:r>
      <w:r>
        <w:rPr>
          <w:rFonts w:hint="eastAsia" w:cs="Times New Roman"/>
        </w:rPr>
        <w:t>25.75</w:t>
      </w:r>
      <w:r>
        <w:rPr>
          <w:rFonts w:cs="Times New Roman"/>
        </w:rPr>
        <w:t>万元</w:t>
      </w:r>
      <w:r>
        <w:rPr>
          <w:rFonts w:hint="eastAsia" w:cs="Times New Roman"/>
        </w:rPr>
        <w:t>，故未扣分</w:t>
      </w:r>
      <w:r>
        <w:rPr>
          <w:rFonts w:cs="Times New Roman"/>
        </w:rPr>
        <w:t>。</w:t>
      </w:r>
    </w:p>
    <w:p>
      <w:pPr>
        <w:ind w:firstLine="0" w:firstLineChars="0"/>
        <w:jc w:val="center"/>
        <w:rPr>
          <w:rFonts w:eastAsia="幼圆" w:cs="Times New Roman"/>
          <w:b/>
          <w:bCs/>
          <w:sz w:val="28"/>
          <w:szCs w:val="22"/>
        </w:rPr>
      </w:pPr>
      <w:r>
        <w:rPr>
          <w:rFonts w:eastAsia="幼圆" w:cs="Times New Roman"/>
          <w:b/>
          <w:bCs/>
          <w:sz w:val="28"/>
          <w:szCs w:val="22"/>
        </w:rPr>
        <w:t>附表</w:t>
      </w:r>
      <w:r>
        <w:rPr>
          <w:rFonts w:hint="eastAsia" w:eastAsia="幼圆" w:cs="Times New Roman"/>
          <w:b/>
          <w:bCs/>
          <w:sz w:val="28"/>
          <w:szCs w:val="22"/>
        </w:rPr>
        <w:t xml:space="preserve"> </w:t>
      </w:r>
      <w:r>
        <w:rPr>
          <w:rFonts w:eastAsia="幼圆" w:cs="Times New Roman"/>
          <w:b/>
          <w:bCs/>
          <w:sz w:val="28"/>
          <w:szCs w:val="22"/>
        </w:rPr>
        <w:t>2020年绵竹市医保局固定资产</w:t>
      </w:r>
      <w:r>
        <w:rPr>
          <w:rFonts w:hint="eastAsia" w:eastAsia="幼圆" w:cs="Times New Roman"/>
          <w:b/>
          <w:bCs/>
          <w:sz w:val="28"/>
          <w:szCs w:val="22"/>
        </w:rPr>
        <w:t>原值</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1312"/>
        <w:gridCol w:w="1300"/>
        <w:gridCol w:w="890"/>
        <w:gridCol w:w="1214"/>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1193" w:type="pct"/>
            <w:vMerge w:val="restart"/>
            <w:shd w:val="clear" w:color="auto" w:fill="00516B"/>
            <w:vAlign w:val="center"/>
          </w:tcPr>
          <w:p>
            <w:pPr>
              <w:widowControl/>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类别</w:t>
            </w:r>
          </w:p>
        </w:tc>
        <w:tc>
          <w:tcPr>
            <w:tcW w:w="1533" w:type="pct"/>
            <w:gridSpan w:val="2"/>
            <w:shd w:val="clear" w:color="auto" w:fill="00516B"/>
          </w:tcPr>
          <w:p>
            <w:pPr>
              <w:widowControl/>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期初账面数（万元）</w:t>
            </w:r>
          </w:p>
        </w:tc>
        <w:tc>
          <w:tcPr>
            <w:tcW w:w="522" w:type="pct"/>
            <w:vMerge w:val="restart"/>
            <w:shd w:val="clear" w:color="auto" w:fill="00516B"/>
            <w:vAlign w:val="center"/>
          </w:tcPr>
          <w:p>
            <w:pPr>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数量</w:t>
            </w:r>
          </w:p>
        </w:tc>
        <w:tc>
          <w:tcPr>
            <w:tcW w:w="1752" w:type="pct"/>
            <w:gridSpan w:val="2"/>
            <w:shd w:val="clear" w:color="auto" w:fill="00516B"/>
          </w:tcPr>
          <w:p>
            <w:pPr>
              <w:widowControl/>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期末账面数（万元）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193" w:type="pct"/>
            <w:vMerge w:val="continue"/>
            <w:shd w:val="clear" w:color="auto" w:fill="00516B"/>
            <w:vAlign w:val="center"/>
          </w:tcPr>
          <w:p>
            <w:pPr>
              <w:widowControl/>
              <w:ind w:firstLine="402"/>
              <w:jc w:val="center"/>
              <w:rPr>
                <w:rFonts w:eastAsia="宋体" w:cs="Times New Roman"/>
                <w:b/>
                <w:bCs/>
                <w:color w:val="FFFFFF"/>
                <w:kern w:val="0"/>
                <w:sz w:val="20"/>
                <w:szCs w:val="13"/>
              </w:rPr>
            </w:pPr>
          </w:p>
        </w:tc>
        <w:tc>
          <w:tcPr>
            <w:tcW w:w="770" w:type="pct"/>
            <w:shd w:val="clear" w:color="auto" w:fill="00516B"/>
          </w:tcPr>
          <w:p>
            <w:pPr>
              <w:widowControl/>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数量</w:t>
            </w:r>
          </w:p>
        </w:tc>
        <w:tc>
          <w:tcPr>
            <w:tcW w:w="763" w:type="pct"/>
            <w:shd w:val="clear" w:color="auto" w:fill="00516B"/>
            <w:vAlign w:val="center"/>
          </w:tcPr>
          <w:p>
            <w:pPr>
              <w:widowControl/>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原值</w:t>
            </w:r>
          </w:p>
        </w:tc>
        <w:tc>
          <w:tcPr>
            <w:tcW w:w="522" w:type="pct"/>
            <w:vMerge w:val="continue"/>
            <w:shd w:val="clear" w:color="auto" w:fill="00516B"/>
          </w:tcPr>
          <w:p>
            <w:pPr>
              <w:widowControl/>
              <w:ind w:firstLine="402"/>
              <w:jc w:val="center"/>
              <w:rPr>
                <w:rFonts w:eastAsia="宋体" w:cs="Times New Roman"/>
                <w:b/>
                <w:bCs/>
                <w:color w:val="FFFFFF"/>
                <w:kern w:val="0"/>
                <w:sz w:val="20"/>
                <w:szCs w:val="13"/>
              </w:rPr>
            </w:pPr>
          </w:p>
        </w:tc>
        <w:tc>
          <w:tcPr>
            <w:tcW w:w="712" w:type="pct"/>
            <w:shd w:val="clear" w:color="auto" w:fill="00516B"/>
          </w:tcPr>
          <w:p>
            <w:pPr>
              <w:widowControl/>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原值</w:t>
            </w:r>
          </w:p>
        </w:tc>
        <w:tc>
          <w:tcPr>
            <w:tcW w:w="1040" w:type="pct"/>
            <w:shd w:val="clear" w:color="auto" w:fill="00516B"/>
            <w:vAlign w:val="center"/>
          </w:tcPr>
          <w:p>
            <w:pPr>
              <w:widowControl/>
              <w:ind w:firstLine="0" w:firstLineChars="0"/>
              <w:jc w:val="center"/>
              <w:rPr>
                <w:rFonts w:eastAsia="宋体" w:cs="Times New Roman"/>
                <w:b/>
                <w:bCs/>
                <w:color w:val="FFFFFF"/>
                <w:kern w:val="0"/>
                <w:sz w:val="20"/>
                <w:szCs w:val="13"/>
              </w:rPr>
            </w:pPr>
            <w:r>
              <w:rPr>
                <w:rFonts w:eastAsia="宋体" w:cs="Times New Roman"/>
                <w:b/>
                <w:bCs/>
                <w:color w:val="FFFFFF"/>
                <w:kern w:val="0"/>
                <w:sz w:val="20"/>
                <w:szCs w:val="13"/>
              </w:rPr>
              <w:t>在用原值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93" w:type="pct"/>
            <w:shd w:val="clear" w:color="auto" w:fill="auto"/>
            <w:vAlign w:val="center"/>
          </w:tcPr>
          <w:p>
            <w:pPr>
              <w:widowControl/>
              <w:ind w:firstLine="0" w:firstLineChars="0"/>
              <w:jc w:val="center"/>
              <w:rPr>
                <w:rFonts w:eastAsia="宋体" w:cs="Times New Roman"/>
                <w:color w:val="000000"/>
                <w:kern w:val="0"/>
                <w:sz w:val="20"/>
                <w:szCs w:val="13"/>
              </w:rPr>
            </w:pPr>
            <w:r>
              <w:rPr>
                <w:rFonts w:eastAsia="宋体" w:cs="Times New Roman"/>
                <w:color w:val="000000"/>
                <w:kern w:val="0"/>
                <w:sz w:val="20"/>
                <w:szCs w:val="13"/>
              </w:rPr>
              <w:t>固定资产</w:t>
            </w:r>
          </w:p>
        </w:tc>
        <w:tc>
          <w:tcPr>
            <w:tcW w:w="770" w:type="pct"/>
            <w:vAlign w:val="center"/>
          </w:tcPr>
          <w:p>
            <w:pPr>
              <w:widowControl/>
              <w:ind w:firstLine="0" w:firstLineChars="0"/>
              <w:jc w:val="center"/>
              <w:rPr>
                <w:rFonts w:eastAsia="宋体" w:cs="Times New Roman"/>
                <w:color w:val="000000"/>
                <w:kern w:val="0"/>
                <w:sz w:val="20"/>
                <w:szCs w:val="13"/>
              </w:rPr>
            </w:pPr>
            <w:r>
              <w:rPr>
                <w:rFonts w:eastAsia="宋体" w:cs="Times New Roman"/>
                <w:color w:val="000000"/>
                <w:kern w:val="0"/>
                <w:sz w:val="20"/>
                <w:szCs w:val="13"/>
              </w:rPr>
              <w:t>--</w:t>
            </w:r>
          </w:p>
        </w:tc>
        <w:tc>
          <w:tcPr>
            <w:tcW w:w="763" w:type="pct"/>
            <w:shd w:val="clear" w:color="auto" w:fill="auto"/>
            <w:vAlign w:val="center"/>
          </w:tcPr>
          <w:p>
            <w:pPr>
              <w:widowControl/>
              <w:ind w:firstLine="0" w:firstLineChars="0"/>
              <w:jc w:val="center"/>
              <w:rPr>
                <w:rFonts w:eastAsia="宋体" w:cs="Times New Roman"/>
                <w:color w:val="000000"/>
                <w:kern w:val="0"/>
                <w:sz w:val="20"/>
                <w:szCs w:val="13"/>
              </w:rPr>
            </w:pPr>
            <w:r>
              <w:rPr>
                <w:rFonts w:eastAsia="宋体" w:cs="Times New Roman"/>
                <w:color w:val="000000"/>
                <w:kern w:val="0"/>
                <w:sz w:val="20"/>
                <w:szCs w:val="13"/>
              </w:rPr>
              <w:t>19.93</w:t>
            </w:r>
          </w:p>
        </w:tc>
        <w:tc>
          <w:tcPr>
            <w:tcW w:w="522" w:type="pct"/>
            <w:vAlign w:val="center"/>
          </w:tcPr>
          <w:p>
            <w:pPr>
              <w:widowControl/>
              <w:ind w:firstLine="0" w:firstLineChars="0"/>
              <w:jc w:val="center"/>
              <w:rPr>
                <w:rFonts w:eastAsia="宋体" w:cs="Times New Roman"/>
                <w:color w:val="000000"/>
                <w:kern w:val="0"/>
                <w:sz w:val="20"/>
                <w:szCs w:val="13"/>
              </w:rPr>
            </w:pPr>
            <w:r>
              <w:rPr>
                <w:rFonts w:eastAsia="宋体" w:cs="Times New Roman"/>
                <w:color w:val="000000"/>
                <w:kern w:val="0"/>
                <w:sz w:val="20"/>
                <w:szCs w:val="13"/>
              </w:rPr>
              <w:t>--</w:t>
            </w:r>
          </w:p>
        </w:tc>
        <w:tc>
          <w:tcPr>
            <w:tcW w:w="712" w:type="pct"/>
            <w:vAlign w:val="center"/>
          </w:tcPr>
          <w:p>
            <w:pPr>
              <w:widowControl/>
              <w:ind w:firstLine="0" w:firstLineChars="0"/>
              <w:jc w:val="center"/>
              <w:rPr>
                <w:rFonts w:eastAsia="宋体" w:cs="Times New Roman"/>
                <w:color w:val="000000"/>
                <w:kern w:val="0"/>
                <w:sz w:val="20"/>
                <w:szCs w:val="13"/>
              </w:rPr>
            </w:pPr>
            <w:r>
              <w:rPr>
                <w:rFonts w:eastAsia="宋体" w:cs="Times New Roman"/>
                <w:color w:val="000000"/>
                <w:kern w:val="0"/>
                <w:sz w:val="20"/>
                <w:szCs w:val="13"/>
              </w:rPr>
              <w:t>45.68</w:t>
            </w:r>
          </w:p>
        </w:tc>
        <w:tc>
          <w:tcPr>
            <w:tcW w:w="1040" w:type="pct"/>
            <w:shd w:val="clear" w:color="auto" w:fill="auto"/>
            <w:vAlign w:val="center"/>
          </w:tcPr>
          <w:p>
            <w:pPr>
              <w:widowControl/>
              <w:ind w:firstLine="0" w:firstLineChars="0"/>
              <w:jc w:val="center"/>
              <w:rPr>
                <w:rFonts w:eastAsia="宋体" w:cs="Times New Roman"/>
                <w:color w:val="000000"/>
                <w:kern w:val="0"/>
                <w:sz w:val="20"/>
                <w:szCs w:val="13"/>
              </w:rPr>
            </w:pPr>
            <w:r>
              <w:rPr>
                <w:rFonts w:eastAsia="宋体" w:cs="Times New Roman"/>
                <w:color w:val="000000"/>
                <w:kern w:val="0"/>
                <w:sz w:val="20"/>
                <w:szCs w:val="13"/>
              </w:rPr>
              <w:t>45.68</w:t>
            </w:r>
          </w:p>
        </w:tc>
      </w:tr>
    </w:tbl>
    <w:p>
      <w:pPr>
        <w:ind w:firstLine="640"/>
      </w:pPr>
      <w:bookmarkStart w:id="50" w:name="_Toc73927493"/>
    </w:p>
    <w:p>
      <w:pPr>
        <w:keepNext/>
        <w:keepLines/>
        <w:ind w:firstLine="643"/>
        <w:outlineLvl w:val="1"/>
        <w:rPr>
          <w:rFonts w:eastAsia="楷体_GB2312" w:cs="Times New Roman"/>
          <w:b/>
          <w:bCs/>
          <w:szCs w:val="32"/>
        </w:rPr>
      </w:pPr>
      <w:bookmarkStart w:id="51" w:name="_Toc77503484"/>
      <w:r>
        <w:rPr>
          <w:rFonts w:eastAsia="楷体_GB2312" w:cs="Times New Roman"/>
          <w:b/>
          <w:bCs/>
          <w:szCs w:val="32"/>
        </w:rPr>
        <w:t>（五）信息公开</w:t>
      </w:r>
      <w:bookmarkEnd w:id="50"/>
      <w:bookmarkEnd w:id="51"/>
    </w:p>
    <w:p>
      <w:pPr>
        <w:ind w:firstLine="640"/>
        <w:rPr>
          <w:rFonts w:cs="Times New Roman"/>
        </w:rPr>
      </w:pPr>
      <w:r>
        <w:rPr>
          <w:rFonts w:cs="Times New Roman"/>
        </w:rPr>
        <w:t>信息公开设置</w:t>
      </w:r>
      <w:r>
        <w:rPr>
          <w:rFonts w:hint="eastAsia" w:cs="Times New Roman"/>
        </w:rPr>
        <w:t>信息公开</w:t>
      </w:r>
      <w:r>
        <w:rPr>
          <w:rFonts w:cs="Times New Roman"/>
        </w:rPr>
        <w:t>单个指标，权重2</w:t>
      </w:r>
      <w:r>
        <w:rPr>
          <w:rFonts w:hint="eastAsia" w:cs="Times New Roman"/>
        </w:rPr>
        <w:t>.</w:t>
      </w:r>
      <w:r>
        <w:rPr>
          <w:rFonts w:cs="Times New Roman"/>
        </w:rPr>
        <w:t>00分，实际得分2</w:t>
      </w:r>
      <w:r>
        <w:rPr>
          <w:rFonts w:hint="eastAsia" w:cs="Times New Roman"/>
        </w:rPr>
        <w:t>.</w:t>
      </w:r>
      <w:r>
        <w:rPr>
          <w:rFonts w:cs="Times New Roman"/>
        </w:rPr>
        <w:t>00分，得分率100.00%。</w:t>
      </w:r>
      <w:r>
        <w:rPr>
          <w:rFonts w:hint="eastAsia" w:cs="Times New Roman"/>
        </w:rPr>
        <w:t>市医保局于2020年5月15日</w:t>
      </w:r>
      <w:r>
        <w:rPr>
          <w:rFonts w:cs="Times New Roman"/>
        </w:rPr>
        <w:t>在</w:t>
      </w:r>
      <w:r>
        <w:rPr>
          <w:rFonts w:hint="eastAsia" w:cs="Times New Roman"/>
        </w:rPr>
        <w:t>德阳市政府</w:t>
      </w:r>
      <w:r>
        <w:rPr>
          <w:rFonts w:cs="Times New Roman"/>
        </w:rPr>
        <w:t>信息公开网站公开</w:t>
      </w:r>
      <w:r>
        <w:rPr>
          <w:rFonts w:hint="eastAsia" w:cs="Times New Roman"/>
        </w:rPr>
        <w:t>2020</w:t>
      </w:r>
      <w:r>
        <w:rPr>
          <w:rFonts w:cs="Times New Roman"/>
        </w:rPr>
        <w:t>年度本部门预算</w:t>
      </w:r>
      <w:r>
        <w:rPr>
          <w:rFonts w:hint="eastAsia" w:cs="Times New Roman"/>
        </w:rPr>
        <w:t>，于2020年11月19日</w:t>
      </w:r>
      <w:r>
        <w:rPr>
          <w:rFonts w:cs="Times New Roman"/>
        </w:rPr>
        <w:t>在</w:t>
      </w:r>
      <w:r>
        <w:rPr>
          <w:rFonts w:hint="eastAsia" w:cs="Times New Roman"/>
        </w:rPr>
        <w:t>德阳市政府</w:t>
      </w:r>
      <w:r>
        <w:rPr>
          <w:rFonts w:cs="Times New Roman"/>
        </w:rPr>
        <w:t>信息公开网站公开</w:t>
      </w:r>
      <w:r>
        <w:rPr>
          <w:rFonts w:hint="eastAsia" w:cs="Times New Roman"/>
        </w:rPr>
        <w:t>2019</w:t>
      </w:r>
      <w:r>
        <w:rPr>
          <w:rFonts w:cs="Times New Roman"/>
        </w:rPr>
        <w:t>年度本部门</w:t>
      </w:r>
      <w:r>
        <w:rPr>
          <w:rFonts w:hint="eastAsia" w:cs="Times New Roman"/>
        </w:rPr>
        <w:t>决算，故未扣分。</w:t>
      </w:r>
    </w:p>
    <w:p>
      <w:pPr>
        <w:pStyle w:val="2"/>
        <w:ind w:firstLine="640"/>
        <w:rPr>
          <w:rFonts w:eastAsia="黑体" w:cs="Times New Roman"/>
          <w:bCs w:val="0"/>
          <w:szCs w:val="32"/>
        </w:rPr>
      </w:pPr>
      <w:bookmarkStart w:id="52" w:name="_Toc77503485"/>
      <w:bookmarkStart w:id="53" w:name="_Toc73927494"/>
      <w:r>
        <w:rPr>
          <w:rFonts w:eastAsia="黑体" w:cs="Times New Roman"/>
          <w:bCs w:val="0"/>
          <w:szCs w:val="32"/>
        </w:rPr>
        <w:t>五、部门履职效能</w:t>
      </w:r>
      <w:bookmarkEnd w:id="52"/>
      <w:bookmarkEnd w:id="53"/>
    </w:p>
    <w:p>
      <w:pPr>
        <w:pStyle w:val="3"/>
        <w:ind w:firstLine="643"/>
        <w:rPr>
          <w:rFonts w:cs="Times New Roman"/>
        </w:rPr>
      </w:pPr>
      <w:bookmarkStart w:id="54" w:name="_Toc77503486"/>
      <w:bookmarkStart w:id="55" w:name="_Toc73927495"/>
      <w:r>
        <w:rPr>
          <w:rFonts w:cs="Times New Roman"/>
        </w:rPr>
        <w:t>（一）部门履职的年度总体目标</w:t>
      </w:r>
      <w:bookmarkEnd w:id="54"/>
      <w:bookmarkEnd w:id="55"/>
    </w:p>
    <w:p>
      <w:pPr>
        <w:ind w:firstLine="640"/>
        <w:rPr>
          <w:rFonts w:cs="Times New Roman"/>
        </w:rPr>
      </w:pPr>
      <w:r>
        <w:rPr>
          <w:rFonts w:hint="eastAsia" w:cs="Times New Roman"/>
        </w:rPr>
        <w:t>2020年绵竹市医疗保障局年度总体目标为：突出“从严治党”，加强自身建设不褪色；突出“以民为本”，完善保障体系不停步；突出“惠民优先”，提升服务效能不意；突出“监管到位”，眼抓基金安全不动摇；突出“信息透明”，打通宣传末档不堵塞；突出“主动作为”、长抓疫情防控不松；突出“精准发力”，助推脱贫攻坚不掉队。全年以推进加强党风廉政建设；深入实施全民医保计划；持续巩固打击“欺诈骗保”，加强医疗保障基金监管，切实保障基金安全；扎实做好医保扶贫，健全医保和医疗救助服务机制；规范办事制度和业务流程，“惠民优先”全面提升政务服务能力等重要项目任务为目标。</w:t>
      </w:r>
    </w:p>
    <w:p>
      <w:pPr>
        <w:pStyle w:val="3"/>
        <w:ind w:firstLine="643"/>
        <w:rPr>
          <w:rFonts w:cs="Times New Roman"/>
        </w:rPr>
      </w:pPr>
      <w:bookmarkStart w:id="56" w:name="_Toc73927496"/>
      <w:bookmarkStart w:id="57" w:name="_Toc77503487"/>
      <w:r>
        <w:rPr>
          <w:rFonts w:cs="Times New Roman"/>
        </w:rPr>
        <w:t>（二）重点工作任务绩效目标完成情况</w:t>
      </w:r>
      <w:bookmarkEnd w:id="56"/>
      <w:bookmarkEnd w:id="57"/>
    </w:p>
    <w:p>
      <w:pPr>
        <w:ind w:firstLine="640"/>
        <w:rPr>
          <w:rFonts w:cs="Times New Roman"/>
          <w:kern w:val="0"/>
          <w:szCs w:val="32"/>
        </w:rPr>
      </w:pPr>
      <w:r>
        <w:rPr>
          <w:rFonts w:hint="eastAsia" w:cs="Times New Roman"/>
          <w:kern w:val="0"/>
          <w:szCs w:val="32"/>
        </w:rPr>
        <w:t>2020</w:t>
      </w:r>
      <w:r>
        <w:rPr>
          <w:rFonts w:cs="Times New Roman"/>
          <w:kern w:val="0"/>
          <w:szCs w:val="32"/>
        </w:rPr>
        <w:t>年</w:t>
      </w:r>
      <w:r>
        <w:rPr>
          <w:rFonts w:hint="eastAsia" w:cs="Times New Roman"/>
          <w:kern w:val="0"/>
          <w:szCs w:val="32"/>
        </w:rPr>
        <w:t>绵竹市医疗保障局</w:t>
      </w:r>
      <w:r>
        <w:rPr>
          <w:rFonts w:cs="Times New Roman"/>
          <w:kern w:val="0"/>
          <w:szCs w:val="32"/>
        </w:rPr>
        <w:t>重要工作是</w:t>
      </w:r>
      <w:r>
        <w:rPr>
          <w:rFonts w:hint="eastAsia" w:cs="Times New Roman"/>
          <w:kern w:val="0"/>
          <w:szCs w:val="32"/>
        </w:rPr>
        <w:t>廉政建设、“应保尽保”深化全民医保、医保基金监管、政务服务能力提升、医疗保障政策宣传</w:t>
      </w:r>
      <w:r>
        <w:rPr>
          <w:rFonts w:cs="Times New Roman"/>
          <w:kern w:val="0"/>
          <w:szCs w:val="32"/>
        </w:rPr>
        <w:t>等，其年度重点工作基本完成。</w:t>
      </w:r>
    </w:p>
    <w:p>
      <w:pPr>
        <w:ind w:firstLine="640"/>
        <w:rPr>
          <w:rFonts w:cs="Times New Roman"/>
          <w:kern w:val="0"/>
          <w:szCs w:val="32"/>
        </w:rPr>
      </w:pPr>
      <w:r>
        <w:rPr>
          <w:rFonts w:cs="Times New Roman"/>
          <w:kern w:val="0"/>
          <w:szCs w:val="32"/>
        </w:rPr>
        <w:t>在部门履职效能指标上，设定</w:t>
      </w:r>
      <w:r>
        <w:rPr>
          <w:rFonts w:hint="eastAsia" w:cs="Times New Roman"/>
          <w:kern w:val="0"/>
          <w:szCs w:val="32"/>
        </w:rPr>
        <w:t>廉政与意识形态工作、应保尽保、医保监管、服务能力提升、医保宣传</w:t>
      </w:r>
      <w:r>
        <w:rPr>
          <w:rFonts w:cs="Times New Roman"/>
          <w:kern w:val="0"/>
          <w:szCs w:val="32"/>
        </w:rPr>
        <w:t>4项二级指标</w:t>
      </w:r>
      <w:r>
        <w:rPr>
          <w:rFonts w:hint="eastAsia" w:cs="Times New Roman"/>
          <w:kern w:val="0"/>
          <w:szCs w:val="32"/>
        </w:rPr>
        <w:t>。</w:t>
      </w:r>
      <w:r>
        <w:rPr>
          <w:rFonts w:cs="Times New Roman"/>
          <w:kern w:val="0"/>
          <w:szCs w:val="32"/>
        </w:rPr>
        <w:t>总体而言，</w:t>
      </w:r>
      <w:r>
        <w:rPr>
          <w:rFonts w:hint="eastAsia" w:cs="Times New Roman"/>
          <w:kern w:val="0"/>
          <w:szCs w:val="32"/>
        </w:rPr>
        <w:t>由于医保局2019和2020年数据统计口径不一致，且2020年初计划未明确制定的细化目标</w:t>
      </w:r>
      <w:r>
        <w:rPr>
          <w:rFonts w:cs="Times New Roman"/>
          <w:kern w:val="0"/>
          <w:szCs w:val="32"/>
        </w:rPr>
        <w:t>，</w:t>
      </w:r>
      <w:r>
        <w:rPr>
          <w:rFonts w:hint="eastAsia" w:cs="Times New Roman"/>
          <w:kern w:val="0"/>
          <w:szCs w:val="32"/>
        </w:rPr>
        <w:t>使得2020年廉政建设、医保监管</w:t>
      </w:r>
      <w:r>
        <w:rPr>
          <w:rFonts w:cs="Times New Roman"/>
          <w:kern w:val="0"/>
          <w:szCs w:val="32"/>
        </w:rPr>
        <w:t>及</w:t>
      </w:r>
      <w:r>
        <w:rPr>
          <w:rFonts w:hint="eastAsia" w:cs="Times New Roman"/>
          <w:kern w:val="0"/>
          <w:szCs w:val="32"/>
        </w:rPr>
        <w:t>服务能力提升三项任务</w:t>
      </w:r>
      <w:r>
        <w:rPr>
          <w:rFonts w:cs="Times New Roman"/>
          <w:kern w:val="0"/>
          <w:szCs w:val="32"/>
        </w:rPr>
        <w:t>完成效果</w:t>
      </w:r>
      <w:r>
        <w:rPr>
          <w:rFonts w:hint="eastAsia" w:cs="Times New Roman"/>
          <w:kern w:val="0"/>
          <w:szCs w:val="32"/>
        </w:rPr>
        <w:t>较难衡量，其次部分“应保尽保”工作完成了德阳市下达的居民参保率目标，但未完成部门年初绩效目标申报的要求。</w:t>
      </w:r>
    </w:p>
    <w:p>
      <w:pPr>
        <w:ind w:firstLine="0" w:firstLineChars="0"/>
        <w:jc w:val="center"/>
        <w:rPr>
          <w:rFonts w:eastAsia="幼圆"/>
          <w:b/>
          <w:sz w:val="28"/>
          <w:szCs w:val="32"/>
        </w:rPr>
      </w:pPr>
      <w:r>
        <w:rPr>
          <w:rFonts w:eastAsia="幼圆"/>
          <w:b/>
          <w:sz w:val="28"/>
          <w:szCs w:val="32"/>
        </w:rPr>
        <w:t>附表</w:t>
      </w:r>
      <w:r>
        <w:rPr>
          <w:rFonts w:hint="eastAsia" w:eastAsia="幼圆"/>
          <w:b/>
          <w:sz w:val="28"/>
          <w:szCs w:val="32"/>
        </w:rPr>
        <w:t xml:space="preserve"> </w:t>
      </w:r>
      <w:r>
        <w:rPr>
          <w:rFonts w:eastAsia="幼圆"/>
          <w:b/>
          <w:sz w:val="28"/>
          <w:szCs w:val="32"/>
        </w:rPr>
        <w:t>部门履职效能指标得分情况</w:t>
      </w:r>
    </w:p>
    <w:tbl>
      <w:tblPr>
        <w:tblStyle w:val="22"/>
        <w:tblW w:w="5000" w:type="pct"/>
        <w:tblInd w:w="0" w:type="dxa"/>
        <w:tblLayout w:type="autofit"/>
        <w:tblCellMar>
          <w:top w:w="0" w:type="dxa"/>
          <w:left w:w="108" w:type="dxa"/>
          <w:bottom w:w="0" w:type="dxa"/>
          <w:right w:w="108" w:type="dxa"/>
        </w:tblCellMar>
      </w:tblPr>
      <w:tblGrid>
        <w:gridCol w:w="1157"/>
        <w:gridCol w:w="1459"/>
        <w:gridCol w:w="3351"/>
        <w:gridCol w:w="729"/>
        <w:gridCol w:w="729"/>
        <w:gridCol w:w="1097"/>
      </w:tblGrid>
      <w:tr>
        <w:tblPrEx>
          <w:tblCellMar>
            <w:top w:w="0" w:type="dxa"/>
            <w:left w:w="108" w:type="dxa"/>
            <w:bottom w:w="0" w:type="dxa"/>
            <w:right w:w="108" w:type="dxa"/>
          </w:tblCellMar>
        </w:tblPrEx>
        <w:trPr>
          <w:trHeight w:val="522" w:hRule="atLeast"/>
          <w:tblHeader/>
        </w:trPr>
        <w:tc>
          <w:tcPr>
            <w:tcW w:w="679" w:type="pct"/>
            <w:tcBorders>
              <w:top w:val="single" w:color="auto" w:sz="8" w:space="0"/>
              <w:left w:val="single" w:color="auto" w:sz="8" w:space="0"/>
              <w:bottom w:val="single" w:color="auto" w:sz="8" w:space="0"/>
              <w:right w:val="single" w:color="auto" w:sz="8" w:space="0"/>
            </w:tcBorders>
            <w:shd w:val="clear" w:color="000000" w:fill="00516B"/>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一级指标</w:t>
            </w:r>
          </w:p>
        </w:tc>
        <w:tc>
          <w:tcPr>
            <w:tcW w:w="856"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二级指标</w:t>
            </w:r>
          </w:p>
        </w:tc>
        <w:tc>
          <w:tcPr>
            <w:tcW w:w="1966"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三级指标</w:t>
            </w:r>
          </w:p>
        </w:tc>
        <w:tc>
          <w:tcPr>
            <w:tcW w:w="428"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分值</w:t>
            </w:r>
          </w:p>
        </w:tc>
        <w:tc>
          <w:tcPr>
            <w:tcW w:w="428" w:type="pct"/>
            <w:tcBorders>
              <w:top w:val="single" w:color="auto" w:sz="8" w:space="0"/>
              <w:left w:val="nil"/>
              <w:bottom w:val="nil"/>
              <w:right w:val="single" w:color="auto" w:sz="8" w:space="0"/>
            </w:tcBorders>
            <w:shd w:val="clear" w:color="000000" w:fill="00516B"/>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得分</w:t>
            </w:r>
          </w:p>
        </w:tc>
        <w:tc>
          <w:tcPr>
            <w:tcW w:w="643"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ascii="宋体" w:hAnsi="宋体" w:eastAsia="宋体" w:cs="宋体"/>
                <w:b/>
                <w:bCs/>
                <w:color w:val="FFFFFF"/>
                <w:kern w:val="0"/>
                <w:sz w:val="20"/>
                <w:szCs w:val="20"/>
              </w:rPr>
            </w:pPr>
            <w:r>
              <w:rPr>
                <w:rFonts w:hint="eastAsia" w:ascii="宋体" w:hAnsi="宋体" w:eastAsia="宋体" w:cs="宋体"/>
                <w:b/>
                <w:bCs/>
                <w:color w:val="FFFFFF"/>
                <w:kern w:val="0"/>
                <w:sz w:val="20"/>
                <w:szCs w:val="20"/>
              </w:rPr>
              <w:t>得分率</w:t>
            </w:r>
          </w:p>
        </w:tc>
      </w:tr>
      <w:tr>
        <w:tblPrEx>
          <w:tblCellMar>
            <w:top w:w="0" w:type="dxa"/>
            <w:left w:w="108" w:type="dxa"/>
            <w:bottom w:w="0" w:type="dxa"/>
            <w:right w:w="108" w:type="dxa"/>
          </w:tblCellMar>
        </w:tblPrEx>
        <w:trPr>
          <w:trHeight w:val="492" w:hRule="atLeast"/>
        </w:trPr>
        <w:tc>
          <w:tcPr>
            <w:tcW w:w="679"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履职</w:t>
            </w:r>
          </w:p>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效能</w:t>
            </w:r>
          </w:p>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r>
              <w:rPr>
                <w:rFonts w:eastAsia="宋体" w:cs="Times New Roman"/>
                <w:color w:val="000000"/>
                <w:kern w:val="0"/>
                <w:sz w:val="20"/>
                <w:szCs w:val="20"/>
              </w:rPr>
              <w:t>70</w:t>
            </w:r>
            <w:r>
              <w:rPr>
                <w:rFonts w:hint="eastAsia" w:ascii="宋体" w:hAnsi="宋体" w:eastAsia="宋体" w:cs="宋体"/>
                <w:color w:val="000000"/>
                <w:kern w:val="0"/>
                <w:sz w:val="20"/>
                <w:szCs w:val="20"/>
              </w:rPr>
              <w:t>分）</w:t>
            </w:r>
          </w:p>
        </w:tc>
        <w:tc>
          <w:tcPr>
            <w:tcW w:w="856"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廉政建设与意识形态工作</w:t>
            </w: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廉政制度建设</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288"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意识形态工作</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3.00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60.00%</w:t>
            </w:r>
          </w:p>
        </w:tc>
      </w:tr>
      <w:tr>
        <w:tblPrEx>
          <w:tblCellMar>
            <w:top w:w="0" w:type="dxa"/>
            <w:left w:w="108" w:type="dxa"/>
            <w:bottom w:w="0" w:type="dxa"/>
            <w:right w:w="108" w:type="dxa"/>
          </w:tblCellMar>
        </w:tblPrEx>
        <w:trPr>
          <w:trHeight w:val="288"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应保尽保</w:t>
            </w:r>
          </w:p>
        </w:tc>
        <w:tc>
          <w:tcPr>
            <w:tcW w:w="1966"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全民参保数</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r>
      <w:tr>
        <w:tblPrEx>
          <w:tblCellMar>
            <w:top w:w="0" w:type="dxa"/>
            <w:left w:w="108" w:type="dxa"/>
            <w:bottom w:w="0" w:type="dxa"/>
            <w:right w:w="108" w:type="dxa"/>
          </w:tblCellMar>
        </w:tblPrEx>
        <w:trPr>
          <w:trHeight w:val="288"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医保救助人数的提升率</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rPr>
          <w:trHeight w:val="121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城镇职工基本医疗保险参保人数的提升率</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97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城乡居民医保参保人数的提升率</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4.86</w:t>
            </w:r>
            <w:r>
              <w:rPr>
                <w:rFonts w:eastAsia="等线" w:cs="Times New Roman"/>
                <w:color w:val="000000"/>
                <w:kern w:val="0"/>
                <w:sz w:val="21"/>
                <w:szCs w:val="21"/>
              </w:rPr>
              <w:t> </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97.20%</w:t>
            </w:r>
          </w:p>
        </w:tc>
      </w:tr>
      <w:tr>
        <w:tblPrEx>
          <w:tblCellMar>
            <w:top w:w="0" w:type="dxa"/>
            <w:left w:w="108" w:type="dxa"/>
            <w:bottom w:w="0" w:type="dxa"/>
            <w:right w:w="108" w:type="dxa"/>
          </w:tblCellMar>
        </w:tblPrEx>
        <w:trPr>
          <w:trHeight w:val="73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医保监管</w:t>
            </w: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医药机构核查覆盖率</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r>
              <w:rPr>
                <w:rFonts w:eastAsia="等线" w:cs="Times New Roman"/>
                <w:color w:val="000000"/>
                <w:kern w:val="0"/>
                <w:sz w:val="21"/>
                <w:szCs w:val="21"/>
              </w:rPr>
              <w:t> </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73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医保基金投诉处理及时性</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rPr>
          <w:trHeight w:val="73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医保资金追回额的增长率</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73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行政处罚执行及时性</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73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服务能力提升</w:t>
            </w: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信息化升级改造完成率</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政务服务效能提升</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288"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医保宣传</w:t>
            </w:r>
          </w:p>
        </w:tc>
        <w:tc>
          <w:tcPr>
            <w:tcW w:w="1966"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扩大医保宣传面</w:t>
            </w:r>
            <w:r>
              <w:rPr>
                <w:rFonts w:eastAsia="宋体" w:cs="Times New Roman"/>
                <w:color w:val="000000"/>
                <w:kern w:val="0"/>
                <w:sz w:val="21"/>
                <w:szCs w:val="21"/>
              </w:rPr>
              <w:t> </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6.00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6.00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732" w:hRule="atLeast"/>
        </w:trPr>
        <w:tc>
          <w:tcPr>
            <w:tcW w:w="679"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856"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ascii="宋体" w:hAnsi="宋体" w:eastAsia="宋体" w:cs="宋体"/>
                <w:color w:val="000000"/>
                <w:kern w:val="0"/>
                <w:sz w:val="20"/>
                <w:szCs w:val="20"/>
              </w:rPr>
            </w:pPr>
          </w:p>
        </w:tc>
        <w:tc>
          <w:tcPr>
            <w:tcW w:w="1966"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政务公开医保政策</w:t>
            </w:r>
          </w:p>
        </w:tc>
        <w:tc>
          <w:tcPr>
            <w:tcW w:w="42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4.00</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288" w:hRule="atLeast"/>
        </w:trPr>
        <w:tc>
          <w:tcPr>
            <w:tcW w:w="3501"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pPr>
              <w:widowControl/>
              <w:spacing w:line="240" w:lineRule="auto"/>
              <w:ind w:firstLine="0" w:firstLineChars="0"/>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合计</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70.00</w:t>
            </w:r>
          </w:p>
        </w:tc>
        <w:tc>
          <w:tcPr>
            <w:tcW w:w="428"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67.86</w:t>
            </w:r>
          </w:p>
        </w:tc>
        <w:tc>
          <w:tcPr>
            <w:tcW w:w="643"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96.94%</w:t>
            </w:r>
          </w:p>
        </w:tc>
      </w:tr>
    </w:tbl>
    <w:p>
      <w:pPr>
        <w:ind w:firstLine="0" w:firstLineChars="0"/>
        <w:jc w:val="center"/>
        <w:rPr>
          <w:rFonts w:eastAsia="幼圆"/>
          <w:b/>
          <w:sz w:val="28"/>
          <w:szCs w:val="32"/>
        </w:rPr>
      </w:pPr>
    </w:p>
    <w:p>
      <w:pPr>
        <w:pStyle w:val="4"/>
        <w:ind w:firstLine="640"/>
        <w:rPr>
          <w:rFonts w:cs="Times New Roman"/>
          <w:b w:val="0"/>
          <w:bCs w:val="0"/>
        </w:rPr>
      </w:pPr>
      <w:bookmarkStart w:id="58" w:name="_Toc73927497"/>
      <w:bookmarkStart w:id="59" w:name="_Toc77503488"/>
      <w:r>
        <w:rPr>
          <w:rFonts w:cs="Times New Roman"/>
          <w:b w:val="0"/>
          <w:bCs w:val="0"/>
        </w:rPr>
        <w:t>1.</w:t>
      </w:r>
      <w:r>
        <w:rPr>
          <w:rFonts w:hint="eastAsia" w:cs="Times New Roman"/>
          <w:b w:val="0"/>
          <w:bCs w:val="0"/>
        </w:rPr>
        <w:t>廉政建设与意识形态工作</w:t>
      </w:r>
      <w:bookmarkEnd w:id="58"/>
      <w:bookmarkEnd w:id="59"/>
    </w:p>
    <w:p>
      <w:pPr>
        <w:ind w:firstLine="640"/>
        <w:rPr>
          <w:rFonts w:cs="Times New Roman"/>
        </w:rPr>
      </w:pPr>
      <w:r>
        <w:rPr>
          <w:rFonts w:hint="eastAsia" w:cs="Times New Roman"/>
        </w:rPr>
        <w:t>在廉政建设与意识形态工作指标上，设置了廉政制度建设、意识形态工作2个三级指标。</w:t>
      </w:r>
    </w:p>
    <w:p>
      <w:pPr>
        <w:ind w:firstLine="640"/>
        <w:rPr>
          <w:rFonts w:cs="Times New Roman"/>
        </w:rPr>
      </w:pPr>
      <w:r>
        <w:rPr>
          <w:rFonts w:hint="eastAsia" w:cs="Times New Roman"/>
        </w:rPr>
        <w:t>（1）廉政制度建设</w:t>
      </w:r>
    </w:p>
    <w:p>
      <w:pPr>
        <w:ind w:firstLine="640"/>
        <w:rPr>
          <w:rFonts w:cs="Times New Roman"/>
        </w:rPr>
      </w:pPr>
      <w:r>
        <w:rPr>
          <w:rFonts w:hint="eastAsia" w:cs="Times New Roman"/>
        </w:rPr>
        <w:t>廉政制度建设权重</w:t>
      </w:r>
      <w:r>
        <w:rPr>
          <w:rFonts w:cs="Times New Roman"/>
        </w:rPr>
        <w:t>5.00</w:t>
      </w:r>
      <w:r>
        <w:rPr>
          <w:rFonts w:hint="eastAsia" w:cs="Times New Roman"/>
        </w:rPr>
        <w:t>，实际得分</w:t>
      </w:r>
      <w:r>
        <w:rPr>
          <w:rFonts w:cs="Times New Roman"/>
        </w:rPr>
        <w:t>5.00</w:t>
      </w:r>
      <w:r>
        <w:rPr>
          <w:rFonts w:hint="eastAsia" w:cs="Times New Roman"/>
        </w:rPr>
        <w:t>分，得分率为100</w:t>
      </w:r>
      <w:r>
        <w:rPr>
          <w:rFonts w:cs="Times New Roman"/>
        </w:rPr>
        <w:t>.00</w:t>
      </w:r>
      <w:r>
        <w:rPr>
          <w:rFonts w:hint="eastAsia" w:cs="Times New Roman"/>
        </w:rPr>
        <w:t>%。市医保局落实党风廉政主体责任建设，制定了《党风廉政建设党组主体责任清单》《党风廉政建设工作计划》等制度建设系列目录，故未扣分。</w:t>
      </w:r>
    </w:p>
    <w:p>
      <w:pPr>
        <w:spacing w:line="600" w:lineRule="exact"/>
        <w:ind w:firstLine="640"/>
        <w:rPr>
          <w:rFonts w:cs="Times New Roman"/>
        </w:rPr>
      </w:pPr>
      <w:r>
        <w:rPr>
          <w:rFonts w:hint="eastAsia" w:cs="Times New Roman"/>
        </w:rPr>
        <w:t>（2）意识形态工作</w:t>
      </w:r>
    </w:p>
    <w:p>
      <w:pPr>
        <w:spacing w:line="600" w:lineRule="exact"/>
        <w:ind w:firstLine="640"/>
        <w:rPr>
          <w:rFonts w:cs="Times New Roman"/>
        </w:rPr>
      </w:pPr>
      <w:r>
        <w:rPr>
          <w:rFonts w:hint="eastAsia" w:cs="Times New Roman"/>
        </w:rPr>
        <w:t>意识形态工作权重</w:t>
      </w:r>
      <w:r>
        <w:rPr>
          <w:rFonts w:cs="Times New Roman"/>
        </w:rPr>
        <w:t>5.00</w:t>
      </w:r>
      <w:r>
        <w:rPr>
          <w:rFonts w:hint="eastAsia" w:cs="Times New Roman"/>
        </w:rPr>
        <w:t>分，得分</w:t>
      </w:r>
      <w:r>
        <w:rPr>
          <w:rFonts w:cs="Times New Roman"/>
        </w:rPr>
        <w:t>3.00</w:t>
      </w:r>
      <w:r>
        <w:rPr>
          <w:rFonts w:hint="eastAsia" w:cs="Times New Roman"/>
        </w:rPr>
        <w:t>分，得分率为</w:t>
      </w:r>
      <w:r>
        <w:rPr>
          <w:rFonts w:cs="Times New Roman"/>
        </w:rPr>
        <w:t>6</w:t>
      </w:r>
      <w:r>
        <w:rPr>
          <w:rFonts w:hint="eastAsia" w:cs="Times New Roman"/>
        </w:rPr>
        <w:t>0</w:t>
      </w:r>
      <w:r>
        <w:rPr>
          <w:rFonts w:cs="Times New Roman"/>
        </w:rPr>
        <w:t>.00</w:t>
      </w:r>
      <w:r>
        <w:rPr>
          <w:rFonts w:hint="eastAsia" w:cs="Times New Roman"/>
        </w:rPr>
        <w:t>%。2020年市医保局实际建立分类主体责任清单5个，制定措施41条，全年专题研判意识形态领域工作4次，结合责任清单开展自查2次，但年初并未明确制定量化的考核指标，因此难以衡量2</w:t>
      </w:r>
      <w:r>
        <w:rPr>
          <w:rFonts w:cs="Times New Roman"/>
        </w:rPr>
        <w:t>020</w:t>
      </w:r>
      <w:r>
        <w:rPr>
          <w:rFonts w:hint="eastAsia" w:cs="Times New Roman"/>
        </w:rPr>
        <w:t>年度意识形态工作开展的情况，故扣</w:t>
      </w:r>
      <w:r>
        <w:rPr>
          <w:rFonts w:cs="Times New Roman"/>
        </w:rPr>
        <w:t>2.00</w:t>
      </w:r>
      <w:r>
        <w:rPr>
          <w:rFonts w:hint="eastAsia" w:cs="Times New Roman"/>
        </w:rPr>
        <w:t>分。</w:t>
      </w:r>
    </w:p>
    <w:p>
      <w:pPr>
        <w:pStyle w:val="4"/>
        <w:spacing w:before="120" w:after="120" w:line="600" w:lineRule="exact"/>
        <w:ind w:firstLine="640"/>
        <w:rPr>
          <w:rFonts w:cs="Times New Roman"/>
          <w:b w:val="0"/>
          <w:bCs w:val="0"/>
        </w:rPr>
      </w:pPr>
      <w:bookmarkStart w:id="60" w:name="_Toc73927498"/>
      <w:bookmarkStart w:id="61" w:name="_Toc77503489"/>
      <w:r>
        <w:rPr>
          <w:rFonts w:hint="eastAsia" w:cs="Times New Roman"/>
          <w:b w:val="0"/>
          <w:bCs w:val="0"/>
        </w:rPr>
        <w:t>2.“应保尽保”深化全民医保</w:t>
      </w:r>
      <w:bookmarkEnd w:id="60"/>
      <w:bookmarkEnd w:id="61"/>
    </w:p>
    <w:p>
      <w:pPr>
        <w:spacing w:line="600" w:lineRule="exact"/>
        <w:ind w:firstLine="640"/>
        <w:rPr>
          <w:rFonts w:cs="Times New Roman"/>
          <w:kern w:val="0"/>
          <w:szCs w:val="32"/>
        </w:rPr>
      </w:pPr>
      <w:r>
        <w:rPr>
          <w:rFonts w:hint="eastAsia" w:cs="Times New Roman"/>
          <w:kern w:val="0"/>
          <w:szCs w:val="32"/>
        </w:rPr>
        <w:t>在深化全民医保工作指标上，设置了全民参保数、医保救助精准性提升率、城镇职工基本医疗保险参保人数的提升率和城乡居民医保参保人数的提升率4项指标。</w:t>
      </w:r>
    </w:p>
    <w:p>
      <w:pPr>
        <w:spacing w:line="600" w:lineRule="exact"/>
        <w:ind w:firstLine="640"/>
        <w:rPr>
          <w:rFonts w:cs="Times New Roman"/>
          <w:kern w:val="0"/>
          <w:szCs w:val="32"/>
        </w:rPr>
      </w:pPr>
      <w:r>
        <w:rPr>
          <w:rFonts w:hint="eastAsia" w:cs="Times New Roman"/>
          <w:kern w:val="0"/>
          <w:szCs w:val="32"/>
        </w:rPr>
        <w:t>（1）全民参保人数</w:t>
      </w:r>
    </w:p>
    <w:p>
      <w:pPr>
        <w:spacing w:line="600" w:lineRule="exact"/>
        <w:ind w:firstLine="640"/>
        <w:rPr>
          <w:rFonts w:cs="Times New Roman"/>
          <w:kern w:val="0"/>
          <w:szCs w:val="32"/>
        </w:rPr>
      </w:pPr>
      <w:r>
        <w:rPr>
          <w:rFonts w:hint="eastAsia" w:cs="Times New Roman"/>
          <w:kern w:val="0"/>
          <w:szCs w:val="32"/>
        </w:rPr>
        <w:t>全民参保人数权重</w:t>
      </w:r>
      <w:r>
        <w:rPr>
          <w:rFonts w:cs="Times New Roman"/>
          <w:kern w:val="0"/>
          <w:szCs w:val="32"/>
        </w:rPr>
        <w:t>5.00</w:t>
      </w:r>
      <w:r>
        <w:rPr>
          <w:rFonts w:hint="eastAsia" w:cs="Times New Roman"/>
          <w:kern w:val="0"/>
          <w:szCs w:val="32"/>
        </w:rPr>
        <w:t>分，实际得分</w:t>
      </w:r>
      <w:r>
        <w:rPr>
          <w:rFonts w:cs="Times New Roman"/>
          <w:kern w:val="0"/>
          <w:szCs w:val="32"/>
        </w:rPr>
        <w:t>0.00</w:t>
      </w:r>
      <w:r>
        <w:rPr>
          <w:rFonts w:hint="eastAsia" w:cs="Times New Roman"/>
          <w:kern w:val="0"/>
          <w:szCs w:val="32"/>
        </w:rPr>
        <w:t>分。2020年绵竹市全市医疗保险参保人员45.20万人，其中，城乡居民医保参保人数36.01万人，未完成当年预算编制上报计划36.3万人，故扣5</w:t>
      </w:r>
      <w:r>
        <w:rPr>
          <w:rFonts w:cs="Times New Roman"/>
          <w:kern w:val="0"/>
          <w:szCs w:val="32"/>
        </w:rPr>
        <w:t>.00</w:t>
      </w:r>
      <w:r>
        <w:rPr>
          <w:rFonts w:hint="eastAsia" w:cs="Times New Roman"/>
          <w:kern w:val="0"/>
          <w:szCs w:val="32"/>
        </w:rPr>
        <w:t>分。</w:t>
      </w:r>
    </w:p>
    <w:p>
      <w:pPr>
        <w:spacing w:line="600" w:lineRule="exact"/>
        <w:ind w:firstLine="640"/>
        <w:rPr>
          <w:rFonts w:cs="Times New Roman"/>
          <w:kern w:val="0"/>
          <w:szCs w:val="32"/>
        </w:rPr>
      </w:pPr>
      <w:r>
        <w:rPr>
          <w:rFonts w:hint="eastAsia" w:cs="Times New Roman"/>
          <w:kern w:val="0"/>
          <w:szCs w:val="32"/>
        </w:rPr>
        <w:t>（2）医保救助人数的提升率</w:t>
      </w:r>
    </w:p>
    <w:p>
      <w:pPr>
        <w:spacing w:line="600" w:lineRule="exact"/>
        <w:ind w:firstLine="640"/>
        <w:rPr>
          <w:rFonts w:cs="Times New Roman"/>
          <w:kern w:val="0"/>
          <w:szCs w:val="32"/>
        </w:rPr>
      </w:pPr>
      <w:r>
        <w:rPr>
          <w:rFonts w:hint="eastAsia" w:cs="Times New Roman"/>
          <w:kern w:val="0"/>
          <w:szCs w:val="32"/>
        </w:rPr>
        <w:t>医保救助人数的提升率权重5</w:t>
      </w:r>
      <w:r>
        <w:rPr>
          <w:rFonts w:cs="Times New Roman"/>
          <w:kern w:val="0"/>
          <w:szCs w:val="32"/>
        </w:rPr>
        <w:t>.00</w:t>
      </w:r>
      <w:r>
        <w:rPr>
          <w:rFonts w:hint="eastAsia" w:cs="Times New Roman"/>
          <w:kern w:val="0"/>
          <w:szCs w:val="32"/>
        </w:rPr>
        <w:t>分，实际得分5</w:t>
      </w:r>
      <w:r>
        <w:rPr>
          <w:rFonts w:cs="Times New Roman"/>
          <w:kern w:val="0"/>
          <w:szCs w:val="32"/>
        </w:rPr>
        <w:t>.00</w:t>
      </w:r>
      <w:r>
        <w:rPr>
          <w:rFonts w:hint="eastAsia" w:cs="Times New Roman"/>
          <w:kern w:val="0"/>
          <w:szCs w:val="32"/>
        </w:rPr>
        <w:t>分，得分率为1</w:t>
      </w:r>
      <w:r>
        <w:rPr>
          <w:rFonts w:cs="Times New Roman"/>
          <w:kern w:val="0"/>
          <w:szCs w:val="32"/>
        </w:rPr>
        <w:t>00.00</w:t>
      </w:r>
      <w:r>
        <w:rPr>
          <w:rFonts w:hint="eastAsia" w:cs="Times New Roman"/>
          <w:kern w:val="0"/>
          <w:szCs w:val="32"/>
        </w:rPr>
        <w:t>%。绵竹市医保局2019年8月正式接手城乡居民医疗救助工作，2019年医保救助人数为189人（截至当年9月），2020年全年医保救助人数1607人，救助人数明显上升，故未扣分。</w:t>
      </w:r>
    </w:p>
    <w:p>
      <w:pPr>
        <w:spacing w:line="600" w:lineRule="exact"/>
        <w:ind w:firstLine="640"/>
        <w:rPr>
          <w:rFonts w:cs="Times New Roman"/>
          <w:kern w:val="0"/>
          <w:szCs w:val="32"/>
        </w:rPr>
      </w:pPr>
      <w:r>
        <w:rPr>
          <w:rFonts w:hint="eastAsia" w:cs="Times New Roman"/>
          <w:kern w:val="0"/>
          <w:szCs w:val="32"/>
        </w:rPr>
        <w:t>（</w:t>
      </w:r>
      <w:r>
        <w:rPr>
          <w:rFonts w:cs="Times New Roman"/>
          <w:kern w:val="0"/>
          <w:szCs w:val="32"/>
        </w:rPr>
        <w:t>3</w:t>
      </w:r>
      <w:r>
        <w:rPr>
          <w:rFonts w:hint="eastAsia" w:cs="Times New Roman"/>
          <w:kern w:val="0"/>
          <w:szCs w:val="32"/>
        </w:rPr>
        <w:t>）城镇职工基本医疗保险参保人数提升率</w:t>
      </w:r>
    </w:p>
    <w:p>
      <w:pPr>
        <w:spacing w:line="600" w:lineRule="exact"/>
        <w:ind w:firstLine="640"/>
        <w:rPr>
          <w:rFonts w:cs="Times New Roman"/>
          <w:kern w:val="0"/>
          <w:szCs w:val="32"/>
        </w:rPr>
      </w:pPr>
      <w:r>
        <w:rPr>
          <w:rFonts w:hint="eastAsia" w:cs="Times New Roman"/>
          <w:kern w:val="0"/>
          <w:szCs w:val="32"/>
        </w:rPr>
        <w:t>城镇职工基本医疗保险参保人数提升率权重</w:t>
      </w:r>
      <w:r>
        <w:rPr>
          <w:rFonts w:cs="Times New Roman"/>
          <w:kern w:val="0"/>
          <w:szCs w:val="32"/>
        </w:rPr>
        <w:t>5.00</w:t>
      </w:r>
      <w:r>
        <w:rPr>
          <w:rFonts w:hint="eastAsia" w:cs="Times New Roman"/>
          <w:kern w:val="0"/>
          <w:szCs w:val="32"/>
        </w:rPr>
        <w:t>分，实际得分</w:t>
      </w:r>
      <w:r>
        <w:rPr>
          <w:rFonts w:cs="Times New Roman"/>
          <w:kern w:val="0"/>
          <w:szCs w:val="32"/>
        </w:rPr>
        <w:t>5.00</w:t>
      </w:r>
      <w:r>
        <w:rPr>
          <w:rFonts w:hint="eastAsia" w:cs="Times New Roman"/>
          <w:kern w:val="0"/>
          <w:szCs w:val="32"/>
        </w:rPr>
        <w:t>分，得分率为1</w:t>
      </w:r>
      <w:r>
        <w:rPr>
          <w:rFonts w:cs="Times New Roman"/>
          <w:kern w:val="0"/>
          <w:szCs w:val="32"/>
        </w:rPr>
        <w:t>00.00</w:t>
      </w:r>
      <w:r>
        <w:rPr>
          <w:rFonts w:hint="eastAsia" w:cs="Times New Roman"/>
          <w:kern w:val="0"/>
          <w:szCs w:val="32"/>
        </w:rPr>
        <w:t>%。全市2019年城镇职工基本医疗保险参保84888人，2020年城镇职工基本医疗保险参保91926人，城镇职工基本医疗保险参保人数提升率为8.29%，故未扣分。</w:t>
      </w:r>
    </w:p>
    <w:p>
      <w:pPr>
        <w:spacing w:line="600" w:lineRule="exact"/>
        <w:ind w:firstLine="640"/>
        <w:rPr>
          <w:rFonts w:cs="Times New Roman"/>
          <w:kern w:val="0"/>
          <w:szCs w:val="32"/>
        </w:rPr>
      </w:pPr>
      <w:r>
        <w:rPr>
          <w:rFonts w:hint="eastAsia" w:cs="Times New Roman"/>
          <w:kern w:val="0"/>
          <w:szCs w:val="32"/>
        </w:rPr>
        <w:t>（4）城乡居民医保参保人数提升率</w:t>
      </w:r>
    </w:p>
    <w:p>
      <w:pPr>
        <w:spacing w:line="600" w:lineRule="exact"/>
        <w:ind w:firstLine="640"/>
        <w:rPr>
          <w:rFonts w:cs="Times New Roman"/>
          <w:kern w:val="0"/>
          <w:szCs w:val="32"/>
        </w:rPr>
      </w:pPr>
      <w:r>
        <w:rPr>
          <w:rFonts w:hint="eastAsia" w:cs="Times New Roman"/>
          <w:kern w:val="0"/>
          <w:szCs w:val="32"/>
        </w:rPr>
        <w:t>城乡居民医保参保人数提升率权重</w:t>
      </w:r>
      <w:r>
        <w:rPr>
          <w:rFonts w:cs="Times New Roman"/>
          <w:kern w:val="0"/>
          <w:szCs w:val="32"/>
        </w:rPr>
        <w:t>5.00</w:t>
      </w:r>
      <w:r>
        <w:rPr>
          <w:rFonts w:hint="eastAsia" w:cs="Times New Roman"/>
          <w:kern w:val="0"/>
          <w:szCs w:val="32"/>
        </w:rPr>
        <w:t>分，得分为</w:t>
      </w:r>
      <w:r>
        <w:rPr>
          <w:rFonts w:cs="Times New Roman"/>
          <w:kern w:val="0"/>
          <w:szCs w:val="32"/>
        </w:rPr>
        <w:t>4.86</w:t>
      </w:r>
      <w:r>
        <w:rPr>
          <w:rFonts w:hint="eastAsia" w:cs="Times New Roman"/>
          <w:kern w:val="0"/>
          <w:szCs w:val="32"/>
        </w:rPr>
        <w:t>分，得分率为</w:t>
      </w:r>
      <w:r>
        <w:rPr>
          <w:rFonts w:cs="Times New Roman"/>
          <w:kern w:val="0"/>
          <w:szCs w:val="32"/>
        </w:rPr>
        <w:t>97.20</w:t>
      </w:r>
      <w:r>
        <w:rPr>
          <w:rFonts w:hint="eastAsia" w:cs="Times New Roman"/>
          <w:kern w:val="0"/>
          <w:szCs w:val="32"/>
        </w:rPr>
        <w:t>%。2020年市医保局计划城乡居民补充医疗保险补助1参保人数9.3万人；城乡居民补充医疗保险补助2参保人数27万人，2</w:t>
      </w:r>
      <w:r>
        <w:rPr>
          <w:rFonts w:cs="Times New Roman"/>
          <w:kern w:val="0"/>
          <w:szCs w:val="32"/>
        </w:rPr>
        <w:t>019</w:t>
      </w:r>
      <w:r>
        <w:rPr>
          <w:rFonts w:hint="eastAsia" w:cs="Times New Roman"/>
          <w:kern w:val="0"/>
          <w:szCs w:val="32"/>
        </w:rPr>
        <w:t>年全市城乡居民医保参保人数为37.03万人，2020年城乡居民医保参保人数为36.0</w:t>
      </w:r>
      <w:r>
        <w:rPr>
          <w:rFonts w:cs="Times New Roman"/>
          <w:kern w:val="0"/>
          <w:szCs w:val="32"/>
        </w:rPr>
        <w:t>3</w:t>
      </w:r>
      <w:r>
        <w:rPr>
          <w:rFonts w:hint="eastAsia" w:cs="Times New Roman"/>
          <w:kern w:val="0"/>
          <w:szCs w:val="32"/>
        </w:rPr>
        <w:t>万人，由此计算3</w:t>
      </w:r>
      <w:r>
        <w:rPr>
          <w:rFonts w:cs="Times New Roman"/>
          <w:kern w:val="0"/>
          <w:szCs w:val="32"/>
        </w:rPr>
        <w:t>6.03</w:t>
      </w:r>
      <w:r>
        <w:rPr>
          <w:rFonts w:hint="eastAsia" w:cs="Times New Roman"/>
          <w:kern w:val="0"/>
          <w:szCs w:val="32"/>
        </w:rPr>
        <w:t>万/</w:t>
      </w:r>
      <w:r>
        <w:rPr>
          <w:rFonts w:cs="Times New Roman"/>
          <w:kern w:val="0"/>
          <w:szCs w:val="32"/>
        </w:rPr>
        <w:t>37.03</w:t>
      </w:r>
      <w:r>
        <w:rPr>
          <w:rFonts w:hint="eastAsia" w:cs="Times New Roman"/>
          <w:kern w:val="0"/>
          <w:szCs w:val="32"/>
        </w:rPr>
        <w:t>万人*</w:t>
      </w:r>
      <w:r>
        <w:rPr>
          <w:rFonts w:cs="Times New Roman"/>
          <w:kern w:val="0"/>
          <w:szCs w:val="32"/>
        </w:rPr>
        <w:t>4</w:t>
      </w:r>
      <w:r>
        <w:rPr>
          <w:rFonts w:hint="eastAsia" w:cs="Times New Roman"/>
          <w:kern w:val="0"/>
          <w:szCs w:val="32"/>
        </w:rPr>
        <w:t>=</w:t>
      </w:r>
      <w:r>
        <w:rPr>
          <w:rFonts w:cs="Times New Roman"/>
          <w:kern w:val="0"/>
          <w:szCs w:val="32"/>
        </w:rPr>
        <w:t>4.86</w:t>
      </w:r>
      <w:r>
        <w:rPr>
          <w:rFonts w:hint="eastAsia" w:cs="Times New Roman"/>
          <w:kern w:val="0"/>
          <w:szCs w:val="32"/>
        </w:rPr>
        <w:t>，故扣0</w:t>
      </w:r>
      <w:r>
        <w:rPr>
          <w:rFonts w:cs="Times New Roman"/>
          <w:kern w:val="0"/>
          <w:szCs w:val="32"/>
        </w:rPr>
        <w:t>.14</w:t>
      </w:r>
      <w:r>
        <w:rPr>
          <w:rFonts w:hint="eastAsia" w:cs="Times New Roman"/>
          <w:kern w:val="0"/>
          <w:szCs w:val="32"/>
        </w:rPr>
        <w:t>分。</w:t>
      </w:r>
    </w:p>
    <w:p>
      <w:pPr>
        <w:pStyle w:val="4"/>
        <w:spacing w:before="120" w:after="120" w:line="600" w:lineRule="exact"/>
        <w:ind w:firstLine="640"/>
        <w:rPr>
          <w:rFonts w:cs="Times New Roman"/>
          <w:b w:val="0"/>
          <w:bCs w:val="0"/>
        </w:rPr>
      </w:pPr>
      <w:bookmarkStart w:id="62" w:name="_Toc73927499"/>
      <w:bookmarkStart w:id="63" w:name="_Toc77503490"/>
      <w:r>
        <w:rPr>
          <w:rFonts w:hint="eastAsia" w:cs="Times New Roman"/>
          <w:b w:val="0"/>
          <w:bCs w:val="0"/>
        </w:rPr>
        <w:t>3.医保监管工作</w:t>
      </w:r>
      <w:bookmarkEnd w:id="62"/>
      <w:bookmarkEnd w:id="63"/>
    </w:p>
    <w:p>
      <w:pPr>
        <w:spacing w:line="600" w:lineRule="exact"/>
        <w:ind w:firstLine="640"/>
        <w:rPr>
          <w:rFonts w:cs="Times New Roman"/>
          <w:kern w:val="0"/>
          <w:szCs w:val="32"/>
        </w:rPr>
      </w:pPr>
      <w:r>
        <w:rPr>
          <w:rFonts w:hint="eastAsia" w:cs="Times New Roman"/>
          <w:kern w:val="0"/>
          <w:szCs w:val="32"/>
        </w:rPr>
        <w:t>在医保监管指标上，设置了医药机构核查覆盖率、医保基金投诉处理及时性、医保资金追回额的增长率、行政处罚执行及时性4个三级指标。</w:t>
      </w:r>
    </w:p>
    <w:p>
      <w:pPr>
        <w:spacing w:line="600" w:lineRule="exact"/>
        <w:ind w:firstLine="640"/>
        <w:rPr>
          <w:rFonts w:cs="Times New Roman"/>
          <w:kern w:val="0"/>
          <w:szCs w:val="32"/>
        </w:rPr>
      </w:pPr>
      <w:r>
        <w:rPr>
          <w:rFonts w:hint="eastAsia" w:cs="Times New Roman"/>
          <w:kern w:val="0"/>
          <w:szCs w:val="32"/>
        </w:rPr>
        <w:t>（1）医药机构核查覆盖率</w:t>
      </w:r>
    </w:p>
    <w:p>
      <w:pPr>
        <w:spacing w:line="600" w:lineRule="exact"/>
        <w:ind w:firstLine="640"/>
        <w:rPr>
          <w:rFonts w:cs="Times New Roman"/>
          <w:kern w:val="0"/>
          <w:szCs w:val="32"/>
        </w:rPr>
      </w:pPr>
      <w:r>
        <w:rPr>
          <w:rFonts w:hint="eastAsia" w:cs="Times New Roman"/>
          <w:kern w:val="0"/>
          <w:szCs w:val="32"/>
        </w:rPr>
        <w:t>医药机构核查覆盖率权重</w:t>
      </w:r>
      <w:r>
        <w:rPr>
          <w:rFonts w:cs="Times New Roman"/>
          <w:kern w:val="0"/>
          <w:szCs w:val="32"/>
        </w:rPr>
        <w:t>5.00</w:t>
      </w:r>
      <w:r>
        <w:rPr>
          <w:rFonts w:hint="eastAsia" w:cs="Times New Roman"/>
          <w:kern w:val="0"/>
          <w:szCs w:val="32"/>
        </w:rPr>
        <w:t>分，实际得分</w:t>
      </w:r>
      <w:r>
        <w:rPr>
          <w:rFonts w:cs="Times New Roman"/>
          <w:kern w:val="0"/>
          <w:szCs w:val="32"/>
        </w:rPr>
        <w:t>5.00</w:t>
      </w:r>
      <w:r>
        <w:rPr>
          <w:rFonts w:hint="eastAsia" w:cs="Times New Roman"/>
          <w:kern w:val="0"/>
          <w:szCs w:val="32"/>
        </w:rPr>
        <w:t>分，得分率为1</w:t>
      </w:r>
      <w:r>
        <w:rPr>
          <w:rFonts w:cs="Times New Roman"/>
          <w:kern w:val="0"/>
          <w:szCs w:val="32"/>
        </w:rPr>
        <w:t>00.00</w:t>
      </w:r>
      <w:r>
        <w:rPr>
          <w:rFonts w:hint="eastAsia" w:cs="Times New Roman"/>
          <w:kern w:val="0"/>
          <w:szCs w:val="32"/>
        </w:rPr>
        <w:t>%。全市医药机构355家，2019年和2020年度医保监管检查均为全覆盖检查，故未扣分。</w:t>
      </w:r>
    </w:p>
    <w:p>
      <w:pPr>
        <w:spacing w:line="600" w:lineRule="exact"/>
        <w:ind w:firstLine="640"/>
        <w:rPr>
          <w:rFonts w:cs="Times New Roman"/>
          <w:kern w:val="0"/>
          <w:szCs w:val="32"/>
        </w:rPr>
      </w:pPr>
      <w:r>
        <w:rPr>
          <w:rFonts w:hint="eastAsia" w:cs="Times New Roman"/>
          <w:kern w:val="0"/>
          <w:szCs w:val="32"/>
        </w:rPr>
        <w:t>（2）医保基金投诉处理及时性</w:t>
      </w:r>
    </w:p>
    <w:p>
      <w:pPr>
        <w:spacing w:line="600" w:lineRule="exact"/>
        <w:ind w:firstLine="640"/>
        <w:rPr>
          <w:rFonts w:cs="Times New Roman"/>
          <w:kern w:val="0"/>
          <w:szCs w:val="32"/>
        </w:rPr>
      </w:pPr>
      <w:r>
        <w:rPr>
          <w:rFonts w:hint="eastAsia" w:cs="Times New Roman"/>
          <w:kern w:val="0"/>
          <w:szCs w:val="32"/>
        </w:rPr>
        <w:t>医保基金投诉处理及时性权重</w:t>
      </w:r>
      <w:r>
        <w:rPr>
          <w:rFonts w:cs="Times New Roman"/>
          <w:kern w:val="0"/>
          <w:szCs w:val="32"/>
        </w:rPr>
        <w:t>5.00</w:t>
      </w:r>
      <w:r>
        <w:rPr>
          <w:rFonts w:hint="eastAsia" w:cs="Times New Roman"/>
          <w:kern w:val="0"/>
          <w:szCs w:val="32"/>
        </w:rPr>
        <w:t>分，实际得分</w:t>
      </w:r>
      <w:r>
        <w:rPr>
          <w:rFonts w:cs="Times New Roman"/>
          <w:kern w:val="0"/>
          <w:szCs w:val="32"/>
        </w:rPr>
        <w:t>5.00</w:t>
      </w:r>
      <w:r>
        <w:rPr>
          <w:rFonts w:hint="eastAsia" w:cs="Times New Roman"/>
          <w:kern w:val="0"/>
          <w:szCs w:val="32"/>
        </w:rPr>
        <w:t>分，得分率为1</w:t>
      </w:r>
      <w:r>
        <w:rPr>
          <w:rFonts w:cs="Times New Roman"/>
          <w:kern w:val="0"/>
          <w:szCs w:val="32"/>
        </w:rPr>
        <w:t>00.00</w:t>
      </w:r>
      <w:r>
        <w:rPr>
          <w:rFonts w:hint="eastAsia" w:cs="Times New Roman"/>
          <w:kern w:val="0"/>
          <w:szCs w:val="32"/>
        </w:rPr>
        <w:t>%。市医保局能够及时调查处理和约谈医药机构负责人，其中2</w:t>
      </w:r>
      <w:r>
        <w:rPr>
          <w:rFonts w:cs="Times New Roman"/>
          <w:kern w:val="0"/>
          <w:szCs w:val="32"/>
        </w:rPr>
        <w:t>020</w:t>
      </w:r>
      <w:r>
        <w:rPr>
          <w:rFonts w:hint="eastAsia" w:cs="Times New Roman"/>
          <w:kern w:val="0"/>
          <w:szCs w:val="32"/>
        </w:rPr>
        <w:t>年针对21家定点医疗机构对102名人员、15名机关工作人员开展打击内外勾结骗保工作谈心谈话，故未扣分。</w:t>
      </w:r>
    </w:p>
    <w:p>
      <w:pPr>
        <w:spacing w:line="600" w:lineRule="exact"/>
        <w:ind w:firstLine="640"/>
        <w:rPr>
          <w:rFonts w:cs="Times New Roman"/>
          <w:kern w:val="0"/>
          <w:szCs w:val="32"/>
        </w:rPr>
      </w:pPr>
      <w:r>
        <w:rPr>
          <w:rFonts w:hint="eastAsia" w:cs="Times New Roman"/>
          <w:kern w:val="0"/>
          <w:szCs w:val="32"/>
        </w:rPr>
        <w:t>（3）医保资金追回额的增长率</w:t>
      </w:r>
    </w:p>
    <w:p>
      <w:pPr>
        <w:spacing w:line="600" w:lineRule="exact"/>
        <w:ind w:firstLine="640"/>
        <w:rPr>
          <w:rFonts w:cs="Times New Roman"/>
          <w:kern w:val="0"/>
          <w:szCs w:val="32"/>
        </w:rPr>
      </w:pPr>
      <w:r>
        <w:rPr>
          <w:rFonts w:hint="eastAsia" w:cs="Times New Roman"/>
          <w:kern w:val="0"/>
          <w:szCs w:val="32"/>
        </w:rPr>
        <w:t>医保资金追回额的增长率权重5</w:t>
      </w:r>
      <w:r>
        <w:rPr>
          <w:rFonts w:cs="Times New Roman"/>
          <w:kern w:val="0"/>
          <w:szCs w:val="32"/>
        </w:rPr>
        <w:t>.00</w:t>
      </w:r>
      <w:r>
        <w:rPr>
          <w:rFonts w:hint="eastAsia" w:cs="Times New Roman"/>
          <w:kern w:val="0"/>
          <w:szCs w:val="32"/>
        </w:rPr>
        <w:t>分，实际得分5</w:t>
      </w:r>
      <w:r>
        <w:rPr>
          <w:rFonts w:cs="Times New Roman"/>
          <w:kern w:val="0"/>
          <w:szCs w:val="32"/>
        </w:rPr>
        <w:t>.00</w:t>
      </w:r>
      <w:r>
        <w:rPr>
          <w:rFonts w:hint="eastAsia" w:cs="Times New Roman"/>
          <w:kern w:val="0"/>
          <w:szCs w:val="32"/>
        </w:rPr>
        <w:t>分，得分率为1</w:t>
      </w:r>
      <w:r>
        <w:rPr>
          <w:rFonts w:cs="Times New Roman"/>
          <w:kern w:val="0"/>
          <w:szCs w:val="32"/>
        </w:rPr>
        <w:t>00.00</w:t>
      </w:r>
      <w:r>
        <w:rPr>
          <w:rFonts w:hint="eastAsia" w:cs="Times New Roman"/>
          <w:kern w:val="0"/>
          <w:szCs w:val="32"/>
        </w:rPr>
        <w:t>%。2019年追回违规使用基金271.77万，2020年追回违规使用基金389.98万元，医保资金追回增长率达43.5%，故未扣分。</w:t>
      </w:r>
    </w:p>
    <w:p>
      <w:pPr>
        <w:spacing w:line="600" w:lineRule="exact"/>
        <w:ind w:firstLine="640"/>
        <w:rPr>
          <w:rFonts w:cs="Times New Roman"/>
          <w:kern w:val="0"/>
          <w:szCs w:val="32"/>
        </w:rPr>
      </w:pPr>
      <w:r>
        <w:rPr>
          <w:rFonts w:hint="eastAsia" w:cs="Times New Roman"/>
          <w:kern w:val="0"/>
          <w:szCs w:val="32"/>
        </w:rPr>
        <w:t>（4）行政处罚执行及时性</w:t>
      </w:r>
    </w:p>
    <w:p>
      <w:pPr>
        <w:spacing w:line="600" w:lineRule="exact"/>
        <w:ind w:firstLine="640"/>
        <w:rPr>
          <w:rFonts w:cs="Times New Roman"/>
          <w:kern w:val="0"/>
          <w:szCs w:val="32"/>
        </w:rPr>
      </w:pPr>
      <w:r>
        <w:rPr>
          <w:rFonts w:hint="eastAsia" w:cs="Times New Roman"/>
          <w:kern w:val="0"/>
          <w:szCs w:val="32"/>
        </w:rPr>
        <w:t>行政处罚执行及时性权重</w:t>
      </w:r>
      <w:r>
        <w:rPr>
          <w:rFonts w:cs="Times New Roman"/>
          <w:kern w:val="0"/>
          <w:szCs w:val="32"/>
        </w:rPr>
        <w:t>5.00</w:t>
      </w:r>
      <w:r>
        <w:rPr>
          <w:rFonts w:hint="eastAsia" w:cs="Times New Roman"/>
          <w:kern w:val="0"/>
          <w:szCs w:val="32"/>
        </w:rPr>
        <w:t>分，实际得分</w:t>
      </w:r>
      <w:r>
        <w:rPr>
          <w:rFonts w:cs="Times New Roman"/>
          <w:kern w:val="0"/>
          <w:szCs w:val="32"/>
        </w:rPr>
        <w:t>5.00</w:t>
      </w:r>
      <w:r>
        <w:rPr>
          <w:rFonts w:hint="eastAsia" w:cs="Times New Roman"/>
          <w:kern w:val="0"/>
          <w:szCs w:val="32"/>
        </w:rPr>
        <w:t>分，得分率为</w:t>
      </w:r>
      <w:r>
        <w:rPr>
          <w:rFonts w:cs="Times New Roman"/>
          <w:kern w:val="0"/>
          <w:szCs w:val="32"/>
        </w:rPr>
        <w:t>100.00</w:t>
      </w:r>
      <w:r>
        <w:rPr>
          <w:rFonts w:hint="eastAsia" w:cs="Times New Roman"/>
          <w:kern w:val="0"/>
          <w:szCs w:val="32"/>
        </w:rPr>
        <w:t>%。 2020年行政处罚13家医药机构，共罚款5.33万元，行政处罚未出现不及时执行的情况，故扣</w:t>
      </w:r>
      <w:r>
        <w:rPr>
          <w:rFonts w:cs="Times New Roman"/>
          <w:kern w:val="0"/>
          <w:szCs w:val="32"/>
        </w:rPr>
        <w:t>0.00</w:t>
      </w:r>
      <w:r>
        <w:rPr>
          <w:rFonts w:hint="eastAsia" w:cs="Times New Roman"/>
          <w:kern w:val="0"/>
          <w:szCs w:val="32"/>
        </w:rPr>
        <w:t>分。</w:t>
      </w:r>
    </w:p>
    <w:p>
      <w:pPr>
        <w:spacing w:line="600" w:lineRule="exact"/>
        <w:ind w:firstLine="640"/>
        <w:rPr>
          <w:rFonts w:cs="Times New Roman"/>
        </w:rPr>
      </w:pPr>
      <w:r>
        <w:rPr>
          <w:rFonts w:hint="eastAsia" w:cs="Times New Roman"/>
        </w:rPr>
        <w:t>4.服务能力提升工作</w:t>
      </w:r>
    </w:p>
    <w:p>
      <w:pPr>
        <w:spacing w:line="600" w:lineRule="exact"/>
        <w:ind w:firstLine="640"/>
        <w:rPr>
          <w:rFonts w:cs="Times New Roman"/>
        </w:rPr>
      </w:pPr>
      <w:r>
        <w:rPr>
          <w:rFonts w:hint="eastAsia" w:cs="Times New Roman"/>
        </w:rPr>
        <w:t>在服务能力提升指标上，设置了信息化升级改造完成率、政务服务效能提升2个三级指标。</w:t>
      </w:r>
    </w:p>
    <w:p>
      <w:pPr>
        <w:spacing w:line="600" w:lineRule="exact"/>
        <w:ind w:firstLine="640"/>
        <w:rPr>
          <w:rFonts w:cs="Times New Roman"/>
        </w:rPr>
      </w:pPr>
      <w:r>
        <w:rPr>
          <w:rFonts w:hint="eastAsia" w:cs="Times New Roman"/>
        </w:rPr>
        <w:t>（1）信息化升级改造完成率</w:t>
      </w:r>
    </w:p>
    <w:p>
      <w:pPr>
        <w:spacing w:line="600" w:lineRule="exact"/>
        <w:ind w:firstLine="640"/>
        <w:rPr>
          <w:rFonts w:cs="Times New Roman"/>
        </w:rPr>
      </w:pPr>
      <w:r>
        <w:rPr>
          <w:rFonts w:hint="eastAsia" w:cs="Times New Roman"/>
        </w:rPr>
        <w:t>信息化升级改造完成率权重5</w:t>
      </w:r>
      <w:r>
        <w:rPr>
          <w:rFonts w:cs="Times New Roman"/>
        </w:rPr>
        <w:t>.00</w:t>
      </w:r>
      <w:r>
        <w:rPr>
          <w:rFonts w:hint="eastAsia" w:cs="Times New Roman"/>
        </w:rPr>
        <w:t>分，实际得分5</w:t>
      </w:r>
      <w:r>
        <w:rPr>
          <w:rFonts w:cs="Times New Roman"/>
        </w:rPr>
        <w:t>.00</w:t>
      </w:r>
      <w:r>
        <w:rPr>
          <w:rFonts w:hint="eastAsia" w:cs="Times New Roman"/>
        </w:rPr>
        <w:t>分，得分率为100%。为优化大厅设置，市医保局开展医保中心窗口标准化和信息化升级改造项目（大厅窗口标准化信息化建设项目），增设服务台、自主填单区、投诉意见箱、10套智能显示、自助智能叫号机、职能评价器、饮水机、药箱等便民服务设施，并于2020年4月完成验收，故未扣分。</w:t>
      </w:r>
    </w:p>
    <w:p>
      <w:pPr>
        <w:spacing w:line="600" w:lineRule="exact"/>
        <w:ind w:firstLine="640"/>
        <w:rPr>
          <w:rFonts w:cs="Times New Roman"/>
        </w:rPr>
      </w:pPr>
      <w:r>
        <w:rPr>
          <w:rFonts w:hint="eastAsia" w:cs="Times New Roman"/>
        </w:rPr>
        <w:t>（2）政务服务效能提升</w:t>
      </w:r>
    </w:p>
    <w:p>
      <w:pPr>
        <w:spacing w:line="600" w:lineRule="exact"/>
        <w:ind w:firstLine="640"/>
        <w:rPr>
          <w:rFonts w:cs="Times New Roman"/>
        </w:rPr>
      </w:pPr>
      <w:r>
        <w:rPr>
          <w:rFonts w:hint="eastAsia" w:cs="Times New Roman"/>
        </w:rPr>
        <w:t>政务服务效能提升权重5</w:t>
      </w:r>
      <w:r>
        <w:rPr>
          <w:rFonts w:cs="Times New Roman"/>
        </w:rPr>
        <w:t>.00</w:t>
      </w:r>
      <w:r>
        <w:rPr>
          <w:rFonts w:hint="eastAsia" w:cs="Times New Roman"/>
        </w:rPr>
        <w:t>分，实际得分5</w:t>
      </w:r>
      <w:r>
        <w:rPr>
          <w:rFonts w:cs="Times New Roman"/>
        </w:rPr>
        <w:t>.00</w:t>
      </w:r>
      <w:r>
        <w:rPr>
          <w:rFonts w:hint="eastAsia" w:cs="Times New Roman"/>
        </w:rPr>
        <w:t>分，得分率为100</w:t>
      </w:r>
      <w:r>
        <w:rPr>
          <w:rFonts w:cs="Times New Roman"/>
        </w:rPr>
        <w:t>.00</w:t>
      </w:r>
      <w:r>
        <w:rPr>
          <w:rFonts w:hint="eastAsia" w:cs="Times New Roman"/>
        </w:rPr>
        <w:t>%。2</w:t>
      </w:r>
      <w:r>
        <w:rPr>
          <w:rFonts w:cs="Times New Roman"/>
        </w:rPr>
        <w:t>019</w:t>
      </w:r>
      <w:r>
        <w:rPr>
          <w:rFonts w:hint="eastAsia" w:cs="Times New Roman"/>
        </w:rPr>
        <w:t>年市医保局优化梳理政务服务事项12大项，35小项，整理公开办事指南21份。2020年优化梳理政务服务事项46项，减少慢性特殊疾病门诊费用报销材料1份，整理公开办事指南48份。与2</w:t>
      </w:r>
      <w:r>
        <w:rPr>
          <w:rFonts w:cs="Times New Roman"/>
        </w:rPr>
        <w:t>019</w:t>
      </w:r>
      <w:r>
        <w:rPr>
          <w:rFonts w:hint="eastAsia" w:cs="Times New Roman"/>
        </w:rPr>
        <w:t>年相比，2</w:t>
      </w:r>
      <w:r>
        <w:rPr>
          <w:rFonts w:cs="Times New Roman"/>
        </w:rPr>
        <w:t>020</w:t>
      </w:r>
      <w:r>
        <w:rPr>
          <w:rFonts w:hint="eastAsia" w:cs="Times New Roman"/>
        </w:rPr>
        <w:t>年医保政务服务效能有所提升，故未扣分。</w:t>
      </w:r>
    </w:p>
    <w:p>
      <w:pPr>
        <w:spacing w:line="600" w:lineRule="exact"/>
        <w:ind w:firstLine="640"/>
        <w:rPr>
          <w:rFonts w:cs="Times New Roman"/>
        </w:rPr>
      </w:pPr>
      <w:r>
        <w:rPr>
          <w:rFonts w:hint="eastAsia" w:cs="Times New Roman"/>
        </w:rPr>
        <w:t>5.医保宣传工作</w:t>
      </w:r>
    </w:p>
    <w:p>
      <w:pPr>
        <w:spacing w:line="600" w:lineRule="exact"/>
        <w:ind w:firstLine="640"/>
        <w:rPr>
          <w:rFonts w:cs="Times New Roman"/>
        </w:rPr>
      </w:pPr>
      <w:r>
        <w:rPr>
          <w:rFonts w:hint="eastAsia" w:cs="Times New Roman"/>
        </w:rPr>
        <w:t>在医保宣传工作指标上，设置了扩大医保宣传面和政务公开医保政策2个三级指标。</w:t>
      </w:r>
    </w:p>
    <w:p>
      <w:pPr>
        <w:spacing w:line="600" w:lineRule="exact"/>
        <w:ind w:firstLine="640"/>
        <w:rPr>
          <w:rFonts w:cs="Times New Roman"/>
        </w:rPr>
      </w:pPr>
      <w:r>
        <w:rPr>
          <w:rFonts w:hint="eastAsia" w:cs="Times New Roman"/>
        </w:rPr>
        <w:t>（1）扩大医保宣传面</w:t>
      </w:r>
    </w:p>
    <w:p>
      <w:pPr>
        <w:spacing w:line="600" w:lineRule="exact"/>
        <w:ind w:firstLine="640"/>
        <w:rPr>
          <w:rFonts w:cs="Times New Roman"/>
        </w:rPr>
      </w:pPr>
      <w:r>
        <w:rPr>
          <w:rFonts w:hint="eastAsia" w:cs="Times New Roman"/>
        </w:rPr>
        <w:t>扩大医保宣传面权重</w:t>
      </w:r>
      <w:r>
        <w:rPr>
          <w:rFonts w:cs="Times New Roman"/>
        </w:rPr>
        <w:t>6.00</w:t>
      </w:r>
      <w:r>
        <w:rPr>
          <w:rFonts w:hint="eastAsia" w:cs="Times New Roman"/>
        </w:rPr>
        <w:t>分，实际得分</w:t>
      </w:r>
      <w:r>
        <w:rPr>
          <w:rFonts w:cs="Times New Roman"/>
        </w:rPr>
        <w:t>6.00</w:t>
      </w:r>
      <w:r>
        <w:rPr>
          <w:rFonts w:hint="eastAsia" w:cs="Times New Roman"/>
        </w:rPr>
        <w:t>分，得分率为1</w:t>
      </w:r>
      <w:r>
        <w:rPr>
          <w:rFonts w:cs="Times New Roman"/>
        </w:rPr>
        <w:t>00.00</w:t>
      </w:r>
      <w:r>
        <w:rPr>
          <w:rFonts w:hint="eastAsia" w:cs="Times New Roman"/>
        </w:rPr>
        <w:t>%。与2</w:t>
      </w:r>
      <w:r>
        <w:rPr>
          <w:rFonts w:cs="Times New Roman"/>
        </w:rPr>
        <w:t>019</w:t>
      </w:r>
      <w:r>
        <w:rPr>
          <w:rFonts w:hint="eastAsia" w:cs="Times New Roman"/>
        </w:rPr>
        <w:t>年相比，除了下乡入户讲解、发放纸质资料、横幅等传统宣传形式，2</w:t>
      </w:r>
      <w:r>
        <w:rPr>
          <w:rFonts w:cs="Times New Roman"/>
        </w:rPr>
        <w:t>020</w:t>
      </w:r>
      <w:r>
        <w:rPr>
          <w:rFonts w:hint="eastAsia" w:cs="Times New Roman"/>
        </w:rPr>
        <w:t>年市医保局还开通了惠民短信，通过电视台、政务网站、公众号等加大新媒体传播力度。同时通过建立扶贫政策明白卡、贫困户慢性病卡等，进一步扩大医保政策的宣传受众面，故未扣分。</w:t>
      </w:r>
    </w:p>
    <w:p>
      <w:pPr>
        <w:spacing w:line="600" w:lineRule="exact"/>
        <w:ind w:firstLine="0" w:firstLineChars="0"/>
        <w:jc w:val="center"/>
        <w:rPr>
          <w:rFonts w:eastAsia="幼圆" w:cs="Times New Roman"/>
          <w:b/>
          <w:sz w:val="28"/>
          <w:szCs w:val="32"/>
        </w:rPr>
      </w:pPr>
      <w:r>
        <w:rPr>
          <w:rFonts w:eastAsia="幼圆" w:cs="Times New Roman"/>
          <w:b/>
          <w:sz w:val="28"/>
          <w:szCs w:val="32"/>
        </w:rPr>
        <w:t>附表  2019</w:t>
      </w:r>
      <w:r>
        <w:rPr>
          <w:rFonts w:hint="eastAsia" w:eastAsia="幼圆" w:cs="Times New Roman"/>
          <w:b/>
          <w:sz w:val="28"/>
          <w:szCs w:val="32"/>
        </w:rPr>
        <w:t>-</w:t>
      </w:r>
      <w:r>
        <w:rPr>
          <w:rFonts w:eastAsia="幼圆" w:cs="Times New Roman"/>
          <w:b/>
          <w:sz w:val="28"/>
          <w:szCs w:val="32"/>
        </w:rPr>
        <w:t>2020年医</w:t>
      </w:r>
      <w:r>
        <w:rPr>
          <w:rFonts w:hint="eastAsia" w:eastAsia="幼圆"/>
          <w:b/>
          <w:sz w:val="28"/>
          <w:szCs w:val="32"/>
        </w:rPr>
        <w:t>保宣传情况</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2"/>
        <w:gridCol w:w="1750"/>
        <w:gridCol w:w="291"/>
        <w:gridCol w:w="2828"/>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blHeader/>
          <w:jc w:val="center"/>
        </w:trPr>
        <w:tc>
          <w:tcPr>
            <w:tcW w:w="2219" w:type="pct"/>
            <w:gridSpan w:val="2"/>
            <w:tcBorders>
              <w:bottom w:val="single" w:color="auto" w:sz="4" w:space="0"/>
            </w:tcBorders>
            <w:shd w:val="clear" w:color="auto" w:fill="00516B"/>
            <w:vAlign w:val="center"/>
          </w:tcPr>
          <w:p>
            <w:pPr>
              <w:widowControl/>
              <w:spacing w:line="320" w:lineRule="exact"/>
              <w:ind w:firstLine="402"/>
              <w:jc w:val="center"/>
              <w:rPr>
                <w:rFonts w:eastAsia="宋体" w:cs="Times New Roman"/>
                <w:b/>
                <w:bCs/>
                <w:color w:val="FFFFFF"/>
                <w:kern w:val="0"/>
                <w:sz w:val="20"/>
                <w:szCs w:val="13"/>
              </w:rPr>
            </w:pPr>
            <w:r>
              <w:rPr>
                <w:rFonts w:hint="eastAsia" w:eastAsia="宋体" w:cs="Times New Roman"/>
                <w:b/>
                <w:bCs/>
                <w:color w:val="FFFFFF"/>
                <w:kern w:val="0"/>
                <w:sz w:val="20"/>
                <w:szCs w:val="13"/>
              </w:rPr>
              <w:t>2</w:t>
            </w:r>
            <w:r>
              <w:rPr>
                <w:rFonts w:eastAsia="宋体" w:cs="Times New Roman"/>
                <w:b/>
                <w:bCs/>
                <w:color w:val="FFFFFF"/>
                <w:kern w:val="0"/>
                <w:sz w:val="20"/>
                <w:szCs w:val="13"/>
              </w:rPr>
              <w:t>019</w:t>
            </w:r>
            <w:r>
              <w:rPr>
                <w:rFonts w:hint="eastAsia" w:eastAsia="宋体" w:cs="Times New Roman"/>
                <w:b/>
                <w:bCs/>
                <w:color w:val="FFFFFF"/>
                <w:kern w:val="0"/>
                <w:sz w:val="20"/>
                <w:szCs w:val="13"/>
              </w:rPr>
              <w:t>年</w:t>
            </w:r>
          </w:p>
        </w:tc>
        <w:tc>
          <w:tcPr>
            <w:tcW w:w="171" w:type="pct"/>
            <w:vMerge w:val="restart"/>
            <w:shd w:val="clear" w:color="auto" w:fill="auto"/>
          </w:tcPr>
          <w:p>
            <w:pPr>
              <w:widowControl/>
              <w:spacing w:line="320" w:lineRule="exact"/>
              <w:ind w:firstLine="402"/>
              <w:jc w:val="center"/>
              <w:rPr>
                <w:rFonts w:eastAsia="宋体" w:cs="Times New Roman"/>
                <w:b/>
                <w:bCs/>
                <w:color w:val="FFFFFF"/>
                <w:kern w:val="0"/>
                <w:sz w:val="20"/>
                <w:szCs w:val="13"/>
              </w:rPr>
            </w:pPr>
          </w:p>
        </w:tc>
        <w:tc>
          <w:tcPr>
            <w:tcW w:w="2610" w:type="pct"/>
            <w:gridSpan w:val="2"/>
            <w:tcBorders>
              <w:bottom w:val="single" w:color="auto" w:sz="4" w:space="0"/>
            </w:tcBorders>
            <w:shd w:val="clear" w:color="auto" w:fill="00516B"/>
          </w:tcPr>
          <w:p>
            <w:pPr>
              <w:widowControl/>
              <w:spacing w:line="320" w:lineRule="exact"/>
              <w:ind w:firstLine="402"/>
              <w:jc w:val="center"/>
              <w:rPr>
                <w:rFonts w:eastAsia="宋体" w:cs="Times New Roman"/>
                <w:b/>
                <w:bCs/>
                <w:color w:val="FFFFFF"/>
                <w:kern w:val="0"/>
                <w:sz w:val="20"/>
                <w:szCs w:val="13"/>
              </w:rPr>
            </w:pPr>
            <w:r>
              <w:rPr>
                <w:rFonts w:hint="eastAsia" w:eastAsia="宋体" w:cs="Times New Roman"/>
                <w:b/>
                <w:bCs/>
                <w:color w:val="FFFFFF"/>
                <w:kern w:val="0"/>
                <w:sz w:val="20"/>
                <w:szCs w:val="13"/>
              </w:rPr>
              <w:t>2</w:t>
            </w:r>
            <w:r>
              <w:rPr>
                <w:rFonts w:eastAsia="宋体" w:cs="Times New Roman"/>
                <w:b/>
                <w:bCs/>
                <w:color w:val="FFFFFF"/>
                <w:kern w:val="0"/>
                <w:sz w:val="20"/>
                <w:szCs w:val="13"/>
              </w:rPr>
              <w:t>020</w:t>
            </w:r>
            <w:r>
              <w:rPr>
                <w:rFonts w:hint="eastAsia" w:eastAsia="宋体" w:cs="Times New Roman"/>
                <w:b/>
                <w:bCs/>
                <w:color w:val="FFFFFF"/>
                <w:kern w:val="0"/>
                <w:sz w:val="20"/>
                <w:szCs w:val="13"/>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blHeader/>
          <w:jc w:val="center"/>
        </w:trPr>
        <w:tc>
          <w:tcPr>
            <w:tcW w:w="1192" w:type="pct"/>
            <w:tcBorders>
              <w:bottom w:val="single" w:color="auto" w:sz="4" w:space="0"/>
            </w:tcBorders>
            <w:shd w:val="clear" w:color="auto" w:fill="00516B"/>
            <w:vAlign w:val="center"/>
          </w:tcPr>
          <w:p>
            <w:pPr>
              <w:widowControl/>
              <w:spacing w:line="320" w:lineRule="exact"/>
              <w:ind w:firstLine="402"/>
              <w:jc w:val="center"/>
              <w:rPr>
                <w:rFonts w:eastAsia="宋体" w:cs="Times New Roman"/>
                <w:b/>
                <w:bCs/>
                <w:color w:val="FFFFFF"/>
                <w:kern w:val="0"/>
                <w:sz w:val="20"/>
                <w:szCs w:val="13"/>
              </w:rPr>
            </w:pPr>
            <w:r>
              <w:rPr>
                <w:rFonts w:eastAsia="宋体" w:cs="Times New Roman"/>
                <w:b/>
                <w:bCs/>
                <w:color w:val="FFFFFF"/>
                <w:kern w:val="0"/>
                <w:sz w:val="20"/>
                <w:szCs w:val="13"/>
              </w:rPr>
              <w:t>宣传方式</w:t>
            </w:r>
          </w:p>
        </w:tc>
        <w:tc>
          <w:tcPr>
            <w:tcW w:w="1027" w:type="pct"/>
            <w:tcBorders>
              <w:bottom w:val="single" w:color="auto" w:sz="4" w:space="0"/>
            </w:tcBorders>
            <w:shd w:val="clear" w:color="auto" w:fill="00516B"/>
            <w:vAlign w:val="center"/>
          </w:tcPr>
          <w:p>
            <w:pPr>
              <w:widowControl/>
              <w:spacing w:line="320" w:lineRule="exact"/>
              <w:ind w:firstLine="402"/>
              <w:jc w:val="center"/>
              <w:rPr>
                <w:rFonts w:eastAsia="宋体" w:cs="Times New Roman"/>
                <w:b/>
                <w:bCs/>
                <w:color w:val="FFFFFF"/>
                <w:kern w:val="0"/>
                <w:sz w:val="20"/>
                <w:szCs w:val="13"/>
              </w:rPr>
            </w:pPr>
            <w:r>
              <w:rPr>
                <w:rFonts w:eastAsia="宋体" w:cs="Times New Roman"/>
                <w:b/>
                <w:bCs/>
                <w:color w:val="FFFFFF"/>
                <w:kern w:val="0"/>
                <w:sz w:val="20"/>
                <w:szCs w:val="13"/>
              </w:rPr>
              <w:t>数量情况</w:t>
            </w:r>
          </w:p>
        </w:tc>
        <w:tc>
          <w:tcPr>
            <w:tcW w:w="171" w:type="pct"/>
            <w:vMerge w:val="continue"/>
            <w:shd w:val="clear" w:color="auto" w:fill="auto"/>
          </w:tcPr>
          <w:p>
            <w:pPr>
              <w:widowControl/>
              <w:spacing w:line="320" w:lineRule="exact"/>
              <w:ind w:firstLine="402"/>
              <w:jc w:val="center"/>
              <w:rPr>
                <w:rFonts w:eastAsia="宋体" w:cs="Times New Roman"/>
                <w:b/>
                <w:bCs/>
                <w:color w:val="FFFFFF"/>
                <w:kern w:val="0"/>
                <w:sz w:val="20"/>
                <w:szCs w:val="13"/>
              </w:rPr>
            </w:pPr>
          </w:p>
        </w:tc>
        <w:tc>
          <w:tcPr>
            <w:tcW w:w="1659" w:type="pct"/>
            <w:tcBorders>
              <w:bottom w:val="single" w:color="auto" w:sz="4" w:space="0"/>
            </w:tcBorders>
            <w:shd w:val="clear" w:color="auto" w:fill="00516B"/>
            <w:vAlign w:val="center"/>
          </w:tcPr>
          <w:p>
            <w:pPr>
              <w:widowControl/>
              <w:spacing w:line="320" w:lineRule="exact"/>
              <w:ind w:firstLine="402"/>
              <w:jc w:val="center"/>
              <w:rPr>
                <w:rFonts w:eastAsia="宋体" w:cs="Times New Roman"/>
                <w:b/>
                <w:bCs/>
                <w:color w:val="FFFFFF"/>
                <w:kern w:val="0"/>
                <w:sz w:val="20"/>
                <w:szCs w:val="13"/>
              </w:rPr>
            </w:pPr>
            <w:r>
              <w:rPr>
                <w:rFonts w:eastAsia="宋体" w:cs="Times New Roman"/>
                <w:b/>
                <w:bCs/>
                <w:color w:val="FFFFFF"/>
                <w:kern w:val="0"/>
                <w:sz w:val="20"/>
                <w:szCs w:val="13"/>
              </w:rPr>
              <w:t>宣传方式</w:t>
            </w:r>
          </w:p>
        </w:tc>
        <w:tc>
          <w:tcPr>
            <w:tcW w:w="951" w:type="pct"/>
            <w:tcBorders>
              <w:bottom w:val="single" w:color="auto" w:sz="4" w:space="0"/>
            </w:tcBorders>
            <w:shd w:val="clear" w:color="auto" w:fill="00516B"/>
            <w:vAlign w:val="center"/>
          </w:tcPr>
          <w:p>
            <w:pPr>
              <w:widowControl/>
              <w:spacing w:line="320" w:lineRule="exact"/>
              <w:ind w:firstLine="402"/>
              <w:jc w:val="center"/>
              <w:rPr>
                <w:rFonts w:eastAsia="宋体" w:cs="Times New Roman"/>
                <w:b/>
                <w:bCs/>
                <w:color w:val="FFFFFF"/>
                <w:kern w:val="0"/>
                <w:sz w:val="20"/>
                <w:szCs w:val="13"/>
              </w:rPr>
            </w:pPr>
            <w:r>
              <w:rPr>
                <w:rFonts w:eastAsia="宋体" w:cs="Times New Roman"/>
                <w:b/>
                <w:bCs/>
                <w:color w:val="FFFFFF"/>
                <w:kern w:val="0"/>
                <w:sz w:val="20"/>
                <w:szCs w:val="13"/>
              </w:rPr>
              <w:t>数量情况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jc w:val="center"/>
        </w:trPr>
        <w:tc>
          <w:tcPr>
            <w:tcW w:w="119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color w:val="000000"/>
                <w:kern w:val="0"/>
                <w:sz w:val="20"/>
                <w:szCs w:val="13"/>
              </w:rPr>
            </w:pPr>
            <w:r>
              <w:rPr>
                <w:rFonts w:eastAsia="宋体" w:cs="Times New Roman"/>
                <w:color w:val="000000"/>
                <w:kern w:val="0"/>
                <w:sz w:val="20"/>
                <w:szCs w:val="13"/>
              </w:rPr>
              <w:t>乡镇社区现场咨询</w:t>
            </w:r>
          </w:p>
        </w:tc>
        <w:tc>
          <w:tcPr>
            <w:tcW w:w="1027" w:type="pct"/>
            <w:tcBorders>
              <w:top w:val="single" w:color="auto" w:sz="4" w:space="0"/>
              <w:left w:val="single" w:color="auto" w:sz="4" w:space="0"/>
              <w:bottom w:val="single" w:color="auto" w:sz="4" w:space="0"/>
            </w:tcBorders>
            <w:shd w:val="clear" w:color="auto" w:fill="auto"/>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70次</w:t>
            </w: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right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新闻媒体宣传医保政策</w:t>
            </w:r>
          </w:p>
        </w:tc>
        <w:tc>
          <w:tcPr>
            <w:tcW w:w="95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40次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19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color w:val="000000"/>
                <w:kern w:val="0"/>
                <w:sz w:val="20"/>
                <w:szCs w:val="13"/>
              </w:rPr>
            </w:pPr>
            <w:r>
              <w:rPr>
                <w:rFonts w:eastAsia="宋体" w:cs="Times New Roman"/>
                <w:color w:val="000000"/>
                <w:kern w:val="0"/>
                <w:sz w:val="20"/>
                <w:szCs w:val="13"/>
              </w:rPr>
              <w:t>宣传视频</w:t>
            </w:r>
          </w:p>
        </w:tc>
        <w:tc>
          <w:tcPr>
            <w:tcW w:w="1027" w:type="pct"/>
            <w:tcBorders>
              <w:top w:val="single" w:color="auto" w:sz="4" w:space="0"/>
              <w:left w:val="single" w:color="auto" w:sz="4" w:space="0"/>
              <w:bottom w:val="single" w:color="auto" w:sz="4" w:space="0"/>
            </w:tcBorders>
            <w:shd w:val="clear" w:color="auto" w:fill="auto"/>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38场</w:t>
            </w: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right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医保政策宣讲下乡、进社区活动</w:t>
            </w:r>
          </w:p>
        </w:tc>
        <w:tc>
          <w:tcPr>
            <w:tcW w:w="95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10次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19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打击骗保宣传海报、折页、单页</w:t>
            </w:r>
          </w:p>
        </w:tc>
        <w:tc>
          <w:tcPr>
            <w:tcW w:w="1027" w:type="pct"/>
            <w:tcBorders>
              <w:top w:val="single" w:color="auto" w:sz="4" w:space="0"/>
              <w:left w:val="single" w:color="auto" w:sz="4" w:space="0"/>
              <w:bottom w:val="single" w:color="auto" w:sz="4" w:space="0"/>
            </w:tcBorders>
            <w:shd w:val="clear" w:color="auto" w:fill="auto"/>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19200份</w:t>
            </w: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right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村村大喇叭播放宣传知识</w:t>
            </w:r>
          </w:p>
        </w:tc>
        <w:tc>
          <w:tcPr>
            <w:tcW w:w="951" w:type="pct"/>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10000次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192" w:type="pct"/>
            <w:tcBorders>
              <w:top w:val="single" w:color="auto" w:sz="4" w:space="0"/>
              <w:bottom w:val="single" w:color="auto" w:sz="4" w:space="0"/>
            </w:tcBorders>
            <w:shd w:val="clear" w:color="auto" w:fill="auto"/>
            <w:vAlign w:val="center"/>
          </w:tcPr>
          <w:p>
            <w:pPr>
              <w:widowControl/>
              <w:spacing w:line="320" w:lineRule="exact"/>
              <w:ind w:firstLine="0" w:firstLineChars="0"/>
              <w:jc w:val="center"/>
              <w:rPr>
                <w:rFonts w:eastAsia="宋体" w:cs="Times New Roman"/>
                <w:color w:val="000000"/>
                <w:kern w:val="0"/>
                <w:sz w:val="20"/>
                <w:szCs w:val="13"/>
              </w:rPr>
            </w:pPr>
            <w:r>
              <w:rPr>
                <w:rFonts w:eastAsia="宋体" w:cs="Times New Roman"/>
                <w:color w:val="000000"/>
                <w:kern w:val="0"/>
                <w:sz w:val="20"/>
                <w:szCs w:val="13"/>
              </w:rPr>
              <w:t>医保征收入户宣传单</w:t>
            </w:r>
          </w:p>
        </w:tc>
        <w:tc>
          <w:tcPr>
            <w:tcW w:w="1027" w:type="pct"/>
            <w:tcBorders>
              <w:top w:val="single" w:color="auto" w:sz="4" w:space="0"/>
              <w:bottom w:val="single" w:color="auto" w:sz="4" w:space="0"/>
            </w:tcBorders>
            <w:shd w:val="clear" w:color="auto" w:fill="auto"/>
            <w:vAlign w:val="center"/>
          </w:tcPr>
          <w:p>
            <w:pPr>
              <w:widowControl/>
              <w:spacing w:line="320" w:lineRule="exact"/>
              <w:ind w:firstLine="400"/>
              <w:jc w:val="center"/>
              <w:rPr>
                <w:rFonts w:eastAsia="宋体" w:cs="Times New Roman"/>
                <w:color w:val="000000"/>
                <w:kern w:val="0"/>
                <w:sz w:val="20"/>
                <w:szCs w:val="13"/>
              </w:rPr>
            </w:pPr>
            <w:r>
              <w:rPr>
                <w:rFonts w:eastAsia="宋体" w:cs="Times New Roman"/>
                <w:kern w:val="0"/>
                <w:sz w:val="20"/>
                <w:szCs w:val="13"/>
              </w:rPr>
              <w:t>50000份</w:t>
            </w: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帮扶入户讲解政策</w:t>
            </w:r>
          </w:p>
        </w:tc>
        <w:tc>
          <w:tcPr>
            <w:tcW w:w="951" w:type="pct"/>
            <w:tcBorders>
              <w:top w:val="single" w:color="auto" w:sz="4" w:space="0"/>
              <w:bottom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20000次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192" w:type="pct"/>
            <w:tcBorders>
              <w:top w:val="single" w:color="auto" w:sz="4" w:space="0"/>
              <w:bottom w:val="single" w:color="auto" w:sz="4" w:space="0"/>
            </w:tcBorders>
            <w:shd w:val="clear" w:color="auto" w:fill="auto"/>
            <w:vAlign w:val="center"/>
          </w:tcPr>
          <w:p>
            <w:pPr>
              <w:widowControl/>
              <w:spacing w:line="320" w:lineRule="exact"/>
              <w:ind w:firstLine="0" w:firstLineChars="0"/>
              <w:jc w:val="center"/>
              <w:rPr>
                <w:rFonts w:eastAsia="宋体" w:cs="Times New Roman"/>
                <w:color w:val="000000"/>
                <w:kern w:val="0"/>
                <w:sz w:val="20"/>
                <w:szCs w:val="13"/>
              </w:rPr>
            </w:pPr>
            <w:r>
              <w:rPr>
                <w:rFonts w:eastAsia="宋体" w:cs="Times New Roman"/>
                <w:color w:val="000000"/>
                <w:kern w:val="0"/>
                <w:sz w:val="20"/>
                <w:szCs w:val="13"/>
              </w:rPr>
              <w:t>悬挂横幅</w:t>
            </w:r>
          </w:p>
        </w:tc>
        <w:tc>
          <w:tcPr>
            <w:tcW w:w="1027" w:type="pct"/>
            <w:tcBorders>
              <w:top w:val="single" w:color="auto" w:sz="4" w:space="0"/>
              <w:bottom w:val="single" w:color="auto" w:sz="4" w:space="0"/>
            </w:tcBorders>
            <w:shd w:val="clear" w:color="auto" w:fill="auto"/>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300条</w:t>
            </w: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《住院政策小知识》等自制宣传资料</w:t>
            </w:r>
          </w:p>
        </w:tc>
        <w:tc>
          <w:tcPr>
            <w:tcW w:w="951" w:type="pct"/>
            <w:tcBorders>
              <w:top w:val="single" w:color="auto" w:sz="4" w:space="0"/>
              <w:bottom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45000份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192" w:type="pct"/>
            <w:vMerge w:val="restart"/>
            <w:tcBorders>
              <w:top w:val="single" w:color="auto" w:sz="4" w:space="0"/>
            </w:tcBorders>
            <w:shd w:val="clear" w:color="auto" w:fill="auto"/>
            <w:vAlign w:val="center"/>
          </w:tcPr>
          <w:p>
            <w:pPr>
              <w:widowControl/>
              <w:spacing w:line="320" w:lineRule="exact"/>
              <w:ind w:firstLine="0" w:firstLineChars="0"/>
              <w:jc w:val="center"/>
              <w:rPr>
                <w:rFonts w:eastAsia="宋体" w:cs="Times New Roman"/>
                <w:color w:val="000000"/>
                <w:kern w:val="0"/>
                <w:sz w:val="20"/>
                <w:szCs w:val="13"/>
              </w:rPr>
            </w:pPr>
            <w:r>
              <w:rPr>
                <w:rFonts w:hint="eastAsia" w:eastAsia="宋体" w:cs="Times New Roman"/>
                <w:color w:val="000000"/>
                <w:kern w:val="0"/>
                <w:sz w:val="20"/>
                <w:szCs w:val="13"/>
              </w:rPr>
              <w:t>—</w:t>
            </w:r>
          </w:p>
        </w:tc>
        <w:tc>
          <w:tcPr>
            <w:tcW w:w="1027" w:type="pct"/>
            <w:vMerge w:val="restart"/>
            <w:tcBorders>
              <w:top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13"/>
              </w:rPr>
            </w:pPr>
            <w:r>
              <w:rPr>
                <w:rFonts w:hint="eastAsia" w:eastAsia="宋体" w:cs="Times New Roman"/>
                <w:kern w:val="0"/>
                <w:sz w:val="20"/>
                <w:szCs w:val="13"/>
              </w:rPr>
              <w:t>—</w:t>
            </w: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打击欺诈骗保宣传资料</w:t>
            </w:r>
          </w:p>
        </w:tc>
        <w:tc>
          <w:tcPr>
            <w:tcW w:w="951" w:type="pct"/>
            <w:tcBorders>
              <w:top w:val="single" w:color="auto" w:sz="4" w:space="0"/>
              <w:bottom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6700份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192" w:type="pct"/>
            <w:vMerge w:val="continue"/>
            <w:shd w:val="clear" w:color="auto" w:fill="auto"/>
            <w:vAlign w:val="center"/>
          </w:tcPr>
          <w:p>
            <w:pPr>
              <w:widowControl/>
              <w:spacing w:line="320" w:lineRule="exact"/>
              <w:ind w:firstLine="400"/>
              <w:jc w:val="center"/>
              <w:rPr>
                <w:rFonts w:eastAsia="宋体" w:cs="Times New Roman"/>
                <w:color w:val="000000"/>
                <w:kern w:val="0"/>
                <w:sz w:val="20"/>
                <w:szCs w:val="13"/>
              </w:rPr>
            </w:pPr>
          </w:p>
        </w:tc>
        <w:tc>
          <w:tcPr>
            <w:tcW w:w="1027" w:type="pct"/>
            <w:vMerge w:val="continue"/>
            <w:shd w:val="clear" w:color="auto" w:fill="auto"/>
            <w:vAlign w:val="center"/>
          </w:tcPr>
          <w:p>
            <w:pPr>
              <w:widowControl/>
              <w:spacing w:line="320" w:lineRule="exact"/>
              <w:ind w:firstLine="400"/>
              <w:jc w:val="center"/>
              <w:rPr>
                <w:rFonts w:eastAsia="宋体" w:cs="Times New Roman"/>
                <w:kern w:val="0"/>
                <w:sz w:val="20"/>
                <w:szCs w:val="13"/>
              </w:rPr>
            </w:pP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贫困户慢性卡</w:t>
            </w:r>
          </w:p>
        </w:tc>
        <w:tc>
          <w:tcPr>
            <w:tcW w:w="951" w:type="pct"/>
            <w:tcBorders>
              <w:top w:val="single" w:color="auto" w:sz="4" w:space="0"/>
              <w:bottom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5500份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192" w:type="pct"/>
            <w:vMerge w:val="continue"/>
            <w:shd w:val="clear" w:color="auto" w:fill="auto"/>
            <w:vAlign w:val="center"/>
          </w:tcPr>
          <w:p>
            <w:pPr>
              <w:widowControl/>
              <w:spacing w:line="320" w:lineRule="exact"/>
              <w:ind w:firstLine="400"/>
              <w:jc w:val="center"/>
              <w:rPr>
                <w:rFonts w:eastAsia="宋体" w:cs="Times New Roman"/>
                <w:color w:val="000000"/>
                <w:kern w:val="0"/>
                <w:sz w:val="20"/>
                <w:szCs w:val="13"/>
              </w:rPr>
            </w:pPr>
          </w:p>
        </w:tc>
        <w:tc>
          <w:tcPr>
            <w:tcW w:w="1027" w:type="pct"/>
            <w:vMerge w:val="continue"/>
            <w:shd w:val="clear" w:color="auto" w:fill="auto"/>
            <w:vAlign w:val="center"/>
          </w:tcPr>
          <w:p>
            <w:pPr>
              <w:widowControl/>
              <w:spacing w:line="320" w:lineRule="exact"/>
              <w:ind w:firstLine="400"/>
              <w:jc w:val="center"/>
              <w:rPr>
                <w:rFonts w:eastAsia="宋体" w:cs="Times New Roman"/>
                <w:kern w:val="0"/>
                <w:sz w:val="20"/>
                <w:szCs w:val="13"/>
              </w:rPr>
            </w:pP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扶贫政策明白卡</w:t>
            </w:r>
          </w:p>
        </w:tc>
        <w:tc>
          <w:tcPr>
            <w:tcW w:w="951" w:type="pct"/>
            <w:tcBorders>
              <w:top w:val="single" w:color="auto" w:sz="4" w:space="0"/>
              <w:bottom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20000份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jc w:val="center"/>
        </w:trPr>
        <w:tc>
          <w:tcPr>
            <w:tcW w:w="1192" w:type="pct"/>
            <w:vMerge w:val="continue"/>
            <w:shd w:val="clear" w:color="auto" w:fill="auto"/>
            <w:vAlign w:val="center"/>
          </w:tcPr>
          <w:p>
            <w:pPr>
              <w:widowControl/>
              <w:spacing w:line="320" w:lineRule="exact"/>
              <w:ind w:firstLine="400"/>
              <w:jc w:val="center"/>
              <w:rPr>
                <w:rFonts w:eastAsia="宋体" w:cs="Times New Roman"/>
                <w:color w:val="000000"/>
                <w:kern w:val="0"/>
                <w:sz w:val="20"/>
                <w:szCs w:val="13"/>
              </w:rPr>
            </w:pPr>
          </w:p>
        </w:tc>
        <w:tc>
          <w:tcPr>
            <w:tcW w:w="1027" w:type="pct"/>
            <w:vMerge w:val="continue"/>
            <w:shd w:val="clear" w:color="auto" w:fill="auto"/>
            <w:vAlign w:val="center"/>
          </w:tcPr>
          <w:p>
            <w:pPr>
              <w:widowControl/>
              <w:spacing w:line="320" w:lineRule="exact"/>
              <w:ind w:firstLine="400"/>
              <w:jc w:val="center"/>
              <w:rPr>
                <w:rFonts w:eastAsia="宋体" w:cs="Times New Roman"/>
                <w:kern w:val="0"/>
                <w:sz w:val="20"/>
                <w:szCs w:val="13"/>
              </w:rPr>
            </w:pP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政策解读宣传短信</w:t>
            </w:r>
          </w:p>
        </w:tc>
        <w:tc>
          <w:tcPr>
            <w:tcW w:w="951" w:type="pct"/>
            <w:tcBorders>
              <w:top w:val="single" w:color="auto" w:sz="4" w:space="0"/>
              <w:bottom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20万条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jc w:val="center"/>
        </w:trPr>
        <w:tc>
          <w:tcPr>
            <w:tcW w:w="1192" w:type="pct"/>
            <w:vMerge w:val="continue"/>
            <w:tcBorders>
              <w:bottom w:val="single" w:color="auto" w:sz="4" w:space="0"/>
            </w:tcBorders>
            <w:shd w:val="clear" w:color="auto" w:fill="auto"/>
            <w:vAlign w:val="center"/>
          </w:tcPr>
          <w:p>
            <w:pPr>
              <w:widowControl/>
              <w:spacing w:line="320" w:lineRule="exact"/>
              <w:ind w:firstLine="400"/>
              <w:jc w:val="center"/>
              <w:rPr>
                <w:rFonts w:eastAsia="宋体" w:cs="Times New Roman"/>
                <w:color w:val="000000"/>
                <w:kern w:val="0"/>
                <w:sz w:val="20"/>
                <w:szCs w:val="13"/>
              </w:rPr>
            </w:pPr>
          </w:p>
        </w:tc>
        <w:tc>
          <w:tcPr>
            <w:tcW w:w="1027" w:type="pct"/>
            <w:vMerge w:val="continue"/>
            <w:tcBorders>
              <w:bottom w:val="single" w:color="auto" w:sz="4" w:space="0"/>
            </w:tcBorders>
            <w:shd w:val="clear" w:color="auto" w:fill="auto"/>
            <w:vAlign w:val="center"/>
          </w:tcPr>
          <w:p>
            <w:pPr>
              <w:widowControl/>
              <w:spacing w:line="320" w:lineRule="exact"/>
              <w:ind w:firstLine="400"/>
              <w:jc w:val="center"/>
              <w:rPr>
                <w:rFonts w:eastAsia="宋体" w:cs="Times New Roman"/>
                <w:kern w:val="0"/>
                <w:sz w:val="20"/>
                <w:szCs w:val="13"/>
              </w:rPr>
            </w:pPr>
          </w:p>
        </w:tc>
        <w:tc>
          <w:tcPr>
            <w:tcW w:w="171" w:type="pct"/>
            <w:vMerge w:val="continue"/>
            <w:shd w:val="clear" w:color="auto" w:fill="auto"/>
          </w:tcPr>
          <w:p>
            <w:pPr>
              <w:widowControl/>
              <w:spacing w:line="320" w:lineRule="exact"/>
              <w:ind w:firstLine="400"/>
              <w:jc w:val="center"/>
              <w:rPr>
                <w:rFonts w:eastAsia="宋体" w:cs="Times New Roman"/>
                <w:kern w:val="0"/>
                <w:sz w:val="20"/>
                <w:szCs w:val="13"/>
              </w:rPr>
            </w:pPr>
          </w:p>
        </w:tc>
        <w:tc>
          <w:tcPr>
            <w:tcW w:w="1659" w:type="pct"/>
            <w:tcBorders>
              <w:top w:val="single" w:color="auto" w:sz="4" w:space="0"/>
              <w:bottom w:val="single" w:color="auto" w:sz="4" w:space="0"/>
            </w:tcBorders>
            <w:vAlign w:val="center"/>
          </w:tcPr>
          <w:p>
            <w:pPr>
              <w:widowControl/>
              <w:spacing w:line="320" w:lineRule="exact"/>
              <w:ind w:firstLine="0" w:firstLineChars="0"/>
              <w:jc w:val="center"/>
              <w:rPr>
                <w:rFonts w:eastAsia="宋体" w:cs="Times New Roman"/>
                <w:kern w:val="0"/>
                <w:sz w:val="20"/>
                <w:szCs w:val="13"/>
              </w:rPr>
            </w:pPr>
            <w:r>
              <w:rPr>
                <w:rFonts w:eastAsia="宋体" w:cs="Times New Roman"/>
                <w:kern w:val="0"/>
                <w:sz w:val="20"/>
                <w:szCs w:val="13"/>
              </w:rPr>
              <w:t>政务公开网微信公众号主动公开医保政策</w:t>
            </w:r>
          </w:p>
        </w:tc>
        <w:tc>
          <w:tcPr>
            <w:tcW w:w="951" w:type="pct"/>
            <w:tcBorders>
              <w:top w:val="single" w:color="auto" w:sz="4" w:space="0"/>
              <w:bottom w:val="single" w:color="auto" w:sz="4" w:space="0"/>
            </w:tcBorders>
            <w:vAlign w:val="center"/>
          </w:tcPr>
          <w:p>
            <w:pPr>
              <w:widowControl/>
              <w:spacing w:line="320" w:lineRule="exact"/>
              <w:ind w:firstLine="400"/>
              <w:jc w:val="center"/>
              <w:rPr>
                <w:rFonts w:eastAsia="宋体" w:cs="Times New Roman"/>
                <w:kern w:val="0"/>
                <w:sz w:val="20"/>
                <w:szCs w:val="13"/>
              </w:rPr>
            </w:pPr>
            <w:r>
              <w:rPr>
                <w:rFonts w:eastAsia="宋体" w:cs="Times New Roman"/>
                <w:kern w:val="0"/>
                <w:sz w:val="20"/>
                <w:szCs w:val="13"/>
              </w:rPr>
              <w:t>400余条</w:t>
            </w:r>
          </w:p>
        </w:tc>
      </w:tr>
    </w:tbl>
    <w:p>
      <w:pPr>
        <w:spacing w:line="600" w:lineRule="exact"/>
        <w:ind w:firstLine="0" w:firstLineChars="0"/>
        <w:rPr>
          <w:rFonts w:cs="Times New Roman"/>
        </w:rPr>
      </w:pPr>
    </w:p>
    <w:p>
      <w:pPr>
        <w:spacing w:line="600" w:lineRule="exact"/>
        <w:ind w:firstLine="640"/>
        <w:rPr>
          <w:rFonts w:cs="Times New Roman"/>
        </w:rPr>
      </w:pPr>
      <w:r>
        <w:rPr>
          <w:rFonts w:hint="eastAsia" w:cs="Times New Roman"/>
        </w:rPr>
        <w:t>（2）政务公开医保政策</w:t>
      </w:r>
    </w:p>
    <w:p>
      <w:pPr>
        <w:spacing w:line="600" w:lineRule="exact"/>
        <w:ind w:firstLine="640"/>
        <w:rPr>
          <w:rFonts w:cs="Times New Roman"/>
        </w:rPr>
      </w:pPr>
      <w:r>
        <w:rPr>
          <w:rFonts w:hint="eastAsia" w:cs="Times New Roman"/>
        </w:rPr>
        <w:t>政务公开医保政策权重4</w:t>
      </w:r>
      <w:r>
        <w:rPr>
          <w:rFonts w:cs="Times New Roman"/>
        </w:rPr>
        <w:t>.00</w:t>
      </w:r>
      <w:r>
        <w:rPr>
          <w:rFonts w:hint="eastAsia" w:cs="Times New Roman"/>
        </w:rPr>
        <w:t>分，实际得分4</w:t>
      </w:r>
      <w:r>
        <w:rPr>
          <w:rFonts w:cs="Times New Roman"/>
        </w:rPr>
        <w:t>.00</w:t>
      </w:r>
      <w:r>
        <w:rPr>
          <w:rFonts w:hint="eastAsia" w:cs="Times New Roman"/>
        </w:rPr>
        <w:t>分，得分率1</w:t>
      </w:r>
      <w:r>
        <w:rPr>
          <w:rFonts w:cs="Times New Roman"/>
        </w:rPr>
        <w:t>00.00</w:t>
      </w:r>
      <w:r>
        <w:rPr>
          <w:rFonts w:hint="eastAsia" w:cs="Times New Roman"/>
        </w:rPr>
        <w:t>%。市医保局利用绵竹市政务公开网微信公众号主动公开医保政策400余条，故未扣分。</w:t>
      </w:r>
    </w:p>
    <w:p>
      <w:pPr>
        <w:pStyle w:val="2"/>
        <w:spacing w:before="120" w:after="120" w:line="600" w:lineRule="exact"/>
        <w:ind w:firstLine="640"/>
        <w:rPr>
          <w:rFonts w:eastAsia="黑体" w:cs="Times New Roman"/>
          <w:bCs w:val="0"/>
          <w:szCs w:val="32"/>
        </w:rPr>
      </w:pPr>
      <w:bookmarkStart w:id="64" w:name="_Toc77503491"/>
      <w:bookmarkStart w:id="65" w:name="_Toc73927500"/>
      <w:r>
        <w:rPr>
          <w:rFonts w:eastAsia="黑体" w:cs="Times New Roman"/>
          <w:bCs w:val="0"/>
          <w:szCs w:val="32"/>
        </w:rPr>
        <w:t>六、评价结论及措施</w:t>
      </w:r>
      <w:bookmarkEnd w:id="64"/>
      <w:bookmarkEnd w:id="65"/>
    </w:p>
    <w:p>
      <w:pPr>
        <w:pStyle w:val="3"/>
        <w:spacing w:before="120" w:after="120" w:line="600" w:lineRule="exact"/>
        <w:ind w:firstLine="643"/>
        <w:rPr>
          <w:rFonts w:cs="Times New Roman"/>
        </w:rPr>
      </w:pPr>
      <w:bookmarkStart w:id="66" w:name="_Toc77503492"/>
      <w:bookmarkStart w:id="67" w:name="_Toc73927501"/>
      <w:r>
        <w:rPr>
          <w:rFonts w:cs="Times New Roman"/>
        </w:rPr>
        <w:t>（一）评价结论</w:t>
      </w:r>
      <w:bookmarkEnd w:id="66"/>
      <w:bookmarkEnd w:id="67"/>
    </w:p>
    <w:p>
      <w:pPr>
        <w:ind w:firstLine="643"/>
        <w:rPr>
          <w:b/>
          <w:bCs/>
        </w:rPr>
      </w:pPr>
      <w:bookmarkStart w:id="68" w:name="_Toc73927502"/>
      <w:bookmarkStart w:id="69" w:name="_Toc73927849"/>
      <w:r>
        <w:rPr>
          <w:b/>
          <w:bCs/>
        </w:rPr>
        <w:t>20</w:t>
      </w:r>
      <w:r>
        <w:rPr>
          <w:rFonts w:hint="eastAsia"/>
          <w:b/>
          <w:bCs/>
        </w:rPr>
        <w:t>20年绵竹市医保局</w:t>
      </w:r>
      <w:r>
        <w:rPr>
          <w:b/>
          <w:bCs/>
        </w:rPr>
        <w:t>部门整体支出绩效评价得分为</w:t>
      </w:r>
      <w:r>
        <w:rPr>
          <w:rFonts w:hint="eastAsia"/>
          <w:b/>
          <w:bCs/>
        </w:rPr>
        <w:t>8</w:t>
      </w:r>
      <w:r>
        <w:rPr>
          <w:b/>
          <w:bCs/>
        </w:rPr>
        <w:t>6.80分，等级判定为：</w:t>
      </w:r>
      <w:r>
        <w:rPr>
          <w:rFonts w:hint="eastAsia"/>
          <w:b/>
          <w:bCs/>
        </w:rPr>
        <w:t>良</w:t>
      </w:r>
      <w:r>
        <w:rPr>
          <w:rStyle w:val="27"/>
          <w:rFonts w:cs="Times New Roman"/>
          <w:b/>
          <w:bCs/>
          <w:kern w:val="0"/>
        </w:rPr>
        <w:footnoteReference w:id="1"/>
      </w:r>
      <w:r>
        <w:rPr>
          <w:b/>
          <w:bCs/>
        </w:rPr>
        <w:t>。</w:t>
      </w:r>
      <w:bookmarkEnd w:id="68"/>
      <w:bookmarkEnd w:id="69"/>
    </w:p>
    <w:p>
      <w:pPr>
        <w:ind w:firstLine="640"/>
        <w:rPr>
          <w:kern w:val="0"/>
          <w:szCs w:val="32"/>
        </w:rPr>
      </w:pPr>
      <w:r>
        <w:rPr>
          <w:rFonts w:hint="eastAsia" w:cs="Times New Roman"/>
          <w:kern w:val="0"/>
          <w:szCs w:val="32"/>
        </w:rPr>
        <w:t>总体而言，绵竹市医保局部门整体履职较好，管理较为规范，基本能够按照职能职责及绩效目标要求内容完成任务，并取得不错的部门效果。</w:t>
      </w:r>
      <w:r>
        <w:rPr>
          <w:rFonts w:hint="eastAsia"/>
          <w:kern w:val="0"/>
          <w:szCs w:val="32"/>
        </w:rPr>
        <w:t>但在预算管理、资金管理和部门履职效能方面还存在部分问题。一是绩效目标</w:t>
      </w:r>
      <w:r>
        <w:rPr>
          <w:rFonts w:hint="eastAsia" w:cs="Times New Roman"/>
        </w:rPr>
        <w:t>完整性、</w:t>
      </w:r>
      <w:r>
        <w:rPr>
          <w:rFonts w:cs="Times New Roman"/>
        </w:rPr>
        <w:t>专业性等方面均较为欠缺</w:t>
      </w:r>
      <w:r>
        <w:rPr>
          <w:rFonts w:hint="eastAsia"/>
          <w:kern w:val="0"/>
          <w:szCs w:val="32"/>
        </w:rPr>
        <w:t>；二是多个项目之间进行调整支出；三是应保尽保方面工作完成度有待提高。</w:t>
      </w:r>
    </w:p>
    <w:p>
      <w:pPr>
        <w:spacing w:line="600" w:lineRule="exact"/>
        <w:ind w:firstLine="640"/>
        <w:rPr>
          <w:rFonts w:cs="Times New Roman"/>
          <w:kern w:val="0"/>
          <w:szCs w:val="32"/>
        </w:rPr>
      </w:pPr>
      <w:r>
        <w:rPr>
          <w:rFonts w:cs="Times New Roman"/>
          <w:szCs w:val="32"/>
        </w:rPr>
        <w:t>本次评价综合</w:t>
      </w:r>
      <w:r>
        <w:rPr>
          <w:rFonts w:hint="eastAsia" w:cs="Times New Roman"/>
          <w:kern w:val="0"/>
          <w:szCs w:val="32"/>
        </w:rPr>
        <w:t>运用案卷分析、现场核查、深度访谈等多种方式采集多源数据，对评价指标进行打分，整体指标得分详情如下：</w:t>
      </w:r>
    </w:p>
    <w:p>
      <w:pPr>
        <w:spacing w:line="600" w:lineRule="exact"/>
        <w:ind w:firstLine="0" w:firstLineChars="0"/>
        <w:jc w:val="center"/>
        <w:rPr>
          <w:rFonts w:eastAsia="幼圆" w:cs="Times New Roman"/>
          <w:b/>
          <w:bCs/>
          <w:kern w:val="0"/>
          <w:sz w:val="28"/>
          <w:szCs w:val="28"/>
        </w:rPr>
      </w:pPr>
      <w:r>
        <w:rPr>
          <w:rFonts w:eastAsia="幼圆" w:cs="Times New Roman"/>
          <w:b/>
          <w:bCs/>
          <w:kern w:val="0"/>
          <w:sz w:val="28"/>
          <w:szCs w:val="28"/>
        </w:rPr>
        <w:t>附表</w:t>
      </w:r>
      <w:r>
        <w:rPr>
          <w:rFonts w:hint="eastAsia" w:eastAsia="幼圆" w:cs="Times New Roman"/>
          <w:b/>
          <w:bCs/>
          <w:kern w:val="0"/>
          <w:sz w:val="28"/>
          <w:szCs w:val="28"/>
        </w:rPr>
        <w:t xml:space="preserve"> </w:t>
      </w:r>
      <w:r>
        <w:rPr>
          <w:rFonts w:eastAsia="幼圆" w:cs="Times New Roman"/>
          <w:b/>
          <w:bCs/>
          <w:kern w:val="0"/>
          <w:sz w:val="28"/>
          <w:szCs w:val="28"/>
        </w:rPr>
        <w:t>绵竹市2020年医保局部门整体支出绩效评价得分表</w:t>
      </w:r>
    </w:p>
    <w:tbl>
      <w:tblPr>
        <w:tblStyle w:val="22"/>
        <w:tblW w:w="5000" w:type="pct"/>
        <w:jc w:val="center"/>
        <w:tblLayout w:type="autofit"/>
        <w:tblCellMar>
          <w:top w:w="0" w:type="dxa"/>
          <w:left w:w="108" w:type="dxa"/>
          <w:bottom w:w="0" w:type="dxa"/>
          <w:right w:w="108" w:type="dxa"/>
        </w:tblCellMar>
      </w:tblPr>
      <w:tblGrid>
        <w:gridCol w:w="1148"/>
        <w:gridCol w:w="1149"/>
        <w:gridCol w:w="2778"/>
        <w:gridCol w:w="1149"/>
        <w:gridCol w:w="1149"/>
        <w:gridCol w:w="1149"/>
      </w:tblGrid>
      <w:tr>
        <w:tblPrEx>
          <w:tblCellMar>
            <w:top w:w="0" w:type="dxa"/>
            <w:left w:w="108" w:type="dxa"/>
            <w:bottom w:w="0" w:type="dxa"/>
            <w:right w:w="108" w:type="dxa"/>
          </w:tblCellMar>
        </w:tblPrEx>
        <w:trPr>
          <w:trHeight w:val="432" w:hRule="atLeast"/>
          <w:tblHeader/>
          <w:jc w:val="center"/>
        </w:trPr>
        <w:tc>
          <w:tcPr>
            <w:tcW w:w="674" w:type="pct"/>
            <w:tcBorders>
              <w:top w:val="single" w:color="auto" w:sz="8" w:space="0"/>
              <w:left w:val="single" w:color="auto" w:sz="8" w:space="0"/>
              <w:bottom w:val="single" w:color="auto" w:sz="8" w:space="0"/>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674"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1629" w:type="pct"/>
            <w:tcBorders>
              <w:top w:val="single" w:color="auto" w:sz="8" w:space="0"/>
              <w:left w:val="nil"/>
              <w:bottom w:val="single" w:color="auto" w:sz="8" w:space="0"/>
              <w:right w:val="single" w:color="auto" w:sz="8" w:space="0"/>
            </w:tcBorders>
            <w:shd w:val="clear" w:color="000000" w:fill="00516B"/>
            <w:noWrap/>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674"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674" w:type="pct"/>
            <w:tcBorders>
              <w:top w:val="single" w:color="auto" w:sz="8" w:space="0"/>
              <w:left w:val="nil"/>
              <w:bottom w:val="nil"/>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674" w:type="pct"/>
            <w:tcBorders>
              <w:top w:val="single" w:color="auto" w:sz="8" w:space="0"/>
              <w:left w:val="nil"/>
              <w:bottom w:val="single" w:color="auto" w:sz="8" w:space="0"/>
              <w:right w:val="single" w:color="auto" w:sz="8" w:space="0"/>
            </w:tcBorders>
            <w:shd w:val="clear" w:color="000000" w:fill="00516B"/>
            <w:vAlign w:val="center"/>
          </w:tcPr>
          <w:p>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CellMar>
            <w:top w:w="0" w:type="dxa"/>
            <w:left w:w="108" w:type="dxa"/>
            <w:bottom w:w="0" w:type="dxa"/>
            <w:right w:w="108" w:type="dxa"/>
          </w:tblCellMar>
        </w:tblPrEx>
        <w:trPr>
          <w:trHeight w:val="432" w:hRule="atLeast"/>
          <w:jc w:val="center"/>
        </w:trPr>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预算管理（10分）</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预算编制</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预算安排准确性</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single" w:color="auto" w:sz="8" w:space="0"/>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4.94</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98.80%</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执行进度</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部门总体执行进度</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32" w:hRule="atLeast"/>
          <w:jc w:val="center"/>
        </w:trPr>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目标管理（10分）</w:t>
            </w:r>
          </w:p>
        </w:tc>
        <w:tc>
          <w:tcPr>
            <w:tcW w:w="674" w:type="pct"/>
            <w:vMerge w:val="restart"/>
            <w:tcBorders>
              <w:top w:val="nil"/>
              <w:left w:val="single" w:color="auto" w:sz="8" w:space="0"/>
              <w:bottom w:val="single" w:color="000000"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绩效目标</w:t>
            </w:r>
          </w:p>
        </w:tc>
        <w:tc>
          <w:tcPr>
            <w:tcW w:w="1629"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目标填报</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50.00%</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目标量化</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3.00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33.33%</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目标匹配</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32" w:hRule="atLeast"/>
          <w:jc w:val="center"/>
        </w:trPr>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部门管理（10分）</w:t>
            </w:r>
          </w:p>
        </w:tc>
        <w:tc>
          <w:tcPr>
            <w:tcW w:w="674" w:type="pct"/>
            <w:vMerge w:val="restart"/>
            <w:tcBorders>
              <w:top w:val="nil"/>
              <w:left w:val="single" w:color="auto" w:sz="8" w:space="0"/>
              <w:bottom w:val="single" w:color="000000"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基础管理</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0.50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50.00%</w:t>
            </w:r>
          </w:p>
        </w:tc>
      </w:tr>
      <w:tr>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r>
      <w:tr>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财务监控有效性</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50.00%</w:t>
            </w:r>
          </w:p>
        </w:tc>
      </w:tr>
      <w:tr>
        <w:tblPrEx>
          <w:tblCellMar>
            <w:top w:w="0" w:type="dxa"/>
            <w:left w:w="108" w:type="dxa"/>
            <w:bottom w:w="0" w:type="dxa"/>
            <w:right w:w="108" w:type="dxa"/>
          </w:tblCellMar>
        </w:tblPrEx>
        <w:trPr>
          <w:trHeight w:val="516"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行政成本</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w:t>
            </w:r>
            <w:r>
              <w:rPr>
                <w:rFonts w:eastAsia="宋体" w:cs="Times New Roman"/>
                <w:color w:val="000000"/>
                <w:kern w:val="0"/>
                <w:sz w:val="20"/>
                <w:szCs w:val="20"/>
              </w:rPr>
              <w:t>三公</w:t>
            </w:r>
            <w:r>
              <w:rPr>
                <w:rFonts w:eastAsia="等线" w:cs="Times New Roman"/>
                <w:color w:val="000000"/>
                <w:kern w:val="0"/>
                <w:sz w:val="20"/>
                <w:szCs w:val="20"/>
              </w:rPr>
              <w:t>”</w:t>
            </w:r>
            <w:r>
              <w:rPr>
                <w:rFonts w:eastAsia="宋体" w:cs="Times New Roman"/>
                <w:color w:val="000000"/>
                <w:kern w:val="0"/>
                <w:sz w:val="20"/>
                <w:szCs w:val="20"/>
              </w:rPr>
              <w:t>经费控制</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政府采购</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采购规范性</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资产管理</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固定资产在用率</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信息公开</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信息公开</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履职效能（70分）</w:t>
            </w:r>
          </w:p>
        </w:tc>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廉政建设与意识形态工作</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廉政制度建设</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意识形态工作</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3.00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60.00%</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应保尽保</w:t>
            </w:r>
          </w:p>
        </w:tc>
        <w:tc>
          <w:tcPr>
            <w:tcW w:w="1629"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全民参保人数</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0.00%</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医保救助人数的提升率</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城镇职工基本医疗保险</w:t>
            </w:r>
          </w:p>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参保人数提升率</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城乡居民医保参保人数</w:t>
            </w:r>
          </w:p>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提升率</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4.86</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97.20%</w:t>
            </w:r>
          </w:p>
        </w:tc>
      </w:tr>
      <w:tr>
        <w:tblPrEx>
          <w:tblCellMar>
            <w:top w:w="0" w:type="dxa"/>
            <w:left w:w="108" w:type="dxa"/>
            <w:bottom w:w="0" w:type="dxa"/>
            <w:right w:w="108" w:type="dxa"/>
          </w:tblCellMar>
        </w:tblPrEx>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医保监管</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医药机构核查覆盖率</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医保基金投诉处理及时性</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医保资金追回额的增长率</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7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行政处罚执行及时性</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2.50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50.00%</w:t>
            </w:r>
          </w:p>
        </w:tc>
      </w:tr>
      <w:tr>
        <w:trPr>
          <w:trHeight w:val="7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服务能力提升</w:t>
            </w: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信息化升级改造完成率</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9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政务服务效能提升</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5.00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restart"/>
            <w:tcBorders>
              <w:top w:val="nil"/>
              <w:left w:val="single" w:color="auto" w:sz="8" w:space="0"/>
              <w:bottom w:val="single" w:color="000000"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医保宣传</w:t>
            </w:r>
          </w:p>
        </w:tc>
        <w:tc>
          <w:tcPr>
            <w:tcW w:w="1629"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扩大医保宣传面</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6.00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6.00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rPr>
          <w:trHeight w:val="432" w:hRule="atLeast"/>
          <w:jc w:val="center"/>
        </w:trPr>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674" w:type="pct"/>
            <w:vMerge w:val="continue"/>
            <w:tcBorders>
              <w:top w:val="nil"/>
              <w:left w:val="single" w:color="auto" w:sz="8" w:space="0"/>
              <w:bottom w:val="single" w:color="000000" w:sz="8" w:space="0"/>
              <w:right w:val="single" w:color="auto" w:sz="8" w:space="0"/>
            </w:tcBorders>
            <w:vAlign w:val="center"/>
          </w:tcPr>
          <w:p>
            <w:pPr>
              <w:widowControl/>
              <w:spacing w:line="240" w:lineRule="auto"/>
              <w:ind w:firstLine="0" w:firstLineChars="0"/>
              <w:jc w:val="left"/>
              <w:rPr>
                <w:rFonts w:eastAsia="宋体" w:cs="Times New Roman"/>
                <w:color w:val="000000"/>
                <w:kern w:val="0"/>
                <w:sz w:val="20"/>
                <w:szCs w:val="20"/>
              </w:rPr>
            </w:pPr>
          </w:p>
        </w:tc>
        <w:tc>
          <w:tcPr>
            <w:tcW w:w="1629"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政务公开医保政策</w:t>
            </w:r>
          </w:p>
        </w:tc>
        <w:tc>
          <w:tcPr>
            <w:tcW w:w="674"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4.00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color w:val="000000"/>
                <w:kern w:val="0"/>
                <w:sz w:val="20"/>
                <w:szCs w:val="20"/>
              </w:rPr>
            </w:pPr>
            <w:r>
              <w:rPr>
                <w:rFonts w:eastAsia="等线" w:cs="Times New Roman"/>
                <w:color w:val="000000"/>
                <w:kern w:val="0"/>
                <w:sz w:val="20"/>
                <w:szCs w:val="20"/>
              </w:rPr>
              <w:t>100.00%</w:t>
            </w:r>
          </w:p>
        </w:tc>
      </w:tr>
      <w:tr>
        <w:tblPrEx>
          <w:tblCellMar>
            <w:top w:w="0" w:type="dxa"/>
            <w:left w:w="108" w:type="dxa"/>
            <w:bottom w:w="0" w:type="dxa"/>
            <w:right w:w="108" w:type="dxa"/>
          </w:tblCellMar>
        </w:tblPrEx>
        <w:trPr>
          <w:trHeight w:val="432" w:hRule="atLeast"/>
          <w:jc w:val="center"/>
        </w:trPr>
        <w:tc>
          <w:tcPr>
            <w:tcW w:w="2978"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100.00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86.80</w:t>
            </w:r>
          </w:p>
        </w:tc>
        <w:tc>
          <w:tcPr>
            <w:tcW w:w="674" w:type="pct"/>
            <w:tcBorders>
              <w:top w:val="nil"/>
              <w:left w:val="nil"/>
              <w:bottom w:val="single" w:color="auto" w:sz="8" w:space="0"/>
              <w:right w:val="single" w:color="auto" w:sz="8" w:space="0"/>
            </w:tcBorders>
            <w:shd w:val="clear" w:color="auto" w:fill="auto"/>
            <w:noWrap/>
            <w:vAlign w:val="center"/>
          </w:tcPr>
          <w:p>
            <w:pPr>
              <w:widowControl/>
              <w:spacing w:line="240" w:lineRule="auto"/>
              <w:ind w:firstLine="0" w:firstLineChars="0"/>
              <w:jc w:val="center"/>
              <w:rPr>
                <w:rFonts w:eastAsia="等线" w:cs="Times New Roman"/>
                <w:b/>
                <w:bCs/>
                <w:color w:val="000000"/>
                <w:kern w:val="0"/>
                <w:sz w:val="20"/>
                <w:szCs w:val="20"/>
              </w:rPr>
            </w:pPr>
            <w:r>
              <w:rPr>
                <w:rFonts w:eastAsia="等线" w:cs="Times New Roman"/>
                <w:b/>
                <w:bCs/>
                <w:color w:val="000000"/>
                <w:kern w:val="0"/>
                <w:sz w:val="20"/>
                <w:szCs w:val="20"/>
              </w:rPr>
              <w:t>86.80%</w:t>
            </w:r>
          </w:p>
        </w:tc>
      </w:tr>
    </w:tbl>
    <w:p>
      <w:pPr>
        <w:ind w:firstLine="0" w:firstLineChars="0"/>
      </w:pPr>
      <w:bookmarkStart w:id="70" w:name="_Toc73927503"/>
    </w:p>
    <w:p>
      <w:pPr>
        <w:keepNext/>
        <w:keepLines/>
        <w:spacing w:before="120" w:after="120" w:line="600" w:lineRule="exact"/>
        <w:ind w:firstLine="643"/>
        <w:outlineLvl w:val="1"/>
        <w:rPr>
          <w:rFonts w:eastAsia="楷体_GB2312" w:cs="Times New Roman"/>
          <w:b/>
          <w:bCs/>
          <w:szCs w:val="32"/>
        </w:rPr>
      </w:pPr>
      <w:bookmarkStart w:id="71" w:name="_Toc77503493"/>
      <w:r>
        <w:rPr>
          <w:rFonts w:hint="eastAsia" w:eastAsia="楷体_GB2312" w:cs="Times New Roman"/>
          <w:b/>
          <w:bCs/>
          <w:szCs w:val="32"/>
        </w:rPr>
        <w:t>（二）存在问题</w:t>
      </w:r>
      <w:bookmarkEnd w:id="70"/>
      <w:bookmarkEnd w:id="71"/>
    </w:p>
    <w:p>
      <w:pPr>
        <w:keepNext/>
        <w:keepLines/>
        <w:spacing w:before="120" w:after="120" w:line="600" w:lineRule="exact"/>
        <w:ind w:firstLine="643"/>
        <w:outlineLvl w:val="2"/>
        <w:rPr>
          <w:rFonts w:cs="Times New Roman"/>
          <w:b/>
          <w:bCs/>
          <w:szCs w:val="32"/>
        </w:rPr>
      </w:pPr>
      <w:bookmarkStart w:id="72" w:name="_Toc73927504"/>
      <w:bookmarkStart w:id="73" w:name="_Toc77503494"/>
      <w:r>
        <w:rPr>
          <w:rFonts w:cs="Times New Roman"/>
          <w:b/>
          <w:bCs/>
          <w:szCs w:val="32"/>
        </w:rPr>
        <w:t>1.</w:t>
      </w:r>
      <w:r>
        <w:rPr>
          <w:rFonts w:hint="eastAsia" w:cs="Times New Roman"/>
          <w:b/>
          <w:bCs/>
          <w:szCs w:val="32"/>
        </w:rPr>
        <w:t>绩效目标管理不到位，项目监控能力有待提升</w:t>
      </w:r>
      <w:bookmarkEnd w:id="72"/>
      <w:bookmarkEnd w:id="73"/>
    </w:p>
    <w:p>
      <w:pPr>
        <w:ind w:firstLine="640"/>
        <w:rPr>
          <w:rFonts w:cs="Times New Roman"/>
        </w:rPr>
      </w:pPr>
      <w:r>
        <w:rPr>
          <w:rFonts w:cs="Times New Roman"/>
        </w:rPr>
        <w:t>市医保局在</w:t>
      </w:r>
      <w:r>
        <w:rPr>
          <w:rFonts w:hint="eastAsia" w:cs="Times New Roman"/>
        </w:rPr>
        <w:t>1</w:t>
      </w:r>
      <w:r>
        <w:rPr>
          <w:rFonts w:cs="Times New Roman"/>
        </w:rPr>
        <w:t>2个项目的绩效目标申报工作中，在</w:t>
      </w:r>
      <w:r>
        <w:rPr>
          <w:rFonts w:hint="eastAsia" w:cs="Times New Roman"/>
        </w:rPr>
        <w:t>完整性、</w:t>
      </w:r>
      <w:r>
        <w:rPr>
          <w:rFonts w:cs="Times New Roman"/>
        </w:rPr>
        <w:t>专业性等方面均较为欠缺。</w:t>
      </w:r>
    </w:p>
    <w:p>
      <w:pPr>
        <w:ind w:firstLine="643"/>
        <w:rPr>
          <w:rFonts w:cs="Times New Roman"/>
        </w:rPr>
      </w:pPr>
      <w:r>
        <w:rPr>
          <w:rFonts w:hint="eastAsia" w:cs="Times New Roman"/>
          <w:b/>
          <w:bCs/>
        </w:rPr>
        <w:t>一是</w:t>
      </w:r>
      <w:r>
        <w:rPr>
          <w:rFonts w:hint="eastAsia" w:cs="Times New Roman"/>
        </w:rPr>
        <w:t>年度绩效目标填写不完整。</w:t>
      </w:r>
      <w:r>
        <w:rPr>
          <w:rFonts w:cs="Times New Roman"/>
        </w:rPr>
        <w:t>主要表现为：</w:t>
      </w:r>
      <w:r>
        <w:rPr>
          <w:rFonts w:hint="eastAsia" w:cs="Times New Roman"/>
        </w:rPr>
        <w:t>多个项目</w:t>
      </w:r>
      <w:r>
        <w:rPr>
          <w:rFonts w:cs="Times New Roman"/>
        </w:rPr>
        <w:t>工作内容的量化程度</w:t>
      </w:r>
      <w:r>
        <w:rPr>
          <w:rFonts w:hint="eastAsia" w:cs="Times New Roman"/>
        </w:rPr>
        <w:t>不够</w:t>
      </w:r>
      <w:r>
        <w:rPr>
          <w:rFonts w:cs="Times New Roman"/>
        </w:rPr>
        <w:t>，对于后期部门项目管理及绩效评价的可指导性较弱。如《</w:t>
      </w:r>
      <w:r>
        <w:rPr>
          <w:rFonts w:hint="eastAsia" w:cs="Times New Roman"/>
        </w:rPr>
        <w:t>城乡医疗一体化专项经费</w:t>
      </w:r>
      <w:r>
        <w:rPr>
          <w:rFonts w:cs="Times New Roman"/>
        </w:rPr>
        <w:t>》</w:t>
      </w:r>
      <w:r>
        <w:rPr>
          <w:rFonts w:hint="eastAsia" w:cs="Times New Roman"/>
        </w:rPr>
        <w:t>《信息化建设维护费》</w:t>
      </w:r>
      <w:r>
        <w:rPr>
          <w:rFonts w:cs="Times New Roman"/>
        </w:rPr>
        <w:t>《医保监管有奖举报专项经费》《</w:t>
      </w:r>
      <w:r>
        <w:rPr>
          <w:rFonts w:hint="eastAsia" w:cs="Times New Roman"/>
        </w:rPr>
        <w:t>医保监管聘请专家、双随机及第三方审计专项经费</w:t>
      </w:r>
      <w:r>
        <w:rPr>
          <w:rFonts w:cs="Times New Roman"/>
        </w:rPr>
        <w:t>》</w:t>
      </w:r>
      <w:r>
        <w:rPr>
          <w:rFonts w:hint="eastAsia" w:cs="Times New Roman"/>
        </w:rPr>
        <w:t>《医保监管专项检查经费》《医保办公设备购置》《大厅窗口标准化信息建设经费》等项目的</w:t>
      </w:r>
      <w:r>
        <w:rPr>
          <w:rFonts w:cs="Times New Roman"/>
        </w:rPr>
        <w:t>产出质量及效益指标均未进行量化设定，对于</w:t>
      </w:r>
      <w:r>
        <w:rPr>
          <w:rFonts w:hint="eastAsia" w:cs="Times New Roman"/>
        </w:rPr>
        <w:t>每个专项对应</w:t>
      </w:r>
      <w:r>
        <w:rPr>
          <w:rFonts w:cs="Times New Roman"/>
        </w:rPr>
        <w:t>工作的完成程度计划</w:t>
      </w:r>
      <w:r>
        <w:rPr>
          <w:rFonts w:hint="eastAsia" w:cs="Times New Roman"/>
        </w:rPr>
        <w:t>性不足</w:t>
      </w:r>
      <w:r>
        <w:rPr>
          <w:rFonts w:cs="Times New Roman"/>
        </w:rPr>
        <w:t>。在绩效监控和绩效评价中，难以就绩效目标对</w:t>
      </w:r>
      <w:r>
        <w:rPr>
          <w:rFonts w:hint="eastAsia" w:cs="Times New Roman"/>
        </w:rPr>
        <w:t>各业务股室</w:t>
      </w:r>
      <w:r>
        <w:rPr>
          <w:rFonts w:cs="Times New Roman"/>
        </w:rPr>
        <w:t>开展的工作进行监控和评价。</w:t>
      </w:r>
    </w:p>
    <w:p>
      <w:pPr>
        <w:ind w:firstLine="643"/>
        <w:rPr>
          <w:rFonts w:cs="Times New Roman"/>
        </w:rPr>
      </w:pPr>
      <w:r>
        <w:rPr>
          <w:rFonts w:cs="Times New Roman"/>
          <w:b/>
          <w:bCs/>
        </w:rPr>
        <w:t>二</w:t>
      </w:r>
      <w:r>
        <w:rPr>
          <w:rFonts w:hint="eastAsia" w:cs="Times New Roman"/>
          <w:b/>
          <w:bCs/>
        </w:rPr>
        <w:t>是</w:t>
      </w:r>
      <w:r>
        <w:rPr>
          <w:rFonts w:hint="eastAsia" w:cs="Times New Roman"/>
        </w:rPr>
        <w:t>量化指标值设置缺乏科学性。例如，质量指标中“伤残军人以及每人每年补助标准≤7</w:t>
      </w:r>
      <w:r>
        <w:rPr>
          <w:rFonts w:cs="Times New Roman"/>
        </w:rPr>
        <w:t>000元</w:t>
      </w:r>
      <w:r>
        <w:rPr>
          <w:rFonts w:hint="eastAsia" w:cs="Times New Roman"/>
        </w:rPr>
        <w:t>”，与预算能达到人均标准不符合，绵竹市享受二乙伤残军人（1</w:t>
      </w:r>
      <w:r>
        <w:rPr>
          <w:rFonts w:cs="Times New Roman"/>
        </w:rPr>
        <w:t>-6级伤残军人</w:t>
      </w:r>
      <w:r>
        <w:rPr>
          <w:rFonts w:hint="eastAsia" w:cs="Times New Roman"/>
        </w:rPr>
        <w:t>）</w:t>
      </w:r>
      <w:r>
        <w:rPr>
          <w:rFonts w:cs="Times New Roman"/>
        </w:rPr>
        <w:t>医疗补助</w:t>
      </w:r>
      <w:r>
        <w:rPr>
          <w:rFonts w:hint="eastAsia" w:cs="Times New Roman"/>
        </w:rPr>
        <w:t>年初预算数4</w:t>
      </w:r>
      <w:r>
        <w:rPr>
          <w:rFonts w:cs="Times New Roman"/>
        </w:rPr>
        <w:t>5.00万元，</w:t>
      </w:r>
      <w:r>
        <w:rPr>
          <w:rFonts w:hint="eastAsia" w:cs="Times New Roman"/>
        </w:rPr>
        <w:t>按照市医保局提供的伤残军人名单（7</w:t>
      </w:r>
      <w:r>
        <w:rPr>
          <w:rFonts w:cs="Times New Roman"/>
        </w:rPr>
        <w:t>5</w:t>
      </w:r>
      <w:r>
        <w:rPr>
          <w:rFonts w:hint="eastAsia" w:cs="Times New Roman"/>
        </w:rPr>
        <w:t>人）计算，每人每年补助标准≤6</w:t>
      </w:r>
      <w:r>
        <w:rPr>
          <w:rFonts w:cs="Times New Roman"/>
        </w:rPr>
        <w:t>000</w:t>
      </w:r>
      <w:r>
        <w:rPr>
          <w:rFonts w:hint="eastAsia" w:cs="Times New Roman"/>
        </w:rPr>
        <w:t>元；“社会效益”指标中“提高整体医疗保障服务能力≥1</w:t>
      </w:r>
      <w:r>
        <w:rPr>
          <w:rFonts w:cs="Times New Roman"/>
        </w:rPr>
        <w:t>00%</w:t>
      </w:r>
      <w:r>
        <w:rPr>
          <w:rFonts w:hint="eastAsia" w:cs="Times New Roman"/>
        </w:rPr>
        <w:t>”未进行指标量化，年终无法进行考核；“成本效益”下设三级指标值为“2</w:t>
      </w:r>
      <w:r>
        <w:rPr>
          <w:rFonts w:cs="Times New Roman"/>
        </w:rPr>
        <w:t>020</w:t>
      </w:r>
      <w:r>
        <w:rPr>
          <w:rFonts w:hint="eastAsia" w:cs="Times New Roman"/>
        </w:rPr>
        <w:t>年项目总成本≥</w:t>
      </w:r>
      <w:r>
        <w:rPr>
          <w:rFonts w:cs="Times New Roman"/>
        </w:rPr>
        <w:t>1395.51</w:t>
      </w:r>
      <w:r>
        <w:rPr>
          <w:rFonts w:hint="eastAsia" w:cs="Times New Roman"/>
        </w:rPr>
        <w:t>万元”，按照控制成本原则，应为“总成本≤1</w:t>
      </w:r>
      <w:r>
        <w:rPr>
          <w:rFonts w:cs="Times New Roman"/>
        </w:rPr>
        <w:t>395.51</w:t>
      </w:r>
      <w:r>
        <w:rPr>
          <w:rFonts w:hint="eastAsia" w:cs="Times New Roman"/>
        </w:rPr>
        <w:t>万元”，且该指标值未根据重点工作进行拆解，较难监控单个项目的成本。</w:t>
      </w:r>
    </w:p>
    <w:p>
      <w:pPr>
        <w:keepNext/>
        <w:keepLines/>
        <w:spacing w:before="120" w:after="120" w:line="600" w:lineRule="exact"/>
        <w:ind w:firstLine="643"/>
        <w:outlineLvl w:val="2"/>
        <w:rPr>
          <w:rFonts w:cs="Times New Roman"/>
          <w:b/>
          <w:bCs/>
          <w:szCs w:val="32"/>
        </w:rPr>
      </w:pPr>
      <w:bookmarkStart w:id="74" w:name="_Toc73927505"/>
      <w:bookmarkStart w:id="75" w:name="_Toc77503495"/>
      <w:r>
        <w:rPr>
          <w:rFonts w:cs="Times New Roman"/>
          <w:b/>
          <w:bCs/>
          <w:szCs w:val="32"/>
        </w:rPr>
        <w:t>2.</w:t>
      </w:r>
      <w:r>
        <w:rPr>
          <w:rFonts w:hint="eastAsia" w:cs="Times New Roman"/>
          <w:b/>
          <w:bCs/>
          <w:szCs w:val="32"/>
        </w:rPr>
        <w:t>项目支出分配有交叉，预算编制准确性有待提高</w:t>
      </w:r>
      <w:bookmarkEnd w:id="74"/>
      <w:bookmarkEnd w:id="75"/>
    </w:p>
    <w:p>
      <w:pPr>
        <w:ind w:firstLine="643"/>
        <w:rPr>
          <w:rFonts w:cs="Times New Roman"/>
        </w:rPr>
      </w:pPr>
      <w:r>
        <w:rPr>
          <w:rFonts w:hint="eastAsia" w:cs="Times New Roman"/>
          <w:b/>
          <w:bCs/>
        </w:rPr>
        <w:t>一是</w:t>
      </w:r>
      <w:r>
        <w:rPr>
          <w:rFonts w:hint="eastAsia" w:cs="Times New Roman"/>
        </w:rPr>
        <w:t>部分项目预算编制与实际开展工作不符。例如《城乡医疗一体化专项经费》《信息化建设运行维护费》《医保局办公设备购置》项目计划支出方向与实际支出方向有较大偏差。主要原因是这些项目涉及多个股室使用经费，缺乏牵头的业务股室，年度预算编制工作主要由财务与基金管理股代为填写，但其不清楚具体项目工作目标和内容，出现预算编制、年度绩效目标和年度自评报告均由财务与基金管理股代为填写，预算编制准确性有待提高。</w:t>
      </w:r>
    </w:p>
    <w:p>
      <w:pPr>
        <w:ind w:firstLine="643"/>
        <w:rPr>
          <w:rFonts w:cs="Times New Roman"/>
          <w:szCs w:val="32"/>
        </w:rPr>
      </w:pPr>
      <w:r>
        <w:rPr>
          <w:rFonts w:hint="eastAsia" w:cs="Times New Roman"/>
          <w:b/>
          <w:bCs/>
        </w:rPr>
        <w:t>二是</w:t>
      </w:r>
      <w:r>
        <w:rPr>
          <w:rFonts w:hint="eastAsia" w:cs="Times New Roman"/>
        </w:rPr>
        <w:t>预算执行过程中不同会计科目之间调整使用。年度主要项目均存在调整，有内部财务审批及请示党组文件，无财政部门审批。</w:t>
      </w:r>
      <w:r>
        <w:rPr>
          <w:rFonts w:hint="eastAsia" w:cs="Times New Roman"/>
          <w:szCs w:val="32"/>
        </w:rPr>
        <w:t>城乡医疗一体化专项经费沿用人社局往年预算额度，未根据现市医保局的实际工作内容进行明确规定，导致资金支出出现多项与城乡一体化相关性不强的资金支出，例如医保大厅维修改造、电信服务费、办公用品耗材等。</w:t>
      </w:r>
    </w:p>
    <w:p>
      <w:pPr>
        <w:keepNext/>
        <w:keepLines/>
        <w:spacing w:before="120" w:after="120" w:line="600" w:lineRule="exact"/>
        <w:ind w:firstLine="643"/>
        <w:outlineLvl w:val="2"/>
        <w:rPr>
          <w:rFonts w:cs="Times New Roman"/>
          <w:b/>
          <w:bCs/>
          <w:szCs w:val="32"/>
        </w:rPr>
      </w:pPr>
      <w:bookmarkStart w:id="76" w:name="_Toc73927506"/>
      <w:bookmarkStart w:id="77" w:name="_Toc77503496"/>
      <w:r>
        <w:rPr>
          <w:rFonts w:cs="Times New Roman"/>
          <w:b/>
          <w:bCs/>
          <w:szCs w:val="32"/>
        </w:rPr>
        <w:t>3.</w:t>
      </w:r>
      <w:r>
        <w:rPr>
          <w:rFonts w:hint="eastAsia" w:cs="Times New Roman"/>
          <w:b/>
          <w:bCs/>
          <w:szCs w:val="32"/>
        </w:rPr>
        <w:t>部门工作目标细化不够</w:t>
      </w:r>
      <w:r>
        <w:rPr>
          <w:rFonts w:cs="Times New Roman"/>
          <w:b/>
          <w:bCs/>
          <w:szCs w:val="32"/>
        </w:rPr>
        <w:t>，</w:t>
      </w:r>
      <w:r>
        <w:rPr>
          <w:rFonts w:hint="eastAsia" w:cs="Times New Roman"/>
          <w:b/>
          <w:bCs/>
          <w:szCs w:val="32"/>
        </w:rPr>
        <w:t>管理精细化水平有待加强</w:t>
      </w:r>
      <w:bookmarkEnd w:id="76"/>
      <w:bookmarkEnd w:id="77"/>
    </w:p>
    <w:p>
      <w:pPr>
        <w:ind w:firstLine="643"/>
        <w:rPr>
          <w:rFonts w:cs="Times New Roman"/>
        </w:rPr>
      </w:pPr>
      <w:r>
        <w:rPr>
          <w:rFonts w:hint="eastAsia" w:cs="Times New Roman"/>
          <w:b/>
          <w:bCs/>
        </w:rPr>
        <w:t>一是</w:t>
      </w:r>
      <w:r>
        <w:rPr>
          <w:rFonts w:hint="eastAsia" w:cs="Times New Roman"/>
        </w:rPr>
        <w:t>市医保局制定的部门中长期规划较为简略，且年度工作重点缺乏可量化目标。2</w:t>
      </w:r>
      <w:r>
        <w:rPr>
          <w:rFonts w:cs="Times New Roman"/>
        </w:rPr>
        <w:t>020</w:t>
      </w:r>
      <w:r>
        <w:rPr>
          <w:rFonts w:hint="eastAsia" w:cs="Times New Roman"/>
        </w:rPr>
        <w:t>年度重点工作任务除“突出应保尽保”提到“确保完成德阳下达的3</w:t>
      </w:r>
      <w:r>
        <w:rPr>
          <w:rFonts w:cs="Times New Roman"/>
        </w:rPr>
        <w:t>6万人参保任务</w:t>
      </w:r>
      <w:r>
        <w:rPr>
          <w:rFonts w:hint="eastAsia" w:cs="Times New Roman"/>
        </w:rPr>
        <w:t>”，其他均未细化和拆解，对部门工作指引作用微弱。</w:t>
      </w:r>
      <w:r>
        <w:rPr>
          <w:rFonts w:cs="Times New Roman"/>
        </w:rPr>
        <w:t>其次，</w:t>
      </w:r>
      <w:r>
        <w:rPr>
          <w:rFonts w:hint="eastAsia" w:cs="Times New Roman"/>
        </w:rPr>
        <w:t>业务股室上报年度重点项目时未根据工作实际情况，动态清理和调整不符合现阶段要求的项目。例如，医疗保障事务中心特殊医疗股</w:t>
      </w:r>
      <w:r>
        <w:rPr>
          <w:rFonts w:cs="Times New Roman"/>
        </w:rPr>
        <w:t>“</w:t>
      </w:r>
      <w:r>
        <w:rPr>
          <w:rFonts w:hint="eastAsia" w:cs="Times New Roman"/>
        </w:rPr>
        <w:t>6</w:t>
      </w:r>
      <w:r>
        <w:rPr>
          <w:rFonts w:cs="Times New Roman"/>
        </w:rPr>
        <w:t>.30人员医疗费”</w:t>
      </w:r>
      <w:r>
        <w:rPr>
          <w:rFonts w:hint="eastAsia" w:cs="Times New Roman"/>
        </w:rPr>
        <w:t>已连续两年未支付使用。该项目资金主要用于补足建国初期参加工作干部补助住院费用报销比例不足9</w:t>
      </w:r>
      <w:r>
        <w:rPr>
          <w:rFonts w:cs="Times New Roman"/>
        </w:rPr>
        <w:t>5</w:t>
      </w:r>
      <w:r>
        <w:rPr>
          <w:rFonts w:hint="eastAsia" w:cs="Times New Roman"/>
        </w:rPr>
        <w:t>%的部分</w:t>
      </w:r>
      <w:r>
        <w:rPr>
          <w:rFonts w:cs="Times New Roman"/>
        </w:rPr>
        <w:t>，</w:t>
      </w:r>
      <w:r>
        <w:rPr>
          <w:rFonts w:hint="eastAsia" w:cs="Times New Roman"/>
        </w:rPr>
        <w:t>但根据城镇职工基本养老保险报销标准（“7</w:t>
      </w:r>
      <w:r>
        <w:rPr>
          <w:rFonts w:cs="Times New Roman"/>
        </w:rPr>
        <w:t>8%+0.25*年龄</w:t>
      </w:r>
      <w:r>
        <w:rPr>
          <w:rFonts w:hint="eastAsia" w:cs="Times New Roman"/>
        </w:rPr>
        <w:t>”）计算，目前这部分退休干部报销比例均大于9</w:t>
      </w:r>
      <w:r>
        <w:rPr>
          <w:rFonts w:cs="Times New Roman"/>
        </w:rPr>
        <w:t>5%</w:t>
      </w:r>
      <w:r>
        <w:rPr>
          <w:rFonts w:hint="eastAsia" w:cs="Times New Roman"/>
        </w:rPr>
        <w:t>，因此资金批复后一直没有使用。</w:t>
      </w:r>
    </w:p>
    <w:p>
      <w:pPr>
        <w:ind w:firstLine="643"/>
        <w:rPr>
          <w:rFonts w:cs="Times New Roman"/>
        </w:rPr>
      </w:pPr>
      <w:r>
        <w:rPr>
          <w:rFonts w:hint="eastAsia" w:cs="Times New Roman"/>
          <w:b/>
          <w:bCs/>
        </w:rPr>
        <w:t>二是</w:t>
      </w:r>
      <w:r>
        <w:rPr>
          <w:rFonts w:hint="eastAsia" w:cs="Times New Roman"/>
        </w:rPr>
        <w:t>部门管理水平需进一步强化。一方面，固定资产管理不到位。市医保局固定资产管理程序不健全，只重视购置，不重视日常管理。仅有固定资产清单，但资产清查、盘点不严格，只在会计账面上作出反映，固定资产管理责任不明确，无法查看固定资产的具体位置，无法落实到具体责任人。另一方面，厉行节约内部管理制度有待建立。2020年市医保局进行了厉行节约制止餐饮浪费行为工作总结，但厉行节约相应规定尚未制度化。</w:t>
      </w:r>
    </w:p>
    <w:p>
      <w:pPr>
        <w:ind w:firstLine="643"/>
        <w:rPr>
          <w:rFonts w:cs="Times New Roman"/>
        </w:rPr>
      </w:pPr>
      <w:r>
        <w:rPr>
          <w:rFonts w:hint="eastAsia" w:cs="Times New Roman"/>
          <w:b/>
          <w:bCs/>
        </w:rPr>
        <w:t>三是</w:t>
      </w:r>
      <w:r>
        <w:rPr>
          <w:rFonts w:hint="eastAsia" w:cs="Times New Roman"/>
        </w:rPr>
        <w:t>部分政府购买服务程序不规范，出现先开展项目后申请预算的情况。在大厅窗口标准化信息化建设项目中存在项目实施开始时间早于项目采购时间的情况。2</w:t>
      </w:r>
      <w:r>
        <w:rPr>
          <w:rFonts w:cs="Times New Roman"/>
        </w:rPr>
        <w:t>019年</w:t>
      </w:r>
      <w:r>
        <w:rPr>
          <w:rFonts w:hint="eastAsia" w:cs="Times New Roman"/>
        </w:rPr>
        <w:t>4</w:t>
      </w:r>
      <w:r>
        <w:rPr>
          <w:rFonts w:cs="Times New Roman"/>
        </w:rPr>
        <w:t>月</w:t>
      </w:r>
      <w:r>
        <w:rPr>
          <w:rFonts w:hint="eastAsia" w:cs="Times New Roman"/>
        </w:rPr>
        <w:t>1</w:t>
      </w:r>
      <w:r>
        <w:rPr>
          <w:rFonts w:cs="Times New Roman"/>
        </w:rPr>
        <w:t>6日</w:t>
      </w:r>
      <w:r>
        <w:rPr>
          <w:rFonts w:hint="eastAsia" w:cs="Times New Roman"/>
        </w:rPr>
        <w:t>高蓝电子科技有限公司通过公开招标向市医保局交付合同约定内容，市医保局综合业务股于2019年11月5日才向申请经费15万元，并请求纳入2020年年度预算。</w:t>
      </w:r>
    </w:p>
    <w:p>
      <w:pPr>
        <w:keepNext/>
        <w:keepLines/>
        <w:spacing w:before="120" w:after="120" w:line="600" w:lineRule="exact"/>
        <w:ind w:firstLine="643"/>
        <w:outlineLvl w:val="1"/>
        <w:rPr>
          <w:rFonts w:eastAsia="楷体_GB2312" w:cs="Times New Roman"/>
          <w:b/>
          <w:bCs/>
          <w:szCs w:val="32"/>
        </w:rPr>
      </w:pPr>
      <w:bookmarkStart w:id="78" w:name="_Toc77503497"/>
      <w:bookmarkStart w:id="79" w:name="_Toc73927507"/>
      <w:r>
        <w:rPr>
          <w:rFonts w:hint="eastAsia" w:eastAsia="楷体_GB2312" w:cs="Times New Roman"/>
          <w:b/>
          <w:bCs/>
          <w:szCs w:val="32"/>
        </w:rPr>
        <w:t>（三）相关建议</w:t>
      </w:r>
      <w:bookmarkEnd w:id="78"/>
      <w:bookmarkEnd w:id="79"/>
    </w:p>
    <w:p>
      <w:pPr>
        <w:keepNext/>
        <w:keepLines/>
        <w:spacing w:before="120" w:after="120" w:line="600" w:lineRule="exact"/>
        <w:ind w:firstLine="643"/>
        <w:outlineLvl w:val="2"/>
        <w:rPr>
          <w:rFonts w:cs="Times New Roman"/>
          <w:b/>
          <w:bCs/>
          <w:szCs w:val="32"/>
        </w:rPr>
      </w:pPr>
      <w:bookmarkStart w:id="80" w:name="_Toc73927508"/>
      <w:bookmarkStart w:id="81" w:name="_Toc77503498"/>
      <w:r>
        <w:rPr>
          <w:rFonts w:cs="Times New Roman"/>
          <w:b/>
          <w:bCs/>
          <w:szCs w:val="32"/>
        </w:rPr>
        <w:t>1.加强财务人员</w:t>
      </w:r>
      <w:r>
        <w:rPr>
          <w:rFonts w:hint="eastAsia" w:cs="Times New Roman"/>
          <w:b/>
          <w:bCs/>
          <w:szCs w:val="32"/>
        </w:rPr>
        <w:t>绩效培训，提高目标编制科学性</w:t>
      </w:r>
      <w:bookmarkEnd w:id="80"/>
      <w:bookmarkEnd w:id="81"/>
    </w:p>
    <w:p>
      <w:pPr>
        <w:spacing w:line="600" w:lineRule="exact"/>
        <w:ind w:firstLine="643"/>
        <w:rPr>
          <w:rFonts w:cs="Times New Roman"/>
        </w:rPr>
      </w:pPr>
      <w:r>
        <w:rPr>
          <w:rFonts w:cs="Times New Roman"/>
          <w:b/>
          <w:bCs/>
        </w:rPr>
        <w:t>一是</w:t>
      </w:r>
      <w:r>
        <w:rPr>
          <w:rFonts w:hint="eastAsia" w:cs="Times New Roman"/>
        </w:rPr>
        <w:t>加强对预算单位财务人员关于绩效知识的专业培训，通过对绩效目标填报标准、填报依据、填报方法、提取指标及标准化量化方式的培训，提升财务人员的绩效管理水平</w:t>
      </w:r>
      <w:r>
        <w:rPr>
          <w:rFonts w:cs="Times New Roman"/>
        </w:rPr>
        <w:t>。</w:t>
      </w:r>
    </w:p>
    <w:p>
      <w:pPr>
        <w:spacing w:line="600" w:lineRule="exact"/>
        <w:ind w:firstLine="643"/>
        <w:rPr>
          <w:rFonts w:cs="Times New Roman"/>
        </w:rPr>
      </w:pPr>
      <w:r>
        <w:rPr>
          <w:rFonts w:cs="Times New Roman"/>
          <w:b/>
          <w:bCs/>
        </w:rPr>
        <w:t>二是</w:t>
      </w:r>
      <w:r>
        <w:rPr>
          <w:rFonts w:hint="eastAsia" w:cs="Times New Roman"/>
        </w:rPr>
        <w:t>明确</w:t>
      </w:r>
      <w:r>
        <w:rPr>
          <w:rFonts w:cs="Times New Roman"/>
        </w:rPr>
        <w:t>绩效目标填报要求</w:t>
      </w:r>
      <w:r>
        <w:rPr>
          <w:rFonts w:hint="eastAsia" w:cs="Times New Roman"/>
        </w:rPr>
        <w:t>和加强</w:t>
      </w:r>
      <w:r>
        <w:rPr>
          <w:rFonts w:cs="Times New Roman"/>
        </w:rPr>
        <w:t>专业审核。从当前绩效目标的审核情况来看，还需要进一步强化绩效目标的填报要求</w:t>
      </w:r>
      <w:r>
        <w:rPr>
          <w:rFonts w:hint="eastAsia" w:cs="Times New Roman"/>
        </w:rPr>
        <w:t>；其次，</w:t>
      </w:r>
      <w:r>
        <w:rPr>
          <w:rFonts w:cs="Times New Roman"/>
        </w:rPr>
        <w:t>通过内外部的专业审核，如专家论证、促进绩效目标质量的不断提升，保证绩效指标能够真正反映绩效考评结果，有序推进部门绩效改进优化工作。</w:t>
      </w:r>
    </w:p>
    <w:p>
      <w:pPr>
        <w:keepNext/>
        <w:keepLines/>
        <w:spacing w:before="120" w:after="120" w:line="600" w:lineRule="exact"/>
        <w:ind w:firstLine="643"/>
        <w:outlineLvl w:val="2"/>
        <w:rPr>
          <w:rFonts w:cs="Times New Roman"/>
          <w:b/>
          <w:bCs/>
          <w:szCs w:val="32"/>
        </w:rPr>
      </w:pPr>
      <w:bookmarkStart w:id="82" w:name="_Toc77503499"/>
      <w:bookmarkStart w:id="83" w:name="_Toc73927509"/>
      <w:r>
        <w:rPr>
          <w:rFonts w:hint="eastAsia" w:cs="Times New Roman"/>
          <w:b/>
          <w:bCs/>
          <w:szCs w:val="32"/>
        </w:rPr>
        <w:t>2</w:t>
      </w:r>
      <w:r>
        <w:rPr>
          <w:rFonts w:cs="Times New Roman"/>
          <w:b/>
          <w:bCs/>
          <w:szCs w:val="32"/>
        </w:rPr>
        <w:t>.合理</w:t>
      </w:r>
      <w:r>
        <w:rPr>
          <w:rFonts w:hint="eastAsia" w:cs="Times New Roman"/>
          <w:b/>
          <w:bCs/>
          <w:szCs w:val="32"/>
        </w:rPr>
        <w:t>划分项目经费，制定预算编制操作手册</w:t>
      </w:r>
      <w:bookmarkEnd w:id="82"/>
      <w:bookmarkEnd w:id="83"/>
    </w:p>
    <w:p>
      <w:pPr>
        <w:spacing w:line="600" w:lineRule="exact"/>
        <w:ind w:firstLine="643"/>
        <w:rPr>
          <w:rFonts w:cs="Times New Roman"/>
        </w:rPr>
      </w:pPr>
      <w:r>
        <w:rPr>
          <w:rFonts w:cs="Times New Roman"/>
          <w:b/>
          <w:bCs/>
        </w:rPr>
        <w:t>一是</w:t>
      </w:r>
      <w:r>
        <w:rPr>
          <w:rFonts w:hint="eastAsia" w:cs="Times New Roman"/>
        </w:rPr>
        <w:t>建议前期通过充分有理有据的研究，制定和划分该笔项目经费，在此基础上，严格执行会计科目，合理安排资金。</w:t>
      </w:r>
    </w:p>
    <w:p>
      <w:pPr>
        <w:spacing w:line="600" w:lineRule="exact"/>
        <w:ind w:firstLine="643"/>
        <w:rPr>
          <w:rFonts w:cs="Times New Roman"/>
        </w:rPr>
      </w:pPr>
      <w:r>
        <w:rPr>
          <w:rFonts w:hint="eastAsia" w:cs="Times New Roman"/>
          <w:b/>
          <w:bCs/>
        </w:rPr>
        <w:t>二是</w:t>
      </w:r>
      <w:r>
        <w:rPr>
          <w:rFonts w:hint="eastAsia" w:cs="Times New Roman"/>
        </w:rPr>
        <w:t>完善详细的预算编制操作手册。对于项目预算的编制规则应细化到编制流程的每一个环节,只有规则细化了才有可能让编制出的内容更加细化,避免预算编制的模糊化处理，将准确、细化版编制情况进行示例</w:t>
      </w:r>
      <w:r>
        <w:rPr>
          <w:rFonts w:cs="Times New Roman"/>
        </w:rPr>
        <w:t>，保障预算编制的准确性</w:t>
      </w:r>
      <w:r>
        <w:rPr>
          <w:rFonts w:hint="eastAsia" w:cs="Times New Roman"/>
        </w:rPr>
        <w:t>。</w:t>
      </w:r>
    </w:p>
    <w:p>
      <w:pPr>
        <w:keepNext/>
        <w:keepLines/>
        <w:spacing w:before="120" w:after="120" w:line="600" w:lineRule="exact"/>
        <w:ind w:firstLine="643"/>
        <w:outlineLvl w:val="2"/>
        <w:rPr>
          <w:rFonts w:cs="Times New Roman"/>
          <w:b/>
          <w:bCs/>
          <w:szCs w:val="32"/>
        </w:rPr>
      </w:pPr>
      <w:bookmarkStart w:id="84" w:name="_Toc73927510"/>
      <w:bookmarkStart w:id="85" w:name="_Toc77503500"/>
      <w:r>
        <w:rPr>
          <w:rFonts w:hint="eastAsia" w:cs="Times New Roman"/>
          <w:b/>
          <w:bCs/>
          <w:szCs w:val="32"/>
        </w:rPr>
        <w:t>3</w:t>
      </w:r>
      <w:r>
        <w:rPr>
          <w:rFonts w:cs="Times New Roman"/>
          <w:b/>
          <w:bCs/>
          <w:szCs w:val="32"/>
        </w:rPr>
        <w:t>.</w:t>
      </w:r>
      <w:r>
        <w:rPr>
          <w:rFonts w:hint="eastAsia" w:cs="Times New Roman"/>
          <w:b/>
          <w:bCs/>
          <w:szCs w:val="32"/>
        </w:rPr>
        <w:t>合理制定工作目标，提升医保管理服务水平</w:t>
      </w:r>
      <w:bookmarkEnd w:id="84"/>
      <w:bookmarkEnd w:id="85"/>
    </w:p>
    <w:p>
      <w:pPr>
        <w:spacing w:line="600" w:lineRule="exact"/>
        <w:ind w:firstLine="643"/>
        <w:rPr>
          <w:rFonts w:cs="Times New Roman"/>
          <w:kern w:val="0"/>
          <w:szCs w:val="32"/>
        </w:rPr>
      </w:pPr>
      <w:r>
        <w:rPr>
          <w:rFonts w:hint="eastAsia" w:cs="Times New Roman"/>
          <w:b/>
          <w:bCs/>
          <w:kern w:val="0"/>
          <w:szCs w:val="32"/>
        </w:rPr>
        <w:t>一是</w:t>
      </w:r>
      <w:r>
        <w:rPr>
          <w:rFonts w:hint="eastAsia" w:cs="Times New Roman"/>
          <w:kern w:val="0"/>
          <w:szCs w:val="32"/>
        </w:rPr>
        <w:t>建议在保证医保基金安全的前提下，根据部门职能职责，合理制定工作目标，充分考虑资金额度与工作目标的匹配度。若有重点项目、新项目，在项目开展前期进行充分调研或向相关领域专家进行专家意见征询，以此考虑项目计划制定的合理性。</w:t>
      </w:r>
    </w:p>
    <w:p>
      <w:pPr>
        <w:spacing w:line="600" w:lineRule="exact"/>
        <w:ind w:firstLine="643"/>
        <w:rPr>
          <w:rFonts w:cs="Times New Roman"/>
          <w:kern w:val="0"/>
          <w:szCs w:val="32"/>
        </w:rPr>
      </w:pPr>
      <w:r>
        <w:rPr>
          <w:rFonts w:cs="Times New Roman"/>
          <w:b/>
          <w:bCs/>
          <w:kern w:val="0"/>
          <w:szCs w:val="32"/>
        </w:rPr>
        <w:t>二是</w:t>
      </w:r>
      <w:r>
        <w:rPr>
          <w:rFonts w:hint="eastAsia" w:cs="Times New Roman"/>
          <w:kern w:val="0"/>
          <w:szCs w:val="32"/>
        </w:rPr>
        <w:t>建议部门</w:t>
      </w:r>
      <w:r>
        <w:rPr>
          <w:rFonts w:cs="Times New Roman"/>
        </w:rPr>
        <w:t>主要领导应明确资产管理的责任，增强固定资产的管理意识。单位内部要设置相应的资产管理岗位，明确责任人及职责范围，将资产管理责任落实到人。对固定资产定期进行清查盘点，对财务部门入账登记的新增资产及时进行核对、确认。对各类资产的管理、使用情况等要做到心中有数。</w:t>
      </w:r>
      <w:r>
        <w:rPr>
          <w:rFonts w:cs="Times New Roman"/>
          <w:kern w:val="0"/>
          <w:szCs w:val="32"/>
        </w:rPr>
        <w:t>规范管理流程</w:t>
      </w:r>
      <w:r>
        <w:rPr>
          <w:rFonts w:hint="eastAsia" w:cs="Times New Roman"/>
          <w:kern w:val="0"/>
          <w:szCs w:val="32"/>
        </w:rPr>
        <w:t xml:space="preserve">。 </w:t>
      </w:r>
      <w:r>
        <w:rPr>
          <w:rFonts w:cs="Times New Roman"/>
          <w:kern w:val="0"/>
          <w:szCs w:val="32"/>
        </w:rPr>
        <w:t xml:space="preserve"> </w:t>
      </w:r>
    </w:p>
    <w:p>
      <w:pPr>
        <w:spacing w:line="600" w:lineRule="exact"/>
        <w:ind w:firstLine="643"/>
        <w:rPr>
          <w:rFonts w:cs="Times New Roman"/>
          <w:kern w:val="0"/>
          <w:szCs w:val="32"/>
        </w:rPr>
        <w:sectPr>
          <w:pgSz w:w="11906" w:h="16838"/>
          <w:pgMar w:top="1440" w:right="1800" w:bottom="1440" w:left="1800" w:header="851" w:footer="992" w:gutter="0"/>
          <w:cols w:space="425" w:num="1"/>
          <w:docGrid w:type="lines" w:linePitch="312" w:charSpace="0"/>
        </w:sectPr>
      </w:pPr>
      <w:r>
        <w:rPr>
          <w:rFonts w:hint="eastAsia" w:cs="Times New Roman"/>
          <w:b/>
          <w:bCs/>
          <w:kern w:val="0"/>
          <w:szCs w:val="32"/>
        </w:rPr>
        <w:t>三是</w:t>
      </w:r>
      <w:r>
        <w:rPr>
          <w:rFonts w:hint="eastAsia" w:cs="Times New Roman"/>
          <w:kern w:val="0"/>
          <w:szCs w:val="32"/>
        </w:rPr>
        <w:t>建议完善政府采购运作和管理的流程，对政府采购计划进行科学分析，精准地判断政府采购的可行性，明确采购的具体流程。同时，对于资金的划转及审核进行提前地合理地规划，各股室必须编制严格详细的政府采购计划，包含采购物品、采购数量、采购用途等。</w:t>
      </w:r>
    </w:p>
    <w:p>
      <w:pPr>
        <w:pStyle w:val="2"/>
        <w:ind w:firstLine="640"/>
      </w:pPr>
      <w:bookmarkStart w:id="86" w:name="_Toc77503501"/>
      <w:r>
        <w:rPr>
          <w:rFonts w:hint="eastAsia"/>
        </w:rPr>
        <w:t>附件1 绵竹市2020年医疗保障局部门整体支出绩效评价指标得分表</w:t>
      </w:r>
      <w:bookmarkEnd w:id="86"/>
    </w:p>
    <w:tbl>
      <w:tblPr>
        <w:tblStyle w:val="22"/>
        <w:tblW w:w="5000" w:type="pct"/>
        <w:jc w:val="center"/>
        <w:tblLayout w:type="fixed"/>
        <w:tblCellMar>
          <w:top w:w="0" w:type="dxa"/>
          <w:left w:w="108" w:type="dxa"/>
          <w:bottom w:w="0" w:type="dxa"/>
          <w:right w:w="108" w:type="dxa"/>
        </w:tblCellMar>
      </w:tblPr>
      <w:tblGrid>
        <w:gridCol w:w="440"/>
        <w:gridCol w:w="708"/>
        <w:gridCol w:w="723"/>
        <w:gridCol w:w="575"/>
        <w:gridCol w:w="1582"/>
        <w:gridCol w:w="3320"/>
        <w:gridCol w:w="1579"/>
        <w:gridCol w:w="3458"/>
        <w:gridCol w:w="723"/>
        <w:gridCol w:w="1066"/>
      </w:tblGrid>
      <w:tr>
        <w:tblPrEx>
          <w:tblCellMar>
            <w:top w:w="0" w:type="dxa"/>
            <w:left w:w="108" w:type="dxa"/>
            <w:bottom w:w="0" w:type="dxa"/>
            <w:right w:w="108" w:type="dxa"/>
          </w:tblCellMar>
        </w:tblPrEx>
        <w:trPr>
          <w:trHeight w:val="342" w:hRule="atLeast"/>
          <w:tblHeader/>
          <w:jc w:val="center"/>
        </w:trPr>
        <w:tc>
          <w:tcPr>
            <w:tcW w:w="862" w:type="pct"/>
            <w:gridSpan w:val="4"/>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评价指标</w:t>
            </w:r>
          </w:p>
        </w:tc>
        <w:tc>
          <w:tcPr>
            <w:tcW w:w="558" w:type="pct"/>
            <w:vMerge w:val="restart"/>
            <w:tcBorders>
              <w:top w:val="single" w:color="auto" w:sz="4" w:space="0"/>
              <w:left w:val="single" w:color="auto" w:sz="4" w:space="0"/>
              <w:bottom w:val="single" w:color="auto" w:sz="4" w:space="0"/>
              <w:right w:val="single" w:color="auto" w:sz="4" w:space="0"/>
            </w:tcBorders>
            <w:shd w:val="clear" w:color="000000" w:fill="00516B"/>
            <w:noWrap/>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指标解释</w:t>
            </w:r>
          </w:p>
        </w:tc>
        <w:tc>
          <w:tcPr>
            <w:tcW w:w="1171" w:type="pct"/>
            <w:vMerge w:val="restart"/>
            <w:tcBorders>
              <w:top w:val="single" w:color="auto" w:sz="4" w:space="0"/>
              <w:left w:val="single" w:color="auto" w:sz="4" w:space="0"/>
              <w:bottom w:val="single" w:color="auto" w:sz="4" w:space="0"/>
              <w:right w:val="single" w:color="auto" w:sz="4" w:space="0"/>
            </w:tcBorders>
            <w:shd w:val="clear" w:color="000000" w:fill="00516B"/>
            <w:noWrap/>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评分标准</w:t>
            </w:r>
          </w:p>
        </w:tc>
        <w:tc>
          <w:tcPr>
            <w:tcW w:w="557"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数据来源及获取方式</w:t>
            </w:r>
          </w:p>
        </w:tc>
        <w:tc>
          <w:tcPr>
            <w:tcW w:w="1220"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firstLine="0" w:firstLineChars="0"/>
              <w:jc w:val="center"/>
              <w:rPr>
                <w:rFonts w:eastAsia="宋体" w:cs="Times New Roman"/>
                <w:b/>
                <w:bCs/>
                <w:color w:val="FFFFFF"/>
                <w:kern w:val="0"/>
                <w:sz w:val="20"/>
                <w:szCs w:val="20"/>
              </w:rPr>
            </w:pPr>
            <w:r>
              <w:rPr>
                <w:rFonts w:hint="eastAsia" w:eastAsia="宋体" w:cs="Times New Roman"/>
                <w:b/>
                <w:bCs/>
                <w:color w:val="FFFFFF"/>
                <w:kern w:val="0"/>
                <w:sz w:val="20"/>
                <w:szCs w:val="20"/>
              </w:rPr>
              <w:t>得分</w:t>
            </w:r>
            <w:r>
              <w:rPr>
                <w:rFonts w:eastAsia="宋体" w:cs="Times New Roman"/>
                <w:b/>
                <w:bCs/>
                <w:color w:val="FFFFFF"/>
                <w:kern w:val="0"/>
                <w:sz w:val="20"/>
                <w:szCs w:val="20"/>
              </w:rPr>
              <w:t>依据</w:t>
            </w:r>
          </w:p>
        </w:tc>
        <w:tc>
          <w:tcPr>
            <w:tcW w:w="255"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377"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得分率</w:t>
            </w:r>
          </w:p>
        </w:tc>
      </w:tr>
      <w:tr>
        <w:tblPrEx>
          <w:tblCellMar>
            <w:top w:w="0" w:type="dxa"/>
            <w:left w:w="108" w:type="dxa"/>
            <w:bottom w:w="0" w:type="dxa"/>
            <w:right w:w="108" w:type="dxa"/>
          </w:tblCellMar>
        </w:tblPrEx>
        <w:trPr>
          <w:trHeight w:val="312" w:hRule="atLeast"/>
          <w:tblHeader/>
          <w:jc w:val="center"/>
        </w:trPr>
        <w:tc>
          <w:tcPr>
            <w:tcW w:w="155" w:type="pct"/>
            <w:tcBorders>
              <w:top w:val="nil"/>
              <w:left w:val="single" w:color="auto" w:sz="4" w:space="0"/>
              <w:bottom w:val="single" w:color="auto" w:sz="4" w:space="0"/>
              <w:right w:val="single" w:color="auto" w:sz="4" w:space="0"/>
            </w:tcBorders>
            <w:shd w:val="clear" w:color="000000" w:fill="00516B"/>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250" w:type="pct"/>
            <w:tcBorders>
              <w:top w:val="nil"/>
              <w:left w:val="nil"/>
              <w:bottom w:val="single" w:color="auto" w:sz="4" w:space="0"/>
              <w:right w:val="single" w:color="auto" w:sz="4" w:space="0"/>
            </w:tcBorders>
            <w:shd w:val="clear" w:color="000000" w:fill="00516B"/>
            <w:noWrap/>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255" w:type="pct"/>
            <w:tcBorders>
              <w:top w:val="nil"/>
              <w:left w:val="nil"/>
              <w:bottom w:val="single" w:color="auto" w:sz="4" w:space="0"/>
              <w:right w:val="single" w:color="auto" w:sz="4" w:space="0"/>
            </w:tcBorders>
            <w:shd w:val="clear" w:color="000000" w:fill="00516B"/>
            <w:noWrap/>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203" w:type="pct"/>
            <w:tcBorders>
              <w:top w:val="nil"/>
              <w:left w:val="nil"/>
              <w:bottom w:val="single" w:color="auto" w:sz="4" w:space="0"/>
              <w:right w:val="single" w:color="auto" w:sz="4" w:space="0"/>
            </w:tcBorders>
            <w:shd w:val="clear" w:color="000000" w:fill="00516B"/>
            <w:vAlign w:val="center"/>
          </w:tcPr>
          <w:p>
            <w:pPr>
              <w:widowControl/>
              <w:spacing w:line="320" w:lineRule="exact"/>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55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b/>
                <w:bCs/>
                <w:color w:val="FFFFFF"/>
                <w:kern w:val="0"/>
                <w:sz w:val="20"/>
                <w:szCs w:val="20"/>
              </w:rPr>
            </w:pPr>
          </w:p>
        </w:tc>
        <w:tc>
          <w:tcPr>
            <w:tcW w:w="117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b/>
                <w:bCs/>
                <w:color w:val="FFFFFF"/>
                <w:kern w:val="0"/>
                <w:sz w:val="20"/>
                <w:szCs w:val="20"/>
              </w:rPr>
            </w:pPr>
          </w:p>
        </w:tc>
        <w:tc>
          <w:tcPr>
            <w:tcW w:w="55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b/>
                <w:bCs/>
                <w:color w:val="FFFFFF"/>
                <w:kern w:val="0"/>
                <w:sz w:val="20"/>
                <w:szCs w:val="20"/>
              </w:rPr>
            </w:pPr>
          </w:p>
        </w:tc>
        <w:tc>
          <w:tcPr>
            <w:tcW w:w="122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b/>
                <w:bCs/>
                <w:color w:val="FFFFFF"/>
                <w:kern w:val="0"/>
                <w:sz w:val="20"/>
                <w:szCs w:val="20"/>
              </w:rPr>
            </w:pPr>
          </w:p>
        </w:tc>
        <w:tc>
          <w:tcPr>
            <w:tcW w:w="25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b/>
                <w:bCs/>
                <w:color w:val="FFFFFF"/>
                <w:kern w:val="0"/>
                <w:sz w:val="20"/>
                <w:szCs w:val="20"/>
              </w:rPr>
            </w:pPr>
          </w:p>
        </w:tc>
        <w:tc>
          <w:tcPr>
            <w:tcW w:w="37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b/>
                <w:bCs/>
                <w:color w:val="FFFFFF"/>
                <w:kern w:val="0"/>
                <w:sz w:val="20"/>
                <w:szCs w:val="20"/>
              </w:rPr>
            </w:pPr>
          </w:p>
        </w:tc>
      </w:tr>
      <w:tr>
        <w:tblPrEx>
          <w:tblCellMar>
            <w:top w:w="0" w:type="dxa"/>
            <w:left w:w="108" w:type="dxa"/>
            <w:bottom w:w="0" w:type="dxa"/>
            <w:right w:w="108" w:type="dxa"/>
          </w:tblCellMar>
        </w:tblPrEx>
        <w:trPr>
          <w:trHeight w:val="1500" w:hRule="atLeast"/>
          <w:jc w:val="center"/>
        </w:trPr>
        <w:tc>
          <w:tcPr>
            <w:tcW w:w="155"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预算管理（10分）</w:t>
            </w:r>
          </w:p>
        </w:tc>
        <w:tc>
          <w:tcPr>
            <w:tcW w:w="250"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预算编制</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预算安排准确性</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反映部门（单位）年初预算安排的准确性</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指标得分=（预算资金总来源-中期评估调整取消资金-预算结余注销资金）/预算资金总来源*指标分值，预算资金总来源是指年初预算与执行中追加预算总和。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通过部门整体绩效评价报送材料</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2020年市医保局年初收入预算数1856.70万元，调整预算数1880.22万元，预算追加数23.52万元，计算公式：(1880.22-23.52)/1880.22*5=4.94</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4.94</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98.80%</w:t>
            </w:r>
          </w:p>
        </w:tc>
      </w:tr>
      <w:tr>
        <w:tblPrEx>
          <w:tblCellMar>
            <w:top w:w="0" w:type="dxa"/>
            <w:left w:w="108" w:type="dxa"/>
            <w:bottom w:w="0" w:type="dxa"/>
            <w:right w:w="108" w:type="dxa"/>
          </w:tblCellMar>
        </w:tblPrEx>
        <w:trPr>
          <w:trHeight w:val="72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执行进度</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部门总体执行进度</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部门（单位）按要求严格预算管理</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部门总体执行进度达96%以上，不扣分；达92%以上，按80%打分；达88%以上，按60%打分；未达到88%，不得分。部门总体执行进度=财政拨款执行数÷财政拨款调整预算数</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部门决算报表</w:t>
            </w:r>
          </w:p>
        </w:tc>
        <w:tc>
          <w:tcPr>
            <w:tcW w:w="1220"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2020年市医保局调整预算数1880.22万元,决算数1880.22万元，执行率100.00%。</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660" w:hRule="atLeast"/>
          <w:jc w:val="center"/>
        </w:trPr>
        <w:tc>
          <w:tcPr>
            <w:tcW w:w="155"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目标管理（10分）</w:t>
            </w:r>
          </w:p>
        </w:tc>
        <w:tc>
          <w:tcPr>
            <w:tcW w:w="250"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绩效目标</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目标填报</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考核部门是否按要求编制专项资金、部门专项类项目绩效目标</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应编制绩效目标的专项类项目、专项资金未按要求申报绩效目标，发现1个项目扣0.5分；填报内容不规范，发现1处扣0.5分。直至扣完。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部门整体绩效评价材料（各项目入库申报表）报送</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1.质量指标准确性不高，其中伤残军人名单上为75人，一上申报预算55万，一下45万，人均补助标准6000元，按绩效目标申报表中表述为≤7000元。</w:t>
            </w:r>
            <w:r>
              <w:rPr>
                <w:rFonts w:eastAsia="宋体" w:cs="Times New Roman"/>
                <w:kern w:val="0"/>
                <w:sz w:val="20"/>
                <w:szCs w:val="20"/>
              </w:rPr>
              <w:br w:type="textWrapping"/>
            </w:r>
            <w:r>
              <w:rPr>
                <w:rFonts w:eastAsia="宋体" w:cs="Times New Roman"/>
                <w:kern w:val="0"/>
                <w:sz w:val="20"/>
                <w:szCs w:val="20"/>
              </w:rPr>
              <w:t>2.该部门提供了630专项2019年度资助人员表和资金支出表，支出共计30万，但在其提供的2019年度绩效目标完成情况表中写有住院报销比例超过95%，当年无支出，当年追减此项目。</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50.00%</w:t>
            </w:r>
          </w:p>
        </w:tc>
      </w:tr>
      <w:tr>
        <w:tblPrEx>
          <w:tblCellMar>
            <w:top w:w="0" w:type="dxa"/>
            <w:left w:w="108" w:type="dxa"/>
            <w:bottom w:w="0" w:type="dxa"/>
            <w:right w:w="108" w:type="dxa"/>
          </w:tblCellMar>
        </w:tblPrEx>
        <w:trPr>
          <w:trHeight w:val="120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目标量化</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考核部门申报绩效目标的量化程度</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专项类项目、专项资金设定的产出指标均应量化，效果指标中应至少50%以上量化指标。发现1个项目未达到要求扣0.5分，直至扣完。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部门整体绩效评价材料（各项目入库申报表、各项目绩效自评表）报送</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扣2分。</w:t>
            </w:r>
            <w:r>
              <w:rPr>
                <w:rFonts w:eastAsia="宋体" w:cs="Times New Roman"/>
                <w:kern w:val="0"/>
                <w:sz w:val="20"/>
                <w:szCs w:val="20"/>
              </w:rPr>
              <w:br w:type="textWrapping"/>
            </w:r>
            <w:r>
              <w:rPr>
                <w:rFonts w:eastAsia="宋体" w:cs="Times New Roman"/>
                <w:kern w:val="0"/>
                <w:sz w:val="20"/>
                <w:szCs w:val="20"/>
              </w:rPr>
              <w:t>未量化目标：意识形态工作、基金监管、服务能力提升、医保宣传等</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33.33%</w:t>
            </w:r>
          </w:p>
        </w:tc>
      </w:tr>
      <w:tr>
        <w:tblPrEx>
          <w:tblCellMar>
            <w:top w:w="0" w:type="dxa"/>
            <w:left w:w="108" w:type="dxa"/>
            <w:bottom w:w="0" w:type="dxa"/>
            <w:right w:w="108" w:type="dxa"/>
          </w:tblCellMar>
        </w:tblPrEx>
        <w:trPr>
          <w:trHeight w:val="681"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目标匹配</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考核部门申报的绩效目标是否与部门职能职责相关</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专项类项目、专项资金设定的绩效目标与部门职能职责不一致的，发现一个项目扣1分，直至扣完。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部门整体绩效评价材料（各项目入库申报表、各项目绩效自评表）报送</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w:t>
            </w:r>
            <w:r>
              <w:rPr>
                <w:rFonts w:eastAsia="宋体" w:cs="Times New Roman"/>
                <w:kern w:val="0"/>
                <w:sz w:val="20"/>
                <w:szCs w:val="20"/>
              </w:rPr>
              <w:br w:type="textWrapping"/>
            </w:r>
            <w:r>
              <w:rPr>
                <w:rFonts w:eastAsia="宋体" w:cs="Times New Roman"/>
                <w:kern w:val="0"/>
                <w:sz w:val="20"/>
                <w:szCs w:val="20"/>
              </w:rPr>
              <w:t>目标设置与部门职责匹配。</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480" w:hRule="atLeast"/>
          <w:jc w:val="center"/>
        </w:trPr>
        <w:tc>
          <w:tcPr>
            <w:tcW w:w="155"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部门管理（10分）</w:t>
            </w:r>
          </w:p>
        </w:tc>
        <w:tc>
          <w:tcPr>
            <w:tcW w:w="250"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基础管理</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管理制度健全性</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部门（单位）为加强预算管理、推进厉行节约、规范财务行为而制定的管理制度是否健全完整</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是否已制定或具有预算资金管理办法、厉行节约管理措施、内部财务管理制度、会计核算制度等管理制度；相关管理制度是否合法、合规、完整；相关管理制度是否得到有效执行。每一点不符合规定，扣 0.5 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对比分析管理部门的管理制度文件</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扣分0.5：只有“厉行节约制止餐饮浪费行为工作总结”，未提供部门厉行节约内部管理制度。</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0.50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50.00%</w:t>
            </w:r>
          </w:p>
        </w:tc>
      </w:tr>
      <w:tr>
        <w:tblPrEx>
          <w:tblCellMar>
            <w:top w:w="0" w:type="dxa"/>
            <w:left w:w="108" w:type="dxa"/>
            <w:bottom w:w="0" w:type="dxa"/>
            <w:right w:w="108" w:type="dxa"/>
          </w:tblCellMar>
        </w:tblPrEx>
        <w:trPr>
          <w:trHeight w:val="561"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资金使用合规性</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部门（单位）使用预算资金是否符合相关的预算财务管理制度的规定</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0.5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对比分析管理部门的资金管理文件、财务账目等文件</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扣分0.5分：城乡医疗一体化专项经费沿用人社局往年预算额度，工作额度使用方案资金使用混乱，相关性不强资金支出有：医保大厅维修改造、电信服务费、办公用品耗材等。</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0.50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50.00%</w:t>
            </w:r>
          </w:p>
        </w:tc>
      </w:tr>
      <w:tr>
        <w:tblPrEx>
          <w:tblCellMar>
            <w:top w:w="0" w:type="dxa"/>
            <w:left w:w="108" w:type="dxa"/>
            <w:bottom w:w="0" w:type="dxa"/>
            <w:right w:w="108" w:type="dxa"/>
          </w:tblCellMar>
        </w:tblPrEx>
        <w:trPr>
          <w:trHeight w:val="60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财务监控有效性</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考察部门是否对部门内部、各所属单位，专项资金分配的区（市）县或项目实施主体进行工作监督和定期考核。</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对部门内部、下属单位、分配的专项资金</w:t>
            </w:r>
            <w:r>
              <w:rPr>
                <w:rFonts w:hint="eastAsia" w:ascii="宋体" w:hAnsi="宋体" w:eastAsia="宋体" w:cs="宋体"/>
                <w:kern w:val="0"/>
                <w:sz w:val="20"/>
                <w:szCs w:val="20"/>
              </w:rPr>
              <w:t>①</w:t>
            </w:r>
            <w:r>
              <w:rPr>
                <w:rFonts w:eastAsia="宋体" w:cs="Times New Roman"/>
                <w:kern w:val="0"/>
                <w:sz w:val="20"/>
                <w:szCs w:val="20"/>
              </w:rPr>
              <w:t>制定明确的财务监控监督措施，得1分；</w:t>
            </w:r>
            <w:r>
              <w:rPr>
                <w:rFonts w:hint="eastAsia" w:ascii="宋体" w:hAnsi="宋体" w:eastAsia="宋体" w:cs="宋体"/>
                <w:kern w:val="0"/>
                <w:sz w:val="20"/>
                <w:szCs w:val="20"/>
              </w:rPr>
              <w:t>②</w:t>
            </w:r>
            <w:r>
              <w:rPr>
                <w:rFonts w:eastAsia="宋体" w:cs="Times New Roman"/>
                <w:kern w:val="0"/>
                <w:sz w:val="20"/>
                <w:szCs w:val="20"/>
              </w:rPr>
              <w:t>监控、监督措施执行有效，得1分。</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对比分析管理部门的资金管理文件、财务账目等文件</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得1分。只有统一的项目资金管理办法：《项目资金管理暂行办法》《资金审批流程》，存在较多项目资金挪用的情况，监督监控措施未有效执行。</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50.00%</w:t>
            </w:r>
          </w:p>
        </w:tc>
      </w:tr>
      <w:tr>
        <w:tblPrEx>
          <w:tblCellMar>
            <w:top w:w="0" w:type="dxa"/>
            <w:left w:w="108" w:type="dxa"/>
            <w:bottom w:w="0" w:type="dxa"/>
            <w:right w:w="108" w:type="dxa"/>
          </w:tblCellMar>
        </w:tblPrEx>
        <w:trPr>
          <w:trHeight w:val="561"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行政成本</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“三公”经费控制</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当年“三公”经费预算与当年决算比，反映“三公”经费控制情况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部门“三公”经费决算数一项超预算扣0.5分，两项扣1分</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部门整体绩效评价材料（部门决算报表）报送</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满分。2019年因机构改革无公务接待费预算。2020年“三公”经费年初预算1.60万元，年决算数0.6703万元，执行率41.89%，决算数未超预算数，“三公”经费控制较好。</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561"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政府采购</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采购规范性</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考察政府采购项目的采购程序、 采购方式的规范性</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采购方式、程序中每一点不规范，扣 0.5 分，直至扣完</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通过查勘项目管理的过程文件，政府采购内部控制管理制度执行情况</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扣分1分。1.德阳市火星广告传媒有限公司受市医保局委托做党建墙制项目，因缺少最后的验收环节，难以衡量和监控服务质量。另一方面个别项目存在项目实施时间早于项目采购时间。2.在大厅</w:t>
            </w:r>
            <w:r>
              <w:rPr>
                <w:rFonts w:hint="eastAsia" w:eastAsia="宋体" w:cs="Times New Roman"/>
                <w:kern w:val="0"/>
                <w:sz w:val="20"/>
                <w:szCs w:val="20"/>
              </w:rPr>
              <w:t>窗</w:t>
            </w:r>
            <w:r>
              <w:rPr>
                <w:rFonts w:eastAsia="宋体" w:cs="Times New Roman"/>
                <w:kern w:val="0"/>
                <w:sz w:val="20"/>
                <w:szCs w:val="20"/>
              </w:rPr>
              <w:t>口标准化信息化建设采购项目中，存在项目实施时间早于项目采购时间。通过公开招标的方式，市医保局与高蓝电子科技有限公司签订合同，并于2019年4月16日交货，但2019年11月5日市医保局才进行</w:t>
            </w:r>
            <w:r>
              <w:rPr>
                <w:rFonts w:hint="eastAsia" w:eastAsia="宋体" w:cs="Times New Roman"/>
                <w:kern w:val="0"/>
                <w:sz w:val="20"/>
                <w:szCs w:val="20"/>
              </w:rPr>
              <w:t>。</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0.00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0.00%</w:t>
            </w:r>
          </w:p>
        </w:tc>
      </w:tr>
      <w:tr>
        <w:tblPrEx>
          <w:tblCellMar>
            <w:top w:w="0" w:type="dxa"/>
            <w:left w:w="108" w:type="dxa"/>
            <w:bottom w:w="0" w:type="dxa"/>
            <w:right w:w="108" w:type="dxa"/>
          </w:tblCellMar>
        </w:tblPrEx>
        <w:trPr>
          <w:trHeight w:val="1104"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资产管理</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固定资产在用率</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部门实际在用固定资产总额与所有固定资产总额的比率， 用以反映和考核部门固定资产使用效率及程度</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固定资产在用率=（实际在用固定资产总额/所有固定资产总额）×100%。 固定资产在用率达到 95%以上得满分。 相较95%，每降低 5个百分点扣1分，直至扣完。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《固定资产明细表》、《资产盘点表》、行政事业资产管理系统统计数据、资产情况表，部门整体绩效评价材料报送、部门座谈会、专家资料分析</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满分。2020年期初固定资产账面数13.43万元，期末固定资产余额账面数38.39万，在用原值45.68万元，在用率100%</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639"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信息公开</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信息公开</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除涉密单位和信息外，考核部门（单位）是否按财政要求及时完成预算、决算、绩效等信息公开工作</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一项公开工作未完成的扣1分，直至扣完。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通过报送部门政务公开情况相关材料</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满分。市医保局于2020年5月15日在德阳市政府信息公开网站公开2020年度本部门预算，于2020年11月19日在德阳市政府信息公开网站公开2019年度本部门决算。</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2.00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540" w:hRule="atLeast"/>
          <w:jc w:val="center"/>
        </w:trPr>
        <w:tc>
          <w:tcPr>
            <w:tcW w:w="155"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履职效能（70分）</w:t>
            </w:r>
          </w:p>
        </w:tc>
        <w:tc>
          <w:tcPr>
            <w:tcW w:w="25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廉政建设与意识形态工作</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廉政制度建设</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考察是否有完善的党风廉政建设制度</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rPr>
                <w:rFonts w:eastAsia="宋体" w:cs="Times New Roman"/>
                <w:kern w:val="0"/>
                <w:sz w:val="20"/>
                <w:szCs w:val="20"/>
              </w:rPr>
            </w:pPr>
            <w:r>
              <w:rPr>
                <w:rFonts w:eastAsia="宋体" w:cs="Times New Roman"/>
                <w:kern w:val="0"/>
                <w:sz w:val="20"/>
                <w:szCs w:val="20"/>
              </w:rPr>
              <w:t>查看是否有落实党风廉政建设主体责任制度；若发现制度不完善、不健全的扣1分，直至扣完</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通过查看相关制度文件分析</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满分。市医保局落实党风廉政主体责任建设，制定了《党风廉政建设党组主体责任清单》，《党风廉政建设工作计划》等制度建设系列目录。</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60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意识形态工作</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考察查看部门严明政治纪律和政治规矩，政治立场明确与旗帜鲜明反对各种错误思想和不当言论，掌握意识形态工作的主动权情况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落实主体责任清单以及制定措施条数、研判意识形态领域工作次数；责任清单自次数；指标得分=实际完成数/年初计划数*指标分值，其中完成率按照加权平均数计算</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通过对比年初计划与年终总计分析，并查看相关佐证材料</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扣分点：2020年工作计划里没有详细的数据。2020年建立分类主体责任清单5个，制定措施41条，全年专题研判意识形态领域工作4次，结合责任清单开展自查2次。</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3.00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60.00%</w:t>
            </w:r>
          </w:p>
        </w:tc>
      </w:tr>
      <w:tr>
        <w:tblPrEx>
          <w:tblCellMar>
            <w:top w:w="0" w:type="dxa"/>
            <w:left w:w="108" w:type="dxa"/>
            <w:bottom w:w="0" w:type="dxa"/>
            <w:right w:w="108" w:type="dxa"/>
          </w:tblCellMar>
        </w:tblPrEx>
        <w:trPr>
          <w:trHeight w:val="639"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应保尽保</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全民参保</w:t>
            </w:r>
            <w:r>
              <w:rPr>
                <w:rFonts w:hint="eastAsia" w:eastAsia="宋体" w:cs="Times New Roman"/>
                <w:kern w:val="0"/>
                <w:sz w:val="20"/>
                <w:szCs w:val="20"/>
              </w:rPr>
              <w:t>人</w:t>
            </w:r>
            <w:r>
              <w:rPr>
                <w:rFonts w:eastAsia="宋体" w:cs="Times New Roman"/>
                <w:kern w:val="0"/>
                <w:sz w:val="20"/>
                <w:szCs w:val="20"/>
              </w:rPr>
              <w:t>数</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主要查看是否完成上级下达参保任务</w:t>
            </w:r>
          </w:p>
        </w:tc>
        <w:tc>
          <w:tcPr>
            <w:tcW w:w="1171"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2020年德阳下达的城乡居民补充医疗参保人数是否完成达36万，完成得2分，未完成不得分。</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通过2020年末参保人数与任务指标数进行对比</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2020年绵竹市城乡居民医保参保人数36.01万人，完成了德阳市下发的“≥36万人参与城乡居民补充医疗保险补助”任务</w:t>
            </w:r>
            <w:r>
              <w:rPr>
                <w:rFonts w:hint="eastAsia" w:eastAsia="宋体" w:cs="Times New Roman"/>
                <w:kern w:val="0"/>
                <w:sz w:val="20"/>
                <w:szCs w:val="20"/>
              </w:rPr>
              <w:t>，但未完成当年预算编制上报计划36.3万人</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0.00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0.00%</w:t>
            </w:r>
          </w:p>
        </w:tc>
      </w:tr>
      <w:tr>
        <w:trPr>
          <w:trHeight w:val="888"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医保救助</w:t>
            </w:r>
            <w:r>
              <w:rPr>
                <w:rFonts w:hint="eastAsia" w:eastAsia="宋体" w:cs="Times New Roman"/>
                <w:kern w:val="0"/>
                <w:sz w:val="20"/>
                <w:szCs w:val="20"/>
              </w:rPr>
              <w:t>人数</w:t>
            </w:r>
            <w:r>
              <w:rPr>
                <w:rFonts w:eastAsia="宋体" w:cs="Times New Roman"/>
                <w:kern w:val="0"/>
                <w:sz w:val="20"/>
                <w:szCs w:val="20"/>
              </w:rPr>
              <w:t>的提升率</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主要查看医保救助对象的精准度</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对比2019年医保救助人数和2020年医保救助人数，指标得分=（2020年救助人数/2019年救助人数-1）*指标分值</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对比分析部门2019和2020年工作相关指标，以及重点工作落实情况</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绵竹市医保局2019年8月正式接手城乡居民医疗救助工作，2019年医保救助人数为189人（截至当年9月）， 2020年全年医保救助人数1607人，救助人数明显上升</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1176"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城镇职工基本医疗保险参保人数的提升率</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主要查看2020年城镇职工参保人数的提升情况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对比2019年城镇职工基本医疗保险参保人数和2020年城镇职工基本医疗保险参保人数，指标得分=（2020年参保人数/2019年参保人数-1）*指标分值</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对比分析部门2020年工作计划和2020年工作总结，以及重点工作落实情况</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w:t>
            </w:r>
            <w:r>
              <w:rPr>
                <w:rFonts w:eastAsia="宋体" w:cs="Times New Roman"/>
                <w:kern w:val="0"/>
                <w:sz w:val="20"/>
                <w:szCs w:val="20"/>
              </w:rPr>
              <w:br w:type="textWrapping"/>
            </w:r>
            <w:r>
              <w:rPr>
                <w:rFonts w:eastAsia="宋体" w:cs="Times New Roman"/>
                <w:kern w:val="0"/>
                <w:sz w:val="20"/>
                <w:szCs w:val="20"/>
              </w:rPr>
              <w:t>2019年城镇职工基本医疗保险参保人数：84888</w:t>
            </w:r>
            <w:r>
              <w:rPr>
                <w:rFonts w:eastAsia="宋体" w:cs="Times New Roman"/>
                <w:kern w:val="0"/>
                <w:sz w:val="20"/>
                <w:szCs w:val="20"/>
              </w:rPr>
              <w:br w:type="textWrapping"/>
            </w:r>
            <w:r>
              <w:rPr>
                <w:rFonts w:eastAsia="宋体" w:cs="Times New Roman"/>
                <w:kern w:val="0"/>
                <w:sz w:val="20"/>
                <w:szCs w:val="20"/>
              </w:rPr>
              <w:t>2020年城镇职工基本医疗保险参保人数：91926</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60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城乡居民医保参保人数的提升率</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主要查看2020年城乡居民参保人数的提升情况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对比2020年初上级下达的城乡居民医保参保目标任务和2020年最终完成参保人数，指标得分=（2020年参保人数/2019年参保人数-1）*指标分值</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对比分析部门2019和2020年工作相关指标，以及重点工作落实情况</w:t>
            </w:r>
          </w:p>
        </w:tc>
        <w:tc>
          <w:tcPr>
            <w:tcW w:w="1220"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2020年市医保局计划城乡居民补充医疗保险补助1参保人数9.3万人；城乡居民补充医疗保险补助2参保人数27万人，2019年全市城乡居民医保参保人数为37.03万人，2020年城乡居民医保参保人数为36.01万人，由此计算36.01万/37.03万人*5=4.86</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4.86</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97.20%</w:t>
            </w:r>
          </w:p>
        </w:tc>
      </w:tr>
      <w:tr>
        <w:tblPrEx>
          <w:tblCellMar>
            <w:top w:w="0" w:type="dxa"/>
            <w:left w:w="108" w:type="dxa"/>
            <w:bottom w:w="0" w:type="dxa"/>
            <w:right w:w="108" w:type="dxa"/>
          </w:tblCellMar>
        </w:tblPrEx>
        <w:trPr>
          <w:trHeight w:val="561"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医保监管</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医药机构核查覆盖率</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主要查看核查医药机构的力度</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与2019年相比，2020年检查医药机构的覆盖家数</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对比分析部门2019和2020年工作相关指标，以及重点工作落实情况</w:t>
            </w:r>
          </w:p>
        </w:tc>
        <w:tc>
          <w:tcPr>
            <w:tcW w:w="1220"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2019年和2020年均为全市医药机构的全覆盖检查，但所给数据统计口径不一致，评分标准难判断。</w:t>
            </w:r>
            <w:r>
              <w:rPr>
                <w:rFonts w:eastAsia="宋体" w:cs="Times New Roman"/>
                <w:kern w:val="0"/>
                <w:sz w:val="20"/>
                <w:szCs w:val="20"/>
              </w:rPr>
              <w:br w:type="textWrapping"/>
            </w:r>
            <w:r>
              <w:rPr>
                <w:rFonts w:eastAsia="宋体" w:cs="Times New Roman"/>
                <w:kern w:val="0"/>
                <w:sz w:val="20"/>
                <w:szCs w:val="20"/>
              </w:rPr>
              <w:br w:type="textWrapping"/>
            </w:r>
            <w:r>
              <w:rPr>
                <w:rFonts w:eastAsia="宋体" w:cs="Times New Roman"/>
                <w:kern w:val="0"/>
                <w:sz w:val="20"/>
                <w:szCs w:val="20"/>
              </w:rPr>
              <w:t>如果按全部医药机构个数算，2019年全市共355家，2020年全市共355家</w:t>
            </w:r>
            <w:r>
              <w:rPr>
                <w:rFonts w:eastAsia="宋体" w:cs="Times New Roman"/>
                <w:kern w:val="0"/>
                <w:sz w:val="20"/>
                <w:szCs w:val="20"/>
              </w:rPr>
              <w:br w:type="textWrapping"/>
            </w:r>
            <w:r>
              <w:rPr>
                <w:rFonts w:eastAsia="宋体" w:cs="Times New Roman"/>
                <w:kern w:val="0"/>
                <w:sz w:val="20"/>
                <w:szCs w:val="20"/>
              </w:rPr>
              <w:t>每年均为全覆盖检查。</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72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医保基金投诉处理及时性</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主要查看是否及时处理医保基金投诉</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行医保基金投诉处理是否及时，及时得5分，一般及时得2.5分，不及时不得分。</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对比分析部门2019和2020年工作相关指标，以及重点工作落实情况</w:t>
            </w:r>
          </w:p>
        </w:tc>
        <w:tc>
          <w:tcPr>
            <w:tcW w:w="1220"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市医保局能够及时调查处理和约谈医药机构负责人，其中2020年针对21家定点医疗机构对102名人员、15名机关工作人员开展打击内外勾结骗保工作谈心谈话</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804"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医保资金追回额的增长率</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主要查看对医保基金的督查检查的效果</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与2019年相比，医保资金追回额度的增加幅度，指标得分=（2020年医保资金追回额度/2019年医保资金追回额度-1）*指标分值</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对比分析部门2019和2020年工作相关指标，以及重点工作落实情况</w:t>
            </w:r>
          </w:p>
        </w:tc>
        <w:tc>
          <w:tcPr>
            <w:tcW w:w="1220"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w:t>
            </w:r>
            <w:r>
              <w:rPr>
                <w:rFonts w:eastAsia="宋体" w:cs="Times New Roman"/>
                <w:kern w:val="0"/>
                <w:sz w:val="20"/>
                <w:szCs w:val="20"/>
              </w:rPr>
              <w:br w:type="textWrapping"/>
            </w:r>
            <w:r>
              <w:rPr>
                <w:rFonts w:eastAsia="宋体" w:cs="Times New Roman"/>
                <w:kern w:val="0"/>
                <w:sz w:val="20"/>
                <w:szCs w:val="20"/>
              </w:rPr>
              <w:t>2019年追回违规使用基金271.77万元,扣减违约金202.59万元。</w:t>
            </w:r>
            <w:r>
              <w:rPr>
                <w:rFonts w:eastAsia="宋体" w:cs="Times New Roman"/>
                <w:kern w:val="0"/>
                <w:sz w:val="20"/>
                <w:szCs w:val="20"/>
              </w:rPr>
              <w:br w:type="textWrapping"/>
            </w:r>
            <w:r>
              <w:rPr>
                <w:rFonts w:eastAsia="宋体" w:cs="Times New Roman"/>
                <w:kern w:val="0"/>
                <w:sz w:val="20"/>
                <w:szCs w:val="20"/>
              </w:rPr>
              <w:t>2020年追回违规使用基金389.98万元,扣减违约金2.04万元。</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72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行政处罚执行及时性</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主要查看对医保基金的督查检查的效果</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行政处罚执行是否及时，及时得5分，一般及时得2.5分，不及时不得分。</w:t>
            </w:r>
          </w:p>
        </w:tc>
        <w:tc>
          <w:tcPr>
            <w:tcW w:w="557"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hint="eastAsia" w:eastAsia="宋体" w:cs="Times New Roman"/>
                <w:kern w:val="0"/>
                <w:sz w:val="20"/>
                <w:szCs w:val="20"/>
              </w:rPr>
              <w:t>查看</w:t>
            </w:r>
            <w:r>
              <w:rPr>
                <w:rFonts w:eastAsia="宋体" w:cs="Times New Roman"/>
                <w:kern w:val="0"/>
                <w:sz w:val="20"/>
                <w:szCs w:val="20"/>
              </w:rPr>
              <w:t>2020年</w:t>
            </w:r>
            <w:r>
              <w:rPr>
                <w:rFonts w:hint="eastAsia" w:eastAsia="宋体" w:cs="Times New Roman"/>
                <w:kern w:val="0"/>
                <w:sz w:val="20"/>
                <w:szCs w:val="20"/>
              </w:rPr>
              <w:t>行政处罚的</w:t>
            </w:r>
            <w:r>
              <w:rPr>
                <w:rFonts w:eastAsia="宋体" w:cs="Times New Roman"/>
                <w:kern w:val="0"/>
                <w:sz w:val="20"/>
                <w:szCs w:val="20"/>
              </w:rPr>
              <w:t>情况</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hint="eastAsia" w:eastAsia="宋体" w:cs="Times New Roman"/>
                <w:kern w:val="0"/>
                <w:sz w:val="20"/>
                <w:szCs w:val="20"/>
              </w:rPr>
              <w:t>未发现行政处罚不及时的情况</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792"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服务能力提升</w:t>
            </w: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信息化升级改造完成率</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主要考察政务服务能力的改善情况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医保中心窗口标准化和信息化升级改造项目完成情况，指标得分=（2020年实际完成数量/2020年初计划完成数量）*指标分值</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对比分析部门2020年工作计划和2020年工作总结，以及重点工作落实情况</w:t>
            </w:r>
          </w:p>
        </w:tc>
        <w:tc>
          <w:tcPr>
            <w:tcW w:w="1220"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有项目履约验收报告。为优化大厅设置，市医保局开展医保中心窗口标准化和信息化升级改造项目（大厅串口标准化信息化建设项目），增设服务台、自主填单区、投诉意见箱、10套智能显示、自助智能叫号机、职能评价器、饮水机、药箱等便民服务设施，并于2020年4月完成验收</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1044"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政务服务效能提升</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主要考察医保政务服务效能提升情况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查看通过推广“不见面”服务，引导参保人员通过“掌上办”、“线上办”等方式完成参保登记、备案申报、关系转移等服务，实现数据宣传，指标得分=（2020年平均办理业务时间/2019年平均办理业务时间-1）*指标分值</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对比分析部门2019和2020年工作相关指标，以及重点工作落实情况</w:t>
            </w:r>
          </w:p>
        </w:tc>
        <w:tc>
          <w:tcPr>
            <w:tcW w:w="1220"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2019年市医保局2019年优化梳理政务服务事项12大项，35小项，整理公开办事指南21份。2020年优化梳理政务服务事项46项，减少慢性特殊疾病门诊费用报销材料1份，整理公开办事指南48份。对比2019年与2020年，医保政务服务效能有所提升</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5.00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108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医保宣传</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扩大医保宣传面</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主要考察宣传受众的增长情况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医保宣传的电视台等新闻媒体播放量、自制宣传资料份数、新媒体（小视频）播放量、乡村大喇叭宣传次数、文章阅读量，转载数的增长情况，如《住院政策小知识》文章平均阅读量增长情况。</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对比分析部门2019和2020年工作相关指标，以及重点工作落实情况</w:t>
            </w:r>
          </w:p>
        </w:tc>
        <w:tc>
          <w:tcPr>
            <w:tcW w:w="1220"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w:t>
            </w:r>
            <w:r>
              <w:rPr>
                <w:rFonts w:eastAsia="宋体" w:cs="Times New Roman"/>
                <w:kern w:val="0"/>
                <w:sz w:val="20"/>
                <w:szCs w:val="20"/>
              </w:rPr>
              <w:br w:type="textWrapping"/>
            </w:r>
            <w:r>
              <w:rPr>
                <w:rFonts w:eastAsia="宋体" w:cs="Times New Roman"/>
                <w:kern w:val="0"/>
                <w:sz w:val="20"/>
                <w:szCs w:val="20"/>
              </w:rPr>
              <w:t>与2019年相比，除了下乡入户讲解、发放纸质资料、横幅等传统宣传形式，2020年市医保局还开通了惠民短信，通过电视台、政务网站、公众号等加大新媒体传播力度。同时通过建立扶贫政策明白卡、贫困户慢性卡等，进一步扩大医保政策的宣传受众面</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6.00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600" w:hRule="atLeast"/>
          <w:jc w:val="center"/>
        </w:trPr>
        <w:tc>
          <w:tcPr>
            <w:tcW w:w="155"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0" w:type="pct"/>
            <w:vMerge w:val="continue"/>
            <w:tcBorders>
              <w:top w:val="nil"/>
              <w:left w:val="single" w:color="auto" w:sz="4" w:space="0"/>
              <w:bottom w:val="single" w:color="auto" w:sz="4" w:space="0"/>
              <w:right w:val="single" w:color="auto" w:sz="4" w:space="0"/>
            </w:tcBorders>
            <w:vAlign w:val="center"/>
          </w:tcPr>
          <w:p>
            <w:pPr>
              <w:widowControl/>
              <w:spacing w:line="320" w:lineRule="exact"/>
              <w:ind w:firstLine="0" w:firstLineChars="0"/>
              <w:jc w:val="left"/>
              <w:rPr>
                <w:rFonts w:eastAsia="宋体" w:cs="Times New Roman"/>
                <w:kern w:val="0"/>
                <w:sz w:val="20"/>
                <w:szCs w:val="20"/>
              </w:rPr>
            </w:pPr>
          </w:p>
        </w:tc>
        <w:tc>
          <w:tcPr>
            <w:tcW w:w="255"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政务公开医保政策增长率</w:t>
            </w:r>
          </w:p>
        </w:tc>
        <w:tc>
          <w:tcPr>
            <w:tcW w:w="203"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558"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主要考察通过政务公开方式的医保政策情况</w:t>
            </w:r>
          </w:p>
        </w:tc>
        <w:tc>
          <w:tcPr>
            <w:tcW w:w="1171" w:type="pct"/>
            <w:tcBorders>
              <w:top w:val="nil"/>
              <w:left w:val="nil"/>
              <w:bottom w:val="single" w:color="auto" w:sz="4" w:space="0"/>
              <w:right w:val="single" w:color="auto" w:sz="4" w:space="0"/>
            </w:tcBorders>
            <w:shd w:val="clear" w:color="auto" w:fill="auto"/>
            <w:vAlign w:val="center"/>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与2019年相比，向社会公开宣传政策的增加幅度，指标得分=（2020年社会公开宣传的次数/2019年公开宣传的次数-1）*指标分值</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对比分析部门2020年工作计划和2020年工作总结，以及重点工作落实情况</w:t>
            </w:r>
          </w:p>
        </w:tc>
        <w:tc>
          <w:tcPr>
            <w:tcW w:w="1220"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left"/>
              <w:rPr>
                <w:rFonts w:eastAsia="宋体" w:cs="Times New Roman"/>
                <w:kern w:val="0"/>
                <w:sz w:val="20"/>
                <w:szCs w:val="20"/>
              </w:rPr>
            </w:pPr>
            <w:r>
              <w:rPr>
                <w:rFonts w:eastAsia="宋体" w:cs="Times New Roman"/>
                <w:kern w:val="0"/>
                <w:sz w:val="20"/>
                <w:szCs w:val="20"/>
              </w:rPr>
              <w:t>满分。</w:t>
            </w:r>
            <w:r>
              <w:rPr>
                <w:rFonts w:eastAsia="宋体" w:cs="Times New Roman"/>
                <w:kern w:val="0"/>
                <w:sz w:val="20"/>
                <w:szCs w:val="20"/>
              </w:rPr>
              <w:br w:type="textWrapping"/>
            </w:r>
            <w:r>
              <w:rPr>
                <w:rFonts w:eastAsia="宋体" w:cs="Times New Roman"/>
                <w:kern w:val="0"/>
                <w:sz w:val="20"/>
                <w:szCs w:val="20"/>
              </w:rPr>
              <w:t>2019年深入乡镇社区组织现场咨询70余次；</w:t>
            </w:r>
            <w:r>
              <w:rPr>
                <w:rFonts w:eastAsia="宋体" w:cs="Times New Roman"/>
                <w:kern w:val="0"/>
                <w:sz w:val="20"/>
                <w:szCs w:val="20"/>
              </w:rPr>
              <w:br w:type="textWrapping"/>
            </w:r>
            <w:r>
              <w:rPr>
                <w:rFonts w:eastAsia="宋体" w:cs="Times New Roman"/>
                <w:kern w:val="0"/>
                <w:sz w:val="20"/>
                <w:szCs w:val="20"/>
              </w:rPr>
              <w:t>2020年医保政策下乡、进社区活动10余次；在电视台等各类新闻媒体宣传医保政策40余次，利用村村大喇叭播放宣传知识10000余次。</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4.00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kern w:val="0"/>
                <w:sz w:val="20"/>
                <w:szCs w:val="20"/>
              </w:rPr>
            </w:pPr>
            <w:r>
              <w:rPr>
                <w:rFonts w:eastAsia="宋体" w:cs="Times New Roman"/>
                <w:kern w:val="0"/>
                <w:sz w:val="20"/>
                <w:szCs w:val="20"/>
              </w:rPr>
              <w:t>100.00%</w:t>
            </w:r>
          </w:p>
        </w:tc>
      </w:tr>
      <w:tr>
        <w:tblPrEx>
          <w:tblCellMar>
            <w:top w:w="0" w:type="dxa"/>
            <w:left w:w="108" w:type="dxa"/>
            <w:bottom w:w="0" w:type="dxa"/>
            <w:right w:w="108" w:type="dxa"/>
          </w:tblCellMar>
        </w:tblPrEx>
        <w:trPr>
          <w:trHeight w:val="318" w:hRule="atLeast"/>
          <w:jc w:val="center"/>
        </w:trPr>
        <w:tc>
          <w:tcPr>
            <w:tcW w:w="660"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b/>
                <w:bCs/>
                <w:kern w:val="0"/>
                <w:sz w:val="20"/>
                <w:szCs w:val="20"/>
              </w:rPr>
            </w:pPr>
            <w:r>
              <w:rPr>
                <w:rFonts w:eastAsia="宋体" w:cs="Times New Roman"/>
                <w:b/>
                <w:bCs/>
                <w:kern w:val="0"/>
                <w:sz w:val="20"/>
                <w:szCs w:val="20"/>
              </w:rPr>
              <w:t>合计</w:t>
            </w:r>
          </w:p>
        </w:tc>
        <w:tc>
          <w:tcPr>
            <w:tcW w:w="203"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b/>
                <w:bCs/>
                <w:kern w:val="0"/>
                <w:sz w:val="20"/>
                <w:szCs w:val="20"/>
              </w:rPr>
            </w:pPr>
            <w:r>
              <w:rPr>
                <w:rFonts w:eastAsia="宋体" w:cs="Times New Roman"/>
                <w:b/>
                <w:bCs/>
                <w:kern w:val="0"/>
                <w:sz w:val="20"/>
                <w:szCs w:val="20"/>
              </w:rPr>
              <w:t>100</w:t>
            </w:r>
          </w:p>
        </w:tc>
        <w:tc>
          <w:tcPr>
            <w:tcW w:w="1729" w:type="pct"/>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b/>
                <w:bCs/>
                <w:kern w:val="0"/>
                <w:sz w:val="20"/>
                <w:szCs w:val="20"/>
              </w:rPr>
            </w:pPr>
            <w:r>
              <w:rPr>
                <w:rFonts w:eastAsia="宋体" w:cs="Times New Roman"/>
                <w:b/>
                <w:bCs/>
                <w:kern w:val="0"/>
                <w:sz w:val="20"/>
                <w:szCs w:val="20"/>
              </w:rPr>
              <w:t>　</w:t>
            </w:r>
          </w:p>
        </w:tc>
        <w:tc>
          <w:tcPr>
            <w:tcW w:w="557" w:type="pct"/>
            <w:tcBorders>
              <w:top w:val="nil"/>
              <w:left w:val="nil"/>
              <w:bottom w:val="single" w:color="auto" w:sz="4" w:space="0"/>
              <w:right w:val="single" w:color="auto" w:sz="4" w:space="0"/>
            </w:tcBorders>
            <w:shd w:val="clear" w:color="auto" w:fill="auto"/>
          </w:tcPr>
          <w:p>
            <w:pPr>
              <w:widowControl/>
              <w:spacing w:line="320" w:lineRule="exact"/>
              <w:ind w:firstLine="0" w:firstLineChars="0"/>
              <w:jc w:val="center"/>
              <w:rPr>
                <w:rFonts w:eastAsia="宋体" w:cs="Times New Roman"/>
                <w:b/>
                <w:bCs/>
                <w:kern w:val="0"/>
                <w:sz w:val="20"/>
                <w:szCs w:val="20"/>
              </w:rPr>
            </w:pPr>
            <w:r>
              <w:rPr>
                <w:rFonts w:eastAsia="宋体" w:cs="Times New Roman"/>
                <w:b/>
                <w:bCs/>
                <w:kern w:val="0"/>
                <w:sz w:val="20"/>
                <w:szCs w:val="20"/>
              </w:rPr>
              <w:t>　</w:t>
            </w:r>
          </w:p>
        </w:tc>
        <w:tc>
          <w:tcPr>
            <w:tcW w:w="1220"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left"/>
              <w:rPr>
                <w:rFonts w:eastAsia="宋体" w:cs="Times New Roman"/>
                <w:b/>
                <w:bCs/>
                <w:kern w:val="0"/>
                <w:sz w:val="20"/>
                <w:szCs w:val="20"/>
              </w:rPr>
            </w:pPr>
            <w:r>
              <w:rPr>
                <w:rFonts w:eastAsia="宋体" w:cs="Times New Roman"/>
                <w:b/>
                <w:bCs/>
                <w:kern w:val="0"/>
                <w:sz w:val="20"/>
                <w:szCs w:val="20"/>
              </w:rPr>
              <w:t>　</w:t>
            </w:r>
          </w:p>
        </w:tc>
        <w:tc>
          <w:tcPr>
            <w:tcW w:w="255"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b/>
                <w:bCs/>
                <w:kern w:val="0"/>
                <w:sz w:val="20"/>
                <w:szCs w:val="20"/>
              </w:rPr>
            </w:pPr>
            <w:r>
              <w:rPr>
                <w:rFonts w:eastAsia="宋体" w:cs="Times New Roman"/>
                <w:b/>
                <w:bCs/>
                <w:kern w:val="0"/>
                <w:sz w:val="20"/>
                <w:szCs w:val="20"/>
              </w:rPr>
              <w:t>86.80</w:t>
            </w:r>
          </w:p>
        </w:tc>
        <w:tc>
          <w:tcPr>
            <w:tcW w:w="377" w:type="pct"/>
            <w:tcBorders>
              <w:top w:val="nil"/>
              <w:left w:val="nil"/>
              <w:bottom w:val="single" w:color="auto" w:sz="4" w:space="0"/>
              <w:right w:val="single" w:color="auto" w:sz="4" w:space="0"/>
            </w:tcBorders>
            <w:shd w:val="clear" w:color="auto" w:fill="auto"/>
            <w:noWrap/>
            <w:vAlign w:val="center"/>
          </w:tcPr>
          <w:p>
            <w:pPr>
              <w:widowControl/>
              <w:spacing w:line="320" w:lineRule="exact"/>
              <w:ind w:firstLine="0" w:firstLineChars="0"/>
              <w:jc w:val="center"/>
              <w:rPr>
                <w:rFonts w:eastAsia="宋体" w:cs="Times New Roman"/>
                <w:b/>
                <w:bCs/>
                <w:kern w:val="0"/>
                <w:sz w:val="20"/>
                <w:szCs w:val="20"/>
              </w:rPr>
            </w:pPr>
            <w:r>
              <w:rPr>
                <w:rFonts w:eastAsia="宋体" w:cs="Times New Roman"/>
                <w:b/>
                <w:bCs/>
                <w:kern w:val="0"/>
                <w:sz w:val="20"/>
                <w:szCs w:val="20"/>
              </w:rPr>
              <w:t>86.80%</w:t>
            </w:r>
          </w:p>
        </w:tc>
      </w:tr>
    </w:tbl>
    <w:p>
      <w:pPr>
        <w:pStyle w:val="2"/>
        <w:ind w:firstLine="640"/>
        <w:sectPr>
          <w:pgSz w:w="16838" w:h="11906" w:orient="landscape"/>
          <w:pgMar w:top="1800" w:right="1440" w:bottom="1800" w:left="1440" w:header="851" w:footer="992" w:gutter="0"/>
          <w:cols w:space="425" w:num="1"/>
          <w:docGrid w:type="lines" w:linePitch="435" w:charSpace="0"/>
        </w:sectPr>
      </w:pPr>
      <w:bookmarkStart w:id="87" w:name="_Toc77503502"/>
    </w:p>
    <w:p>
      <w:pPr>
        <w:pStyle w:val="2"/>
        <w:ind w:firstLine="640"/>
      </w:pPr>
      <w:r>
        <w:rPr>
          <w:rFonts w:hint="eastAsia"/>
        </w:rPr>
        <w:t>附件2</w:t>
      </w:r>
      <w:r>
        <w:t xml:space="preserve"> </w:t>
      </w:r>
      <w:r>
        <w:rPr>
          <w:rFonts w:hint="eastAsia"/>
        </w:rPr>
        <w:t>绵竹</w:t>
      </w:r>
      <w:r>
        <w:t>市</w:t>
      </w:r>
      <w:r>
        <w:rPr>
          <w:rFonts w:hint="eastAsia"/>
        </w:rPr>
        <w:t>医保局内设</w:t>
      </w:r>
      <w:r>
        <w:t>机构主要职</w:t>
      </w:r>
      <w:r>
        <w:rPr>
          <w:rFonts w:hint="eastAsia"/>
        </w:rPr>
        <w:t>责</w:t>
      </w:r>
      <w:bookmarkEnd w:id="87"/>
    </w:p>
    <w:tbl>
      <w:tblPr>
        <w:tblStyle w:val="22"/>
        <w:tblW w:w="5000" w:type="pct"/>
        <w:tblInd w:w="0" w:type="dxa"/>
        <w:tblLayout w:type="fixed"/>
        <w:tblCellMar>
          <w:top w:w="0" w:type="dxa"/>
          <w:left w:w="108" w:type="dxa"/>
          <w:bottom w:w="0" w:type="dxa"/>
          <w:right w:w="108" w:type="dxa"/>
        </w:tblCellMar>
      </w:tblPr>
      <w:tblGrid>
        <w:gridCol w:w="2625"/>
        <w:gridCol w:w="11549"/>
      </w:tblGrid>
      <w:tr>
        <w:tblPrEx>
          <w:tblCellMar>
            <w:top w:w="0" w:type="dxa"/>
            <w:left w:w="108" w:type="dxa"/>
            <w:bottom w:w="0" w:type="dxa"/>
            <w:right w:w="108" w:type="dxa"/>
          </w:tblCellMar>
        </w:tblPrEx>
        <w:trPr>
          <w:trHeight w:val="90" w:hRule="atLeast"/>
          <w:tblHeader/>
        </w:trPr>
        <w:tc>
          <w:tcPr>
            <w:tcW w:w="926" w:type="pct"/>
            <w:tcBorders>
              <w:top w:val="single" w:color="auto" w:sz="4" w:space="0"/>
              <w:left w:val="single" w:color="auto" w:sz="4" w:space="0"/>
              <w:bottom w:val="single" w:color="auto" w:sz="4" w:space="0"/>
              <w:right w:val="single" w:color="auto" w:sz="4" w:space="0"/>
            </w:tcBorders>
            <w:shd w:val="clear" w:color="auto" w:fill="00516B"/>
            <w:noWrap/>
            <w:vAlign w:val="center"/>
          </w:tcPr>
          <w:p>
            <w:pPr>
              <w:widowControl/>
              <w:spacing w:line="240" w:lineRule="auto"/>
              <w:ind w:firstLine="0" w:firstLineChars="0"/>
              <w:jc w:val="center"/>
              <w:rPr>
                <w:rFonts w:eastAsia="仿宋" w:cs="Times New Roman"/>
                <w:b/>
                <w:bCs/>
                <w:color w:val="FFFFFF"/>
                <w:kern w:val="0"/>
                <w:sz w:val="21"/>
                <w:szCs w:val="21"/>
              </w:rPr>
            </w:pPr>
            <w:r>
              <w:rPr>
                <w:rFonts w:eastAsia="仿宋" w:cs="Times New Roman"/>
                <w:b/>
                <w:bCs/>
                <w:color w:val="FFFFFF"/>
                <w:kern w:val="0"/>
                <w:sz w:val="21"/>
                <w:szCs w:val="21"/>
              </w:rPr>
              <w:t>内设机构</w:t>
            </w:r>
          </w:p>
        </w:tc>
        <w:tc>
          <w:tcPr>
            <w:tcW w:w="4073" w:type="pct"/>
            <w:tcBorders>
              <w:top w:val="single" w:color="auto" w:sz="4" w:space="0"/>
              <w:left w:val="nil"/>
              <w:bottom w:val="single" w:color="auto" w:sz="4" w:space="0"/>
              <w:right w:val="single" w:color="auto" w:sz="4" w:space="0"/>
            </w:tcBorders>
            <w:shd w:val="clear" w:color="auto" w:fill="00516B"/>
            <w:noWrap/>
            <w:vAlign w:val="center"/>
          </w:tcPr>
          <w:p>
            <w:pPr>
              <w:widowControl/>
              <w:spacing w:line="240" w:lineRule="auto"/>
              <w:ind w:firstLine="0" w:firstLineChars="0"/>
              <w:jc w:val="center"/>
              <w:rPr>
                <w:rFonts w:eastAsia="仿宋" w:cs="Times New Roman"/>
                <w:b/>
                <w:bCs/>
                <w:color w:val="FFFFFF"/>
                <w:kern w:val="0"/>
                <w:sz w:val="21"/>
                <w:szCs w:val="21"/>
              </w:rPr>
            </w:pPr>
            <w:r>
              <w:rPr>
                <w:rFonts w:eastAsia="仿宋" w:cs="Times New Roman"/>
                <w:b/>
                <w:bCs/>
                <w:color w:val="FFFFFF"/>
                <w:kern w:val="0"/>
                <w:sz w:val="21"/>
                <w:szCs w:val="21"/>
              </w:rPr>
              <w:t>主要职责</w:t>
            </w:r>
          </w:p>
        </w:tc>
      </w:tr>
      <w:tr>
        <w:tblPrEx>
          <w:tblCellMar>
            <w:top w:w="0" w:type="dxa"/>
            <w:left w:w="108" w:type="dxa"/>
            <w:bottom w:w="0" w:type="dxa"/>
            <w:right w:w="108" w:type="dxa"/>
          </w:tblCellMar>
        </w:tblPrEx>
        <w:trPr>
          <w:trHeight w:val="9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rPr>
                <w:rFonts w:eastAsia="仿宋" w:cs="Times New Roman"/>
                <w:color w:val="000000"/>
                <w:kern w:val="0"/>
                <w:sz w:val="21"/>
                <w:szCs w:val="21"/>
              </w:rPr>
            </w:pPr>
            <w:r>
              <w:rPr>
                <w:rFonts w:hint="eastAsia" w:eastAsia="仿宋" w:cs="Times New Roman"/>
                <w:color w:val="000000"/>
                <w:kern w:val="0"/>
                <w:sz w:val="21"/>
                <w:szCs w:val="21"/>
              </w:rPr>
              <w:t>（一）办公室</w:t>
            </w:r>
          </w:p>
        </w:tc>
        <w:tc>
          <w:tcPr>
            <w:tcW w:w="407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 w:cs="Times New Roman"/>
                <w:color w:val="000000"/>
                <w:kern w:val="0"/>
                <w:sz w:val="21"/>
                <w:szCs w:val="21"/>
              </w:rPr>
            </w:pPr>
            <w:r>
              <w:rPr>
                <w:rFonts w:hint="eastAsia" w:eastAsia="仿宋" w:cs="Times New Roman"/>
                <w:color w:val="000000"/>
                <w:kern w:val="0"/>
                <w:sz w:val="21"/>
                <w:szCs w:val="21"/>
              </w:rPr>
              <w:t>负责文电、会务、档案、机要等机关日常运转工作。承担安全、保密、信息、宣传、绩效管理、目标考核、督查督办、政务公开、信访、综合性文稿起草、史志编撰工作。负责机关党建、群团工作。负责机构编制、人事管理、教育培训、队伍建设、对外合作交流等工作。负责机关和下属单位的离退休人员工作。负责职业健康、环保及服务便民化等工作。组织办理人大代表建议、政协委员提案。</w:t>
            </w:r>
          </w:p>
        </w:tc>
      </w:tr>
      <w:tr>
        <w:tblPrEx>
          <w:tblCellMar>
            <w:top w:w="0" w:type="dxa"/>
            <w:left w:w="108" w:type="dxa"/>
            <w:bottom w:w="0" w:type="dxa"/>
            <w:right w:w="108" w:type="dxa"/>
          </w:tblCellMar>
        </w:tblPrEx>
        <w:trPr>
          <w:trHeight w:val="438"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eastAsia="仿宋" w:cs="Times New Roman"/>
                <w:color w:val="000000"/>
                <w:kern w:val="0"/>
                <w:sz w:val="21"/>
                <w:szCs w:val="21"/>
              </w:rPr>
            </w:pPr>
            <w:r>
              <w:rPr>
                <w:rFonts w:hint="eastAsia" w:eastAsia="仿宋" w:cs="Times New Roman"/>
                <w:color w:val="000000"/>
                <w:kern w:val="0"/>
                <w:sz w:val="21"/>
                <w:szCs w:val="21"/>
              </w:rPr>
              <w:t>（二）政策法规与医药管理股</w:t>
            </w:r>
          </w:p>
        </w:tc>
        <w:tc>
          <w:tcPr>
            <w:tcW w:w="407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 w:cs="Times New Roman"/>
                <w:color w:val="000000"/>
                <w:kern w:val="0"/>
                <w:sz w:val="21"/>
                <w:szCs w:val="21"/>
              </w:rPr>
            </w:pPr>
            <w:r>
              <w:rPr>
                <w:rFonts w:hint="eastAsia" w:eastAsia="仿宋" w:cs="Times New Roman"/>
                <w:color w:val="000000"/>
                <w:kern w:val="0"/>
                <w:sz w:val="21"/>
                <w:szCs w:val="21"/>
              </w:rPr>
              <w:t>组织拟订医疗保障工作发展规划。承担医疗保障待遇管理工作。组织实施定点医药机构、医保协议和支付管理、异地就医等管理和结算。组织实施生育保险、长期护理保险、医疗救助等政策。建立健全医疗保障关系转移接续制度和医疗保障基金监督管理制度，依法查处医疗保障领域违法违规行为。组织实施医疗服务项目、医疗服务设施收费等政策的监管，监督医疗保障目录和支付标准实施，组织实施对市场调节价药品、医疗器械价格监管，监督实施药品、医用耗材的招标采购、配送及结算管理政策，组织参与药品、药用耗材招标采购平台建设。监督管理纳入医疗保障支付范围的医疗服务行为和医疗费用。建立健全相关信息发布和披露制度并牵头组织实施。承担规范性文件的合法性审查、备案工作。承担行政复议、行政应诉等工作。</w:t>
            </w:r>
          </w:p>
        </w:tc>
      </w:tr>
      <w:tr>
        <w:tblPrEx>
          <w:tblCellMar>
            <w:top w:w="0" w:type="dxa"/>
            <w:left w:w="108" w:type="dxa"/>
            <w:bottom w:w="0" w:type="dxa"/>
            <w:right w:w="108" w:type="dxa"/>
          </w:tblCellMar>
        </w:tblPrEx>
        <w:trPr>
          <w:trHeight w:val="56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eastAsia="仿宋" w:cs="Times New Roman"/>
                <w:color w:val="000000"/>
                <w:kern w:val="0"/>
                <w:sz w:val="21"/>
                <w:szCs w:val="21"/>
              </w:rPr>
            </w:pPr>
            <w:r>
              <w:rPr>
                <w:rFonts w:hint="eastAsia" w:eastAsia="仿宋" w:cs="Times New Roman"/>
                <w:color w:val="000000"/>
                <w:kern w:val="0"/>
                <w:sz w:val="21"/>
                <w:szCs w:val="21"/>
              </w:rPr>
              <w:t>（三） 财务与基金管理股</w:t>
            </w:r>
          </w:p>
        </w:tc>
        <w:tc>
          <w:tcPr>
            <w:tcW w:w="4073" w:type="pct"/>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eastAsia="仿宋" w:cs="Times New Roman"/>
                <w:color w:val="000000"/>
                <w:kern w:val="0"/>
                <w:sz w:val="21"/>
                <w:szCs w:val="21"/>
              </w:rPr>
            </w:pPr>
            <w:r>
              <w:rPr>
                <w:rFonts w:hint="eastAsia" w:eastAsia="仿宋" w:cs="Times New Roman"/>
                <w:color w:val="000000"/>
                <w:kern w:val="0"/>
                <w:sz w:val="21"/>
                <w:szCs w:val="21"/>
              </w:rPr>
              <w:t>负责全市医疗保障基金的组织征收和管理，编制财务报表和基金预决算，撰写财务分析报告。负责市级统筹基金核算、划拨与管理工作。负责全市医疗救助资金管理。负责市本级医疗保障基金核算与管理，承担市本级管理定点医药机构费用拨付工作。承担机关及下属事业单位财务管理、财务核算、国有资产管理工作。负责全市医疗保障内控管理和风险防控工作，承担对医保经办业务的内部审计工作，协调配合审计部门开展审计工作。</w:t>
            </w:r>
          </w:p>
        </w:tc>
      </w:tr>
    </w:tbl>
    <w:p>
      <w:pPr>
        <w:pStyle w:val="2"/>
        <w:ind w:firstLine="640"/>
      </w:pPr>
      <w:bookmarkStart w:id="88" w:name="_Toc77503503"/>
      <w:r>
        <w:t>附</w:t>
      </w:r>
      <w:r>
        <w:rPr>
          <w:rFonts w:hint="eastAsia"/>
        </w:rPr>
        <w:t>件3</w:t>
      </w:r>
      <w:r>
        <w:t xml:space="preserve"> </w:t>
      </w:r>
      <w:r>
        <w:rPr>
          <w:rFonts w:hint="eastAsia"/>
        </w:rPr>
        <w:t>绵竹</w:t>
      </w:r>
      <w:r>
        <w:t>市</w:t>
      </w:r>
      <w:r>
        <w:rPr>
          <w:rFonts w:hint="eastAsia"/>
        </w:rPr>
        <w:t>医疗保障事务中心内设</w:t>
      </w:r>
      <w:r>
        <w:t>机构主要职</w:t>
      </w:r>
      <w:r>
        <w:rPr>
          <w:rFonts w:hint="eastAsia"/>
        </w:rPr>
        <w:t>责</w:t>
      </w:r>
      <w:bookmarkEnd w:id="88"/>
    </w:p>
    <w:tbl>
      <w:tblPr>
        <w:tblStyle w:val="22"/>
        <w:tblW w:w="5000" w:type="pct"/>
        <w:tblInd w:w="0" w:type="dxa"/>
        <w:tblLayout w:type="fixed"/>
        <w:tblCellMar>
          <w:top w:w="0" w:type="dxa"/>
          <w:left w:w="108" w:type="dxa"/>
          <w:bottom w:w="0" w:type="dxa"/>
          <w:right w:w="108" w:type="dxa"/>
        </w:tblCellMar>
      </w:tblPr>
      <w:tblGrid>
        <w:gridCol w:w="2625"/>
        <w:gridCol w:w="11549"/>
      </w:tblGrid>
      <w:tr>
        <w:tblPrEx>
          <w:tblCellMar>
            <w:top w:w="0" w:type="dxa"/>
            <w:left w:w="108" w:type="dxa"/>
            <w:bottom w:w="0" w:type="dxa"/>
            <w:right w:w="108" w:type="dxa"/>
          </w:tblCellMar>
        </w:tblPrEx>
        <w:trPr>
          <w:trHeight w:val="285" w:hRule="atLeast"/>
          <w:tblHeader/>
        </w:trPr>
        <w:tc>
          <w:tcPr>
            <w:tcW w:w="926" w:type="pct"/>
            <w:tcBorders>
              <w:top w:val="single" w:color="auto" w:sz="4" w:space="0"/>
              <w:left w:val="single" w:color="auto" w:sz="4" w:space="0"/>
              <w:bottom w:val="single" w:color="auto" w:sz="4" w:space="0"/>
              <w:right w:val="single" w:color="auto" w:sz="4" w:space="0"/>
            </w:tcBorders>
            <w:shd w:val="clear" w:color="auto" w:fill="00516B"/>
            <w:noWrap/>
            <w:vAlign w:val="center"/>
          </w:tcPr>
          <w:p>
            <w:pPr>
              <w:widowControl/>
              <w:spacing w:line="240" w:lineRule="auto"/>
              <w:ind w:firstLine="0" w:firstLineChars="0"/>
              <w:jc w:val="center"/>
              <w:rPr>
                <w:rFonts w:ascii="仿宋" w:hAnsi="仿宋" w:eastAsia="仿宋" w:cs="仿宋"/>
                <w:b/>
                <w:bCs/>
                <w:color w:val="FFFFFF"/>
                <w:kern w:val="0"/>
                <w:sz w:val="21"/>
                <w:szCs w:val="21"/>
              </w:rPr>
            </w:pPr>
            <w:r>
              <w:rPr>
                <w:rFonts w:hint="eastAsia" w:ascii="仿宋" w:hAnsi="仿宋" w:eastAsia="仿宋" w:cs="仿宋"/>
                <w:b/>
                <w:bCs/>
                <w:color w:val="FFFFFF"/>
                <w:kern w:val="0"/>
                <w:sz w:val="21"/>
                <w:szCs w:val="21"/>
              </w:rPr>
              <w:t>内设机构</w:t>
            </w:r>
          </w:p>
        </w:tc>
        <w:tc>
          <w:tcPr>
            <w:tcW w:w="4073" w:type="pct"/>
            <w:tcBorders>
              <w:top w:val="single" w:color="auto" w:sz="4" w:space="0"/>
              <w:left w:val="nil"/>
              <w:bottom w:val="single" w:color="auto" w:sz="4" w:space="0"/>
              <w:right w:val="single" w:color="auto" w:sz="4" w:space="0"/>
            </w:tcBorders>
            <w:shd w:val="clear" w:color="auto" w:fill="00516B"/>
            <w:noWrap/>
            <w:vAlign w:val="center"/>
          </w:tcPr>
          <w:p>
            <w:pPr>
              <w:widowControl/>
              <w:spacing w:line="240" w:lineRule="auto"/>
              <w:ind w:firstLine="0" w:firstLineChars="0"/>
              <w:jc w:val="center"/>
              <w:rPr>
                <w:rFonts w:ascii="仿宋" w:hAnsi="仿宋" w:eastAsia="仿宋" w:cs="仿宋"/>
                <w:b/>
                <w:bCs/>
                <w:color w:val="FFFFFF"/>
                <w:kern w:val="0"/>
                <w:sz w:val="21"/>
                <w:szCs w:val="21"/>
              </w:rPr>
            </w:pPr>
            <w:r>
              <w:rPr>
                <w:rFonts w:hint="eastAsia" w:ascii="仿宋" w:hAnsi="仿宋" w:eastAsia="仿宋" w:cs="仿宋"/>
                <w:b/>
                <w:bCs/>
                <w:color w:val="FFFFFF"/>
                <w:kern w:val="0"/>
                <w:sz w:val="21"/>
                <w:szCs w:val="21"/>
              </w:rPr>
              <w:t>主要职责</w:t>
            </w:r>
          </w:p>
        </w:tc>
      </w:tr>
      <w:tr>
        <w:tblPrEx>
          <w:tblCellMar>
            <w:top w:w="0" w:type="dxa"/>
            <w:left w:w="108" w:type="dxa"/>
            <w:bottom w:w="0" w:type="dxa"/>
            <w:right w:w="108" w:type="dxa"/>
          </w:tblCellMar>
        </w:tblPrEx>
        <w:trPr>
          <w:trHeight w:val="9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rPr>
                <w:rFonts w:ascii="仿宋" w:hAnsi="仿宋" w:eastAsia="仿宋" w:cs="仿宋"/>
                <w:color w:val="000000"/>
                <w:kern w:val="0"/>
                <w:sz w:val="21"/>
                <w:szCs w:val="21"/>
              </w:rPr>
            </w:pPr>
            <w:r>
              <w:rPr>
                <w:rFonts w:hint="eastAsia" w:ascii="仿宋" w:hAnsi="仿宋" w:eastAsia="仿宋" w:cs="仿宋"/>
                <w:color w:val="000000"/>
                <w:kern w:val="0"/>
                <w:sz w:val="21"/>
                <w:szCs w:val="21"/>
              </w:rPr>
              <w:t>（一）综合业务股</w:t>
            </w:r>
          </w:p>
        </w:tc>
        <w:tc>
          <w:tcPr>
            <w:tcW w:w="407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负责中心相关综合材料的起草工作；负责中心窗口作风建设、公共服务、标准化建设等工作；负责医疗保险待遇、个人权益查询、政策咨询工作；负责统筹业务档案管理工作；负责对中心内部控制管理制度、各业务股室内控制度执行情况进行监督检查；负责“两定”机构申请受理；负责参保人员异地就医登记备案工作；负责配合德阳做好全市医保信息系统的建设，统筹规划和组织实施医疗保障信息化和大数据基础建设；负责各类数据的维护和处理；负责做好与上级业务数据的交接工作。</w:t>
            </w:r>
          </w:p>
        </w:tc>
      </w:tr>
      <w:tr>
        <w:tblPrEx>
          <w:tblCellMar>
            <w:top w:w="0" w:type="dxa"/>
            <w:left w:w="108" w:type="dxa"/>
            <w:bottom w:w="0" w:type="dxa"/>
            <w:right w:w="108" w:type="dxa"/>
          </w:tblCellMar>
        </w:tblPrEx>
        <w:trPr>
          <w:trHeight w:val="354"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（二）参保登记股</w:t>
            </w:r>
          </w:p>
        </w:tc>
        <w:tc>
          <w:tcPr>
            <w:tcW w:w="4073" w:type="pct"/>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负责城乡居民基本医疗保险全民参保登记工作；负责全市职工医疗保险（生育保险）参保登记、缴费申报工作；负责与税务部门衔接做好医疗保险基金的征缴工作；负责全市医保关系转移接续、个人账户划转、清退等业务经办工作；负责核定全市参保职工医疗保险参保人员最低缴费年限；负责全市参保单位破产、撤并、重组和改制后移交医保托管人员的待遇衔接工作；负责全市城镇职工补充医保的参保缴费工作；负责职工医疗保险个人权益记录；负责本业务股室业务统计表报送工作。</w:t>
            </w:r>
          </w:p>
        </w:tc>
      </w:tr>
      <w:tr>
        <w:tblPrEx>
          <w:tblCellMar>
            <w:top w:w="0" w:type="dxa"/>
            <w:left w:w="108" w:type="dxa"/>
            <w:bottom w:w="0" w:type="dxa"/>
            <w:right w:w="108" w:type="dxa"/>
          </w:tblCellMar>
        </w:tblPrEx>
        <w:trPr>
          <w:trHeight w:val="90" w:hRule="atLeast"/>
        </w:trPr>
        <w:tc>
          <w:tcPr>
            <w:tcW w:w="926" w:type="pc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（三）住院业务股</w:t>
            </w:r>
          </w:p>
        </w:tc>
        <w:tc>
          <w:tcPr>
            <w:tcW w:w="407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负责定点医院住院费用（职工医保、居民医保、生育保险）的审核结算工作；负责全市住院费用智能审核工作；负责特殊人群的倾斜支付；负责补充医疗保险、大病保险医疗费用与商业保险公司联合审核赔付工作；负责全市定点医院生育医疗费用的审核结算工作；负责全市定点医疗机构家庭病床、安宁疗护、精神病人住院治疗的审核备案工作；负责全市异地就医结算工作，负责配合省、德阳市开展全市省内、跨省异地就医联网结算的系统建设工作；负责参保人员市外异地就医联网结算费用审核结算工作；负责参保人员市外异地就医现金结算医疗费用审核结算工作；负责本业务股室业务统计表报送工作；依据本股室业务运行情况，提出住院费用总控预算方案意见及调整方案意见。</w:t>
            </w:r>
          </w:p>
        </w:tc>
      </w:tr>
      <w:tr>
        <w:trPr>
          <w:trHeight w:val="90" w:hRule="atLeast"/>
        </w:trPr>
        <w:tc>
          <w:tcPr>
            <w:tcW w:w="92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（四）门诊业务股</w:t>
            </w:r>
          </w:p>
        </w:tc>
        <w:tc>
          <w:tcPr>
            <w:tcW w:w="407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负责全市定点医药机构门诊个人账户划卡结算医药费用的审核结算工作；负责全市居民医保普通门诊统筹、一般诊疗费、门诊诊查费、家庭医生签约服务费的审核结算工作；负责全市生育津贴、产前检查费、计划生育手术费的审核结算工作；负责全市职工医保、居民医保特殊疾病门诊医疗费用的审核结算工作；负责协议管理医院机构特殊疾病门诊费用的支付审核管理；负责职工医保、城乡居民医保参保个人现金结算的门诊特殊疾病审核结算工作；负责全市国家谈判药品、四定管理药品的医疗费用审核结算工作；负责本业务股室业务统计表报送工作；依据本股室业务运行情况，提出门诊统筹总控预算方案意见及调整方案意见。</w:t>
            </w:r>
          </w:p>
        </w:tc>
      </w:tr>
      <w:tr>
        <w:tblPrEx>
          <w:tblCellMar>
            <w:top w:w="0" w:type="dxa"/>
            <w:left w:w="108" w:type="dxa"/>
            <w:bottom w:w="0" w:type="dxa"/>
            <w:right w:w="108" w:type="dxa"/>
          </w:tblCellMar>
        </w:tblPrEx>
        <w:trPr>
          <w:trHeight w:val="90" w:hRule="atLeast"/>
        </w:trPr>
        <w:tc>
          <w:tcPr>
            <w:tcW w:w="92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（五）特殊医疗股</w:t>
            </w:r>
          </w:p>
        </w:tc>
        <w:tc>
          <w:tcPr>
            <w:tcW w:w="407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负责受理全市参保人员门诊特殊疾病的认定、复查工作；负责离休人员、副县级以上人员、一至六级伤残军人、“6.30”人员、享受公务员医疗补助待遇等特殊人员的登记、相关信息核定及医疗待遇核定工作；负责办理公务员住院医疗费用补助、门诊个人账户补助及副县级以上人员医疗待遇补助等业务；负责先行支付工作；负责对协议管理医药机构开展医疗救助工作进行指导和管理；负责医疗救助政策的制定；负责享受医疗救助人员登记及管理工作；负责对医疗救助待遇开展核定工作；负责疾病应急救助相关工作；负责本业务股室业务统计表报送工作。</w:t>
            </w:r>
          </w:p>
        </w:tc>
      </w:tr>
      <w:tr>
        <w:tblPrEx>
          <w:tblCellMar>
            <w:top w:w="0" w:type="dxa"/>
            <w:left w:w="108" w:type="dxa"/>
            <w:bottom w:w="0" w:type="dxa"/>
            <w:right w:w="108" w:type="dxa"/>
          </w:tblCellMar>
        </w:tblPrEx>
        <w:trPr>
          <w:trHeight w:val="90" w:hRule="atLeast"/>
        </w:trPr>
        <w:tc>
          <w:tcPr>
            <w:tcW w:w="92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（六）基金稽核股</w:t>
            </w:r>
          </w:p>
        </w:tc>
        <w:tc>
          <w:tcPr>
            <w:tcW w:w="407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仿宋" w:hAnsi="仿宋" w:eastAsia="仿宋" w:cs="仿宋"/>
                <w:color w:val="000000"/>
                <w:kern w:val="0"/>
                <w:sz w:val="21"/>
                <w:szCs w:val="21"/>
              </w:rPr>
            </w:pPr>
            <w:r>
              <w:rPr>
                <w:rFonts w:hint="eastAsia" w:ascii="仿宋" w:hAnsi="仿宋" w:eastAsia="仿宋" w:cs="仿宋"/>
                <w:color w:val="000000"/>
                <w:kern w:val="0"/>
                <w:sz w:val="21"/>
                <w:szCs w:val="21"/>
              </w:rPr>
              <w:t>负责对协议管理医药机构开展职工医保、城乡居民医保、生育保险、特殊人群医疗保障等医疗服务行为、履行医疗服务协议进行稽核；负责基本医疗保险定点医疗机构、定点零售药店服务协议签订、年度检查考核工作；对外伤及其他非正常疾病医疗费用报销开展调查和认定；对单位、个人参保和享受相关待遇进行稽核；对享受医疗救助、医疗物价进行稽核；负责本业务股室业务统计表报送工作。</w:t>
            </w:r>
          </w:p>
        </w:tc>
      </w:tr>
    </w:tbl>
    <w:p>
      <w:pPr>
        <w:spacing w:line="600" w:lineRule="exact"/>
        <w:ind w:firstLine="0" w:firstLineChars="0"/>
        <w:rPr>
          <w:rFonts w:cs="Times New Roman"/>
          <w:kern w:val="0"/>
          <w:szCs w:val="32"/>
        </w:rPr>
      </w:pPr>
    </w:p>
    <w:sectPr>
      <w:pgSz w:w="16838" w:h="11906" w:orient="landscape"/>
      <w:pgMar w:top="1800" w:right="1440" w:bottom="1800" w:left="144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altName w:val="宋体"/>
    <w:panose1 w:val="02010509060101010101"/>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025218"/>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2</w:t>
        </w:r>
        <w:r>
          <w:fldChar w:fldCharType="end"/>
        </w:r>
      </w:p>
    </w:sdtContent>
  </w:sdt>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640"/>
      </w:pPr>
      <w:r>
        <w:separator/>
      </w:r>
    </w:p>
  </w:footnote>
  <w:footnote w:type="continuationSeparator" w:id="5">
    <w:p>
      <w:pPr>
        <w:spacing w:line="240" w:lineRule="auto"/>
        <w:ind w:firstLine="640"/>
      </w:pPr>
      <w:r>
        <w:continuationSeparator/>
      </w:r>
    </w:p>
  </w:footnote>
  <w:footnote w:id="0">
    <w:p>
      <w:pPr>
        <w:pStyle w:val="16"/>
        <w:ind w:firstLine="360"/>
        <w:rPr>
          <w:rFonts w:ascii="黑体" w:hAnsi="黑体" w:eastAsia="黑体"/>
        </w:rPr>
      </w:pPr>
      <w:r>
        <w:rPr>
          <w:rStyle w:val="27"/>
          <w:rFonts w:ascii="黑体" w:hAnsi="黑体" w:eastAsia="黑体"/>
        </w:rPr>
        <w:footnoteRef/>
      </w:r>
      <w:r>
        <w:rPr>
          <w:rFonts w:ascii="黑体" w:hAnsi="黑体" w:eastAsia="黑体"/>
        </w:rPr>
        <w:t xml:space="preserve"> </w:t>
      </w:r>
      <w:r>
        <w:rPr>
          <w:rFonts w:hint="eastAsia" w:ascii="黑体" w:hAnsi="黑体" w:eastAsia="黑体"/>
        </w:rPr>
        <w:t>各部门股室的具体职责详见 附件2</w:t>
      </w:r>
      <w:r>
        <w:rPr>
          <w:rFonts w:ascii="黑体" w:hAnsi="黑体" w:eastAsia="黑体"/>
        </w:rPr>
        <w:t xml:space="preserve"> </w:t>
      </w:r>
      <w:r>
        <w:rPr>
          <w:rFonts w:hint="eastAsia" w:ascii="黑体" w:hAnsi="黑体" w:eastAsia="黑体"/>
        </w:rPr>
        <w:t>绵竹</w:t>
      </w:r>
      <w:r>
        <w:rPr>
          <w:rFonts w:ascii="黑体" w:hAnsi="黑体" w:eastAsia="黑体"/>
        </w:rPr>
        <w:t>市</w:t>
      </w:r>
      <w:r>
        <w:rPr>
          <w:rFonts w:hint="eastAsia" w:ascii="黑体" w:hAnsi="黑体" w:eastAsia="黑体"/>
        </w:rPr>
        <w:t>医保局内设</w:t>
      </w:r>
      <w:r>
        <w:rPr>
          <w:rFonts w:ascii="黑体" w:hAnsi="黑体" w:eastAsia="黑体"/>
        </w:rPr>
        <w:t>机构主要职</w:t>
      </w:r>
      <w:r>
        <w:rPr>
          <w:rFonts w:hint="eastAsia" w:ascii="黑体" w:hAnsi="黑体" w:eastAsia="黑体"/>
        </w:rPr>
        <w:t>责 附件3</w:t>
      </w:r>
      <w:r>
        <w:rPr>
          <w:rFonts w:ascii="黑体" w:hAnsi="黑体" w:eastAsia="黑体"/>
        </w:rPr>
        <w:t xml:space="preserve"> </w:t>
      </w:r>
      <w:r>
        <w:rPr>
          <w:rFonts w:hint="eastAsia" w:ascii="黑体" w:hAnsi="黑体" w:eastAsia="黑体"/>
        </w:rPr>
        <w:t>绵竹市医疗保障事务中心内设机构主要职责。</w:t>
      </w:r>
    </w:p>
  </w:footnote>
  <w:footnote w:id="1">
    <w:p>
      <w:pPr>
        <w:pStyle w:val="16"/>
        <w:ind w:firstLine="360"/>
      </w:pPr>
      <w:r>
        <w:rPr>
          <w:rStyle w:val="27"/>
        </w:rPr>
        <w:footnoteRef/>
      </w:r>
      <w: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57134D"/>
    <w:multiLevelType w:val="singleLevel"/>
    <w:tmpl w:val="8257134D"/>
    <w:lvl w:ilvl="0" w:tentative="0">
      <w:start w:val="1"/>
      <w:numFmt w:val="chineseCounting"/>
      <w:suff w:val="nothing"/>
      <w:lvlText w:val="%1、"/>
      <w:lvlJc w:val="left"/>
      <w:rPr>
        <w:rFonts w:hint="eastAsia"/>
      </w:rPr>
    </w:lvl>
  </w:abstractNum>
  <w:abstractNum w:abstractNumId="1">
    <w:nsid w:val="E647BB70"/>
    <w:multiLevelType w:val="singleLevel"/>
    <w:tmpl w:val="E647BB7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160"/>
  <w:drawingGridVerticalSpacing w:val="435"/>
  <w:displayHorizontalDrawingGridEvery w:val="2"/>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EB5DF0"/>
    <w:rsid w:val="000023A9"/>
    <w:rsid w:val="00032A77"/>
    <w:rsid w:val="00040916"/>
    <w:rsid w:val="00086ECB"/>
    <w:rsid w:val="000B037C"/>
    <w:rsid w:val="000E532D"/>
    <w:rsid w:val="000F486A"/>
    <w:rsid w:val="001113BD"/>
    <w:rsid w:val="00117638"/>
    <w:rsid w:val="001276F0"/>
    <w:rsid w:val="00140C7C"/>
    <w:rsid w:val="001414FB"/>
    <w:rsid w:val="00155216"/>
    <w:rsid w:val="0017460C"/>
    <w:rsid w:val="0017705B"/>
    <w:rsid w:val="001A3233"/>
    <w:rsid w:val="001C3747"/>
    <w:rsid w:val="001D52E8"/>
    <w:rsid w:val="001F13E1"/>
    <w:rsid w:val="00215AC4"/>
    <w:rsid w:val="0022276A"/>
    <w:rsid w:val="002500A2"/>
    <w:rsid w:val="002514D9"/>
    <w:rsid w:val="00270F93"/>
    <w:rsid w:val="00275D69"/>
    <w:rsid w:val="002770B9"/>
    <w:rsid w:val="00284F45"/>
    <w:rsid w:val="002960D0"/>
    <w:rsid w:val="002B4FE2"/>
    <w:rsid w:val="002C6EAC"/>
    <w:rsid w:val="002E4B3E"/>
    <w:rsid w:val="002F0407"/>
    <w:rsid w:val="00313BA3"/>
    <w:rsid w:val="00337D3B"/>
    <w:rsid w:val="00344E18"/>
    <w:rsid w:val="00366FF5"/>
    <w:rsid w:val="00374374"/>
    <w:rsid w:val="0038587C"/>
    <w:rsid w:val="003B006A"/>
    <w:rsid w:val="003B1C72"/>
    <w:rsid w:val="003D690D"/>
    <w:rsid w:val="003E06C5"/>
    <w:rsid w:val="003E6CDB"/>
    <w:rsid w:val="003F2ECA"/>
    <w:rsid w:val="003F79C3"/>
    <w:rsid w:val="00406BFD"/>
    <w:rsid w:val="00422E32"/>
    <w:rsid w:val="00423D77"/>
    <w:rsid w:val="004276C1"/>
    <w:rsid w:val="00427AC4"/>
    <w:rsid w:val="00434CF2"/>
    <w:rsid w:val="004651C5"/>
    <w:rsid w:val="0047256F"/>
    <w:rsid w:val="00476E5E"/>
    <w:rsid w:val="00493789"/>
    <w:rsid w:val="00493BF9"/>
    <w:rsid w:val="004A6A07"/>
    <w:rsid w:val="004C01E1"/>
    <w:rsid w:val="004E1085"/>
    <w:rsid w:val="004F153E"/>
    <w:rsid w:val="00547E3E"/>
    <w:rsid w:val="00552F4A"/>
    <w:rsid w:val="00564125"/>
    <w:rsid w:val="005752FA"/>
    <w:rsid w:val="00585FA6"/>
    <w:rsid w:val="00590CB8"/>
    <w:rsid w:val="00592723"/>
    <w:rsid w:val="00593F41"/>
    <w:rsid w:val="0059760E"/>
    <w:rsid w:val="005A1B9C"/>
    <w:rsid w:val="005B76BE"/>
    <w:rsid w:val="005C6F40"/>
    <w:rsid w:val="005D1C66"/>
    <w:rsid w:val="005F1DBE"/>
    <w:rsid w:val="005F50B1"/>
    <w:rsid w:val="00605792"/>
    <w:rsid w:val="006154ED"/>
    <w:rsid w:val="00647107"/>
    <w:rsid w:val="00652D8F"/>
    <w:rsid w:val="0065364E"/>
    <w:rsid w:val="006713D3"/>
    <w:rsid w:val="0068339B"/>
    <w:rsid w:val="006848EA"/>
    <w:rsid w:val="006C34F8"/>
    <w:rsid w:val="006E05B3"/>
    <w:rsid w:val="006E0AF5"/>
    <w:rsid w:val="007035A0"/>
    <w:rsid w:val="007155D7"/>
    <w:rsid w:val="00736CD3"/>
    <w:rsid w:val="0076098F"/>
    <w:rsid w:val="00764284"/>
    <w:rsid w:val="0076688E"/>
    <w:rsid w:val="00776FF4"/>
    <w:rsid w:val="007927F9"/>
    <w:rsid w:val="007A5363"/>
    <w:rsid w:val="007D2C60"/>
    <w:rsid w:val="007D48FF"/>
    <w:rsid w:val="007E7071"/>
    <w:rsid w:val="007F5C00"/>
    <w:rsid w:val="008005DF"/>
    <w:rsid w:val="008020F0"/>
    <w:rsid w:val="00813618"/>
    <w:rsid w:val="008374F4"/>
    <w:rsid w:val="008430DC"/>
    <w:rsid w:val="008522B9"/>
    <w:rsid w:val="00855828"/>
    <w:rsid w:val="008725EA"/>
    <w:rsid w:val="0087287A"/>
    <w:rsid w:val="00895F95"/>
    <w:rsid w:val="008B6E5C"/>
    <w:rsid w:val="008C0E1C"/>
    <w:rsid w:val="008C3F34"/>
    <w:rsid w:val="008C565E"/>
    <w:rsid w:val="008D097C"/>
    <w:rsid w:val="008D6FDC"/>
    <w:rsid w:val="008E2BC0"/>
    <w:rsid w:val="008E4C55"/>
    <w:rsid w:val="008E7862"/>
    <w:rsid w:val="008F2605"/>
    <w:rsid w:val="008F5FCA"/>
    <w:rsid w:val="00910EA1"/>
    <w:rsid w:val="00926BF2"/>
    <w:rsid w:val="00956E53"/>
    <w:rsid w:val="00966696"/>
    <w:rsid w:val="009A2D95"/>
    <w:rsid w:val="009A5AC1"/>
    <w:rsid w:val="009D04AB"/>
    <w:rsid w:val="009E60EA"/>
    <w:rsid w:val="00A14BF7"/>
    <w:rsid w:val="00A257EC"/>
    <w:rsid w:val="00A33E56"/>
    <w:rsid w:val="00A33EDF"/>
    <w:rsid w:val="00A4247E"/>
    <w:rsid w:val="00A5089B"/>
    <w:rsid w:val="00A56367"/>
    <w:rsid w:val="00A62ABA"/>
    <w:rsid w:val="00A63404"/>
    <w:rsid w:val="00A74233"/>
    <w:rsid w:val="00A87EB9"/>
    <w:rsid w:val="00A904C8"/>
    <w:rsid w:val="00AC3686"/>
    <w:rsid w:val="00AD0120"/>
    <w:rsid w:val="00AE03BB"/>
    <w:rsid w:val="00AF3BAA"/>
    <w:rsid w:val="00B117C5"/>
    <w:rsid w:val="00B25BCE"/>
    <w:rsid w:val="00B30F35"/>
    <w:rsid w:val="00B73330"/>
    <w:rsid w:val="00B758D1"/>
    <w:rsid w:val="00B90B60"/>
    <w:rsid w:val="00B92610"/>
    <w:rsid w:val="00BE1C8E"/>
    <w:rsid w:val="00C0156C"/>
    <w:rsid w:val="00C1556C"/>
    <w:rsid w:val="00C23976"/>
    <w:rsid w:val="00C81D75"/>
    <w:rsid w:val="00C941D3"/>
    <w:rsid w:val="00C95CB1"/>
    <w:rsid w:val="00CA405A"/>
    <w:rsid w:val="00CB09A0"/>
    <w:rsid w:val="00CB49DD"/>
    <w:rsid w:val="00CD0F78"/>
    <w:rsid w:val="00CE0469"/>
    <w:rsid w:val="00CE0C2C"/>
    <w:rsid w:val="00D33C2D"/>
    <w:rsid w:val="00D402E2"/>
    <w:rsid w:val="00D8114A"/>
    <w:rsid w:val="00D96AEB"/>
    <w:rsid w:val="00DA71F1"/>
    <w:rsid w:val="00DE6DE9"/>
    <w:rsid w:val="00DF61F9"/>
    <w:rsid w:val="00E0713E"/>
    <w:rsid w:val="00E11B3A"/>
    <w:rsid w:val="00E129B3"/>
    <w:rsid w:val="00E137E2"/>
    <w:rsid w:val="00E65150"/>
    <w:rsid w:val="00E76D55"/>
    <w:rsid w:val="00E77EF1"/>
    <w:rsid w:val="00E9040F"/>
    <w:rsid w:val="00E94CAF"/>
    <w:rsid w:val="00EB4EB4"/>
    <w:rsid w:val="00EC32F7"/>
    <w:rsid w:val="00EC690F"/>
    <w:rsid w:val="00ED0F42"/>
    <w:rsid w:val="00ED4214"/>
    <w:rsid w:val="00EF08D8"/>
    <w:rsid w:val="00F1601D"/>
    <w:rsid w:val="00F16FCE"/>
    <w:rsid w:val="00F5169E"/>
    <w:rsid w:val="00F5727E"/>
    <w:rsid w:val="00F75E74"/>
    <w:rsid w:val="00F800F8"/>
    <w:rsid w:val="00F90040"/>
    <w:rsid w:val="00F94A3F"/>
    <w:rsid w:val="00FB6B0D"/>
    <w:rsid w:val="00FF0D10"/>
    <w:rsid w:val="00FF40D7"/>
    <w:rsid w:val="01057945"/>
    <w:rsid w:val="0143520E"/>
    <w:rsid w:val="01524EB0"/>
    <w:rsid w:val="01697BF7"/>
    <w:rsid w:val="017C3044"/>
    <w:rsid w:val="017D2B9C"/>
    <w:rsid w:val="01A162C1"/>
    <w:rsid w:val="01A31D38"/>
    <w:rsid w:val="01BD4B20"/>
    <w:rsid w:val="01DE5F92"/>
    <w:rsid w:val="0234676B"/>
    <w:rsid w:val="02390EF1"/>
    <w:rsid w:val="0244505A"/>
    <w:rsid w:val="02616CED"/>
    <w:rsid w:val="026A529E"/>
    <w:rsid w:val="026B4A50"/>
    <w:rsid w:val="027B6087"/>
    <w:rsid w:val="02B93D40"/>
    <w:rsid w:val="02C17600"/>
    <w:rsid w:val="02C35C27"/>
    <w:rsid w:val="02D75509"/>
    <w:rsid w:val="02D867D7"/>
    <w:rsid w:val="02F57A49"/>
    <w:rsid w:val="02F71E11"/>
    <w:rsid w:val="02FD3843"/>
    <w:rsid w:val="0301170A"/>
    <w:rsid w:val="03107B71"/>
    <w:rsid w:val="033F5461"/>
    <w:rsid w:val="03503D12"/>
    <w:rsid w:val="038F63BF"/>
    <w:rsid w:val="03AF356E"/>
    <w:rsid w:val="03BD00C3"/>
    <w:rsid w:val="03DE411F"/>
    <w:rsid w:val="03EF3BFC"/>
    <w:rsid w:val="043754F5"/>
    <w:rsid w:val="04403431"/>
    <w:rsid w:val="044A4890"/>
    <w:rsid w:val="04586201"/>
    <w:rsid w:val="046D3917"/>
    <w:rsid w:val="04827A2D"/>
    <w:rsid w:val="0497607C"/>
    <w:rsid w:val="04D025F4"/>
    <w:rsid w:val="04E656D3"/>
    <w:rsid w:val="051D342C"/>
    <w:rsid w:val="05263339"/>
    <w:rsid w:val="055E0E49"/>
    <w:rsid w:val="0563074F"/>
    <w:rsid w:val="056B00F6"/>
    <w:rsid w:val="056D33A7"/>
    <w:rsid w:val="05717788"/>
    <w:rsid w:val="057A78E2"/>
    <w:rsid w:val="059C2E37"/>
    <w:rsid w:val="05D31F53"/>
    <w:rsid w:val="05D73400"/>
    <w:rsid w:val="0604443A"/>
    <w:rsid w:val="060619D8"/>
    <w:rsid w:val="060F0545"/>
    <w:rsid w:val="06241C10"/>
    <w:rsid w:val="06244A12"/>
    <w:rsid w:val="062533D0"/>
    <w:rsid w:val="0625743B"/>
    <w:rsid w:val="06493A64"/>
    <w:rsid w:val="064B73DF"/>
    <w:rsid w:val="06522DAB"/>
    <w:rsid w:val="06AB3497"/>
    <w:rsid w:val="06B9446B"/>
    <w:rsid w:val="06CD2218"/>
    <w:rsid w:val="06D60560"/>
    <w:rsid w:val="06E8522F"/>
    <w:rsid w:val="06E934FA"/>
    <w:rsid w:val="06EF4EE3"/>
    <w:rsid w:val="06F439F9"/>
    <w:rsid w:val="07225E44"/>
    <w:rsid w:val="075632D2"/>
    <w:rsid w:val="07780E25"/>
    <w:rsid w:val="07943ABB"/>
    <w:rsid w:val="07A24E10"/>
    <w:rsid w:val="07A84D38"/>
    <w:rsid w:val="07AD0729"/>
    <w:rsid w:val="07B133CE"/>
    <w:rsid w:val="07C05DDC"/>
    <w:rsid w:val="07CA3E8A"/>
    <w:rsid w:val="07F9508E"/>
    <w:rsid w:val="080F120B"/>
    <w:rsid w:val="083C0A8A"/>
    <w:rsid w:val="08403902"/>
    <w:rsid w:val="084D3C6B"/>
    <w:rsid w:val="08514424"/>
    <w:rsid w:val="08597E6D"/>
    <w:rsid w:val="085F5D4A"/>
    <w:rsid w:val="0861382B"/>
    <w:rsid w:val="086A324E"/>
    <w:rsid w:val="0897300B"/>
    <w:rsid w:val="08B35097"/>
    <w:rsid w:val="091B1FE0"/>
    <w:rsid w:val="091C3327"/>
    <w:rsid w:val="094D560F"/>
    <w:rsid w:val="095A1D36"/>
    <w:rsid w:val="09740267"/>
    <w:rsid w:val="097A472D"/>
    <w:rsid w:val="099A4DCF"/>
    <w:rsid w:val="09A34BD6"/>
    <w:rsid w:val="09C22BA7"/>
    <w:rsid w:val="09FC488A"/>
    <w:rsid w:val="0A0C712E"/>
    <w:rsid w:val="0A0F405E"/>
    <w:rsid w:val="0A2C690A"/>
    <w:rsid w:val="0A3D06E1"/>
    <w:rsid w:val="0A4242B4"/>
    <w:rsid w:val="0A4E53DF"/>
    <w:rsid w:val="0A4F7622"/>
    <w:rsid w:val="0A582236"/>
    <w:rsid w:val="0A6F7400"/>
    <w:rsid w:val="0A79725E"/>
    <w:rsid w:val="0A972584"/>
    <w:rsid w:val="0A9C13E8"/>
    <w:rsid w:val="0A9C724B"/>
    <w:rsid w:val="0AB24D61"/>
    <w:rsid w:val="0AC83B65"/>
    <w:rsid w:val="0ACD2D1D"/>
    <w:rsid w:val="0AE66A36"/>
    <w:rsid w:val="0AEE724C"/>
    <w:rsid w:val="0AFD01F9"/>
    <w:rsid w:val="0B0A0592"/>
    <w:rsid w:val="0B2F4DA7"/>
    <w:rsid w:val="0B5F6DD1"/>
    <w:rsid w:val="0B6009C0"/>
    <w:rsid w:val="0B680BCE"/>
    <w:rsid w:val="0B6E736D"/>
    <w:rsid w:val="0B816D05"/>
    <w:rsid w:val="0B8303A7"/>
    <w:rsid w:val="0B834690"/>
    <w:rsid w:val="0B8E2879"/>
    <w:rsid w:val="0BD060A0"/>
    <w:rsid w:val="0BF71AA8"/>
    <w:rsid w:val="0BFD3A5D"/>
    <w:rsid w:val="0C134D7A"/>
    <w:rsid w:val="0C662026"/>
    <w:rsid w:val="0C6668DB"/>
    <w:rsid w:val="0CC44E96"/>
    <w:rsid w:val="0CF53E8D"/>
    <w:rsid w:val="0D042285"/>
    <w:rsid w:val="0D0627C4"/>
    <w:rsid w:val="0D10031D"/>
    <w:rsid w:val="0D48482F"/>
    <w:rsid w:val="0D537EEC"/>
    <w:rsid w:val="0D742242"/>
    <w:rsid w:val="0D7A62BF"/>
    <w:rsid w:val="0D960246"/>
    <w:rsid w:val="0D9943AF"/>
    <w:rsid w:val="0DB14CB7"/>
    <w:rsid w:val="0DBF42D1"/>
    <w:rsid w:val="0E401108"/>
    <w:rsid w:val="0E676D70"/>
    <w:rsid w:val="0E7645F2"/>
    <w:rsid w:val="0E773D39"/>
    <w:rsid w:val="0E791D89"/>
    <w:rsid w:val="0E9614A3"/>
    <w:rsid w:val="0EA34BB5"/>
    <w:rsid w:val="0EA76F0F"/>
    <w:rsid w:val="0EB317FE"/>
    <w:rsid w:val="0EBF7AA2"/>
    <w:rsid w:val="0EDC7DC2"/>
    <w:rsid w:val="0EE776AA"/>
    <w:rsid w:val="0EFC323D"/>
    <w:rsid w:val="0F0B5E15"/>
    <w:rsid w:val="0F19479D"/>
    <w:rsid w:val="0F5B3182"/>
    <w:rsid w:val="0F96469C"/>
    <w:rsid w:val="0FA33C2E"/>
    <w:rsid w:val="0FB34FBA"/>
    <w:rsid w:val="0FC43D63"/>
    <w:rsid w:val="0FD735AA"/>
    <w:rsid w:val="0FE068AC"/>
    <w:rsid w:val="0FEF4168"/>
    <w:rsid w:val="0FF239CF"/>
    <w:rsid w:val="101351FB"/>
    <w:rsid w:val="1042164E"/>
    <w:rsid w:val="10503BB8"/>
    <w:rsid w:val="1050452C"/>
    <w:rsid w:val="106654D1"/>
    <w:rsid w:val="10694025"/>
    <w:rsid w:val="107E3104"/>
    <w:rsid w:val="1081595A"/>
    <w:rsid w:val="109F1E51"/>
    <w:rsid w:val="10B07D66"/>
    <w:rsid w:val="10C455F2"/>
    <w:rsid w:val="10E257F7"/>
    <w:rsid w:val="10EE1071"/>
    <w:rsid w:val="10F272A1"/>
    <w:rsid w:val="10F527A8"/>
    <w:rsid w:val="110073E2"/>
    <w:rsid w:val="111714F8"/>
    <w:rsid w:val="111A421E"/>
    <w:rsid w:val="11833C95"/>
    <w:rsid w:val="1188799C"/>
    <w:rsid w:val="119575D7"/>
    <w:rsid w:val="119C7DEE"/>
    <w:rsid w:val="11B0558B"/>
    <w:rsid w:val="11B13B33"/>
    <w:rsid w:val="11B543FD"/>
    <w:rsid w:val="11D24ECC"/>
    <w:rsid w:val="11E83A10"/>
    <w:rsid w:val="11EC762D"/>
    <w:rsid w:val="11F56B11"/>
    <w:rsid w:val="1227498E"/>
    <w:rsid w:val="12296FB9"/>
    <w:rsid w:val="1231607C"/>
    <w:rsid w:val="124C6EF9"/>
    <w:rsid w:val="1275667C"/>
    <w:rsid w:val="12891651"/>
    <w:rsid w:val="12A20BE5"/>
    <w:rsid w:val="12A866A5"/>
    <w:rsid w:val="12AB0F80"/>
    <w:rsid w:val="12CF3F2A"/>
    <w:rsid w:val="12D34643"/>
    <w:rsid w:val="12F76CD1"/>
    <w:rsid w:val="13010237"/>
    <w:rsid w:val="13396283"/>
    <w:rsid w:val="135425FA"/>
    <w:rsid w:val="1368030D"/>
    <w:rsid w:val="13735B51"/>
    <w:rsid w:val="13A152CB"/>
    <w:rsid w:val="13B525DC"/>
    <w:rsid w:val="13CC0171"/>
    <w:rsid w:val="13D11674"/>
    <w:rsid w:val="13DF2485"/>
    <w:rsid w:val="140857B4"/>
    <w:rsid w:val="14152678"/>
    <w:rsid w:val="143B3FAE"/>
    <w:rsid w:val="144A280A"/>
    <w:rsid w:val="14623FAC"/>
    <w:rsid w:val="1498783F"/>
    <w:rsid w:val="14992321"/>
    <w:rsid w:val="14AB07CD"/>
    <w:rsid w:val="14C27941"/>
    <w:rsid w:val="14F33593"/>
    <w:rsid w:val="15230DEA"/>
    <w:rsid w:val="153F7C53"/>
    <w:rsid w:val="15515087"/>
    <w:rsid w:val="1572074D"/>
    <w:rsid w:val="157828CD"/>
    <w:rsid w:val="15920FCB"/>
    <w:rsid w:val="15AA228B"/>
    <w:rsid w:val="15C448A8"/>
    <w:rsid w:val="15CD4478"/>
    <w:rsid w:val="15E84002"/>
    <w:rsid w:val="15EB6D42"/>
    <w:rsid w:val="15F27838"/>
    <w:rsid w:val="15FC6F28"/>
    <w:rsid w:val="16147AF1"/>
    <w:rsid w:val="1625042A"/>
    <w:rsid w:val="164D752F"/>
    <w:rsid w:val="16557366"/>
    <w:rsid w:val="167A0163"/>
    <w:rsid w:val="169932EA"/>
    <w:rsid w:val="16C067E0"/>
    <w:rsid w:val="16C41095"/>
    <w:rsid w:val="16D06462"/>
    <w:rsid w:val="16D962E4"/>
    <w:rsid w:val="16E83406"/>
    <w:rsid w:val="16F97510"/>
    <w:rsid w:val="16FD2B74"/>
    <w:rsid w:val="1769105E"/>
    <w:rsid w:val="176B3647"/>
    <w:rsid w:val="17A20FD4"/>
    <w:rsid w:val="17D94C38"/>
    <w:rsid w:val="17DE402F"/>
    <w:rsid w:val="184060F9"/>
    <w:rsid w:val="18492ECE"/>
    <w:rsid w:val="18564E37"/>
    <w:rsid w:val="188C58BD"/>
    <w:rsid w:val="18A81047"/>
    <w:rsid w:val="18C66B3E"/>
    <w:rsid w:val="190706F4"/>
    <w:rsid w:val="19153DB4"/>
    <w:rsid w:val="193054DA"/>
    <w:rsid w:val="19764285"/>
    <w:rsid w:val="198B353F"/>
    <w:rsid w:val="19A62A85"/>
    <w:rsid w:val="1A271A21"/>
    <w:rsid w:val="1A4C3293"/>
    <w:rsid w:val="1A4E2A8A"/>
    <w:rsid w:val="1A531D35"/>
    <w:rsid w:val="1A6836F2"/>
    <w:rsid w:val="1A6C2DB1"/>
    <w:rsid w:val="1AC54ED4"/>
    <w:rsid w:val="1AD65832"/>
    <w:rsid w:val="1AD8030A"/>
    <w:rsid w:val="1B1508FF"/>
    <w:rsid w:val="1B4448DF"/>
    <w:rsid w:val="1B5129DB"/>
    <w:rsid w:val="1B6F4673"/>
    <w:rsid w:val="1B715984"/>
    <w:rsid w:val="1B726198"/>
    <w:rsid w:val="1B911052"/>
    <w:rsid w:val="1BA9547B"/>
    <w:rsid w:val="1BAC049A"/>
    <w:rsid w:val="1BBD2224"/>
    <w:rsid w:val="1BBD440F"/>
    <w:rsid w:val="1BDE03CE"/>
    <w:rsid w:val="1C0F3D22"/>
    <w:rsid w:val="1C257B6F"/>
    <w:rsid w:val="1C2F786A"/>
    <w:rsid w:val="1C575586"/>
    <w:rsid w:val="1C8A6B75"/>
    <w:rsid w:val="1C951AF6"/>
    <w:rsid w:val="1CBE7465"/>
    <w:rsid w:val="1CC16C64"/>
    <w:rsid w:val="1CC64817"/>
    <w:rsid w:val="1CD47A26"/>
    <w:rsid w:val="1CDB5C2C"/>
    <w:rsid w:val="1D290E2B"/>
    <w:rsid w:val="1D3D1ADC"/>
    <w:rsid w:val="1D470A17"/>
    <w:rsid w:val="1D5B3E4B"/>
    <w:rsid w:val="1D5B64A3"/>
    <w:rsid w:val="1D632D64"/>
    <w:rsid w:val="1D7431CE"/>
    <w:rsid w:val="1D88386D"/>
    <w:rsid w:val="1D8867BF"/>
    <w:rsid w:val="1D8B7E62"/>
    <w:rsid w:val="1DA61674"/>
    <w:rsid w:val="1DB2186D"/>
    <w:rsid w:val="1DB52DFA"/>
    <w:rsid w:val="1DFF39B9"/>
    <w:rsid w:val="1E1C5E8C"/>
    <w:rsid w:val="1E49321B"/>
    <w:rsid w:val="1E8E07F7"/>
    <w:rsid w:val="1E9F3587"/>
    <w:rsid w:val="1EA22FB7"/>
    <w:rsid w:val="1EAE28E4"/>
    <w:rsid w:val="1EC80A2F"/>
    <w:rsid w:val="1EE355B8"/>
    <w:rsid w:val="1EEB6195"/>
    <w:rsid w:val="1F1620C7"/>
    <w:rsid w:val="1F583840"/>
    <w:rsid w:val="1F585C04"/>
    <w:rsid w:val="1F6C512F"/>
    <w:rsid w:val="1F6E3A31"/>
    <w:rsid w:val="1FB102E5"/>
    <w:rsid w:val="1FB96A7B"/>
    <w:rsid w:val="1FBB42DF"/>
    <w:rsid w:val="1FBF4C7E"/>
    <w:rsid w:val="1FD55812"/>
    <w:rsid w:val="1FE9488B"/>
    <w:rsid w:val="20107E91"/>
    <w:rsid w:val="202D65BC"/>
    <w:rsid w:val="20666FE5"/>
    <w:rsid w:val="208B7181"/>
    <w:rsid w:val="20AF72C6"/>
    <w:rsid w:val="20C749BF"/>
    <w:rsid w:val="20E534E4"/>
    <w:rsid w:val="210F4759"/>
    <w:rsid w:val="211F3E89"/>
    <w:rsid w:val="212351BC"/>
    <w:rsid w:val="21322942"/>
    <w:rsid w:val="213A2921"/>
    <w:rsid w:val="213D2C74"/>
    <w:rsid w:val="21486A56"/>
    <w:rsid w:val="21526479"/>
    <w:rsid w:val="21590B31"/>
    <w:rsid w:val="21622215"/>
    <w:rsid w:val="21AA4E7E"/>
    <w:rsid w:val="21BC5AB4"/>
    <w:rsid w:val="21CD192E"/>
    <w:rsid w:val="21CF4551"/>
    <w:rsid w:val="223040FA"/>
    <w:rsid w:val="22621CED"/>
    <w:rsid w:val="22775E5A"/>
    <w:rsid w:val="227A44CE"/>
    <w:rsid w:val="227E5134"/>
    <w:rsid w:val="22B2073E"/>
    <w:rsid w:val="22C34B16"/>
    <w:rsid w:val="22CD2553"/>
    <w:rsid w:val="22FA7107"/>
    <w:rsid w:val="2336166F"/>
    <w:rsid w:val="234C0C62"/>
    <w:rsid w:val="236B02AB"/>
    <w:rsid w:val="238B7671"/>
    <w:rsid w:val="23AD20DA"/>
    <w:rsid w:val="23BD15B1"/>
    <w:rsid w:val="23C0781A"/>
    <w:rsid w:val="23CA1270"/>
    <w:rsid w:val="241914DC"/>
    <w:rsid w:val="24205FA5"/>
    <w:rsid w:val="24332079"/>
    <w:rsid w:val="2441474A"/>
    <w:rsid w:val="244A1EF9"/>
    <w:rsid w:val="245553A6"/>
    <w:rsid w:val="2465414C"/>
    <w:rsid w:val="246D5940"/>
    <w:rsid w:val="247D2A22"/>
    <w:rsid w:val="249A7D75"/>
    <w:rsid w:val="24D30365"/>
    <w:rsid w:val="24DB7D8C"/>
    <w:rsid w:val="24FA19C9"/>
    <w:rsid w:val="250D7888"/>
    <w:rsid w:val="251D432D"/>
    <w:rsid w:val="255E7BF2"/>
    <w:rsid w:val="257F1581"/>
    <w:rsid w:val="25873963"/>
    <w:rsid w:val="258D40C9"/>
    <w:rsid w:val="259B7C3E"/>
    <w:rsid w:val="259F597B"/>
    <w:rsid w:val="25A37B24"/>
    <w:rsid w:val="25EF7353"/>
    <w:rsid w:val="263C630C"/>
    <w:rsid w:val="26471A35"/>
    <w:rsid w:val="2669156C"/>
    <w:rsid w:val="267842B7"/>
    <w:rsid w:val="267E4B78"/>
    <w:rsid w:val="26803776"/>
    <w:rsid w:val="26895974"/>
    <w:rsid w:val="26BA3FAF"/>
    <w:rsid w:val="26CD5A46"/>
    <w:rsid w:val="26F9201C"/>
    <w:rsid w:val="27023608"/>
    <w:rsid w:val="271978F3"/>
    <w:rsid w:val="271F3861"/>
    <w:rsid w:val="27487A90"/>
    <w:rsid w:val="27515D61"/>
    <w:rsid w:val="275969AC"/>
    <w:rsid w:val="27657A6C"/>
    <w:rsid w:val="2770783A"/>
    <w:rsid w:val="27760614"/>
    <w:rsid w:val="27806FFF"/>
    <w:rsid w:val="27BE5731"/>
    <w:rsid w:val="27C01F7A"/>
    <w:rsid w:val="27E33301"/>
    <w:rsid w:val="27E3347E"/>
    <w:rsid w:val="27EB35B3"/>
    <w:rsid w:val="280702AF"/>
    <w:rsid w:val="2810676C"/>
    <w:rsid w:val="281B3BE1"/>
    <w:rsid w:val="285202E1"/>
    <w:rsid w:val="285A2949"/>
    <w:rsid w:val="286C1339"/>
    <w:rsid w:val="28704598"/>
    <w:rsid w:val="28B03C4D"/>
    <w:rsid w:val="28C752CB"/>
    <w:rsid w:val="28D0722B"/>
    <w:rsid w:val="28D22AA4"/>
    <w:rsid w:val="28FC498F"/>
    <w:rsid w:val="29160CDB"/>
    <w:rsid w:val="291948F6"/>
    <w:rsid w:val="2943207C"/>
    <w:rsid w:val="29541F9B"/>
    <w:rsid w:val="29755D9C"/>
    <w:rsid w:val="29866759"/>
    <w:rsid w:val="29896712"/>
    <w:rsid w:val="298A2320"/>
    <w:rsid w:val="298B2EDA"/>
    <w:rsid w:val="298E0F01"/>
    <w:rsid w:val="29AF7BA2"/>
    <w:rsid w:val="29B8142F"/>
    <w:rsid w:val="29CD28DB"/>
    <w:rsid w:val="29D96684"/>
    <w:rsid w:val="29E24622"/>
    <w:rsid w:val="2A304FEF"/>
    <w:rsid w:val="2A3D582B"/>
    <w:rsid w:val="2A433714"/>
    <w:rsid w:val="2A687A83"/>
    <w:rsid w:val="2A795E53"/>
    <w:rsid w:val="2A906DCB"/>
    <w:rsid w:val="2A9E07AD"/>
    <w:rsid w:val="2AC17C89"/>
    <w:rsid w:val="2ACB0435"/>
    <w:rsid w:val="2AD96BAE"/>
    <w:rsid w:val="2ADE1DF9"/>
    <w:rsid w:val="2AE27C18"/>
    <w:rsid w:val="2AEE7EAF"/>
    <w:rsid w:val="2B00367D"/>
    <w:rsid w:val="2B031318"/>
    <w:rsid w:val="2B0637CD"/>
    <w:rsid w:val="2B1F35A3"/>
    <w:rsid w:val="2B4C3789"/>
    <w:rsid w:val="2B6D70BC"/>
    <w:rsid w:val="2B8C3FAE"/>
    <w:rsid w:val="2BB60AE2"/>
    <w:rsid w:val="2BBB6D1E"/>
    <w:rsid w:val="2BCD0364"/>
    <w:rsid w:val="2BD22013"/>
    <w:rsid w:val="2BDE2DFA"/>
    <w:rsid w:val="2BEE54B1"/>
    <w:rsid w:val="2C016CF8"/>
    <w:rsid w:val="2C081F15"/>
    <w:rsid w:val="2C1702D4"/>
    <w:rsid w:val="2C230815"/>
    <w:rsid w:val="2C450BCE"/>
    <w:rsid w:val="2C4A70E7"/>
    <w:rsid w:val="2CC125EA"/>
    <w:rsid w:val="2CFE71BA"/>
    <w:rsid w:val="2D1F3184"/>
    <w:rsid w:val="2D271115"/>
    <w:rsid w:val="2D3F3866"/>
    <w:rsid w:val="2D4E657B"/>
    <w:rsid w:val="2D723F20"/>
    <w:rsid w:val="2D747E1E"/>
    <w:rsid w:val="2D787DD5"/>
    <w:rsid w:val="2DA2114F"/>
    <w:rsid w:val="2DA37503"/>
    <w:rsid w:val="2DA83F60"/>
    <w:rsid w:val="2DF55958"/>
    <w:rsid w:val="2E484847"/>
    <w:rsid w:val="2E4862E0"/>
    <w:rsid w:val="2E551C86"/>
    <w:rsid w:val="2E8E0DC7"/>
    <w:rsid w:val="2EA452CA"/>
    <w:rsid w:val="2F002AD7"/>
    <w:rsid w:val="2F1A2CD6"/>
    <w:rsid w:val="2F1F1002"/>
    <w:rsid w:val="2F59680A"/>
    <w:rsid w:val="2F725974"/>
    <w:rsid w:val="2F8F14FA"/>
    <w:rsid w:val="2F95424D"/>
    <w:rsid w:val="2FBE01B0"/>
    <w:rsid w:val="2FD41FE8"/>
    <w:rsid w:val="2FD92F4B"/>
    <w:rsid w:val="2FDC4813"/>
    <w:rsid w:val="2FDD6330"/>
    <w:rsid w:val="2FFE764D"/>
    <w:rsid w:val="30615D7B"/>
    <w:rsid w:val="3092063D"/>
    <w:rsid w:val="309641C3"/>
    <w:rsid w:val="30B56693"/>
    <w:rsid w:val="30B66DFA"/>
    <w:rsid w:val="30B7495D"/>
    <w:rsid w:val="310733E2"/>
    <w:rsid w:val="314A0136"/>
    <w:rsid w:val="314F42E0"/>
    <w:rsid w:val="31500A7F"/>
    <w:rsid w:val="316F43E0"/>
    <w:rsid w:val="31715960"/>
    <w:rsid w:val="31881CD4"/>
    <w:rsid w:val="31923465"/>
    <w:rsid w:val="31C11C37"/>
    <w:rsid w:val="31C37BD5"/>
    <w:rsid w:val="31E527A8"/>
    <w:rsid w:val="31EB0947"/>
    <w:rsid w:val="31EE28DD"/>
    <w:rsid w:val="321E4E2B"/>
    <w:rsid w:val="322A70B0"/>
    <w:rsid w:val="323E0F34"/>
    <w:rsid w:val="32592D60"/>
    <w:rsid w:val="327351F4"/>
    <w:rsid w:val="32AC5D01"/>
    <w:rsid w:val="32B03741"/>
    <w:rsid w:val="32B363EC"/>
    <w:rsid w:val="32F11656"/>
    <w:rsid w:val="33030D3C"/>
    <w:rsid w:val="33055549"/>
    <w:rsid w:val="332B1C67"/>
    <w:rsid w:val="33373C5D"/>
    <w:rsid w:val="334F1F75"/>
    <w:rsid w:val="33682F01"/>
    <w:rsid w:val="337529DE"/>
    <w:rsid w:val="33821B87"/>
    <w:rsid w:val="33A8236D"/>
    <w:rsid w:val="33B34322"/>
    <w:rsid w:val="33D64370"/>
    <w:rsid w:val="33DA55BE"/>
    <w:rsid w:val="33DF260C"/>
    <w:rsid w:val="33E125F3"/>
    <w:rsid w:val="34240F37"/>
    <w:rsid w:val="34467AC0"/>
    <w:rsid w:val="345D7BE9"/>
    <w:rsid w:val="34640FF0"/>
    <w:rsid w:val="34704C9A"/>
    <w:rsid w:val="349A68E9"/>
    <w:rsid w:val="349B10A1"/>
    <w:rsid w:val="34CE7911"/>
    <w:rsid w:val="34DB50A2"/>
    <w:rsid w:val="34DC371F"/>
    <w:rsid w:val="34F069CE"/>
    <w:rsid w:val="35144DB5"/>
    <w:rsid w:val="351878C2"/>
    <w:rsid w:val="3565388A"/>
    <w:rsid w:val="35C11415"/>
    <w:rsid w:val="35FF50CF"/>
    <w:rsid w:val="360F105F"/>
    <w:rsid w:val="362B08F6"/>
    <w:rsid w:val="36350DE3"/>
    <w:rsid w:val="364A2229"/>
    <w:rsid w:val="367531D1"/>
    <w:rsid w:val="36826A7D"/>
    <w:rsid w:val="368630E0"/>
    <w:rsid w:val="368925DC"/>
    <w:rsid w:val="36906C81"/>
    <w:rsid w:val="36AA739E"/>
    <w:rsid w:val="36AD6204"/>
    <w:rsid w:val="36AD7C97"/>
    <w:rsid w:val="36B44FA2"/>
    <w:rsid w:val="36C36DD1"/>
    <w:rsid w:val="370519C0"/>
    <w:rsid w:val="370D1566"/>
    <w:rsid w:val="377466C2"/>
    <w:rsid w:val="37BE49E1"/>
    <w:rsid w:val="38075FCE"/>
    <w:rsid w:val="380D682A"/>
    <w:rsid w:val="38166F29"/>
    <w:rsid w:val="38327E6F"/>
    <w:rsid w:val="38855A22"/>
    <w:rsid w:val="38982770"/>
    <w:rsid w:val="389D2CD6"/>
    <w:rsid w:val="389E62A4"/>
    <w:rsid w:val="38A00020"/>
    <w:rsid w:val="38B13D9D"/>
    <w:rsid w:val="38C93C60"/>
    <w:rsid w:val="38CE569E"/>
    <w:rsid w:val="38DA6B78"/>
    <w:rsid w:val="3945135B"/>
    <w:rsid w:val="396233D0"/>
    <w:rsid w:val="3997255F"/>
    <w:rsid w:val="39975993"/>
    <w:rsid w:val="39A0618E"/>
    <w:rsid w:val="39C10F43"/>
    <w:rsid w:val="39F94ECD"/>
    <w:rsid w:val="39FF07EC"/>
    <w:rsid w:val="3A041CB6"/>
    <w:rsid w:val="3A290C6D"/>
    <w:rsid w:val="3A3B566C"/>
    <w:rsid w:val="3A6E7853"/>
    <w:rsid w:val="3A775838"/>
    <w:rsid w:val="3AA2353F"/>
    <w:rsid w:val="3AC139F6"/>
    <w:rsid w:val="3ACB64C8"/>
    <w:rsid w:val="3ADD3446"/>
    <w:rsid w:val="3AE0430A"/>
    <w:rsid w:val="3AF91489"/>
    <w:rsid w:val="3B213FA0"/>
    <w:rsid w:val="3B617FC4"/>
    <w:rsid w:val="3B73067C"/>
    <w:rsid w:val="3B907886"/>
    <w:rsid w:val="3B930080"/>
    <w:rsid w:val="3BA3090C"/>
    <w:rsid w:val="3BB820D0"/>
    <w:rsid w:val="3BBB6668"/>
    <w:rsid w:val="3BDB79F5"/>
    <w:rsid w:val="3BDC03DD"/>
    <w:rsid w:val="3BFB48AB"/>
    <w:rsid w:val="3C2D2783"/>
    <w:rsid w:val="3C326769"/>
    <w:rsid w:val="3C5722AF"/>
    <w:rsid w:val="3C5B2C91"/>
    <w:rsid w:val="3C6A5481"/>
    <w:rsid w:val="3C7C7BF9"/>
    <w:rsid w:val="3C7D497D"/>
    <w:rsid w:val="3C974F7D"/>
    <w:rsid w:val="3C996101"/>
    <w:rsid w:val="3CA51B98"/>
    <w:rsid w:val="3CC11B80"/>
    <w:rsid w:val="3CC17661"/>
    <w:rsid w:val="3CDE2C56"/>
    <w:rsid w:val="3CE23AAE"/>
    <w:rsid w:val="3D0A2833"/>
    <w:rsid w:val="3D3B5651"/>
    <w:rsid w:val="3D463E98"/>
    <w:rsid w:val="3D492E69"/>
    <w:rsid w:val="3D4F72EE"/>
    <w:rsid w:val="3D5739EA"/>
    <w:rsid w:val="3D6B61E7"/>
    <w:rsid w:val="3D6D2191"/>
    <w:rsid w:val="3D75722D"/>
    <w:rsid w:val="3D8A1AF0"/>
    <w:rsid w:val="3D962F81"/>
    <w:rsid w:val="3DC1326A"/>
    <w:rsid w:val="3DD162D6"/>
    <w:rsid w:val="3DE42F0D"/>
    <w:rsid w:val="3E0C2411"/>
    <w:rsid w:val="3E172F24"/>
    <w:rsid w:val="3E1A7C48"/>
    <w:rsid w:val="3E26262B"/>
    <w:rsid w:val="3E3218C2"/>
    <w:rsid w:val="3E670C6A"/>
    <w:rsid w:val="3E7429CC"/>
    <w:rsid w:val="3EC55CE5"/>
    <w:rsid w:val="3EDF22BF"/>
    <w:rsid w:val="3EE9097A"/>
    <w:rsid w:val="3EF40404"/>
    <w:rsid w:val="3EFB045A"/>
    <w:rsid w:val="3F0B45DD"/>
    <w:rsid w:val="3F146B17"/>
    <w:rsid w:val="3F3E1F01"/>
    <w:rsid w:val="3F4228C2"/>
    <w:rsid w:val="3F544311"/>
    <w:rsid w:val="3FCB1124"/>
    <w:rsid w:val="3FDE3945"/>
    <w:rsid w:val="3FE16227"/>
    <w:rsid w:val="3FF3615B"/>
    <w:rsid w:val="400125FF"/>
    <w:rsid w:val="400262EA"/>
    <w:rsid w:val="400921C4"/>
    <w:rsid w:val="40134574"/>
    <w:rsid w:val="403241AE"/>
    <w:rsid w:val="403C1635"/>
    <w:rsid w:val="404948E0"/>
    <w:rsid w:val="404C07D8"/>
    <w:rsid w:val="407066BC"/>
    <w:rsid w:val="408C61AB"/>
    <w:rsid w:val="40924500"/>
    <w:rsid w:val="40931DC0"/>
    <w:rsid w:val="410B77A9"/>
    <w:rsid w:val="41215E95"/>
    <w:rsid w:val="41311F67"/>
    <w:rsid w:val="417F5936"/>
    <w:rsid w:val="41BA1FE4"/>
    <w:rsid w:val="41C03C11"/>
    <w:rsid w:val="41CC47FE"/>
    <w:rsid w:val="41DD1FAB"/>
    <w:rsid w:val="41ED29A9"/>
    <w:rsid w:val="41F17889"/>
    <w:rsid w:val="41F7097F"/>
    <w:rsid w:val="420823C0"/>
    <w:rsid w:val="420D008D"/>
    <w:rsid w:val="421117A4"/>
    <w:rsid w:val="421D3767"/>
    <w:rsid w:val="421E40EB"/>
    <w:rsid w:val="423422C8"/>
    <w:rsid w:val="423845DE"/>
    <w:rsid w:val="42A152CE"/>
    <w:rsid w:val="42B85102"/>
    <w:rsid w:val="42C00F31"/>
    <w:rsid w:val="42C21ACD"/>
    <w:rsid w:val="42C634D3"/>
    <w:rsid w:val="42DA5E14"/>
    <w:rsid w:val="42E56AFD"/>
    <w:rsid w:val="4310755D"/>
    <w:rsid w:val="4314026A"/>
    <w:rsid w:val="432C091A"/>
    <w:rsid w:val="4333521F"/>
    <w:rsid w:val="435519DA"/>
    <w:rsid w:val="43584297"/>
    <w:rsid w:val="43714067"/>
    <w:rsid w:val="43752BB3"/>
    <w:rsid w:val="43B96430"/>
    <w:rsid w:val="43DE75EC"/>
    <w:rsid w:val="4405146E"/>
    <w:rsid w:val="44295DEE"/>
    <w:rsid w:val="44467571"/>
    <w:rsid w:val="444A09D8"/>
    <w:rsid w:val="445630F0"/>
    <w:rsid w:val="447659E7"/>
    <w:rsid w:val="44C93326"/>
    <w:rsid w:val="44D77D73"/>
    <w:rsid w:val="44E41D5C"/>
    <w:rsid w:val="45012BB6"/>
    <w:rsid w:val="450D4B97"/>
    <w:rsid w:val="454D25C4"/>
    <w:rsid w:val="454E450B"/>
    <w:rsid w:val="455208BF"/>
    <w:rsid w:val="45905C86"/>
    <w:rsid w:val="45B234F2"/>
    <w:rsid w:val="45BA6953"/>
    <w:rsid w:val="45E60A9B"/>
    <w:rsid w:val="46061CAD"/>
    <w:rsid w:val="46064DDA"/>
    <w:rsid w:val="461443DB"/>
    <w:rsid w:val="461E2EC2"/>
    <w:rsid w:val="46225CDF"/>
    <w:rsid w:val="465133F2"/>
    <w:rsid w:val="46657929"/>
    <w:rsid w:val="46671A39"/>
    <w:rsid w:val="466D1527"/>
    <w:rsid w:val="4688097B"/>
    <w:rsid w:val="468A5AD8"/>
    <w:rsid w:val="469528A7"/>
    <w:rsid w:val="46974ECF"/>
    <w:rsid w:val="46AF5C5D"/>
    <w:rsid w:val="46AF6469"/>
    <w:rsid w:val="46B911A9"/>
    <w:rsid w:val="46E00C80"/>
    <w:rsid w:val="46E0506A"/>
    <w:rsid w:val="46E50E66"/>
    <w:rsid w:val="46EE2CF6"/>
    <w:rsid w:val="47110799"/>
    <w:rsid w:val="471D5DCE"/>
    <w:rsid w:val="47433B2E"/>
    <w:rsid w:val="474405C1"/>
    <w:rsid w:val="477837F3"/>
    <w:rsid w:val="477F42F7"/>
    <w:rsid w:val="47AE16C0"/>
    <w:rsid w:val="47EB5DF0"/>
    <w:rsid w:val="47EE0146"/>
    <w:rsid w:val="47F264CF"/>
    <w:rsid w:val="481F54DE"/>
    <w:rsid w:val="4835136F"/>
    <w:rsid w:val="48A43C0A"/>
    <w:rsid w:val="48BD2484"/>
    <w:rsid w:val="48CB0FDE"/>
    <w:rsid w:val="48F24091"/>
    <w:rsid w:val="493959DE"/>
    <w:rsid w:val="4947348A"/>
    <w:rsid w:val="495D1AB6"/>
    <w:rsid w:val="49683899"/>
    <w:rsid w:val="49A03CFE"/>
    <w:rsid w:val="49BF69B2"/>
    <w:rsid w:val="49CC29AD"/>
    <w:rsid w:val="49DD544A"/>
    <w:rsid w:val="49E73A66"/>
    <w:rsid w:val="49F94F69"/>
    <w:rsid w:val="4A116146"/>
    <w:rsid w:val="4A224FFC"/>
    <w:rsid w:val="4A33520C"/>
    <w:rsid w:val="4A337DA1"/>
    <w:rsid w:val="4A3D615E"/>
    <w:rsid w:val="4A5E2EF7"/>
    <w:rsid w:val="4A692DC6"/>
    <w:rsid w:val="4A964C1E"/>
    <w:rsid w:val="4A9F301C"/>
    <w:rsid w:val="4AB1249B"/>
    <w:rsid w:val="4AD001B2"/>
    <w:rsid w:val="4B2B583B"/>
    <w:rsid w:val="4B5807D7"/>
    <w:rsid w:val="4B831D38"/>
    <w:rsid w:val="4B86741A"/>
    <w:rsid w:val="4B9D6D82"/>
    <w:rsid w:val="4BA816F4"/>
    <w:rsid w:val="4BAF0FEE"/>
    <w:rsid w:val="4BCD2DEA"/>
    <w:rsid w:val="4BD0674F"/>
    <w:rsid w:val="4BD531F8"/>
    <w:rsid w:val="4BDE568A"/>
    <w:rsid w:val="4BEA2890"/>
    <w:rsid w:val="4BEC6148"/>
    <w:rsid w:val="4C0A36DC"/>
    <w:rsid w:val="4C0A7A94"/>
    <w:rsid w:val="4C250914"/>
    <w:rsid w:val="4C274955"/>
    <w:rsid w:val="4C2A33DC"/>
    <w:rsid w:val="4C501D87"/>
    <w:rsid w:val="4C671ECC"/>
    <w:rsid w:val="4C80768D"/>
    <w:rsid w:val="4CDB7BA2"/>
    <w:rsid w:val="4CEC64C6"/>
    <w:rsid w:val="4CF57E52"/>
    <w:rsid w:val="4D171987"/>
    <w:rsid w:val="4D376F53"/>
    <w:rsid w:val="4D836576"/>
    <w:rsid w:val="4D8B7869"/>
    <w:rsid w:val="4DA62466"/>
    <w:rsid w:val="4DB44007"/>
    <w:rsid w:val="4DB73BC9"/>
    <w:rsid w:val="4DC67510"/>
    <w:rsid w:val="4E105B8D"/>
    <w:rsid w:val="4E2F54A2"/>
    <w:rsid w:val="4E3C7CFB"/>
    <w:rsid w:val="4E5125A5"/>
    <w:rsid w:val="4E584934"/>
    <w:rsid w:val="4E5C2C30"/>
    <w:rsid w:val="4E68001D"/>
    <w:rsid w:val="4E8A598C"/>
    <w:rsid w:val="4E8E716E"/>
    <w:rsid w:val="4EBF1892"/>
    <w:rsid w:val="4EC245D2"/>
    <w:rsid w:val="4EE866EB"/>
    <w:rsid w:val="4EF1011D"/>
    <w:rsid w:val="4F234442"/>
    <w:rsid w:val="4F3B2880"/>
    <w:rsid w:val="4F4516C1"/>
    <w:rsid w:val="4F4D0D44"/>
    <w:rsid w:val="4F5D7E23"/>
    <w:rsid w:val="4F5F306A"/>
    <w:rsid w:val="4F6E1878"/>
    <w:rsid w:val="4F7057C6"/>
    <w:rsid w:val="4F8341D0"/>
    <w:rsid w:val="4F842BE7"/>
    <w:rsid w:val="4F9E5E24"/>
    <w:rsid w:val="4FD36085"/>
    <w:rsid w:val="4FD717F0"/>
    <w:rsid w:val="4FE40FF9"/>
    <w:rsid w:val="4FF81DF2"/>
    <w:rsid w:val="4FFA482E"/>
    <w:rsid w:val="4FFB5DE4"/>
    <w:rsid w:val="4FFC63F0"/>
    <w:rsid w:val="500038CC"/>
    <w:rsid w:val="50081665"/>
    <w:rsid w:val="500B3A80"/>
    <w:rsid w:val="50311B22"/>
    <w:rsid w:val="50427A57"/>
    <w:rsid w:val="50484B4A"/>
    <w:rsid w:val="505C0025"/>
    <w:rsid w:val="50661C7C"/>
    <w:rsid w:val="50C261B5"/>
    <w:rsid w:val="50D3091C"/>
    <w:rsid w:val="510D09F0"/>
    <w:rsid w:val="51457E68"/>
    <w:rsid w:val="514D2C60"/>
    <w:rsid w:val="515207C4"/>
    <w:rsid w:val="515B0A01"/>
    <w:rsid w:val="51697B83"/>
    <w:rsid w:val="516B68D6"/>
    <w:rsid w:val="517F2764"/>
    <w:rsid w:val="51807AB7"/>
    <w:rsid w:val="519A3F9D"/>
    <w:rsid w:val="51B03015"/>
    <w:rsid w:val="51B312E9"/>
    <w:rsid w:val="51B77991"/>
    <w:rsid w:val="51D17821"/>
    <w:rsid w:val="52127D44"/>
    <w:rsid w:val="521369B1"/>
    <w:rsid w:val="521A6680"/>
    <w:rsid w:val="5233220D"/>
    <w:rsid w:val="523676F1"/>
    <w:rsid w:val="52440B29"/>
    <w:rsid w:val="52491188"/>
    <w:rsid w:val="525D5C84"/>
    <w:rsid w:val="52850E15"/>
    <w:rsid w:val="528B0F49"/>
    <w:rsid w:val="529C1678"/>
    <w:rsid w:val="52B22DAF"/>
    <w:rsid w:val="52BA3A5C"/>
    <w:rsid w:val="52BA6CC7"/>
    <w:rsid w:val="52C879EF"/>
    <w:rsid w:val="52D66AC8"/>
    <w:rsid w:val="52E57792"/>
    <w:rsid w:val="52E75963"/>
    <w:rsid w:val="52F70665"/>
    <w:rsid w:val="5301759F"/>
    <w:rsid w:val="53256DAA"/>
    <w:rsid w:val="53324ECB"/>
    <w:rsid w:val="533A3271"/>
    <w:rsid w:val="53403142"/>
    <w:rsid w:val="534560E3"/>
    <w:rsid w:val="53945627"/>
    <w:rsid w:val="53A47428"/>
    <w:rsid w:val="53AC1828"/>
    <w:rsid w:val="53C868D8"/>
    <w:rsid w:val="53DA1691"/>
    <w:rsid w:val="53DC4C1D"/>
    <w:rsid w:val="53E546DB"/>
    <w:rsid w:val="53F51D6B"/>
    <w:rsid w:val="54217C98"/>
    <w:rsid w:val="54227480"/>
    <w:rsid w:val="543A3F88"/>
    <w:rsid w:val="545B1A1C"/>
    <w:rsid w:val="545E0F54"/>
    <w:rsid w:val="545F10C2"/>
    <w:rsid w:val="54637296"/>
    <w:rsid w:val="54713E31"/>
    <w:rsid w:val="547C7A84"/>
    <w:rsid w:val="54895A94"/>
    <w:rsid w:val="54BA6E91"/>
    <w:rsid w:val="54CE73C9"/>
    <w:rsid w:val="54EC7591"/>
    <w:rsid w:val="5522248B"/>
    <w:rsid w:val="55413843"/>
    <w:rsid w:val="555412A1"/>
    <w:rsid w:val="55590EC7"/>
    <w:rsid w:val="556066CE"/>
    <w:rsid w:val="556A7B6B"/>
    <w:rsid w:val="557301B3"/>
    <w:rsid w:val="557379F2"/>
    <w:rsid w:val="55746D82"/>
    <w:rsid w:val="557E3F29"/>
    <w:rsid w:val="55AB6E97"/>
    <w:rsid w:val="55C55BE8"/>
    <w:rsid w:val="55F46F8B"/>
    <w:rsid w:val="55FB3BEF"/>
    <w:rsid w:val="560C3BB2"/>
    <w:rsid w:val="561E3C2A"/>
    <w:rsid w:val="562A00C4"/>
    <w:rsid w:val="56403AEE"/>
    <w:rsid w:val="566657B2"/>
    <w:rsid w:val="5668780F"/>
    <w:rsid w:val="566F1448"/>
    <w:rsid w:val="567541F2"/>
    <w:rsid w:val="567A7825"/>
    <w:rsid w:val="568233C7"/>
    <w:rsid w:val="568944AD"/>
    <w:rsid w:val="56A7283D"/>
    <w:rsid w:val="56CC5963"/>
    <w:rsid w:val="56E17A70"/>
    <w:rsid w:val="56FB2B07"/>
    <w:rsid w:val="571B5FF2"/>
    <w:rsid w:val="572371A4"/>
    <w:rsid w:val="573C4F1A"/>
    <w:rsid w:val="574824F5"/>
    <w:rsid w:val="57817D5E"/>
    <w:rsid w:val="57B74CA4"/>
    <w:rsid w:val="57B907CE"/>
    <w:rsid w:val="57C3782C"/>
    <w:rsid w:val="57F36B5E"/>
    <w:rsid w:val="57F80361"/>
    <w:rsid w:val="57FB4635"/>
    <w:rsid w:val="580348F1"/>
    <w:rsid w:val="58172825"/>
    <w:rsid w:val="58346219"/>
    <w:rsid w:val="58436C0E"/>
    <w:rsid w:val="58460F67"/>
    <w:rsid w:val="58466FB4"/>
    <w:rsid w:val="585B6A11"/>
    <w:rsid w:val="585D4204"/>
    <w:rsid w:val="585D4B90"/>
    <w:rsid w:val="58735E2C"/>
    <w:rsid w:val="5883691B"/>
    <w:rsid w:val="58AE700C"/>
    <w:rsid w:val="58C018E2"/>
    <w:rsid w:val="58C10E4F"/>
    <w:rsid w:val="58C7385E"/>
    <w:rsid w:val="58CD2C90"/>
    <w:rsid w:val="58E82692"/>
    <w:rsid w:val="58EE2BB1"/>
    <w:rsid w:val="590A3F28"/>
    <w:rsid w:val="5913358B"/>
    <w:rsid w:val="59251852"/>
    <w:rsid w:val="59355000"/>
    <w:rsid w:val="593D5AA1"/>
    <w:rsid w:val="59560438"/>
    <w:rsid w:val="596F6925"/>
    <w:rsid w:val="59773273"/>
    <w:rsid w:val="59776859"/>
    <w:rsid w:val="598657B6"/>
    <w:rsid w:val="59D346A9"/>
    <w:rsid w:val="59F73D4B"/>
    <w:rsid w:val="5A0B2F9A"/>
    <w:rsid w:val="5A0C05C1"/>
    <w:rsid w:val="5A183C7F"/>
    <w:rsid w:val="5A1A602A"/>
    <w:rsid w:val="5A470048"/>
    <w:rsid w:val="5A7B55CE"/>
    <w:rsid w:val="5A8C0955"/>
    <w:rsid w:val="5A992A01"/>
    <w:rsid w:val="5AB16BAF"/>
    <w:rsid w:val="5AC16477"/>
    <w:rsid w:val="5AFF0837"/>
    <w:rsid w:val="5B0838CF"/>
    <w:rsid w:val="5B192568"/>
    <w:rsid w:val="5B2E5FFD"/>
    <w:rsid w:val="5B3C52B7"/>
    <w:rsid w:val="5B4366A0"/>
    <w:rsid w:val="5B446A9B"/>
    <w:rsid w:val="5B664204"/>
    <w:rsid w:val="5B6C1A0C"/>
    <w:rsid w:val="5B7C0A09"/>
    <w:rsid w:val="5B8B1F72"/>
    <w:rsid w:val="5B987141"/>
    <w:rsid w:val="5BA33CB8"/>
    <w:rsid w:val="5BA9453A"/>
    <w:rsid w:val="5BF10E61"/>
    <w:rsid w:val="5BF77848"/>
    <w:rsid w:val="5BFD59EE"/>
    <w:rsid w:val="5C040B9C"/>
    <w:rsid w:val="5C3E7F17"/>
    <w:rsid w:val="5C411C8F"/>
    <w:rsid w:val="5C5218C9"/>
    <w:rsid w:val="5C666F79"/>
    <w:rsid w:val="5C840414"/>
    <w:rsid w:val="5C8F5C63"/>
    <w:rsid w:val="5C9204D6"/>
    <w:rsid w:val="5C986C9B"/>
    <w:rsid w:val="5CCD7F3B"/>
    <w:rsid w:val="5CD90CEB"/>
    <w:rsid w:val="5CDA2A35"/>
    <w:rsid w:val="5CE11C38"/>
    <w:rsid w:val="5CE91D56"/>
    <w:rsid w:val="5CF33890"/>
    <w:rsid w:val="5CF56448"/>
    <w:rsid w:val="5D0E283B"/>
    <w:rsid w:val="5D3C1256"/>
    <w:rsid w:val="5E112E42"/>
    <w:rsid w:val="5E154E21"/>
    <w:rsid w:val="5E180256"/>
    <w:rsid w:val="5E1D0509"/>
    <w:rsid w:val="5E2549C7"/>
    <w:rsid w:val="5E397B25"/>
    <w:rsid w:val="5E3D6D46"/>
    <w:rsid w:val="5E43704A"/>
    <w:rsid w:val="5E6E6CDF"/>
    <w:rsid w:val="5E886CBC"/>
    <w:rsid w:val="5F547A3F"/>
    <w:rsid w:val="5F595BC6"/>
    <w:rsid w:val="5F854270"/>
    <w:rsid w:val="5F8B6AFA"/>
    <w:rsid w:val="5FA44B84"/>
    <w:rsid w:val="5FB60527"/>
    <w:rsid w:val="5FBA080E"/>
    <w:rsid w:val="5FCE178D"/>
    <w:rsid w:val="5FD8704A"/>
    <w:rsid w:val="5FDE0371"/>
    <w:rsid w:val="5FF57E85"/>
    <w:rsid w:val="6013007F"/>
    <w:rsid w:val="60185540"/>
    <w:rsid w:val="60216205"/>
    <w:rsid w:val="6040774A"/>
    <w:rsid w:val="60451C8F"/>
    <w:rsid w:val="60696AFD"/>
    <w:rsid w:val="60734803"/>
    <w:rsid w:val="608B2C9B"/>
    <w:rsid w:val="6090064F"/>
    <w:rsid w:val="60C93EDD"/>
    <w:rsid w:val="60D47F4F"/>
    <w:rsid w:val="60E51974"/>
    <w:rsid w:val="60F256FF"/>
    <w:rsid w:val="610B1A00"/>
    <w:rsid w:val="61292C8D"/>
    <w:rsid w:val="6194533A"/>
    <w:rsid w:val="619A35AC"/>
    <w:rsid w:val="61A50E75"/>
    <w:rsid w:val="61DD20A5"/>
    <w:rsid w:val="61EB533C"/>
    <w:rsid w:val="61FC53BF"/>
    <w:rsid w:val="620B5FAF"/>
    <w:rsid w:val="620D02C0"/>
    <w:rsid w:val="62171BD9"/>
    <w:rsid w:val="623258DA"/>
    <w:rsid w:val="623F2EE0"/>
    <w:rsid w:val="623F716A"/>
    <w:rsid w:val="6249336B"/>
    <w:rsid w:val="62695163"/>
    <w:rsid w:val="627F4897"/>
    <w:rsid w:val="62AA0131"/>
    <w:rsid w:val="62C97493"/>
    <w:rsid w:val="62EA7F76"/>
    <w:rsid w:val="632A6DCC"/>
    <w:rsid w:val="632E30B7"/>
    <w:rsid w:val="632F03DE"/>
    <w:rsid w:val="632F2288"/>
    <w:rsid w:val="632F6CEF"/>
    <w:rsid w:val="63682DC6"/>
    <w:rsid w:val="63775430"/>
    <w:rsid w:val="63814706"/>
    <w:rsid w:val="63837C21"/>
    <w:rsid w:val="638528D3"/>
    <w:rsid w:val="638C1B7D"/>
    <w:rsid w:val="63927195"/>
    <w:rsid w:val="63AA5DE9"/>
    <w:rsid w:val="63CF6DE7"/>
    <w:rsid w:val="63D977FD"/>
    <w:rsid w:val="63F060B6"/>
    <w:rsid w:val="64163BC5"/>
    <w:rsid w:val="641704BC"/>
    <w:rsid w:val="648816DC"/>
    <w:rsid w:val="64A63845"/>
    <w:rsid w:val="64A86578"/>
    <w:rsid w:val="64D6100B"/>
    <w:rsid w:val="64E34BAE"/>
    <w:rsid w:val="64F00239"/>
    <w:rsid w:val="64FD25A5"/>
    <w:rsid w:val="64FE4D4B"/>
    <w:rsid w:val="652A76BF"/>
    <w:rsid w:val="65385A84"/>
    <w:rsid w:val="65425C85"/>
    <w:rsid w:val="6573468C"/>
    <w:rsid w:val="65801974"/>
    <w:rsid w:val="658C1E42"/>
    <w:rsid w:val="65AB7682"/>
    <w:rsid w:val="65B021A7"/>
    <w:rsid w:val="65C34624"/>
    <w:rsid w:val="65D161ED"/>
    <w:rsid w:val="65F440F6"/>
    <w:rsid w:val="65F67CA8"/>
    <w:rsid w:val="65FA56B0"/>
    <w:rsid w:val="6601652A"/>
    <w:rsid w:val="66094330"/>
    <w:rsid w:val="664278DA"/>
    <w:rsid w:val="66445D74"/>
    <w:rsid w:val="665A1323"/>
    <w:rsid w:val="665A2F02"/>
    <w:rsid w:val="667902C9"/>
    <w:rsid w:val="66817A4E"/>
    <w:rsid w:val="66D310DC"/>
    <w:rsid w:val="66E92CE2"/>
    <w:rsid w:val="670A73D8"/>
    <w:rsid w:val="674B6CAD"/>
    <w:rsid w:val="674C3FC9"/>
    <w:rsid w:val="67563A65"/>
    <w:rsid w:val="67996DD7"/>
    <w:rsid w:val="67A2639D"/>
    <w:rsid w:val="67AD34F0"/>
    <w:rsid w:val="67B27DC1"/>
    <w:rsid w:val="67B62C0E"/>
    <w:rsid w:val="67D0128E"/>
    <w:rsid w:val="67E943C8"/>
    <w:rsid w:val="68563B59"/>
    <w:rsid w:val="686164A2"/>
    <w:rsid w:val="686704FE"/>
    <w:rsid w:val="687A6507"/>
    <w:rsid w:val="688C1E0C"/>
    <w:rsid w:val="689E786B"/>
    <w:rsid w:val="68BB4EE4"/>
    <w:rsid w:val="68D11862"/>
    <w:rsid w:val="68DE0930"/>
    <w:rsid w:val="68E35C05"/>
    <w:rsid w:val="68E552A5"/>
    <w:rsid w:val="69172ED9"/>
    <w:rsid w:val="691C53FB"/>
    <w:rsid w:val="691E6D90"/>
    <w:rsid w:val="69236E5D"/>
    <w:rsid w:val="69257E23"/>
    <w:rsid w:val="69AB5337"/>
    <w:rsid w:val="69D87836"/>
    <w:rsid w:val="6A3626E2"/>
    <w:rsid w:val="6A43096B"/>
    <w:rsid w:val="6A466BE5"/>
    <w:rsid w:val="6A4A5F74"/>
    <w:rsid w:val="6A5047E5"/>
    <w:rsid w:val="6A5362B2"/>
    <w:rsid w:val="6A661130"/>
    <w:rsid w:val="6AA74D8D"/>
    <w:rsid w:val="6AC04066"/>
    <w:rsid w:val="6AC24AFC"/>
    <w:rsid w:val="6B0B16EA"/>
    <w:rsid w:val="6B3452E8"/>
    <w:rsid w:val="6B4813CE"/>
    <w:rsid w:val="6B507632"/>
    <w:rsid w:val="6B6A6AC8"/>
    <w:rsid w:val="6B886F0D"/>
    <w:rsid w:val="6BE56FB0"/>
    <w:rsid w:val="6BFB2B09"/>
    <w:rsid w:val="6C1C270D"/>
    <w:rsid w:val="6C3D2474"/>
    <w:rsid w:val="6C3D6203"/>
    <w:rsid w:val="6C86305C"/>
    <w:rsid w:val="6C8A325E"/>
    <w:rsid w:val="6C8E6E3B"/>
    <w:rsid w:val="6C973497"/>
    <w:rsid w:val="6CA42B02"/>
    <w:rsid w:val="6CC53B5E"/>
    <w:rsid w:val="6CF3558C"/>
    <w:rsid w:val="6D2271D8"/>
    <w:rsid w:val="6D601833"/>
    <w:rsid w:val="6D6656A6"/>
    <w:rsid w:val="6D6A0D15"/>
    <w:rsid w:val="6D6F3D42"/>
    <w:rsid w:val="6DF51CFA"/>
    <w:rsid w:val="6DFB2392"/>
    <w:rsid w:val="6E081963"/>
    <w:rsid w:val="6E0E5EDE"/>
    <w:rsid w:val="6E312420"/>
    <w:rsid w:val="6E357A10"/>
    <w:rsid w:val="6E3B41E3"/>
    <w:rsid w:val="6E3C5911"/>
    <w:rsid w:val="6E3D0A38"/>
    <w:rsid w:val="6E442C14"/>
    <w:rsid w:val="6E4E2D9E"/>
    <w:rsid w:val="6E6A6B14"/>
    <w:rsid w:val="6E730402"/>
    <w:rsid w:val="6E9B17EB"/>
    <w:rsid w:val="6E9E6A55"/>
    <w:rsid w:val="6EA639F2"/>
    <w:rsid w:val="6EAE71B1"/>
    <w:rsid w:val="6EC0053A"/>
    <w:rsid w:val="6ED73860"/>
    <w:rsid w:val="6ED76C0E"/>
    <w:rsid w:val="6EE91A75"/>
    <w:rsid w:val="6EEC2DBF"/>
    <w:rsid w:val="6EFD77D2"/>
    <w:rsid w:val="6F065042"/>
    <w:rsid w:val="6F12155D"/>
    <w:rsid w:val="6F1B66D1"/>
    <w:rsid w:val="6F746447"/>
    <w:rsid w:val="6F9279BD"/>
    <w:rsid w:val="6FAC676D"/>
    <w:rsid w:val="6FB526CA"/>
    <w:rsid w:val="6FF257D9"/>
    <w:rsid w:val="701E679F"/>
    <w:rsid w:val="70257195"/>
    <w:rsid w:val="70377686"/>
    <w:rsid w:val="705028BA"/>
    <w:rsid w:val="708928E5"/>
    <w:rsid w:val="70B23807"/>
    <w:rsid w:val="70D3715F"/>
    <w:rsid w:val="70DC7064"/>
    <w:rsid w:val="70E64BC3"/>
    <w:rsid w:val="70F86050"/>
    <w:rsid w:val="71731B92"/>
    <w:rsid w:val="71811135"/>
    <w:rsid w:val="719F4F67"/>
    <w:rsid w:val="71AC24F2"/>
    <w:rsid w:val="71B2277F"/>
    <w:rsid w:val="71CF374B"/>
    <w:rsid w:val="71DA3B9F"/>
    <w:rsid w:val="71DB4FFD"/>
    <w:rsid w:val="71DF66EC"/>
    <w:rsid w:val="71E21AE3"/>
    <w:rsid w:val="71E82B00"/>
    <w:rsid w:val="71EB0AF2"/>
    <w:rsid w:val="71EE4BEA"/>
    <w:rsid w:val="72331FA3"/>
    <w:rsid w:val="724F5DC2"/>
    <w:rsid w:val="725068AA"/>
    <w:rsid w:val="72556B20"/>
    <w:rsid w:val="727963F4"/>
    <w:rsid w:val="7285798F"/>
    <w:rsid w:val="72942D4C"/>
    <w:rsid w:val="729B4168"/>
    <w:rsid w:val="72D62764"/>
    <w:rsid w:val="72FA2810"/>
    <w:rsid w:val="72FB0FFC"/>
    <w:rsid w:val="73093138"/>
    <w:rsid w:val="731107D7"/>
    <w:rsid w:val="731A4123"/>
    <w:rsid w:val="73447644"/>
    <w:rsid w:val="735B175A"/>
    <w:rsid w:val="736B29CE"/>
    <w:rsid w:val="73783B75"/>
    <w:rsid w:val="73E958BF"/>
    <w:rsid w:val="73F1138E"/>
    <w:rsid w:val="740D7C3B"/>
    <w:rsid w:val="742B7491"/>
    <w:rsid w:val="743C7FB3"/>
    <w:rsid w:val="74411069"/>
    <w:rsid w:val="74597934"/>
    <w:rsid w:val="745F50C3"/>
    <w:rsid w:val="746E78B6"/>
    <w:rsid w:val="74786820"/>
    <w:rsid w:val="74943E22"/>
    <w:rsid w:val="74AE06D5"/>
    <w:rsid w:val="74D70D02"/>
    <w:rsid w:val="74E20A83"/>
    <w:rsid w:val="75185A87"/>
    <w:rsid w:val="75320B93"/>
    <w:rsid w:val="75402EA1"/>
    <w:rsid w:val="75464C30"/>
    <w:rsid w:val="754937A9"/>
    <w:rsid w:val="75604D06"/>
    <w:rsid w:val="7561056E"/>
    <w:rsid w:val="7578567B"/>
    <w:rsid w:val="757C3CBF"/>
    <w:rsid w:val="75B21769"/>
    <w:rsid w:val="75B26F85"/>
    <w:rsid w:val="75BA2DBB"/>
    <w:rsid w:val="75C55DAE"/>
    <w:rsid w:val="75D50225"/>
    <w:rsid w:val="75DE311C"/>
    <w:rsid w:val="75EB1A86"/>
    <w:rsid w:val="76175FBB"/>
    <w:rsid w:val="762638B9"/>
    <w:rsid w:val="763C6CF7"/>
    <w:rsid w:val="764B5CA4"/>
    <w:rsid w:val="76516461"/>
    <w:rsid w:val="76581852"/>
    <w:rsid w:val="766B11FD"/>
    <w:rsid w:val="767A4960"/>
    <w:rsid w:val="767D47F4"/>
    <w:rsid w:val="7698356A"/>
    <w:rsid w:val="76A261D7"/>
    <w:rsid w:val="76CC3F22"/>
    <w:rsid w:val="76FB6D8E"/>
    <w:rsid w:val="771C6B68"/>
    <w:rsid w:val="772E1C95"/>
    <w:rsid w:val="77341D2B"/>
    <w:rsid w:val="7740260E"/>
    <w:rsid w:val="775277F8"/>
    <w:rsid w:val="776374D1"/>
    <w:rsid w:val="7781196E"/>
    <w:rsid w:val="779053EB"/>
    <w:rsid w:val="7795301D"/>
    <w:rsid w:val="779941A9"/>
    <w:rsid w:val="77DB734E"/>
    <w:rsid w:val="78423F9C"/>
    <w:rsid w:val="78635056"/>
    <w:rsid w:val="78635374"/>
    <w:rsid w:val="78802AD0"/>
    <w:rsid w:val="78980ABE"/>
    <w:rsid w:val="78A35024"/>
    <w:rsid w:val="78A6457B"/>
    <w:rsid w:val="78A97C82"/>
    <w:rsid w:val="78E100C2"/>
    <w:rsid w:val="78EA6766"/>
    <w:rsid w:val="78FC7F1E"/>
    <w:rsid w:val="78FE7093"/>
    <w:rsid w:val="79113406"/>
    <w:rsid w:val="79223449"/>
    <w:rsid w:val="792A3BBF"/>
    <w:rsid w:val="793D20FC"/>
    <w:rsid w:val="796C5DC7"/>
    <w:rsid w:val="797205D3"/>
    <w:rsid w:val="7989291D"/>
    <w:rsid w:val="79C51346"/>
    <w:rsid w:val="79E170DE"/>
    <w:rsid w:val="79EA3914"/>
    <w:rsid w:val="79FA2333"/>
    <w:rsid w:val="7A0E18F9"/>
    <w:rsid w:val="7A17711F"/>
    <w:rsid w:val="7A802A25"/>
    <w:rsid w:val="7A960172"/>
    <w:rsid w:val="7AA445A9"/>
    <w:rsid w:val="7AB623CA"/>
    <w:rsid w:val="7AC769D4"/>
    <w:rsid w:val="7AE9703B"/>
    <w:rsid w:val="7AF04BB8"/>
    <w:rsid w:val="7B227450"/>
    <w:rsid w:val="7B551956"/>
    <w:rsid w:val="7B5754DB"/>
    <w:rsid w:val="7BA8041C"/>
    <w:rsid w:val="7BAA350C"/>
    <w:rsid w:val="7BF51174"/>
    <w:rsid w:val="7C07701B"/>
    <w:rsid w:val="7C0A5BF9"/>
    <w:rsid w:val="7C1F4A4D"/>
    <w:rsid w:val="7C30319F"/>
    <w:rsid w:val="7C362AD3"/>
    <w:rsid w:val="7CB01A86"/>
    <w:rsid w:val="7CB20C4F"/>
    <w:rsid w:val="7CB232F1"/>
    <w:rsid w:val="7CC70B2F"/>
    <w:rsid w:val="7CD918F4"/>
    <w:rsid w:val="7D3E4C3D"/>
    <w:rsid w:val="7D495A24"/>
    <w:rsid w:val="7D496B68"/>
    <w:rsid w:val="7D531A6C"/>
    <w:rsid w:val="7D567956"/>
    <w:rsid w:val="7D763FA0"/>
    <w:rsid w:val="7D9011A2"/>
    <w:rsid w:val="7D916678"/>
    <w:rsid w:val="7DA239F3"/>
    <w:rsid w:val="7DA317A5"/>
    <w:rsid w:val="7DBD2280"/>
    <w:rsid w:val="7DBE7A1F"/>
    <w:rsid w:val="7DDF191F"/>
    <w:rsid w:val="7E154214"/>
    <w:rsid w:val="7E365208"/>
    <w:rsid w:val="7E6311F5"/>
    <w:rsid w:val="7E77627E"/>
    <w:rsid w:val="7EA767FC"/>
    <w:rsid w:val="7EB95272"/>
    <w:rsid w:val="7ED6673C"/>
    <w:rsid w:val="7EEA67C6"/>
    <w:rsid w:val="7EF55317"/>
    <w:rsid w:val="7EFD1E5B"/>
    <w:rsid w:val="7F3B65C0"/>
    <w:rsid w:val="7F493406"/>
    <w:rsid w:val="7F8749A3"/>
    <w:rsid w:val="7F8C59DC"/>
    <w:rsid w:val="7F92603A"/>
    <w:rsid w:val="7FA61DB1"/>
    <w:rsid w:val="7FA93031"/>
    <w:rsid w:val="7FAA6AA7"/>
    <w:rsid w:val="7FC07774"/>
    <w:rsid w:val="7FC16054"/>
    <w:rsid w:val="7FCC66B4"/>
    <w:rsid w:val="7FE6481E"/>
    <w:rsid w:val="7FEA106E"/>
    <w:rsid w:val="7FF53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9"/>
    <w:pPr>
      <w:keepNext/>
      <w:keepLines/>
      <w:outlineLvl w:val="0"/>
    </w:pPr>
    <w:rPr>
      <w:rFonts w:eastAsia="方正黑体_GBK"/>
      <w:bCs/>
      <w:kern w:val="44"/>
      <w:szCs w:val="44"/>
    </w:rPr>
  </w:style>
  <w:style w:type="paragraph" w:styleId="3">
    <w:name w:val="heading 2"/>
    <w:basedOn w:val="1"/>
    <w:next w:val="1"/>
    <w:unhideWhenUsed/>
    <w:qFormat/>
    <w:uiPriority w:val="9"/>
    <w:pPr>
      <w:keepNext/>
      <w:keepLines/>
      <w:outlineLvl w:val="1"/>
    </w:pPr>
    <w:rPr>
      <w:rFonts w:eastAsia="楷体_GB2312"/>
      <w:b/>
      <w:bCs/>
      <w:szCs w:val="32"/>
    </w:rPr>
  </w:style>
  <w:style w:type="paragraph" w:styleId="4">
    <w:name w:val="heading 3"/>
    <w:basedOn w:val="1"/>
    <w:next w:val="1"/>
    <w:unhideWhenUsed/>
    <w:qFormat/>
    <w:uiPriority w:val="9"/>
    <w:pPr>
      <w:keepNext/>
      <w:keepLines/>
      <w:outlineLvl w:val="2"/>
    </w:pPr>
    <w:rPr>
      <w:b/>
      <w:bCs/>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1260"/>
      <w:jc w:val="left"/>
    </w:pPr>
    <w:rPr>
      <w:rFonts w:cstheme="minorHAnsi"/>
      <w:sz w:val="18"/>
      <w:szCs w:val="18"/>
    </w:rPr>
  </w:style>
  <w:style w:type="paragraph" w:styleId="6">
    <w:name w:val="caption"/>
    <w:basedOn w:val="1"/>
    <w:next w:val="1"/>
    <w:unhideWhenUsed/>
    <w:qFormat/>
    <w:uiPriority w:val="0"/>
    <w:rPr>
      <w:rFonts w:eastAsia="黑体" w:asciiTheme="majorHAnsi" w:hAnsiTheme="majorHAnsi" w:cstheme="majorBidi"/>
      <w:sz w:val="20"/>
      <w:szCs w:val="20"/>
    </w:rPr>
  </w:style>
  <w:style w:type="paragraph" w:styleId="7">
    <w:name w:val="annotation text"/>
    <w:basedOn w:val="1"/>
    <w:link w:val="28"/>
    <w:qFormat/>
    <w:uiPriority w:val="0"/>
    <w:pPr>
      <w:jc w:val="left"/>
    </w:pPr>
  </w:style>
  <w:style w:type="paragraph" w:styleId="8">
    <w:name w:val="toc 5"/>
    <w:basedOn w:val="1"/>
    <w:next w:val="1"/>
    <w:qFormat/>
    <w:uiPriority w:val="0"/>
    <w:pPr>
      <w:ind w:left="840"/>
      <w:jc w:val="left"/>
    </w:pPr>
    <w:rPr>
      <w:rFonts w:cstheme="minorHAnsi"/>
      <w:sz w:val="18"/>
      <w:szCs w:val="18"/>
    </w:rPr>
  </w:style>
  <w:style w:type="paragraph" w:styleId="9">
    <w:name w:val="toc 3"/>
    <w:basedOn w:val="1"/>
    <w:next w:val="1"/>
    <w:qFormat/>
    <w:uiPriority w:val="39"/>
    <w:pPr>
      <w:ind w:left="420"/>
      <w:jc w:val="left"/>
    </w:pPr>
    <w:rPr>
      <w:rFonts w:cstheme="minorHAnsi"/>
      <w:i/>
      <w:iCs/>
      <w:sz w:val="20"/>
      <w:szCs w:val="20"/>
    </w:rPr>
  </w:style>
  <w:style w:type="paragraph" w:styleId="10">
    <w:name w:val="toc 8"/>
    <w:basedOn w:val="1"/>
    <w:next w:val="1"/>
    <w:qFormat/>
    <w:uiPriority w:val="0"/>
    <w:pPr>
      <w:ind w:left="1470"/>
      <w:jc w:val="left"/>
    </w:pPr>
    <w:rPr>
      <w:rFonts w:cstheme="minorHAnsi"/>
      <w:sz w:val="18"/>
      <w:szCs w:val="18"/>
    </w:rPr>
  </w:style>
  <w:style w:type="paragraph" w:styleId="11">
    <w:name w:val="Balloon Text"/>
    <w:basedOn w:val="1"/>
    <w:link w:val="30"/>
    <w:qFormat/>
    <w:uiPriority w:val="0"/>
    <w:rPr>
      <w:sz w:val="18"/>
      <w:szCs w:val="18"/>
    </w:rPr>
  </w:style>
  <w:style w:type="paragraph" w:styleId="12">
    <w:name w:val="footer"/>
    <w:basedOn w:val="1"/>
    <w:link w:val="32"/>
    <w:qFormat/>
    <w:uiPriority w:val="99"/>
    <w:pPr>
      <w:tabs>
        <w:tab w:val="center" w:pos="4153"/>
        <w:tab w:val="right" w:pos="8306"/>
      </w:tabs>
      <w:snapToGrid w:val="0"/>
      <w:jc w:val="left"/>
    </w:pPr>
    <w:rPr>
      <w:sz w:val="18"/>
      <w:szCs w:val="18"/>
    </w:rPr>
  </w:style>
  <w:style w:type="paragraph" w:styleId="13">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before="120" w:after="120"/>
      <w:jc w:val="left"/>
    </w:pPr>
    <w:rPr>
      <w:rFonts w:cstheme="minorHAnsi"/>
      <w:b/>
      <w:bCs/>
      <w:caps/>
      <w:sz w:val="20"/>
      <w:szCs w:val="20"/>
    </w:rPr>
  </w:style>
  <w:style w:type="paragraph" w:styleId="15">
    <w:name w:val="toc 4"/>
    <w:basedOn w:val="1"/>
    <w:next w:val="1"/>
    <w:qFormat/>
    <w:uiPriority w:val="0"/>
    <w:pPr>
      <w:ind w:left="630"/>
      <w:jc w:val="left"/>
    </w:pPr>
    <w:rPr>
      <w:rFonts w:cstheme="minorHAnsi"/>
      <w:sz w:val="18"/>
      <w:szCs w:val="18"/>
    </w:rPr>
  </w:style>
  <w:style w:type="paragraph" w:styleId="16">
    <w:name w:val="footnote text"/>
    <w:basedOn w:val="1"/>
    <w:qFormat/>
    <w:uiPriority w:val="0"/>
    <w:pPr>
      <w:snapToGrid w:val="0"/>
      <w:jc w:val="left"/>
    </w:pPr>
    <w:rPr>
      <w:sz w:val="18"/>
      <w:szCs w:val="18"/>
    </w:rPr>
  </w:style>
  <w:style w:type="paragraph" w:styleId="17">
    <w:name w:val="toc 6"/>
    <w:basedOn w:val="1"/>
    <w:next w:val="1"/>
    <w:qFormat/>
    <w:uiPriority w:val="0"/>
    <w:pPr>
      <w:ind w:left="1050"/>
      <w:jc w:val="left"/>
    </w:pPr>
    <w:rPr>
      <w:rFonts w:cstheme="minorHAnsi"/>
      <w:sz w:val="18"/>
      <w:szCs w:val="18"/>
    </w:rPr>
  </w:style>
  <w:style w:type="paragraph" w:styleId="18">
    <w:name w:val="toc 2"/>
    <w:basedOn w:val="1"/>
    <w:next w:val="1"/>
    <w:qFormat/>
    <w:uiPriority w:val="39"/>
    <w:pPr>
      <w:ind w:left="210"/>
      <w:jc w:val="left"/>
    </w:pPr>
    <w:rPr>
      <w:rFonts w:cstheme="minorHAnsi"/>
      <w:smallCaps/>
      <w:sz w:val="20"/>
      <w:szCs w:val="20"/>
    </w:rPr>
  </w:style>
  <w:style w:type="paragraph" w:styleId="19">
    <w:name w:val="toc 9"/>
    <w:basedOn w:val="1"/>
    <w:next w:val="1"/>
    <w:qFormat/>
    <w:uiPriority w:val="0"/>
    <w:pPr>
      <w:ind w:left="1680"/>
      <w:jc w:val="left"/>
    </w:pPr>
    <w:rPr>
      <w:rFonts w:cstheme="minorHAnsi"/>
      <w:sz w:val="18"/>
      <w:szCs w:val="18"/>
    </w:rPr>
  </w:style>
  <w:style w:type="paragraph" w:styleId="20">
    <w:name w:val="Normal (Web)"/>
    <w:basedOn w:val="1"/>
    <w:qFormat/>
    <w:uiPriority w:val="0"/>
    <w:pPr>
      <w:spacing w:beforeAutospacing="1" w:afterAutospacing="1"/>
      <w:jc w:val="left"/>
    </w:pPr>
    <w:rPr>
      <w:rFonts w:cs="Times New Roman"/>
      <w:kern w:val="0"/>
      <w:sz w:val="24"/>
    </w:rPr>
  </w:style>
  <w:style w:type="paragraph" w:styleId="21">
    <w:name w:val="annotation subject"/>
    <w:basedOn w:val="7"/>
    <w:next w:val="7"/>
    <w:link w:val="29"/>
    <w:qFormat/>
    <w:uiPriority w:val="0"/>
    <w:rPr>
      <w:b/>
      <w:bCs/>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Hyperlink"/>
    <w:basedOn w:val="24"/>
    <w:qFormat/>
    <w:uiPriority w:val="99"/>
    <w:rPr>
      <w:color w:val="0000FF"/>
      <w:u w:val="single"/>
    </w:rPr>
  </w:style>
  <w:style w:type="character" w:styleId="26">
    <w:name w:val="annotation reference"/>
    <w:basedOn w:val="24"/>
    <w:qFormat/>
    <w:uiPriority w:val="0"/>
    <w:rPr>
      <w:sz w:val="21"/>
      <w:szCs w:val="21"/>
    </w:rPr>
  </w:style>
  <w:style w:type="character" w:styleId="27">
    <w:name w:val="footnote reference"/>
    <w:basedOn w:val="24"/>
    <w:qFormat/>
    <w:uiPriority w:val="0"/>
    <w:rPr>
      <w:vertAlign w:val="superscript"/>
    </w:rPr>
  </w:style>
  <w:style w:type="character" w:customStyle="1" w:styleId="28">
    <w:name w:val="批注文字 字符"/>
    <w:basedOn w:val="24"/>
    <w:link w:val="7"/>
    <w:qFormat/>
    <w:uiPriority w:val="0"/>
    <w:rPr>
      <w:rFonts w:asciiTheme="minorHAnsi" w:hAnsiTheme="minorHAnsi" w:eastAsiaTheme="minorEastAsia" w:cstheme="minorBidi"/>
      <w:kern w:val="2"/>
      <w:sz w:val="21"/>
      <w:szCs w:val="24"/>
    </w:rPr>
  </w:style>
  <w:style w:type="character" w:customStyle="1" w:styleId="29">
    <w:name w:val="批注主题 字符"/>
    <w:basedOn w:val="28"/>
    <w:link w:val="21"/>
    <w:qFormat/>
    <w:uiPriority w:val="0"/>
    <w:rPr>
      <w:rFonts w:asciiTheme="minorHAnsi" w:hAnsiTheme="minorHAnsi" w:eastAsiaTheme="minorEastAsia" w:cstheme="minorBidi"/>
      <w:b/>
      <w:bCs/>
      <w:kern w:val="2"/>
      <w:sz w:val="21"/>
      <w:szCs w:val="24"/>
    </w:rPr>
  </w:style>
  <w:style w:type="character" w:customStyle="1" w:styleId="30">
    <w:name w:val="批注框文本 字符"/>
    <w:basedOn w:val="24"/>
    <w:link w:val="11"/>
    <w:qFormat/>
    <w:uiPriority w:val="0"/>
    <w:rPr>
      <w:rFonts w:asciiTheme="minorHAnsi" w:hAnsiTheme="minorHAnsi" w:eastAsiaTheme="minorEastAsia" w:cstheme="minorBidi"/>
      <w:kern w:val="2"/>
      <w:sz w:val="18"/>
      <w:szCs w:val="18"/>
    </w:rPr>
  </w:style>
  <w:style w:type="character" w:customStyle="1" w:styleId="31">
    <w:name w:val="页眉 字符"/>
    <w:basedOn w:val="24"/>
    <w:link w:val="13"/>
    <w:qFormat/>
    <w:uiPriority w:val="0"/>
    <w:rPr>
      <w:rFonts w:asciiTheme="minorHAnsi" w:hAnsiTheme="minorHAnsi" w:eastAsiaTheme="minorEastAsia" w:cstheme="minorBidi"/>
      <w:kern w:val="2"/>
      <w:sz w:val="18"/>
      <w:szCs w:val="18"/>
    </w:rPr>
  </w:style>
  <w:style w:type="character" w:customStyle="1" w:styleId="32">
    <w:name w:val="页脚 字符"/>
    <w:basedOn w:val="24"/>
    <w:link w:val="12"/>
    <w:qFormat/>
    <w:uiPriority w:val="99"/>
    <w:rPr>
      <w:rFonts w:asciiTheme="minorHAnsi" w:hAnsiTheme="minorHAnsi" w:eastAsiaTheme="minorEastAsia" w:cstheme="minorBidi"/>
      <w:kern w:val="2"/>
      <w:sz w:val="18"/>
      <w:szCs w:val="18"/>
    </w:rPr>
  </w:style>
  <w:style w:type="paragraph" w:styleId="33">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chart" Target="charts/chart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516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行政</c:v>
                </c:pt>
                <c:pt idx="1">
                  <c:v>事业</c:v>
                </c:pt>
                <c:pt idx="2">
                  <c:v>临聘</c:v>
                </c:pt>
                <c:pt idx="3">
                  <c:v>借调</c:v>
                </c:pt>
                <c:pt idx="4">
                  <c:v>人寿保险公司</c:v>
                </c:pt>
                <c:pt idx="5">
                  <c:v>见习生</c:v>
                </c:pt>
              </c:strCache>
            </c:strRef>
          </c:cat>
          <c:val>
            <c:numRef>
              <c:f>Sheet1!$B$2:$B$7</c:f>
              <c:numCache>
                <c:formatCode>General</c:formatCode>
                <c:ptCount val="6"/>
                <c:pt idx="0">
                  <c:v>6</c:v>
                </c:pt>
                <c:pt idx="1">
                  <c:v>27</c:v>
                </c:pt>
                <c:pt idx="2">
                  <c:v>3</c:v>
                </c:pt>
                <c:pt idx="3">
                  <c:v>14</c:v>
                </c:pt>
                <c:pt idx="4">
                  <c:v>6</c:v>
                </c:pt>
                <c:pt idx="5">
                  <c:v>1</c:v>
                </c:pt>
              </c:numCache>
            </c:numRef>
          </c:val>
        </c:ser>
        <c:dLbls>
          <c:showLegendKey val="0"/>
          <c:showVal val="0"/>
          <c:showCatName val="0"/>
          <c:showSerName val="0"/>
          <c:showPercent val="0"/>
          <c:showBubbleSize val="0"/>
        </c:dLbls>
        <c:gapWidth val="219"/>
        <c:overlap val="-27"/>
        <c:axId val="1746065263"/>
        <c:axId val="2068944159"/>
      </c:barChart>
      <c:catAx>
        <c:axId val="1746065263"/>
        <c:scaling>
          <c:orientation val="minMax"/>
        </c:scaling>
        <c:delete val="0"/>
        <c:axPos val="b"/>
        <c:numFmt formatCode="General" sourceLinked="1"/>
        <c:majorTickMark val="out"/>
        <c:minorTickMark val="out"/>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2068944159"/>
        <c:crosses val="autoZero"/>
        <c:auto val="1"/>
        <c:lblAlgn val="ctr"/>
        <c:lblOffset val="100"/>
        <c:noMultiLvlLbl val="0"/>
      </c:catAx>
      <c:valAx>
        <c:axId val="2068944159"/>
        <c:scaling>
          <c:orientation val="minMax"/>
        </c:scaling>
        <c:delete val="0"/>
        <c:axPos val="l"/>
        <c:numFmt formatCode="General" sourceLinked="1"/>
        <c:majorTickMark val="out"/>
        <c:minorTickMark val="out"/>
        <c:tickLblPos val="nextTo"/>
        <c:spPr>
          <a:noFill/>
          <a:ln>
            <a:solidFill>
              <a:schemeClr val="bg2">
                <a:lumMod val="90000"/>
              </a:schemeClr>
            </a:solid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mn-cs"/>
              </a:defRPr>
            </a:pPr>
          </a:p>
        </c:txPr>
        <c:crossAx val="1746065263"/>
        <c:crosses val="autoZero"/>
        <c:crossBetween val="between"/>
        <c:majorUnit val="10"/>
        <c:minorUnit val="5"/>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B6CFE1-FEAD-40A0-A87F-5D57128B9961}">
  <ds:schemaRefs/>
</ds:datastoreItem>
</file>

<file path=docProps/app.xml><?xml version="1.0" encoding="utf-8"?>
<Properties xmlns="http://schemas.openxmlformats.org/officeDocument/2006/extended-properties" xmlns:vt="http://schemas.openxmlformats.org/officeDocument/2006/docPropsVTypes">
  <Template>Normal.dotm</Template>
  <Pages>50</Pages>
  <Words>4212</Words>
  <Characters>24012</Characters>
  <Lines>200</Lines>
  <Paragraphs>56</Paragraphs>
  <TotalTime>7</TotalTime>
  <ScaleCrop>false</ScaleCrop>
  <LinksUpToDate>false</LinksUpToDate>
  <CharactersWithSpaces>28168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2021-07-31T17:01:00Z</dcterms:created>
  <dc:creator>27867</dc:creator>
  <cp:lastModifiedBy>韩丽萍</cp:lastModifiedBy>
  <dcterms:modified xsi:type="dcterms:W3CDTF">2024-01-17T02:47:47Z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EEF87462EF204152B018B8B9DD66CC72</vt:lpwstr>
  </property>
</Properties>
</file>