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drawings/drawing6.xml" ContentType="application/vnd.openxmlformats-officedocument.drawingml.chartshapes+xml"/>
  <Override PartName="/word/drawings/drawing7.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Override PartName="/word/theme/themeOverride7.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eastAsia="方正小标宋简体"/>
          <w:sz w:val="72"/>
          <w:szCs w:val="72"/>
        </w:rPr>
      </w:pPr>
      <w:bookmarkStart w:id="0" w:name="_Toc15396597"/>
      <w:bookmarkStart w:id="1" w:name="_Toc15396475"/>
      <w:bookmarkStart w:id="2" w:name="_Toc15377193"/>
      <w:bookmarkStart w:id="3" w:name="_Toc15378441"/>
      <w:bookmarkStart w:id="4" w:name="_Toc15377425"/>
      <w:bookmarkStart w:id="5" w:name="_Toc15306267"/>
    </w:p>
    <w:p>
      <w:pPr>
        <w:spacing w:line="600" w:lineRule="exact"/>
        <w:jc w:val="center"/>
        <w:outlineLvl w:val="0"/>
        <w:rPr>
          <w:rFonts w:eastAsia="方正小标宋简体"/>
          <w:sz w:val="72"/>
          <w:szCs w:val="72"/>
        </w:rPr>
      </w:pPr>
    </w:p>
    <w:p>
      <w:pPr>
        <w:adjustRightInd w:val="0"/>
        <w:snapToGrid w:val="0"/>
        <w:spacing w:line="360" w:lineRule="auto"/>
        <w:jc w:val="center"/>
        <w:outlineLvl w:val="0"/>
        <w:rPr>
          <w:rFonts w:eastAsia="方正小标宋简体"/>
          <w:sz w:val="72"/>
          <w:szCs w:val="72"/>
        </w:rPr>
      </w:pPr>
      <w:r>
        <w:rPr>
          <w:rFonts w:hint="default" w:ascii="Times New Roman" w:hAnsi="Times New Roman" w:eastAsia="方正小标宋简体" w:cs="Times New Roman"/>
          <w:sz w:val="72"/>
          <w:szCs w:val="72"/>
        </w:rPr>
        <w:t>2024</w:t>
      </w:r>
      <w:r>
        <w:rPr>
          <w:rFonts w:eastAsia="方正小标宋简体"/>
          <w:sz w:val="72"/>
          <w:szCs w:val="72"/>
        </w:rPr>
        <w:t>年度</w:t>
      </w:r>
      <w:bookmarkEnd w:id="0"/>
      <w:bookmarkEnd w:id="1"/>
      <w:bookmarkEnd w:id="2"/>
      <w:bookmarkEnd w:id="3"/>
      <w:bookmarkEnd w:id="4"/>
    </w:p>
    <w:bookmarkEnd w:id="5"/>
    <w:p>
      <w:pPr>
        <w:adjustRightInd w:val="0"/>
        <w:snapToGrid w:val="0"/>
        <w:spacing w:line="360" w:lineRule="auto"/>
        <w:jc w:val="center"/>
        <w:outlineLvl w:val="0"/>
        <w:rPr>
          <w:rFonts w:eastAsia="方正小标宋简体"/>
          <w:sz w:val="72"/>
          <w:szCs w:val="72"/>
        </w:rPr>
      </w:pPr>
      <w:bookmarkStart w:id="6" w:name="_Toc15306268"/>
      <w:bookmarkStart w:id="7" w:name="_Toc15396598"/>
      <w:bookmarkStart w:id="8" w:name="_Toc15396476"/>
      <w:bookmarkStart w:id="9" w:name="_Toc15377194"/>
      <w:bookmarkStart w:id="10" w:name="_Toc15378442"/>
      <w:bookmarkStart w:id="11" w:name="_Toc15377426"/>
    </w:p>
    <w:p>
      <w:pPr>
        <w:adjustRightInd w:val="0"/>
        <w:snapToGrid w:val="0"/>
        <w:spacing w:line="360" w:lineRule="auto"/>
        <w:jc w:val="center"/>
        <w:outlineLvl w:val="0"/>
        <w:rPr>
          <w:rFonts w:eastAsia="方正小标宋简体"/>
          <w:sz w:val="72"/>
          <w:szCs w:val="72"/>
        </w:rPr>
      </w:pPr>
    </w:p>
    <w:p>
      <w:pPr>
        <w:adjustRightInd w:val="0"/>
        <w:snapToGrid w:val="0"/>
        <w:spacing w:line="360" w:lineRule="auto"/>
        <w:jc w:val="center"/>
        <w:outlineLvl w:val="0"/>
        <w:rPr>
          <w:rFonts w:eastAsia="方正小标宋简体"/>
          <w:sz w:val="72"/>
          <w:szCs w:val="72"/>
        </w:rPr>
      </w:pPr>
      <w:r>
        <w:rPr>
          <w:rFonts w:eastAsia="方正小标宋简体"/>
          <w:sz w:val="72"/>
          <w:szCs w:val="72"/>
        </w:rPr>
        <w:t>绵竹市住房和城乡建设局</w:t>
      </w:r>
    </w:p>
    <w:p>
      <w:pPr>
        <w:adjustRightInd w:val="0"/>
        <w:snapToGrid w:val="0"/>
        <w:spacing w:line="360" w:lineRule="auto"/>
        <w:jc w:val="center"/>
        <w:outlineLvl w:val="0"/>
        <w:rPr>
          <w:rFonts w:eastAsia="方正小标宋简体"/>
          <w:sz w:val="72"/>
          <w:szCs w:val="72"/>
        </w:rPr>
      </w:pPr>
    </w:p>
    <w:p/>
    <w:p>
      <w:pPr>
        <w:adjustRightInd w:val="0"/>
        <w:snapToGrid w:val="0"/>
        <w:spacing w:line="360" w:lineRule="auto"/>
        <w:jc w:val="center"/>
        <w:outlineLvl w:val="0"/>
        <w:rPr>
          <w:rFonts w:eastAsia="方正小标宋简体"/>
          <w:sz w:val="72"/>
          <w:szCs w:val="72"/>
        </w:rPr>
      </w:pPr>
      <w:r>
        <w:rPr>
          <w:rFonts w:hint="eastAsia" w:eastAsia="方正小标宋简体"/>
          <w:sz w:val="72"/>
          <w:szCs w:val="72"/>
          <w:lang w:val="en-US" w:eastAsia="zh-CN"/>
        </w:rPr>
        <w:t>单位</w:t>
      </w:r>
      <w:r>
        <w:rPr>
          <w:rFonts w:eastAsia="方正小标宋简体"/>
          <w:sz w:val="72"/>
          <w:szCs w:val="72"/>
        </w:rPr>
        <w:t>决算</w:t>
      </w:r>
      <w:bookmarkEnd w:id="6"/>
      <w:bookmarkEnd w:id="7"/>
      <w:bookmarkEnd w:id="8"/>
      <w:bookmarkEnd w:id="9"/>
      <w:bookmarkEnd w:id="10"/>
      <w:bookmarkEnd w:id="11"/>
    </w:p>
    <w:p>
      <w:pPr>
        <w:widowControl/>
        <w:jc w:val="center"/>
        <w:rPr>
          <w:rFonts w:eastAsia="黑体"/>
          <w:sz w:val="48"/>
          <w:szCs w:val="48"/>
        </w:rPr>
      </w:pPr>
      <w:r>
        <w:rPr>
          <w:rFonts w:eastAsia="方正小标宋简体"/>
          <w:sz w:val="36"/>
          <w:szCs w:val="36"/>
        </w:rPr>
        <w:br w:type="page"/>
      </w:r>
      <w:r>
        <w:rPr>
          <w:rFonts w:eastAsia="黑体"/>
          <w:sz w:val="48"/>
          <w:szCs w:val="48"/>
        </w:rPr>
        <w:t>目录</w:t>
      </w:r>
    </w:p>
    <w:p>
      <w:pPr>
        <w:widowControl/>
        <w:jc w:val="center"/>
        <w:rPr>
          <w:rFonts w:eastAsia="黑体"/>
          <w:sz w:val="28"/>
          <w:szCs w:val="28"/>
        </w:rPr>
      </w:pPr>
    </w:p>
    <w:p>
      <w:pPr>
        <w:pStyle w:val="11"/>
        <w:rPr>
          <w:rFonts w:ascii="Times New Roman" w:hAnsi="Times New Roman"/>
        </w:rPr>
      </w:pPr>
      <w:r>
        <w:rPr>
          <w:rFonts w:ascii="Times New Roman" w:hAnsi="Times New Roman"/>
        </w:rPr>
        <w:t>公开时间：2025年9月</w:t>
      </w:r>
      <w:r>
        <w:rPr>
          <w:rFonts w:hint="eastAsia" w:ascii="Times New Roman" w:hAnsi="Times New Roman"/>
          <w:lang w:val="en-US" w:eastAsia="zh-CN"/>
        </w:rPr>
        <w:t>24</w:t>
      </w:r>
      <w:r>
        <w:rPr>
          <w:rFonts w:ascii="Times New Roman" w:hAnsi="Times New Roman"/>
        </w:rPr>
        <w:t>日</w:t>
      </w:r>
    </w:p>
    <w:p/>
    <w:p>
      <w:pPr>
        <w:pStyle w:val="11"/>
        <w:adjustRightInd w:val="0"/>
        <w:snapToGrid w:val="0"/>
        <w:spacing w:before="0" w:line="800" w:lineRule="exact"/>
        <w:jc w:val="left"/>
        <w:rPr>
          <w:rFonts w:ascii="Times New Roman" w:hAnsi="Times New Roman"/>
          <w:sz w:val="24"/>
          <w:szCs w:val="24"/>
        </w:rPr>
      </w:pPr>
      <w:r>
        <w:rPr>
          <w:rFonts w:hint="eastAsia" w:ascii="宋体" w:hAnsi="宋体" w:eastAsia="宋体" w:cs="宋体"/>
          <w:sz w:val="24"/>
        </w:rPr>
        <w:t>第一部分 部门概况</w:t>
      </w:r>
      <w:r>
        <w:rPr>
          <w:rFonts w:ascii="Times New Roman" w:hAnsi="Times New Roman"/>
          <w:sz w:val="24"/>
        </w:rPr>
        <w:t>………………………</w:t>
      </w:r>
      <w:r>
        <w:rPr>
          <w:rFonts w:ascii="Times New Roman" w:hAnsi="Times New Roman"/>
          <w:sz w:val="24"/>
        </w:rPr>
        <w:tab/>
      </w:r>
      <w:r>
        <w:rPr>
          <w:rFonts w:ascii="Times New Roman" w:hAnsi="Times New Roman"/>
          <w:sz w:val="24"/>
        </w:rPr>
        <w:t>…………………………………………1</w:t>
      </w:r>
    </w:p>
    <w:p>
      <w:pPr>
        <w:pStyle w:val="12"/>
        <w:adjustRightInd w:val="0"/>
        <w:snapToGrid w:val="0"/>
        <w:spacing w:line="800" w:lineRule="exact"/>
        <w:jc w:val="left"/>
        <w:rPr>
          <w:rFonts w:eastAsia="仿宋"/>
          <w:sz w:val="24"/>
        </w:rPr>
      </w:pPr>
      <w:r>
        <w:rPr>
          <w:sz w:val="24"/>
        </w:rPr>
        <w:t>一、部门职责…………………………</w:t>
      </w:r>
      <w:r>
        <w:rPr>
          <w:sz w:val="24"/>
        </w:rPr>
        <w:tab/>
      </w:r>
      <w:r>
        <w:rPr>
          <w:sz w:val="24"/>
        </w:rPr>
        <w:t>………………………………………...1</w:t>
      </w:r>
    </w:p>
    <w:p>
      <w:pPr>
        <w:pStyle w:val="12"/>
        <w:adjustRightInd w:val="0"/>
        <w:snapToGrid w:val="0"/>
        <w:spacing w:line="800" w:lineRule="exact"/>
        <w:jc w:val="left"/>
        <w:rPr>
          <w:rFonts w:eastAsia="仿宋"/>
          <w:sz w:val="24"/>
        </w:rPr>
      </w:pPr>
      <w:r>
        <w:rPr>
          <w:sz w:val="24"/>
        </w:rPr>
        <w:t>二、机构设置…………………………</w:t>
      </w:r>
      <w:r>
        <w:rPr>
          <w:sz w:val="24"/>
        </w:rPr>
        <w:tab/>
      </w:r>
      <w:r>
        <w:rPr>
          <w:sz w:val="24"/>
        </w:rPr>
        <w:t>………………………………………...4</w:t>
      </w:r>
    </w:p>
    <w:p>
      <w:pPr>
        <w:pStyle w:val="11"/>
        <w:adjustRightInd w:val="0"/>
        <w:snapToGrid w:val="0"/>
        <w:spacing w:before="0" w:line="800" w:lineRule="exact"/>
        <w:jc w:val="left"/>
        <w:rPr>
          <w:rFonts w:ascii="Times New Roman" w:hAnsi="Times New Roman"/>
          <w:sz w:val="24"/>
          <w:szCs w:val="24"/>
        </w:rPr>
      </w:pPr>
      <w:r>
        <w:rPr>
          <w:rFonts w:hint="eastAsia" w:asciiTheme="majorEastAsia" w:hAnsiTheme="majorEastAsia" w:eastAsiaTheme="majorEastAsia" w:cstheme="majorEastAsia"/>
          <w:sz w:val="24"/>
        </w:rPr>
        <w:t>第二部分 2024年度部门决算情况说明</w:t>
      </w:r>
      <w:r>
        <w:rPr>
          <w:rFonts w:ascii="Times New Roman" w:hAnsi="Times New Roman" w:eastAsia="宋体"/>
          <w:sz w:val="24"/>
          <w:szCs w:val="24"/>
        </w:rPr>
        <w:t>……</w:t>
      </w:r>
      <w:r>
        <w:rPr>
          <w:rFonts w:ascii="Times New Roman" w:hAnsi="Times New Roman" w:eastAsia="宋体"/>
          <w:sz w:val="24"/>
          <w:szCs w:val="24"/>
        </w:rPr>
        <w:tab/>
      </w:r>
      <w:r>
        <w:rPr>
          <w:rFonts w:ascii="Times New Roman" w:hAnsi="Times New Roman" w:eastAsia="宋体"/>
          <w:sz w:val="24"/>
          <w:szCs w:val="24"/>
        </w:rPr>
        <w:t>………………………………………</w:t>
      </w:r>
      <w:r>
        <w:rPr>
          <w:rFonts w:ascii="Times New Roman" w:hAnsi="Times New Roman"/>
          <w:sz w:val="24"/>
        </w:rPr>
        <w:t>5</w:t>
      </w:r>
    </w:p>
    <w:p>
      <w:pPr>
        <w:pStyle w:val="12"/>
        <w:adjustRightInd w:val="0"/>
        <w:snapToGrid w:val="0"/>
        <w:spacing w:line="800" w:lineRule="exact"/>
        <w:jc w:val="left"/>
        <w:rPr>
          <w:rFonts w:eastAsia="仿宋"/>
          <w:sz w:val="24"/>
        </w:rPr>
      </w:pPr>
      <w:r>
        <w:rPr>
          <w:sz w:val="24"/>
        </w:rPr>
        <w:t>一、收入支出决算总体情况说明………</w:t>
      </w:r>
      <w:r>
        <w:rPr>
          <w:sz w:val="24"/>
        </w:rPr>
        <w:tab/>
      </w:r>
      <w:r>
        <w:rPr>
          <w:sz w:val="24"/>
        </w:rPr>
        <w:t>……………………………………...5</w:t>
      </w:r>
    </w:p>
    <w:p>
      <w:pPr>
        <w:pStyle w:val="12"/>
        <w:adjustRightInd w:val="0"/>
        <w:snapToGrid w:val="0"/>
        <w:spacing w:line="800" w:lineRule="exact"/>
        <w:jc w:val="left"/>
        <w:rPr>
          <w:sz w:val="24"/>
        </w:rPr>
      </w:pPr>
      <w:r>
        <w:rPr>
          <w:sz w:val="24"/>
        </w:rPr>
        <w:t>二、收入决算情况说明………………………</w:t>
      </w:r>
      <w:r>
        <w:rPr>
          <w:sz w:val="24"/>
        </w:rPr>
        <w:tab/>
      </w:r>
      <w:r>
        <w:rPr>
          <w:sz w:val="24"/>
        </w:rPr>
        <w:t>………………………………...6</w:t>
      </w:r>
    </w:p>
    <w:p>
      <w:pPr>
        <w:pStyle w:val="12"/>
        <w:adjustRightInd w:val="0"/>
        <w:snapToGrid w:val="0"/>
        <w:spacing w:line="800" w:lineRule="exact"/>
        <w:jc w:val="left"/>
        <w:rPr>
          <w:rFonts w:eastAsia="仿宋"/>
          <w:sz w:val="24"/>
        </w:rPr>
      </w:pPr>
      <w:r>
        <w:rPr>
          <w:sz w:val="24"/>
        </w:rPr>
        <w:t>三、支出决算情况说明…………………………</w:t>
      </w:r>
      <w:r>
        <w:rPr>
          <w:sz w:val="24"/>
        </w:rPr>
        <w:tab/>
      </w:r>
      <w:r>
        <w:rPr>
          <w:sz w:val="24"/>
        </w:rPr>
        <w:t>……………………………...6</w:t>
      </w:r>
    </w:p>
    <w:p>
      <w:pPr>
        <w:pStyle w:val="12"/>
        <w:adjustRightInd w:val="0"/>
        <w:snapToGrid w:val="0"/>
        <w:spacing w:line="800" w:lineRule="exact"/>
        <w:jc w:val="left"/>
        <w:rPr>
          <w:rFonts w:eastAsia="仿宋"/>
          <w:sz w:val="24"/>
        </w:rPr>
      </w:pPr>
      <w:r>
        <w:rPr>
          <w:sz w:val="24"/>
        </w:rPr>
        <w:t>四、财政拨款收入支出决算总体情况说明……………</w:t>
      </w:r>
      <w:r>
        <w:rPr>
          <w:sz w:val="24"/>
        </w:rPr>
        <w:tab/>
      </w:r>
      <w:r>
        <w:rPr>
          <w:sz w:val="24"/>
        </w:rPr>
        <w:t>………………………7</w:t>
      </w:r>
    </w:p>
    <w:p>
      <w:pPr>
        <w:pStyle w:val="12"/>
        <w:adjustRightInd w:val="0"/>
        <w:snapToGrid w:val="0"/>
        <w:spacing w:line="800" w:lineRule="exact"/>
        <w:jc w:val="left"/>
        <w:rPr>
          <w:rFonts w:eastAsia="仿宋"/>
          <w:sz w:val="24"/>
        </w:rPr>
      </w:pPr>
      <w:r>
        <w:rPr>
          <w:sz w:val="24"/>
        </w:rPr>
        <w:t>五、一般公共预算财政拨款支出决算情况说明…………</w:t>
      </w:r>
      <w:r>
        <w:rPr>
          <w:sz w:val="24"/>
        </w:rPr>
        <w:tab/>
      </w:r>
      <w:r>
        <w:rPr>
          <w:sz w:val="24"/>
        </w:rPr>
        <w:t>……………………8</w:t>
      </w:r>
    </w:p>
    <w:p>
      <w:pPr>
        <w:pStyle w:val="12"/>
        <w:adjustRightInd w:val="0"/>
        <w:snapToGrid w:val="0"/>
        <w:spacing w:line="800" w:lineRule="exact"/>
        <w:jc w:val="left"/>
        <w:rPr>
          <w:rFonts w:eastAsia="仿宋"/>
          <w:sz w:val="24"/>
        </w:rPr>
      </w:pPr>
      <w:r>
        <w:rPr>
          <w:sz w:val="24"/>
        </w:rPr>
        <w:t>六、一般公共预算财政拨款基本支出决算情况说明………</w:t>
      </w:r>
      <w:r>
        <w:rPr>
          <w:sz w:val="24"/>
        </w:rPr>
        <w:tab/>
      </w:r>
      <w:r>
        <w:rPr>
          <w:sz w:val="24"/>
        </w:rPr>
        <w:t>………………...10</w:t>
      </w:r>
    </w:p>
    <w:p>
      <w:pPr>
        <w:pStyle w:val="12"/>
        <w:adjustRightInd w:val="0"/>
        <w:snapToGrid w:val="0"/>
        <w:spacing w:line="800" w:lineRule="exact"/>
        <w:jc w:val="left"/>
        <w:rPr>
          <w:rFonts w:eastAsia="仿宋"/>
          <w:sz w:val="24"/>
        </w:rPr>
      </w:pPr>
      <w:r>
        <w:rPr>
          <w:sz w:val="24"/>
        </w:rPr>
        <w:t>七、财政拨款“三公”经费支出决算情况说明……………</w:t>
      </w:r>
      <w:r>
        <w:rPr>
          <w:sz w:val="24"/>
        </w:rPr>
        <w:tab/>
      </w:r>
      <w:r>
        <w:rPr>
          <w:sz w:val="24"/>
        </w:rPr>
        <w:t>………………...11</w:t>
      </w:r>
    </w:p>
    <w:p>
      <w:pPr>
        <w:pStyle w:val="12"/>
        <w:adjustRightInd w:val="0"/>
        <w:snapToGrid w:val="0"/>
        <w:spacing w:line="800" w:lineRule="exact"/>
        <w:jc w:val="left"/>
        <w:rPr>
          <w:rFonts w:eastAsia="仿宋"/>
          <w:sz w:val="24"/>
        </w:rPr>
      </w:pPr>
      <w:r>
        <w:rPr>
          <w:sz w:val="24"/>
        </w:rPr>
        <w:t>八、政府性基金预算支出决算情况说明…………………………</w:t>
      </w:r>
      <w:r>
        <w:rPr>
          <w:sz w:val="24"/>
        </w:rPr>
        <w:tab/>
      </w:r>
      <w:r>
        <w:rPr>
          <w:sz w:val="24"/>
        </w:rPr>
        <w:t>…………...13</w:t>
      </w:r>
    </w:p>
    <w:p>
      <w:pPr>
        <w:pStyle w:val="12"/>
        <w:adjustRightInd w:val="0"/>
        <w:snapToGrid w:val="0"/>
        <w:spacing w:line="800" w:lineRule="exact"/>
        <w:ind w:leftChars="0"/>
        <w:jc w:val="left"/>
        <w:rPr>
          <w:sz w:val="24"/>
        </w:rPr>
      </w:pPr>
      <w:r>
        <w:rPr>
          <w:rFonts w:eastAsiaTheme="minorEastAsia"/>
          <w:sz w:val="24"/>
        </w:rPr>
        <w:t>九、国有资本经营预算支出决算情况说明</w:t>
      </w:r>
      <w:r>
        <w:rPr>
          <w:sz w:val="24"/>
        </w:rPr>
        <w:t>……………………</w:t>
      </w:r>
      <w:r>
        <w:rPr>
          <w:sz w:val="24"/>
        </w:rPr>
        <w:tab/>
      </w:r>
      <w:r>
        <w:rPr>
          <w:sz w:val="24"/>
        </w:rPr>
        <w:t>……………...13</w:t>
      </w:r>
    </w:p>
    <w:p>
      <w:pPr>
        <w:adjustRightInd w:val="0"/>
        <w:snapToGrid w:val="0"/>
        <w:spacing w:line="800" w:lineRule="exact"/>
        <w:ind w:firstLine="420" w:firstLineChars="175"/>
        <w:jc w:val="left"/>
        <w:rPr>
          <w:rFonts w:eastAsiaTheme="minorEastAsia"/>
          <w:sz w:val="24"/>
        </w:rPr>
      </w:pPr>
      <w:r>
        <w:rPr>
          <w:rStyle w:val="17"/>
          <w:rFonts w:eastAsiaTheme="minorEastAsia"/>
          <w:color w:val="auto"/>
          <w:sz w:val="24"/>
          <w:u w:val="none"/>
        </w:rPr>
        <w:t>十、</w:t>
      </w:r>
      <w:r>
        <w:rPr>
          <w:rFonts w:eastAsiaTheme="minorEastAsia"/>
          <w:sz w:val="24"/>
        </w:rPr>
        <w:t>其他重要事项的情况说明</w:t>
      </w:r>
      <w:r>
        <w:rPr>
          <w:sz w:val="24"/>
        </w:rPr>
        <w:t>………………………………………………...13</w:t>
      </w:r>
    </w:p>
    <w:p>
      <w:pPr>
        <w:pStyle w:val="11"/>
        <w:adjustRightInd w:val="0"/>
        <w:snapToGrid w:val="0"/>
        <w:spacing w:before="0" w:line="800" w:lineRule="exact"/>
        <w:jc w:val="left"/>
        <w:rPr>
          <w:rFonts w:ascii="Times New Roman" w:hAnsi="Times New Roman"/>
          <w:sz w:val="24"/>
          <w:szCs w:val="24"/>
        </w:rPr>
      </w:pPr>
      <w:r>
        <w:rPr>
          <w:rFonts w:ascii="Times New Roman" w:hAnsi="Times New Roman"/>
          <w:sz w:val="24"/>
        </w:rPr>
        <w:t>第三部分 名词解释</w:t>
      </w:r>
      <w:r>
        <w:rPr>
          <w:rFonts w:ascii="Times New Roman" w:hAnsi="Times New Roman" w:eastAsia="宋体"/>
          <w:sz w:val="24"/>
          <w:szCs w:val="24"/>
        </w:rPr>
        <w:t>………………………………………</w:t>
      </w:r>
      <w:r>
        <w:rPr>
          <w:rFonts w:ascii="Times New Roman" w:hAnsi="Times New Roman" w:eastAsia="宋体"/>
          <w:sz w:val="24"/>
          <w:szCs w:val="24"/>
        </w:rPr>
        <w:tab/>
      </w:r>
      <w:r>
        <w:rPr>
          <w:rFonts w:ascii="Times New Roman" w:hAnsi="Times New Roman" w:eastAsia="宋体"/>
          <w:sz w:val="24"/>
          <w:szCs w:val="24"/>
        </w:rPr>
        <w:t>…………………………</w:t>
      </w:r>
      <w:r>
        <w:rPr>
          <w:rFonts w:ascii="Times New Roman" w:hAnsi="Times New Roman"/>
          <w:sz w:val="24"/>
        </w:rPr>
        <w:t>16</w:t>
      </w:r>
    </w:p>
    <w:p>
      <w:pPr>
        <w:pStyle w:val="11"/>
        <w:adjustRightInd w:val="0"/>
        <w:snapToGrid w:val="0"/>
        <w:spacing w:before="0" w:line="800" w:lineRule="exact"/>
        <w:jc w:val="left"/>
        <w:rPr>
          <w:rFonts w:ascii="Times New Roman" w:hAnsi="Times New Roman"/>
          <w:sz w:val="24"/>
          <w:szCs w:val="24"/>
        </w:rPr>
      </w:pPr>
      <w:r>
        <w:rPr>
          <w:rFonts w:ascii="Times New Roman" w:hAnsi="Times New Roman"/>
          <w:sz w:val="24"/>
        </w:rPr>
        <w:t>第四部分 附件</w:t>
      </w:r>
      <w:r>
        <w:rPr>
          <w:rFonts w:ascii="Times New Roman" w:hAnsi="Times New Roman" w:eastAsia="宋体"/>
          <w:sz w:val="24"/>
          <w:szCs w:val="24"/>
        </w:rPr>
        <w:t>………………………………………………</w:t>
      </w:r>
      <w:r>
        <w:rPr>
          <w:rFonts w:ascii="Times New Roman" w:hAnsi="Times New Roman" w:eastAsia="宋体"/>
          <w:sz w:val="24"/>
          <w:szCs w:val="24"/>
        </w:rPr>
        <w:tab/>
      </w:r>
      <w:r>
        <w:rPr>
          <w:rFonts w:ascii="Times New Roman" w:hAnsi="Times New Roman" w:eastAsia="宋体"/>
          <w:sz w:val="24"/>
          <w:szCs w:val="24"/>
        </w:rPr>
        <w:t>………………………</w:t>
      </w:r>
      <w:r>
        <w:rPr>
          <w:rFonts w:ascii="Times New Roman" w:hAnsi="Times New Roman"/>
          <w:sz w:val="24"/>
        </w:rPr>
        <w:t>21</w:t>
      </w:r>
    </w:p>
    <w:p>
      <w:pPr>
        <w:pStyle w:val="11"/>
        <w:adjustRightInd w:val="0"/>
        <w:snapToGrid w:val="0"/>
        <w:spacing w:before="0" w:line="800" w:lineRule="exact"/>
        <w:jc w:val="left"/>
        <w:rPr>
          <w:rFonts w:ascii="Times New Roman" w:hAnsi="Times New Roman" w:eastAsia="宋体"/>
          <w:sz w:val="24"/>
          <w:szCs w:val="24"/>
        </w:rPr>
      </w:pPr>
      <w:r>
        <w:rPr>
          <w:rFonts w:ascii="Times New Roman" w:hAnsi="Times New Roman"/>
          <w:sz w:val="24"/>
        </w:rPr>
        <w:t>第五部分 附表</w:t>
      </w:r>
      <w:r>
        <w:rPr>
          <w:rFonts w:ascii="Times New Roman" w:hAnsi="Times New Roman" w:eastAsia="宋体"/>
          <w:sz w:val="24"/>
          <w:szCs w:val="24"/>
        </w:rPr>
        <w:t>……………………………………………</w:t>
      </w:r>
      <w:r>
        <w:rPr>
          <w:rFonts w:ascii="Times New Roman" w:hAnsi="Times New Roman" w:eastAsia="宋体"/>
          <w:sz w:val="24"/>
          <w:szCs w:val="24"/>
        </w:rPr>
        <w:tab/>
      </w:r>
      <w:r>
        <w:rPr>
          <w:rFonts w:ascii="Times New Roman" w:hAnsi="Times New Roman" w:eastAsia="宋体"/>
          <w:sz w:val="24"/>
          <w:szCs w:val="24"/>
        </w:rPr>
        <w:t>………………………</w:t>
      </w:r>
      <w:r>
        <w:rPr>
          <w:rFonts w:hint="eastAsia" w:ascii="Times New Roman" w:hAnsi="Times New Roman" w:eastAsia="宋体"/>
          <w:sz w:val="24"/>
        </w:rPr>
        <w:t>38</w:t>
      </w:r>
    </w:p>
    <w:p>
      <w:pPr>
        <w:pStyle w:val="12"/>
        <w:adjustRightInd w:val="0"/>
        <w:snapToGrid w:val="0"/>
        <w:spacing w:line="800" w:lineRule="exact"/>
        <w:jc w:val="left"/>
        <w:rPr>
          <w:sz w:val="24"/>
        </w:rPr>
      </w:pPr>
      <w:r>
        <w:rPr>
          <w:sz w:val="24"/>
        </w:rPr>
        <w:t>一、收入支出决算总表</w:t>
      </w:r>
    </w:p>
    <w:p>
      <w:pPr>
        <w:pStyle w:val="12"/>
        <w:adjustRightInd w:val="0"/>
        <w:snapToGrid w:val="0"/>
        <w:spacing w:line="800" w:lineRule="exact"/>
        <w:jc w:val="left"/>
        <w:rPr>
          <w:sz w:val="24"/>
        </w:rPr>
      </w:pPr>
      <w:r>
        <w:rPr>
          <w:sz w:val="24"/>
        </w:rPr>
        <w:t>二、收入决算表</w:t>
      </w:r>
    </w:p>
    <w:p>
      <w:pPr>
        <w:pStyle w:val="12"/>
        <w:adjustRightInd w:val="0"/>
        <w:snapToGrid w:val="0"/>
        <w:spacing w:line="800" w:lineRule="exact"/>
        <w:jc w:val="left"/>
        <w:rPr>
          <w:sz w:val="24"/>
        </w:rPr>
      </w:pPr>
      <w:r>
        <w:rPr>
          <w:sz w:val="24"/>
        </w:rPr>
        <w:t>三、支出决算表</w:t>
      </w:r>
      <w:r>
        <w:rPr>
          <w:rFonts w:hint="eastAsia"/>
          <w:sz w:val="24"/>
        </w:rPr>
        <w:t xml:space="preserve"> </w:t>
      </w:r>
    </w:p>
    <w:p>
      <w:pPr>
        <w:pStyle w:val="12"/>
        <w:adjustRightInd w:val="0"/>
        <w:snapToGrid w:val="0"/>
        <w:spacing w:line="800" w:lineRule="exact"/>
        <w:jc w:val="left"/>
        <w:rPr>
          <w:sz w:val="24"/>
        </w:rPr>
      </w:pPr>
      <w:r>
        <w:rPr>
          <w:sz w:val="24"/>
        </w:rPr>
        <w:t>四、财政拨款收入支出决算总表</w:t>
      </w:r>
    </w:p>
    <w:p>
      <w:pPr>
        <w:pStyle w:val="12"/>
        <w:adjustRightInd w:val="0"/>
        <w:snapToGrid w:val="0"/>
        <w:spacing w:line="800" w:lineRule="exact"/>
        <w:jc w:val="left"/>
        <w:rPr>
          <w:sz w:val="24"/>
        </w:rPr>
      </w:pPr>
      <w:r>
        <w:rPr>
          <w:sz w:val="24"/>
        </w:rPr>
        <w:t>五、财政拨款支出决算明细表</w:t>
      </w:r>
    </w:p>
    <w:p>
      <w:pPr>
        <w:pStyle w:val="12"/>
        <w:adjustRightInd w:val="0"/>
        <w:snapToGrid w:val="0"/>
        <w:spacing w:line="800" w:lineRule="exact"/>
        <w:jc w:val="left"/>
        <w:rPr>
          <w:sz w:val="24"/>
        </w:rPr>
      </w:pPr>
      <w:r>
        <w:rPr>
          <w:sz w:val="24"/>
        </w:rPr>
        <w:t>六、一般公共预算财政拨款支出决算表</w:t>
      </w:r>
    </w:p>
    <w:p>
      <w:pPr>
        <w:pStyle w:val="12"/>
        <w:adjustRightInd w:val="0"/>
        <w:snapToGrid w:val="0"/>
        <w:spacing w:line="800" w:lineRule="exact"/>
        <w:jc w:val="left"/>
        <w:rPr>
          <w:sz w:val="24"/>
        </w:rPr>
      </w:pPr>
      <w:r>
        <w:rPr>
          <w:sz w:val="24"/>
        </w:rPr>
        <w:t>七、一般公共预算财政拨款支出决算明细表</w:t>
      </w:r>
    </w:p>
    <w:p>
      <w:pPr>
        <w:pStyle w:val="12"/>
        <w:adjustRightInd w:val="0"/>
        <w:snapToGrid w:val="0"/>
        <w:spacing w:line="800" w:lineRule="exact"/>
        <w:jc w:val="left"/>
        <w:rPr>
          <w:sz w:val="24"/>
        </w:rPr>
      </w:pPr>
      <w:r>
        <w:rPr>
          <w:sz w:val="24"/>
        </w:rPr>
        <w:t>八、一般公共预算财政拨款基本支出决算明细表</w:t>
      </w:r>
    </w:p>
    <w:p>
      <w:pPr>
        <w:pStyle w:val="12"/>
        <w:adjustRightInd w:val="0"/>
        <w:snapToGrid w:val="0"/>
        <w:spacing w:line="800" w:lineRule="exact"/>
        <w:jc w:val="left"/>
        <w:rPr>
          <w:sz w:val="24"/>
        </w:rPr>
      </w:pPr>
      <w:r>
        <w:rPr>
          <w:sz w:val="24"/>
        </w:rPr>
        <w:t>九、一般公共预算财政拨款项目支出决算表</w:t>
      </w:r>
    </w:p>
    <w:p>
      <w:pPr>
        <w:pStyle w:val="12"/>
        <w:adjustRightInd w:val="0"/>
        <w:snapToGrid w:val="0"/>
        <w:spacing w:line="800" w:lineRule="exact"/>
        <w:jc w:val="left"/>
        <w:rPr>
          <w:sz w:val="24"/>
        </w:rPr>
      </w:pPr>
      <w:r>
        <w:rPr>
          <w:sz w:val="24"/>
        </w:rPr>
        <w:t>十、政府性基金预算财政拨款收入支出决算表</w:t>
      </w:r>
    </w:p>
    <w:p>
      <w:pPr>
        <w:pStyle w:val="12"/>
        <w:adjustRightInd w:val="0"/>
        <w:snapToGrid w:val="0"/>
        <w:spacing w:line="800" w:lineRule="exact"/>
        <w:jc w:val="left"/>
        <w:rPr>
          <w:sz w:val="24"/>
        </w:rPr>
      </w:pPr>
      <w:r>
        <w:rPr>
          <w:sz w:val="24"/>
        </w:rPr>
        <w:t>十一、国有资本经营预算财政拨款收入支出决算表</w:t>
      </w:r>
    </w:p>
    <w:p>
      <w:pPr>
        <w:pStyle w:val="12"/>
        <w:adjustRightInd w:val="0"/>
        <w:snapToGrid w:val="0"/>
        <w:spacing w:line="800" w:lineRule="exact"/>
        <w:jc w:val="left"/>
        <w:rPr>
          <w:sz w:val="24"/>
        </w:rPr>
      </w:pPr>
      <w:r>
        <w:rPr>
          <w:sz w:val="24"/>
        </w:rPr>
        <w:t>十二、国有资本经营预算财政拨款支出决算表</w:t>
      </w:r>
    </w:p>
    <w:p>
      <w:pPr>
        <w:pStyle w:val="12"/>
        <w:adjustRightInd w:val="0"/>
        <w:snapToGrid w:val="0"/>
        <w:spacing w:line="800" w:lineRule="exact"/>
        <w:jc w:val="left"/>
        <w:rPr>
          <w:rFonts w:eastAsiaTheme="minorEastAsia"/>
          <w:sz w:val="24"/>
        </w:rPr>
      </w:pPr>
      <w:r>
        <w:rPr>
          <w:sz w:val="24"/>
        </w:rPr>
        <w:t>十三、财政拨款“三公”经费支出决算表</w:t>
      </w:r>
    </w:p>
    <w:p>
      <w:pPr>
        <w:widowControl/>
        <w:adjustRightInd w:val="0"/>
        <w:snapToGrid w:val="0"/>
        <w:spacing w:line="800" w:lineRule="exact"/>
        <w:ind w:firstLine="1155" w:firstLineChars="550"/>
        <w:jc w:val="left"/>
      </w:pPr>
      <w:r>
        <w:br w:type="page"/>
      </w:r>
    </w:p>
    <w:p>
      <w:pPr>
        <w:pStyle w:val="2"/>
        <w:jc w:val="center"/>
        <w:rPr>
          <w:rFonts w:eastAsia="黑体"/>
          <w:b w:val="0"/>
        </w:rPr>
        <w:sectPr>
          <w:footerReference r:id="rId4" w:type="first"/>
          <w:headerReference r:id="rId3" w:type="default"/>
          <w:pgSz w:w="11906" w:h="16838"/>
          <w:pgMar w:top="1440" w:right="1797" w:bottom="1440" w:left="1797" w:header="851" w:footer="992" w:gutter="0"/>
          <w:pgNumType w:start="1"/>
          <w:cols w:space="425" w:num="1"/>
          <w:titlePg/>
          <w:docGrid w:type="lines" w:linePitch="312" w:charSpace="0"/>
        </w:sectPr>
      </w:pPr>
      <w:bookmarkStart w:id="12" w:name="_Toc15377196"/>
      <w:bookmarkStart w:id="13" w:name="_Toc15396599"/>
    </w:p>
    <w:p>
      <w:pPr>
        <w:pStyle w:val="2"/>
        <w:jc w:val="center"/>
        <w:rPr>
          <w:rStyle w:val="27"/>
          <w:rFonts w:eastAsia="黑体"/>
          <w:b/>
          <w:bCs w:val="0"/>
        </w:rPr>
      </w:pPr>
      <w:bookmarkStart w:id="14" w:name="部门概况"/>
      <w:r>
        <w:rPr>
          <w:rFonts w:eastAsia="黑体"/>
          <w:b w:val="0"/>
        </w:rPr>
        <w:t xml:space="preserve">第一部分 </w:t>
      </w:r>
      <w:r>
        <w:rPr>
          <w:rStyle w:val="27"/>
          <w:rFonts w:eastAsia="黑体"/>
          <w:b w:val="0"/>
          <w:bCs w:val="0"/>
        </w:rPr>
        <w:t>部门概况</w:t>
      </w:r>
      <w:bookmarkEnd w:id="12"/>
      <w:bookmarkEnd w:id="13"/>
      <w:bookmarkEnd w:id="14"/>
    </w:p>
    <w:p>
      <w:pPr>
        <w:pStyle w:val="3"/>
        <w:numPr>
          <w:ilvl w:val="0"/>
          <w:numId w:val="1"/>
        </w:numPr>
        <w:rPr>
          <w:rFonts w:ascii="Times New Roman" w:hAnsi="Times New Roman" w:eastAsia="黑体" w:cs="Times New Roman"/>
          <w:b w:val="0"/>
        </w:rPr>
      </w:pPr>
      <w:r>
        <w:rPr>
          <w:rFonts w:ascii="Times New Roman" w:hAnsi="Times New Roman" w:eastAsia="黑体" w:cs="Times New Roman"/>
          <w:b w:val="0"/>
        </w:rPr>
        <w:t>部门职责</w:t>
      </w:r>
    </w:p>
    <w:p>
      <w:pPr>
        <w:spacing w:line="600" w:lineRule="exact"/>
        <w:ind w:firstLine="640" w:firstLineChars="200"/>
        <w:rPr>
          <w:rFonts w:eastAsia="仿宋_GB2312"/>
          <w:sz w:val="32"/>
          <w:szCs w:val="32"/>
        </w:rPr>
      </w:pPr>
      <w:r>
        <w:rPr>
          <w:rFonts w:eastAsia="仿宋_GB2312"/>
          <w:sz w:val="32"/>
          <w:szCs w:val="32"/>
        </w:rPr>
        <w:t>1.贯彻执行国家、四川省、德阳市、绵竹市住房和城乡建设的法律、法规、规章和政策；制订全市住房保障、工程建设、城市建设、村镇建设、建筑业、房地产业、勘察设计咨询业、市政公用事业、城市节约用水的行政规范性文件并进行监督管理；拟定相关发展战略、中长期规划并指导实施；负责依法行政、行政效能等工作。</w:t>
      </w:r>
    </w:p>
    <w:p>
      <w:pPr>
        <w:spacing w:line="600" w:lineRule="exact"/>
        <w:ind w:firstLine="640" w:firstLineChars="200"/>
        <w:rPr>
          <w:rFonts w:eastAsia="仿宋_GB2312"/>
          <w:sz w:val="32"/>
          <w:szCs w:val="32"/>
        </w:rPr>
      </w:pPr>
      <w:r>
        <w:rPr>
          <w:rFonts w:eastAsia="仿宋_GB2312"/>
          <w:sz w:val="32"/>
          <w:szCs w:val="32"/>
        </w:rPr>
        <w:t>2.负责推进住房制度改革，保障城镇中低收入家庭住房；拟定全市住房及住房保障相关政策并指导实施，完善保障性住房制度；会同有关部门做好国家、省、市、县保障性住房资金安排并监督实施；编制全市住房和保障性住房发展规划和年度计划并监督实施。</w:t>
      </w:r>
    </w:p>
    <w:p>
      <w:pPr>
        <w:spacing w:line="600" w:lineRule="exact"/>
        <w:ind w:firstLine="640" w:firstLineChars="200"/>
        <w:rPr>
          <w:rFonts w:eastAsia="仿宋_GB2312"/>
          <w:sz w:val="32"/>
          <w:szCs w:val="32"/>
        </w:rPr>
      </w:pPr>
      <w:r>
        <w:rPr>
          <w:rFonts w:eastAsia="仿宋_GB2312"/>
          <w:sz w:val="32"/>
          <w:szCs w:val="32"/>
        </w:rPr>
        <w:t>3.主管全市房地产业和房地产市场；贯彻执行国家、省、</w:t>
      </w:r>
      <w:r>
        <w:rPr>
          <w:rFonts w:hint="eastAsia" w:eastAsia="仿宋_GB2312"/>
          <w:sz w:val="32"/>
          <w:szCs w:val="32"/>
        </w:rPr>
        <w:t>德阳</w:t>
      </w:r>
      <w:r>
        <w:rPr>
          <w:rFonts w:eastAsia="仿宋_GB2312"/>
          <w:sz w:val="32"/>
          <w:szCs w:val="32"/>
        </w:rPr>
        <w:t>市房地产市场监督管理政策；拟定房地产业的行业发展规划和产业政策；指导和监督管理房地产开发、房屋交易、房屋租赁、房屋面积测绘、危房鉴定、既有建筑安全、白蚁防治、房地产估价与经纪管理、物业管理工作；组织实施国有土地上房屋征收与补偿工作；负责住宅专项维修资金的监督管理；参与指导城镇土地使用权有偿转让和开发利用工作；负责住房建设统计。</w:t>
      </w:r>
    </w:p>
    <w:p>
      <w:pPr>
        <w:spacing w:line="600" w:lineRule="exact"/>
        <w:ind w:firstLine="640" w:firstLineChars="200"/>
        <w:rPr>
          <w:rFonts w:eastAsia="仿宋_GB2312"/>
          <w:sz w:val="32"/>
          <w:szCs w:val="32"/>
        </w:rPr>
      </w:pPr>
      <w:r>
        <w:rPr>
          <w:rFonts w:eastAsia="仿宋_GB2312"/>
          <w:sz w:val="32"/>
          <w:szCs w:val="32"/>
        </w:rPr>
        <w:t>4.主管全市建筑业和建筑市场，规范市场各方主体行为；指导和监督管理全市建筑活动；制订工程建设、工程施工、工程监理、工程质量、工程造价、工程招标投标、工程质量检测、工程安全生产、职业健康等规章制度并监督执行；组织或参与工程重大质量、安全事故的调查处理；负责建筑业企业及从业人员的资质、资格管理。</w:t>
      </w:r>
    </w:p>
    <w:p>
      <w:pPr>
        <w:spacing w:line="600" w:lineRule="exact"/>
        <w:ind w:firstLine="640" w:firstLineChars="200"/>
        <w:rPr>
          <w:rFonts w:eastAsia="仿宋_GB2312"/>
          <w:sz w:val="32"/>
          <w:szCs w:val="32"/>
        </w:rPr>
      </w:pPr>
      <w:r>
        <w:rPr>
          <w:rFonts w:eastAsia="仿宋_GB2312"/>
          <w:sz w:val="32"/>
          <w:szCs w:val="32"/>
        </w:rPr>
        <w:t>5.监督管理建设工程勘察、设计、市政工程测量活动。对有特殊要求和涉及公共利益、公众安全、工程建设强制性标准的建设项目的建设工程勘察、设计质量进行监督检查；负责房屋建筑和市政基础设施建设项目的初步设计审查及建设工程消防设计审查备案验收；监督建筑工程施工图审查，监管建设工程抗震设防、防雷装置设计等施工图审查；负责施工图审查机构的监督管理；拟定工程勘察设计咨询业的发展战略、中长期规划、产业和技术政策、规章制度并指导实施。</w:t>
      </w:r>
    </w:p>
    <w:p>
      <w:pPr>
        <w:spacing w:line="600" w:lineRule="exact"/>
        <w:ind w:firstLine="640" w:firstLineChars="200"/>
        <w:rPr>
          <w:rFonts w:eastAsia="仿宋_GB2312"/>
          <w:sz w:val="32"/>
          <w:szCs w:val="32"/>
        </w:rPr>
      </w:pPr>
      <w:r>
        <w:rPr>
          <w:rFonts w:eastAsia="仿宋_GB2312"/>
          <w:sz w:val="32"/>
          <w:szCs w:val="32"/>
        </w:rPr>
        <w:t>6.贯彻国家、省、</w:t>
      </w:r>
      <w:r>
        <w:rPr>
          <w:rFonts w:hint="eastAsia" w:eastAsia="仿宋_GB2312"/>
          <w:sz w:val="32"/>
          <w:szCs w:val="32"/>
        </w:rPr>
        <w:t>德阳</w:t>
      </w:r>
      <w:r>
        <w:rPr>
          <w:rFonts w:eastAsia="仿宋_GB2312"/>
          <w:sz w:val="32"/>
          <w:szCs w:val="32"/>
        </w:rPr>
        <w:t>市建筑节能、城镇减排政策；规划和拟定全市建筑节能政策并监督实施；负责重点科技项目研究成果转化推广使用；推进墙体材料革新；负责散装水泥推广使用。</w:t>
      </w:r>
    </w:p>
    <w:p>
      <w:pPr>
        <w:spacing w:line="600" w:lineRule="exact"/>
        <w:ind w:firstLine="640" w:firstLineChars="200"/>
        <w:rPr>
          <w:rFonts w:eastAsia="仿宋_GB2312"/>
          <w:sz w:val="32"/>
          <w:szCs w:val="32"/>
        </w:rPr>
      </w:pPr>
      <w:r>
        <w:rPr>
          <w:rFonts w:eastAsia="仿宋_GB2312"/>
          <w:sz w:val="32"/>
          <w:szCs w:val="32"/>
        </w:rPr>
        <w:t>7.组织实施和贯彻执行工程建设国家标准、全国统一定额、行业标准定额、地方标准定额、建设项目可行性研究评价方法、经济参数、建设标准和工程造价；监督各类工程建设标准定额的实施和工程造价计价；负责工程造价信息的收集。</w:t>
      </w:r>
    </w:p>
    <w:p>
      <w:pPr>
        <w:spacing w:line="600" w:lineRule="exact"/>
        <w:ind w:firstLine="640" w:firstLineChars="200"/>
        <w:rPr>
          <w:rFonts w:eastAsia="仿宋_GB2312"/>
          <w:sz w:val="32"/>
          <w:szCs w:val="32"/>
        </w:rPr>
      </w:pPr>
      <w:r>
        <w:rPr>
          <w:rFonts w:eastAsia="仿宋_GB2312"/>
          <w:sz w:val="32"/>
          <w:szCs w:val="32"/>
        </w:rPr>
        <w:t>8.拟定城镇建设的政策并指导实施；负责市政基础设施和公用服务设施建设计划统筹、建设推进工作；负责组织开展对城市供水、城镇污水处理企业运行考核评估工作；负责城镇燃气经营企业经营许可的审查；负责城镇建设档案管理。</w:t>
      </w:r>
    </w:p>
    <w:p>
      <w:pPr>
        <w:spacing w:line="600" w:lineRule="exact"/>
        <w:ind w:firstLine="640" w:firstLineChars="200"/>
        <w:rPr>
          <w:rFonts w:eastAsia="仿宋_GB2312"/>
          <w:sz w:val="32"/>
          <w:szCs w:val="32"/>
        </w:rPr>
      </w:pPr>
      <w:r>
        <w:rPr>
          <w:rFonts w:eastAsia="仿宋_GB2312"/>
          <w:sz w:val="32"/>
          <w:szCs w:val="32"/>
        </w:rPr>
        <w:t>9.负责全市城镇房屋建筑、城镇燃气、城市供水、城镇污水处理等市政公用设施建设及日常运行、城镇污水处理设施配套管网建设的监督管理。</w:t>
      </w:r>
    </w:p>
    <w:p>
      <w:pPr>
        <w:spacing w:line="600" w:lineRule="exact"/>
        <w:ind w:firstLine="640" w:firstLineChars="200"/>
        <w:rPr>
          <w:rFonts w:eastAsia="仿宋_GB2312"/>
          <w:sz w:val="32"/>
          <w:szCs w:val="32"/>
        </w:rPr>
      </w:pPr>
      <w:r>
        <w:rPr>
          <w:rFonts w:eastAsia="仿宋_GB2312"/>
          <w:sz w:val="32"/>
          <w:szCs w:val="32"/>
        </w:rPr>
        <w:t>10.负责拟定建设领域生态环境保护中长期规划；落实建设领域国家生态环境保护法律法规；指导和监督管理在建房屋和市政基础设施工程施工扬尘治理和噪声污染防治；指导和监督建成城镇生活污水处理设施达标运行；加强城镇生活污水处理设施建设和城市建成区黑臭水体治理。</w:t>
      </w:r>
    </w:p>
    <w:p>
      <w:pPr>
        <w:spacing w:line="600" w:lineRule="exact"/>
        <w:ind w:firstLine="640" w:firstLineChars="200"/>
        <w:rPr>
          <w:rFonts w:eastAsia="仿宋_GB2312"/>
          <w:sz w:val="32"/>
          <w:szCs w:val="32"/>
        </w:rPr>
      </w:pPr>
      <w:r>
        <w:rPr>
          <w:rFonts w:eastAsia="仿宋_GB2312"/>
          <w:sz w:val="32"/>
          <w:szCs w:val="32"/>
        </w:rPr>
        <w:t>11.负责拟定全市村庄和小城镇建设政策并指导实施；指导农村住房建设管理和危房改造；指导小城镇人居生态环境的改善工作；负责特</w:t>
      </w:r>
      <w:r>
        <w:rPr>
          <w:rFonts w:hint="eastAsia" w:ascii="仿宋" w:hAnsi="仿宋" w:eastAsia="仿宋" w:cs="微软雅黑"/>
          <w:sz w:val="32"/>
          <w:szCs w:val="32"/>
        </w:rPr>
        <w:t>色</w:t>
      </w:r>
      <w:r>
        <w:rPr>
          <w:rFonts w:eastAsia="仿宋_GB2312"/>
          <w:sz w:val="32"/>
          <w:szCs w:val="32"/>
        </w:rPr>
        <w:t>村镇申报工作；配合相关部门完成历史文化名镇、名村的相关报批工作；指导和组织各类村镇建设试点工作；指导受灾村镇及国家、省大型重点建设项目地区村镇迁建、重建的建设管理。</w:t>
      </w:r>
    </w:p>
    <w:p>
      <w:pPr>
        <w:spacing w:line="600" w:lineRule="exact"/>
        <w:ind w:firstLine="640" w:firstLineChars="200"/>
        <w:rPr>
          <w:rFonts w:eastAsia="仿宋_GB2312"/>
          <w:sz w:val="32"/>
          <w:szCs w:val="32"/>
        </w:rPr>
      </w:pPr>
      <w:r>
        <w:rPr>
          <w:rFonts w:eastAsia="仿宋_GB2312"/>
          <w:sz w:val="32"/>
          <w:szCs w:val="32"/>
        </w:rPr>
        <w:t>12.</w:t>
      </w:r>
      <w:r>
        <w:rPr>
          <w:rFonts w:hint="eastAsia"/>
        </w:rPr>
        <w:t xml:space="preserve"> </w:t>
      </w:r>
      <w:r>
        <w:rPr>
          <w:rFonts w:hint="eastAsia" w:eastAsia="仿宋_GB2312"/>
          <w:sz w:val="32"/>
          <w:szCs w:val="32"/>
        </w:rPr>
        <w:t>制定建设行业人才培养和教育发展规划并组织实 施；指导建设行业科技人才队伍建设、专业技术职务初审和执业 资格管理；负责住房和城乡建设系统的信访工作，督查督办重大信访案件；指导行业协会工作。</w:t>
      </w:r>
    </w:p>
    <w:p>
      <w:pPr>
        <w:spacing w:line="600" w:lineRule="exact"/>
        <w:ind w:firstLine="640" w:firstLineChars="200"/>
        <w:rPr>
          <w:rFonts w:eastAsia="仿宋_GB2312"/>
          <w:sz w:val="32"/>
          <w:szCs w:val="32"/>
        </w:rPr>
      </w:pPr>
      <w:r>
        <w:rPr>
          <w:rFonts w:eastAsia="仿宋_GB2312"/>
          <w:sz w:val="32"/>
          <w:szCs w:val="32"/>
        </w:rPr>
        <w:t>13.负责职责范围内的安全生产和职业健康、生态环境保护、</w:t>
      </w:r>
      <w:r>
        <w:rPr>
          <w:rFonts w:hint="eastAsia" w:eastAsia="仿宋_GB2312"/>
          <w:sz w:val="32"/>
          <w:szCs w:val="32"/>
        </w:rPr>
        <w:t>审批服务便民化和社会信用体系建设等工作。</w:t>
      </w:r>
    </w:p>
    <w:p>
      <w:pPr>
        <w:snapToGrid w:val="0"/>
        <w:spacing w:before="93" w:beforeLines="30" w:line="600" w:lineRule="exact"/>
        <w:ind w:firstLine="672" w:firstLineChars="210"/>
        <w:rPr>
          <w:rFonts w:eastAsia="仿宋_GB2312"/>
          <w:sz w:val="32"/>
          <w:szCs w:val="32"/>
        </w:rPr>
      </w:pPr>
      <w:r>
        <w:rPr>
          <w:rFonts w:eastAsia="仿宋_GB2312"/>
          <w:sz w:val="32"/>
          <w:szCs w:val="32"/>
        </w:rPr>
        <w:t>14.</w:t>
      </w:r>
      <w:r>
        <w:rPr>
          <w:rFonts w:hint="eastAsia"/>
        </w:rPr>
        <w:t xml:space="preserve"> </w:t>
      </w:r>
      <w:r>
        <w:rPr>
          <w:rFonts w:hint="eastAsia" w:eastAsia="仿宋_GB2312"/>
          <w:sz w:val="32"/>
          <w:szCs w:val="32"/>
        </w:rPr>
        <w:t>承办市市民服务中心转办的事项。</w:t>
      </w:r>
    </w:p>
    <w:p>
      <w:pPr>
        <w:snapToGrid w:val="0"/>
        <w:spacing w:before="93" w:beforeLines="30" w:line="600" w:lineRule="exact"/>
        <w:ind w:firstLine="672" w:firstLineChars="210"/>
        <w:rPr>
          <w:rFonts w:eastAsia="仿宋_GB2312"/>
          <w:sz w:val="32"/>
          <w:szCs w:val="32"/>
        </w:rPr>
      </w:pPr>
      <w:r>
        <w:rPr>
          <w:rFonts w:eastAsia="仿宋_GB2312"/>
          <w:sz w:val="32"/>
          <w:szCs w:val="32"/>
        </w:rPr>
        <w:t>15.完成市委和市政府交办的其他任务。</w:t>
      </w:r>
    </w:p>
    <w:p>
      <w:pPr>
        <w:pStyle w:val="3"/>
        <w:rPr>
          <w:rStyle w:val="28"/>
          <w:rFonts w:ascii="Times New Roman" w:hAnsi="Times New Roman" w:cs="Times New Roman"/>
          <w:b w:val="0"/>
          <w:bCs w:val="0"/>
        </w:rPr>
      </w:pPr>
      <w:bookmarkStart w:id="15" w:name="_Toc15377200"/>
      <w:bookmarkStart w:id="16" w:name="_Toc15396601"/>
      <w:r>
        <w:rPr>
          <w:rFonts w:ascii="Times New Roman" w:hAnsi="Times New Roman" w:eastAsia="黑体" w:cs="Times New Roman"/>
          <w:b w:val="0"/>
        </w:rPr>
        <w:t>二、机</w:t>
      </w:r>
      <w:r>
        <w:rPr>
          <w:rStyle w:val="28"/>
          <w:rFonts w:ascii="Times New Roman" w:hAnsi="Times New Roman" w:eastAsia="黑体" w:cs="Times New Roman"/>
          <w:b w:val="0"/>
          <w:bCs w:val="0"/>
        </w:rPr>
        <w:t>构设置</w:t>
      </w:r>
      <w:bookmarkEnd w:id="15"/>
      <w:bookmarkEnd w:id="16"/>
    </w:p>
    <w:p>
      <w:pPr>
        <w:spacing w:line="580" w:lineRule="exact"/>
        <w:ind w:firstLine="640" w:firstLineChars="200"/>
        <w:rPr>
          <w:rFonts w:eastAsia="仿宋_GB2312"/>
          <w:sz w:val="32"/>
          <w:szCs w:val="32"/>
        </w:rPr>
      </w:pPr>
      <w:r>
        <w:rPr>
          <w:rFonts w:eastAsia="仿宋_GB2312"/>
          <w:sz w:val="32"/>
          <w:szCs w:val="32"/>
        </w:rPr>
        <w:t>绵竹市住房和城乡建设局属于一级预算单位，为行政单位。下属事业单位9个（其中全额拨款事业单位6个，差额拨款事业单位1个，自收自支事业单位2个），均纳入绵竹市住房和城乡建设局统一预算管理，</w:t>
      </w:r>
      <w:r>
        <w:rPr>
          <w:rFonts w:eastAsia="仿宋_GB2312"/>
          <w:color w:val="000000"/>
          <w:sz w:val="32"/>
          <w:szCs w:val="32"/>
        </w:rPr>
        <w:t>无</w:t>
      </w:r>
      <w:r>
        <w:rPr>
          <w:rFonts w:eastAsia="仿宋_GB2312"/>
          <w:sz w:val="32"/>
          <w:szCs w:val="32"/>
        </w:rPr>
        <w:t>二级预算单位。</w:t>
      </w:r>
    </w:p>
    <w:p>
      <w:pPr>
        <w:widowControl/>
        <w:jc w:val="left"/>
        <w:rPr>
          <w:rFonts w:eastAsia="仿宋"/>
          <w:kern w:val="0"/>
          <w:sz w:val="32"/>
          <w:szCs w:val="32"/>
        </w:rPr>
      </w:pPr>
      <w:r>
        <w:rPr>
          <w:rFonts w:eastAsia="仿宋"/>
          <w:sz w:val="32"/>
          <w:szCs w:val="32"/>
        </w:rPr>
        <w:br w:type="page"/>
      </w:r>
    </w:p>
    <w:p>
      <w:pPr>
        <w:pStyle w:val="2"/>
        <w:jc w:val="center"/>
        <w:rPr>
          <w:rStyle w:val="27"/>
          <w:rFonts w:eastAsia="黑体"/>
          <w:b w:val="0"/>
          <w:bCs/>
        </w:rPr>
      </w:pPr>
      <w:bookmarkStart w:id="17" w:name="_Toc15377204"/>
      <w:bookmarkStart w:id="18" w:name="_Toc15396602"/>
      <w:r>
        <w:rPr>
          <w:rFonts w:eastAsia="黑体"/>
          <w:b w:val="0"/>
        </w:rPr>
        <w:t>第二部分 2024年度</w:t>
      </w:r>
      <w:r>
        <w:rPr>
          <w:rStyle w:val="27"/>
          <w:rFonts w:eastAsia="黑体"/>
          <w:b w:val="0"/>
          <w:bCs/>
        </w:rPr>
        <w:t>部门决算情况说明</w:t>
      </w:r>
      <w:bookmarkEnd w:id="17"/>
      <w:bookmarkEnd w:id="18"/>
    </w:p>
    <w:p/>
    <w:p>
      <w:pPr>
        <w:pStyle w:val="26"/>
        <w:numPr>
          <w:ilvl w:val="0"/>
          <w:numId w:val="2"/>
        </w:numPr>
        <w:spacing w:line="600" w:lineRule="exact"/>
        <w:ind w:firstLineChars="0"/>
        <w:outlineLvl w:val="1"/>
        <w:rPr>
          <w:rStyle w:val="28"/>
          <w:rFonts w:ascii="Times New Roman" w:hAnsi="Times New Roman" w:eastAsia="黑体" w:cs="Times New Roman"/>
          <w:b w:val="0"/>
        </w:rPr>
      </w:pPr>
      <w:bookmarkStart w:id="19" w:name="_Toc15377205"/>
      <w:bookmarkStart w:id="20" w:name="_Toc15396603"/>
      <w:r>
        <w:rPr>
          <w:rFonts w:eastAsia="黑体"/>
          <w:sz w:val="32"/>
          <w:szCs w:val="32"/>
        </w:rPr>
        <w:t>收</w:t>
      </w:r>
      <w:r>
        <w:rPr>
          <w:rStyle w:val="28"/>
          <w:rFonts w:ascii="Times New Roman" w:hAnsi="Times New Roman" w:eastAsia="黑体" w:cs="Times New Roman"/>
          <w:b w:val="0"/>
        </w:rPr>
        <w:t>入支出决算总体情况说明</w:t>
      </w:r>
      <w:bookmarkEnd w:id="19"/>
      <w:bookmarkEnd w:id="20"/>
    </w:p>
    <w:p>
      <w:pPr>
        <w:spacing w:line="600" w:lineRule="exact"/>
        <w:ind w:firstLine="640" w:firstLineChars="200"/>
        <w:jc w:val="left"/>
        <w:rPr>
          <w:rFonts w:eastAsia="仿宋"/>
          <w:color w:val="000000" w:themeColor="text1"/>
          <w:sz w:val="32"/>
          <w:szCs w:val="32"/>
          <w14:textFill>
            <w14:solidFill>
              <w14:schemeClr w14:val="tx1"/>
            </w14:solidFill>
          </w14:textFill>
        </w:rPr>
      </w:pPr>
      <w:r>
        <w:rPr>
          <w:rFonts w:eastAsia="仿宋"/>
          <w:sz w:val="32"/>
          <w:szCs w:val="32"/>
        </w:rPr>
        <w:t>2024年度收、支总计均为88571.62万元</w:t>
      </w:r>
      <w:r>
        <w:rPr>
          <w:sz w:val="32"/>
          <w:szCs w:val="32"/>
        </w:rPr>
        <w:t>。</w:t>
      </w:r>
      <w:r>
        <w:rPr>
          <w:rFonts w:eastAsia="仿宋"/>
          <w:sz w:val="32"/>
          <w:szCs w:val="32"/>
        </w:rPr>
        <w:t>与2023年度相比，收、支总计各增加2351.81万元，增长2.7%。</w:t>
      </w:r>
      <w:r>
        <w:rPr>
          <w:rFonts w:eastAsia="仿宋"/>
          <w:color w:val="000000" w:themeColor="text1"/>
          <w:sz w:val="32"/>
          <w:szCs w:val="32"/>
          <w14:textFill>
            <w14:solidFill>
              <w14:schemeClr w14:val="tx1"/>
            </w14:solidFill>
          </w14:textFill>
        </w:rPr>
        <w:t>主要变动原因是</w:t>
      </w:r>
      <w:r>
        <w:rPr>
          <w:rFonts w:hint="eastAsia" w:eastAsia="仿宋"/>
          <w:color w:val="000000" w:themeColor="text1"/>
          <w:sz w:val="32"/>
          <w:szCs w:val="32"/>
          <w14:textFill>
            <w14:solidFill>
              <w14:schemeClr w14:val="tx1"/>
            </w14:solidFill>
          </w14:textFill>
        </w:rPr>
        <w:t>地方专项债券资金及超长期特别国债资金安排项目增加，如</w:t>
      </w:r>
      <w:r>
        <w:rPr>
          <w:rFonts w:eastAsia="仿宋"/>
          <w:color w:val="000000" w:themeColor="text1"/>
          <w:sz w:val="32"/>
          <w:szCs w:val="32"/>
          <w14:textFill>
            <w14:solidFill>
              <w14:schemeClr w14:val="tx1"/>
            </w14:solidFill>
          </w14:textFill>
        </w:rPr>
        <w:t>绵竹市2023年危旧房棚户区安置房建设</w:t>
      </w:r>
      <w:r>
        <w:rPr>
          <w:rFonts w:hint="eastAsia" w:eastAsia="仿宋"/>
          <w:color w:val="000000" w:themeColor="text1"/>
          <w:sz w:val="32"/>
          <w:szCs w:val="32"/>
          <w14:textFill>
            <w14:solidFill>
              <w14:schemeClr w14:val="tx1"/>
            </w14:solidFill>
          </w14:textFill>
        </w:rPr>
        <w:t>项目推动，城东、城西排水主通道建设改造项目启动，以及</w:t>
      </w:r>
      <w:r>
        <w:rPr>
          <w:rFonts w:eastAsia="仿宋"/>
          <w:color w:val="000000" w:themeColor="text1"/>
          <w:sz w:val="32"/>
          <w:szCs w:val="32"/>
          <w14:textFill>
            <w14:solidFill>
              <w14:schemeClr w14:val="tx1"/>
            </w14:solidFill>
          </w14:textFill>
        </w:rPr>
        <w:t>解决德阳孝感水厂取水口建设遗留问题等所安排的项目资金增加。</w:t>
      </w:r>
    </w:p>
    <w:p>
      <w:pPr>
        <w:spacing w:line="600" w:lineRule="exact"/>
        <w:jc w:val="center"/>
        <w:rPr>
          <w:rFonts w:eastAsia="仿宋"/>
          <w:sz w:val="32"/>
          <w:szCs w:val="32"/>
        </w:rPr>
      </w:pPr>
    </w:p>
    <w:p>
      <w:pPr>
        <w:spacing w:line="600" w:lineRule="exact"/>
        <w:jc w:val="center"/>
        <w:rPr>
          <w:rFonts w:eastAsia="仿宋"/>
          <w:sz w:val="32"/>
          <w:szCs w:val="32"/>
        </w:rPr>
      </w:pPr>
      <w:r>
        <w:rPr>
          <w:rFonts w:eastAsia="仿宋_GB2312"/>
          <w:sz w:val="32"/>
          <w:szCs w:val="32"/>
        </w:rPr>
        <w:drawing>
          <wp:anchor distT="0" distB="0" distL="114300" distR="114300" simplePos="0" relativeHeight="251660288" behindDoc="1" locked="0" layoutInCell="1" allowOverlap="1">
            <wp:simplePos x="0" y="0"/>
            <wp:positionH relativeFrom="column">
              <wp:posOffset>73025</wp:posOffset>
            </wp:positionH>
            <wp:positionV relativeFrom="paragraph">
              <wp:posOffset>511810</wp:posOffset>
            </wp:positionV>
            <wp:extent cx="5102225" cy="3519805"/>
            <wp:effectExtent l="0" t="0" r="3175" b="4445"/>
            <wp:wrapTight wrapText="bothSides">
              <wp:wrapPolygon>
                <wp:start x="0" y="0"/>
                <wp:lineTo x="0" y="21510"/>
                <wp:lineTo x="21533" y="21510"/>
                <wp:lineTo x="21533" y="0"/>
                <wp:lineTo x="0" y="0"/>
              </wp:wrapPolygon>
            </wp:wrapTight>
            <wp:docPr id="3" name="图表 3"/>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eastAsia="仿宋"/>
          <w:sz w:val="32"/>
          <w:szCs w:val="32"/>
        </w:rPr>
        <w:t>收、支决算总计变动情况图</w:t>
      </w:r>
    </w:p>
    <w:p>
      <w:pPr>
        <w:widowControl/>
        <w:jc w:val="left"/>
        <w:rPr>
          <w:rFonts w:eastAsia="仿宋_GB2312"/>
          <w:sz w:val="32"/>
          <w:szCs w:val="32"/>
        </w:rPr>
      </w:pPr>
      <w:r>
        <w:rPr>
          <w:rFonts w:eastAsia="仿宋_GB2312"/>
          <w:sz w:val="32"/>
          <w:szCs w:val="32"/>
        </w:rPr>
        <w:t xml:space="preserve">  </w:t>
      </w:r>
      <w:r>
        <w:rPr>
          <w:rFonts w:eastAsia="仿宋"/>
          <w:sz w:val="32"/>
          <w:szCs w:val="32"/>
        </w:rPr>
        <w:br w:type="page"/>
      </w:r>
    </w:p>
    <w:p>
      <w:pPr>
        <w:pStyle w:val="26"/>
        <w:numPr>
          <w:ilvl w:val="0"/>
          <w:numId w:val="2"/>
        </w:numPr>
        <w:spacing w:line="600" w:lineRule="exact"/>
        <w:ind w:firstLineChars="0"/>
        <w:outlineLvl w:val="1"/>
        <w:rPr>
          <w:rStyle w:val="28"/>
          <w:rFonts w:ascii="Times New Roman" w:hAnsi="Times New Roman" w:eastAsia="黑体" w:cs="Times New Roman"/>
          <w:b w:val="0"/>
        </w:rPr>
      </w:pPr>
      <w:bookmarkStart w:id="21" w:name="_Toc15396604"/>
      <w:bookmarkStart w:id="22" w:name="_Toc15377206"/>
      <w:r>
        <w:rPr>
          <w:rFonts w:eastAsia="黑体"/>
          <w:sz w:val="32"/>
          <w:szCs w:val="32"/>
        </w:rPr>
        <w:t>收</w:t>
      </w:r>
      <w:r>
        <w:rPr>
          <w:rStyle w:val="28"/>
          <w:rFonts w:ascii="Times New Roman" w:hAnsi="Times New Roman" w:eastAsia="黑体" w:cs="Times New Roman"/>
          <w:b w:val="0"/>
        </w:rPr>
        <w:t>入决算情况说明</w:t>
      </w:r>
      <w:bookmarkEnd w:id="21"/>
      <w:bookmarkEnd w:id="22"/>
    </w:p>
    <w:p>
      <w:pPr>
        <w:spacing w:line="600" w:lineRule="exact"/>
        <w:ind w:firstLine="640" w:firstLineChars="200"/>
        <w:jc w:val="left"/>
        <w:outlineLvl w:val="1"/>
        <w:rPr>
          <w:rFonts w:eastAsia="仿宋"/>
          <w:sz w:val="32"/>
          <w:szCs w:val="32"/>
        </w:rPr>
      </w:pPr>
      <w:r>
        <w:rPr>
          <w:rFonts w:eastAsia="仿宋"/>
          <w:sz w:val="32"/>
          <w:szCs w:val="32"/>
        </w:rPr>
        <w:t>2024年度本年收入合计88571.62万元，其中：一般公共预算财政拨款收入41735.37万元，占47.1%；政府性基金预算财政拨款收入46835.04万元，占53%；国有资本经营预算财政拨款收入</w:t>
      </w:r>
      <w:r>
        <w:rPr>
          <w:sz w:val="32"/>
          <w:szCs w:val="32"/>
        </w:rPr>
        <w:t>0</w:t>
      </w:r>
      <w:r>
        <w:rPr>
          <w:rFonts w:eastAsia="仿宋"/>
          <w:sz w:val="32"/>
          <w:szCs w:val="32"/>
        </w:rPr>
        <w:t>万元，占</w:t>
      </w:r>
      <w:r>
        <w:rPr>
          <w:sz w:val="32"/>
          <w:szCs w:val="32"/>
        </w:rPr>
        <w:t>0</w:t>
      </w:r>
      <w:r>
        <w:rPr>
          <w:rFonts w:eastAsia="仿宋"/>
          <w:sz w:val="32"/>
          <w:szCs w:val="32"/>
        </w:rPr>
        <w:t>%；上级补助收入</w:t>
      </w:r>
      <w:r>
        <w:rPr>
          <w:sz w:val="32"/>
          <w:szCs w:val="32"/>
        </w:rPr>
        <w:t>0</w:t>
      </w:r>
      <w:r>
        <w:rPr>
          <w:rFonts w:eastAsia="仿宋"/>
          <w:sz w:val="32"/>
          <w:szCs w:val="32"/>
        </w:rPr>
        <w:t>万元，占</w:t>
      </w:r>
      <w:r>
        <w:rPr>
          <w:sz w:val="32"/>
          <w:szCs w:val="32"/>
        </w:rPr>
        <w:t>0</w:t>
      </w:r>
      <w:r>
        <w:rPr>
          <w:rFonts w:eastAsia="仿宋"/>
          <w:sz w:val="32"/>
          <w:szCs w:val="32"/>
        </w:rPr>
        <w:t>%；事业收入</w:t>
      </w:r>
      <w:r>
        <w:rPr>
          <w:sz w:val="32"/>
          <w:szCs w:val="32"/>
        </w:rPr>
        <w:t>0</w:t>
      </w:r>
      <w:r>
        <w:rPr>
          <w:rFonts w:eastAsia="仿宋"/>
          <w:sz w:val="32"/>
          <w:szCs w:val="32"/>
        </w:rPr>
        <w:t>万元，占</w:t>
      </w:r>
      <w:r>
        <w:rPr>
          <w:sz w:val="32"/>
          <w:szCs w:val="32"/>
        </w:rPr>
        <w:t>0</w:t>
      </w:r>
      <w:r>
        <w:rPr>
          <w:rFonts w:eastAsia="仿宋"/>
          <w:sz w:val="32"/>
          <w:szCs w:val="32"/>
        </w:rPr>
        <w:t>%；经营收入</w:t>
      </w:r>
      <w:r>
        <w:rPr>
          <w:sz w:val="32"/>
          <w:szCs w:val="32"/>
        </w:rPr>
        <w:t>0</w:t>
      </w:r>
      <w:r>
        <w:rPr>
          <w:rFonts w:eastAsia="仿宋"/>
          <w:sz w:val="32"/>
          <w:szCs w:val="32"/>
        </w:rPr>
        <w:t>万元，占</w:t>
      </w:r>
      <w:r>
        <w:rPr>
          <w:sz w:val="32"/>
          <w:szCs w:val="32"/>
        </w:rPr>
        <w:t>0</w:t>
      </w:r>
      <w:r>
        <w:rPr>
          <w:rFonts w:eastAsia="仿宋"/>
          <w:sz w:val="32"/>
          <w:szCs w:val="32"/>
        </w:rPr>
        <w:t>%；附属单位上缴收入</w:t>
      </w:r>
      <w:r>
        <w:rPr>
          <w:sz w:val="32"/>
          <w:szCs w:val="32"/>
        </w:rPr>
        <w:t>0</w:t>
      </w:r>
      <w:r>
        <w:rPr>
          <w:rFonts w:eastAsia="仿宋"/>
          <w:sz w:val="32"/>
          <w:szCs w:val="32"/>
        </w:rPr>
        <w:t>万元，占</w:t>
      </w:r>
      <w:r>
        <w:rPr>
          <w:sz w:val="32"/>
          <w:szCs w:val="32"/>
        </w:rPr>
        <w:t>0</w:t>
      </w:r>
      <w:r>
        <w:rPr>
          <w:rFonts w:eastAsia="仿宋"/>
          <w:sz w:val="32"/>
          <w:szCs w:val="32"/>
        </w:rPr>
        <w:t>%；其他收入1.12万元，占0.001%。</w:t>
      </w:r>
    </w:p>
    <w:p>
      <w:pPr>
        <w:spacing w:line="600" w:lineRule="exact"/>
        <w:jc w:val="center"/>
        <w:rPr>
          <w:rFonts w:eastAsia="仿宋"/>
          <w:sz w:val="32"/>
          <w:szCs w:val="32"/>
        </w:rPr>
      </w:pPr>
      <w:r>
        <w:rPr>
          <w:rFonts w:eastAsia="黑体"/>
          <w:sz w:val="32"/>
          <w:szCs w:val="32"/>
        </w:rPr>
        <w:drawing>
          <wp:anchor distT="0" distB="0" distL="114300" distR="114300" simplePos="0" relativeHeight="251661312" behindDoc="0" locked="0" layoutInCell="1" allowOverlap="1">
            <wp:simplePos x="0" y="0"/>
            <wp:positionH relativeFrom="column">
              <wp:posOffset>-17145</wp:posOffset>
            </wp:positionH>
            <wp:positionV relativeFrom="paragraph">
              <wp:posOffset>447675</wp:posOffset>
            </wp:positionV>
            <wp:extent cx="5577840" cy="3886200"/>
            <wp:effectExtent l="0" t="0" r="3810" b="0"/>
            <wp:wrapSquare wrapText="bothSides"/>
            <wp:docPr id="4" name="图表 4"/>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eastAsia="仿宋"/>
          <w:sz w:val="32"/>
          <w:szCs w:val="32"/>
        </w:rPr>
        <w:t>收入决算结构图</w:t>
      </w:r>
    </w:p>
    <w:p>
      <w:pPr>
        <w:pStyle w:val="26"/>
        <w:numPr>
          <w:ilvl w:val="0"/>
          <w:numId w:val="2"/>
        </w:numPr>
        <w:spacing w:line="600" w:lineRule="exact"/>
        <w:ind w:firstLineChars="0"/>
        <w:outlineLvl w:val="1"/>
        <w:rPr>
          <w:rStyle w:val="28"/>
          <w:rFonts w:ascii="Times New Roman" w:hAnsi="Times New Roman" w:eastAsia="黑体" w:cs="Times New Roman"/>
          <w:b w:val="0"/>
        </w:rPr>
      </w:pPr>
      <w:bookmarkStart w:id="23" w:name="_Toc15377207"/>
      <w:bookmarkStart w:id="24" w:name="_Toc15396605"/>
      <w:r>
        <w:rPr>
          <w:rFonts w:eastAsia="黑体"/>
          <w:sz w:val="32"/>
          <w:szCs w:val="32"/>
        </w:rPr>
        <w:t>支</w:t>
      </w:r>
      <w:r>
        <w:rPr>
          <w:rStyle w:val="28"/>
          <w:rFonts w:ascii="Times New Roman" w:hAnsi="Times New Roman" w:eastAsia="黑体" w:cs="Times New Roman"/>
          <w:b w:val="0"/>
        </w:rPr>
        <w:t>出决算情况说明</w:t>
      </w:r>
      <w:bookmarkEnd w:id="23"/>
      <w:bookmarkEnd w:id="24"/>
    </w:p>
    <w:p>
      <w:pPr>
        <w:spacing w:line="600" w:lineRule="exact"/>
        <w:ind w:firstLine="640" w:firstLineChars="200"/>
        <w:outlineLvl w:val="1"/>
        <w:rPr>
          <w:rFonts w:eastAsia="仿宋"/>
          <w:sz w:val="32"/>
          <w:szCs w:val="32"/>
          <w:shd w:val="pct10" w:color="auto" w:fill="FFFFFF"/>
        </w:rPr>
      </w:pPr>
      <w:r>
        <w:rPr>
          <w:rFonts w:eastAsia="仿宋"/>
          <w:sz w:val="32"/>
          <w:szCs w:val="32"/>
        </w:rPr>
        <w:t>2024年度本年支出合计88571.62万元，其中：基本支出1121.33万元，占</w:t>
      </w:r>
      <w:r>
        <w:rPr>
          <w:sz w:val="32"/>
          <w:szCs w:val="32"/>
        </w:rPr>
        <w:t>1.3</w:t>
      </w:r>
      <w:r>
        <w:rPr>
          <w:rFonts w:eastAsia="仿宋"/>
          <w:sz w:val="32"/>
          <w:szCs w:val="32"/>
        </w:rPr>
        <w:t>%；项目支出87450.29万元，占</w:t>
      </w:r>
      <w:r>
        <w:rPr>
          <w:sz w:val="32"/>
          <w:szCs w:val="32"/>
        </w:rPr>
        <w:t>98.7</w:t>
      </w:r>
      <w:r>
        <w:rPr>
          <w:rFonts w:eastAsia="仿宋"/>
          <w:sz w:val="32"/>
          <w:szCs w:val="32"/>
        </w:rPr>
        <w:t>%；上缴上级支出</w:t>
      </w:r>
      <w:r>
        <w:rPr>
          <w:sz w:val="32"/>
          <w:szCs w:val="32"/>
        </w:rPr>
        <w:t>0</w:t>
      </w:r>
      <w:r>
        <w:rPr>
          <w:rFonts w:eastAsia="仿宋"/>
          <w:sz w:val="32"/>
          <w:szCs w:val="32"/>
        </w:rPr>
        <w:t>万元，占</w:t>
      </w:r>
      <w:r>
        <w:rPr>
          <w:sz w:val="32"/>
          <w:szCs w:val="32"/>
        </w:rPr>
        <w:t>0</w:t>
      </w:r>
      <w:r>
        <w:rPr>
          <w:rFonts w:eastAsia="仿宋"/>
          <w:sz w:val="32"/>
          <w:szCs w:val="32"/>
        </w:rPr>
        <w:t>%；经营支出</w:t>
      </w:r>
      <w:r>
        <w:rPr>
          <w:sz w:val="32"/>
          <w:szCs w:val="32"/>
        </w:rPr>
        <w:t>0</w:t>
      </w:r>
      <w:r>
        <w:rPr>
          <w:rFonts w:eastAsia="仿宋"/>
          <w:sz w:val="32"/>
          <w:szCs w:val="32"/>
        </w:rPr>
        <w:t>万元，占</w:t>
      </w:r>
      <w:r>
        <w:rPr>
          <w:sz w:val="32"/>
          <w:szCs w:val="32"/>
        </w:rPr>
        <w:t>0</w:t>
      </w:r>
      <w:r>
        <w:rPr>
          <w:rFonts w:eastAsia="仿宋"/>
          <w:sz w:val="32"/>
          <w:szCs w:val="32"/>
        </w:rPr>
        <w:t>%；对附属单位补助支出</w:t>
      </w:r>
      <w:r>
        <w:rPr>
          <w:sz w:val="32"/>
          <w:szCs w:val="32"/>
        </w:rPr>
        <w:t>0</w:t>
      </w:r>
      <w:r>
        <w:rPr>
          <w:rFonts w:eastAsia="仿宋"/>
          <w:sz w:val="32"/>
          <w:szCs w:val="32"/>
        </w:rPr>
        <w:t>万元，占</w:t>
      </w:r>
      <w:r>
        <w:rPr>
          <w:sz w:val="32"/>
          <w:szCs w:val="32"/>
        </w:rPr>
        <w:t>0</w:t>
      </w:r>
      <w:r>
        <w:rPr>
          <w:rFonts w:eastAsia="仿宋"/>
          <w:sz w:val="32"/>
          <w:szCs w:val="32"/>
        </w:rPr>
        <w:t>%。</w:t>
      </w:r>
    </w:p>
    <w:p>
      <w:pPr>
        <w:spacing w:line="600" w:lineRule="exact"/>
        <w:jc w:val="center"/>
        <w:rPr>
          <w:rFonts w:eastAsia="仿宋"/>
          <w:sz w:val="32"/>
          <w:szCs w:val="32"/>
        </w:rPr>
      </w:pPr>
    </w:p>
    <w:p>
      <w:pPr>
        <w:spacing w:line="600" w:lineRule="exact"/>
        <w:jc w:val="center"/>
        <w:rPr>
          <w:rFonts w:eastAsia="仿宋_GB2312"/>
          <w:sz w:val="32"/>
          <w:szCs w:val="32"/>
        </w:rPr>
      </w:pPr>
      <w:r>
        <w:rPr>
          <w:rFonts w:eastAsia="仿宋"/>
          <w:sz w:val="32"/>
          <w:szCs w:val="32"/>
        </w:rPr>
        <w:drawing>
          <wp:anchor distT="0" distB="0" distL="114300" distR="114300" simplePos="0" relativeHeight="251662336" behindDoc="0" locked="0" layoutInCell="1" allowOverlap="1">
            <wp:simplePos x="0" y="0"/>
            <wp:positionH relativeFrom="column">
              <wp:posOffset>116205</wp:posOffset>
            </wp:positionH>
            <wp:positionV relativeFrom="paragraph">
              <wp:posOffset>542925</wp:posOffset>
            </wp:positionV>
            <wp:extent cx="4805680" cy="3476625"/>
            <wp:effectExtent l="0" t="0" r="13970" b="9525"/>
            <wp:wrapSquare wrapText="bothSides"/>
            <wp:docPr id="5" name="图表 5"/>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eastAsia="仿宋"/>
          <w:sz w:val="32"/>
          <w:szCs w:val="32"/>
        </w:rPr>
        <w:t>支出决算结构图</w:t>
      </w:r>
    </w:p>
    <w:p>
      <w:pPr>
        <w:spacing w:line="600" w:lineRule="exact"/>
        <w:ind w:firstLine="640" w:firstLineChars="200"/>
        <w:outlineLvl w:val="1"/>
        <w:rPr>
          <w:rStyle w:val="28"/>
          <w:rFonts w:ascii="Times New Roman" w:hAnsi="Times New Roman" w:eastAsia="黑体" w:cs="Times New Roman"/>
          <w:b w:val="0"/>
        </w:rPr>
      </w:pPr>
      <w:bookmarkStart w:id="25" w:name="_Toc15396606"/>
      <w:bookmarkStart w:id="26" w:name="_Toc15377208"/>
      <w:r>
        <w:rPr>
          <w:rFonts w:eastAsia="黑体"/>
          <w:sz w:val="32"/>
          <w:szCs w:val="32"/>
        </w:rPr>
        <w:t>四、财</w:t>
      </w:r>
      <w:r>
        <w:rPr>
          <w:rStyle w:val="28"/>
          <w:rFonts w:ascii="Times New Roman" w:hAnsi="Times New Roman" w:eastAsia="黑体" w:cs="Times New Roman"/>
          <w:b w:val="0"/>
        </w:rPr>
        <w:t>政拨款收入支出决算总体情况说明</w:t>
      </w:r>
      <w:bookmarkEnd w:id="25"/>
      <w:bookmarkEnd w:id="26"/>
    </w:p>
    <w:p>
      <w:pPr>
        <w:spacing w:line="600" w:lineRule="exact"/>
        <w:ind w:firstLine="640" w:firstLineChars="200"/>
        <w:jc w:val="left"/>
        <w:rPr>
          <w:rFonts w:eastAsia="仿宋"/>
          <w:color w:val="C00000"/>
          <w:sz w:val="32"/>
          <w:szCs w:val="32"/>
        </w:rPr>
      </w:pPr>
      <w:r>
        <w:rPr>
          <w:rFonts w:eastAsia="仿宋"/>
          <w:sz w:val="32"/>
          <w:szCs w:val="32"/>
        </w:rPr>
        <w:t>2024年度财政拨款收、支总计均为88570.41万元。与2023年度相比，收、支总计增加2350.6万元，增长2.7%。主要变动原因</w:t>
      </w:r>
      <w:r>
        <w:rPr>
          <w:rFonts w:hint="eastAsia" w:eastAsia="仿宋"/>
          <w:sz w:val="32"/>
          <w:szCs w:val="32"/>
        </w:rPr>
        <w:t>一</w:t>
      </w:r>
      <w:r>
        <w:rPr>
          <w:rFonts w:eastAsia="仿宋"/>
          <w:sz w:val="32"/>
          <w:szCs w:val="32"/>
        </w:rPr>
        <w:t>是</w:t>
      </w:r>
      <w:r>
        <w:rPr>
          <w:rFonts w:hint="eastAsia" w:eastAsia="仿宋"/>
          <w:sz w:val="32"/>
          <w:szCs w:val="32"/>
        </w:rPr>
        <w:t>PPP项目可行性补助、</w:t>
      </w:r>
      <w:r>
        <w:rPr>
          <w:rFonts w:eastAsia="仿宋"/>
          <w:sz w:val="32"/>
          <w:szCs w:val="32"/>
        </w:rPr>
        <w:t>解决德阳孝感水厂取水口建设遗留问题</w:t>
      </w:r>
      <w:r>
        <w:rPr>
          <w:rFonts w:hint="eastAsia" w:eastAsia="仿宋"/>
          <w:sz w:val="32"/>
          <w:szCs w:val="32"/>
        </w:rPr>
        <w:t>等项目资金追加；二是地方专项债</w:t>
      </w:r>
      <w:r>
        <w:rPr>
          <w:rFonts w:hint="eastAsia" w:eastAsia="仿宋"/>
          <w:color w:val="000000" w:themeColor="text1"/>
          <w:sz w:val="32"/>
          <w:szCs w:val="32"/>
          <w14:textFill>
            <w14:solidFill>
              <w14:schemeClr w14:val="tx1"/>
            </w14:solidFill>
          </w14:textFill>
        </w:rPr>
        <w:t>券资金及超长期特别国债资金安排项目增加，如</w:t>
      </w:r>
      <w:r>
        <w:rPr>
          <w:rFonts w:eastAsia="仿宋"/>
          <w:color w:val="000000" w:themeColor="text1"/>
          <w:sz w:val="32"/>
          <w:szCs w:val="32"/>
          <w14:textFill>
            <w14:solidFill>
              <w14:schemeClr w14:val="tx1"/>
            </w14:solidFill>
          </w14:textFill>
        </w:rPr>
        <w:t>绵竹市2023年危旧房棚户区安置房建设</w:t>
      </w:r>
      <w:r>
        <w:rPr>
          <w:rFonts w:hint="eastAsia" w:eastAsia="仿宋"/>
          <w:color w:val="000000" w:themeColor="text1"/>
          <w:sz w:val="32"/>
          <w:szCs w:val="32"/>
          <w14:textFill>
            <w14:solidFill>
              <w14:schemeClr w14:val="tx1"/>
            </w14:solidFill>
          </w14:textFill>
        </w:rPr>
        <w:t>项目推动，城东、城西排水主通道建设改造项目启动</w:t>
      </w:r>
    </w:p>
    <w:p>
      <w:pPr>
        <w:kinsoku w:val="0"/>
        <w:overflowPunct w:val="0"/>
        <w:spacing w:line="600" w:lineRule="exact"/>
        <w:jc w:val="center"/>
        <w:rPr>
          <w:rFonts w:eastAsia="仿宋"/>
          <w:sz w:val="32"/>
          <w:szCs w:val="32"/>
        </w:rPr>
      </w:pPr>
    </w:p>
    <w:p>
      <w:pPr>
        <w:kinsoku w:val="0"/>
        <w:overflowPunct w:val="0"/>
        <w:spacing w:line="600" w:lineRule="exact"/>
        <w:jc w:val="center"/>
      </w:pPr>
      <w:r>
        <w:rPr>
          <w:rFonts w:eastAsia="仿宋"/>
          <w:sz w:val="32"/>
          <w:szCs w:val="32"/>
        </w:rPr>
        <w:t>财政拨款收、支决算总计变动情况</w:t>
      </w:r>
    </w:p>
    <w:p>
      <w:pPr>
        <w:spacing w:line="600" w:lineRule="exact"/>
        <w:ind w:firstLine="640" w:firstLineChars="200"/>
        <w:outlineLvl w:val="1"/>
        <w:rPr>
          <w:rStyle w:val="28"/>
          <w:rFonts w:ascii="Times New Roman" w:hAnsi="Times New Roman" w:eastAsia="黑体" w:cs="Times New Roman"/>
          <w:b w:val="0"/>
        </w:rPr>
      </w:pPr>
      <w:bookmarkStart w:id="27" w:name="_Toc15377209"/>
      <w:bookmarkStart w:id="28" w:name="_Toc15396607"/>
      <w:r>
        <w:rPr>
          <w:rFonts w:eastAsia="仿宋"/>
          <w:sz w:val="32"/>
          <w:szCs w:val="32"/>
        </w:rPr>
        <mc:AlternateContent>
          <mc:Choice Requires="wps">
            <w:drawing>
              <wp:anchor distT="45720" distB="45720" distL="114300" distR="114300" simplePos="0" relativeHeight="251663360" behindDoc="0" locked="0" layoutInCell="1" allowOverlap="1">
                <wp:simplePos x="0" y="0"/>
                <wp:positionH relativeFrom="column">
                  <wp:posOffset>1777365</wp:posOffset>
                </wp:positionH>
                <wp:positionV relativeFrom="paragraph">
                  <wp:posOffset>189230</wp:posOffset>
                </wp:positionV>
                <wp:extent cx="2003425" cy="301625"/>
                <wp:effectExtent l="0" t="0" r="0" b="3175"/>
                <wp:wrapSquare wrapText="bothSides"/>
                <wp:docPr id="217"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2003425" cy="301625"/>
                        </a:xfrm>
                        <a:prstGeom prst="rect">
                          <a:avLst/>
                        </a:prstGeom>
                        <a:solidFill>
                          <a:srgbClr val="FFFFFF"/>
                        </a:solidFill>
                        <a:ln w="9525">
                          <a:noFill/>
                          <a:miter lim="800000"/>
                        </a:ln>
                      </wps:spPr>
                      <wps:txbx>
                        <w:txbxContent>
                          <w:p>
                            <w:pPr>
                              <w:ind w:firstLine="315" w:firstLineChars="150"/>
                              <w:jc w:val="center"/>
                            </w:pPr>
                            <w:r>
                              <w:rPr>
                                <w:rFonts w:hint="eastAsia"/>
                              </w:rPr>
                              <w:t>财政拨款</w:t>
                            </w:r>
                            <w:r>
                              <w:t>收支</w:t>
                            </w:r>
                            <w:r>
                              <w:rPr>
                                <w:rFonts w:hint="eastAsia"/>
                              </w:rPr>
                              <w:t>总体情况</w:t>
                            </w:r>
                          </w:p>
                        </w:txbxContent>
                      </wps:txbx>
                      <wps:bodyPr rot="0" vert="horz" wrap="square" lIns="91440" tIns="45720" rIns="91440" bIns="45720" anchor="t" anchorCtr="false">
                        <a:noAutofit/>
                      </wps:bodyPr>
                    </wps:wsp>
                  </a:graphicData>
                </a:graphic>
              </wp:anchor>
            </w:drawing>
          </mc:Choice>
          <mc:Fallback>
            <w:pict>
              <v:shape id="文本框 2" o:spid="_x0000_s1026" o:spt="202" type="#_x0000_t202" style="position:absolute;left:0pt;margin-left:139.95pt;margin-top:14.9pt;height:23.75pt;width:157.75pt;mso-wrap-distance-bottom:3.6pt;mso-wrap-distance-left:9pt;mso-wrap-distance-right:9pt;mso-wrap-distance-top:3.6pt;z-index:251663360;mso-width-relative:page;mso-height-relative:page;" fillcolor="#FFFFFF" filled="t" stroked="f" coordsize="21600,21600" o:gfxdata="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FgAAAGRy&#10;cy9QSwECFAAUAAAACACHTuJA84RRedcAAAAJAQAADwAAAAAAAAABACAAAAA4AAAAZHJzL2Rvd25y&#10;ZXYueG1sUEsBAhQAFAAAAAgAh07iQBW9zW4iAgAAEAQAAA4AAAAAAAAAAQAgAAAAPAEAAGRycy9l&#10;Mm9Eb2MueG1sUEsFBgAAAAAGAAYAWQEAANAFAAAAAA==&#10;">
                <v:fill on="t" focussize="0,0"/>
                <v:stroke on="f" miterlimit="8" joinstyle="miter"/>
                <v:imagedata o:title=""/>
                <o:lock v:ext="edit" aspectratio="f"/>
                <v:textbox>
                  <w:txbxContent>
                    <w:p>
                      <w:pPr>
                        <w:ind w:firstLine="315" w:firstLineChars="150"/>
                        <w:jc w:val="center"/>
                      </w:pPr>
                      <w:r>
                        <w:rPr>
                          <w:rFonts w:hint="eastAsia"/>
                        </w:rPr>
                        <w:t>财政拨款</w:t>
                      </w:r>
                      <w:r>
                        <w:t>收支</w:t>
                      </w:r>
                      <w:r>
                        <w:rPr>
                          <w:rFonts w:hint="eastAsia"/>
                        </w:rPr>
                        <w:t>总体情况</w:t>
                      </w:r>
                    </w:p>
                  </w:txbxContent>
                </v:textbox>
                <w10:wrap type="square"/>
              </v:shape>
            </w:pict>
          </mc:Fallback>
        </mc:AlternateContent>
      </w:r>
      <w:r>
        <w:rPr>
          <w:rFonts w:eastAsia="仿宋_GB2312"/>
          <w:sz w:val="32"/>
          <w:szCs w:val="32"/>
        </w:rPr>
        <w:drawing>
          <wp:anchor distT="0" distB="0" distL="114300" distR="114300" simplePos="0" relativeHeight="251659264" behindDoc="0" locked="0" layoutInCell="1" allowOverlap="1">
            <wp:simplePos x="0" y="0"/>
            <wp:positionH relativeFrom="column">
              <wp:posOffset>63500</wp:posOffset>
            </wp:positionH>
            <wp:positionV relativeFrom="paragraph">
              <wp:posOffset>157480</wp:posOffset>
            </wp:positionV>
            <wp:extent cx="5102225" cy="2699385"/>
            <wp:effectExtent l="4445" t="4445" r="17780" b="20320"/>
            <wp:wrapTopAndBottom/>
            <wp:docPr id="11" name="图表 11"/>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eastAsia="黑体"/>
          <w:sz w:val="32"/>
          <w:szCs w:val="32"/>
        </w:rPr>
        <w:t>五、</w:t>
      </w:r>
      <w:r>
        <w:rPr>
          <w:rFonts w:eastAsia="黑体"/>
          <w:b/>
          <w:sz w:val="32"/>
          <w:szCs w:val="32"/>
        </w:rPr>
        <w:t>一</w:t>
      </w:r>
      <w:r>
        <w:rPr>
          <w:rStyle w:val="28"/>
          <w:rFonts w:ascii="Times New Roman" w:hAnsi="Times New Roman" w:eastAsia="黑体" w:cs="Times New Roman"/>
          <w:b w:val="0"/>
        </w:rPr>
        <w:t>般公共预算财政拨款支出决算情况说明</w:t>
      </w:r>
      <w:bookmarkEnd w:id="27"/>
      <w:bookmarkEnd w:id="28"/>
    </w:p>
    <w:p>
      <w:pPr>
        <w:spacing w:line="600" w:lineRule="exact"/>
        <w:ind w:firstLine="642" w:firstLineChars="200"/>
        <w:outlineLvl w:val="2"/>
        <w:rPr>
          <w:rFonts w:eastAsia="仿宋"/>
          <w:b/>
          <w:sz w:val="32"/>
          <w:szCs w:val="32"/>
        </w:rPr>
      </w:pPr>
      <w:bookmarkStart w:id="29" w:name="_Toc15377210"/>
      <w:r>
        <w:rPr>
          <w:rFonts w:eastAsia="仿宋"/>
          <w:b/>
          <w:sz w:val="32"/>
          <w:szCs w:val="32"/>
        </w:rPr>
        <w:t>（一）一般公共预算财政拨款支出决算总体情况</w:t>
      </w:r>
      <w:bookmarkEnd w:id="29"/>
    </w:p>
    <w:p>
      <w:pPr>
        <w:spacing w:line="600" w:lineRule="exact"/>
        <w:ind w:firstLine="640" w:firstLineChars="200"/>
        <w:jc w:val="left"/>
        <w:rPr>
          <w:rFonts w:eastAsia="仿宋"/>
          <w:color w:val="FF0000"/>
          <w:sz w:val="32"/>
          <w:szCs w:val="32"/>
        </w:rPr>
      </w:pPr>
      <w:r>
        <w:rPr>
          <w:rFonts w:eastAsia="仿宋"/>
          <w:sz w:val="32"/>
          <w:szCs w:val="32"/>
        </w:rPr>
        <w:t>2024年度一般公共预算财政拨款支出41735.37万元，占本年支出合计的47.1%。与2023年度相比，一般公共预算财政拨款支出减少10067.67万元，减少19.4%。主要变动原因是</w:t>
      </w:r>
      <w:r>
        <w:rPr>
          <w:rFonts w:hint="eastAsia" w:eastAsia="仿宋"/>
          <w:sz w:val="32"/>
          <w:szCs w:val="32"/>
        </w:rPr>
        <w:t>部分城市道路、老旧小区改造及城市燃气管道等老化更新改造项目陆续完工，相应投入资金减少。</w:t>
      </w:r>
    </w:p>
    <w:p>
      <w:pPr>
        <w:spacing w:line="600" w:lineRule="exact"/>
        <w:jc w:val="center"/>
        <w:rPr>
          <w:rFonts w:eastAsia="仿宋"/>
          <w:sz w:val="32"/>
          <w:szCs w:val="32"/>
        </w:rPr>
      </w:pPr>
      <w:r>
        <w:rPr>
          <w:rFonts w:eastAsia="仿宋"/>
          <w:sz w:val="32"/>
          <w:szCs w:val="32"/>
        </w:rPr>
        <w:drawing>
          <wp:anchor distT="0" distB="0" distL="114300" distR="114300" simplePos="0" relativeHeight="251664384" behindDoc="0" locked="0" layoutInCell="1" allowOverlap="1">
            <wp:simplePos x="0" y="0"/>
            <wp:positionH relativeFrom="column">
              <wp:posOffset>249555</wp:posOffset>
            </wp:positionH>
            <wp:positionV relativeFrom="paragraph">
              <wp:posOffset>427990</wp:posOffset>
            </wp:positionV>
            <wp:extent cx="4836160" cy="2228850"/>
            <wp:effectExtent l="0" t="0" r="2540" b="0"/>
            <wp:wrapSquare wrapText="bothSides"/>
            <wp:docPr id="12" name="图表 12"/>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eastAsia="仿宋"/>
          <w:sz w:val="32"/>
          <w:szCs w:val="32"/>
        </w:rPr>
        <w:t>一般公共预算财政拨款支出决算变动情况</w:t>
      </w:r>
    </w:p>
    <w:p>
      <w:pPr>
        <w:spacing w:line="600" w:lineRule="exact"/>
        <w:ind w:firstLine="642" w:firstLineChars="200"/>
        <w:outlineLvl w:val="2"/>
        <w:rPr>
          <w:rFonts w:eastAsia="仿宋"/>
          <w:b/>
          <w:sz w:val="32"/>
          <w:szCs w:val="32"/>
        </w:rPr>
      </w:pPr>
      <w:bookmarkStart w:id="30" w:name="_Toc15377211"/>
      <w:r>
        <w:rPr>
          <w:rFonts w:eastAsia="仿宋"/>
          <w:b/>
          <w:sz w:val="32"/>
          <w:szCs w:val="32"/>
        </w:rPr>
        <w:t>（二）一般公共预算财政拨款支出决算结构情况</w:t>
      </w:r>
      <w:bookmarkEnd w:id="30"/>
    </w:p>
    <w:p>
      <w:pPr>
        <w:spacing w:line="600" w:lineRule="exact"/>
        <w:ind w:firstLine="640" w:firstLineChars="200"/>
        <w:outlineLvl w:val="2"/>
        <w:rPr>
          <w:rFonts w:eastAsia="仿宋_GB2312"/>
          <w:color w:val="000000"/>
          <w:sz w:val="32"/>
          <w:szCs w:val="32"/>
          <w:lang w:val="zh-CN"/>
        </w:rPr>
      </w:pPr>
      <w:r>
        <w:rPr>
          <w:rFonts w:eastAsia="仿宋"/>
          <w:sz w:val="32"/>
          <w:szCs w:val="32"/>
        </w:rPr>
        <w:t>2024年度一般公共预算财政拨款支出41735.37万元，主要用于以下方面：</w:t>
      </w:r>
      <w:r>
        <w:rPr>
          <w:rFonts w:eastAsia="仿宋_GB2312"/>
          <w:color w:val="000000"/>
          <w:sz w:val="32"/>
          <w:szCs w:val="32"/>
          <w:lang w:val="zh-CN"/>
        </w:rPr>
        <w:t>社会保障和就业支出</w:t>
      </w:r>
      <w:r>
        <w:rPr>
          <w:rFonts w:eastAsia="仿宋_GB2312"/>
          <w:color w:val="000000"/>
          <w:sz w:val="32"/>
          <w:szCs w:val="32"/>
        </w:rPr>
        <w:t>195.53</w:t>
      </w:r>
      <w:r>
        <w:rPr>
          <w:rFonts w:eastAsia="仿宋_GB2312"/>
          <w:color w:val="000000"/>
          <w:sz w:val="32"/>
          <w:szCs w:val="32"/>
          <w:lang w:val="zh-CN"/>
        </w:rPr>
        <w:t>万元，占0.4</w:t>
      </w:r>
      <w:r>
        <w:rPr>
          <w:rFonts w:eastAsia="仿宋_GB2312"/>
          <w:color w:val="000000"/>
          <w:sz w:val="32"/>
          <w:szCs w:val="32"/>
        </w:rPr>
        <w:t>7</w:t>
      </w:r>
      <w:r>
        <w:rPr>
          <w:rFonts w:eastAsia="仿宋_GB2312"/>
          <w:color w:val="000000"/>
          <w:sz w:val="32"/>
          <w:szCs w:val="32"/>
          <w:lang w:val="zh-CN"/>
        </w:rPr>
        <w:t>%；卫生健康支出</w:t>
      </w:r>
      <w:r>
        <w:rPr>
          <w:rFonts w:eastAsia="仿宋_GB2312"/>
          <w:color w:val="000000"/>
          <w:sz w:val="32"/>
          <w:szCs w:val="32"/>
        </w:rPr>
        <w:t>44.45</w:t>
      </w:r>
      <w:r>
        <w:rPr>
          <w:rFonts w:eastAsia="仿宋_GB2312"/>
          <w:color w:val="000000"/>
          <w:sz w:val="32"/>
          <w:szCs w:val="32"/>
          <w:lang w:val="zh-CN"/>
        </w:rPr>
        <w:t>万元，占</w:t>
      </w:r>
      <w:r>
        <w:rPr>
          <w:rFonts w:eastAsia="仿宋_GB2312"/>
          <w:color w:val="000000"/>
          <w:sz w:val="32"/>
          <w:szCs w:val="32"/>
        </w:rPr>
        <w:t>0.107</w:t>
      </w:r>
      <w:r>
        <w:rPr>
          <w:rFonts w:eastAsia="仿宋_GB2312"/>
          <w:color w:val="000000"/>
          <w:sz w:val="32"/>
          <w:szCs w:val="32"/>
          <w:lang w:val="zh-CN"/>
        </w:rPr>
        <w:t>%；节能环保支出</w:t>
      </w:r>
      <w:r>
        <w:rPr>
          <w:rFonts w:eastAsia="仿宋_GB2312"/>
          <w:color w:val="000000"/>
          <w:sz w:val="32"/>
          <w:szCs w:val="32"/>
        </w:rPr>
        <w:t>5980</w:t>
      </w:r>
      <w:r>
        <w:rPr>
          <w:rFonts w:eastAsia="仿宋_GB2312"/>
          <w:color w:val="000000"/>
          <w:sz w:val="32"/>
          <w:szCs w:val="32"/>
          <w:lang w:val="zh-CN"/>
        </w:rPr>
        <w:t>万元，占</w:t>
      </w:r>
      <w:r>
        <w:rPr>
          <w:rFonts w:eastAsia="仿宋_GB2312"/>
          <w:color w:val="000000"/>
          <w:sz w:val="32"/>
          <w:szCs w:val="32"/>
        </w:rPr>
        <w:t>14.3</w:t>
      </w:r>
      <w:r>
        <w:rPr>
          <w:rFonts w:eastAsia="仿宋_GB2312"/>
          <w:color w:val="000000"/>
          <w:sz w:val="32"/>
          <w:szCs w:val="32"/>
          <w:lang w:val="zh-CN"/>
        </w:rPr>
        <w:t>%；城乡社区支出</w:t>
      </w:r>
      <w:r>
        <w:rPr>
          <w:rFonts w:eastAsia="仿宋_GB2312"/>
          <w:color w:val="000000"/>
          <w:sz w:val="32"/>
          <w:szCs w:val="32"/>
        </w:rPr>
        <w:t>18886.16</w:t>
      </w:r>
      <w:r>
        <w:rPr>
          <w:rFonts w:eastAsia="仿宋_GB2312"/>
          <w:color w:val="000000"/>
          <w:sz w:val="32"/>
          <w:szCs w:val="32"/>
          <w:lang w:val="zh-CN"/>
        </w:rPr>
        <w:t>万元，占</w:t>
      </w:r>
      <w:r>
        <w:rPr>
          <w:rFonts w:eastAsia="仿宋_GB2312"/>
          <w:color w:val="000000"/>
          <w:sz w:val="32"/>
          <w:szCs w:val="32"/>
        </w:rPr>
        <w:t>45.3</w:t>
      </w:r>
      <w:r>
        <w:rPr>
          <w:rFonts w:eastAsia="仿宋_GB2312"/>
          <w:color w:val="000000"/>
          <w:sz w:val="32"/>
          <w:szCs w:val="32"/>
          <w:lang w:val="zh-CN"/>
        </w:rPr>
        <w:t>%；住房保障支出</w:t>
      </w:r>
      <w:r>
        <w:rPr>
          <w:rFonts w:eastAsia="仿宋_GB2312"/>
          <w:color w:val="000000"/>
          <w:sz w:val="32"/>
          <w:szCs w:val="32"/>
        </w:rPr>
        <w:t>16629.23</w:t>
      </w:r>
      <w:r>
        <w:rPr>
          <w:rFonts w:eastAsia="仿宋_GB2312"/>
          <w:color w:val="000000"/>
          <w:sz w:val="32"/>
          <w:szCs w:val="32"/>
          <w:lang w:val="zh-CN"/>
        </w:rPr>
        <w:t>万元，占</w:t>
      </w:r>
      <w:r>
        <w:rPr>
          <w:rFonts w:eastAsia="仿宋_GB2312"/>
          <w:color w:val="000000"/>
          <w:sz w:val="32"/>
          <w:szCs w:val="32"/>
        </w:rPr>
        <w:t>40</w:t>
      </w:r>
      <w:r>
        <w:rPr>
          <w:rFonts w:eastAsia="仿宋_GB2312"/>
          <w:color w:val="000000"/>
          <w:sz w:val="32"/>
          <w:szCs w:val="32"/>
          <w:lang w:val="zh-CN"/>
        </w:rPr>
        <w:t>%。</w:t>
      </w:r>
    </w:p>
    <w:p>
      <w:pPr>
        <w:spacing w:line="600" w:lineRule="exact"/>
        <w:jc w:val="center"/>
        <w:rPr>
          <w:rFonts w:eastAsia="仿宋"/>
          <w:sz w:val="32"/>
          <w:szCs w:val="32"/>
        </w:rPr>
      </w:pPr>
      <w:r>
        <w:rPr>
          <w:rFonts w:eastAsia="仿宋"/>
          <w:sz w:val="32"/>
          <w:szCs w:val="32"/>
        </w:rPr>
        <w:drawing>
          <wp:anchor distT="0" distB="0" distL="114300" distR="114300" simplePos="0" relativeHeight="251665408" behindDoc="0" locked="0" layoutInCell="1" allowOverlap="1">
            <wp:simplePos x="0" y="0"/>
            <wp:positionH relativeFrom="column">
              <wp:posOffset>67310</wp:posOffset>
            </wp:positionH>
            <wp:positionV relativeFrom="paragraph">
              <wp:posOffset>446405</wp:posOffset>
            </wp:positionV>
            <wp:extent cx="5457825" cy="2893060"/>
            <wp:effectExtent l="0" t="0" r="9525" b="2540"/>
            <wp:wrapSquare wrapText="bothSides"/>
            <wp:docPr id="13" name="图表 13"/>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r>
        <w:rPr>
          <w:rFonts w:eastAsia="仿宋"/>
          <w:sz w:val="32"/>
          <w:szCs w:val="32"/>
        </w:rPr>
        <w:t>一般公共预算财政拨款支出决算结构</w:t>
      </w:r>
    </w:p>
    <w:p>
      <w:pPr>
        <w:spacing w:line="600" w:lineRule="exact"/>
        <w:ind w:firstLine="642" w:firstLineChars="200"/>
        <w:outlineLvl w:val="2"/>
        <w:rPr>
          <w:rFonts w:eastAsia="仿宋"/>
          <w:b/>
          <w:sz w:val="32"/>
          <w:szCs w:val="32"/>
        </w:rPr>
      </w:pPr>
      <w:bookmarkStart w:id="31" w:name="_Toc15377212"/>
      <w:r>
        <w:rPr>
          <w:rFonts w:eastAsia="仿宋"/>
          <w:b/>
          <w:sz w:val="32"/>
          <w:szCs w:val="32"/>
        </w:rPr>
        <w:t>（三）一般公共预算财政拨款支出决算具体情况</w:t>
      </w:r>
      <w:bookmarkEnd w:id="31"/>
    </w:p>
    <w:p>
      <w:pPr>
        <w:spacing w:line="600" w:lineRule="exact"/>
        <w:ind w:firstLine="642" w:firstLineChars="200"/>
        <w:outlineLvl w:val="2"/>
        <w:rPr>
          <w:rFonts w:eastAsia="仿宋"/>
          <w:sz w:val="32"/>
          <w:szCs w:val="32"/>
        </w:rPr>
      </w:pPr>
      <w:bookmarkStart w:id="32" w:name="_Toc15377444"/>
      <w:bookmarkStart w:id="33" w:name="_Toc15377213"/>
      <w:bookmarkStart w:id="34" w:name="_Toc15378460"/>
      <w:r>
        <w:rPr>
          <w:rFonts w:eastAsia="仿宋"/>
          <w:b/>
          <w:sz w:val="32"/>
          <w:szCs w:val="32"/>
        </w:rPr>
        <w:t>2024年度一般公共预算支出决算数为</w:t>
      </w:r>
      <w:r>
        <w:rPr>
          <w:rFonts w:eastAsia="仿宋"/>
          <w:sz w:val="32"/>
          <w:szCs w:val="32"/>
        </w:rPr>
        <w:t>41735.37</w:t>
      </w:r>
      <w:r>
        <w:rPr>
          <w:sz w:val="32"/>
          <w:szCs w:val="32"/>
        </w:rPr>
        <w:t>万元</w:t>
      </w:r>
      <w:r>
        <w:rPr>
          <w:rFonts w:eastAsia="仿宋"/>
          <w:sz w:val="32"/>
          <w:szCs w:val="32"/>
        </w:rPr>
        <w:t>，</w:t>
      </w:r>
      <w:r>
        <w:rPr>
          <w:rStyle w:val="16"/>
          <w:rFonts w:eastAsia="仿宋"/>
          <w:bCs/>
          <w:sz w:val="32"/>
          <w:szCs w:val="32"/>
        </w:rPr>
        <w:t>完成预算100%。其中：</w:t>
      </w:r>
      <w:bookmarkEnd w:id="32"/>
      <w:bookmarkEnd w:id="33"/>
      <w:bookmarkEnd w:id="34"/>
    </w:p>
    <w:p>
      <w:pPr>
        <w:spacing w:line="600" w:lineRule="exact"/>
        <w:ind w:firstLine="642" w:firstLineChars="200"/>
        <w:rPr>
          <w:rFonts w:eastAsia="仿宋_GB2312"/>
          <w:color w:val="000000"/>
          <w:sz w:val="32"/>
          <w:szCs w:val="32"/>
        </w:rPr>
      </w:pPr>
      <w:r>
        <w:rPr>
          <w:rFonts w:eastAsia="仿宋_GB2312"/>
          <w:b/>
          <w:bCs/>
          <w:color w:val="000000"/>
          <w:sz w:val="32"/>
          <w:szCs w:val="32"/>
        </w:rPr>
        <w:t>1. 社会保障和就业支出：</w:t>
      </w:r>
      <w:r>
        <w:rPr>
          <w:rFonts w:eastAsia="仿宋"/>
          <w:sz w:val="32"/>
          <w:szCs w:val="32"/>
        </w:rPr>
        <w:t>支出决算为195.53万元，完成预算100%，</w:t>
      </w:r>
      <w:r>
        <w:rPr>
          <w:rFonts w:eastAsia="仿宋_GB2312"/>
          <w:color w:val="000000"/>
          <w:sz w:val="32"/>
          <w:szCs w:val="32"/>
        </w:rPr>
        <w:t>其中：行政事业单位养老支出－机关事业单位基本养老保险缴费支出90.44万元，机关事业单位职业年金缴费支出90.44万元，其他行政事业单位养老支出57.89万元；其他社会保障和就业支出－其他社会保障和就业支出2.59万元。</w:t>
      </w:r>
    </w:p>
    <w:p>
      <w:pPr>
        <w:spacing w:line="600" w:lineRule="exact"/>
        <w:ind w:firstLine="642" w:firstLineChars="200"/>
        <w:rPr>
          <w:rFonts w:eastAsia="仿宋_GB2312"/>
          <w:color w:val="000000"/>
          <w:sz w:val="32"/>
          <w:szCs w:val="32"/>
        </w:rPr>
      </w:pPr>
      <w:r>
        <w:rPr>
          <w:rFonts w:eastAsia="仿宋_GB2312"/>
          <w:b/>
          <w:bCs/>
          <w:color w:val="000000"/>
          <w:sz w:val="32"/>
          <w:szCs w:val="32"/>
        </w:rPr>
        <w:t>2.卫生健康支出：</w:t>
      </w:r>
      <w:r>
        <w:rPr>
          <w:rFonts w:eastAsia="仿宋"/>
          <w:sz w:val="32"/>
          <w:szCs w:val="32"/>
        </w:rPr>
        <w:t>支出决算为44.45万元，完成预算100%，</w:t>
      </w:r>
      <w:r>
        <w:rPr>
          <w:rFonts w:eastAsia="仿宋_GB2312"/>
          <w:color w:val="000000"/>
          <w:sz w:val="32"/>
          <w:szCs w:val="32"/>
        </w:rPr>
        <w:t>其中：行政事业单位医疗－行政单位医疗44.45万元，事业单位医疗11.73万元，公务员医疗补助5.4万元，其他行政事业单位医疗支出10.38万元。</w:t>
      </w:r>
    </w:p>
    <w:p>
      <w:pPr>
        <w:spacing w:line="600" w:lineRule="exact"/>
        <w:ind w:firstLine="642" w:firstLineChars="200"/>
        <w:rPr>
          <w:rFonts w:eastAsia="仿宋"/>
          <w:sz w:val="32"/>
          <w:szCs w:val="32"/>
        </w:rPr>
      </w:pPr>
      <w:r>
        <w:rPr>
          <w:rFonts w:eastAsia="仿宋_GB2312"/>
          <w:b/>
          <w:bCs/>
          <w:color w:val="000000"/>
          <w:sz w:val="32"/>
          <w:szCs w:val="32"/>
        </w:rPr>
        <w:t>3.节能环保支出：</w:t>
      </w:r>
      <w:r>
        <w:rPr>
          <w:rFonts w:eastAsia="仿宋"/>
          <w:sz w:val="32"/>
          <w:szCs w:val="32"/>
        </w:rPr>
        <w:t>支出决算为5980万元，完成预算100%，其中：污染防治－水体5980万元。</w:t>
      </w:r>
    </w:p>
    <w:p>
      <w:pPr>
        <w:spacing w:line="600" w:lineRule="exact"/>
        <w:ind w:firstLine="642" w:firstLineChars="200"/>
        <w:rPr>
          <w:rFonts w:eastAsia="仿宋"/>
          <w:sz w:val="32"/>
          <w:szCs w:val="32"/>
        </w:rPr>
      </w:pPr>
      <w:r>
        <w:rPr>
          <w:rFonts w:eastAsia="仿宋_GB2312"/>
          <w:b/>
          <w:bCs/>
          <w:color w:val="000000"/>
          <w:sz w:val="32"/>
          <w:szCs w:val="32"/>
        </w:rPr>
        <w:t>4.城乡社区支出：</w:t>
      </w:r>
      <w:r>
        <w:rPr>
          <w:rFonts w:eastAsia="仿宋"/>
          <w:sz w:val="32"/>
          <w:szCs w:val="32"/>
        </w:rPr>
        <w:t>支出决算为18886.16万元，完成预算100%，</w:t>
      </w:r>
      <w:r>
        <w:rPr>
          <w:rFonts w:eastAsia="仿宋_GB2312"/>
          <w:color w:val="000000"/>
          <w:sz w:val="32"/>
          <w:szCs w:val="32"/>
        </w:rPr>
        <w:t>其中：城乡社区管理事务－行政运行537.5万元，一般行政管理事务321.99万元，工程建设管理135.04万元，住宅建设与房地产市场监管853万元，其他城乡社区管理事务支出1811.28万元；城乡社区规划与管理－城乡社区规划与管理114.98万元；城乡社区公共设施－其他城乡社区公共设施14120.12万元；其他城乡社区支出－其他城乡社区支出897.85万元。</w:t>
      </w:r>
    </w:p>
    <w:p>
      <w:pPr>
        <w:spacing w:line="600" w:lineRule="exact"/>
        <w:ind w:firstLine="642" w:firstLineChars="200"/>
        <w:rPr>
          <w:rFonts w:eastAsia="仿宋_GB2312"/>
          <w:color w:val="000000"/>
          <w:sz w:val="32"/>
          <w:szCs w:val="32"/>
        </w:rPr>
      </w:pPr>
      <w:r>
        <w:rPr>
          <w:rFonts w:eastAsia="仿宋_GB2312"/>
          <w:b/>
          <w:bCs/>
          <w:color w:val="000000"/>
          <w:sz w:val="32"/>
          <w:szCs w:val="32"/>
        </w:rPr>
        <w:t>5.住房保障支出：</w:t>
      </w:r>
      <w:r>
        <w:rPr>
          <w:rFonts w:eastAsia="仿宋"/>
          <w:sz w:val="32"/>
          <w:szCs w:val="32"/>
        </w:rPr>
        <w:t>支出决算为16629.23万元，完成预算100%，</w:t>
      </w:r>
      <w:r>
        <w:rPr>
          <w:rFonts w:eastAsia="仿宋_GB2312"/>
          <w:color w:val="000000"/>
          <w:sz w:val="32"/>
          <w:szCs w:val="32"/>
        </w:rPr>
        <w:t>其中：保障性安居工程支出-棚户区改造6350万元，农村危房改造10.10万元，公共租赁住房171.89万元，保障性住房租金补贴4.93万元，老旧小区改造9275.06万元，保障性租赁住房162.01万元，其他保障性安居工程支出284.80万元；住房改革支出－住房公积金74.38万元；城乡社区住宅－其他城乡社区住宅支出296.06万元。</w:t>
      </w:r>
    </w:p>
    <w:p>
      <w:pPr>
        <w:tabs>
          <w:tab w:val="right" w:pos="8306"/>
        </w:tabs>
        <w:spacing w:line="600" w:lineRule="exact"/>
        <w:ind w:firstLine="640"/>
        <w:outlineLvl w:val="1"/>
        <w:rPr>
          <w:rStyle w:val="28"/>
          <w:rFonts w:ascii="Times New Roman" w:hAnsi="Times New Roman" w:cs="Times New Roman"/>
        </w:rPr>
      </w:pPr>
      <w:bookmarkStart w:id="35" w:name="_Toc15377214"/>
      <w:bookmarkStart w:id="36" w:name="_Toc15396608"/>
      <w:r>
        <w:rPr>
          <w:rFonts w:eastAsia="黑体"/>
          <w:sz w:val="32"/>
          <w:szCs w:val="32"/>
        </w:rPr>
        <w:t>六</w:t>
      </w:r>
      <w:r>
        <w:rPr>
          <w:rFonts w:eastAsia="黑体"/>
          <w:b/>
          <w:sz w:val="32"/>
          <w:szCs w:val="32"/>
        </w:rPr>
        <w:t>、一</w:t>
      </w:r>
      <w:r>
        <w:rPr>
          <w:rStyle w:val="28"/>
          <w:rFonts w:ascii="Times New Roman" w:hAnsi="Times New Roman" w:eastAsia="黑体" w:cs="Times New Roman"/>
          <w:b w:val="0"/>
        </w:rPr>
        <w:t>般公共预算财政拨款基本支出决算情况说明</w:t>
      </w:r>
      <w:bookmarkEnd w:id="35"/>
      <w:bookmarkEnd w:id="36"/>
      <w:r>
        <w:rPr>
          <w:rStyle w:val="28"/>
          <w:rFonts w:ascii="Times New Roman" w:hAnsi="Times New Roman" w:eastAsia="黑体" w:cs="Times New Roman"/>
          <w:b w:val="0"/>
        </w:rPr>
        <w:tab/>
      </w:r>
    </w:p>
    <w:p>
      <w:pPr>
        <w:spacing w:line="600" w:lineRule="exact"/>
        <w:ind w:firstLine="645"/>
        <w:rPr>
          <w:rFonts w:eastAsia="仿宋"/>
          <w:sz w:val="32"/>
          <w:szCs w:val="32"/>
        </w:rPr>
      </w:pPr>
      <w:r>
        <w:rPr>
          <w:rFonts w:eastAsia="仿宋"/>
          <w:sz w:val="32"/>
          <w:szCs w:val="32"/>
        </w:rPr>
        <w:t>2024年度一般公共预算财政拨款基本支出1120.12万元，其中：</w:t>
      </w:r>
    </w:p>
    <w:p>
      <w:pPr>
        <w:spacing w:line="576" w:lineRule="exact"/>
        <w:ind w:firstLine="643"/>
        <w:rPr>
          <w:rFonts w:eastAsia="仿宋_GB2312"/>
          <w:color w:val="000000"/>
          <w:sz w:val="32"/>
          <w:szCs w:val="32"/>
          <w:lang w:val="zh-CN"/>
        </w:rPr>
      </w:pPr>
      <w:r>
        <w:rPr>
          <w:rFonts w:eastAsia="仿宋_GB2312"/>
          <w:b/>
          <w:bCs/>
          <w:color w:val="000000"/>
          <w:sz w:val="32"/>
          <w:szCs w:val="32"/>
          <w:lang w:val="zh-CN"/>
        </w:rPr>
        <w:t>人员经费</w:t>
      </w:r>
      <w:r>
        <w:rPr>
          <w:rFonts w:eastAsia="仿宋_GB2312"/>
          <w:color w:val="000000"/>
          <w:sz w:val="32"/>
          <w:szCs w:val="32"/>
        </w:rPr>
        <w:t>1008.82</w:t>
      </w:r>
      <w:r>
        <w:rPr>
          <w:rFonts w:eastAsia="仿宋_GB2312"/>
          <w:color w:val="000000"/>
          <w:sz w:val="32"/>
          <w:szCs w:val="32"/>
          <w:lang w:val="zh-CN"/>
        </w:rPr>
        <w:t>万元，主要包括：</w:t>
      </w:r>
      <w:r>
        <w:rPr>
          <w:rFonts w:eastAsia="仿宋"/>
          <w:sz w:val="32"/>
          <w:szCs w:val="32"/>
        </w:rPr>
        <w:t>基本工资236.75万元、津贴补贴86.24万元、奖金273.42万元、绩效工资61.49万元、机关事业单位基本养老保险缴费90.44万元、职业年金缴费43.71万元、职工基本医疗保险缴费28.67万元、公务员医疗补助缴费5.4万元、其他社会保障缴费2.59万元、住房公积金74.38万元、医疗费8.02万元、其他工资福利支出28.8万元、生活补助61.55万元、医疗费补助7.22万元、奖励金0.12万元</w:t>
      </w:r>
      <w:r>
        <w:rPr>
          <w:rFonts w:eastAsia="仿宋_GB2312"/>
          <w:color w:val="000000"/>
          <w:sz w:val="32"/>
          <w:szCs w:val="32"/>
          <w:lang w:val="zh-CN"/>
        </w:rPr>
        <w:t>。</w:t>
      </w:r>
    </w:p>
    <w:p>
      <w:pPr>
        <w:spacing w:line="600" w:lineRule="exact"/>
        <w:ind w:firstLine="645"/>
        <w:rPr>
          <w:rFonts w:eastAsia="仿宋"/>
          <w:b/>
          <w:sz w:val="32"/>
          <w:szCs w:val="32"/>
        </w:rPr>
      </w:pPr>
      <w:r>
        <w:rPr>
          <w:rFonts w:eastAsia="仿宋_GB2312"/>
          <w:b/>
          <w:bCs/>
          <w:color w:val="000000"/>
          <w:sz w:val="32"/>
          <w:szCs w:val="32"/>
          <w:lang w:val="zh-CN"/>
        </w:rPr>
        <w:t>公用经费</w:t>
      </w:r>
      <w:r>
        <w:rPr>
          <w:rFonts w:eastAsia="仿宋_GB2312"/>
          <w:color w:val="000000"/>
          <w:sz w:val="32"/>
          <w:szCs w:val="32"/>
        </w:rPr>
        <w:t>111.2</w:t>
      </w:r>
      <w:r>
        <w:rPr>
          <w:rFonts w:eastAsia="仿宋_GB2312"/>
          <w:color w:val="000000"/>
          <w:sz w:val="32"/>
          <w:szCs w:val="32"/>
          <w:lang w:val="zh-CN"/>
        </w:rPr>
        <w:t>万元，主要包括：</w:t>
      </w:r>
      <w:r>
        <w:rPr>
          <w:rFonts w:eastAsia="仿宋"/>
          <w:sz w:val="32"/>
          <w:szCs w:val="32"/>
        </w:rPr>
        <w:t>办公费25万元、咨询费3万元、水费1.2万元、电费6.5万元、邮电费7万元、物业管理费5万元、差旅费29.4万元、维修（护）费2万元、公务接待费0.7万元、劳务费5万元、公务用车运行维护费2.14万元、其他交通费15.45万元、其他商品和服务支出3.94万元</w:t>
      </w:r>
      <w:r>
        <w:rPr>
          <w:rFonts w:eastAsia="仿宋_GB2312"/>
          <w:color w:val="000000"/>
          <w:sz w:val="32"/>
          <w:szCs w:val="32"/>
          <w:lang w:val="zh-CN"/>
        </w:rPr>
        <w:t>。</w:t>
      </w:r>
    </w:p>
    <w:p>
      <w:pPr>
        <w:spacing w:line="600" w:lineRule="exact"/>
        <w:ind w:firstLine="640"/>
        <w:outlineLvl w:val="1"/>
        <w:rPr>
          <w:rStyle w:val="28"/>
          <w:rFonts w:ascii="Times New Roman" w:hAnsi="Times New Roman" w:eastAsia="黑体" w:cs="Times New Roman"/>
          <w:b w:val="0"/>
        </w:rPr>
      </w:pPr>
      <w:bookmarkStart w:id="37" w:name="_Toc15377215"/>
      <w:bookmarkStart w:id="38" w:name="_Toc15396609"/>
      <w:r>
        <w:rPr>
          <w:rFonts w:eastAsia="黑体"/>
          <w:sz w:val="32"/>
          <w:szCs w:val="32"/>
        </w:rPr>
        <w:t>七、</w:t>
      </w:r>
      <w:r>
        <w:rPr>
          <w:rStyle w:val="28"/>
          <w:rFonts w:ascii="Times New Roman" w:hAnsi="Times New Roman" w:eastAsia="黑体" w:cs="Times New Roman"/>
          <w:b w:val="0"/>
        </w:rPr>
        <w:t>财政拨款</w:t>
      </w:r>
      <w:r>
        <w:rPr>
          <w:rStyle w:val="28"/>
          <w:rFonts w:ascii="Times New Roman" w:hAnsi="Times New Roman" w:eastAsia="黑体" w:cs="Times New Roman"/>
        </w:rPr>
        <w:t>“</w:t>
      </w:r>
      <w:r>
        <w:rPr>
          <w:rStyle w:val="28"/>
          <w:rFonts w:ascii="Times New Roman" w:hAnsi="Times New Roman" w:eastAsia="黑体" w:cs="Times New Roman"/>
          <w:b w:val="0"/>
        </w:rPr>
        <w:t>三公”经费支出决算情况说明</w:t>
      </w:r>
      <w:bookmarkEnd w:id="37"/>
      <w:bookmarkEnd w:id="38"/>
    </w:p>
    <w:p>
      <w:pPr>
        <w:spacing w:line="600" w:lineRule="exact"/>
        <w:ind w:firstLine="640"/>
        <w:outlineLvl w:val="2"/>
        <w:rPr>
          <w:rFonts w:eastAsia="仿宋"/>
          <w:b/>
          <w:sz w:val="32"/>
          <w:szCs w:val="32"/>
        </w:rPr>
      </w:pPr>
      <w:bookmarkStart w:id="39" w:name="_Toc15377216"/>
      <w:r>
        <w:rPr>
          <w:rFonts w:eastAsia="仿宋"/>
          <w:b/>
          <w:sz w:val="32"/>
          <w:szCs w:val="32"/>
        </w:rPr>
        <w:t>（一）“三公”经费财政拨款支出决算总体情况说明</w:t>
      </w:r>
      <w:bookmarkEnd w:id="39"/>
    </w:p>
    <w:p>
      <w:pPr>
        <w:spacing w:line="600" w:lineRule="exact"/>
        <w:ind w:firstLine="640"/>
        <w:rPr>
          <w:rFonts w:eastAsia="仿宋"/>
          <w:b/>
          <w:sz w:val="32"/>
          <w:szCs w:val="32"/>
        </w:rPr>
      </w:pPr>
      <w:r>
        <w:rPr>
          <w:rFonts w:eastAsia="仿宋"/>
          <w:sz w:val="32"/>
          <w:szCs w:val="32"/>
        </w:rPr>
        <w:t>2024年度“三公”经费财政拨款支出决算为2.84万元，完成预算</w:t>
      </w:r>
      <w:r>
        <w:rPr>
          <w:sz w:val="32"/>
          <w:szCs w:val="32"/>
        </w:rPr>
        <w:t>100</w:t>
      </w:r>
      <w:r>
        <w:rPr>
          <w:rFonts w:eastAsia="仿宋"/>
          <w:sz w:val="32"/>
          <w:szCs w:val="32"/>
        </w:rPr>
        <w:t>%，较上年度减少3.25万元，减少53.4%。</w:t>
      </w:r>
    </w:p>
    <w:p>
      <w:pPr>
        <w:spacing w:line="600" w:lineRule="exact"/>
        <w:ind w:firstLine="640"/>
        <w:outlineLvl w:val="2"/>
        <w:rPr>
          <w:rFonts w:eastAsia="仿宋"/>
          <w:b/>
          <w:sz w:val="32"/>
          <w:szCs w:val="32"/>
        </w:rPr>
      </w:pPr>
      <w:bookmarkStart w:id="40" w:name="_Toc15377217"/>
      <w:r>
        <w:rPr>
          <w:rFonts w:eastAsia="仿宋"/>
          <w:b/>
          <w:sz w:val="32"/>
          <w:szCs w:val="32"/>
        </w:rPr>
        <w:t>（二）“三公”经费财政拨款支出决算具体情况说明</w:t>
      </w:r>
      <w:bookmarkEnd w:id="40"/>
    </w:p>
    <w:p>
      <w:pPr>
        <w:spacing w:line="600" w:lineRule="exact"/>
        <w:ind w:firstLine="640"/>
        <w:rPr>
          <w:rFonts w:eastAsia="仿宋"/>
          <w:sz w:val="32"/>
          <w:szCs w:val="32"/>
        </w:rPr>
      </w:pPr>
      <w:r>
        <w:rPr>
          <w:rFonts w:eastAsia="仿宋"/>
          <w:sz w:val="32"/>
          <w:szCs w:val="32"/>
        </w:rPr>
        <w:t>2024年度“三公”经费财政拨款支出决算中，因公出国（境）费支出决算</w:t>
      </w:r>
      <w:r>
        <w:rPr>
          <w:sz w:val="32"/>
          <w:szCs w:val="32"/>
        </w:rPr>
        <w:t>0</w:t>
      </w:r>
      <w:r>
        <w:rPr>
          <w:rFonts w:eastAsia="仿宋"/>
          <w:sz w:val="32"/>
          <w:szCs w:val="32"/>
        </w:rPr>
        <w:t>万元，占</w:t>
      </w:r>
      <w:r>
        <w:rPr>
          <w:sz w:val="32"/>
          <w:szCs w:val="32"/>
        </w:rPr>
        <w:t>0</w:t>
      </w:r>
      <w:r>
        <w:rPr>
          <w:rFonts w:eastAsia="仿宋"/>
          <w:sz w:val="32"/>
          <w:szCs w:val="32"/>
        </w:rPr>
        <w:t>%；公务用车购置及运行维护费支出决算2.14万元，占75.4%；公务接待费支出决算0.7万元，占24.6%。具体情况如下：</w:t>
      </w:r>
    </w:p>
    <w:p>
      <w:pPr>
        <w:spacing w:line="600" w:lineRule="exact"/>
        <w:jc w:val="center"/>
        <w:rPr>
          <w:rFonts w:eastAsia="仿宋"/>
          <w:sz w:val="32"/>
          <w:szCs w:val="32"/>
        </w:rPr>
      </w:pPr>
      <w:r>
        <w:rPr>
          <w:rFonts w:eastAsia="仿宋"/>
          <w:sz w:val="32"/>
          <w:szCs w:val="32"/>
        </w:rPr>
        <w:drawing>
          <wp:anchor distT="0" distB="0" distL="114300" distR="114300" simplePos="0" relativeHeight="251666432" behindDoc="0" locked="0" layoutInCell="1" allowOverlap="1">
            <wp:simplePos x="0" y="0"/>
            <wp:positionH relativeFrom="column">
              <wp:posOffset>88900</wp:posOffset>
            </wp:positionH>
            <wp:positionV relativeFrom="paragraph">
              <wp:posOffset>515620</wp:posOffset>
            </wp:positionV>
            <wp:extent cx="5225415" cy="2609850"/>
            <wp:effectExtent l="0" t="0" r="13335" b="0"/>
            <wp:wrapSquare wrapText="bothSides"/>
            <wp:docPr id="14" name="图表 14"/>
            <wp:cNvGraphicFramePr>
              <a:graphicFrameLocks xmlns:a="http://schemas.openxmlformats.org/drawingml/2006/main" noChangeAspect="true"/>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eastAsia="仿宋"/>
          <w:sz w:val="32"/>
          <w:szCs w:val="32"/>
        </w:rPr>
        <w:t>“三公”经费财政拨款支出结构</w:t>
      </w:r>
    </w:p>
    <w:p>
      <w:pPr>
        <w:spacing w:line="600" w:lineRule="exact"/>
        <w:ind w:firstLine="640"/>
        <w:rPr>
          <w:rFonts w:eastAsia="仿宋_GB2312"/>
          <w:sz w:val="32"/>
          <w:szCs w:val="32"/>
        </w:rPr>
      </w:pPr>
      <w:r>
        <w:rPr>
          <w:rFonts w:eastAsia="仿宋_GB2312"/>
          <w:b/>
          <w:sz w:val="32"/>
          <w:szCs w:val="32"/>
        </w:rPr>
        <w:t>1.因公出国（境）经费支出</w:t>
      </w:r>
      <w:r>
        <w:rPr>
          <w:sz w:val="32"/>
          <w:szCs w:val="32"/>
        </w:rPr>
        <w:t>0</w:t>
      </w:r>
      <w:r>
        <w:rPr>
          <w:rFonts w:eastAsia="仿宋_GB2312"/>
          <w:sz w:val="32"/>
          <w:szCs w:val="32"/>
        </w:rPr>
        <w:t>万元，</w:t>
      </w:r>
      <w:r>
        <w:rPr>
          <w:rStyle w:val="16"/>
          <w:rFonts w:eastAsia="仿宋"/>
          <w:b w:val="0"/>
          <w:bCs/>
          <w:sz w:val="32"/>
          <w:szCs w:val="32"/>
        </w:rPr>
        <w:t>完成预算</w:t>
      </w:r>
      <w:r>
        <w:rPr>
          <w:sz w:val="32"/>
          <w:szCs w:val="32"/>
        </w:rPr>
        <w:t>0</w:t>
      </w:r>
      <w:r>
        <w:rPr>
          <w:rStyle w:val="16"/>
          <w:rFonts w:eastAsia="仿宋"/>
          <w:b w:val="0"/>
          <w:bCs/>
          <w:sz w:val="32"/>
          <w:szCs w:val="32"/>
        </w:rPr>
        <w:t>%。</w:t>
      </w:r>
      <w:r>
        <w:rPr>
          <w:rFonts w:eastAsia="仿宋_GB2312"/>
          <w:sz w:val="32"/>
          <w:szCs w:val="32"/>
        </w:rPr>
        <w:t>全年安排因公出国（境）团组</w:t>
      </w:r>
      <w:r>
        <w:rPr>
          <w:sz w:val="32"/>
          <w:szCs w:val="32"/>
        </w:rPr>
        <w:t>0</w:t>
      </w:r>
      <w:r>
        <w:rPr>
          <w:rFonts w:eastAsia="仿宋_GB2312"/>
          <w:sz w:val="32"/>
          <w:szCs w:val="32"/>
        </w:rPr>
        <w:t>次，出国（境）</w:t>
      </w:r>
      <w:r>
        <w:rPr>
          <w:sz w:val="32"/>
          <w:szCs w:val="32"/>
        </w:rPr>
        <w:t>0</w:t>
      </w:r>
      <w:r>
        <w:rPr>
          <w:rFonts w:eastAsia="仿宋_GB2312"/>
          <w:sz w:val="32"/>
          <w:szCs w:val="32"/>
        </w:rPr>
        <w:t>人。因公出国（境）支出决算与2023年持平。</w:t>
      </w:r>
    </w:p>
    <w:p>
      <w:pPr>
        <w:spacing w:line="600" w:lineRule="exact"/>
        <w:ind w:firstLine="640"/>
        <w:rPr>
          <w:rFonts w:eastAsia="仿宋_GB2312"/>
          <w:b/>
          <w:sz w:val="32"/>
          <w:szCs w:val="32"/>
        </w:rPr>
      </w:pPr>
      <w:r>
        <w:rPr>
          <w:rFonts w:eastAsia="仿宋_GB2312"/>
          <w:b/>
          <w:sz w:val="32"/>
          <w:szCs w:val="32"/>
        </w:rPr>
        <w:t>2.公务用车购置及运行维护费支出2.14</w:t>
      </w:r>
      <w:r>
        <w:rPr>
          <w:rFonts w:eastAsia="仿宋_GB2312"/>
          <w:sz w:val="32"/>
          <w:szCs w:val="32"/>
        </w:rPr>
        <w:t>万元，</w:t>
      </w:r>
      <w:r>
        <w:rPr>
          <w:rStyle w:val="16"/>
          <w:rFonts w:eastAsia="仿宋"/>
          <w:b w:val="0"/>
          <w:bCs/>
          <w:sz w:val="32"/>
          <w:szCs w:val="32"/>
        </w:rPr>
        <w:t>完成预算</w:t>
      </w:r>
      <w:r>
        <w:rPr>
          <w:sz w:val="32"/>
          <w:szCs w:val="32"/>
        </w:rPr>
        <w:t>100</w:t>
      </w:r>
      <w:r>
        <w:rPr>
          <w:rStyle w:val="16"/>
          <w:rFonts w:eastAsia="仿宋"/>
          <w:b w:val="0"/>
          <w:bCs/>
          <w:sz w:val="32"/>
          <w:szCs w:val="32"/>
        </w:rPr>
        <w:t>%。</w:t>
      </w:r>
      <w:r>
        <w:rPr>
          <w:rFonts w:eastAsia="仿宋_GB2312"/>
          <w:sz w:val="32"/>
          <w:szCs w:val="32"/>
        </w:rPr>
        <w:t>公务用车购置及运行维护费支出决算</w:t>
      </w:r>
      <w:r>
        <w:rPr>
          <w:rFonts w:hint="eastAsia" w:eastAsia="仿宋_GB2312"/>
          <w:sz w:val="32"/>
          <w:szCs w:val="32"/>
        </w:rPr>
        <w:t>比</w:t>
      </w:r>
      <w:r>
        <w:rPr>
          <w:rFonts w:eastAsia="仿宋_GB2312"/>
          <w:sz w:val="32"/>
          <w:szCs w:val="32"/>
        </w:rPr>
        <w:t>2023年度降低</w:t>
      </w:r>
      <w:r>
        <w:rPr>
          <w:rFonts w:hint="eastAsia" w:eastAsia="仿宋_GB2312"/>
          <w:sz w:val="32"/>
          <w:szCs w:val="32"/>
        </w:rPr>
        <w:t>5</w:t>
      </w:r>
      <w:r>
        <w:rPr>
          <w:rFonts w:eastAsia="仿宋_GB2312"/>
          <w:sz w:val="32"/>
          <w:szCs w:val="32"/>
        </w:rPr>
        <w:t>7.2%。</w:t>
      </w:r>
    </w:p>
    <w:p>
      <w:pPr>
        <w:spacing w:line="600" w:lineRule="exact"/>
        <w:ind w:firstLine="640" w:firstLineChars="200"/>
        <w:rPr>
          <w:rFonts w:eastAsia="仿宋_GB2312"/>
          <w:b/>
          <w:sz w:val="32"/>
          <w:szCs w:val="32"/>
        </w:rPr>
      </w:pPr>
      <w:r>
        <w:rPr>
          <w:rFonts w:eastAsia="仿宋_GB2312"/>
          <w:sz w:val="32"/>
          <w:szCs w:val="32"/>
        </w:rPr>
        <w:t>其中：</w:t>
      </w:r>
      <w:r>
        <w:rPr>
          <w:rFonts w:eastAsia="仿宋_GB2312"/>
          <w:b/>
          <w:sz w:val="32"/>
          <w:szCs w:val="32"/>
        </w:rPr>
        <w:t>公务用车购置支出</w:t>
      </w:r>
      <w:r>
        <w:rPr>
          <w:sz w:val="32"/>
          <w:szCs w:val="32"/>
        </w:rPr>
        <w:t>0</w:t>
      </w:r>
      <w:r>
        <w:rPr>
          <w:rFonts w:eastAsia="仿宋_GB2312"/>
          <w:sz w:val="32"/>
          <w:szCs w:val="32"/>
        </w:rPr>
        <w:t>万元。截至2024年12月31日，单位共有公务用车2辆，其中：越野车2辆。</w:t>
      </w:r>
    </w:p>
    <w:p>
      <w:pPr>
        <w:spacing w:line="600" w:lineRule="exact"/>
        <w:ind w:firstLine="640"/>
        <w:rPr>
          <w:rFonts w:eastAsia="仿宋_GB2312"/>
          <w:sz w:val="32"/>
          <w:szCs w:val="32"/>
        </w:rPr>
      </w:pPr>
      <w:r>
        <w:rPr>
          <w:rFonts w:eastAsia="仿宋_GB2312"/>
          <w:b/>
          <w:sz w:val="32"/>
          <w:szCs w:val="32"/>
        </w:rPr>
        <w:t>公务用车运行维护费支出2.14</w:t>
      </w:r>
      <w:r>
        <w:rPr>
          <w:rFonts w:eastAsia="仿宋_GB2312"/>
          <w:sz w:val="32"/>
          <w:szCs w:val="32"/>
        </w:rPr>
        <w:t>万元。</w:t>
      </w:r>
      <w:r>
        <w:rPr>
          <w:rFonts w:eastAsia="仿宋_GB2312"/>
          <w:color w:val="000000"/>
          <w:sz w:val="32"/>
          <w:szCs w:val="32"/>
        </w:rPr>
        <w:t>主要用于质安站进行建筑工程质量安全监督检查和房产交易中心现场勘察等所需的公务用车燃料费、维修费、过路过桥费、保险费等支出。</w:t>
      </w:r>
    </w:p>
    <w:p>
      <w:pPr>
        <w:spacing w:line="600" w:lineRule="exact"/>
        <w:ind w:firstLine="640"/>
        <w:rPr>
          <w:rFonts w:eastAsia="仿宋_GB2312"/>
          <w:sz w:val="32"/>
          <w:szCs w:val="32"/>
        </w:rPr>
      </w:pPr>
      <w:r>
        <w:rPr>
          <w:rFonts w:eastAsia="仿宋_GB2312"/>
          <w:b/>
          <w:sz w:val="32"/>
          <w:szCs w:val="32"/>
        </w:rPr>
        <w:t>3.公务接待费支出</w:t>
      </w:r>
      <w:r>
        <w:rPr>
          <w:rFonts w:eastAsia="仿宋_GB2312"/>
          <w:sz w:val="32"/>
          <w:szCs w:val="32"/>
        </w:rPr>
        <w:t>0.7万元，</w:t>
      </w:r>
      <w:r>
        <w:rPr>
          <w:rStyle w:val="16"/>
          <w:rFonts w:eastAsia="仿宋"/>
          <w:b w:val="0"/>
          <w:bCs/>
          <w:sz w:val="32"/>
          <w:szCs w:val="32"/>
        </w:rPr>
        <w:t>完成预算</w:t>
      </w:r>
      <w:r>
        <w:rPr>
          <w:sz w:val="32"/>
          <w:szCs w:val="32"/>
        </w:rPr>
        <w:t>100%</w:t>
      </w:r>
      <w:r>
        <w:rPr>
          <w:rStyle w:val="16"/>
          <w:rFonts w:eastAsia="仿宋"/>
          <w:b w:val="0"/>
          <w:bCs/>
          <w:sz w:val="32"/>
          <w:szCs w:val="32"/>
        </w:rPr>
        <w:t>。</w:t>
      </w:r>
      <w:r>
        <w:rPr>
          <w:rFonts w:eastAsia="仿宋_GB2312"/>
          <w:sz w:val="32"/>
          <w:szCs w:val="32"/>
        </w:rPr>
        <w:t>公务接待费支出决算比2023年度减少0.39万元，主要原因是</w:t>
      </w:r>
      <w:r>
        <w:rPr>
          <w:rFonts w:hint="eastAsia" w:eastAsia="仿宋_GB2312"/>
          <w:sz w:val="32"/>
          <w:szCs w:val="32"/>
        </w:rPr>
        <w:t>城市品质提升打造幸福宜居绵竹工作专班接待减少</w:t>
      </w:r>
      <w:r>
        <w:rPr>
          <w:rFonts w:eastAsia="仿宋_GB2312"/>
          <w:sz w:val="32"/>
          <w:szCs w:val="32"/>
        </w:rPr>
        <w:t>。其中：</w:t>
      </w:r>
    </w:p>
    <w:p>
      <w:pPr>
        <w:snapToGrid w:val="0"/>
        <w:spacing w:line="576" w:lineRule="exact"/>
        <w:ind w:firstLine="640"/>
        <w:rPr>
          <w:rFonts w:eastAsia="仿宋_GB2312"/>
          <w:color w:val="FF0000"/>
          <w:sz w:val="32"/>
          <w:szCs w:val="32"/>
        </w:rPr>
      </w:pPr>
      <w:r>
        <w:rPr>
          <w:rFonts w:eastAsia="仿宋"/>
          <w:b/>
          <w:sz w:val="32"/>
          <w:szCs w:val="32"/>
        </w:rPr>
        <w:t>国内公务接待支出0.7</w:t>
      </w:r>
      <w:r>
        <w:rPr>
          <w:rFonts w:eastAsia="仿宋_GB2312"/>
          <w:sz w:val="32"/>
          <w:szCs w:val="32"/>
        </w:rPr>
        <w:t>万元，</w:t>
      </w:r>
      <w:r>
        <w:rPr>
          <w:rFonts w:eastAsia="仿宋_GB2312"/>
          <w:color w:val="000000"/>
          <w:sz w:val="32"/>
          <w:szCs w:val="32"/>
          <w:lang w:val="zh-CN"/>
        </w:rPr>
        <w:t>主要用于</w:t>
      </w:r>
      <w:r>
        <w:rPr>
          <w:rFonts w:eastAsia="仿宋_GB2312"/>
          <w:color w:val="000000"/>
          <w:sz w:val="32"/>
          <w:szCs w:val="32"/>
        </w:rPr>
        <w:t>相关股室执行公务、开展业务活动开支的交通费、住宿费、用餐费等。</w:t>
      </w:r>
      <w:r>
        <w:rPr>
          <w:rFonts w:eastAsia="仿宋_GB2312"/>
          <w:sz w:val="32"/>
          <w:szCs w:val="32"/>
          <w:lang w:val="zh-CN"/>
        </w:rPr>
        <w:t>国内公务接待</w:t>
      </w:r>
      <w:r>
        <w:rPr>
          <w:rFonts w:hint="eastAsia" w:eastAsia="仿宋_GB2312"/>
          <w:sz w:val="32"/>
          <w:szCs w:val="32"/>
        </w:rPr>
        <w:t>8</w:t>
      </w:r>
      <w:r>
        <w:rPr>
          <w:rFonts w:eastAsia="仿宋_GB2312"/>
          <w:sz w:val="32"/>
          <w:szCs w:val="32"/>
          <w:lang w:val="zh-CN"/>
        </w:rPr>
        <w:t>批次，</w:t>
      </w:r>
      <w:r>
        <w:rPr>
          <w:rFonts w:hint="eastAsia" w:eastAsia="仿宋_GB2312"/>
          <w:sz w:val="32"/>
          <w:szCs w:val="32"/>
        </w:rPr>
        <w:t>56</w:t>
      </w:r>
      <w:r>
        <w:rPr>
          <w:rFonts w:eastAsia="仿宋_GB2312"/>
          <w:sz w:val="32"/>
          <w:szCs w:val="32"/>
          <w:lang w:val="zh-CN"/>
        </w:rPr>
        <w:t>人次，共计支出</w:t>
      </w:r>
      <w:r>
        <w:rPr>
          <w:rFonts w:hint="eastAsia" w:eastAsia="仿宋_GB2312"/>
          <w:sz w:val="32"/>
          <w:szCs w:val="32"/>
        </w:rPr>
        <w:t>0.7</w:t>
      </w:r>
      <w:r>
        <w:rPr>
          <w:rFonts w:eastAsia="仿宋_GB2312"/>
          <w:sz w:val="32"/>
          <w:szCs w:val="32"/>
          <w:lang w:val="zh-CN"/>
        </w:rPr>
        <w:t>万元，具体内容包括</w:t>
      </w:r>
      <w:r>
        <w:rPr>
          <w:rFonts w:hint="eastAsia" w:eastAsia="仿宋_GB2312"/>
          <w:sz w:val="32"/>
          <w:szCs w:val="32"/>
        </w:rPr>
        <w:t>自建房安全专项整治交叉检查接待</w:t>
      </w:r>
      <w:r>
        <w:rPr>
          <w:rFonts w:eastAsia="仿宋_GB2312"/>
          <w:sz w:val="32"/>
          <w:szCs w:val="32"/>
        </w:rPr>
        <w:t>0.1</w:t>
      </w:r>
      <w:r>
        <w:rPr>
          <w:rFonts w:hint="eastAsia" w:eastAsia="仿宋_GB2312"/>
          <w:sz w:val="32"/>
          <w:szCs w:val="32"/>
        </w:rPr>
        <w:t>万元</w:t>
      </w:r>
      <w:r>
        <w:rPr>
          <w:rFonts w:eastAsia="仿宋_GB2312"/>
          <w:sz w:val="32"/>
          <w:szCs w:val="32"/>
          <w:lang w:val="zh-CN"/>
        </w:rPr>
        <w:t>，</w:t>
      </w:r>
      <w:r>
        <w:rPr>
          <w:rFonts w:hint="eastAsia" w:eastAsia="仿宋_GB2312"/>
          <w:sz w:val="32"/>
          <w:szCs w:val="32"/>
        </w:rPr>
        <w:t>建设厅村镇处村镇建设领域调研接待</w:t>
      </w:r>
      <w:r>
        <w:rPr>
          <w:rFonts w:eastAsia="仿宋_GB2312"/>
          <w:sz w:val="32"/>
          <w:szCs w:val="32"/>
        </w:rPr>
        <w:t>0.11</w:t>
      </w:r>
      <w:r>
        <w:rPr>
          <w:rFonts w:hint="eastAsia" w:eastAsia="仿宋_GB2312"/>
          <w:sz w:val="32"/>
          <w:szCs w:val="32"/>
        </w:rPr>
        <w:t>万</w:t>
      </w:r>
      <w:r>
        <w:rPr>
          <w:rFonts w:eastAsia="仿宋_GB2312"/>
          <w:sz w:val="32"/>
          <w:szCs w:val="32"/>
          <w:lang w:val="zh-CN"/>
        </w:rPr>
        <w:t>元，</w:t>
      </w:r>
      <w:r>
        <w:rPr>
          <w:rFonts w:hint="eastAsia" w:eastAsia="仿宋_GB2312"/>
          <w:sz w:val="32"/>
          <w:szCs w:val="32"/>
        </w:rPr>
        <w:t>四川城乡建设研究院历史文化名</w:t>
      </w:r>
      <w:r>
        <w:rPr>
          <w:rFonts w:hint="eastAsia" w:eastAsia="仿宋_GB2312"/>
          <w:sz w:val="32"/>
          <w:szCs w:val="32"/>
          <w:lang w:val="en-US" w:eastAsia="zh-CN"/>
        </w:rPr>
        <w:t>城</w:t>
      </w:r>
      <w:r>
        <w:rPr>
          <w:rFonts w:hint="eastAsia" w:eastAsia="仿宋_GB2312"/>
          <w:sz w:val="32"/>
          <w:szCs w:val="32"/>
        </w:rPr>
        <w:t>保护专项评估调研接待</w:t>
      </w:r>
      <w:r>
        <w:rPr>
          <w:rFonts w:eastAsia="仿宋_GB2312"/>
          <w:sz w:val="32"/>
          <w:szCs w:val="32"/>
        </w:rPr>
        <w:t>0.09</w:t>
      </w:r>
      <w:r>
        <w:rPr>
          <w:rFonts w:hint="eastAsia" w:eastAsia="仿宋_GB2312"/>
          <w:sz w:val="32"/>
          <w:szCs w:val="32"/>
        </w:rPr>
        <w:t>万元，城建档案检查接待</w:t>
      </w:r>
      <w:r>
        <w:rPr>
          <w:rFonts w:eastAsia="仿宋_GB2312"/>
          <w:sz w:val="32"/>
          <w:szCs w:val="32"/>
        </w:rPr>
        <w:t>0.08</w:t>
      </w:r>
      <w:r>
        <w:rPr>
          <w:rFonts w:hint="eastAsia" w:eastAsia="仿宋_GB2312"/>
          <w:sz w:val="32"/>
          <w:szCs w:val="32"/>
        </w:rPr>
        <w:t>万元，城市黑臭水体治理检查督导接待</w:t>
      </w:r>
      <w:r>
        <w:rPr>
          <w:rFonts w:eastAsia="仿宋_GB2312"/>
          <w:sz w:val="32"/>
          <w:szCs w:val="32"/>
        </w:rPr>
        <w:t>0.09</w:t>
      </w:r>
      <w:r>
        <w:rPr>
          <w:rFonts w:hint="eastAsia" w:eastAsia="仿宋_GB2312"/>
          <w:sz w:val="32"/>
          <w:szCs w:val="32"/>
        </w:rPr>
        <w:t>万元，省住建厅群腐整治督导工作接待</w:t>
      </w:r>
      <w:r>
        <w:rPr>
          <w:rFonts w:eastAsia="仿宋_GB2312"/>
          <w:sz w:val="32"/>
          <w:szCs w:val="32"/>
        </w:rPr>
        <w:t>0.12</w:t>
      </w:r>
      <w:r>
        <w:rPr>
          <w:rFonts w:hint="eastAsia" w:eastAsia="仿宋_GB2312"/>
          <w:sz w:val="32"/>
          <w:szCs w:val="32"/>
        </w:rPr>
        <w:t>万元，脱贫攻坚推进乡村振兴衔接工作调研接待</w:t>
      </w:r>
      <w:r>
        <w:rPr>
          <w:rFonts w:eastAsia="仿宋_GB2312"/>
          <w:sz w:val="32"/>
          <w:szCs w:val="32"/>
        </w:rPr>
        <w:t>0.04</w:t>
      </w:r>
      <w:r>
        <w:rPr>
          <w:rFonts w:hint="eastAsia" w:eastAsia="仿宋_GB2312"/>
          <w:sz w:val="32"/>
          <w:szCs w:val="32"/>
        </w:rPr>
        <w:t>万元， 2023年增发国债项目现场调研接待</w:t>
      </w:r>
      <w:r>
        <w:rPr>
          <w:rFonts w:eastAsia="仿宋_GB2312"/>
          <w:sz w:val="32"/>
          <w:szCs w:val="32"/>
        </w:rPr>
        <w:t>0.07</w:t>
      </w:r>
      <w:r>
        <w:rPr>
          <w:rFonts w:hint="eastAsia" w:eastAsia="仿宋_GB2312"/>
          <w:sz w:val="32"/>
          <w:szCs w:val="32"/>
        </w:rPr>
        <w:t>万元。</w:t>
      </w:r>
    </w:p>
    <w:p>
      <w:pPr>
        <w:spacing w:line="600" w:lineRule="exact"/>
        <w:ind w:firstLine="640"/>
        <w:rPr>
          <w:rFonts w:eastAsia="仿宋_GB2312"/>
          <w:color w:val="000000"/>
          <w:sz w:val="32"/>
          <w:szCs w:val="32"/>
        </w:rPr>
      </w:pPr>
      <w:r>
        <w:rPr>
          <w:rFonts w:eastAsia="仿宋_GB2312"/>
          <w:color w:val="000000"/>
          <w:sz w:val="32"/>
          <w:szCs w:val="32"/>
          <w:lang w:val="zh-CN"/>
        </w:rPr>
        <w:t xml:space="preserve"> </w:t>
      </w:r>
      <w:r>
        <w:rPr>
          <w:rFonts w:eastAsia="仿宋"/>
          <w:b/>
          <w:sz w:val="32"/>
          <w:szCs w:val="32"/>
        </w:rPr>
        <w:t>外事接待支出0</w:t>
      </w:r>
      <w:r>
        <w:rPr>
          <w:rFonts w:eastAsia="仿宋_GB2312"/>
          <w:sz w:val="32"/>
          <w:szCs w:val="32"/>
        </w:rPr>
        <w:t>万元，</w:t>
      </w:r>
      <w:r>
        <w:rPr>
          <w:rFonts w:eastAsia="仿宋_GB2312"/>
          <w:color w:val="000000"/>
          <w:sz w:val="32"/>
          <w:szCs w:val="32"/>
          <w:lang w:val="zh-CN"/>
        </w:rPr>
        <w:t>外事接待0批次，0人，共计支出0万元。</w:t>
      </w:r>
    </w:p>
    <w:p>
      <w:pPr>
        <w:spacing w:line="600" w:lineRule="exact"/>
        <w:ind w:firstLine="640"/>
        <w:outlineLvl w:val="1"/>
        <w:rPr>
          <w:rStyle w:val="28"/>
          <w:rFonts w:ascii="Times New Roman" w:hAnsi="Times New Roman" w:eastAsia="黑体" w:cs="Times New Roman"/>
        </w:rPr>
      </w:pPr>
      <w:bookmarkStart w:id="41" w:name="_Toc15396610"/>
      <w:bookmarkStart w:id="42" w:name="_Toc15377218"/>
      <w:r>
        <w:rPr>
          <w:rFonts w:eastAsia="黑体"/>
          <w:sz w:val="32"/>
          <w:szCs w:val="32"/>
        </w:rPr>
        <w:t>八、</w:t>
      </w:r>
      <w:r>
        <w:rPr>
          <w:rStyle w:val="28"/>
          <w:rFonts w:ascii="Times New Roman" w:hAnsi="Times New Roman" w:eastAsia="黑体" w:cs="Times New Roman"/>
          <w:b w:val="0"/>
        </w:rPr>
        <w:t>政府性基金预算支出决算情况说明</w:t>
      </w:r>
      <w:bookmarkEnd w:id="41"/>
      <w:bookmarkEnd w:id="42"/>
    </w:p>
    <w:p>
      <w:pPr>
        <w:spacing w:line="600" w:lineRule="exact"/>
        <w:ind w:firstLine="640"/>
        <w:rPr>
          <w:rFonts w:eastAsia="仿宋_GB2312"/>
          <w:sz w:val="32"/>
          <w:szCs w:val="32"/>
        </w:rPr>
      </w:pPr>
      <w:r>
        <w:rPr>
          <w:rFonts w:eastAsia="仿宋_GB2312"/>
          <w:sz w:val="32"/>
          <w:szCs w:val="32"/>
        </w:rPr>
        <w:t>2024年度政府性基金预算财政拨款支出46835.04万元。</w:t>
      </w:r>
    </w:p>
    <w:p>
      <w:pPr>
        <w:numPr>
          <w:ilvl w:val="0"/>
          <w:numId w:val="3"/>
        </w:numPr>
        <w:spacing w:line="600" w:lineRule="exact"/>
        <w:ind w:firstLine="640"/>
        <w:outlineLvl w:val="1"/>
        <w:rPr>
          <w:rStyle w:val="28"/>
          <w:rFonts w:ascii="Times New Roman" w:hAnsi="Times New Roman" w:eastAsia="黑体" w:cs="Times New Roman"/>
          <w:b w:val="0"/>
        </w:rPr>
      </w:pPr>
      <w:bookmarkStart w:id="43" w:name="_Toc15377219"/>
      <w:bookmarkStart w:id="44" w:name="_Toc15396611"/>
      <w:r>
        <w:rPr>
          <w:rStyle w:val="28"/>
          <w:rFonts w:ascii="Times New Roman" w:hAnsi="Times New Roman" w:eastAsia="黑体" w:cs="Times New Roman"/>
          <w:b w:val="0"/>
        </w:rPr>
        <w:t>国有资本经营预算支出决算情况说明</w:t>
      </w:r>
      <w:bookmarkEnd w:id="43"/>
      <w:bookmarkEnd w:id="44"/>
    </w:p>
    <w:p>
      <w:pPr>
        <w:spacing w:line="600" w:lineRule="exact"/>
        <w:ind w:firstLine="640"/>
        <w:rPr>
          <w:rFonts w:eastAsia="方正小标宋简体"/>
          <w:sz w:val="44"/>
          <w:szCs w:val="44"/>
        </w:rPr>
      </w:pPr>
      <w:r>
        <w:rPr>
          <w:rFonts w:eastAsia="仿宋_GB2312"/>
          <w:sz w:val="32"/>
          <w:szCs w:val="32"/>
        </w:rPr>
        <w:t>2024年度国有资本经营预算财政拨款支出</w:t>
      </w:r>
      <w:r>
        <w:rPr>
          <w:sz w:val="32"/>
          <w:szCs w:val="32"/>
        </w:rPr>
        <w:t>0</w:t>
      </w:r>
      <w:r>
        <w:rPr>
          <w:rFonts w:eastAsia="仿宋_GB2312"/>
          <w:sz w:val="32"/>
          <w:szCs w:val="32"/>
        </w:rPr>
        <w:t>万元。</w:t>
      </w:r>
    </w:p>
    <w:p>
      <w:pPr>
        <w:numPr>
          <w:ilvl w:val="0"/>
          <w:numId w:val="3"/>
        </w:numPr>
        <w:spacing w:line="600" w:lineRule="exact"/>
        <w:ind w:firstLine="640"/>
        <w:outlineLvl w:val="1"/>
        <w:rPr>
          <w:rStyle w:val="28"/>
          <w:rFonts w:ascii="Times New Roman" w:hAnsi="Times New Roman" w:eastAsia="黑体" w:cs="Times New Roman"/>
          <w:b w:val="0"/>
        </w:rPr>
      </w:pPr>
      <w:bookmarkStart w:id="45" w:name="_Toc15396612"/>
      <w:bookmarkStart w:id="46" w:name="_Toc15377221"/>
      <w:r>
        <w:rPr>
          <w:rStyle w:val="28"/>
          <w:rFonts w:ascii="Times New Roman" w:hAnsi="Times New Roman" w:eastAsia="黑体" w:cs="Times New Roman"/>
          <w:b w:val="0"/>
        </w:rPr>
        <w:t>其他重要事项的情况说明</w:t>
      </w:r>
      <w:bookmarkEnd w:id="45"/>
      <w:bookmarkEnd w:id="46"/>
    </w:p>
    <w:p>
      <w:pPr>
        <w:spacing w:line="600" w:lineRule="exact"/>
        <w:ind w:firstLine="642" w:firstLineChars="200"/>
        <w:outlineLvl w:val="2"/>
        <w:rPr>
          <w:rFonts w:eastAsia="仿宋"/>
          <w:sz w:val="32"/>
          <w:szCs w:val="32"/>
        </w:rPr>
      </w:pPr>
      <w:bookmarkStart w:id="47" w:name="_Toc15377222"/>
      <w:r>
        <w:rPr>
          <w:rFonts w:eastAsia="仿宋"/>
          <w:b/>
          <w:sz w:val="32"/>
          <w:szCs w:val="32"/>
        </w:rPr>
        <w:t>（一）机关运行经费支出情况</w:t>
      </w:r>
      <w:bookmarkEnd w:id="47"/>
    </w:p>
    <w:p>
      <w:pPr>
        <w:spacing w:line="600" w:lineRule="exact"/>
        <w:ind w:firstLine="640" w:firstLineChars="200"/>
        <w:rPr>
          <w:rFonts w:eastAsia="仿宋_GB2312"/>
          <w:sz w:val="32"/>
          <w:szCs w:val="32"/>
        </w:rPr>
      </w:pPr>
      <w:r>
        <w:rPr>
          <w:rFonts w:eastAsia="仿宋_GB2312"/>
          <w:color w:val="000000" w:themeColor="text1"/>
          <w:sz w:val="32"/>
          <w:szCs w:val="32"/>
          <w14:textFill>
            <w14:solidFill>
              <w14:schemeClr w14:val="tx1"/>
            </w14:solidFill>
          </w14:textFill>
        </w:rPr>
        <w:t>2024年度，绵竹市住房和城乡建设局机关运行经费支出112.5万元，比2023年度减少11.9万元，减少9.5%。</w:t>
      </w:r>
      <w:r>
        <w:rPr>
          <w:rFonts w:eastAsia="仿宋_GB2312"/>
          <w:sz w:val="32"/>
          <w:szCs w:val="32"/>
        </w:rPr>
        <w:t>主要原因是人员</w:t>
      </w:r>
      <w:r>
        <w:rPr>
          <w:rFonts w:hint="eastAsia" w:eastAsia="仿宋_GB2312"/>
          <w:sz w:val="32"/>
          <w:szCs w:val="32"/>
        </w:rPr>
        <w:t>减少</w:t>
      </w:r>
      <w:r>
        <w:rPr>
          <w:rFonts w:eastAsia="仿宋_GB2312"/>
          <w:sz w:val="32"/>
          <w:szCs w:val="32"/>
        </w:rPr>
        <w:t>。</w:t>
      </w:r>
    </w:p>
    <w:p>
      <w:pPr>
        <w:spacing w:line="600" w:lineRule="exact"/>
        <w:ind w:firstLine="642" w:firstLineChars="200"/>
        <w:outlineLvl w:val="2"/>
        <w:rPr>
          <w:rFonts w:eastAsia="仿宋"/>
          <w:b/>
          <w:sz w:val="32"/>
          <w:szCs w:val="32"/>
        </w:rPr>
      </w:pPr>
      <w:bookmarkStart w:id="48" w:name="_Toc15377223"/>
      <w:r>
        <w:rPr>
          <w:rFonts w:eastAsia="仿宋"/>
          <w:b/>
          <w:sz w:val="32"/>
          <w:szCs w:val="32"/>
        </w:rPr>
        <w:t>（二）政府采购支出情况</w:t>
      </w:r>
      <w:bookmarkEnd w:id="48"/>
    </w:p>
    <w:p>
      <w:pPr>
        <w:spacing w:line="600" w:lineRule="exact"/>
        <w:ind w:firstLine="640" w:firstLineChars="200"/>
        <w:rPr>
          <w:rFonts w:eastAsia="仿宋_GB2312"/>
          <w:sz w:val="32"/>
          <w:szCs w:val="32"/>
        </w:rPr>
      </w:pPr>
      <w:r>
        <w:rPr>
          <w:rFonts w:eastAsia="仿宋_GB2312"/>
          <w:sz w:val="32"/>
          <w:szCs w:val="32"/>
        </w:rPr>
        <w:t>2024年度，绵竹市住房和城乡建设局政府采购支出总额628.69万元，其中：政府采购货物支出11.83万元、政府采购工程支出239.47万元、政府采购服务支出377.39万元。主要用于老旧小区房屋主体改造、老旧小区改造勘察设计、老旧小区及城市燃气管道等老化更新改造全过程工程咨询、</w:t>
      </w:r>
      <w:r>
        <w:rPr>
          <w:rFonts w:hint="eastAsia" w:eastAsia="仿宋_GB2312"/>
          <w:sz w:val="32"/>
          <w:szCs w:val="32"/>
        </w:rPr>
        <w:t>玉马保障性租赁住房招标控制价及清单编制服务、</w:t>
      </w:r>
      <w:r>
        <w:rPr>
          <w:rFonts w:eastAsia="仿宋_GB2312"/>
          <w:sz w:val="32"/>
          <w:szCs w:val="32"/>
        </w:rPr>
        <w:t>全过程工程咨询</w:t>
      </w:r>
      <w:r>
        <w:rPr>
          <w:rFonts w:hint="eastAsia" w:eastAsia="仿宋_GB2312"/>
          <w:sz w:val="32"/>
          <w:szCs w:val="32"/>
        </w:rPr>
        <w:t>公务用车维修、加油</w:t>
      </w:r>
      <w:r>
        <w:rPr>
          <w:rFonts w:eastAsia="仿宋_GB2312"/>
          <w:sz w:val="32"/>
          <w:szCs w:val="32"/>
        </w:rPr>
        <w:t>及办公设备采购等。授予中小企业合同金额458.5万元。</w:t>
      </w:r>
    </w:p>
    <w:p>
      <w:pPr>
        <w:autoSpaceDE w:val="0"/>
        <w:autoSpaceDN w:val="0"/>
        <w:adjustRightInd w:val="0"/>
        <w:spacing w:line="600" w:lineRule="exact"/>
        <w:ind w:firstLine="642" w:firstLineChars="200"/>
        <w:jc w:val="left"/>
        <w:outlineLvl w:val="2"/>
        <w:rPr>
          <w:rFonts w:eastAsia="仿宋"/>
          <w:b/>
          <w:color w:val="000000" w:themeColor="text1"/>
          <w:sz w:val="32"/>
          <w:szCs w:val="32"/>
          <w14:textFill>
            <w14:solidFill>
              <w14:schemeClr w14:val="tx1"/>
            </w14:solidFill>
          </w14:textFill>
        </w:rPr>
      </w:pPr>
      <w:bookmarkStart w:id="49" w:name="_Toc15377224"/>
      <w:r>
        <w:rPr>
          <w:rFonts w:eastAsia="仿宋"/>
          <w:b/>
          <w:color w:val="000000" w:themeColor="text1"/>
          <w:sz w:val="32"/>
          <w:szCs w:val="32"/>
          <w14:textFill>
            <w14:solidFill>
              <w14:schemeClr w14:val="tx1"/>
            </w14:solidFill>
          </w14:textFill>
        </w:rPr>
        <w:t>（三）国有资产占有使用情况</w:t>
      </w:r>
      <w:bookmarkEnd w:id="49"/>
    </w:p>
    <w:p>
      <w:pPr>
        <w:autoSpaceDE w:val="0"/>
        <w:autoSpaceDN w:val="0"/>
        <w:adjustRightInd w:val="0"/>
        <w:spacing w:line="600" w:lineRule="exact"/>
        <w:ind w:firstLine="640" w:firstLineChars="200"/>
        <w:jc w:val="left"/>
        <w:rPr>
          <w:rFonts w:eastAsia="仿宋_GB2312"/>
          <w:sz w:val="32"/>
          <w:szCs w:val="32"/>
        </w:rPr>
      </w:pPr>
      <w:r>
        <w:rPr>
          <w:rFonts w:eastAsia="仿宋_GB2312"/>
          <w:sz w:val="32"/>
          <w:szCs w:val="32"/>
        </w:rPr>
        <w:t>截至2024年12月31日，绵竹市住房和城乡建设局共有车辆2辆，其中：主要领导干部用车0辆、机要通信用车0辆、应急保障用车2辆、其他用车0辆。单价100万元以上设备（不含车辆）0台（套）。</w:t>
      </w:r>
    </w:p>
    <w:p>
      <w:pPr>
        <w:autoSpaceDE w:val="0"/>
        <w:autoSpaceDN w:val="0"/>
        <w:adjustRightInd w:val="0"/>
        <w:spacing w:line="600" w:lineRule="exact"/>
        <w:ind w:firstLine="642" w:firstLineChars="200"/>
        <w:jc w:val="left"/>
        <w:outlineLvl w:val="2"/>
        <w:rPr>
          <w:rFonts w:eastAsia="仿宋"/>
          <w:b/>
          <w:sz w:val="32"/>
          <w:szCs w:val="32"/>
        </w:rPr>
      </w:pPr>
      <w:r>
        <w:rPr>
          <w:rFonts w:eastAsia="仿宋"/>
          <w:b/>
          <w:sz w:val="32"/>
          <w:szCs w:val="32"/>
        </w:rPr>
        <w:t>（四）预算绩效管理情况</w:t>
      </w:r>
    </w:p>
    <w:p>
      <w:pPr>
        <w:spacing w:line="576" w:lineRule="exact"/>
        <w:ind w:firstLine="640" w:firstLineChars="200"/>
        <w:rPr>
          <w:rFonts w:eastAsia="仿宋_GB2312"/>
          <w:color w:val="FF0000"/>
          <w:sz w:val="32"/>
          <w:szCs w:val="32"/>
        </w:rPr>
      </w:pPr>
      <w:r>
        <w:rPr>
          <w:rFonts w:eastAsia="仿宋_GB2312"/>
          <w:sz w:val="32"/>
          <w:szCs w:val="32"/>
        </w:rPr>
        <w:t>严格按照竹财预〔2023〕342号文件要求编制并报送2024年年初部门预算绩效目标编制情况，细化预算支出，及时更新完善基础信息数据库，人员经费按标准、日常</w:t>
      </w:r>
      <w:r>
        <w:rPr>
          <w:rFonts w:hint="eastAsia" w:ascii="仿宋_GB2312" w:hAnsi="仿宋" w:eastAsia="仿宋_GB2312"/>
          <w:sz w:val="32"/>
          <w:szCs w:val="32"/>
        </w:rPr>
        <w:t>公用经费按定额、专项支出按项目分别编制，项目支出细化到具体的经济内容。认真编制政府采购预算，做到应编尽编，确保了政府采购预算的完整。按要求单独编制“三公”经费预算及编报说明，绩效目标设置科学、合理、完整，相关细化、量化</w:t>
      </w:r>
      <w:r>
        <w:rPr>
          <w:rFonts w:eastAsia="仿宋_GB2312"/>
          <w:sz w:val="32"/>
          <w:szCs w:val="32"/>
        </w:rPr>
        <w:t>及定性指标可衡量、可评价。对于当年度新增的部门预算项目年度、增幅达到30%或增加额度达到200万元以上的延续性项目均全部开展了事前绩效自评估，对需开展绩效监控工作及财政支出事后绩效自评工作的项目2024年度均已开展相关绩效监控工作及财政支出事后绩效自评工作，各项目事前绩效自评工作、绩效监管工作、事后绩效自评工作均开展良好，报送资料全面且真实。绵竹市住建局部门整体（含部门预算项目）绩效自评得分为</w:t>
      </w:r>
      <w:r>
        <w:rPr>
          <w:rFonts w:hint="eastAsia" w:eastAsia="仿宋_GB2312"/>
          <w:sz w:val="32"/>
          <w:szCs w:val="32"/>
        </w:rPr>
        <w:t>98.2</w:t>
      </w:r>
      <w:r>
        <w:rPr>
          <w:rFonts w:eastAsia="仿宋_GB2312"/>
          <w:sz w:val="32"/>
          <w:szCs w:val="32"/>
        </w:rPr>
        <w:t>分，</w:t>
      </w:r>
      <w:r>
        <w:rPr>
          <w:rFonts w:hint="eastAsia" w:eastAsia="仿宋_GB2312"/>
          <w:sz w:val="32"/>
          <w:szCs w:val="32"/>
        </w:rPr>
        <w:t>评价等级为“优”。</w:t>
      </w:r>
      <w:r>
        <w:rPr>
          <w:rFonts w:eastAsia="仿宋_GB2312"/>
          <w:sz w:val="32"/>
          <w:szCs w:val="32"/>
        </w:rPr>
        <w:t>绩效自评综述：</w:t>
      </w:r>
      <w:r>
        <w:rPr>
          <w:rFonts w:hint="eastAsia" w:ascii="仿宋_GB2312" w:eastAsia="仿宋_GB2312"/>
          <w:sz w:val="32"/>
          <w:szCs w:val="32"/>
        </w:rPr>
        <w:t>2024年我局认真做好年度财政资金的预算编制工作，按照政府采购目录及采购限额标准编制政府采购预算，做到应编尽编。在资金使用和管理</w:t>
      </w:r>
      <w:r>
        <w:rPr>
          <w:rFonts w:hint="eastAsia" w:ascii="仿宋_GB2312" w:eastAsia="仿宋_GB2312"/>
          <w:sz w:val="32"/>
          <w:szCs w:val="32"/>
          <w:lang w:val="en-US" w:eastAsia="zh-CN"/>
        </w:rPr>
        <w:t>方</w:t>
      </w:r>
      <w:r>
        <w:rPr>
          <w:rFonts w:hint="eastAsia" w:ascii="仿宋_GB2312" w:eastAsia="仿宋_GB2312"/>
          <w:sz w:val="32"/>
          <w:szCs w:val="32"/>
        </w:rPr>
        <w:t>面，进一步强化资金统筹，优化资金结构，明确开支范围，细化资金用途，以有限的资金保证机关的正常运转。资金收支管理及会计核算较规范，能够按照相关会计制度和财务管理办法进行核算。认真落实积极财政政策，优化支出结构，深化管理改革，圆满完成各项目标任务。大部分预算项目相关指标与预期目标基本契合，绩效目标运行清晰，达到预期的经济和社会效益，有力地推动了各项工作的顺利开展。</w:t>
      </w:r>
      <w:r>
        <w:rPr>
          <w:rFonts w:eastAsia="仿宋_GB2312"/>
          <w:sz w:val="32"/>
          <w:szCs w:val="32"/>
        </w:rPr>
        <w:t>部门绩效自评报告及专项预算项目绩效自评</w:t>
      </w:r>
      <w:r>
        <w:rPr>
          <w:rFonts w:hint="eastAsia" w:eastAsia="仿宋_GB2312"/>
          <w:sz w:val="32"/>
          <w:szCs w:val="32"/>
        </w:rPr>
        <w:t>表</w:t>
      </w:r>
      <w:r>
        <w:rPr>
          <w:rFonts w:eastAsia="仿宋_GB2312"/>
          <w:sz w:val="32"/>
          <w:szCs w:val="32"/>
        </w:rPr>
        <w:t>详见附件。</w:t>
      </w:r>
    </w:p>
    <w:p/>
    <w:p>
      <w:pPr>
        <w:widowControl/>
        <w:jc w:val="left"/>
      </w:pPr>
      <w:r>
        <w:br w:type="page"/>
      </w:r>
    </w:p>
    <w:p>
      <w:pPr>
        <w:pStyle w:val="2"/>
        <w:jc w:val="center"/>
      </w:pPr>
      <w:r>
        <w:t>第三部分 名词解释</w:t>
      </w:r>
    </w:p>
    <w:p/>
    <w:p>
      <w:pPr>
        <w:ind w:firstLine="640" w:firstLineChars="200"/>
        <w:rPr>
          <w:rFonts w:eastAsia="仿宋_GB2312"/>
          <w:sz w:val="32"/>
          <w:szCs w:val="32"/>
        </w:rPr>
      </w:pPr>
      <w:r>
        <w:rPr>
          <w:rFonts w:eastAsia="仿宋_GB2312"/>
          <w:sz w:val="32"/>
          <w:szCs w:val="32"/>
        </w:rPr>
        <w:t>1.财政拨款收入：指单位从同级财政部门取得的财政预算资金。</w:t>
      </w:r>
    </w:p>
    <w:p>
      <w:pPr>
        <w:ind w:firstLine="640" w:firstLineChars="200"/>
        <w:rPr>
          <w:rFonts w:eastAsia="仿宋_GB2312"/>
          <w:sz w:val="32"/>
          <w:szCs w:val="32"/>
        </w:rPr>
      </w:pPr>
      <w:r>
        <w:rPr>
          <w:rFonts w:eastAsia="仿宋_GB2312"/>
          <w:sz w:val="32"/>
          <w:szCs w:val="32"/>
        </w:rPr>
        <w:t>2.事业收入：指事业单位开展专业业务活动及辅助活动取得的收入。</w:t>
      </w:r>
    </w:p>
    <w:p>
      <w:pPr>
        <w:ind w:firstLine="640" w:firstLineChars="200"/>
        <w:rPr>
          <w:rFonts w:eastAsia="仿宋_GB2312"/>
          <w:sz w:val="32"/>
          <w:szCs w:val="32"/>
        </w:rPr>
      </w:pPr>
      <w:r>
        <w:rPr>
          <w:rFonts w:eastAsia="仿宋_GB2312"/>
          <w:sz w:val="32"/>
          <w:szCs w:val="32"/>
        </w:rPr>
        <w:t>3.经营收入：指事业单位在专业业务活动及其辅助活动之外开展非独立核算经营活动取得的收入。</w:t>
      </w:r>
    </w:p>
    <w:p>
      <w:pPr>
        <w:ind w:firstLine="640" w:firstLineChars="200"/>
        <w:rPr>
          <w:rFonts w:eastAsia="仿宋_GB2312"/>
          <w:sz w:val="32"/>
          <w:szCs w:val="32"/>
        </w:rPr>
      </w:pPr>
      <w:r>
        <w:rPr>
          <w:rFonts w:eastAsia="仿宋_GB2312"/>
          <w:sz w:val="32"/>
          <w:szCs w:val="32"/>
        </w:rPr>
        <w:t xml:space="preserve">4.其他收入：指单位取得的除上述收入以外的各项收入。 </w:t>
      </w:r>
    </w:p>
    <w:p>
      <w:pPr>
        <w:ind w:firstLine="640" w:firstLineChars="200"/>
        <w:rPr>
          <w:rFonts w:eastAsia="仿宋_GB2312"/>
          <w:sz w:val="32"/>
          <w:szCs w:val="32"/>
        </w:rPr>
      </w:pPr>
      <w:r>
        <w:rPr>
          <w:rFonts w:eastAsia="仿宋_GB2312"/>
          <w:sz w:val="32"/>
          <w:szCs w:val="32"/>
        </w:rPr>
        <w:t xml:space="preserve">5.使用非财政拨款结余（含专用结余）：指事业单位使用以前年度积累的非财政拨款结余弥补当年收支差额的金额。 </w:t>
      </w:r>
    </w:p>
    <w:p>
      <w:pPr>
        <w:ind w:firstLine="640" w:firstLineChars="200"/>
        <w:rPr>
          <w:rFonts w:eastAsia="仿宋_GB2312"/>
          <w:sz w:val="32"/>
          <w:szCs w:val="32"/>
        </w:rPr>
      </w:pPr>
      <w:r>
        <w:rPr>
          <w:rFonts w:eastAsia="仿宋_GB2312"/>
          <w:sz w:val="32"/>
          <w:szCs w:val="32"/>
        </w:rPr>
        <w:t xml:space="preserve">6.年初结转和结余：指以前年度尚未完成、结转到本年按有关规定继续使用的资金。 </w:t>
      </w:r>
    </w:p>
    <w:p>
      <w:pPr>
        <w:ind w:firstLine="640" w:firstLineChars="200"/>
        <w:rPr>
          <w:rFonts w:eastAsia="仿宋_GB2312"/>
          <w:sz w:val="32"/>
          <w:szCs w:val="32"/>
        </w:rPr>
      </w:pPr>
      <w:r>
        <w:rPr>
          <w:rFonts w:eastAsia="仿宋_GB2312"/>
          <w:sz w:val="32"/>
          <w:szCs w:val="32"/>
        </w:rPr>
        <w:t>7.结余分配：指事业单位按照会计制度规定缴纳的所得税、提取的专用结余以及转入非财政拨款结余的金额等。</w:t>
      </w:r>
    </w:p>
    <w:p>
      <w:pPr>
        <w:ind w:firstLine="640" w:firstLineChars="200"/>
        <w:rPr>
          <w:rFonts w:eastAsia="仿宋_GB2312"/>
          <w:sz w:val="32"/>
          <w:szCs w:val="32"/>
        </w:rPr>
      </w:pPr>
      <w:r>
        <w:rPr>
          <w:rFonts w:eastAsia="仿宋_GB2312"/>
          <w:sz w:val="32"/>
          <w:szCs w:val="32"/>
        </w:rPr>
        <w:t>8.年末结转和结余：指单位按有关规定结转到下年或以后年度继续使用的资金。</w:t>
      </w:r>
    </w:p>
    <w:p>
      <w:pPr>
        <w:spacing w:line="600" w:lineRule="exact"/>
        <w:ind w:firstLine="640" w:firstLineChars="200"/>
        <w:rPr>
          <w:rFonts w:eastAsia="仿宋_GB2312"/>
          <w:sz w:val="32"/>
          <w:szCs w:val="32"/>
        </w:rPr>
      </w:pPr>
      <w:r>
        <w:rPr>
          <w:rFonts w:eastAsia="仿宋_GB2312"/>
          <w:sz w:val="32"/>
          <w:szCs w:val="32"/>
        </w:rPr>
        <w:t>9.社会保障和就业支出－行政事业单位养老支出－机关事业单位基本养老保险缴费支出：指用于机关事业单位实施养老保险制度由单位缴纳的基本养老保险费支出，机关事业单位职业年金缴费支出：指用于机关事业单位实施养老保险制度由单位实际缴纳的职业年金支出，其他行政事业单位养老支出：指其他用于行政事业单位养老方面的支出；其他社会保障和就业支出－其他社会保障和就业支出：指其他用于社会保障和就业方面的支出。</w:t>
      </w:r>
    </w:p>
    <w:p>
      <w:pPr>
        <w:spacing w:line="600" w:lineRule="exact"/>
        <w:ind w:firstLine="640" w:firstLineChars="200"/>
        <w:rPr>
          <w:rFonts w:eastAsia="仿宋_GB2312"/>
          <w:sz w:val="32"/>
          <w:szCs w:val="32"/>
        </w:rPr>
      </w:pPr>
      <w:r>
        <w:rPr>
          <w:rFonts w:eastAsia="仿宋_GB2312"/>
          <w:sz w:val="32"/>
          <w:szCs w:val="32"/>
        </w:rPr>
        <w:t>10.卫生健康支出－公共卫生－重大公共卫生服务：指重大疾病、重大传染病预防控制等重大公共卫生服务项目支出；行政事业单位医疗－行政单位医疗：指用于单位行政人员基本医疗保险缴费，事业单位医疗：指用于单位事业人员基本医疗保险缴费，公务员医疗补助：指财政部门安排的公务员医疗补助经费，其他行政事业单位医疗支出：指除上述项目以外的其他用于行政事业单位医疗方面的支出，主要为失业、工伤保险等缴费支出。</w:t>
      </w:r>
    </w:p>
    <w:p>
      <w:pPr>
        <w:spacing w:line="600" w:lineRule="exact"/>
        <w:ind w:firstLine="640" w:firstLineChars="200"/>
        <w:rPr>
          <w:rFonts w:eastAsia="仿宋_GB2312"/>
          <w:sz w:val="32"/>
          <w:szCs w:val="32"/>
        </w:rPr>
      </w:pPr>
      <w:r>
        <w:rPr>
          <w:rFonts w:eastAsia="仿宋_GB2312"/>
          <w:sz w:val="32"/>
          <w:szCs w:val="32"/>
        </w:rPr>
        <w:t>11.节能环保支出－污染防治－水体：指政府在排水、污水处理、水污染防治、湖库生态环境保护、水源地保护、国土江河综合整治、河流治理与保护、地下水修复与保护等方面的支出。</w:t>
      </w:r>
    </w:p>
    <w:p>
      <w:pPr>
        <w:spacing w:line="600" w:lineRule="exact"/>
        <w:ind w:firstLine="640" w:firstLineChars="200"/>
        <w:rPr>
          <w:rFonts w:eastAsia="仿宋_GB2312"/>
          <w:sz w:val="32"/>
          <w:szCs w:val="32"/>
        </w:rPr>
      </w:pPr>
      <w:r>
        <w:rPr>
          <w:rFonts w:eastAsia="仿宋_GB2312"/>
          <w:sz w:val="32"/>
          <w:szCs w:val="32"/>
        </w:rPr>
        <w:t>12.城乡社区支出－城乡社区管理事务－行政运行：指行政单位（包括实行公务员管理的事业单位）的基本支出，一般行政管理事务：指行政单位（包括实行公务员管理的事业单位）未单独设置项级科目的其他项目支出，工程建设管理：反映调控建设市场运行、拟定建设市场法规、实施建筑工程质量、安全、工程勘察设计监管等方面的支出，住宅建设与房地产市场监管：反映调控房地产市场运行、研究拟定城镇住房制度改革法规、对住房公积金和其他房改房资金进行政策指导并监督使用等方面的支出，其他城乡社区管理事务支出：反映其他用于城乡社区管理事务方面的支出；城乡社区规划与管理－城乡社区规划与管理：反映城乡社区、防灾减灾、历史名城规划制定与管理等方面的支出；城乡社区公共设施－其他城乡社区公共设施支出：反映其他用于城乡社区公共设施方面的支出；城市基础设施配套费安排的支出－其他城市基础设施配套费安排的支出：反映未列项目以外的城市基础设施配套费支出；污水处理费安排的支出－其他污水处理费安排的支出：反映用污水处理费安排的其他支出；棚户区改造专项债券收入安排的支出－其他棚户区改造专项债券收入安排的支出：反映未列举项目以外的棚户区改造专项债券收入安排用于棚户区改造相关项目的公益性资本支出；其他城乡社区支出－其他城乡社区支出：指其他用于城乡社区方面的支出。</w:t>
      </w:r>
    </w:p>
    <w:p>
      <w:pPr>
        <w:spacing w:line="576" w:lineRule="exact"/>
        <w:ind w:firstLine="640"/>
        <w:rPr>
          <w:rFonts w:eastAsia="仿宋_GB2312"/>
          <w:sz w:val="32"/>
          <w:szCs w:val="32"/>
        </w:rPr>
      </w:pPr>
      <w:r>
        <w:rPr>
          <w:rFonts w:eastAsia="仿宋_GB2312"/>
          <w:sz w:val="32"/>
          <w:szCs w:val="32"/>
        </w:rPr>
        <w:t>13.农林水支出－水利－水利工程建设：反映水利系统用于江、河、湖、滩等水利工程建设支出，包括堤防、河道、水库、水利枢纽、涵闸、灌区、供水、蓄滞洪区等水利工程及其附属设备、设施的建设、改造更新、病险水库除险加固、大型灌区改造、农村电气化建设等支出。</w:t>
      </w:r>
    </w:p>
    <w:p>
      <w:pPr>
        <w:spacing w:line="576" w:lineRule="exact"/>
        <w:ind w:firstLine="640"/>
        <w:rPr>
          <w:rFonts w:eastAsia="仿宋_GB2312"/>
          <w:sz w:val="32"/>
          <w:szCs w:val="32"/>
        </w:rPr>
      </w:pPr>
      <w:r>
        <w:rPr>
          <w:rFonts w:eastAsia="仿宋_GB2312"/>
          <w:sz w:val="32"/>
          <w:szCs w:val="32"/>
        </w:rPr>
        <w:t>14.住房保障支出-保障性安居工程支出-棚户区改造：指用于棚户区改造方面的支出</w:t>
      </w:r>
      <w:r>
        <w:rPr>
          <w:rFonts w:hint="eastAsia" w:eastAsia="仿宋_GB2312"/>
          <w:sz w:val="32"/>
          <w:szCs w:val="32"/>
        </w:rPr>
        <w:t>，</w:t>
      </w:r>
      <w:r>
        <w:rPr>
          <w:rFonts w:eastAsia="仿宋_GB2312"/>
          <w:sz w:val="32"/>
          <w:szCs w:val="32"/>
        </w:rPr>
        <w:t>农村危房改造：反映用于农村危房改造方面的支出，公共租赁住房：反映用于新建、改建、购买、租赁、维护和管理公共租赁住房支出，保障性住房租金补贴：反映各级政府向低收入住房保障家庭发放的住房租赁补贴支出，老旧小区改造：反映用于老旧小区改造方面的支出，保障性租赁住房：反映用于发展保障性租赁住房方面的支出，其他保障性安居工程支出：指其他用于保障性住房方面的支出；住房改革支出－住房公积金：指用</w:t>
      </w:r>
      <w:r>
        <w:rPr>
          <w:rFonts w:hint="eastAsia" w:eastAsia="仿宋_GB2312"/>
          <w:sz w:val="32"/>
          <w:szCs w:val="32"/>
          <w:lang w:val="en-US" w:eastAsia="zh-CN"/>
        </w:rPr>
        <w:t>人</w:t>
      </w:r>
      <w:r>
        <w:rPr>
          <w:rFonts w:eastAsia="仿宋_GB2312"/>
          <w:sz w:val="32"/>
          <w:szCs w:val="32"/>
        </w:rPr>
        <w:t>单位按人力资源和社会保障部、财政部规定的基本工资和津补贴意见规定比例为职工缴纳的住房公积金；城乡社区住宅－其他城乡社区住宅支出：反映其他用于城乡社区住宅方面的支出。</w:t>
      </w:r>
    </w:p>
    <w:p>
      <w:pPr>
        <w:spacing w:line="576" w:lineRule="exact"/>
        <w:ind w:firstLine="640"/>
        <w:rPr>
          <w:rFonts w:eastAsia="仿宋_GB2312"/>
          <w:sz w:val="32"/>
          <w:szCs w:val="32"/>
        </w:rPr>
      </w:pPr>
      <w:r>
        <w:rPr>
          <w:rFonts w:eastAsia="仿宋_GB2312"/>
          <w:sz w:val="32"/>
          <w:szCs w:val="32"/>
        </w:rPr>
        <w:t>15.其他支出－其他政府性基金及对应专项债务收入安排的支出－其他地方自行试点项目收益专项债券收入安排的支出：指其他地方自行试点项目收益专项债券收入安排的支出。</w:t>
      </w:r>
    </w:p>
    <w:p>
      <w:pPr>
        <w:ind w:firstLine="640" w:firstLineChars="200"/>
        <w:rPr>
          <w:rFonts w:eastAsia="仿宋_GB2312"/>
          <w:sz w:val="32"/>
          <w:szCs w:val="32"/>
        </w:rPr>
      </w:pPr>
      <w:r>
        <w:rPr>
          <w:rFonts w:eastAsia="仿宋_GB2312"/>
          <w:sz w:val="32"/>
          <w:szCs w:val="32"/>
        </w:rPr>
        <w:t>16.基本支出：指为保障机构正常运转、完成日常工作任务而发生的人员支出和公用支出。</w:t>
      </w:r>
    </w:p>
    <w:p>
      <w:pPr>
        <w:ind w:firstLine="640" w:firstLineChars="200"/>
        <w:rPr>
          <w:rFonts w:eastAsia="仿宋_GB2312"/>
          <w:sz w:val="32"/>
          <w:szCs w:val="32"/>
        </w:rPr>
      </w:pPr>
      <w:r>
        <w:rPr>
          <w:rFonts w:eastAsia="仿宋_GB2312"/>
          <w:sz w:val="32"/>
          <w:szCs w:val="32"/>
        </w:rPr>
        <w:t xml:space="preserve">17.项目支出：指在基本支出之外为完成特定行政任务和事业发展目标所发生的支出。 </w:t>
      </w:r>
    </w:p>
    <w:p>
      <w:pPr>
        <w:ind w:firstLine="640" w:firstLineChars="200"/>
        <w:rPr>
          <w:rFonts w:eastAsia="仿宋_GB2312"/>
          <w:sz w:val="32"/>
          <w:szCs w:val="32"/>
        </w:rPr>
      </w:pPr>
      <w:r>
        <w:rPr>
          <w:rFonts w:eastAsia="仿宋_GB2312"/>
          <w:sz w:val="32"/>
          <w:szCs w:val="32"/>
        </w:rPr>
        <w:t>18.经营支出：指事业单位在专业业务活动及其辅助活动之外开展非独立核算经营活动发生的支出。</w:t>
      </w:r>
    </w:p>
    <w:p>
      <w:pPr>
        <w:ind w:firstLine="640" w:firstLineChars="200"/>
        <w:rPr>
          <w:rFonts w:eastAsia="仿宋_GB2312"/>
          <w:sz w:val="32"/>
          <w:szCs w:val="32"/>
        </w:rPr>
      </w:pPr>
      <w:r>
        <w:rPr>
          <w:rFonts w:eastAsia="仿宋_GB2312"/>
          <w:sz w:val="32"/>
          <w:szCs w:val="32"/>
        </w:rPr>
        <w:t>19.“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ind w:firstLine="640" w:firstLineChars="200"/>
        <w:rPr>
          <w:rFonts w:eastAsia="仿宋_GB2312"/>
          <w:sz w:val="32"/>
          <w:szCs w:val="32"/>
        </w:rPr>
      </w:pPr>
      <w:r>
        <w:rPr>
          <w:rFonts w:eastAsia="仿宋_GB2312"/>
          <w:sz w:val="32"/>
          <w:szCs w:val="32"/>
        </w:rPr>
        <w:t>20.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
        <w:br w:type="page"/>
      </w:r>
    </w:p>
    <w:p>
      <w:pPr>
        <w:pStyle w:val="2"/>
        <w:jc w:val="center"/>
        <w:rPr>
          <w:rFonts w:eastAsia="黑体"/>
          <w:b w:val="0"/>
        </w:rPr>
      </w:pPr>
      <w:r>
        <w:rPr>
          <w:rFonts w:eastAsia="黑体"/>
          <w:b w:val="0"/>
        </w:rPr>
        <w:t>第四部分 附件</w:t>
      </w:r>
    </w:p>
    <w:p>
      <w:pPr>
        <w:rPr>
          <w:rFonts w:eastAsia="黑体"/>
          <w:sz w:val="32"/>
          <w:szCs w:val="32"/>
        </w:rPr>
      </w:pPr>
      <w:r>
        <w:rPr>
          <w:rFonts w:eastAsia="黑体"/>
          <w:sz w:val="32"/>
          <w:szCs w:val="32"/>
        </w:rPr>
        <w:t>附件1</w:t>
      </w:r>
    </w:p>
    <w:p>
      <w:pPr>
        <w:widowControl/>
        <w:spacing w:line="540" w:lineRule="exact"/>
        <w:jc w:val="center"/>
        <w:rPr>
          <w:b/>
          <w:sz w:val="44"/>
          <w:szCs w:val="44"/>
          <w:shd w:val="clear" w:color="auto" w:fill="FFFFFF"/>
        </w:rPr>
      </w:pPr>
      <w:r>
        <w:rPr>
          <w:b/>
          <w:sz w:val="44"/>
          <w:szCs w:val="44"/>
          <w:shd w:val="clear" w:color="auto" w:fill="FFFFFF"/>
        </w:rPr>
        <w:t>绵竹市住房和城乡建设局</w:t>
      </w:r>
    </w:p>
    <w:p>
      <w:pPr>
        <w:widowControl/>
        <w:spacing w:line="540" w:lineRule="exact"/>
        <w:jc w:val="center"/>
        <w:rPr>
          <w:rFonts w:eastAsia="仿宋_GB2312"/>
          <w:sz w:val="32"/>
          <w:szCs w:val="32"/>
          <w:shd w:val="clear" w:color="auto" w:fill="FFFFFF"/>
        </w:rPr>
      </w:pPr>
      <w:r>
        <w:rPr>
          <w:b/>
          <w:sz w:val="44"/>
          <w:szCs w:val="44"/>
          <w:shd w:val="clear" w:color="auto" w:fill="FFFFFF"/>
        </w:rPr>
        <w:t>2024年部门整体预算支出绩效报告</w:t>
      </w:r>
    </w:p>
    <w:p>
      <w:pPr>
        <w:widowControl/>
        <w:adjustRightInd w:val="0"/>
        <w:snapToGrid w:val="0"/>
        <w:spacing w:line="540" w:lineRule="exact"/>
        <w:ind w:firstLine="720"/>
        <w:jc w:val="left"/>
        <w:rPr>
          <w:rFonts w:eastAsia="黑体"/>
          <w:color w:val="000000"/>
          <w:kern w:val="0"/>
          <w:sz w:val="24"/>
          <w:szCs w:val="32"/>
          <w:shd w:val="clear" w:color="auto" w:fill="FFFFFF"/>
        </w:rPr>
      </w:pPr>
    </w:p>
    <w:p>
      <w:pPr>
        <w:widowControl/>
        <w:adjustRightInd w:val="0"/>
        <w:snapToGrid w:val="0"/>
        <w:spacing w:line="540" w:lineRule="exact"/>
        <w:ind w:firstLine="720"/>
        <w:jc w:val="left"/>
        <w:rPr>
          <w:rFonts w:eastAsia="黑体"/>
          <w:color w:val="000000"/>
          <w:kern w:val="0"/>
          <w:sz w:val="32"/>
          <w:szCs w:val="32"/>
          <w:shd w:val="clear" w:color="auto" w:fill="FFFFFF"/>
          <w:lang w:val="zh-CN"/>
        </w:rPr>
      </w:pPr>
      <w:r>
        <w:rPr>
          <w:rFonts w:eastAsia="黑体"/>
          <w:color w:val="000000"/>
          <w:kern w:val="0"/>
          <w:sz w:val="32"/>
          <w:szCs w:val="32"/>
          <w:shd w:val="clear" w:color="auto" w:fill="FFFFFF"/>
        </w:rPr>
        <w:t>一、</w:t>
      </w:r>
      <w:r>
        <w:rPr>
          <w:rFonts w:eastAsia="黑体"/>
          <w:color w:val="000000"/>
          <w:kern w:val="0"/>
          <w:sz w:val="32"/>
          <w:szCs w:val="32"/>
          <w:shd w:val="clear" w:color="auto" w:fill="FFFFFF"/>
          <w:lang w:val="zh-CN"/>
        </w:rPr>
        <w:t>部门（单位）概况</w:t>
      </w:r>
    </w:p>
    <w:p>
      <w:pPr>
        <w:widowControl/>
        <w:adjustRightInd w:val="0"/>
        <w:snapToGrid w:val="0"/>
        <w:spacing w:line="540" w:lineRule="exact"/>
        <w:ind w:firstLine="720"/>
        <w:jc w:val="left"/>
        <w:rPr>
          <w:rFonts w:eastAsia="仿宋_GB2312"/>
          <w:b/>
          <w:color w:val="000000"/>
          <w:kern w:val="0"/>
          <w:sz w:val="32"/>
          <w:szCs w:val="32"/>
          <w:shd w:val="clear" w:color="auto" w:fill="FFFFFF"/>
          <w:lang w:val="zh-CN"/>
        </w:rPr>
      </w:pPr>
      <w:r>
        <w:rPr>
          <w:rFonts w:eastAsia="仿宋_GB2312"/>
          <w:b/>
          <w:color w:val="000000"/>
          <w:kern w:val="0"/>
          <w:sz w:val="32"/>
          <w:szCs w:val="32"/>
          <w:shd w:val="clear" w:color="auto" w:fill="FFFFFF"/>
          <w:lang w:val="zh-CN"/>
        </w:rPr>
        <w:t>（一）机构组成</w:t>
      </w:r>
    </w:p>
    <w:p>
      <w:pPr>
        <w:widowControl/>
        <w:adjustRightInd w:val="0"/>
        <w:snapToGrid w:val="0"/>
        <w:spacing w:line="560" w:lineRule="exact"/>
        <w:ind w:firstLine="720"/>
        <w:jc w:val="left"/>
        <w:rPr>
          <w:rFonts w:ascii="仿宋" w:hAnsi="仿宋" w:eastAsia="仿宋"/>
          <w:color w:val="000000"/>
          <w:kern w:val="0"/>
          <w:sz w:val="32"/>
          <w:szCs w:val="32"/>
          <w:shd w:val="clear" w:color="auto" w:fill="FFFFFF"/>
          <w:lang w:val="zh-CN"/>
        </w:rPr>
      </w:pPr>
      <w:r>
        <w:rPr>
          <w:rFonts w:ascii="仿宋" w:hAnsi="仿宋" w:eastAsia="仿宋"/>
          <w:color w:val="000000"/>
          <w:kern w:val="0"/>
          <w:sz w:val="32"/>
          <w:szCs w:val="32"/>
          <w:shd w:val="clear" w:color="auto" w:fill="FFFFFF"/>
          <w:lang w:val="zh-CN"/>
        </w:rPr>
        <w:t>绵竹市住房和城乡建设局为一级预算单位，</w:t>
      </w:r>
      <w:r>
        <w:rPr>
          <w:rFonts w:ascii="仿宋" w:hAnsi="仿宋" w:eastAsia="仿宋"/>
          <w:kern w:val="0"/>
          <w:sz w:val="32"/>
          <w:szCs w:val="32"/>
        </w:rPr>
        <w:t>属行政单位，内设办公室、</w:t>
      </w:r>
      <w:r>
        <w:rPr>
          <w:rFonts w:hint="eastAsia" w:ascii="仿宋" w:hAnsi="仿宋" w:eastAsia="仿宋"/>
          <w:kern w:val="0"/>
          <w:sz w:val="32"/>
          <w:szCs w:val="32"/>
        </w:rPr>
        <w:t>审计和目标管理股、</w:t>
      </w:r>
      <w:r>
        <w:rPr>
          <w:rFonts w:ascii="仿宋" w:hAnsi="仿宋" w:eastAsia="仿宋"/>
          <w:kern w:val="0"/>
          <w:sz w:val="32"/>
          <w:szCs w:val="32"/>
        </w:rPr>
        <w:t>城市建设管理股、村镇建设管理股、建筑业管理股、住房和房地产管理股、安全和法规股、勘察设计股</w:t>
      </w:r>
      <w:r>
        <w:rPr>
          <w:rFonts w:hint="eastAsia" w:ascii="仿宋" w:hAnsi="仿宋" w:eastAsia="仿宋"/>
          <w:kern w:val="0"/>
          <w:sz w:val="32"/>
          <w:szCs w:val="32"/>
        </w:rPr>
        <w:t>（建设工程消防监督管理股）</w:t>
      </w:r>
      <w:r>
        <w:rPr>
          <w:rFonts w:ascii="仿宋" w:hAnsi="仿宋" w:eastAsia="仿宋"/>
          <w:kern w:val="0"/>
          <w:sz w:val="32"/>
          <w:szCs w:val="32"/>
        </w:rPr>
        <w:t>、财务股，下属</w:t>
      </w:r>
      <w:r>
        <w:rPr>
          <w:rFonts w:ascii="仿宋" w:hAnsi="仿宋" w:eastAsia="仿宋"/>
          <w:sz w:val="32"/>
          <w:szCs w:val="32"/>
        </w:rPr>
        <w:t>绵竹市市政工程建设管理站、绵竹市房屋安全鉴定中心、绵竹市国有土地上房屋征收与补偿中心、绵竹市建设工程质量安全监督站、绵竹市城镇住房保障管理所、绵竹市建设工程消防和勘察设计技术中心、绵竹市住房资金管理中心、绵竹市房地产交易中心、绵竹市城市供水服务中心，纳入局机关统一预算管理。</w:t>
      </w:r>
    </w:p>
    <w:p>
      <w:pPr>
        <w:widowControl/>
        <w:adjustRightInd w:val="0"/>
        <w:snapToGrid w:val="0"/>
        <w:spacing w:line="540" w:lineRule="exact"/>
        <w:ind w:firstLine="720"/>
        <w:jc w:val="left"/>
        <w:rPr>
          <w:rFonts w:eastAsia="仿宋_GB2312"/>
          <w:b/>
          <w:color w:val="000000"/>
          <w:kern w:val="0"/>
          <w:sz w:val="32"/>
          <w:szCs w:val="32"/>
          <w:shd w:val="clear" w:color="auto" w:fill="FFFFFF"/>
          <w:lang w:val="zh-CN"/>
        </w:rPr>
      </w:pPr>
      <w:r>
        <w:rPr>
          <w:rFonts w:eastAsia="仿宋_GB2312"/>
          <w:b/>
          <w:color w:val="000000"/>
          <w:kern w:val="0"/>
          <w:sz w:val="32"/>
          <w:szCs w:val="32"/>
          <w:shd w:val="clear" w:color="auto" w:fill="FFFFFF"/>
          <w:lang w:val="zh-CN"/>
        </w:rPr>
        <w:t>（二）机构职能</w:t>
      </w:r>
    </w:p>
    <w:p>
      <w:pPr>
        <w:spacing w:line="600" w:lineRule="exact"/>
        <w:ind w:firstLine="640" w:firstLineChars="200"/>
        <w:rPr>
          <w:rFonts w:eastAsia="仿宋_GB2312"/>
          <w:sz w:val="32"/>
          <w:szCs w:val="32"/>
        </w:rPr>
      </w:pPr>
      <w:r>
        <w:rPr>
          <w:rFonts w:eastAsia="仿宋_GB2312"/>
          <w:sz w:val="32"/>
          <w:szCs w:val="32"/>
        </w:rPr>
        <w:t>1.贯彻执行国家、四川省、德阳市、绵竹市住房和城乡建设的法律、法规、规章和政策；制订全市住房保障、工程建设、城市建设、村镇建设、建筑业、房地产业、勘察设计咨询业、市政公用事业、城市节约用水的行政规范性文件并进行监督管理；拟定相关发展战略、中长期规划并指导实施；负责依法行政、行政效能等工作。</w:t>
      </w:r>
    </w:p>
    <w:p>
      <w:pPr>
        <w:spacing w:line="600" w:lineRule="exact"/>
        <w:ind w:firstLine="640" w:firstLineChars="200"/>
        <w:rPr>
          <w:rFonts w:eastAsia="仿宋_GB2312"/>
          <w:sz w:val="32"/>
          <w:szCs w:val="32"/>
        </w:rPr>
      </w:pPr>
      <w:r>
        <w:rPr>
          <w:rFonts w:eastAsia="仿宋_GB2312"/>
          <w:sz w:val="32"/>
          <w:szCs w:val="32"/>
        </w:rPr>
        <w:t>2.负责推进住房制度改革，保障城镇中低收入家庭住房；拟定全市住房及住房保障相关政策并指导实施，完善保障性住房制度；会同有关部门做好国家、省、市、县保障性住房资金安排并监督实施；编制全市住房和保障性住房发展规划和年度计划并监督实施。</w:t>
      </w:r>
    </w:p>
    <w:p>
      <w:pPr>
        <w:spacing w:line="600" w:lineRule="exact"/>
        <w:ind w:firstLine="640" w:firstLineChars="200"/>
        <w:rPr>
          <w:rFonts w:eastAsia="仿宋_GB2312"/>
          <w:sz w:val="32"/>
          <w:szCs w:val="32"/>
        </w:rPr>
      </w:pPr>
      <w:r>
        <w:rPr>
          <w:rFonts w:eastAsia="仿宋_GB2312"/>
          <w:sz w:val="32"/>
          <w:szCs w:val="32"/>
        </w:rPr>
        <w:t>3.主管全市房地产业和房地产市场；贯彻执行国家、省、</w:t>
      </w:r>
      <w:r>
        <w:rPr>
          <w:rFonts w:hint="eastAsia" w:eastAsia="仿宋_GB2312"/>
          <w:sz w:val="32"/>
          <w:szCs w:val="32"/>
        </w:rPr>
        <w:t>德阳</w:t>
      </w:r>
      <w:r>
        <w:rPr>
          <w:rFonts w:eastAsia="仿宋_GB2312"/>
          <w:sz w:val="32"/>
          <w:szCs w:val="32"/>
        </w:rPr>
        <w:t>市房地产市场监督管理政策；拟定房地产业的行业发展规划和产业政策；指导和监督管理房地产开发、房屋交易、房屋租赁、房屋面积测绘、危房鉴定、既有建筑安全、白蚁防治、房地产估价与经纪管理、物业管理工作；组织实施国有土地上房屋征收与补偿工作；负责住宅专项维修资金的监督管理；参与指导城镇土地使用权有偿转让和开发利用工作；负责住房建设统计。</w:t>
      </w:r>
    </w:p>
    <w:p>
      <w:pPr>
        <w:spacing w:line="600" w:lineRule="exact"/>
        <w:ind w:firstLine="640" w:firstLineChars="200"/>
        <w:rPr>
          <w:rFonts w:eastAsia="仿宋_GB2312"/>
          <w:sz w:val="32"/>
          <w:szCs w:val="32"/>
        </w:rPr>
      </w:pPr>
      <w:r>
        <w:rPr>
          <w:rFonts w:eastAsia="仿宋_GB2312"/>
          <w:sz w:val="32"/>
          <w:szCs w:val="32"/>
        </w:rPr>
        <w:t>4.主管全市建筑业和建筑市场，规范市场各方主体行为；指导和监督管理全市建筑活动；制订工程建设、工程施工、工程监理、工程质量、工程造价、工程招标投标、工程质量检测、工程安全生产、职业健康等规章制度并监督执行；组织或参与工程重大质量、安全事故的调查处理；负责建筑业企业及从业人员的资质、资格管理。</w:t>
      </w:r>
    </w:p>
    <w:p>
      <w:pPr>
        <w:spacing w:line="600" w:lineRule="exact"/>
        <w:ind w:firstLine="640" w:firstLineChars="200"/>
        <w:rPr>
          <w:rFonts w:eastAsia="仿宋_GB2312"/>
          <w:sz w:val="32"/>
          <w:szCs w:val="32"/>
        </w:rPr>
      </w:pPr>
      <w:r>
        <w:rPr>
          <w:rFonts w:eastAsia="仿宋_GB2312"/>
          <w:sz w:val="32"/>
          <w:szCs w:val="32"/>
        </w:rPr>
        <w:t>5.监督管理建设工程勘察、设计、市政工程测量活动。对有特殊要求和涉及公共利益、公众安全、工程建设强制性标准的建设项目的建设工程勘察、设计质量进行监督检查；负责房屋建筑和市政基础设施建设项目的初步设计审查及建设工程消防设计审查备案验收；监督建筑工程施工图审查，监管建设工程抗震设防、防雷装置设计等施工图审查；负责施工图审查机构的监督管理；拟定工程勘察设计咨询业的发展战略、中长期规划、产业和技术政策、规章制度并指导实施。</w:t>
      </w:r>
    </w:p>
    <w:p>
      <w:pPr>
        <w:spacing w:line="600" w:lineRule="exact"/>
        <w:ind w:firstLine="640" w:firstLineChars="200"/>
        <w:rPr>
          <w:rFonts w:eastAsia="仿宋_GB2312"/>
          <w:sz w:val="32"/>
          <w:szCs w:val="32"/>
        </w:rPr>
      </w:pPr>
      <w:r>
        <w:rPr>
          <w:rFonts w:eastAsia="仿宋_GB2312"/>
          <w:sz w:val="32"/>
          <w:szCs w:val="32"/>
        </w:rPr>
        <w:t>6.贯彻国家、省、</w:t>
      </w:r>
      <w:r>
        <w:rPr>
          <w:rFonts w:hint="eastAsia" w:eastAsia="仿宋_GB2312"/>
          <w:sz w:val="32"/>
          <w:szCs w:val="32"/>
        </w:rPr>
        <w:t>德阳</w:t>
      </w:r>
      <w:r>
        <w:rPr>
          <w:rFonts w:eastAsia="仿宋_GB2312"/>
          <w:sz w:val="32"/>
          <w:szCs w:val="32"/>
        </w:rPr>
        <w:t>市建筑节能、城镇减排政策；规划和拟定全市建筑节能政策并监督实施；负责重点科技项目研究成果转化推广使用；推进墙体材料革新；负责散装水泥推广使用。</w:t>
      </w:r>
    </w:p>
    <w:p>
      <w:pPr>
        <w:spacing w:line="600" w:lineRule="exact"/>
        <w:ind w:firstLine="640" w:firstLineChars="200"/>
        <w:rPr>
          <w:rFonts w:eastAsia="仿宋_GB2312"/>
          <w:sz w:val="32"/>
          <w:szCs w:val="32"/>
        </w:rPr>
      </w:pPr>
      <w:r>
        <w:rPr>
          <w:rFonts w:eastAsia="仿宋_GB2312"/>
          <w:sz w:val="32"/>
          <w:szCs w:val="32"/>
        </w:rPr>
        <w:t>7.组织实施和贯彻执行工程建设国家标准、全国统一定额、行业标准定额、地方标准定额、建设项目可行性研究评价方法、经济参数、建设标准和工程造价；监督各类工程建设标准定额的实施和工程造价计价；负责工程造价信息的收集。</w:t>
      </w:r>
    </w:p>
    <w:p>
      <w:pPr>
        <w:spacing w:line="600" w:lineRule="exact"/>
        <w:ind w:firstLine="640" w:firstLineChars="200"/>
        <w:rPr>
          <w:rFonts w:eastAsia="仿宋_GB2312"/>
          <w:sz w:val="32"/>
          <w:szCs w:val="32"/>
        </w:rPr>
      </w:pPr>
      <w:r>
        <w:rPr>
          <w:rFonts w:eastAsia="仿宋_GB2312"/>
          <w:sz w:val="32"/>
          <w:szCs w:val="32"/>
        </w:rPr>
        <w:t>8.拟定城镇建设的政策并指导实施；负责市政基础设施和公用服务设施建设计划统筹、建设推进工作；负责组织开展对城市供水、城镇污水处理企业运行考核评估工作；负责城镇燃气经营企业经营许可的审查；负责城镇建设档案管理。</w:t>
      </w:r>
    </w:p>
    <w:p>
      <w:pPr>
        <w:spacing w:line="600" w:lineRule="exact"/>
        <w:ind w:firstLine="640" w:firstLineChars="200"/>
        <w:rPr>
          <w:rFonts w:eastAsia="仿宋_GB2312"/>
          <w:sz w:val="32"/>
          <w:szCs w:val="32"/>
        </w:rPr>
      </w:pPr>
      <w:r>
        <w:rPr>
          <w:rFonts w:eastAsia="仿宋_GB2312"/>
          <w:sz w:val="32"/>
          <w:szCs w:val="32"/>
        </w:rPr>
        <w:t>9.负责全市城镇房屋建筑、城镇燃气、城市供水、城镇污水处理等市政公用设施建设及日常运行、城镇污水处理设施配套管网建设的监督管理。</w:t>
      </w:r>
    </w:p>
    <w:p>
      <w:pPr>
        <w:spacing w:line="600" w:lineRule="exact"/>
        <w:ind w:firstLine="640" w:firstLineChars="200"/>
        <w:rPr>
          <w:rFonts w:eastAsia="仿宋_GB2312"/>
          <w:sz w:val="32"/>
          <w:szCs w:val="32"/>
        </w:rPr>
      </w:pPr>
      <w:r>
        <w:rPr>
          <w:rFonts w:eastAsia="仿宋_GB2312"/>
          <w:sz w:val="32"/>
          <w:szCs w:val="32"/>
        </w:rPr>
        <w:t>10.负责拟定建设领域生态环境保护中长期规划；落实建设领域国家生态环境保护法律法规；指导和监督管理在建房屋和市政基础设施工程施工扬尘治理和噪声污染防治；指导和监督建成城镇生活污水处理设施达标运行；加强城镇生活污水处理设施建设和城市建成区黑臭水体治理。</w:t>
      </w:r>
    </w:p>
    <w:p>
      <w:pPr>
        <w:spacing w:line="600" w:lineRule="exact"/>
        <w:ind w:firstLine="640" w:firstLineChars="200"/>
        <w:rPr>
          <w:rFonts w:eastAsia="仿宋_GB2312"/>
          <w:sz w:val="32"/>
          <w:szCs w:val="32"/>
        </w:rPr>
      </w:pPr>
      <w:r>
        <w:rPr>
          <w:rFonts w:eastAsia="仿宋_GB2312"/>
          <w:sz w:val="32"/>
          <w:szCs w:val="32"/>
        </w:rPr>
        <w:t>11.负责拟定全市村庄和小城镇建设政策并指导实施；指导农村住房建设管理和危房改造；指导小城镇人居生态环境的改善工作；负责特</w:t>
      </w:r>
      <w:r>
        <w:rPr>
          <w:rFonts w:hint="eastAsia" w:ascii="仿宋" w:hAnsi="仿宋" w:eastAsia="仿宋" w:cs="微软雅黑"/>
          <w:sz w:val="32"/>
          <w:szCs w:val="32"/>
        </w:rPr>
        <w:t>色</w:t>
      </w:r>
      <w:r>
        <w:rPr>
          <w:rFonts w:eastAsia="仿宋_GB2312"/>
          <w:sz w:val="32"/>
          <w:szCs w:val="32"/>
        </w:rPr>
        <w:t>村镇申报工作；配合相关部门完成历史文化名镇、名村的相关报批工作；指导和组织各类村镇建设试点工作；指导受灾村镇及国家、省大型重点建设项目地区村镇迁建、重建的建设管理。</w:t>
      </w:r>
    </w:p>
    <w:p>
      <w:pPr>
        <w:spacing w:line="600" w:lineRule="exact"/>
        <w:ind w:firstLine="640" w:firstLineChars="200"/>
        <w:rPr>
          <w:rFonts w:eastAsia="仿宋_GB2312"/>
          <w:sz w:val="32"/>
          <w:szCs w:val="32"/>
        </w:rPr>
      </w:pPr>
      <w:r>
        <w:rPr>
          <w:rFonts w:eastAsia="仿宋_GB2312"/>
          <w:sz w:val="32"/>
          <w:szCs w:val="32"/>
        </w:rPr>
        <w:t>12.</w:t>
      </w:r>
      <w:r>
        <w:rPr>
          <w:rFonts w:hint="eastAsia"/>
        </w:rPr>
        <w:t xml:space="preserve"> </w:t>
      </w:r>
      <w:r>
        <w:rPr>
          <w:rFonts w:hint="eastAsia" w:eastAsia="仿宋_GB2312"/>
          <w:sz w:val="32"/>
          <w:szCs w:val="32"/>
        </w:rPr>
        <w:t>制定建设行业人才培养和教育发展规划并组织实 施；指导建设行业科技人才队伍建设、专业技术职务初审和执业 资格管理；负责住房和城乡建设系统的信访工作，督查督办重大信访案件；指导行业协会工作。</w:t>
      </w:r>
    </w:p>
    <w:p>
      <w:pPr>
        <w:spacing w:line="600" w:lineRule="exact"/>
        <w:ind w:firstLine="640" w:firstLineChars="200"/>
        <w:rPr>
          <w:rFonts w:eastAsia="仿宋_GB2312"/>
          <w:sz w:val="32"/>
          <w:szCs w:val="32"/>
        </w:rPr>
      </w:pPr>
      <w:r>
        <w:rPr>
          <w:rFonts w:eastAsia="仿宋_GB2312"/>
          <w:sz w:val="32"/>
          <w:szCs w:val="32"/>
        </w:rPr>
        <w:t>13.负责职责范围内的安全生产和职业健康、生态环境保护、</w:t>
      </w:r>
      <w:r>
        <w:rPr>
          <w:rFonts w:hint="eastAsia" w:eastAsia="仿宋_GB2312"/>
          <w:sz w:val="32"/>
          <w:szCs w:val="32"/>
        </w:rPr>
        <w:t>审批服务便民化和社会信用体系建设等工作。</w:t>
      </w:r>
    </w:p>
    <w:p>
      <w:pPr>
        <w:snapToGrid w:val="0"/>
        <w:spacing w:before="93" w:beforeLines="30" w:line="600" w:lineRule="exact"/>
        <w:ind w:firstLine="672" w:firstLineChars="210"/>
        <w:rPr>
          <w:rFonts w:eastAsia="仿宋_GB2312"/>
          <w:sz w:val="32"/>
          <w:szCs w:val="32"/>
        </w:rPr>
      </w:pPr>
      <w:r>
        <w:rPr>
          <w:rFonts w:eastAsia="仿宋_GB2312"/>
          <w:sz w:val="32"/>
          <w:szCs w:val="32"/>
        </w:rPr>
        <w:t>14.</w:t>
      </w:r>
      <w:r>
        <w:rPr>
          <w:rFonts w:hint="eastAsia"/>
        </w:rPr>
        <w:t xml:space="preserve"> </w:t>
      </w:r>
      <w:r>
        <w:rPr>
          <w:rFonts w:hint="eastAsia" w:eastAsia="仿宋_GB2312"/>
          <w:sz w:val="32"/>
          <w:szCs w:val="32"/>
        </w:rPr>
        <w:t>承办市市民服务中心转办的事项。</w:t>
      </w:r>
    </w:p>
    <w:p>
      <w:pPr>
        <w:snapToGrid w:val="0"/>
        <w:spacing w:before="93" w:beforeLines="30" w:line="600" w:lineRule="exact"/>
        <w:ind w:firstLine="672" w:firstLineChars="210"/>
        <w:rPr>
          <w:rFonts w:eastAsia="仿宋_GB2312"/>
          <w:sz w:val="32"/>
          <w:szCs w:val="32"/>
        </w:rPr>
      </w:pPr>
      <w:r>
        <w:rPr>
          <w:rFonts w:eastAsia="仿宋_GB2312"/>
          <w:sz w:val="32"/>
          <w:szCs w:val="32"/>
        </w:rPr>
        <w:t>15.完成市委和市政府交办的其他任务。</w:t>
      </w:r>
    </w:p>
    <w:p>
      <w:pPr>
        <w:widowControl/>
        <w:adjustRightInd w:val="0"/>
        <w:snapToGrid w:val="0"/>
        <w:spacing w:line="540" w:lineRule="exact"/>
        <w:ind w:firstLine="720"/>
        <w:jc w:val="left"/>
        <w:rPr>
          <w:rFonts w:eastAsia="仿宋_GB2312"/>
          <w:b/>
          <w:color w:val="000000"/>
          <w:kern w:val="0"/>
          <w:sz w:val="32"/>
          <w:szCs w:val="32"/>
          <w:shd w:val="clear" w:color="auto" w:fill="FFFFFF"/>
          <w:lang w:val="zh-CN"/>
        </w:rPr>
      </w:pPr>
      <w:r>
        <w:rPr>
          <w:rFonts w:eastAsia="仿宋_GB2312"/>
          <w:b/>
          <w:color w:val="000000"/>
          <w:kern w:val="0"/>
          <w:sz w:val="32"/>
          <w:szCs w:val="32"/>
          <w:shd w:val="clear" w:color="auto" w:fill="FFFFFF"/>
          <w:lang w:val="zh-CN"/>
        </w:rPr>
        <w:t>（三）人员概况</w:t>
      </w:r>
    </w:p>
    <w:p>
      <w:pPr>
        <w:spacing w:line="576" w:lineRule="exact"/>
        <w:ind w:firstLine="707" w:firstLineChars="221"/>
        <w:rPr>
          <w:rFonts w:eastAsia="仿宋_GB2312"/>
          <w:sz w:val="32"/>
          <w:szCs w:val="32"/>
        </w:rPr>
      </w:pPr>
      <w:r>
        <w:rPr>
          <w:rFonts w:eastAsia="仿宋_GB2312"/>
          <w:sz w:val="32"/>
          <w:szCs w:val="32"/>
        </w:rPr>
        <w:t>2024年末单位实有在编人员57人（未含绵竹市城市供水服务中心），其</w:t>
      </w:r>
      <w:r>
        <w:rPr>
          <w:rFonts w:eastAsia="仿宋_GB2312"/>
          <w:bCs/>
          <w:color w:val="000000"/>
          <w:sz w:val="32"/>
          <w:szCs w:val="32"/>
        </w:rPr>
        <w:t>中：公务员17人，事业管理人员和专业技术人员32人，机关和事业工人8人。</w:t>
      </w:r>
    </w:p>
    <w:p>
      <w:pPr>
        <w:spacing w:line="576" w:lineRule="exact"/>
        <w:ind w:firstLine="707" w:firstLineChars="221"/>
        <w:rPr>
          <w:rFonts w:ascii="黑体" w:hAnsi="黑体" w:eastAsia="黑体"/>
          <w:sz w:val="32"/>
          <w:szCs w:val="32"/>
        </w:rPr>
      </w:pPr>
      <w:r>
        <w:rPr>
          <w:rFonts w:hint="eastAsia" w:ascii="黑体" w:hAnsi="黑体" w:eastAsia="黑体"/>
          <w:sz w:val="32"/>
          <w:szCs w:val="32"/>
        </w:rPr>
        <w:t>二、部门整体预算收支情况</w:t>
      </w:r>
    </w:p>
    <w:p>
      <w:pPr>
        <w:spacing w:line="576" w:lineRule="exact"/>
        <w:ind w:firstLine="707" w:firstLineChars="221"/>
        <w:rPr>
          <w:rFonts w:ascii="楷体_GB2312" w:eastAsia="楷体_GB2312"/>
          <w:sz w:val="32"/>
          <w:szCs w:val="32"/>
        </w:rPr>
      </w:pPr>
      <w:r>
        <w:rPr>
          <w:rFonts w:hint="eastAsia" w:ascii="楷体_GB2312" w:eastAsia="楷体_GB2312"/>
          <w:sz w:val="32"/>
          <w:szCs w:val="32"/>
        </w:rPr>
        <w:t>（一）收入情况</w:t>
      </w:r>
    </w:p>
    <w:p>
      <w:pPr>
        <w:spacing w:line="576" w:lineRule="exact"/>
        <w:ind w:firstLine="707" w:firstLineChars="221"/>
        <w:rPr>
          <w:rFonts w:ascii="仿宋" w:hAnsi="仿宋" w:eastAsia="仿宋"/>
          <w:sz w:val="32"/>
          <w:szCs w:val="32"/>
        </w:rPr>
      </w:pPr>
      <w:r>
        <w:rPr>
          <w:rFonts w:hint="eastAsia" w:ascii="仿宋" w:hAnsi="仿宋" w:eastAsia="仿宋"/>
          <w:sz w:val="32"/>
          <w:szCs w:val="32"/>
        </w:rPr>
        <w:t>2024年绵竹市住房和城乡建设局本年年初预算收入总额为34724.63万元，其中：财政拨款收入34724.63万元，包括一般公共预算财政拨款收入32274.63万元，政府性基金预算财政拨款收入2450万元。</w:t>
      </w:r>
    </w:p>
    <w:p>
      <w:pPr>
        <w:spacing w:line="576" w:lineRule="exact"/>
        <w:ind w:firstLine="707" w:firstLineChars="221"/>
        <w:rPr>
          <w:rFonts w:ascii="仿宋" w:hAnsi="仿宋" w:eastAsia="仿宋"/>
          <w:b/>
          <w:sz w:val="24"/>
        </w:rPr>
      </w:pPr>
      <w:r>
        <w:rPr>
          <w:rFonts w:hint="eastAsia" w:ascii="仿宋" w:hAnsi="仿宋" w:eastAsia="仿宋"/>
          <w:sz w:val="32"/>
          <w:szCs w:val="32"/>
        </w:rPr>
        <w:t>2024年绵竹市住房和城乡建设局本年收入调整预算总额为88571.62万元，其中：财政拨款收入88570.41万元，包括一般公共预算财政拨款收入41735.37万元，政府性基金预算财政拨款收入46835.04万元；非财政拨款收入1.21万元。</w:t>
      </w:r>
    </w:p>
    <w:p>
      <w:pPr>
        <w:numPr>
          <w:ilvl w:val="0"/>
          <w:numId w:val="4"/>
        </w:numPr>
        <w:spacing w:line="576" w:lineRule="exact"/>
        <w:ind w:firstLine="707" w:firstLineChars="221"/>
        <w:rPr>
          <w:rFonts w:ascii="楷体_GB2312" w:eastAsia="楷体_GB2312"/>
          <w:sz w:val="32"/>
          <w:szCs w:val="32"/>
        </w:rPr>
      </w:pPr>
      <w:r>
        <w:rPr>
          <w:rFonts w:hint="eastAsia" w:ascii="楷体_GB2312" w:eastAsia="楷体_GB2312"/>
          <w:sz w:val="32"/>
          <w:szCs w:val="32"/>
        </w:rPr>
        <w:t>支出情况</w:t>
      </w:r>
    </w:p>
    <w:p>
      <w:pPr>
        <w:spacing w:line="576" w:lineRule="exact"/>
        <w:ind w:firstLine="707" w:firstLineChars="221"/>
        <w:rPr>
          <w:rFonts w:ascii="仿宋" w:hAnsi="仿宋" w:eastAsia="仿宋"/>
          <w:sz w:val="32"/>
          <w:szCs w:val="32"/>
        </w:rPr>
      </w:pPr>
      <w:r>
        <w:rPr>
          <w:rFonts w:hint="eastAsia" w:ascii="仿宋" w:hAnsi="仿宋" w:eastAsia="仿宋"/>
          <w:sz w:val="32"/>
          <w:szCs w:val="32"/>
        </w:rPr>
        <w:t>2024年绵竹市住房和城乡建设局支出调整预算88571.62万元，其中：人员支出1008.82万元，日常公用支出112.51万元，项目支出87450.29万元。具体到功能科目，其中：社会保障和就业支出195.53万元，卫生健康支出44.45万元，节能环保支出5980.00万元，城乡社区支出38342.80万元，住房保障支出16629.23万元，其他支出27379.61万元。</w:t>
      </w:r>
    </w:p>
    <w:p>
      <w:pPr>
        <w:numPr>
          <w:ilvl w:val="0"/>
          <w:numId w:val="4"/>
        </w:numPr>
        <w:spacing w:line="576" w:lineRule="exact"/>
        <w:ind w:firstLine="707" w:firstLineChars="221"/>
        <w:rPr>
          <w:rFonts w:ascii="仿宋_GB2312"/>
          <w:b/>
          <w:sz w:val="24"/>
        </w:rPr>
      </w:pPr>
      <w:r>
        <w:rPr>
          <w:rFonts w:hint="eastAsia" w:ascii="楷体_GB2312" w:eastAsia="楷体_GB2312"/>
          <w:sz w:val="32"/>
          <w:szCs w:val="32"/>
        </w:rPr>
        <w:t>结余情况</w:t>
      </w:r>
    </w:p>
    <w:p>
      <w:pPr>
        <w:spacing w:line="576" w:lineRule="exact"/>
        <w:ind w:firstLine="707" w:firstLineChars="221"/>
        <w:rPr>
          <w:rFonts w:ascii="仿宋" w:hAnsi="仿宋" w:eastAsia="仿宋"/>
          <w:sz w:val="32"/>
          <w:szCs w:val="32"/>
        </w:rPr>
      </w:pPr>
      <w:r>
        <w:rPr>
          <w:rFonts w:hint="eastAsia" w:ascii="仿宋" w:hAnsi="仿宋" w:eastAsia="仿宋"/>
          <w:sz w:val="32"/>
          <w:szCs w:val="32"/>
        </w:rPr>
        <w:t>2024年度财政拨款及非财政拨款结转33140.07万元。</w:t>
      </w:r>
    </w:p>
    <w:p>
      <w:pPr>
        <w:spacing w:line="576" w:lineRule="exact"/>
        <w:ind w:firstLine="707" w:firstLineChars="221"/>
        <w:rPr>
          <w:rFonts w:ascii="黑体" w:hAnsi="黑体" w:eastAsia="黑体"/>
          <w:sz w:val="32"/>
          <w:szCs w:val="32"/>
        </w:rPr>
      </w:pPr>
      <w:r>
        <w:rPr>
          <w:rFonts w:hint="eastAsia" w:ascii="黑体" w:hAnsi="黑体" w:eastAsia="黑体"/>
          <w:sz w:val="32"/>
          <w:szCs w:val="32"/>
        </w:rPr>
        <w:t>三、部门整体预算绩效分析</w:t>
      </w:r>
    </w:p>
    <w:p>
      <w:pPr>
        <w:spacing w:line="576" w:lineRule="exact"/>
        <w:ind w:firstLine="707" w:firstLineChars="221"/>
        <w:rPr>
          <w:rFonts w:ascii="宋体" w:hAnsi="宋体"/>
          <w:b/>
          <w:sz w:val="24"/>
        </w:rPr>
      </w:pPr>
      <w:r>
        <w:rPr>
          <w:rFonts w:hint="eastAsia" w:ascii="楷体_GB2312" w:eastAsia="楷体_GB2312"/>
          <w:sz w:val="32"/>
          <w:szCs w:val="32"/>
        </w:rPr>
        <w:t>（一）基本运行管理绩效分析</w:t>
      </w:r>
    </w:p>
    <w:p>
      <w:pPr>
        <w:spacing w:line="576" w:lineRule="exact"/>
        <w:ind w:firstLine="707" w:firstLineChars="221"/>
        <w:rPr>
          <w:rFonts w:ascii="仿宋" w:hAnsi="仿宋" w:eastAsia="仿宋"/>
          <w:sz w:val="32"/>
          <w:szCs w:val="32"/>
        </w:rPr>
      </w:pPr>
      <w:r>
        <w:rPr>
          <w:rFonts w:hint="eastAsia" w:ascii="仿宋" w:hAnsi="仿宋" w:eastAsia="仿宋"/>
          <w:sz w:val="32"/>
          <w:szCs w:val="32"/>
        </w:rPr>
        <w:t>一是预算管理方面。2024年我局按照省、市财政部门的要求，严格按照《绵竹市财政局关于印发绵竹市2024年预算编制要求的通知》（竹财预(2023)342号）文件要求，依据我局履职要求和各部门、各下属单位年度工作计划，征求统计相应的经费需求，参考以前年度年初预算编审、预算执行中期评估和支出绩效评价成果、资产占有和使用情况等因素，在下达控制数内按时完成部门预算草案编制工作，做到各项收入支出预算编制科学、完整、准确、规范，确保不重不漏。2024年度无部门预算以外保留的其他收支项目，2024年度财政拨款及非财政拨款结转33140.07万元。2024年“三公”经费支出2.84万元，比2023年减少3.26万元，2024年公车运行维护费支出2.14万元，比上年减少2.86万元；公务接待费0.7万元，较上年减少0.39万元，无因公出国（境）费用支出，无会议费用支出、无培训费用支出，无办公设备购置费用支出、无信息网络及软件购置更新费用支出。2024年全局差旅支出36.6万元，比去年减少1.8万元，2024年人均0. 64万元，人均减少0.02万元，有效控制“三公”经费、会议费、培训费、差旅费、办公设备购置、信息网络及软件购置更新等费用支出，厉行节约工作取得明显成效。</w:t>
      </w:r>
    </w:p>
    <w:p>
      <w:pPr>
        <w:spacing w:line="576" w:lineRule="exact"/>
        <w:ind w:firstLine="707" w:firstLineChars="221"/>
        <w:rPr>
          <w:rFonts w:ascii="仿宋" w:hAnsi="仿宋" w:eastAsia="仿宋"/>
          <w:sz w:val="32"/>
          <w:szCs w:val="32"/>
        </w:rPr>
      </w:pPr>
      <w:r>
        <w:rPr>
          <w:rFonts w:hint="eastAsia" w:ascii="仿宋" w:hAnsi="仿宋" w:eastAsia="仿宋"/>
          <w:sz w:val="32"/>
          <w:szCs w:val="32"/>
        </w:rPr>
        <w:t>二是预算绩效管理方面。严格按照竹财预〔2023〕342号文件要求编制并报送2024年年初部门预算绩效目标编制情况，细化预算支出，及时更新完善基础信息数据库，人员经费按标准、日常公用经费按定额、专项支出按项目分别编制，项目支出细化到具体的经济内容。认真编制政府采购预算，做到应编尽编，确保了政府采购预算的完整。按要求单独编制“三公”经费预算及编报说明，绩效目标设置科学、合理、完整，相关细化、量化及定性指标可衡量、可评价。对于当年度新增的部门预算项目年度、增幅达到30%或增加额度达到200万元以上的延续性项目均全部开展了事前绩效自评估，对需开展绩效监控工作及财政支出事后绩效自评工作的项目2024年度均已开展相关绩效监控工作及财政支出事后绩效自评工作，各项目事前绩效自评工作、绩效监管工作、事后绩效自评工作均开展良好，报送资料全面且真实。</w:t>
      </w:r>
    </w:p>
    <w:p>
      <w:pPr>
        <w:spacing w:line="576" w:lineRule="exact"/>
        <w:ind w:firstLine="707" w:firstLineChars="221"/>
        <w:rPr>
          <w:rFonts w:ascii="仿宋" w:hAnsi="仿宋" w:eastAsia="仿宋"/>
          <w:sz w:val="32"/>
          <w:szCs w:val="32"/>
        </w:rPr>
      </w:pPr>
      <w:r>
        <w:rPr>
          <w:rFonts w:hint="eastAsia" w:ascii="仿宋" w:hAnsi="仿宋" w:eastAsia="仿宋"/>
          <w:sz w:val="32"/>
          <w:szCs w:val="32"/>
        </w:rPr>
        <w:t>三是财务管理方面。制定我局财经方面制度汇编，包含预算管理、预算绩效管理、政府采购管理、财务管理内控机制等内容。同时严格执行我局制定的财经制度，明确工作流程、职能职责分工，确保财务工作有序开展，流程正确，资金流转高效。严格执行财经法律法规，实行国库集中支付制度，按照财政部门的相关制度执行收支核算。预算执行中加强项目绩效管理，逐渐探索部门整体支出绩效管理。年度决算局本级为编报单位，如实反映本年资金情况，由上级财政部门组织审核。</w:t>
      </w:r>
    </w:p>
    <w:p>
      <w:pPr>
        <w:spacing w:line="576" w:lineRule="exact"/>
        <w:ind w:firstLine="707" w:firstLineChars="221"/>
        <w:rPr>
          <w:rFonts w:ascii="仿宋" w:hAnsi="仿宋" w:eastAsia="仿宋"/>
          <w:sz w:val="32"/>
          <w:szCs w:val="32"/>
        </w:rPr>
      </w:pPr>
      <w:r>
        <w:rPr>
          <w:rFonts w:hint="eastAsia" w:ascii="仿宋" w:hAnsi="仿宋" w:eastAsia="仿宋"/>
          <w:sz w:val="32"/>
          <w:szCs w:val="32"/>
        </w:rPr>
        <w:t>四是资产管理方面。加强国有资产管理，定期进行国有资产清理核查工作，把单位占有、使用的国有资产全部按规定录入资产信息管理系统。</w:t>
      </w:r>
    </w:p>
    <w:p>
      <w:pPr>
        <w:spacing w:line="576" w:lineRule="exact"/>
        <w:ind w:firstLine="707" w:firstLineChars="221"/>
        <w:rPr>
          <w:rFonts w:ascii="仿宋" w:hAnsi="仿宋" w:eastAsia="仿宋"/>
          <w:sz w:val="32"/>
          <w:szCs w:val="32"/>
        </w:rPr>
      </w:pPr>
      <w:r>
        <w:rPr>
          <w:rFonts w:hint="eastAsia" w:ascii="仿宋" w:hAnsi="仿宋" w:eastAsia="仿宋"/>
          <w:sz w:val="32"/>
          <w:szCs w:val="32"/>
        </w:rPr>
        <w:t>五是政府采购管理方面。加强政府采购管理，严格执行政府采购制度，扩大政府采购范围和规模，规范采购程序，确保政府采购公开、透明。</w:t>
      </w:r>
    </w:p>
    <w:p>
      <w:pPr>
        <w:spacing w:line="576" w:lineRule="exact"/>
        <w:ind w:firstLine="640" w:firstLineChars="200"/>
        <w:rPr>
          <w:rFonts w:ascii="仿宋_GB2312"/>
          <w:b/>
          <w:sz w:val="24"/>
        </w:rPr>
      </w:pPr>
      <w:r>
        <w:rPr>
          <w:rFonts w:hint="eastAsia" w:ascii="楷体_GB2312" w:eastAsia="楷体_GB2312"/>
          <w:sz w:val="32"/>
          <w:szCs w:val="32"/>
        </w:rPr>
        <w:t>（二）重点履职任务绩效分析</w:t>
      </w:r>
    </w:p>
    <w:p>
      <w:pPr>
        <w:spacing w:line="576" w:lineRule="exact"/>
        <w:ind w:firstLine="707" w:firstLineChars="221"/>
        <w:rPr>
          <w:rFonts w:ascii="仿宋" w:hAnsi="仿宋" w:eastAsia="仿宋"/>
          <w:sz w:val="32"/>
          <w:szCs w:val="32"/>
        </w:rPr>
      </w:pPr>
      <w:r>
        <w:rPr>
          <w:rFonts w:hint="eastAsia" w:ascii="仿宋" w:hAnsi="仿宋" w:eastAsia="仿宋"/>
          <w:sz w:val="32"/>
          <w:szCs w:val="32"/>
        </w:rPr>
        <w:t>我局各个</w:t>
      </w:r>
      <w:r>
        <w:rPr>
          <w:rFonts w:ascii="仿宋" w:hAnsi="仿宋" w:eastAsia="仿宋"/>
          <w:sz w:val="32"/>
          <w:szCs w:val="32"/>
        </w:rPr>
        <w:t>项目实施单位财务管理制度健全，严格执行财务管理制度，实行分账核算、专款专用，项目实际支出符合财务制度与财政专项资金管理办法，资金使用按预算审核范围标准支付，资金拨付有完整的审批程序和拨付凭证，财务制度得到有效执行，未发现有挪用或者违规使用资金的现象。</w:t>
      </w:r>
    </w:p>
    <w:p>
      <w:pPr>
        <w:spacing w:line="576" w:lineRule="exact"/>
        <w:ind w:firstLine="707" w:firstLineChars="221"/>
        <w:rPr>
          <w:rFonts w:ascii="仿宋" w:hAnsi="仿宋" w:eastAsia="仿宋"/>
          <w:sz w:val="32"/>
          <w:szCs w:val="32"/>
        </w:rPr>
      </w:pPr>
      <w:r>
        <w:rPr>
          <w:rFonts w:hint="eastAsia" w:ascii="仿宋" w:hAnsi="仿宋" w:eastAsia="仿宋"/>
          <w:sz w:val="32"/>
          <w:szCs w:val="32"/>
        </w:rPr>
        <w:t>1.绵竹市玉马社区保障性租赁住房建设工程项目。2024年度已完成本项目工程量的47%，严格按照施工进度进行施工。通过本项目的建设将进一步推进绵竹市健全社会多层次保障体系，能有效保障新市民、青年人以及引进人才等群体的住房问题。有利于绵竹市营造良好人居环境、建设幸福最美绵竹、大力推进保障体系建设的民生工程。本项目的建设还可以一定程度上提高当地居民的收入水平。</w:t>
      </w:r>
    </w:p>
    <w:p>
      <w:pPr>
        <w:spacing w:line="576" w:lineRule="exact"/>
        <w:ind w:firstLine="707" w:firstLineChars="221"/>
        <w:rPr>
          <w:rFonts w:ascii="仿宋" w:hAnsi="仿宋" w:eastAsia="仿宋"/>
          <w:sz w:val="32"/>
          <w:szCs w:val="32"/>
        </w:rPr>
      </w:pPr>
      <w:r>
        <w:rPr>
          <w:rFonts w:hint="eastAsia" w:ascii="仿宋" w:hAnsi="仿宋" w:eastAsia="仿宋"/>
          <w:sz w:val="32"/>
          <w:szCs w:val="32"/>
        </w:rPr>
        <w:t>2.绵竹市老旧小区（剑南街道）改造项目。已于2022年完成项目前期工作，工程施工于2023年2月开工，预计2026年1月完工。绵竹市老旧小区（剑南街道）改造项目的申报内容与具体实施内容一致，申报目标合理可行且已纳入老旧小区改造计划。2024年已完成基础配套改造进场小区178个，已完成改造166个，剩余12个整体完成率80%。一是经济效益，将拉动投资和消费，吸引投资推动经济增长，新增就业机会，有效增加当地居民企业的收入；二是社会效益中将提高和改善居民居住水平及生活环境质量，促进生活配套设施完善，提高地块利用率，扩大绿化面积，营造人与自然的和谐环境，创建一个良好的工作环境及生活空间；三是</w:t>
      </w:r>
      <w:r>
        <w:rPr>
          <w:rFonts w:hint="eastAsia" w:ascii="仿宋" w:hAnsi="仿宋" w:eastAsia="仿宋"/>
          <w:sz w:val="32"/>
          <w:szCs w:val="32"/>
          <w:lang w:val="en-US" w:eastAsia="zh-CN"/>
        </w:rPr>
        <w:t>改善</w:t>
      </w:r>
      <w:r>
        <w:rPr>
          <w:rFonts w:hint="eastAsia" w:ascii="仿宋" w:hAnsi="仿宋" w:eastAsia="仿宋"/>
          <w:sz w:val="32"/>
          <w:szCs w:val="32"/>
        </w:rPr>
        <w:t>项目区的整体形象</w:t>
      </w:r>
      <w:r>
        <w:rPr>
          <w:rFonts w:hint="eastAsia" w:ascii="仿宋" w:hAnsi="仿宋" w:eastAsia="仿宋"/>
          <w:sz w:val="32"/>
          <w:szCs w:val="32"/>
          <w:lang w:val="en-US" w:eastAsia="zh-CN"/>
        </w:rPr>
        <w:t>以及</w:t>
      </w:r>
      <w:r>
        <w:rPr>
          <w:rFonts w:hint="eastAsia" w:ascii="仿宋" w:hAnsi="仿宋" w:eastAsia="仿宋"/>
          <w:sz w:val="32"/>
          <w:szCs w:val="32"/>
        </w:rPr>
        <w:t>居民的居住环境和配套设施，同时增加</w:t>
      </w:r>
      <w:r>
        <w:rPr>
          <w:rFonts w:hint="eastAsia" w:ascii="仿宋" w:hAnsi="仿宋" w:eastAsia="仿宋"/>
          <w:sz w:val="32"/>
          <w:szCs w:val="32"/>
          <w:lang w:val="en-US" w:eastAsia="zh-CN"/>
        </w:rPr>
        <w:t>地方税收，为</w:t>
      </w:r>
      <w:r>
        <w:rPr>
          <w:rFonts w:hint="eastAsia" w:ascii="仿宋" w:hAnsi="仿宋" w:eastAsia="仿宋"/>
          <w:sz w:val="32"/>
          <w:szCs w:val="32"/>
        </w:rPr>
        <w:t>绵竹市</w:t>
      </w:r>
      <w:r>
        <w:rPr>
          <w:rFonts w:hint="eastAsia" w:ascii="仿宋" w:hAnsi="仿宋" w:eastAsia="仿宋"/>
          <w:sz w:val="32"/>
          <w:szCs w:val="32"/>
          <w:lang w:val="en-US" w:eastAsia="zh-CN"/>
        </w:rPr>
        <w:t>达</w:t>
      </w:r>
      <w:r>
        <w:rPr>
          <w:rFonts w:hint="eastAsia" w:ascii="仿宋" w:hAnsi="仿宋" w:eastAsia="仿宋"/>
          <w:sz w:val="32"/>
          <w:szCs w:val="32"/>
        </w:rPr>
        <w:t>成城镇化建设目标提供有</w:t>
      </w:r>
      <w:r>
        <w:rPr>
          <w:rFonts w:hint="eastAsia" w:ascii="仿宋" w:hAnsi="仿宋" w:eastAsia="仿宋"/>
          <w:sz w:val="32"/>
          <w:szCs w:val="32"/>
          <w:lang w:val="en-US" w:eastAsia="zh-CN"/>
        </w:rPr>
        <w:t>力</w:t>
      </w:r>
      <w:r>
        <w:rPr>
          <w:rFonts w:hint="eastAsia" w:ascii="仿宋" w:hAnsi="仿宋" w:eastAsia="仿宋"/>
          <w:sz w:val="32"/>
          <w:szCs w:val="32"/>
        </w:rPr>
        <w:t>支撑；四是改善了居住条件和生活环境，为人民群众创造了健康的生活环境，提升人民幸福感，群众满意度明显升高。</w:t>
      </w:r>
    </w:p>
    <w:p>
      <w:pPr>
        <w:spacing w:line="576" w:lineRule="exact"/>
        <w:ind w:firstLine="707" w:firstLineChars="221"/>
        <w:rPr>
          <w:rFonts w:ascii="仿宋" w:hAnsi="仿宋" w:eastAsia="仿宋"/>
          <w:sz w:val="32"/>
          <w:szCs w:val="32"/>
        </w:rPr>
      </w:pPr>
      <w:r>
        <w:rPr>
          <w:rFonts w:hint="eastAsia" w:ascii="仿宋" w:hAnsi="仿宋" w:eastAsia="仿宋"/>
          <w:sz w:val="32"/>
          <w:szCs w:val="32"/>
        </w:rPr>
        <w:t>3.绵竹市城区排水防涝提升工程。2024年度已完成相关部分手续，已完成7处内涝点改造施工。该项目因2024年度前期暴雨天气和臭氧天气施工管控，导致施工进度较为滞缓，导致项目资金拨付进度缓慢，目前本项目正在结算审核中，因工程量问题还在处理中，待结算审核后，支付剩余工程尾款以及其他待摊费用。本项目完工后能有效完善基础设施，提升城市形象，改善城市水环境质量，方便居民生产生活，改善人民生活环境，居民满意度显著升高。</w:t>
      </w:r>
    </w:p>
    <w:p>
      <w:pPr>
        <w:spacing w:line="576" w:lineRule="exact"/>
        <w:ind w:firstLine="707" w:firstLineChars="221"/>
        <w:rPr>
          <w:rFonts w:ascii="仿宋_GB2312"/>
          <w:b/>
          <w:sz w:val="24"/>
        </w:rPr>
      </w:pPr>
      <w:r>
        <w:rPr>
          <w:rFonts w:ascii="楷体_GB2312" w:eastAsia="楷体_GB2312"/>
          <w:sz w:val="32"/>
          <w:szCs w:val="32"/>
        </w:rPr>
        <w:t>（</w:t>
      </w:r>
      <w:r>
        <w:rPr>
          <w:rFonts w:hint="eastAsia" w:ascii="楷体_GB2312" w:eastAsia="楷体_GB2312"/>
          <w:sz w:val="32"/>
          <w:szCs w:val="32"/>
        </w:rPr>
        <w:t>三</w:t>
      </w:r>
      <w:r>
        <w:rPr>
          <w:rFonts w:ascii="楷体_GB2312" w:eastAsia="楷体_GB2312"/>
          <w:sz w:val="32"/>
          <w:szCs w:val="32"/>
        </w:rPr>
        <w:t>）项目</w:t>
      </w:r>
      <w:r>
        <w:rPr>
          <w:rFonts w:hint="eastAsia" w:ascii="楷体_GB2312" w:eastAsia="楷体_GB2312"/>
          <w:sz w:val="32"/>
          <w:szCs w:val="32"/>
        </w:rPr>
        <w:t>（政策）</w:t>
      </w:r>
      <w:r>
        <w:rPr>
          <w:rFonts w:ascii="楷体_GB2312" w:eastAsia="楷体_GB2312"/>
          <w:sz w:val="32"/>
          <w:szCs w:val="32"/>
        </w:rPr>
        <w:t>预算绩效分析</w:t>
      </w:r>
    </w:p>
    <w:p>
      <w:pPr>
        <w:spacing w:line="576" w:lineRule="exact"/>
        <w:ind w:firstLine="707" w:firstLineChars="221"/>
        <w:rPr>
          <w:rFonts w:ascii="仿宋" w:hAnsi="仿宋" w:eastAsia="仿宋"/>
          <w:sz w:val="32"/>
          <w:szCs w:val="32"/>
        </w:rPr>
      </w:pPr>
      <w:r>
        <w:rPr>
          <w:rFonts w:hint="eastAsia" w:ascii="仿宋" w:hAnsi="仿宋" w:eastAsia="仿宋"/>
          <w:sz w:val="32"/>
          <w:szCs w:val="32"/>
        </w:rPr>
        <w:t>1.常年</w:t>
      </w:r>
      <w:r>
        <w:rPr>
          <w:rFonts w:ascii="仿宋" w:hAnsi="仿宋" w:eastAsia="仿宋"/>
          <w:sz w:val="32"/>
          <w:szCs w:val="32"/>
        </w:rPr>
        <w:t>性</w:t>
      </w:r>
      <w:r>
        <w:rPr>
          <w:rFonts w:hint="eastAsia" w:ascii="仿宋" w:hAnsi="仿宋" w:eastAsia="仿宋"/>
          <w:sz w:val="32"/>
          <w:szCs w:val="32"/>
        </w:rPr>
        <w:t>项目预算绩效分析。该类项目总数14个，涉及预算总金额656.71万元，2024年预算执行率为86.04%，预算结余率大于10%的项目共计4个。</w:t>
      </w:r>
    </w:p>
    <w:p>
      <w:pPr>
        <w:spacing w:line="576" w:lineRule="exact"/>
        <w:ind w:firstLine="707" w:firstLineChars="221"/>
        <w:rPr>
          <w:rFonts w:ascii="仿宋" w:hAnsi="仿宋" w:eastAsia="仿宋"/>
          <w:sz w:val="32"/>
          <w:szCs w:val="32"/>
        </w:rPr>
      </w:pPr>
      <w:r>
        <w:rPr>
          <w:rFonts w:hint="eastAsia" w:ascii="仿宋" w:hAnsi="仿宋" w:eastAsia="仿宋"/>
          <w:sz w:val="32"/>
          <w:szCs w:val="32"/>
        </w:rPr>
        <w:t>2.阶段性（含</w:t>
      </w:r>
      <w:r>
        <w:rPr>
          <w:rFonts w:ascii="仿宋" w:hAnsi="仿宋" w:eastAsia="仿宋"/>
          <w:sz w:val="32"/>
          <w:szCs w:val="32"/>
        </w:rPr>
        <w:t>一次性）项目</w:t>
      </w:r>
      <w:r>
        <w:rPr>
          <w:rFonts w:hint="eastAsia" w:ascii="仿宋" w:hAnsi="仿宋" w:eastAsia="仿宋"/>
          <w:sz w:val="32"/>
          <w:szCs w:val="32"/>
        </w:rPr>
        <w:t>预算</w:t>
      </w:r>
      <w:r>
        <w:rPr>
          <w:rFonts w:ascii="仿宋" w:hAnsi="仿宋" w:eastAsia="仿宋"/>
          <w:sz w:val="32"/>
          <w:szCs w:val="32"/>
        </w:rPr>
        <w:t>绩效分</w:t>
      </w:r>
      <w:r>
        <w:rPr>
          <w:rFonts w:hint="eastAsia" w:ascii="仿宋" w:hAnsi="仿宋" w:eastAsia="仿宋"/>
          <w:sz w:val="32"/>
          <w:szCs w:val="32"/>
        </w:rPr>
        <w:t>析。该类项目总数58个，涉及预算总金额119933.65万元，2024年预算执行率为72.4%，预算结余率大于10%的项目共计10个。</w:t>
      </w:r>
    </w:p>
    <w:p>
      <w:pPr>
        <w:spacing w:line="576" w:lineRule="exact"/>
        <w:ind w:firstLine="709" w:firstLineChars="221"/>
        <w:rPr>
          <w:rFonts w:ascii="仿宋" w:hAnsi="仿宋" w:eastAsia="仿宋"/>
          <w:b/>
          <w:sz w:val="32"/>
          <w:szCs w:val="32"/>
        </w:rPr>
      </w:pPr>
      <w:r>
        <w:rPr>
          <w:rFonts w:hint="eastAsia" w:ascii="仿宋" w:hAnsi="仿宋" w:eastAsia="仿宋"/>
          <w:b/>
          <w:sz w:val="32"/>
          <w:szCs w:val="32"/>
        </w:rPr>
        <w:t>（1）</w:t>
      </w:r>
      <w:r>
        <w:rPr>
          <w:rFonts w:ascii="仿宋" w:hAnsi="仿宋" w:eastAsia="仿宋"/>
          <w:b/>
          <w:sz w:val="32"/>
          <w:szCs w:val="32"/>
        </w:rPr>
        <w:t>项目</w:t>
      </w:r>
      <w:r>
        <w:rPr>
          <w:rFonts w:hint="eastAsia" w:ascii="仿宋" w:hAnsi="仿宋" w:eastAsia="仿宋"/>
          <w:b/>
          <w:sz w:val="32"/>
          <w:szCs w:val="32"/>
        </w:rPr>
        <w:t>管理情况</w:t>
      </w:r>
    </w:p>
    <w:p>
      <w:pPr>
        <w:spacing w:line="576" w:lineRule="exact"/>
        <w:ind w:firstLine="707" w:firstLineChars="221"/>
        <w:rPr>
          <w:rFonts w:ascii="仿宋" w:hAnsi="仿宋" w:eastAsia="仿宋"/>
          <w:sz w:val="32"/>
          <w:szCs w:val="32"/>
        </w:rPr>
      </w:pPr>
      <w:r>
        <w:rPr>
          <w:rFonts w:hint="eastAsia" w:ascii="仿宋" w:hAnsi="仿宋" w:eastAsia="仿宋"/>
          <w:sz w:val="32"/>
          <w:szCs w:val="32"/>
        </w:rPr>
        <w:t>我局高度重视项目决策的规范性与合规性，构建起一套完善的项目决策程序体系，确保所有项目决策均严格遵循国家及地方相关政策法规要求。初期我局组织专业力量对各项目性质进行精准评定，2024年度全局所有项目均已完成性质评定工作，且确定各项目均兼具收益性、公益性，并符合资本性支出要求，有效平衡了经济效益与社会效益。在项目推进过程中，严格依照相关部门规定，对所有项目实施全流程规范化管理，及时办理完成立项审批、规划许可、环境影响评价、土地使用审批以及可行性研究报告编制与审批等关键环节，相关程序及手续完备且合法合规，为项目的顺利实施奠定了坚实基础。</w:t>
      </w:r>
    </w:p>
    <w:p>
      <w:pPr>
        <w:spacing w:line="576" w:lineRule="exact"/>
        <w:ind w:firstLine="707" w:firstLineChars="221"/>
        <w:rPr>
          <w:rFonts w:ascii="仿宋" w:hAnsi="仿宋" w:eastAsia="仿宋"/>
          <w:sz w:val="32"/>
          <w:szCs w:val="32"/>
        </w:rPr>
      </w:pPr>
      <w:r>
        <w:rPr>
          <w:rFonts w:hint="eastAsia" w:ascii="仿宋" w:hAnsi="仿宋" w:eastAsia="仿宋"/>
          <w:sz w:val="32"/>
          <w:szCs w:val="32"/>
        </w:rPr>
        <w:t>2024年，我局积极响应省、市财政部门的工作部署，扎实推进部门项目预算编制工作。在编制过程中，细化预算编制工作，严格按照预算相关制度和要求，进一步提高预算编制的科学性、严谨性和可控性，全面参考以往年度年初项目预算编审实践经验、预算执行中期评估的反馈结果以及支出绩效评价的成果。加强财务管理，严格财务审批，在费用保障支付时，按照预算规定费用和用途进行资金使用、审核、列报支付。</w:t>
      </w:r>
    </w:p>
    <w:p>
      <w:pPr>
        <w:spacing w:line="576" w:lineRule="exact"/>
        <w:ind w:firstLine="707" w:firstLineChars="221"/>
        <w:rPr>
          <w:rFonts w:ascii="仿宋" w:hAnsi="仿宋" w:eastAsia="仿宋"/>
          <w:sz w:val="32"/>
          <w:szCs w:val="32"/>
        </w:rPr>
      </w:pPr>
      <w:r>
        <w:rPr>
          <w:rFonts w:hint="eastAsia" w:ascii="仿宋" w:hAnsi="仿宋" w:eastAsia="仿宋"/>
          <w:sz w:val="32"/>
          <w:szCs w:val="32"/>
        </w:rPr>
        <w:t>扎实推进年初部门预算绩效目标编制及相关工作，确保预算编制科学规范、绩效管理精准有效。在项目预算绩效目标编制与报送方面，我们严格把控流程，对项目的预算支出进行细致拆解与细化，项目支出进一步细化到具体的经济内容，为预算执行和绩效评价提供了清晰、准确的依据。重视绩效目标设置，确保其科学、合理、完整，与项目目标紧密相关，并做到细化、量化，定性指标可衡量、可评价，为绩效管理提供明确的方向和标准。同时按照要求对当年度新增的部门预算项目，以及年度增幅达到30%或增加额度达到200万元以上的延续性项目，全部开展事前绩效自评估，从项目实施的必要性、可行性、预期效益等多方面进行深入分析，为项目决策提供有力支持。2024年度各项目的事前绩效自评、绩效监控及事后绩效自评工作均进展顺利，报送资料全面、真实，能够准确反映项目执行情况和绩效水平。</w:t>
      </w:r>
    </w:p>
    <w:p>
      <w:pPr>
        <w:spacing w:line="576" w:lineRule="exact"/>
        <w:ind w:firstLine="707" w:firstLineChars="221"/>
        <w:rPr>
          <w:rFonts w:ascii="仿宋" w:hAnsi="仿宋" w:eastAsia="仿宋"/>
          <w:sz w:val="32"/>
          <w:szCs w:val="32"/>
        </w:rPr>
      </w:pPr>
      <w:r>
        <w:rPr>
          <w:rFonts w:hint="eastAsia" w:ascii="仿宋" w:hAnsi="仿宋" w:eastAsia="仿宋"/>
          <w:sz w:val="32"/>
          <w:szCs w:val="32"/>
        </w:rPr>
        <w:t>进一步提升我局项目资金使用效益，强化项目资源统筹管理，我单位着力加强政府采购管理工作。依托我局制定的政府采购制度，全面、深入地执行政府采购制度，确保每一项采购活动都在制度的框架内规范运行。在采购程序方面，建立了严格、细致规范流程，制定明确的标准和操作规范，并加强内部监督与审核，确保采购活动依法依规、公开透明；充分利用信息化手段，及时、准确地在指定平台公开采购信息，主动接受社会各界的监督，打造阳光采购环境，为单位的稳健发展提供坚实的保障。</w:t>
      </w:r>
    </w:p>
    <w:p>
      <w:pPr>
        <w:spacing w:line="576" w:lineRule="exact"/>
        <w:ind w:firstLine="642" w:firstLineChars="200"/>
        <w:rPr>
          <w:rFonts w:ascii="仿宋_GB2312"/>
          <w:b/>
          <w:sz w:val="24"/>
        </w:rPr>
      </w:pPr>
      <w:r>
        <w:rPr>
          <w:rFonts w:hint="eastAsia" w:ascii="仿宋_GB2312" w:eastAsia="仿宋_GB2312"/>
          <w:b/>
          <w:sz w:val="32"/>
          <w:szCs w:val="32"/>
        </w:rPr>
        <w:t>（2）</w:t>
      </w:r>
      <w:r>
        <w:rPr>
          <w:rFonts w:ascii="仿宋_GB2312" w:eastAsia="仿宋_GB2312"/>
          <w:b/>
          <w:sz w:val="32"/>
          <w:szCs w:val="32"/>
        </w:rPr>
        <w:t>目标实现</w:t>
      </w:r>
      <w:r>
        <w:rPr>
          <w:rFonts w:hint="eastAsia" w:ascii="仿宋_GB2312" w:eastAsia="仿宋_GB2312"/>
          <w:b/>
          <w:sz w:val="32"/>
          <w:szCs w:val="32"/>
        </w:rPr>
        <w:t>情况</w:t>
      </w:r>
    </w:p>
    <w:p>
      <w:pPr>
        <w:spacing w:line="576" w:lineRule="exact"/>
        <w:ind w:firstLine="707" w:firstLineChars="221"/>
        <w:rPr>
          <w:rFonts w:ascii="仿宋" w:hAnsi="仿宋" w:eastAsia="仿宋"/>
          <w:sz w:val="32"/>
          <w:szCs w:val="32"/>
        </w:rPr>
      </w:pPr>
      <w:r>
        <w:rPr>
          <w:rFonts w:hint="eastAsia" w:ascii="仿宋" w:hAnsi="仿宋" w:eastAsia="仿宋"/>
          <w:sz w:val="32"/>
          <w:szCs w:val="32"/>
        </w:rPr>
        <w:t>常年性项目及阶段性（含一次性）项目2024年度共182个，涉及预算总金额120590.36万元，本年度项目支出总金额87450.29万元，2024年度预算执行率72.52%，未能全部支出原因为部分项目未到支付节点，无法支付，其余项目均按照项目规定时间节点全额支出。</w:t>
      </w:r>
    </w:p>
    <w:p>
      <w:pPr>
        <w:numPr>
          <w:ilvl w:val="0"/>
          <w:numId w:val="4"/>
        </w:numPr>
        <w:spacing w:line="576" w:lineRule="exact"/>
        <w:ind w:firstLine="707" w:firstLineChars="221"/>
        <w:rPr>
          <w:rFonts w:ascii="宋体" w:hAnsi="宋体"/>
          <w:b/>
          <w:sz w:val="24"/>
        </w:rPr>
      </w:pPr>
      <w:r>
        <w:rPr>
          <w:rFonts w:hint="eastAsia" w:ascii="楷体_GB2312" w:eastAsia="楷体_GB2312"/>
          <w:sz w:val="32"/>
          <w:szCs w:val="32"/>
        </w:rPr>
        <w:t>绩效结果应用分析</w:t>
      </w:r>
    </w:p>
    <w:p>
      <w:pPr>
        <w:spacing w:line="576" w:lineRule="exact"/>
        <w:ind w:firstLine="707" w:firstLineChars="221"/>
        <w:rPr>
          <w:rFonts w:ascii="仿宋" w:hAnsi="仿宋" w:eastAsia="仿宋"/>
          <w:sz w:val="32"/>
          <w:szCs w:val="32"/>
        </w:rPr>
      </w:pPr>
      <w:r>
        <w:rPr>
          <w:rFonts w:hint="eastAsia" w:ascii="仿宋" w:hAnsi="仿宋" w:eastAsia="仿宋"/>
          <w:sz w:val="32"/>
          <w:szCs w:val="32"/>
        </w:rPr>
        <w:t>2024年，我局认真落实上级财政政策，狠抓增收节支，优化支出结构，深化管理改革，各项支出保障了机关及下属单位的正常运转，完成专项工作任务。依照国家法规政策，认真履行各项财政监管职能，对本级和上级财政部门安排下达的财政资金实行全程监督，做到依法理财、科学理财、规范理财。在项目资金监管上，严把项目申报关，确保项目申报的真实性、可行性；跟踪项目实施，定期或不定期做好汇报，按照上级财政要求，做好项目支出审核和资金拨付工作。及时评估验收，强化绩效评价制度，建立财政资金追踪问效体系，堵塞漏洞，杜绝腐败。</w:t>
      </w:r>
    </w:p>
    <w:p>
      <w:pPr>
        <w:spacing w:line="576" w:lineRule="exact"/>
        <w:ind w:firstLine="707" w:firstLineChars="221"/>
        <w:rPr>
          <w:rFonts w:ascii="仿宋" w:hAnsi="仿宋" w:eastAsia="仿宋"/>
          <w:sz w:val="32"/>
          <w:szCs w:val="32"/>
        </w:rPr>
      </w:pPr>
      <w:r>
        <w:rPr>
          <w:rFonts w:hint="eastAsia" w:ascii="仿宋" w:hAnsi="仿宋" w:eastAsia="仿宋"/>
          <w:sz w:val="32"/>
          <w:szCs w:val="32"/>
        </w:rPr>
        <w:t>2024年我局相关指标与预期目标基本契合，绩效目标运行清晰，达到预期的经济和社会效益，有力地推动了各项工作的顺利开展。</w:t>
      </w:r>
    </w:p>
    <w:p>
      <w:pPr>
        <w:numPr>
          <w:ilvl w:val="0"/>
          <w:numId w:val="4"/>
        </w:numPr>
        <w:spacing w:line="576" w:lineRule="exact"/>
        <w:ind w:firstLine="707" w:firstLineChars="221"/>
        <w:rPr>
          <w:rFonts w:ascii="楷体_GB2312" w:eastAsia="楷体_GB2312"/>
          <w:sz w:val="32"/>
          <w:szCs w:val="32"/>
        </w:rPr>
      </w:pPr>
      <w:r>
        <w:rPr>
          <w:rFonts w:hint="eastAsia" w:ascii="楷体_GB2312" w:eastAsia="楷体_GB2312"/>
          <w:sz w:val="32"/>
          <w:szCs w:val="32"/>
        </w:rPr>
        <w:t>依法接受外部监督情况</w:t>
      </w:r>
    </w:p>
    <w:p>
      <w:pPr>
        <w:spacing w:line="576" w:lineRule="exact"/>
        <w:ind w:firstLine="707" w:firstLineChars="221"/>
        <w:rPr>
          <w:rFonts w:ascii="仿宋" w:hAnsi="仿宋" w:eastAsia="仿宋"/>
          <w:sz w:val="32"/>
          <w:szCs w:val="32"/>
        </w:rPr>
      </w:pPr>
      <w:r>
        <w:rPr>
          <w:rFonts w:hint="eastAsia" w:ascii="仿宋" w:hAnsi="仿宋" w:eastAsia="仿宋"/>
          <w:sz w:val="32"/>
          <w:szCs w:val="32"/>
        </w:rPr>
        <w:t>2024年我局接受绵竹市审计局开展的2023年度严肃财经纪律专项审计，提出以下几点问题，并且我局落实责任股室（单位）和责任人，已完成相关问题整改。</w:t>
      </w:r>
    </w:p>
    <w:p>
      <w:pPr>
        <w:spacing w:line="576" w:lineRule="exact"/>
        <w:ind w:firstLine="707" w:firstLineChars="221"/>
        <w:rPr>
          <w:rFonts w:ascii="仿宋" w:hAnsi="仿宋" w:eastAsia="仿宋"/>
          <w:sz w:val="32"/>
          <w:szCs w:val="32"/>
        </w:rPr>
      </w:pPr>
      <w:r>
        <w:rPr>
          <w:rFonts w:hint="eastAsia" w:ascii="仿宋" w:hAnsi="仿宋" w:eastAsia="仿宋"/>
          <w:sz w:val="32"/>
          <w:szCs w:val="32"/>
        </w:rPr>
        <w:t>一是不规范报销差旅费问题。由我局办公室牵头，各股室单位对全体职工2</w:t>
      </w:r>
      <w:r>
        <w:rPr>
          <w:rFonts w:ascii="仿宋" w:hAnsi="仿宋" w:eastAsia="仿宋"/>
          <w:sz w:val="32"/>
          <w:szCs w:val="32"/>
        </w:rPr>
        <w:t>021</w:t>
      </w:r>
      <w:r>
        <w:rPr>
          <w:rFonts w:hint="eastAsia" w:ascii="仿宋" w:hAnsi="仿宋" w:eastAsia="仿宋"/>
          <w:sz w:val="32"/>
          <w:szCs w:val="32"/>
        </w:rPr>
        <w:t>年—</w:t>
      </w:r>
      <w:r>
        <w:rPr>
          <w:rFonts w:ascii="仿宋" w:hAnsi="仿宋" w:eastAsia="仿宋"/>
          <w:sz w:val="32"/>
          <w:szCs w:val="32"/>
        </w:rPr>
        <w:t>2024</w:t>
      </w:r>
      <w:r>
        <w:rPr>
          <w:rFonts w:hint="eastAsia" w:ascii="仿宋" w:hAnsi="仿宋" w:eastAsia="仿宋"/>
          <w:sz w:val="32"/>
          <w:szCs w:val="32"/>
        </w:rPr>
        <w:t>年3月差旅费进行全面清理核查，发现职工下乡差旅与休假、会议等时间冲突5人次，对发放的下乡差旅费620元予以收回。后期将严格执行《绵竹市党政机关差旅费管理办法》，进一步完善差旅费审核机制，规范管理，杜绝类似问题再次发生。</w:t>
      </w:r>
    </w:p>
    <w:p>
      <w:pPr>
        <w:spacing w:line="576" w:lineRule="exact"/>
        <w:ind w:firstLine="707" w:firstLineChars="221"/>
        <w:rPr>
          <w:rFonts w:ascii="仿宋" w:hAnsi="仿宋" w:eastAsia="仿宋"/>
          <w:sz w:val="32"/>
          <w:szCs w:val="32"/>
        </w:rPr>
      </w:pPr>
      <w:r>
        <w:rPr>
          <w:rFonts w:hint="eastAsia" w:ascii="仿宋" w:hAnsi="仿宋" w:eastAsia="仿宋"/>
          <w:sz w:val="32"/>
          <w:szCs w:val="32"/>
        </w:rPr>
        <w:t>二是随意扩大劳务费开支范围问题。产生该问题的主要原因是预算编制时对部分经济科目的预测不够精准，预算执行过程中也未进行科目调整。在今后的工作中，我们将进一步加强《中华人民共和国预算法》《中华人民共和国预算法实施条例》等财经法律法规和业务知识学习，科学编制、严格执行部门预算，正确、规范使用会计科目，提高账务处理能力和水平，确保账实相符、账表相符。</w:t>
      </w:r>
    </w:p>
    <w:p>
      <w:pPr>
        <w:spacing w:line="576" w:lineRule="exact"/>
        <w:ind w:firstLine="707" w:firstLineChars="221"/>
        <w:rPr>
          <w:rFonts w:ascii="仿宋" w:hAnsi="仿宋" w:eastAsia="仿宋"/>
          <w:sz w:val="32"/>
          <w:szCs w:val="32"/>
        </w:rPr>
      </w:pPr>
      <w:r>
        <w:rPr>
          <w:rFonts w:hint="eastAsia" w:ascii="仿宋" w:hAnsi="仿宋" w:eastAsia="仿宋"/>
          <w:sz w:val="32"/>
          <w:szCs w:val="32"/>
        </w:rPr>
        <w:t>三是应缴未缴存量资金。截</w:t>
      </w:r>
      <w:r>
        <w:rPr>
          <w:rFonts w:hint="eastAsia" w:ascii="仿宋" w:hAnsi="仿宋" w:eastAsia="仿宋"/>
          <w:sz w:val="32"/>
          <w:szCs w:val="32"/>
          <w:lang w:val="en-US" w:eastAsia="zh-CN"/>
        </w:rPr>
        <w:t>至</w:t>
      </w:r>
      <w:r>
        <w:rPr>
          <w:rFonts w:hint="eastAsia" w:ascii="仿宋" w:hAnsi="仿宋" w:eastAsia="仿宋"/>
          <w:sz w:val="32"/>
          <w:szCs w:val="32"/>
        </w:rPr>
        <w:t>2</w:t>
      </w:r>
      <w:r>
        <w:rPr>
          <w:rFonts w:ascii="仿宋" w:hAnsi="仿宋" w:eastAsia="仿宋"/>
          <w:sz w:val="32"/>
          <w:szCs w:val="32"/>
        </w:rPr>
        <w:t>023</w:t>
      </w:r>
      <w:r>
        <w:rPr>
          <w:rFonts w:hint="eastAsia" w:ascii="仿宋" w:hAnsi="仿宋" w:eastAsia="仿宋"/>
          <w:sz w:val="32"/>
          <w:szCs w:val="32"/>
        </w:rPr>
        <w:t>年1</w:t>
      </w:r>
      <w:r>
        <w:rPr>
          <w:rFonts w:ascii="仿宋" w:hAnsi="仿宋" w:eastAsia="仿宋"/>
          <w:sz w:val="32"/>
          <w:szCs w:val="32"/>
        </w:rPr>
        <w:t>2</w:t>
      </w:r>
      <w:r>
        <w:rPr>
          <w:rFonts w:hint="eastAsia" w:ascii="仿宋" w:hAnsi="仿宋" w:eastAsia="仿宋"/>
          <w:sz w:val="32"/>
          <w:szCs w:val="32"/>
        </w:rPr>
        <w:t>月底，征补中心银行存款余额8</w:t>
      </w:r>
      <w:r>
        <w:rPr>
          <w:rFonts w:ascii="仿宋" w:hAnsi="仿宋" w:eastAsia="仿宋"/>
          <w:sz w:val="32"/>
          <w:szCs w:val="32"/>
        </w:rPr>
        <w:t>2503.44</w:t>
      </w:r>
      <w:r>
        <w:rPr>
          <w:rFonts w:hint="eastAsia" w:ascii="仿宋" w:hAnsi="仿宋" w:eastAsia="仿宋"/>
          <w:sz w:val="32"/>
          <w:szCs w:val="32"/>
        </w:rPr>
        <w:t>元，主要为应付的2</w:t>
      </w:r>
      <w:r>
        <w:rPr>
          <w:rFonts w:ascii="仿宋" w:hAnsi="仿宋" w:eastAsia="仿宋"/>
          <w:sz w:val="32"/>
          <w:szCs w:val="32"/>
        </w:rPr>
        <w:t>023</w:t>
      </w:r>
      <w:r>
        <w:rPr>
          <w:rFonts w:hint="eastAsia" w:ascii="仿宋" w:hAnsi="仿宋" w:eastAsia="仿宋"/>
          <w:sz w:val="32"/>
          <w:szCs w:val="32"/>
        </w:rPr>
        <w:t>年报刊征订、广告展板、宣传资料制作、办公用品购买、电话费及办证人员工资等，在2</w:t>
      </w:r>
      <w:r>
        <w:rPr>
          <w:rFonts w:ascii="仿宋" w:hAnsi="仿宋" w:eastAsia="仿宋"/>
          <w:sz w:val="32"/>
          <w:szCs w:val="32"/>
        </w:rPr>
        <w:t>024</w:t>
      </w:r>
      <w:r>
        <w:rPr>
          <w:rFonts w:hint="eastAsia" w:ascii="仿宋" w:hAnsi="仿宋" w:eastAsia="仿宋"/>
          <w:sz w:val="32"/>
          <w:szCs w:val="32"/>
        </w:rPr>
        <w:t>年一季度已经陆续支付。进一步核实机关及所属单位银行账户余额，理清具体构成，及时支付相关资金后，将存量资金3</w:t>
      </w:r>
      <w:r>
        <w:rPr>
          <w:rFonts w:ascii="仿宋" w:hAnsi="仿宋" w:eastAsia="仿宋"/>
          <w:sz w:val="32"/>
          <w:szCs w:val="32"/>
        </w:rPr>
        <w:t>48070.98</w:t>
      </w:r>
      <w:r>
        <w:rPr>
          <w:rFonts w:hint="eastAsia" w:ascii="仿宋" w:hAnsi="仿宋" w:eastAsia="仿宋"/>
          <w:sz w:val="32"/>
          <w:szCs w:val="32"/>
        </w:rPr>
        <w:t>元上缴金库，其中：住保所9</w:t>
      </w:r>
      <w:r>
        <w:rPr>
          <w:rFonts w:ascii="仿宋" w:hAnsi="仿宋" w:eastAsia="仿宋"/>
          <w:sz w:val="32"/>
          <w:szCs w:val="32"/>
        </w:rPr>
        <w:t>2270.98</w:t>
      </w:r>
      <w:r>
        <w:rPr>
          <w:rFonts w:hint="eastAsia" w:ascii="仿宋" w:hAnsi="仿宋" w:eastAsia="仿宋"/>
          <w:sz w:val="32"/>
          <w:szCs w:val="32"/>
        </w:rPr>
        <w:t>元，质安站3</w:t>
      </w:r>
      <w:r>
        <w:rPr>
          <w:rFonts w:ascii="仿宋" w:hAnsi="仿宋" w:eastAsia="仿宋"/>
          <w:sz w:val="32"/>
          <w:szCs w:val="32"/>
        </w:rPr>
        <w:t>5800</w:t>
      </w:r>
      <w:r>
        <w:rPr>
          <w:rFonts w:hint="eastAsia" w:ascii="仿宋" w:hAnsi="仿宋" w:eastAsia="仿宋"/>
          <w:sz w:val="32"/>
          <w:szCs w:val="32"/>
        </w:rPr>
        <w:t>元，资金中心2</w:t>
      </w:r>
      <w:r>
        <w:rPr>
          <w:rFonts w:ascii="仿宋" w:hAnsi="仿宋" w:eastAsia="仿宋"/>
          <w:sz w:val="32"/>
          <w:szCs w:val="32"/>
        </w:rPr>
        <w:t>01000</w:t>
      </w:r>
      <w:r>
        <w:rPr>
          <w:rFonts w:hint="eastAsia" w:ascii="仿宋" w:hAnsi="仿宋" w:eastAsia="仿宋"/>
          <w:sz w:val="32"/>
          <w:szCs w:val="32"/>
        </w:rPr>
        <w:t>元，房地产交易中心</w:t>
      </w:r>
      <w:r>
        <w:rPr>
          <w:rFonts w:ascii="仿宋" w:hAnsi="仿宋" w:eastAsia="仿宋"/>
          <w:sz w:val="32"/>
          <w:szCs w:val="32"/>
        </w:rPr>
        <w:t>19000</w:t>
      </w:r>
      <w:r>
        <w:rPr>
          <w:rFonts w:hint="eastAsia" w:ascii="仿宋" w:hAnsi="仿宋" w:eastAsia="仿宋"/>
          <w:sz w:val="32"/>
          <w:szCs w:val="32"/>
        </w:rPr>
        <w:t>元。</w:t>
      </w:r>
    </w:p>
    <w:p>
      <w:pPr>
        <w:spacing w:line="576" w:lineRule="exact"/>
        <w:ind w:firstLine="707" w:firstLineChars="221"/>
        <w:rPr>
          <w:rFonts w:ascii="仿宋" w:hAnsi="仿宋" w:eastAsia="仿宋"/>
          <w:sz w:val="32"/>
          <w:szCs w:val="32"/>
        </w:rPr>
      </w:pPr>
      <w:r>
        <w:rPr>
          <w:rFonts w:hint="eastAsia" w:ascii="仿宋" w:hAnsi="仿宋" w:eastAsia="仿宋"/>
          <w:sz w:val="32"/>
          <w:szCs w:val="32"/>
        </w:rPr>
        <w:t>四是未对本单位管理使用的国有资产进行清查盘点。我局将严格按照《绵竹市行政事业单位国有资产管理办法》的要求，每年对占有、使用的国有资产进行一次盘点清查，确保做到家底清楚，保证账账、账卡、账实相符，防止国有资产流失。</w:t>
      </w:r>
    </w:p>
    <w:p>
      <w:pPr>
        <w:spacing w:line="576" w:lineRule="exact"/>
        <w:ind w:firstLine="707" w:firstLineChars="221"/>
        <w:rPr>
          <w:rFonts w:ascii="仿宋" w:hAnsi="仿宋" w:eastAsia="仿宋"/>
          <w:sz w:val="32"/>
          <w:szCs w:val="32"/>
        </w:rPr>
      </w:pPr>
      <w:r>
        <w:rPr>
          <w:rFonts w:hint="eastAsia" w:ascii="仿宋" w:hAnsi="仿宋" w:eastAsia="仿宋"/>
          <w:sz w:val="32"/>
          <w:szCs w:val="32"/>
        </w:rPr>
        <w:t>五是未及时对报废资产进行账务处理。2</w:t>
      </w:r>
      <w:r>
        <w:rPr>
          <w:rFonts w:ascii="仿宋" w:hAnsi="仿宋" w:eastAsia="仿宋"/>
          <w:sz w:val="32"/>
          <w:szCs w:val="32"/>
        </w:rPr>
        <w:t>024</w:t>
      </w:r>
      <w:r>
        <w:rPr>
          <w:rFonts w:hint="eastAsia" w:ascii="仿宋" w:hAnsi="仿宋" w:eastAsia="仿宋"/>
          <w:sz w:val="32"/>
          <w:szCs w:val="32"/>
        </w:rPr>
        <w:t>年5月，我局在新的国有资产管理系统内对竹财资〔</w:t>
      </w:r>
      <w:r>
        <w:rPr>
          <w:rFonts w:ascii="仿宋" w:hAnsi="仿宋" w:eastAsia="仿宋"/>
          <w:sz w:val="32"/>
          <w:szCs w:val="32"/>
        </w:rPr>
        <w:t>2023</w:t>
      </w:r>
      <w:r>
        <w:rPr>
          <w:rFonts w:hint="eastAsia" w:ascii="仿宋" w:hAnsi="仿宋" w:eastAsia="仿宋"/>
          <w:sz w:val="32"/>
          <w:szCs w:val="32"/>
        </w:rPr>
        <w:t>〕</w:t>
      </w:r>
      <w:r>
        <w:rPr>
          <w:rFonts w:ascii="仿宋" w:hAnsi="仿宋" w:eastAsia="仿宋"/>
          <w:sz w:val="32"/>
          <w:szCs w:val="32"/>
        </w:rPr>
        <w:t>158</w:t>
      </w:r>
      <w:r>
        <w:rPr>
          <w:rFonts w:hint="eastAsia" w:ascii="仿宋" w:hAnsi="仿宋" w:eastAsia="仿宋"/>
          <w:sz w:val="32"/>
          <w:szCs w:val="32"/>
        </w:rPr>
        <w:t>号批复报废的局属资产5</w:t>
      </w:r>
      <w:r>
        <w:rPr>
          <w:rFonts w:ascii="仿宋" w:hAnsi="仿宋" w:eastAsia="仿宋"/>
          <w:sz w:val="32"/>
          <w:szCs w:val="32"/>
        </w:rPr>
        <w:t>2</w:t>
      </w:r>
      <w:r>
        <w:rPr>
          <w:rFonts w:hint="eastAsia" w:ascii="仿宋" w:hAnsi="仿宋" w:eastAsia="仿宋"/>
          <w:sz w:val="32"/>
          <w:szCs w:val="32"/>
        </w:rPr>
        <w:t>件（套）申请处置执行并通过审核，同月在会计核算系统内进行账务处理，对核减固定资产、固定资产累计折旧2</w:t>
      </w:r>
      <w:r>
        <w:rPr>
          <w:rFonts w:ascii="仿宋" w:hAnsi="仿宋" w:eastAsia="仿宋"/>
          <w:sz w:val="32"/>
          <w:szCs w:val="32"/>
        </w:rPr>
        <w:t>00079</w:t>
      </w:r>
      <w:r>
        <w:rPr>
          <w:rFonts w:hint="eastAsia" w:ascii="仿宋" w:hAnsi="仿宋" w:eastAsia="仿宋"/>
          <w:sz w:val="32"/>
          <w:szCs w:val="32"/>
        </w:rPr>
        <w:t>元下账，保持账务系统和资产管理系统数据一致。</w:t>
      </w:r>
    </w:p>
    <w:p>
      <w:pPr>
        <w:spacing w:line="576" w:lineRule="exact"/>
        <w:ind w:firstLine="707" w:firstLineChars="221"/>
        <w:rPr>
          <w:rFonts w:ascii="仿宋" w:hAnsi="仿宋" w:eastAsia="仿宋"/>
          <w:sz w:val="32"/>
          <w:szCs w:val="32"/>
        </w:rPr>
      </w:pPr>
      <w:r>
        <w:rPr>
          <w:rFonts w:hint="eastAsia" w:ascii="仿宋" w:hAnsi="仿宋" w:eastAsia="仿宋"/>
          <w:sz w:val="32"/>
          <w:szCs w:val="32"/>
        </w:rPr>
        <w:t>六是内部审计工作制度有待完善。按照《绵竹市人民政府关于加强内部审计工作的规定》（竹府发〔2</w:t>
      </w:r>
      <w:r>
        <w:rPr>
          <w:rFonts w:ascii="仿宋" w:hAnsi="仿宋" w:eastAsia="仿宋"/>
          <w:sz w:val="32"/>
          <w:szCs w:val="32"/>
        </w:rPr>
        <w:t>016</w:t>
      </w:r>
      <w:r>
        <w:rPr>
          <w:rFonts w:hint="eastAsia" w:ascii="仿宋" w:hAnsi="仿宋" w:eastAsia="仿宋"/>
          <w:sz w:val="32"/>
          <w:szCs w:val="32"/>
        </w:rPr>
        <w:t>〕9号）要求，进一步加强内部审计工作。</w:t>
      </w:r>
      <w:r>
        <w:rPr>
          <w:rFonts w:hint="eastAsia" w:ascii="仿宋" w:hAnsi="仿宋" w:eastAsia="仿宋"/>
          <w:sz w:val="32"/>
          <w:szCs w:val="32"/>
          <w:lang w:val="en-US" w:eastAsia="zh-CN"/>
        </w:rPr>
        <w:t>现</w:t>
      </w:r>
      <w:r>
        <w:rPr>
          <w:rFonts w:hint="eastAsia" w:ascii="仿宋" w:hAnsi="仿宋" w:eastAsia="仿宋"/>
          <w:sz w:val="32"/>
          <w:szCs w:val="32"/>
        </w:rPr>
        <w:t>已重新修订并印发局三定方案，成立审计和目标管理股；</w:t>
      </w:r>
      <w:r>
        <w:rPr>
          <w:rFonts w:hint="eastAsia" w:ascii="仿宋" w:hAnsi="仿宋" w:eastAsia="仿宋"/>
          <w:sz w:val="32"/>
          <w:szCs w:val="32"/>
          <w:lang w:val="en-US" w:eastAsia="zh-CN"/>
        </w:rPr>
        <w:t>同时</w:t>
      </w:r>
      <w:r>
        <w:rPr>
          <w:rFonts w:hint="eastAsia" w:ascii="仿宋" w:hAnsi="仿宋" w:eastAsia="仿宋"/>
          <w:sz w:val="32"/>
          <w:szCs w:val="32"/>
        </w:rPr>
        <w:t>根据人员变动及时调整了内部审计工作领导小组，修订了内部审计工作制度。</w:t>
      </w:r>
    </w:p>
    <w:p>
      <w:pPr>
        <w:spacing w:line="576" w:lineRule="exact"/>
        <w:ind w:firstLine="707" w:firstLineChars="221"/>
        <w:rPr>
          <w:rFonts w:ascii="仿宋" w:hAnsi="仿宋" w:eastAsia="仿宋"/>
          <w:sz w:val="32"/>
          <w:szCs w:val="32"/>
        </w:rPr>
      </w:pPr>
      <w:r>
        <w:rPr>
          <w:rFonts w:hint="eastAsia" w:ascii="仿宋" w:hAnsi="仿宋" w:eastAsia="仿宋"/>
          <w:sz w:val="32"/>
          <w:szCs w:val="32"/>
        </w:rPr>
        <w:t>七是下属非二级预算单位开设基本账户。我局计划分两批注销下属单位银行账户，将财务统一由局财审股管理。已开设保障性住房租金专户，截至目前，已注销质安站、房地产交易中心账户，其余下属非二级预算单位正在开展账户注销。</w:t>
      </w:r>
    </w:p>
    <w:p>
      <w:pPr>
        <w:spacing w:line="576" w:lineRule="exact"/>
        <w:ind w:firstLine="707" w:firstLineChars="221"/>
        <w:rPr>
          <w:rFonts w:ascii="仿宋" w:hAnsi="仿宋" w:eastAsia="仿宋"/>
          <w:sz w:val="32"/>
          <w:szCs w:val="32"/>
        </w:rPr>
      </w:pPr>
      <w:r>
        <w:rPr>
          <w:rFonts w:hint="eastAsia" w:ascii="仿宋" w:hAnsi="仿宋" w:eastAsia="仿宋"/>
          <w:sz w:val="32"/>
          <w:szCs w:val="32"/>
        </w:rPr>
        <w:t>八是专用存款账户未纳入预算管理一体化系统管理。目前我局开设住宅维修资金专户4个（含资金中心名义开户1个），龙岭华府监管资金专户2个，问题楼盘专项资金专户1个，已在2</w:t>
      </w:r>
      <w:r>
        <w:rPr>
          <w:rFonts w:ascii="仿宋" w:hAnsi="仿宋" w:eastAsia="仿宋"/>
          <w:sz w:val="32"/>
          <w:szCs w:val="32"/>
        </w:rPr>
        <w:t>02</w:t>
      </w:r>
      <w:r>
        <w:rPr>
          <w:rFonts w:hint="eastAsia" w:ascii="仿宋" w:hAnsi="仿宋" w:eastAsia="仿宋"/>
          <w:sz w:val="32"/>
          <w:szCs w:val="32"/>
        </w:rPr>
        <w:t>5年4月前分步将所有账户纳入预算管理一体化系统统一管理。</w:t>
      </w:r>
    </w:p>
    <w:p>
      <w:pPr>
        <w:spacing w:line="576" w:lineRule="exact"/>
        <w:ind w:firstLine="707" w:firstLineChars="221"/>
        <w:rPr>
          <w:rFonts w:ascii="黑体" w:hAnsi="黑体" w:eastAsia="黑体"/>
          <w:sz w:val="32"/>
          <w:szCs w:val="32"/>
        </w:rPr>
      </w:pPr>
      <w:r>
        <w:rPr>
          <w:rFonts w:hint="eastAsia" w:ascii="黑体" w:hAnsi="黑体" w:eastAsia="黑体"/>
          <w:sz w:val="32"/>
          <w:szCs w:val="32"/>
        </w:rPr>
        <w:t>四、自评结论</w:t>
      </w:r>
    </w:p>
    <w:p>
      <w:pPr>
        <w:spacing w:line="576" w:lineRule="exact"/>
        <w:ind w:firstLine="640" w:firstLineChars="200"/>
        <w:rPr>
          <w:rFonts w:ascii="楷体_GB2312" w:eastAsia="楷体_GB2312"/>
          <w:sz w:val="32"/>
          <w:szCs w:val="32"/>
        </w:rPr>
      </w:pPr>
      <w:r>
        <w:rPr>
          <w:rFonts w:hint="eastAsia" w:ascii="楷体_GB2312" w:eastAsia="楷体_GB2312"/>
          <w:sz w:val="32"/>
          <w:szCs w:val="32"/>
        </w:rPr>
        <w:t>（一）</w:t>
      </w:r>
      <w:r>
        <w:rPr>
          <w:rFonts w:ascii="楷体_GB2312" w:eastAsia="楷体_GB2312"/>
          <w:sz w:val="32"/>
          <w:szCs w:val="32"/>
        </w:rPr>
        <w:t>总体</w:t>
      </w:r>
      <w:r>
        <w:rPr>
          <w:rFonts w:hint="eastAsia" w:ascii="楷体_GB2312" w:eastAsia="楷体_GB2312"/>
          <w:sz w:val="32"/>
          <w:szCs w:val="32"/>
        </w:rPr>
        <w:t>评价</w:t>
      </w:r>
      <w:r>
        <w:rPr>
          <w:rFonts w:ascii="楷体_GB2312" w:eastAsia="楷体_GB2312"/>
          <w:sz w:val="32"/>
          <w:szCs w:val="32"/>
        </w:rPr>
        <w:t>结论</w:t>
      </w:r>
    </w:p>
    <w:p>
      <w:pPr>
        <w:spacing w:line="576" w:lineRule="exact"/>
        <w:ind w:firstLine="707" w:firstLineChars="221"/>
        <w:rPr>
          <w:rFonts w:ascii="仿宋" w:hAnsi="仿宋" w:eastAsia="仿宋"/>
          <w:sz w:val="32"/>
          <w:szCs w:val="32"/>
        </w:rPr>
      </w:pPr>
      <w:r>
        <w:rPr>
          <w:rFonts w:hint="eastAsia" w:ascii="仿宋" w:hAnsi="仿宋" w:eastAsia="仿宋"/>
          <w:sz w:val="32"/>
          <w:szCs w:val="32"/>
        </w:rPr>
        <w:t>本部门整体预算绩效评价得分98.2分，评价等级为“优”。2024年我局认真做好年度财政资金的预算编制工作，按照政府采购目录及采购限额标准编制政府采购预算，做到应编尽编。在资金使用和管理</w:t>
      </w:r>
      <w:r>
        <w:rPr>
          <w:rFonts w:hint="eastAsia" w:ascii="仿宋" w:hAnsi="仿宋" w:eastAsia="仿宋"/>
          <w:sz w:val="32"/>
          <w:szCs w:val="32"/>
          <w:lang w:val="en-US" w:eastAsia="zh-CN"/>
        </w:rPr>
        <w:t>方</w:t>
      </w:r>
      <w:r>
        <w:rPr>
          <w:rFonts w:hint="eastAsia" w:ascii="仿宋" w:hAnsi="仿宋" w:eastAsia="仿宋"/>
          <w:sz w:val="32"/>
          <w:szCs w:val="32"/>
        </w:rPr>
        <w:t>面，进一步强化资金统筹，优化资金结构，明确开支范围，细化资金用途，以有限的资金保证机关的正常运转。资金收支管理及会计核算较规范，能够按照相关会计制度和财务管理办法进行核算。认真落实积极财政政策，优化支出结构，深化管理改革，圆满完成各项目标任务。大部分预算项目相关指标与预期目标基本契合，绩效目标运行清晰，达到预期的经济和社会效益，有力地推动了各项工作的顺利开展。</w:t>
      </w:r>
    </w:p>
    <w:p>
      <w:pPr>
        <w:spacing w:line="576" w:lineRule="exact"/>
        <w:ind w:firstLine="707" w:firstLineChars="221"/>
        <w:rPr>
          <w:rFonts w:ascii="黑体" w:hAnsi="黑体" w:eastAsia="黑体"/>
          <w:sz w:val="32"/>
          <w:szCs w:val="32"/>
        </w:rPr>
      </w:pPr>
      <w:r>
        <w:rPr>
          <w:rFonts w:hint="eastAsia" w:ascii="黑体" w:hAnsi="黑体" w:eastAsia="黑体"/>
          <w:sz w:val="32"/>
          <w:szCs w:val="32"/>
        </w:rPr>
        <w:t>五、存在问题及意见建议</w:t>
      </w:r>
    </w:p>
    <w:p>
      <w:pPr>
        <w:spacing w:line="576" w:lineRule="exact"/>
        <w:ind w:firstLine="707" w:firstLineChars="221"/>
        <w:rPr>
          <w:rFonts w:ascii="仿宋_GB2312"/>
          <w:b/>
          <w:sz w:val="24"/>
        </w:rPr>
      </w:pPr>
      <w:r>
        <w:rPr>
          <w:rFonts w:hint="eastAsia" w:ascii="楷体_GB2312" w:eastAsia="楷体_GB2312"/>
          <w:sz w:val="32"/>
          <w:szCs w:val="32"/>
        </w:rPr>
        <w:t>（一）存在问题</w:t>
      </w:r>
    </w:p>
    <w:p>
      <w:pPr>
        <w:widowControl/>
        <w:adjustRightInd w:val="0"/>
        <w:snapToGrid w:val="0"/>
        <w:spacing w:line="576" w:lineRule="exact"/>
        <w:ind w:firstLine="720"/>
        <w:jc w:val="left"/>
        <w:rPr>
          <w:rFonts w:ascii="仿宋" w:hAnsi="仿宋" w:eastAsia="仿宋"/>
          <w:sz w:val="32"/>
          <w:szCs w:val="32"/>
        </w:rPr>
      </w:pPr>
      <w:r>
        <w:rPr>
          <w:rFonts w:hint="eastAsia" w:ascii="仿宋" w:hAnsi="仿宋" w:eastAsia="仿宋"/>
          <w:sz w:val="32"/>
          <w:szCs w:val="32"/>
        </w:rPr>
        <w:t>上级专项资金追加预算较大，部分项目因多方面因素推动较慢，导致预算执行进度偏慢，部分资金结转。</w:t>
      </w:r>
    </w:p>
    <w:p>
      <w:pPr>
        <w:widowControl/>
        <w:adjustRightInd w:val="0"/>
        <w:snapToGrid w:val="0"/>
        <w:spacing w:line="576" w:lineRule="exact"/>
        <w:ind w:firstLine="720"/>
        <w:jc w:val="left"/>
        <w:rPr>
          <w:rFonts w:ascii="仿宋" w:hAnsi="仿宋" w:eastAsia="仿宋"/>
          <w:sz w:val="32"/>
          <w:szCs w:val="32"/>
        </w:rPr>
      </w:pPr>
      <w:r>
        <w:rPr>
          <w:rFonts w:hint="eastAsia" w:ascii="仿宋" w:hAnsi="仿宋" w:eastAsia="仿宋"/>
          <w:sz w:val="32"/>
          <w:szCs w:val="32"/>
        </w:rPr>
        <w:t>由于近年财政改革力度大，工作量逐渐增大，对财务人员提出更高的要求，需要不断深入系统学习绩效考核知识，进一步增强绩效管理理念，科学制定项目目标绩效。</w:t>
      </w:r>
    </w:p>
    <w:p>
      <w:pPr>
        <w:numPr>
          <w:ilvl w:val="0"/>
          <w:numId w:val="5"/>
        </w:numPr>
        <w:spacing w:line="576" w:lineRule="exact"/>
        <w:ind w:firstLine="707" w:firstLineChars="221"/>
        <w:rPr>
          <w:rFonts w:ascii="仿宋_GB2312"/>
          <w:b/>
          <w:sz w:val="24"/>
        </w:rPr>
      </w:pPr>
      <w:r>
        <w:rPr>
          <w:rFonts w:hint="eastAsia" w:ascii="楷体_GB2312" w:eastAsia="楷体_GB2312"/>
          <w:sz w:val="32"/>
          <w:szCs w:val="32"/>
        </w:rPr>
        <w:t>改进措施</w:t>
      </w:r>
    </w:p>
    <w:p>
      <w:pPr>
        <w:widowControl/>
        <w:adjustRightInd w:val="0"/>
        <w:snapToGrid w:val="0"/>
        <w:spacing w:line="576" w:lineRule="exact"/>
        <w:ind w:firstLine="720"/>
        <w:jc w:val="left"/>
        <w:rPr>
          <w:rFonts w:ascii="仿宋" w:hAnsi="仿宋" w:eastAsia="仿宋"/>
          <w:sz w:val="32"/>
          <w:szCs w:val="32"/>
        </w:rPr>
      </w:pPr>
      <w:r>
        <w:rPr>
          <w:rFonts w:hint="eastAsia" w:ascii="仿宋" w:hAnsi="仿宋" w:eastAsia="仿宋"/>
          <w:sz w:val="32"/>
          <w:szCs w:val="32"/>
        </w:rPr>
        <w:t>一是要科学合理地编制部门预算，预算需紧密结合本部门的事业发展规划、职责以及任务进行精准测算，要确保部门预算编制真实、准确、完整，切合单位实际。</w:t>
      </w:r>
    </w:p>
    <w:p>
      <w:pPr>
        <w:widowControl/>
        <w:adjustRightInd w:val="0"/>
        <w:snapToGrid w:val="0"/>
        <w:spacing w:line="576" w:lineRule="exact"/>
        <w:ind w:firstLine="720"/>
        <w:jc w:val="left"/>
        <w:rPr>
          <w:rFonts w:ascii="仿宋" w:hAnsi="仿宋" w:eastAsia="仿宋"/>
          <w:sz w:val="32"/>
          <w:szCs w:val="32"/>
        </w:rPr>
        <w:sectPr>
          <w:footerReference r:id="rId6" w:type="first"/>
          <w:footerReference r:id="rId5" w:type="default"/>
          <w:type w:val="continuous"/>
          <w:pgSz w:w="11906" w:h="16838"/>
          <w:pgMar w:top="1440" w:right="1797" w:bottom="1440" w:left="1797" w:header="851" w:footer="992" w:gutter="0"/>
          <w:pgNumType w:start="1"/>
          <w:cols w:space="425" w:num="1"/>
          <w:titlePg/>
          <w:docGrid w:type="lines" w:linePitch="312" w:charSpace="0"/>
        </w:sectPr>
      </w:pPr>
      <w:r>
        <w:rPr>
          <w:rFonts w:hint="eastAsia" w:ascii="仿宋" w:hAnsi="仿宋" w:eastAsia="仿宋"/>
          <w:sz w:val="32"/>
          <w:szCs w:val="32"/>
        </w:rPr>
        <w:t>二是要强化绩效管理考核，围绕绩效考核目标任务，以绩效考核目标为核心，将任务层层分解落实，明确责任领导、责任单位及责任人，增强全体人员的责任意识，确保每位同志都清晰知晓自身目标任务，从而激发工作的主动性与积极性，使考核目标中</w:t>
      </w:r>
      <w:r>
        <w:rPr>
          <w:rFonts w:hint="eastAsia" w:ascii="仿宋" w:hAnsi="仿宋" w:eastAsia="仿宋"/>
          <w:sz w:val="32"/>
          <w:szCs w:val="32"/>
          <w:lang w:eastAsia="zh-CN"/>
        </w:rPr>
        <w:t>涉及</w:t>
      </w:r>
      <w:bookmarkStart w:id="50" w:name="_GoBack"/>
      <w:bookmarkEnd w:id="50"/>
      <w:r>
        <w:rPr>
          <w:rFonts w:hint="eastAsia" w:ascii="仿宋" w:hAnsi="仿宋" w:eastAsia="仿宋"/>
          <w:sz w:val="32"/>
          <w:szCs w:val="32"/>
        </w:rPr>
        <w:t>的每一项任务都落到了实处，同时建立并执行考核目标执行情况跟踪检查制度，责任追究制度，使单位在合理使用资金，有效控制支出的情况下，确保各项绩效考核指标保质保量完成。（部门整体预算绩效自评表及项目支出绩效自评表见附件）</w:t>
      </w:r>
    </w:p>
    <w:p>
      <w:pPr>
        <w:pStyle w:val="2"/>
        <w:jc w:val="center"/>
        <w:rPr>
          <w:rFonts w:eastAsia="黑体"/>
        </w:rPr>
      </w:pPr>
      <w:r>
        <w:rPr>
          <w:rFonts w:eastAsia="黑体"/>
        </w:rPr>
        <w:t>第五部分 附表</w:t>
      </w:r>
    </w:p>
    <w:p>
      <w:pPr>
        <w:rPr>
          <w:rFonts w:eastAsia="仿宋"/>
          <w:sz w:val="32"/>
          <w:szCs w:val="32"/>
        </w:rPr>
      </w:pPr>
      <w:r>
        <w:rPr>
          <w:rFonts w:eastAsia="仿宋"/>
          <w:sz w:val="32"/>
          <w:szCs w:val="32"/>
        </w:rPr>
        <w:t>一、收入支出决算总表</w:t>
      </w:r>
    </w:p>
    <w:p>
      <w:pPr>
        <w:rPr>
          <w:rFonts w:eastAsia="仿宋"/>
          <w:sz w:val="32"/>
          <w:szCs w:val="32"/>
        </w:rPr>
      </w:pPr>
      <w:r>
        <w:rPr>
          <w:rFonts w:eastAsia="仿宋"/>
          <w:sz w:val="32"/>
          <w:szCs w:val="32"/>
        </w:rPr>
        <w:t>二、收入决算表</w:t>
      </w:r>
    </w:p>
    <w:p>
      <w:pPr>
        <w:rPr>
          <w:rFonts w:eastAsia="仿宋"/>
          <w:sz w:val="32"/>
          <w:szCs w:val="32"/>
        </w:rPr>
      </w:pPr>
      <w:r>
        <w:rPr>
          <w:rFonts w:eastAsia="仿宋"/>
          <w:sz w:val="32"/>
          <w:szCs w:val="32"/>
        </w:rPr>
        <w:t>三、支出决算表</w:t>
      </w:r>
    </w:p>
    <w:p>
      <w:pPr>
        <w:rPr>
          <w:rFonts w:eastAsia="仿宋"/>
          <w:sz w:val="32"/>
          <w:szCs w:val="32"/>
        </w:rPr>
      </w:pPr>
      <w:r>
        <w:rPr>
          <w:rFonts w:eastAsia="仿宋"/>
          <w:sz w:val="32"/>
          <w:szCs w:val="32"/>
        </w:rPr>
        <w:t>四、财政拨款收入支出决算总表</w:t>
      </w:r>
    </w:p>
    <w:p>
      <w:pPr>
        <w:rPr>
          <w:rFonts w:eastAsia="仿宋"/>
          <w:sz w:val="32"/>
          <w:szCs w:val="32"/>
        </w:rPr>
      </w:pPr>
      <w:r>
        <w:rPr>
          <w:rFonts w:eastAsia="仿宋"/>
          <w:sz w:val="32"/>
          <w:szCs w:val="32"/>
        </w:rPr>
        <w:t>五、财政拨款支出决算明细表</w:t>
      </w:r>
    </w:p>
    <w:p>
      <w:pPr>
        <w:rPr>
          <w:rFonts w:eastAsia="仿宋"/>
          <w:sz w:val="32"/>
          <w:szCs w:val="32"/>
        </w:rPr>
      </w:pPr>
      <w:r>
        <w:rPr>
          <w:rFonts w:eastAsia="仿宋"/>
          <w:sz w:val="32"/>
          <w:szCs w:val="32"/>
        </w:rPr>
        <w:t>六、一般公共预算财政拨款支出决算表</w:t>
      </w:r>
    </w:p>
    <w:p>
      <w:pPr>
        <w:rPr>
          <w:rFonts w:eastAsia="仿宋"/>
          <w:sz w:val="32"/>
          <w:szCs w:val="32"/>
        </w:rPr>
      </w:pPr>
      <w:r>
        <w:rPr>
          <w:rFonts w:eastAsia="仿宋"/>
          <w:sz w:val="32"/>
          <w:szCs w:val="32"/>
        </w:rPr>
        <w:t>七、一般公共预算财政拨款支出决算明细表</w:t>
      </w:r>
    </w:p>
    <w:p>
      <w:pPr>
        <w:rPr>
          <w:rFonts w:eastAsia="仿宋"/>
          <w:sz w:val="32"/>
          <w:szCs w:val="32"/>
        </w:rPr>
      </w:pPr>
      <w:r>
        <w:rPr>
          <w:rFonts w:eastAsia="仿宋"/>
          <w:sz w:val="32"/>
          <w:szCs w:val="32"/>
        </w:rPr>
        <w:t>八、一般公共预算财政拨款基本支出决算表</w:t>
      </w:r>
    </w:p>
    <w:p>
      <w:pPr>
        <w:rPr>
          <w:rFonts w:eastAsia="仿宋"/>
          <w:sz w:val="32"/>
          <w:szCs w:val="32"/>
        </w:rPr>
      </w:pPr>
      <w:r>
        <w:rPr>
          <w:rFonts w:eastAsia="仿宋"/>
          <w:sz w:val="32"/>
          <w:szCs w:val="32"/>
        </w:rPr>
        <w:t>九、一般公共预算财政拨款项目支出决算表</w:t>
      </w:r>
    </w:p>
    <w:p>
      <w:pPr>
        <w:rPr>
          <w:rFonts w:eastAsia="仿宋"/>
          <w:sz w:val="32"/>
          <w:szCs w:val="32"/>
        </w:rPr>
      </w:pPr>
      <w:r>
        <w:rPr>
          <w:rFonts w:eastAsia="仿宋"/>
          <w:sz w:val="32"/>
          <w:szCs w:val="32"/>
        </w:rPr>
        <w:t>十、政府性基金预算财政拨款收入支出决算表</w:t>
      </w:r>
    </w:p>
    <w:p>
      <w:pPr>
        <w:rPr>
          <w:rFonts w:eastAsia="仿宋"/>
          <w:sz w:val="32"/>
          <w:szCs w:val="32"/>
        </w:rPr>
      </w:pPr>
      <w:r>
        <w:rPr>
          <w:rFonts w:eastAsia="仿宋"/>
          <w:sz w:val="32"/>
          <w:szCs w:val="32"/>
        </w:rPr>
        <w:t>十一、国有资本经营预算财政拨款收入支出决算表</w:t>
      </w:r>
    </w:p>
    <w:p>
      <w:pPr>
        <w:rPr>
          <w:rFonts w:eastAsia="仿宋"/>
          <w:sz w:val="32"/>
          <w:szCs w:val="32"/>
        </w:rPr>
      </w:pPr>
      <w:r>
        <w:rPr>
          <w:rFonts w:eastAsia="仿宋"/>
          <w:sz w:val="32"/>
          <w:szCs w:val="32"/>
        </w:rPr>
        <w:t>十二、国有资本经营预算财政拨款支出决算表</w:t>
      </w:r>
    </w:p>
    <w:p>
      <w:pPr>
        <w:rPr>
          <w:rFonts w:eastAsia="仿宋"/>
          <w:sz w:val="32"/>
          <w:szCs w:val="32"/>
        </w:rPr>
      </w:pPr>
      <w:r>
        <w:rPr>
          <w:rFonts w:eastAsia="仿宋"/>
          <w:sz w:val="32"/>
          <w:szCs w:val="32"/>
        </w:rPr>
        <w:t>十三、财政拨款“三公”经费支出决算表</w:t>
      </w:r>
    </w:p>
    <w:sectPr>
      <w:pgSz w:w="11906" w:h="16838"/>
      <w:pgMar w:top="1440" w:right="1797" w:bottom="1440" w:left="179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1" w:csb1="00000000"/>
  </w:font>
  <w:font w:name="方正小标宋简体">
    <w:panose1 w:val="02000000000000000000"/>
    <w:charset w:val="86"/>
    <w:family w:val="script"/>
    <w:pitch w:val="default"/>
    <w:sig w:usb0="A00002BF" w:usb1="184F6CFA" w:usb2="00000012" w:usb3="00000000" w:csb0="00040001" w:csb1="00000000"/>
  </w:font>
  <w:font w:name="微软雅黑">
    <w:panose1 w:val="020B0703020204020201"/>
    <w:charset w:val="86"/>
    <w:family w:val="swiss"/>
    <w:pitch w:val="default"/>
    <w:sig w:usb0="80000287" w:usb1="0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迷你简粗仿宋">
    <w:panose1 w:val="02010604000101010101"/>
    <w:charset w:val="86"/>
    <w:family w:val="auto"/>
    <w:pitch w:val="default"/>
    <w:sig w:usb0="00000001" w:usb1="080E0800" w:usb2="00000002"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45870329"/>
    </w:sdtPr>
    <w:sdtContent>
      <w:p>
        <w:pPr>
          <w:pStyle w:val="9"/>
          <w:jc w:val="center"/>
        </w:pPr>
        <w:r>
          <w:fldChar w:fldCharType="begin"/>
        </w:r>
        <w:r>
          <w:instrText xml:space="preserve">PAGE   \* MERGEFORMAT</w:instrText>
        </w:r>
        <w:r>
          <w:fldChar w:fldCharType="separate"/>
        </w:r>
        <w:r>
          <w:rPr>
            <w:lang w:val="zh-CN"/>
          </w:rPr>
          <w:t>1</w:t>
        </w:r>
        <w:r>
          <w:fldChar w:fldCharType="end"/>
        </w:r>
      </w:p>
    </w:sdtContent>
  </w:sdt>
  <w:p>
    <w:pPr>
      <w:pStyle w:val="9"/>
      <w:tabs>
        <w:tab w:val="left" w:pos="914"/>
        <w:tab w:val="clear" w:pos="4153"/>
        <w:tab w:val="clear" w:pos="8306"/>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4526585"/>
    </w:sdtPr>
    <w:sdtContent>
      <w:p>
        <w:pPr>
          <w:pStyle w:val="9"/>
          <w:jc w:val="center"/>
        </w:pPr>
        <w:r>
          <w:fldChar w:fldCharType="begin"/>
        </w:r>
        <w:r>
          <w:instrText xml:space="preserve">PAGE   \* MERGEFORMAT</w:instrText>
        </w:r>
        <w:r>
          <w:fldChar w:fldCharType="separate"/>
        </w:r>
        <w:r>
          <w:rPr>
            <w:lang w:val="zh-CN"/>
          </w:rPr>
          <w:t>33</w:t>
        </w:r>
        <w:r>
          <w:fldChar w:fldCharType="end"/>
        </w:r>
      </w:p>
    </w:sdtContent>
  </w:sdt>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7476078"/>
    </w:sdtPr>
    <w:sdtContent>
      <w:p>
        <w:pPr>
          <w:pStyle w:val="9"/>
          <w:jc w:val="center"/>
        </w:pPr>
        <w:r>
          <w:fldChar w:fldCharType="begin"/>
        </w:r>
        <w:r>
          <w:instrText xml:space="preserve">PAGE   \* MERGEFORMAT</w:instrText>
        </w:r>
        <w:r>
          <w:fldChar w:fldCharType="separate"/>
        </w:r>
        <w:r>
          <w:rPr>
            <w:lang w:val="zh-CN"/>
          </w:rPr>
          <w:t>36</w:t>
        </w:r>
        <w:r>
          <w:fldChar w:fldCharType="end"/>
        </w:r>
      </w:p>
    </w:sdtContent>
  </w:sdt>
  <w:p>
    <w:pPr>
      <w:pStyle w:val="9"/>
      <w:tabs>
        <w:tab w:val="left" w:pos="914"/>
        <w:tab w:val="clear" w:pos="4153"/>
        <w:tab w:val="clear" w:pos="8306"/>
      </w:tabs>
    </w:pP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BF1902"/>
    <w:multiLevelType w:val="singleLevel"/>
    <w:tmpl w:val="B7BF1902"/>
    <w:lvl w:ilvl="0" w:tentative="0">
      <w:start w:val="2"/>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D7BEBBDE"/>
    <w:multiLevelType w:val="singleLevel"/>
    <w:tmpl w:val="D7BEBBDE"/>
    <w:lvl w:ilvl="0" w:tentative="0">
      <w:start w:val="2"/>
      <w:numFmt w:val="chineseCounting"/>
      <w:suff w:val="nothing"/>
      <w:lvlText w:val="（%1）"/>
      <w:lvlJc w:val="left"/>
      <w:rPr>
        <w:rFonts w:hint="eastAsia"/>
      </w:rPr>
    </w:lvl>
  </w:abstractNum>
  <w:abstractNum w:abstractNumId="3">
    <w:nsid w:val="0F3A6041"/>
    <w:multiLevelType w:val="multilevel"/>
    <w:tmpl w:val="0F3A6041"/>
    <w:lvl w:ilvl="0" w:tentative="0">
      <w:start w:val="1"/>
      <w:numFmt w:val="japaneseCounting"/>
      <w:lvlText w:val="%1、"/>
      <w:lvlJc w:val="left"/>
      <w:pPr>
        <w:ind w:left="630" w:hanging="63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true"/>
  <w:bordersDoNotSurroundFooter w:val="true"/>
  <w:hideSpellingErrors/>
  <w:documentProtection w:enforcement="0"/>
  <w:defaultTabStop w:val="420"/>
  <w:drawingGridHorizontalSpacing w:val="105"/>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4MDVjOGFhOGY5ZWE1MDA1MzhlM2IzNDI2NWUyZGQifQ=="/>
  </w:docVars>
  <w:rsids>
    <w:rsidRoot w:val="00F1361C"/>
    <w:rsid w:val="000050CE"/>
    <w:rsid w:val="000113B9"/>
    <w:rsid w:val="00011F9B"/>
    <w:rsid w:val="00014A1C"/>
    <w:rsid w:val="0001553C"/>
    <w:rsid w:val="000222C6"/>
    <w:rsid w:val="00023B74"/>
    <w:rsid w:val="0002549F"/>
    <w:rsid w:val="00026C1A"/>
    <w:rsid w:val="000319A2"/>
    <w:rsid w:val="0003345F"/>
    <w:rsid w:val="00035392"/>
    <w:rsid w:val="00035B95"/>
    <w:rsid w:val="000365F1"/>
    <w:rsid w:val="00045B69"/>
    <w:rsid w:val="0004652B"/>
    <w:rsid w:val="000468DB"/>
    <w:rsid w:val="000514E0"/>
    <w:rsid w:val="000536A6"/>
    <w:rsid w:val="000548D5"/>
    <w:rsid w:val="000613D1"/>
    <w:rsid w:val="0006487A"/>
    <w:rsid w:val="00065F8F"/>
    <w:rsid w:val="000666A1"/>
    <w:rsid w:val="00066FD2"/>
    <w:rsid w:val="00070A43"/>
    <w:rsid w:val="000768F2"/>
    <w:rsid w:val="00082EAC"/>
    <w:rsid w:val="000860B3"/>
    <w:rsid w:val="0009146E"/>
    <w:rsid w:val="0009184B"/>
    <w:rsid w:val="00094236"/>
    <w:rsid w:val="0009593C"/>
    <w:rsid w:val="00097322"/>
    <w:rsid w:val="00097358"/>
    <w:rsid w:val="000A6A92"/>
    <w:rsid w:val="000A71A5"/>
    <w:rsid w:val="000B047F"/>
    <w:rsid w:val="000B3091"/>
    <w:rsid w:val="000B3C88"/>
    <w:rsid w:val="000B5923"/>
    <w:rsid w:val="000B5A48"/>
    <w:rsid w:val="000B5AFF"/>
    <w:rsid w:val="000B6FF3"/>
    <w:rsid w:val="000C3467"/>
    <w:rsid w:val="000C3CA6"/>
    <w:rsid w:val="000C44AC"/>
    <w:rsid w:val="000D056D"/>
    <w:rsid w:val="000D1267"/>
    <w:rsid w:val="000D17F3"/>
    <w:rsid w:val="000D1D50"/>
    <w:rsid w:val="000D5782"/>
    <w:rsid w:val="000E3ED1"/>
    <w:rsid w:val="000E6613"/>
    <w:rsid w:val="000E7119"/>
    <w:rsid w:val="000F0FE6"/>
    <w:rsid w:val="000F2916"/>
    <w:rsid w:val="000F3157"/>
    <w:rsid w:val="000F43E5"/>
    <w:rsid w:val="001006EC"/>
    <w:rsid w:val="001025A5"/>
    <w:rsid w:val="00102995"/>
    <w:rsid w:val="00103282"/>
    <w:rsid w:val="0011370F"/>
    <w:rsid w:val="00114E9B"/>
    <w:rsid w:val="00117722"/>
    <w:rsid w:val="00125DED"/>
    <w:rsid w:val="0012646E"/>
    <w:rsid w:val="00130D83"/>
    <w:rsid w:val="00142216"/>
    <w:rsid w:val="00144D6A"/>
    <w:rsid w:val="00144E48"/>
    <w:rsid w:val="0014729F"/>
    <w:rsid w:val="00153F1C"/>
    <w:rsid w:val="00155318"/>
    <w:rsid w:val="00157BAB"/>
    <w:rsid w:val="001612E5"/>
    <w:rsid w:val="0016417A"/>
    <w:rsid w:val="001654D1"/>
    <w:rsid w:val="001730E5"/>
    <w:rsid w:val="00174518"/>
    <w:rsid w:val="001750D9"/>
    <w:rsid w:val="00177044"/>
    <w:rsid w:val="0018084F"/>
    <w:rsid w:val="0018106D"/>
    <w:rsid w:val="001838C6"/>
    <w:rsid w:val="0018475A"/>
    <w:rsid w:val="001877A7"/>
    <w:rsid w:val="00191536"/>
    <w:rsid w:val="00191A7C"/>
    <w:rsid w:val="0019245A"/>
    <w:rsid w:val="00196687"/>
    <w:rsid w:val="001A3511"/>
    <w:rsid w:val="001B686D"/>
    <w:rsid w:val="001B7848"/>
    <w:rsid w:val="001B7B77"/>
    <w:rsid w:val="001C076F"/>
    <w:rsid w:val="001C0962"/>
    <w:rsid w:val="001C2738"/>
    <w:rsid w:val="001C2D42"/>
    <w:rsid w:val="001C30D9"/>
    <w:rsid w:val="001C3469"/>
    <w:rsid w:val="001C5D83"/>
    <w:rsid w:val="001C6CA8"/>
    <w:rsid w:val="001D5163"/>
    <w:rsid w:val="001D7531"/>
    <w:rsid w:val="001E072C"/>
    <w:rsid w:val="001E1020"/>
    <w:rsid w:val="001E3E93"/>
    <w:rsid w:val="001E67DC"/>
    <w:rsid w:val="001E69A1"/>
    <w:rsid w:val="001E6DF7"/>
    <w:rsid w:val="001E737D"/>
    <w:rsid w:val="001F0592"/>
    <w:rsid w:val="001F513C"/>
    <w:rsid w:val="001F6419"/>
    <w:rsid w:val="001F7506"/>
    <w:rsid w:val="00200504"/>
    <w:rsid w:val="002006CD"/>
    <w:rsid w:val="00201078"/>
    <w:rsid w:val="00202A7C"/>
    <w:rsid w:val="00202B36"/>
    <w:rsid w:val="00204B7A"/>
    <w:rsid w:val="00204CDE"/>
    <w:rsid w:val="0021101A"/>
    <w:rsid w:val="00212284"/>
    <w:rsid w:val="0021284D"/>
    <w:rsid w:val="0021311A"/>
    <w:rsid w:val="0021449E"/>
    <w:rsid w:val="00220528"/>
    <w:rsid w:val="00220536"/>
    <w:rsid w:val="00221DF3"/>
    <w:rsid w:val="00233D4F"/>
    <w:rsid w:val="00235629"/>
    <w:rsid w:val="002413C5"/>
    <w:rsid w:val="0024160F"/>
    <w:rsid w:val="0025187A"/>
    <w:rsid w:val="00252589"/>
    <w:rsid w:val="002529EE"/>
    <w:rsid w:val="00255C98"/>
    <w:rsid w:val="00256385"/>
    <w:rsid w:val="00260289"/>
    <w:rsid w:val="002607D5"/>
    <w:rsid w:val="00260C38"/>
    <w:rsid w:val="002616C0"/>
    <w:rsid w:val="002643B2"/>
    <w:rsid w:val="002643DB"/>
    <w:rsid w:val="00264D0E"/>
    <w:rsid w:val="00265372"/>
    <w:rsid w:val="002662AA"/>
    <w:rsid w:val="002732DC"/>
    <w:rsid w:val="00280496"/>
    <w:rsid w:val="0028067E"/>
    <w:rsid w:val="00283D47"/>
    <w:rsid w:val="00284344"/>
    <w:rsid w:val="00284E6D"/>
    <w:rsid w:val="00294DC9"/>
    <w:rsid w:val="00295495"/>
    <w:rsid w:val="00296514"/>
    <w:rsid w:val="00296E33"/>
    <w:rsid w:val="002A31DE"/>
    <w:rsid w:val="002A62F7"/>
    <w:rsid w:val="002A6971"/>
    <w:rsid w:val="002A6B20"/>
    <w:rsid w:val="002A785D"/>
    <w:rsid w:val="002A7D56"/>
    <w:rsid w:val="002B0B35"/>
    <w:rsid w:val="002B2613"/>
    <w:rsid w:val="002B2AF3"/>
    <w:rsid w:val="002B4A8B"/>
    <w:rsid w:val="002C1468"/>
    <w:rsid w:val="002C7063"/>
    <w:rsid w:val="002D6D05"/>
    <w:rsid w:val="002E253A"/>
    <w:rsid w:val="002E544F"/>
    <w:rsid w:val="002E767C"/>
    <w:rsid w:val="002E793C"/>
    <w:rsid w:val="002F17BA"/>
    <w:rsid w:val="002F1818"/>
    <w:rsid w:val="002F4501"/>
    <w:rsid w:val="002F5109"/>
    <w:rsid w:val="002F567B"/>
    <w:rsid w:val="0030259E"/>
    <w:rsid w:val="003025B6"/>
    <w:rsid w:val="00311E99"/>
    <w:rsid w:val="00312B98"/>
    <w:rsid w:val="003142A8"/>
    <w:rsid w:val="00315355"/>
    <w:rsid w:val="003174B3"/>
    <w:rsid w:val="003216A9"/>
    <w:rsid w:val="003230C2"/>
    <w:rsid w:val="0032579B"/>
    <w:rsid w:val="00325895"/>
    <w:rsid w:val="00327C92"/>
    <w:rsid w:val="00332D10"/>
    <w:rsid w:val="00333761"/>
    <w:rsid w:val="00333CDD"/>
    <w:rsid w:val="00334F7C"/>
    <w:rsid w:val="00335A74"/>
    <w:rsid w:val="00340045"/>
    <w:rsid w:val="00342BF7"/>
    <w:rsid w:val="00343FC5"/>
    <w:rsid w:val="00345B38"/>
    <w:rsid w:val="003466D6"/>
    <w:rsid w:val="00346EB3"/>
    <w:rsid w:val="00352104"/>
    <w:rsid w:val="00353828"/>
    <w:rsid w:val="003636DB"/>
    <w:rsid w:val="003640EB"/>
    <w:rsid w:val="0036561B"/>
    <w:rsid w:val="00365C06"/>
    <w:rsid w:val="0037013F"/>
    <w:rsid w:val="00372F75"/>
    <w:rsid w:val="00373BBC"/>
    <w:rsid w:val="00377928"/>
    <w:rsid w:val="003807A1"/>
    <w:rsid w:val="00380C1A"/>
    <w:rsid w:val="00380C92"/>
    <w:rsid w:val="00387129"/>
    <w:rsid w:val="00387F09"/>
    <w:rsid w:val="0039031A"/>
    <w:rsid w:val="00392011"/>
    <w:rsid w:val="00394CB5"/>
    <w:rsid w:val="00395B54"/>
    <w:rsid w:val="00396D3E"/>
    <w:rsid w:val="003A41DF"/>
    <w:rsid w:val="003A449E"/>
    <w:rsid w:val="003A484F"/>
    <w:rsid w:val="003A4883"/>
    <w:rsid w:val="003B0BE0"/>
    <w:rsid w:val="003B0C1B"/>
    <w:rsid w:val="003B60EA"/>
    <w:rsid w:val="003B67A1"/>
    <w:rsid w:val="003B688C"/>
    <w:rsid w:val="003C0291"/>
    <w:rsid w:val="003C0E1C"/>
    <w:rsid w:val="003C1F4F"/>
    <w:rsid w:val="003C2D93"/>
    <w:rsid w:val="003C39AE"/>
    <w:rsid w:val="003C3CE5"/>
    <w:rsid w:val="003C7B60"/>
    <w:rsid w:val="003D0C0F"/>
    <w:rsid w:val="003D1DF3"/>
    <w:rsid w:val="003D1FB2"/>
    <w:rsid w:val="003D2919"/>
    <w:rsid w:val="003D447B"/>
    <w:rsid w:val="003D66DA"/>
    <w:rsid w:val="003E1310"/>
    <w:rsid w:val="003E2E6A"/>
    <w:rsid w:val="003E6F55"/>
    <w:rsid w:val="003F0D46"/>
    <w:rsid w:val="003F1A25"/>
    <w:rsid w:val="003F5973"/>
    <w:rsid w:val="003F73E4"/>
    <w:rsid w:val="00404A76"/>
    <w:rsid w:val="00405C37"/>
    <w:rsid w:val="00405D26"/>
    <w:rsid w:val="00406254"/>
    <w:rsid w:val="00410559"/>
    <w:rsid w:val="0041084A"/>
    <w:rsid w:val="00411B60"/>
    <w:rsid w:val="004127F5"/>
    <w:rsid w:val="0041585D"/>
    <w:rsid w:val="00416DC2"/>
    <w:rsid w:val="004207A0"/>
    <w:rsid w:val="00420B47"/>
    <w:rsid w:val="0042127E"/>
    <w:rsid w:val="004223DE"/>
    <w:rsid w:val="004308C6"/>
    <w:rsid w:val="00431621"/>
    <w:rsid w:val="00434489"/>
    <w:rsid w:val="00435033"/>
    <w:rsid w:val="00437085"/>
    <w:rsid w:val="00443880"/>
    <w:rsid w:val="00443A8D"/>
    <w:rsid w:val="004464F4"/>
    <w:rsid w:val="0044722F"/>
    <w:rsid w:val="00447329"/>
    <w:rsid w:val="00447D7B"/>
    <w:rsid w:val="004533E5"/>
    <w:rsid w:val="0045762A"/>
    <w:rsid w:val="0046021B"/>
    <w:rsid w:val="00464EEC"/>
    <w:rsid w:val="00465085"/>
    <w:rsid w:val="00467D1B"/>
    <w:rsid w:val="00471401"/>
    <w:rsid w:val="00473F31"/>
    <w:rsid w:val="0048263A"/>
    <w:rsid w:val="004826A2"/>
    <w:rsid w:val="004845FA"/>
    <w:rsid w:val="00484D20"/>
    <w:rsid w:val="00485CBF"/>
    <w:rsid w:val="00487E5D"/>
    <w:rsid w:val="00492507"/>
    <w:rsid w:val="004A00DC"/>
    <w:rsid w:val="004A108A"/>
    <w:rsid w:val="004A399C"/>
    <w:rsid w:val="004A5021"/>
    <w:rsid w:val="004A711F"/>
    <w:rsid w:val="004B199D"/>
    <w:rsid w:val="004B28D8"/>
    <w:rsid w:val="004B4690"/>
    <w:rsid w:val="004C0D6A"/>
    <w:rsid w:val="004C375A"/>
    <w:rsid w:val="004C7857"/>
    <w:rsid w:val="004D200D"/>
    <w:rsid w:val="004D3CA5"/>
    <w:rsid w:val="004D796B"/>
    <w:rsid w:val="004E0A2D"/>
    <w:rsid w:val="004E206B"/>
    <w:rsid w:val="004E3607"/>
    <w:rsid w:val="004E6DF7"/>
    <w:rsid w:val="004F0FBD"/>
    <w:rsid w:val="004F36FB"/>
    <w:rsid w:val="004F57D9"/>
    <w:rsid w:val="00500E38"/>
    <w:rsid w:val="005011CE"/>
    <w:rsid w:val="005035F3"/>
    <w:rsid w:val="00503CC3"/>
    <w:rsid w:val="00505A47"/>
    <w:rsid w:val="005074CB"/>
    <w:rsid w:val="00507D5B"/>
    <w:rsid w:val="00512FDA"/>
    <w:rsid w:val="005143F3"/>
    <w:rsid w:val="005144F1"/>
    <w:rsid w:val="005146C8"/>
    <w:rsid w:val="00520DA0"/>
    <w:rsid w:val="00523858"/>
    <w:rsid w:val="005244D0"/>
    <w:rsid w:val="00530EF5"/>
    <w:rsid w:val="0053301D"/>
    <w:rsid w:val="00533529"/>
    <w:rsid w:val="005339F9"/>
    <w:rsid w:val="00535884"/>
    <w:rsid w:val="00556356"/>
    <w:rsid w:val="00560754"/>
    <w:rsid w:val="00561ED9"/>
    <w:rsid w:val="005664BB"/>
    <w:rsid w:val="00566FFA"/>
    <w:rsid w:val="00573896"/>
    <w:rsid w:val="0057481D"/>
    <w:rsid w:val="00576805"/>
    <w:rsid w:val="0058486E"/>
    <w:rsid w:val="00585B33"/>
    <w:rsid w:val="0058700A"/>
    <w:rsid w:val="00587207"/>
    <w:rsid w:val="0059014D"/>
    <w:rsid w:val="00597217"/>
    <w:rsid w:val="00597DFA"/>
    <w:rsid w:val="005A09FD"/>
    <w:rsid w:val="005A2D3F"/>
    <w:rsid w:val="005A4109"/>
    <w:rsid w:val="005B0198"/>
    <w:rsid w:val="005B0377"/>
    <w:rsid w:val="005B242F"/>
    <w:rsid w:val="005B2C74"/>
    <w:rsid w:val="005B321C"/>
    <w:rsid w:val="005B5C64"/>
    <w:rsid w:val="005C3393"/>
    <w:rsid w:val="005C5337"/>
    <w:rsid w:val="005C6BD0"/>
    <w:rsid w:val="005D1608"/>
    <w:rsid w:val="005D1B78"/>
    <w:rsid w:val="005D1C8B"/>
    <w:rsid w:val="005D3403"/>
    <w:rsid w:val="005D3D41"/>
    <w:rsid w:val="005D4417"/>
    <w:rsid w:val="005D468D"/>
    <w:rsid w:val="005D4CF9"/>
    <w:rsid w:val="005D5CED"/>
    <w:rsid w:val="005E0B53"/>
    <w:rsid w:val="005E3C9B"/>
    <w:rsid w:val="005E7C98"/>
    <w:rsid w:val="005F00F7"/>
    <w:rsid w:val="005F03B6"/>
    <w:rsid w:val="005F1A4C"/>
    <w:rsid w:val="005F44C7"/>
    <w:rsid w:val="005F7A36"/>
    <w:rsid w:val="00601D31"/>
    <w:rsid w:val="00605688"/>
    <w:rsid w:val="006070AF"/>
    <w:rsid w:val="00607E6C"/>
    <w:rsid w:val="006101B1"/>
    <w:rsid w:val="00613411"/>
    <w:rsid w:val="00614E44"/>
    <w:rsid w:val="0061590C"/>
    <w:rsid w:val="006168A4"/>
    <w:rsid w:val="00620030"/>
    <w:rsid w:val="0062157F"/>
    <w:rsid w:val="006223F5"/>
    <w:rsid w:val="0062270A"/>
    <w:rsid w:val="00622830"/>
    <w:rsid w:val="00623DA0"/>
    <w:rsid w:val="00630AEF"/>
    <w:rsid w:val="006325F8"/>
    <w:rsid w:val="00633463"/>
    <w:rsid w:val="00634C9A"/>
    <w:rsid w:val="00634FCA"/>
    <w:rsid w:val="006401C3"/>
    <w:rsid w:val="00640417"/>
    <w:rsid w:val="00640E08"/>
    <w:rsid w:val="00641F56"/>
    <w:rsid w:val="006440E4"/>
    <w:rsid w:val="00646490"/>
    <w:rsid w:val="0064672F"/>
    <w:rsid w:val="006474B8"/>
    <w:rsid w:val="006478F5"/>
    <w:rsid w:val="006518D3"/>
    <w:rsid w:val="00652010"/>
    <w:rsid w:val="00654E39"/>
    <w:rsid w:val="00655F65"/>
    <w:rsid w:val="00657CB7"/>
    <w:rsid w:val="00661022"/>
    <w:rsid w:val="0066343B"/>
    <w:rsid w:val="00663859"/>
    <w:rsid w:val="00664777"/>
    <w:rsid w:val="00665344"/>
    <w:rsid w:val="00670238"/>
    <w:rsid w:val="00673549"/>
    <w:rsid w:val="0067393A"/>
    <w:rsid w:val="006748A4"/>
    <w:rsid w:val="00677178"/>
    <w:rsid w:val="00680EE9"/>
    <w:rsid w:val="006816E6"/>
    <w:rsid w:val="00681A31"/>
    <w:rsid w:val="00682B51"/>
    <w:rsid w:val="00683E73"/>
    <w:rsid w:val="006865EC"/>
    <w:rsid w:val="006929F0"/>
    <w:rsid w:val="00697A76"/>
    <w:rsid w:val="006A3141"/>
    <w:rsid w:val="006A3DE1"/>
    <w:rsid w:val="006A5E34"/>
    <w:rsid w:val="006A7632"/>
    <w:rsid w:val="006B0675"/>
    <w:rsid w:val="006B1D34"/>
    <w:rsid w:val="006B2422"/>
    <w:rsid w:val="006B2B9A"/>
    <w:rsid w:val="006B3F78"/>
    <w:rsid w:val="006B42DC"/>
    <w:rsid w:val="006B5F45"/>
    <w:rsid w:val="006C1937"/>
    <w:rsid w:val="006C3B77"/>
    <w:rsid w:val="006D0FAE"/>
    <w:rsid w:val="006D173F"/>
    <w:rsid w:val="006D524F"/>
    <w:rsid w:val="006D5826"/>
    <w:rsid w:val="006D5ADB"/>
    <w:rsid w:val="006D677A"/>
    <w:rsid w:val="006D6F50"/>
    <w:rsid w:val="006E6DD0"/>
    <w:rsid w:val="006F01DE"/>
    <w:rsid w:val="006F020C"/>
    <w:rsid w:val="006F024B"/>
    <w:rsid w:val="00707032"/>
    <w:rsid w:val="00707FFB"/>
    <w:rsid w:val="007127B7"/>
    <w:rsid w:val="00714DD7"/>
    <w:rsid w:val="0071798E"/>
    <w:rsid w:val="00717AFC"/>
    <w:rsid w:val="00717D0E"/>
    <w:rsid w:val="0072027A"/>
    <w:rsid w:val="00720C51"/>
    <w:rsid w:val="0072157B"/>
    <w:rsid w:val="00722DBE"/>
    <w:rsid w:val="0072573B"/>
    <w:rsid w:val="00727D0F"/>
    <w:rsid w:val="00733D90"/>
    <w:rsid w:val="0073697B"/>
    <w:rsid w:val="00741163"/>
    <w:rsid w:val="007416B6"/>
    <w:rsid w:val="00742A4B"/>
    <w:rsid w:val="0074516B"/>
    <w:rsid w:val="0074599E"/>
    <w:rsid w:val="00746F48"/>
    <w:rsid w:val="00750292"/>
    <w:rsid w:val="00751558"/>
    <w:rsid w:val="00753346"/>
    <w:rsid w:val="0075404D"/>
    <w:rsid w:val="00761060"/>
    <w:rsid w:val="0076182A"/>
    <w:rsid w:val="00762406"/>
    <w:rsid w:val="0076493D"/>
    <w:rsid w:val="007650E4"/>
    <w:rsid w:val="00766D76"/>
    <w:rsid w:val="00767B7E"/>
    <w:rsid w:val="00771284"/>
    <w:rsid w:val="007770C3"/>
    <w:rsid w:val="0078120D"/>
    <w:rsid w:val="00784D24"/>
    <w:rsid w:val="00785FBA"/>
    <w:rsid w:val="00786E4A"/>
    <w:rsid w:val="007875CB"/>
    <w:rsid w:val="007875EB"/>
    <w:rsid w:val="00787964"/>
    <w:rsid w:val="007941FF"/>
    <w:rsid w:val="0079426B"/>
    <w:rsid w:val="00795F15"/>
    <w:rsid w:val="007960D7"/>
    <w:rsid w:val="007973F2"/>
    <w:rsid w:val="007A10A4"/>
    <w:rsid w:val="007A1D10"/>
    <w:rsid w:val="007A6187"/>
    <w:rsid w:val="007A666B"/>
    <w:rsid w:val="007B3EB7"/>
    <w:rsid w:val="007B742D"/>
    <w:rsid w:val="007B7662"/>
    <w:rsid w:val="007C1480"/>
    <w:rsid w:val="007D1682"/>
    <w:rsid w:val="007D18D2"/>
    <w:rsid w:val="007D312A"/>
    <w:rsid w:val="007D3F19"/>
    <w:rsid w:val="007D61D9"/>
    <w:rsid w:val="007E23B0"/>
    <w:rsid w:val="007E23E5"/>
    <w:rsid w:val="007E3468"/>
    <w:rsid w:val="007E6A82"/>
    <w:rsid w:val="007F0ADB"/>
    <w:rsid w:val="007F1991"/>
    <w:rsid w:val="007F24F2"/>
    <w:rsid w:val="007F2C2F"/>
    <w:rsid w:val="007F55FC"/>
    <w:rsid w:val="007F5665"/>
    <w:rsid w:val="007F7385"/>
    <w:rsid w:val="00800112"/>
    <w:rsid w:val="008014CD"/>
    <w:rsid w:val="008027DE"/>
    <w:rsid w:val="00807ED1"/>
    <w:rsid w:val="00810903"/>
    <w:rsid w:val="00813348"/>
    <w:rsid w:val="0081514A"/>
    <w:rsid w:val="00815568"/>
    <w:rsid w:val="008165F5"/>
    <w:rsid w:val="00816C93"/>
    <w:rsid w:val="00817292"/>
    <w:rsid w:val="00817F57"/>
    <w:rsid w:val="0082200B"/>
    <w:rsid w:val="008231EB"/>
    <w:rsid w:val="008253BB"/>
    <w:rsid w:val="008271B2"/>
    <w:rsid w:val="0083706E"/>
    <w:rsid w:val="00837EED"/>
    <w:rsid w:val="008408F6"/>
    <w:rsid w:val="00841447"/>
    <w:rsid w:val="008423A5"/>
    <w:rsid w:val="008447BB"/>
    <w:rsid w:val="00846C8C"/>
    <w:rsid w:val="00850625"/>
    <w:rsid w:val="00853718"/>
    <w:rsid w:val="00855221"/>
    <w:rsid w:val="00860645"/>
    <w:rsid w:val="00860A2A"/>
    <w:rsid w:val="00871589"/>
    <w:rsid w:val="00871F71"/>
    <w:rsid w:val="008728E7"/>
    <w:rsid w:val="00872FD8"/>
    <w:rsid w:val="00874057"/>
    <w:rsid w:val="00875641"/>
    <w:rsid w:val="00876E37"/>
    <w:rsid w:val="00880567"/>
    <w:rsid w:val="0088434F"/>
    <w:rsid w:val="00885AF4"/>
    <w:rsid w:val="00887F08"/>
    <w:rsid w:val="00890BE3"/>
    <w:rsid w:val="008914B9"/>
    <w:rsid w:val="008927DC"/>
    <w:rsid w:val="00893711"/>
    <w:rsid w:val="008939CD"/>
    <w:rsid w:val="0089458D"/>
    <w:rsid w:val="008A2EF9"/>
    <w:rsid w:val="008A33AC"/>
    <w:rsid w:val="008A6C2C"/>
    <w:rsid w:val="008A7B3D"/>
    <w:rsid w:val="008B0A8F"/>
    <w:rsid w:val="008B6864"/>
    <w:rsid w:val="008B768C"/>
    <w:rsid w:val="008B76C0"/>
    <w:rsid w:val="008B792B"/>
    <w:rsid w:val="008C1D63"/>
    <w:rsid w:val="008C2111"/>
    <w:rsid w:val="008C23C0"/>
    <w:rsid w:val="008C4542"/>
    <w:rsid w:val="008C4DB1"/>
    <w:rsid w:val="008C4EAF"/>
    <w:rsid w:val="008C5176"/>
    <w:rsid w:val="008C7AE0"/>
    <w:rsid w:val="008C7FD0"/>
    <w:rsid w:val="008D008A"/>
    <w:rsid w:val="008D28E9"/>
    <w:rsid w:val="008D2BC4"/>
    <w:rsid w:val="008D4DE5"/>
    <w:rsid w:val="008D59F2"/>
    <w:rsid w:val="008D7F09"/>
    <w:rsid w:val="008E0098"/>
    <w:rsid w:val="008E1DE7"/>
    <w:rsid w:val="008E26A3"/>
    <w:rsid w:val="008E707C"/>
    <w:rsid w:val="008E7678"/>
    <w:rsid w:val="008F21DA"/>
    <w:rsid w:val="008F3282"/>
    <w:rsid w:val="008F56A5"/>
    <w:rsid w:val="008F7F5D"/>
    <w:rsid w:val="00900887"/>
    <w:rsid w:val="00900B08"/>
    <w:rsid w:val="009020DA"/>
    <w:rsid w:val="00902155"/>
    <w:rsid w:val="00902B7B"/>
    <w:rsid w:val="00902FA3"/>
    <w:rsid w:val="0090491C"/>
    <w:rsid w:val="00912B18"/>
    <w:rsid w:val="00912E2F"/>
    <w:rsid w:val="00913818"/>
    <w:rsid w:val="00914FB1"/>
    <w:rsid w:val="00917B8A"/>
    <w:rsid w:val="00923564"/>
    <w:rsid w:val="0092392E"/>
    <w:rsid w:val="009315F9"/>
    <w:rsid w:val="00933499"/>
    <w:rsid w:val="009334F0"/>
    <w:rsid w:val="00935C98"/>
    <w:rsid w:val="00936CFB"/>
    <w:rsid w:val="00937AB4"/>
    <w:rsid w:val="0094042D"/>
    <w:rsid w:val="009409A8"/>
    <w:rsid w:val="00945A49"/>
    <w:rsid w:val="00946945"/>
    <w:rsid w:val="00951248"/>
    <w:rsid w:val="0095152F"/>
    <w:rsid w:val="009546E4"/>
    <w:rsid w:val="00954C49"/>
    <w:rsid w:val="00955E37"/>
    <w:rsid w:val="0095623E"/>
    <w:rsid w:val="00965710"/>
    <w:rsid w:val="00967B76"/>
    <w:rsid w:val="0097099F"/>
    <w:rsid w:val="0097123F"/>
    <w:rsid w:val="00971997"/>
    <w:rsid w:val="00971FFC"/>
    <w:rsid w:val="0098205F"/>
    <w:rsid w:val="00984D0E"/>
    <w:rsid w:val="0098660A"/>
    <w:rsid w:val="009931C3"/>
    <w:rsid w:val="00995250"/>
    <w:rsid w:val="00996CDE"/>
    <w:rsid w:val="00997115"/>
    <w:rsid w:val="00997A37"/>
    <w:rsid w:val="009A174C"/>
    <w:rsid w:val="009A1BCF"/>
    <w:rsid w:val="009A1C8A"/>
    <w:rsid w:val="009B2C43"/>
    <w:rsid w:val="009B4EAE"/>
    <w:rsid w:val="009B7573"/>
    <w:rsid w:val="009C1CA9"/>
    <w:rsid w:val="009C22F4"/>
    <w:rsid w:val="009C2A4B"/>
    <w:rsid w:val="009C2E98"/>
    <w:rsid w:val="009D0004"/>
    <w:rsid w:val="009D2494"/>
    <w:rsid w:val="009D3447"/>
    <w:rsid w:val="009D4711"/>
    <w:rsid w:val="009D48EB"/>
    <w:rsid w:val="009D4966"/>
    <w:rsid w:val="009D5ADA"/>
    <w:rsid w:val="009D5B46"/>
    <w:rsid w:val="009E1DEB"/>
    <w:rsid w:val="009E470A"/>
    <w:rsid w:val="009E4CD5"/>
    <w:rsid w:val="009E4FCB"/>
    <w:rsid w:val="009E50C8"/>
    <w:rsid w:val="009E5F6D"/>
    <w:rsid w:val="009F1185"/>
    <w:rsid w:val="009F18CD"/>
    <w:rsid w:val="009F284E"/>
    <w:rsid w:val="009F2A13"/>
    <w:rsid w:val="009F4B4C"/>
    <w:rsid w:val="009F7527"/>
    <w:rsid w:val="009F76BB"/>
    <w:rsid w:val="00A01201"/>
    <w:rsid w:val="00A04101"/>
    <w:rsid w:val="00A04EB0"/>
    <w:rsid w:val="00A059BB"/>
    <w:rsid w:val="00A1064B"/>
    <w:rsid w:val="00A13CC1"/>
    <w:rsid w:val="00A16847"/>
    <w:rsid w:val="00A206CD"/>
    <w:rsid w:val="00A237D8"/>
    <w:rsid w:val="00A25C9F"/>
    <w:rsid w:val="00A268C4"/>
    <w:rsid w:val="00A27298"/>
    <w:rsid w:val="00A27C77"/>
    <w:rsid w:val="00A307CD"/>
    <w:rsid w:val="00A307CF"/>
    <w:rsid w:val="00A31BF3"/>
    <w:rsid w:val="00A31D39"/>
    <w:rsid w:val="00A31DB1"/>
    <w:rsid w:val="00A331C8"/>
    <w:rsid w:val="00A40A00"/>
    <w:rsid w:val="00A4142F"/>
    <w:rsid w:val="00A422EB"/>
    <w:rsid w:val="00A45BB7"/>
    <w:rsid w:val="00A54AAB"/>
    <w:rsid w:val="00A56DF2"/>
    <w:rsid w:val="00A56E6E"/>
    <w:rsid w:val="00A60053"/>
    <w:rsid w:val="00A632CB"/>
    <w:rsid w:val="00A65AC4"/>
    <w:rsid w:val="00A67AB5"/>
    <w:rsid w:val="00A733B2"/>
    <w:rsid w:val="00A74183"/>
    <w:rsid w:val="00A741C2"/>
    <w:rsid w:val="00A74A9E"/>
    <w:rsid w:val="00A77104"/>
    <w:rsid w:val="00A81D0B"/>
    <w:rsid w:val="00A82DB3"/>
    <w:rsid w:val="00A841A8"/>
    <w:rsid w:val="00A85F81"/>
    <w:rsid w:val="00A861A1"/>
    <w:rsid w:val="00A86332"/>
    <w:rsid w:val="00A86D13"/>
    <w:rsid w:val="00A91760"/>
    <w:rsid w:val="00A933DB"/>
    <w:rsid w:val="00A93B00"/>
    <w:rsid w:val="00A93C21"/>
    <w:rsid w:val="00A9546A"/>
    <w:rsid w:val="00AA084D"/>
    <w:rsid w:val="00AB64C9"/>
    <w:rsid w:val="00AC04BC"/>
    <w:rsid w:val="00AC24EC"/>
    <w:rsid w:val="00AC2E50"/>
    <w:rsid w:val="00AC3A33"/>
    <w:rsid w:val="00AC3C6A"/>
    <w:rsid w:val="00AC6706"/>
    <w:rsid w:val="00AD0DA4"/>
    <w:rsid w:val="00AD0EF1"/>
    <w:rsid w:val="00AD16DE"/>
    <w:rsid w:val="00AD3B30"/>
    <w:rsid w:val="00AD4A57"/>
    <w:rsid w:val="00AD5620"/>
    <w:rsid w:val="00AD5C40"/>
    <w:rsid w:val="00AD656B"/>
    <w:rsid w:val="00AD7C1B"/>
    <w:rsid w:val="00AD7F1D"/>
    <w:rsid w:val="00AE16BA"/>
    <w:rsid w:val="00AE1EBE"/>
    <w:rsid w:val="00AE3A73"/>
    <w:rsid w:val="00AE6939"/>
    <w:rsid w:val="00AF54D8"/>
    <w:rsid w:val="00AF759F"/>
    <w:rsid w:val="00B03C9D"/>
    <w:rsid w:val="00B053A6"/>
    <w:rsid w:val="00B05C9F"/>
    <w:rsid w:val="00B060AE"/>
    <w:rsid w:val="00B10517"/>
    <w:rsid w:val="00B1187C"/>
    <w:rsid w:val="00B12E8B"/>
    <w:rsid w:val="00B13AB1"/>
    <w:rsid w:val="00B13EC2"/>
    <w:rsid w:val="00B14E76"/>
    <w:rsid w:val="00B15F36"/>
    <w:rsid w:val="00B161B8"/>
    <w:rsid w:val="00B2048C"/>
    <w:rsid w:val="00B2594C"/>
    <w:rsid w:val="00B27F03"/>
    <w:rsid w:val="00B3009D"/>
    <w:rsid w:val="00B303BC"/>
    <w:rsid w:val="00B310B9"/>
    <w:rsid w:val="00B32EF7"/>
    <w:rsid w:val="00B35F3F"/>
    <w:rsid w:val="00B36CBB"/>
    <w:rsid w:val="00B36DEB"/>
    <w:rsid w:val="00B411A6"/>
    <w:rsid w:val="00B425E0"/>
    <w:rsid w:val="00B440AA"/>
    <w:rsid w:val="00B44B70"/>
    <w:rsid w:val="00B50B28"/>
    <w:rsid w:val="00B52886"/>
    <w:rsid w:val="00B53C56"/>
    <w:rsid w:val="00B5575A"/>
    <w:rsid w:val="00B55BDA"/>
    <w:rsid w:val="00B57DAF"/>
    <w:rsid w:val="00B60C6A"/>
    <w:rsid w:val="00B61D8D"/>
    <w:rsid w:val="00B6408A"/>
    <w:rsid w:val="00B64E63"/>
    <w:rsid w:val="00B65513"/>
    <w:rsid w:val="00B6731C"/>
    <w:rsid w:val="00B7395F"/>
    <w:rsid w:val="00B7442A"/>
    <w:rsid w:val="00B76F9D"/>
    <w:rsid w:val="00B773EC"/>
    <w:rsid w:val="00B77EA6"/>
    <w:rsid w:val="00B81598"/>
    <w:rsid w:val="00B81AC9"/>
    <w:rsid w:val="00B82F46"/>
    <w:rsid w:val="00B841F1"/>
    <w:rsid w:val="00B8625A"/>
    <w:rsid w:val="00B944D6"/>
    <w:rsid w:val="00B946BE"/>
    <w:rsid w:val="00B95D94"/>
    <w:rsid w:val="00B95ED8"/>
    <w:rsid w:val="00B96EEA"/>
    <w:rsid w:val="00BA579E"/>
    <w:rsid w:val="00BB1809"/>
    <w:rsid w:val="00BB1B77"/>
    <w:rsid w:val="00BB2C2E"/>
    <w:rsid w:val="00BB4DF0"/>
    <w:rsid w:val="00BC289F"/>
    <w:rsid w:val="00BC2D50"/>
    <w:rsid w:val="00BC5361"/>
    <w:rsid w:val="00BC5460"/>
    <w:rsid w:val="00BC6B50"/>
    <w:rsid w:val="00BD0E25"/>
    <w:rsid w:val="00BD2106"/>
    <w:rsid w:val="00BD265E"/>
    <w:rsid w:val="00BD7116"/>
    <w:rsid w:val="00BE335B"/>
    <w:rsid w:val="00BE68A4"/>
    <w:rsid w:val="00BF5BD6"/>
    <w:rsid w:val="00BF6E69"/>
    <w:rsid w:val="00BF79F1"/>
    <w:rsid w:val="00C03E31"/>
    <w:rsid w:val="00C11495"/>
    <w:rsid w:val="00C15A23"/>
    <w:rsid w:val="00C160EB"/>
    <w:rsid w:val="00C242EB"/>
    <w:rsid w:val="00C24DB7"/>
    <w:rsid w:val="00C33E72"/>
    <w:rsid w:val="00C354B2"/>
    <w:rsid w:val="00C35554"/>
    <w:rsid w:val="00C41F95"/>
    <w:rsid w:val="00C42709"/>
    <w:rsid w:val="00C44611"/>
    <w:rsid w:val="00C46119"/>
    <w:rsid w:val="00C533CC"/>
    <w:rsid w:val="00C5519E"/>
    <w:rsid w:val="00C5751C"/>
    <w:rsid w:val="00C61BFC"/>
    <w:rsid w:val="00C62B85"/>
    <w:rsid w:val="00C64DB8"/>
    <w:rsid w:val="00C64EB5"/>
    <w:rsid w:val="00C65438"/>
    <w:rsid w:val="00C72CAE"/>
    <w:rsid w:val="00C73698"/>
    <w:rsid w:val="00C80BDB"/>
    <w:rsid w:val="00C84EB9"/>
    <w:rsid w:val="00C860D5"/>
    <w:rsid w:val="00C87FD8"/>
    <w:rsid w:val="00C90851"/>
    <w:rsid w:val="00C91381"/>
    <w:rsid w:val="00C91CBB"/>
    <w:rsid w:val="00C92918"/>
    <w:rsid w:val="00C92C74"/>
    <w:rsid w:val="00C95A46"/>
    <w:rsid w:val="00C97B42"/>
    <w:rsid w:val="00CA214E"/>
    <w:rsid w:val="00CA318B"/>
    <w:rsid w:val="00CB13B1"/>
    <w:rsid w:val="00CB164D"/>
    <w:rsid w:val="00CB47F6"/>
    <w:rsid w:val="00CB4E70"/>
    <w:rsid w:val="00CC09B6"/>
    <w:rsid w:val="00CC0B84"/>
    <w:rsid w:val="00CC2A98"/>
    <w:rsid w:val="00CC3A49"/>
    <w:rsid w:val="00CC3C14"/>
    <w:rsid w:val="00CC4122"/>
    <w:rsid w:val="00CC666F"/>
    <w:rsid w:val="00CD0228"/>
    <w:rsid w:val="00CD1E3F"/>
    <w:rsid w:val="00CD30AA"/>
    <w:rsid w:val="00CD3595"/>
    <w:rsid w:val="00CD7E38"/>
    <w:rsid w:val="00CE038F"/>
    <w:rsid w:val="00CE44F6"/>
    <w:rsid w:val="00CE49DA"/>
    <w:rsid w:val="00CE7B61"/>
    <w:rsid w:val="00CF0787"/>
    <w:rsid w:val="00CF16EF"/>
    <w:rsid w:val="00D00095"/>
    <w:rsid w:val="00D02C48"/>
    <w:rsid w:val="00D0496A"/>
    <w:rsid w:val="00D069F1"/>
    <w:rsid w:val="00D114F0"/>
    <w:rsid w:val="00D14716"/>
    <w:rsid w:val="00D168B3"/>
    <w:rsid w:val="00D20620"/>
    <w:rsid w:val="00D23432"/>
    <w:rsid w:val="00D254F7"/>
    <w:rsid w:val="00D259EE"/>
    <w:rsid w:val="00D26091"/>
    <w:rsid w:val="00D261AD"/>
    <w:rsid w:val="00D2685C"/>
    <w:rsid w:val="00D27EA2"/>
    <w:rsid w:val="00D3400E"/>
    <w:rsid w:val="00D34E7C"/>
    <w:rsid w:val="00D35489"/>
    <w:rsid w:val="00D36AFE"/>
    <w:rsid w:val="00D40BD8"/>
    <w:rsid w:val="00D449E4"/>
    <w:rsid w:val="00D51276"/>
    <w:rsid w:val="00D56B33"/>
    <w:rsid w:val="00D57721"/>
    <w:rsid w:val="00D6312A"/>
    <w:rsid w:val="00D63B1E"/>
    <w:rsid w:val="00D7035F"/>
    <w:rsid w:val="00D7466E"/>
    <w:rsid w:val="00D9089D"/>
    <w:rsid w:val="00D91F4E"/>
    <w:rsid w:val="00D92859"/>
    <w:rsid w:val="00D950A1"/>
    <w:rsid w:val="00DA0ABA"/>
    <w:rsid w:val="00DA634F"/>
    <w:rsid w:val="00DA65AC"/>
    <w:rsid w:val="00DB1913"/>
    <w:rsid w:val="00DB65BB"/>
    <w:rsid w:val="00DC092C"/>
    <w:rsid w:val="00DC0B19"/>
    <w:rsid w:val="00DC1586"/>
    <w:rsid w:val="00DC410D"/>
    <w:rsid w:val="00DC44E5"/>
    <w:rsid w:val="00DC47DE"/>
    <w:rsid w:val="00DC5A81"/>
    <w:rsid w:val="00DC68CA"/>
    <w:rsid w:val="00DC7CBA"/>
    <w:rsid w:val="00DD2347"/>
    <w:rsid w:val="00DD491F"/>
    <w:rsid w:val="00DD666D"/>
    <w:rsid w:val="00DD73B7"/>
    <w:rsid w:val="00DD7C7D"/>
    <w:rsid w:val="00DE4E45"/>
    <w:rsid w:val="00DE59F1"/>
    <w:rsid w:val="00DF0D07"/>
    <w:rsid w:val="00DF199B"/>
    <w:rsid w:val="00DF24DF"/>
    <w:rsid w:val="00DF28BC"/>
    <w:rsid w:val="00DF2A58"/>
    <w:rsid w:val="00DF34B9"/>
    <w:rsid w:val="00DF7074"/>
    <w:rsid w:val="00E01053"/>
    <w:rsid w:val="00E01B70"/>
    <w:rsid w:val="00E067BE"/>
    <w:rsid w:val="00E07ACF"/>
    <w:rsid w:val="00E11813"/>
    <w:rsid w:val="00E11931"/>
    <w:rsid w:val="00E13208"/>
    <w:rsid w:val="00E15826"/>
    <w:rsid w:val="00E1612F"/>
    <w:rsid w:val="00E1692D"/>
    <w:rsid w:val="00E24B7B"/>
    <w:rsid w:val="00E30EB3"/>
    <w:rsid w:val="00E30FDA"/>
    <w:rsid w:val="00E331A1"/>
    <w:rsid w:val="00E33202"/>
    <w:rsid w:val="00E336A9"/>
    <w:rsid w:val="00E34AC6"/>
    <w:rsid w:val="00E408EA"/>
    <w:rsid w:val="00E412F6"/>
    <w:rsid w:val="00E422B5"/>
    <w:rsid w:val="00E43542"/>
    <w:rsid w:val="00E47295"/>
    <w:rsid w:val="00E472B1"/>
    <w:rsid w:val="00E47909"/>
    <w:rsid w:val="00E50624"/>
    <w:rsid w:val="00E53621"/>
    <w:rsid w:val="00E568DF"/>
    <w:rsid w:val="00E56EDE"/>
    <w:rsid w:val="00E64269"/>
    <w:rsid w:val="00E650E5"/>
    <w:rsid w:val="00E6579A"/>
    <w:rsid w:val="00E811E4"/>
    <w:rsid w:val="00E82267"/>
    <w:rsid w:val="00E853CE"/>
    <w:rsid w:val="00E860C8"/>
    <w:rsid w:val="00E867B6"/>
    <w:rsid w:val="00E92C8F"/>
    <w:rsid w:val="00E963F7"/>
    <w:rsid w:val="00E97D44"/>
    <w:rsid w:val="00EA010F"/>
    <w:rsid w:val="00EA6292"/>
    <w:rsid w:val="00EB0AD8"/>
    <w:rsid w:val="00EB0FAE"/>
    <w:rsid w:val="00EB2A10"/>
    <w:rsid w:val="00EB6D29"/>
    <w:rsid w:val="00EB754B"/>
    <w:rsid w:val="00EC3EBE"/>
    <w:rsid w:val="00EC5286"/>
    <w:rsid w:val="00EC737C"/>
    <w:rsid w:val="00ED095B"/>
    <w:rsid w:val="00ED1B63"/>
    <w:rsid w:val="00ED2973"/>
    <w:rsid w:val="00ED3C1F"/>
    <w:rsid w:val="00ED4085"/>
    <w:rsid w:val="00ED420E"/>
    <w:rsid w:val="00ED5EAF"/>
    <w:rsid w:val="00ED6FBE"/>
    <w:rsid w:val="00EE2F57"/>
    <w:rsid w:val="00EE342E"/>
    <w:rsid w:val="00EE3619"/>
    <w:rsid w:val="00EF07DE"/>
    <w:rsid w:val="00EF1450"/>
    <w:rsid w:val="00EF3090"/>
    <w:rsid w:val="00EF4C34"/>
    <w:rsid w:val="00EF523E"/>
    <w:rsid w:val="00EF77C6"/>
    <w:rsid w:val="00F01015"/>
    <w:rsid w:val="00F03938"/>
    <w:rsid w:val="00F05438"/>
    <w:rsid w:val="00F07AEC"/>
    <w:rsid w:val="00F11EFE"/>
    <w:rsid w:val="00F1361C"/>
    <w:rsid w:val="00F152BD"/>
    <w:rsid w:val="00F156F0"/>
    <w:rsid w:val="00F160C7"/>
    <w:rsid w:val="00F17015"/>
    <w:rsid w:val="00F22D2A"/>
    <w:rsid w:val="00F23685"/>
    <w:rsid w:val="00F2408F"/>
    <w:rsid w:val="00F240E9"/>
    <w:rsid w:val="00F24A3F"/>
    <w:rsid w:val="00F357FB"/>
    <w:rsid w:val="00F36D8F"/>
    <w:rsid w:val="00F40C89"/>
    <w:rsid w:val="00F411EF"/>
    <w:rsid w:val="00F417B1"/>
    <w:rsid w:val="00F45853"/>
    <w:rsid w:val="00F51E0A"/>
    <w:rsid w:val="00F531EF"/>
    <w:rsid w:val="00F5410A"/>
    <w:rsid w:val="00F5561B"/>
    <w:rsid w:val="00F602DF"/>
    <w:rsid w:val="00F63A1B"/>
    <w:rsid w:val="00F64BB5"/>
    <w:rsid w:val="00F7174F"/>
    <w:rsid w:val="00F73AD3"/>
    <w:rsid w:val="00F754A1"/>
    <w:rsid w:val="00F763A8"/>
    <w:rsid w:val="00F76E0F"/>
    <w:rsid w:val="00F81FD9"/>
    <w:rsid w:val="00F841AA"/>
    <w:rsid w:val="00F84A94"/>
    <w:rsid w:val="00F87E96"/>
    <w:rsid w:val="00FA0028"/>
    <w:rsid w:val="00FA0D90"/>
    <w:rsid w:val="00FA23E8"/>
    <w:rsid w:val="00FA789D"/>
    <w:rsid w:val="00FB0CE6"/>
    <w:rsid w:val="00FB29E6"/>
    <w:rsid w:val="00FC7DA4"/>
    <w:rsid w:val="00FD3CC1"/>
    <w:rsid w:val="00FD5E28"/>
    <w:rsid w:val="00FD7DA3"/>
    <w:rsid w:val="00FE068F"/>
    <w:rsid w:val="00FE149B"/>
    <w:rsid w:val="00FE4E73"/>
    <w:rsid w:val="00FF0AEC"/>
    <w:rsid w:val="00FF1E02"/>
    <w:rsid w:val="00FF30B4"/>
    <w:rsid w:val="00FF5339"/>
    <w:rsid w:val="015975B8"/>
    <w:rsid w:val="015A3746"/>
    <w:rsid w:val="02FEBE30"/>
    <w:rsid w:val="035E2BF3"/>
    <w:rsid w:val="036F8141"/>
    <w:rsid w:val="03C85032"/>
    <w:rsid w:val="04BC1A0B"/>
    <w:rsid w:val="053B6C38"/>
    <w:rsid w:val="053F5158"/>
    <w:rsid w:val="05AC22B4"/>
    <w:rsid w:val="066E0107"/>
    <w:rsid w:val="0690109C"/>
    <w:rsid w:val="076D200B"/>
    <w:rsid w:val="07996F6E"/>
    <w:rsid w:val="07DFD8BA"/>
    <w:rsid w:val="08BF158A"/>
    <w:rsid w:val="0A2032A3"/>
    <w:rsid w:val="0C5A1967"/>
    <w:rsid w:val="0C7370D3"/>
    <w:rsid w:val="0CDB522D"/>
    <w:rsid w:val="0D35B1ED"/>
    <w:rsid w:val="0E3A5667"/>
    <w:rsid w:val="0E7ED1F5"/>
    <w:rsid w:val="0F4705DB"/>
    <w:rsid w:val="0F98263C"/>
    <w:rsid w:val="101860EC"/>
    <w:rsid w:val="1063730E"/>
    <w:rsid w:val="10A93E0F"/>
    <w:rsid w:val="10C055FF"/>
    <w:rsid w:val="11154971"/>
    <w:rsid w:val="1170203B"/>
    <w:rsid w:val="118107EC"/>
    <w:rsid w:val="118447F4"/>
    <w:rsid w:val="13623FB2"/>
    <w:rsid w:val="13D50BC4"/>
    <w:rsid w:val="13F5616D"/>
    <w:rsid w:val="14A443BC"/>
    <w:rsid w:val="1518730A"/>
    <w:rsid w:val="159A7376"/>
    <w:rsid w:val="16BB723D"/>
    <w:rsid w:val="17287216"/>
    <w:rsid w:val="179C3946"/>
    <w:rsid w:val="17F9714D"/>
    <w:rsid w:val="1918F934"/>
    <w:rsid w:val="1944414C"/>
    <w:rsid w:val="19D96E73"/>
    <w:rsid w:val="19FD54CE"/>
    <w:rsid w:val="1B1A6143"/>
    <w:rsid w:val="1BC17CE4"/>
    <w:rsid w:val="1BE8440E"/>
    <w:rsid w:val="1C356329"/>
    <w:rsid w:val="1D155CEE"/>
    <w:rsid w:val="1D5105C1"/>
    <w:rsid w:val="1D7C0366"/>
    <w:rsid w:val="1D8348E7"/>
    <w:rsid w:val="1D891821"/>
    <w:rsid w:val="1DD37B1C"/>
    <w:rsid w:val="1DFBC4B3"/>
    <w:rsid w:val="1E236930"/>
    <w:rsid w:val="1E740ACF"/>
    <w:rsid w:val="1EDF6D2C"/>
    <w:rsid w:val="1F19C781"/>
    <w:rsid w:val="1F33FCE5"/>
    <w:rsid w:val="1F7F7398"/>
    <w:rsid w:val="1F8B3B8B"/>
    <w:rsid w:val="1FD2DB6F"/>
    <w:rsid w:val="1FF35744"/>
    <w:rsid w:val="1FF6BC77"/>
    <w:rsid w:val="1FF9236D"/>
    <w:rsid w:val="2333840E"/>
    <w:rsid w:val="23860B96"/>
    <w:rsid w:val="240371BF"/>
    <w:rsid w:val="252415DE"/>
    <w:rsid w:val="253D1BE4"/>
    <w:rsid w:val="253F56D4"/>
    <w:rsid w:val="257C638F"/>
    <w:rsid w:val="262E5F76"/>
    <w:rsid w:val="266100F9"/>
    <w:rsid w:val="26CA2142"/>
    <w:rsid w:val="2779585F"/>
    <w:rsid w:val="29FD04D3"/>
    <w:rsid w:val="2BFF7BC6"/>
    <w:rsid w:val="2C8A61B5"/>
    <w:rsid w:val="2CD59C95"/>
    <w:rsid w:val="2D504B9E"/>
    <w:rsid w:val="2DF04E50"/>
    <w:rsid w:val="2E07339C"/>
    <w:rsid w:val="2EFD05E5"/>
    <w:rsid w:val="2F040D46"/>
    <w:rsid w:val="2F4F95CE"/>
    <w:rsid w:val="2FACAFDD"/>
    <w:rsid w:val="2FAE5751"/>
    <w:rsid w:val="2FB1A395"/>
    <w:rsid w:val="2FCF0B76"/>
    <w:rsid w:val="2FD9A7D8"/>
    <w:rsid w:val="310B3A83"/>
    <w:rsid w:val="319F7F4E"/>
    <w:rsid w:val="32B00D43"/>
    <w:rsid w:val="32F41041"/>
    <w:rsid w:val="3304709D"/>
    <w:rsid w:val="33FF71DA"/>
    <w:rsid w:val="34CF1FA5"/>
    <w:rsid w:val="34EA39B0"/>
    <w:rsid w:val="356A4923"/>
    <w:rsid w:val="35815A13"/>
    <w:rsid w:val="367F0B36"/>
    <w:rsid w:val="36992FA1"/>
    <w:rsid w:val="369B2D67"/>
    <w:rsid w:val="36AA5135"/>
    <w:rsid w:val="36BC0AC0"/>
    <w:rsid w:val="36BE0DA7"/>
    <w:rsid w:val="376B6AA6"/>
    <w:rsid w:val="376D39B2"/>
    <w:rsid w:val="37E16F03"/>
    <w:rsid w:val="37F53A3B"/>
    <w:rsid w:val="38CD161E"/>
    <w:rsid w:val="38CD7870"/>
    <w:rsid w:val="38D469F0"/>
    <w:rsid w:val="38F78389"/>
    <w:rsid w:val="397BAF1F"/>
    <w:rsid w:val="39E7B272"/>
    <w:rsid w:val="39F7642F"/>
    <w:rsid w:val="39FF7B37"/>
    <w:rsid w:val="3A502507"/>
    <w:rsid w:val="3A6A4FA6"/>
    <w:rsid w:val="3AB79AF3"/>
    <w:rsid w:val="3AFDCB77"/>
    <w:rsid w:val="3B7EF35A"/>
    <w:rsid w:val="3B9FDB6C"/>
    <w:rsid w:val="3BF5BC2F"/>
    <w:rsid w:val="3BF7C23A"/>
    <w:rsid w:val="3BFE66BE"/>
    <w:rsid w:val="3BFF223E"/>
    <w:rsid w:val="3C380DD4"/>
    <w:rsid w:val="3C38657C"/>
    <w:rsid w:val="3C6EC0A1"/>
    <w:rsid w:val="3CDB0824"/>
    <w:rsid w:val="3CEBA265"/>
    <w:rsid w:val="3D6A7F9F"/>
    <w:rsid w:val="3D7E7F4D"/>
    <w:rsid w:val="3D98207C"/>
    <w:rsid w:val="3D9CF30A"/>
    <w:rsid w:val="3DFF5A3E"/>
    <w:rsid w:val="3E78745D"/>
    <w:rsid w:val="3E7F33BB"/>
    <w:rsid w:val="3EEE77E9"/>
    <w:rsid w:val="3F394AF5"/>
    <w:rsid w:val="3FBE5714"/>
    <w:rsid w:val="3FDD8615"/>
    <w:rsid w:val="3FDFB2FF"/>
    <w:rsid w:val="3FF4CAE0"/>
    <w:rsid w:val="3FF75FAF"/>
    <w:rsid w:val="3FF7B227"/>
    <w:rsid w:val="40210BCD"/>
    <w:rsid w:val="40550877"/>
    <w:rsid w:val="41C25117"/>
    <w:rsid w:val="41DD6D76"/>
    <w:rsid w:val="41EC2B12"/>
    <w:rsid w:val="43922AB3"/>
    <w:rsid w:val="43B21BCC"/>
    <w:rsid w:val="43B6162D"/>
    <w:rsid w:val="43B9736F"/>
    <w:rsid w:val="44DC2D5F"/>
    <w:rsid w:val="44E268DA"/>
    <w:rsid w:val="457F4F6B"/>
    <w:rsid w:val="4737FB58"/>
    <w:rsid w:val="47ECCB02"/>
    <w:rsid w:val="47FA6A3F"/>
    <w:rsid w:val="48A35DE0"/>
    <w:rsid w:val="49064E04"/>
    <w:rsid w:val="49211C3E"/>
    <w:rsid w:val="49D7AE48"/>
    <w:rsid w:val="4A3F6C7E"/>
    <w:rsid w:val="4A45370A"/>
    <w:rsid w:val="4A627F82"/>
    <w:rsid w:val="4B0E749A"/>
    <w:rsid w:val="4B445B65"/>
    <w:rsid w:val="4B4F25DA"/>
    <w:rsid w:val="4B9F65FB"/>
    <w:rsid w:val="4BBB4781"/>
    <w:rsid w:val="4BD709A5"/>
    <w:rsid w:val="4BDD9BFF"/>
    <w:rsid w:val="4BE068DB"/>
    <w:rsid w:val="4C4F2041"/>
    <w:rsid w:val="4C8A358A"/>
    <w:rsid w:val="4D577224"/>
    <w:rsid w:val="4DBF1CEB"/>
    <w:rsid w:val="4DBF6A6B"/>
    <w:rsid w:val="4DF6A672"/>
    <w:rsid w:val="4EAB630A"/>
    <w:rsid w:val="4ECE2238"/>
    <w:rsid w:val="4F377967"/>
    <w:rsid w:val="4F63535B"/>
    <w:rsid w:val="4F7EA413"/>
    <w:rsid w:val="4FAB812F"/>
    <w:rsid w:val="4FE9BD67"/>
    <w:rsid w:val="4FEE4C07"/>
    <w:rsid w:val="4FFB052F"/>
    <w:rsid w:val="5023629C"/>
    <w:rsid w:val="51CE250E"/>
    <w:rsid w:val="52A02732"/>
    <w:rsid w:val="537E6D0A"/>
    <w:rsid w:val="53AB6B88"/>
    <w:rsid w:val="53F74C96"/>
    <w:rsid w:val="542B4C74"/>
    <w:rsid w:val="556829A3"/>
    <w:rsid w:val="5583522D"/>
    <w:rsid w:val="55C17C27"/>
    <w:rsid w:val="5601177E"/>
    <w:rsid w:val="57BD3DD4"/>
    <w:rsid w:val="57F9CD1E"/>
    <w:rsid w:val="58284751"/>
    <w:rsid w:val="5A2C5B56"/>
    <w:rsid w:val="5A975C1F"/>
    <w:rsid w:val="5A9979EE"/>
    <w:rsid w:val="5AF92295"/>
    <w:rsid w:val="5AF9D8E9"/>
    <w:rsid w:val="5B341E0B"/>
    <w:rsid w:val="5BC546AB"/>
    <w:rsid w:val="5BDD38BD"/>
    <w:rsid w:val="5BDD79E6"/>
    <w:rsid w:val="5BEFC772"/>
    <w:rsid w:val="5BFF5DFC"/>
    <w:rsid w:val="5C567E72"/>
    <w:rsid w:val="5CD71FC4"/>
    <w:rsid w:val="5D1F11B5"/>
    <w:rsid w:val="5D31181C"/>
    <w:rsid w:val="5D3647F9"/>
    <w:rsid w:val="5D7A5AE4"/>
    <w:rsid w:val="5DA644D4"/>
    <w:rsid w:val="5DAE1B18"/>
    <w:rsid w:val="5DE7D9E5"/>
    <w:rsid w:val="5E952BA2"/>
    <w:rsid w:val="5ECEC941"/>
    <w:rsid w:val="5EF6586C"/>
    <w:rsid w:val="5EFF8FC6"/>
    <w:rsid w:val="5F5BA39A"/>
    <w:rsid w:val="5F7D3B79"/>
    <w:rsid w:val="5F7F4610"/>
    <w:rsid w:val="5FBF9FF3"/>
    <w:rsid w:val="5FCD4E2C"/>
    <w:rsid w:val="5FEF394A"/>
    <w:rsid w:val="5FF171AC"/>
    <w:rsid w:val="5FF67715"/>
    <w:rsid w:val="6109503A"/>
    <w:rsid w:val="61CA71D5"/>
    <w:rsid w:val="625874D9"/>
    <w:rsid w:val="627EE9EA"/>
    <w:rsid w:val="62E00B42"/>
    <w:rsid w:val="638B7F88"/>
    <w:rsid w:val="63B23AA5"/>
    <w:rsid w:val="63BA4E64"/>
    <w:rsid w:val="6429050D"/>
    <w:rsid w:val="647F5392"/>
    <w:rsid w:val="64E322C4"/>
    <w:rsid w:val="65235ED9"/>
    <w:rsid w:val="652C32E0"/>
    <w:rsid w:val="65A8452F"/>
    <w:rsid w:val="65B62C3D"/>
    <w:rsid w:val="65C254D8"/>
    <w:rsid w:val="65FB93B9"/>
    <w:rsid w:val="661C7073"/>
    <w:rsid w:val="6633C463"/>
    <w:rsid w:val="666920D7"/>
    <w:rsid w:val="669E7FD2"/>
    <w:rsid w:val="677C3175"/>
    <w:rsid w:val="67D55B77"/>
    <w:rsid w:val="67EE7F84"/>
    <w:rsid w:val="685F0F7D"/>
    <w:rsid w:val="686F5F53"/>
    <w:rsid w:val="686F716C"/>
    <w:rsid w:val="6AC801AA"/>
    <w:rsid w:val="6AFFCEAF"/>
    <w:rsid w:val="6B243254"/>
    <w:rsid w:val="6B572E46"/>
    <w:rsid w:val="6B96E9E6"/>
    <w:rsid w:val="6BCE57B5"/>
    <w:rsid w:val="6BFEA4DB"/>
    <w:rsid w:val="6BFFB662"/>
    <w:rsid w:val="6C4A05C8"/>
    <w:rsid w:val="6CFF4FB8"/>
    <w:rsid w:val="6D2D3E5E"/>
    <w:rsid w:val="6D6BD6E0"/>
    <w:rsid w:val="6D77E73C"/>
    <w:rsid w:val="6DBF5E93"/>
    <w:rsid w:val="6DFF077E"/>
    <w:rsid w:val="6E7E3605"/>
    <w:rsid w:val="6E7FDCC7"/>
    <w:rsid w:val="6ED6A62E"/>
    <w:rsid w:val="6EE00B15"/>
    <w:rsid w:val="6EE737B2"/>
    <w:rsid w:val="6EEB2329"/>
    <w:rsid w:val="6EECE67A"/>
    <w:rsid w:val="6EF27BCE"/>
    <w:rsid w:val="6F3A23A6"/>
    <w:rsid w:val="6F3E2781"/>
    <w:rsid w:val="6F5E61C8"/>
    <w:rsid w:val="6F6F90A8"/>
    <w:rsid w:val="6F6FB3EB"/>
    <w:rsid w:val="6F8731EA"/>
    <w:rsid w:val="6FBC2ADD"/>
    <w:rsid w:val="6FD57C00"/>
    <w:rsid w:val="6FEFFFD8"/>
    <w:rsid w:val="6FF5CC65"/>
    <w:rsid w:val="6FFB47EC"/>
    <w:rsid w:val="6FFF034A"/>
    <w:rsid w:val="712A28F1"/>
    <w:rsid w:val="715C0E4B"/>
    <w:rsid w:val="715F6C4A"/>
    <w:rsid w:val="717463DD"/>
    <w:rsid w:val="71F4319C"/>
    <w:rsid w:val="71FFD401"/>
    <w:rsid w:val="72233669"/>
    <w:rsid w:val="723111AE"/>
    <w:rsid w:val="72734D90"/>
    <w:rsid w:val="72CC5C5D"/>
    <w:rsid w:val="7332FE48"/>
    <w:rsid w:val="73843460"/>
    <w:rsid w:val="73AD73D5"/>
    <w:rsid w:val="73B6EB34"/>
    <w:rsid w:val="73FA497D"/>
    <w:rsid w:val="744731E5"/>
    <w:rsid w:val="74BBD01D"/>
    <w:rsid w:val="74ED5379"/>
    <w:rsid w:val="7572271C"/>
    <w:rsid w:val="75DEEEC2"/>
    <w:rsid w:val="75EB3210"/>
    <w:rsid w:val="76135279"/>
    <w:rsid w:val="767F479D"/>
    <w:rsid w:val="76E3355F"/>
    <w:rsid w:val="76F742AF"/>
    <w:rsid w:val="76F7BE7D"/>
    <w:rsid w:val="76FF5125"/>
    <w:rsid w:val="773570D3"/>
    <w:rsid w:val="77597F31"/>
    <w:rsid w:val="776F6FFA"/>
    <w:rsid w:val="7777A522"/>
    <w:rsid w:val="777F3D55"/>
    <w:rsid w:val="77858688"/>
    <w:rsid w:val="778769C8"/>
    <w:rsid w:val="77CB741A"/>
    <w:rsid w:val="77D7BE3A"/>
    <w:rsid w:val="77DC22F5"/>
    <w:rsid w:val="785A7737"/>
    <w:rsid w:val="78E421BD"/>
    <w:rsid w:val="797E3A6C"/>
    <w:rsid w:val="79A84D0B"/>
    <w:rsid w:val="79CF70E2"/>
    <w:rsid w:val="79D7FD79"/>
    <w:rsid w:val="79E75806"/>
    <w:rsid w:val="79EE5BA4"/>
    <w:rsid w:val="7A641148"/>
    <w:rsid w:val="7A6F8BF5"/>
    <w:rsid w:val="7A894339"/>
    <w:rsid w:val="7AC22D89"/>
    <w:rsid w:val="7ACF82B5"/>
    <w:rsid w:val="7AFF28C9"/>
    <w:rsid w:val="7AFF72A0"/>
    <w:rsid w:val="7AFF7572"/>
    <w:rsid w:val="7B6C7DFB"/>
    <w:rsid w:val="7B7D76A7"/>
    <w:rsid w:val="7BAE2FE2"/>
    <w:rsid w:val="7BAF6951"/>
    <w:rsid w:val="7BBFBED0"/>
    <w:rsid w:val="7BC3E394"/>
    <w:rsid w:val="7BCE6D01"/>
    <w:rsid w:val="7BF3FE4C"/>
    <w:rsid w:val="7BFB5035"/>
    <w:rsid w:val="7BFDE17E"/>
    <w:rsid w:val="7CBFC87B"/>
    <w:rsid w:val="7CD61CA4"/>
    <w:rsid w:val="7CFE0F48"/>
    <w:rsid w:val="7D3DE31C"/>
    <w:rsid w:val="7D7EC23E"/>
    <w:rsid w:val="7D7F8A13"/>
    <w:rsid w:val="7D9D293A"/>
    <w:rsid w:val="7DBBCB01"/>
    <w:rsid w:val="7DC765D0"/>
    <w:rsid w:val="7DDA033E"/>
    <w:rsid w:val="7DDB0EE0"/>
    <w:rsid w:val="7DFF51D8"/>
    <w:rsid w:val="7E634199"/>
    <w:rsid w:val="7E8ADEBF"/>
    <w:rsid w:val="7EB96A31"/>
    <w:rsid w:val="7EEF11D3"/>
    <w:rsid w:val="7EF78C20"/>
    <w:rsid w:val="7F3F679B"/>
    <w:rsid w:val="7F4FC4EF"/>
    <w:rsid w:val="7F5E4D54"/>
    <w:rsid w:val="7F6B75FA"/>
    <w:rsid w:val="7F9F518D"/>
    <w:rsid w:val="7FA30C79"/>
    <w:rsid w:val="7FAF8ABF"/>
    <w:rsid w:val="7FB7269E"/>
    <w:rsid w:val="7FBD6753"/>
    <w:rsid w:val="7FBFABB4"/>
    <w:rsid w:val="7FC65084"/>
    <w:rsid w:val="7FC96657"/>
    <w:rsid w:val="7FD72595"/>
    <w:rsid w:val="7FDA9588"/>
    <w:rsid w:val="7FDF220F"/>
    <w:rsid w:val="7FDF4542"/>
    <w:rsid w:val="7FDF5405"/>
    <w:rsid w:val="7FEDC251"/>
    <w:rsid w:val="7FEDC5F7"/>
    <w:rsid w:val="7FEDD9DE"/>
    <w:rsid w:val="7FEFCDB9"/>
    <w:rsid w:val="7FF5890D"/>
    <w:rsid w:val="7FF5EB09"/>
    <w:rsid w:val="7FF89B92"/>
    <w:rsid w:val="7FF8F2E7"/>
    <w:rsid w:val="7FF93490"/>
    <w:rsid w:val="7FFA6237"/>
    <w:rsid w:val="7FFB5275"/>
    <w:rsid w:val="7FFD14DE"/>
    <w:rsid w:val="7FFFF783"/>
    <w:rsid w:val="93F70A9E"/>
    <w:rsid w:val="997D060E"/>
    <w:rsid w:val="99FF2014"/>
    <w:rsid w:val="9E59F895"/>
    <w:rsid w:val="9E7DEDC1"/>
    <w:rsid w:val="9EEF2B0D"/>
    <w:rsid w:val="9FF6F2A6"/>
    <w:rsid w:val="9FFE4AD9"/>
    <w:rsid w:val="9FFF61B9"/>
    <w:rsid w:val="A6DD0D7F"/>
    <w:rsid w:val="A7955197"/>
    <w:rsid w:val="A7FE5E0E"/>
    <w:rsid w:val="ADC6F725"/>
    <w:rsid w:val="AF0FFA84"/>
    <w:rsid w:val="AF9F0A5E"/>
    <w:rsid w:val="AFEF7964"/>
    <w:rsid w:val="B27A6F28"/>
    <w:rsid w:val="B35F0D5A"/>
    <w:rsid w:val="B3F7F693"/>
    <w:rsid w:val="B3FBBB6C"/>
    <w:rsid w:val="B5FFE407"/>
    <w:rsid w:val="B7CF06AB"/>
    <w:rsid w:val="B7CFA926"/>
    <w:rsid w:val="B7F8786B"/>
    <w:rsid w:val="B9EF5647"/>
    <w:rsid w:val="BABB6AA1"/>
    <w:rsid w:val="BAFCD398"/>
    <w:rsid w:val="BAFFDA0F"/>
    <w:rsid w:val="BB2F4199"/>
    <w:rsid w:val="BBFBD24E"/>
    <w:rsid w:val="BD079C78"/>
    <w:rsid w:val="BD2DD278"/>
    <w:rsid w:val="BD733540"/>
    <w:rsid w:val="BDF7970E"/>
    <w:rsid w:val="BDFE68BD"/>
    <w:rsid w:val="BE6FC990"/>
    <w:rsid w:val="BEBE9537"/>
    <w:rsid w:val="BEFF0D62"/>
    <w:rsid w:val="BEFF90EF"/>
    <w:rsid w:val="BF3735D5"/>
    <w:rsid w:val="BF7F09AC"/>
    <w:rsid w:val="BFB3380D"/>
    <w:rsid w:val="BFB7E7A2"/>
    <w:rsid w:val="BFC2F103"/>
    <w:rsid w:val="BFD475C3"/>
    <w:rsid w:val="BFDE5EA6"/>
    <w:rsid w:val="BFEF99E9"/>
    <w:rsid w:val="BFF9E564"/>
    <w:rsid w:val="BFFF3A69"/>
    <w:rsid w:val="C7BFEF9C"/>
    <w:rsid w:val="C8BD8F25"/>
    <w:rsid w:val="C94DA72E"/>
    <w:rsid w:val="CBEEAA00"/>
    <w:rsid w:val="CC7E9ECE"/>
    <w:rsid w:val="CDBFF9FF"/>
    <w:rsid w:val="CDF78664"/>
    <w:rsid w:val="CE3FF57E"/>
    <w:rsid w:val="CF3AB4AC"/>
    <w:rsid w:val="CF6FC6F3"/>
    <w:rsid w:val="CFD3D3D7"/>
    <w:rsid w:val="CFDF1009"/>
    <w:rsid w:val="D6B7E4F6"/>
    <w:rsid w:val="D6CB2739"/>
    <w:rsid w:val="D776A8DB"/>
    <w:rsid w:val="D7B6B268"/>
    <w:rsid w:val="D7D7B16A"/>
    <w:rsid w:val="D7EF2E2A"/>
    <w:rsid w:val="D8D6DB89"/>
    <w:rsid w:val="DB6F4CAB"/>
    <w:rsid w:val="DB777682"/>
    <w:rsid w:val="DBDDA52A"/>
    <w:rsid w:val="DCFFC0D1"/>
    <w:rsid w:val="DD1FB521"/>
    <w:rsid w:val="DDCB2E5E"/>
    <w:rsid w:val="DDFE75CA"/>
    <w:rsid w:val="DEFBBE33"/>
    <w:rsid w:val="DEFBFEAE"/>
    <w:rsid w:val="DF1F3B80"/>
    <w:rsid w:val="DF6F9789"/>
    <w:rsid w:val="DF9B8D55"/>
    <w:rsid w:val="DF9D198A"/>
    <w:rsid w:val="DFDF1D8E"/>
    <w:rsid w:val="DFEFC58B"/>
    <w:rsid w:val="DFF5F241"/>
    <w:rsid w:val="DFFFA9E8"/>
    <w:rsid w:val="E37D5D3F"/>
    <w:rsid w:val="E3FFE98D"/>
    <w:rsid w:val="E5F4E9DC"/>
    <w:rsid w:val="E67FF583"/>
    <w:rsid w:val="E70FE695"/>
    <w:rsid w:val="E7676621"/>
    <w:rsid w:val="E76B2B9A"/>
    <w:rsid w:val="E7AB7A34"/>
    <w:rsid w:val="E7DF1E20"/>
    <w:rsid w:val="E7FF6381"/>
    <w:rsid w:val="E9A30291"/>
    <w:rsid w:val="EBBF924C"/>
    <w:rsid w:val="ECFED1BC"/>
    <w:rsid w:val="ED1D69BB"/>
    <w:rsid w:val="ED2C2584"/>
    <w:rsid w:val="ED7FD312"/>
    <w:rsid w:val="EDBE03E0"/>
    <w:rsid w:val="EDD1A84A"/>
    <w:rsid w:val="EDFF8263"/>
    <w:rsid w:val="EE1FA0C7"/>
    <w:rsid w:val="EF53993F"/>
    <w:rsid w:val="EF7B8152"/>
    <w:rsid w:val="EF8E27E2"/>
    <w:rsid w:val="EFBFB2F4"/>
    <w:rsid w:val="EFBFFA21"/>
    <w:rsid w:val="EFDF4337"/>
    <w:rsid w:val="EFF7097E"/>
    <w:rsid w:val="F2BEBCB8"/>
    <w:rsid w:val="F36FB518"/>
    <w:rsid w:val="F3DE1A04"/>
    <w:rsid w:val="F3E244FA"/>
    <w:rsid w:val="F3EFB7CA"/>
    <w:rsid w:val="F3F722E5"/>
    <w:rsid w:val="F699BB1A"/>
    <w:rsid w:val="F6DEABFE"/>
    <w:rsid w:val="F7B650C7"/>
    <w:rsid w:val="F7EF9033"/>
    <w:rsid w:val="F7FDC2B1"/>
    <w:rsid w:val="F8DDDAC6"/>
    <w:rsid w:val="F96B55C8"/>
    <w:rsid w:val="FA2F5BEB"/>
    <w:rsid w:val="FA5F1E70"/>
    <w:rsid w:val="FA5FDB97"/>
    <w:rsid w:val="FB1BB959"/>
    <w:rsid w:val="FB75E3C8"/>
    <w:rsid w:val="FB7F461B"/>
    <w:rsid w:val="FB7F486A"/>
    <w:rsid w:val="FB7F6E28"/>
    <w:rsid w:val="FB8778F4"/>
    <w:rsid w:val="FBB61866"/>
    <w:rsid w:val="FBE3ED30"/>
    <w:rsid w:val="FBEE055A"/>
    <w:rsid w:val="FBF91527"/>
    <w:rsid w:val="FBFD1260"/>
    <w:rsid w:val="FBFF5B2E"/>
    <w:rsid w:val="FC833EBB"/>
    <w:rsid w:val="FCFE0B49"/>
    <w:rsid w:val="FD4B388D"/>
    <w:rsid w:val="FD77A83C"/>
    <w:rsid w:val="FD7FFE2B"/>
    <w:rsid w:val="FDADA43D"/>
    <w:rsid w:val="FDBDC432"/>
    <w:rsid w:val="FDEB412A"/>
    <w:rsid w:val="FDEE196B"/>
    <w:rsid w:val="FDEF50BC"/>
    <w:rsid w:val="FDFD5EC3"/>
    <w:rsid w:val="FDFE6575"/>
    <w:rsid w:val="FE9E11AB"/>
    <w:rsid w:val="FEBF38CD"/>
    <w:rsid w:val="FEDFDDC2"/>
    <w:rsid w:val="FEEB4E4D"/>
    <w:rsid w:val="FEED32F6"/>
    <w:rsid w:val="FEF781DD"/>
    <w:rsid w:val="FEF9D8C4"/>
    <w:rsid w:val="FF3F7E3F"/>
    <w:rsid w:val="FF3FF759"/>
    <w:rsid w:val="FF4749A3"/>
    <w:rsid w:val="FF4D3A28"/>
    <w:rsid w:val="FF5913BC"/>
    <w:rsid w:val="FF7F1E7E"/>
    <w:rsid w:val="FF9BAA5C"/>
    <w:rsid w:val="FFA57884"/>
    <w:rsid w:val="FFB513DD"/>
    <w:rsid w:val="FFBA12D7"/>
    <w:rsid w:val="FFBFE8C6"/>
    <w:rsid w:val="FFCF2925"/>
    <w:rsid w:val="FFD33B6C"/>
    <w:rsid w:val="FFDAD824"/>
    <w:rsid w:val="FFDE4064"/>
    <w:rsid w:val="FFDEA9D8"/>
    <w:rsid w:val="FFDF2DEC"/>
    <w:rsid w:val="FFDF624E"/>
    <w:rsid w:val="FFDF6BC0"/>
    <w:rsid w:val="FFDFFAEE"/>
    <w:rsid w:val="FFE3BA41"/>
    <w:rsid w:val="FFE3BED4"/>
    <w:rsid w:val="FFF316C1"/>
    <w:rsid w:val="FFF63ECC"/>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unhideWhenUsed/>
    <w:qFormat/>
    <w:uiPriority w:val="9"/>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24"/>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200"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0"/>
    <w:semiHidden/>
    <w:unhideWhenUsed/>
    <w:qFormat/>
    <w:uiPriority w:val="99"/>
    <w:rPr>
      <w:sz w:val="18"/>
      <w:szCs w:val="18"/>
    </w:rPr>
  </w:style>
  <w:style w:type="paragraph" w:styleId="9">
    <w:name w:val="footer"/>
    <w:basedOn w:val="1"/>
    <w:link w:val="22"/>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0"/>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paragraph" w:styleId="13">
    <w:name w:val="Body Text First Indent 2"/>
    <w:basedOn w:val="6"/>
    <w:unhideWhenUsed/>
    <w:qFormat/>
    <w:uiPriority w:val="99"/>
    <w:pPr>
      <w:ind w:firstLine="420" w:firstLineChars="200"/>
    </w:pPr>
  </w:style>
  <w:style w:type="character" w:styleId="16">
    <w:name w:val="Strong"/>
    <w:basedOn w:val="15"/>
    <w:qFormat/>
    <w:uiPriority w:val="99"/>
    <w:rPr>
      <w:b/>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paragraph" w:customStyle="1" w:styleId="18">
    <w:name w:val="标题 5（有编号）（绿盟科技）"/>
    <w:next w:val="1"/>
    <w:qFormat/>
    <w:uiPriority w:val="99"/>
    <w:pPr>
      <w:keepNext/>
      <w:keepLines/>
      <w:widowControl w:val="0"/>
      <w:spacing w:before="280" w:after="156" w:line="377" w:lineRule="auto"/>
      <w:outlineLvl w:val="4"/>
    </w:pPr>
    <w:rPr>
      <w:rFonts w:ascii="Arial" w:hAnsi="Arial" w:eastAsia="黑体" w:cs="Times New Roman"/>
      <w:b/>
      <w:kern w:val="2"/>
      <w:sz w:val="24"/>
      <w:szCs w:val="28"/>
      <w:lang w:val="en-US" w:eastAsia="zh-CN" w:bidi="ar-SA"/>
    </w:rPr>
  </w:style>
  <w:style w:type="character" w:customStyle="1" w:styleId="19">
    <w:name w:val="Header Char"/>
    <w:basedOn w:val="15"/>
    <w:semiHidden/>
    <w:qFormat/>
    <w:uiPriority w:val="99"/>
    <w:rPr>
      <w:rFonts w:ascii="Times New Roman" w:hAnsi="Times New Roman"/>
      <w:sz w:val="18"/>
      <w:szCs w:val="18"/>
    </w:rPr>
  </w:style>
  <w:style w:type="character" w:customStyle="1" w:styleId="20">
    <w:name w:val="页眉 字符"/>
    <w:link w:val="10"/>
    <w:semiHidden/>
    <w:qFormat/>
    <w:locked/>
    <w:uiPriority w:val="99"/>
    <w:rPr>
      <w:sz w:val="18"/>
    </w:rPr>
  </w:style>
  <w:style w:type="character" w:customStyle="1" w:styleId="21">
    <w:name w:val="Footer Char"/>
    <w:basedOn w:val="15"/>
    <w:semiHidden/>
    <w:qFormat/>
    <w:uiPriority w:val="99"/>
    <w:rPr>
      <w:rFonts w:ascii="Times New Roman" w:hAnsi="Times New Roman"/>
      <w:sz w:val="18"/>
      <w:szCs w:val="18"/>
    </w:rPr>
  </w:style>
  <w:style w:type="character" w:customStyle="1" w:styleId="22">
    <w:name w:val="页脚 字符"/>
    <w:link w:val="9"/>
    <w:qFormat/>
    <w:locked/>
    <w:uiPriority w:val="99"/>
    <w:rPr>
      <w:sz w:val="18"/>
    </w:rPr>
  </w:style>
  <w:style w:type="character" w:customStyle="1" w:styleId="23">
    <w:name w:val="Body Text Char"/>
    <w:basedOn w:val="15"/>
    <w:semiHidden/>
    <w:qFormat/>
    <w:uiPriority w:val="99"/>
    <w:rPr>
      <w:rFonts w:ascii="Times New Roman" w:hAnsi="Times New Roman"/>
      <w:szCs w:val="24"/>
    </w:rPr>
  </w:style>
  <w:style w:type="character" w:customStyle="1" w:styleId="24">
    <w:name w:val="正文文本 字符"/>
    <w:link w:val="5"/>
    <w:qFormat/>
    <w:locked/>
    <w:uiPriority w:val="99"/>
    <w:rPr>
      <w:rFonts w:ascii="仿宋_GB2312" w:hAnsi="Times New Roman" w:eastAsia="仿宋_GB2312"/>
      <w:sz w:val="24"/>
    </w:rPr>
  </w:style>
  <w:style w:type="paragraph" w:customStyle="1" w:styleId="25">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6">
    <w:name w:val="List Paragraph"/>
    <w:basedOn w:val="1"/>
    <w:qFormat/>
    <w:uiPriority w:val="34"/>
    <w:pPr>
      <w:ind w:firstLine="420" w:firstLineChars="200"/>
    </w:pPr>
  </w:style>
  <w:style w:type="character" w:customStyle="1" w:styleId="27">
    <w:name w:val="标题 1 字符"/>
    <w:basedOn w:val="15"/>
    <w:link w:val="2"/>
    <w:qFormat/>
    <w:uiPriority w:val="9"/>
    <w:rPr>
      <w:rFonts w:ascii="Times New Roman" w:hAnsi="Times New Roman"/>
      <w:b/>
      <w:bCs/>
      <w:kern w:val="44"/>
      <w:sz w:val="44"/>
      <w:szCs w:val="44"/>
    </w:rPr>
  </w:style>
  <w:style w:type="character" w:customStyle="1" w:styleId="28">
    <w:name w:val="标题 2 字符"/>
    <w:basedOn w:val="15"/>
    <w:link w:val="3"/>
    <w:qFormat/>
    <w:uiPriority w:val="9"/>
    <w:rPr>
      <w:rFonts w:asciiTheme="majorHAnsi" w:hAnsiTheme="majorHAnsi" w:eastAsiaTheme="majorEastAsia" w:cstheme="majorBidi"/>
      <w:b/>
      <w:bCs/>
      <w:kern w:val="2"/>
      <w:sz w:val="32"/>
      <w:szCs w:val="32"/>
    </w:rPr>
  </w:style>
  <w:style w:type="paragraph" w:customStyle="1" w:styleId="2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0">
    <w:name w:val="批注框文本 字符"/>
    <w:basedOn w:val="15"/>
    <w:link w:val="8"/>
    <w:semiHidden/>
    <w:qFormat/>
    <w:uiPriority w:val="99"/>
    <w:rPr>
      <w:rFonts w:ascii="Times New Roman" w:hAnsi="Times New Roman"/>
      <w:kern w:val="2"/>
      <w:sz w:val="18"/>
      <w:szCs w:val="18"/>
    </w:rPr>
  </w:style>
  <w:style w:type="character" w:customStyle="1" w:styleId="31">
    <w:name w:val="标题 3 字符"/>
    <w:basedOn w:val="15"/>
    <w:link w:val="4"/>
    <w:qFormat/>
    <w:uiPriority w:val="9"/>
    <w:rPr>
      <w:rFonts w:ascii="Times New Roman" w:hAnsi="Times New Roman"/>
      <w:b/>
      <w:bCs/>
      <w:kern w:val="2"/>
      <w:sz w:val="32"/>
      <w:szCs w:val="32"/>
    </w:rPr>
  </w:style>
  <w:style w:type="paragraph" w:customStyle="1" w:styleId="32">
    <w:name w:val="TOC 标题2"/>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3">
    <w:name w:val="四号正文"/>
    <w:basedOn w:val="1"/>
    <w:link w:val="34"/>
    <w:qFormat/>
    <w:uiPriority w:val="99"/>
    <w:pPr>
      <w:spacing w:line="360" w:lineRule="auto"/>
    </w:pPr>
    <w:rPr>
      <w:rFonts w:ascii="??" w:hAnsi="??"/>
      <w:color w:val="000000"/>
      <w:kern w:val="0"/>
      <w:sz w:val="28"/>
      <w:szCs w:val="21"/>
      <w:lang w:val="zh-CN"/>
    </w:rPr>
  </w:style>
  <w:style w:type="character" w:customStyle="1" w:styleId="34">
    <w:name w:val="四号正文 Char"/>
    <w:link w:val="33"/>
    <w:qFormat/>
    <w:locked/>
    <w:uiPriority w:val="99"/>
    <w:rPr>
      <w:rFonts w:ascii="??" w:hAnsi="??" w:eastAsia="宋体" w:cs="Times New Roman"/>
      <w:color w:val="000000"/>
      <w:sz w:val="28"/>
      <w:szCs w:val="21"/>
      <w:lang w:val="zh-CN"/>
    </w:rPr>
  </w:style>
  <w:style w:type="paragraph" w:customStyle="1" w:styleId="35">
    <w:name w:val="样式1"/>
    <w:basedOn w:val="1"/>
    <w:next w:val="1"/>
    <w:qFormat/>
    <w:uiPriority w:val="0"/>
    <w:pPr>
      <w:keepNext/>
      <w:keepLines/>
      <w:spacing w:before="340" w:after="330" w:line="578" w:lineRule="auto"/>
      <w:jc w:val="center"/>
      <w:outlineLvl w:val="0"/>
    </w:pPr>
    <w:rPr>
      <w:rFonts w:hint="eastAsia" w:ascii="黑体" w:hAnsi="黑体" w:eastAsia="黑体"/>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chart" Target="charts/chart7.xml"/><Relationship Id="rId13" Type="http://schemas.openxmlformats.org/officeDocument/2006/relationships/chart" Target="charts/chart6.xml"/><Relationship Id="rId12" Type="http://schemas.openxmlformats.org/officeDocument/2006/relationships/chart" Target="charts/chart5.xml"/><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themeOverride" Target="../theme/themeOverride3.xml"/><Relationship Id="rId1" Type="http://schemas.openxmlformats.org/officeDocument/2006/relationships/package" Target="../embeddings/Workbook3.xlsx"/></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themeOverride" Target="../theme/themeOverrid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themeOverride" Target="../theme/themeOverride5.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7.xml"/><Relationship Id="rId2" Type="http://schemas.openxmlformats.org/officeDocument/2006/relationships/themeOverride" Target="../theme/themeOverride7.xml"/><Relationship Id="rId1" Type="http://schemas.openxmlformats.org/officeDocument/2006/relationships/package" Target="../embeddings/Workbook7.xlsx"/></Relationships>
</file>

<file path=word/charts/_rels/chart6.xml.rels><?xml version="1.0" encoding="UTF-8" standalone="yes"?>
<Relationships xmlns="http://schemas.openxmlformats.org/package/2006/relationships"><Relationship Id="rId3" Type="http://schemas.openxmlformats.org/officeDocument/2006/relationships/chartUserShapes" Target="../drawings/drawing6.xml"/><Relationship Id="rId2" Type="http://schemas.openxmlformats.org/officeDocument/2006/relationships/themeOverride" Target="../theme/themeOverrid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true"/>
    <c:plotArea>
      <c:layout>
        <c:manualLayout>
          <c:layoutTarget val="inner"/>
          <c:xMode val="edge"/>
          <c:yMode val="edge"/>
          <c:x val="0.169772795202093"/>
          <c:y val="0.0524619971845031"/>
          <c:w val="0.73086434618208"/>
          <c:h val="0.854244047896381"/>
        </c:manualLayout>
      </c:layout>
      <c:barChart>
        <c:barDir val="col"/>
        <c:grouping val="clustered"/>
        <c:varyColors val="false"/>
        <c:ser>
          <c:idx val="0"/>
          <c:order val="0"/>
          <c:tx>
            <c:strRef>
              <c:f>Sheet1!$B$1</c:f>
              <c:strCache>
                <c:ptCount val="1"/>
                <c:pt idx="0">
                  <c:v>2023年</c:v>
                </c:pt>
              </c:strCache>
            </c:strRef>
          </c:tx>
          <c:invertIfNegative val="false"/>
          <c:dLbls>
            <c:spPr>
              <a:noFill/>
              <a:ln w="27050">
                <a:noFill/>
              </a:ln>
              <a:effectLst/>
            </c:spPr>
            <c:txPr>
              <a:bodyPr rot="0" spcFirstLastPara="0" vertOverflow="ellipsis" vert="horz" wrap="square" lIns="38100" tIns="19050" rIns="38100" bIns="19050" anchor="ctr" anchorCtr="true">
                <a:spAutoFit/>
              </a:bodyPr>
              <a:lstStyle/>
              <a:p>
                <a:pPr>
                  <a:defRPr lang="zh-CN" sz="1065" b="0" i="0" u="none" strike="noStrike" kern="1200" baseline="0">
                    <a:solidFill>
                      <a:srgbClr val="000000"/>
                    </a:solidFill>
                    <a:latin typeface="宋体" charset="-122"/>
                    <a:ea typeface="宋体" charset="-122"/>
                    <a:cs typeface="宋体" charset="-122"/>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c:f>
              <c:strCache>
                <c:ptCount val="1"/>
                <c:pt idx="0">
                  <c:v>收支预算总体情况</c:v>
                </c:pt>
              </c:strCache>
            </c:strRef>
          </c:cat>
          <c:val>
            <c:numRef>
              <c:f>Sheet1!$B$2</c:f>
              <c:numCache>
                <c:formatCode>General</c:formatCode>
                <c:ptCount val="1"/>
                <c:pt idx="0">
                  <c:v>86219.81</c:v>
                </c:pt>
              </c:numCache>
            </c:numRef>
          </c:val>
        </c:ser>
        <c:ser>
          <c:idx val="1"/>
          <c:order val="1"/>
          <c:tx>
            <c:strRef>
              <c:f>Sheet1!$C$1</c:f>
              <c:strCache>
                <c:ptCount val="1"/>
                <c:pt idx="0">
                  <c:v>2024年</c:v>
                </c:pt>
              </c:strCache>
            </c:strRef>
          </c:tx>
          <c:invertIfNegative val="false"/>
          <c:dLbls>
            <c:spPr>
              <a:noFill/>
              <a:ln w="27050">
                <a:noFill/>
              </a:ln>
              <a:effectLst/>
            </c:spPr>
            <c:txPr>
              <a:bodyPr rot="0" spcFirstLastPara="0" vertOverflow="ellipsis" vert="horz" wrap="square" lIns="38100" tIns="19050" rIns="38100" bIns="19050" anchor="ctr" anchorCtr="true">
                <a:spAutoFit/>
              </a:bodyPr>
              <a:lstStyle/>
              <a:p>
                <a:pPr>
                  <a:defRPr lang="zh-CN" sz="1065" b="0" i="0" u="none" strike="noStrike" kern="1200" baseline="0">
                    <a:solidFill>
                      <a:srgbClr val="000000"/>
                    </a:solidFill>
                    <a:latin typeface="宋体" charset="-122"/>
                    <a:ea typeface="宋体" charset="-122"/>
                    <a:cs typeface="宋体" charset="-122"/>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c:f>
              <c:strCache>
                <c:ptCount val="1"/>
                <c:pt idx="0">
                  <c:v>收支预算总体情况</c:v>
                </c:pt>
              </c:strCache>
            </c:strRef>
          </c:cat>
          <c:val>
            <c:numRef>
              <c:f>Sheet1!$C$2</c:f>
              <c:numCache>
                <c:formatCode>General</c:formatCode>
                <c:ptCount val="1"/>
                <c:pt idx="0">
                  <c:v>88571.62</c:v>
                </c:pt>
              </c:numCache>
            </c:numRef>
          </c:val>
        </c:ser>
        <c:dLbls>
          <c:showLegendKey val="false"/>
          <c:showVal val="false"/>
          <c:showCatName val="false"/>
          <c:showSerName val="false"/>
          <c:showPercent val="false"/>
          <c:showBubbleSize val="false"/>
        </c:dLbls>
        <c:gapWidth val="150"/>
        <c:axId val="1175838495"/>
        <c:axId val="1"/>
      </c:barChart>
      <c:catAx>
        <c:axId val="1175838495"/>
        <c:scaling>
          <c:orientation val="minMax"/>
        </c:scaling>
        <c:delete val="false"/>
        <c:axPos val="b"/>
        <c:numFmt formatCode="g/&quot;通&quot;&quot;用&quot;&quot;格&quot;&quot;式&quot;" sourceLinked="false"/>
        <c:majorTickMark val="out"/>
        <c:minorTickMark val="none"/>
        <c:tickLblPos val="nextTo"/>
        <c:txPr>
          <a:bodyPr rot="0" spcFirstLastPara="0" vertOverflow="ellipsis" vert="horz" wrap="square" anchor="ctr" anchorCtr="true"/>
          <a:lstStyle/>
          <a:p>
            <a:pPr>
              <a:defRPr lang="zh-CN" sz="1065" b="0" i="0" u="none" strike="noStrike" kern="1200" baseline="0">
                <a:solidFill>
                  <a:srgbClr val="000000"/>
                </a:solidFill>
                <a:latin typeface="宋体" charset="-122"/>
                <a:ea typeface="宋体" charset="-122"/>
                <a:cs typeface="宋体" charset="-122"/>
              </a:defRPr>
            </a:pPr>
          </a:p>
        </c:txPr>
        <c:crossAx val="1"/>
        <c:crosses val="autoZero"/>
        <c:auto val="true"/>
        <c:lblAlgn val="ctr"/>
        <c:lblOffset val="100"/>
        <c:noMultiLvlLbl val="false"/>
      </c:catAx>
      <c:valAx>
        <c:axId val="1"/>
        <c:scaling>
          <c:orientation val="minMax"/>
        </c:scaling>
        <c:delete val="false"/>
        <c:axPos val="l"/>
        <c:majorGridlines/>
        <c:numFmt formatCode="General" sourceLinked="true"/>
        <c:majorTickMark val="out"/>
        <c:minorTickMark val="none"/>
        <c:tickLblPos val="nextTo"/>
        <c:txPr>
          <a:bodyPr rot="0" spcFirstLastPara="0" vertOverflow="ellipsis" vert="horz" wrap="square" anchor="ctr" anchorCtr="true"/>
          <a:lstStyle/>
          <a:p>
            <a:pPr>
              <a:defRPr lang="zh-CN" sz="1065" b="0" i="0" u="none" strike="noStrike" kern="1200" baseline="0">
                <a:solidFill>
                  <a:srgbClr val="000000"/>
                </a:solidFill>
                <a:latin typeface="宋体" charset="-122"/>
                <a:ea typeface="宋体" charset="-122"/>
                <a:cs typeface="宋体" charset="-122"/>
              </a:defRPr>
            </a:pPr>
          </a:p>
        </c:txPr>
        <c:crossAx val="1175838495"/>
        <c:crosses val="autoZero"/>
        <c:crossBetween val="between"/>
      </c:valAx>
    </c:plotArea>
    <c:legend>
      <c:legendPos val="r"/>
      <c:layout/>
      <c:overlay val="false"/>
      <c:txPr>
        <a:bodyPr rot="0" spcFirstLastPara="0" vertOverflow="ellipsis" vert="horz" wrap="square" anchor="ctr" anchorCtr="true"/>
        <a:lstStyle/>
        <a:p>
          <a:pPr>
            <a:defRPr lang="zh-CN" sz="900" b="0" i="0" u="none" strike="noStrike" kern="1200" baseline="0">
              <a:solidFill>
                <a:srgbClr val="000000"/>
              </a:solidFill>
              <a:latin typeface="宋体" charset="-122"/>
              <a:ea typeface="宋体" charset="-122"/>
              <a:cs typeface="宋体" charset="-122"/>
            </a:defRPr>
          </a:pPr>
        </a:p>
      </c:txPr>
    </c:legend>
    <c:plotVisOnly val="true"/>
    <c:dispBlanksAs val="gap"/>
    <c:showDLblsOverMax val="false"/>
  </c:chart>
  <c:txPr>
    <a:bodyPr/>
    <a:lstStyle/>
    <a:p>
      <a:pPr>
        <a:defRPr lang="zh-CN" sz="1065" b="0" i="0" u="none" strike="noStrike" baseline="0">
          <a:solidFill>
            <a:srgbClr val="000000"/>
          </a:solidFill>
          <a:latin typeface="宋体" charset="-122"/>
          <a:ea typeface="宋体" charset="-122"/>
          <a:cs typeface="宋体" charset="-122"/>
        </a:defRPr>
      </a:pPr>
    </a:p>
  </c:txPr>
  <c:externalData r:id="rId1">
    <c:autoUpdate val="false"/>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overlay val="false"/>
      <c:txPr>
        <a:bodyPr rot="0" spcFirstLastPara="0" vertOverflow="ellipsis" vert="horz" wrap="square" anchor="ctr" anchorCtr="true"/>
        <a:lstStyle/>
        <a:p>
          <a:pPr>
            <a:defRPr lang="zh-CN" sz="1955" b="1" i="0" u="none" strike="noStrike" kern="1200" baseline="0">
              <a:solidFill>
                <a:srgbClr val="000000"/>
              </a:solidFill>
              <a:latin typeface="宋体" charset="-122"/>
              <a:ea typeface="宋体" charset="-122"/>
              <a:cs typeface="宋体" charset="-122"/>
            </a:defRPr>
          </a:pPr>
        </a:p>
      </c:txPr>
    </c:title>
    <c:autoTitleDeleted val="false"/>
    <c:plotArea>
      <c:layout>
        <c:manualLayout>
          <c:layoutTarget val="inner"/>
          <c:xMode val="edge"/>
          <c:yMode val="edge"/>
          <c:x val="0.175027322404372"/>
          <c:y val="0.240930332261522"/>
          <c:w val="0.355546448087432"/>
          <c:h val="0.669479099678457"/>
        </c:manualLayout>
      </c:layout>
      <c:pieChart>
        <c:varyColors val="true"/>
        <c:ser>
          <c:idx val="0"/>
          <c:order val="0"/>
          <c:tx>
            <c:strRef>
              <c:f>Sheet1!$B$1</c:f>
              <c:strCache>
                <c:ptCount val="1"/>
                <c:pt idx="0">
                  <c:v>收入决算结构图</c:v>
                </c:pt>
              </c:strCache>
            </c:strRef>
          </c:tx>
          <c:explosion val="0"/>
          <c:dPt>
            <c:idx val="0"/>
            <c:bubble3D val="false"/>
          </c:dPt>
          <c:dPt>
            <c:idx val="1"/>
            <c:bubble3D val="false"/>
          </c:dPt>
          <c:dPt>
            <c:idx val="2"/>
            <c:bubble3D val="false"/>
          </c:dPt>
          <c:dPt>
            <c:idx val="3"/>
            <c:bubble3D val="false"/>
          </c:dPt>
          <c:dPt>
            <c:idx val="4"/>
            <c:bubble3D val="false"/>
          </c:dPt>
          <c:dPt>
            <c:idx val="5"/>
            <c:bubble3D val="false"/>
          </c:dPt>
          <c:dPt>
            <c:idx val="6"/>
            <c:bubble3D val="false"/>
          </c:dPt>
          <c:dPt>
            <c:idx val="7"/>
            <c:bubble3D val="false"/>
          </c:dPt>
          <c:dPt>
            <c:idx val="8"/>
            <c:bubble3D val="false"/>
          </c:dPt>
          <c:dLbls>
            <c:dLbl>
              <c:idx val="7"/>
              <c:layout>
                <c:manualLayout>
                  <c:x val="-0.0285033383023402"/>
                  <c:y val="-0.0348950645188029"/>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1085" b="0" i="0" u="none" strike="noStrike" kern="1200" baseline="0">
                    <a:solidFill>
                      <a:srgbClr val="000000"/>
                    </a:solidFill>
                    <a:latin typeface="宋体" charset="-122"/>
                    <a:ea typeface="宋体" charset="-122"/>
                    <a:cs typeface="宋体" charset="-122"/>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Sheet1!$A$2:$A$10</c:f>
              <c:strCache>
                <c:ptCount val="9"/>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strCache>
            </c:strRef>
          </c:cat>
          <c:val>
            <c:numRef>
              <c:f>Sheet1!$B$2:$B$10</c:f>
              <c:numCache>
                <c:formatCode>General</c:formatCode>
                <c:ptCount val="9"/>
                <c:pt idx="0">
                  <c:v>41735.37</c:v>
                </c:pt>
                <c:pt idx="1">
                  <c:v>46835.04</c:v>
                </c:pt>
                <c:pt idx="2">
                  <c:v>0</c:v>
                </c:pt>
                <c:pt idx="3">
                  <c:v>0</c:v>
                </c:pt>
                <c:pt idx="4">
                  <c:v>0</c:v>
                </c:pt>
                <c:pt idx="5">
                  <c:v>0</c:v>
                </c:pt>
                <c:pt idx="6">
                  <c:v>0</c:v>
                </c:pt>
                <c:pt idx="7">
                  <c:v>1.21</c:v>
                </c:pt>
                <c:pt idx="8">
                  <c:v>0</c:v>
                </c:pt>
              </c:numCache>
            </c:numRef>
          </c:val>
        </c:ser>
        <c:dLbls>
          <c:showLegendKey val="false"/>
          <c:showVal val="false"/>
          <c:showCatName val="false"/>
          <c:showSerName val="false"/>
          <c:showPercent val="false"/>
          <c:showBubbleSize val="false"/>
          <c:showLeaderLines val="true"/>
        </c:dLbls>
        <c:firstSliceAng val="219"/>
      </c:pieChart>
      <c:spPr>
        <a:noFill/>
        <a:ln w="27612">
          <a:noFill/>
        </a:ln>
      </c:spPr>
    </c:plotArea>
    <c:legend>
      <c:legendPos val="r"/>
      <c:legendEntry>
        <c:idx val="8"/>
        <c:delete val="true"/>
      </c:legendEntry>
      <c:layout>
        <c:manualLayout>
          <c:xMode val="edge"/>
          <c:yMode val="edge"/>
          <c:x val="0.60418880172326"/>
          <c:y val="0.192351530221402"/>
          <c:w val="0.379583836678456"/>
          <c:h val="0.724897210815155"/>
        </c:manualLayout>
      </c:layout>
      <c:overlay val="false"/>
      <c:txPr>
        <a:bodyPr rot="0" spcFirstLastPara="0" vertOverflow="ellipsis" vert="horz" wrap="square" anchor="ctr" anchorCtr="true"/>
        <a:lstStyle/>
        <a:p>
          <a:pPr>
            <a:defRPr lang="zh-CN" sz="770" b="0" i="0" u="none" strike="noStrike" kern="1200" baseline="0">
              <a:solidFill>
                <a:srgbClr val="000000"/>
              </a:solidFill>
              <a:latin typeface="宋体" charset="-122"/>
              <a:ea typeface="宋体" charset="-122"/>
              <a:cs typeface="宋体" charset="-122"/>
            </a:defRPr>
          </a:pPr>
        </a:p>
      </c:txPr>
    </c:legend>
    <c:plotVisOnly val="true"/>
    <c:dispBlanksAs val="gap"/>
    <c:showDLblsOverMax val="false"/>
  </c:chart>
  <c:txPr>
    <a:bodyPr/>
    <a:lstStyle/>
    <a:p>
      <a:pPr>
        <a:defRPr lang="zh-CN" sz="1085" b="0" i="0" u="none" strike="noStrike" baseline="0">
          <a:solidFill>
            <a:srgbClr val="000000"/>
          </a:solidFill>
          <a:latin typeface="宋体" charset="-122"/>
          <a:ea typeface="宋体" charset="-122"/>
          <a:cs typeface="宋体" charset="-122"/>
        </a:defRPr>
      </a:pPr>
    </a:p>
  </c:txPr>
  <c:externalData r:id="rId1">
    <c:autoUpdate val="false"/>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341966173361522"/>
          <c:y val="0.00809935205183585"/>
        </c:manualLayout>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manualLayout>
          <c:layoutTarget val="inner"/>
          <c:xMode val="edge"/>
          <c:yMode val="edge"/>
          <c:x val="0.219464902216565"/>
          <c:y val="0.21426570023118"/>
          <c:w val="0.393446807173057"/>
          <c:h val="0.652704802628153"/>
        </c:manualLayout>
      </c:layout>
      <c:pieChart>
        <c:varyColors val="true"/>
        <c:ser>
          <c:idx val="0"/>
          <c:order val="0"/>
          <c:tx>
            <c:strRef>
              <c:f>Sheet1!$B$1</c:f>
              <c:strCache>
                <c:ptCount val="1"/>
                <c:pt idx="0">
                  <c:v>支出决算结构图</c:v>
                </c:pt>
              </c:strCache>
            </c:strRef>
          </c:tx>
          <c:explosion val="0"/>
          <c:dPt>
            <c:idx val="0"/>
            <c:bubble3D val="false"/>
          </c:dPt>
          <c:dPt>
            <c:idx val="1"/>
            <c:bubble3D val="false"/>
          </c:dPt>
          <c:dPt>
            <c:idx val="2"/>
            <c:bubble3D val="false"/>
          </c:dPt>
          <c:dPt>
            <c:idx val="3"/>
            <c:bubble3D val="false"/>
          </c:dPt>
          <c:dPt>
            <c:idx val="4"/>
            <c:bubble3D val="false"/>
          </c:dPt>
          <c:dLbls>
            <c:dLbl>
              <c:idx val="0"/>
              <c:layout>
                <c:manualLayout>
                  <c:x val="0.0497123126469729"/>
                  <c:y val="0.0227750847079865"/>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w="23189">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Sheet1!$A$2:$A$6</c:f>
              <c:strCache>
                <c:ptCount val="5"/>
                <c:pt idx="0">
                  <c:v>基本支出</c:v>
                </c:pt>
                <c:pt idx="1">
                  <c:v>项目支出</c:v>
                </c:pt>
                <c:pt idx="2">
                  <c:v>上缴上级支出</c:v>
                </c:pt>
                <c:pt idx="3">
                  <c:v>经营支出</c:v>
                </c:pt>
                <c:pt idx="4">
                  <c:v>对附属单位补助支出</c:v>
                </c:pt>
              </c:strCache>
            </c:strRef>
          </c:cat>
          <c:val>
            <c:numRef>
              <c:f>Sheet1!$B$2:$B$6</c:f>
              <c:numCache>
                <c:formatCode>General</c:formatCode>
                <c:ptCount val="5"/>
                <c:pt idx="0">
                  <c:v>1123.71</c:v>
                </c:pt>
                <c:pt idx="1">
                  <c:v>85096.1</c:v>
                </c:pt>
                <c:pt idx="2">
                  <c:v>0</c:v>
                </c:pt>
                <c:pt idx="3">
                  <c:v>0</c:v>
                </c:pt>
                <c:pt idx="4">
                  <c:v>0</c:v>
                </c:pt>
              </c:numCache>
            </c:numRef>
          </c:val>
        </c:ser>
        <c:dLbls>
          <c:showLegendKey val="false"/>
          <c:showVal val="false"/>
          <c:showCatName val="false"/>
          <c:showSerName val="false"/>
          <c:showPercent val="false"/>
          <c:showBubbleSize val="false"/>
          <c:showLeaderLines val="true"/>
        </c:dLbls>
        <c:firstSliceAng val="0"/>
      </c:pieChart>
      <c:spPr>
        <a:noFill/>
        <a:ln w="23189">
          <a:noFill/>
        </a:ln>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true"/>
    <c:plotArea>
      <c:layout>
        <c:manualLayout>
          <c:layoutTarget val="inner"/>
          <c:xMode val="edge"/>
          <c:yMode val="edge"/>
          <c:x val="0.158571799558036"/>
          <c:y val="0.150116610255142"/>
          <c:w val="0.73086434618208"/>
          <c:h val="0.772943153447282"/>
        </c:manualLayout>
      </c:layout>
      <c:barChart>
        <c:barDir val="col"/>
        <c:grouping val="clustered"/>
        <c:varyColors val="false"/>
        <c:ser>
          <c:idx val="0"/>
          <c:order val="0"/>
          <c:tx>
            <c:strRef>
              <c:f>Sheet1!$B$1</c:f>
              <c:strCache>
                <c:ptCount val="1"/>
                <c:pt idx="0">
                  <c:v>2023年</c:v>
                </c:pt>
              </c:strCache>
            </c:strRef>
          </c:tx>
          <c:invertIfNegative val="false"/>
          <c:dLbls>
            <c:spPr>
              <a:noFill/>
              <a:ln w="27050">
                <a:noFill/>
              </a:ln>
              <a:effectLst/>
            </c:spPr>
            <c:txPr>
              <a:bodyPr rot="0" spcFirstLastPara="0" vertOverflow="ellipsis" vert="horz" wrap="square" lIns="38100" tIns="19050" rIns="38100" bIns="19050" anchor="ctr" anchorCtr="true"/>
              <a:lstStyle/>
              <a:p>
                <a:pPr>
                  <a:defRPr lang="zh-CN" sz="1100" b="0" i="0" u="none" strike="noStrike" kern="1200" baseline="0">
                    <a:solidFill>
                      <a:srgbClr val="000000"/>
                    </a:solidFill>
                    <a:latin typeface="宋体" charset="-122"/>
                    <a:ea typeface="宋体" charset="-122"/>
                    <a:cs typeface="宋体" charset="-122"/>
                  </a:defRPr>
                </a:pPr>
              </a:p>
            </c:txPr>
            <c:dLblPos val="inBase"/>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c:f>
              <c:strCache>
                <c:ptCount val="1"/>
                <c:pt idx="0">
                  <c:v>收支预算总体情况</c:v>
                </c:pt>
              </c:strCache>
            </c:strRef>
          </c:cat>
          <c:val>
            <c:numRef>
              <c:f>Sheet1!$B$2</c:f>
              <c:numCache>
                <c:formatCode>General</c:formatCode>
                <c:ptCount val="1"/>
                <c:pt idx="0">
                  <c:v>86219.81</c:v>
                </c:pt>
              </c:numCache>
            </c:numRef>
          </c:val>
        </c:ser>
        <c:ser>
          <c:idx val="1"/>
          <c:order val="1"/>
          <c:tx>
            <c:strRef>
              <c:f>Sheet1!$C$1</c:f>
              <c:strCache>
                <c:ptCount val="1"/>
                <c:pt idx="0">
                  <c:v>2024年</c:v>
                </c:pt>
              </c:strCache>
            </c:strRef>
          </c:tx>
          <c:invertIfNegative val="false"/>
          <c:dLbls>
            <c:dLbl>
              <c:idx val="0"/>
              <c:layout>
                <c:manualLayout>
                  <c:x val="-0.00186683260734287"/>
                  <c:y val="0.0294695481335953"/>
                </c:manualLayout>
              </c:layout>
              <c:dLblPos val="outEnd"/>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w="27050">
                <a:noFill/>
              </a:ln>
              <a:effectLst/>
            </c:spPr>
            <c:txPr>
              <a:bodyPr rot="0" spcFirstLastPara="0" vertOverflow="ellipsis" vert="horz" wrap="square" lIns="38100" tIns="19050" rIns="38100" bIns="19050" anchor="ctr" anchorCtr="true"/>
              <a:lstStyle/>
              <a:p>
                <a:pPr>
                  <a:defRPr lang="zh-CN" sz="1100" b="0" i="0" u="none" strike="noStrike" kern="1200" baseline="0">
                    <a:solidFill>
                      <a:srgbClr val="000000"/>
                    </a:solidFill>
                    <a:latin typeface="宋体" charset="-122"/>
                    <a:ea typeface="宋体" charset="-122"/>
                    <a:cs typeface="宋体" charset="-122"/>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c:f>
              <c:strCache>
                <c:ptCount val="1"/>
                <c:pt idx="0">
                  <c:v>收支预算总体情况</c:v>
                </c:pt>
              </c:strCache>
            </c:strRef>
          </c:cat>
          <c:val>
            <c:numRef>
              <c:f>Sheet1!$C$2</c:f>
              <c:numCache>
                <c:formatCode>General</c:formatCode>
                <c:ptCount val="1"/>
                <c:pt idx="0">
                  <c:v>88570.41</c:v>
                </c:pt>
              </c:numCache>
            </c:numRef>
          </c:val>
        </c:ser>
        <c:dLbls>
          <c:showLegendKey val="false"/>
          <c:showVal val="false"/>
          <c:showCatName val="false"/>
          <c:showSerName val="false"/>
          <c:showPercent val="false"/>
          <c:showBubbleSize val="false"/>
        </c:dLbls>
        <c:gapWidth val="150"/>
        <c:axId val="1175838495"/>
        <c:axId val="1"/>
      </c:barChart>
      <c:catAx>
        <c:axId val="1175838495"/>
        <c:scaling>
          <c:orientation val="minMax"/>
        </c:scaling>
        <c:delete val="true"/>
        <c:axPos val="b"/>
        <c:numFmt formatCode="g/&quot;通&quot;&quot;用&quot;&quot;格&quot;&quot;式&quot;" sourceLinked="false"/>
        <c:majorTickMark val="out"/>
        <c:minorTickMark val="none"/>
        <c:tickLblPos val="nextTo"/>
        <c:txPr>
          <a:bodyPr rot="-60000000" spcFirstLastPara="0" vertOverflow="ellipsis" vert="horz" wrap="square" anchor="ctr" anchorCtr="true"/>
          <a:lstStyle/>
          <a:p>
            <a:pPr>
              <a:defRPr lang="zh-CN" sz="1100" b="0" i="0" u="none" strike="noStrike" kern="1200" baseline="0">
                <a:solidFill>
                  <a:srgbClr val="000000"/>
                </a:solidFill>
                <a:latin typeface="宋体" charset="-122"/>
                <a:ea typeface="宋体" charset="-122"/>
                <a:cs typeface="宋体" charset="-122"/>
              </a:defRPr>
            </a:pPr>
          </a:p>
        </c:txPr>
        <c:crossAx val="1"/>
        <c:crosses val="autoZero"/>
        <c:auto val="true"/>
        <c:lblAlgn val="ctr"/>
        <c:lblOffset val="100"/>
        <c:noMultiLvlLbl val="false"/>
      </c:catAx>
      <c:valAx>
        <c:axId val="1"/>
        <c:scaling>
          <c:orientation val="minMax"/>
        </c:scaling>
        <c:delete val="false"/>
        <c:axPos val="l"/>
        <c:majorGridlines/>
        <c:numFmt formatCode="General" sourceLinked="true"/>
        <c:majorTickMark val="out"/>
        <c:minorTickMark val="none"/>
        <c:tickLblPos val="nextTo"/>
        <c:txPr>
          <a:bodyPr rot="0" spcFirstLastPara="0" vertOverflow="ellipsis" vert="horz" wrap="square" anchor="ctr" anchorCtr="true"/>
          <a:lstStyle/>
          <a:p>
            <a:pPr>
              <a:defRPr lang="zh-CN" sz="1100" b="0" i="0" u="none" strike="noStrike" kern="1200" baseline="0">
                <a:solidFill>
                  <a:srgbClr val="000000"/>
                </a:solidFill>
                <a:latin typeface="宋体" charset="-122"/>
                <a:ea typeface="宋体" charset="-122"/>
                <a:cs typeface="宋体" charset="-122"/>
              </a:defRPr>
            </a:pPr>
          </a:p>
        </c:txPr>
        <c:crossAx val="1175838495"/>
        <c:crosses val="autoZero"/>
        <c:crossBetween val="between"/>
      </c:valAx>
    </c:plotArea>
    <c:legend>
      <c:legendPos val="r"/>
      <c:layout/>
      <c:overlay val="false"/>
      <c:txPr>
        <a:bodyPr rot="0" spcFirstLastPara="0" vertOverflow="ellipsis" vert="horz" wrap="square" anchor="ctr" anchorCtr="true"/>
        <a:lstStyle/>
        <a:p>
          <a:pPr>
            <a:defRPr lang="zh-CN" sz="1100" b="0" i="0" u="none" strike="noStrike" kern="1200" baseline="0">
              <a:solidFill>
                <a:srgbClr val="000000"/>
              </a:solidFill>
              <a:latin typeface="宋体" charset="-122"/>
              <a:ea typeface="宋体" charset="-122"/>
              <a:cs typeface="宋体" charset="-122"/>
            </a:defRPr>
          </a:pPr>
        </a:p>
      </c:txPr>
    </c:legend>
    <c:plotVisOnly val="true"/>
    <c:dispBlanksAs val="gap"/>
    <c:showDLblsOverMax val="false"/>
  </c:chart>
  <c:txPr>
    <a:bodyPr/>
    <a:lstStyle/>
    <a:p>
      <a:pPr>
        <a:defRPr lang="zh-CN" sz="1100" b="0" i="0" u="none" strike="noStrike" baseline="0">
          <a:solidFill>
            <a:srgbClr val="000000"/>
          </a:solidFill>
          <a:latin typeface="宋体" charset="-122"/>
          <a:ea typeface="宋体" charset="-122"/>
          <a:cs typeface="宋体" charset="-122"/>
        </a:defRPr>
      </a:pPr>
    </a:p>
  </c:txPr>
  <c:externalData r:id="rId1">
    <c:autoUpdate val="false"/>
  </c:externalData>
  <c:userShapes r:id="rId3"/>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true"/>
    <c:plotArea>
      <c:layout>
        <c:manualLayout>
          <c:layoutTarget val="inner"/>
          <c:xMode val="edge"/>
          <c:yMode val="edge"/>
          <c:x val="0.148622011237072"/>
          <c:y val="0.109608516644599"/>
          <c:w val="0.781346134550083"/>
          <c:h val="0.744211919014211"/>
        </c:manualLayout>
      </c:layout>
      <c:barChart>
        <c:barDir val="col"/>
        <c:grouping val="clustered"/>
        <c:varyColors val="false"/>
        <c:ser>
          <c:idx val="0"/>
          <c:order val="0"/>
          <c:tx>
            <c:strRef>
              <c:f>Sheet1!$B$1</c:f>
              <c:strCache>
                <c:ptCount val="1"/>
                <c:pt idx="0">
                  <c:v>2023</c:v>
                </c:pt>
              </c:strCache>
            </c:strRef>
          </c:tx>
          <c:invertIfNegative val="false"/>
          <c:dLbls>
            <c:spPr>
              <a:noFill/>
              <a:ln w="25538">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c:f>
              <c:strCache>
                <c:ptCount val="1"/>
                <c:pt idx="0">
                  <c:v>一般公共财政预算支出</c:v>
                </c:pt>
              </c:strCache>
            </c:strRef>
          </c:cat>
          <c:val>
            <c:numRef>
              <c:f>Sheet1!$B$2</c:f>
              <c:numCache>
                <c:formatCode>General</c:formatCode>
                <c:ptCount val="1"/>
                <c:pt idx="0">
                  <c:v>51803.04</c:v>
                </c:pt>
              </c:numCache>
            </c:numRef>
          </c:val>
        </c:ser>
        <c:ser>
          <c:idx val="1"/>
          <c:order val="1"/>
          <c:tx>
            <c:strRef>
              <c:f>Sheet1!$C$1</c:f>
              <c:strCache>
                <c:ptCount val="1"/>
                <c:pt idx="0">
                  <c:v>2024</c:v>
                </c:pt>
              </c:strCache>
            </c:strRef>
          </c:tx>
          <c:invertIfNegative val="false"/>
          <c:dLbls>
            <c:spPr>
              <a:noFill/>
              <a:ln w="25538">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c:f>
              <c:strCache>
                <c:ptCount val="1"/>
                <c:pt idx="0">
                  <c:v>一般公共财政预算支出</c:v>
                </c:pt>
              </c:strCache>
            </c:strRef>
          </c:cat>
          <c:val>
            <c:numRef>
              <c:f>Sheet1!$C$2</c:f>
              <c:numCache>
                <c:formatCode>General</c:formatCode>
                <c:ptCount val="1"/>
                <c:pt idx="0">
                  <c:v>41735.37</c:v>
                </c:pt>
              </c:numCache>
            </c:numRef>
          </c:val>
        </c:ser>
        <c:dLbls>
          <c:showLegendKey val="false"/>
          <c:showVal val="false"/>
          <c:showCatName val="false"/>
          <c:showSerName val="false"/>
          <c:showPercent val="false"/>
          <c:showBubbleSize val="false"/>
        </c:dLbls>
        <c:gapWidth val="150"/>
        <c:axId val="433779583"/>
        <c:axId val="1"/>
      </c:barChart>
      <c:catAx>
        <c:axId val="433779583"/>
        <c:scaling>
          <c:orientation val="minMax"/>
        </c:scaling>
        <c:delete val="false"/>
        <c:axPos val="b"/>
        <c:numFmt formatCode="g/&quot;通&quot;&quot;用&quot;&quot;格&quot;&quot;式&quot;" sourceLinked="fals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
        <c:crosses val="autoZero"/>
        <c:auto val="true"/>
        <c:lblAlgn val="ctr"/>
        <c:lblOffset val="100"/>
        <c:noMultiLvlLbl val="false"/>
      </c:catAx>
      <c:valAx>
        <c:axId val="1"/>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433779583"/>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110659674034252"/>
          <c:y val="0.00798418716178996"/>
        </c:manualLayout>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manualLayout>
          <c:layoutTarget val="inner"/>
          <c:xMode val="edge"/>
          <c:yMode val="edge"/>
          <c:x val="0.0965406270126524"/>
          <c:y val="0.215693337733981"/>
          <c:w val="0.445481893918933"/>
          <c:h val="0.674002546088925"/>
        </c:manualLayout>
      </c:layout>
      <c:pieChart>
        <c:varyColors val="true"/>
        <c:ser>
          <c:idx val="0"/>
          <c:order val="0"/>
          <c:tx>
            <c:strRef>
              <c:f>Sheet1!$B$1</c:f>
              <c:strCache>
                <c:ptCount val="1"/>
                <c:pt idx="0">
                  <c:v>一般公共预算财政拨款支出决算结构</c:v>
                </c:pt>
              </c:strCache>
            </c:strRef>
          </c:tx>
          <c:explosion val="0"/>
          <c:dPt>
            <c:idx val="0"/>
            <c:bubble3D val="false"/>
          </c:dPt>
          <c:dPt>
            <c:idx val="1"/>
            <c:bubble3D val="false"/>
          </c:dPt>
          <c:dPt>
            <c:idx val="2"/>
            <c:bubble3D val="false"/>
          </c:dPt>
          <c:dPt>
            <c:idx val="3"/>
            <c:bubble3D val="false"/>
          </c:dPt>
          <c:dPt>
            <c:idx val="4"/>
            <c:bubble3D val="false"/>
          </c:dPt>
          <c:dLbls>
            <c:dLbl>
              <c:idx val="0"/>
              <c:layout>
                <c:manualLayout>
                  <c:x val="-0.0250236965555766"/>
                  <c:y val="-0.00148925328701131"/>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617549976018734"/>
                  <c:y val="0.0149714356465806"/>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w="23098">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Sheet1!$A$2:$A$6</c:f>
              <c:strCache>
                <c:ptCount val="5"/>
                <c:pt idx="0">
                  <c:v>社会保障和就业支出</c:v>
                </c:pt>
                <c:pt idx="1">
                  <c:v>卫生健康支出</c:v>
                </c:pt>
                <c:pt idx="2">
                  <c:v>节能环保支出</c:v>
                </c:pt>
                <c:pt idx="3">
                  <c:v>城乡社区支出</c:v>
                </c:pt>
                <c:pt idx="4">
                  <c:v>住房保障支出</c:v>
                </c:pt>
              </c:strCache>
            </c:strRef>
          </c:cat>
          <c:val>
            <c:numRef>
              <c:f>Sheet1!$B$2:$B$6</c:f>
              <c:numCache>
                <c:formatCode>General</c:formatCode>
                <c:ptCount val="5"/>
                <c:pt idx="0">
                  <c:v>195.53</c:v>
                </c:pt>
                <c:pt idx="1">
                  <c:v>44.45</c:v>
                </c:pt>
                <c:pt idx="2">
                  <c:v>5980</c:v>
                </c:pt>
                <c:pt idx="3">
                  <c:v>18886.16</c:v>
                </c:pt>
                <c:pt idx="4">
                  <c:v>16629.23</c:v>
                </c:pt>
              </c:numCache>
            </c:numRef>
          </c:val>
        </c:ser>
        <c:dLbls>
          <c:showLegendKey val="false"/>
          <c:showVal val="false"/>
          <c:showCatName val="false"/>
          <c:showSerName val="false"/>
          <c:showPercent val="false"/>
          <c:showBubbleSize val="false"/>
          <c:showLeaderLines val="true"/>
        </c:dLbls>
        <c:firstSliceAng val="0"/>
      </c:pieChart>
      <c:spPr>
        <a:noFill/>
        <a:ln w="23098">
          <a:noFill/>
        </a:ln>
      </c:spPr>
    </c:plotArea>
    <c:legend>
      <c:legendPos val="r"/>
      <c:layout>
        <c:manualLayout>
          <c:xMode val="edge"/>
          <c:yMode val="edge"/>
          <c:x val="0.542583670547675"/>
          <c:y val="0.169349988658825"/>
          <c:w val="0.442968849673012"/>
          <c:h val="0.789225559767992"/>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userShapes r:id="rId3"/>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24115931461903"/>
          <c:y val="0.0182481751824818"/>
        </c:manualLayout>
      </c:layout>
      <c:overlay val="false"/>
      <c:txPr>
        <a:bodyPr rot="0" spcFirstLastPara="0" vertOverflow="ellipsis" vert="horz" wrap="square" anchor="ctr" anchorCtr="true"/>
        <a:lstStyle/>
        <a:p>
          <a:pPr>
            <a:defRPr lang="zh-CN" sz="1595" b="1" i="0" u="none" strike="noStrike" kern="1200" baseline="0">
              <a:solidFill>
                <a:schemeClr val="tx1"/>
              </a:solidFill>
              <a:latin typeface="+mn-lt"/>
              <a:ea typeface="+mn-ea"/>
              <a:cs typeface="+mn-cs"/>
            </a:defRPr>
          </a:pPr>
        </a:p>
      </c:txPr>
    </c:title>
    <c:autoTitleDeleted val="false"/>
    <c:plotArea>
      <c:layout>
        <c:manualLayout>
          <c:layoutTarget val="inner"/>
          <c:xMode val="edge"/>
          <c:yMode val="edge"/>
          <c:x val="0.1016921644727"/>
          <c:y val="0.166769865841074"/>
          <c:w val="0.452323621478451"/>
          <c:h val="0.775438596491228"/>
        </c:manualLayout>
      </c:layout>
      <c:pieChart>
        <c:varyColors val="true"/>
        <c:ser>
          <c:idx val="0"/>
          <c:order val="0"/>
          <c:tx>
            <c:strRef>
              <c:f>Sheet1!$B$1</c:f>
              <c:strCache>
                <c:ptCount val="1"/>
                <c:pt idx="0">
                  <c:v>“三公”经费财政拨款支出结构</c:v>
                </c:pt>
              </c:strCache>
            </c:strRef>
          </c:tx>
          <c:explosion val="0"/>
          <c:dPt>
            <c:idx val="0"/>
            <c:bubble3D val="false"/>
          </c:dPt>
          <c:dPt>
            <c:idx val="1"/>
            <c:bubble3D val="false"/>
          </c:dPt>
          <c:dPt>
            <c:idx val="2"/>
            <c:bubble3D val="false"/>
          </c:dPt>
          <c:dLbls>
            <c:dLbl>
              <c:idx val="0"/>
              <c:layout>
                <c:manualLayout>
                  <c:x val="-0.0601531170251549"/>
                  <c:y val="0.0182481751824818"/>
                </c:manualLayout>
              </c:layout>
              <c:dLblPos val="bestFit"/>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w="25336">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Sheet1!$A$2:$A$4</c:f>
              <c:strCache>
                <c:ptCount val="3"/>
                <c:pt idx="0">
                  <c:v>因公出国出（境）经费支出</c:v>
                </c:pt>
                <c:pt idx="1">
                  <c:v>公务用车购置及运行费</c:v>
                </c:pt>
                <c:pt idx="2">
                  <c:v>公务接待费</c:v>
                </c:pt>
              </c:strCache>
            </c:strRef>
          </c:cat>
          <c:val>
            <c:numRef>
              <c:f>Sheet1!$B$2:$B$4</c:f>
              <c:numCache>
                <c:formatCode>General</c:formatCode>
                <c:ptCount val="3"/>
                <c:pt idx="0">
                  <c:v>0</c:v>
                </c:pt>
                <c:pt idx="1">
                  <c:v>2.14</c:v>
                </c:pt>
                <c:pt idx="2">
                  <c:v>0.7</c:v>
                </c:pt>
              </c:numCache>
            </c:numRef>
          </c:val>
        </c:ser>
        <c:dLbls>
          <c:showLegendKey val="false"/>
          <c:showVal val="false"/>
          <c:showCatName val="false"/>
          <c:showSerName val="false"/>
          <c:showPercent val="false"/>
          <c:showBubbleSize val="false"/>
          <c:showLeaderLines val="true"/>
        </c:dLbls>
        <c:firstSliceAng val="0"/>
      </c:pieChart>
      <c:spPr>
        <a:noFill/>
        <a:ln w="25336">
          <a:noFill/>
        </a:ln>
      </c:spPr>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userShapes r:id="rId3"/>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2.png"/></Relationships>
</file>

<file path=word/drawings/_rels/drawing3.xml.rels><?xml version="1.0" encoding="UTF-8" standalone="yes"?>
<Relationships xmlns="http://schemas.openxmlformats.org/package/2006/relationships"><Relationship Id="rId1" Type="http://schemas.openxmlformats.org/officeDocument/2006/relationships/image" Target="../media/image2.png"/></Relationships>
</file>

<file path=word/drawings/_rels/drawing4.xml.rels><?xml version="1.0" encoding="UTF-8" standalone="yes"?>
<Relationships xmlns="http://schemas.openxmlformats.org/package/2006/relationships"><Relationship Id="rId1" Type="http://schemas.openxmlformats.org/officeDocument/2006/relationships/image" Target="../media/image3.png"/></Relationships>
</file>

<file path=word/drawings/_rels/drawing5.xml.rels><?xml version="1.0" encoding="UTF-8" standalone="yes"?>
<Relationships xmlns="http://schemas.openxmlformats.org/package/2006/relationships"><Relationship Id="rId1" Type="http://schemas.openxmlformats.org/officeDocument/2006/relationships/image" Target="../media/image2.png"/></Relationships>
</file>

<file path=word/drawings/_rels/drawing6.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7.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0.81868</cdr:x>
      <cdr:y>0.16737</cdr:y>
    </cdr:from>
    <cdr:to>
      <cdr:x>0.96783</cdr:x>
      <cdr:y>0.26484</cdr:y>
    </cdr:to>
    <cdr:pic xmlns:a="http://schemas.openxmlformats.org/drawingml/2006/main">
      <cdr:nvPicPr>
        <cdr:cNvPr id="2" name="图片 1"/>
        <cdr:cNvPicPr/>
      </cdr:nvPicPr>
      <cdr:blipFill>
        <a:blip xmlns:r="http://schemas.openxmlformats.org/officeDocument/2006/relationships" r:embed="rId1"/>
        <a:stretch>
          <a:fillRect/>
        </a:stretch>
      </cdr:blipFill>
      <cdr:spPr>
        <a:xfrm>
          <a:off x="4257675" y="533400"/>
          <a:ext cx="775667" cy="297557"/>
        </a:xfrm>
        <a:prstGeom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0.8531</cdr:x>
      <cdr:y>0.02054</cdr:y>
    </cdr:from>
    <cdr:to>
      <cdr:x>0.99987</cdr:x>
      <cdr:y>0.10622</cdr:y>
    </cdr:to>
    <cdr:pic xmlns:a="http://schemas.openxmlformats.org/drawingml/2006/main">
      <cdr:nvPicPr>
        <cdr:cNvPr id="2" name="图片 1"/>
        <cdr:cNvPicPr/>
      </cdr:nvPicPr>
      <cdr:blipFill>
        <a:blip xmlns:r="http://schemas.openxmlformats.org/officeDocument/2006/relationships" r:embed="rId1"/>
        <a:stretch>
          <a:fillRect/>
        </a:stretch>
      </cdr:blipFill>
      <cdr:spPr>
        <a:xfrm>
          <a:off x="4315835" y="63610"/>
          <a:ext cx="751437" cy="247283"/>
        </a:xfrm>
        <a:prstGeom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0.81754</cdr:x>
      <cdr:y>0.02154</cdr:y>
    </cdr:from>
    <cdr:to>
      <cdr:x>0.98202</cdr:x>
      <cdr:y>0.12212</cdr:y>
    </cdr:to>
    <cdr:pic xmlns:a="http://schemas.openxmlformats.org/drawingml/2006/main">
      <cdr:nvPicPr>
        <cdr:cNvPr id="2" name="图片 1"/>
        <cdr:cNvPicPr/>
      </cdr:nvPicPr>
      <cdr:blipFill>
        <a:blip xmlns:r="http://schemas.openxmlformats.org/officeDocument/2006/relationships" r:embed="rId1"/>
        <a:stretch>
          <a:fillRect/>
        </a:stretch>
      </cdr:blipFill>
      <cdr:spPr>
        <a:xfrm>
          <a:off x="3615804" y="55659"/>
          <a:ext cx="727458" cy="259872"/>
        </a:xfrm>
        <a:prstGeom prst="rect">
          <a:avLst/>
        </a:prstGeom>
      </cdr:spPr>
    </cdr:pic>
  </cdr:relSizeAnchor>
</c:userShapes>
</file>

<file path=word/drawings/drawing4.xml><?xml version="1.0" encoding="utf-8"?>
<c:userShapes xmlns:c="http://schemas.openxmlformats.org/drawingml/2006/chart">
  <cdr:relSizeAnchor xmlns:cdr="http://schemas.openxmlformats.org/drawingml/2006/chartDrawing">
    <cdr:from>
      <cdr:x>0.82413</cdr:x>
      <cdr:y>0.02986</cdr:y>
    </cdr:from>
    <cdr:to>
      <cdr:x>0.99976</cdr:x>
      <cdr:y>0.15042</cdr:y>
    </cdr:to>
    <cdr:pic xmlns:a="http://schemas.openxmlformats.org/drawingml/2006/main">
      <cdr:nvPicPr>
        <cdr:cNvPr id="2" name="图片 1"/>
        <cdr:cNvPicPr/>
      </cdr:nvPicPr>
      <cdr:blipFill>
        <a:blip xmlns:r="http://schemas.openxmlformats.org/officeDocument/2006/relationships" r:embed="rId1"/>
        <a:stretch>
          <a:fillRect/>
        </a:stretch>
      </cdr:blipFill>
      <cdr:spPr>
        <a:xfrm>
          <a:off x="3933279" y="79513"/>
          <a:ext cx="838222" cy="321074"/>
        </a:xfrm>
        <a:prstGeom prst="rect">
          <a:avLst/>
        </a:prstGeom>
      </cdr:spPr>
    </cdr:pic>
  </cdr:relSizeAnchor>
</c:userShapes>
</file>

<file path=word/drawings/drawing5.xml><?xml version="1.0" encoding="utf-8"?>
<c:userShapes xmlns:c="http://schemas.openxmlformats.org/drawingml/2006/chart">
  <cdr:relSizeAnchor xmlns:cdr="http://schemas.openxmlformats.org/drawingml/2006/chartDrawing">
    <cdr:from>
      <cdr:x>0.8531</cdr:x>
      <cdr:y>0.02054</cdr:y>
    </cdr:from>
    <cdr:to>
      <cdr:x>0.99987</cdr:x>
      <cdr:y>0.10622</cdr:y>
    </cdr:to>
    <cdr:pic xmlns:a="http://schemas.openxmlformats.org/drawingml/2006/main">
      <cdr:nvPicPr>
        <cdr:cNvPr id="2" name="图片 1"/>
        <cdr:cNvPicPr/>
      </cdr:nvPicPr>
      <cdr:blipFill>
        <a:blip xmlns:r="http://schemas.openxmlformats.org/officeDocument/2006/relationships" r:embed="rId1"/>
        <a:stretch>
          <a:fillRect/>
        </a:stretch>
      </cdr:blipFill>
      <cdr:spPr>
        <a:xfrm>
          <a:off x="4315835" y="63610"/>
          <a:ext cx="751437" cy="247283"/>
        </a:xfrm>
        <a:prstGeom prst="rect">
          <a:avLst/>
        </a:prstGeom>
      </cdr:spPr>
    </cdr:pic>
  </cdr:relSizeAnchor>
</c:userShapes>
</file>

<file path=word/drawings/drawing6.xml><?xml version="1.0" encoding="utf-8"?>
<c:userShapes xmlns:c="http://schemas.openxmlformats.org/drawingml/2006/chart">
  <cdr:relSizeAnchor xmlns:cdr="http://schemas.openxmlformats.org/drawingml/2006/chartDrawing">
    <cdr:from>
      <cdr:x>0.83784</cdr:x>
      <cdr:y>0.10047</cdr:y>
    </cdr:from>
    <cdr:to>
      <cdr:x>0.98491</cdr:x>
      <cdr:y>0.18947</cdr:y>
    </cdr:to>
    <cdr:pic xmlns:a="http://schemas.openxmlformats.org/drawingml/2006/main">
      <cdr:nvPicPr>
        <cdr:cNvPr id="2" name="图片 1"/>
        <cdr:cNvPicPr/>
      </cdr:nvPicPr>
      <cdr:blipFill>
        <a:blip xmlns:r="http://schemas.openxmlformats.org/officeDocument/2006/relationships" r:embed="rId1"/>
        <a:stretch>
          <a:fillRect/>
        </a:stretch>
      </cdr:blipFill>
      <cdr:spPr>
        <a:xfrm>
          <a:off x="4032781" y="454581"/>
          <a:ext cx="707892" cy="402669"/>
        </a:xfrm>
        <a:prstGeom prst="rect">
          <a:avLst/>
        </a:prstGeom>
      </cdr:spPr>
    </cdr:pic>
  </cdr:relSizeAnchor>
</c:userShapes>
</file>

<file path=word/drawings/drawing7.xml><?xml version="1.0" encoding="utf-8"?>
<c:userShapes xmlns:c="http://schemas.openxmlformats.org/drawingml/2006/chart">
  <cdr:relSizeAnchor xmlns:cdr="http://schemas.openxmlformats.org/drawingml/2006/chartDrawing">
    <cdr:from>
      <cdr:x>0.83615</cdr:x>
      <cdr:y>0.02568</cdr:y>
    </cdr:from>
    <cdr:to>
      <cdr:x>1</cdr:x>
      <cdr:y>0.10401</cdr:y>
    </cdr:to>
    <cdr:pic xmlns:a="http://schemas.openxmlformats.org/drawingml/2006/main">
      <cdr:nvPicPr>
        <cdr:cNvPr id="2" name="图片 1"/>
        <cdr:cNvPicPr/>
      </cdr:nvPicPr>
      <cdr:blipFill>
        <a:blip xmlns:r="http://schemas.openxmlformats.org/officeDocument/2006/relationships" r:embed="rId1"/>
        <a:stretch>
          <a:fillRect/>
        </a:stretch>
      </cdr:blipFill>
      <cdr:spPr>
        <a:xfrm>
          <a:off x="4005883" y="98805"/>
          <a:ext cx="775667" cy="301427"/>
        </a:xfrm>
        <a:prstGeom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39</Pages>
  <Words>644</Words>
  <Characters>997</Characters>
  <Lines>127</Lines>
  <Paragraphs>36</Paragraphs>
  <TotalTime>657</TotalTime>
  <ScaleCrop>false</ScaleCrop>
  <LinksUpToDate>false</LinksUpToDate>
  <CharactersWithSpaces>1020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2024-09-18T16:53:00Z</dcterms:created>
  <dc:creator>曹颖</dc:creator>
  <cp:lastModifiedBy>墨 綝</cp:lastModifiedBy>
  <cp:lastPrinted>2025-09-24T09:35:00Z</cp:lastPrinted>
  <dcterms:modified xsi:type="dcterms:W3CDTF">2025-09-25T09:43:48Z</dcterms:modified>
  <dc:title>四川省***</dc:title>
  <cp:revision>146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B20C189626E34D6EA956C30F26518C90_13</vt:lpwstr>
  </property>
  <property fmtid="{D5CDD505-2E9C-101B-9397-08002B2CF9AE}" pid="4" name="KSOTemplateDocerSaveRecord">
    <vt:lpwstr>eyJoZGlkIjoiYmE2NTUzMWYwMGNkMjRlNTAyYjk3N2NjYmMyZDVkZTgiLCJ1c2VySWQiOiI1Nzk4MDQ0ODYifQ==</vt:lpwstr>
  </property>
</Properties>
</file>