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57" w:rsidRDefault="005A7957">
      <w:pPr>
        <w:pStyle w:val="a3"/>
        <w:spacing w:before="93"/>
        <w:rPr>
          <w:rFonts w:ascii="Times New Roman" w:eastAsia="方正小标宋简体"/>
          <w:kern w:val="2"/>
          <w:sz w:val="72"/>
          <w:szCs w:val="72"/>
        </w:rPr>
      </w:pPr>
      <w:bookmarkStart w:id="0" w:name="_Toc15396475"/>
      <w:bookmarkStart w:id="1" w:name="_Toc15396597"/>
      <w:bookmarkStart w:id="2" w:name="_Toc15377425"/>
      <w:bookmarkStart w:id="3" w:name="_Toc15306267"/>
      <w:bookmarkStart w:id="4" w:name="_Toc15377193"/>
      <w:bookmarkStart w:id="5" w:name="_Toc15378441"/>
    </w:p>
    <w:p w:rsidR="005A7957" w:rsidRDefault="005A7957">
      <w:pPr>
        <w:pStyle w:val="a3"/>
        <w:spacing w:before="93"/>
        <w:rPr>
          <w:rFonts w:ascii="Times New Roman" w:eastAsia="方正小标宋简体"/>
          <w:kern w:val="2"/>
          <w:sz w:val="72"/>
          <w:szCs w:val="72"/>
        </w:rPr>
      </w:pPr>
    </w:p>
    <w:p w:rsidR="005A7957" w:rsidRDefault="005A7957">
      <w:pPr>
        <w:pStyle w:val="a3"/>
        <w:spacing w:before="93"/>
        <w:rPr>
          <w:rFonts w:ascii="Times New Roman" w:eastAsia="方正小标宋简体"/>
          <w:kern w:val="2"/>
          <w:sz w:val="72"/>
          <w:szCs w:val="72"/>
        </w:rPr>
      </w:pPr>
    </w:p>
    <w:p w:rsidR="005A7957" w:rsidRDefault="00A05EAF">
      <w:pPr>
        <w:pStyle w:val="a3"/>
        <w:spacing w:before="93"/>
        <w:jc w:val="center"/>
        <w:rPr>
          <w:rFonts w:ascii="Times New Roman" w:eastAsia="方正小标宋简体"/>
          <w:kern w:val="2"/>
          <w:sz w:val="44"/>
          <w:szCs w:val="44"/>
        </w:rPr>
      </w:pPr>
      <w:r>
        <w:rPr>
          <w:rFonts w:ascii="Times New Roman" w:eastAsia="方正小标宋简体" w:hint="eastAsia"/>
          <w:kern w:val="2"/>
          <w:sz w:val="44"/>
          <w:szCs w:val="44"/>
        </w:rPr>
        <w:t>2024</w:t>
      </w:r>
      <w:r>
        <w:rPr>
          <w:rFonts w:ascii="Times New Roman" w:eastAsia="方正小标宋简体" w:hint="eastAsia"/>
          <w:kern w:val="2"/>
          <w:sz w:val="44"/>
          <w:szCs w:val="44"/>
        </w:rPr>
        <w:t>年度四川省</w:t>
      </w:r>
    </w:p>
    <w:p w:rsidR="005A7957" w:rsidRDefault="00A05EAF">
      <w:pPr>
        <w:pStyle w:val="a3"/>
        <w:spacing w:before="93"/>
        <w:jc w:val="center"/>
        <w:rPr>
          <w:rFonts w:ascii="Times New Roman" w:eastAsia="方正小标宋简体"/>
          <w:kern w:val="2"/>
          <w:sz w:val="44"/>
          <w:szCs w:val="44"/>
        </w:rPr>
      </w:pPr>
      <w:r>
        <w:rPr>
          <w:rFonts w:ascii="Times New Roman" w:eastAsia="方正小标宋简体" w:hint="eastAsia"/>
          <w:kern w:val="2"/>
          <w:sz w:val="44"/>
          <w:szCs w:val="44"/>
        </w:rPr>
        <w:t>绵竹市麓棠镇人民政府单位决算</w:t>
      </w:r>
    </w:p>
    <w:p w:rsidR="005A7957" w:rsidRDefault="005A7957">
      <w:pPr>
        <w:pStyle w:val="a3"/>
        <w:spacing w:before="93"/>
        <w:jc w:val="center"/>
        <w:rPr>
          <w:rFonts w:ascii="Times New Roman" w:eastAsia="方正小标宋简体"/>
          <w:kern w:val="2"/>
          <w:sz w:val="44"/>
          <w:szCs w:val="44"/>
        </w:rPr>
        <w:sectPr w:rsidR="005A7957">
          <w:headerReference w:type="default" r:id="rId7"/>
          <w:footerReference w:type="default" r:id="rId8"/>
          <w:pgSz w:w="11906" w:h="16838"/>
          <w:pgMar w:top="1440" w:right="1800" w:bottom="1440" w:left="1800" w:header="851" w:footer="992" w:gutter="0"/>
          <w:pgNumType w:start="1"/>
          <w:cols w:space="425"/>
          <w:docGrid w:type="lines" w:linePitch="312"/>
        </w:sectPr>
      </w:pPr>
    </w:p>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6" w:name="_GoBack" w:displacedByCustomXml="next"/>
    <w:bookmarkEnd w:id="6" w:displacedByCustomXml="next"/>
    <w:sdt>
      <w:sdtPr>
        <w:rPr>
          <w:rFonts w:ascii="黑体" w:eastAsia="黑体" w:hAnsi="黑体" w:cs="黑体" w:hint="eastAsia"/>
          <w:sz w:val="48"/>
          <w:szCs w:val="48"/>
        </w:rPr>
        <w:id w:val="806444859"/>
        <w:docPartObj>
          <w:docPartGallery w:val="Table of Contents"/>
          <w:docPartUnique/>
        </w:docPartObj>
      </w:sdtPr>
      <w:sdtEndPr>
        <w:rPr>
          <w:b/>
        </w:rPr>
      </w:sdtEndPr>
      <w:sdtContent>
        <w:p w:rsidR="005A7957" w:rsidRDefault="00A05EAF">
          <w:pPr>
            <w:widowControl/>
            <w:jc w:val="center"/>
            <w:rPr>
              <w:rFonts w:ascii="黑体" w:eastAsia="黑体" w:hAnsi="黑体" w:cs="黑体"/>
              <w:sz w:val="48"/>
              <w:szCs w:val="48"/>
            </w:rPr>
          </w:pPr>
          <w:r>
            <w:rPr>
              <w:rFonts w:ascii="黑体" w:eastAsia="黑体" w:hAnsi="黑体" w:cs="黑体" w:hint="eastAsia"/>
              <w:sz w:val="48"/>
              <w:szCs w:val="48"/>
            </w:rPr>
            <w:t>目录</w:t>
          </w:r>
        </w:p>
        <w:p w:rsidR="005A7957" w:rsidRDefault="003F26FC">
          <w:pPr>
            <w:pStyle w:val="WPSOffice1"/>
            <w:tabs>
              <w:tab w:val="right" w:leader="dot" w:pos="8306"/>
            </w:tabs>
            <w:rPr>
              <w:b/>
            </w:rPr>
          </w:pPr>
          <w:r w:rsidRPr="003F26FC">
            <w:fldChar w:fldCharType="begin"/>
          </w:r>
          <w:r w:rsidR="00A05EAF">
            <w:instrText xml:space="preserve">TOC \o "1-2" \h \u </w:instrText>
          </w:r>
          <w:r w:rsidRPr="003F26FC">
            <w:fldChar w:fldCharType="separate"/>
          </w:r>
        </w:p>
        <w:p w:rsidR="005A7957" w:rsidRDefault="003F26FC">
          <w:pPr>
            <w:pStyle w:val="10"/>
            <w:outlineLvl w:val="0"/>
            <w:rPr>
              <w:b/>
            </w:rPr>
          </w:pPr>
          <w:hyperlink w:anchor="_Toc965615668" w:history="1">
            <w:r w:rsidR="00A05EAF">
              <w:rPr>
                <w:rFonts w:ascii="Times New Roman" w:eastAsia="仿宋_GB2312" w:hAnsi="Times New Roman" w:cs="仿宋_GB2312" w:hint="eastAsia"/>
                <w:sz w:val="32"/>
                <w:szCs w:val="32"/>
              </w:rPr>
              <w:t>公开时间：</w:t>
            </w:r>
            <w:r w:rsidR="00A05EAF">
              <w:rPr>
                <w:rFonts w:ascii="Times New Roman" w:eastAsia="仿宋_GB2312" w:hAnsi="Times New Roman" w:cs="仿宋_GB2312" w:hint="eastAsia"/>
                <w:sz w:val="32"/>
                <w:szCs w:val="32"/>
              </w:rPr>
              <w:t>2024</w:t>
            </w:r>
            <w:r w:rsidR="00A05EAF">
              <w:rPr>
                <w:rFonts w:ascii="Times New Roman" w:eastAsia="仿宋_GB2312" w:hAnsi="Times New Roman" w:cs="仿宋_GB2312" w:hint="eastAsia"/>
                <w:sz w:val="32"/>
                <w:szCs w:val="32"/>
              </w:rPr>
              <w:t>年</w:t>
            </w:r>
            <w:r w:rsidR="00A05EAF">
              <w:rPr>
                <w:rFonts w:ascii="Times New Roman" w:eastAsia="仿宋_GB2312" w:hAnsi="Times New Roman" w:cs="仿宋_GB2312" w:hint="eastAsia"/>
                <w:sz w:val="32"/>
                <w:szCs w:val="32"/>
              </w:rPr>
              <w:t>9</w:t>
            </w:r>
            <w:r w:rsidR="00A05EAF">
              <w:rPr>
                <w:rFonts w:ascii="Times New Roman" w:eastAsia="仿宋_GB2312" w:hAnsi="Times New Roman" w:cs="仿宋_GB2312" w:hint="eastAsia"/>
                <w:sz w:val="32"/>
                <w:szCs w:val="32"/>
              </w:rPr>
              <w:t>月</w:t>
            </w:r>
            <w:r w:rsidR="00A05EAF">
              <w:rPr>
                <w:rFonts w:ascii="Times New Roman" w:eastAsia="仿宋_GB2312" w:hAnsi="Times New Roman" w:cs="仿宋_GB2312" w:hint="eastAsia"/>
                <w:sz w:val="32"/>
                <w:szCs w:val="32"/>
              </w:rPr>
              <w:t>24</w:t>
            </w:r>
            <w:r w:rsidR="00A05EAF">
              <w:rPr>
                <w:rFonts w:ascii="Times New Roman" w:eastAsia="仿宋_GB2312" w:hAnsi="Times New Roman" w:cs="仿宋_GB2312" w:hint="eastAsia"/>
                <w:sz w:val="32"/>
                <w:szCs w:val="32"/>
              </w:rPr>
              <w:t>日</w:t>
            </w:r>
          </w:hyperlink>
        </w:p>
        <w:p w:rsidR="005A7957" w:rsidRDefault="003F26FC">
          <w:pPr>
            <w:pStyle w:val="10"/>
            <w:adjustRightInd w:val="0"/>
            <w:snapToGrid w:val="0"/>
            <w:spacing w:before="0" w:line="560" w:lineRule="exact"/>
            <w:jc w:val="left"/>
            <w:outlineLvl w:val="0"/>
            <w:rPr>
              <w:rFonts w:ascii="Times New Roman" w:eastAsia="黑体" w:hAnsi="Times New Roman" w:cs="黑体"/>
              <w:sz w:val="32"/>
              <w:szCs w:val="32"/>
            </w:rPr>
          </w:pPr>
          <w:hyperlink w:anchor="_Toc1592150523" w:history="1">
            <w:r w:rsidR="00A05EAF">
              <w:rPr>
                <w:rFonts w:ascii="Times New Roman" w:eastAsia="黑体" w:hAnsi="Times New Roman" w:cs="黑体" w:hint="eastAsia"/>
                <w:sz w:val="32"/>
                <w:szCs w:val="32"/>
              </w:rPr>
              <w:t>第一部分</w:t>
            </w:r>
            <w:r w:rsidR="00A05EAF">
              <w:rPr>
                <w:rFonts w:ascii="Times New Roman" w:eastAsia="黑体" w:hAnsi="Times New Roman" w:cs="黑体" w:hint="eastAsia"/>
                <w:sz w:val="32"/>
                <w:szCs w:val="32"/>
              </w:rPr>
              <w:t xml:space="preserve">  </w:t>
            </w:r>
            <w:r w:rsidR="00931B19">
              <w:rPr>
                <w:rFonts w:ascii="Times New Roman" w:eastAsia="黑体" w:hAnsi="Times New Roman" w:cs="黑体" w:hint="eastAsia"/>
                <w:sz w:val="32"/>
                <w:szCs w:val="32"/>
              </w:rPr>
              <w:t>单位</w:t>
            </w:r>
            <w:r w:rsidR="00A05EAF">
              <w:rPr>
                <w:rFonts w:ascii="Times New Roman" w:eastAsia="黑体" w:hAnsi="Times New Roman" w:cs="黑体" w:hint="eastAsia"/>
                <w:sz w:val="32"/>
                <w:szCs w:val="32"/>
              </w:rPr>
              <w:t>概况</w:t>
            </w:r>
            <w:r w:rsidR="00A05EAF">
              <w:rPr>
                <w:rFonts w:ascii="Times New Roman" w:eastAsia="黑体" w:hAnsi="Times New Roman" w:cs="黑体" w:hint="eastAsia"/>
                <w:sz w:val="32"/>
                <w:szCs w:val="32"/>
              </w:rPr>
              <w:tab/>
            </w:r>
            <w:r>
              <w:rPr>
                <w:rFonts w:ascii="Times New Roman" w:eastAsia="黑体" w:hAnsi="Times New Roman" w:cs="黑体" w:hint="eastAsia"/>
                <w:sz w:val="32"/>
                <w:szCs w:val="32"/>
              </w:rPr>
              <w:fldChar w:fldCharType="begin"/>
            </w:r>
            <w:r w:rsidR="00A05EAF">
              <w:rPr>
                <w:rFonts w:ascii="Times New Roman" w:eastAsia="黑体" w:hAnsi="Times New Roman" w:cs="黑体" w:hint="eastAsia"/>
                <w:sz w:val="32"/>
                <w:szCs w:val="32"/>
              </w:rPr>
              <w:instrText xml:space="preserve"> PAGEREF _Toc1592150523 \h </w:instrText>
            </w:r>
            <w:r>
              <w:rPr>
                <w:rFonts w:ascii="Times New Roman" w:eastAsia="黑体" w:hAnsi="Times New Roman" w:cs="黑体" w:hint="eastAsia"/>
                <w:sz w:val="32"/>
                <w:szCs w:val="32"/>
              </w:rPr>
            </w:r>
            <w:r>
              <w:rPr>
                <w:rFonts w:ascii="Times New Roman" w:eastAsia="黑体" w:hAnsi="Times New Roman" w:cs="黑体" w:hint="eastAsia"/>
                <w:sz w:val="32"/>
                <w:szCs w:val="32"/>
              </w:rPr>
              <w:fldChar w:fldCharType="separate"/>
            </w:r>
            <w:r w:rsidR="00A05EAF">
              <w:rPr>
                <w:rFonts w:ascii="Times New Roman" w:eastAsia="黑体" w:hAnsi="Times New Roman" w:cs="黑体" w:hint="eastAsia"/>
                <w:sz w:val="32"/>
                <w:szCs w:val="32"/>
              </w:rPr>
              <w:t>2</w:t>
            </w:r>
            <w:r>
              <w:rPr>
                <w:rFonts w:ascii="Times New Roman" w:eastAsia="黑体" w:hAnsi="Times New Roman" w:cs="黑体"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557422093" w:history="1">
            <w:r w:rsidR="00A05EAF">
              <w:rPr>
                <w:rFonts w:eastAsia="仿宋_GB2312" w:cs="仿宋_GB2312" w:hint="eastAsia"/>
                <w:sz w:val="32"/>
                <w:szCs w:val="32"/>
              </w:rPr>
              <w:t>一、</w:t>
            </w:r>
            <w:r w:rsidR="00931B19">
              <w:rPr>
                <w:rFonts w:eastAsia="仿宋_GB2312" w:cs="仿宋_GB2312" w:hint="eastAsia"/>
                <w:sz w:val="32"/>
                <w:szCs w:val="32"/>
              </w:rPr>
              <w:t>单位</w:t>
            </w:r>
            <w:r w:rsidR="00A05EAF">
              <w:rPr>
                <w:rFonts w:eastAsia="仿宋_GB2312" w:cs="仿宋_GB2312" w:hint="eastAsia"/>
                <w:sz w:val="32"/>
                <w:szCs w:val="32"/>
              </w:rPr>
              <w:t>职责</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_Toc557422093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2</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723398450" w:history="1">
            <w:r w:rsidR="00A05EAF">
              <w:rPr>
                <w:rFonts w:eastAsia="仿宋_GB2312" w:cs="仿宋_GB2312" w:hint="eastAsia"/>
                <w:sz w:val="32"/>
                <w:szCs w:val="32"/>
              </w:rPr>
              <w:t>二、机构设置</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_Toc723398450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3</w:t>
            </w:r>
            <w:r>
              <w:rPr>
                <w:rFonts w:eastAsia="仿宋_GB2312" w:cs="仿宋_GB2312" w:hint="eastAsia"/>
                <w:sz w:val="32"/>
                <w:szCs w:val="32"/>
              </w:rPr>
              <w:fldChar w:fldCharType="end"/>
            </w:r>
          </w:hyperlink>
        </w:p>
        <w:p w:rsidR="005A7957" w:rsidRDefault="003F26FC">
          <w:pPr>
            <w:pStyle w:val="10"/>
            <w:adjustRightInd w:val="0"/>
            <w:snapToGrid w:val="0"/>
            <w:spacing w:before="0" w:line="560" w:lineRule="exact"/>
            <w:jc w:val="left"/>
            <w:outlineLvl w:val="0"/>
            <w:rPr>
              <w:rFonts w:ascii="Times New Roman" w:eastAsia="黑体" w:hAnsi="Times New Roman" w:cs="黑体"/>
              <w:sz w:val="32"/>
              <w:szCs w:val="32"/>
            </w:rPr>
          </w:pPr>
          <w:hyperlink w:anchor="_Toc1711050626" w:history="1">
            <w:r w:rsidR="00A05EAF">
              <w:rPr>
                <w:rFonts w:ascii="Times New Roman" w:eastAsia="黑体" w:hAnsi="Times New Roman" w:cs="黑体" w:hint="eastAsia"/>
                <w:sz w:val="32"/>
                <w:szCs w:val="32"/>
              </w:rPr>
              <w:t>第二部分</w:t>
            </w:r>
            <w:r w:rsidR="00A05EAF">
              <w:rPr>
                <w:rFonts w:ascii="Times New Roman" w:eastAsia="黑体" w:hAnsi="Times New Roman" w:cs="黑体" w:hint="eastAsia"/>
                <w:sz w:val="32"/>
                <w:szCs w:val="32"/>
              </w:rPr>
              <w:t xml:space="preserve">  2024</w:t>
            </w:r>
            <w:r w:rsidR="00A05EAF">
              <w:rPr>
                <w:rFonts w:ascii="Times New Roman" w:eastAsia="黑体" w:hAnsi="Times New Roman" w:cs="黑体" w:hint="eastAsia"/>
                <w:sz w:val="32"/>
                <w:szCs w:val="32"/>
              </w:rPr>
              <w:t>年度</w:t>
            </w:r>
            <w:r w:rsidR="00931B19">
              <w:rPr>
                <w:rFonts w:ascii="Times New Roman" w:eastAsia="黑体" w:hAnsi="Times New Roman" w:cs="黑体" w:hint="eastAsia"/>
                <w:sz w:val="32"/>
                <w:szCs w:val="32"/>
              </w:rPr>
              <w:t>单位</w:t>
            </w:r>
            <w:r w:rsidR="00A05EAF">
              <w:rPr>
                <w:rFonts w:ascii="Times New Roman" w:eastAsia="黑体" w:hAnsi="Times New Roman" w:cs="黑体" w:hint="eastAsia"/>
                <w:sz w:val="32"/>
                <w:szCs w:val="32"/>
              </w:rPr>
              <w:t>决算情况说明</w:t>
            </w:r>
            <w:r w:rsidR="00A05EAF">
              <w:rPr>
                <w:rFonts w:ascii="Times New Roman" w:eastAsia="黑体" w:hAnsi="Times New Roman" w:cs="黑体" w:hint="eastAsia"/>
                <w:sz w:val="32"/>
                <w:szCs w:val="32"/>
              </w:rPr>
              <w:tab/>
            </w:r>
            <w:r>
              <w:rPr>
                <w:rFonts w:ascii="Times New Roman" w:eastAsia="黑体" w:hAnsi="Times New Roman" w:cs="黑体" w:hint="eastAsia"/>
                <w:sz w:val="32"/>
                <w:szCs w:val="32"/>
              </w:rPr>
              <w:fldChar w:fldCharType="begin"/>
            </w:r>
            <w:r w:rsidR="00A05EAF">
              <w:rPr>
                <w:rFonts w:ascii="Times New Roman" w:eastAsia="黑体" w:hAnsi="Times New Roman" w:cs="黑体" w:hint="eastAsia"/>
                <w:sz w:val="32"/>
                <w:szCs w:val="32"/>
              </w:rPr>
              <w:instrText xml:space="preserve"> PAGEREF _Toc1711050626 \h </w:instrText>
            </w:r>
            <w:r>
              <w:rPr>
                <w:rFonts w:ascii="Times New Roman" w:eastAsia="黑体" w:hAnsi="Times New Roman" w:cs="黑体" w:hint="eastAsia"/>
                <w:sz w:val="32"/>
                <w:szCs w:val="32"/>
              </w:rPr>
            </w:r>
            <w:r>
              <w:rPr>
                <w:rFonts w:ascii="Times New Roman" w:eastAsia="黑体" w:hAnsi="Times New Roman" w:cs="黑体" w:hint="eastAsia"/>
                <w:sz w:val="32"/>
                <w:szCs w:val="32"/>
              </w:rPr>
              <w:fldChar w:fldCharType="separate"/>
            </w:r>
            <w:r w:rsidR="00A05EAF">
              <w:rPr>
                <w:rFonts w:ascii="Times New Roman" w:eastAsia="黑体" w:hAnsi="Times New Roman" w:cs="黑体" w:hint="eastAsia"/>
                <w:sz w:val="32"/>
                <w:szCs w:val="32"/>
              </w:rPr>
              <w:t>4</w:t>
            </w:r>
            <w:r>
              <w:rPr>
                <w:rFonts w:ascii="Times New Roman" w:eastAsia="黑体" w:hAnsi="Times New Roman" w:cs="黑体"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927116938" w:history="1">
            <w:r w:rsidR="00A05EAF">
              <w:rPr>
                <w:rFonts w:eastAsia="仿宋_GB2312" w:cs="仿宋_GB2312" w:hint="eastAsia"/>
                <w:sz w:val="32"/>
                <w:szCs w:val="32"/>
              </w:rPr>
              <w:t>一、收入支出决算总体情况说明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_Toc927116938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4</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903414444" w:history="1">
            <w:r w:rsidR="00A05EAF">
              <w:rPr>
                <w:rFonts w:eastAsia="仿宋_GB2312" w:cs="仿宋_GB2312" w:hint="eastAsia"/>
                <w:sz w:val="32"/>
                <w:szCs w:val="32"/>
              </w:rPr>
              <w:t>二、收入决算情况说明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_Toc903414444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4</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246428744" w:history="1">
            <w:r w:rsidR="00A05EAF">
              <w:rPr>
                <w:rFonts w:eastAsia="仿宋_GB2312" w:cs="仿宋_GB2312" w:hint="eastAsia"/>
                <w:sz w:val="32"/>
                <w:szCs w:val="32"/>
              </w:rPr>
              <w:t>三、支出决算情况说明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_Toc1246428744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5</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31167282" w:history="1">
            <w:r w:rsidR="00A05EAF">
              <w:rPr>
                <w:rFonts w:eastAsia="仿宋_GB2312" w:cs="仿宋_GB2312" w:hint="eastAsia"/>
                <w:sz w:val="32"/>
                <w:szCs w:val="32"/>
              </w:rPr>
              <w:t>四、财政拨款收入支出决算总体情况说明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_Toc31167282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5</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362510571" w:history="1">
            <w:r w:rsidR="00A05EAF">
              <w:rPr>
                <w:rFonts w:eastAsia="仿宋_GB2312" w:cs="仿宋_GB2312" w:hint="eastAsia"/>
                <w:sz w:val="32"/>
                <w:szCs w:val="32"/>
              </w:rPr>
              <w:t>五、一般公共预算财政拨款支出决算情况说明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_Toc1362510571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6</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840773204" w:history="1">
            <w:r w:rsidR="00A05EAF">
              <w:rPr>
                <w:rFonts w:eastAsia="仿宋_GB2312" w:cs="仿宋_GB2312" w:hint="eastAsia"/>
                <w:sz w:val="32"/>
                <w:szCs w:val="32"/>
              </w:rPr>
              <w:t>六、一般公共预算财政拨款基本支出决算情况说明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_Toc1840773204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11</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31254696" w:history="1">
            <w:r w:rsidR="00A05EAF">
              <w:rPr>
                <w:rFonts w:eastAsia="仿宋_GB2312" w:cs="仿宋_GB2312" w:hint="eastAsia"/>
                <w:sz w:val="32"/>
                <w:szCs w:val="32"/>
              </w:rPr>
              <w:t>七、财政拨款“三公”经费支出决算情况说明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_Toc31254696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12</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101053521" w:history="1">
            <w:r w:rsidR="00A05EAF">
              <w:rPr>
                <w:rFonts w:eastAsia="仿宋_GB2312" w:cs="仿宋_GB2312" w:hint="eastAsia"/>
                <w:sz w:val="32"/>
                <w:szCs w:val="32"/>
              </w:rPr>
              <w:t>八、政府性基金预算支出决算情况说明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_Toc1101053521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14</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554590368" w:history="1">
            <w:r w:rsidR="00A05EAF">
              <w:rPr>
                <w:rFonts w:eastAsia="仿宋_GB2312" w:cs="仿宋_GB2312" w:hint="eastAsia"/>
                <w:sz w:val="32"/>
                <w:szCs w:val="32"/>
              </w:rPr>
              <w:t>九、国有资本经营预算支出决算情况说明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_Toc1554590368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14</w:t>
            </w:r>
            <w:r>
              <w:rPr>
                <w:rFonts w:eastAsia="仿宋_GB2312" w:cs="仿宋_GB2312" w:hint="eastAsia"/>
                <w:sz w:val="32"/>
                <w:szCs w:val="32"/>
              </w:rPr>
              <w:fldChar w:fldCharType="end"/>
            </w:r>
          </w:hyperlink>
        </w:p>
        <w:p w:rsidR="005A7957" w:rsidRDefault="003F26FC" w:rsidP="003F26FC">
          <w:pPr>
            <w:pStyle w:val="21"/>
            <w:adjustRightInd w:val="0"/>
            <w:snapToGrid w:val="0"/>
            <w:spacing w:line="560" w:lineRule="exact"/>
            <w:ind w:leftChars="0" w:left="0" w:firstLineChars="200" w:firstLine="420"/>
            <w:jc w:val="left"/>
            <w:rPr>
              <w:rFonts w:eastAsia="仿宋_GB2312" w:cs="仿宋_GB2312"/>
              <w:sz w:val="32"/>
              <w:szCs w:val="32"/>
            </w:rPr>
          </w:pPr>
          <w:hyperlink w:anchor="_Toc1410596610" w:history="1">
            <w:r w:rsidR="00A05EAF">
              <w:rPr>
                <w:rFonts w:eastAsia="仿宋_GB2312" w:cs="仿宋_GB2312" w:hint="eastAsia"/>
                <w:sz w:val="32"/>
                <w:szCs w:val="32"/>
              </w:rPr>
              <w:t>十、其他重要事项的情况说明</w:t>
            </w:r>
            <w:r w:rsidR="00A05EAF">
              <w:rPr>
                <w:rFonts w:eastAsia="仿宋_GB2312" w:cs="仿宋_GB2312" w:hint="eastAsia"/>
                <w:sz w:val="32"/>
                <w:szCs w:val="32"/>
              </w:rPr>
              <w:tab/>
            </w:r>
            <w:r>
              <w:rPr>
                <w:rFonts w:eastAsia="仿宋_GB2312" w:cs="仿宋_GB2312" w:hint="eastAsia"/>
                <w:sz w:val="32"/>
                <w:szCs w:val="32"/>
              </w:rPr>
              <w:fldChar w:fldCharType="begin"/>
            </w:r>
            <w:r w:rsidR="00A05EAF">
              <w:rPr>
                <w:rFonts w:eastAsia="仿宋_GB2312" w:cs="仿宋_GB2312" w:hint="eastAsia"/>
                <w:sz w:val="32"/>
                <w:szCs w:val="32"/>
              </w:rPr>
              <w:instrText xml:space="preserve"> PAGEREF _Toc1410596610 \h </w:instrText>
            </w:r>
            <w:r>
              <w:rPr>
                <w:rFonts w:eastAsia="仿宋_GB2312" w:cs="仿宋_GB2312" w:hint="eastAsia"/>
                <w:sz w:val="32"/>
                <w:szCs w:val="32"/>
              </w:rPr>
            </w:r>
            <w:r>
              <w:rPr>
                <w:rFonts w:eastAsia="仿宋_GB2312" w:cs="仿宋_GB2312" w:hint="eastAsia"/>
                <w:sz w:val="32"/>
                <w:szCs w:val="32"/>
              </w:rPr>
              <w:fldChar w:fldCharType="separate"/>
            </w:r>
            <w:r w:rsidR="00A05EAF">
              <w:rPr>
                <w:rFonts w:eastAsia="仿宋_GB2312" w:cs="仿宋_GB2312" w:hint="eastAsia"/>
                <w:sz w:val="32"/>
                <w:szCs w:val="32"/>
              </w:rPr>
              <w:t>14</w:t>
            </w:r>
            <w:r>
              <w:rPr>
                <w:rFonts w:eastAsia="仿宋_GB2312" w:cs="仿宋_GB2312" w:hint="eastAsia"/>
                <w:sz w:val="32"/>
                <w:szCs w:val="32"/>
              </w:rPr>
              <w:fldChar w:fldCharType="end"/>
            </w:r>
          </w:hyperlink>
        </w:p>
        <w:p w:rsidR="005A7957" w:rsidRDefault="003F26FC">
          <w:pPr>
            <w:pStyle w:val="10"/>
            <w:adjustRightInd w:val="0"/>
            <w:snapToGrid w:val="0"/>
            <w:spacing w:before="0" w:line="560" w:lineRule="exact"/>
            <w:jc w:val="left"/>
            <w:outlineLvl w:val="0"/>
            <w:rPr>
              <w:rFonts w:ascii="Times New Roman" w:eastAsia="黑体" w:hAnsi="Times New Roman" w:cs="黑体"/>
              <w:sz w:val="32"/>
              <w:szCs w:val="32"/>
            </w:rPr>
          </w:pPr>
          <w:hyperlink w:anchor="_Toc2066669189" w:history="1">
            <w:r w:rsidR="00A05EAF">
              <w:rPr>
                <w:rFonts w:ascii="Times New Roman" w:eastAsia="黑体" w:hAnsi="Times New Roman" w:cs="黑体" w:hint="eastAsia"/>
                <w:sz w:val="32"/>
                <w:szCs w:val="32"/>
              </w:rPr>
              <w:t>第三部分</w:t>
            </w:r>
            <w:r w:rsidR="00A05EAF">
              <w:rPr>
                <w:rFonts w:ascii="Times New Roman" w:eastAsia="黑体" w:hAnsi="Times New Roman" w:cs="黑体" w:hint="eastAsia"/>
                <w:sz w:val="32"/>
                <w:szCs w:val="32"/>
              </w:rPr>
              <w:t xml:space="preserve">  </w:t>
            </w:r>
            <w:r w:rsidR="00A05EAF">
              <w:rPr>
                <w:rFonts w:ascii="Times New Roman" w:eastAsia="黑体" w:hAnsi="Times New Roman" w:cs="黑体" w:hint="eastAsia"/>
                <w:sz w:val="32"/>
                <w:szCs w:val="32"/>
              </w:rPr>
              <w:t>名词解释</w:t>
            </w:r>
            <w:r w:rsidR="00A05EAF">
              <w:rPr>
                <w:rFonts w:ascii="Times New Roman" w:eastAsia="黑体" w:hAnsi="Times New Roman" w:cs="黑体" w:hint="eastAsia"/>
                <w:sz w:val="32"/>
                <w:szCs w:val="32"/>
              </w:rPr>
              <w:tab/>
            </w:r>
            <w:r>
              <w:rPr>
                <w:rFonts w:ascii="Times New Roman" w:eastAsia="黑体" w:hAnsi="Times New Roman" w:cs="黑体" w:hint="eastAsia"/>
                <w:sz w:val="32"/>
                <w:szCs w:val="32"/>
              </w:rPr>
              <w:fldChar w:fldCharType="begin"/>
            </w:r>
            <w:r w:rsidR="00A05EAF">
              <w:rPr>
                <w:rFonts w:ascii="Times New Roman" w:eastAsia="黑体" w:hAnsi="Times New Roman" w:cs="黑体" w:hint="eastAsia"/>
                <w:sz w:val="32"/>
                <w:szCs w:val="32"/>
              </w:rPr>
              <w:instrText xml:space="preserve"> PAGEREF _Toc2066669189 \h </w:instrText>
            </w:r>
            <w:r>
              <w:rPr>
                <w:rFonts w:ascii="Times New Roman" w:eastAsia="黑体" w:hAnsi="Times New Roman" w:cs="黑体" w:hint="eastAsia"/>
                <w:sz w:val="32"/>
                <w:szCs w:val="32"/>
              </w:rPr>
            </w:r>
            <w:r>
              <w:rPr>
                <w:rFonts w:ascii="Times New Roman" w:eastAsia="黑体" w:hAnsi="Times New Roman" w:cs="黑体" w:hint="eastAsia"/>
                <w:sz w:val="32"/>
                <w:szCs w:val="32"/>
              </w:rPr>
              <w:fldChar w:fldCharType="separate"/>
            </w:r>
            <w:r w:rsidR="00A05EAF">
              <w:rPr>
                <w:rFonts w:ascii="Times New Roman" w:eastAsia="黑体" w:hAnsi="Times New Roman" w:cs="黑体" w:hint="eastAsia"/>
                <w:sz w:val="32"/>
                <w:szCs w:val="32"/>
              </w:rPr>
              <w:t>16</w:t>
            </w:r>
            <w:r>
              <w:rPr>
                <w:rFonts w:ascii="Times New Roman" w:eastAsia="黑体" w:hAnsi="Times New Roman" w:cs="黑体" w:hint="eastAsia"/>
                <w:sz w:val="32"/>
                <w:szCs w:val="32"/>
              </w:rPr>
              <w:fldChar w:fldCharType="end"/>
            </w:r>
          </w:hyperlink>
        </w:p>
        <w:p w:rsidR="005A7957" w:rsidRDefault="003F26FC">
          <w:pPr>
            <w:pStyle w:val="10"/>
            <w:adjustRightInd w:val="0"/>
            <w:snapToGrid w:val="0"/>
            <w:spacing w:before="0" w:line="560" w:lineRule="exact"/>
            <w:jc w:val="left"/>
            <w:outlineLvl w:val="0"/>
            <w:rPr>
              <w:rFonts w:ascii="Times New Roman" w:eastAsia="黑体" w:hAnsi="Times New Roman" w:cs="黑体"/>
              <w:sz w:val="32"/>
              <w:szCs w:val="32"/>
            </w:rPr>
          </w:pPr>
          <w:hyperlink w:anchor="_Toc1325843805" w:history="1">
            <w:r w:rsidR="00A05EAF">
              <w:rPr>
                <w:rFonts w:ascii="Times New Roman" w:eastAsia="黑体" w:hAnsi="Times New Roman" w:cs="黑体" w:hint="eastAsia"/>
                <w:sz w:val="32"/>
                <w:szCs w:val="32"/>
              </w:rPr>
              <w:t>第四部分</w:t>
            </w:r>
            <w:r w:rsidR="00A05EAF">
              <w:rPr>
                <w:rFonts w:ascii="Times New Roman" w:eastAsia="黑体" w:hAnsi="Times New Roman" w:cs="黑体" w:hint="eastAsia"/>
                <w:sz w:val="32"/>
                <w:szCs w:val="32"/>
              </w:rPr>
              <w:t xml:space="preserve">  </w:t>
            </w:r>
            <w:r w:rsidR="00A05EAF">
              <w:rPr>
                <w:rFonts w:ascii="Times New Roman" w:eastAsia="黑体" w:hAnsi="Times New Roman" w:cs="黑体" w:hint="eastAsia"/>
                <w:sz w:val="32"/>
                <w:szCs w:val="32"/>
              </w:rPr>
              <w:t>附件</w:t>
            </w:r>
            <w:r w:rsidR="00A05EAF">
              <w:rPr>
                <w:rFonts w:ascii="Times New Roman" w:eastAsia="黑体" w:hAnsi="Times New Roman" w:cs="黑体" w:hint="eastAsia"/>
                <w:sz w:val="32"/>
                <w:szCs w:val="32"/>
              </w:rPr>
              <w:tab/>
            </w:r>
            <w:r>
              <w:rPr>
                <w:rFonts w:ascii="Times New Roman" w:eastAsia="黑体" w:hAnsi="Times New Roman" w:cs="黑体" w:hint="eastAsia"/>
                <w:sz w:val="32"/>
                <w:szCs w:val="32"/>
              </w:rPr>
              <w:fldChar w:fldCharType="begin"/>
            </w:r>
            <w:r w:rsidR="00A05EAF">
              <w:rPr>
                <w:rFonts w:ascii="Times New Roman" w:eastAsia="黑体" w:hAnsi="Times New Roman" w:cs="黑体" w:hint="eastAsia"/>
                <w:sz w:val="32"/>
                <w:szCs w:val="32"/>
              </w:rPr>
              <w:instrText xml:space="preserve"> PAGEREF _Toc1325843805 \h </w:instrText>
            </w:r>
            <w:r>
              <w:rPr>
                <w:rFonts w:ascii="Times New Roman" w:eastAsia="黑体" w:hAnsi="Times New Roman" w:cs="黑体" w:hint="eastAsia"/>
                <w:sz w:val="32"/>
                <w:szCs w:val="32"/>
              </w:rPr>
            </w:r>
            <w:r>
              <w:rPr>
                <w:rFonts w:ascii="Times New Roman" w:eastAsia="黑体" w:hAnsi="Times New Roman" w:cs="黑体" w:hint="eastAsia"/>
                <w:sz w:val="32"/>
                <w:szCs w:val="32"/>
              </w:rPr>
              <w:fldChar w:fldCharType="separate"/>
            </w:r>
            <w:r w:rsidR="00A05EAF">
              <w:rPr>
                <w:rFonts w:ascii="Times New Roman" w:eastAsia="黑体" w:hAnsi="Times New Roman" w:cs="黑体" w:hint="eastAsia"/>
                <w:sz w:val="32"/>
                <w:szCs w:val="32"/>
              </w:rPr>
              <w:t>21</w:t>
            </w:r>
            <w:r>
              <w:rPr>
                <w:rFonts w:ascii="Times New Roman" w:eastAsia="黑体" w:hAnsi="Times New Roman" w:cs="黑体" w:hint="eastAsia"/>
                <w:sz w:val="32"/>
                <w:szCs w:val="32"/>
              </w:rPr>
              <w:fldChar w:fldCharType="end"/>
            </w:r>
          </w:hyperlink>
        </w:p>
        <w:p w:rsidR="005A7957" w:rsidRDefault="005A7957">
          <w:pPr>
            <w:pStyle w:val="10"/>
            <w:adjustRightInd w:val="0"/>
            <w:snapToGrid w:val="0"/>
            <w:spacing w:before="0" w:line="560" w:lineRule="exact"/>
            <w:jc w:val="left"/>
            <w:outlineLvl w:val="1"/>
            <w:rPr>
              <w:rFonts w:ascii="Times New Roman" w:eastAsia="黑体" w:hAnsi="Times New Roman" w:cs="黑体"/>
              <w:sz w:val="32"/>
              <w:szCs w:val="32"/>
            </w:rPr>
          </w:pPr>
        </w:p>
        <w:p w:rsidR="005A7957" w:rsidRDefault="003F26FC">
          <w:r>
            <w:rPr>
              <w:b/>
            </w:rPr>
            <w:fldChar w:fldCharType="end"/>
          </w:r>
        </w:p>
      </w:sdtContent>
    </w:sdt>
    <w:p w:rsidR="005A7957" w:rsidRDefault="00A05EAF">
      <w:pPr>
        <w:pStyle w:val="1"/>
        <w:spacing w:line="600" w:lineRule="exact"/>
        <w:jc w:val="center"/>
        <w:rPr>
          <w:rStyle w:val="1Char"/>
          <w:rFonts w:eastAsia="方正小标宋简体" w:cs="方正小标宋简体"/>
          <w:b/>
        </w:rPr>
      </w:pPr>
      <w:bookmarkStart w:id="7" w:name="_Toc15377196"/>
      <w:bookmarkStart w:id="8" w:name="_Toc15396599"/>
      <w:bookmarkStart w:id="9" w:name="_Toc1592150523"/>
      <w:r>
        <w:rPr>
          <w:rFonts w:eastAsia="方正小标宋简体" w:cs="方正小标宋简体" w:hint="eastAsia"/>
          <w:b w:val="0"/>
        </w:rPr>
        <w:lastRenderedPageBreak/>
        <w:t>第一部分</w:t>
      </w:r>
      <w:r>
        <w:rPr>
          <w:rFonts w:eastAsia="方正小标宋简体" w:cs="方正小标宋简体" w:hint="eastAsia"/>
          <w:b w:val="0"/>
        </w:rPr>
        <w:t xml:space="preserve">  </w:t>
      </w:r>
      <w:r w:rsidR="00931B19">
        <w:rPr>
          <w:rStyle w:val="1Char"/>
          <w:rFonts w:eastAsia="方正小标宋简体" w:cs="方正小标宋简体" w:hint="eastAsia"/>
        </w:rPr>
        <w:t>单位</w:t>
      </w:r>
      <w:r>
        <w:rPr>
          <w:rStyle w:val="1Char"/>
          <w:rFonts w:eastAsia="方正小标宋简体" w:cs="方正小标宋简体" w:hint="eastAsia"/>
        </w:rPr>
        <w:t>概况</w:t>
      </w:r>
      <w:bookmarkEnd w:id="7"/>
      <w:bookmarkEnd w:id="8"/>
      <w:bookmarkEnd w:id="9"/>
    </w:p>
    <w:p w:rsidR="005A7957" w:rsidRDefault="00A05EAF">
      <w:pPr>
        <w:pStyle w:val="2"/>
        <w:spacing w:before="0" w:after="0" w:line="240" w:lineRule="auto"/>
        <w:ind w:firstLineChars="200" w:firstLine="640"/>
        <w:rPr>
          <w:rStyle w:val="2Char"/>
          <w:rFonts w:ascii="Times New Roman" w:eastAsia="黑体" w:hAnsi="Times New Roman"/>
        </w:rPr>
      </w:pPr>
      <w:bookmarkStart w:id="10" w:name="_Toc15396600"/>
      <w:bookmarkStart w:id="11" w:name="_Toc15377197"/>
      <w:bookmarkStart w:id="12" w:name="_Toc557422093"/>
      <w:r>
        <w:rPr>
          <w:rFonts w:ascii="Times New Roman" w:eastAsia="黑体" w:hAnsi="Times New Roman" w:hint="eastAsia"/>
          <w:b w:val="0"/>
        </w:rPr>
        <w:t>一、</w:t>
      </w:r>
      <w:bookmarkEnd w:id="10"/>
      <w:bookmarkEnd w:id="11"/>
      <w:r w:rsidR="00931B19">
        <w:rPr>
          <w:rFonts w:ascii="Times New Roman" w:eastAsia="黑体" w:hAnsi="Times New Roman" w:hint="eastAsia"/>
          <w:b w:val="0"/>
        </w:rPr>
        <w:t>单位</w:t>
      </w:r>
      <w:r>
        <w:rPr>
          <w:rFonts w:ascii="Times New Roman" w:eastAsia="黑体" w:hAnsi="Times New Roman" w:hint="eastAsia"/>
          <w:b w:val="0"/>
        </w:rPr>
        <w:t>职责</w:t>
      </w:r>
      <w:bookmarkEnd w:id="12"/>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13" w:name="_Toc2054310316"/>
      <w:bookmarkStart w:id="14" w:name="_Toc15396601"/>
      <w:bookmarkStart w:id="15" w:name="_Toc15377200"/>
      <w:r>
        <w:rPr>
          <w:rFonts w:ascii="仿宋_GB2312" w:eastAsia="仿宋_GB2312" w:hAnsi="仿宋_GB2312" w:cs="仿宋_GB2312" w:hint="eastAsia"/>
          <w:b w:val="0"/>
          <w:bCs w:val="0"/>
        </w:rPr>
        <w:t>(</w:t>
      </w:r>
      <w:proofErr w:type="gramStart"/>
      <w:r>
        <w:rPr>
          <w:rFonts w:ascii="仿宋_GB2312" w:eastAsia="仿宋_GB2312" w:hAnsi="仿宋_GB2312" w:cs="仿宋_GB2312" w:hint="eastAsia"/>
          <w:b w:val="0"/>
          <w:bCs w:val="0"/>
        </w:rPr>
        <w:t>一</w:t>
      </w:r>
      <w:proofErr w:type="gramEnd"/>
      <w:r>
        <w:rPr>
          <w:rFonts w:ascii="仿宋_GB2312" w:eastAsia="仿宋_GB2312" w:hAnsi="仿宋_GB2312" w:cs="仿宋_GB2312" w:hint="eastAsia"/>
          <w:b w:val="0"/>
          <w:bCs w:val="0"/>
        </w:rPr>
        <w:t>)贯彻执行党和国家的路线方针政策和上级党委、政府各项决策部署，以及本级党员代表大会(党员大会)、人民代表大会的决议决定。讨论决定加强党的建设、保障经济建设、组织公共服务、实施公共管理、维护公共安全、动员社会参与、指导基层自治等方面的重大问题。</w:t>
      </w:r>
      <w:bookmarkEnd w:id="13"/>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16" w:name="_Toc1411251468"/>
      <w:r>
        <w:rPr>
          <w:rFonts w:ascii="仿宋_GB2312" w:eastAsia="仿宋_GB2312" w:hAnsi="仿宋_GB2312" w:cs="仿宋_GB2312" w:hint="eastAsia"/>
          <w:b w:val="0"/>
          <w:bCs w:val="0"/>
        </w:rPr>
        <w:t>(二)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w:t>
      </w:r>
      <w:bookmarkEnd w:id="16"/>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17" w:name="_Toc297382802"/>
      <w:r>
        <w:rPr>
          <w:rFonts w:ascii="仿宋_GB2312" w:eastAsia="仿宋_GB2312" w:hAnsi="仿宋_GB2312" w:cs="仿宋_GB2312" w:hint="eastAsia"/>
          <w:b w:val="0"/>
          <w:bCs w:val="0"/>
        </w:rPr>
        <w:t>(三)经济发展。落实关于辖区发展的重大决策，参与编制辖区经济和社会发展规划、公共服务设施布局，负责辖区建设管理、重点项目促建、投资立项申报工作，推动辖区经济社会健康有序、可持续、高质量发展。</w:t>
      </w:r>
      <w:bookmarkEnd w:id="17"/>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18" w:name="_Toc493699258"/>
      <w:r>
        <w:rPr>
          <w:rFonts w:ascii="仿宋_GB2312" w:eastAsia="仿宋_GB2312" w:hAnsi="仿宋_GB2312" w:cs="仿宋_GB2312" w:hint="eastAsia"/>
          <w:b w:val="0"/>
          <w:bCs w:val="0"/>
        </w:rPr>
        <w:t>(四)民生服务。密切联系群众，建立健全群众工作机制，加强民生保障。组织实施并优化教育、民政、劳动社会保障、文化、卫生健康、退役军人事务等各项公共服务。</w:t>
      </w:r>
      <w:bookmarkEnd w:id="18"/>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19" w:name="_Toc1664716725"/>
      <w:r>
        <w:rPr>
          <w:rFonts w:ascii="仿宋_GB2312" w:eastAsia="仿宋_GB2312" w:hAnsi="仿宋_GB2312" w:cs="仿宋_GB2312" w:hint="eastAsia"/>
          <w:b w:val="0"/>
          <w:bCs w:val="0"/>
        </w:rPr>
        <w:lastRenderedPageBreak/>
        <w:t>(五)平安法治。履行社会治安综合治理、安全生产监督法治建设职责。负责有效排查化解社会矛盾纠纷。负责辖区内的社会稳定、安全生产和职业健康、生态环境保护、社会信用体系建设和审批服务便民化等工作。</w:t>
      </w:r>
      <w:bookmarkEnd w:id="19"/>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20" w:name="_Toc1937146751"/>
      <w:r>
        <w:rPr>
          <w:rFonts w:ascii="仿宋_GB2312" w:eastAsia="仿宋_GB2312" w:hAnsi="仿宋_GB2312" w:cs="仿宋_GB2312" w:hint="eastAsia"/>
          <w:b w:val="0"/>
          <w:bCs w:val="0"/>
        </w:rPr>
        <w:t>(六)基层治理。健全党组织领导下的基层治理体系，负责辖区城乡管理，指导村(居)民委员会建设，完善基层治理平台组织群众和单位参与村(居)民委员会建设和管理。承担法律法规、依法授权或委托授权的行政执法工作。</w:t>
      </w:r>
      <w:bookmarkEnd w:id="20"/>
    </w:p>
    <w:p w:rsidR="005A7957" w:rsidRDefault="00A05EAF">
      <w:pPr>
        <w:pStyle w:val="2"/>
        <w:spacing w:before="0" w:after="0" w:line="240" w:lineRule="auto"/>
        <w:ind w:firstLineChars="200" w:firstLine="640"/>
        <w:rPr>
          <w:rFonts w:ascii="仿宋_GB2312" w:eastAsia="仿宋_GB2312" w:hAnsi="仿宋_GB2312" w:cs="仿宋_GB2312"/>
          <w:b w:val="0"/>
          <w:bCs w:val="0"/>
        </w:rPr>
      </w:pPr>
      <w:bookmarkStart w:id="21" w:name="_Toc1531570294"/>
      <w:r>
        <w:rPr>
          <w:rFonts w:ascii="仿宋_GB2312" w:eastAsia="仿宋_GB2312" w:hAnsi="仿宋_GB2312" w:cs="仿宋_GB2312" w:hint="eastAsia"/>
          <w:b w:val="0"/>
          <w:bCs w:val="0"/>
        </w:rPr>
        <w:t>(七)完成市委、市政府交办的其他任务。</w:t>
      </w:r>
      <w:bookmarkEnd w:id="21"/>
    </w:p>
    <w:p w:rsidR="005A7957" w:rsidRDefault="00A05EAF">
      <w:pPr>
        <w:pStyle w:val="2"/>
        <w:spacing w:before="0" w:after="0" w:line="240" w:lineRule="auto"/>
        <w:ind w:firstLineChars="200" w:firstLine="640"/>
        <w:rPr>
          <w:rStyle w:val="2Char"/>
          <w:rFonts w:ascii="Times New Roman" w:eastAsia="黑体" w:hAnsi="Times New Roman"/>
          <w:highlight w:val="red"/>
        </w:rPr>
      </w:pPr>
      <w:bookmarkStart w:id="22" w:name="_Toc723398450"/>
      <w:r>
        <w:rPr>
          <w:rFonts w:ascii="Times New Roman" w:eastAsia="黑体" w:hAnsi="Times New Roman" w:hint="eastAsia"/>
          <w:b w:val="0"/>
        </w:rPr>
        <w:t>二、机</w:t>
      </w:r>
      <w:r>
        <w:rPr>
          <w:rStyle w:val="2Char"/>
          <w:rFonts w:ascii="Times New Roman" w:eastAsia="黑体" w:hAnsi="Times New Roman" w:hint="eastAsia"/>
        </w:rPr>
        <w:t>构设置</w:t>
      </w:r>
      <w:bookmarkEnd w:id="14"/>
      <w:bookmarkEnd w:id="15"/>
      <w:bookmarkEnd w:id="22"/>
    </w:p>
    <w:p w:rsidR="005A7957" w:rsidRDefault="00A05EAF">
      <w:pPr>
        <w:spacing w:line="600" w:lineRule="exact"/>
        <w:ind w:firstLineChars="200" w:firstLine="640"/>
        <w:rPr>
          <w:rFonts w:eastAsia="仿宋_GB2312" w:cs="仿宋_GB2312"/>
          <w:sz w:val="32"/>
          <w:szCs w:val="32"/>
        </w:rPr>
      </w:pPr>
      <w:r>
        <w:rPr>
          <w:rFonts w:ascii="仿宋_GB2312" w:eastAsia="仿宋_GB2312" w:hAnsi="仿宋_GB2312" w:cs="仿宋_GB2312" w:hint="eastAsia"/>
          <w:sz w:val="32"/>
          <w:szCs w:val="32"/>
        </w:rPr>
        <w:t>绵竹市</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镇人民政府无</w:t>
      </w:r>
      <w:r>
        <w:rPr>
          <w:rFonts w:eastAsia="仿宋_GB2312" w:cs="仿宋_GB2312" w:hint="eastAsia"/>
          <w:sz w:val="32"/>
          <w:szCs w:val="32"/>
        </w:rPr>
        <w:t>下属二级预算单位，其中行政单位</w:t>
      </w:r>
      <w:r>
        <w:rPr>
          <w:rFonts w:eastAsia="仿宋_GB2312" w:cs="仿宋_GB2312" w:hint="eastAsia"/>
          <w:sz w:val="32"/>
          <w:szCs w:val="32"/>
        </w:rPr>
        <w:t>0</w:t>
      </w:r>
      <w:r>
        <w:rPr>
          <w:rFonts w:eastAsia="仿宋_GB2312" w:cs="仿宋_GB2312" w:hint="eastAsia"/>
          <w:sz w:val="32"/>
          <w:szCs w:val="32"/>
        </w:rPr>
        <w:t>个，参照公务员法管理的事业单位</w:t>
      </w:r>
      <w:r>
        <w:rPr>
          <w:rFonts w:eastAsia="仿宋_GB2312" w:cs="仿宋_GB2312" w:hint="eastAsia"/>
          <w:bCs/>
          <w:sz w:val="32"/>
          <w:szCs w:val="32"/>
        </w:rPr>
        <w:t>0</w:t>
      </w:r>
      <w:r>
        <w:rPr>
          <w:rFonts w:eastAsia="仿宋_GB2312" w:cs="仿宋_GB2312" w:hint="eastAsia"/>
          <w:sz w:val="32"/>
          <w:szCs w:val="32"/>
        </w:rPr>
        <w:t>个，其他事业单位</w:t>
      </w:r>
      <w:r>
        <w:rPr>
          <w:rFonts w:eastAsia="仿宋_GB2312" w:cs="仿宋_GB2312" w:hint="eastAsia"/>
          <w:sz w:val="32"/>
          <w:szCs w:val="32"/>
        </w:rPr>
        <w:t>0</w:t>
      </w:r>
      <w:r>
        <w:rPr>
          <w:rFonts w:eastAsia="仿宋_GB2312" w:cs="仿宋_GB2312" w:hint="eastAsia"/>
          <w:sz w:val="32"/>
          <w:szCs w:val="32"/>
        </w:rPr>
        <w:t>个。</w:t>
      </w:r>
    </w:p>
    <w:p w:rsidR="005A7957" w:rsidRDefault="00A05EAF">
      <w:pPr>
        <w:pStyle w:val="a3"/>
        <w:adjustRightInd w:val="0"/>
        <w:snapToGrid w:val="0"/>
        <w:spacing w:before="93" w:line="600" w:lineRule="exact"/>
        <w:ind w:firstLineChars="200" w:firstLine="640"/>
        <w:rPr>
          <w:rFonts w:ascii="Times New Roman" w:cs="仿宋_GB2312"/>
          <w:sz w:val="32"/>
          <w:szCs w:val="32"/>
        </w:rPr>
      </w:pPr>
      <w:r>
        <w:rPr>
          <w:rFonts w:ascii="Times New Roman" w:cs="仿宋_GB2312" w:hint="eastAsia"/>
          <w:sz w:val="32"/>
          <w:szCs w:val="32"/>
        </w:rPr>
        <w:t>无纳入</w:t>
      </w:r>
      <w:r>
        <w:rPr>
          <w:sz w:val="32"/>
          <w:szCs w:val="32"/>
        </w:rPr>
        <w:t>绵竹市</w:t>
      </w:r>
      <w:proofErr w:type="gramStart"/>
      <w:r>
        <w:rPr>
          <w:sz w:val="32"/>
          <w:szCs w:val="32"/>
        </w:rPr>
        <w:t>麓棠</w:t>
      </w:r>
      <w:proofErr w:type="gramEnd"/>
      <w:r>
        <w:rPr>
          <w:sz w:val="32"/>
          <w:szCs w:val="32"/>
        </w:rPr>
        <w:t>镇人民政府</w:t>
      </w:r>
      <w:r>
        <w:rPr>
          <w:rFonts w:ascii="Times New Roman" w:cs="仿宋_GB2312" w:hint="eastAsia"/>
          <w:sz w:val="32"/>
          <w:szCs w:val="32"/>
        </w:rPr>
        <w:t>2024</w:t>
      </w:r>
      <w:r>
        <w:rPr>
          <w:rFonts w:ascii="Times New Roman" w:cs="仿宋_GB2312" w:hint="eastAsia"/>
          <w:sz w:val="32"/>
          <w:szCs w:val="32"/>
        </w:rPr>
        <w:t>年度</w:t>
      </w:r>
      <w:r w:rsidR="00931B19">
        <w:rPr>
          <w:rFonts w:ascii="Times New Roman" w:cs="仿宋_GB2312" w:hint="eastAsia"/>
          <w:sz w:val="32"/>
          <w:szCs w:val="32"/>
        </w:rPr>
        <w:t>单位</w:t>
      </w:r>
      <w:r>
        <w:rPr>
          <w:rFonts w:ascii="Times New Roman" w:cs="仿宋_GB2312" w:hint="eastAsia"/>
          <w:sz w:val="32"/>
          <w:szCs w:val="32"/>
        </w:rPr>
        <w:t>决算编制范围的二级预算单位。</w:t>
      </w:r>
    </w:p>
    <w:p w:rsidR="005A7957" w:rsidRDefault="00A05EAF">
      <w:pPr>
        <w:widowControl/>
        <w:spacing w:line="600" w:lineRule="exact"/>
        <w:jc w:val="left"/>
        <w:rPr>
          <w:rFonts w:eastAsia="仿宋"/>
          <w:kern w:val="0"/>
          <w:sz w:val="32"/>
          <w:szCs w:val="32"/>
        </w:rPr>
      </w:pPr>
      <w:r>
        <w:rPr>
          <w:rFonts w:eastAsia="仿宋"/>
          <w:sz w:val="32"/>
          <w:szCs w:val="32"/>
        </w:rPr>
        <w:br w:type="page"/>
      </w:r>
    </w:p>
    <w:p w:rsidR="005A7957" w:rsidRDefault="00A05EAF">
      <w:pPr>
        <w:pStyle w:val="1"/>
        <w:spacing w:line="600" w:lineRule="exact"/>
        <w:jc w:val="center"/>
        <w:rPr>
          <w:rFonts w:eastAsia="方正小标宋简体" w:cs="方正小标宋简体"/>
          <w:b w:val="0"/>
        </w:rPr>
      </w:pPr>
      <w:bookmarkStart w:id="23" w:name="_Toc15396602"/>
      <w:bookmarkStart w:id="24" w:name="_Toc1711050626"/>
      <w:bookmarkStart w:id="25" w:name="_Toc15377204"/>
      <w:r>
        <w:rPr>
          <w:rFonts w:eastAsia="方正小标宋简体" w:cs="方正小标宋简体" w:hint="eastAsia"/>
          <w:b w:val="0"/>
        </w:rPr>
        <w:lastRenderedPageBreak/>
        <w:t>第二部分</w:t>
      </w:r>
      <w:r>
        <w:rPr>
          <w:rFonts w:eastAsia="方正小标宋简体" w:cs="方正小标宋简体" w:hint="eastAsia"/>
          <w:b w:val="0"/>
        </w:rPr>
        <w:t xml:space="preserve">  2024</w:t>
      </w:r>
      <w:r>
        <w:rPr>
          <w:rFonts w:eastAsia="方正小标宋简体" w:cs="方正小标宋简体" w:hint="eastAsia"/>
          <w:b w:val="0"/>
        </w:rPr>
        <w:t>年度</w:t>
      </w:r>
      <w:r w:rsidR="00931B19">
        <w:rPr>
          <w:rFonts w:eastAsia="方正小标宋简体" w:cs="方正小标宋简体" w:hint="eastAsia"/>
          <w:b w:val="0"/>
        </w:rPr>
        <w:t>单位</w:t>
      </w:r>
      <w:r>
        <w:rPr>
          <w:rFonts w:eastAsia="方正小标宋简体" w:cs="方正小标宋简体" w:hint="eastAsia"/>
          <w:b w:val="0"/>
        </w:rPr>
        <w:t>决算情况说明</w:t>
      </w:r>
      <w:bookmarkEnd w:id="23"/>
      <w:bookmarkEnd w:id="24"/>
      <w:bookmarkEnd w:id="25"/>
    </w:p>
    <w:p w:rsidR="005A7957" w:rsidRDefault="005A7957">
      <w:pPr>
        <w:spacing w:line="600" w:lineRule="exact"/>
      </w:pPr>
    </w:p>
    <w:p w:rsidR="005A7957" w:rsidRDefault="00A05EAF">
      <w:pPr>
        <w:pStyle w:val="ac"/>
        <w:spacing w:line="600" w:lineRule="exact"/>
        <w:ind w:firstLine="640"/>
        <w:outlineLvl w:val="1"/>
        <w:rPr>
          <w:rStyle w:val="2Char"/>
          <w:rFonts w:ascii="Times New Roman" w:eastAsia="黑体" w:hAnsi="Times New Roman"/>
          <w:b w:val="0"/>
        </w:rPr>
      </w:pPr>
      <w:bookmarkStart w:id="26" w:name="_Toc15377205"/>
      <w:bookmarkStart w:id="27" w:name="_Toc927116938"/>
      <w:bookmarkStart w:id="28" w:name="_Toc15396603"/>
      <w:r>
        <w:rPr>
          <w:rFonts w:eastAsia="黑体" w:hint="eastAsia"/>
          <w:sz w:val="32"/>
          <w:szCs w:val="32"/>
        </w:rPr>
        <w:t>一、收</w:t>
      </w:r>
      <w:r>
        <w:rPr>
          <w:rStyle w:val="2Char"/>
          <w:rFonts w:ascii="Times New Roman" w:eastAsia="黑体" w:hAnsi="Times New Roman" w:hint="eastAsia"/>
          <w:b w:val="0"/>
        </w:rPr>
        <w:t>入支出决算总体情况说明</w:t>
      </w:r>
      <w:bookmarkEnd w:id="26"/>
      <w:bookmarkEnd w:id="27"/>
      <w:bookmarkEnd w:id="28"/>
    </w:p>
    <w:p w:rsidR="005A7957" w:rsidRDefault="00A05EAF">
      <w:pPr>
        <w:pStyle w:val="ac"/>
        <w:spacing w:line="600" w:lineRule="exact"/>
        <w:ind w:firstLine="640"/>
        <w:outlineLvl w:val="1"/>
        <w:rPr>
          <w:rFonts w:eastAsia="仿宋_GB2312" w:cs="仿宋_GB2312"/>
          <w:sz w:val="32"/>
          <w:szCs w:val="32"/>
        </w:rPr>
      </w:pPr>
      <w:bookmarkStart w:id="29" w:name="_Toc481914958"/>
      <w:r>
        <w:rPr>
          <w:rFonts w:eastAsia="仿宋_GB2312" w:cs="仿宋_GB2312" w:hint="eastAsia"/>
          <w:sz w:val="32"/>
          <w:szCs w:val="32"/>
        </w:rPr>
        <w:t>2024</w:t>
      </w:r>
      <w:r>
        <w:rPr>
          <w:rFonts w:eastAsia="仿宋_GB2312" w:cs="仿宋_GB2312" w:hint="eastAsia"/>
          <w:sz w:val="32"/>
          <w:szCs w:val="32"/>
        </w:rPr>
        <w:t>年度收入、支出总计均为</w:t>
      </w:r>
      <w:r>
        <w:rPr>
          <w:rFonts w:ascii="仿宋_GB2312" w:eastAsia="仿宋_GB2312" w:hAnsi="仿宋_GB2312" w:cs="仿宋_GB2312" w:hint="eastAsia"/>
          <w:sz w:val="32"/>
          <w:szCs w:val="32"/>
        </w:rPr>
        <w:t>2018.26</w:t>
      </w:r>
      <w:r>
        <w:rPr>
          <w:rFonts w:eastAsia="仿宋_GB2312" w:cs="仿宋_GB2312" w:hint="eastAsia"/>
          <w:sz w:val="32"/>
          <w:szCs w:val="32"/>
        </w:rPr>
        <w:t>万元。与</w:t>
      </w:r>
      <w:r>
        <w:rPr>
          <w:rFonts w:eastAsia="仿宋_GB2312" w:cs="仿宋_GB2312" w:hint="eastAsia"/>
          <w:sz w:val="32"/>
          <w:szCs w:val="32"/>
        </w:rPr>
        <w:t>2023</w:t>
      </w:r>
      <w:r>
        <w:rPr>
          <w:rFonts w:eastAsia="仿宋_GB2312" w:cs="仿宋_GB2312" w:hint="eastAsia"/>
          <w:sz w:val="32"/>
          <w:szCs w:val="32"/>
        </w:rPr>
        <w:t>年度相比，收入、支出总计各增加</w:t>
      </w:r>
      <w:r>
        <w:rPr>
          <w:rFonts w:eastAsia="仿宋_GB2312" w:cs="仿宋_GB2312" w:hint="eastAsia"/>
          <w:sz w:val="32"/>
          <w:szCs w:val="32"/>
        </w:rPr>
        <w:t>433.4</w:t>
      </w:r>
      <w:r>
        <w:rPr>
          <w:rFonts w:eastAsia="仿宋_GB2312" w:cs="仿宋_GB2312" w:hint="eastAsia"/>
          <w:sz w:val="32"/>
          <w:szCs w:val="32"/>
        </w:rPr>
        <w:t>万元，增长</w:t>
      </w:r>
      <w:r>
        <w:rPr>
          <w:rFonts w:eastAsia="仿宋_GB2312" w:cs="仿宋_GB2312" w:hint="eastAsia"/>
          <w:sz w:val="32"/>
          <w:szCs w:val="32"/>
        </w:rPr>
        <w:t>27.35%</w:t>
      </w:r>
      <w:r>
        <w:rPr>
          <w:rFonts w:eastAsia="仿宋_GB2312" w:cs="仿宋_GB2312" w:hint="eastAsia"/>
          <w:sz w:val="32"/>
          <w:szCs w:val="32"/>
        </w:rPr>
        <w:t>。主要变动原因是</w:t>
      </w:r>
      <w:r>
        <w:rPr>
          <w:rFonts w:eastAsia="仿宋_GB2312" w:cs="仿宋_GB2312" w:hint="eastAsia"/>
          <w:sz w:val="32"/>
          <w:szCs w:val="32"/>
        </w:rPr>
        <w:t>2024</w:t>
      </w:r>
      <w:r>
        <w:rPr>
          <w:rFonts w:eastAsia="仿宋_GB2312" w:cs="仿宋_GB2312" w:hint="eastAsia"/>
          <w:sz w:val="32"/>
          <w:szCs w:val="32"/>
        </w:rPr>
        <w:t>年预算项目收入、支出增加。</w:t>
      </w:r>
      <w:bookmarkEnd w:id="29"/>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5A7957">
      <w:pPr>
        <w:pStyle w:val="ac"/>
        <w:spacing w:line="600" w:lineRule="exact"/>
        <w:rPr>
          <w:rFonts w:eastAsiaTheme="minorEastAsia"/>
        </w:rPr>
      </w:pPr>
    </w:p>
    <w:p w:rsidR="005A7957" w:rsidRDefault="00A05EAF">
      <w:pPr>
        <w:pStyle w:val="ac"/>
        <w:spacing w:line="600" w:lineRule="exact"/>
        <w:rPr>
          <w:rFonts w:eastAsia="仿宋_GB2312" w:cs="仿宋_GB2312"/>
          <w:sz w:val="32"/>
          <w:szCs w:val="32"/>
        </w:rPr>
      </w:pPr>
      <w:r>
        <w:rPr>
          <w:rFonts w:eastAsiaTheme="minorEastAsia" w:hint="eastAsia"/>
          <w:noProof/>
        </w:rPr>
        <w:drawing>
          <wp:anchor distT="0" distB="0" distL="114300" distR="114300" simplePos="0" relativeHeight="251660288" behindDoc="0" locked="0" layoutInCell="1" allowOverlap="1">
            <wp:simplePos x="0" y="0"/>
            <wp:positionH relativeFrom="column">
              <wp:posOffset>271780</wp:posOffset>
            </wp:positionH>
            <wp:positionV relativeFrom="paragraph">
              <wp:posOffset>-2700655</wp:posOffset>
            </wp:positionV>
            <wp:extent cx="5256530" cy="2988310"/>
            <wp:effectExtent l="5080" t="4445" r="15240" b="1714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A7957" w:rsidRDefault="00A05EAF">
      <w:pPr>
        <w:spacing w:line="600" w:lineRule="exact"/>
        <w:ind w:firstLineChars="200" w:firstLine="640"/>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1</w:t>
      </w:r>
      <w:r>
        <w:rPr>
          <w:rFonts w:eastAsia="仿宋_GB2312" w:cs="仿宋_GB2312" w:hint="eastAsia"/>
          <w:sz w:val="32"/>
          <w:szCs w:val="32"/>
        </w:rPr>
        <w:t>：收入、支出决算总计变动情况图）</w:t>
      </w:r>
    </w:p>
    <w:p w:rsidR="005A7957" w:rsidRDefault="00A05EAF">
      <w:pPr>
        <w:pStyle w:val="ac"/>
        <w:spacing w:line="600" w:lineRule="exact"/>
        <w:ind w:firstLine="640"/>
        <w:outlineLvl w:val="1"/>
        <w:rPr>
          <w:rFonts w:eastAsia="黑体"/>
          <w:sz w:val="32"/>
          <w:szCs w:val="32"/>
        </w:rPr>
      </w:pPr>
      <w:bookmarkStart w:id="30" w:name="_Toc15377206"/>
      <w:bookmarkStart w:id="31" w:name="_Toc15396604"/>
      <w:bookmarkStart w:id="32" w:name="_Toc903414444"/>
      <w:r>
        <w:rPr>
          <w:rFonts w:eastAsia="黑体" w:hint="eastAsia"/>
          <w:sz w:val="32"/>
          <w:szCs w:val="32"/>
        </w:rPr>
        <w:t>二、收入决算情况说明</w:t>
      </w:r>
      <w:bookmarkEnd w:id="30"/>
      <w:bookmarkEnd w:id="31"/>
      <w:bookmarkEnd w:id="32"/>
    </w:p>
    <w:p w:rsidR="005A7957" w:rsidRDefault="00A05EAF">
      <w:pPr>
        <w:pStyle w:val="ac"/>
        <w:spacing w:line="600" w:lineRule="exact"/>
        <w:ind w:firstLine="640"/>
        <w:jc w:val="left"/>
        <w:outlineLvl w:val="1"/>
        <w:rPr>
          <w:rFonts w:ascii="仿宋_GB2312" w:eastAsia="仿宋_GB2312" w:hAnsi="仿宋_GB2312" w:cs="仿宋_GB2312"/>
          <w:sz w:val="32"/>
          <w:szCs w:val="32"/>
        </w:rPr>
      </w:pPr>
      <w:bookmarkStart w:id="33" w:name="_Toc1377974641"/>
      <w:r>
        <w:rPr>
          <w:rFonts w:ascii="仿宋_GB2312" w:eastAsia="仿宋_GB2312" w:hAnsi="仿宋_GB2312" w:cs="仿宋_GB2312" w:hint="eastAsia"/>
          <w:sz w:val="32"/>
          <w:szCs w:val="32"/>
        </w:rPr>
        <w:t>2024年度本年收入合计2018.26万元，其中：一般公共预算财政拨款收入1951.03万元，占96.67%；政府性基金预算财政拨款收入0万元，占0%；国有资本经营预算财政拨款收入0.92万元，占0.04%；上级补助收入0万元，占0%；事业收入0万元，占0%；经营收入0万元，占0%；附属单位上缴收入0万元，占0%；其他收入66.31万元，占3.29%。</w:t>
      </w:r>
      <w:bookmarkEnd w:id="33"/>
    </w:p>
    <w:p w:rsidR="005A7957" w:rsidRDefault="00A05EAF">
      <w:pPr>
        <w:pStyle w:val="ac"/>
        <w:spacing w:line="600" w:lineRule="exact"/>
        <w:jc w:val="left"/>
        <w:rPr>
          <w:rFonts w:eastAsia="仿宋_GB2312" w:cs="仿宋_GB2312"/>
          <w:b/>
          <w:bCs/>
          <w:sz w:val="32"/>
          <w:szCs w:val="32"/>
        </w:rPr>
      </w:pPr>
      <w:r>
        <w:rPr>
          <w:rFonts w:eastAsiaTheme="minorEastAsia" w:hint="eastAsia"/>
          <w:noProof/>
        </w:rPr>
        <w:lastRenderedPageBreak/>
        <w:drawing>
          <wp:anchor distT="0" distB="0" distL="114300" distR="114300" simplePos="0" relativeHeight="251661312" behindDoc="0" locked="0" layoutInCell="1" allowOverlap="1">
            <wp:simplePos x="0" y="0"/>
            <wp:positionH relativeFrom="column">
              <wp:posOffset>119380</wp:posOffset>
            </wp:positionH>
            <wp:positionV relativeFrom="paragraph">
              <wp:posOffset>52070</wp:posOffset>
            </wp:positionV>
            <wp:extent cx="5256530" cy="2988310"/>
            <wp:effectExtent l="5080" t="4445" r="15240" b="1714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5A7957">
      <w:pPr>
        <w:pStyle w:val="ac"/>
        <w:spacing w:line="600" w:lineRule="exact"/>
        <w:ind w:firstLine="643"/>
        <w:jc w:val="left"/>
        <w:rPr>
          <w:rFonts w:eastAsia="仿宋_GB2312" w:cs="仿宋_GB2312"/>
          <w:b/>
          <w:bCs/>
          <w:sz w:val="32"/>
          <w:szCs w:val="32"/>
        </w:rPr>
      </w:pPr>
    </w:p>
    <w:p w:rsidR="005A7957" w:rsidRDefault="00A05EAF">
      <w:pPr>
        <w:spacing w:line="600" w:lineRule="exact"/>
        <w:ind w:firstLineChars="250" w:firstLine="800"/>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2</w:t>
      </w:r>
      <w:r>
        <w:rPr>
          <w:rFonts w:eastAsia="仿宋_GB2312" w:cs="仿宋_GB2312" w:hint="eastAsia"/>
          <w:sz w:val="32"/>
          <w:szCs w:val="32"/>
        </w:rPr>
        <w:t>：收入决算结构图）</w:t>
      </w:r>
    </w:p>
    <w:p w:rsidR="005A7957" w:rsidRDefault="00A05EAF">
      <w:pPr>
        <w:pStyle w:val="ac"/>
        <w:spacing w:line="600" w:lineRule="exact"/>
        <w:ind w:firstLine="640"/>
        <w:outlineLvl w:val="1"/>
        <w:rPr>
          <w:rStyle w:val="2Char"/>
          <w:rFonts w:ascii="Times New Roman" w:eastAsia="黑体" w:hAnsi="Times New Roman"/>
          <w:b w:val="0"/>
        </w:rPr>
      </w:pPr>
      <w:bookmarkStart w:id="34" w:name="_Toc15396605"/>
      <w:bookmarkStart w:id="35" w:name="_Toc15377207"/>
      <w:bookmarkStart w:id="36" w:name="_Toc1246428744"/>
      <w:r>
        <w:rPr>
          <w:rFonts w:eastAsia="黑体" w:hint="eastAsia"/>
          <w:sz w:val="32"/>
          <w:szCs w:val="32"/>
        </w:rPr>
        <w:t>三、支</w:t>
      </w:r>
      <w:r>
        <w:rPr>
          <w:rStyle w:val="2Char"/>
          <w:rFonts w:ascii="Times New Roman" w:eastAsia="黑体" w:hAnsi="Times New Roman" w:hint="eastAsia"/>
          <w:b w:val="0"/>
        </w:rPr>
        <w:t>出决算情况说明</w:t>
      </w:r>
      <w:bookmarkEnd w:id="34"/>
      <w:bookmarkEnd w:id="35"/>
      <w:bookmarkEnd w:id="36"/>
    </w:p>
    <w:p w:rsidR="005A7957" w:rsidRDefault="00A05EAF">
      <w:pPr>
        <w:pStyle w:val="ac"/>
        <w:spacing w:line="600" w:lineRule="exact"/>
        <w:ind w:firstLine="640"/>
        <w:jc w:val="left"/>
        <w:outlineLvl w:val="1"/>
        <w:rPr>
          <w:rFonts w:ascii="仿宋_GB2312" w:eastAsia="仿宋_GB2312" w:hAnsi="仿宋_GB2312" w:cs="仿宋_GB2312"/>
          <w:sz w:val="32"/>
          <w:szCs w:val="32"/>
        </w:rPr>
      </w:pPr>
      <w:bookmarkStart w:id="37" w:name="_Toc644619073"/>
      <w:r>
        <w:rPr>
          <w:rFonts w:ascii="仿宋_GB2312" w:eastAsia="仿宋_GB2312" w:hAnsi="仿宋_GB2312" w:cs="仿宋_GB2312" w:hint="eastAsia"/>
          <w:noProof/>
          <w:sz w:val="32"/>
          <w:szCs w:val="32"/>
        </w:rPr>
        <w:drawing>
          <wp:anchor distT="0" distB="0" distL="114300" distR="114300" simplePos="0" relativeHeight="251662336" behindDoc="0" locked="0" layoutInCell="1" allowOverlap="1">
            <wp:simplePos x="0" y="0"/>
            <wp:positionH relativeFrom="column">
              <wp:posOffset>219075</wp:posOffset>
            </wp:positionH>
            <wp:positionV relativeFrom="paragraph">
              <wp:posOffset>1774825</wp:posOffset>
            </wp:positionV>
            <wp:extent cx="5257800" cy="2276475"/>
            <wp:effectExtent l="19050" t="0" r="19050" b="0"/>
            <wp:wrapSquare wrapText="bothSides"/>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仿宋_GB2312" w:eastAsia="仿宋_GB2312" w:hAnsi="仿宋_GB2312" w:cs="仿宋_GB2312" w:hint="eastAsia"/>
          <w:sz w:val="32"/>
          <w:szCs w:val="32"/>
        </w:rPr>
        <w:t>2024年度本年支出合计2018.26万元，其中：基本支出1258.85万元，占62.37%；项目支出759.41万元，占37.63%；上缴上级支出0万元，占0%；经营支出0万元，占0%；对附属单位补助支出0万元，占0%。</w:t>
      </w:r>
      <w:bookmarkEnd w:id="37"/>
    </w:p>
    <w:p w:rsidR="005A7957" w:rsidRDefault="00A05EAF">
      <w:pPr>
        <w:spacing w:line="600" w:lineRule="exact"/>
        <w:ind w:firstLineChars="250" w:firstLine="800"/>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3</w:t>
      </w:r>
      <w:r>
        <w:rPr>
          <w:rFonts w:eastAsia="仿宋_GB2312" w:cs="仿宋_GB2312" w:hint="eastAsia"/>
          <w:sz w:val="32"/>
          <w:szCs w:val="32"/>
        </w:rPr>
        <w:t>：支出决算结构图）</w:t>
      </w:r>
    </w:p>
    <w:p w:rsidR="005A7957" w:rsidRDefault="00A05EAF">
      <w:pPr>
        <w:spacing w:line="600" w:lineRule="exact"/>
        <w:ind w:firstLineChars="200" w:firstLine="640"/>
        <w:outlineLvl w:val="1"/>
        <w:rPr>
          <w:rStyle w:val="2Char"/>
          <w:rFonts w:ascii="Times New Roman" w:eastAsia="黑体" w:hAnsi="Times New Roman"/>
          <w:b w:val="0"/>
        </w:rPr>
      </w:pPr>
      <w:bookmarkStart w:id="38" w:name="_Toc15377208"/>
      <w:bookmarkStart w:id="39" w:name="_Toc15396606"/>
      <w:bookmarkStart w:id="40" w:name="_Toc31167282"/>
      <w:r>
        <w:rPr>
          <w:rFonts w:eastAsia="黑体" w:hint="eastAsia"/>
          <w:sz w:val="32"/>
          <w:szCs w:val="32"/>
        </w:rPr>
        <w:t>四、财</w:t>
      </w:r>
      <w:r>
        <w:rPr>
          <w:rStyle w:val="2Char"/>
          <w:rFonts w:ascii="Times New Roman" w:eastAsia="黑体" w:hAnsi="Times New Roman" w:hint="eastAsia"/>
          <w:b w:val="0"/>
        </w:rPr>
        <w:t>政拨款收入支出决算总体情况说明</w:t>
      </w:r>
      <w:bookmarkEnd w:id="38"/>
      <w:bookmarkEnd w:id="39"/>
      <w:bookmarkEnd w:id="40"/>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lastRenderedPageBreak/>
        <w:t>2024</w:t>
      </w:r>
      <w:r>
        <w:rPr>
          <w:rFonts w:eastAsia="仿宋_GB2312" w:cs="仿宋_GB2312" w:hint="eastAsia"/>
          <w:sz w:val="32"/>
          <w:szCs w:val="32"/>
        </w:rPr>
        <w:t>年度财政拨款收入、支出总计均为</w:t>
      </w:r>
      <w:r>
        <w:rPr>
          <w:rFonts w:ascii="仿宋_GB2312" w:eastAsia="仿宋_GB2312" w:hAnsi="仿宋_GB2312" w:cs="仿宋_GB2312" w:hint="eastAsia"/>
          <w:sz w:val="32"/>
          <w:szCs w:val="32"/>
        </w:rPr>
        <w:t>1951.95</w:t>
      </w:r>
      <w:r>
        <w:rPr>
          <w:rFonts w:eastAsia="仿宋_GB2312" w:cs="仿宋_GB2312" w:hint="eastAsia"/>
          <w:sz w:val="32"/>
          <w:szCs w:val="32"/>
        </w:rPr>
        <w:t>万元。与</w:t>
      </w:r>
      <w:r>
        <w:rPr>
          <w:rFonts w:eastAsia="仿宋_GB2312" w:cs="仿宋_GB2312" w:hint="eastAsia"/>
          <w:sz w:val="32"/>
          <w:szCs w:val="32"/>
        </w:rPr>
        <w:t>2023</w:t>
      </w:r>
      <w:r>
        <w:rPr>
          <w:rFonts w:eastAsia="仿宋_GB2312" w:cs="仿宋_GB2312" w:hint="eastAsia"/>
          <w:sz w:val="32"/>
          <w:szCs w:val="32"/>
        </w:rPr>
        <w:t>年度相比，财政拨款收入总计、支出总计各增加</w:t>
      </w:r>
      <w:r>
        <w:rPr>
          <w:rFonts w:eastAsia="仿宋_GB2312" w:cs="仿宋_GB2312" w:hint="eastAsia"/>
          <w:sz w:val="32"/>
          <w:szCs w:val="32"/>
        </w:rPr>
        <w:t>367.09</w:t>
      </w:r>
      <w:r>
        <w:rPr>
          <w:rFonts w:eastAsia="仿宋_GB2312" w:cs="仿宋_GB2312" w:hint="eastAsia"/>
          <w:sz w:val="32"/>
          <w:szCs w:val="32"/>
        </w:rPr>
        <w:t>万元，增长</w:t>
      </w:r>
      <w:r>
        <w:rPr>
          <w:rFonts w:eastAsia="仿宋_GB2312" w:cs="仿宋_GB2312" w:hint="eastAsia"/>
          <w:sz w:val="32"/>
          <w:szCs w:val="32"/>
        </w:rPr>
        <w:t>23.16%</w:t>
      </w:r>
      <w:r>
        <w:rPr>
          <w:rFonts w:eastAsia="仿宋_GB2312" w:cs="仿宋_GB2312" w:hint="eastAsia"/>
          <w:sz w:val="32"/>
          <w:szCs w:val="32"/>
        </w:rPr>
        <w:t>。主要变动原因是</w:t>
      </w:r>
      <w:r>
        <w:rPr>
          <w:rFonts w:eastAsia="仿宋_GB2312" w:cs="仿宋_GB2312" w:hint="eastAsia"/>
          <w:sz w:val="32"/>
          <w:szCs w:val="32"/>
        </w:rPr>
        <w:t>2024</w:t>
      </w:r>
      <w:r>
        <w:rPr>
          <w:rFonts w:eastAsia="仿宋_GB2312" w:cs="仿宋_GB2312" w:hint="eastAsia"/>
          <w:sz w:val="32"/>
          <w:szCs w:val="32"/>
        </w:rPr>
        <w:t>年预算项目收入、支出增加。</w:t>
      </w:r>
    </w:p>
    <w:p w:rsidR="005A7957" w:rsidRDefault="00A05EAF">
      <w:pPr>
        <w:spacing w:line="600" w:lineRule="exact"/>
        <w:rPr>
          <w:rFonts w:eastAsia="仿宋_GB2312" w:cs="仿宋_GB2312"/>
          <w:sz w:val="32"/>
          <w:szCs w:val="32"/>
        </w:rPr>
      </w:pPr>
      <w:r>
        <w:rPr>
          <w:noProof/>
        </w:rPr>
        <w:drawing>
          <wp:anchor distT="0" distB="0" distL="0" distR="0" simplePos="0" relativeHeight="251664384" behindDoc="0" locked="0" layoutInCell="1" allowOverlap="1">
            <wp:simplePos x="0" y="0"/>
            <wp:positionH relativeFrom="column">
              <wp:posOffset>47625</wp:posOffset>
            </wp:positionH>
            <wp:positionV relativeFrom="paragraph">
              <wp:posOffset>257175</wp:posOffset>
            </wp:positionV>
            <wp:extent cx="5274310" cy="3076575"/>
            <wp:effectExtent l="19050" t="0" r="21590" b="0"/>
            <wp:wrapNone/>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5A7957">
      <w:pPr>
        <w:pStyle w:val="a8"/>
        <w:spacing w:line="600" w:lineRule="exact"/>
      </w:pPr>
    </w:p>
    <w:p w:rsidR="005A7957" w:rsidRDefault="005A7957">
      <w:pPr>
        <w:spacing w:line="600" w:lineRule="exact"/>
        <w:jc w:val="center"/>
        <w:rPr>
          <w:rFonts w:eastAsia="仿宋_GB2312" w:cs="仿宋_GB2312"/>
          <w:sz w:val="32"/>
          <w:szCs w:val="32"/>
        </w:rPr>
      </w:pPr>
    </w:p>
    <w:p w:rsidR="005A7957" w:rsidRDefault="00A05EAF">
      <w:pPr>
        <w:spacing w:line="600" w:lineRule="exact"/>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4</w:t>
      </w:r>
      <w:r>
        <w:rPr>
          <w:rFonts w:eastAsia="仿宋_GB2312" w:cs="仿宋_GB2312" w:hint="eastAsia"/>
          <w:sz w:val="32"/>
          <w:szCs w:val="32"/>
        </w:rPr>
        <w:t>：财政拨款收、支决算总计变动情况）</w:t>
      </w:r>
    </w:p>
    <w:p w:rsidR="005A7957" w:rsidRDefault="00A05EAF">
      <w:pPr>
        <w:spacing w:line="600" w:lineRule="exact"/>
        <w:ind w:firstLineChars="200" w:firstLine="640"/>
        <w:outlineLvl w:val="1"/>
        <w:rPr>
          <w:rStyle w:val="2Char"/>
          <w:rFonts w:ascii="Times New Roman" w:eastAsia="黑体" w:hAnsi="Times New Roman"/>
          <w:b w:val="0"/>
        </w:rPr>
      </w:pPr>
      <w:bookmarkStart w:id="41" w:name="_Toc15377209"/>
      <w:bookmarkStart w:id="42" w:name="_Toc15396607"/>
      <w:bookmarkStart w:id="43" w:name="_Toc1362510571"/>
      <w:r>
        <w:rPr>
          <w:rFonts w:eastAsia="黑体" w:hint="eastAsia"/>
          <w:sz w:val="32"/>
          <w:szCs w:val="32"/>
        </w:rPr>
        <w:t>五、</w:t>
      </w:r>
      <w:r>
        <w:rPr>
          <w:rFonts w:eastAsia="黑体" w:hint="eastAsia"/>
          <w:b/>
          <w:sz w:val="32"/>
          <w:szCs w:val="32"/>
        </w:rPr>
        <w:t>一</w:t>
      </w:r>
      <w:r>
        <w:rPr>
          <w:rStyle w:val="2Char"/>
          <w:rFonts w:ascii="Times New Roman" w:eastAsia="黑体" w:hAnsi="Times New Roman" w:hint="eastAsia"/>
          <w:b w:val="0"/>
        </w:rPr>
        <w:t>般公共预算财政拨款支出决算情况说明</w:t>
      </w:r>
      <w:bookmarkEnd w:id="41"/>
      <w:bookmarkEnd w:id="42"/>
      <w:bookmarkEnd w:id="43"/>
    </w:p>
    <w:p w:rsidR="005A7957" w:rsidRDefault="00A05EAF" w:rsidP="005A7957">
      <w:pPr>
        <w:spacing w:line="600" w:lineRule="exact"/>
        <w:ind w:firstLineChars="200" w:firstLine="640"/>
        <w:outlineLvl w:val="2"/>
        <w:rPr>
          <w:rFonts w:eastAsia="楷体_GB2312" w:cs="楷体_GB2312"/>
          <w:b/>
          <w:sz w:val="32"/>
          <w:szCs w:val="32"/>
        </w:rPr>
      </w:pPr>
      <w:bookmarkStart w:id="44" w:name="_Toc15377210"/>
      <w:r>
        <w:rPr>
          <w:rFonts w:eastAsia="楷体_GB2312" w:cs="楷体_GB2312" w:hint="eastAsia"/>
          <w:b/>
          <w:sz w:val="32"/>
          <w:szCs w:val="32"/>
        </w:rPr>
        <w:t>（一）一般公共预算财政拨款支出决算总体情况</w:t>
      </w:r>
      <w:bookmarkEnd w:id="44"/>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2024年度一般公共预算财政拨款支出1951.03万元，占本年支出合计的96.67%。与2023年度相比，一般公共预算财政拨款支出增加367.09万元，增长23.18%。主要变动原因是2024年预算项目支出增加。</w:t>
      </w:r>
    </w:p>
    <w:p w:rsidR="005A7957" w:rsidRDefault="005A7957">
      <w:pPr>
        <w:pStyle w:val="a8"/>
        <w:spacing w:line="600" w:lineRule="exact"/>
      </w:pPr>
    </w:p>
    <w:p w:rsidR="005A7957" w:rsidRDefault="005A7957" w:rsidP="005A7957">
      <w:pPr>
        <w:pStyle w:val="20"/>
        <w:ind w:left="420"/>
      </w:pPr>
    </w:p>
    <w:p w:rsidR="005A7957" w:rsidRDefault="005A7957" w:rsidP="005A7957">
      <w:pPr>
        <w:pStyle w:val="20"/>
        <w:ind w:left="420"/>
      </w:pPr>
    </w:p>
    <w:p w:rsidR="005A7957" w:rsidRDefault="005A7957" w:rsidP="005A7957">
      <w:pPr>
        <w:pStyle w:val="20"/>
        <w:ind w:left="420"/>
      </w:pPr>
    </w:p>
    <w:p w:rsidR="005A7957" w:rsidRDefault="00A05EAF" w:rsidP="005A7957">
      <w:pPr>
        <w:pStyle w:val="20"/>
        <w:ind w:left="420"/>
      </w:pPr>
      <w:r>
        <w:rPr>
          <w:rFonts w:hint="eastAsia"/>
          <w:noProof/>
        </w:rPr>
        <w:lastRenderedPageBreak/>
        <w:drawing>
          <wp:anchor distT="0" distB="0" distL="0" distR="0" simplePos="0" relativeHeight="251665408" behindDoc="0" locked="0" layoutInCell="1" allowOverlap="1">
            <wp:simplePos x="0" y="0"/>
            <wp:positionH relativeFrom="column">
              <wp:posOffset>142875</wp:posOffset>
            </wp:positionH>
            <wp:positionV relativeFrom="paragraph">
              <wp:posOffset>120015</wp:posOffset>
            </wp:positionV>
            <wp:extent cx="5274310" cy="3076575"/>
            <wp:effectExtent l="19050" t="0" r="2159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A7957" w:rsidRDefault="005A7957" w:rsidP="005A7957">
      <w:pPr>
        <w:pStyle w:val="20"/>
        <w:ind w:left="420"/>
      </w:pPr>
    </w:p>
    <w:p w:rsidR="005A7957" w:rsidRDefault="005A7957">
      <w:pPr>
        <w:pStyle w:val="20"/>
        <w:spacing w:line="600" w:lineRule="exact"/>
        <w:ind w:left="420"/>
      </w:pPr>
    </w:p>
    <w:p w:rsidR="005A7957" w:rsidRDefault="005A7957">
      <w:pPr>
        <w:spacing w:line="600" w:lineRule="exact"/>
        <w:jc w:val="center"/>
        <w:rPr>
          <w:rFonts w:eastAsia="仿宋_GB2312" w:cs="仿宋_GB2312"/>
          <w:sz w:val="32"/>
          <w:szCs w:val="32"/>
        </w:rPr>
      </w:pPr>
    </w:p>
    <w:p w:rsidR="005A7957" w:rsidRDefault="005A7957">
      <w:pPr>
        <w:spacing w:line="600" w:lineRule="exact"/>
        <w:jc w:val="center"/>
        <w:rPr>
          <w:rFonts w:eastAsia="仿宋_GB2312" w:cs="仿宋_GB2312"/>
          <w:sz w:val="32"/>
          <w:szCs w:val="32"/>
        </w:rPr>
      </w:pPr>
    </w:p>
    <w:p w:rsidR="005A7957" w:rsidRDefault="005A7957">
      <w:pPr>
        <w:spacing w:line="600" w:lineRule="exact"/>
        <w:jc w:val="center"/>
        <w:rPr>
          <w:rFonts w:eastAsia="仿宋_GB2312" w:cs="仿宋_GB2312"/>
          <w:sz w:val="32"/>
          <w:szCs w:val="32"/>
        </w:rPr>
      </w:pPr>
    </w:p>
    <w:p w:rsidR="005A7957" w:rsidRDefault="005A7957">
      <w:pPr>
        <w:spacing w:line="600" w:lineRule="exact"/>
        <w:jc w:val="center"/>
        <w:rPr>
          <w:rFonts w:eastAsia="仿宋_GB2312" w:cs="仿宋_GB2312"/>
          <w:sz w:val="32"/>
          <w:szCs w:val="32"/>
        </w:rPr>
      </w:pPr>
    </w:p>
    <w:p w:rsidR="005A7957" w:rsidRDefault="005A7957">
      <w:pPr>
        <w:spacing w:line="600" w:lineRule="exact"/>
        <w:jc w:val="center"/>
        <w:rPr>
          <w:rFonts w:eastAsia="仿宋_GB2312" w:cs="仿宋_GB2312"/>
          <w:sz w:val="32"/>
          <w:szCs w:val="32"/>
        </w:rPr>
      </w:pPr>
    </w:p>
    <w:p w:rsidR="005A7957" w:rsidRDefault="005A7957">
      <w:pPr>
        <w:spacing w:line="600" w:lineRule="exact"/>
        <w:jc w:val="center"/>
        <w:rPr>
          <w:rFonts w:eastAsia="仿宋_GB2312" w:cs="仿宋_GB2312"/>
          <w:sz w:val="32"/>
          <w:szCs w:val="32"/>
        </w:rPr>
      </w:pPr>
    </w:p>
    <w:p w:rsidR="005A7957" w:rsidRDefault="00A05EAF">
      <w:pPr>
        <w:spacing w:line="600" w:lineRule="exact"/>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5</w:t>
      </w:r>
      <w:r>
        <w:rPr>
          <w:rFonts w:eastAsia="仿宋_GB2312" w:cs="仿宋_GB2312" w:hint="eastAsia"/>
          <w:sz w:val="32"/>
          <w:szCs w:val="32"/>
        </w:rPr>
        <w:t>：一般公共预算财政拨款支出决算变动情况）</w:t>
      </w:r>
    </w:p>
    <w:p w:rsidR="005A7957" w:rsidRDefault="00A05EAF" w:rsidP="005A7957">
      <w:pPr>
        <w:spacing w:line="600" w:lineRule="exact"/>
        <w:ind w:firstLineChars="200" w:firstLine="640"/>
        <w:outlineLvl w:val="2"/>
        <w:rPr>
          <w:rFonts w:eastAsia="楷体_GB2312" w:cs="楷体_GB2312"/>
          <w:b/>
          <w:sz w:val="32"/>
          <w:szCs w:val="32"/>
        </w:rPr>
      </w:pPr>
      <w:bookmarkStart w:id="45" w:name="_Toc15377211"/>
      <w:r>
        <w:rPr>
          <w:rFonts w:eastAsia="楷体_GB2312" w:cs="楷体_GB2312" w:hint="eastAsia"/>
          <w:b/>
          <w:sz w:val="32"/>
          <w:szCs w:val="32"/>
        </w:rPr>
        <w:t>（二）一般公共预算财政拨款支出决算结构情况</w:t>
      </w:r>
      <w:bookmarkEnd w:id="45"/>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年度一般公共预算财政拨款支出</w:t>
      </w:r>
      <w:r>
        <w:rPr>
          <w:rFonts w:ascii="仿宋_GB2312" w:eastAsia="仿宋_GB2312" w:hAnsi="仿宋_GB2312" w:cs="仿宋_GB2312" w:hint="eastAsia"/>
          <w:sz w:val="32"/>
          <w:szCs w:val="32"/>
        </w:rPr>
        <w:t>1951.03万元</w:t>
      </w:r>
      <w:r>
        <w:rPr>
          <w:rFonts w:eastAsia="仿宋_GB2312" w:cs="仿宋_GB2312" w:hint="eastAsia"/>
          <w:sz w:val="32"/>
          <w:szCs w:val="32"/>
        </w:rPr>
        <w:t>，主要用于以下方面：一般公共服务支出</w:t>
      </w:r>
      <w:r>
        <w:rPr>
          <w:rFonts w:eastAsia="仿宋_GB2312" w:cs="仿宋_GB2312" w:hint="eastAsia"/>
          <w:sz w:val="32"/>
          <w:szCs w:val="32"/>
        </w:rPr>
        <w:t>1052.23</w:t>
      </w:r>
      <w:r>
        <w:rPr>
          <w:rFonts w:eastAsia="仿宋_GB2312" w:cs="仿宋_GB2312" w:hint="eastAsia"/>
          <w:sz w:val="32"/>
          <w:szCs w:val="32"/>
        </w:rPr>
        <w:t>万元，占</w:t>
      </w:r>
      <w:r>
        <w:rPr>
          <w:rFonts w:eastAsia="仿宋_GB2312" w:cs="仿宋_GB2312" w:hint="eastAsia"/>
          <w:sz w:val="32"/>
          <w:szCs w:val="32"/>
        </w:rPr>
        <w:t>53.93%</w:t>
      </w:r>
      <w:r>
        <w:rPr>
          <w:rFonts w:eastAsia="仿宋_GB2312" w:cs="仿宋_GB2312" w:hint="eastAsia"/>
          <w:sz w:val="32"/>
          <w:szCs w:val="32"/>
        </w:rPr>
        <w:t>；公共安全支出</w:t>
      </w:r>
      <w:r>
        <w:rPr>
          <w:rFonts w:eastAsia="仿宋_GB2312" w:cs="仿宋_GB2312" w:hint="eastAsia"/>
          <w:sz w:val="32"/>
          <w:szCs w:val="32"/>
        </w:rPr>
        <w:t>1.94</w:t>
      </w:r>
      <w:r>
        <w:rPr>
          <w:rFonts w:eastAsia="仿宋_GB2312" w:cs="仿宋_GB2312" w:hint="eastAsia"/>
          <w:sz w:val="32"/>
          <w:szCs w:val="32"/>
        </w:rPr>
        <w:t>万元，占</w:t>
      </w:r>
      <w:r>
        <w:rPr>
          <w:rFonts w:eastAsia="仿宋_GB2312" w:cs="仿宋_GB2312" w:hint="eastAsia"/>
          <w:sz w:val="32"/>
          <w:szCs w:val="32"/>
        </w:rPr>
        <w:t>0.1%</w:t>
      </w:r>
      <w:r>
        <w:rPr>
          <w:rFonts w:eastAsia="仿宋_GB2312" w:cs="仿宋_GB2312" w:hint="eastAsia"/>
          <w:sz w:val="32"/>
          <w:szCs w:val="32"/>
        </w:rPr>
        <w:t>；文化旅游体育与传媒支出</w:t>
      </w:r>
      <w:r>
        <w:rPr>
          <w:rFonts w:eastAsia="仿宋_GB2312" w:cs="仿宋_GB2312" w:hint="eastAsia"/>
          <w:sz w:val="32"/>
          <w:szCs w:val="32"/>
        </w:rPr>
        <w:t>34.39</w:t>
      </w:r>
      <w:r>
        <w:rPr>
          <w:rFonts w:eastAsia="仿宋_GB2312" w:cs="仿宋_GB2312" w:hint="eastAsia"/>
          <w:sz w:val="32"/>
          <w:szCs w:val="32"/>
        </w:rPr>
        <w:t>万元，占</w:t>
      </w:r>
      <w:r>
        <w:rPr>
          <w:rFonts w:eastAsia="仿宋_GB2312" w:cs="仿宋_GB2312" w:hint="eastAsia"/>
          <w:sz w:val="32"/>
          <w:szCs w:val="32"/>
        </w:rPr>
        <w:t>1.76%</w:t>
      </w:r>
      <w:r>
        <w:rPr>
          <w:rFonts w:eastAsia="仿宋_GB2312" w:cs="仿宋_GB2312" w:hint="eastAsia"/>
          <w:sz w:val="32"/>
          <w:szCs w:val="32"/>
        </w:rPr>
        <w:t>；社会保障和就业支出</w:t>
      </w:r>
      <w:r>
        <w:rPr>
          <w:rFonts w:eastAsia="仿宋_GB2312" w:cs="仿宋_GB2312" w:hint="eastAsia"/>
          <w:sz w:val="32"/>
          <w:szCs w:val="32"/>
        </w:rPr>
        <w:t>188.02</w:t>
      </w:r>
      <w:r>
        <w:rPr>
          <w:rFonts w:eastAsia="仿宋_GB2312" w:cs="仿宋_GB2312" w:hint="eastAsia"/>
          <w:sz w:val="32"/>
          <w:szCs w:val="32"/>
        </w:rPr>
        <w:t>万元，占</w:t>
      </w:r>
      <w:r>
        <w:rPr>
          <w:rFonts w:eastAsia="仿宋_GB2312" w:cs="仿宋_GB2312" w:hint="eastAsia"/>
          <w:sz w:val="32"/>
          <w:szCs w:val="32"/>
        </w:rPr>
        <w:t>9.64%</w:t>
      </w:r>
      <w:r>
        <w:rPr>
          <w:rFonts w:eastAsia="仿宋_GB2312" w:cs="仿宋_GB2312" w:hint="eastAsia"/>
          <w:sz w:val="32"/>
          <w:szCs w:val="32"/>
        </w:rPr>
        <w:t>；卫生健康支出</w:t>
      </w:r>
      <w:r>
        <w:rPr>
          <w:rFonts w:eastAsia="仿宋_GB2312" w:cs="仿宋_GB2312" w:hint="eastAsia"/>
          <w:sz w:val="32"/>
          <w:szCs w:val="32"/>
        </w:rPr>
        <w:t>33.84</w:t>
      </w:r>
      <w:r>
        <w:rPr>
          <w:rFonts w:eastAsia="仿宋_GB2312" w:cs="仿宋_GB2312" w:hint="eastAsia"/>
          <w:sz w:val="32"/>
          <w:szCs w:val="32"/>
        </w:rPr>
        <w:t>万元，占</w:t>
      </w:r>
      <w:r>
        <w:rPr>
          <w:rFonts w:eastAsia="仿宋_GB2312" w:cs="仿宋_GB2312" w:hint="eastAsia"/>
          <w:sz w:val="32"/>
          <w:szCs w:val="32"/>
        </w:rPr>
        <w:t>1.73%</w:t>
      </w:r>
      <w:r>
        <w:rPr>
          <w:rFonts w:eastAsia="仿宋_GB2312" w:cs="仿宋_GB2312" w:hint="eastAsia"/>
          <w:sz w:val="32"/>
          <w:szCs w:val="32"/>
        </w:rPr>
        <w:t>；城乡社区支出</w:t>
      </w:r>
      <w:r>
        <w:rPr>
          <w:rFonts w:eastAsia="仿宋_GB2312" w:cs="仿宋_GB2312" w:hint="eastAsia"/>
          <w:sz w:val="32"/>
          <w:szCs w:val="32"/>
        </w:rPr>
        <w:t>61.76</w:t>
      </w:r>
      <w:r>
        <w:rPr>
          <w:rFonts w:eastAsia="仿宋_GB2312" w:cs="仿宋_GB2312" w:hint="eastAsia"/>
          <w:sz w:val="32"/>
          <w:szCs w:val="32"/>
        </w:rPr>
        <w:t>万元，占</w:t>
      </w:r>
      <w:r>
        <w:rPr>
          <w:rFonts w:eastAsia="仿宋_GB2312" w:cs="仿宋_GB2312" w:hint="eastAsia"/>
          <w:sz w:val="32"/>
          <w:szCs w:val="32"/>
        </w:rPr>
        <w:t>3.17%</w:t>
      </w:r>
      <w:r>
        <w:rPr>
          <w:rFonts w:eastAsia="仿宋_GB2312" w:cs="仿宋_GB2312" w:hint="eastAsia"/>
          <w:sz w:val="32"/>
          <w:szCs w:val="32"/>
        </w:rPr>
        <w:t>；农林水支出</w:t>
      </w:r>
      <w:r>
        <w:rPr>
          <w:rFonts w:eastAsia="仿宋_GB2312" w:cs="仿宋_GB2312" w:hint="eastAsia"/>
          <w:sz w:val="32"/>
          <w:szCs w:val="32"/>
        </w:rPr>
        <w:t>512.8</w:t>
      </w:r>
      <w:r>
        <w:rPr>
          <w:rFonts w:eastAsia="仿宋_GB2312" w:cs="仿宋_GB2312" w:hint="eastAsia"/>
          <w:sz w:val="32"/>
          <w:szCs w:val="32"/>
        </w:rPr>
        <w:t>万元，占</w:t>
      </w:r>
      <w:r>
        <w:rPr>
          <w:rFonts w:eastAsia="仿宋_GB2312" w:cs="仿宋_GB2312" w:hint="eastAsia"/>
          <w:sz w:val="32"/>
          <w:szCs w:val="32"/>
        </w:rPr>
        <w:t>26.28%</w:t>
      </w:r>
      <w:r>
        <w:rPr>
          <w:rFonts w:eastAsia="仿宋_GB2312" w:cs="仿宋_GB2312" w:hint="eastAsia"/>
          <w:sz w:val="32"/>
          <w:szCs w:val="32"/>
        </w:rPr>
        <w:t>；交通运输支出</w:t>
      </w:r>
      <w:r>
        <w:rPr>
          <w:rFonts w:eastAsia="仿宋_GB2312" w:cs="仿宋_GB2312" w:hint="eastAsia"/>
          <w:sz w:val="32"/>
          <w:szCs w:val="32"/>
        </w:rPr>
        <w:t>5</w:t>
      </w:r>
      <w:r>
        <w:rPr>
          <w:rFonts w:eastAsia="仿宋_GB2312" w:cs="仿宋_GB2312" w:hint="eastAsia"/>
          <w:sz w:val="32"/>
          <w:szCs w:val="32"/>
        </w:rPr>
        <w:t>万元，占</w:t>
      </w:r>
      <w:r>
        <w:rPr>
          <w:rFonts w:eastAsia="仿宋_GB2312" w:cs="仿宋_GB2312" w:hint="eastAsia"/>
          <w:sz w:val="32"/>
          <w:szCs w:val="32"/>
        </w:rPr>
        <w:t>0.26%</w:t>
      </w:r>
      <w:r>
        <w:rPr>
          <w:rFonts w:eastAsia="仿宋_GB2312" w:cs="仿宋_GB2312" w:hint="eastAsia"/>
          <w:sz w:val="32"/>
          <w:szCs w:val="32"/>
        </w:rPr>
        <w:t>；住房保障支出</w:t>
      </w:r>
      <w:r>
        <w:rPr>
          <w:rFonts w:eastAsia="仿宋_GB2312" w:cs="仿宋_GB2312" w:hint="eastAsia"/>
          <w:sz w:val="32"/>
          <w:szCs w:val="32"/>
        </w:rPr>
        <w:t>61.05</w:t>
      </w:r>
      <w:r>
        <w:rPr>
          <w:rFonts w:eastAsia="仿宋_GB2312" w:cs="仿宋_GB2312" w:hint="eastAsia"/>
          <w:sz w:val="32"/>
          <w:szCs w:val="32"/>
        </w:rPr>
        <w:t>万元，占</w:t>
      </w:r>
      <w:r>
        <w:rPr>
          <w:rFonts w:eastAsia="仿宋_GB2312" w:cs="仿宋_GB2312" w:hint="eastAsia"/>
          <w:sz w:val="32"/>
          <w:szCs w:val="32"/>
        </w:rPr>
        <w:t>3.13%</w:t>
      </w:r>
      <w:r>
        <w:rPr>
          <w:rFonts w:eastAsia="仿宋_GB2312" w:cs="仿宋_GB2312" w:hint="eastAsia"/>
          <w:sz w:val="32"/>
          <w:szCs w:val="32"/>
        </w:rPr>
        <w:t>。</w:t>
      </w:r>
    </w:p>
    <w:p w:rsidR="005A7957" w:rsidRDefault="005A7957">
      <w:pPr>
        <w:spacing w:line="600" w:lineRule="exact"/>
        <w:ind w:firstLine="640"/>
        <w:rPr>
          <w:rFonts w:eastAsia="仿宋_GB2312" w:cs="仿宋_GB2312"/>
          <w:sz w:val="32"/>
          <w:szCs w:val="32"/>
        </w:rPr>
      </w:pPr>
    </w:p>
    <w:p w:rsidR="005A7957" w:rsidRDefault="005A7957">
      <w:pPr>
        <w:spacing w:line="600" w:lineRule="exact"/>
        <w:ind w:firstLine="640"/>
        <w:rPr>
          <w:rFonts w:eastAsia="仿宋_GB2312" w:cs="仿宋_GB2312"/>
          <w:sz w:val="32"/>
          <w:szCs w:val="32"/>
        </w:rPr>
      </w:pPr>
    </w:p>
    <w:p w:rsidR="005A7957" w:rsidRDefault="00A05EAF">
      <w:pPr>
        <w:pStyle w:val="20"/>
        <w:spacing w:line="600" w:lineRule="exact"/>
        <w:ind w:leftChars="0" w:left="0" w:firstLineChars="0" w:firstLine="0"/>
        <w:jc w:val="center"/>
        <w:rPr>
          <w:rFonts w:eastAsia="仿宋_GB2312" w:cs="仿宋_GB2312"/>
          <w:sz w:val="32"/>
        </w:rPr>
      </w:pPr>
      <w:r>
        <w:rPr>
          <w:rFonts w:hint="eastAsia"/>
          <w:noProof/>
        </w:rPr>
        <w:lastRenderedPageBreak/>
        <w:drawing>
          <wp:anchor distT="0" distB="0" distL="114300" distR="114300" simplePos="0" relativeHeight="251663360" behindDoc="0" locked="0" layoutInCell="1" allowOverlap="1">
            <wp:simplePos x="0" y="0"/>
            <wp:positionH relativeFrom="column">
              <wp:posOffset>266700</wp:posOffset>
            </wp:positionH>
            <wp:positionV relativeFrom="paragraph">
              <wp:posOffset>161925</wp:posOffset>
            </wp:positionV>
            <wp:extent cx="4695825" cy="3400425"/>
            <wp:effectExtent l="19050" t="0" r="9525" b="0"/>
            <wp:wrapSquare wrapText="bothSides"/>
            <wp:docPr id="1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eastAsia="仿宋_GB2312" w:cs="仿宋_GB2312" w:hint="eastAsia"/>
          <w:sz w:val="32"/>
        </w:rPr>
        <w:t>（图6：一般公共预算财政拨款支出决算结构）</w:t>
      </w:r>
    </w:p>
    <w:p w:rsidR="005A7957" w:rsidRDefault="00A05EAF" w:rsidP="005A7957">
      <w:pPr>
        <w:spacing w:line="600" w:lineRule="exact"/>
        <w:ind w:firstLineChars="200" w:firstLine="640"/>
        <w:outlineLvl w:val="2"/>
        <w:rPr>
          <w:rFonts w:eastAsia="楷体_GB2312" w:cs="楷体_GB2312"/>
          <w:b/>
          <w:sz w:val="32"/>
          <w:szCs w:val="32"/>
        </w:rPr>
      </w:pPr>
      <w:bookmarkStart w:id="46" w:name="_Toc15377212"/>
      <w:r>
        <w:rPr>
          <w:rFonts w:eastAsia="楷体_GB2312" w:cs="楷体_GB2312" w:hint="eastAsia"/>
          <w:b/>
          <w:sz w:val="32"/>
          <w:szCs w:val="32"/>
        </w:rPr>
        <w:t>（三）一般公共预算财政拨款支出决算具体情况</w:t>
      </w:r>
      <w:bookmarkEnd w:id="46"/>
    </w:p>
    <w:p w:rsidR="005A7957" w:rsidRDefault="00A05EAF">
      <w:pPr>
        <w:spacing w:line="600" w:lineRule="exact"/>
        <w:ind w:firstLine="640"/>
        <w:rPr>
          <w:rFonts w:eastAsia="仿宋_GB2312" w:cs="仿宋_GB2312"/>
          <w:sz w:val="32"/>
          <w:szCs w:val="32"/>
        </w:rPr>
      </w:pPr>
      <w:bookmarkStart w:id="47" w:name="_Toc15377444"/>
      <w:bookmarkStart w:id="48" w:name="_Toc15378460"/>
      <w:bookmarkStart w:id="49" w:name="_Toc15377213"/>
      <w:r>
        <w:rPr>
          <w:rFonts w:eastAsia="仿宋_GB2312" w:cs="仿宋_GB2312" w:hint="eastAsia"/>
          <w:sz w:val="32"/>
          <w:szCs w:val="32"/>
        </w:rPr>
        <w:t>2024</w:t>
      </w:r>
      <w:r>
        <w:rPr>
          <w:rFonts w:eastAsia="仿宋_GB2312" w:cs="仿宋_GB2312" w:hint="eastAsia"/>
          <w:sz w:val="32"/>
          <w:szCs w:val="32"/>
        </w:rPr>
        <w:t>年度一般公共预算财政拨款支出决算数为</w:t>
      </w:r>
      <w:r>
        <w:rPr>
          <w:rFonts w:ascii="仿宋_GB2312" w:eastAsia="仿宋_GB2312" w:hAnsi="仿宋_GB2312" w:cs="仿宋_GB2312" w:hint="eastAsia"/>
          <w:sz w:val="32"/>
          <w:szCs w:val="32"/>
        </w:rPr>
        <w:t>1951.03万元，</w:t>
      </w:r>
      <w:r>
        <w:rPr>
          <w:rFonts w:eastAsia="仿宋_GB2312" w:cs="仿宋_GB2312" w:hint="eastAsia"/>
          <w:sz w:val="32"/>
          <w:szCs w:val="32"/>
        </w:rPr>
        <w:t>完成预算</w:t>
      </w:r>
      <w:r>
        <w:rPr>
          <w:rFonts w:eastAsia="仿宋_GB2312" w:cs="仿宋_GB2312" w:hint="eastAsia"/>
          <w:sz w:val="32"/>
          <w:szCs w:val="32"/>
        </w:rPr>
        <w:t>100%</w:t>
      </w:r>
      <w:r>
        <w:rPr>
          <w:rFonts w:eastAsia="仿宋_GB2312" w:cs="仿宋_GB2312" w:hint="eastAsia"/>
          <w:sz w:val="32"/>
          <w:szCs w:val="32"/>
        </w:rPr>
        <w:t>。其中：</w:t>
      </w:r>
      <w:bookmarkEnd w:id="47"/>
      <w:bookmarkEnd w:id="48"/>
      <w:bookmarkEnd w:id="49"/>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w:t>
      </w:r>
      <w:r>
        <w:rPr>
          <w:rFonts w:eastAsia="仿宋_GB2312" w:cs="仿宋_GB2312" w:hint="eastAsia"/>
          <w:sz w:val="32"/>
          <w:szCs w:val="32"/>
        </w:rPr>
        <w:t>一般公共服务支出（类）人大事务（款）其他人大事务支出（项）：支出决算为</w:t>
      </w:r>
      <w:r>
        <w:rPr>
          <w:rFonts w:eastAsia="仿宋_GB2312" w:cs="仿宋_GB2312" w:hint="eastAsia"/>
          <w:sz w:val="32"/>
          <w:szCs w:val="32"/>
        </w:rPr>
        <w:t>4.5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2.</w:t>
      </w:r>
      <w:r>
        <w:rPr>
          <w:rFonts w:eastAsia="仿宋_GB2312" w:cs="仿宋_GB2312" w:hint="eastAsia"/>
          <w:sz w:val="32"/>
          <w:szCs w:val="32"/>
        </w:rPr>
        <w:t>一般公共服务支出（类）政府办公厅（室）及相关机构事务（款）行政运行（项）：支出决算为</w:t>
      </w:r>
      <w:r>
        <w:rPr>
          <w:rFonts w:eastAsia="仿宋_GB2312" w:cs="仿宋_GB2312" w:hint="eastAsia"/>
          <w:sz w:val="32"/>
          <w:szCs w:val="32"/>
        </w:rPr>
        <w:t>497.69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3.</w:t>
      </w:r>
      <w:r>
        <w:rPr>
          <w:rFonts w:eastAsia="仿宋_GB2312" w:cs="仿宋_GB2312" w:hint="eastAsia"/>
          <w:sz w:val="32"/>
          <w:szCs w:val="32"/>
        </w:rPr>
        <w:t>一般公共服务支出（类）政府办公厅（室）及相关机构事务（款）一般行政管理事务（项）：支出决算为</w:t>
      </w:r>
      <w:r>
        <w:rPr>
          <w:rFonts w:eastAsia="仿宋_GB2312" w:cs="仿宋_GB2312" w:hint="eastAsia"/>
          <w:sz w:val="32"/>
          <w:szCs w:val="32"/>
        </w:rPr>
        <w:t>449.04</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4.</w:t>
      </w:r>
      <w:r>
        <w:rPr>
          <w:rFonts w:eastAsia="仿宋_GB2312" w:cs="仿宋_GB2312" w:hint="eastAsia"/>
          <w:sz w:val="32"/>
          <w:szCs w:val="32"/>
        </w:rPr>
        <w:t>一般公共服务支出（类）政府办公厅（室）及相关机</w:t>
      </w:r>
      <w:r>
        <w:rPr>
          <w:rFonts w:eastAsia="仿宋_GB2312" w:cs="仿宋_GB2312" w:hint="eastAsia"/>
          <w:sz w:val="32"/>
          <w:szCs w:val="32"/>
        </w:rPr>
        <w:lastRenderedPageBreak/>
        <w:t>构事务（款）事业运行（项）：支出决算为</w:t>
      </w:r>
      <w:r>
        <w:rPr>
          <w:rFonts w:eastAsia="仿宋_GB2312" w:cs="仿宋_GB2312" w:hint="eastAsia"/>
          <w:sz w:val="32"/>
          <w:szCs w:val="32"/>
        </w:rPr>
        <w:t>81.54</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5.</w:t>
      </w:r>
      <w:r>
        <w:rPr>
          <w:rFonts w:eastAsia="仿宋_GB2312" w:cs="仿宋_GB2312" w:hint="eastAsia"/>
          <w:sz w:val="32"/>
          <w:szCs w:val="32"/>
        </w:rPr>
        <w:t>一般公共服务支出（类）群众团体事务（款）其他群众团体事务支出（项）：支出决算为</w:t>
      </w:r>
      <w:r>
        <w:rPr>
          <w:rFonts w:eastAsia="仿宋_GB2312" w:cs="仿宋_GB2312" w:hint="eastAsia"/>
          <w:sz w:val="32"/>
          <w:szCs w:val="32"/>
        </w:rPr>
        <w:t>6.5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6.</w:t>
      </w:r>
      <w:r>
        <w:rPr>
          <w:rFonts w:eastAsia="仿宋_GB2312" w:cs="仿宋_GB2312" w:hint="eastAsia"/>
          <w:sz w:val="32"/>
          <w:szCs w:val="32"/>
        </w:rPr>
        <w:t>一般公共服务支出（类）宣传事务（款）事业运行（项）：支出决算为</w:t>
      </w:r>
      <w:r>
        <w:rPr>
          <w:rFonts w:eastAsia="仿宋_GB2312" w:cs="仿宋_GB2312" w:hint="eastAsia"/>
          <w:sz w:val="32"/>
          <w:szCs w:val="32"/>
        </w:rPr>
        <w:t>5.9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7.</w:t>
      </w:r>
      <w:r>
        <w:rPr>
          <w:rFonts w:eastAsia="仿宋_GB2312" w:cs="仿宋_GB2312" w:hint="eastAsia"/>
          <w:sz w:val="32"/>
          <w:szCs w:val="32"/>
        </w:rPr>
        <w:t>一般公共服务支出（类）其他共产党事务支出（款）其他共产党事务支出（项）：支出决算为</w:t>
      </w:r>
      <w:r>
        <w:rPr>
          <w:rFonts w:eastAsia="仿宋_GB2312" w:cs="仿宋_GB2312" w:hint="eastAsia"/>
          <w:sz w:val="32"/>
          <w:szCs w:val="32"/>
        </w:rPr>
        <w:t>6.7</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8.</w:t>
      </w:r>
      <w:r>
        <w:rPr>
          <w:rFonts w:eastAsia="仿宋_GB2312" w:cs="仿宋_GB2312" w:hint="eastAsia"/>
          <w:sz w:val="32"/>
          <w:szCs w:val="32"/>
        </w:rPr>
        <w:t>一般公共服务支出（类）其他一般公共服务支出（款）其他一般公共服务支出（项）：支出决算为</w:t>
      </w:r>
      <w:r>
        <w:rPr>
          <w:rFonts w:eastAsia="仿宋_GB2312" w:cs="仿宋_GB2312" w:hint="eastAsia"/>
          <w:sz w:val="32"/>
          <w:szCs w:val="32"/>
        </w:rPr>
        <w:t>0.36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9.</w:t>
      </w:r>
      <w:r>
        <w:rPr>
          <w:rFonts w:eastAsia="仿宋_GB2312" w:cs="仿宋_GB2312" w:hint="eastAsia"/>
          <w:sz w:val="32"/>
          <w:szCs w:val="32"/>
        </w:rPr>
        <w:t>公共安全支出（类）公安（款）其他公安支出（项）：支出决算为</w:t>
      </w:r>
      <w:r>
        <w:rPr>
          <w:rFonts w:eastAsia="仿宋_GB2312" w:cs="仿宋_GB2312" w:hint="eastAsia"/>
          <w:sz w:val="32"/>
          <w:szCs w:val="32"/>
        </w:rPr>
        <w:t>1.94</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10.</w:t>
      </w:r>
      <w:r>
        <w:rPr>
          <w:rFonts w:eastAsia="仿宋_GB2312" w:cs="仿宋_GB2312" w:hint="eastAsia"/>
          <w:sz w:val="32"/>
          <w:szCs w:val="32"/>
        </w:rPr>
        <w:t>文化旅游体育与传媒支出（类）文化和旅游（款）其他文化和旅游支出（项）：支出决算为</w:t>
      </w:r>
      <w:r>
        <w:rPr>
          <w:rFonts w:eastAsia="仿宋_GB2312" w:cs="仿宋_GB2312" w:hint="eastAsia"/>
          <w:sz w:val="32"/>
          <w:szCs w:val="32"/>
        </w:rPr>
        <w:t>34.39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pPr>
      <w:r>
        <w:rPr>
          <w:rFonts w:eastAsia="仿宋_GB2312" w:cs="仿宋_GB2312" w:hint="eastAsia"/>
          <w:sz w:val="32"/>
          <w:szCs w:val="32"/>
        </w:rPr>
        <w:t>11.</w:t>
      </w:r>
      <w:r>
        <w:rPr>
          <w:rFonts w:eastAsia="仿宋_GB2312" w:cs="仿宋_GB2312" w:hint="eastAsia"/>
          <w:sz w:val="32"/>
          <w:szCs w:val="32"/>
        </w:rPr>
        <w:t>社会保障和就业支出（类）人力资源和社会保障管理事务（款）其他人力资源和社会保障管理事务支出（项）：支出决算为</w:t>
      </w:r>
      <w:r>
        <w:rPr>
          <w:rFonts w:eastAsia="仿宋_GB2312" w:cs="仿宋_GB2312" w:hint="eastAsia"/>
          <w:sz w:val="32"/>
          <w:szCs w:val="32"/>
        </w:rPr>
        <w:t>0.5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12.</w:t>
      </w:r>
      <w:r>
        <w:rPr>
          <w:rFonts w:eastAsia="仿宋_GB2312" w:cs="仿宋_GB2312" w:hint="eastAsia"/>
          <w:sz w:val="32"/>
          <w:szCs w:val="32"/>
        </w:rPr>
        <w:t>社会保障和就业支出（类）行政事业单位养老支出（款）行政单位离退休（项）：支出决算为</w:t>
      </w:r>
      <w:r>
        <w:rPr>
          <w:rFonts w:eastAsia="仿宋_GB2312" w:cs="仿宋_GB2312" w:hint="eastAsia"/>
          <w:sz w:val="32"/>
          <w:szCs w:val="32"/>
        </w:rPr>
        <w:t>1.33</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lastRenderedPageBreak/>
        <w:t>13.</w:t>
      </w:r>
      <w:r>
        <w:rPr>
          <w:rFonts w:eastAsia="仿宋_GB2312" w:cs="仿宋_GB2312" w:hint="eastAsia"/>
          <w:sz w:val="32"/>
          <w:szCs w:val="32"/>
        </w:rPr>
        <w:t>社会保障和就业支出（类）行政事业单位养老支出（款）事业单位离退休（项）：支出决算为</w:t>
      </w:r>
      <w:r>
        <w:rPr>
          <w:rFonts w:eastAsia="仿宋_GB2312" w:cs="仿宋_GB2312" w:hint="eastAsia"/>
          <w:sz w:val="32"/>
          <w:szCs w:val="32"/>
        </w:rPr>
        <w:t>0.26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14.</w:t>
      </w:r>
      <w:r>
        <w:rPr>
          <w:rFonts w:eastAsia="仿宋_GB2312" w:cs="仿宋_GB2312" w:hint="eastAsia"/>
          <w:sz w:val="32"/>
          <w:szCs w:val="32"/>
        </w:rPr>
        <w:t>社会保障和就业支出（类）行政事业单位养老支出（款）机关事业单位基本养老保险缴费支出（项）：支出决算为</w:t>
      </w:r>
      <w:r>
        <w:rPr>
          <w:rFonts w:eastAsia="仿宋_GB2312" w:cs="仿宋_GB2312" w:hint="eastAsia"/>
          <w:sz w:val="32"/>
          <w:szCs w:val="32"/>
        </w:rPr>
        <w:t>70.18</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15.</w:t>
      </w:r>
      <w:r>
        <w:rPr>
          <w:rFonts w:eastAsia="仿宋_GB2312" w:cs="仿宋_GB2312" w:hint="eastAsia"/>
          <w:sz w:val="32"/>
          <w:szCs w:val="32"/>
        </w:rPr>
        <w:t>社会保障和就业支出（类）行政事业单位养老支出（款）机关事业单位职业年金缴费支出（项）：支出决算为</w:t>
      </w:r>
      <w:r>
        <w:rPr>
          <w:rFonts w:eastAsia="仿宋_GB2312" w:cs="仿宋_GB2312" w:hint="eastAsia"/>
          <w:sz w:val="32"/>
          <w:szCs w:val="32"/>
        </w:rPr>
        <w:t>33.17</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16.</w:t>
      </w:r>
      <w:r>
        <w:rPr>
          <w:rFonts w:eastAsia="仿宋_GB2312" w:cs="仿宋_GB2312" w:hint="eastAsia"/>
          <w:sz w:val="32"/>
          <w:szCs w:val="32"/>
        </w:rPr>
        <w:t>社会保障和就业支出（类）行政事业单位养老支出（款）其他行政事业单位养老支出（项）：支出决算为</w:t>
      </w:r>
      <w:r>
        <w:rPr>
          <w:rFonts w:eastAsia="仿宋_GB2312" w:cs="仿宋_GB2312" w:hint="eastAsia"/>
          <w:sz w:val="32"/>
          <w:szCs w:val="32"/>
        </w:rPr>
        <w:t>37.89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ascii="宋体" w:hAnsi="宋体" w:cs="宋体"/>
          <w:color w:val="000000"/>
          <w:kern w:val="0"/>
          <w:sz w:val="22"/>
          <w:szCs w:val="22"/>
        </w:rPr>
      </w:pPr>
      <w:r>
        <w:rPr>
          <w:rFonts w:eastAsia="仿宋_GB2312" w:cs="仿宋_GB2312" w:hint="eastAsia"/>
          <w:sz w:val="32"/>
          <w:szCs w:val="32"/>
        </w:rPr>
        <w:t>17.</w:t>
      </w:r>
      <w:r>
        <w:rPr>
          <w:rFonts w:eastAsia="仿宋_GB2312" w:cs="仿宋_GB2312" w:hint="eastAsia"/>
          <w:sz w:val="32"/>
          <w:szCs w:val="32"/>
        </w:rPr>
        <w:t>社会保障和就业支出（类）其他社会保障和就业支出（款）其他社会保障和就业支出（项）：支出决算为</w:t>
      </w:r>
      <w:r>
        <w:rPr>
          <w:rFonts w:eastAsia="仿宋_GB2312" w:cs="仿宋_GB2312" w:hint="eastAsia"/>
          <w:sz w:val="32"/>
          <w:szCs w:val="32"/>
        </w:rPr>
        <w:t>44.69</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18.</w:t>
      </w:r>
      <w:r>
        <w:rPr>
          <w:rFonts w:hint="eastAsia"/>
          <w:color w:val="000000"/>
          <w:sz w:val="22"/>
          <w:szCs w:val="22"/>
        </w:rPr>
        <w:t xml:space="preserve"> </w:t>
      </w:r>
      <w:r>
        <w:rPr>
          <w:rFonts w:eastAsia="仿宋_GB2312" w:cs="仿宋_GB2312" w:hint="eastAsia"/>
          <w:sz w:val="32"/>
          <w:szCs w:val="32"/>
        </w:rPr>
        <w:t>卫生健康支出（类）行政事业单位医疗（款）行政单位医疗（项）：支出决算为</w:t>
      </w:r>
      <w:r>
        <w:rPr>
          <w:rFonts w:eastAsia="仿宋_GB2312" w:cs="仿宋_GB2312" w:hint="eastAsia"/>
          <w:sz w:val="32"/>
          <w:szCs w:val="32"/>
        </w:rPr>
        <w:t>15.36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19.</w:t>
      </w:r>
      <w:r>
        <w:rPr>
          <w:rFonts w:hint="eastAsia"/>
          <w:color w:val="000000"/>
          <w:sz w:val="22"/>
          <w:szCs w:val="22"/>
        </w:rPr>
        <w:t xml:space="preserve"> </w:t>
      </w:r>
      <w:r>
        <w:rPr>
          <w:rFonts w:eastAsia="仿宋_GB2312" w:cs="仿宋_GB2312" w:hint="eastAsia"/>
          <w:sz w:val="32"/>
          <w:szCs w:val="32"/>
        </w:rPr>
        <w:t>卫生健康支出（类）行政事业单位医疗（款）事业单位医疗（项）：支出决算为</w:t>
      </w:r>
      <w:r>
        <w:rPr>
          <w:rFonts w:eastAsia="仿宋_GB2312" w:cs="仿宋_GB2312" w:hint="eastAsia"/>
          <w:sz w:val="32"/>
          <w:szCs w:val="32"/>
        </w:rPr>
        <w:t>6.1</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20.</w:t>
      </w:r>
      <w:r>
        <w:rPr>
          <w:rFonts w:hint="eastAsia"/>
          <w:color w:val="000000"/>
          <w:sz w:val="22"/>
          <w:szCs w:val="22"/>
        </w:rPr>
        <w:t xml:space="preserve"> </w:t>
      </w:r>
      <w:r>
        <w:rPr>
          <w:rFonts w:eastAsia="仿宋_GB2312" w:cs="仿宋_GB2312" w:hint="eastAsia"/>
          <w:sz w:val="32"/>
          <w:szCs w:val="32"/>
        </w:rPr>
        <w:t>卫生健康支出（类）行政事业单位医疗（款）公务员医疗补助（项）：支出决算为</w:t>
      </w:r>
      <w:r>
        <w:rPr>
          <w:rFonts w:eastAsia="仿宋_GB2312" w:cs="仿宋_GB2312" w:hint="eastAsia"/>
          <w:sz w:val="32"/>
          <w:szCs w:val="32"/>
        </w:rPr>
        <w:t>5.56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21.</w:t>
      </w:r>
      <w:r>
        <w:rPr>
          <w:rFonts w:hint="eastAsia"/>
          <w:color w:val="000000"/>
          <w:sz w:val="22"/>
          <w:szCs w:val="22"/>
        </w:rPr>
        <w:t xml:space="preserve"> </w:t>
      </w:r>
      <w:r>
        <w:rPr>
          <w:rFonts w:eastAsia="仿宋_GB2312" w:cs="仿宋_GB2312" w:hint="eastAsia"/>
          <w:sz w:val="32"/>
          <w:szCs w:val="32"/>
        </w:rPr>
        <w:t>卫生健康支出（类）行政事业单位医疗（款）其他行政事业单位医疗支出（项）：支出决算为</w:t>
      </w:r>
      <w:r>
        <w:rPr>
          <w:rFonts w:eastAsia="仿宋_GB2312" w:cs="仿宋_GB2312" w:hint="eastAsia"/>
          <w:sz w:val="32"/>
          <w:szCs w:val="32"/>
        </w:rPr>
        <w:t>6.82</w:t>
      </w:r>
      <w:r>
        <w:rPr>
          <w:rFonts w:eastAsia="仿宋_GB2312" w:cs="仿宋_GB2312" w:hint="eastAsia"/>
          <w:sz w:val="32"/>
          <w:szCs w:val="32"/>
        </w:rPr>
        <w:t>万元，完成</w:t>
      </w:r>
      <w:r>
        <w:rPr>
          <w:rFonts w:eastAsia="仿宋_GB2312" w:cs="仿宋_GB2312" w:hint="eastAsia"/>
          <w:sz w:val="32"/>
          <w:szCs w:val="32"/>
        </w:rPr>
        <w:lastRenderedPageBreak/>
        <w:t>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22.</w:t>
      </w:r>
      <w:r>
        <w:rPr>
          <w:rFonts w:eastAsia="仿宋_GB2312" w:cs="仿宋_GB2312" w:hint="eastAsia"/>
          <w:sz w:val="32"/>
          <w:szCs w:val="32"/>
        </w:rPr>
        <w:t>城乡社区支出（类）城乡社区管理事务（款）其他城乡社区管理事务支出（项）：支出决算为</w:t>
      </w:r>
      <w:r>
        <w:rPr>
          <w:rFonts w:eastAsia="仿宋_GB2312" w:cs="仿宋_GB2312" w:hint="eastAsia"/>
          <w:sz w:val="32"/>
          <w:szCs w:val="32"/>
        </w:rPr>
        <w:t>57.16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23.</w:t>
      </w:r>
      <w:r>
        <w:rPr>
          <w:rFonts w:eastAsia="仿宋_GB2312" w:cs="仿宋_GB2312" w:hint="eastAsia"/>
          <w:sz w:val="32"/>
          <w:szCs w:val="32"/>
        </w:rPr>
        <w:t>城乡社区支出（类）城乡社区环境卫生（款）城乡社区环境卫生（项）：支出决算为</w:t>
      </w:r>
      <w:r>
        <w:rPr>
          <w:rFonts w:eastAsia="仿宋_GB2312" w:cs="仿宋_GB2312" w:hint="eastAsia"/>
          <w:sz w:val="32"/>
          <w:szCs w:val="32"/>
        </w:rPr>
        <w:t>4.6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24.</w:t>
      </w:r>
      <w:r>
        <w:rPr>
          <w:rFonts w:eastAsia="仿宋_GB2312" w:cs="仿宋_GB2312" w:hint="eastAsia"/>
          <w:sz w:val="32"/>
          <w:szCs w:val="32"/>
        </w:rPr>
        <w:t>农林水支出（类）农业农村（款）事业运行（项）：支出决算为</w:t>
      </w:r>
      <w:r>
        <w:rPr>
          <w:rFonts w:eastAsia="仿宋_GB2312" w:cs="仿宋_GB2312" w:hint="eastAsia"/>
          <w:sz w:val="32"/>
          <w:szCs w:val="32"/>
        </w:rPr>
        <w:t>66.26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25.</w:t>
      </w:r>
      <w:r>
        <w:rPr>
          <w:rFonts w:eastAsia="仿宋_GB2312" w:cs="仿宋_GB2312" w:hint="eastAsia"/>
          <w:sz w:val="32"/>
          <w:szCs w:val="32"/>
        </w:rPr>
        <w:t>农林水支出（类）农业农村（款）其他农业农村支出（项）：支出决算为</w:t>
      </w:r>
      <w:r>
        <w:rPr>
          <w:rFonts w:eastAsia="仿宋_GB2312" w:cs="仿宋_GB2312" w:hint="eastAsia"/>
          <w:sz w:val="32"/>
          <w:szCs w:val="32"/>
        </w:rPr>
        <w:t>14.54</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26.</w:t>
      </w:r>
      <w:r>
        <w:rPr>
          <w:rFonts w:eastAsia="仿宋_GB2312" w:cs="仿宋_GB2312" w:hint="eastAsia"/>
          <w:sz w:val="32"/>
          <w:szCs w:val="32"/>
        </w:rPr>
        <w:t>农林水支出（类）农村综合改革（款）对村民委员会和村党支部的补助（项）：支出决算为</w:t>
      </w:r>
      <w:r>
        <w:rPr>
          <w:rFonts w:eastAsia="仿宋_GB2312" w:cs="仿宋_GB2312" w:hint="eastAsia"/>
          <w:sz w:val="32"/>
          <w:szCs w:val="32"/>
        </w:rPr>
        <w:t>356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27.</w:t>
      </w:r>
      <w:r>
        <w:rPr>
          <w:rFonts w:eastAsia="仿宋_GB2312" w:cs="仿宋_GB2312" w:hint="eastAsia"/>
          <w:sz w:val="32"/>
          <w:szCs w:val="32"/>
        </w:rPr>
        <w:t>农林水支出（类）其他农林水支出（款）其他农林水支出（项）：支出决算为</w:t>
      </w:r>
      <w:r>
        <w:rPr>
          <w:rFonts w:eastAsia="仿宋_GB2312" w:cs="仿宋_GB2312" w:hint="eastAsia"/>
          <w:sz w:val="32"/>
          <w:szCs w:val="32"/>
        </w:rPr>
        <w:t>76</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28.</w:t>
      </w:r>
      <w:r>
        <w:rPr>
          <w:rFonts w:eastAsia="仿宋_GB2312" w:cs="仿宋_GB2312" w:hint="eastAsia"/>
          <w:sz w:val="32"/>
          <w:szCs w:val="32"/>
        </w:rPr>
        <w:t>交通运输支出（类）公路水路运输（款）公路养护（项）：支出决算为</w:t>
      </w:r>
      <w:r>
        <w:rPr>
          <w:rFonts w:eastAsia="仿宋_GB2312" w:cs="仿宋_GB2312" w:hint="eastAsia"/>
          <w:sz w:val="32"/>
          <w:szCs w:val="32"/>
        </w:rPr>
        <w:t>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29.</w:t>
      </w:r>
      <w:r>
        <w:rPr>
          <w:rFonts w:eastAsia="仿宋_GB2312" w:cs="仿宋_GB2312" w:hint="eastAsia"/>
          <w:sz w:val="32"/>
          <w:szCs w:val="32"/>
        </w:rPr>
        <w:t>住房保障支出（类）保障性安居工程支出（款）公共租赁住房（项）：支出决算为</w:t>
      </w:r>
      <w:r>
        <w:rPr>
          <w:rFonts w:eastAsia="仿宋_GB2312" w:cs="仿宋_GB2312" w:hint="eastAsia"/>
          <w:sz w:val="32"/>
          <w:szCs w:val="32"/>
        </w:rPr>
        <w:t>2.5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spacing w:line="600" w:lineRule="exact"/>
        <w:ind w:firstLineChars="200" w:firstLine="640"/>
        <w:rPr>
          <w:rFonts w:eastAsia="仿宋_GB2312" w:cs="仿宋_GB2312"/>
          <w:sz w:val="32"/>
          <w:szCs w:val="32"/>
        </w:rPr>
      </w:pPr>
      <w:r>
        <w:rPr>
          <w:rFonts w:eastAsia="仿宋_GB2312" w:cs="仿宋_GB2312" w:hint="eastAsia"/>
          <w:sz w:val="32"/>
          <w:szCs w:val="32"/>
        </w:rPr>
        <w:t>30.</w:t>
      </w:r>
      <w:r>
        <w:rPr>
          <w:rFonts w:eastAsia="仿宋_GB2312" w:cs="仿宋_GB2312" w:hint="eastAsia"/>
          <w:sz w:val="32"/>
          <w:szCs w:val="32"/>
        </w:rPr>
        <w:t>住房保障支出（类）住房改革支出（款）住房公积金（项）：支出决算为</w:t>
      </w:r>
      <w:r>
        <w:rPr>
          <w:rFonts w:eastAsia="仿宋_GB2312" w:cs="仿宋_GB2312" w:hint="eastAsia"/>
          <w:sz w:val="32"/>
          <w:szCs w:val="32"/>
        </w:rPr>
        <w:t>58.55</w:t>
      </w:r>
      <w:r>
        <w:rPr>
          <w:rFonts w:eastAsia="仿宋_GB2312" w:cs="仿宋_GB2312" w:hint="eastAsia"/>
          <w:sz w:val="32"/>
          <w:szCs w:val="32"/>
        </w:rPr>
        <w:t>万元，完成预算</w:t>
      </w:r>
      <w:r>
        <w:rPr>
          <w:rFonts w:eastAsia="仿宋_GB2312" w:cs="仿宋_GB2312" w:hint="eastAsia"/>
          <w:sz w:val="32"/>
          <w:szCs w:val="32"/>
        </w:rPr>
        <w:t>100%</w:t>
      </w:r>
      <w:r>
        <w:rPr>
          <w:rFonts w:eastAsia="仿宋_GB2312" w:cs="仿宋_GB2312" w:hint="eastAsia"/>
          <w:sz w:val="32"/>
          <w:szCs w:val="32"/>
        </w:rPr>
        <w:t>。</w:t>
      </w:r>
    </w:p>
    <w:p w:rsidR="005A7957" w:rsidRDefault="00A05EAF">
      <w:pPr>
        <w:tabs>
          <w:tab w:val="right" w:pos="8306"/>
        </w:tabs>
        <w:spacing w:line="600" w:lineRule="exact"/>
        <w:ind w:firstLine="640"/>
        <w:outlineLvl w:val="1"/>
        <w:rPr>
          <w:rStyle w:val="2Char"/>
          <w:rFonts w:ascii="Times New Roman" w:hAnsi="Times New Roman"/>
        </w:rPr>
      </w:pPr>
      <w:bookmarkStart w:id="50" w:name="_Toc15377214"/>
      <w:bookmarkStart w:id="51" w:name="_Toc1840773204"/>
      <w:bookmarkStart w:id="52" w:name="_Toc15396608"/>
      <w:r>
        <w:rPr>
          <w:rFonts w:eastAsia="黑体" w:hint="eastAsia"/>
          <w:sz w:val="32"/>
          <w:szCs w:val="32"/>
        </w:rPr>
        <w:t>六</w:t>
      </w:r>
      <w:r>
        <w:rPr>
          <w:rFonts w:eastAsia="黑体" w:hint="eastAsia"/>
          <w:b/>
          <w:sz w:val="32"/>
          <w:szCs w:val="32"/>
        </w:rPr>
        <w:t>、一</w:t>
      </w:r>
      <w:r>
        <w:rPr>
          <w:rStyle w:val="2Char"/>
          <w:rFonts w:ascii="Times New Roman" w:eastAsia="黑体" w:hAnsi="Times New Roman" w:hint="eastAsia"/>
          <w:b w:val="0"/>
        </w:rPr>
        <w:t>般公共预算财政拨款基本支出决算情况说明</w:t>
      </w:r>
      <w:bookmarkEnd w:id="50"/>
      <w:bookmarkEnd w:id="51"/>
      <w:bookmarkEnd w:id="52"/>
      <w:r>
        <w:rPr>
          <w:rStyle w:val="2Char"/>
          <w:rFonts w:ascii="Times New Roman" w:eastAsia="黑体" w:hAnsi="Times New Roman"/>
          <w:b w:val="0"/>
        </w:rPr>
        <w:tab/>
      </w:r>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年度一般公共预算财政拨款基本支出</w:t>
      </w:r>
      <w:r>
        <w:rPr>
          <w:rFonts w:ascii="仿宋_GB2312" w:eastAsia="仿宋_GB2312" w:hAnsi="仿宋_GB2312" w:cs="仿宋_GB2312" w:hint="eastAsia"/>
          <w:sz w:val="32"/>
          <w:szCs w:val="32"/>
        </w:rPr>
        <w:t>1258.85万</w:t>
      </w:r>
      <w:r>
        <w:rPr>
          <w:rFonts w:eastAsia="仿宋_GB2312" w:cs="仿宋_GB2312" w:hint="eastAsia"/>
          <w:sz w:val="32"/>
          <w:szCs w:val="32"/>
        </w:rPr>
        <w:t>元，</w:t>
      </w:r>
      <w:r>
        <w:rPr>
          <w:rFonts w:eastAsia="仿宋_GB2312" w:cs="仿宋_GB2312" w:hint="eastAsia"/>
          <w:sz w:val="32"/>
          <w:szCs w:val="32"/>
        </w:rPr>
        <w:lastRenderedPageBreak/>
        <w:t>其中：</w:t>
      </w:r>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人员经费</w:t>
      </w:r>
      <w:r>
        <w:rPr>
          <w:rFonts w:ascii="仿宋_GB2312" w:eastAsia="仿宋_GB2312" w:hAnsi="仿宋_GB2312" w:cs="仿宋_GB2312" w:hint="eastAsia"/>
          <w:sz w:val="32"/>
          <w:szCs w:val="32"/>
        </w:rPr>
        <w:t>1135.76万</w:t>
      </w:r>
      <w:r>
        <w:rPr>
          <w:rFonts w:eastAsia="仿宋_GB2312" w:cs="仿宋_GB2312" w:hint="eastAsia"/>
          <w:sz w:val="32"/>
          <w:szCs w:val="32"/>
        </w:rPr>
        <w:t>元，主要包括：基本工资</w:t>
      </w:r>
      <w:r>
        <w:rPr>
          <w:rFonts w:eastAsia="仿宋_GB2312" w:cs="仿宋_GB2312" w:hint="eastAsia"/>
          <w:sz w:val="32"/>
          <w:szCs w:val="32"/>
        </w:rPr>
        <w:t>145.61</w:t>
      </w:r>
      <w:r>
        <w:rPr>
          <w:rFonts w:eastAsia="仿宋_GB2312" w:cs="仿宋_GB2312" w:hint="eastAsia"/>
          <w:sz w:val="32"/>
          <w:szCs w:val="32"/>
        </w:rPr>
        <w:t>万元、津贴补贴</w:t>
      </w:r>
      <w:r>
        <w:rPr>
          <w:rFonts w:eastAsia="仿宋_GB2312" w:cs="仿宋_GB2312" w:hint="eastAsia"/>
          <w:sz w:val="32"/>
          <w:szCs w:val="32"/>
        </w:rPr>
        <w:t>96.21</w:t>
      </w:r>
      <w:r>
        <w:rPr>
          <w:rFonts w:eastAsia="仿宋_GB2312" w:cs="仿宋_GB2312" w:hint="eastAsia"/>
          <w:sz w:val="32"/>
          <w:szCs w:val="32"/>
        </w:rPr>
        <w:t>万元、奖金</w:t>
      </w:r>
      <w:r>
        <w:rPr>
          <w:rFonts w:eastAsia="仿宋_GB2312" w:cs="仿宋_GB2312" w:hint="eastAsia"/>
          <w:sz w:val="32"/>
          <w:szCs w:val="32"/>
        </w:rPr>
        <w:t>226</w:t>
      </w:r>
      <w:r>
        <w:rPr>
          <w:rFonts w:eastAsia="仿宋_GB2312" w:cs="仿宋_GB2312" w:hint="eastAsia"/>
          <w:sz w:val="32"/>
          <w:szCs w:val="32"/>
        </w:rPr>
        <w:t>万元、绩效工资</w:t>
      </w:r>
      <w:r>
        <w:rPr>
          <w:rFonts w:eastAsia="仿宋_GB2312" w:cs="仿宋_GB2312" w:hint="eastAsia"/>
          <w:sz w:val="32"/>
          <w:szCs w:val="32"/>
        </w:rPr>
        <w:t>41.27</w:t>
      </w:r>
      <w:r>
        <w:rPr>
          <w:rFonts w:eastAsia="仿宋_GB2312" w:cs="仿宋_GB2312" w:hint="eastAsia"/>
          <w:sz w:val="32"/>
          <w:szCs w:val="32"/>
        </w:rPr>
        <w:t>万元、机关事业单位基本养老保险缴费</w:t>
      </w:r>
      <w:r>
        <w:rPr>
          <w:rFonts w:eastAsia="仿宋_GB2312" w:cs="仿宋_GB2312" w:hint="eastAsia"/>
          <w:sz w:val="32"/>
          <w:szCs w:val="32"/>
        </w:rPr>
        <w:t>70.18</w:t>
      </w:r>
      <w:r>
        <w:rPr>
          <w:rFonts w:eastAsia="仿宋_GB2312" w:cs="仿宋_GB2312" w:hint="eastAsia"/>
          <w:sz w:val="32"/>
          <w:szCs w:val="32"/>
        </w:rPr>
        <w:t>万元、职业年金缴费</w:t>
      </w:r>
      <w:r>
        <w:rPr>
          <w:rFonts w:eastAsia="仿宋_GB2312" w:cs="仿宋_GB2312" w:hint="eastAsia"/>
          <w:sz w:val="32"/>
          <w:szCs w:val="32"/>
        </w:rPr>
        <w:t>33.17</w:t>
      </w:r>
      <w:r>
        <w:rPr>
          <w:rFonts w:eastAsia="仿宋_GB2312" w:cs="仿宋_GB2312" w:hint="eastAsia"/>
          <w:sz w:val="32"/>
          <w:szCs w:val="32"/>
        </w:rPr>
        <w:t>万元、职工基本医疗保险缴费</w:t>
      </w:r>
      <w:r>
        <w:rPr>
          <w:rFonts w:eastAsia="仿宋_GB2312" w:cs="仿宋_GB2312" w:hint="eastAsia"/>
          <w:sz w:val="32"/>
          <w:szCs w:val="32"/>
        </w:rPr>
        <w:t>21.46</w:t>
      </w:r>
      <w:r>
        <w:rPr>
          <w:rFonts w:eastAsia="仿宋_GB2312" w:cs="仿宋_GB2312" w:hint="eastAsia"/>
          <w:sz w:val="32"/>
          <w:szCs w:val="32"/>
        </w:rPr>
        <w:t>万元、公务员医疗补助缴费</w:t>
      </w:r>
      <w:r>
        <w:rPr>
          <w:rFonts w:eastAsia="仿宋_GB2312" w:cs="仿宋_GB2312" w:hint="eastAsia"/>
          <w:sz w:val="32"/>
          <w:szCs w:val="32"/>
        </w:rPr>
        <w:t>5.56</w:t>
      </w:r>
      <w:r>
        <w:rPr>
          <w:rFonts w:eastAsia="仿宋_GB2312" w:cs="仿宋_GB2312" w:hint="eastAsia"/>
          <w:sz w:val="32"/>
          <w:szCs w:val="32"/>
        </w:rPr>
        <w:t>万元、其他社会保障缴费</w:t>
      </w:r>
      <w:r>
        <w:rPr>
          <w:rFonts w:eastAsia="仿宋_GB2312" w:cs="仿宋_GB2312" w:hint="eastAsia"/>
          <w:sz w:val="32"/>
          <w:szCs w:val="32"/>
        </w:rPr>
        <w:t>2.42</w:t>
      </w:r>
      <w:r>
        <w:rPr>
          <w:rFonts w:eastAsia="仿宋_GB2312" w:cs="仿宋_GB2312" w:hint="eastAsia"/>
          <w:sz w:val="32"/>
          <w:szCs w:val="32"/>
        </w:rPr>
        <w:t>万元、住房公积金</w:t>
      </w:r>
      <w:r>
        <w:rPr>
          <w:rFonts w:eastAsia="仿宋_GB2312" w:cs="仿宋_GB2312" w:hint="eastAsia"/>
          <w:sz w:val="32"/>
          <w:szCs w:val="32"/>
        </w:rPr>
        <w:t>58.55</w:t>
      </w:r>
      <w:r>
        <w:rPr>
          <w:rFonts w:eastAsia="仿宋_GB2312" w:cs="仿宋_GB2312" w:hint="eastAsia"/>
          <w:sz w:val="32"/>
          <w:szCs w:val="32"/>
        </w:rPr>
        <w:t>万元、医疗费</w:t>
      </w:r>
      <w:r>
        <w:rPr>
          <w:rFonts w:eastAsia="仿宋_GB2312" w:cs="仿宋_GB2312" w:hint="eastAsia"/>
          <w:sz w:val="32"/>
          <w:szCs w:val="32"/>
        </w:rPr>
        <w:t>5.04</w:t>
      </w:r>
      <w:r>
        <w:rPr>
          <w:rFonts w:eastAsia="仿宋_GB2312" w:cs="仿宋_GB2312" w:hint="eastAsia"/>
          <w:sz w:val="32"/>
          <w:szCs w:val="32"/>
        </w:rPr>
        <w:t>万元、其他工资福利支出</w:t>
      </w:r>
      <w:r>
        <w:rPr>
          <w:rFonts w:eastAsia="仿宋_GB2312" w:cs="仿宋_GB2312" w:hint="eastAsia"/>
          <w:sz w:val="32"/>
          <w:szCs w:val="32"/>
        </w:rPr>
        <w:t>32.4</w:t>
      </w:r>
      <w:r>
        <w:rPr>
          <w:rFonts w:eastAsia="仿宋_GB2312" w:cs="仿宋_GB2312" w:hint="eastAsia"/>
          <w:sz w:val="32"/>
          <w:szCs w:val="32"/>
        </w:rPr>
        <w:t>万元、生活补助</w:t>
      </w:r>
      <w:r>
        <w:rPr>
          <w:rFonts w:eastAsia="仿宋_GB2312" w:cs="仿宋_GB2312" w:hint="eastAsia"/>
          <w:sz w:val="32"/>
          <w:szCs w:val="32"/>
        </w:rPr>
        <w:t>393.34</w:t>
      </w:r>
      <w:r>
        <w:rPr>
          <w:rFonts w:eastAsia="仿宋_GB2312" w:cs="仿宋_GB2312" w:hint="eastAsia"/>
          <w:sz w:val="32"/>
          <w:szCs w:val="32"/>
        </w:rPr>
        <w:t>万元、医疗费补助</w:t>
      </w:r>
      <w:r>
        <w:rPr>
          <w:rFonts w:eastAsia="仿宋_GB2312" w:cs="仿宋_GB2312" w:hint="eastAsia"/>
          <w:sz w:val="32"/>
          <w:szCs w:val="32"/>
        </w:rPr>
        <w:t>4.54</w:t>
      </w:r>
      <w:r>
        <w:rPr>
          <w:rFonts w:eastAsia="仿宋_GB2312" w:cs="仿宋_GB2312" w:hint="eastAsia"/>
          <w:sz w:val="32"/>
          <w:szCs w:val="32"/>
        </w:rPr>
        <w:t>万元、奖励金</w:t>
      </w:r>
      <w:r>
        <w:rPr>
          <w:rFonts w:eastAsia="仿宋_GB2312" w:cs="仿宋_GB2312" w:hint="eastAsia"/>
          <w:sz w:val="32"/>
          <w:szCs w:val="32"/>
        </w:rPr>
        <w:t>0.01</w:t>
      </w:r>
      <w:r>
        <w:rPr>
          <w:rFonts w:eastAsia="仿宋_GB2312" w:cs="仿宋_GB2312" w:hint="eastAsia"/>
          <w:sz w:val="32"/>
          <w:szCs w:val="32"/>
        </w:rPr>
        <w:t>万元。</w:t>
      </w:r>
      <w:r>
        <w:rPr>
          <w:rFonts w:eastAsia="仿宋_GB2312" w:cs="仿宋_GB2312" w:hint="eastAsia"/>
          <w:sz w:val="32"/>
          <w:szCs w:val="32"/>
        </w:rPr>
        <w:br/>
      </w:r>
      <w:r>
        <w:rPr>
          <w:rFonts w:eastAsia="仿宋_GB2312" w:cs="仿宋_GB2312" w:hint="eastAsia"/>
          <w:sz w:val="32"/>
          <w:szCs w:val="32"/>
        </w:rPr>
        <w:t xml:space="preserve">　　公用经费</w:t>
      </w:r>
      <w:r>
        <w:rPr>
          <w:rFonts w:ascii="仿宋_GB2312" w:eastAsia="仿宋_GB2312" w:hAnsi="仿宋_GB2312" w:cs="仿宋_GB2312" w:hint="eastAsia"/>
          <w:sz w:val="32"/>
          <w:szCs w:val="32"/>
        </w:rPr>
        <w:t>123.09万</w:t>
      </w:r>
      <w:r>
        <w:rPr>
          <w:rFonts w:eastAsia="仿宋_GB2312" w:cs="仿宋_GB2312" w:hint="eastAsia"/>
          <w:sz w:val="32"/>
          <w:szCs w:val="32"/>
        </w:rPr>
        <w:t>元，主要包括：办公费</w:t>
      </w:r>
      <w:r>
        <w:rPr>
          <w:rFonts w:eastAsia="仿宋_GB2312" w:cs="仿宋_GB2312" w:hint="eastAsia"/>
          <w:sz w:val="32"/>
          <w:szCs w:val="32"/>
        </w:rPr>
        <w:t>40.12</w:t>
      </w:r>
      <w:r>
        <w:rPr>
          <w:rFonts w:eastAsia="仿宋_GB2312" w:cs="仿宋_GB2312" w:hint="eastAsia"/>
          <w:sz w:val="32"/>
          <w:szCs w:val="32"/>
        </w:rPr>
        <w:t>万元、水费</w:t>
      </w:r>
      <w:r>
        <w:rPr>
          <w:rFonts w:eastAsia="仿宋_GB2312" w:cs="仿宋_GB2312" w:hint="eastAsia"/>
          <w:sz w:val="32"/>
          <w:szCs w:val="32"/>
        </w:rPr>
        <w:t>1.5</w:t>
      </w:r>
      <w:r>
        <w:rPr>
          <w:rFonts w:eastAsia="仿宋_GB2312" w:cs="仿宋_GB2312" w:hint="eastAsia"/>
          <w:sz w:val="32"/>
          <w:szCs w:val="32"/>
        </w:rPr>
        <w:t>万元、电费</w:t>
      </w:r>
      <w:r>
        <w:rPr>
          <w:rFonts w:eastAsia="仿宋_GB2312" w:cs="仿宋_GB2312" w:hint="eastAsia"/>
          <w:sz w:val="32"/>
          <w:szCs w:val="32"/>
        </w:rPr>
        <w:t>8</w:t>
      </w:r>
      <w:r>
        <w:rPr>
          <w:rFonts w:eastAsia="仿宋_GB2312" w:cs="仿宋_GB2312" w:hint="eastAsia"/>
          <w:sz w:val="32"/>
          <w:szCs w:val="32"/>
        </w:rPr>
        <w:t>万元、邮电费</w:t>
      </w:r>
      <w:r>
        <w:rPr>
          <w:rFonts w:eastAsia="仿宋_GB2312" w:cs="仿宋_GB2312" w:hint="eastAsia"/>
          <w:sz w:val="32"/>
          <w:szCs w:val="32"/>
        </w:rPr>
        <w:t>10</w:t>
      </w:r>
      <w:r>
        <w:rPr>
          <w:rFonts w:eastAsia="仿宋_GB2312" w:cs="仿宋_GB2312" w:hint="eastAsia"/>
          <w:sz w:val="32"/>
          <w:szCs w:val="32"/>
        </w:rPr>
        <w:t>万元、差旅费</w:t>
      </w:r>
      <w:r>
        <w:rPr>
          <w:rFonts w:eastAsia="仿宋_GB2312" w:cs="仿宋_GB2312" w:hint="eastAsia"/>
          <w:sz w:val="32"/>
          <w:szCs w:val="32"/>
        </w:rPr>
        <w:t>23.26</w:t>
      </w:r>
      <w:r>
        <w:rPr>
          <w:rFonts w:eastAsia="仿宋_GB2312" w:cs="仿宋_GB2312" w:hint="eastAsia"/>
          <w:sz w:val="32"/>
          <w:szCs w:val="32"/>
        </w:rPr>
        <w:t>万元、维修（护）费</w:t>
      </w:r>
      <w:r>
        <w:rPr>
          <w:rFonts w:eastAsia="仿宋_GB2312" w:cs="仿宋_GB2312" w:hint="eastAsia"/>
          <w:sz w:val="32"/>
          <w:szCs w:val="32"/>
        </w:rPr>
        <w:t>3</w:t>
      </w:r>
      <w:r>
        <w:rPr>
          <w:rFonts w:eastAsia="仿宋_GB2312" w:cs="仿宋_GB2312" w:hint="eastAsia"/>
          <w:sz w:val="32"/>
          <w:szCs w:val="32"/>
        </w:rPr>
        <w:t>万元、租赁费</w:t>
      </w:r>
      <w:r>
        <w:rPr>
          <w:rFonts w:eastAsia="仿宋_GB2312" w:cs="仿宋_GB2312" w:hint="eastAsia"/>
          <w:sz w:val="32"/>
          <w:szCs w:val="32"/>
        </w:rPr>
        <w:t>0.38</w:t>
      </w:r>
      <w:r>
        <w:rPr>
          <w:rFonts w:eastAsia="仿宋_GB2312" w:cs="仿宋_GB2312" w:hint="eastAsia"/>
          <w:sz w:val="32"/>
          <w:szCs w:val="32"/>
        </w:rPr>
        <w:t>万元、劳务费</w:t>
      </w:r>
      <w:r>
        <w:rPr>
          <w:rFonts w:eastAsia="仿宋_GB2312" w:cs="仿宋_GB2312" w:hint="eastAsia"/>
          <w:sz w:val="32"/>
          <w:szCs w:val="32"/>
        </w:rPr>
        <w:t>11.44</w:t>
      </w:r>
      <w:r>
        <w:rPr>
          <w:rFonts w:eastAsia="仿宋_GB2312" w:cs="仿宋_GB2312" w:hint="eastAsia"/>
          <w:sz w:val="32"/>
          <w:szCs w:val="32"/>
        </w:rPr>
        <w:t>万元、福利费</w:t>
      </w:r>
      <w:r>
        <w:rPr>
          <w:rFonts w:eastAsia="仿宋_GB2312" w:cs="仿宋_GB2312" w:hint="eastAsia"/>
          <w:sz w:val="32"/>
          <w:szCs w:val="32"/>
        </w:rPr>
        <w:t>3.46</w:t>
      </w:r>
      <w:r>
        <w:rPr>
          <w:rFonts w:eastAsia="仿宋_GB2312" w:cs="仿宋_GB2312" w:hint="eastAsia"/>
          <w:sz w:val="32"/>
          <w:szCs w:val="32"/>
        </w:rPr>
        <w:t>万元、公务用车运行维护费</w:t>
      </w:r>
      <w:r>
        <w:rPr>
          <w:rFonts w:eastAsia="仿宋_GB2312" w:cs="仿宋_GB2312" w:hint="eastAsia"/>
          <w:sz w:val="32"/>
          <w:szCs w:val="32"/>
        </w:rPr>
        <w:t>4.3</w:t>
      </w:r>
      <w:r>
        <w:rPr>
          <w:rFonts w:eastAsia="仿宋_GB2312" w:cs="仿宋_GB2312" w:hint="eastAsia"/>
          <w:sz w:val="32"/>
          <w:szCs w:val="32"/>
        </w:rPr>
        <w:t>万元、其他交通费</w:t>
      </w:r>
      <w:r>
        <w:rPr>
          <w:rFonts w:eastAsia="仿宋_GB2312" w:cs="仿宋_GB2312" w:hint="eastAsia"/>
          <w:sz w:val="32"/>
          <w:szCs w:val="32"/>
        </w:rPr>
        <w:t>17.27</w:t>
      </w:r>
      <w:r>
        <w:rPr>
          <w:rFonts w:eastAsia="仿宋_GB2312" w:cs="仿宋_GB2312" w:hint="eastAsia"/>
          <w:sz w:val="32"/>
          <w:szCs w:val="32"/>
        </w:rPr>
        <w:t>万元、其他商品和服务支出</w:t>
      </w:r>
      <w:r>
        <w:rPr>
          <w:rFonts w:eastAsia="仿宋_GB2312" w:cs="仿宋_GB2312" w:hint="eastAsia"/>
          <w:sz w:val="32"/>
          <w:szCs w:val="32"/>
        </w:rPr>
        <w:t>0.36</w:t>
      </w:r>
      <w:r>
        <w:rPr>
          <w:rFonts w:eastAsia="仿宋_GB2312" w:cs="仿宋_GB2312" w:hint="eastAsia"/>
          <w:sz w:val="32"/>
          <w:szCs w:val="32"/>
        </w:rPr>
        <w:t>万元。</w:t>
      </w:r>
    </w:p>
    <w:p w:rsidR="005A7957" w:rsidRDefault="00A05EAF">
      <w:pPr>
        <w:spacing w:line="600" w:lineRule="exact"/>
        <w:ind w:firstLine="640"/>
        <w:outlineLvl w:val="1"/>
        <w:rPr>
          <w:rStyle w:val="2Char"/>
          <w:rFonts w:ascii="Times New Roman" w:eastAsia="黑体" w:hAnsi="Times New Roman"/>
          <w:b w:val="0"/>
        </w:rPr>
      </w:pPr>
      <w:bookmarkStart w:id="53" w:name="_Toc15377215"/>
      <w:bookmarkStart w:id="54" w:name="_Toc31254696"/>
      <w:bookmarkStart w:id="55" w:name="_Toc15396609"/>
      <w:r>
        <w:rPr>
          <w:rFonts w:eastAsia="黑体" w:hint="eastAsia"/>
          <w:sz w:val="32"/>
          <w:szCs w:val="32"/>
        </w:rPr>
        <w:t>七、</w:t>
      </w:r>
      <w:r>
        <w:rPr>
          <w:rStyle w:val="2Char"/>
          <w:rFonts w:ascii="Times New Roman" w:eastAsia="黑体" w:hAnsi="Times New Roman" w:hint="eastAsia"/>
          <w:b w:val="0"/>
        </w:rPr>
        <w:t>财政拨款</w:t>
      </w:r>
      <w:r>
        <w:rPr>
          <w:rStyle w:val="2Char"/>
          <w:rFonts w:ascii="Times New Roman" w:eastAsia="黑体" w:hAnsi="Times New Roman" w:hint="eastAsia"/>
        </w:rPr>
        <w:t>“</w:t>
      </w:r>
      <w:r>
        <w:rPr>
          <w:rStyle w:val="2Char"/>
          <w:rFonts w:ascii="Times New Roman" w:eastAsia="黑体" w:hAnsi="Times New Roman" w:hint="eastAsia"/>
          <w:b w:val="0"/>
        </w:rPr>
        <w:t>三公”经费支出决算情况说明</w:t>
      </w:r>
      <w:bookmarkEnd w:id="53"/>
      <w:bookmarkEnd w:id="54"/>
      <w:bookmarkEnd w:id="55"/>
    </w:p>
    <w:p w:rsidR="005A7957" w:rsidRDefault="00A05EAF" w:rsidP="005A7957">
      <w:pPr>
        <w:spacing w:line="600" w:lineRule="exact"/>
        <w:ind w:firstLineChars="200" w:firstLine="640"/>
        <w:outlineLvl w:val="2"/>
        <w:rPr>
          <w:rFonts w:eastAsia="楷体_GB2312" w:cs="楷体_GB2312"/>
          <w:b/>
          <w:sz w:val="32"/>
          <w:szCs w:val="32"/>
        </w:rPr>
      </w:pPr>
      <w:bookmarkStart w:id="56" w:name="_Toc15377216"/>
      <w:r>
        <w:rPr>
          <w:rFonts w:eastAsia="楷体_GB2312" w:cs="楷体_GB2312" w:hint="eastAsia"/>
          <w:b/>
          <w:sz w:val="32"/>
          <w:szCs w:val="32"/>
        </w:rPr>
        <w:t>（一）“三公”经费财政拨款支出决算总体情况说明</w:t>
      </w:r>
      <w:bookmarkEnd w:id="56"/>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年度“三公”经费财政拨款支出决算为</w:t>
      </w:r>
      <w:r>
        <w:rPr>
          <w:rFonts w:ascii="仿宋_GB2312" w:eastAsia="仿宋_GB2312" w:hAnsi="仿宋_GB2312" w:cs="仿宋_GB2312" w:hint="eastAsia"/>
          <w:sz w:val="32"/>
          <w:szCs w:val="32"/>
        </w:rPr>
        <w:t>4.3万元，完成预算100%，</w:t>
      </w:r>
      <w:r>
        <w:rPr>
          <w:rFonts w:eastAsia="仿宋_GB2312" w:cs="仿宋_GB2312" w:hint="eastAsia"/>
          <w:sz w:val="32"/>
          <w:szCs w:val="32"/>
        </w:rPr>
        <w:t>较上年度减少</w:t>
      </w:r>
      <w:r>
        <w:rPr>
          <w:rFonts w:eastAsia="仿宋_GB2312" w:cs="仿宋_GB2312" w:hint="eastAsia"/>
          <w:sz w:val="32"/>
          <w:szCs w:val="32"/>
        </w:rPr>
        <w:t>11.68</w:t>
      </w:r>
      <w:r>
        <w:rPr>
          <w:rFonts w:eastAsia="仿宋_GB2312" w:cs="仿宋_GB2312" w:hint="eastAsia"/>
          <w:sz w:val="32"/>
          <w:szCs w:val="32"/>
        </w:rPr>
        <w:t>万元，下降</w:t>
      </w:r>
      <w:r>
        <w:rPr>
          <w:rFonts w:eastAsia="仿宋_GB2312" w:cs="仿宋_GB2312" w:hint="eastAsia"/>
          <w:sz w:val="32"/>
          <w:szCs w:val="32"/>
        </w:rPr>
        <w:t>73.09%</w:t>
      </w:r>
      <w:r>
        <w:rPr>
          <w:rFonts w:eastAsia="仿宋_GB2312" w:cs="仿宋_GB2312" w:hint="eastAsia"/>
          <w:sz w:val="32"/>
          <w:szCs w:val="32"/>
        </w:rPr>
        <w:t>。</w:t>
      </w:r>
    </w:p>
    <w:p w:rsidR="005A7957" w:rsidRDefault="00A05EAF" w:rsidP="005A7957">
      <w:pPr>
        <w:spacing w:line="600" w:lineRule="exact"/>
        <w:ind w:firstLineChars="200" w:firstLine="640"/>
        <w:outlineLvl w:val="2"/>
        <w:rPr>
          <w:rFonts w:eastAsia="楷体_GB2312" w:cs="楷体_GB2312"/>
          <w:b/>
          <w:sz w:val="32"/>
          <w:szCs w:val="32"/>
        </w:rPr>
      </w:pPr>
      <w:bookmarkStart w:id="57" w:name="_Toc15377217"/>
      <w:r>
        <w:rPr>
          <w:rFonts w:eastAsia="楷体_GB2312" w:cs="楷体_GB2312" w:hint="eastAsia"/>
          <w:b/>
          <w:sz w:val="32"/>
          <w:szCs w:val="32"/>
        </w:rPr>
        <w:t>（二）“三公”经费财政拨款支出决算具体情况说明</w:t>
      </w:r>
      <w:bookmarkEnd w:id="57"/>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2024年度“三公”经费财政拨款支出决算中，因公出国（境）费支出决算0万元，占0%；公务用车购置及运行维护费支出决算4.3万元，占100%；公务接待费支出决算0万元，占0%。具体情况如下：</w:t>
      </w:r>
    </w:p>
    <w:p w:rsidR="005A7957" w:rsidRDefault="00A05EAF">
      <w:pPr>
        <w:pStyle w:val="a8"/>
        <w:spacing w:line="600" w:lineRule="exact"/>
      </w:pPr>
      <w:r>
        <w:rPr>
          <w:rFonts w:hint="eastAsia"/>
          <w:noProof/>
        </w:rPr>
        <w:lastRenderedPageBreak/>
        <w:drawing>
          <wp:anchor distT="0" distB="0" distL="0" distR="0" simplePos="0" relativeHeight="251666432" behindDoc="0" locked="0" layoutInCell="1" allowOverlap="1">
            <wp:simplePos x="0" y="0"/>
            <wp:positionH relativeFrom="column">
              <wp:posOffset>142875</wp:posOffset>
            </wp:positionH>
            <wp:positionV relativeFrom="paragraph">
              <wp:posOffset>142875</wp:posOffset>
            </wp:positionV>
            <wp:extent cx="5274310" cy="3076575"/>
            <wp:effectExtent l="19050" t="0" r="21590" b="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A7957" w:rsidRDefault="005A7957">
      <w:pPr>
        <w:pStyle w:val="20"/>
        <w:spacing w:line="600" w:lineRule="exact"/>
        <w:ind w:left="420"/>
      </w:pPr>
    </w:p>
    <w:p w:rsidR="005A7957" w:rsidRDefault="005A7957">
      <w:pPr>
        <w:spacing w:line="600" w:lineRule="exact"/>
        <w:ind w:firstLineChars="400" w:firstLine="1280"/>
        <w:rPr>
          <w:rFonts w:eastAsia="仿宋_GB2312" w:cs="仿宋_GB2312"/>
          <w:sz w:val="32"/>
          <w:szCs w:val="32"/>
        </w:rPr>
      </w:pPr>
    </w:p>
    <w:p w:rsidR="005A7957" w:rsidRDefault="005A7957">
      <w:pPr>
        <w:spacing w:line="600" w:lineRule="exact"/>
        <w:ind w:firstLineChars="400" w:firstLine="1280"/>
        <w:rPr>
          <w:rFonts w:eastAsia="仿宋_GB2312" w:cs="仿宋_GB2312"/>
          <w:sz w:val="32"/>
          <w:szCs w:val="32"/>
        </w:rPr>
      </w:pPr>
    </w:p>
    <w:p w:rsidR="005A7957" w:rsidRDefault="005A7957">
      <w:pPr>
        <w:spacing w:line="600" w:lineRule="exact"/>
        <w:ind w:firstLineChars="400" w:firstLine="1280"/>
        <w:rPr>
          <w:rFonts w:eastAsia="仿宋_GB2312" w:cs="仿宋_GB2312"/>
          <w:sz w:val="32"/>
          <w:szCs w:val="32"/>
        </w:rPr>
      </w:pPr>
    </w:p>
    <w:p w:rsidR="005A7957" w:rsidRDefault="005A7957">
      <w:pPr>
        <w:spacing w:line="600" w:lineRule="exact"/>
        <w:ind w:firstLineChars="400" w:firstLine="1280"/>
        <w:rPr>
          <w:rFonts w:eastAsia="仿宋_GB2312" w:cs="仿宋_GB2312"/>
          <w:sz w:val="32"/>
          <w:szCs w:val="32"/>
        </w:rPr>
      </w:pPr>
    </w:p>
    <w:p w:rsidR="005A7957" w:rsidRDefault="005A7957">
      <w:pPr>
        <w:spacing w:line="600" w:lineRule="exact"/>
        <w:ind w:firstLineChars="400" w:firstLine="1280"/>
        <w:rPr>
          <w:rFonts w:eastAsia="仿宋_GB2312" w:cs="仿宋_GB2312"/>
          <w:sz w:val="32"/>
          <w:szCs w:val="32"/>
        </w:rPr>
      </w:pPr>
    </w:p>
    <w:p w:rsidR="005A7957" w:rsidRDefault="005A7957">
      <w:pPr>
        <w:spacing w:line="600" w:lineRule="exact"/>
        <w:ind w:firstLineChars="400" w:firstLine="1280"/>
        <w:rPr>
          <w:rFonts w:eastAsia="仿宋_GB2312" w:cs="仿宋_GB2312"/>
          <w:sz w:val="32"/>
          <w:szCs w:val="32"/>
        </w:rPr>
      </w:pPr>
    </w:p>
    <w:p w:rsidR="005A7957" w:rsidRDefault="00A05EAF">
      <w:pPr>
        <w:spacing w:line="600" w:lineRule="exact"/>
        <w:jc w:val="center"/>
        <w:rPr>
          <w:rFonts w:eastAsia="仿宋_GB2312" w:cs="仿宋_GB2312"/>
          <w:sz w:val="32"/>
          <w:szCs w:val="32"/>
        </w:rPr>
      </w:pPr>
      <w:r>
        <w:rPr>
          <w:rFonts w:eastAsia="仿宋_GB2312" w:cs="仿宋_GB2312" w:hint="eastAsia"/>
          <w:sz w:val="32"/>
          <w:szCs w:val="32"/>
        </w:rPr>
        <w:t>（图</w:t>
      </w:r>
      <w:r>
        <w:rPr>
          <w:rFonts w:eastAsia="仿宋_GB2312" w:cs="仿宋_GB2312" w:hint="eastAsia"/>
          <w:sz w:val="32"/>
          <w:szCs w:val="32"/>
        </w:rPr>
        <w:t>7</w:t>
      </w:r>
      <w:r>
        <w:rPr>
          <w:rFonts w:eastAsia="仿宋_GB2312" w:cs="仿宋_GB2312" w:hint="eastAsia"/>
          <w:sz w:val="32"/>
          <w:szCs w:val="32"/>
        </w:rPr>
        <w:t>：“三公”经费财政拨款支出结构）</w:t>
      </w:r>
    </w:p>
    <w:p w:rsidR="005A7957" w:rsidRDefault="00A05EAF">
      <w:pPr>
        <w:spacing w:line="600" w:lineRule="exact"/>
        <w:ind w:firstLine="640"/>
        <w:rPr>
          <w:rFonts w:eastAsia="仿宋_GB2312" w:cs="仿宋_GB2312"/>
          <w:sz w:val="32"/>
          <w:szCs w:val="32"/>
        </w:rPr>
      </w:pPr>
      <w:r>
        <w:rPr>
          <w:rFonts w:eastAsia="仿宋_GB2312" w:cs="仿宋_GB2312" w:hint="eastAsia"/>
          <w:b/>
          <w:bCs/>
          <w:sz w:val="32"/>
          <w:szCs w:val="32"/>
        </w:rPr>
        <w:t>1.</w:t>
      </w:r>
      <w:r>
        <w:rPr>
          <w:rFonts w:eastAsia="仿宋_GB2312" w:cs="仿宋_GB2312" w:hint="eastAsia"/>
          <w:b/>
          <w:bCs/>
          <w:sz w:val="32"/>
          <w:szCs w:val="32"/>
        </w:rPr>
        <w:t>因公出国（境）经费支出</w:t>
      </w:r>
      <w:r>
        <w:rPr>
          <w:rFonts w:eastAsia="仿宋_GB2312" w:cs="仿宋_GB2312" w:hint="eastAsia"/>
          <w:b/>
          <w:bCs/>
          <w:sz w:val="32"/>
          <w:szCs w:val="32"/>
        </w:rPr>
        <w:t>0</w:t>
      </w:r>
      <w:r>
        <w:rPr>
          <w:rFonts w:eastAsia="仿宋_GB2312" w:cs="仿宋_GB2312" w:hint="eastAsia"/>
          <w:b/>
          <w:bCs/>
          <w:sz w:val="32"/>
          <w:szCs w:val="32"/>
        </w:rPr>
        <w:t>万元，完成预算</w:t>
      </w:r>
      <w:r>
        <w:rPr>
          <w:rFonts w:eastAsia="仿宋_GB2312" w:cs="仿宋_GB2312" w:hint="eastAsia"/>
          <w:b/>
          <w:bCs/>
          <w:sz w:val="32"/>
          <w:szCs w:val="32"/>
        </w:rPr>
        <w:t>0%</w:t>
      </w:r>
      <w:r>
        <w:rPr>
          <w:rFonts w:eastAsia="仿宋_GB2312" w:cs="仿宋_GB2312" w:hint="eastAsia"/>
          <w:b/>
          <w:bCs/>
          <w:sz w:val="32"/>
          <w:szCs w:val="32"/>
        </w:rPr>
        <w:t>。</w:t>
      </w:r>
      <w:r>
        <w:rPr>
          <w:rFonts w:eastAsia="仿宋_GB2312" w:cs="仿宋_GB2312" w:hint="eastAsia"/>
          <w:sz w:val="32"/>
          <w:szCs w:val="32"/>
        </w:rPr>
        <w:t>全年安排因公出国（境）团</w:t>
      </w:r>
      <w:r>
        <w:rPr>
          <w:rFonts w:ascii="仿宋_GB2312" w:eastAsia="仿宋_GB2312" w:hAnsi="仿宋_GB2312" w:cs="仿宋_GB2312" w:hint="eastAsia"/>
          <w:sz w:val="32"/>
          <w:szCs w:val="32"/>
        </w:rPr>
        <w:t>组0</w:t>
      </w:r>
      <w:r>
        <w:rPr>
          <w:rFonts w:eastAsia="仿宋_GB2312" w:cs="仿宋_GB2312" w:hint="eastAsia"/>
          <w:sz w:val="32"/>
          <w:szCs w:val="32"/>
        </w:rPr>
        <w:t>次，出国（境）</w:t>
      </w:r>
      <w:r>
        <w:rPr>
          <w:rFonts w:ascii="仿宋_GB2312" w:eastAsia="仿宋_GB2312" w:hAnsi="仿宋_GB2312" w:cs="仿宋_GB2312" w:hint="eastAsia"/>
          <w:sz w:val="32"/>
          <w:szCs w:val="32"/>
        </w:rPr>
        <w:t>0人</w:t>
      </w:r>
      <w:r>
        <w:rPr>
          <w:rFonts w:eastAsia="仿宋_GB2312" w:cs="仿宋_GB2312" w:hint="eastAsia"/>
          <w:sz w:val="32"/>
          <w:szCs w:val="32"/>
        </w:rPr>
        <w:t>。因公出国（境）支出决算与</w:t>
      </w:r>
      <w:r>
        <w:rPr>
          <w:rFonts w:eastAsia="仿宋_GB2312" w:cs="仿宋_GB2312" w:hint="eastAsia"/>
          <w:sz w:val="32"/>
          <w:szCs w:val="32"/>
        </w:rPr>
        <w:t>2023</w:t>
      </w:r>
      <w:r>
        <w:rPr>
          <w:rFonts w:eastAsia="仿宋_GB2312" w:cs="仿宋_GB2312" w:hint="eastAsia"/>
          <w:sz w:val="32"/>
          <w:szCs w:val="32"/>
        </w:rPr>
        <w:t>年持平。</w:t>
      </w:r>
    </w:p>
    <w:p w:rsidR="005A7957" w:rsidRDefault="00A05EAF">
      <w:pPr>
        <w:spacing w:line="600" w:lineRule="exact"/>
        <w:ind w:firstLine="640"/>
        <w:rPr>
          <w:rFonts w:eastAsia="仿宋_GB2312" w:cs="仿宋_GB2312"/>
          <w:sz w:val="32"/>
          <w:szCs w:val="32"/>
        </w:rPr>
      </w:pPr>
      <w:r>
        <w:rPr>
          <w:rFonts w:eastAsia="仿宋_GB2312" w:cs="仿宋_GB2312" w:hint="eastAsia"/>
          <w:b/>
          <w:bCs/>
          <w:sz w:val="32"/>
          <w:szCs w:val="32"/>
        </w:rPr>
        <w:t>2.</w:t>
      </w:r>
      <w:r>
        <w:rPr>
          <w:rFonts w:eastAsia="仿宋_GB2312" w:cs="仿宋_GB2312" w:hint="eastAsia"/>
          <w:b/>
          <w:bCs/>
          <w:sz w:val="32"/>
          <w:szCs w:val="32"/>
        </w:rPr>
        <w:t>公务用车购置及运行维护费支出</w:t>
      </w:r>
      <w:r>
        <w:rPr>
          <w:rFonts w:ascii="仿宋_GB2312" w:eastAsia="仿宋_GB2312" w:hAnsi="仿宋_GB2312" w:cs="仿宋_GB2312" w:hint="eastAsia"/>
          <w:b/>
          <w:bCs/>
          <w:sz w:val="32"/>
          <w:szCs w:val="32"/>
        </w:rPr>
        <w:t>4.3万</w:t>
      </w:r>
      <w:r>
        <w:rPr>
          <w:rFonts w:eastAsia="仿宋_GB2312" w:cs="仿宋_GB2312" w:hint="eastAsia"/>
          <w:b/>
          <w:bCs/>
          <w:sz w:val="32"/>
          <w:szCs w:val="32"/>
        </w:rPr>
        <w:t>元，完成预算</w:t>
      </w:r>
      <w:r>
        <w:rPr>
          <w:rFonts w:eastAsia="仿宋_GB2312" w:cs="仿宋_GB2312" w:hint="eastAsia"/>
          <w:b/>
          <w:bCs/>
          <w:sz w:val="32"/>
          <w:szCs w:val="32"/>
        </w:rPr>
        <w:t>100%</w:t>
      </w:r>
      <w:r>
        <w:rPr>
          <w:rFonts w:eastAsia="仿宋_GB2312" w:cs="仿宋_GB2312" w:hint="eastAsia"/>
          <w:b/>
          <w:bCs/>
          <w:sz w:val="32"/>
          <w:szCs w:val="32"/>
        </w:rPr>
        <w:t>。</w:t>
      </w:r>
      <w:r>
        <w:rPr>
          <w:rFonts w:eastAsia="仿宋_GB2312" w:cs="仿宋_GB2312" w:hint="eastAsia"/>
          <w:sz w:val="32"/>
          <w:szCs w:val="32"/>
        </w:rPr>
        <w:t>公务用车购置及运行维护费支出决算比</w:t>
      </w:r>
      <w:r>
        <w:rPr>
          <w:rFonts w:eastAsia="仿宋_GB2312" w:cs="仿宋_GB2312" w:hint="eastAsia"/>
          <w:sz w:val="32"/>
          <w:szCs w:val="32"/>
        </w:rPr>
        <w:t>2023</w:t>
      </w:r>
      <w:r>
        <w:rPr>
          <w:rFonts w:eastAsia="仿宋_GB2312" w:cs="仿宋_GB2312" w:hint="eastAsia"/>
          <w:sz w:val="32"/>
          <w:szCs w:val="32"/>
        </w:rPr>
        <w:t>年度减少</w:t>
      </w:r>
      <w:r>
        <w:rPr>
          <w:rFonts w:eastAsia="仿宋_GB2312" w:cs="仿宋_GB2312" w:hint="eastAsia"/>
          <w:sz w:val="32"/>
          <w:szCs w:val="32"/>
        </w:rPr>
        <w:t>11.68</w:t>
      </w:r>
      <w:r>
        <w:rPr>
          <w:rFonts w:eastAsia="仿宋_GB2312" w:cs="仿宋_GB2312" w:hint="eastAsia"/>
          <w:sz w:val="32"/>
          <w:szCs w:val="32"/>
        </w:rPr>
        <w:t>万元，下降</w:t>
      </w:r>
      <w:r>
        <w:rPr>
          <w:rFonts w:eastAsia="仿宋_GB2312" w:cs="仿宋_GB2312" w:hint="eastAsia"/>
          <w:sz w:val="32"/>
          <w:szCs w:val="32"/>
        </w:rPr>
        <w:t>73.09%</w:t>
      </w:r>
      <w:r>
        <w:rPr>
          <w:rFonts w:eastAsia="仿宋_GB2312" w:cs="仿宋_GB2312" w:hint="eastAsia"/>
          <w:sz w:val="32"/>
          <w:szCs w:val="32"/>
        </w:rPr>
        <w:t>。主要原因是</w:t>
      </w:r>
      <w:r>
        <w:rPr>
          <w:rFonts w:eastAsia="仿宋_GB2312" w:cs="仿宋_GB2312"/>
          <w:sz w:val="32"/>
          <w:szCs w:val="32"/>
        </w:rPr>
        <w:t>2024</w:t>
      </w:r>
      <w:r>
        <w:rPr>
          <w:rFonts w:eastAsia="仿宋_GB2312" w:cs="仿宋_GB2312"/>
          <w:sz w:val="32"/>
          <w:szCs w:val="32"/>
        </w:rPr>
        <w:t>年无公务用车购置费</w:t>
      </w:r>
      <w:r>
        <w:rPr>
          <w:rFonts w:eastAsia="仿宋_GB2312" w:cs="仿宋_GB2312" w:hint="eastAsia"/>
          <w:sz w:val="32"/>
          <w:szCs w:val="32"/>
        </w:rPr>
        <w:t>。</w:t>
      </w:r>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其中：公务用车购置支</w:t>
      </w:r>
      <w:r>
        <w:rPr>
          <w:rFonts w:ascii="仿宋_GB2312" w:eastAsia="仿宋_GB2312" w:hAnsi="仿宋_GB2312" w:cs="仿宋_GB2312" w:hint="eastAsia"/>
          <w:sz w:val="32"/>
          <w:szCs w:val="32"/>
        </w:rPr>
        <w:t>出0</w:t>
      </w:r>
      <w:r>
        <w:rPr>
          <w:rFonts w:eastAsia="仿宋_GB2312" w:cs="仿宋_GB2312" w:hint="eastAsia"/>
          <w:sz w:val="32"/>
          <w:szCs w:val="32"/>
        </w:rPr>
        <w:t>万元。截至</w:t>
      </w:r>
      <w:r>
        <w:rPr>
          <w:rFonts w:eastAsia="仿宋_GB2312" w:cs="仿宋_GB2312" w:hint="eastAsia"/>
          <w:sz w:val="32"/>
          <w:szCs w:val="32"/>
        </w:rPr>
        <w:t>2024</w:t>
      </w:r>
      <w:r>
        <w:rPr>
          <w:rFonts w:eastAsia="仿宋_GB2312" w:cs="仿宋_GB2312" w:hint="eastAsia"/>
          <w:sz w:val="32"/>
          <w:szCs w:val="32"/>
        </w:rPr>
        <w:t>年</w:t>
      </w:r>
      <w:r>
        <w:rPr>
          <w:rFonts w:eastAsia="仿宋_GB2312" w:cs="仿宋_GB2312" w:hint="eastAsia"/>
          <w:sz w:val="32"/>
          <w:szCs w:val="32"/>
        </w:rPr>
        <w:t>12</w:t>
      </w:r>
      <w:r>
        <w:rPr>
          <w:rFonts w:eastAsia="仿宋_GB2312" w:cs="仿宋_GB2312" w:hint="eastAsia"/>
          <w:sz w:val="32"/>
          <w:szCs w:val="32"/>
        </w:rPr>
        <w:t>月</w:t>
      </w:r>
      <w:r>
        <w:rPr>
          <w:rFonts w:eastAsia="仿宋_GB2312" w:cs="仿宋_GB2312" w:hint="eastAsia"/>
          <w:sz w:val="32"/>
          <w:szCs w:val="32"/>
        </w:rPr>
        <w:t>31</w:t>
      </w:r>
      <w:r>
        <w:rPr>
          <w:rFonts w:eastAsia="仿宋_GB2312" w:cs="仿宋_GB2312" w:hint="eastAsia"/>
          <w:sz w:val="32"/>
          <w:szCs w:val="32"/>
        </w:rPr>
        <w:t>日，单位共有公务用车</w:t>
      </w:r>
      <w:r>
        <w:rPr>
          <w:rFonts w:eastAsia="仿宋_GB2312" w:cs="仿宋_GB2312" w:hint="eastAsia"/>
          <w:sz w:val="32"/>
          <w:szCs w:val="32"/>
        </w:rPr>
        <w:t>2</w:t>
      </w:r>
      <w:r>
        <w:rPr>
          <w:rFonts w:eastAsia="仿宋_GB2312" w:cs="仿宋_GB2312" w:hint="eastAsia"/>
          <w:sz w:val="32"/>
          <w:szCs w:val="32"/>
        </w:rPr>
        <w:t>辆，其中：载客汽车</w:t>
      </w:r>
      <w:r>
        <w:rPr>
          <w:rFonts w:eastAsia="仿宋_GB2312" w:cs="仿宋_GB2312" w:hint="eastAsia"/>
          <w:sz w:val="32"/>
          <w:szCs w:val="32"/>
        </w:rPr>
        <w:t>2</w:t>
      </w:r>
      <w:r>
        <w:rPr>
          <w:rFonts w:eastAsia="仿宋_GB2312" w:cs="仿宋_GB2312" w:hint="eastAsia"/>
          <w:sz w:val="32"/>
          <w:szCs w:val="32"/>
        </w:rPr>
        <w:t>辆。</w:t>
      </w:r>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公务用车运行维护费支</w:t>
      </w:r>
      <w:r>
        <w:rPr>
          <w:rFonts w:ascii="仿宋_GB2312" w:eastAsia="仿宋_GB2312" w:hAnsi="仿宋_GB2312" w:cs="仿宋_GB2312" w:hint="eastAsia"/>
          <w:sz w:val="32"/>
          <w:szCs w:val="32"/>
        </w:rPr>
        <w:t>出4.3</w:t>
      </w:r>
      <w:r>
        <w:rPr>
          <w:rFonts w:eastAsia="仿宋_GB2312" w:cs="仿宋_GB2312" w:hint="eastAsia"/>
          <w:sz w:val="32"/>
          <w:szCs w:val="32"/>
        </w:rPr>
        <w:t>万元。主要用于日常巡逻、执行公务所需的公务用车燃料费、维修费、过路过桥费、保险费等支出。</w:t>
      </w:r>
    </w:p>
    <w:p w:rsidR="005A7957" w:rsidRDefault="00A05EAF">
      <w:pPr>
        <w:spacing w:line="600" w:lineRule="exact"/>
        <w:ind w:firstLine="640"/>
        <w:rPr>
          <w:rFonts w:eastAsia="仿宋_GB2312" w:cs="仿宋_GB2312"/>
          <w:sz w:val="32"/>
          <w:szCs w:val="32"/>
        </w:rPr>
      </w:pPr>
      <w:r>
        <w:rPr>
          <w:rFonts w:eastAsia="仿宋_GB2312" w:cs="仿宋_GB2312" w:hint="eastAsia"/>
          <w:b/>
          <w:bCs/>
          <w:sz w:val="32"/>
          <w:szCs w:val="32"/>
        </w:rPr>
        <w:t>3.</w:t>
      </w:r>
      <w:r>
        <w:rPr>
          <w:rFonts w:eastAsia="仿宋_GB2312" w:cs="仿宋_GB2312" w:hint="eastAsia"/>
          <w:b/>
          <w:bCs/>
          <w:sz w:val="32"/>
          <w:szCs w:val="32"/>
        </w:rPr>
        <w:t>公务接待费支出</w:t>
      </w:r>
      <w:r>
        <w:rPr>
          <w:rFonts w:ascii="仿宋_GB2312" w:eastAsia="仿宋_GB2312" w:hAnsi="仿宋_GB2312" w:cs="仿宋_GB2312" w:hint="eastAsia"/>
          <w:b/>
          <w:bCs/>
          <w:sz w:val="32"/>
          <w:szCs w:val="32"/>
        </w:rPr>
        <w:t>0万</w:t>
      </w:r>
      <w:r>
        <w:rPr>
          <w:rFonts w:eastAsia="仿宋_GB2312" w:cs="仿宋_GB2312" w:hint="eastAsia"/>
          <w:b/>
          <w:bCs/>
          <w:sz w:val="32"/>
          <w:szCs w:val="32"/>
        </w:rPr>
        <w:t>元，完成预算</w:t>
      </w:r>
      <w:r>
        <w:rPr>
          <w:rFonts w:eastAsia="仿宋_GB2312" w:cs="仿宋_GB2312" w:hint="eastAsia"/>
          <w:b/>
          <w:bCs/>
          <w:sz w:val="32"/>
          <w:szCs w:val="32"/>
        </w:rPr>
        <w:t>0%</w:t>
      </w:r>
      <w:r>
        <w:rPr>
          <w:rFonts w:eastAsia="仿宋_GB2312" w:cs="仿宋_GB2312" w:hint="eastAsia"/>
          <w:b/>
          <w:bCs/>
          <w:sz w:val="32"/>
          <w:szCs w:val="32"/>
        </w:rPr>
        <w:t>。</w:t>
      </w:r>
      <w:r>
        <w:rPr>
          <w:rFonts w:eastAsia="仿宋_GB2312" w:cs="仿宋_GB2312" w:hint="eastAsia"/>
          <w:sz w:val="32"/>
          <w:szCs w:val="32"/>
        </w:rPr>
        <w:t>公务接待费支出决算与</w:t>
      </w:r>
      <w:r>
        <w:rPr>
          <w:rFonts w:eastAsia="仿宋_GB2312" w:cs="仿宋_GB2312" w:hint="eastAsia"/>
          <w:sz w:val="32"/>
          <w:szCs w:val="32"/>
        </w:rPr>
        <w:t>2023</w:t>
      </w:r>
      <w:r>
        <w:rPr>
          <w:rFonts w:eastAsia="仿宋_GB2312" w:cs="仿宋_GB2312" w:hint="eastAsia"/>
          <w:sz w:val="32"/>
          <w:szCs w:val="32"/>
        </w:rPr>
        <w:t>年持平。</w:t>
      </w:r>
      <w:bookmarkStart w:id="58" w:name="_Toc15396610"/>
      <w:bookmarkStart w:id="59" w:name="_Toc15377218"/>
    </w:p>
    <w:p w:rsidR="005A7957" w:rsidRDefault="00A05EAF">
      <w:pPr>
        <w:spacing w:line="600" w:lineRule="exact"/>
        <w:ind w:firstLine="640"/>
        <w:outlineLvl w:val="1"/>
        <w:rPr>
          <w:rStyle w:val="2Char"/>
          <w:rFonts w:ascii="Times New Roman" w:eastAsia="黑体" w:hAnsi="Times New Roman"/>
        </w:rPr>
      </w:pPr>
      <w:bookmarkStart w:id="60" w:name="_Toc1101053521"/>
      <w:r>
        <w:rPr>
          <w:rFonts w:eastAsia="黑体" w:hint="eastAsia"/>
          <w:sz w:val="32"/>
          <w:szCs w:val="32"/>
        </w:rPr>
        <w:lastRenderedPageBreak/>
        <w:t>八、</w:t>
      </w:r>
      <w:r>
        <w:rPr>
          <w:rStyle w:val="2Char"/>
          <w:rFonts w:ascii="Times New Roman" w:eastAsia="黑体" w:hAnsi="Times New Roman" w:hint="eastAsia"/>
          <w:b w:val="0"/>
        </w:rPr>
        <w:t>政府性基金预算支出决算情况说明</w:t>
      </w:r>
      <w:bookmarkEnd w:id="58"/>
      <w:bookmarkEnd w:id="59"/>
      <w:bookmarkEnd w:id="60"/>
    </w:p>
    <w:p w:rsidR="005A7957" w:rsidRDefault="00A05EAF">
      <w:pPr>
        <w:spacing w:line="600" w:lineRule="exact"/>
        <w:ind w:firstLine="640"/>
        <w:rPr>
          <w:rFonts w:eastAsia="仿宋_GB2312" w:cs="仿宋_GB2312"/>
          <w:sz w:val="32"/>
          <w:szCs w:val="32"/>
        </w:rPr>
      </w:pPr>
      <w:r>
        <w:rPr>
          <w:rFonts w:ascii="仿宋_GB2312" w:eastAsia="仿宋_GB2312" w:hAnsi="仿宋_GB2312" w:cs="仿宋_GB2312" w:hint="eastAsia"/>
          <w:sz w:val="32"/>
          <w:szCs w:val="32"/>
        </w:rPr>
        <w:t>2024年度政府性基金预算财政拨款支出0万元。</w:t>
      </w:r>
      <w:r>
        <w:rPr>
          <w:rFonts w:eastAsia="仿宋_GB2312" w:cs="仿宋_GB2312"/>
          <w:sz w:val="32"/>
          <w:szCs w:val="32"/>
        </w:rPr>
        <w:t xml:space="preserve"> </w:t>
      </w:r>
    </w:p>
    <w:p w:rsidR="005A7957" w:rsidRDefault="00A05EAF">
      <w:pPr>
        <w:spacing w:line="600" w:lineRule="exact"/>
        <w:ind w:left="630"/>
        <w:outlineLvl w:val="1"/>
        <w:rPr>
          <w:rStyle w:val="2Char"/>
          <w:rFonts w:ascii="Times New Roman" w:eastAsia="黑体" w:hAnsi="Times New Roman"/>
          <w:b w:val="0"/>
        </w:rPr>
      </w:pPr>
      <w:bookmarkStart w:id="61" w:name="_Toc15377219"/>
      <w:bookmarkStart w:id="62" w:name="_Toc1554590368"/>
      <w:bookmarkStart w:id="63" w:name="_Toc15396611"/>
      <w:r>
        <w:rPr>
          <w:rStyle w:val="2Char"/>
          <w:rFonts w:ascii="Times New Roman" w:eastAsia="黑体" w:hAnsi="Times New Roman" w:hint="eastAsia"/>
          <w:b w:val="0"/>
        </w:rPr>
        <w:t>九、国有资本经营预算支出决算情况说明</w:t>
      </w:r>
      <w:bookmarkEnd w:id="61"/>
      <w:bookmarkEnd w:id="62"/>
      <w:bookmarkEnd w:id="63"/>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年度国有资本经营预算财政拨款支出</w:t>
      </w:r>
      <w:r>
        <w:rPr>
          <w:rFonts w:ascii="仿宋_GB2312" w:eastAsia="仿宋_GB2312" w:hAnsi="仿宋_GB2312" w:cs="仿宋_GB2312" w:hint="eastAsia"/>
          <w:sz w:val="32"/>
          <w:szCs w:val="32"/>
        </w:rPr>
        <w:t>0.92万元，占本年支出合计的0.04%</w:t>
      </w:r>
      <w:r>
        <w:rPr>
          <w:rFonts w:eastAsia="仿宋_GB2312" w:cs="仿宋_GB2312" w:hint="eastAsia"/>
          <w:sz w:val="32"/>
          <w:szCs w:val="32"/>
        </w:rPr>
        <w:t>。与</w:t>
      </w:r>
      <w:r>
        <w:rPr>
          <w:rFonts w:eastAsia="仿宋_GB2312" w:cs="仿宋_GB2312" w:hint="eastAsia"/>
          <w:sz w:val="32"/>
          <w:szCs w:val="32"/>
        </w:rPr>
        <w:t>2023</w:t>
      </w:r>
      <w:r>
        <w:rPr>
          <w:rFonts w:eastAsia="仿宋_GB2312" w:cs="仿宋_GB2312" w:hint="eastAsia"/>
          <w:sz w:val="32"/>
          <w:szCs w:val="32"/>
        </w:rPr>
        <w:t>年度持平。</w:t>
      </w:r>
    </w:p>
    <w:p w:rsidR="005A7957" w:rsidRDefault="00A05EAF">
      <w:pPr>
        <w:spacing w:line="600" w:lineRule="exact"/>
        <w:ind w:left="630"/>
        <w:outlineLvl w:val="1"/>
        <w:rPr>
          <w:rStyle w:val="2Char"/>
          <w:rFonts w:ascii="Times New Roman" w:eastAsia="黑体" w:hAnsi="Times New Roman"/>
          <w:b w:val="0"/>
        </w:rPr>
      </w:pPr>
      <w:bookmarkStart w:id="64" w:name="_Toc15377221"/>
      <w:bookmarkStart w:id="65" w:name="_Toc1410596610"/>
      <w:bookmarkStart w:id="66" w:name="_Toc15396612"/>
      <w:r>
        <w:rPr>
          <w:rStyle w:val="2Char"/>
          <w:rFonts w:ascii="Times New Roman" w:eastAsia="黑体" w:hAnsi="Times New Roman" w:hint="eastAsia"/>
          <w:b w:val="0"/>
        </w:rPr>
        <w:t>十、其他重要事项的情况说明</w:t>
      </w:r>
      <w:bookmarkEnd w:id="64"/>
      <w:bookmarkEnd w:id="65"/>
      <w:bookmarkEnd w:id="66"/>
    </w:p>
    <w:p w:rsidR="005A7957" w:rsidRDefault="00A05EAF" w:rsidP="005A7957">
      <w:pPr>
        <w:spacing w:line="600" w:lineRule="exact"/>
        <w:ind w:firstLineChars="200" w:firstLine="640"/>
        <w:outlineLvl w:val="2"/>
        <w:rPr>
          <w:rFonts w:eastAsia="楷体_GB2312" w:cs="楷体_GB2312"/>
          <w:b/>
          <w:sz w:val="32"/>
          <w:szCs w:val="32"/>
        </w:rPr>
      </w:pPr>
      <w:bookmarkStart w:id="67" w:name="_Toc15377222"/>
      <w:r>
        <w:rPr>
          <w:rFonts w:eastAsia="楷体_GB2312" w:cs="楷体_GB2312" w:hint="eastAsia"/>
          <w:b/>
          <w:sz w:val="32"/>
          <w:szCs w:val="32"/>
        </w:rPr>
        <w:t>（一）机关运行经费支出情况</w:t>
      </w:r>
      <w:bookmarkEnd w:id="67"/>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2024</w:t>
      </w:r>
      <w:r>
        <w:rPr>
          <w:rFonts w:eastAsia="仿宋_GB2312" w:cs="仿宋_GB2312" w:hint="eastAsia"/>
          <w:sz w:val="32"/>
          <w:szCs w:val="32"/>
        </w:rPr>
        <w:t>年度</w:t>
      </w:r>
      <w:r>
        <w:rPr>
          <w:rFonts w:ascii="仿宋_GB2312" w:eastAsia="仿宋_GB2312" w:hAnsi="仿宋_GB2312" w:cs="仿宋_GB2312" w:hint="eastAsia"/>
          <w:sz w:val="32"/>
          <w:szCs w:val="32"/>
        </w:rPr>
        <w:t>，绵竹市</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镇人民政府机关运行经费支出123.09万</w:t>
      </w:r>
      <w:r>
        <w:rPr>
          <w:rFonts w:eastAsia="仿宋_GB2312" w:cs="仿宋_GB2312" w:hint="eastAsia"/>
          <w:sz w:val="32"/>
          <w:szCs w:val="32"/>
        </w:rPr>
        <w:t>元，比</w:t>
      </w:r>
      <w:r>
        <w:rPr>
          <w:rFonts w:eastAsia="仿宋_GB2312" w:cs="仿宋_GB2312" w:hint="eastAsia"/>
          <w:sz w:val="32"/>
          <w:szCs w:val="32"/>
        </w:rPr>
        <w:t>2023</w:t>
      </w:r>
      <w:r>
        <w:rPr>
          <w:rFonts w:eastAsia="仿宋_GB2312" w:cs="仿宋_GB2312" w:hint="eastAsia"/>
          <w:sz w:val="32"/>
          <w:szCs w:val="32"/>
        </w:rPr>
        <w:t>年度增加</w:t>
      </w:r>
      <w:r>
        <w:rPr>
          <w:rFonts w:eastAsia="仿宋_GB2312" w:cs="仿宋_GB2312" w:hint="eastAsia"/>
          <w:sz w:val="32"/>
          <w:szCs w:val="32"/>
        </w:rPr>
        <w:t>6.84</w:t>
      </w:r>
      <w:r>
        <w:rPr>
          <w:rFonts w:eastAsia="仿宋_GB2312" w:cs="仿宋_GB2312" w:hint="eastAsia"/>
          <w:sz w:val="32"/>
          <w:szCs w:val="32"/>
        </w:rPr>
        <w:t>万元，增长</w:t>
      </w:r>
      <w:r>
        <w:rPr>
          <w:rFonts w:eastAsia="仿宋_GB2312" w:cs="仿宋_GB2312" w:hint="eastAsia"/>
          <w:sz w:val="32"/>
          <w:szCs w:val="32"/>
        </w:rPr>
        <w:t>5.88%</w:t>
      </w:r>
      <w:r>
        <w:rPr>
          <w:rFonts w:eastAsia="仿宋_GB2312" w:cs="仿宋_GB2312" w:hint="eastAsia"/>
          <w:sz w:val="32"/>
          <w:szCs w:val="32"/>
        </w:rPr>
        <w:t>。主要原因是人员增加，办公费增加。</w:t>
      </w:r>
    </w:p>
    <w:p w:rsidR="005A7957" w:rsidRDefault="00A05EAF" w:rsidP="005A7957">
      <w:pPr>
        <w:spacing w:line="600" w:lineRule="exact"/>
        <w:ind w:firstLineChars="200" w:firstLine="640"/>
        <w:outlineLvl w:val="2"/>
        <w:rPr>
          <w:rFonts w:eastAsia="楷体_GB2312" w:cs="楷体_GB2312"/>
          <w:b/>
          <w:sz w:val="32"/>
          <w:szCs w:val="32"/>
        </w:rPr>
      </w:pPr>
      <w:bookmarkStart w:id="68" w:name="_Toc15377223"/>
      <w:r>
        <w:rPr>
          <w:rFonts w:eastAsia="楷体_GB2312" w:cs="楷体_GB2312" w:hint="eastAsia"/>
          <w:b/>
          <w:sz w:val="32"/>
          <w:szCs w:val="32"/>
        </w:rPr>
        <w:t>（二）政府采购支出情况</w:t>
      </w:r>
      <w:bookmarkEnd w:id="68"/>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2024年度，绵竹市</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政府采购支出总额164.3万元，其中：政府采购货物支出7.8万元、政府采购工程支出156.5万元、政府采购服务支出0万元。主要用于车辆维修、综治中心改造。授予中小企业合同金额0万元，占政府采购支出总额的0%，其中：授予小</w:t>
      </w:r>
      <w:proofErr w:type="gramStart"/>
      <w:r>
        <w:rPr>
          <w:rFonts w:ascii="仿宋_GB2312" w:eastAsia="仿宋_GB2312" w:hAnsi="仿宋_GB2312" w:cs="仿宋_GB2312" w:hint="eastAsia"/>
          <w:sz w:val="32"/>
          <w:szCs w:val="32"/>
        </w:rPr>
        <w:t>微企业</w:t>
      </w:r>
      <w:proofErr w:type="gramEnd"/>
      <w:r>
        <w:rPr>
          <w:rFonts w:ascii="仿宋_GB2312" w:eastAsia="仿宋_GB2312" w:hAnsi="仿宋_GB2312" w:cs="仿宋_GB2312" w:hint="eastAsia"/>
          <w:sz w:val="32"/>
          <w:szCs w:val="32"/>
        </w:rPr>
        <w:t>合同金额0万元，占政府采购支出总额的0%。</w:t>
      </w:r>
    </w:p>
    <w:p w:rsidR="005A7957" w:rsidRDefault="00A05EAF" w:rsidP="005A7957">
      <w:pPr>
        <w:spacing w:line="600" w:lineRule="exact"/>
        <w:ind w:firstLineChars="200" w:firstLine="640"/>
        <w:outlineLvl w:val="2"/>
        <w:rPr>
          <w:rFonts w:eastAsia="楷体_GB2312" w:cs="楷体_GB2312"/>
          <w:b/>
          <w:sz w:val="32"/>
          <w:szCs w:val="32"/>
        </w:rPr>
      </w:pPr>
      <w:bookmarkStart w:id="69" w:name="_Toc15377224"/>
      <w:r>
        <w:rPr>
          <w:rFonts w:eastAsia="楷体_GB2312" w:cs="楷体_GB2312" w:hint="eastAsia"/>
          <w:b/>
          <w:sz w:val="32"/>
          <w:szCs w:val="32"/>
        </w:rPr>
        <w:t>（三）国有资产占有使用情况</w:t>
      </w:r>
      <w:bookmarkEnd w:id="69"/>
    </w:p>
    <w:p w:rsidR="005A7957" w:rsidRDefault="00A05EAF">
      <w:pPr>
        <w:spacing w:line="600" w:lineRule="exact"/>
        <w:ind w:firstLine="640"/>
        <w:rPr>
          <w:rFonts w:eastAsia="仿宋_GB2312" w:cs="仿宋_GB2312"/>
          <w:sz w:val="32"/>
          <w:szCs w:val="32"/>
        </w:rPr>
      </w:pPr>
      <w:r>
        <w:rPr>
          <w:rFonts w:ascii="仿宋_GB2312" w:eastAsia="仿宋_GB2312" w:hAnsi="仿宋_GB2312" w:cs="仿宋_GB2312" w:hint="eastAsia"/>
          <w:sz w:val="32"/>
          <w:szCs w:val="32"/>
        </w:rPr>
        <w:t>截至2024年12月31日，绵竹市</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镇人民政府共有车辆2辆，其中：主要负责人用车0辆、机要通信用车0辆、应急保障用车0辆、其他用车2辆，其他用车主要是用于日常巡逻、执行公务。单价100万元（含）以上设备（不含车辆）0台（套）</w:t>
      </w:r>
      <w:r>
        <w:rPr>
          <w:rFonts w:eastAsia="仿宋_GB2312" w:cs="仿宋_GB2312" w:hint="eastAsia"/>
          <w:sz w:val="32"/>
          <w:szCs w:val="32"/>
        </w:rPr>
        <w:t>。</w:t>
      </w:r>
    </w:p>
    <w:p w:rsidR="005A7957" w:rsidRDefault="00A05EAF" w:rsidP="005A7957">
      <w:pPr>
        <w:spacing w:line="600" w:lineRule="exact"/>
        <w:ind w:firstLineChars="200" w:firstLine="640"/>
        <w:outlineLvl w:val="2"/>
        <w:rPr>
          <w:rFonts w:eastAsia="楷体_GB2312" w:cs="楷体_GB2312"/>
          <w:b/>
          <w:sz w:val="32"/>
          <w:szCs w:val="32"/>
          <w:highlight w:val="red"/>
        </w:rPr>
      </w:pPr>
      <w:r>
        <w:rPr>
          <w:rFonts w:eastAsia="楷体_GB2312" w:cs="楷体_GB2312" w:hint="eastAsia"/>
          <w:b/>
          <w:sz w:val="32"/>
          <w:szCs w:val="32"/>
        </w:rPr>
        <w:lastRenderedPageBreak/>
        <w:t>（四）预算绩效管理情况</w:t>
      </w:r>
    </w:p>
    <w:p w:rsidR="005A7957" w:rsidRDefault="00A05EAF">
      <w:pPr>
        <w:spacing w:line="600" w:lineRule="exact"/>
        <w:ind w:firstLine="640"/>
        <w:rPr>
          <w:rFonts w:eastAsia="仿宋_GB2312" w:cs="仿宋_GB2312"/>
          <w:sz w:val="32"/>
          <w:szCs w:val="32"/>
        </w:rPr>
      </w:pPr>
      <w:r>
        <w:rPr>
          <w:rFonts w:eastAsia="仿宋_GB2312" w:cs="仿宋_GB2312" w:hint="eastAsia"/>
          <w:sz w:val="32"/>
          <w:szCs w:val="32"/>
        </w:rPr>
        <w:t>根据预算绩效管理要求，本</w:t>
      </w:r>
      <w:r w:rsidR="00931B19">
        <w:rPr>
          <w:rFonts w:eastAsia="仿宋_GB2312" w:cs="仿宋_GB2312" w:hint="eastAsia"/>
          <w:sz w:val="32"/>
          <w:szCs w:val="32"/>
        </w:rPr>
        <w:t>单位</w:t>
      </w:r>
      <w:r>
        <w:rPr>
          <w:rFonts w:eastAsia="仿宋_GB2312" w:cs="仿宋_GB2312" w:hint="eastAsia"/>
          <w:sz w:val="32"/>
          <w:szCs w:val="32"/>
        </w:rPr>
        <w:t>在</w:t>
      </w:r>
      <w:r>
        <w:rPr>
          <w:rFonts w:eastAsia="仿宋_GB2312" w:cs="仿宋_GB2312" w:hint="eastAsia"/>
          <w:sz w:val="32"/>
          <w:szCs w:val="32"/>
        </w:rPr>
        <w:t>2024</w:t>
      </w:r>
      <w:r>
        <w:rPr>
          <w:rFonts w:eastAsia="仿宋_GB2312" w:cs="仿宋_GB2312" w:hint="eastAsia"/>
          <w:sz w:val="32"/>
          <w:szCs w:val="32"/>
        </w:rPr>
        <w:t>年度预算编制阶段，组织对道路交通安全工作突出村补助等</w:t>
      </w:r>
      <w:r>
        <w:rPr>
          <w:rFonts w:eastAsia="仿宋_GB2312" w:cs="仿宋_GB2312" w:hint="eastAsia"/>
          <w:sz w:val="32"/>
          <w:szCs w:val="32"/>
        </w:rPr>
        <w:t>13</w:t>
      </w:r>
      <w:r>
        <w:rPr>
          <w:rFonts w:eastAsia="仿宋_GB2312" w:cs="仿宋_GB2312" w:hint="eastAsia"/>
          <w:sz w:val="32"/>
          <w:szCs w:val="32"/>
        </w:rPr>
        <w:t>个项目开展了预算事前绩效评估，对</w:t>
      </w:r>
      <w:r>
        <w:rPr>
          <w:rFonts w:eastAsia="仿宋_GB2312" w:cs="仿宋_GB2312" w:hint="eastAsia"/>
          <w:sz w:val="32"/>
          <w:szCs w:val="32"/>
        </w:rPr>
        <w:t>13</w:t>
      </w:r>
      <w:r>
        <w:rPr>
          <w:rFonts w:eastAsia="仿宋_GB2312" w:cs="仿宋_GB2312" w:hint="eastAsia"/>
          <w:sz w:val="32"/>
          <w:szCs w:val="32"/>
        </w:rPr>
        <w:t>个项目编制了绩效目标，预算执行过程中，选取</w:t>
      </w:r>
      <w:r>
        <w:rPr>
          <w:rFonts w:eastAsia="仿宋_GB2312" w:cs="仿宋_GB2312" w:hint="eastAsia"/>
          <w:sz w:val="32"/>
          <w:szCs w:val="32"/>
        </w:rPr>
        <w:t>13</w:t>
      </w:r>
      <w:r>
        <w:rPr>
          <w:rFonts w:eastAsia="仿宋_GB2312" w:cs="仿宋_GB2312" w:hint="eastAsia"/>
          <w:sz w:val="32"/>
          <w:szCs w:val="32"/>
        </w:rPr>
        <w:t>个项目开展绩效监控。</w:t>
      </w:r>
    </w:p>
    <w:p w:rsidR="005A7957" w:rsidRDefault="00A05EAF">
      <w:pPr>
        <w:spacing w:line="600" w:lineRule="exact"/>
        <w:ind w:firstLine="640"/>
        <w:rPr>
          <w:rFonts w:eastAsia="仿宋_GB2312" w:cs="仿宋_GB2312"/>
          <w:sz w:val="32"/>
          <w:szCs w:val="32"/>
        </w:rPr>
      </w:pPr>
      <w:bookmarkStart w:id="70" w:name="_Toc15377225"/>
      <w:bookmarkStart w:id="71" w:name="_Toc15396613"/>
      <w:r>
        <w:rPr>
          <w:rFonts w:eastAsia="仿宋_GB2312" w:cs="仿宋_GB2312" w:hint="eastAsia"/>
          <w:sz w:val="32"/>
          <w:szCs w:val="32"/>
        </w:rPr>
        <w:t>组织对</w:t>
      </w:r>
      <w:r>
        <w:rPr>
          <w:rFonts w:eastAsia="仿宋_GB2312" w:cs="仿宋_GB2312" w:hint="eastAsia"/>
          <w:sz w:val="32"/>
          <w:szCs w:val="32"/>
        </w:rPr>
        <w:t>2024</w:t>
      </w:r>
      <w:r>
        <w:rPr>
          <w:rFonts w:eastAsia="仿宋_GB2312" w:cs="仿宋_GB2312" w:hint="eastAsia"/>
          <w:sz w:val="32"/>
          <w:szCs w:val="32"/>
        </w:rPr>
        <w:t>年度一般公共预算、国有资本经营预算等全面开展绩效自评，形成绵竹市</w:t>
      </w:r>
      <w:proofErr w:type="gramStart"/>
      <w:r>
        <w:rPr>
          <w:rFonts w:eastAsia="仿宋_GB2312" w:cs="仿宋_GB2312" w:hint="eastAsia"/>
          <w:sz w:val="32"/>
          <w:szCs w:val="32"/>
        </w:rPr>
        <w:t>麓棠</w:t>
      </w:r>
      <w:proofErr w:type="gramEnd"/>
      <w:r>
        <w:rPr>
          <w:rFonts w:eastAsia="仿宋_GB2312" w:cs="仿宋_GB2312" w:hint="eastAsia"/>
          <w:sz w:val="32"/>
          <w:szCs w:val="32"/>
        </w:rPr>
        <w:t>镇人民政府</w:t>
      </w:r>
      <w:r>
        <w:rPr>
          <w:rFonts w:eastAsia="仿宋_GB2312" w:cs="仿宋_GB2312" w:hint="eastAsia"/>
          <w:sz w:val="32"/>
          <w:szCs w:val="32"/>
        </w:rPr>
        <w:t>2024</w:t>
      </w:r>
      <w:r>
        <w:rPr>
          <w:rFonts w:eastAsia="仿宋_GB2312" w:cs="仿宋_GB2312" w:hint="eastAsia"/>
          <w:sz w:val="32"/>
          <w:szCs w:val="32"/>
        </w:rPr>
        <w:t>年度</w:t>
      </w:r>
      <w:r w:rsidR="00931B19">
        <w:rPr>
          <w:rFonts w:eastAsia="仿宋_GB2312" w:cs="仿宋_GB2312" w:hint="eastAsia"/>
          <w:sz w:val="32"/>
          <w:szCs w:val="32"/>
        </w:rPr>
        <w:t>单位</w:t>
      </w:r>
      <w:r>
        <w:rPr>
          <w:rFonts w:eastAsia="仿宋_GB2312" w:cs="仿宋_GB2312" w:hint="eastAsia"/>
          <w:sz w:val="32"/>
          <w:szCs w:val="32"/>
        </w:rPr>
        <w:t>整体（</w:t>
      </w:r>
      <w:proofErr w:type="gramStart"/>
      <w:r>
        <w:rPr>
          <w:rFonts w:eastAsia="仿宋_GB2312" w:cs="仿宋_GB2312" w:hint="eastAsia"/>
          <w:sz w:val="32"/>
          <w:szCs w:val="32"/>
        </w:rPr>
        <w:t>含</w:t>
      </w:r>
      <w:r w:rsidR="00931B19">
        <w:rPr>
          <w:rFonts w:eastAsia="仿宋_GB2312" w:cs="仿宋_GB2312" w:hint="eastAsia"/>
          <w:sz w:val="32"/>
          <w:szCs w:val="32"/>
        </w:rPr>
        <w:t>单位</w:t>
      </w:r>
      <w:proofErr w:type="gramEnd"/>
      <w:r>
        <w:rPr>
          <w:rFonts w:eastAsia="仿宋_GB2312" w:cs="仿宋_GB2312" w:hint="eastAsia"/>
          <w:sz w:val="32"/>
          <w:szCs w:val="32"/>
        </w:rPr>
        <w:t>预算项目）预算绩效自评报告、道路交通安全工作突出村补助等绵竹市“项目预算”绩效评价指标体系及</w:t>
      </w:r>
      <w:proofErr w:type="gramStart"/>
      <w:r>
        <w:rPr>
          <w:rFonts w:eastAsia="仿宋_GB2312" w:cs="仿宋_GB2312" w:hint="eastAsia"/>
          <w:sz w:val="32"/>
          <w:szCs w:val="32"/>
        </w:rPr>
        <w:t>自评价</w:t>
      </w:r>
      <w:proofErr w:type="gramEnd"/>
      <w:r>
        <w:rPr>
          <w:rFonts w:eastAsia="仿宋_GB2312" w:cs="仿宋_GB2312" w:hint="eastAsia"/>
          <w:sz w:val="32"/>
          <w:szCs w:val="32"/>
        </w:rPr>
        <w:t>情况表，其中，绵竹市</w:t>
      </w:r>
      <w:proofErr w:type="gramStart"/>
      <w:r>
        <w:rPr>
          <w:rFonts w:eastAsia="仿宋_GB2312" w:cs="仿宋_GB2312" w:hint="eastAsia"/>
          <w:sz w:val="32"/>
          <w:szCs w:val="32"/>
        </w:rPr>
        <w:t>麓棠</w:t>
      </w:r>
      <w:proofErr w:type="gramEnd"/>
      <w:r>
        <w:rPr>
          <w:rFonts w:eastAsia="仿宋_GB2312" w:cs="仿宋_GB2312" w:hint="eastAsia"/>
          <w:sz w:val="32"/>
          <w:szCs w:val="32"/>
        </w:rPr>
        <w:t>镇人民政府</w:t>
      </w:r>
      <w:r w:rsidR="00931B19">
        <w:rPr>
          <w:rFonts w:eastAsia="仿宋_GB2312" w:cs="仿宋_GB2312" w:hint="eastAsia"/>
          <w:sz w:val="32"/>
          <w:szCs w:val="32"/>
        </w:rPr>
        <w:t>单位</w:t>
      </w:r>
      <w:r>
        <w:rPr>
          <w:rFonts w:eastAsia="仿宋_GB2312" w:cs="仿宋_GB2312" w:hint="eastAsia"/>
          <w:sz w:val="32"/>
          <w:szCs w:val="32"/>
        </w:rPr>
        <w:t>整体</w:t>
      </w:r>
      <w:r>
        <w:rPr>
          <w:rFonts w:eastAsia="仿宋_GB2312" w:cs="仿宋_GB2312" w:hint="eastAsia"/>
          <w:sz w:val="32"/>
          <w:szCs w:val="32"/>
        </w:rPr>
        <w:t>(</w:t>
      </w:r>
      <w:proofErr w:type="gramStart"/>
      <w:r>
        <w:rPr>
          <w:rFonts w:eastAsia="仿宋_GB2312" w:cs="仿宋_GB2312" w:hint="eastAsia"/>
          <w:sz w:val="32"/>
          <w:szCs w:val="32"/>
        </w:rPr>
        <w:t>含</w:t>
      </w:r>
      <w:r w:rsidR="00931B19">
        <w:rPr>
          <w:rFonts w:eastAsia="仿宋_GB2312" w:cs="仿宋_GB2312" w:hint="eastAsia"/>
          <w:sz w:val="32"/>
          <w:szCs w:val="32"/>
        </w:rPr>
        <w:t>单位</w:t>
      </w:r>
      <w:proofErr w:type="gramEnd"/>
      <w:r>
        <w:rPr>
          <w:rFonts w:eastAsia="仿宋_GB2312" w:cs="仿宋_GB2312" w:hint="eastAsia"/>
          <w:sz w:val="32"/>
          <w:szCs w:val="32"/>
        </w:rPr>
        <w:t>预算项目</w:t>
      </w:r>
      <w:r>
        <w:rPr>
          <w:rFonts w:eastAsia="仿宋_GB2312" w:cs="仿宋_GB2312" w:hint="eastAsia"/>
          <w:sz w:val="32"/>
          <w:szCs w:val="32"/>
        </w:rPr>
        <w:t>)</w:t>
      </w:r>
      <w:r>
        <w:rPr>
          <w:rFonts w:eastAsia="仿宋_GB2312" w:cs="仿宋_GB2312" w:hint="eastAsia"/>
          <w:sz w:val="32"/>
          <w:szCs w:val="32"/>
        </w:rPr>
        <w:t>绩效自评得分为</w:t>
      </w:r>
      <w:r>
        <w:rPr>
          <w:rFonts w:eastAsia="仿宋_GB2312" w:cs="仿宋_GB2312" w:hint="eastAsia"/>
          <w:sz w:val="32"/>
          <w:szCs w:val="32"/>
        </w:rPr>
        <w:t>89</w:t>
      </w:r>
      <w:r>
        <w:rPr>
          <w:rFonts w:eastAsia="仿宋_GB2312" w:cs="仿宋_GB2312" w:hint="eastAsia"/>
          <w:sz w:val="32"/>
          <w:szCs w:val="32"/>
        </w:rPr>
        <w:t>分，绩效自评报告和“项目预算”</w:t>
      </w:r>
      <w:proofErr w:type="gramStart"/>
      <w:r>
        <w:rPr>
          <w:rFonts w:eastAsia="仿宋_GB2312" w:cs="仿宋_GB2312" w:hint="eastAsia"/>
          <w:sz w:val="32"/>
          <w:szCs w:val="32"/>
        </w:rPr>
        <w:t>自评价</w:t>
      </w:r>
      <w:proofErr w:type="gramEnd"/>
      <w:r>
        <w:rPr>
          <w:rFonts w:eastAsia="仿宋_GB2312" w:cs="仿宋_GB2312" w:hint="eastAsia"/>
          <w:sz w:val="32"/>
          <w:szCs w:val="32"/>
        </w:rPr>
        <w:t>情况表详见附件。</w:t>
      </w:r>
    </w:p>
    <w:p w:rsidR="005A7957" w:rsidRDefault="005A7957">
      <w:pPr>
        <w:spacing w:line="600" w:lineRule="exact"/>
        <w:ind w:firstLine="640"/>
        <w:rPr>
          <w:rFonts w:eastAsia="仿宋_GB2312" w:cs="仿宋_GB2312"/>
          <w:sz w:val="32"/>
          <w:szCs w:val="32"/>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A05EAF">
      <w:pPr>
        <w:spacing w:line="600" w:lineRule="exact"/>
        <w:jc w:val="center"/>
        <w:outlineLvl w:val="0"/>
        <w:rPr>
          <w:rFonts w:eastAsia="黑体"/>
          <w:sz w:val="44"/>
          <w:szCs w:val="44"/>
        </w:rPr>
      </w:pPr>
      <w:bookmarkStart w:id="72" w:name="_Toc2066669189"/>
      <w:r>
        <w:rPr>
          <w:rFonts w:eastAsia="黑体" w:hint="eastAsia"/>
          <w:sz w:val="44"/>
          <w:szCs w:val="44"/>
        </w:rPr>
        <w:lastRenderedPageBreak/>
        <w:t>第三部分</w:t>
      </w:r>
      <w:r>
        <w:rPr>
          <w:rFonts w:eastAsia="黑体" w:hint="eastAsia"/>
          <w:sz w:val="44"/>
          <w:szCs w:val="44"/>
        </w:rPr>
        <w:t xml:space="preserve">  </w:t>
      </w:r>
      <w:r>
        <w:rPr>
          <w:rFonts w:eastAsia="黑体" w:hint="eastAsia"/>
          <w:sz w:val="44"/>
          <w:szCs w:val="44"/>
        </w:rPr>
        <w:t>名词解释</w:t>
      </w:r>
      <w:bookmarkEnd w:id="70"/>
      <w:bookmarkEnd w:id="71"/>
      <w:bookmarkEnd w:id="72"/>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1.财政拨款收入：指单位从同级财政部门取得的财政预算资金。</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2.事业收入：指事业单位开展专业业务活动及辅助活动取得的收入。</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3.经营收入：指事业单位在专业业务活动及其辅助活动之外开展非独立核算经营活动取得的收入。</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4.其他收入：指单位取得的除上述收入以外的各项收入。 </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5.使用非财政拨款结余（含专用结余）：指事业单位使用以前年度积累的非财政拨款结余弥补当年收支差额的金额。 </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6.年初结转和结余：指以前年度尚未完成、结转到本年按有关规定继续使用的资金。 </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7.结余分配：指事业单位按照会计制度规定缴纳的所得税、提取的专用结余以及转入非财政拨款结余的金额等。</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8.年末结转和结余：指单位按有关规定结转到下年或以后年度继续使用的资金。</w:t>
      </w:r>
    </w:p>
    <w:p w:rsidR="005A7957" w:rsidRDefault="00A05EAF">
      <w:pPr>
        <w:pStyle w:val="Default"/>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auto"/>
          <w:sz w:val="32"/>
          <w:szCs w:val="32"/>
        </w:rPr>
        <w:t>9.</w:t>
      </w:r>
      <w:r>
        <w:rPr>
          <w:rFonts w:ascii="仿宋_GB2312" w:eastAsia="仿宋_GB2312" w:hAnsi="仿宋_GB2312" w:cs="仿宋_GB2312" w:hint="eastAsia"/>
          <w:sz w:val="32"/>
          <w:szCs w:val="32"/>
        </w:rPr>
        <w:t>一般公共服务支出（类）人大事务（款）其他人大事务支出（项）：</w:t>
      </w:r>
      <w:r>
        <w:rPr>
          <w:rFonts w:ascii="仿宋_GB2312" w:eastAsia="仿宋_GB2312" w:hAnsi="仿宋_GB2312" w:cs="仿宋_GB2312" w:hint="eastAsia"/>
          <w:color w:val="auto"/>
          <w:sz w:val="32"/>
          <w:szCs w:val="32"/>
        </w:rPr>
        <w:t>指除人大行政运行、人大机关服务等以外的其他人大事务支出；</w:t>
      </w:r>
      <w:r>
        <w:rPr>
          <w:rFonts w:ascii="仿宋_GB2312" w:eastAsia="仿宋_GB2312" w:hAnsi="仿宋_GB2312" w:cs="仿宋_GB2312" w:hint="eastAsia"/>
          <w:sz w:val="32"/>
          <w:szCs w:val="32"/>
        </w:rPr>
        <w:t>一般公共服务支出（类）政府办公厅（室）及相关机构事务（款）行政运行（项）：</w:t>
      </w:r>
      <w:r>
        <w:rPr>
          <w:rFonts w:ascii="仿宋_GB2312" w:eastAsia="仿宋_GB2312" w:hAnsi="仿宋_GB2312" w:cs="仿宋_GB2312" w:hint="eastAsia"/>
          <w:color w:val="auto"/>
          <w:sz w:val="32"/>
          <w:szCs w:val="32"/>
        </w:rPr>
        <w:t>指行政单位的基本支出；</w:t>
      </w:r>
      <w:r>
        <w:rPr>
          <w:rFonts w:ascii="仿宋_GB2312" w:eastAsia="仿宋_GB2312" w:hAnsi="仿宋_GB2312" w:cs="仿宋_GB2312" w:hint="eastAsia"/>
          <w:sz w:val="32"/>
          <w:szCs w:val="32"/>
        </w:rPr>
        <w:t>一般公共服务支出（类）政府办公厅（室）及相关机构事务（款）一般行政管理事务（项）：指行政单位未单独</w:t>
      </w:r>
      <w:r>
        <w:rPr>
          <w:rFonts w:ascii="仿宋_GB2312" w:eastAsia="仿宋_GB2312" w:hAnsi="仿宋_GB2312" w:cs="仿宋_GB2312" w:hint="eastAsia"/>
          <w:sz w:val="32"/>
          <w:szCs w:val="32"/>
        </w:rPr>
        <w:lastRenderedPageBreak/>
        <w:t>设置项级科目的其他项目支出；一般公共服务支出（类）政府办公厅（室）及相关机构事务（款）事业运行（项）：</w:t>
      </w:r>
      <w:r>
        <w:rPr>
          <w:rFonts w:ascii="仿宋_GB2312" w:eastAsia="仿宋_GB2312" w:hAnsi="仿宋_GB2312" w:cs="仿宋_GB2312" w:hint="eastAsia"/>
          <w:color w:val="auto"/>
          <w:sz w:val="32"/>
          <w:szCs w:val="32"/>
        </w:rPr>
        <w:t>指事业单位的基本支出；</w:t>
      </w:r>
      <w:r>
        <w:rPr>
          <w:rFonts w:ascii="仿宋_GB2312" w:eastAsia="仿宋_GB2312" w:hAnsi="仿宋_GB2312" w:cs="仿宋_GB2312" w:hint="eastAsia"/>
          <w:sz w:val="32"/>
          <w:szCs w:val="32"/>
        </w:rPr>
        <w:t>一般公共服务支出（类）群众团体事务（款）其他群众团体事务支出（项）：</w:t>
      </w:r>
      <w:r>
        <w:rPr>
          <w:rFonts w:ascii="仿宋_GB2312" w:eastAsia="仿宋_GB2312" w:hAnsi="仿宋_GB2312" w:cs="仿宋_GB2312" w:hint="eastAsia"/>
          <w:color w:val="auto"/>
          <w:sz w:val="32"/>
          <w:szCs w:val="32"/>
        </w:rPr>
        <w:t>指除行政运行、机关服务等以外的其他用于群众团体事务方面的支出；</w:t>
      </w:r>
      <w:r>
        <w:rPr>
          <w:rFonts w:ascii="仿宋_GB2312" w:eastAsia="仿宋_GB2312" w:hAnsi="仿宋_GB2312" w:cs="仿宋_GB2312" w:hint="eastAsia"/>
          <w:sz w:val="32"/>
          <w:szCs w:val="32"/>
        </w:rPr>
        <w:t>一般公共服务支出（类）其他共产党事务支出（款）其他共产党事务支出（项）：指其他用于中国共产党事务的支出；一般公共服务支出（类）其他一般公共服务支出（款）其他一般公共服务支出（项）：指其他一般公共服务支出。</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10.公共安全支出（类）公安（款）其他公安支出（项）：指其他用于公安方面的支出。</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11.文化旅游体育与传媒支出（类）文化和旅游（款）其他文化和旅游支出（项）：指其他用于文化和旅游方面的支出。</w:t>
      </w:r>
    </w:p>
    <w:p w:rsidR="005A7957" w:rsidRDefault="00A05EAF">
      <w:pPr>
        <w:pStyle w:val="Default"/>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auto"/>
          <w:kern w:val="2"/>
          <w:sz w:val="32"/>
          <w:szCs w:val="32"/>
        </w:rPr>
        <w:t>12.社会保障</w:t>
      </w:r>
      <w:r>
        <w:rPr>
          <w:rFonts w:ascii="仿宋_GB2312" w:eastAsia="仿宋_GB2312" w:hAnsi="仿宋_GB2312" w:cs="仿宋_GB2312" w:hint="eastAsia"/>
          <w:sz w:val="32"/>
          <w:szCs w:val="32"/>
        </w:rPr>
        <w:t>和就业支出（类）人力资源和社会保障管理事务（款）其他人力资源和社会保障管理事务支出（项）：指其他用于人力资源和社会保障管理事务方面的支出；社会保障和就业支出（类）行政事业单位养老支出（款）行政单位离退休（项）：</w:t>
      </w:r>
      <w:r>
        <w:rPr>
          <w:rFonts w:ascii="仿宋_GB2312" w:eastAsia="仿宋_GB2312" w:hAnsi="仿宋_GB2312" w:cs="仿宋_GB2312" w:hint="eastAsia"/>
          <w:color w:val="auto"/>
          <w:sz w:val="32"/>
          <w:szCs w:val="32"/>
        </w:rPr>
        <w:t>指行政单位开支的离退休经费；</w:t>
      </w:r>
      <w:r>
        <w:rPr>
          <w:rFonts w:ascii="仿宋_GB2312" w:eastAsia="仿宋_GB2312" w:hAnsi="仿宋_GB2312" w:cs="仿宋_GB2312" w:hint="eastAsia"/>
          <w:sz w:val="32"/>
          <w:szCs w:val="32"/>
        </w:rPr>
        <w:t>社会保障和就业支出（类）行政事业单位养老支出（款）事业单位离退休（项）：</w:t>
      </w:r>
      <w:r>
        <w:rPr>
          <w:rFonts w:ascii="仿宋_GB2312" w:eastAsia="仿宋_GB2312" w:hAnsi="仿宋_GB2312" w:cs="仿宋_GB2312" w:hint="eastAsia"/>
          <w:color w:val="auto"/>
          <w:sz w:val="32"/>
          <w:szCs w:val="32"/>
        </w:rPr>
        <w:t>指事业单位开支的离退休经费；</w:t>
      </w:r>
      <w:r>
        <w:rPr>
          <w:rFonts w:ascii="仿宋_GB2312" w:eastAsia="仿宋_GB2312" w:hAnsi="仿宋_GB2312" w:cs="仿宋_GB2312" w:hint="eastAsia"/>
          <w:sz w:val="32"/>
          <w:szCs w:val="32"/>
        </w:rPr>
        <w:t>社会保障和就业支出（类）行政事业单位养老支出（款）机关事业单位基本养老保险缴费支出（项）：</w:t>
      </w:r>
      <w:r>
        <w:rPr>
          <w:rFonts w:ascii="仿宋_GB2312" w:eastAsia="仿宋_GB2312" w:hAnsi="仿宋_GB2312" w:cs="仿宋_GB2312" w:hint="eastAsia"/>
          <w:color w:val="auto"/>
          <w:sz w:val="32"/>
          <w:szCs w:val="32"/>
        </w:rPr>
        <w:t>指机关事业单位实施养老保险</w:t>
      </w:r>
      <w:r>
        <w:rPr>
          <w:rFonts w:ascii="仿宋_GB2312" w:eastAsia="仿宋_GB2312" w:hAnsi="仿宋_GB2312" w:cs="仿宋_GB2312" w:hint="eastAsia"/>
          <w:color w:val="auto"/>
          <w:sz w:val="32"/>
          <w:szCs w:val="32"/>
        </w:rPr>
        <w:lastRenderedPageBreak/>
        <w:t>制度由单位缴纳的基本养老保险费支出；</w:t>
      </w:r>
      <w:r>
        <w:rPr>
          <w:rFonts w:ascii="仿宋_GB2312" w:eastAsia="仿宋_GB2312" w:hAnsi="仿宋_GB2312" w:cs="仿宋_GB2312" w:hint="eastAsia"/>
          <w:sz w:val="32"/>
          <w:szCs w:val="32"/>
        </w:rPr>
        <w:t>社会保障和就业支出（类）行政事业单位养老支出（款）机关事业单位职业年金缴费支出（项）：</w:t>
      </w:r>
      <w:r>
        <w:rPr>
          <w:rFonts w:ascii="仿宋_GB2312" w:eastAsia="仿宋_GB2312" w:hAnsi="仿宋_GB2312" w:cs="仿宋_GB2312" w:hint="eastAsia"/>
          <w:color w:val="auto"/>
          <w:sz w:val="32"/>
          <w:szCs w:val="32"/>
        </w:rPr>
        <w:t>指机关事业单位实施养老保险制度由单位实际缴纳的职业年金支出；</w:t>
      </w:r>
      <w:r>
        <w:rPr>
          <w:rFonts w:ascii="仿宋_GB2312" w:eastAsia="仿宋_GB2312" w:hAnsi="仿宋_GB2312" w:cs="仿宋_GB2312" w:hint="eastAsia"/>
          <w:sz w:val="32"/>
          <w:szCs w:val="32"/>
        </w:rPr>
        <w:t>社会保障和就业支出（类）行政事业单位养老支出（款）其他行政事业单位养老支出（项）：指其他用于行政事业单位养老方面的支出；社会保障和就业支出（类）其他社会保障和就业支出（款）其他社会保障和就业支出（项）：指其他用于社会保障和就业方面的支出。</w:t>
      </w:r>
    </w:p>
    <w:p w:rsidR="005A7957" w:rsidRDefault="00A05EAF">
      <w:pPr>
        <w:pStyle w:val="Default"/>
        <w:spacing w:line="600" w:lineRule="exact"/>
        <w:ind w:firstLineChars="200" w:firstLine="640"/>
        <w:rPr>
          <w:rFonts w:ascii="仿宋_GB2312" w:eastAsia="仿宋_GB2312" w:hAnsi="仿宋_GB2312" w:cs="仿宋_GB2312"/>
          <w:color w:val="auto"/>
          <w:kern w:val="2"/>
          <w:sz w:val="32"/>
          <w:szCs w:val="32"/>
        </w:rPr>
      </w:pPr>
      <w:r>
        <w:rPr>
          <w:rFonts w:ascii="仿宋_GB2312" w:eastAsia="仿宋_GB2312" w:hAnsi="仿宋_GB2312" w:cs="仿宋_GB2312" w:hint="eastAsia"/>
          <w:color w:val="auto"/>
          <w:kern w:val="2"/>
          <w:sz w:val="32"/>
          <w:szCs w:val="32"/>
        </w:rPr>
        <w:t>13.卫生健康支出（类）行政事业单位医疗（款）行政单位医疗（项）：指财政部门安排的行政单位基本医疗保险缴费经费；卫生健康支出（类）行政事业单位医疗（款）事业单位医疗（项）：指财政部门安排的事业单位基本医疗保险缴费经费；卫生健康支出（类）行政事业单位医疗（款）公务员医疗补助（项）：指财政部门安排的公务员医疗补助经费；卫生健康支出（类）行政事业单位医疗（款）其他行政事业单位医疗支出（项）：指其他用于行政事业单位医疗方面的支出。</w:t>
      </w:r>
    </w:p>
    <w:p w:rsidR="005A7957" w:rsidRDefault="00A05EAF">
      <w:pPr>
        <w:pStyle w:val="Default"/>
        <w:spacing w:line="600" w:lineRule="exact"/>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kern w:val="2"/>
          <w:sz w:val="32"/>
          <w:szCs w:val="32"/>
        </w:rPr>
        <w:t>14.城乡社区</w:t>
      </w:r>
      <w:r>
        <w:rPr>
          <w:rFonts w:ascii="仿宋_GB2312" w:eastAsia="仿宋_GB2312" w:hAnsi="仿宋_GB2312" w:cs="仿宋_GB2312" w:hint="eastAsia"/>
          <w:sz w:val="32"/>
          <w:szCs w:val="32"/>
        </w:rPr>
        <w:t>支出（类）城乡社区管理事务（款）其他城乡社区管理事务支出（项）：</w:t>
      </w:r>
      <w:r>
        <w:rPr>
          <w:rFonts w:ascii="仿宋_GB2312" w:eastAsia="仿宋_GB2312" w:hAnsi="仿宋_GB2312" w:cs="仿宋_GB2312" w:hint="eastAsia"/>
          <w:color w:val="auto"/>
          <w:kern w:val="2"/>
          <w:sz w:val="32"/>
          <w:szCs w:val="32"/>
        </w:rPr>
        <w:t>指其他用于</w:t>
      </w:r>
      <w:r>
        <w:rPr>
          <w:rFonts w:ascii="仿宋_GB2312" w:eastAsia="仿宋_GB2312" w:hAnsi="仿宋_GB2312" w:cs="仿宋_GB2312" w:hint="eastAsia"/>
          <w:sz w:val="32"/>
          <w:szCs w:val="32"/>
        </w:rPr>
        <w:t>城乡社区管理事务</w:t>
      </w:r>
      <w:r>
        <w:rPr>
          <w:rFonts w:ascii="仿宋_GB2312" w:eastAsia="仿宋_GB2312" w:hAnsi="仿宋_GB2312" w:cs="仿宋_GB2312" w:hint="eastAsia"/>
          <w:color w:val="auto"/>
          <w:kern w:val="2"/>
          <w:sz w:val="32"/>
          <w:szCs w:val="32"/>
        </w:rPr>
        <w:t>方面的支出；</w:t>
      </w:r>
      <w:r>
        <w:rPr>
          <w:rFonts w:ascii="仿宋_GB2312" w:eastAsia="仿宋_GB2312" w:hAnsi="仿宋_GB2312" w:cs="仿宋_GB2312" w:hint="eastAsia"/>
          <w:sz w:val="32"/>
          <w:szCs w:val="32"/>
        </w:rPr>
        <w:t>城乡社区支出（类）城乡社区环境卫生（款）城乡社区环境卫生（项）：</w:t>
      </w:r>
      <w:r>
        <w:rPr>
          <w:rFonts w:ascii="仿宋_GB2312" w:eastAsia="仿宋_GB2312" w:hAnsi="仿宋_GB2312" w:cs="仿宋_GB2312" w:hint="eastAsia"/>
          <w:color w:val="auto"/>
          <w:sz w:val="32"/>
          <w:szCs w:val="32"/>
        </w:rPr>
        <w:t>指城乡社区道路清扫、垃圾清运与处理、公厕建设与维护、园林绿化等方面的支出。</w:t>
      </w:r>
    </w:p>
    <w:p w:rsidR="005A7957" w:rsidRDefault="00A05EAF">
      <w:pPr>
        <w:pStyle w:val="Default"/>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15.农林水支出（类）农业农村（款）事业运行（项）：</w:t>
      </w:r>
      <w:r>
        <w:rPr>
          <w:rFonts w:ascii="仿宋_GB2312" w:eastAsia="仿宋_GB2312" w:hAnsi="仿宋_GB2312" w:cs="仿宋_GB2312" w:hint="eastAsia"/>
          <w:color w:val="auto"/>
          <w:sz w:val="32"/>
          <w:szCs w:val="32"/>
        </w:rPr>
        <w:lastRenderedPageBreak/>
        <w:t>指农业事业单位基本支出</w:t>
      </w:r>
      <w:r>
        <w:rPr>
          <w:rFonts w:ascii="仿宋_GB2312" w:eastAsia="仿宋_GB2312" w:hAnsi="仿宋_GB2312" w:cs="仿宋_GB2312" w:hint="eastAsia"/>
          <w:sz w:val="32"/>
          <w:szCs w:val="32"/>
        </w:rPr>
        <w:t>；农林水支出（类）农业农村（款）其他农业农村支出（项）：</w:t>
      </w:r>
      <w:r>
        <w:rPr>
          <w:rFonts w:ascii="仿宋_GB2312" w:eastAsia="仿宋_GB2312" w:hAnsi="仿宋_GB2312" w:cs="仿宋_GB2312" w:hint="eastAsia"/>
          <w:color w:val="auto"/>
          <w:kern w:val="2"/>
          <w:sz w:val="32"/>
          <w:szCs w:val="32"/>
        </w:rPr>
        <w:t>指其他用于农业农村方面的支出；</w:t>
      </w:r>
      <w:r>
        <w:rPr>
          <w:rFonts w:ascii="仿宋_GB2312" w:eastAsia="仿宋_GB2312" w:hAnsi="仿宋_GB2312" w:cs="仿宋_GB2312" w:hint="eastAsia"/>
          <w:sz w:val="32"/>
          <w:szCs w:val="32"/>
        </w:rPr>
        <w:t>农林水支出（类）农村综合改革（款）对村民委员会和村党支部的补助（项）：</w:t>
      </w:r>
      <w:r>
        <w:rPr>
          <w:rFonts w:ascii="仿宋_GB2312" w:eastAsia="仿宋_GB2312" w:hAnsi="仿宋_GB2312" w:cs="仿宋_GB2312" w:hint="eastAsia"/>
          <w:color w:val="auto"/>
          <w:sz w:val="32"/>
          <w:szCs w:val="32"/>
        </w:rPr>
        <w:t>指各级财政对村民委员会和村党支部的补助支出，以及支持建立县级基本财力保障机制安排的村级组织</w:t>
      </w:r>
      <w:proofErr w:type="gramStart"/>
      <w:r>
        <w:rPr>
          <w:rFonts w:ascii="仿宋_GB2312" w:eastAsia="仿宋_GB2312" w:hAnsi="仿宋_GB2312" w:cs="仿宋_GB2312" w:hint="eastAsia"/>
          <w:color w:val="auto"/>
          <w:sz w:val="32"/>
          <w:szCs w:val="32"/>
        </w:rPr>
        <w:t>运转奖补资金</w:t>
      </w:r>
      <w:proofErr w:type="gramEnd"/>
      <w:r>
        <w:rPr>
          <w:rFonts w:ascii="仿宋_GB2312" w:eastAsia="仿宋_GB2312" w:hAnsi="仿宋_GB2312" w:cs="仿宋_GB2312" w:hint="eastAsia"/>
          <w:color w:val="auto"/>
          <w:sz w:val="32"/>
          <w:szCs w:val="32"/>
        </w:rPr>
        <w:t>；</w:t>
      </w:r>
      <w:r>
        <w:rPr>
          <w:rFonts w:ascii="仿宋_GB2312" w:eastAsia="仿宋_GB2312" w:hAnsi="仿宋_GB2312" w:cs="仿宋_GB2312" w:hint="eastAsia"/>
          <w:sz w:val="32"/>
          <w:szCs w:val="32"/>
        </w:rPr>
        <w:t>农林水支出（类）其他农林水支出（款）其他农林水支出（项）：</w:t>
      </w:r>
      <w:r>
        <w:rPr>
          <w:rFonts w:ascii="仿宋_GB2312" w:eastAsia="仿宋_GB2312" w:hAnsi="仿宋_GB2312" w:cs="仿宋_GB2312" w:hint="eastAsia"/>
          <w:color w:val="auto"/>
          <w:kern w:val="2"/>
          <w:sz w:val="32"/>
          <w:szCs w:val="32"/>
        </w:rPr>
        <w:t>指其他用于农林水方面的支出。</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16.交通运输支出（类）公路水路运输（款）公路养护（项）：指公路养护支出。</w:t>
      </w:r>
    </w:p>
    <w:p w:rsidR="005A7957" w:rsidRDefault="00A05EAF">
      <w:pPr>
        <w:pStyle w:val="Default"/>
        <w:spacing w:line="600" w:lineRule="exact"/>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sz w:val="32"/>
          <w:szCs w:val="32"/>
        </w:rPr>
        <w:t>17.住房保障支出（类）保障性安居工程支出（款）公共租赁住房（项）：指用于新建、改建、购买、租赁、维护和管理公共租赁住房住处；住房保障支出（类）住房改革支出（款）住房公积金（项）：</w:t>
      </w:r>
      <w:r>
        <w:rPr>
          <w:rFonts w:ascii="仿宋_GB2312" w:eastAsia="仿宋_GB2312" w:hAnsi="仿宋_GB2312" w:cs="仿宋_GB2312" w:hint="eastAsia"/>
          <w:color w:val="auto"/>
          <w:sz w:val="32"/>
          <w:szCs w:val="32"/>
        </w:rPr>
        <w:t>指行政事业单位按人力资源和社会保障部、财政部规定的基本工资和津贴补贴以及规定比例为职工缴纳的住房公积金。</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18.基本支出：指为保障机构正常运转、完成日常工作任务而发生的人员支出和公用支出。</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19.项目支出：指在基本支出之外为完成特定行政任务和事业发展目标所发生的支出。 </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20.经营支出：指事业单位在专业业务活动及其辅助活动之外开展非独立核算经营活动发生的支出。</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21.“三公”经费：指部门用财政拨款安排的因公出国（境）费、公务用车购置及运行费和公务接待费。其中，因</w:t>
      </w:r>
      <w:r>
        <w:rPr>
          <w:rFonts w:ascii="仿宋_GB2312" w:eastAsia="仿宋_GB2312" w:hAnsi="仿宋_GB2312" w:cs="仿宋_GB2312" w:hint="eastAsia"/>
          <w:sz w:val="32"/>
          <w:szCs w:val="32"/>
        </w:rPr>
        <w:lastRenderedPageBreak/>
        <w:t>公出国（境）</w:t>
      </w:r>
      <w:proofErr w:type="gramStart"/>
      <w:r>
        <w:rPr>
          <w:rFonts w:ascii="仿宋_GB2312" w:eastAsia="仿宋_GB2312" w:hAnsi="仿宋_GB2312" w:cs="仿宋_GB2312" w:hint="eastAsia"/>
          <w:sz w:val="32"/>
          <w:szCs w:val="32"/>
        </w:rPr>
        <w:t>费反映</w:t>
      </w:r>
      <w:proofErr w:type="gramEnd"/>
      <w:r>
        <w:rPr>
          <w:rFonts w:ascii="仿宋_GB2312" w:eastAsia="仿宋_GB2312" w:hAnsi="仿宋_GB2312" w:cs="仿宋_GB2312" w:hint="eastAsia"/>
          <w:sz w:val="32"/>
          <w:szCs w:val="32"/>
        </w:rPr>
        <w:t>单位公务出国（境）的国际旅费、国外城市间交通费、住宿费、伙食费、培训费、公杂费等支出；公务用车购置及运行</w:t>
      </w:r>
      <w:proofErr w:type="gramStart"/>
      <w:r>
        <w:rPr>
          <w:rFonts w:ascii="仿宋_GB2312" w:eastAsia="仿宋_GB2312" w:hAnsi="仿宋_GB2312" w:cs="仿宋_GB2312" w:hint="eastAsia"/>
          <w:sz w:val="32"/>
          <w:szCs w:val="32"/>
        </w:rPr>
        <w:t>费反映</w:t>
      </w:r>
      <w:proofErr w:type="gramEnd"/>
      <w:r>
        <w:rPr>
          <w:rFonts w:ascii="仿宋_GB2312" w:eastAsia="仿宋_GB2312" w:hAnsi="仿宋_GB2312" w:cs="仿宋_GB2312" w:hint="eastAsia"/>
          <w:sz w:val="32"/>
          <w:szCs w:val="32"/>
        </w:rPr>
        <w:t>单位公务用车车辆购置支出（</w:t>
      </w:r>
      <w:proofErr w:type="gramStart"/>
      <w:r>
        <w:rPr>
          <w:rFonts w:ascii="仿宋_GB2312" w:eastAsia="仿宋_GB2312" w:hAnsi="仿宋_GB2312" w:cs="仿宋_GB2312" w:hint="eastAsia"/>
          <w:sz w:val="32"/>
          <w:szCs w:val="32"/>
        </w:rPr>
        <w:t>含车辆</w:t>
      </w:r>
      <w:proofErr w:type="gramEnd"/>
      <w:r>
        <w:rPr>
          <w:rFonts w:ascii="仿宋_GB2312" w:eastAsia="仿宋_GB2312" w:hAnsi="仿宋_GB2312" w:cs="仿宋_GB2312" w:hint="eastAsia"/>
          <w:sz w:val="32"/>
          <w:szCs w:val="32"/>
        </w:rPr>
        <w:t>购置税）及租用费、燃料费、维修费、过路过桥费、保险费等支出；公务接待</w:t>
      </w:r>
      <w:proofErr w:type="gramStart"/>
      <w:r>
        <w:rPr>
          <w:rFonts w:ascii="仿宋_GB2312" w:eastAsia="仿宋_GB2312" w:hAnsi="仿宋_GB2312" w:cs="仿宋_GB2312" w:hint="eastAsia"/>
          <w:sz w:val="32"/>
          <w:szCs w:val="32"/>
        </w:rPr>
        <w:t>费反映</w:t>
      </w:r>
      <w:proofErr w:type="gramEnd"/>
      <w:r>
        <w:rPr>
          <w:rFonts w:ascii="仿宋_GB2312" w:eastAsia="仿宋_GB2312" w:hAnsi="仿宋_GB2312" w:cs="仿宋_GB2312" w:hint="eastAsia"/>
          <w:sz w:val="32"/>
          <w:szCs w:val="32"/>
        </w:rPr>
        <w:t>单位按规定开支的各类公务接待（含外宾接待）支出。</w:t>
      </w:r>
    </w:p>
    <w:p w:rsidR="005A7957" w:rsidRDefault="00A05EAF">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22.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A7957" w:rsidRDefault="005A7957">
      <w:pPr>
        <w:spacing w:line="600" w:lineRule="exact"/>
        <w:jc w:val="center"/>
        <w:rPr>
          <w:rFonts w:eastAsia="黑体"/>
          <w:sz w:val="44"/>
          <w:szCs w:val="44"/>
        </w:rPr>
      </w:pPr>
      <w:bookmarkStart w:id="73" w:name="_Toc15396614"/>
      <w:bookmarkStart w:id="74" w:name="_Toc15377226"/>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jc w:val="center"/>
        <w:rPr>
          <w:rFonts w:eastAsia="黑体"/>
          <w:sz w:val="44"/>
          <w:szCs w:val="44"/>
        </w:rPr>
      </w:pPr>
    </w:p>
    <w:p w:rsidR="005A7957" w:rsidRDefault="005A7957">
      <w:pPr>
        <w:spacing w:line="600" w:lineRule="exact"/>
        <w:rPr>
          <w:rFonts w:eastAsia="黑体"/>
          <w:sz w:val="44"/>
          <w:szCs w:val="44"/>
        </w:rPr>
      </w:pPr>
    </w:p>
    <w:p w:rsidR="005A7957" w:rsidRDefault="005A7957">
      <w:pPr>
        <w:spacing w:line="600" w:lineRule="exact"/>
        <w:rPr>
          <w:rFonts w:eastAsia="黑体"/>
          <w:sz w:val="44"/>
          <w:szCs w:val="44"/>
        </w:rPr>
      </w:pPr>
    </w:p>
    <w:p w:rsidR="005A7957" w:rsidRDefault="005A7957">
      <w:pPr>
        <w:spacing w:line="600" w:lineRule="exact"/>
        <w:rPr>
          <w:rFonts w:eastAsia="黑体"/>
          <w:sz w:val="44"/>
          <w:szCs w:val="44"/>
        </w:rPr>
      </w:pPr>
    </w:p>
    <w:p w:rsidR="005A7957" w:rsidRDefault="005A7957">
      <w:pPr>
        <w:spacing w:line="600" w:lineRule="exact"/>
        <w:jc w:val="center"/>
        <w:rPr>
          <w:rFonts w:eastAsia="黑体"/>
          <w:sz w:val="44"/>
          <w:szCs w:val="44"/>
        </w:rPr>
      </w:pPr>
    </w:p>
    <w:p w:rsidR="005A7957" w:rsidRDefault="00A05EAF">
      <w:pPr>
        <w:spacing w:line="600" w:lineRule="exact"/>
        <w:jc w:val="center"/>
        <w:outlineLvl w:val="0"/>
        <w:rPr>
          <w:rFonts w:eastAsia="方正仿宋简体"/>
          <w:sz w:val="32"/>
          <w:szCs w:val="32"/>
        </w:rPr>
      </w:pPr>
      <w:bookmarkStart w:id="75" w:name="_Toc1325843805"/>
      <w:r>
        <w:rPr>
          <w:rFonts w:eastAsia="黑体" w:hint="eastAsia"/>
          <w:sz w:val="44"/>
          <w:szCs w:val="44"/>
        </w:rPr>
        <w:lastRenderedPageBreak/>
        <w:t>第四部分</w:t>
      </w:r>
      <w:r>
        <w:rPr>
          <w:rFonts w:eastAsia="黑体" w:hint="eastAsia"/>
          <w:sz w:val="44"/>
          <w:szCs w:val="44"/>
        </w:rPr>
        <w:t xml:space="preserve">  </w:t>
      </w:r>
      <w:r>
        <w:rPr>
          <w:rFonts w:eastAsia="黑体" w:hint="eastAsia"/>
          <w:sz w:val="44"/>
          <w:szCs w:val="44"/>
        </w:rPr>
        <w:t>附件</w:t>
      </w:r>
      <w:bookmarkEnd w:id="73"/>
      <w:bookmarkEnd w:id="75"/>
    </w:p>
    <w:p w:rsidR="005A7957" w:rsidRDefault="00A05EAF">
      <w:pPr>
        <w:spacing w:line="600" w:lineRule="exact"/>
        <w:jc w:val="left"/>
        <w:outlineLvl w:val="0"/>
        <w:rPr>
          <w:rFonts w:eastAsia="黑体" w:cs="方正小标宋简体"/>
          <w:sz w:val="44"/>
          <w:szCs w:val="44"/>
        </w:rPr>
      </w:pPr>
      <w:r>
        <w:rPr>
          <w:rFonts w:eastAsia="黑体" w:cs="黑体" w:hint="eastAsia"/>
          <w:sz w:val="32"/>
          <w:szCs w:val="32"/>
        </w:rPr>
        <w:t>附件</w:t>
      </w:r>
      <w:r>
        <w:rPr>
          <w:rFonts w:eastAsia="黑体" w:cs="黑体" w:hint="eastAsia"/>
          <w:sz w:val="32"/>
          <w:szCs w:val="32"/>
        </w:rPr>
        <w:t>1</w:t>
      </w:r>
    </w:p>
    <w:p w:rsidR="005A7957" w:rsidRDefault="005A7957">
      <w:pPr>
        <w:spacing w:line="600" w:lineRule="exact"/>
        <w:rPr>
          <w:rFonts w:eastAsia="方正仿宋简体"/>
          <w:sz w:val="32"/>
          <w:szCs w:val="32"/>
        </w:rPr>
      </w:pPr>
    </w:p>
    <w:p w:rsidR="005A7957" w:rsidRDefault="00A05EAF">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绵竹市</w:t>
      </w:r>
      <w:proofErr w:type="gramStart"/>
      <w:r>
        <w:rPr>
          <w:rFonts w:ascii="方正小标宋简体" w:eastAsia="方正小标宋简体" w:hAnsi="方正小标宋简体" w:cs="方正小标宋简体" w:hint="eastAsia"/>
          <w:sz w:val="44"/>
          <w:szCs w:val="44"/>
        </w:rPr>
        <w:t>麓棠</w:t>
      </w:r>
      <w:proofErr w:type="gramEnd"/>
      <w:r>
        <w:rPr>
          <w:rFonts w:ascii="方正小标宋简体" w:eastAsia="方正小标宋简体" w:hAnsi="方正小标宋简体" w:cs="方正小标宋简体" w:hint="eastAsia"/>
          <w:sz w:val="44"/>
          <w:szCs w:val="44"/>
        </w:rPr>
        <w:t xml:space="preserve">镇人民政府 </w:t>
      </w:r>
    </w:p>
    <w:p w:rsidR="005A7957" w:rsidRDefault="00A05EAF">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2024年度</w:t>
      </w:r>
      <w:r w:rsidR="00931B19">
        <w:rPr>
          <w:rFonts w:ascii="方正小标宋简体" w:eastAsia="方正小标宋简体" w:hAnsi="方正小标宋简体" w:cs="方正小标宋简体" w:hint="eastAsia"/>
          <w:sz w:val="44"/>
          <w:szCs w:val="44"/>
        </w:rPr>
        <w:t>单位</w:t>
      </w:r>
      <w:r>
        <w:rPr>
          <w:rFonts w:ascii="方正小标宋简体" w:eastAsia="方正小标宋简体" w:hAnsi="方正小标宋简体" w:cs="方正小标宋简体" w:hint="eastAsia"/>
          <w:sz w:val="44"/>
          <w:szCs w:val="44"/>
        </w:rPr>
        <w:t>整体预算绩效自评报告</w:t>
      </w:r>
    </w:p>
    <w:p w:rsidR="005A7957" w:rsidRDefault="005A7957">
      <w:pPr>
        <w:spacing w:line="600" w:lineRule="exact"/>
        <w:jc w:val="center"/>
        <w:rPr>
          <w:rFonts w:eastAsia="方正仿宋简体"/>
          <w:sz w:val="32"/>
          <w:szCs w:val="32"/>
        </w:rPr>
      </w:pPr>
    </w:p>
    <w:p w:rsidR="005A7957" w:rsidRDefault="00A05EAF">
      <w:pPr>
        <w:spacing w:line="600" w:lineRule="exact"/>
        <w:ind w:firstLineChars="221" w:firstLine="707"/>
        <w:rPr>
          <w:rFonts w:ascii="黑体" w:eastAsia="黑体" w:hAnsi="黑体" w:cs="黑体"/>
          <w:sz w:val="32"/>
          <w:szCs w:val="32"/>
        </w:rPr>
      </w:pPr>
      <w:r>
        <w:rPr>
          <w:rFonts w:ascii="黑体" w:eastAsia="黑体" w:hAnsi="黑体" w:cs="黑体" w:hint="eastAsia"/>
          <w:sz w:val="32"/>
          <w:szCs w:val="32"/>
        </w:rPr>
        <w:t>一、</w:t>
      </w:r>
      <w:r w:rsidR="00931B19">
        <w:rPr>
          <w:rFonts w:ascii="黑体" w:eastAsia="黑体" w:hAnsi="黑体" w:cs="黑体" w:hint="eastAsia"/>
          <w:sz w:val="32"/>
          <w:szCs w:val="32"/>
        </w:rPr>
        <w:t>单位</w:t>
      </w:r>
      <w:r>
        <w:rPr>
          <w:rFonts w:ascii="黑体" w:eastAsia="黑体" w:hAnsi="黑体" w:cs="黑体" w:hint="eastAsia"/>
          <w:sz w:val="32"/>
          <w:szCs w:val="32"/>
        </w:rPr>
        <w:t>整体基本情况</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（一）机构设置</w:t>
      </w:r>
    </w:p>
    <w:p w:rsidR="005A7957" w:rsidRDefault="00A05EAF">
      <w:pPr>
        <w:spacing w:line="600" w:lineRule="exact"/>
        <w:ind w:firstLineChars="221" w:firstLine="707"/>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属于一级预算单位，无下属单位。镇政府设置有党建工作办公室、社会事务办公室、综合行政执法办公室、经济发展办公室、党政综合办公室、自然资源和建设管理办公室、社会治理办公室、综合行政执法和应急管理办公室、便民服务中心（事业）、群众工作服务中心（事业）、农业服务中心（事业）、</w:t>
      </w:r>
      <w:proofErr w:type="gramStart"/>
      <w:r>
        <w:rPr>
          <w:rFonts w:ascii="仿宋_GB2312" w:eastAsia="仿宋_GB2312" w:hAnsi="仿宋_GB2312" w:cs="仿宋_GB2312" w:hint="eastAsia"/>
          <w:sz w:val="32"/>
          <w:szCs w:val="32"/>
        </w:rPr>
        <w:t>文旅发展</w:t>
      </w:r>
      <w:proofErr w:type="gramEnd"/>
      <w:r>
        <w:rPr>
          <w:rFonts w:ascii="仿宋_GB2312" w:eastAsia="仿宋_GB2312" w:hAnsi="仿宋_GB2312" w:cs="仿宋_GB2312" w:hint="eastAsia"/>
          <w:sz w:val="32"/>
          <w:szCs w:val="32"/>
        </w:rPr>
        <w:t>中心（事业）。</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（二）职能职责</w:t>
      </w:r>
    </w:p>
    <w:p w:rsidR="005A7957" w:rsidRDefault="00A05EAF">
      <w:pPr>
        <w:spacing w:line="60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镇党委、政府的具体职能是：</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1.贯彻执行党和国家的路线方针政策和上级党委、政府各项决策部署，以及本级党员代表大会（党员大会）、人民代表大会的决议决定。讨论决定本镇党的建设和经济社会发展中的重大问题。</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2.加强党的建设。坚持全面从严治党，落实管党治党主体责任，全面加强党的政治建设、思想建设、组织建设、作风建设、廉政建设、制度建设等工作。</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3.统筹区域发展。落实关于辖区发展的重大决策，制定辖区经济和社会发展规划、公共服务设施布局，负责乡村振兴工作，推动辖区经济社会健康、有序、可持续发展。</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4.强化基层治理。负责本辖区社会治理，指导社区（村、居）委员会建设，健全自治平台，组织群众和单位参与社区（村、居）委员会建设和管理。负责统筹协调辖区内依法授权或委托授权的行政执法工作。</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5.优化公共服务。推进服务型政府建设，组织实施并优化教育、卫生健康、文化、民政、劳动社会保障、退役军人事务等各项公共服务。</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6.负责辖区范围内的社会稳定、安全生产和职业健康、生态环境保护、社会信用体系建设和审批服务便民化等工作。</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7.完成市委、市政府交办的其他任务。</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（三）人员概况</w:t>
      </w:r>
    </w:p>
    <w:p w:rsidR="005A7957" w:rsidRDefault="00A05EAF">
      <w:pPr>
        <w:spacing w:line="600" w:lineRule="exact"/>
        <w:ind w:firstLineChars="221" w:firstLine="707"/>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镇人民政府行政编制26人，工勤编制1人，事业编制26人，合计编制53人。截止2024年12月底，实有行政人员23人，工勤人员1人，事业人员17人，合计41人。</w:t>
      </w:r>
    </w:p>
    <w:p w:rsidR="005A7957" w:rsidRDefault="00A05EAF">
      <w:pPr>
        <w:spacing w:line="600" w:lineRule="exact"/>
        <w:ind w:firstLineChars="221" w:firstLine="707"/>
        <w:rPr>
          <w:rFonts w:ascii="黑体" w:eastAsia="黑体" w:hAnsi="黑体" w:cs="黑体"/>
          <w:sz w:val="32"/>
          <w:szCs w:val="32"/>
        </w:rPr>
      </w:pPr>
      <w:r>
        <w:rPr>
          <w:rFonts w:ascii="黑体" w:eastAsia="黑体" w:hAnsi="黑体" w:cs="黑体" w:hint="eastAsia"/>
          <w:sz w:val="32"/>
          <w:szCs w:val="32"/>
        </w:rPr>
        <w:t>二、</w:t>
      </w:r>
      <w:r w:rsidR="00931B19">
        <w:rPr>
          <w:rFonts w:ascii="黑体" w:eastAsia="黑体" w:hAnsi="黑体" w:cs="黑体" w:hint="eastAsia"/>
          <w:sz w:val="32"/>
          <w:szCs w:val="32"/>
        </w:rPr>
        <w:t>单位</w:t>
      </w:r>
      <w:r>
        <w:rPr>
          <w:rFonts w:ascii="黑体" w:eastAsia="黑体" w:hAnsi="黑体" w:cs="黑体" w:hint="eastAsia"/>
          <w:sz w:val="32"/>
          <w:szCs w:val="32"/>
        </w:rPr>
        <w:t>整体预算收支情况</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（一）收入情况（年初预算收入情况、决算收入情况）</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2024年</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镇财政资金收入合计2018.26万元，其中：财政拨款收入1951.03万元，占96.67%；国有资本经营预算财政拨款收入0.92万元，占0.04%事业收入0万元，占0%；经营收入0万元，占0%；附属单位上缴收入0万元，占0%；</w:t>
      </w:r>
      <w:r>
        <w:rPr>
          <w:rFonts w:ascii="仿宋_GB2312" w:eastAsia="仿宋_GB2312" w:hAnsi="仿宋_GB2312" w:cs="仿宋_GB2312" w:hint="eastAsia"/>
          <w:sz w:val="32"/>
          <w:szCs w:val="32"/>
        </w:rPr>
        <w:lastRenderedPageBreak/>
        <w:t>其他收入66.31万元，占3.29%。</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（二）支出情况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财政资金支出合计2018.26万元，其中：一般公共服务支出1118.54万元；公共安全支出1.94万元；文化旅游体育与传媒支出34.39万元，社会保障和就业支出188.02万元；卫生健康支出33.84万元；城乡社区支出61.76万元，农林</w:t>
      </w:r>
      <w:proofErr w:type="gramStart"/>
      <w:r>
        <w:rPr>
          <w:rFonts w:ascii="仿宋_GB2312" w:eastAsia="仿宋_GB2312" w:hAnsi="仿宋_GB2312" w:cs="仿宋_GB2312" w:hint="eastAsia"/>
          <w:sz w:val="32"/>
          <w:szCs w:val="32"/>
        </w:rPr>
        <w:t>水收入</w:t>
      </w:r>
      <w:proofErr w:type="gramEnd"/>
      <w:r>
        <w:rPr>
          <w:rFonts w:ascii="仿宋_GB2312" w:eastAsia="仿宋_GB2312" w:hAnsi="仿宋_GB2312" w:cs="仿宋_GB2312" w:hint="eastAsia"/>
          <w:sz w:val="32"/>
          <w:szCs w:val="32"/>
        </w:rPr>
        <w:t>支出512.8万元；交通运输支出5万元；住房保障支出61.05万元，国有资本经营预算支出0.92万元。</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以上数据包含</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镇人民政府机关及下属单位所有收支决算数据。</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（三）结余情况</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2024年</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镇人民政府无结余结转。</w:t>
      </w:r>
    </w:p>
    <w:p w:rsidR="005A7957" w:rsidRDefault="00A05EAF">
      <w:pPr>
        <w:spacing w:line="600" w:lineRule="exact"/>
        <w:ind w:firstLineChars="221" w:firstLine="707"/>
        <w:rPr>
          <w:rFonts w:ascii="黑体" w:eastAsia="黑体" w:hAnsi="黑体" w:cs="黑体"/>
          <w:sz w:val="32"/>
          <w:szCs w:val="32"/>
        </w:rPr>
      </w:pPr>
      <w:r>
        <w:rPr>
          <w:rFonts w:ascii="黑体" w:eastAsia="黑体" w:hAnsi="黑体" w:cs="黑体" w:hint="eastAsia"/>
          <w:sz w:val="32"/>
          <w:szCs w:val="32"/>
        </w:rPr>
        <w:t>三、</w:t>
      </w:r>
      <w:r w:rsidR="00931B19">
        <w:rPr>
          <w:rFonts w:ascii="黑体" w:eastAsia="黑体" w:hAnsi="黑体" w:cs="黑体" w:hint="eastAsia"/>
          <w:sz w:val="32"/>
          <w:szCs w:val="32"/>
        </w:rPr>
        <w:t>单位</w:t>
      </w:r>
      <w:r>
        <w:rPr>
          <w:rFonts w:ascii="黑体" w:eastAsia="黑体" w:hAnsi="黑体" w:cs="黑体" w:hint="eastAsia"/>
          <w:sz w:val="32"/>
          <w:szCs w:val="32"/>
        </w:rPr>
        <w:t>整体预算绩效分析</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（一）基本运行管理绩效分析</w:t>
      </w:r>
    </w:p>
    <w:p w:rsidR="005A7957" w:rsidRDefault="00A05EAF">
      <w:pPr>
        <w:widowControl/>
        <w:adjustRightInd w:val="0"/>
        <w:snapToGrid w:val="0"/>
        <w:spacing w:line="600" w:lineRule="exact"/>
        <w:ind w:firstLineChars="200" w:firstLine="640"/>
        <w:jc w:val="left"/>
        <w:rPr>
          <w:rFonts w:ascii="仿宋_GB2312" w:eastAsia="仿宋_GB2312" w:hAnsi="仿宋_GB2312" w:cs="仿宋_GB2312"/>
          <w:sz w:val="32"/>
          <w:szCs w:val="32"/>
          <w:lang w:val="zh-CN"/>
        </w:rPr>
      </w:pPr>
      <w:r>
        <w:rPr>
          <w:rFonts w:ascii="仿宋_GB2312" w:eastAsia="仿宋_GB2312" w:hAnsi="仿宋_GB2312" w:cs="仿宋_GB2312" w:hint="eastAsia"/>
          <w:sz w:val="32"/>
          <w:szCs w:val="32"/>
        </w:rPr>
        <w:t>1.预算管理方面。编制情况：</w:t>
      </w:r>
      <w:r>
        <w:rPr>
          <w:rFonts w:ascii="仿宋_GB2312" w:eastAsia="仿宋_GB2312" w:hAnsi="仿宋_GB2312" w:cs="仿宋_GB2312" w:hint="eastAsia"/>
          <w:sz w:val="32"/>
          <w:szCs w:val="32"/>
          <w:lang w:val="zh-CN"/>
        </w:rPr>
        <w:t>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依据我镇履职要求和年度工作计划，认真征求相关部门统计相应的经费需求，参考以前年度年初预算编审、预算执行中期评估、以前年度结转结余情况、支出绩效评价成果、资产占有和使用情况等因素，按照市财政局《关于编制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年部门预算的通知》要求，在下达控制数内按时完成部门预算的编制工作，努力做到各项收入、支出预算的编制完整、准确、规范，确保不重不漏，无部门预算以外保留的其他收支项目。</w:t>
      </w:r>
    </w:p>
    <w:p w:rsidR="005A7957" w:rsidRDefault="00A05EAF">
      <w:pPr>
        <w:widowControl/>
        <w:adjustRightInd w:val="0"/>
        <w:snapToGrid w:val="0"/>
        <w:spacing w:line="600" w:lineRule="exact"/>
        <w:ind w:firstLineChars="200" w:firstLine="640"/>
        <w:jc w:val="left"/>
        <w:rPr>
          <w:rFonts w:ascii="仿宋_GB2312" w:eastAsia="仿宋_GB2312" w:hAnsi="仿宋_GB2312" w:cs="仿宋_GB2312"/>
          <w:sz w:val="32"/>
          <w:szCs w:val="32"/>
          <w:lang w:val="zh-CN"/>
        </w:rPr>
      </w:pPr>
      <w:r>
        <w:rPr>
          <w:rFonts w:ascii="仿宋_GB2312" w:eastAsia="仿宋_GB2312" w:hAnsi="仿宋_GB2312" w:cs="仿宋_GB2312" w:hint="eastAsia"/>
          <w:sz w:val="32"/>
          <w:szCs w:val="32"/>
          <w:lang w:val="zh-CN"/>
        </w:rPr>
        <w:lastRenderedPageBreak/>
        <w:t>在预算编制中，支出预算严格按照“零基预算”方法，人员经费按标准、日常公用经费按定额、专项支出按项目分别编制。基本支出预算以20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lang w:val="zh-CN"/>
        </w:rPr>
        <w:t>月3</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lang w:val="zh-CN"/>
        </w:rPr>
        <w:t>日为基准期编制。</w:t>
      </w:r>
    </w:p>
    <w:p w:rsidR="005A7957" w:rsidRDefault="00A05EAF">
      <w:pPr>
        <w:widowControl/>
        <w:adjustRightInd w:val="0"/>
        <w:snapToGrid w:val="0"/>
        <w:spacing w:line="600" w:lineRule="exact"/>
        <w:ind w:firstLineChars="200" w:firstLine="640"/>
        <w:jc w:val="left"/>
        <w:rPr>
          <w:rFonts w:ascii="仿宋_GB2312" w:eastAsia="仿宋_GB2312" w:hAnsi="仿宋_GB2312" w:cs="仿宋_GB2312"/>
          <w:sz w:val="32"/>
          <w:szCs w:val="32"/>
          <w:lang w:val="zh-CN"/>
        </w:rPr>
      </w:pPr>
      <w:r>
        <w:rPr>
          <w:rFonts w:ascii="仿宋_GB2312" w:eastAsia="仿宋_GB2312" w:hAnsi="仿宋_GB2312" w:cs="仿宋_GB2312" w:hint="eastAsia"/>
          <w:sz w:val="32"/>
          <w:szCs w:val="32"/>
          <w:lang w:val="zh-CN"/>
        </w:rPr>
        <w:t>对于项目支出预算，一是参考20</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lang w:val="zh-CN"/>
        </w:rPr>
        <w:t>年实际支出情况并结合20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工作安排，对符合政策规定和财政事业发展规划的项目，合理界定通用项目和专用项目，纳入项目库，完整准确填报项目信息。二是项目绩效目标编制详细反映了工作任务保障完成目标、经费预算的测算过程及预期达成效果。三是按照省级政府集中采购目录及采购限额标准和《四川省省级行政单位通用办公设备购置费预算标准》规定，认真编制政府采购预算，做到</w:t>
      </w:r>
      <w:proofErr w:type="gramStart"/>
      <w:r>
        <w:rPr>
          <w:rFonts w:ascii="仿宋_GB2312" w:eastAsia="仿宋_GB2312" w:hAnsi="仿宋_GB2312" w:cs="仿宋_GB2312" w:hint="eastAsia"/>
          <w:sz w:val="32"/>
          <w:szCs w:val="32"/>
          <w:lang w:val="zh-CN"/>
        </w:rPr>
        <w:t>应编尽编</w:t>
      </w:r>
      <w:proofErr w:type="gramEnd"/>
      <w:r>
        <w:rPr>
          <w:rFonts w:ascii="仿宋_GB2312" w:eastAsia="仿宋_GB2312" w:hAnsi="仿宋_GB2312" w:cs="仿宋_GB2312" w:hint="eastAsia"/>
          <w:sz w:val="32"/>
          <w:szCs w:val="32"/>
          <w:lang w:val="zh-CN"/>
        </w:rPr>
        <w:t>，确保了政府采购预算的完整。四是按要求单独编制“三公”经费预算及编报说明。</w:t>
      </w:r>
    </w:p>
    <w:p w:rsidR="005A7957" w:rsidRDefault="00A05EAF">
      <w:pPr>
        <w:widowControl/>
        <w:adjustRightInd w:val="0"/>
        <w:snapToGrid w:val="0"/>
        <w:spacing w:line="600" w:lineRule="exact"/>
        <w:ind w:firstLineChars="200" w:firstLine="640"/>
        <w:jc w:val="left"/>
        <w:rPr>
          <w:rFonts w:ascii="仿宋_GB2312" w:eastAsia="仿宋_GB2312" w:hAnsi="仿宋_GB2312" w:cs="仿宋_GB2312"/>
          <w:sz w:val="32"/>
          <w:szCs w:val="32"/>
          <w:lang w:val="zh-CN"/>
        </w:rPr>
      </w:pPr>
      <w:r>
        <w:rPr>
          <w:rFonts w:ascii="仿宋_GB2312" w:eastAsia="仿宋_GB2312" w:hAnsi="仿宋_GB2312" w:cs="仿宋_GB2312" w:hint="eastAsia"/>
          <w:sz w:val="32"/>
          <w:szCs w:val="32"/>
          <w:lang w:val="zh-CN"/>
        </w:rPr>
        <w:t>执行管理情况：20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我镇继续加强预算执行管理，按照收支平衡的原则，合理安排各项资金，根据执行进度对基本支出按照月度均衡原则、项目支出按实际需要及时申请用款计划，确保足额支出安排，无超预算支出。保证了部门的正常运行和日常工作任务的顺利开展。加强支出绩效管理，对纳入部门预算批复管理的项目经费，在年度执行中，随时跟踪了解每一项目的进展情况，及时申请用款计划，保证各项款项及时支付。按照计划执行“三公”经费预算，做到不超预算支出。</w:t>
      </w:r>
    </w:p>
    <w:p w:rsidR="005A7957" w:rsidRDefault="00A05EAF">
      <w:pPr>
        <w:pStyle w:val="20"/>
        <w:spacing w:after="0" w:line="600" w:lineRule="exact"/>
        <w:ind w:leftChars="0" w:left="0" w:firstLine="640"/>
        <w:rPr>
          <w:rFonts w:eastAsia="仿宋_GB2312" w:hAnsi="仿宋_GB2312" w:cs="仿宋_GB2312"/>
          <w:sz w:val="32"/>
        </w:rPr>
      </w:pPr>
      <w:r>
        <w:rPr>
          <w:rFonts w:eastAsia="仿宋_GB2312" w:hAnsi="仿宋_GB2312" w:cs="仿宋_GB2312" w:hint="eastAsia"/>
          <w:sz w:val="32"/>
        </w:rPr>
        <w:t>2.预算绩效管理。2024年我镇绩效目标设定坚持目标明确、目标可衡量、目标可行、明确目标时效；建立绩效监控</w:t>
      </w:r>
      <w:r>
        <w:rPr>
          <w:rFonts w:eastAsia="仿宋_GB2312" w:hAnsi="仿宋_GB2312" w:cs="仿宋_GB2312" w:hint="eastAsia"/>
          <w:sz w:val="32"/>
        </w:rPr>
        <w:lastRenderedPageBreak/>
        <w:t>机制，通过定期收集、分析预算执行和绩效信息，每月进行财务数据统计和项目进度汇报，及时掌握绩效目标的实现程度；根据监控结果，若发现实际情况与目标存在偏差，及时分析原因并调整实施计划或预算安排。</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3.财务管理。为进一步严肃财经纪律，规范财务管理行为，充分发挥财政资金使用效率。我镇制定了</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镇财务管理制度。该制度包含现金管理，银行存款管理、四川省行政事业单位资金往来票据管理，费用支出管理办法，借款的管理，物资采购程序，固定资产的管理，财务印鉴章保管、财务档案管理。</w:t>
      </w:r>
    </w:p>
    <w:p w:rsidR="005A7957" w:rsidRDefault="00A05EAF">
      <w:pPr>
        <w:spacing w:line="600" w:lineRule="exact"/>
        <w:ind w:firstLineChars="200" w:firstLine="640"/>
        <w:rPr>
          <w:rFonts w:ascii="仿宋_GB2312" w:eastAsia="仿宋_GB2312" w:hAnsi="仿宋_GB2312" w:cs="仿宋_GB2312"/>
          <w:sz w:val="32"/>
          <w:szCs w:val="32"/>
          <w:lang w:val="zh-CN"/>
        </w:rPr>
      </w:pPr>
      <w:r>
        <w:rPr>
          <w:rFonts w:ascii="仿宋_GB2312" w:eastAsia="仿宋_GB2312" w:hAnsi="仿宋_GB2312" w:cs="仿宋_GB2312" w:hint="eastAsia"/>
          <w:sz w:val="32"/>
          <w:szCs w:val="32"/>
        </w:rPr>
        <w:t>4.资产管理。</w:t>
      </w:r>
      <w:r>
        <w:rPr>
          <w:rFonts w:ascii="仿宋_GB2312" w:eastAsia="仿宋_GB2312" w:hAnsi="仿宋_GB2312" w:cs="仿宋_GB2312" w:hint="eastAsia"/>
          <w:sz w:val="32"/>
          <w:szCs w:val="32"/>
          <w:lang w:val="zh-CN"/>
        </w:rPr>
        <w:t>按照资产管理的系列要求，20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年度采购的固定资产验收交付使用后，及时纳入了固定资产管理。政府机关国有资产实行</w:t>
      </w:r>
      <w:proofErr w:type="gramStart"/>
      <w:r>
        <w:rPr>
          <w:rFonts w:ascii="仿宋_GB2312" w:eastAsia="仿宋_GB2312" w:hAnsi="仿宋_GB2312" w:cs="仿宋_GB2312" w:hint="eastAsia"/>
          <w:sz w:val="32"/>
          <w:szCs w:val="32"/>
          <w:lang w:val="zh-CN"/>
        </w:rPr>
        <w:t>党建办</w:t>
      </w:r>
      <w:proofErr w:type="gramEnd"/>
      <w:r>
        <w:rPr>
          <w:rFonts w:ascii="仿宋_GB2312" w:eastAsia="仿宋_GB2312" w:hAnsi="仿宋_GB2312" w:cs="仿宋_GB2312" w:hint="eastAsia"/>
          <w:sz w:val="32"/>
          <w:szCs w:val="32"/>
          <w:lang w:val="zh-CN"/>
        </w:rPr>
        <w:t>管理实物，党政综合办公室管理账务的管理模式，并专设有国有资产管理员，定期对资产进行清查盘点，保证账实相符，及时发现和处理资产存在的问题；对闲置、报废等资产，按照市财政局规定的程序进行处理。政府机关所有固定资产均录入到了行政事业单位国有资产管理系统，进行动态管理，实现了固定资产配置、处置各环节的信息化管理。</w:t>
      </w:r>
    </w:p>
    <w:p w:rsidR="005A7957" w:rsidRDefault="00A05EAF">
      <w:pPr>
        <w:autoSpaceDE w:val="0"/>
        <w:autoSpaceDN w:val="0"/>
        <w:adjustRightInd w:val="0"/>
        <w:spacing w:line="600" w:lineRule="exact"/>
        <w:ind w:firstLineChars="200" w:firstLine="640"/>
        <w:jc w:val="left"/>
        <w:rPr>
          <w:rFonts w:ascii="仿宋_GB2312" w:eastAsia="仿宋_GB2312" w:hAnsi="仿宋_GB2312" w:cs="仿宋_GB2312"/>
          <w:sz w:val="32"/>
          <w:szCs w:val="32"/>
          <w:lang w:val="zh-CN"/>
        </w:rPr>
      </w:pPr>
      <w:r>
        <w:rPr>
          <w:rFonts w:ascii="仿宋_GB2312" w:eastAsia="仿宋_GB2312" w:hAnsi="仿宋_GB2312" w:cs="仿宋_GB2312" w:hint="eastAsia"/>
          <w:color w:val="000000"/>
          <w:kern w:val="0"/>
          <w:sz w:val="32"/>
          <w:szCs w:val="32"/>
        </w:rPr>
        <w:t>5.政府采购管理。我单位采购管理遵循公开、公平、公正和诚实信用的原则，对采购过程中的分工与授权、预算与计划、采购与验收等方面严格控制。</w:t>
      </w:r>
      <w:r>
        <w:rPr>
          <w:rFonts w:ascii="仿宋_GB2312" w:eastAsia="仿宋_GB2312" w:hAnsi="仿宋_GB2312" w:cs="仿宋_GB2312" w:hint="eastAsia"/>
          <w:sz w:val="32"/>
          <w:szCs w:val="32"/>
        </w:rPr>
        <w:t>我单位</w:t>
      </w:r>
      <w:r>
        <w:rPr>
          <w:rFonts w:ascii="仿宋_GB2312" w:eastAsia="仿宋_GB2312" w:hAnsi="仿宋_GB2312" w:cs="仿宋_GB2312" w:hint="eastAsia"/>
          <w:sz w:val="32"/>
          <w:szCs w:val="32"/>
          <w:lang w:val="zh-CN"/>
        </w:rPr>
        <w:t>严格按照政府采购预算编制，开展政府采购工作。</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（二）重点履职任务绩效分析</w:t>
      </w:r>
    </w:p>
    <w:p w:rsidR="005A7957" w:rsidRDefault="00A05EAF">
      <w:pPr>
        <w:spacing w:line="60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1.</w:t>
      </w:r>
      <w:proofErr w:type="gramStart"/>
      <w:r>
        <w:rPr>
          <w:rFonts w:ascii="仿宋_GB2312" w:eastAsia="仿宋_GB2312" w:hAnsi="仿宋_GB2312" w:cs="仿宋_GB2312" w:hint="eastAsia"/>
          <w:sz w:val="32"/>
          <w:szCs w:val="32"/>
        </w:rPr>
        <w:t>银谷退</w:t>
      </w:r>
      <w:proofErr w:type="gramEnd"/>
      <w:r>
        <w:rPr>
          <w:rFonts w:ascii="仿宋_GB2312" w:eastAsia="仿宋_GB2312" w:hAnsi="仿宋_GB2312" w:cs="仿宋_GB2312" w:hint="eastAsia"/>
          <w:sz w:val="32"/>
          <w:szCs w:val="32"/>
        </w:rPr>
        <w:t>租土地流转租金项目</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（1）成本指标控制情况</w:t>
      </w:r>
    </w:p>
    <w:p w:rsidR="005A7957" w:rsidRDefault="00A05EAF">
      <w:pPr>
        <w:spacing w:line="60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预算执行情况：项目预算总额为375.8万元，全部为财政拨款，年</w:t>
      </w:r>
      <w:proofErr w:type="gramStart"/>
      <w:r>
        <w:rPr>
          <w:rFonts w:ascii="仿宋_GB2312" w:eastAsia="仿宋_GB2312" w:hAnsi="仿宋_GB2312" w:cs="仿宋_GB2312" w:hint="eastAsia"/>
          <w:sz w:val="32"/>
          <w:szCs w:val="32"/>
        </w:rPr>
        <w:t>末决</w:t>
      </w:r>
      <w:proofErr w:type="gramEnd"/>
      <w:r>
        <w:rPr>
          <w:rFonts w:ascii="仿宋_GB2312" w:eastAsia="仿宋_GB2312" w:hAnsi="仿宋_GB2312" w:cs="仿宋_GB2312" w:hint="eastAsia"/>
          <w:sz w:val="32"/>
          <w:szCs w:val="32"/>
        </w:rPr>
        <w:t>算数也为375.8万元，执行率为100%。预算数与实际需求完全匹配，未出现资金浪费或偏离情况，体现了良好的成本控制能力。评分结果：成本指标得分为7分（满分7分），表明预算成本控制最优，符合“花同样的钱办最多的事”的原则。</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（2）数量指标完成情况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目标设定：计划保障涉及退租的村社区5个。实际完成：实际保障了5个村社区，完成率为100%。评分结果：数量指标得分为8分（满分8分），表明项目在数量指标上完全达到了预期目标。</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（3）质量指标实现情况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标设定：保障社会稳定率≥95%。实际完成：实际社会稳定率为94%，略低于目标值，但未造成大规模上访事件，整体效果良好。评分结果：质量指标得分为9分（满分10分），扣分原因是未完全达到目标值，但完成程度仍较高。</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（4）时效指标落实情况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目标设定：资金按时支付率≥95%，项目实施管理时间为2024年春节前。实际完成：资金按时支付率为100%，项目于2024年2月7日（春节前）完成，完全符合时效要求。</w:t>
      </w:r>
      <w:r>
        <w:rPr>
          <w:rFonts w:ascii="仿宋_GB2312" w:eastAsia="仿宋_GB2312" w:hAnsi="仿宋_GB2312" w:cs="仿宋_GB2312" w:hint="eastAsia"/>
          <w:sz w:val="32"/>
          <w:szCs w:val="32"/>
        </w:rPr>
        <w:lastRenderedPageBreak/>
        <w:t>评分结果：时效指标得分为8分（满分8分），表明项目在时效性方面表现优秀。</w:t>
      </w:r>
    </w:p>
    <w:p w:rsidR="005A7957" w:rsidRDefault="00A05EAF">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（5）效益指标实现情况</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社会效益 ：目标为“减少社会稳定问题”，实际完成情况为“良好”，有效安抚了涉及土地流转群众的情绪，未引发重大社会问题。评分结果：效益指标得分为18分（满分20分），表明项目在社会效益方面取得了显著成效，但仍有提升空间。</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（6）满意度指标实现情况</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目标设定：租地群众满意度≥95%。实际完成：实际满意度为92%，略低于目标值，但仍处于较高水平。评分结果：满意度指标得分为6分（满分7分），表明群众对项目整体满意，但需进一步优化服务以提升满意度。</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综上所述：</w:t>
      </w:r>
      <w:proofErr w:type="gramStart"/>
      <w:r>
        <w:rPr>
          <w:rFonts w:ascii="仿宋_GB2312" w:eastAsia="仿宋_GB2312" w:hAnsi="仿宋_GB2312" w:cs="仿宋_GB2312" w:hint="eastAsia"/>
          <w:sz w:val="32"/>
          <w:szCs w:val="32"/>
        </w:rPr>
        <w:t>银谷退</w:t>
      </w:r>
      <w:proofErr w:type="gramEnd"/>
      <w:r>
        <w:rPr>
          <w:rFonts w:ascii="仿宋_GB2312" w:eastAsia="仿宋_GB2312" w:hAnsi="仿宋_GB2312" w:cs="仿宋_GB2312" w:hint="eastAsia"/>
          <w:sz w:val="32"/>
          <w:szCs w:val="32"/>
        </w:rPr>
        <w:t>租土地流转租金项目在成本控制、数量完成、时效落实等方面表现突出，社会效益显著，群众满意度较高。尽管个别指标未完全达到目标值，但整体绩效优秀，项目目标基本实现。应该继续保持高效管理，同时针对薄弱环节加以改进。</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2.乡村文化振兴魅力竞演大赛项目</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（1）成本指标控制情况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预算安排控制数：项目预算为20万元，实际使用20万元，执行率为100%。预算与实际需求匹配度高，未出现资金浪费或超支情况，体现了良好的成本控制能力。评分：7分</w:t>
      </w:r>
      <w:r>
        <w:rPr>
          <w:rFonts w:ascii="仿宋_GB2312" w:eastAsia="仿宋_GB2312" w:hAnsi="仿宋_GB2312" w:cs="仿宋_GB2312" w:hint="eastAsia"/>
          <w:sz w:val="32"/>
          <w:szCs w:val="32"/>
        </w:rPr>
        <w:lastRenderedPageBreak/>
        <w:t>（满分7分），表明预算成本控制最优，资金使用合理。</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（2）数量指标完成情况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参与活动的村社区数量：目标为8个村社区，实际完成8个，完成率为100%。所有目标村社区均参与了活动，实现了全覆盖。评分：8分（满分8分），表明数量指标完全达成。</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（3）质量指标实现情况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保障竞演质量：目标为竞演质量≥95%，实际竞演质量达到90%。项目在线上竞演中获得一等奖，线下竞演获得优秀奖，还有进步空间。评分：8.5分（满分10分），因部分细节未完全达到满分标准，但整体表现优异。</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（4）时效指标落实情况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资金按时支付率：目标为≥95%，实际完成100%。资金支付严格按照合同约定时间执行，未出现延迟。评分：8分（满分8分），表明资金支付及时性完全符合要求。</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（5）效益指标实现情况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社会效益（提高本镇知名度）：目标为知名度提升≥90%，实际完成89%。通过线上线下竞演活动，有效提升了本镇的知名度和影响力。评分：18.5分（满分20分），表明社会效益显著，但仍有提升空间。</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（6）满意度指标实现情况</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上级部门满意度：目标为≥95%，实际完成95%。上级部门对活动组织和效果表示满意。本镇居民满意度：目标为≥</w:t>
      </w:r>
      <w:r>
        <w:rPr>
          <w:rFonts w:ascii="仿宋_GB2312" w:eastAsia="仿宋_GB2312" w:hAnsi="仿宋_GB2312" w:cs="仿宋_GB2312" w:hint="eastAsia"/>
          <w:sz w:val="32"/>
          <w:szCs w:val="32"/>
        </w:rPr>
        <w:lastRenderedPageBreak/>
        <w:t>95%，实际完成95%。居民对活动参与感和成果满意度高。评分：7分（满分7分），表明服务对象满意</w:t>
      </w:r>
      <w:proofErr w:type="gramStart"/>
      <w:r>
        <w:rPr>
          <w:rFonts w:ascii="仿宋_GB2312" w:eastAsia="仿宋_GB2312" w:hAnsi="仿宋_GB2312" w:cs="仿宋_GB2312" w:hint="eastAsia"/>
          <w:sz w:val="32"/>
          <w:szCs w:val="32"/>
        </w:rPr>
        <w:t>度完全</w:t>
      </w:r>
      <w:proofErr w:type="gramEnd"/>
      <w:r>
        <w:rPr>
          <w:rFonts w:ascii="仿宋_GB2312" w:eastAsia="仿宋_GB2312" w:hAnsi="仿宋_GB2312" w:cs="仿宋_GB2312" w:hint="eastAsia"/>
          <w:sz w:val="32"/>
          <w:szCs w:val="32"/>
        </w:rPr>
        <w:t>达标。</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综上所述：该项目整体实施效果良好，资金使用高效，目标达成度高，为乡村文化振兴提供了有力支持。</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村安置点基础设施配套工程二期项目</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（1）成本指标控制情况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预算安排控制数：项目预算为62.6万元，实际支出62.6万元，执行率100%，完全符合预算控制要求。评分：7分（满分7分），表明预算编制合理，资金使用无浪费或超支现象。 分析：成本控制良好，预算与实际需求匹配度高，体现了资金使用的精准性和效率。</w:t>
      </w:r>
    </w:p>
    <w:p w:rsidR="005A7957" w:rsidRDefault="00A05EAF">
      <w:pPr>
        <w:spacing w:line="60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（2）数量指标完成情况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施工面积：目标21亩，实际完成21亩。新建道路：目标321米，实际完成321米。新建沟渠：目标315米，实际完成315米。评分：12分（满分12分），所有数量指标均100%完成。分析：项目在施工面积、道路和沟渠建设方面完全达到预期目标，表明项目实施过程中计划执行严格，资源分配合理。</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（3）质量指标实现情况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验收合格率：目标为100%，实际验收合格率100%。评分：10分（满分10分），质量完全达标。分析：项目严格按照规范验收，质量把控到位，未出现质量问题，符合工程建设标准。</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（4）时效指标落实情况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完工时效：目标≥90%，实际完成90%，得2分（满分2分）。资金支付进度：因上级资金未及时到位，支付进度评为“一般”，得1分（满分2分）。评分：3分（满分4分），略有扣分。分析：项目按期完工，但资金支付受外部因素影响未能完全按计划执行，需优化资金调度流程或加强与上级部门的协调。</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（5）效益指标实现情况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社会效益指标：服务群众人数：目标17户，实际覆盖17户，得10分（满分10分）。生活质量提升：评价为“良好”，得9分（满分10分）。评分：19分（满分20分），社会效益显著。分析：项目有效改善了安置群众的生活环境，但部分定性指标（如生活质量提升）可进一步量化以增强评估客观性。</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（6）满意度指标实现情况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上级部门满意度：目标≥95%，实际95%，得3分（满分3分）。安置人员满意度：目标≥95%，实际95%，得4分（满分4分）。评分：7分（满分7分），满意度达标。分析：受益对象和上级部门对项目成果高度认可，表明项目满足了群众需求且管理规范。</w:t>
      </w:r>
    </w:p>
    <w:p w:rsidR="005A7957" w:rsidRDefault="00A05EAF">
      <w:pPr>
        <w:spacing w:line="600" w:lineRule="exact"/>
        <w:ind w:firstLineChars="200" w:firstLine="640"/>
        <w:rPr>
          <w:sz w:val="32"/>
          <w:szCs w:val="32"/>
        </w:rPr>
      </w:pPr>
      <w:r>
        <w:rPr>
          <w:rFonts w:ascii="仿宋_GB2312" w:eastAsia="仿宋_GB2312" w:hAnsi="仿宋_GB2312" w:cs="仿宋_GB2312" w:hint="eastAsia"/>
          <w:sz w:val="32"/>
          <w:szCs w:val="32"/>
        </w:rPr>
        <w:t>综上所述：该项目应加强资金支付的时效性管理，提前与上级部门沟通资金拨付。计划完善项目管理制度细节（如资金监控流程），以提升“项目实施”指标得分（当前得分</w:t>
      </w:r>
      <w:r>
        <w:rPr>
          <w:rFonts w:ascii="仿宋_GB2312" w:eastAsia="仿宋_GB2312" w:hAnsi="仿宋_GB2312" w:cs="仿宋_GB2312" w:hint="eastAsia"/>
          <w:sz w:val="32"/>
          <w:szCs w:val="32"/>
        </w:rPr>
        <w:lastRenderedPageBreak/>
        <w:t>4.8/8分）。以进一步提升绩效水平。</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（三）项目（政策）预算绩效分析</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1.常年性项目预算绩效分析。该类项目总数6个，涉及预算总金额104.42万元，2024年预算执行率为100%，无预算结余。</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2.阶段性（含一次性）项目预算绩效分析。该类项目总数7个，涉及预算总金额483.04万元，2024年预算执行率为100%，无预算结余。</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项目管理情况。①实施管理，前期将整体项目规划拆解为可执行的任务清单，明确各项目的具体负责办所，各办所按年初计划推进任务，定期对比实际进度与计划，对照项目目标绩效表的指标，召开复盘工作。②项目决策，项目规划论证符合中省要求，项目绩效目标设置科学合理、充分评估论证项目立项必要性、前瞻性、合理性和可行性。③预算管理，项目预算编制落实年度预算编制要求、年初预算分配方案细化至具体项目，资金使用严格按规定使用。项目资金使用、拨付符合规定，不存在超范围、超标准、超进度使用专项资金，不存在资金损失浪费、长期沉淀、截留挤占、挪用、虚拟支出等情况。④绩效管理，绩效目标指标设置保证项目的科学性、合理性、完整性、相关性、细化性、量化性及确定性指标、可衡量性、可评价性。</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（2）目标实现情况。目标完成，与预算管理一体化系统设定的设定绩效目标对比，我单位评价项目满意度指标涉</w:t>
      </w:r>
      <w:r>
        <w:rPr>
          <w:rFonts w:ascii="仿宋_GB2312" w:eastAsia="仿宋_GB2312" w:hAnsi="仿宋_GB2312" w:cs="仿宋_GB2312" w:hint="eastAsia"/>
          <w:sz w:val="32"/>
          <w:szCs w:val="32"/>
        </w:rPr>
        <w:lastRenderedPageBreak/>
        <w:t>及的服务对象满意度指标、产出指标、效益指标完成值高于目标值。</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（四）绩效结果应用分析。根据政策文件与上级要求设立目标，在8月份对实施项目进行绩效监控，</w:t>
      </w:r>
      <w:r>
        <w:rPr>
          <w:rFonts w:ascii="仿宋_GB2312" w:eastAsia="仿宋_GB2312" w:hAnsi="仿宋_GB2312" w:cs="仿宋_GB2312" w:hint="eastAsia"/>
          <w:sz w:val="32"/>
          <w:szCs w:val="32"/>
          <w:lang w:val="zh-CN"/>
        </w:rPr>
        <w:t>按照绵竹市财政局要求，在20</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lang w:val="zh-CN"/>
        </w:rPr>
        <w:t>年部门预算批复后，及时在指定网站进行了公开，接受社会各界群众监督。“三公”经费和部门预算执行进度均按要求及时上报给市财政局，实现了信息传递的及时性，内容公开的真实性、准确性。将绩效结果与来年工作的开展、政策优化等相结合。</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依法接受外部监督情况。针对省委巡视巡察提出的2021年超标、超范围缴存公积金问题，涉及金额为37382.37元，我单位于2024年12月25日全部退还财政；针对绵竹市纪委第一巡查小组提出的部分工作人员存在节假日报销差旅的情况，我单位已于2024年12月25日全面落实整改，所涉人员已退还差旅费。</w:t>
      </w:r>
    </w:p>
    <w:p w:rsidR="005A7957" w:rsidRDefault="00A05EAF">
      <w:pPr>
        <w:spacing w:line="600" w:lineRule="exact"/>
        <w:ind w:firstLineChars="221" w:firstLine="707"/>
        <w:rPr>
          <w:rFonts w:ascii="黑体" w:eastAsia="黑体" w:hAnsi="黑体" w:cs="黑体"/>
          <w:sz w:val="32"/>
          <w:szCs w:val="32"/>
        </w:rPr>
      </w:pPr>
      <w:r>
        <w:rPr>
          <w:rFonts w:ascii="黑体" w:eastAsia="黑体" w:hAnsi="黑体" w:cs="黑体" w:hint="eastAsia"/>
          <w:sz w:val="32"/>
          <w:szCs w:val="32"/>
        </w:rPr>
        <w:t>四、自评结论</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（一）总体评价结论。本部门整体预算绩效评价得分89分，评价等级为“良”。 </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全年基本支出保证了部门的正常运行和日常工作任务的顺利完成。全年项目支出达到预期绩效目标。</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2024年</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镇认真做好年度财政资金的预算编制工作。</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镇在预算编制方面报送及时、编制质量达标、绩效目标完整合理、专题预算提前化，</w:t>
      </w:r>
      <w:proofErr w:type="gramStart"/>
      <w:r>
        <w:rPr>
          <w:rFonts w:ascii="仿宋_GB2312" w:eastAsia="仿宋_GB2312" w:hAnsi="仿宋_GB2312" w:cs="仿宋_GB2312" w:hint="eastAsia"/>
          <w:sz w:val="32"/>
          <w:szCs w:val="32"/>
        </w:rPr>
        <w:t>故预算</w:t>
      </w:r>
      <w:proofErr w:type="gramEnd"/>
      <w:r>
        <w:rPr>
          <w:rFonts w:ascii="仿宋_GB2312" w:eastAsia="仿宋_GB2312" w:hAnsi="仿宋_GB2312" w:cs="仿宋_GB2312" w:hint="eastAsia"/>
          <w:sz w:val="32"/>
          <w:szCs w:val="32"/>
        </w:rPr>
        <w:t>管理自评得分13分；</w:t>
      </w:r>
      <w:r>
        <w:rPr>
          <w:rFonts w:ascii="仿宋_GB2312" w:eastAsia="仿宋_GB2312" w:hAnsi="仿宋_GB2312" w:cs="仿宋_GB2312" w:hint="eastAsia"/>
          <w:sz w:val="32"/>
          <w:szCs w:val="32"/>
        </w:rPr>
        <w:lastRenderedPageBreak/>
        <w:t>在综合管理方面实施政府采购计划，严格资产管理，健全内部控制制度的管理，按照要求进行信息公开、绩效评价，依法接受财政监督，在预算执行方面按照预算法和相关职能部门的规定执行预算，预算调整方面执行期中评估，严格执行“三公”经费预算降低行政成本，</w:t>
      </w:r>
      <w:proofErr w:type="gramStart"/>
      <w:r>
        <w:rPr>
          <w:rFonts w:ascii="仿宋_GB2312" w:eastAsia="仿宋_GB2312" w:hAnsi="仿宋_GB2312" w:cs="仿宋_GB2312" w:hint="eastAsia"/>
          <w:sz w:val="32"/>
          <w:szCs w:val="32"/>
        </w:rPr>
        <w:t>故预算</w:t>
      </w:r>
      <w:proofErr w:type="gramEnd"/>
      <w:r>
        <w:rPr>
          <w:rFonts w:ascii="仿宋_GB2312" w:eastAsia="仿宋_GB2312" w:hAnsi="仿宋_GB2312" w:cs="仿宋_GB2312" w:hint="eastAsia"/>
          <w:sz w:val="32"/>
          <w:szCs w:val="32"/>
        </w:rPr>
        <w:t>绩效管理自评得分8分，财务管理自评得分7分，资产管理自评得分3分，政府采购自评得分2分；在整体效益方面履行法定职责、完成市委、市政府决策部署和重大任务，提高群众满意度，</w:t>
      </w:r>
      <w:proofErr w:type="gramStart"/>
      <w:r>
        <w:rPr>
          <w:rFonts w:ascii="仿宋_GB2312" w:eastAsia="仿宋_GB2312" w:hAnsi="仿宋_GB2312" w:cs="仿宋_GB2312" w:hint="eastAsia"/>
          <w:sz w:val="32"/>
          <w:szCs w:val="32"/>
        </w:rPr>
        <w:t>故成本</w:t>
      </w:r>
      <w:proofErr w:type="gramEnd"/>
      <w:r>
        <w:rPr>
          <w:rFonts w:ascii="仿宋_GB2312" w:eastAsia="仿宋_GB2312" w:hAnsi="仿宋_GB2312" w:cs="仿宋_GB2312" w:hint="eastAsia"/>
          <w:sz w:val="32"/>
          <w:szCs w:val="32"/>
        </w:rPr>
        <w:t>指标自评得分6分，产出指标自评得分8分，质量指标自评得分8分，时效指标自评得分7分，效益指标自评得分22分，服务对象满意度指标自评得分5分。在资金使用和管理方面，进一步强化资金统筹，优化资金结构，明确开支范围，细化资金用途，以有限的资金保证政府各部门的正常运转。在资金收支管理及会计核算方面，能够按照相关会计制度和财务管理办法进行核算。认真落实积极财政政策，优化支出结构，深化管理改革，圆满完成各项目标任务，为</w:t>
      </w:r>
      <w:proofErr w:type="gramStart"/>
      <w:r>
        <w:rPr>
          <w:rFonts w:ascii="仿宋_GB2312" w:eastAsia="仿宋_GB2312" w:hAnsi="仿宋_GB2312" w:cs="仿宋_GB2312" w:hint="eastAsia"/>
          <w:sz w:val="32"/>
          <w:szCs w:val="32"/>
        </w:rPr>
        <w:t>麓棠</w:t>
      </w:r>
      <w:proofErr w:type="gramEnd"/>
      <w:r>
        <w:rPr>
          <w:rFonts w:ascii="仿宋_GB2312" w:eastAsia="仿宋_GB2312" w:hAnsi="仿宋_GB2312" w:cs="仿宋_GB2312" w:hint="eastAsia"/>
          <w:sz w:val="32"/>
          <w:szCs w:val="32"/>
        </w:rPr>
        <w:t>的经济发展做出了一定的贡献。</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（二）特色亮点做法。无</w:t>
      </w:r>
    </w:p>
    <w:p w:rsidR="005A7957" w:rsidRDefault="00A05EAF">
      <w:pPr>
        <w:spacing w:line="600" w:lineRule="exact"/>
        <w:ind w:firstLineChars="221" w:firstLine="707"/>
        <w:rPr>
          <w:rFonts w:ascii="黑体" w:eastAsia="黑体" w:hAnsi="黑体" w:cs="黑体"/>
          <w:sz w:val="32"/>
          <w:szCs w:val="32"/>
        </w:rPr>
      </w:pPr>
      <w:r>
        <w:rPr>
          <w:rFonts w:ascii="黑体" w:eastAsia="黑体" w:hAnsi="黑体" w:cs="黑体" w:hint="eastAsia"/>
          <w:sz w:val="32"/>
          <w:szCs w:val="32"/>
        </w:rPr>
        <w:t>五、存在问题及意见建议</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（一）存在问题</w:t>
      </w:r>
    </w:p>
    <w:p w:rsidR="005A7957" w:rsidRDefault="00A05EAF">
      <w:pPr>
        <w:spacing w:line="60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预算编制前根据年度内单位可预见的工作任务，确定了单位年度预算目标，细化了预算指标，但由于近年财政改革力度大，财务人员有限，我镇财务人员又进行了更换，工作</w:t>
      </w:r>
      <w:r>
        <w:rPr>
          <w:rFonts w:ascii="仿宋_GB2312" w:eastAsia="仿宋_GB2312" w:hAnsi="仿宋_GB2312" w:cs="仿宋_GB2312" w:hint="eastAsia"/>
          <w:sz w:val="32"/>
          <w:szCs w:val="32"/>
        </w:rPr>
        <w:lastRenderedPageBreak/>
        <w:t>量大，对新的绩效考核知识未深入系统学习，使部门内部绩效考核不够科学精细</w:t>
      </w:r>
      <w:r>
        <w:rPr>
          <w:rFonts w:ascii="仿宋_GB2312" w:eastAsia="仿宋_GB2312" w:hAnsi="仿宋_GB2312" w:cs="仿宋_GB2312" w:hint="eastAsia"/>
          <w:color w:val="000000"/>
          <w:kern w:val="0"/>
          <w:sz w:val="32"/>
          <w:szCs w:val="32"/>
          <w:shd w:val="clear" w:color="auto" w:fill="FFFFFF"/>
          <w:lang w:val="zh-CN"/>
        </w:rPr>
        <w:t>。</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（二）改进措施</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1.建议财政局加强对镇乡财务人员业务培训，指导各单位财务工作的相互交流学习。</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加强学习，提高思想认识。组织单位财务人员认真学习《中华人民共和国预算法》、《中华人民共和国预算法实施条例》等相关法规、制度，提高单位领导对全面预算管理的重视程度，增强财务人员的预算意识。</w:t>
      </w:r>
    </w:p>
    <w:p w:rsidR="005A7957" w:rsidRDefault="00A05EAF">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3.严格管理，控制“三公”经费和公用经费支出。认真贯彻落实中央八项规定，切实加强“三公”经费和会议费、培训费管理，严格规定开支有关经费，确保单位“三公”经费只减不增。</w:t>
      </w:r>
    </w:p>
    <w:p w:rsidR="005A7957" w:rsidRDefault="00A05EAF">
      <w:pPr>
        <w:spacing w:line="600" w:lineRule="exact"/>
        <w:ind w:firstLineChars="200" w:firstLine="640"/>
        <w:rPr>
          <w:rFonts w:ascii="仿宋_GB2312" w:eastAsia="仿宋_GB2312" w:hAnsi="仿宋_GB2312" w:cs="仿宋_GB2312"/>
          <w:sz w:val="32"/>
          <w:szCs w:val="32"/>
          <w:highlight w:val="yellow"/>
          <w:lang w:val="zh-CN"/>
        </w:rPr>
      </w:pPr>
      <w:r>
        <w:rPr>
          <w:rFonts w:ascii="仿宋_GB2312" w:eastAsia="仿宋_GB2312" w:hAnsi="仿宋_GB2312" w:cs="仿宋_GB2312" w:hint="eastAsia"/>
          <w:sz w:val="32"/>
          <w:szCs w:val="32"/>
        </w:rPr>
        <w:t>4.规范财务运行，加强预算支出管理。严格遵循“先有预算、后有支出”的原则，在资金支付管理方面，严格按照规定程序向财政部门申请用款，在财政部门批复的支出预算资金范围内申请使用一般预算支出经费。建立健全并认真执行各项资金使用管理制度，建立内部控制机制，资金使用严格履行审批程序，确保资金支出合法、真实。严格落实会计核算、报销审批制度，加强对资金使用环节的监督。</w:t>
      </w:r>
    </w:p>
    <w:p w:rsidR="005A7957" w:rsidRDefault="00A05EAF">
      <w:pPr>
        <w:rPr>
          <w:rFonts w:eastAsia="黑体" w:cs="黑体"/>
          <w:kern w:val="0"/>
          <w:sz w:val="32"/>
          <w:szCs w:val="32"/>
          <w:shd w:val="clear" w:color="auto" w:fill="FFFFFF"/>
          <w:lang w:val="zh-CN"/>
        </w:rPr>
      </w:pPr>
      <w:r>
        <w:rPr>
          <w:rFonts w:eastAsia="黑体" w:cs="黑体" w:hint="eastAsia"/>
          <w:kern w:val="0"/>
          <w:sz w:val="32"/>
          <w:szCs w:val="32"/>
          <w:shd w:val="clear" w:color="auto" w:fill="FFFFFF"/>
          <w:lang w:val="zh-CN"/>
        </w:rPr>
        <w:br w:type="page"/>
      </w:r>
      <w:r>
        <w:rPr>
          <w:noProof/>
        </w:rPr>
        <w:lastRenderedPageBreak/>
        <w:drawing>
          <wp:inline distT="0" distB="0" distL="114300" distR="114300">
            <wp:extent cx="5267960" cy="5462905"/>
            <wp:effectExtent l="0" t="0" r="889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7960" cy="5462905"/>
                    </a:xfrm>
                    <a:prstGeom prst="rect">
                      <a:avLst/>
                    </a:prstGeom>
                    <a:noFill/>
                    <a:ln>
                      <a:noFill/>
                    </a:ln>
                  </pic:spPr>
                </pic:pic>
              </a:graphicData>
            </a:graphic>
          </wp:inline>
        </w:drawing>
      </w: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5A7957">
      <w:pPr>
        <w:pStyle w:val="a3"/>
        <w:spacing w:before="93"/>
        <w:rPr>
          <w:rFonts w:ascii="Times New Roman" w:eastAsia="黑体" w:cs="黑体"/>
          <w:sz w:val="32"/>
          <w:szCs w:val="32"/>
          <w:shd w:val="clear" w:color="auto" w:fill="FFFFFF"/>
          <w:lang w:val="zh-CN"/>
        </w:rPr>
      </w:pPr>
    </w:p>
    <w:p w:rsidR="005A7957" w:rsidRDefault="00A05EAF">
      <w:pPr>
        <w:pStyle w:val="a3"/>
        <w:spacing w:before="93"/>
        <w:rPr>
          <w:rFonts w:ascii="Times New Roman" w:eastAsia="黑体" w:cs="黑体"/>
          <w:sz w:val="32"/>
          <w:szCs w:val="32"/>
          <w:shd w:val="clear" w:color="auto" w:fill="FFFFFF"/>
        </w:rPr>
      </w:pPr>
      <w:r>
        <w:rPr>
          <w:rFonts w:ascii="Times New Roman" w:eastAsia="黑体" w:cs="黑体" w:hint="eastAsia"/>
          <w:sz w:val="32"/>
          <w:szCs w:val="32"/>
          <w:shd w:val="clear" w:color="auto" w:fill="FFFFFF"/>
          <w:lang w:val="zh-CN"/>
        </w:rPr>
        <w:lastRenderedPageBreak/>
        <w:t>附件</w:t>
      </w:r>
      <w:r>
        <w:rPr>
          <w:rFonts w:ascii="Times New Roman" w:eastAsia="黑体" w:cs="黑体" w:hint="eastAsia"/>
          <w:sz w:val="32"/>
          <w:szCs w:val="32"/>
          <w:shd w:val="clear" w:color="auto" w:fill="FFFFFF"/>
        </w:rPr>
        <w:t>2</w:t>
      </w:r>
      <w:bookmarkStart w:id="76" w:name="_Toc15396618"/>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A05EAF">
      <w:pPr>
        <w:pStyle w:val="a3"/>
        <w:spacing w:before="93"/>
      </w:pPr>
      <w:r>
        <w:rPr>
          <w:noProof/>
        </w:rPr>
        <w:drawing>
          <wp:inline distT="0" distB="0" distL="114300" distR="114300">
            <wp:extent cx="5266690" cy="4827905"/>
            <wp:effectExtent l="0" t="0" r="10160"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66690" cy="4827905"/>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885055"/>
            <wp:effectExtent l="0" t="0" r="1016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66690" cy="4885055"/>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740910"/>
            <wp:effectExtent l="0" t="0" r="10160" b="25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9"/>
                    <a:stretch>
                      <a:fillRect/>
                    </a:stretch>
                  </pic:blipFill>
                  <pic:spPr>
                    <a:xfrm>
                      <a:off x="0" y="0"/>
                      <a:ext cx="5266690" cy="474091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775200"/>
            <wp:effectExtent l="0" t="0" r="1016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0"/>
                    <a:stretch>
                      <a:fillRect/>
                    </a:stretch>
                  </pic:blipFill>
                  <pic:spPr>
                    <a:xfrm>
                      <a:off x="0" y="0"/>
                      <a:ext cx="5266690" cy="477520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743450"/>
            <wp:effectExtent l="0" t="0" r="1016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5266690" cy="474345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887595"/>
            <wp:effectExtent l="0" t="0" r="10160" b="825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266690" cy="4887595"/>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885055"/>
            <wp:effectExtent l="0" t="0" r="10160" b="1079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5266690" cy="4885055"/>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885055"/>
            <wp:effectExtent l="0" t="0" r="10160" b="1079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5266690" cy="4885055"/>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72405" cy="5224145"/>
            <wp:effectExtent l="0" t="0" r="4445" b="146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72405" cy="5224145"/>
                    </a:xfrm>
                    <a:prstGeom prst="rect">
                      <a:avLst/>
                    </a:prstGeom>
                    <a:noFill/>
                    <a:ln>
                      <a:noFill/>
                    </a:ln>
                  </pic:spPr>
                </pic:pic>
              </a:graphicData>
            </a:graphic>
          </wp:inline>
        </w:drawing>
      </w:r>
    </w:p>
    <w:p w:rsidR="005A7957" w:rsidRDefault="005A7957">
      <w:pPr>
        <w:pStyle w:val="a3"/>
        <w:spacing w:before="93"/>
      </w:pPr>
    </w:p>
    <w:p w:rsidR="005A7957" w:rsidRDefault="00A05EAF">
      <w:pPr>
        <w:pStyle w:val="a3"/>
        <w:spacing w:before="93"/>
      </w:pPr>
      <w:r>
        <w:rPr>
          <w:noProof/>
        </w:rPr>
        <w:lastRenderedPageBreak/>
        <w:drawing>
          <wp:inline distT="0" distB="0" distL="114300" distR="114300">
            <wp:extent cx="5255260" cy="4973320"/>
            <wp:effectExtent l="0" t="0" r="2540" b="1778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6"/>
                    <a:stretch>
                      <a:fillRect/>
                    </a:stretch>
                  </pic:blipFill>
                  <pic:spPr>
                    <a:xfrm>
                      <a:off x="0" y="0"/>
                      <a:ext cx="5255260" cy="497332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66690" cy="4823460"/>
            <wp:effectExtent l="0" t="0" r="10160" b="152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7"/>
                    <a:stretch>
                      <a:fillRect/>
                    </a:stretch>
                  </pic:blipFill>
                  <pic:spPr>
                    <a:xfrm>
                      <a:off x="0" y="0"/>
                      <a:ext cx="5266690" cy="482346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55260" cy="4900930"/>
            <wp:effectExtent l="0" t="0" r="2540" b="1397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8"/>
                    <a:stretch>
                      <a:fillRect/>
                    </a:stretch>
                  </pic:blipFill>
                  <pic:spPr>
                    <a:xfrm>
                      <a:off x="0" y="0"/>
                      <a:ext cx="5255260" cy="4900930"/>
                    </a:xfrm>
                    <a:prstGeom prst="rect">
                      <a:avLst/>
                    </a:prstGeom>
                    <a:noFill/>
                    <a:ln>
                      <a:noFill/>
                    </a:ln>
                  </pic:spPr>
                </pic:pic>
              </a:graphicData>
            </a:graphic>
          </wp:inline>
        </w:drawing>
      </w:r>
    </w:p>
    <w:p w:rsidR="005A7957" w:rsidRDefault="00A05EAF">
      <w:pPr>
        <w:pStyle w:val="a3"/>
        <w:spacing w:before="93"/>
      </w:pPr>
      <w:r>
        <w:rPr>
          <w:noProof/>
        </w:rPr>
        <w:lastRenderedPageBreak/>
        <w:drawing>
          <wp:inline distT="0" distB="0" distL="114300" distR="114300">
            <wp:extent cx="5272405" cy="5205730"/>
            <wp:effectExtent l="0" t="0" r="4445" b="1397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9"/>
                    <a:stretch>
                      <a:fillRect/>
                    </a:stretch>
                  </pic:blipFill>
                  <pic:spPr>
                    <a:xfrm>
                      <a:off x="0" y="0"/>
                      <a:ext cx="5272405" cy="5205730"/>
                    </a:xfrm>
                    <a:prstGeom prst="rect">
                      <a:avLst/>
                    </a:prstGeom>
                    <a:noFill/>
                    <a:ln>
                      <a:noFill/>
                    </a:ln>
                  </pic:spPr>
                </pic:pic>
              </a:graphicData>
            </a:graphic>
          </wp:inline>
        </w:drawing>
      </w: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p w:rsidR="005A7957" w:rsidRDefault="005A7957">
      <w:pPr>
        <w:pStyle w:val="a3"/>
        <w:spacing w:before="93"/>
        <w:rPr>
          <w:rFonts w:ascii="Times New Roman" w:eastAsia="黑体" w:cs="黑体"/>
          <w:sz w:val="32"/>
          <w:szCs w:val="32"/>
          <w:shd w:val="clear" w:color="auto" w:fill="FFFFFF"/>
        </w:rPr>
      </w:pPr>
    </w:p>
    <w:bookmarkEnd w:id="74"/>
    <w:bookmarkEnd w:id="76"/>
    <w:p w:rsidR="005A7957" w:rsidRDefault="005A7957"/>
    <w:sectPr w:rsidR="005A7957" w:rsidSect="005A7957">
      <w:footerReference w:type="default" r:id="rId30"/>
      <w:footerReference w:type="first" r:id="rId3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957" w:rsidRDefault="005A7957" w:rsidP="005A7957">
      <w:r>
        <w:separator/>
      </w:r>
    </w:p>
  </w:endnote>
  <w:endnote w:type="continuationSeparator" w:id="0">
    <w:p w:rsidR="005A7957" w:rsidRDefault="005A7957" w:rsidP="005A79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altName w:val="仿宋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仿宋_GB2312"/>
    <w:charset w:val="00"/>
    <w:family w:val="roman"/>
    <w:pitch w:val="default"/>
    <w:sig w:usb0="00000000" w:usb1="00000000" w:usb2="00000000" w:usb3="00000000" w:csb0="00000000" w:csb1="00000000"/>
  </w:font>
  <w:font w:name="方正小标宋简体">
    <w:panose1 w:val="02010601030101010101"/>
    <w:charset w:val="86"/>
    <w:family w:val="auto"/>
    <w:pitch w:val="variable"/>
    <w:sig w:usb0="00000001" w:usb1="080E0000" w:usb2="00000010" w:usb3="00000000" w:csb0="00040000" w:csb1="00000000"/>
  </w:font>
  <w:font w:name="楷体_GB2312">
    <w:altName w:val="Arial Unicode MS"/>
    <w:charset w:val="86"/>
    <w:family w:val="auto"/>
    <w:pitch w:val="default"/>
    <w:sig w:usb0="00000000" w:usb1="080E0000" w:usb2="00000000" w:usb3="00000000" w:csb0="00040000" w:csb1="00000000"/>
  </w:font>
  <w:font w:name="方正仿宋简体">
    <w:altName w:val="仿宋_GB2312"/>
    <w:charset w:val="00"/>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57" w:rsidRDefault="003F26FC">
    <w:pPr>
      <w:pStyle w:val="a6"/>
      <w:jc w:val="center"/>
    </w:pPr>
    <w:r>
      <w:pict>
        <v:shapetype id="_x0000_t202" coordsize="21600,21600" o:spt="202" path="m,l,21600r21600,l21600,xe">
          <v:stroke joinstyle="miter"/>
          <v:path gradientshapeok="t" o:connecttype="rect"/>
        </v:shapetype>
        <v:shape id="_x0000_s2049" type="#_x0000_t202" style="position:absolute;left:0;text-align:left;margin-left:208pt;margin-top:1pt;width:2in;height:2in;z-index:251659264;mso-wrap-style:none;mso-position-horizontal:outside;mso-position-horizontal-relative:margin;mso-width-relative:page;mso-height-relative:page" filled="f" stroked="f">
          <v:textbox style="mso-fit-shape-to-text:t" inset="16pt,0,16pt,0">
            <w:txbxContent>
              <w:p w:rsidR="005A7957" w:rsidRDefault="00A05EAF">
                <w:pPr>
                  <w:pStyle w:val="a6"/>
                </w:pPr>
                <w:r>
                  <w:t xml:space="preserve">— </w:t>
                </w:r>
                <w:r w:rsidR="003F26FC">
                  <w:fldChar w:fldCharType="begin"/>
                </w:r>
                <w:r>
                  <w:instrText xml:space="preserve"> PAGE  \* MERGEFORMAT </w:instrText>
                </w:r>
                <w:r w:rsidR="003F26FC">
                  <w:fldChar w:fldCharType="separate"/>
                </w:r>
                <w:r w:rsidR="00931B19">
                  <w:rPr>
                    <w:noProof/>
                  </w:rPr>
                  <w:t>1</w:t>
                </w:r>
                <w:r w:rsidR="003F26FC">
                  <w:fldChar w:fldCharType="end"/>
                </w:r>
                <w:r>
                  <w:t xml:space="preserve"> —</w:t>
                </w:r>
              </w:p>
            </w:txbxContent>
          </v:textbox>
          <w10:wrap anchorx="margin"/>
        </v:shape>
      </w:pict>
    </w:r>
  </w:p>
  <w:p w:rsidR="005A7957" w:rsidRDefault="005A795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57" w:rsidRDefault="003F26FC">
    <w:pPr>
      <w:pStyle w:val="a6"/>
      <w:jc w:val="center"/>
    </w:pPr>
    <w:r>
      <w:pict>
        <v:shapetype id="_x0000_t202" coordsize="21600,21600" o:spt="202" path="m,l,21600r21600,l21600,xe">
          <v:stroke joinstyle="miter"/>
          <v:path gradientshapeok="t" o:connecttype="rect"/>
        </v:shapetype>
        <v:shape id="_x0000_s2050" type="#_x0000_t202" style="position:absolute;left:0;text-align:left;margin-left:208pt;margin-top:1pt;width:2in;height:2in;z-index:251660288;mso-wrap-style:none;mso-position-horizontal:outside;mso-position-horizontal-relative:margin;mso-width-relative:page;mso-height-relative:page" filled="f" stroked="f">
          <v:textbox style="mso-fit-shape-to-text:t" inset="16pt,0,16pt,0">
            <w:txbxContent>
              <w:p w:rsidR="005A7957" w:rsidRDefault="00A05EAF">
                <w:pPr>
                  <w:pStyle w:val="a6"/>
                </w:pPr>
                <w:r>
                  <w:t xml:space="preserve">— </w:t>
                </w:r>
                <w:r w:rsidR="003F26FC">
                  <w:fldChar w:fldCharType="begin"/>
                </w:r>
                <w:r>
                  <w:instrText xml:space="preserve"> PAGE  \* MERGEFORMAT </w:instrText>
                </w:r>
                <w:r w:rsidR="003F26FC">
                  <w:fldChar w:fldCharType="separate"/>
                </w:r>
                <w:r w:rsidR="00931B19">
                  <w:rPr>
                    <w:noProof/>
                  </w:rPr>
                  <w:t>34</w:t>
                </w:r>
                <w:r w:rsidR="003F26FC">
                  <w:fldChar w:fldCharType="end"/>
                </w:r>
                <w:r>
                  <w:t xml:space="preserve"> —</w:t>
                </w:r>
              </w:p>
            </w:txbxContent>
          </v:textbox>
          <w10:wrap anchorx="margin"/>
        </v:shape>
      </w:pict>
    </w:r>
  </w:p>
  <w:p w:rsidR="005A7957" w:rsidRDefault="005A795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57" w:rsidRDefault="005A795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957" w:rsidRDefault="005A7957" w:rsidP="005A7957">
      <w:r>
        <w:separator/>
      </w:r>
    </w:p>
  </w:footnote>
  <w:footnote w:type="continuationSeparator" w:id="0">
    <w:p w:rsidR="005A7957" w:rsidRDefault="005A7957" w:rsidP="005A79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57" w:rsidRDefault="005A7957">
    <w:pPr>
      <w:pStyle w:val="a7"/>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F1361C"/>
    <w:rsid w:val="85FD87D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BE5641"/>
    <w:rsid w:val="D7D7B16A"/>
    <w:rsid w:val="D8D6DB89"/>
    <w:rsid w:val="DB6F4CAB"/>
    <w:rsid w:val="DB777682"/>
    <w:rsid w:val="DD1FB521"/>
    <w:rsid w:val="DEFBFEAE"/>
    <w:rsid w:val="DF1F3B80"/>
    <w:rsid w:val="DF5E29B5"/>
    <w:rsid w:val="DF6F9789"/>
    <w:rsid w:val="DFE9BE81"/>
    <w:rsid w:val="DFFFA9E8"/>
    <w:rsid w:val="E2FEDBBA"/>
    <w:rsid w:val="E3E4D5AF"/>
    <w:rsid w:val="E5F4E9DC"/>
    <w:rsid w:val="E70FE695"/>
    <w:rsid w:val="EB2E368B"/>
    <w:rsid w:val="ECFED1BC"/>
    <w:rsid w:val="ED1D69BB"/>
    <w:rsid w:val="ED7FD312"/>
    <w:rsid w:val="EF2E1AC6"/>
    <w:rsid w:val="EF53993F"/>
    <w:rsid w:val="EF6FD633"/>
    <w:rsid w:val="EF9CABA4"/>
    <w:rsid w:val="EFBFB2F4"/>
    <w:rsid w:val="EFBFFA21"/>
    <w:rsid w:val="F2BEBCB8"/>
    <w:rsid w:val="F36FB518"/>
    <w:rsid w:val="F3DE1A04"/>
    <w:rsid w:val="F3F722E5"/>
    <w:rsid w:val="F4FBCD07"/>
    <w:rsid w:val="F67F35E3"/>
    <w:rsid w:val="F99FDA4A"/>
    <w:rsid w:val="FA57C639"/>
    <w:rsid w:val="FA5F1E70"/>
    <w:rsid w:val="FA5FDB97"/>
    <w:rsid w:val="FB7F486A"/>
    <w:rsid w:val="FBE5417C"/>
    <w:rsid w:val="FBFF5B2E"/>
    <w:rsid w:val="FD7FFE2B"/>
    <w:rsid w:val="FDBFDFA0"/>
    <w:rsid w:val="FDEE196B"/>
    <w:rsid w:val="FDFE6575"/>
    <w:rsid w:val="FEDFDDC2"/>
    <w:rsid w:val="FEED32F6"/>
    <w:rsid w:val="FEEE2D28"/>
    <w:rsid w:val="FEF781DD"/>
    <w:rsid w:val="FF3F7E3F"/>
    <w:rsid w:val="FFBA12D7"/>
    <w:rsid w:val="FFCBD314"/>
    <w:rsid w:val="FFDFF91C"/>
    <w:rsid w:val="FFDFFAEE"/>
    <w:rsid w:val="FFEF6777"/>
    <w:rsid w:val="FFF9B57B"/>
    <w:rsid w:val="FFFD61D9"/>
    <w:rsid w:val="FFFD8F59"/>
    <w:rsid w:val="FFFF2BB1"/>
    <w:rsid w:val="FFFFB04D"/>
    <w:rsid w:val="000222C6"/>
    <w:rsid w:val="0002549F"/>
    <w:rsid w:val="000468DB"/>
    <w:rsid w:val="0006487A"/>
    <w:rsid w:val="00065F8F"/>
    <w:rsid w:val="00070A43"/>
    <w:rsid w:val="000768F2"/>
    <w:rsid w:val="00084A5C"/>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3F4A"/>
    <w:rsid w:val="002F567B"/>
    <w:rsid w:val="003216A9"/>
    <w:rsid w:val="00335A74"/>
    <w:rsid w:val="00340FF3"/>
    <w:rsid w:val="00352FD6"/>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F26FC"/>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255E7"/>
    <w:rsid w:val="005664BB"/>
    <w:rsid w:val="00566FFA"/>
    <w:rsid w:val="0057481D"/>
    <w:rsid w:val="0058486E"/>
    <w:rsid w:val="00585B33"/>
    <w:rsid w:val="0059014D"/>
    <w:rsid w:val="005A7957"/>
    <w:rsid w:val="005B5C64"/>
    <w:rsid w:val="005C5337"/>
    <w:rsid w:val="005C6BD0"/>
    <w:rsid w:val="005D1C8B"/>
    <w:rsid w:val="005D468D"/>
    <w:rsid w:val="005D5CED"/>
    <w:rsid w:val="005F1A4C"/>
    <w:rsid w:val="005F1CB6"/>
    <w:rsid w:val="00605688"/>
    <w:rsid w:val="006070AF"/>
    <w:rsid w:val="00607E6C"/>
    <w:rsid w:val="006101B1"/>
    <w:rsid w:val="00614E44"/>
    <w:rsid w:val="0062270A"/>
    <w:rsid w:val="00622830"/>
    <w:rsid w:val="00623DA0"/>
    <w:rsid w:val="00630AEF"/>
    <w:rsid w:val="006325F8"/>
    <w:rsid w:val="00633463"/>
    <w:rsid w:val="00634C9A"/>
    <w:rsid w:val="0064245F"/>
    <w:rsid w:val="006440E4"/>
    <w:rsid w:val="0066343B"/>
    <w:rsid w:val="00664777"/>
    <w:rsid w:val="006748A4"/>
    <w:rsid w:val="00681A31"/>
    <w:rsid w:val="00683E73"/>
    <w:rsid w:val="006A3141"/>
    <w:rsid w:val="006A5E34"/>
    <w:rsid w:val="006B2422"/>
    <w:rsid w:val="006B2B9A"/>
    <w:rsid w:val="006C1937"/>
    <w:rsid w:val="006F020C"/>
    <w:rsid w:val="007065F6"/>
    <w:rsid w:val="007127B7"/>
    <w:rsid w:val="0071798E"/>
    <w:rsid w:val="00733399"/>
    <w:rsid w:val="007416B6"/>
    <w:rsid w:val="0074509D"/>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2C71"/>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1B19"/>
    <w:rsid w:val="00933499"/>
    <w:rsid w:val="00935C98"/>
    <w:rsid w:val="00946945"/>
    <w:rsid w:val="00951248"/>
    <w:rsid w:val="0095152F"/>
    <w:rsid w:val="00954C49"/>
    <w:rsid w:val="00955E37"/>
    <w:rsid w:val="0097099F"/>
    <w:rsid w:val="00971997"/>
    <w:rsid w:val="00971FFC"/>
    <w:rsid w:val="00973F6D"/>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05EAF"/>
    <w:rsid w:val="00A13CC1"/>
    <w:rsid w:val="00A16847"/>
    <w:rsid w:val="00A237D8"/>
    <w:rsid w:val="00A268C4"/>
    <w:rsid w:val="00A307CD"/>
    <w:rsid w:val="00A331C8"/>
    <w:rsid w:val="00A33FD1"/>
    <w:rsid w:val="00A40A00"/>
    <w:rsid w:val="00A4142F"/>
    <w:rsid w:val="00A422EB"/>
    <w:rsid w:val="00A446A2"/>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12902"/>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1455"/>
    <w:rsid w:val="00CC666F"/>
    <w:rsid w:val="00CD1E3F"/>
    <w:rsid w:val="00CD58DD"/>
    <w:rsid w:val="00CE44F6"/>
    <w:rsid w:val="00CE49DA"/>
    <w:rsid w:val="00CE7B61"/>
    <w:rsid w:val="00D00095"/>
    <w:rsid w:val="00D114F0"/>
    <w:rsid w:val="00D20620"/>
    <w:rsid w:val="00D254F7"/>
    <w:rsid w:val="00D26091"/>
    <w:rsid w:val="00D2685C"/>
    <w:rsid w:val="00D34E7C"/>
    <w:rsid w:val="00D352DF"/>
    <w:rsid w:val="00D35489"/>
    <w:rsid w:val="00D36AFE"/>
    <w:rsid w:val="00D51276"/>
    <w:rsid w:val="00D7035F"/>
    <w:rsid w:val="00DA634F"/>
    <w:rsid w:val="00DA65AC"/>
    <w:rsid w:val="00DB1913"/>
    <w:rsid w:val="00DB520E"/>
    <w:rsid w:val="00DC410D"/>
    <w:rsid w:val="00DC5A81"/>
    <w:rsid w:val="00DC68CA"/>
    <w:rsid w:val="00DC7CBA"/>
    <w:rsid w:val="00DD73B7"/>
    <w:rsid w:val="00DF28BC"/>
    <w:rsid w:val="00DF34B9"/>
    <w:rsid w:val="00E01053"/>
    <w:rsid w:val="00E04D61"/>
    <w:rsid w:val="00E07ACF"/>
    <w:rsid w:val="00E331A1"/>
    <w:rsid w:val="00E33202"/>
    <w:rsid w:val="00E336A9"/>
    <w:rsid w:val="00E472B1"/>
    <w:rsid w:val="00E50624"/>
    <w:rsid w:val="00E54633"/>
    <w:rsid w:val="00E568DF"/>
    <w:rsid w:val="00E64269"/>
    <w:rsid w:val="00E76CB5"/>
    <w:rsid w:val="00E82267"/>
    <w:rsid w:val="00E853CE"/>
    <w:rsid w:val="00E867B6"/>
    <w:rsid w:val="00EA010F"/>
    <w:rsid w:val="00EB1F5C"/>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FEBE30"/>
    <w:rsid w:val="04916F1E"/>
    <w:rsid w:val="061E35DE"/>
    <w:rsid w:val="066E0107"/>
    <w:rsid w:val="07996F6E"/>
    <w:rsid w:val="07DFD8BA"/>
    <w:rsid w:val="09867E8F"/>
    <w:rsid w:val="0A2032A3"/>
    <w:rsid w:val="0CA8290A"/>
    <w:rsid w:val="0D35B1ED"/>
    <w:rsid w:val="0E254B6B"/>
    <w:rsid w:val="0F98263C"/>
    <w:rsid w:val="101860EC"/>
    <w:rsid w:val="101F47CC"/>
    <w:rsid w:val="10C055FF"/>
    <w:rsid w:val="11694EBD"/>
    <w:rsid w:val="11772AA4"/>
    <w:rsid w:val="118107EC"/>
    <w:rsid w:val="12E24EE2"/>
    <w:rsid w:val="13D50BC4"/>
    <w:rsid w:val="14B17F78"/>
    <w:rsid w:val="165E0673"/>
    <w:rsid w:val="16B831D5"/>
    <w:rsid w:val="16BB723D"/>
    <w:rsid w:val="17E50567"/>
    <w:rsid w:val="186504BB"/>
    <w:rsid w:val="19A445FC"/>
    <w:rsid w:val="19FD329E"/>
    <w:rsid w:val="1BE8440E"/>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9FD04D3"/>
    <w:rsid w:val="2BFF7BC6"/>
    <w:rsid w:val="2C8A61B5"/>
    <w:rsid w:val="2DF04E50"/>
    <w:rsid w:val="2E586DFA"/>
    <w:rsid w:val="2F040D46"/>
    <w:rsid w:val="2F6B035B"/>
    <w:rsid w:val="2FAE5751"/>
    <w:rsid w:val="2FB1A395"/>
    <w:rsid w:val="2FD9A7D8"/>
    <w:rsid w:val="2FDBF714"/>
    <w:rsid w:val="30AB6865"/>
    <w:rsid w:val="319F7F4E"/>
    <w:rsid w:val="32BD1EF1"/>
    <w:rsid w:val="3304709D"/>
    <w:rsid w:val="337E52E2"/>
    <w:rsid w:val="33A773CB"/>
    <w:rsid w:val="349D6851"/>
    <w:rsid w:val="36AA5135"/>
    <w:rsid w:val="36BE0DA7"/>
    <w:rsid w:val="376B6AA6"/>
    <w:rsid w:val="376D39B2"/>
    <w:rsid w:val="37E16F03"/>
    <w:rsid w:val="37F53A3B"/>
    <w:rsid w:val="37F9E0C0"/>
    <w:rsid w:val="389B6C89"/>
    <w:rsid w:val="38D469F0"/>
    <w:rsid w:val="39627CCD"/>
    <w:rsid w:val="397BAF1F"/>
    <w:rsid w:val="399DE254"/>
    <w:rsid w:val="3AB79AF3"/>
    <w:rsid w:val="3AE834C0"/>
    <w:rsid w:val="3B7EF35A"/>
    <w:rsid w:val="3B9FDB6C"/>
    <w:rsid w:val="3BF5BC2F"/>
    <w:rsid w:val="3CEBA265"/>
    <w:rsid w:val="3D98207C"/>
    <w:rsid w:val="3DC5A7EC"/>
    <w:rsid w:val="3DEE7CF3"/>
    <w:rsid w:val="3E740A63"/>
    <w:rsid w:val="3E78745D"/>
    <w:rsid w:val="3E7FF283"/>
    <w:rsid w:val="3EE17838"/>
    <w:rsid w:val="3F55381A"/>
    <w:rsid w:val="3F7F7599"/>
    <w:rsid w:val="3FF4CAE0"/>
    <w:rsid w:val="3FF7B227"/>
    <w:rsid w:val="3FFFEB8F"/>
    <w:rsid w:val="44E268DA"/>
    <w:rsid w:val="450D13D7"/>
    <w:rsid w:val="45506656"/>
    <w:rsid w:val="486A6C7A"/>
    <w:rsid w:val="49252F6E"/>
    <w:rsid w:val="4A627F82"/>
    <w:rsid w:val="4B0E749A"/>
    <w:rsid w:val="4B2477C4"/>
    <w:rsid w:val="4B4F25DA"/>
    <w:rsid w:val="4BE068DB"/>
    <w:rsid w:val="4D577224"/>
    <w:rsid w:val="4DBF1CEB"/>
    <w:rsid w:val="4DF0007C"/>
    <w:rsid w:val="4EAB630A"/>
    <w:rsid w:val="4ECE2238"/>
    <w:rsid w:val="4F833267"/>
    <w:rsid w:val="4FE9BD67"/>
    <w:rsid w:val="4FFB052F"/>
    <w:rsid w:val="537E6D0A"/>
    <w:rsid w:val="53F74C96"/>
    <w:rsid w:val="55170BA8"/>
    <w:rsid w:val="553218C9"/>
    <w:rsid w:val="567E1AA5"/>
    <w:rsid w:val="56E47B74"/>
    <w:rsid w:val="57175D52"/>
    <w:rsid w:val="571A1A62"/>
    <w:rsid w:val="57BD3DD4"/>
    <w:rsid w:val="5AF92295"/>
    <w:rsid w:val="5B250254"/>
    <w:rsid w:val="5BDD79E6"/>
    <w:rsid w:val="5BF561CA"/>
    <w:rsid w:val="5BFF5DFC"/>
    <w:rsid w:val="5CD71FC4"/>
    <w:rsid w:val="5D1F11B5"/>
    <w:rsid w:val="5D695134"/>
    <w:rsid w:val="5D7E8501"/>
    <w:rsid w:val="5DAE1B18"/>
    <w:rsid w:val="5DE7D9E5"/>
    <w:rsid w:val="5E15CF29"/>
    <w:rsid w:val="5ECEC941"/>
    <w:rsid w:val="5F7157DD"/>
    <w:rsid w:val="5F9F251A"/>
    <w:rsid w:val="5FBF9FF3"/>
    <w:rsid w:val="5FCD4E2C"/>
    <w:rsid w:val="5FEF394A"/>
    <w:rsid w:val="5FF67715"/>
    <w:rsid w:val="62BF3928"/>
    <w:rsid w:val="63B3701E"/>
    <w:rsid w:val="647F5392"/>
    <w:rsid w:val="65E6658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F3F8853"/>
    <w:rsid w:val="6F6FB3EB"/>
    <w:rsid w:val="6F8731EA"/>
    <w:rsid w:val="6FCE6052"/>
    <w:rsid w:val="6FD57C00"/>
    <w:rsid w:val="6FEFFFD8"/>
    <w:rsid w:val="6FF5CC65"/>
    <w:rsid w:val="6FF7F713"/>
    <w:rsid w:val="6FFB47EC"/>
    <w:rsid w:val="6FFF034A"/>
    <w:rsid w:val="6FFFD07B"/>
    <w:rsid w:val="70484440"/>
    <w:rsid w:val="712A28F1"/>
    <w:rsid w:val="715C0E4B"/>
    <w:rsid w:val="71992E7C"/>
    <w:rsid w:val="72233669"/>
    <w:rsid w:val="72734D90"/>
    <w:rsid w:val="73160E6D"/>
    <w:rsid w:val="7332FE48"/>
    <w:rsid w:val="73AB61DA"/>
    <w:rsid w:val="73AD73D5"/>
    <w:rsid w:val="73B6EB34"/>
    <w:rsid w:val="73F9EB97"/>
    <w:rsid w:val="73FA497D"/>
    <w:rsid w:val="744731E5"/>
    <w:rsid w:val="74BBD01D"/>
    <w:rsid w:val="74ED5379"/>
    <w:rsid w:val="75DEEEC2"/>
    <w:rsid w:val="75E32345"/>
    <w:rsid w:val="76E3355F"/>
    <w:rsid w:val="76FF5125"/>
    <w:rsid w:val="772FB136"/>
    <w:rsid w:val="776F6FFA"/>
    <w:rsid w:val="778769C8"/>
    <w:rsid w:val="77970C84"/>
    <w:rsid w:val="77A75DCA"/>
    <w:rsid w:val="77DC22F5"/>
    <w:rsid w:val="783E271A"/>
    <w:rsid w:val="78616DE9"/>
    <w:rsid w:val="78E875D7"/>
    <w:rsid w:val="79086DAD"/>
    <w:rsid w:val="79D7FD79"/>
    <w:rsid w:val="79EE5BA4"/>
    <w:rsid w:val="7A894339"/>
    <w:rsid w:val="7AD284E8"/>
    <w:rsid w:val="7AFF7572"/>
    <w:rsid w:val="7B6C7DFB"/>
    <w:rsid w:val="7BBFBED0"/>
    <w:rsid w:val="7BC3E394"/>
    <w:rsid w:val="7BFF4A94"/>
    <w:rsid w:val="7C1F3737"/>
    <w:rsid w:val="7CBFC87B"/>
    <w:rsid w:val="7CFE0F48"/>
    <w:rsid w:val="7D272ABC"/>
    <w:rsid w:val="7D7EC23E"/>
    <w:rsid w:val="7E8ADEBF"/>
    <w:rsid w:val="7EEF11D3"/>
    <w:rsid w:val="7EFCBDE2"/>
    <w:rsid w:val="7EFE4840"/>
    <w:rsid w:val="7F0971A6"/>
    <w:rsid w:val="7F1D62E7"/>
    <w:rsid w:val="7F3F679B"/>
    <w:rsid w:val="7F4FC4EF"/>
    <w:rsid w:val="7F5E4D54"/>
    <w:rsid w:val="7F6E0135"/>
    <w:rsid w:val="7F79F205"/>
    <w:rsid w:val="7F7BBE5A"/>
    <w:rsid w:val="7F7F3114"/>
    <w:rsid w:val="7FA30C79"/>
    <w:rsid w:val="7FA79C44"/>
    <w:rsid w:val="7FAF8ABF"/>
    <w:rsid w:val="7FB7269E"/>
    <w:rsid w:val="7FC96657"/>
    <w:rsid w:val="7FDA9588"/>
    <w:rsid w:val="7FDF220F"/>
    <w:rsid w:val="7FE50FC1"/>
    <w:rsid w:val="7FE72312"/>
    <w:rsid w:val="7FEDC5F7"/>
    <w:rsid w:val="7FEDD9DE"/>
    <w:rsid w:val="7FF5890D"/>
    <w:rsid w:val="7FF934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unhideWhenUsed="0" w:qFormat="1"/>
    <w:lsdException w:name="footer" w:semiHidden="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nhideWhenUsed="0" w:qFormat="1"/>
    <w:lsdException w:name="Body Text Indent" w:semiHidden="0" w:uiPriority="0" w:unhideWhenUsed="0" w:qFormat="1"/>
    <w:lsdException w:name="Subtitle" w:semiHidden="0" w:uiPriority="11" w:unhideWhenUsed="0" w:qFormat="1"/>
    <w:lsdException w:name="Body Text First Indent 2" w:semiHidden="0" w:qFormat="1"/>
    <w:lsdException w:name="Hyperlink" w:semiHidden="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957"/>
    <w:pPr>
      <w:widowControl w:val="0"/>
      <w:jc w:val="both"/>
    </w:pPr>
    <w:rPr>
      <w:kern w:val="2"/>
      <w:sz w:val="21"/>
      <w:szCs w:val="24"/>
    </w:rPr>
  </w:style>
  <w:style w:type="paragraph" w:styleId="1">
    <w:name w:val="heading 1"/>
    <w:basedOn w:val="a"/>
    <w:next w:val="a"/>
    <w:link w:val="1Char"/>
    <w:uiPriority w:val="9"/>
    <w:qFormat/>
    <w:rsid w:val="005A795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A795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A795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5A7957"/>
    <w:pPr>
      <w:spacing w:beforeLines="30"/>
    </w:pPr>
    <w:rPr>
      <w:rFonts w:ascii="仿宋_GB2312" w:eastAsia="仿宋_GB2312"/>
      <w:kern w:val="0"/>
      <w:sz w:val="30"/>
    </w:rPr>
  </w:style>
  <w:style w:type="paragraph" w:styleId="a4">
    <w:name w:val="Body Text Indent"/>
    <w:basedOn w:val="a"/>
    <w:qFormat/>
    <w:rsid w:val="005A7957"/>
    <w:pPr>
      <w:spacing w:after="120"/>
      <w:ind w:leftChars="200" w:left="200"/>
    </w:pPr>
    <w:rPr>
      <w:rFonts w:ascii="仿宋_GB2312"/>
      <w:szCs w:val="32"/>
    </w:rPr>
  </w:style>
  <w:style w:type="paragraph" w:styleId="30">
    <w:name w:val="toc 3"/>
    <w:basedOn w:val="a"/>
    <w:next w:val="a"/>
    <w:uiPriority w:val="39"/>
    <w:unhideWhenUsed/>
    <w:qFormat/>
    <w:rsid w:val="005A7957"/>
    <w:pPr>
      <w:tabs>
        <w:tab w:val="right" w:leader="dot" w:pos="8296"/>
      </w:tabs>
      <w:ind w:leftChars="400" w:left="840"/>
    </w:pPr>
  </w:style>
  <w:style w:type="paragraph" w:styleId="a5">
    <w:name w:val="Balloon Text"/>
    <w:basedOn w:val="a"/>
    <w:link w:val="Char0"/>
    <w:uiPriority w:val="99"/>
    <w:semiHidden/>
    <w:unhideWhenUsed/>
    <w:qFormat/>
    <w:rsid w:val="005A7957"/>
    <w:rPr>
      <w:sz w:val="18"/>
      <w:szCs w:val="18"/>
    </w:rPr>
  </w:style>
  <w:style w:type="paragraph" w:styleId="a6">
    <w:name w:val="footer"/>
    <w:basedOn w:val="a"/>
    <w:link w:val="Char1"/>
    <w:uiPriority w:val="99"/>
    <w:qFormat/>
    <w:rsid w:val="005A7957"/>
    <w:pPr>
      <w:tabs>
        <w:tab w:val="center" w:pos="4153"/>
        <w:tab w:val="right" w:pos="8306"/>
      </w:tabs>
      <w:snapToGrid w:val="0"/>
      <w:jc w:val="left"/>
    </w:pPr>
    <w:rPr>
      <w:rFonts w:ascii="Calibri" w:hAnsi="Calibri"/>
      <w:kern w:val="0"/>
      <w:sz w:val="18"/>
      <w:szCs w:val="18"/>
    </w:rPr>
  </w:style>
  <w:style w:type="paragraph" w:styleId="a7">
    <w:name w:val="header"/>
    <w:basedOn w:val="a"/>
    <w:link w:val="Char2"/>
    <w:uiPriority w:val="99"/>
    <w:semiHidden/>
    <w:qFormat/>
    <w:rsid w:val="005A7957"/>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5A7957"/>
    <w:pPr>
      <w:tabs>
        <w:tab w:val="right" w:leader="dot" w:pos="8296"/>
      </w:tabs>
      <w:spacing w:before="93"/>
      <w:jc w:val="center"/>
    </w:pPr>
    <w:rPr>
      <w:rFonts w:ascii="仿宋" w:eastAsia="仿宋" w:hAnsi="仿宋"/>
      <w:sz w:val="28"/>
      <w:szCs w:val="28"/>
    </w:rPr>
  </w:style>
  <w:style w:type="paragraph" w:styleId="a8">
    <w:name w:val="footnote text"/>
    <w:basedOn w:val="a"/>
    <w:next w:val="20"/>
    <w:semiHidden/>
    <w:qFormat/>
    <w:rsid w:val="005A7957"/>
    <w:pPr>
      <w:snapToGrid w:val="0"/>
      <w:jc w:val="left"/>
    </w:pPr>
    <w:rPr>
      <w:sz w:val="18"/>
      <w:szCs w:val="18"/>
    </w:rPr>
  </w:style>
  <w:style w:type="paragraph" w:styleId="20">
    <w:name w:val="Body Text First Indent 2"/>
    <w:basedOn w:val="a4"/>
    <w:uiPriority w:val="99"/>
    <w:unhideWhenUsed/>
    <w:qFormat/>
    <w:rsid w:val="005A7957"/>
    <w:pPr>
      <w:ind w:firstLineChars="200" w:firstLine="420"/>
    </w:pPr>
  </w:style>
  <w:style w:type="paragraph" w:styleId="21">
    <w:name w:val="toc 2"/>
    <w:basedOn w:val="a"/>
    <w:next w:val="a"/>
    <w:uiPriority w:val="39"/>
    <w:unhideWhenUsed/>
    <w:qFormat/>
    <w:rsid w:val="005A7957"/>
    <w:pPr>
      <w:tabs>
        <w:tab w:val="right" w:leader="dot" w:pos="8296"/>
      </w:tabs>
      <w:ind w:leftChars="200" w:left="420"/>
    </w:pPr>
  </w:style>
  <w:style w:type="character" w:styleId="a9">
    <w:name w:val="Strong"/>
    <w:basedOn w:val="a0"/>
    <w:uiPriority w:val="99"/>
    <w:qFormat/>
    <w:rsid w:val="005A7957"/>
    <w:rPr>
      <w:b/>
    </w:rPr>
  </w:style>
  <w:style w:type="character" w:styleId="aa">
    <w:name w:val="page number"/>
    <w:basedOn w:val="a0"/>
    <w:qFormat/>
    <w:rsid w:val="005A7957"/>
  </w:style>
  <w:style w:type="character" w:styleId="ab">
    <w:name w:val="Hyperlink"/>
    <w:basedOn w:val="a0"/>
    <w:uiPriority w:val="99"/>
    <w:unhideWhenUsed/>
    <w:qFormat/>
    <w:rsid w:val="005A7957"/>
    <w:rPr>
      <w:color w:val="0000FF" w:themeColor="hyperlink"/>
      <w:u w:val="single"/>
    </w:rPr>
  </w:style>
  <w:style w:type="paragraph" w:customStyle="1" w:styleId="5">
    <w:name w:val="标题 5（有编号）（绿盟科技）"/>
    <w:next w:val="a"/>
    <w:uiPriority w:val="99"/>
    <w:qFormat/>
    <w:rsid w:val="005A7957"/>
    <w:pPr>
      <w:keepNext/>
      <w:keepLines/>
      <w:widowControl w:val="0"/>
      <w:spacing w:before="280" w:after="156" w:line="377" w:lineRule="auto"/>
      <w:outlineLvl w:val="4"/>
    </w:pPr>
    <w:rPr>
      <w:rFonts w:ascii="Arial" w:eastAsia="黑体" w:hAnsi="Arial"/>
      <w:b/>
      <w:kern w:val="2"/>
      <w:sz w:val="24"/>
      <w:szCs w:val="28"/>
    </w:rPr>
  </w:style>
  <w:style w:type="character" w:customStyle="1" w:styleId="HeaderChar">
    <w:name w:val="Header Char"/>
    <w:basedOn w:val="a0"/>
    <w:uiPriority w:val="99"/>
    <w:semiHidden/>
    <w:qFormat/>
    <w:rsid w:val="005A7957"/>
    <w:rPr>
      <w:rFonts w:ascii="Times New Roman" w:hAnsi="Times New Roman"/>
      <w:sz w:val="18"/>
      <w:szCs w:val="18"/>
    </w:rPr>
  </w:style>
  <w:style w:type="character" w:customStyle="1" w:styleId="Char2">
    <w:name w:val="页眉 Char"/>
    <w:link w:val="a7"/>
    <w:uiPriority w:val="99"/>
    <w:semiHidden/>
    <w:qFormat/>
    <w:locked/>
    <w:rsid w:val="005A7957"/>
    <w:rPr>
      <w:sz w:val="18"/>
    </w:rPr>
  </w:style>
  <w:style w:type="character" w:customStyle="1" w:styleId="FooterChar">
    <w:name w:val="Footer Char"/>
    <w:basedOn w:val="a0"/>
    <w:uiPriority w:val="99"/>
    <w:semiHidden/>
    <w:qFormat/>
    <w:rsid w:val="005A7957"/>
    <w:rPr>
      <w:rFonts w:ascii="Times New Roman" w:hAnsi="Times New Roman"/>
      <w:sz w:val="18"/>
      <w:szCs w:val="18"/>
    </w:rPr>
  </w:style>
  <w:style w:type="character" w:customStyle="1" w:styleId="Char1">
    <w:name w:val="页脚 Char"/>
    <w:link w:val="a6"/>
    <w:uiPriority w:val="99"/>
    <w:qFormat/>
    <w:locked/>
    <w:rsid w:val="005A7957"/>
    <w:rPr>
      <w:sz w:val="18"/>
    </w:rPr>
  </w:style>
  <w:style w:type="character" w:customStyle="1" w:styleId="BodyTextChar">
    <w:name w:val="Body Text Char"/>
    <w:basedOn w:val="a0"/>
    <w:uiPriority w:val="99"/>
    <w:semiHidden/>
    <w:qFormat/>
    <w:rsid w:val="005A7957"/>
    <w:rPr>
      <w:rFonts w:ascii="Times New Roman" w:hAnsi="Times New Roman"/>
      <w:szCs w:val="24"/>
    </w:rPr>
  </w:style>
  <w:style w:type="character" w:customStyle="1" w:styleId="Char">
    <w:name w:val="正文文本 Char"/>
    <w:link w:val="a3"/>
    <w:uiPriority w:val="99"/>
    <w:qFormat/>
    <w:locked/>
    <w:rsid w:val="005A7957"/>
    <w:rPr>
      <w:rFonts w:ascii="仿宋_GB2312" w:eastAsia="仿宋_GB2312" w:hAnsi="Times New Roman"/>
      <w:sz w:val="24"/>
    </w:rPr>
  </w:style>
  <w:style w:type="paragraph" w:customStyle="1" w:styleId="Default">
    <w:name w:val="Default"/>
    <w:uiPriority w:val="99"/>
    <w:qFormat/>
    <w:rsid w:val="005A7957"/>
    <w:pPr>
      <w:widowControl w:val="0"/>
      <w:autoSpaceDE w:val="0"/>
      <w:autoSpaceDN w:val="0"/>
      <w:adjustRightInd w:val="0"/>
    </w:pPr>
    <w:rPr>
      <w:rFonts w:ascii="仿宋" w:eastAsia="仿宋" w:hAnsi="Calibri" w:cs="仿宋"/>
      <w:color w:val="000000"/>
      <w:sz w:val="24"/>
      <w:szCs w:val="24"/>
    </w:rPr>
  </w:style>
  <w:style w:type="paragraph" w:styleId="ac">
    <w:name w:val="List Paragraph"/>
    <w:basedOn w:val="a"/>
    <w:uiPriority w:val="34"/>
    <w:qFormat/>
    <w:rsid w:val="005A7957"/>
    <w:pPr>
      <w:ind w:firstLineChars="200" w:firstLine="420"/>
    </w:pPr>
  </w:style>
  <w:style w:type="character" w:customStyle="1" w:styleId="1Char">
    <w:name w:val="标题 1 Char"/>
    <w:basedOn w:val="a0"/>
    <w:link w:val="1"/>
    <w:uiPriority w:val="9"/>
    <w:qFormat/>
    <w:rsid w:val="005A7957"/>
    <w:rPr>
      <w:rFonts w:ascii="Times New Roman" w:hAnsi="Times New Roman"/>
      <w:b/>
      <w:bCs/>
      <w:kern w:val="44"/>
      <w:sz w:val="44"/>
      <w:szCs w:val="44"/>
    </w:rPr>
  </w:style>
  <w:style w:type="character" w:customStyle="1" w:styleId="2Char">
    <w:name w:val="标题 2 Char"/>
    <w:basedOn w:val="a0"/>
    <w:link w:val="2"/>
    <w:uiPriority w:val="9"/>
    <w:qFormat/>
    <w:rsid w:val="005A7957"/>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5A795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5"/>
    <w:uiPriority w:val="99"/>
    <w:semiHidden/>
    <w:qFormat/>
    <w:rsid w:val="005A7957"/>
    <w:rPr>
      <w:rFonts w:ascii="Times New Roman" w:hAnsi="Times New Roman"/>
      <w:kern w:val="2"/>
      <w:sz w:val="18"/>
      <w:szCs w:val="18"/>
    </w:rPr>
  </w:style>
  <w:style w:type="character" w:customStyle="1" w:styleId="3Char">
    <w:name w:val="标题 3 Char"/>
    <w:basedOn w:val="a0"/>
    <w:link w:val="3"/>
    <w:uiPriority w:val="9"/>
    <w:qFormat/>
    <w:rsid w:val="005A7957"/>
    <w:rPr>
      <w:rFonts w:ascii="Times New Roman" w:hAnsi="Times New Roman"/>
      <w:b/>
      <w:bCs/>
      <w:kern w:val="2"/>
      <w:sz w:val="32"/>
      <w:szCs w:val="32"/>
    </w:rPr>
  </w:style>
  <w:style w:type="paragraph" w:customStyle="1" w:styleId="TOC2">
    <w:name w:val="TOC 标题2"/>
    <w:basedOn w:val="1"/>
    <w:next w:val="a"/>
    <w:uiPriority w:val="39"/>
    <w:unhideWhenUsed/>
    <w:qFormat/>
    <w:rsid w:val="005A795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d">
    <w:name w:val="四号正文"/>
    <w:basedOn w:val="a"/>
    <w:qFormat/>
    <w:rsid w:val="005A7957"/>
    <w:pPr>
      <w:spacing w:line="360" w:lineRule="auto"/>
    </w:pPr>
    <w:rPr>
      <w:rFonts w:ascii="??" w:hAnsi="??"/>
      <w:color w:val="000000"/>
      <w:kern w:val="0"/>
      <w:sz w:val="28"/>
      <w:szCs w:val="21"/>
      <w:lang w:val="zh-CN"/>
    </w:rPr>
  </w:style>
  <w:style w:type="paragraph" w:customStyle="1" w:styleId="WPSOffice1">
    <w:name w:val="WPSOffice手动目录 1"/>
    <w:qFormat/>
    <w:rsid w:val="005A7957"/>
  </w:style>
  <w:style w:type="paragraph" w:customStyle="1" w:styleId="WPSOffice2">
    <w:name w:val="WPSOffice手动目录 2"/>
    <w:qFormat/>
    <w:rsid w:val="005A7957"/>
    <w:pPr>
      <w:ind w:leftChars="200" w:left="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收入、支出决算总计变动情况图</a:t>
            </a:r>
          </a:p>
        </c:rich>
      </c:tx>
      <c:layout/>
      <c:spPr>
        <a:noFill/>
        <a:ln>
          <a:noFill/>
        </a:ln>
        <a:effectLst/>
      </c:spPr>
    </c:title>
    <c:plotArea>
      <c:layout/>
      <c:barChart>
        <c:barDir val="col"/>
        <c:grouping val="clustered"/>
        <c:ser>
          <c:idx val="0"/>
          <c:order val="0"/>
          <c:tx>
            <c:strRef>
              <c:f>Sheet1!$B$1</c:f>
              <c:strCache>
                <c:ptCount val="1"/>
                <c:pt idx="0">
                  <c:v>2023年</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1584.86</c:v>
                </c:pt>
                <c:pt idx="1">
                  <c:v>1584.86</c:v>
                </c:pt>
              </c:numCache>
            </c:numRef>
          </c:val>
        </c:ser>
        <c:ser>
          <c:idx val="1"/>
          <c:order val="1"/>
          <c:tx>
            <c:strRef>
              <c:f>Sheet1!$C$1</c:f>
              <c:strCache>
                <c:ptCount val="1"/>
                <c:pt idx="0">
                  <c:v>2024年</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2018.26</c:v>
                </c:pt>
                <c:pt idx="1">
                  <c:v>2018.26</c:v>
                </c:pt>
              </c:numCache>
            </c:numRef>
          </c:val>
        </c:ser>
        <c:ser>
          <c:idx val="2"/>
          <c:order val="2"/>
          <c:tx>
            <c:strRef>
              <c:f>Sheet1!#REF!</c:f>
              <c:strCache>
                <c:ptCount val="1"/>
              </c:strCache>
            </c:strRef>
          </c:tx>
          <c:spPr>
            <a:solidFill>
              <a:schemeClr val="accent3"/>
            </a:solidFill>
            <a:ln>
              <a:noFill/>
            </a:ln>
            <a:effectLst/>
          </c:spPr>
          <c:cat>
            <c:strRef>
              <c:f>Sheet1!$A$2:$A$3</c:f>
              <c:strCache>
                <c:ptCount val="2"/>
                <c:pt idx="0">
                  <c:v>收入</c:v>
                </c:pt>
                <c:pt idx="1">
                  <c:v>支出</c:v>
                </c:pt>
              </c:strCache>
            </c:strRef>
          </c:cat>
          <c:val>
            <c:numRef>
              <c:f>Sheet1!#REF!</c:f>
              <c:numCache>
                <c:formatCode>General</c:formatCode>
                <c:ptCount val="1"/>
                <c:pt idx="0">
                  <c:v>1</c:v>
                </c:pt>
              </c:numCache>
            </c:numRef>
          </c:val>
        </c:ser>
        <c:gapWidth val="246"/>
        <c:overlap val="-28"/>
        <c:axId val="162760576"/>
        <c:axId val="162762112"/>
      </c:barChart>
      <c:catAx>
        <c:axId val="16276057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2762112"/>
        <c:crosses val="autoZero"/>
        <c:auto val="1"/>
        <c:lblAlgn val="ctr"/>
        <c:lblOffset val="100"/>
      </c:catAx>
      <c:valAx>
        <c:axId val="162762112"/>
        <c:scaling>
          <c:orientation val="minMax"/>
        </c:scaling>
        <c:axPos val="l"/>
        <c:majorGridlines>
          <c:spPr>
            <a:ln w="9525" cap="flat" cmpd="sng" algn="ctr">
              <a:solidFill>
                <a:schemeClr val="lt1">
                  <a:lumMod val="902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2760576"/>
        <c:crosses val="autoZero"/>
        <c:crossBetween val="between"/>
      </c:valAx>
      <c:spPr>
        <a:noFill/>
        <a:ln>
          <a:noFill/>
        </a:ln>
        <a:effectLst/>
      </c:spPr>
    </c:plotArea>
    <c:legend>
      <c:legendPos val="b"/>
      <c:legendEntry>
        <c:idx val="2"/>
        <c:delete val="1"/>
      </c:legendEntry>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收入决算结构图</a:t>
            </a:r>
          </a:p>
        </c:rich>
      </c:tx>
      <c:layout/>
      <c:spPr>
        <a:noFill/>
        <a:ln>
          <a:noFill/>
        </a:ln>
        <a:effectLst/>
      </c:spPr>
    </c:title>
    <c:plotArea>
      <c:layout/>
      <c:pieChart>
        <c:varyColors val="1"/>
        <c:ser>
          <c:idx val="0"/>
          <c:order val="0"/>
          <c:tx>
            <c:strRef>
              <c:f>Sheet1!$B$1</c:f>
              <c:strCache>
                <c:ptCount val="1"/>
                <c:pt idx="0">
                  <c:v>销售额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Lbls>
            <c:dLbl>
              <c:idx val="1"/>
              <c:layout>
                <c:manualLayout>
                  <c:x val="-5.6682937951780914E-2"/>
                  <c:y val="1.4408886235759604E-2"/>
                </c:manualLayout>
              </c:layout>
              <c:dLblPos val="bestFit"/>
              <c:showVal val="1"/>
              <c:extLst>
                <c:ext xmlns:c15="http://schemas.microsoft.com/office/drawing/2012/chart" uri="{CE6537A1-D6FC-4f65-9D91-7224C49458BB}">
                  <c15:layout/>
                </c:ext>
              </c:extLst>
            </c:dLbl>
            <c:dLbl>
              <c:idx val="2"/>
              <c:layout>
                <c:manualLayout>
                  <c:x val="0.10675977408963704"/>
                  <c:y val="1.1262140315895107E-2"/>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一般公共预算财政拨款收入</c:v>
                </c:pt>
                <c:pt idx="1">
                  <c:v>国有资本经营预算财政拨款收入</c:v>
                </c:pt>
                <c:pt idx="2">
                  <c:v>其他收入</c:v>
                </c:pt>
              </c:strCache>
            </c:strRef>
          </c:cat>
          <c:val>
            <c:numRef>
              <c:f>Sheet1!$B$2:$B$4</c:f>
              <c:numCache>
                <c:formatCode>General</c:formatCode>
                <c:ptCount val="3"/>
                <c:pt idx="0">
                  <c:v>1951.03</c:v>
                </c:pt>
                <c:pt idx="1">
                  <c:v>0.92</c:v>
                </c:pt>
                <c:pt idx="2">
                  <c:v>66.31</c:v>
                </c:pt>
              </c:numCache>
            </c:numRef>
          </c:val>
        </c:ser>
        <c:dLbls>
          <c:showVal val="1"/>
        </c:dLbls>
        <c:firstSliceAng val="0"/>
      </c:pieChart>
      <c:spPr>
        <a:noFill/>
        <a:ln>
          <a:noFill/>
        </a:ln>
        <a:effectLst/>
      </c:spPr>
    </c:plotArea>
    <c:legend>
      <c:legendPos val="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title>
      <c:layout/>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pieChart>
        <c:varyColors val="1"/>
        <c:ser>
          <c:idx val="0"/>
          <c:order val="0"/>
          <c:tx>
            <c:strRef>
              <c:f>'Sheet1'!$B$1</c:f>
              <c:strCache>
                <c:ptCount val="1"/>
                <c:pt idx="0">
                  <c:v>支出决算结构图</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1258.8499999999999</c:v>
                </c:pt>
                <c:pt idx="1">
                  <c:v>759.41</c:v>
                </c:pt>
              </c:numCache>
            </c:numRef>
          </c:val>
        </c:ser>
        <c:dLbls>
          <c:showVal val="1"/>
        </c:dLbls>
        <c:firstSliceAng val="0"/>
      </c:pieChart>
    </c:plotArea>
    <c:legend>
      <c:legendPos val="r"/>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1089772880243999"/>
          <c:y val="6.6470669494486587E-2"/>
          <c:w val="0.758438923764436"/>
          <c:h val="0.8474751956315062"/>
        </c:manualLayout>
      </c:layout>
      <c:barChart>
        <c:barDir val="col"/>
        <c:grouping val="clustered"/>
        <c:ser>
          <c:idx val="0"/>
          <c:order val="0"/>
          <c:tx>
            <c:strRef>
              <c:f>Sheet1!$B$1</c:f>
              <c:strCache>
                <c:ptCount val="1"/>
                <c:pt idx="0">
                  <c:v>2023年</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Sheet1!$B$2:$B$3</c:f>
              <c:numCache>
                <c:formatCode>General</c:formatCode>
                <c:ptCount val="2"/>
                <c:pt idx="0">
                  <c:v>1584.86</c:v>
                </c:pt>
                <c:pt idx="1">
                  <c:v>1584.86</c:v>
                </c:pt>
              </c:numCache>
            </c:numRef>
          </c:val>
        </c:ser>
        <c:ser>
          <c:idx val="1"/>
          <c:order val="1"/>
          <c:tx>
            <c:strRef>
              <c:f>Sheet1!$C$1</c:f>
              <c:strCache>
                <c:ptCount val="1"/>
                <c:pt idx="0">
                  <c:v>2024年</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Sheet1!$C$2:$C$3</c:f>
              <c:numCache>
                <c:formatCode>General</c:formatCode>
                <c:ptCount val="2"/>
                <c:pt idx="0">
                  <c:v>1951.95</c:v>
                </c:pt>
                <c:pt idx="1">
                  <c:v>1951.95</c:v>
                </c:pt>
              </c:numCache>
            </c:numRef>
          </c:val>
        </c:ser>
        <c:dLbls>
          <c:showVal val="1"/>
        </c:dLbls>
        <c:axId val="163352960"/>
        <c:axId val="163354496"/>
      </c:barChart>
      <c:catAx>
        <c:axId val="163352960"/>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3354496"/>
        <c:crosses val="autoZero"/>
        <c:auto val="1"/>
        <c:lblAlgn val="ctr"/>
        <c:lblOffset val="100"/>
      </c:catAx>
      <c:valAx>
        <c:axId val="163354496"/>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3352960"/>
        <c:crosses val="autoZero"/>
        <c:crossBetween val="between"/>
      </c:valAx>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一般公共预算财政拨款支出决算变动情况</a:t>
            </a:r>
          </a:p>
        </c:rich>
      </c:tx>
    </c:title>
    <c:plotArea>
      <c:layout/>
      <c:barChart>
        <c:barDir val="col"/>
        <c:grouping val="clustered"/>
        <c:ser>
          <c:idx val="0"/>
          <c:order val="0"/>
          <c:tx>
            <c:strRef>
              <c:f>Sheet1!$B$1</c:f>
              <c:strCache>
                <c:ptCount val="1"/>
                <c:pt idx="0">
                  <c:v>一般公共预算财政拨款支出</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Sheet1!$A$2:$A$3</c:f>
              <c:strCache>
                <c:ptCount val="2"/>
                <c:pt idx="0">
                  <c:v>2023年</c:v>
                </c:pt>
                <c:pt idx="1">
                  <c:v>2024年</c:v>
                </c:pt>
              </c:strCache>
            </c:strRef>
          </c:cat>
          <c:val>
            <c:numRef>
              <c:f>Sheet1!$B$2:$B$3</c:f>
              <c:numCache>
                <c:formatCode>General</c:formatCode>
                <c:ptCount val="2"/>
                <c:pt idx="0">
                  <c:v>1583.94</c:v>
                </c:pt>
                <c:pt idx="1">
                  <c:v>1951.03</c:v>
                </c:pt>
              </c:numCache>
            </c:numRef>
          </c:val>
        </c:ser>
        <c:dLbls>
          <c:showVal val="1"/>
        </c:dLbls>
        <c:axId val="163378688"/>
        <c:axId val="163380224"/>
      </c:barChart>
      <c:catAx>
        <c:axId val="163378688"/>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3380224"/>
        <c:crosses val="autoZero"/>
        <c:auto val="1"/>
        <c:lblAlgn val="ctr"/>
        <c:lblOffset val="100"/>
      </c:catAx>
      <c:valAx>
        <c:axId val="163380224"/>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3378688"/>
        <c:crosses val="autoZero"/>
        <c:crossBetween val="between"/>
      </c:valAx>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rPr sz="1600"/>
              <a:t>一般公共预算财政拨款支出决算结构</a:t>
            </a:r>
          </a:p>
        </c:rich>
      </c:tx>
      <c:layout>
        <c:manualLayout>
          <c:xMode val="edge"/>
          <c:yMode val="edge"/>
          <c:x val="0.14557133198106806"/>
          <c:y val="2.8011204481792704E-2"/>
        </c:manualLayout>
      </c:layout>
    </c:title>
    <c:plotArea>
      <c:layout/>
      <c:pieChart>
        <c:varyColors val="1"/>
        <c:ser>
          <c:idx val="0"/>
          <c:order val="0"/>
          <c:tx>
            <c:strRef>
              <c:f>'Sheet1'!$B$1</c:f>
              <c:strCache>
                <c:ptCount val="1"/>
                <c:pt idx="0">
                  <c:v>一般公共预算财政拨款支出决算结构</c:v>
                </c:pt>
              </c:strCache>
            </c:strRef>
          </c:tx>
          <c:dLbls>
            <c:dLbl>
              <c:idx val="1"/>
              <c:layout>
                <c:manualLayout>
                  <c:x val="-4.7100019293190416E-2"/>
                  <c:y val="-2.8374883391027801E-3"/>
                </c:manualLayout>
              </c:layout>
              <c:dLblPos val="bestFit"/>
              <c:showVal val="1"/>
              <c:extLst>
                <c:ext xmlns:c15="http://schemas.microsoft.com/office/drawing/2012/chart" uri="{CE6537A1-D6FC-4f65-9D91-7224C49458BB}">
                  <c15:layout/>
                </c:ext>
              </c:extLst>
            </c:dLbl>
            <c:dLbl>
              <c:idx val="2"/>
              <c:layout>
                <c:manualLayout>
                  <c:x val="0.15878672410934705"/>
                  <c:y val="1.12036998616442E-2"/>
                </c:manualLayout>
              </c:layout>
              <c:dLblPos val="bestFit"/>
              <c:showVal val="1"/>
              <c:extLst>
                <c:ext xmlns:c15="http://schemas.microsoft.com/office/drawing/2012/chart" uri="{CE6537A1-D6FC-4f65-9D91-7224C49458BB}">
                  <c15:layout/>
                </c:ext>
              </c:extLst>
            </c:dLbl>
            <c:dLbl>
              <c:idx val="8"/>
              <c:layout>
                <c:manualLayout>
                  <c:x val="0.12557460729561992"/>
                  <c:y val="7.0971932933833037E-3"/>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ext>
            </c:extLst>
          </c:dLbls>
          <c:cat>
            <c:strRef>
              <c:f>'Sheet1'!$A$2:$A$10</c:f>
              <c:strCache>
                <c:ptCount val="9"/>
                <c:pt idx="0">
                  <c:v>一般公共服务支出</c:v>
                </c:pt>
                <c:pt idx="1">
                  <c:v>公共安全支出</c:v>
                </c:pt>
                <c:pt idx="2">
                  <c:v>文化旅游体育与传媒支出</c:v>
                </c:pt>
                <c:pt idx="3">
                  <c:v>社会保障和就业支出</c:v>
                </c:pt>
                <c:pt idx="4">
                  <c:v>卫生健康支出</c:v>
                </c:pt>
                <c:pt idx="5">
                  <c:v>城乡社区支出</c:v>
                </c:pt>
                <c:pt idx="6">
                  <c:v>农林水支出</c:v>
                </c:pt>
                <c:pt idx="7">
                  <c:v>交通运输支出</c:v>
                </c:pt>
                <c:pt idx="8">
                  <c:v>住房保障支出</c:v>
                </c:pt>
              </c:strCache>
            </c:strRef>
          </c:cat>
          <c:val>
            <c:numRef>
              <c:f>'Sheet1'!$B$2:$B$10</c:f>
              <c:numCache>
                <c:formatCode>General</c:formatCode>
                <c:ptCount val="9"/>
                <c:pt idx="0">
                  <c:v>1052.23</c:v>
                </c:pt>
                <c:pt idx="1">
                  <c:v>1.9400000000000004</c:v>
                </c:pt>
                <c:pt idx="2">
                  <c:v>34.39</c:v>
                </c:pt>
                <c:pt idx="3">
                  <c:v>188.02</c:v>
                </c:pt>
                <c:pt idx="4">
                  <c:v>33.840000000000003</c:v>
                </c:pt>
                <c:pt idx="5">
                  <c:v>61.760000000000012</c:v>
                </c:pt>
                <c:pt idx="6">
                  <c:v>512.79999999999995</c:v>
                </c:pt>
                <c:pt idx="7">
                  <c:v>5</c:v>
                </c:pt>
                <c:pt idx="8">
                  <c:v>61.05</c:v>
                </c:pt>
              </c:numCache>
            </c:numRef>
          </c:val>
        </c:ser>
        <c:dLbls>
          <c:showVal val="1"/>
        </c:dLbls>
        <c:firstSliceAng val="0"/>
      </c:pieChart>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layout/>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plotArea>
      <c:layout/>
      <c:pieChart>
        <c:varyColors val="1"/>
        <c:ser>
          <c:idx val="0"/>
          <c:order val="0"/>
          <c:tx>
            <c:strRef>
              <c:f>Sheet1!$B$1</c:f>
              <c:strCache>
                <c:ptCount val="1"/>
                <c:pt idx="0">
                  <c:v>“三公”经费财政拨款支出结构</c:v>
                </c:pt>
              </c:strCache>
            </c:strRef>
          </c:tx>
          <c:dLbls>
            <c:dLbl>
              <c:idx val="0"/>
              <c:layout/>
              <c:dLblPos val="bestFit"/>
              <c:showVal val="1"/>
              <c:showPercent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ext>
            </c:extLst>
          </c:dLbls>
          <c:cat>
            <c:strRef>
              <c:f>Sheet1!$A$2</c:f>
              <c:strCache>
                <c:ptCount val="1"/>
                <c:pt idx="0">
                  <c:v>公务用车购置及运行维护费支出</c:v>
                </c:pt>
              </c:strCache>
            </c:strRef>
          </c:cat>
          <c:val>
            <c:numRef>
              <c:f>Sheet1!$B$2</c:f>
              <c:numCache>
                <c:formatCode>General</c:formatCode>
                <c:ptCount val="1"/>
                <c:pt idx="0">
                  <c:v>4.3</c:v>
                </c:pt>
              </c:numCache>
            </c:numRef>
          </c:val>
        </c:ser>
        <c:dLbls>
          <c:showVal val="1"/>
        </c:dLbls>
        <c:firstSliceAng val="0"/>
      </c:pieChart>
    </c:plotArea>
    <c:legend>
      <c:legendPos val="r"/>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49</Pages>
  <Words>13966</Words>
  <Characters>2577</Characters>
  <Application>Microsoft Office Word</Application>
  <DocSecurity>0</DocSecurity>
  <Lines>21</Lines>
  <Paragraphs>33</Paragraphs>
  <ScaleCrop>false</ScaleCrop>
  <Company>四川省财政厅</Company>
  <LinksUpToDate>false</LinksUpToDate>
  <CharactersWithSpaces>16510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Administrator</cp:lastModifiedBy>
  <cp:revision>5</cp:revision>
  <cp:lastPrinted>2025-08-11T01:34:00Z</cp:lastPrinted>
  <dcterms:created xsi:type="dcterms:W3CDTF">2025-09-26T15:38:00Z</dcterms:created>
  <dcterms:modified xsi:type="dcterms:W3CDTF">2025-09-24T08:30:00Z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2052-12.8.2.17863</vt:lpwstr>
  </property>
  <property fmtid="{D5CDD505-2E9C-101B-9397-08002B2CF9AE}" pid="3" name="ICV">
    <vt:lpwstr>04787F2533EB45DC91BCDE4AB213247F</vt:lpwstr>
  </property>
</Properties>
</file>