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C2EA1">
      <w:pPr>
        <w:spacing w:line="600" w:lineRule="exact"/>
        <w:jc w:val="both"/>
        <w:outlineLvl w:val="0"/>
        <w:rPr>
          <w:rFonts w:ascii="Times New Roman" w:hAnsi="Times New Roman" w:eastAsia="方正小标宋简体"/>
          <w:color w:val="auto"/>
          <w:sz w:val="72"/>
          <w:szCs w:val="72"/>
          <w:highlight w:val="none"/>
        </w:rPr>
      </w:pPr>
      <w:bookmarkStart w:id="0" w:name="_Toc15378441"/>
      <w:bookmarkStart w:id="1" w:name="_Toc15377193"/>
      <w:bookmarkStart w:id="2" w:name="_Toc15396597"/>
      <w:bookmarkStart w:id="3" w:name="_Toc15396475"/>
      <w:bookmarkStart w:id="4" w:name="_Toc15377425"/>
      <w:bookmarkStart w:id="5" w:name="_Toc15306267"/>
    </w:p>
    <w:p w14:paraId="464CC294">
      <w:pPr>
        <w:rPr>
          <w:rFonts w:ascii="Times New Roman" w:hAnsi="Times New Roman"/>
        </w:rPr>
      </w:pPr>
    </w:p>
    <w:p w14:paraId="2905805E">
      <w:pPr>
        <w:pStyle w:val="5"/>
        <w:jc w:val="center"/>
        <w:rPr>
          <w:rFonts w:hint="eastAsia" w:ascii="Times New Roman" w:hAnsi="Times New Roman" w:eastAsia="方正小标宋简体" w:cs="Times New Roman"/>
          <w:color w:val="auto"/>
          <w:kern w:val="2"/>
          <w:sz w:val="44"/>
          <w:szCs w:val="44"/>
          <w:highlight w:val="none"/>
          <w:lang w:val="en-US" w:eastAsia="zh-CN" w:bidi="ar-SA"/>
        </w:rPr>
      </w:pPr>
    </w:p>
    <w:p w14:paraId="01233462">
      <w:pPr>
        <w:pStyle w:val="5"/>
        <w:jc w:val="center"/>
        <w:rPr>
          <w:rFonts w:hint="eastAsia" w:ascii="Times New Roman" w:hAnsi="Times New Roman" w:eastAsia="方正小标宋简体" w:cs="Times New Roman"/>
          <w:color w:val="auto"/>
          <w:kern w:val="2"/>
          <w:sz w:val="44"/>
          <w:szCs w:val="44"/>
          <w:highlight w:val="none"/>
          <w:lang w:val="en-US" w:eastAsia="zh-CN" w:bidi="ar-SA"/>
        </w:rPr>
      </w:pPr>
    </w:p>
    <w:p w14:paraId="0E6169E7">
      <w:pPr>
        <w:pStyle w:val="5"/>
        <w:jc w:val="center"/>
        <w:rPr>
          <w:rFonts w:hint="eastAsia" w:ascii="Times New Roman" w:hAnsi="Times New Roman" w:eastAsia="方正小标宋简体" w:cs="Times New Roman"/>
          <w:color w:val="auto"/>
          <w:kern w:val="2"/>
          <w:sz w:val="44"/>
          <w:szCs w:val="44"/>
          <w:highlight w:val="none"/>
          <w:lang w:val="en-US" w:eastAsia="zh-CN" w:bidi="ar-SA"/>
        </w:rPr>
      </w:pPr>
    </w:p>
    <w:p w14:paraId="32BEE0BF">
      <w:pPr>
        <w:pStyle w:val="5"/>
        <w:jc w:val="center"/>
        <w:rPr>
          <w:rFonts w:hint="eastAsia" w:ascii="Times New Roman" w:hAnsi="Times New Roman" w:eastAsia="方正小标宋简体" w:cs="Times New Roman"/>
          <w:color w:val="auto"/>
          <w:kern w:val="2"/>
          <w:sz w:val="52"/>
          <w:szCs w:val="52"/>
          <w:highlight w:val="none"/>
          <w:lang w:val="en-US" w:eastAsia="zh-CN" w:bidi="ar-SA"/>
        </w:rPr>
      </w:pPr>
    </w:p>
    <w:bookmarkEnd w:id="0"/>
    <w:bookmarkEnd w:id="1"/>
    <w:bookmarkEnd w:id="2"/>
    <w:bookmarkEnd w:id="3"/>
    <w:bookmarkEnd w:id="4"/>
    <w:p w14:paraId="51CD7B02">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简体" w:cs="Times New Roman"/>
          <w:b/>
          <w:bCs/>
          <w:color w:val="auto"/>
          <w:kern w:val="2"/>
          <w:sz w:val="60"/>
          <w:szCs w:val="60"/>
          <w:highlight w:val="none"/>
          <w:lang w:val="en-US" w:eastAsia="zh-CN" w:bidi="ar-SA"/>
        </w:rPr>
      </w:pPr>
      <w:bookmarkStart w:id="6" w:name="_Toc15377426"/>
      <w:bookmarkStart w:id="7" w:name="_Toc15378442"/>
      <w:bookmarkStart w:id="8" w:name="_Toc15377194"/>
      <w:bookmarkStart w:id="9" w:name="_Toc15396598"/>
      <w:bookmarkStart w:id="10" w:name="_Toc15396476"/>
      <w:r>
        <w:rPr>
          <w:rFonts w:hint="eastAsia" w:ascii="Times New Roman" w:hAnsi="Times New Roman" w:eastAsia="方正小标宋简体" w:cs="Times New Roman"/>
          <w:b/>
          <w:bCs/>
          <w:color w:val="auto"/>
          <w:kern w:val="2"/>
          <w:sz w:val="60"/>
          <w:szCs w:val="60"/>
          <w:highlight w:val="none"/>
          <w:lang w:val="en-US" w:eastAsia="zh-CN" w:bidi="ar-SA"/>
        </w:rPr>
        <w:t>2024年度</w:t>
      </w:r>
    </w:p>
    <w:p w14:paraId="47BB87A8">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eastAsia="方正小标宋简体" w:cs="Times New Roman"/>
          <w:b/>
          <w:bCs/>
          <w:color w:val="auto"/>
          <w:kern w:val="2"/>
          <w:sz w:val="60"/>
          <w:szCs w:val="60"/>
          <w:highlight w:val="none"/>
          <w:lang w:val="en-US" w:eastAsia="zh-CN" w:bidi="ar-SA"/>
        </w:rPr>
      </w:pPr>
      <w:r>
        <w:rPr>
          <w:rFonts w:hint="eastAsia" w:ascii="Times New Roman" w:hAnsi="Times New Roman" w:eastAsia="方正小标宋简体" w:cs="Times New Roman"/>
          <w:b/>
          <w:bCs/>
          <w:color w:val="auto"/>
          <w:kern w:val="2"/>
          <w:sz w:val="60"/>
          <w:szCs w:val="60"/>
          <w:highlight w:val="none"/>
          <w:lang w:val="en-US" w:eastAsia="zh-CN" w:bidi="ar-SA"/>
        </w:rPr>
        <w:t>四川省</w:t>
      </w:r>
      <w:bookmarkEnd w:id="5"/>
      <w:bookmarkStart w:id="11" w:name="_Toc15306268"/>
      <w:r>
        <w:rPr>
          <w:rFonts w:hint="eastAsia" w:ascii="Times New Roman" w:eastAsia="方正小标宋简体" w:cs="Times New Roman"/>
          <w:b/>
          <w:bCs/>
          <w:color w:val="auto"/>
          <w:kern w:val="2"/>
          <w:sz w:val="60"/>
          <w:szCs w:val="60"/>
          <w:highlight w:val="none"/>
          <w:lang w:val="en-US" w:eastAsia="zh-CN" w:bidi="ar-SA"/>
        </w:rPr>
        <w:t>绵竹市残疾人联合会</w:t>
      </w:r>
    </w:p>
    <w:p w14:paraId="4D4EAAF7">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简体" w:cs="Times New Roman"/>
          <w:b/>
          <w:bCs/>
          <w:color w:val="auto"/>
          <w:kern w:val="2"/>
          <w:sz w:val="60"/>
          <w:szCs w:val="60"/>
          <w:highlight w:val="none"/>
          <w:lang w:val="en-US" w:eastAsia="zh-CN" w:bidi="ar-SA"/>
        </w:rPr>
      </w:pPr>
      <w:r>
        <w:rPr>
          <w:rFonts w:hint="eastAsia" w:ascii="Times New Roman" w:eastAsia="方正小标宋简体" w:cs="Times New Roman"/>
          <w:b/>
          <w:bCs/>
          <w:color w:val="auto"/>
          <w:kern w:val="2"/>
          <w:sz w:val="60"/>
          <w:szCs w:val="60"/>
          <w:highlight w:val="none"/>
          <w:lang w:val="en-US" w:eastAsia="zh-CN" w:bidi="ar-SA"/>
        </w:rPr>
        <w:t>部门</w:t>
      </w:r>
      <w:r>
        <w:rPr>
          <w:rFonts w:hint="eastAsia" w:ascii="Times New Roman" w:hAnsi="Times New Roman" w:eastAsia="方正小标宋简体" w:cs="Times New Roman"/>
          <w:b/>
          <w:bCs/>
          <w:color w:val="auto"/>
          <w:kern w:val="2"/>
          <w:sz w:val="60"/>
          <w:szCs w:val="60"/>
          <w:highlight w:val="none"/>
          <w:lang w:val="en-US" w:eastAsia="zh-CN" w:bidi="ar-SA"/>
        </w:rPr>
        <w:t>决算</w:t>
      </w:r>
      <w:bookmarkEnd w:id="6"/>
      <w:bookmarkEnd w:id="7"/>
      <w:bookmarkEnd w:id="8"/>
      <w:bookmarkEnd w:id="9"/>
      <w:bookmarkEnd w:id="10"/>
      <w:bookmarkEnd w:id="11"/>
    </w:p>
    <w:p w14:paraId="65BA8362">
      <w:pPr>
        <w:widowControl/>
        <w:jc w:val="center"/>
        <w:rPr>
          <w:rFonts w:ascii="Times New Roman" w:hAnsi="Times New Roman" w:eastAsia="方正小标宋简体"/>
          <w:color w:val="auto"/>
          <w:sz w:val="36"/>
          <w:szCs w:val="36"/>
          <w:highlight w:val="none"/>
        </w:rPr>
      </w:pPr>
      <w:r>
        <w:rPr>
          <w:rFonts w:ascii="Times New Roman" w:hAnsi="Times New Roman" w:eastAsia="方正小标宋简体"/>
          <w:color w:val="auto"/>
          <w:sz w:val="36"/>
          <w:szCs w:val="36"/>
          <w:highlight w:val="none"/>
        </w:rPr>
        <w:br w:type="page"/>
      </w:r>
    </w:p>
    <w:p w14:paraId="7A888DA9">
      <w:pPr>
        <w:pStyle w:val="11"/>
        <w:tabs>
          <w:tab w:val="right" w:leader="dot" w:pos="8306"/>
          <w:tab w:val="clear" w:pos="8296"/>
        </w:tabs>
        <w:rPr>
          <w:sz w:val="40"/>
          <w:szCs w:val="40"/>
        </w:rPr>
      </w:pPr>
      <w:r>
        <w:rPr>
          <w:rFonts w:ascii="Times New Roman" w:hAnsi="Times New Roman" w:eastAsia="方正小标宋简体"/>
          <w:color w:val="auto"/>
          <w:sz w:val="36"/>
          <w:szCs w:val="36"/>
          <w:highlight w:val="none"/>
        </w:rPr>
        <w:fldChar w:fldCharType="begin"/>
      </w:r>
      <w:r>
        <w:rPr>
          <w:rFonts w:ascii="Times New Roman" w:hAnsi="Times New Roman" w:eastAsia="方正小标宋简体"/>
          <w:color w:val="auto"/>
          <w:sz w:val="36"/>
          <w:szCs w:val="36"/>
          <w:highlight w:val="none"/>
        </w:rPr>
        <w:instrText xml:space="preserve">TOC \o "1-3" \h \u </w:instrText>
      </w:r>
      <w:r>
        <w:rPr>
          <w:rFonts w:ascii="Times New Roman" w:hAnsi="Times New Roman" w:eastAsia="方正小标宋简体"/>
          <w:color w:val="auto"/>
          <w:sz w:val="36"/>
          <w:szCs w:val="36"/>
          <w:highlight w:val="none"/>
        </w:rPr>
        <w:fldChar w:fldCharType="separate"/>
      </w:r>
      <w:r>
        <w:rPr>
          <w:rFonts w:ascii="Times New Roman" w:hAnsi="Times New Roman" w:eastAsia="方正小标宋简体"/>
          <w:color w:val="auto"/>
          <w:sz w:val="40"/>
          <w:szCs w:val="48"/>
          <w:highlight w:val="none"/>
        </w:rPr>
        <w:fldChar w:fldCharType="begin"/>
      </w:r>
      <w:r>
        <w:rPr>
          <w:rFonts w:ascii="Times New Roman" w:hAnsi="Times New Roman" w:eastAsia="方正小标宋简体"/>
          <w:sz w:val="40"/>
          <w:szCs w:val="48"/>
          <w:highlight w:val="none"/>
        </w:rPr>
        <w:instrText xml:space="preserve"> HYPERLINK \l _Toc10392 </w:instrText>
      </w:r>
      <w:r>
        <w:rPr>
          <w:rFonts w:ascii="Times New Roman" w:hAnsi="Times New Roman" w:eastAsia="方正小标宋简体"/>
          <w:sz w:val="40"/>
          <w:szCs w:val="48"/>
          <w:highlight w:val="none"/>
        </w:rPr>
        <w:fldChar w:fldCharType="separate"/>
      </w:r>
      <w:r>
        <w:rPr>
          <w:rFonts w:hint="eastAsia" w:ascii="Times New Roman" w:hAnsi="Times New Roman" w:eastAsia="方正小标宋简体" w:cs="方正小标宋简体"/>
          <w:sz w:val="40"/>
          <w:szCs w:val="40"/>
          <w:highlight w:val="none"/>
        </w:rPr>
        <w:t>第一部分</w:t>
      </w:r>
      <w:r>
        <w:rPr>
          <w:rFonts w:hint="eastAsia" w:ascii="Times New Roman" w:hAnsi="Times New Roman" w:eastAsia="方正小标宋简体" w:cs="方正小标宋简体"/>
          <w:sz w:val="40"/>
          <w:szCs w:val="40"/>
          <w:highlight w:val="none"/>
          <w:lang w:val="en-US" w:eastAsia="zh-CN"/>
        </w:rPr>
        <w:t xml:space="preserve"> </w:t>
      </w:r>
      <w:r>
        <w:rPr>
          <w:rFonts w:hint="eastAsia" w:ascii="Times New Roman" w:hAnsi="Times New Roman" w:eastAsia="方正小标宋简体" w:cs="方正小标宋简体"/>
          <w:sz w:val="40"/>
          <w:szCs w:val="40"/>
          <w:highlight w:val="none"/>
        </w:rPr>
        <w:t xml:space="preserve"> </w:t>
      </w:r>
      <w:r>
        <w:rPr>
          <w:rFonts w:hint="eastAsia" w:ascii="Times New Roman" w:hAnsi="Times New Roman" w:eastAsia="方正小标宋简体" w:cs="方正小标宋简体"/>
          <w:bCs w:val="0"/>
          <w:sz w:val="40"/>
          <w:szCs w:val="40"/>
          <w:highlight w:val="none"/>
        </w:rPr>
        <w:t>部门概况</w:t>
      </w:r>
      <w:r>
        <w:rPr>
          <w:sz w:val="40"/>
          <w:szCs w:val="40"/>
        </w:rPr>
        <w:tab/>
      </w:r>
      <w:r>
        <w:rPr>
          <w:sz w:val="40"/>
          <w:szCs w:val="40"/>
        </w:rPr>
        <w:fldChar w:fldCharType="begin"/>
      </w:r>
      <w:r>
        <w:rPr>
          <w:sz w:val="40"/>
          <w:szCs w:val="40"/>
        </w:rPr>
        <w:instrText xml:space="preserve"> PAGEREF _Toc10392 \h </w:instrText>
      </w:r>
      <w:r>
        <w:rPr>
          <w:sz w:val="40"/>
          <w:szCs w:val="40"/>
        </w:rPr>
        <w:fldChar w:fldCharType="separate"/>
      </w:r>
      <w:r>
        <w:rPr>
          <w:sz w:val="40"/>
          <w:szCs w:val="40"/>
        </w:rPr>
        <w:t>3</w:t>
      </w:r>
      <w:r>
        <w:rPr>
          <w:sz w:val="40"/>
          <w:szCs w:val="40"/>
        </w:rPr>
        <w:fldChar w:fldCharType="end"/>
      </w:r>
      <w:r>
        <w:rPr>
          <w:rFonts w:ascii="Times New Roman" w:hAnsi="Times New Roman" w:eastAsia="方正小标宋简体"/>
          <w:color w:val="auto"/>
          <w:sz w:val="40"/>
          <w:szCs w:val="48"/>
          <w:highlight w:val="none"/>
        </w:rPr>
        <w:fldChar w:fldCharType="end"/>
      </w:r>
    </w:p>
    <w:p w14:paraId="02AFB89A">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_Toc10154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36"/>
          <w:lang w:eastAsia="zh-CN"/>
        </w:rPr>
        <w:t xml:space="preserve">一、 </w:t>
      </w:r>
      <w:r>
        <w:rPr>
          <w:rFonts w:hint="eastAsia" w:ascii="Times New Roman" w:hAnsi="Times New Roman" w:eastAsia="黑体"/>
          <w:sz w:val="28"/>
          <w:szCs w:val="36"/>
          <w:highlight w:val="none"/>
          <w:lang w:eastAsia="zh-CN"/>
        </w:rPr>
        <w:t>部门职责</w:t>
      </w:r>
      <w:r>
        <w:rPr>
          <w:sz w:val="28"/>
          <w:szCs w:val="36"/>
        </w:rPr>
        <w:tab/>
      </w:r>
      <w:r>
        <w:rPr>
          <w:sz w:val="28"/>
          <w:szCs w:val="36"/>
        </w:rPr>
        <w:fldChar w:fldCharType="begin"/>
      </w:r>
      <w:r>
        <w:rPr>
          <w:sz w:val="28"/>
          <w:szCs w:val="36"/>
        </w:rPr>
        <w:instrText xml:space="preserve"> PAGEREF _Toc10154 \h </w:instrText>
      </w:r>
      <w:r>
        <w:rPr>
          <w:sz w:val="28"/>
          <w:szCs w:val="36"/>
        </w:rPr>
        <w:fldChar w:fldCharType="separate"/>
      </w:r>
      <w:r>
        <w:rPr>
          <w:sz w:val="28"/>
          <w:szCs w:val="36"/>
        </w:rPr>
        <w:t>4</w:t>
      </w:r>
      <w:r>
        <w:rPr>
          <w:sz w:val="28"/>
          <w:szCs w:val="36"/>
        </w:rPr>
        <w:fldChar w:fldCharType="end"/>
      </w:r>
      <w:r>
        <w:rPr>
          <w:rFonts w:ascii="Times New Roman" w:hAnsi="Times New Roman" w:eastAsia="方正小标宋简体"/>
          <w:color w:val="auto"/>
          <w:sz w:val="28"/>
          <w:szCs w:val="48"/>
          <w:highlight w:val="none"/>
        </w:rPr>
        <w:fldChar w:fldCharType="end"/>
      </w:r>
    </w:p>
    <w:p w14:paraId="48297099">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_Toc6270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36"/>
          <w:highlight w:val="none"/>
        </w:rPr>
        <w:t>二、</w:t>
      </w:r>
      <w:r>
        <w:rPr>
          <w:rFonts w:hint="eastAsia" w:eastAsia="黑体"/>
          <w:sz w:val="28"/>
          <w:szCs w:val="36"/>
          <w:highlight w:val="none"/>
          <w:lang w:val="en-US" w:eastAsia="zh-CN"/>
        </w:rPr>
        <w:t xml:space="preserve"> </w:t>
      </w:r>
      <w:r>
        <w:rPr>
          <w:rFonts w:hint="eastAsia" w:ascii="Times New Roman" w:hAnsi="Times New Roman" w:eastAsia="黑体"/>
          <w:sz w:val="28"/>
          <w:szCs w:val="36"/>
          <w:highlight w:val="none"/>
        </w:rPr>
        <w:t>机</w:t>
      </w:r>
      <w:r>
        <w:rPr>
          <w:rFonts w:hint="eastAsia" w:ascii="Times New Roman" w:hAnsi="Times New Roman" w:eastAsia="黑体"/>
          <w:bCs w:val="0"/>
          <w:sz w:val="28"/>
          <w:szCs w:val="36"/>
          <w:highlight w:val="none"/>
        </w:rPr>
        <w:t>构设置</w:t>
      </w:r>
      <w:r>
        <w:rPr>
          <w:sz w:val="28"/>
          <w:szCs w:val="36"/>
        </w:rPr>
        <w:tab/>
      </w:r>
      <w:r>
        <w:rPr>
          <w:sz w:val="28"/>
          <w:szCs w:val="36"/>
        </w:rPr>
        <w:fldChar w:fldCharType="begin"/>
      </w:r>
      <w:r>
        <w:rPr>
          <w:sz w:val="28"/>
          <w:szCs w:val="36"/>
        </w:rPr>
        <w:instrText xml:space="preserve"> PAGEREF _Toc6270 \h </w:instrText>
      </w:r>
      <w:r>
        <w:rPr>
          <w:sz w:val="28"/>
          <w:szCs w:val="36"/>
        </w:rPr>
        <w:fldChar w:fldCharType="separate"/>
      </w:r>
      <w:r>
        <w:rPr>
          <w:sz w:val="28"/>
          <w:szCs w:val="36"/>
        </w:rPr>
        <w:t>8</w:t>
      </w:r>
      <w:r>
        <w:rPr>
          <w:sz w:val="28"/>
          <w:szCs w:val="36"/>
        </w:rPr>
        <w:fldChar w:fldCharType="end"/>
      </w:r>
      <w:r>
        <w:rPr>
          <w:rFonts w:ascii="Times New Roman" w:hAnsi="Times New Roman" w:eastAsia="方正小标宋简体"/>
          <w:color w:val="auto"/>
          <w:sz w:val="28"/>
          <w:szCs w:val="48"/>
          <w:highlight w:val="none"/>
        </w:rPr>
        <w:fldChar w:fldCharType="end"/>
      </w:r>
    </w:p>
    <w:p w14:paraId="1BF4BB4D">
      <w:pPr>
        <w:pStyle w:val="11"/>
        <w:tabs>
          <w:tab w:val="right" w:leader="dot" w:pos="8306"/>
          <w:tab w:val="clear" w:pos="8296"/>
        </w:tabs>
        <w:rPr>
          <w:sz w:val="40"/>
          <w:szCs w:val="40"/>
        </w:rPr>
      </w:pPr>
      <w:r>
        <w:rPr>
          <w:rFonts w:ascii="Times New Roman" w:hAnsi="Times New Roman" w:eastAsia="方正小标宋简体"/>
          <w:color w:val="auto"/>
          <w:sz w:val="40"/>
          <w:szCs w:val="48"/>
          <w:highlight w:val="none"/>
        </w:rPr>
        <w:fldChar w:fldCharType="begin"/>
      </w:r>
      <w:r>
        <w:rPr>
          <w:rFonts w:ascii="Times New Roman" w:hAnsi="Times New Roman" w:eastAsia="方正小标宋简体"/>
          <w:sz w:val="40"/>
          <w:szCs w:val="48"/>
          <w:highlight w:val="none"/>
        </w:rPr>
        <w:instrText xml:space="preserve"> HYPERLINK \l _Toc21207 </w:instrText>
      </w:r>
      <w:r>
        <w:rPr>
          <w:rFonts w:ascii="Times New Roman" w:hAnsi="Times New Roman" w:eastAsia="方正小标宋简体"/>
          <w:sz w:val="40"/>
          <w:szCs w:val="48"/>
          <w:highlight w:val="none"/>
        </w:rPr>
        <w:fldChar w:fldCharType="separate"/>
      </w:r>
      <w:r>
        <w:rPr>
          <w:rFonts w:hint="eastAsia" w:ascii="Times New Roman" w:hAnsi="Times New Roman" w:eastAsia="方正小标宋简体" w:cs="方正小标宋简体"/>
          <w:sz w:val="40"/>
          <w:szCs w:val="40"/>
          <w:highlight w:val="none"/>
        </w:rPr>
        <w:t>第二部分</w:t>
      </w:r>
      <w:r>
        <w:rPr>
          <w:rFonts w:hint="eastAsia" w:ascii="Times New Roman" w:hAnsi="Times New Roman" w:eastAsia="方正小标宋简体" w:cs="方正小标宋简体"/>
          <w:sz w:val="40"/>
          <w:szCs w:val="40"/>
          <w:highlight w:val="none"/>
          <w:lang w:val="en-US" w:eastAsia="zh-CN"/>
        </w:rPr>
        <w:t xml:space="preserve"> </w:t>
      </w:r>
      <w:r>
        <w:rPr>
          <w:rFonts w:hint="eastAsia" w:ascii="Times New Roman" w:hAnsi="Times New Roman" w:eastAsia="方正小标宋简体" w:cs="方正小标宋简体"/>
          <w:sz w:val="40"/>
          <w:szCs w:val="40"/>
          <w:highlight w:val="none"/>
        </w:rPr>
        <w:t xml:space="preserve"> </w:t>
      </w:r>
      <w:r>
        <w:rPr>
          <w:rFonts w:hint="eastAsia" w:ascii="Times New Roman" w:hAnsi="Times New Roman" w:eastAsia="方正小标宋简体" w:cs="方正小标宋简体"/>
          <w:sz w:val="40"/>
          <w:szCs w:val="40"/>
          <w:highlight w:val="none"/>
          <w:lang w:val="en-US" w:eastAsia="zh-CN"/>
        </w:rPr>
        <w:t>2024年度</w:t>
      </w:r>
      <w:r>
        <w:rPr>
          <w:rFonts w:hint="eastAsia" w:ascii="Times New Roman" w:hAnsi="Times New Roman" w:eastAsia="方正小标宋简体" w:cs="方正小标宋简体"/>
          <w:sz w:val="40"/>
          <w:szCs w:val="40"/>
          <w:highlight w:val="none"/>
        </w:rPr>
        <w:t>部门决算情况说明</w:t>
      </w:r>
      <w:r>
        <w:rPr>
          <w:sz w:val="40"/>
          <w:szCs w:val="40"/>
        </w:rPr>
        <w:tab/>
      </w:r>
      <w:r>
        <w:rPr>
          <w:sz w:val="40"/>
          <w:szCs w:val="40"/>
        </w:rPr>
        <w:fldChar w:fldCharType="begin"/>
      </w:r>
      <w:r>
        <w:rPr>
          <w:sz w:val="40"/>
          <w:szCs w:val="40"/>
        </w:rPr>
        <w:instrText xml:space="preserve"> PAGEREF _Toc21207 \h </w:instrText>
      </w:r>
      <w:r>
        <w:rPr>
          <w:sz w:val="40"/>
          <w:szCs w:val="40"/>
        </w:rPr>
        <w:fldChar w:fldCharType="separate"/>
      </w:r>
      <w:r>
        <w:rPr>
          <w:sz w:val="40"/>
          <w:szCs w:val="40"/>
        </w:rPr>
        <w:t>9</w:t>
      </w:r>
      <w:r>
        <w:rPr>
          <w:sz w:val="40"/>
          <w:szCs w:val="40"/>
        </w:rPr>
        <w:fldChar w:fldCharType="end"/>
      </w:r>
      <w:r>
        <w:rPr>
          <w:rFonts w:ascii="Times New Roman" w:hAnsi="Times New Roman" w:eastAsia="方正小标宋简体"/>
          <w:color w:val="auto"/>
          <w:sz w:val="40"/>
          <w:szCs w:val="48"/>
          <w:highlight w:val="none"/>
        </w:rPr>
        <w:fldChar w:fldCharType="end"/>
      </w:r>
    </w:p>
    <w:p w14:paraId="4CC751B0">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_Toc14462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lang w:eastAsia="zh-CN"/>
        </w:rPr>
        <w:t>一、</w:t>
      </w:r>
      <w:r>
        <w:rPr>
          <w:rFonts w:hint="eastAsia" w:ascii="Times New Roman" w:hAnsi="Times New Roman" w:eastAsia="黑体"/>
          <w:sz w:val="28"/>
          <w:szCs w:val="44"/>
          <w:highlight w:val="none"/>
        </w:rPr>
        <w:t>收</w:t>
      </w:r>
      <w:r>
        <w:rPr>
          <w:rFonts w:hint="eastAsia" w:ascii="Times New Roman" w:hAnsi="Times New Roman" w:eastAsia="黑体"/>
          <w:sz w:val="28"/>
          <w:szCs w:val="36"/>
          <w:highlight w:val="none"/>
        </w:rPr>
        <w:t>入支出决算总体情况说明</w:t>
      </w:r>
      <w:r>
        <w:rPr>
          <w:sz w:val="28"/>
          <w:szCs w:val="36"/>
        </w:rPr>
        <w:tab/>
      </w:r>
      <w:r>
        <w:rPr>
          <w:sz w:val="28"/>
          <w:szCs w:val="36"/>
        </w:rPr>
        <w:fldChar w:fldCharType="begin"/>
      </w:r>
      <w:r>
        <w:rPr>
          <w:sz w:val="28"/>
          <w:szCs w:val="36"/>
        </w:rPr>
        <w:instrText xml:space="preserve"> PAGEREF _Toc14462 \h </w:instrText>
      </w:r>
      <w:r>
        <w:rPr>
          <w:sz w:val="28"/>
          <w:szCs w:val="36"/>
        </w:rPr>
        <w:fldChar w:fldCharType="separate"/>
      </w:r>
      <w:r>
        <w:rPr>
          <w:sz w:val="28"/>
          <w:szCs w:val="36"/>
        </w:rPr>
        <w:t>9</w:t>
      </w:r>
      <w:r>
        <w:rPr>
          <w:sz w:val="28"/>
          <w:szCs w:val="36"/>
        </w:rPr>
        <w:fldChar w:fldCharType="end"/>
      </w:r>
      <w:r>
        <w:rPr>
          <w:rFonts w:ascii="Times New Roman" w:hAnsi="Times New Roman" w:eastAsia="方正小标宋简体"/>
          <w:color w:val="auto"/>
          <w:sz w:val="28"/>
          <w:szCs w:val="48"/>
          <w:highlight w:val="none"/>
        </w:rPr>
        <w:fldChar w:fldCharType="end"/>
      </w:r>
    </w:p>
    <w:p w14:paraId="11994008">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_Toc22501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lang w:eastAsia="zh-CN"/>
        </w:rPr>
        <w:t>二、收入决算情况说明</w:t>
      </w:r>
      <w:r>
        <w:rPr>
          <w:sz w:val="28"/>
          <w:szCs w:val="36"/>
        </w:rPr>
        <w:tab/>
      </w:r>
      <w:r>
        <w:rPr>
          <w:sz w:val="28"/>
          <w:szCs w:val="36"/>
        </w:rPr>
        <w:fldChar w:fldCharType="begin"/>
      </w:r>
      <w:r>
        <w:rPr>
          <w:sz w:val="28"/>
          <w:szCs w:val="36"/>
        </w:rPr>
        <w:instrText xml:space="preserve"> PAGEREF _Toc22501 \h </w:instrText>
      </w:r>
      <w:r>
        <w:rPr>
          <w:sz w:val="28"/>
          <w:szCs w:val="36"/>
        </w:rPr>
        <w:fldChar w:fldCharType="separate"/>
      </w:r>
      <w:r>
        <w:rPr>
          <w:sz w:val="28"/>
          <w:szCs w:val="36"/>
        </w:rPr>
        <w:t>10</w:t>
      </w:r>
      <w:r>
        <w:rPr>
          <w:sz w:val="28"/>
          <w:szCs w:val="36"/>
        </w:rPr>
        <w:fldChar w:fldCharType="end"/>
      </w:r>
      <w:r>
        <w:rPr>
          <w:rFonts w:ascii="Times New Roman" w:hAnsi="Times New Roman" w:eastAsia="方正小标宋简体"/>
          <w:color w:val="auto"/>
          <w:sz w:val="28"/>
          <w:szCs w:val="48"/>
          <w:highlight w:val="none"/>
        </w:rPr>
        <w:fldChar w:fldCharType="end"/>
      </w:r>
    </w:p>
    <w:p w14:paraId="42632AD3">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_Toc25667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lang w:eastAsia="zh-CN"/>
        </w:rPr>
        <w:t>三、</w:t>
      </w:r>
      <w:r>
        <w:rPr>
          <w:rFonts w:hint="eastAsia" w:ascii="Times New Roman" w:hAnsi="Times New Roman" w:eastAsia="黑体"/>
          <w:sz w:val="28"/>
          <w:szCs w:val="44"/>
          <w:highlight w:val="none"/>
        </w:rPr>
        <w:t>支</w:t>
      </w:r>
      <w:r>
        <w:rPr>
          <w:rFonts w:hint="eastAsia" w:ascii="Times New Roman" w:hAnsi="Times New Roman" w:eastAsia="黑体"/>
          <w:sz w:val="28"/>
          <w:szCs w:val="36"/>
          <w:highlight w:val="none"/>
        </w:rPr>
        <w:t>出决算情况说明</w:t>
      </w:r>
      <w:r>
        <w:rPr>
          <w:sz w:val="28"/>
          <w:szCs w:val="36"/>
        </w:rPr>
        <w:tab/>
      </w:r>
      <w:r>
        <w:rPr>
          <w:sz w:val="28"/>
          <w:szCs w:val="36"/>
        </w:rPr>
        <w:fldChar w:fldCharType="begin"/>
      </w:r>
      <w:r>
        <w:rPr>
          <w:sz w:val="28"/>
          <w:szCs w:val="36"/>
        </w:rPr>
        <w:instrText xml:space="preserve"> PAGEREF _Toc25667 \h </w:instrText>
      </w:r>
      <w:r>
        <w:rPr>
          <w:sz w:val="28"/>
          <w:szCs w:val="36"/>
        </w:rPr>
        <w:fldChar w:fldCharType="separate"/>
      </w:r>
      <w:r>
        <w:rPr>
          <w:sz w:val="28"/>
          <w:szCs w:val="36"/>
        </w:rPr>
        <w:t>11</w:t>
      </w:r>
      <w:r>
        <w:rPr>
          <w:sz w:val="28"/>
          <w:szCs w:val="36"/>
        </w:rPr>
        <w:fldChar w:fldCharType="end"/>
      </w:r>
      <w:r>
        <w:rPr>
          <w:rFonts w:ascii="Times New Roman" w:hAnsi="Times New Roman" w:eastAsia="方正小标宋简体"/>
          <w:color w:val="auto"/>
          <w:sz w:val="28"/>
          <w:szCs w:val="48"/>
          <w:highlight w:val="none"/>
        </w:rPr>
        <w:fldChar w:fldCharType="end"/>
      </w:r>
    </w:p>
    <w:p w14:paraId="02E64DD9">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_Toc22525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rPr>
        <w:t>四、财</w:t>
      </w:r>
      <w:r>
        <w:rPr>
          <w:rFonts w:hint="eastAsia" w:ascii="Times New Roman" w:hAnsi="Times New Roman" w:eastAsia="黑体"/>
          <w:sz w:val="28"/>
          <w:szCs w:val="36"/>
          <w:highlight w:val="none"/>
        </w:rPr>
        <w:t>政拨款收入支出决算总体情况说明</w:t>
      </w:r>
      <w:r>
        <w:rPr>
          <w:sz w:val="28"/>
          <w:szCs w:val="36"/>
        </w:rPr>
        <w:tab/>
      </w:r>
      <w:r>
        <w:rPr>
          <w:sz w:val="28"/>
          <w:szCs w:val="36"/>
        </w:rPr>
        <w:fldChar w:fldCharType="begin"/>
      </w:r>
      <w:r>
        <w:rPr>
          <w:sz w:val="28"/>
          <w:szCs w:val="36"/>
        </w:rPr>
        <w:instrText xml:space="preserve"> PAGEREF _Toc22525 \h </w:instrText>
      </w:r>
      <w:r>
        <w:rPr>
          <w:sz w:val="28"/>
          <w:szCs w:val="36"/>
        </w:rPr>
        <w:fldChar w:fldCharType="separate"/>
      </w:r>
      <w:r>
        <w:rPr>
          <w:sz w:val="28"/>
          <w:szCs w:val="36"/>
        </w:rPr>
        <w:t>12</w:t>
      </w:r>
      <w:r>
        <w:rPr>
          <w:sz w:val="28"/>
          <w:szCs w:val="36"/>
        </w:rPr>
        <w:fldChar w:fldCharType="end"/>
      </w:r>
      <w:r>
        <w:rPr>
          <w:rFonts w:ascii="Times New Roman" w:hAnsi="Times New Roman" w:eastAsia="方正小标宋简体"/>
          <w:color w:val="auto"/>
          <w:sz w:val="28"/>
          <w:szCs w:val="48"/>
          <w:highlight w:val="none"/>
        </w:rPr>
        <w:fldChar w:fldCharType="end"/>
      </w:r>
    </w:p>
    <w:p w14:paraId="47969747">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_Toc19951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rPr>
        <w:t>五、一</w:t>
      </w:r>
      <w:r>
        <w:rPr>
          <w:rFonts w:hint="eastAsia" w:ascii="Times New Roman" w:hAnsi="Times New Roman" w:eastAsia="黑体"/>
          <w:sz w:val="28"/>
          <w:szCs w:val="36"/>
          <w:highlight w:val="none"/>
        </w:rPr>
        <w:t>般公共预算财政拨款支出决算情况说明</w:t>
      </w:r>
      <w:r>
        <w:rPr>
          <w:sz w:val="28"/>
          <w:szCs w:val="36"/>
        </w:rPr>
        <w:tab/>
      </w:r>
      <w:r>
        <w:rPr>
          <w:sz w:val="28"/>
          <w:szCs w:val="36"/>
        </w:rPr>
        <w:fldChar w:fldCharType="begin"/>
      </w:r>
      <w:r>
        <w:rPr>
          <w:sz w:val="28"/>
          <w:szCs w:val="36"/>
        </w:rPr>
        <w:instrText xml:space="preserve"> PAGEREF _Toc19951 \h </w:instrText>
      </w:r>
      <w:r>
        <w:rPr>
          <w:sz w:val="28"/>
          <w:szCs w:val="36"/>
        </w:rPr>
        <w:fldChar w:fldCharType="separate"/>
      </w:r>
      <w:r>
        <w:rPr>
          <w:sz w:val="28"/>
          <w:szCs w:val="36"/>
        </w:rPr>
        <w:t>14</w:t>
      </w:r>
      <w:r>
        <w:rPr>
          <w:sz w:val="28"/>
          <w:szCs w:val="36"/>
        </w:rPr>
        <w:fldChar w:fldCharType="end"/>
      </w:r>
      <w:r>
        <w:rPr>
          <w:rFonts w:ascii="Times New Roman" w:hAnsi="Times New Roman" w:eastAsia="方正小标宋简体"/>
          <w:color w:val="auto"/>
          <w:sz w:val="28"/>
          <w:szCs w:val="48"/>
          <w:highlight w:val="none"/>
        </w:rPr>
        <w:fldChar w:fldCharType="end"/>
      </w:r>
    </w:p>
    <w:p w14:paraId="7F2505C2">
      <w:pPr>
        <w:pStyle w:val="7"/>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_Toc13250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（一）一般公共预算财政拨款支出决算总体情况</w:t>
      </w:r>
      <w:r>
        <w:rPr>
          <w:sz w:val="28"/>
          <w:szCs w:val="36"/>
        </w:rPr>
        <w:tab/>
      </w:r>
      <w:r>
        <w:rPr>
          <w:sz w:val="28"/>
          <w:szCs w:val="36"/>
        </w:rPr>
        <w:fldChar w:fldCharType="begin"/>
      </w:r>
      <w:r>
        <w:rPr>
          <w:sz w:val="28"/>
          <w:szCs w:val="36"/>
        </w:rPr>
        <w:instrText xml:space="preserve"> PAGEREF _Toc13250 \h </w:instrText>
      </w:r>
      <w:r>
        <w:rPr>
          <w:sz w:val="28"/>
          <w:szCs w:val="36"/>
        </w:rPr>
        <w:fldChar w:fldCharType="separate"/>
      </w:r>
      <w:r>
        <w:rPr>
          <w:sz w:val="28"/>
          <w:szCs w:val="36"/>
        </w:rPr>
        <w:t>14</w:t>
      </w:r>
      <w:r>
        <w:rPr>
          <w:sz w:val="28"/>
          <w:szCs w:val="36"/>
        </w:rPr>
        <w:fldChar w:fldCharType="end"/>
      </w:r>
      <w:r>
        <w:rPr>
          <w:rFonts w:ascii="Times New Roman" w:hAnsi="Times New Roman" w:eastAsia="方正小标宋简体"/>
          <w:color w:val="auto"/>
          <w:sz w:val="28"/>
          <w:szCs w:val="48"/>
          <w:highlight w:val="none"/>
        </w:rPr>
        <w:fldChar w:fldCharType="end"/>
      </w:r>
    </w:p>
    <w:p w14:paraId="577CF1EB">
      <w:pPr>
        <w:pStyle w:val="7"/>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_Toc5248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（二）一般公共预算财政拨款支出决算结构情况</w:t>
      </w:r>
      <w:r>
        <w:rPr>
          <w:sz w:val="28"/>
          <w:szCs w:val="36"/>
        </w:rPr>
        <w:tab/>
      </w:r>
      <w:r>
        <w:rPr>
          <w:sz w:val="28"/>
          <w:szCs w:val="36"/>
        </w:rPr>
        <w:fldChar w:fldCharType="begin"/>
      </w:r>
      <w:r>
        <w:rPr>
          <w:sz w:val="28"/>
          <w:szCs w:val="36"/>
        </w:rPr>
        <w:instrText xml:space="preserve"> PAGEREF _Toc5248 \h </w:instrText>
      </w:r>
      <w:r>
        <w:rPr>
          <w:sz w:val="28"/>
          <w:szCs w:val="36"/>
        </w:rPr>
        <w:fldChar w:fldCharType="separate"/>
      </w:r>
      <w:r>
        <w:rPr>
          <w:sz w:val="28"/>
          <w:szCs w:val="36"/>
        </w:rPr>
        <w:t>15</w:t>
      </w:r>
      <w:r>
        <w:rPr>
          <w:sz w:val="28"/>
          <w:szCs w:val="36"/>
        </w:rPr>
        <w:fldChar w:fldCharType="end"/>
      </w:r>
      <w:r>
        <w:rPr>
          <w:rFonts w:ascii="Times New Roman" w:hAnsi="Times New Roman" w:eastAsia="方正小标宋简体"/>
          <w:color w:val="auto"/>
          <w:sz w:val="28"/>
          <w:szCs w:val="48"/>
          <w:highlight w:val="none"/>
        </w:rPr>
        <w:fldChar w:fldCharType="end"/>
      </w:r>
    </w:p>
    <w:p w14:paraId="1208B0F9">
      <w:pPr>
        <w:pStyle w:val="7"/>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_Toc16405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（三）一般公共预算财政拨款支出决算具体情况</w:t>
      </w:r>
      <w:r>
        <w:rPr>
          <w:sz w:val="28"/>
          <w:szCs w:val="36"/>
        </w:rPr>
        <w:tab/>
      </w:r>
      <w:r>
        <w:rPr>
          <w:sz w:val="28"/>
          <w:szCs w:val="36"/>
        </w:rPr>
        <w:fldChar w:fldCharType="begin"/>
      </w:r>
      <w:r>
        <w:rPr>
          <w:sz w:val="28"/>
          <w:szCs w:val="36"/>
        </w:rPr>
        <w:instrText xml:space="preserve"> PAGEREF _Toc16405 \h </w:instrText>
      </w:r>
      <w:r>
        <w:rPr>
          <w:sz w:val="28"/>
          <w:szCs w:val="36"/>
        </w:rPr>
        <w:fldChar w:fldCharType="separate"/>
      </w:r>
      <w:r>
        <w:rPr>
          <w:sz w:val="28"/>
          <w:szCs w:val="36"/>
        </w:rPr>
        <w:t>16</w:t>
      </w:r>
      <w:r>
        <w:rPr>
          <w:sz w:val="28"/>
          <w:szCs w:val="36"/>
        </w:rPr>
        <w:fldChar w:fldCharType="end"/>
      </w:r>
      <w:r>
        <w:rPr>
          <w:rFonts w:ascii="Times New Roman" w:hAnsi="Times New Roman" w:eastAsia="方正小标宋简体"/>
          <w:color w:val="auto"/>
          <w:sz w:val="28"/>
          <w:szCs w:val="48"/>
          <w:highlight w:val="none"/>
        </w:rPr>
        <w:fldChar w:fldCharType="end"/>
      </w:r>
    </w:p>
    <w:p w14:paraId="6774093E">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_Toc1695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rPr>
        <w:t>六、一</w:t>
      </w:r>
      <w:r>
        <w:rPr>
          <w:rFonts w:hint="eastAsia" w:ascii="Times New Roman" w:hAnsi="Times New Roman" w:eastAsia="黑体"/>
          <w:sz w:val="28"/>
          <w:szCs w:val="36"/>
          <w:highlight w:val="none"/>
        </w:rPr>
        <w:t>般公共预算财政拨款基本支出决算情况说明</w:t>
      </w:r>
      <w:r>
        <w:rPr>
          <w:sz w:val="28"/>
          <w:szCs w:val="36"/>
        </w:rPr>
        <w:tab/>
      </w:r>
      <w:r>
        <w:rPr>
          <w:sz w:val="28"/>
          <w:szCs w:val="36"/>
        </w:rPr>
        <w:fldChar w:fldCharType="begin"/>
      </w:r>
      <w:r>
        <w:rPr>
          <w:sz w:val="28"/>
          <w:szCs w:val="36"/>
        </w:rPr>
        <w:instrText xml:space="preserve"> PAGEREF _Toc1695 \h </w:instrText>
      </w:r>
      <w:r>
        <w:rPr>
          <w:sz w:val="28"/>
          <w:szCs w:val="36"/>
        </w:rPr>
        <w:fldChar w:fldCharType="separate"/>
      </w:r>
      <w:r>
        <w:rPr>
          <w:sz w:val="28"/>
          <w:szCs w:val="36"/>
        </w:rPr>
        <w:t>18</w:t>
      </w:r>
      <w:r>
        <w:rPr>
          <w:sz w:val="28"/>
          <w:szCs w:val="36"/>
        </w:rPr>
        <w:fldChar w:fldCharType="end"/>
      </w:r>
      <w:r>
        <w:rPr>
          <w:rFonts w:ascii="Times New Roman" w:hAnsi="Times New Roman" w:eastAsia="方正小标宋简体"/>
          <w:color w:val="auto"/>
          <w:sz w:val="28"/>
          <w:szCs w:val="48"/>
          <w:highlight w:val="none"/>
        </w:rPr>
        <w:fldChar w:fldCharType="end"/>
      </w:r>
    </w:p>
    <w:p w14:paraId="6F3B1FF8">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_Toc32532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rPr>
        <w:t>七、</w:t>
      </w:r>
      <w:r>
        <w:rPr>
          <w:rFonts w:hint="eastAsia" w:ascii="Times New Roman" w:hAnsi="Times New Roman" w:eastAsia="黑体"/>
          <w:sz w:val="28"/>
          <w:szCs w:val="36"/>
          <w:highlight w:val="none"/>
        </w:rPr>
        <w:t>财政拨款“三公”经费支出决算情况说明</w:t>
      </w:r>
      <w:r>
        <w:rPr>
          <w:sz w:val="28"/>
          <w:szCs w:val="36"/>
        </w:rPr>
        <w:tab/>
      </w:r>
      <w:r>
        <w:rPr>
          <w:sz w:val="28"/>
          <w:szCs w:val="36"/>
        </w:rPr>
        <w:fldChar w:fldCharType="begin"/>
      </w:r>
      <w:r>
        <w:rPr>
          <w:sz w:val="28"/>
          <w:szCs w:val="36"/>
        </w:rPr>
        <w:instrText xml:space="preserve"> PAGEREF _Toc32532 \h </w:instrText>
      </w:r>
      <w:r>
        <w:rPr>
          <w:sz w:val="28"/>
          <w:szCs w:val="36"/>
        </w:rPr>
        <w:fldChar w:fldCharType="separate"/>
      </w:r>
      <w:r>
        <w:rPr>
          <w:sz w:val="28"/>
          <w:szCs w:val="36"/>
        </w:rPr>
        <w:t>19</w:t>
      </w:r>
      <w:r>
        <w:rPr>
          <w:sz w:val="28"/>
          <w:szCs w:val="36"/>
        </w:rPr>
        <w:fldChar w:fldCharType="end"/>
      </w:r>
      <w:r>
        <w:rPr>
          <w:rFonts w:ascii="Times New Roman" w:hAnsi="Times New Roman" w:eastAsia="方正小标宋简体"/>
          <w:color w:val="auto"/>
          <w:sz w:val="28"/>
          <w:szCs w:val="48"/>
          <w:highlight w:val="none"/>
        </w:rPr>
        <w:fldChar w:fldCharType="end"/>
      </w:r>
    </w:p>
    <w:p w14:paraId="1AAFAE14">
      <w:pPr>
        <w:pStyle w:val="7"/>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_Toc31145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（一）“三公”经费财政拨款支出决算总体情况说明</w:t>
      </w:r>
      <w:r>
        <w:rPr>
          <w:sz w:val="28"/>
          <w:szCs w:val="36"/>
        </w:rPr>
        <w:tab/>
      </w:r>
      <w:r>
        <w:rPr>
          <w:sz w:val="28"/>
          <w:szCs w:val="36"/>
        </w:rPr>
        <w:fldChar w:fldCharType="begin"/>
      </w:r>
      <w:r>
        <w:rPr>
          <w:sz w:val="28"/>
          <w:szCs w:val="36"/>
        </w:rPr>
        <w:instrText xml:space="preserve"> PAGEREF _Toc31145 \h </w:instrText>
      </w:r>
      <w:r>
        <w:rPr>
          <w:sz w:val="28"/>
          <w:szCs w:val="36"/>
        </w:rPr>
        <w:fldChar w:fldCharType="separate"/>
      </w:r>
      <w:r>
        <w:rPr>
          <w:sz w:val="28"/>
          <w:szCs w:val="36"/>
        </w:rPr>
        <w:t>19</w:t>
      </w:r>
      <w:r>
        <w:rPr>
          <w:sz w:val="28"/>
          <w:szCs w:val="36"/>
        </w:rPr>
        <w:fldChar w:fldCharType="end"/>
      </w:r>
      <w:r>
        <w:rPr>
          <w:rFonts w:ascii="Times New Roman" w:hAnsi="Times New Roman" w:eastAsia="方正小标宋简体"/>
          <w:color w:val="auto"/>
          <w:sz w:val="28"/>
          <w:szCs w:val="48"/>
          <w:highlight w:val="none"/>
        </w:rPr>
        <w:fldChar w:fldCharType="end"/>
      </w:r>
    </w:p>
    <w:p w14:paraId="16A525D3">
      <w:pPr>
        <w:pStyle w:val="7"/>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_Toc17793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（二）“三公”经费财政拨款支出决算具体情况说明</w:t>
      </w:r>
      <w:r>
        <w:rPr>
          <w:sz w:val="28"/>
          <w:szCs w:val="36"/>
        </w:rPr>
        <w:tab/>
      </w:r>
      <w:r>
        <w:rPr>
          <w:sz w:val="28"/>
          <w:szCs w:val="36"/>
        </w:rPr>
        <w:fldChar w:fldCharType="begin"/>
      </w:r>
      <w:r>
        <w:rPr>
          <w:sz w:val="28"/>
          <w:szCs w:val="36"/>
        </w:rPr>
        <w:instrText xml:space="preserve"> PAGEREF _Toc17793 \h </w:instrText>
      </w:r>
      <w:r>
        <w:rPr>
          <w:sz w:val="28"/>
          <w:szCs w:val="36"/>
        </w:rPr>
        <w:fldChar w:fldCharType="separate"/>
      </w:r>
      <w:r>
        <w:rPr>
          <w:sz w:val="28"/>
          <w:szCs w:val="36"/>
        </w:rPr>
        <w:t>19</w:t>
      </w:r>
      <w:r>
        <w:rPr>
          <w:sz w:val="28"/>
          <w:szCs w:val="36"/>
        </w:rPr>
        <w:fldChar w:fldCharType="end"/>
      </w:r>
      <w:r>
        <w:rPr>
          <w:rFonts w:ascii="Times New Roman" w:hAnsi="Times New Roman" w:eastAsia="方正小标宋简体"/>
          <w:color w:val="auto"/>
          <w:sz w:val="28"/>
          <w:szCs w:val="48"/>
          <w:highlight w:val="none"/>
        </w:rPr>
        <w:fldChar w:fldCharType="end"/>
      </w:r>
    </w:p>
    <w:p w14:paraId="142C086C">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_Toc14564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rPr>
        <w:t>八、</w:t>
      </w:r>
      <w:r>
        <w:rPr>
          <w:rFonts w:hint="eastAsia" w:ascii="Times New Roman" w:hAnsi="Times New Roman" w:eastAsia="黑体"/>
          <w:sz w:val="28"/>
          <w:szCs w:val="36"/>
          <w:highlight w:val="none"/>
        </w:rPr>
        <w:t>政府性基金预算支出决算情况说明</w:t>
      </w:r>
      <w:r>
        <w:rPr>
          <w:sz w:val="28"/>
          <w:szCs w:val="36"/>
        </w:rPr>
        <w:tab/>
      </w:r>
      <w:r>
        <w:rPr>
          <w:sz w:val="28"/>
          <w:szCs w:val="36"/>
        </w:rPr>
        <w:fldChar w:fldCharType="begin"/>
      </w:r>
      <w:r>
        <w:rPr>
          <w:sz w:val="28"/>
          <w:szCs w:val="36"/>
        </w:rPr>
        <w:instrText xml:space="preserve"> PAGEREF _Toc14564 \h </w:instrText>
      </w:r>
      <w:r>
        <w:rPr>
          <w:sz w:val="28"/>
          <w:szCs w:val="36"/>
        </w:rPr>
        <w:fldChar w:fldCharType="separate"/>
      </w:r>
      <w:r>
        <w:rPr>
          <w:sz w:val="28"/>
          <w:szCs w:val="36"/>
        </w:rPr>
        <w:t>20</w:t>
      </w:r>
      <w:r>
        <w:rPr>
          <w:sz w:val="28"/>
          <w:szCs w:val="36"/>
        </w:rPr>
        <w:fldChar w:fldCharType="end"/>
      </w:r>
      <w:r>
        <w:rPr>
          <w:rFonts w:ascii="Times New Roman" w:hAnsi="Times New Roman" w:eastAsia="方正小标宋简体"/>
          <w:color w:val="auto"/>
          <w:sz w:val="28"/>
          <w:szCs w:val="48"/>
          <w:highlight w:val="none"/>
        </w:rPr>
        <w:fldChar w:fldCharType="end"/>
      </w:r>
    </w:p>
    <w:p w14:paraId="4D864699">
      <w:pPr>
        <w:pStyle w:val="14"/>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_Toc31976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36"/>
          <w:highlight w:val="none"/>
          <w:lang w:eastAsia="zh-CN"/>
        </w:rPr>
        <w:t>九、</w:t>
      </w:r>
      <w:r>
        <w:rPr>
          <w:rFonts w:hint="eastAsia" w:ascii="Times New Roman" w:hAnsi="Times New Roman" w:eastAsia="黑体"/>
          <w:sz w:val="28"/>
          <w:szCs w:val="36"/>
          <w:highlight w:val="none"/>
        </w:rPr>
        <w:t>国有资本经营预算支出决算情况说明</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0</w:t>
      </w:r>
    </w:p>
    <w:p w14:paraId="65F59146">
      <w:pPr>
        <w:pStyle w:val="14"/>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_Toc11655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36"/>
          <w:highlight w:val="none"/>
          <w:lang w:eastAsia="zh-CN"/>
        </w:rPr>
        <w:t>十、</w:t>
      </w:r>
      <w:r>
        <w:rPr>
          <w:rFonts w:hint="eastAsia" w:ascii="Times New Roman" w:hAnsi="Times New Roman" w:eastAsia="黑体"/>
          <w:sz w:val="28"/>
          <w:szCs w:val="36"/>
          <w:highlight w:val="none"/>
        </w:rPr>
        <w:t>其他重要事项的情况说明</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0</w:t>
      </w:r>
    </w:p>
    <w:p w14:paraId="5C6E3429">
      <w:pPr>
        <w:pStyle w:val="7"/>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_Toc24597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（一）机关运行经费支出情况</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0</w:t>
      </w:r>
    </w:p>
    <w:p w14:paraId="576CFE82">
      <w:pPr>
        <w:pStyle w:val="7"/>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_Toc3030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（二）政府采购支出情况</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0</w:t>
      </w:r>
    </w:p>
    <w:p w14:paraId="75E26450">
      <w:pPr>
        <w:pStyle w:val="7"/>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_Toc19524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（三）国有资产占有使用情况</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0</w:t>
      </w:r>
    </w:p>
    <w:p w14:paraId="5C5CBB9A">
      <w:pPr>
        <w:pStyle w:val="7"/>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_Toc22043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（四）预算绩效管理情况</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1</w:t>
      </w:r>
    </w:p>
    <w:p w14:paraId="6EEC4853">
      <w:pPr>
        <w:pStyle w:val="11"/>
        <w:tabs>
          <w:tab w:val="right" w:leader="dot" w:pos="8306"/>
          <w:tab w:val="clear" w:pos="8296"/>
        </w:tabs>
      </w:pPr>
      <w:r>
        <w:rPr>
          <w:rFonts w:ascii="Times New Roman" w:hAnsi="Times New Roman" w:eastAsia="方正小标宋简体"/>
          <w:color w:val="auto"/>
          <w:szCs w:val="36"/>
          <w:highlight w:val="none"/>
        </w:rPr>
        <w:fldChar w:fldCharType="begin"/>
      </w:r>
      <w:r>
        <w:rPr>
          <w:rFonts w:ascii="Times New Roman" w:hAnsi="Times New Roman" w:eastAsia="方正小标宋简体"/>
          <w:szCs w:val="36"/>
          <w:highlight w:val="none"/>
        </w:rPr>
        <w:instrText xml:space="preserve"> HYPERLINK \l _Toc21667 </w:instrText>
      </w:r>
      <w:r>
        <w:rPr>
          <w:rFonts w:ascii="Times New Roman" w:hAnsi="Times New Roman" w:eastAsia="方正小标宋简体"/>
          <w:szCs w:val="36"/>
          <w:highlight w:val="none"/>
        </w:rPr>
        <w:fldChar w:fldCharType="separate"/>
      </w:r>
      <w:r>
        <w:rPr>
          <w:rFonts w:hint="eastAsia" w:ascii="Times New Roman" w:hAnsi="Times New Roman" w:eastAsia="方正小标宋简体" w:cs="方正小标宋简体"/>
          <w:sz w:val="40"/>
          <w:szCs w:val="40"/>
          <w:highlight w:val="none"/>
        </w:rPr>
        <w:t>第</w:t>
      </w:r>
      <w:r>
        <w:rPr>
          <w:rFonts w:hint="eastAsia" w:ascii="Times New Roman" w:hAnsi="Times New Roman" w:eastAsia="方正小标宋简体" w:cs="方正小标宋简体"/>
          <w:sz w:val="40"/>
          <w:szCs w:val="40"/>
          <w:highlight w:val="none"/>
          <w:lang w:eastAsia="zh-CN"/>
        </w:rPr>
        <w:t>三</w:t>
      </w:r>
      <w:r>
        <w:rPr>
          <w:rFonts w:hint="eastAsia" w:ascii="Times New Roman" w:hAnsi="Times New Roman" w:eastAsia="方正小标宋简体" w:cs="方正小标宋简体"/>
          <w:sz w:val="40"/>
          <w:szCs w:val="40"/>
          <w:highlight w:val="none"/>
        </w:rPr>
        <w:t>部分</w:t>
      </w:r>
      <w:r>
        <w:rPr>
          <w:rFonts w:hint="eastAsia" w:ascii="Times New Roman" w:hAnsi="Times New Roman" w:eastAsia="方正小标宋简体" w:cs="方正小标宋简体"/>
          <w:sz w:val="40"/>
          <w:szCs w:val="40"/>
          <w:highlight w:val="none"/>
          <w:lang w:val="en-US" w:eastAsia="zh-CN"/>
        </w:rPr>
        <w:t xml:space="preserve">  </w:t>
      </w:r>
      <w:r>
        <w:rPr>
          <w:rFonts w:hint="eastAsia" w:ascii="Times New Roman" w:hAnsi="Times New Roman" w:eastAsia="方正小标宋简体" w:cs="方正小标宋简体"/>
          <w:sz w:val="40"/>
          <w:szCs w:val="40"/>
          <w:highlight w:val="none"/>
        </w:rPr>
        <w:t>名词解释</w:t>
      </w:r>
      <w:r>
        <w:tab/>
      </w:r>
      <w:r>
        <w:fldChar w:fldCharType="begin"/>
      </w:r>
      <w:r>
        <w:instrText xml:space="preserve"> PAGEREF _Toc21667 \h </w:instrText>
      </w:r>
      <w:r>
        <w:fldChar w:fldCharType="separate"/>
      </w:r>
      <w:r>
        <w:t>22</w:t>
      </w:r>
      <w:r>
        <w:fldChar w:fldCharType="end"/>
      </w:r>
      <w:r>
        <w:rPr>
          <w:rFonts w:ascii="Times New Roman" w:hAnsi="Times New Roman" w:eastAsia="方正小标宋简体"/>
          <w:color w:val="auto"/>
          <w:szCs w:val="36"/>
          <w:highlight w:val="none"/>
        </w:rPr>
        <w:fldChar w:fldCharType="end"/>
      </w:r>
    </w:p>
    <w:p w14:paraId="04AE69A1">
      <w:pPr>
        <w:keepNext w:val="0"/>
        <w:keepLines w:val="0"/>
        <w:widowControl/>
        <w:suppressLineNumbers w:val="0"/>
        <w:jc w:val="left"/>
        <w:rPr>
          <w:rFonts w:hint="default"/>
          <w:lang w:val="en-US"/>
        </w:rPr>
      </w:pPr>
      <w:r>
        <w:rPr>
          <w:rFonts w:hint="eastAsia" w:ascii="Times New Roman" w:hAnsi="Times New Roman" w:eastAsia="方正小标宋简体" w:cs="方正小标宋简体"/>
          <w:kern w:val="2"/>
          <w:sz w:val="40"/>
          <w:szCs w:val="40"/>
          <w:highlight w:val="none"/>
          <w:lang w:val="en-US" w:eastAsia="zh-CN" w:bidi="ar-SA"/>
        </w:rPr>
        <w:t>第四部分</w:t>
      </w:r>
      <w:r>
        <w:rPr>
          <w:rFonts w:hint="eastAsia" w:eastAsia="方正小标宋简体" w:cs="方正小标宋简体"/>
          <w:kern w:val="2"/>
          <w:sz w:val="40"/>
          <w:szCs w:val="40"/>
          <w:highlight w:val="none"/>
          <w:lang w:val="en-US" w:eastAsia="zh-CN" w:bidi="ar-SA"/>
        </w:rPr>
        <w:t xml:space="preserve">  </w:t>
      </w:r>
      <w:r>
        <w:rPr>
          <w:rFonts w:hint="eastAsia" w:ascii="Times New Roman" w:hAnsi="Times New Roman" w:eastAsia="方正小标宋简体" w:cs="方正小标宋简体"/>
          <w:kern w:val="2"/>
          <w:sz w:val="40"/>
          <w:szCs w:val="40"/>
          <w:highlight w:val="none"/>
          <w:lang w:val="en-US" w:eastAsia="zh-CN" w:bidi="ar-SA"/>
        </w:rPr>
        <w:t>附件</w:t>
      </w:r>
      <w:r>
        <w:rPr>
          <w:rFonts w:hint="default" w:ascii="Times New Roman" w:hAnsi="Times New Roman" w:eastAsia="宋体" w:cs="Times New Roman"/>
          <w:color w:val="000000"/>
          <w:kern w:val="0"/>
          <w:sz w:val="31"/>
          <w:szCs w:val="31"/>
          <w:lang w:val="en-US" w:eastAsia="zh-CN" w:bidi="ar"/>
        </w:rPr>
        <w:t>...................................................................</w:t>
      </w:r>
      <w:r>
        <w:rPr>
          <w:rFonts w:hint="eastAsia" w:ascii="Times New Roman" w:hAnsi="Times New Roman" w:cs="Times New Roman"/>
          <w:color w:val="000000"/>
          <w:kern w:val="0"/>
          <w:sz w:val="31"/>
          <w:szCs w:val="31"/>
          <w:lang w:val="en-US" w:eastAsia="zh-CN" w:bidi="ar"/>
        </w:rPr>
        <w:t>27</w:t>
      </w:r>
    </w:p>
    <w:p w14:paraId="25EBECE5">
      <w:pPr>
        <w:keepNext w:val="0"/>
        <w:keepLines w:val="0"/>
        <w:widowControl/>
        <w:suppressLineNumbers w:val="0"/>
        <w:jc w:val="left"/>
        <w:rPr>
          <w:rFonts w:hint="default" w:ascii="Times New Roman" w:hAnsi="Times New Roman" w:eastAsia="宋体" w:cs="Times New Roman"/>
          <w:color w:val="000000"/>
          <w:kern w:val="0"/>
          <w:sz w:val="31"/>
          <w:szCs w:val="31"/>
          <w:lang w:val="en-US" w:eastAsia="zh-CN" w:bidi="ar"/>
        </w:rPr>
      </w:pPr>
      <w:r>
        <w:rPr>
          <w:rFonts w:hint="eastAsia" w:ascii="Times New Roman" w:hAnsi="Times New Roman" w:eastAsia="方正小标宋简体" w:cs="方正小标宋简体"/>
          <w:kern w:val="2"/>
          <w:sz w:val="40"/>
          <w:szCs w:val="40"/>
          <w:highlight w:val="none"/>
          <w:lang w:val="en-US" w:eastAsia="zh-CN" w:bidi="ar-SA"/>
        </w:rPr>
        <w:t>第五部分</w:t>
      </w:r>
      <w:r>
        <w:rPr>
          <w:rFonts w:hint="eastAsia" w:eastAsia="方正小标宋简体" w:cs="方正小标宋简体"/>
          <w:kern w:val="2"/>
          <w:sz w:val="40"/>
          <w:szCs w:val="40"/>
          <w:highlight w:val="none"/>
          <w:lang w:val="en-US" w:eastAsia="zh-CN" w:bidi="ar-SA"/>
        </w:rPr>
        <w:t xml:space="preserve">  </w:t>
      </w:r>
      <w:r>
        <w:rPr>
          <w:rFonts w:hint="eastAsia" w:ascii="Times New Roman" w:hAnsi="Times New Roman" w:eastAsia="方正小标宋简体" w:cs="方正小标宋简体"/>
          <w:kern w:val="2"/>
          <w:sz w:val="40"/>
          <w:szCs w:val="40"/>
          <w:highlight w:val="none"/>
          <w:lang w:val="en-US" w:eastAsia="zh-CN" w:bidi="ar-SA"/>
        </w:rPr>
        <w:t>附表</w:t>
      </w:r>
      <w:r>
        <w:rPr>
          <w:rFonts w:hint="default" w:ascii="Times New Roman" w:hAnsi="Times New Roman" w:eastAsia="宋体" w:cs="Times New Roman"/>
          <w:color w:val="000000"/>
          <w:kern w:val="0"/>
          <w:sz w:val="31"/>
          <w:szCs w:val="31"/>
          <w:lang w:val="en-US" w:eastAsia="zh-CN" w:bidi="ar"/>
        </w:rPr>
        <w:t>...................................................................32</w:t>
      </w:r>
    </w:p>
    <w:p w14:paraId="12FBFB07">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p>
    <w:p w14:paraId="1D23AE94">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p>
    <w:p w14:paraId="0E3761B1">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p>
    <w:p w14:paraId="4BC09E55">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p>
    <w:p w14:paraId="1E39ADC0">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p>
    <w:p w14:paraId="62BA53BE">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p>
    <w:p w14:paraId="395AD8D3">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七、一般公共预算财政拨款支出决算明细表</w:t>
      </w:r>
    </w:p>
    <w:p w14:paraId="11EFE621">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八、一般公共预算财政拨款基本支出决算表</w:t>
      </w:r>
    </w:p>
    <w:p w14:paraId="26919FA9">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p>
    <w:p w14:paraId="6D804198">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p>
    <w:p w14:paraId="08F075F0">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18B2F109">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eastAsia="zh-CN"/>
        </w:rPr>
        <w:t>国有资本经营预算财政拨款支出决算表</w:t>
      </w:r>
    </w:p>
    <w:p w14:paraId="79C63D02">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rPr>
        <w:t>十三、</w:t>
      </w:r>
      <w:r>
        <w:rPr>
          <w:rFonts w:hint="eastAsia" w:ascii="Times New Roman" w:hAnsi="Times New Roman" w:eastAsia="仿宋_GB2312" w:cs="仿宋_GB2312"/>
          <w:color w:val="auto"/>
          <w:sz w:val="32"/>
          <w:szCs w:val="32"/>
          <w:highlight w:val="none"/>
          <w:lang w:eastAsia="zh-CN"/>
        </w:rPr>
        <w:t>财政拨款“三公”经费支出决算表</w:t>
      </w:r>
    </w:p>
    <w:p w14:paraId="790C28CB">
      <w:pPr>
        <w:keepNext w:val="0"/>
        <w:keepLines w:val="0"/>
        <w:widowControl/>
        <w:suppressLineNumbers w:val="0"/>
        <w:jc w:val="left"/>
        <w:rPr>
          <w:rFonts w:hint="default" w:ascii="Times New Roman" w:hAnsi="Times New Roman" w:eastAsia="宋体" w:cs="Times New Roman"/>
          <w:color w:val="000000"/>
          <w:kern w:val="0"/>
          <w:sz w:val="31"/>
          <w:szCs w:val="31"/>
          <w:lang w:val="en-US" w:eastAsia="zh-CN" w:bidi="ar"/>
        </w:rPr>
      </w:pPr>
    </w:p>
    <w:p w14:paraId="450793FF">
      <w:pPr>
        <w:widowControl/>
        <w:jc w:val="center"/>
        <w:rPr>
          <w:rFonts w:ascii="Times New Roman" w:hAnsi="Times New Roman" w:eastAsia="方正小标宋简体"/>
          <w:color w:val="auto"/>
          <w:sz w:val="36"/>
          <w:szCs w:val="36"/>
          <w:highlight w:val="none"/>
        </w:rPr>
      </w:pPr>
      <w:r>
        <w:rPr>
          <w:rFonts w:ascii="Times New Roman" w:hAnsi="Times New Roman" w:eastAsia="方正小标宋简体"/>
          <w:color w:val="auto"/>
          <w:szCs w:val="36"/>
          <w:highlight w:val="none"/>
        </w:rPr>
        <w:fldChar w:fldCharType="end"/>
      </w:r>
    </w:p>
    <w:p w14:paraId="007AAC9E">
      <w:pPr>
        <w:widowControl/>
        <w:jc w:val="center"/>
        <w:rPr>
          <w:rFonts w:ascii="Times New Roman" w:hAnsi="Times New Roman" w:eastAsia="方正小标宋简体"/>
          <w:color w:val="auto"/>
          <w:sz w:val="36"/>
          <w:szCs w:val="36"/>
          <w:highlight w:val="none"/>
        </w:rPr>
      </w:pPr>
    </w:p>
    <w:p w14:paraId="0A91565F">
      <w:pPr>
        <w:widowControl/>
        <w:jc w:val="center"/>
        <w:rPr>
          <w:rFonts w:ascii="Times New Roman" w:hAnsi="Times New Roman" w:eastAsia="方正小标宋简体"/>
          <w:color w:val="auto"/>
          <w:sz w:val="36"/>
          <w:szCs w:val="36"/>
          <w:highlight w:val="none"/>
        </w:rPr>
      </w:pPr>
    </w:p>
    <w:p w14:paraId="248A3B9A">
      <w:pPr>
        <w:widowControl/>
        <w:jc w:val="center"/>
        <w:rPr>
          <w:rFonts w:ascii="Times New Roman" w:hAnsi="Times New Roman" w:eastAsia="方正小标宋简体"/>
          <w:color w:val="auto"/>
          <w:sz w:val="36"/>
          <w:szCs w:val="36"/>
          <w:highlight w:val="none"/>
        </w:rPr>
      </w:pPr>
      <w:bookmarkStart w:id="122" w:name="_GoBack"/>
      <w:bookmarkEnd w:id="122"/>
    </w:p>
    <w:p w14:paraId="2D040637">
      <w:pPr>
        <w:widowControl/>
        <w:jc w:val="both"/>
        <w:rPr>
          <w:rFonts w:hint="eastAsia" w:ascii="Times New Roman" w:hAnsi="Times New Roman" w:eastAsia="黑体"/>
          <w:color w:val="auto"/>
          <w:sz w:val="48"/>
          <w:szCs w:val="48"/>
          <w:highlight w:val="none"/>
        </w:rPr>
      </w:pPr>
    </w:p>
    <w:p w14:paraId="6337CE63">
      <w:pPr>
        <w:pStyle w:val="2"/>
        <w:jc w:val="center"/>
        <w:rPr>
          <w:rStyle w:val="28"/>
          <w:rFonts w:hint="eastAsia" w:ascii="Times New Roman" w:hAnsi="Times New Roman" w:eastAsia="方正小标宋简体" w:cs="方正小标宋简体"/>
          <w:b/>
          <w:bCs w:val="0"/>
          <w:color w:val="auto"/>
          <w:highlight w:val="none"/>
        </w:rPr>
      </w:pPr>
      <w:bookmarkStart w:id="12" w:name="_Toc15396599"/>
      <w:bookmarkStart w:id="13" w:name="_Toc10392"/>
      <w:bookmarkStart w:id="14" w:name="_Toc31651"/>
      <w:bookmarkStart w:id="15" w:name="_Toc15377196"/>
      <w:r>
        <w:rPr>
          <w:rFonts w:hint="eastAsia" w:ascii="Times New Roman" w:hAnsi="Times New Roman" w:eastAsia="方正小标宋简体" w:cs="方正小标宋简体"/>
          <w:b w:val="0"/>
          <w:color w:val="auto"/>
          <w:highlight w:val="none"/>
        </w:rPr>
        <w:t>第一部分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Style w:val="28"/>
          <w:rFonts w:hint="eastAsia" w:ascii="Times New Roman" w:hAnsi="Times New Roman" w:eastAsia="方正小标宋简体" w:cs="方正小标宋简体"/>
          <w:b w:val="0"/>
          <w:bCs w:val="0"/>
          <w:color w:val="auto"/>
          <w:highlight w:val="none"/>
        </w:rPr>
        <w:t>部门概况</w:t>
      </w:r>
      <w:bookmarkEnd w:id="12"/>
      <w:bookmarkEnd w:id="13"/>
      <w:bookmarkEnd w:id="14"/>
      <w:bookmarkEnd w:id="15"/>
    </w:p>
    <w:p w14:paraId="091F19DD">
      <w:pPr>
        <w:widowControl/>
        <w:jc w:val="left"/>
        <w:rPr>
          <w:rFonts w:ascii="Times New Roman" w:hAnsi="Times New Roman" w:eastAsia="黑体"/>
          <w:color w:val="auto"/>
          <w:sz w:val="32"/>
          <w:szCs w:val="32"/>
          <w:highlight w:val="none"/>
        </w:rPr>
      </w:pPr>
    </w:p>
    <w:p w14:paraId="15F4BE57">
      <w:pPr>
        <w:pStyle w:val="3"/>
        <w:numPr>
          <w:ilvl w:val="0"/>
          <w:numId w:val="1"/>
        </w:numPr>
        <w:rPr>
          <w:rFonts w:hint="eastAsia" w:ascii="Times New Roman" w:hAnsi="Times New Roman" w:eastAsia="黑体"/>
          <w:b w:val="0"/>
          <w:color w:val="auto"/>
          <w:highlight w:val="none"/>
          <w:lang w:eastAsia="zh-CN"/>
        </w:rPr>
      </w:pPr>
      <w:bookmarkStart w:id="16" w:name="_Toc10154"/>
      <w:bookmarkStart w:id="17" w:name="_Toc12568"/>
      <w:r>
        <w:rPr>
          <w:rFonts w:hint="eastAsia" w:ascii="Times New Roman" w:hAnsi="Times New Roman" w:eastAsia="黑体"/>
          <w:b w:val="0"/>
          <w:color w:val="auto"/>
          <w:highlight w:val="none"/>
          <w:lang w:eastAsia="zh-CN"/>
        </w:rPr>
        <w:t>部门职责</w:t>
      </w:r>
      <w:bookmarkEnd w:id="16"/>
      <w:bookmarkEnd w:id="17"/>
    </w:p>
    <w:p w14:paraId="56ECDCD5">
      <w:pPr>
        <w:snapToGrid w:val="0"/>
        <w:spacing w:line="520" w:lineRule="exact"/>
        <w:ind w:firstLine="643" w:firstLineChars="200"/>
        <w:rPr>
          <w:rFonts w:hint="eastAsia" w:ascii="楷体_GB2312" w:hAnsi="仿宋" w:eastAsia="楷体_GB2312"/>
          <w:b/>
          <w:sz w:val="32"/>
          <w:szCs w:val="32"/>
          <w:highlight w:val="none"/>
        </w:rPr>
      </w:pPr>
      <w:r>
        <w:rPr>
          <w:rFonts w:hint="eastAsia" w:ascii="楷体_GB2312" w:hAnsi="仿宋" w:eastAsia="楷体_GB2312"/>
          <w:b/>
          <w:sz w:val="32"/>
          <w:szCs w:val="32"/>
          <w:highlight w:val="none"/>
        </w:rPr>
        <w:t>（一）基本情况。</w:t>
      </w:r>
    </w:p>
    <w:p w14:paraId="42A40913">
      <w:pPr>
        <w:snapToGrid w:val="0"/>
        <w:spacing w:line="520" w:lineRule="exact"/>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rPr>
        <w:t>1．主要职能。</w:t>
      </w:r>
    </w:p>
    <w:p w14:paraId="012FDD5A">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（一）宣传贯彻《中华人民共和国残疾人保障法》，维护残疾人在政治、经济、文化、社会等方面平等的公民权利，密切联系残疾人，听取残疾人意见，反映残疾人需求，全心全意为残疾人服务。</w:t>
      </w:r>
    </w:p>
    <w:p w14:paraId="0C6954C2">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（二）贯彻执行关于残疾人事业的方针、政策和法律法规；协助政府起草、实施残疾人事业发展规划，并对实施情况进行指导、监督。</w:t>
      </w:r>
    </w:p>
    <w:p w14:paraId="69FE585D">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三）团结、教育残疾人遵守法律、履行应尽的义务，践行社会主义核心价值观，传播现代文明残疾人观，宣传残疾人事业，营造理解、尊重、关心、帮助残疾人的社会氛围，激励残疾人乐观进取，自尊、自信、自强、自立，为建设富强民主文明和谐美丽的社会主义现代化强国、实现中华民族伟大复兴的中国梦贡献力量。</w:t>
      </w:r>
    </w:p>
    <w:p w14:paraId="241761F0">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四）开展残疾人康复、教育、劳动就业、托养、维权、文化体育等工作，推进残疾人社会保障和关爱服务体系建设、无障碍环境建设、科技信息化应用、残疾人服务标准化建设和残疾预防等工作，改善残疾人参与社会生活的环境和条件，促进残健融合发展。</w:t>
      </w:r>
    </w:p>
    <w:p w14:paraId="29AE3104">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（五）做好党委、政府、社会与残疾人之间的联系工作，了解掌握残疾人服务状况和需求信息，深化助残服务改革，负责中、省残联系统网上平台录入和维护。</w:t>
      </w:r>
    </w:p>
    <w:p w14:paraId="66D94E46">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（六）加强党的建设，深化自身改革，保持和增强政治性、先进性、群众性。指导和培育各类助残社会组织，引导社会各方面力量参与和支持残疾人事业发展。</w:t>
      </w:r>
    </w:p>
    <w:p w14:paraId="3A8908E6">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（七）主动融入长江经济带发展、新时代西部大开发、成渝地区双城经济圈建设等国家战略，加强区域残疾人事业一体化高质量发展。开展残疾人事业对外交流与合作。</w:t>
      </w:r>
    </w:p>
    <w:p w14:paraId="0C070A15">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 xml:space="preserve">（八）培养残疾人工作者，指导镇（街道）残联、村（社区）残协的各项工作。 </w:t>
      </w:r>
    </w:p>
    <w:p w14:paraId="4DC22D59">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 （九）根据职责分工，承担市人民政府残疾人工作委员会的残疾人相关日常工作。</w:t>
      </w:r>
    </w:p>
    <w:p w14:paraId="5BBFAA01">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（十）负责职责范围内的安全生产和职业健康、生态环境保护、审批服务便民化等工作。</w:t>
      </w:r>
    </w:p>
    <w:p w14:paraId="185A16DA">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 xml:space="preserve">（十一）承办市12345热线平台工作机构转办的事项。    </w:t>
      </w:r>
    </w:p>
    <w:p w14:paraId="6317F311">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（十二）完成市委、市政府交办的其他任务。</w:t>
      </w:r>
    </w:p>
    <w:p w14:paraId="251E94BB">
      <w:pPr>
        <w:ind w:firstLine="640" w:firstLineChars="200"/>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sz w:val="32"/>
          <w:szCs w:val="32"/>
          <w:highlight w:val="none"/>
        </w:rPr>
        <w:t>2．机构情况，</w:t>
      </w:r>
      <w:r>
        <w:rPr>
          <w:rFonts w:hint="eastAsia" w:ascii="仿宋_GB2312" w:hAnsi="仿宋" w:eastAsia="仿宋_GB2312" w:cs="Times New Roman"/>
          <w:kern w:val="2"/>
          <w:sz w:val="32"/>
          <w:szCs w:val="32"/>
          <w:highlight w:val="none"/>
          <w:lang w:val="en-US" w:eastAsia="zh-CN" w:bidi="ar-SA"/>
        </w:rPr>
        <w:t>绵竹市残疾人联合会属一级预算部门，含一个下属部门绵竹市残疾人康复服务中心，但未单独进行经费预算,与2023年情况一样。</w:t>
      </w:r>
    </w:p>
    <w:p w14:paraId="75DDCC51">
      <w:pPr>
        <w:snapToGrid w:val="0"/>
        <w:spacing w:line="520" w:lineRule="exact"/>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rPr>
        <w:t>。</w:t>
      </w:r>
    </w:p>
    <w:p w14:paraId="3579D76E">
      <w:pPr>
        <w:ind w:firstLine="800" w:firstLineChars="250"/>
        <w:rPr>
          <w:rFonts w:hint="eastAsia" w:ascii="仿宋_GB2312" w:hAnsi="仿宋" w:eastAsia="仿宋_GB2312" w:cs="Times New Roman"/>
          <w:sz w:val="32"/>
          <w:szCs w:val="32"/>
          <w:highlight w:val="none"/>
        </w:rPr>
      </w:pPr>
      <w:r>
        <w:rPr>
          <w:rFonts w:hint="eastAsia" w:ascii="仿宋_GB2312" w:hAnsi="仿宋" w:eastAsia="仿宋_GB2312"/>
          <w:sz w:val="32"/>
          <w:szCs w:val="32"/>
          <w:highlight w:val="none"/>
        </w:rPr>
        <w:t>3．人员情况，</w:t>
      </w:r>
      <w:r>
        <w:rPr>
          <w:rFonts w:hint="eastAsia" w:ascii="仿宋_GB2312" w:hAnsi="仿宋" w:eastAsia="仿宋_GB2312" w:cs="Times New Roman"/>
          <w:sz w:val="32"/>
          <w:szCs w:val="32"/>
          <w:highlight w:val="none"/>
        </w:rPr>
        <w:t>绵竹市残联现有公务员</w:t>
      </w:r>
      <w:r>
        <w:rPr>
          <w:rFonts w:hint="eastAsia" w:ascii="仿宋_GB2312" w:hAnsi="仿宋" w:eastAsia="仿宋_GB2312" w:cs="Times New Roman"/>
          <w:sz w:val="32"/>
          <w:szCs w:val="32"/>
          <w:highlight w:val="none"/>
          <w:lang w:eastAsia="zh-CN"/>
        </w:rPr>
        <w:t>四</w:t>
      </w:r>
      <w:r>
        <w:rPr>
          <w:rFonts w:hint="eastAsia" w:ascii="仿宋_GB2312" w:hAnsi="仿宋" w:eastAsia="仿宋_GB2312" w:cs="Times New Roman"/>
          <w:sz w:val="32"/>
          <w:szCs w:val="32"/>
          <w:highlight w:val="none"/>
        </w:rPr>
        <w:t>名，机关工人一名，事业管理人员一名。</w:t>
      </w:r>
    </w:p>
    <w:p w14:paraId="243E4B77">
      <w:pPr>
        <w:snapToGrid w:val="0"/>
        <w:spacing w:line="520" w:lineRule="exact"/>
        <w:ind w:firstLine="640" w:firstLineChars="200"/>
        <w:rPr>
          <w:rFonts w:hint="eastAsia" w:ascii="仿宋_GB2312" w:hAnsi="仿宋" w:eastAsia="仿宋_GB2312"/>
          <w:sz w:val="32"/>
          <w:szCs w:val="32"/>
          <w:highlight w:val="none"/>
        </w:rPr>
      </w:pPr>
    </w:p>
    <w:p w14:paraId="4450AFB2">
      <w:pPr>
        <w:snapToGrid w:val="0"/>
        <w:spacing w:line="520" w:lineRule="exact"/>
        <w:ind w:firstLine="643" w:firstLineChars="200"/>
        <w:rPr>
          <w:rFonts w:hint="eastAsia" w:ascii="楷体_GB2312" w:hAnsi="仿宋" w:eastAsia="楷体_GB2312"/>
          <w:b/>
          <w:sz w:val="32"/>
          <w:szCs w:val="32"/>
          <w:highlight w:val="none"/>
        </w:rPr>
      </w:pPr>
      <w:r>
        <w:rPr>
          <w:rFonts w:hint="eastAsia" w:ascii="楷体_GB2312" w:hAnsi="仿宋" w:eastAsia="楷体_GB2312"/>
          <w:b/>
          <w:sz w:val="32"/>
          <w:szCs w:val="32"/>
          <w:highlight w:val="none"/>
        </w:rPr>
        <w:t>（二）当年取得的主要事业成效。</w:t>
      </w:r>
    </w:p>
    <w:p w14:paraId="676D8A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1.</w:t>
      </w:r>
      <w:r>
        <w:rPr>
          <w:rFonts w:hint="default" w:ascii="Times New Roman" w:hAnsi="Times New Roman" w:eastAsia="方正仿宋简体" w:cs="Times New Roman"/>
          <w:b/>
          <w:bCs/>
          <w:sz w:val="32"/>
          <w:szCs w:val="48"/>
          <w:lang w:val="en-US" w:eastAsia="zh-CN"/>
        </w:rPr>
        <w:t>兜牢残疾人社会保障</w:t>
      </w:r>
    </w:p>
    <w:p w14:paraId="105444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sz w:val="32"/>
          <w:szCs w:val="32"/>
          <w:lang w:val="en-US" w:eastAsia="zh-CN"/>
        </w:rPr>
      </w:pPr>
      <w:r>
        <w:rPr>
          <w:rFonts w:hint="default" w:ascii="仿宋_GB2312" w:hAnsi="仿宋" w:eastAsia="仿宋_GB2312" w:cs="Times New Roman"/>
          <w:kern w:val="2"/>
          <w:sz w:val="32"/>
          <w:szCs w:val="32"/>
          <w:highlight w:val="none"/>
          <w:lang w:val="en-US" w:eastAsia="zh-CN" w:bidi="ar-SA"/>
        </w:rPr>
        <w:t>为全市1.7万余名持证残疾人全覆盖购买意外伤害保险。 协助发放困难残疾人生活补贴</w:t>
      </w:r>
      <w:r>
        <w:rPr>
          <w:rFonts w:hint="eastAsia" w:ascii="仿宋_GB2312" w:hAnsi="仿宋" w:eastAsia="仿宋_GB2312" w:cs="Times New Roman"/>
          <w:kern w:val="2"/>
          <w:sz w:val="32"/>
          <w:szCs w:val="32"/>
          <w:highlight w:val="none"/>
          <w:lang w:val="en-US" w:eastAsia="zh-CN" w:bidi="ar-SA"/>
        </w:rPr>
        <w:t>52949</w:t>
      </w:r>
      <w:r>
        <w:rPr>
          <w:rFonts w:hint="default" w:ascii="仿宋_GB2312" w:hAnsi="仿宋" w:eastAsia="仿宋_GB2312" w:cs="Times New Roman"/>
          <w:kern w:val="2"/>
          <w:sz w:val="32"/>
          <w:szCs w:val="32"/>
          <w:highlight w:val="none"/>
          <w:lang w:val="en-US" w:eastAsia="zh-CN" w:bidi="ar-SA"/>
        </w:rPr>
        <w:t>万人次，重度残疾人落实护理</w:t>
      </w:r>
      <w:r>
        <w:rPr>
          <w:rFonts w:hint="eastAsia" w:ascii="仿宋_GB2312" w:hAnsi="仿宋" w:eastAsia="仿宋_GB2312" w:cs="Times New Roman"/>
          <w:kern w:val="2"/>
          <w:sz w:val="32"/>
          <w:szCs w:val="32"/>
          <w:highlight w:val="none"/>
          <w:lang w:val="en-US" w:eastAsia="zh-CN" w:bidi="ar-SA"/>
        </w:rPr>
        <w:t>95623</w:t>
      </w:r>
      <w:r>
        <w:rPr>
          <w:rFonts w:hint="default" w:ascii="仿宋_GB2312" w:hAnsi="仿宋" w:eastAsia="仿宋_GB2312" w:cs="Times New Roman"/>
          <w:kern w:val="2"/>
          <w:sz w:val="32"/>
          <w:szCs w:val="32"/>
          <w:highlight w:val="none"/>
          <w:lang w:val="en-US" w:eastAsia="zh-CN" w:bidi="ar-SA"/>
        </w:rPr>
        <w:t>万人次。实施“阳光家园计划”，为470名就业年龄段的智力、精神、重度肢体残疾人提供托养服务。为</w:t>
      </w:r>
      <w:r>
        <w:rPr>
          <w:rFonts w:hint="eastAsia" w:ascii="仿宋_GB2312" w:hAnsi="仿宋" w:eastAsia="仿宋_GB2312" w:cs="Times New Roman"/>
          <w:kern w:val="2"/>
          <w:sz w:val="32"/>
          <w:szCs w:val="32"/>
          <w:highlight w:val="none"/>
          <w:lang w:val="en-US" w:eastAsia="zh-CN" w:bidi="ar-SA"/>
        </w:rPr>
        <w:t>6792</w:t>
      </w:r>
      <w:r>
        <w:rPr>
          <w:rFonts w:hint="default" w:ascii="仿宋_GB2312" w:hAnsi="仿宋" w:eastAsia="仿宋_GB2312" w:cs="Times New Roman"/>
          <w:kern w:val="2"/>
          <w:sz w:val="32"/>
          <w:szCs w:val="32"/>
          <w:highlight w:val="none"/>
          <w:lang w:val="en-US" w:eastAsia="zh-CN" w:bidi="ar-SA"/>
        </w:rPr>
        <w:t>人次残疾人发放一户多残和瘫痪在床生活补贴</w:t>
      </w:r>
      <w:r>
        <w:rPr>
          <w:rFonts w:hint="eastAsia" w:ascii="仿宋_GB2312" w:hAnsi="仿宋" w:eastAsia="仿宋_GB2312" w:cs="Times New Roman"/>
          <w:kern w:val="2"/>
          <w:sz w:val="32"/>
          <w:szCs w:val="32"/>
          <w:highlight w:val="none"/>
          <w:lang w:val="en-US" w:eastAsia="zh-CN" w:bidi="ar-SA"/>
        </w:rPr>
        <w:t>54.33</w:t>
      </w:r>
      <w:r>
        <w:rPr>
          <w:rFonts w:hint="default" w:ascii="仿宋_GB2312" w:hAnsi="仿宋" w:eastAsia="仿宋_GB2312" w:cs="Times New Roman"/>
          <w:kern w:val="2"/>
          <w:sz w:val="32"/>
          <w:szCs w:val="32"/>
          <w:highlight w:val="none"/>
          <w:lang w:val="en-US" w:eastAsia="zh-CN" w:bidi="ar-SA"/>
        </w:rPr>
        <w:t>万元。</w:t>
      </w:r>
      <w:r>
        <w:rPr>
          <w:rFonts w:hint="eastAsia" w:ascii="仿宋_GB2312" w:hAnsi="仿宋" w:eastAsia="仿宋_GB2312" w:cs="Times New Roman"/>
          <w:kern w:val="2"/>
          <w:sz w:val="32"/>
          <w:szCs w:val="32"/>
          <w:highlight w:val="none"/>
          <w:lang w:val="en-US" w:eastAsia="zh-CN" w:bidi="ar-SA"/>
        </w:rPr>
        <w:t xml:space="preserve">               </w:t>
      </w:r>
      <w:r>
        <w:rPr>
          <w:rFonts w:hint="eastAsia" w:ascii="Times New Roman" w:hAnsi="Times New Roman" w:eastAsia="方正仿宋简体" w:cs="Times New Roman"/>
          <w:sz w:val="32"/>
          <w:szCs w:val="32"/>
          <w:lang w:val="en-US" w:eastAsia="zh-CN"/>
        </w:rPr>
        <w:t xml:space="preserve">                                                                                                                                                                                                                                                                                                                                                                                                                                                                                                                                            </w:t>
      </w:r>
    </w:p>
    <w:p w14:paraId="63D31D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2.</w:t>
      </w:r>
      <w:r>
        <w:rPr>
          <w:rFonts w:hint="default" w:ascii="Times New Roman" w:hAnsi="Times New Roman" w:eastAsia="方正仿宋简体" w:cs="Times New Roman"/>
          <w:b/>
          <w:bCs/>
          <w:sz w:val="32"/>
          <w:szCs w:val="48"/>
          <w:lang w:val="en-US" w:eastAsia="zh-CN"/>
        </w:rPr>
        <w:t>实施残疾人康复服务</w:t>
      </w:r>
    </w:p>
    <w:p w14:paraId="7058C24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 w:eastAsia="仿宋_GB2312" w:cs="Times New Roman"/>
          <w:kern w:val="2"/>
          <w:sz w:val="32"/>
          <w:szCs w:val="32"/>
          <w:highlight w:val="none"/>
          <w:lang w:val="en-US" w:eastAsia="zh-CN" w:bidi="ar-SA"/>
        </w:rPr>
      </w:pPr>
      <w:r>
        <w:rPr>
          <w:rFonts w:hint="default" w:ascii="Times New Roman" w:hAnsi="Times New Roman" w:eastAsia="方正仿宋简体" w:cs="Times New Roman"/>
          <w:sz w:val="32"/>
          <w:szCs w:val="32"/>
          <w:lang w:val="en-US" w:eastAsia="zh-CN"/>
        </w:rPr>
        <w:t>　　</w:t>
      </w:r>
      <w:r>
        <w:rPr>
          <w:rFonts w:hint="default" w:ascii="仿宋_GB2312" w:hAnsi="仿宋" w:eastAsia="仿宋_GB2312" w:cs="Times New Roman"/>
          <w:kern w:val="2"/>
          <w:sz w:val="32"/>
          <w:szCs w:val="32"/>
          <w:highlight w:val="none"/>
          <w:lang w:val="en-US" w:eastAsia="zh-CN" w:bidi="ar-SA"/>
        </w:rPr>
        <w:t>开展残疾预防宣传进机关、进社区、进企业、进学校活动和线上电台专访，受众</w:t>
      </w:r>
      <w:r>
        <w:rPr>
          <w:rFonts w:hint="eastAsia" w:ascii="仿宋_GB2312" w:hAnsi="仿宋" w:eastAsia="仿宋_GB2312" w:cs="Times New Roman"/>
          <w:kern w:val="2"/>
          <w:sz w:val="32"/>
          <w:szCs w:val="32"/>
          <w:highlight w:val="none"/>
          <w:lang w:val="en-US" w:eastAsia="zh-CN" w:bidi="ar-SA"/>
        </w:rPr>
        <w:t>2</w:t>
      </w:r>
      <w:r>
        <w:rPr>
          <w:rFonts w:hint="default" w:ascii="仿宋_GB2312" w:hAnsi="仿宋" w:eastAsia="仿宋_GB2312" w:cs="Times New Roman"/>
          <w:kern w:val="2"/>
          <w:sz w:val="32"/>
          <w:szCs w:val="32"/>
          <w:highlight w:val="none"/>
          <w:lang w:val="en-US" w:eastAsia="zh-CN" w:bidi="ar-SA"/>
        </w:rPr>
        <w:t>万余人次。落实残疾儿童康复救助制度，救助残疾儿童83人。深化五级残疾人康复服务，为3500名残疾人提供家庭医生签约增值（个性化）服务，为670名残疾人提供心理健康支持服务。为649名残疾人提供精神病门诊服药救助，为30名视力残疾人开展盲人融合训练。推进实施成德眉资残疾儿童康复救助定点服务机构同城共享。</w:t>
      </w:r>
    </w:p>
    <w:p w14:paraId="5512D45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3.</w:t>
      </w:r>
      <w:r>
        <w:rPr>
          <w:rFonts w:hint="default" w:ascii="Times New Roman" w:hAnsi="Times New Roman" w:eastAsia="方正仿宋简体" w:cs="Times New Roman"/>
          <w:b/>
          <w:bCs/>
          <w:sz w:val="32"/>
          <w:szCs w:val="48"/>
          <w:lang w:val="en-US" w:eastAsia="zh-CN"/>
        </w:rPr>
        <w:t>促进残疾人就业创业</w:t>
      </w:r>
    </w:p>
    <w:p w14:paraId="0E42726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highlight w:val="none"/>
          <w:lang w:val="en-US" w:eastAsia="zh-CN" w:bidi="ar-SA"/>
        </w:rPr>
      </w:pPr>
      <w:r>
        <w:rPr>
          <w:rFonts w:hint="default" w:ascii="仿宋_GB2312" w:hAnsi="仿宋" w:eastAsia="仿宋_GB2312" w:cs="Times New Roman"/>
          <w:kern w:val="2"/>
          <w:sz w:val="32"/>
          <w:szCs w:val="32"/>
          <w:highlight w:val="none"/>
          <w:lang w:val="en-US" w:eastAsia="zh-CN" w:bidi="ar-SA"/>
        </w:rPr>
        <w:t>全覆盖开展就业年龄段残疾人就业状况调查，新建</w:t>
      </w:r>
      <w:r>
        <w:rPr>
          <w:rFonts w:hint="eastAsia" w:ascii="仿宋_GB2312" w:hAnsi="仿宋" w:eastAsia="仿宋_GB2312" w:cs="Times New Roman"/>
          <w:kern w:val="2"/>
          <w:sz w:val="32"/>
          <w:szCs w:val="32"/>
          <w:highlight w:val="none"/>
          <w:lang w:val="en-US" w:eastAsia="zh-CN" w:bidi="ar-SA"/>
        </w:rPr>
        <w:t>1</w:t>
      </w:r>
      <w:r>
        <w:rPr>
          <w:rFonts w:hint="default" w:ascii="仿宋_GB2312" w:hAnsi="仿宋" w:eastAsia="仿宋_GB2312" w:cs="Times New Roman"/>
          <w:kern w:val="2"/>
          <w:sz w:val="32"/>
          <w:szCs w:val="32"/>
          <w:highlight w:val="none"/>
          <w:lang w:val="en-US" w:eastAsia="zh-CN" w:bidi="ar-SA"/>
        </w:rPr>
        <w:t>家残疾人辅助性就业机构。开展了</w:t>
      </w:r>
      <w:r>
        <w:rPr>
          <w:rFonts w:hint="eastAsia" w:ascii="仿宋_GB2312" w:hAnsi="仿宋" w:eastAsia="仿宋_GB2312" w:cs="Times New Roman"/>
          <w:kern w:val="2"/>
          <w:sz w:val="32"/>
          <w:szCs w:val="32"/>
          <w:highlight w:val="none"/>
          <w:lang w:val="en-US" w:eastAsia="zh-CN" w:bidi="ar-SA"/>
        </w:rPr>
        <w:t>6</w:t>
      </w:r>
      <w:r>
        <w:rPr>
          <w:rFonts w:hint="default" w:ascii="仿宋_GB2312" w:hAnsi="仿宋" w:eastAsia="仿宋_GB2312" w:cs="Times New Roman"/>
          <w:kern w:val="2"/>
          <w:sz w:val="32"/>
          <w:szCs w:val="32"/>
          <w:highlight w:val="none"/>
          <w:lang w:val="en-US" w:eastAsia="zh-CN" w:bidi="ar-SA"/>
        </w:rPr>
        <w:t>期面塑、肉鸽养殖、花式气球等残疾人职业技能培训和农村实用技术培训。参加德阳市第二届残疾人职业技能竞赛获集体</w:t>
      </w:r>
      <w:r>
        <w:rPr>
          <w:rFonts w:hint="eastAsia" w:ascii="仿宋_GB2312" w:hAnsi="仿宋" w:eastAsia="仿宋_GB2312" w:cs="Times New Roman"/>
          <w:kern w:val="2"/>
          <w:sz w:val="32"/>
          <w:szCs w:val="32"/>
          <w:highlight w:val="none"/>
          <w:lang w:val="en-US" w:eastAsia="zh-CN" w:bidi="ar-SA"/>
        </w:rPr>
        <w:t>三</w:t>
      </w:r>
      <w:r>
        <w:rPr>
          <w:rFonts w:hint="default" w:ascii="仿宋_GB2312" w:hAnsi="仿宋" w:eastAsia="仿宋_GB2312" w:cs="Times New Roman"/>
          <w:kern w:val="2"/>
          <w:sz w:val="32"/>
          <w:szCs w:val="32"/>
          <w:highlight w:val="none"/>
          <w:lang w:val="en-US" w:eastAsia="zh-CN" w:bidi="ar-SA"/>
        </w:rPr>
        <w:t>等奖。与人社部门共同开展“2024年春风行动暨就业援助月”系列活动，在全国助残日等重大时间节点，组织开展线上线下招聘会</w:t>
      </w:r>
      <w:r>
        <w:rPr>
          <w:rFonts w:hint="eastAsia" w:ascii="仿宋_GB2312" w:hAnsi="仿宋" w:eastAsia="仿宋_GB2312" w:cs="Times New Roman"/>
          <w:kern w:val="2"/>
          <w:sz w:val="32"/>
          <w:szCs w:val="32"/>
          <w:highlight w:val="none"/>
          <w:lang w:val="en-US" w:eastAsia="zh-CN" w:bidi="ar-SA"/>
        </w:rPr>
        <w:t>10</w:t>
      </w:r>
      <w:r>
        <w:rPr>
          <w:rFonts w:hint="default" w:ascii="仿宋_GB2312" w:hAnsi="仿宋" w:eastAsia="仿宋_GB2312" w:cs="Times New Roman"/>
          <w:kern w:val="2"/>
          <w:sz w:val="32"/>
          <w:szCs w:val="32"/>
          <w:highlight w:val="none"/>
          <w:lang w:val="en-US" w:eastAsia="zh-CN" w:bidi="ar-SA"/>
        </w:rPr>
        <w:t>余场，帮助</w:t>
      </w:r>
      <w:r>
        <w:rPr>
          <w:rFonts w:hint="eastAsia" w:ascii="仿宋_GB2312" w:hAnsi="仿宋" w:eastAsia="仿宋_GB2312" w:cs="Times New Roman"/>
          <w:kern w:val="2"/>
          <w:sz w:val="32"/>
          <w:szCs w:val="32"/>
          <w:highlight w:val="none"/>
          <w:lang w:val="en-US" w:eastAsia="zh-CN" w:bidi="ar-SA"/>
        </w:rPr>
        <w:t>50</w:t>
      </w:r>
      <w:r>
        <w:rPr>
          <w:rFonts w:hint="default" w:ascii="仿宋_GB2312" w:hAnsi="仿宋" w:eastAsia="仿宋_GB2312" w:cs="Times New Roman"/>
          <w:kern w:val="2"/>
          <w:sz w:val="32"/>
          <w:szCs w:val="32"/>
          <w:highlight w:val="none"/>
          <w:lang w:val="en-US" w:eastAsia="zh-CN" w:bidi="ar-SA"/>
        </w:rPr>
        <w:t>余名残疾人与企业达成就业意向。对今年毕业的</w:t>
      </w:r>
      <w:r>
        <w:rPr>
          <w:rFonts w:hint="eastAsia" w:ascii="仿宋_GB2312" w:hAnsi="仿宋" w:eastAsia="仿宋_GB2312" w:cs="Times New Roman"/>
          <w:kern w:val="2"/>
          <w:sz w:val="32"/>
          <w:szCs w:val="32"/>
          <w:highlight w:val="none"/>
          <w:lang w:val="en-US" w:eastAsia="zh-CN" w:bidi="ar-SA"/>
        </w:rPr>
        <w:t>9</w:t>
      </w:r>
      <w:r>
        <w:rPr>
          <w:rFonts w:hint="default" w:ascii="仿宋_GB2312" w:hAnsi="仿宋" w:eastAsia="仿宋_GB2312" w:cs="Times New Roman"/>
          <w:kern w:val="2"/>
          <w:sz w:val="32"/>
          <w:szCs w:val="32"/>
          <w:highlight w:val="none"/>
          <w:lang w:val="en-US" w:eastAsia="zh-CN" w:bidi="ar-SA"/>
        </w:rPr>
        <w:t>名残疾高校毕业生开展了“一对一”的就业摸底和服务。联合税务部门开展“访企脱岗”走访服务工作，向企业普及按比例安置残疾人就业政策</w:t>
      </w:r>
      <w:r>
        <w:rPr>
          <w:rFonts w:hint="eastAsia" w:ascii="仿宋_GB2312" w:hAnsi="仿宋" w:eastAsia="仿宋_GB2312" w:cs="Times New Roman"/>
          <w:kern w:val="2"/>
          <w:sz w:val="32"/>
          <w:szCs w:val="32"/>
          <w:highlight w:val="none"/>
          <w:lang w:val="en-US" w:eastAsia="zh-CN" w:bidi="ar-SA"/>
        </w:rPr>
        <w:t>35</w:t>
      </w:r>
      <w:r>
        <w:rPr>
          <w:rFonts w:hint="default" w:ascii="仿宋_GB2312" w:hAnsi="仿宋" w:eastAsia="仿宋_GB2312" w:cs="Times New Roman"/>
          <w:kern w:val="2"/>
          <w:sz w:val="32"/>
          <w:szCs w:val="32"/>
          <w:highlight w:val="none"/>
          <w:lang w:val="en-US" w:eastAsia="zh-CN" w:bidi="ar-SA"/>
        </w:rPr>
        <w:t>次，截至目前服务企业完成残保金申报143家，帮助467名残疾人实现就业</w:t>
      </w:r>
      <w:r>
        <w:rPr>
          <w:rFonts w:hint="eastAsia" w:ascii="仿宋_GB2312" w:hAnsi="仿宋" w:eastAsia="仿宋_GB2312" w:cs="Times New Roman"/>
          <w:kern w:val="2"/>
          <w:sz w:val="32"/>
          <w:szCs w:val="32"/>
          <w:highlight w:val="none"/>
          <w:lang w:val="en-US" w:eastAsia="zh-CN" w:bidi="ar-SA"/>
        </w:rPr>
        <w:t>。</w:t>
      </w:r>
    </w:p>
    <w:p w14:paraId="349D642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4.</w:t>
      </w:r>
      <w:r>
        <w:rPr>
          <w:rFonts w:hint="default" w:ascii="Times New Roman" w:hAnsi="Times New Roman" w:eastAsia="方正仿宋简体" w:cs="Times New Roman"/>
          <w:b/>
          <w:bCs/>
          <w:sz w:val="32"/>
          <w:szCs w:val="48"/>
          <w:lang w:val="en-US" w:eastAsia="zh-CN"/>
        </w:rPr>
        <w:t>推进残疾人教育工作</w:t>
      </w:r>
    </w:p>
    <w:p w14:paraId="600C113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highlight w:val="none"/>
          <w:lang w:val="en-US" w:eastAsia="zh-CN" w:bidi="ar-SA"/>
        </w:rPr>
      </w:pPr>
      <w:r>
        <w:rPr>
          <w:rFonts w:hint="default" w:ascii="仿宋_GB2312" w:hAnsi="仿宋" w:eastAsia="仿宋_GB2312" w:cs="Times New Roman"/>
          <w:kern w:val="2"/>
          <w:sz w:val="32"/>
          <w:szCs w:val="32"/>
          <w:highlight w:val="none"/>
          <w:lang w:val="en-US" w:eastAsia="zh-CN" w:bidi="ar-SA"/>
        </w:rPr>
        <w:t>抓好学前教育，与市教育局深入调研，</w:t>
      </w:r>
      <w:r>
        <w:rPr>
          <w:rFonts w:hint="eastAsia" w:ascii="仿宋_GB2312" w:hAnsi="仿宋" w:eastAsia="仿宋_GB2312" w:cs="Times New Roman"/>
          <w:kern w:val="2"/>
          <w:sz w:val="32"/>
          <w:szCs w:val="32"/>
          <w:highlight w:val="none"/>
          <w:lang w:val="en-US" w:eastAsia="zh-CN" w:bidi="ar-SA"/>
        </w:rPr>
        <w:t>推动提升</w:t>
      </w:r>
      <w:r>
        <w:rPr>
          <w:rFonts w:hint="default" w:ascii="仿宋_GB2312" w:hAnsi="仿宋" w:eastAsia="仿宋_GB2312" w:cs="Times New Roman"/>
          <w:kern w:val="2"/>
          <w:sz w:val="32"/>
          <w:szCs w:val="32"/>
          <w:highlight w:val="none"/>
          <w:lang w:val="en-US" w:eastAsia="zh-CN" w:bidi="ar-SA"/>
        </w:rPr>
        <w:t>全市3-6岁残疾儿童</w:t>
      </w:r>
      <w:r>
        <w:rPr>
          <w:rFonts w:hint="eastAsia" w:ascii="仿宋_GB2312" w:hAnsi="仿宋" w:eastAsia="仿宋_GB2312" w:cs="Times New Roman"/>
          <w:kern w:val="2"/>
          <w:sz w:val="32"/>
          <w:szCs w:val="32"/>
          <w:highlight w:val="none"/>
          <w:lang w:val="en-US" w:eastAsia="zh-CN" w:bidi="ar-SA"/>
        </w:rPr>
        <w:t>入学率</w:t>
      </w:r>
      <w:r>
        <w:rPr>
          <w:rFonts w:hint="default" w:ascii="仿宋_GB2312" w:hAnsi="仿宋" w:eastAsia="仿宋_GB2312" w:cs="Times New Roman"/>
          <w:kern w:val="2"/>
          <w:sz w:val="32"/>
          <w:szCs w:val="32"/>
          <w:highlight w:val="none"/>
          <w:lang w:val="en-US" w:eastAsia="zh-CN" w:bidi="ar-SA"/>
        </w:rPr>
        <w:t>。</w:t>
      </w:r>
      <w:r>
        <w:rPr>
          <w:rFonts w:hint="eastAsia" w:ascii="仿宋_GB2312" w:hAnsi="仿宋" w:eastAsia="仿宋_GB2312" w:cs="Times New Roman"/>
          <w:kern w:val="2"/>
          <w:sz w:val="32"/>
          <w:szCs w:val="32"/>
          <w:highlight w:val="none"/>
          <w:lang w:val="en-US" w:eastAsia="zh-CN" w:bidi="ar-SA"/>
        </w:rPr>
        <w:t>实现</w:t>
      </w:r>
      <w:r>
        <w:rPr>
          <w:rFonts w:hint="default" w:ascii="仿宋_GB2312" w:hAnsi="仿宋" w:eastAsia="仿宋_GB2312" w:cs="Times New Roman"/>
          <w:kern w:val="2"/>
          <w:sz w:val="32"/>
          <w:szCs w:val="32"/>
          <w:highlight w:val="none"/>
          <w:lang w:val="en-US" w:eastAsia="zh-CN" w:bidi="ar-SA"/>
        </w:rPr>
        <w:t>义务教育适龄学生应入学尽入学，全市义务教育阶段的残疾人学生入学率</w:t>
      </w:r>
      <w:r>
        <w:rPr>
          <w:rFonts w:hint="eastAsia" w:ascii="仿宋_GB2312" w:hAnsi="仿宋" w:eastAsia="仿宋_GB2312" w:cs="Times New Roman"/>
          <w:kern w:val="2"/>
          <w:sz w:val="32"/>
          <w:szCs w:val="32"/>
          <w:highlight w:val="none"/>
          <w:lang w:val="en-US" w:eastAsia="zh-CN" w:bidi="ar-SA"/>
        </w:rPr>
        <w:t>100</w:t>
      </w:r>
      <w:r>
        <w:rPr>
          <w:rFonts w:hint="default" w:ascii="仿宋_GB2312" w:hAnsi="仿宋" w:eastAsia="仿宋_GB2312" w:cs="Times New Roman"/>
          <w:kern w:val="2"/>
          <w:sz w:val="32"/>
          <w:szCs w:val="32"/>
          <w:highlight w:val="none"/>
          <w:lang w:val="en-US" w:eastAsia="zh-CN" w:bidi="ar-SA"/>
        </w:rPr>
        <w:t>%。实施教育资助政策，为259名符合条件的残疾学生发放教育资助金24.975万元。</w:t>
      </w:r>
    </w:p>
    <w:p w14:paraId="219725D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5.</w:t>
      </w:r>
      <w:r>
        <w:rPr>
          <w:rFonts w:hint="default" w:ascii="Times New Roman" w:hAnsi="Times New Roman" w:eastAsia="方正仿宋简体" w:cs="Times New Roman"/>
          <w:b/>
          <w:bCs/>
          <w:sz w:val="32"/>
          <w:szCs w:val="48"/>
          <w:lang w:val="en-US" w:eastAsia="zh-CN"/>
        </w:rPr>
        <w:t>丰富残疾人文体生活</w:t>
      </w:r>
    </w:p>
    <w:p w14:paraId="4F63FC3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highlight w:val="none"/>
          <w:lang w:val="en-US" w:eastAsia="zh-CN" w:bidi="ar-SA"/>
        </w:rPr>
      </w:pPr>
      <w:r>
        <w:rPr>
          <w:rFonts w:hint="default" w:ascii="仿宋_GB2312" w:hAnsi="仿宋" w:eastAsia="仿宋_GB2312" w:cs="Times New Roman"/>
          <w:kern w:val="2"/>
          <w:sz w:val="32"/>
          <w:szCs w:val="32"/>
          <w:highlight w:val="none"/>
          <w:lang w:val="en-US" w:eastAsia="zh-CN" w:bidi="ar-SA"/>
        </w:rPr>
        <w:t>开展文化进家庭“五个一”和“光明影院”项目，丰富残疾人精神文化生活。建立残疾人体育健身示范点2个，举办残疾人全民健身运动会5场，500余人参加。举办了第二届体育复健进校园城际邀请赛。选拔出了10余名有条件、有潜力的残疾人作为残运会、残奥会体育后备人才。承接德阳市残疾人跆拳道赛事训练，参加四川省残疾人体育单项比赛跆拳道和盲人柔道获1金2银4铜。</w:t>
      </w:r>
    </w:p>
    <w:p w14:paraId="4F44A4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6.</w:t>
      </w:r>
      <w:r>
        <w:rPr>
          <w:rFonts w:hint="default" w:ascii="Times New Roman" w:hAnsi="Times New Roman" w:eastAsia="方正仿宋简体" w:cs="Times New Roman"/>
          <w:b/>
          <w:bCs/>
          <w:sz w:val="32"/>
          <w:szCs w:val="48"/>
          <w:lang w:val="en-US" w:eastAsia="zh-CN"/>
        </w:rPr>
        <w:t>依法维护残疾人权益</w:t>
      </w:r>
    </w:p>
    <w:p w14:paraId="4EE5426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highlight w:val="none"/>
          <w:lang w:val="en-US" w:eastAsia="zh-CN" w:bidi="ar-SA"/>
        </w:rPr>
      </w:pPr>
      <w:r>
        <w:rPr>
          <w:rFonts w:hint="default" w:ascii="仿宋_GB2312" w:hAnsi="仿宋" w:eastAsia="仿宋_GB2312" w:cs="Times New Roman"/>
          <w:kern w:val="2"/>
          <w:sz w:val="32"/>
          <w:szCs w:val="32"/>
          <w:highlight w:val="none"/>
          <w:lang w:val="en-US" w:eastAsia="zh-CN" w:bidi="ar-SA"/>
        </w:rPr>
        <w:t>推动服务残疾人“一件事”一次办落地落实，广泛开展残疾人无障碍环境建设督导活动，组建了1支大学生无障碍督导员队伍，组织开展环境无障碍督导2次，推动改善无障碍环境。对150户残疾人家庭实施改造，开展残疾人“院坝维权”活动，为残疾人提供家门口释法、现场维权、就业指导等服务</w:t>
      </w:r>
      <w:r>
        <w:rPr>
          <w:rFonts w:hint="eastAsia" w:ascii="仿宋_GB2312" w:hAnsi="仿宋" w:eastAsia="仿宋_GB2312" w:cs="Times New Roman"/>
          <w:kern w:val="2"/>
          <w:sz w:val="32"/>
          <w:szCs w:val="32"/>
          <w:highlight w:val="none"/>
          <w:lang w:val="en-US" w:eastAsia="zh-CN" w:bidi="ar-SA"/>
        </w:rPr>
        <w:t>1200</w:t>
      </w:r>
      <w:r>
        <w:rPr>
          <w:rFonts w:hint="default" w:ascii="仿宋_GB2312" w:hAnsi="仿宋" w:eastAsia="仿宋_GB2312" w:cs="Times New Roman"/>
          <w:kern w:val="2"/>
          <w:sz w:val="32"/>
          <w:szCs w:val="32"/>
          <w:highlight w:val="none"/>
          <w:lang w:val="en-US" w:eastAsia="zh-CN" w:bidi="ar-SA"/>
        </w:rPr>
        <w:t>余人次。为1037名符合条件的残疾人发放信息消费补贴6.22万元。开展感恩自强教育、人文关怀和涉残政策法规宣传，提供及时有效法律服务，维护残疾群体在元旦、春节、两会等重要时间节点的安全稳定。</w:t>
      </w:r>
    </w:p>
    <w:p w14:paraId="17E96A0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7.</w:t>
      </w:r>
      <w:r>
        <w:rPr>
          <w:rFonts w:hint="default" w:ascii="Times New Roman" w:hAnsi="Times New Roman" w:eastAsia="方正仿宋简体" w:cs="Times New Roman"/>
          <w:b/>
          <w:bCs/>
          <w:sz w:val="32"/>
          <w:szCs w:val="48"/>
          <w:lang w:val="en-US" w:eastAsia="zh-CN"/>
        </w:rPr>
        <w:t>夯实残联组织建设</w:t>
      </w:r>
    </w:p>
    <w:p w14:paraId="576961B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highlight w:val="none"/>
          <w:lang w:val="en-US" w:eastAsia="zh-CN" w:bidi="ar-SA"/>
        </w:rPr>
      </w:pPr>
      <w:r>
        <w:rPr>
          <w:rFonts w:hint="default" w:ascii="仿宋_GB2312" w:hAnsi="仿宋" w:eastAsia="仿宋_GB2312" w:cs="Times New Roman"/>
          <w:kern w:val="2"/>
          <w:sz w:val="32"/>
          <w:szCs w:val="32"/>
          <w:highlight w:val="none"/>
          <w:lang w:val="en-US" w:eastAsia="zh-CN" w:bidi="ar-SA"/>
        </w:rPr>
        <w:t>持续推进村（社区）残协规范化建设，“残协+”工作模式在全市全面推进。全市新办残疾证784件，到期换证805件，“跨省通办残疾证”15件；开展上门评残服务</w:t>
      </w:r>
      <w:r>
        <w:rPr>
          <w:rFonts w:hint="eastAsia" w:ascii="仿宋_GB2312" w:hAnsi="仿宋" w:eastAsia="仿宋_GB2312" w:cs="Times New Roman"/>
          <w:kern w:val="2"/>
          <w:sz w:val="32"/>
          <w:szCs w:val="32"/>
          <w:highlight w:val="none"/>
          <w:lang w:val="en-US" w:eastAsia="zh-CN" w:bidi="ar-SA"/>
        </w:rPr>
        <w:t>20余</w:t>
      </w:r>
      <w:r>
        <w:rPr>
          <w:rFonts w:hint="default" w:ascii="仿宋_GB2312" w:hAnsi="仿宋" w:eastAsia="仿宋_GB2312" w:cs="Times New Roman"/>
          <w:kern w:val="2"/>
          <w:sz w:val="32"/>
          <w:szCs w:val="32"/>
          <w:highlight w:val="none"/>
          <w:lang w:val="en-US" w:eastAsia="zh-CN" w:bidi="ar-SA"/>
        </w:rPr>
        <w:t>次，服务残疾人</w:t>
      </w:r>
      <w:r>
        <w:rPr>
          <w:rFonts w:hint="eastAsia" w:ascii="仿宋_GB2312" w:hAnsi="仿宋" w:eastAsia="仿宋_GB2312" w:cs="Times New Roman"/>
          <w:kern w:val="2"/>
          <w:sz w:val="32"/>
          <w:szCs w:val="32"/>
          <w:highlight w:val="none"/>
          <w:lang w:val="en-US" w:eastAsia="zh-CN" w:bidi="ar-SA"/>
        </w:rPr>
        <w:t>150余</w:t>
      </w:r>
      <w:r>
        <w:rPr>
          <w:rFonts w:hint="default" w:ascii="仿宋_GB2312" w:hAnsi="仿宋" w:eastAsia="仿宋_GB2312" w:cs="Times New Roman"/>
          <w:kern w:val="2"/>
          <w:sz w:val="32"/>
          <w:szCs w:val="32"/>
          <w:highlight w:val="none"/>
          <w:lang w:val="en-US" w:eastAsia="zh-CN" w:bidi="ar-SA"/>
        </w:rPr>
        <w:t>人次。</w:t>
      </w:r>
    </w:p>
    <w:p w14:paraId="7EC94087">
      <w:pPr>
        <w:numPr>
          <w:ilvl w:val="0"/>
          <w:numId w:val="0"/>
        </w:numPr>
        <w:rPr>
          <w:rFonts w:hint="eastAsia"/>
          <w:lang w:eastAsia="zh-CN"/>
        </w:rPr>
      </w:pPr>
    </w:p>
    <w:p w14:paraId="58C7841B">
      <w:pPr>
        <w:pStyle w:val="3"/>
        <w:rPr>
          <w:rStyle w:val="29"/>
          <w:rFonts w:ascii="Times New Roman" w:hAnsi="Times New Roman"/>
          <w:b w:val="0"/>
          <w:bCs w:val="0"/>
          <w:color w:val="auto"/>
          <w:highlight w:val="none"/>
        </w:rPr>
      </w:pPr>
      <w:bookmarkStart w:id="18" w:name="_Toc15396601"/>
      <w:bookmarkStart w:id="19" w:name="_Toc15377200"/>
      <w:bookmarkStart w:id="20" w:name="_Toc6270"/>
      <w:bookmarkStart w:id="21" w:name="_Toc19434"/>
      <w:r>
        <w:rPr>
          <w:rFonts w:hint="eastAsia" w:ascii="Times New Roman" w:hAnsi="Times New Roman" w:eastAsia="黑体"/>
          <w:b w:val="0"/>
          <w:color w:val="auto"/>
          <w:highlight w:val="none"/>
        </w:rPr>
        <w:t>二、机</w:t>
      </w:r>
      <w:r>
        <w:rPr>
          <w:rStyle w:val="29"/>
          <w:rFonts w:hint="eastAsia" w:ascii="Times New Roman" w:hAnsi="Times New Roman" w:eastAsia="黑体"/>
          <w:b w:val="0"/>
          <w:bCs w:val="0"/>
          <w:color w:val="auto"/>
          <w:highlight w:val="none"/>
        </w:rPr>
        <w:t>构设置</w:t>
      </w:r>
      <w:bookmarkEnd w:id="18"/>
      <w:bookmarkEnd w:id="19"/>
      <w:bookmarkEnd w:id="20"/>
      <w:bookmarkEnd w:id="21"/>
    </w:p>
    <w:p w14:paraId="50BF2271">
      <w:pPr>
        <w:ind w:firstLine="800" w:firstLineChars="250"/>
        <w:rPr>
          <w:rFonts w:hint="eastAsia" w:ascii="Times New Roman" w:hAnsi="Times New Roman"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绵竹市残疾人联合会</w:t>
      </w:r>
      <w:r>
        <w:rPr>
          <w:rFonts w:hint="eastAsia" w:ascii="Times New Roman" w:hAnsi="Times New Roman" w:eastAsia="仿宋_GB2312" w:cs="仿宋_GB2312"/>
          <w:color w:val="auto"/>
          <w:sz w:val="32"/>
          <w:szCs w:val="32"/>
          <w:highlight w:val="none"/>
        </w:rPr>
        <w:t>下属二级</w:t>
      </w:r>
      <w:r>
        <w:rPr>
          <w:rFonts w:hint="eastAsia" w:ascii="Times New Roman" w:hAnsi="Times New Roman" w:eastAsia="仿宋_GB2312" w:cs="仿宋_GB2312"/>
          <w:color w:val="auto"/>
          <w:sz w:val="32"/>
          <w:szCs w:val="32"/>
          <w:highlight w:val="none"/>
          <w:lang w:eastAsia="zh-CN"/>
        </w:rPr>
        <w:t>预算</w:t>
      </w:r>
      <w:r>
        <w:rPr>
          <w:rFonts w:hint="eastAsia" w:eastAsia="仿宋_GB2312" w:cs="仿宋_GB2312"/>
          <w:color w:val="auto"/>
          <w:sz w:val="32"/>
          <w:szCs w:val="32"/>
          <w:highlight w:val="none"/>
          <w:lang w:eastAsia="zh-CN"/>
        </w:rPr>
        <w:t>部门</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个，其中行政</w:t>
      </w:r>
      <w:r>
        <w:rPr>
          <w:rFonts w:hint="eastAsia" w:eastAsia="仿宋_GB2312" w:cs="仿宋_GB2312"/>
          <w:color w:val="auto"/>
          <w:sz w:val="32"/>
          <w:szCs w:val="32"/>
          <w:highlight w:val="none"/>
          <w:lang w:eastAsia="zh-CN"/>
        </w:rPr>
        <w:t>部门</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个，参照公务员法管理的事业</w:t>
      </w:r>
      <w:r>
        <w:rPr>
          <w:rFonts w:hint="eastAsia" w:eastAsia="仿宋_GB2312" w:cs="仿宋_GB2312"/>
          <w:color w:val="auto"/>
          <w:sz w:val="32"/>
          <w:szCs w:val="32"/>
          <w:highlight w:val="none"/>
          <w:lang w:eastAsia="zh-CN"/>
        </w:rPr>
        <w:t>部门</w:t>
      </w:r>
      <w:r>
        <w:rPr>
          <w:rFonts w:hint="eastAsia" w:eastAsia="仿宋_GB2312" w:cs="仿宋_GB2312"/>
          <w:bCs/>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个，其他事业</w:t>
      </w:r>
      <w:r>
        <w:rPr>
          <w:rFonts w:hint="eastAsia" w:eastAsia="仿宋_GB2312" w:cs="仿宋_GB2312"/>
          <w:color w:val="auto"/>
          <w:sz w:val="32"/>
          <w:szCs w:val="32"/>
          <w:highlight w:val="none"/>
          <w:lang w:eastAsia="zh-CN"/>
        </w:rPr>
        <w:t>部门</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w:t>
      </w:r>
    </w:p>
    <w:p w14:paraId="0B9D2033">
      <w:pPr>
        <w:pStyle w:val="5"/>
        <w:adjustRightInd w:val="0"/>
        <w:snapToGrid w:val="0"/>
        <w:spacing w:before="93" w:line="600" w:lineRule="exact"/>
        <w:ind w:firstLine="672" w:firstLineChars="210"/>
        <w:rPr>
          <w:rFonts w:hint="eastAsia" w:ascii="Times New Roman" w:hAnsi="Times New Roman" w:eastAsia="仿宋_GB2312" w:cs="仿宋_GB2312"/>
          <w:color w:val="auto"/>
          <w:sz w:val="32"/>
          <w:szCs w:val="32"/>
          <w:highlight w:val="none"/>
          <w:lang w:val="en-US" w:eastAsia="zh-CN"/>
        </w:rPr>
      </w:pPr>
      <w:r>
        <w:rPr>
          <w:rFonts w:hint="eastAsia" w:ascii="Times New Roman" w:cs="仿宋_GB2312"/>
          <w:color w:val="auto"/>
          <w:sz w:val="32"/>
          <w:szCs w:val="32"/>
          <w:highlight w:val="none"/>
          <w:lang w:eastAsia="zh-CN"/>
        </w:rPr>
        <w:t>无</w:t>
      </w:r>
      <w:r>
        <w:rPr>
          <w:rFonts w:hint="eastAsia" w:ascii="Times New Roman" w:hAnsi="Times New Roman" w:eastAsia="仿宋_GB2312" w:cs="仿宋_GB2312"/>
          <w:color w:val="auto"/>
          <w:sz w:val="32"/>
          <w:szCs w:val="32"/>
          <w:highlight w:val="none"/>
        </w:rPr>
        <w:t>纳入</w:t>
      </w:r>
      <w:r>
        <w:rPr>
          <w:sz w:val="32"/>
          <w:szCs w:val="32"/>
        </w:rPr>
        <w:t>绵竹市残疾人联合会</w:t>
      </w:r>
      <w:r>
        <w:rPr>
          <w:rFonts w:hint="eastAsia" w:ascii="Times New Roman" w:hAnsi="Times New Roman" w:eastAsia="仿宋_GB2312" w:cs="仿宋_GB2312"/>
          <w:color w:val="auto"/>
          <w:sz w:val="32"/>
          <w:szCs w:val="32"/>
          <w:highlight w:val="none"/>
          <w:lang w:eastAsia="zh-CN"/>
        </w:rPr>
        <w:t>2024年度</w:t>
      </w:r>
      <w:r>
        <w:rPr>
          <w:rFonts w:hint="eastAsia" w:ascii="Times New Roman" w:hAnsi="Times New Roman" w:eastAsia="仿宋_GB2312" w:cs="仿宋_GB2312"/>
          <w:color w:val="auto"/>
          <w:sz w:val="32"/>
          <w:szCs w:val="32"/>
          <w:highlight w:val="none"/>
        </w:rPr>
        <w:t>部门决算编制范围的二级预算</w:t>
      </w:r>
      <w:r>
        <w:rPr>
          <w:rFonts w:hint="eastAsia" w:ascii="Times New Roman" w:cs="仿宋_GB2312"/>
          <w:color w:val="auto"/>
          <w:sz w:val="32"/>
          <w:szCs w:val="32"/>
          <w:highlight w:val="none"/>
          <w:lang w:eastAsia="zh-CN"/>
        </w:rPr>
        <w:t>部门。</w:t>
      </w:r>
    </w:p>
    <w:p w14:paraId="20E3A6E7">
      <w:pPr>
        <w:pStyle w:val="2"/>
        <w:jc w:val="center"/>
        <w:rPr>
          <w:rFonts w:hint="eastAsia" w:ascii="Times New Roman" w:hAnsi="Times New Roman" w:eastAsia="方正小标宋简体" w:cs="方正小标宋简体"/>
          <w:b w:val="0"/>
          <w:color w:val="auto"/>
          <w:highlight w:val="none"/>
        </w:rPr>
      </w:pPr>
      <w:bookmarkStart w:id="22" w:name="_Toc15377204"/>
      <w:bookmarkStart w:id="23" w:name="_Toc15396602"/>
      <w:bookmarkStart w:id="24" w:name="_Toc21207"/>
      <w:bookmarkStart w:id="25" w:name="_Toc17236"/>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ascii="Times New Roman" w:hAnsi="Times New Roman" w:eastAsia="方正小标宋简体" w:cs="方正小标宋简体"/>
          <w:b w:val="0"/>
          <w:color w:val="auto"/>
          <w:highlight w:val="none"/>
        </w:rPr>
        <w:t>部门决算情况说明</w:t>
      </w:r>
      <w:bookmarkEnd w:id="22"/>
      <w:bookmarkEnd w:id="23"/>
      <w:bookmarkEnd w:id="24"/>
      <w:bookmarkEnd w:id="25"/>
    </w:p>
    <w:p w14:paraId="6206697F">
      <w:pPr>
        <w:rPr>
          <w:rFonts w:ascii="Times New Roman" w:hAnsi="Times New Roman"/>
          <w:color w:val="auto"/>
          <w:highlight w:val="none"/>
        </w:rPr>
      </w:pPr>
    </w:p>
    <w:p w14:paraId="54CEB0E7">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29"/>
          <w:rFonts w:hint="eastAsia" w:ascii="Times New Roman" w:hAnsi="Times New Roman" w:eastAsia="黑体"/>
          <w:b w:val="0"/>
          <w:color w:val="auto"/>
          <w:highlight w:val="none"/>
        </w:rPr>
      </w:pPr>
      <w:bookmarkStart w:id="26" w:name="_Toc15396603"/>
      <w:bookmarkStart w:id="27" w:name="_Toc14462"/>
      <w:bookmarkStart w:id="28" w:name="_Toc22818"/>
      <w:bookmarkStart w:id="29" w:name="_Toc15377205"/>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29"/>
          <w:rFonts w:hint="eastAsia" w:ascii="Times New Roman" w:hAnsi="Times New Roman" w:eastAsia="黑体"/>
          <w:b w:val="0"/>
          <w:color w:val="auto"/>
          <w:highlight w:val="none"/>
        </w:rPr>
        <w:t>入支出决算总体情况说明</w:t>
      </w:r>
      <w:bookmarkEnd w:id="26"/>
      <w:bookmarkEnd w:id="27"/>
      <w:bookmarkEnd w:id="28"/>
      <w:bookmarkEnd w:id="29"/>
    </w:p>
    <w:p w14:paraId="58EA92B7">
      <w:pPr>
        <w:snapToGrid w:val="0"/>
        <w:spacing w:line="520" w:lineRule="exact"/>
        <w:ind w:firstLine="640" w:firstLineChars="200"/>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ascii="仿宋_GB2312" w:hAnsi="仿宋_GB2312" w:eastAsia="仿宋_GB2312" w:cs="仿宋_GB2312"/>
          <w:sz w:val="32"/>
          <w:szCs w:val="32"/>
        </w:rPr>
        <w:t>1015.57</w:t>
      </w:r>
      <w:r>
        <w:rPr>
          <w:rFonts w:hint="eastAsia" w:ascii="Times New Roman" w:hAnsi="Times New Roman" w:eastAsia="仿宋_GB2312" w:cs="仿宋_GB2312"/>
          <w:color w:val="auto"/>
          <w:sz w:val="32"/>
          <w:szCs w:val="32"/>
          <w:highlight w:val="none"/>
        </w:rPr>
        <w:t>万元。</w:t>
      </w:r>
    </w:p>
    <w:p w14:paraId="0AC199A8">
      <w:pPr>
        <w:snapToGrid w:val="0"/>
        <w:spacing w:line="520" w:lineRule="exact"/>
        <w:ind w:firstLine="640" w:firstLineChars="20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eastAsia="zh-CN"/>
        </w:rPr>
        <w:t>年绵竹市残联本年预算收入合计</w:t>
      </w:r>
      <w:r>
        <w:rPr>
          <w:rFonts w:hint="eastAsia" w:ascii="Times New Roman" w:hAnsi="Times New Roman" w:eastAsia="仿宋_GB2312" w:cs="仿宋_GB2312"/>
          <w:color w:val="auto"/>
          <w:sz w:val="32"/>
          <w:szCs w:val="32"/>
          <w:highlight w:val="none"/>
          <w:lang w:val="en-US" w:eastAsia="zh-CN"/>
        </w:rPr>
        <w:t>1015.57</w:t>
      </w:r>
      <w:r>
        <w:rPr>
          <w:rFonts w:hint="eastAsia" w:ascii="Times New Roman" w:hAnsi="Times New Roman" w:eastAsia="仿宋_GB2312" w:cs="仿宋_GB2312"/>
          <w:color w:val="auto"/>
          <w:sz w:val="32"/>
          <w:szCs w:val="32"/>
          <w:highlight w:val="none"/>
          <w:lang w:eastAsia="zh-CN"/>
        </w:rPr>
        <w:t>万元，比202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lang w:eastAsia="zh-CN"/>
        </w:rPr>
        <w:t>年的</w:t>
      </w:r>
      <w:r>
        <w:rPr>
          <w:rFonts w:hint="eastAsia" w:ascii="Times New Roman" w:hAnsi="Times New Roman" w:eastAsia="仿宋_GB2312" w:cs="仿宋_GB2312"/>
          <w:color w:val="auto"/>
          <w:sz w:val="32"/>
          <w:szCs w:val="32"/>
          <w:highlight w:val="none"/>
          <w:lang w:val="en-US" w:eastAsia="zh-CN"/>
        </w:rPr>
        <w:t>869.34</w:t>
      </w:r>
      <w:r>
        <w:rPr>
          <w:rFonts w:hint="eastAsia" w:ascii="Times New Roman" w:hAnsi="Times New Roman" w:eastAsia="仿宋_GB2312" w:cs="仿宋_GB2312"/>
          <w:color w:val="auto"/>
          <w:sz w:val="32"/>
          <w:szCs w:val="32"/>
          <w:highlight w:val="none"/>
          <w:lang w:eastAsia="zh-CN"/>
        </w:rPr>
        <w:t>万元</w:t>
      </w:r>
      <w:r>
        <w:rPr>
          <w:rFonts w:hint="eastAsia" w:ascii="Times New Roman" w:hAnsi="Times New Roman" w:eastAsia="仿宋_GB2312" w:cs="仿宋_GB2312"/>
          <w:color w:val="auto"/>
          <w:sz w:val="32"/>
          <w:szCs w:val="32"/>
          <w:highlight w:val="none"/>
          <w:lang w:val="en-US" w:eastAsia="zh-CN"/>
        </w:rPr>
        <w:t>增加146.23</w:t>
      </w:r>
      <w:r>
        <w:rPr>
          <w:rFonts w:hint="eastAsia" w:ascii="Times New Roman" w:hAnsi="Times New Roman" w:eastAsia="仿宋_GB2312" w:cs="仿宋_GB2312"/>
          <w:color w:val="auto"/>
          <w:sz w:val="32"/>
          <w:szCs w:val="32"/>
          <w:highlight w:val="none"/>
          <w:lang w:eastAsia="zh-CN"/>
        </w:rPr>
        <w:t>万元，</w:t>
      </w:r>
      <w:r>
        <w:rPr>
          <w:rFonts w:hint="eastAsia" w:ascii="Times New Roman" w:hAnsi="Times New Roman" w:eastAsia="仿宋_GB2312" w:cs="仿宋_GB2312"/>
          <w:color w:val="auto"/>
          <w:sz w:val="32"/>
          <w:szCs w:val="32"/>
          <w:highlight w:val="none"/>
          <w:lang w:val="en-US" w:eastAsia="zh-CN"/>
        </w:rPr>
        <w:t>增加17</w:t>
      </w:r>
      <w:r>
        <w:rPr>
          <w:rFonts w:hint="eastAsia" w:ascii="Times New Roman" w:hAnsi="Times New Roman" w:eastAsia="仿宋_GB2312" w:cs="仿宋_GB2312"/>
          <w:color w:val="auto"/>
          <w:sz w:val="32"/>
          <w:szCs w:val="32"/>
          <w:highlight w:val="none"/>
          <w:lang w:eastAsia="zh-CN"/>
        </w:rPr>
        <w:t>%。主要原因是</w:t>
      </w:r>
      <w:r>
        <w:rPr>
          <w:rFonts w:hint="eastAsia" w:ascii="Times New Roman" w:hAnsi="Times New Roman" w:eastAsia="仿宋_GB2312" w:cs="仿宋_GB2312"/>
          <w:color w:val="auto"/>
          <w:sz w:val="32"/>
          <w:szCs w:val="32"/>
          <w:highlight w:val="none"/>
          <w:lang w:val="en-US" w:eastAsia="zh-CN"/>
        </w:rPr>
        <w:t>本年度</w:t>
      </w:r>
      <w:r>
        <w:rPr>
          <w:rFonts w:hint="eastAsia" w:ascii="Times New Roman" w:hAnsi="Times New Roman" w:eastAsia="仿宋_GB2312" w:cs="仿宋_GB2312"/>
          <w:color w:val="auto"/>
          <w:sz w:val="32"/>
          <w:szCs w:val="32"/>
          <w:highlight w:val="none"/>
          <w:lang w:eastAsia="zh-CN"/>
        </w:rPr>
        <w:t>部分项目调整。</w:t>
      </w:r>
    </w:p>
    <w:p w14:paraId="45D9EFCA">
      <w:pPr>
        <w:snapToGrid w:val="0"/>
        <w:spacing w:line="520" w:lineRule="exact"/>
        <w:ind w:firstLine="640" w:firstLineChars="200"/>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eastAsia="zh-CN"/>
        </w:rPr>
        <w:t>年绵竹市残联本年预算支出合计</w:t>
      </w:r>
      <w:r>
        <w:rPr>
          <w:rFonts w:hint="eastAsia" w:ascii="Times New Roman" w:hAnsi="Times New Roman" w:eastAsia="仿宋_GB2312" w:cs="仿宋_GB2312"/>
          <w:color w:val="auto"/>
          <w:sz w:val="32"/>
          <w:szCs w:val="32"/>
          <w:highlight w:val="none"/>
          <w:lang w:val="en-US" w:eastAsia="zh-CN"/>
        </w:rPr>
        <w:t>1015.57</w:t>
      </w:r>
      <w:r>
        <w:rPr>
          <w:rFonts w:hint="eastAsia" w:ascii="Times New Roman" w:hAnsi="Times New Roman" w:eastAsia="仿宋_GB2312" w:cs="仿宋_GB2312"/>
          <w:color w:val="auto"/>
          <w:sz w:val="32"/>
          <w:szCs w:val="32"/>
          <w:highlight w:val="none"/>
          <w:lang w:eastAsia="zh-CN"/>
        </w:rPr>
        <w:t>万元，比202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lang w:eastAsia="zh-CN"/>
        </w:rPr>
        <w:t>年的</w:t>
      </w:r>
      <w:r>
        <w:rPr>
          <w:rFonts w:hint="eastAsia" w:ascii="Times New Roman" w:hAnsi="Times New Roman" w:eastAsia="仿宋_GB2312" w:cs="仿宋_GB2312"/>
          <w:color w:val="auto"/>
          <w:sz w:val="32"/>
          <w:szCs w:val="32"/>
          <w:highlight w:val="none"/>
          <w:lang w:val="en-US" w:eastAsia="zh-CN"/>
        </w:rPr>
        <w:t>869.34</w:t>
      </w:r>
      <w:r>
        <w:rPr>
          <w:rFonts w:hint="eastAsia" w:ascii="Times New Roman" w:hAnsi="Times New Roman" w:eastAsia="仿宋_GB2312" w:cs="仿宋_GB2312"/>
          <w:color w:val="auto"/>
          <w:sz w:val="32"/>
          <w:szCs w:val="32"/>
          <w:highlight w:val="none"/>
          <w:lang w:eastAsia="zh-CN"/>
        </w:rPr>
        <w:t>万元</w:t>
      </w:r>
      <w:r>
        <w:rPr>
          <w:rFonts w:hint="eastAsia" w:ascii="Times New Roman" w:hAnsi="Times New Roman" w:eastAsia="仿宋_GB2312" w:cs="仿宋_GB2312"/>
          <w:color w:val="auto"/>
          <w:sz w:val="32"/>
          <w:szCs w:val="32"/>
          <w:highlight w:val="none"/>
          <w:lang w:val="en-US" w:eastAsia="zh-CN"/>
        </w:rPr>
        <w:t>增加146.23</w:t>
      </w:r>
      <w:r>
        <w:rPr>
          <w:rFonts w:hint="eastAsia" w:ascii="Times New Roman" w:hAnsi="Times New Roman" w:eastAsia="仿宋_GB2312" w:cs="仿宋_GB2312"/>
          <w:color w:val="auto"/>
          <w:sz w:val="32"/>
          <w:szCs w:val="32"/>
          <w:highlight w:val="none"/>
          <w:lang w:eastAsia="zh-CN"/>
        </w:rPr>
        <w:t>万元，</w:t>
      </w:r>
      <w:r>
        <w:rPr>
          <w:rFonts w:hint="eastAsia" w:ascii="Times New Roman" w:hAnsi="Times New Roman" w:eastAsia="仿宋_GB2312" w:cs="仿宋_GB2312"/>
          <w:color w:val="auto"/>
          <w:sz w:val="32"/>
          <w:szCs w:val="32"/>
          <w:highlight w:val="none"/>
          <w:lang w:val="en-US" w:eastAsia="zh-CN"/>
        </w:rPr>
        <w:t>增加17</w:t>
      </w:r>
      <w:r>
        <w:rPr>
          <w:rFonts w:hint="eastAsia" w:ascii="Times New Roman" w:hAnsi="Times New Roman" w:eastAsia="仿宋_GB2312" w:cs="仿宋_GB2312"/>
          <w:color w:val="auto"/>
          <w:sz w:val="32"/>
          <w:szCs w:val="32"/>
          <w:highlight w:val="none"/>
          <w:lang w:eastAsia="zh-CN"/>
        </w:rPr>
        <w:t>%，主要原</w:t>
      </w:r>
      <w:r>
        <w:rPr>
          <w:rFonts w:hint="eastAsia" w:ascii="Times New Roman" w:hAnsi="Times New Roman" w:eastAsia="仿宋_GB2312" w:cs="仿宋_GB2312"/>
          <w:color w:val="auto"/>
          <w:sz w:val="32"/>
          <w:szCs w:val="32"/>
          <w:highlight w:val="none"/>
          <w:lang w:val="en-US" w:eastAsia="zh-CN"/>
        </w:rPr>
        <w:t>因是因为本年度部分项目调整。</w:t>
      </w:r>
    </w:p>
    <w:p w14:paraId="13919856">
      <w:pPr>
        <w:snapToGrid w:val="0"/>
        <w:spacing w:line="520" w:lineRule="exact"/>
        <w:ind w:firstLine="640" w:firstLineChars="200"/>
        <w:rPr>
          <w:rFonts w:hint="eastAsia" w:ascii="Times New Roman" w:hAnsi="Times New Roman" w:eastAsia="仿宋_GB2312" w:cs="仿宋_GB2312"/>
          <w:color w:val="auto"/>
          <w:sz w:val="32"/>
          <w:szCs w:val="32"/>
          <w:highlight w:val="none"/>
          <w:lang w:val="en-US" w:eastAsia="zh-CN"/>
        </w:rPr>
      </w:pPr>
    </w:p>
    <w:p w14:paraId="768A48F5">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仿宋_GB2312" w:cs="仿宋_GB2312"/>
          <w:color w:val="auto"/>
          <w:sz w:val="32"/>
          <w:szCs w:val="32"/>
          <w:highlight w:val="none"/>
          <w:lang w:eastAsia="zh-CN"/>
        </w:rPr>
      </w:pPr>
    </w:p>
    <w:p w14:paraId="3AAC99F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drawing>
          <wp:inline distT="0" distB="0" distL="114300" distR="114300">
            <wp:extent cx="5256530" cy="2988310"/>
            <wp:effectExtent l="5080" t="4445" r="15240" b="1714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82C9E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492E724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0D4CE0E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02D47D9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675A2AC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37AC555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795BFE3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（图1：</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决算总计变动情况图）（柱状图）</w:t>
      </w:r>
    </w:p>
    <w:p w14:paraId="21B20CB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3249FA7D">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黑体"/>
          <w:color w:val="auto"/>
          <w:sz w:val="32"/>
          <w:szCs w:val="32"/>
          <w:highlight w:val="none"/>
          <w:lang w:eastAsia="zh-CN"/>
        </w:rPr>
      </w:pPr>
      <w:bookmarkStart w:id="30" w:name="_Toc26755"/>
      <w:bookmarkStart w:id="31" w:name="_Toc22501"/>
      <w:bookmarkStart w:id="32" w:name="_Toc15396604"/>
      <w:bookmarkStart w:id="33" w:name="_Toc15377206"/>
      <w:r>
        <w:rPr>
          <w:rFonts w:hint="eastAsia" w:ascii="Times New Roman" w:hAnsi="Times New Roman" w:eastAsia="黑体"/>
          <w:color w:val="auto"/>
          <w:sz w:val="32"/>
          <w:szCs w:val="32"/>
          <w:highlight w:val="none"/>
          <w:lang w:eastAsia="zh-CN"/>
        </w:rPr>
        <w:t>二、收入决算情况说明</w:t>
      </w:r>
      <w:bookmarkEnd w:id="30"/>
      <w:bookmarkEnd w:id="31"/>
      <w:bookmarkEnd w:id="32"/>
      <w:bookmarkEnd w:id="33"/>
    </w:p>
    <w:p w14:paraId="243E3906">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bookmarkStart w:id="34" w:name="_Toc7498"/>
      <w:bookmarkStart w:id="35" w:name="_Toc14640"/>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1015.57万元，其中：一般公共预算财政拨款收入872.47</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85.91</w:t>
      </w:r>
      <w:r>
        <w:rPr>
          <w:rFonts w:hint="eastAsia" w:ascii="仿宋_GB2312" w:hAnsi="仿宋_GB2312" w:eastAsia="仿宋_GB2312" w:cs="仿宋_GB2312"/>
          <w:color w:val="auto"/>
          <w:sz w:val="32"/>
          <w:szCs w:val="32"/>
          <w:highlight w:val="none"/>
          <w:lang w:eastAsia="zh-CN"/>
        </w:rPr>
        <w:t>%；政府性基金预算财政拨款收入</w:t>
      </w:r>
      <w:r>
        <w:rPr>
          <w:rFonts w:hint="eastAsia" w:ascii="仿宋_GB2312" w:hAnsi="仿宋_GB2312" w:eastAsia="仿宋_GB2312" w:cs="仿宋_GB2312"/>
          <w:sz w:val="32"/>
          <w:szCs w:val="32"/>
        </w:rPr>
        <w:t>143.09</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14.08%</w:t>
      </w:r>
      <w:r>
        <w:rPr>
          <w:rFonts w:hint="eastAsia" w:ascii="仿宋_GB2312" w:hAnsi="仿宋_GB2312" w:eastAsia="仿宋_GB2312" w:cs="仿宋_GB2312"/>
          <w:color w:val="auto"/>
          <w:sz w:val="32"/>
          <w:szCs w:val="32"/>
          <w:highlight w:val="none"/>
          <w:lang w:eastAsia="zh-CN"/>
        </w:rPr>
        <w:t>%；国有资本经营预算财政拨款收入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%；上级补助收入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%；事业收入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%；附属部门上缴收入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%；其他收入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w:t>
      </w:r>
      <w:bookmarkEnd w:id="34"/>
      <w:bookmarkEnd w:id="35"/>
    </w:p>
    <w:p w14:paraId="7BC1CBA6">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421308A0">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6A2924F4">
      <w:pPr>
        <w:ind w:firstLine="800" w:firstLineChars="250"/>
        <w:rPr>
          <w:rFonts w:hint="eastAsia" w:ascii="Times New Roman" w:hAnsi="Times New Roman" w:eastAsia="仿宋_GB2312" w:cs="仿宋_GB2312"/>
          <w:color w:val="auto"/>
          <w:sz w:val="32"/>
          <w:szCs w:val="32"/>
          <w:highlight w:val="none"/>
          <w:lang w:eastAsia="zh-CN"/>
        </w:rPr>
      </w:pPr>
    </w:p>
    <w:p w14:paraId="4C9C2E8E">
      <w:pPr>
        <w:ind w:firstLine="800" w:firstLineChars="250"/>
        <w:rPr>
          <w:rFonts w:hint="eastAsia" w:ascii="Times New Roman" w:hAnsi="Times New Roman" w:eastAsia="仿宋_GB2312" w:cs="仿宋_GB2312"/>
          <w:color w:val="auto"/>
          <w:sz w:val="32"/>
          <w:szCs w:val="32"/>
          <w:highlight w:val="none"/>
          <w:lang w:eastAsia="zh-CN"/>
        </w:rPr>
      </w:pPr>
    </w:p>
    <w:p w14:paraId="2BFBF1DF">
      <w:pPr>
        <w:ind w:firstLine="800" w:firstLineChars="250"/>
        <w:rPr>
          <w:rFonts w:hint="eastAsia" w:ascii="Times New Roman" w:hAnsi="Times New Roman" w:eastAsia="仿宋_GB2312" w:cs="仿宋_GB2312"/>
          <w:color w:val="auto"/>
          <w:sz w:val="32"/>
          <w:szCs w:val="32"/>
          <w:highlight w:val="none"/>
          <w:lang w:eastAsia="zh-CN"/>
        </w:rPr>
      </w:pPr>
    </w:p>
    <w:p w14:paraId="7439C5CE">
      <w:pPr>
        <w:ind w:firstLine="800" w:firstLineChars="250"/>
        <w:rPr>
          <w:rFonts w:hint="eastAsia" w:ascii="Times New Roman" w:hAnsi="Times New Roman" w:eastAsia="仿宋_GB2312" w:cs="仿宋_GB2312"/>
          <w:color w:val="auto"/>
          <w:sz w:val="32"/>
          <w:szCs w:val="32"/>
          <w:highlight w:val="none"/>
          <w:lang w:eastAsia="zh-CN"/>
        </w:rPr>
      </w:pPr>
    </w:p>
    <w:p w14:paraId="668CDBA5">
      <w:pPr>
        <w:ind w:firstLine="803"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b/>
          <w:bCs/>
          <w:color w:val="auto"/>
          <w:sz w:val="32"/>
          <w:szCs w:val="32"/>
          <w:highlight w:val="none"/>
          <w:lang w:eastAsia="zh-CN"/>
        </w:rPr>
        <w:drawing>
          <wp:inline distT="0" distB="0" distL="114300" distR="114300">
            <wp:extent cx="5256530" cy="2988310"/>
            <wp:effectExtent l="5080" t="4445" r="15240" b="1714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8FEFC3">
      <w:pPr>
        <w:ind w:firstLine="800" w:firstLineChars="250"/>
        <w:rPr>
          <w:rFonts w:hint="eastAsia" w:ascii="Times New Roman" w:hAnsi="Times New Roman" w:eastAsia="仿宋_GB2312" w:cs="仿宋_GB2312"/>
          <w:color w:val="auto"/>
          <w:sz w:val="32"/>
          <w:szCs w:val="32"/>
          <w:highlight w:val="none"/>
          <w:lang w:eastAsia="zh-CN"/>
        </w:rPr>
      </w:pPr>
    </w:p>
    <w:p w14:paraId="25385239">
      <w:pPr>
        <w:ind w:firstLine="800"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（图2：收入决算结构图）（饼状图）</w:t>
      </w:r>
    </w:p>
    <w:p w14:paraId="6146E27A">
      <w:pPr>
        <w:ind w:firstLine="800" w:firstLineChars="250"/>
        <w:rPr>
          <w:rFonts w:hint="eastAsia" w:ascii="Times New Roman" w:hAnsi="Times New Roman" w:eastAsia="仿宋_GB2312" w:cs="仿宋_GB2312"/>
          <w:color w:val="auto"/>
          <w:sz w:val="32"/>
          <w:szCs w:val="32"/>
          <w:highlight w:val="none"/>
          <w:lang w:eastAsia="zh-CN"/>
        </w:rPr>
      </w:pPr>
    </w:p>
    <w:p w14:paraId="1271D4FF">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29"/>
          <w:rFonts w:hint="eastAsia" w:ascii="Times New Roman" w:hAnsi="Times New Roman" w:eastAsia="黑体"/>
          <w:b w:val="0"/>
          <w:color w:val="auto"/>
          <w:highlight w:val="none"/>
        </w:rPr>
      </w:pPr>
      <w:bookmarkStart w:id="36" w:name="_Toc25667"/>
      <w:bookmarkStart w:id="37" w:name="_Toc14122"/>
      <w:bookmarkStart w:id="38" w:name="_Toc15377207"/>
      <w:bookmarkStart w:id="39" w:name="_Toc15396605"/>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29"/>
          <w:rFonts w:hint="eastAsia" w:ascii="Times New Roman" w:hAnsi="Times New Roman" w:eastAsia="黑体"/>
          <w:b w:val="0"/>
          <w:color w:val="auto"/>
          <w:highlight w:val="none"/>
        </w:rPr>
        <w:t>出决算情况说明</w:t>
      </w:r>
      <w:bookmarkEnd w:id="36"/>
      <w:bookmarkEnd w:id="37"/>
      <w:bookmarkEnd w:id="38"/>
      <w:bookmarkEnd w:id="39"/>
    </w:p>
    <w:p w14:paraId="3E35FE2C">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bookmarkStart w:id="40" w:name="_Toc26606"/>
      <w:bookmarkStart w:id="41" w:name="_Toc1037"/>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1015.57</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148.99</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14.67</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rPr>
        <w:t>866.58</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85.32</w:t>
      </w:r>
      <w:r>
        <w:rPr>
          <w:rFonts w:hint="eastAsia" w:ascii="仿宋_GB2312" w:hAnsi="仿宋_GB2312" w:eastAsia="仿宋_GB2312" w:cs="仿宋_GB2312"/>
          <w:color w:val="auto"/>
          <w:sz w:val="32"/>
          <w:szCs w:val="32"/>
          <w:highlight w:val="none"/>
          <w:lang w:eastAsia="zh-CN"/>
        </w:rPr>
        <w:t>%；上缴上级支出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%；对附属部门补助支出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w:t>
      </w:r>
      <w:bookmarkEnd w:id="40"/>
      <w:bookmarkEnd w:id="41"/>
    </w:p>
    <w:p w14:paraId="445AF455">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19C09550">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63F8459E">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376BD3D4">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03B15BC4">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6F6DB71F">
      <w:pPr>
        <w:ind w:firstLine="803"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b/>
          <w:bCs/>
          <w:color w:val="auto"/>
          <w:sz w:val="32"/>
          <w:szCs w:val="32"/>
          <w:highlight w:val="none"/>
          <w:lang w:eastAsia="zh-CN"/>
        </w:rPr>
        <w:drawing>
          <wp:inline distT="0" distB="0" distL="114300" distR="114300">
            <wp:extent cx="5256530" cy="2988310"/>
            <wp:effectExtent l="5080" t="4445" r="15240" b="1714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F1CF63">
      <w:pPr>
        <w:rPr>
          <w:rFonts w:hint="eastAsia" w:ascii="Times New Roman" w:hAnsi="Times New Roman" w:eastAsia="仿宋_GB2312" w:cs="仿宋_GB2312"/>
          <w:color w:val="auto"/>
          <w:sz w:val="32"/>
          <w:szCs w:val="32"/>
          <w:highlight w:val="none"/>
          <w:lang w:eastAsia="zh-CN"/>
        </w:rPr>
      </w:pPr>
    </w:p>
    <w:p w14:paraId="373D4B0E">
      <w:pPr>
        <w:ind w:firstLine="2080" w:firstLineChars="6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（图3：支出决算结构图）（饼状图）</w:t>
      </w:r>
    </w:p>
    <w:p w14:paraId="7EE84234">
      <w:pPr>
        <w:ind w:firstLine="800" w:firstLineChars="250"/>
        <w:rPr>
          <w:rFonts w:hint="eastAsia" w:ascii="Times New Roman" w:hAnsi="Times New Roman" w:eastAsia="仿宋_GB2312" w:cs="仿宋_GB2312"/>
          <w:color w:val="auto"/>
          <w:sz w:val="32"/>
          <w:szCs w:val="32"/>
          <w:highlight w:val="none"/>
          <w:lang w:eastAsia="zh-CN"/>
        </w:rPr>
      </w:pPr>
    </w:p>
    <w:p w14:paraId="3D994DEC">
      <w:pPr>
        <w:spacing w:line="600" w:lineRule="exact"/>
        <w:ind w:firstLine="640" w:firstLineChars="200"/>
        <w:outlineLvl w:val="1"/>
        <w:rPr>
          <w:rStyle w:val="29"/>
          <w:rFonts w:ascii="Times New Roman" w:hAnsi="Times New Roman" w:eastAsia="黑体"/>
          <w:b w:val="0"/>
          <w:color w:val="auto"/>
          <w:highlight w:val="none"/>
        </w:rPr>
      </w:pPr>
      <w:bookmarkStart w:id="42" w:name="_Toc15377208"/>
      <w:bookmarkStart w:id="43" w:name="_Toc9591"/>
      <w:bookmarkStart w:id="44" w:name="_Toc22525"/>
      <w:bookmarkStart w:id="45" w:name="_Toc15396606"/>
      <w:r>
        <w:rPr>
          <w:rFonts w:hint="eastAsia" w:ascii="Times New Roman" w:hAnsi="Times New Roman" w:eastAsia="黑体"/>
          <w:color w:val="auto"/>
          <w:sz w:val="32"/>
          <w:szCs w:val="32"/>
          <w:highlight w:val="none"/>
        </w:rPr>
        <w:t>四、财</w:t>
      </w:r>
      <w:r>
        <w:rPr>
          <w:rStyle w:val="29"/>
          <w:rFonts w:hint="eastAsia" w:ascii="Times New Roman" w:hAnsi="Times New Roman" w:eastAsia="黑体"/>
          <w:b w:val="0"/>
          <w:color w:val="auto"/>
          <w:highlight w:val="none"/>
        </w:rPr>
        <w:t>政拨款收入支出决算总体情况说明</w:t>
      </w:r>
      <w:bookmarkEnd w:id="42"/>
      <w:bookmarkEnd w:id="43"/>
      <w:bookmarkEnd w:id="44"/>
      <w:bookmarkEnd w:id="45"/>
    </w:p>
    <w:p w14:paraId="4DE52003">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ascii="仿宋_GB2312" w:hAnsi="仿宋_GB2312" w:eastAsia="仿宋_GB2312" w:cs="仿宋_GB2312"/>
          <w:sz w:val="32"/>
          <w:szCs w:val="32"/>
        </w:rPr>
        <w:t>1015.57</w:t>
      </w:r>
      <w:r>
        <w:rPr>
          <w:rFonts w:hint="eastAsia" w:ascii="Times New Roman" w:hAnsi="Times New Roman" w:eastAsia="仿宋_GB2312" w:cs="仿宋_GB2312"/>
          <w:color w:val="auto"/>
          <w:kern w:val="2"/>
          <w:sz w:val="32"/>
          <w:szCs w:val="32"/>
          <w:highlight w:val="none"/>
          <w:lang w:val="en-US" w:eastAsia="zh-CN" w:bidi="ar-SA"/>
        </w:rPr>
        <w:t>万元。与2023年度相比，财政拨款收入总计、支出总计各增加</w:t>
      </w:r>
      <w:r>
        <w:rPr>
          <w:rFonts w:hint="eastAsia" w:eastAsia="仿宋_GB2312" w:cs="仿宋_GB2312"/>
          <w:color w:val="auto"/>
          <w:kern w:val="2"/>
          <w:sz w:val="32"/>
          <w:szCs w:val="32"/>
          <w:highlight w:val="none"/>
          <w:lang w:val="en-US" w:eastAsia="zh-CN" w:bidi="ar-SA"/>
        </w:rPr>
        <w:t>146.23万元</w:t>
      </w:r>
      <w:r>
        <w:rPr>
          <w:rFonts w:hint="eastAsia" w:ascii="Times New Roman" w:hAnsi="Times New Roman" w:eastAsia="仿宋_GB2312" w:cs="仿宋_GB2312"/>
          <w:color w:val="auto"/>
          <w:kern w:val="2"/>
          <w:sz w:val="32"/>
          <w:szCs w:val="32"/>
          <w:highlight w:val="none"/>
          <w:lang w:val="en-US" w:eastAsia="zh-CN" w:bidi="ar-SA"/>
        </w:rPr>
        <w:t>，增长</w:t>
      </w:r>
      <w:r>
        <w:rPr>
          <w:rFonts w:hint="eastAsia" w:eastAsia="仿宋_GB2312" w:cs="仿宋_GB2312"/>
          <w:color w:val="auto"/>
          <w:kern w:val="2"/>
          <w:sz w:val="32"/>
          <w:szCs w:val="32"/>
          <w:highlight w:val="none"/>
          <w:lang w:val="en-US" w:eastAsia="zh-CN" w:bidi="ar-SA"/>
        </w:rPr>
        <w:t>17</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ascii="仿宋_GB2312" w:hAnsi="仿宋" w:eastAsia="仿宋_GB2312" w:cs="Times New Roman"/>
          <w:sz w:val="32"/>
          <w:szCs w:val="32"/>
          <w:highlight w:val="none"/>
          <w:lang w:val="en-US" w:eastAsia="zh-CN"/>
        </w:rPr>
        <w:t>是因为本年度部分项目调整。</w:t>
      </w:r>
    </w:p>
    <w:p w14:paraId="698F79CE">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0A733D3D">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5E9848D2">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451581A1">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16427BCB">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4BF0E96F">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2B506E3E">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41E9ED4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7D8633B0">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drawing>
          <wp:anchor distT="0" distB="0" distL="114300" distR="114300" simplePos="0" relativeHeight="251660288" behindDoc="0" locked="0" layoutInCell="1" allowOverlap="1">
            <wp:simplePos x="0" y="0"/>
            <wp:positionH relativeFrom="column">
              <wp:posOffset>404495</wp:posOffset>
            </wp:positionH>
            <wp:positionV relativeFrom="paragraph">
              <wp:posOffset>-433705</wp:posOffset>
            </wp:positionV>
            <wp:extent cx="5256530" cy="2988310"/>
            <wp:effectExtent l="5080" t="4445" r="15240" b="17145"/>
            <wp:wrapSquare wrapText="bothSides"/>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49A61C4">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5CEB694D">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030BA8B5">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147FE616">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1B4764B1">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1DF08407">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623A197E">
      <w:pPr>
        <w:spacing w:line="600" w:lineRule="exact"/>
        <w:rPr>
          <w:rFonts w:hint="eastAsia" w:ascii="Times New Roman" w:hAnsi="Times New Roman" w:eastAsia="仿宋_GB2312" w:cs="仿宋_GB2312"/>
          <w:color w:val="auto"/>
          <w:kern w:val="2"/>
          <w:sz w:val="32"/>
          <w:szCs w:val="32"/>
          <w:highlight w:val="none"/>
          <w:lang w:val="en-US" w:eastAsia="zh-CN" w:bidi="ar-SA"/>
        </w:rPr>
      </w:pPr>
    </w:p>
    <w:p w14:paraId="5CFABFE5">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（图4：财政拨款收、支决算总计变动情况）（柱状图）</w:t>
      </w:r>
    </w:p>
    <w:p w14:paraId="5331201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7F843046">
      <w:pPr>
        <w:spacing w:line="600" w:lineRule="exact"/>
        <w:ind w:firstLine="640" w:firstLineChars="200"/>
        <w:outlineLvl w:val="1"/>
        <w:rPr>
          <w:rStyle w:val="29"/>
          <w:rFonts w:ascii="Times New Roman" w:hAnsi="Times New Roman" w:eastAsia="黑体"/>
          <w:b w:val="0"/>
          <w:color w:val="auto"/>
          <w:highlight w:val="none"/>
        </w:rPr>
      </w:pPr>
      <w:bookmarkStart w:id="46" w:name="_Toc15377209"/>
      <w:bookmarkStart w:id="47" w:name="_Toc19951"/>
      <w:bookmarkStart w:id="48" w:name="_Toc19850"/>
      <w:bookmarkStart w:id="49" w:name="_Toc15396607"/>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29"/>
          <w:rFonts w:hint="eastAsia" w:ascii="Times New Roman" w:hAnsi="Times New Roman" w:eastAsia="黑体"/>
          <w:b w:val="0"/>
          <w:color w:val="auto"/>
          <w:highlight w:val="none"/>
        </w:rPr>
        <w:t>般公共预算财政拨款支出决算情况说明</w:t>
      </w:r>
      <w:bookmarkEnd w:id="46"/>
      <w:bookmarkEnd w:id="47"/>
      <w:bookmarkEnd w:id="48"/>
      <w:bookmarkEnd w:id="49"/>
    </w:p>
    <w:p w14:paraId="24612B50">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0" w:name="_Toc15377210"/>
      <w:bookmarkStart w:id="51" w:name="_Toc13250"/>
      <w:bookmarkStart w:id="52" w:name="_Toc698"/>
      <w:r>
        <w:rPr>
          <w:rFonts w:hint="eastAsia" w:ascii="Times New Roman" w:hAnsi="Times New Roman" w:eastAsia="楷体_GB2312" w:cs="楷体_GB2312"/>
          <w:b/>
          <w:color w:val="auto"/>
          <w:sz w:val="32"/>
          <w:szCs w:val="32"/>
          <w:highlight w:val="none"/>
        </w:rPr>
        <w:t>（一）一般公共预算财政拨款支出决算总体情况</w:t>
      </w:r>
      <w:bookmarkEnd w:id="50"/>
      <w:bookmarkEnd w:id="51"/>
      <w:bookmarkEnd w:id="52"/>
    </w:p>
    <w:p w14:paraId="2CBF17B6">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872.47</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85.91</w:t>
      </w:r>
      <w:r>
        <w:rPr>
          <w:rFonts w:hint="eastAsia" w:ascii="仿宋_GB2312" w:hAnsi="仿宋_GB2312" w:eastAsia="仿宋_GB2312" w:cs="仿宋_GB2312"/>
          <w:color w:val="auto"/>
          <w:kern w:val="2"/>
          <w:sz w:val="32"/>
          <w:szCs w:val="32"/>
          <w:highlight w:val="none"/>
          <w:lang w:val="en-US" w:eastAsia="zh-CN" w:bidi="ar-SA"/>
        </w:rPr>
        <w:t>%。与2023年度相比，一般公共预算财政拨款支出增加91.28万元，增长11.7%。主要变动原因是本年度部分项目调整。</w:t>
      </w:r>
    </w:p>
    <w:p w14:paraId="25C92787">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drawing>
          <wp:anchor distT="0" distB="0" distL="114300" distR="114300" simplePos="0" relativeHeight="251661312" behindDoc="0" locked="0" layoutInCell="1" allowOverlap="1">
            <wp:simplePos x="0" y="0"/>
            <wp:positionH relativeFrom="column">
              <wp:posOffset>130175</wp:posOffset>
            </wp:positionH>
            <wp:positionV relativeFrom="paragraph">
              <wp:posOffset>273685</wp:posOffset>
            </wp:positionV>
            <wp:extent cx="5256530" cy="2988310"/>
            <wp:effectExtent l="5080" t="4445" r="15240" b="17145"/>
            <wp:wrapSquare wrapText="bothSides"/>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577C2ED">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p>
    <w:p w14:paraId="64CF175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（图5：一般公共预算财政拨款支出决算变动情况）（柱状图）</w:t>
      </w:r>
    </w:p>
    <w:p w14:paraId="0194C0F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2E2DD99">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3" w:name="_Toc11425"/>
      <w:bookmarkStart w:id="54" w:name="_Toc5248"/>
      <w:bookmarkStart w:id="55" w:name="_Toc15377211"/>
      <w:r>
        <w:rPr>
          <w:rFonts w:hint="eastAsia" w:ascii="Times New Roman" w:hAnsi="Times New Roman" w:eastAsia="楷体_GB2312" w:cs="楷体_GB2312"/>
          <w:b/>
          <w:color w:val="auto"/>
          <w:sz w:val="32"/>
          <w:szCs w:val="32"/>
          <w:highlight w:val="none"/>
        </w:rPr>
        <w:t>（二）一般公共预算财政拨款支出决算结构情况</w:t>
      </w:r>
      <w:bookmarkEnd w:id="53"/>
      <w:bookmarkEnd w:id="54"/>
      <w:bookmarkEnd w:id="55"/>
    </w:p>
    <w:p w14:paraId="6E01772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872.47</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，主要用于以下方面</w:t>
      </w:r>
      <w:r>
        <w:rPr>
          <w:rFonts w:hint="eastAsia" w:eastAsia="仿宋_GB2312" w:cs="仿宋_GB2312"/>
          <w:color w:val="auto"/>
          <w:kern w:val="2"/>
          <w:sz w:val="32"/>
          <w:szCs w:val="32"/>
          <w:highlight w:val="none"/>
          <w:lang w:val="en-US" w:eastAsia="zh-CN" w:bidi="ar-SA"/>
        </w:rPr>
        <w:t>：社会保障和就业支出857.12</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98.24</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卫生健康支出6.09</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0.7</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；住房保障支出9.26万元</w:t>
      </w:r>
      <w:r>
        <w:rPr>
          <w:rFonts w:hint="eastAsia" w:ascii="Times New Roman" w:hAnsi="Times New Roman" w:eastAsia="仿宋_GB2312" w:cs="仿宋_GB2312"/>
          <w:color w:val="auto"/>
          <w:kern w:val="2"/>
          <w:sz w:val="32"/>
          <w:szCs w:val="32"/>
          <w:highlight w:val="none"/>
          <w:lang w:val="en-US" w:eastAsia="zh-CN" w:bidi="ar-SA"/>
        </w:rPr>
        <w:t>占1.06%。</w:t>
      </w:r>
    </w:p>
    <w:p w14:paraId="51E019D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7B2B708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38D73F9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66BF59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615F6C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sz w:val="32"/>
          <w:szCs w:val="32"/>
          <w:highlight w:val="none"/>
          <w:lang w:eastAsia="zh-CN"/>
        </w:rPr>
        <w:drawing>
          <wp:anchor distT="0" distB="0" distL="114300" distR="114300" simplePos="0" relativeHeight="251662336" behindDoc="0" locked="0" layoutInCell="1" allowOverlap="1">
            <wp:simplePos x="0" y="0"/>
            <wp:positionH relativeFrom="column">
              <wp:posOffset>280670</wp:posOffset>
            </wp:positionH>
            <wp:positionV relativeFrom="paragraph">
              <wp:posOffset>-255270</wp:posOffset>
            </wp:positionV>
            <wp:extent cx="5256530" cy="2988310"/>
            <wp:effectExtent l="5080" t="4445" r="15240" b="17145"/>
            <wp:wrapSquare wrapText="bothSides"/>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4C9244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（图6：一般公共预算财政拨款支出决算结构）（饼状图）</w:t>
      </w:r>
    </w:p>
    <w:p w14:paraId="084117B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30E36615">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6" w:name="_Toc15377212"/>
      <w:bookmarkStart w:id="57" w:name="_Toc16405"/>
      <w:bookmarkStart w:id="58" w:name="_Toc7545"/>
      <w:r>
        <w:rPr>
          <w:rFonts w:hint="eastAsia" w:ascii="Times New Roman" w:hAnsi="Times New Roman" w:eastAsia="楷体_GB2312" w:cs="楷体_GB2312"/>
          <w:b/>
          <w:color w:val="auto"/>
          <w:sz w:val="32"/>
          <w:szCs w:val="32"/>
          <w:highlight w:val="none"/>
        </w:rPr>
        <w:t>（三）一般公共预算财政拨款支出决算具体情况</w:t>
      </w:r>
      <w:bookmarkEnd w:id="56"/>
      <w:bookmarkEnd w:id="57"/>
      <w:bookmarkEnd w:id="58"/>
    </w:p>
    <w:p w14:paraId="638B415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59" w:name="_Toc15378460"/>
      <w:bookmarkStart w:id="60" w:name="_Toc15377213"/>
      <w:bookmarkStart w:id="61" w:name="_Toc15377444"/>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w:t>
      </w:r>
      <w:r>
        <w:rPr>
          <w:rFonts w:hint="eastAsia" w:ascii="仿宋_GB2312" w:hAnsi="仿宋_GB2312" w:eastAsia="仿宋_GB2312" w:cs="仿宋_GB2312"/>
          <w:sz w:val="32"/>
          <w:szCs w:val="32"/>
        </w:rPr>
        <w:t>872.47</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%。其中：</w:t>
      </w:r>
      <w:bookmarkEnd w:id="59"/>
      <w:bookmarkEnd w:id="60"/>
      <w:bookmarkEnd w:id="61"/>
    </w:p>
    <w:p w14:paraId="2DDE059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eastAsia="仿宋_GB2312" w:cs="仿宋_GB2312"/>
          <w:color w:val="auto"/>
          <w:kern w:val="2"/>
          <w:sz w:val="32"/>
          <w:szCs w:val="32"/>
          <w:highlight w:val="none"/>
          <w:lang w:val="en-US" w:eastAsia="zh-CN" w:bidi="ar-SA"/>
        </w:rPr>
        <w:t>.社会保障和就业支出（类）行政事业部门部门养老支出（款）行政部门离退休（项）：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0.36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53663FD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w:t>
      </w:r>
      <w:r>
        <w:rPr>
          <w:rFonts w:hint="eastAsia" w:eastAsia="仿宋_GB2312" w:cs="仿宋_GB2312"/>
          <w:color w:val="auto"/>
          <w:kern w:val="2"/>
          <w:sz w:val="32"/>
          <w:szCs w:val="32"/>
          <w:highlight w:val="none"/>
          <w:lang w:val="en-US" w:eastAsia="zh-CN" w:bidi="ar-SA"/>
        </w:rPr>
        <w:t>社会保障和就业支出（类）行政事业部门部门养老支出（款）机关事业部门基本养老保险缴费支出（项）</w:t>
      </w:r>
      <w:r>
        <w:rPr>
          <w:rFonts w:hint="eastAsia" w:ascii="Times New Roman" w:hAnsi="Times New Roman" w:eastAsia="仿宋_GB2312" w:cs="仿宋_GB2312"/>
          <w:color w:val="auto"/>
          <w:kern w:val="2"/>
          <w:sz w:val="32"/>
          <w:szCs w:val="32"/>
          <w:highlight w:val="none"/>
          <w:lang w:val="en-US" w:eastAsia="zh-CN" w:bidi="ar-SA"/>
        </w:rPr>
        <w:t>: 支出决算为</w:t>
      </w:r>
      <w:r>
        <w:rPr>
          <w:rFonts w:hint="eastAsia" w:eastAsia="仿宋_GB2312" w:cs="仿宋_GB2312"/>
          <w:color w:val="auto"/>
          <w:kern w:val="2"/>
          <w:sz w:val="32"/>
          <w:szCs w:val="32"/>
          <w:highlight w:val="none"/>
          <w:lang w:val="en-US" w:eastAsia="zh-CN" w:bidi="ar-SA"/>
        </w:rPr>
        <w:t>10.95</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6F60FFD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w:t>
      </w:r>
      <w:r>
        <w:rPr>
          <w:rFonts w:hint="eastAsia" w:eastAsia="仿宋_GB2312" w:cs="仿宋_GB2312"/>
          <w:color w:val="auto"/>
          <w:kern w:val="2"/>
          <w:sz w:val="32"/>
          <w:szCs w:val="32"/>
          <w:highlight w:val="none"/>
          <w:lang w:val="en-US" w:eastAsia="zh-CN" w:bidi="ar-SA"/>
        </w:rPr>
        <w:t>社会保障和就业支出（类）行政事业部门部门养老支出（款）机关事业部门职业年金缴费支出（项）：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5.48</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5D6ADD5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4.</w:t>
      </w:r>
      <w:r>
        <w:rPr>
          <w:rFonts w:hint="eastAsia" w:eastAsia="仿宋_GB2312" w:cs="仿宋_GB2312"/>
          <w:color w:val="auto"/>
          <w:kern w:val="2"/>
          <w:sz w:val="32"/>
          <w:szCs w:val="32"/>
          <w:highlight w:val="none"/>
          <w:lang w:val="en-US" w:eastAsia="zh-CN" w:bidi="ar-SA"/>
        </w:rPr>
        <w:t>社会保障和就业支出（类）行政事业部门部门养老支出（款）其他行政事业部门养老支出（类）：</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16.11</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决</w:t>
      </w:r>
      <w:r>
        <w:rPr>
          <w:rFonts w:hint="eastAsia" w:ascii="Times New Roman" w:hAnsi="Times New Roman" w:eastAsia="仿宋_GB2312" w:cs="仿宋_GB2312"/>
          <w:color w:val="auto"/>
          <w:kern w:val="2"/>
          <w:sz w:val="32"/>
          <w:szCs w:val="32"/>
          <w:highlight w:val="none"/>
          <w:lang w:val="en-US" w:eastAsia="zh-CN" w:bidi="ar-SA"/>
        </w:rPr>
        <w:t>算数等于预算数的主要原因是</w:t>
      </w:r>
      <w:r>
        <w:rPr>
          <w:rFonts w:hint="eastAsia" w:eastAsia="仿宋_GB2312" w:cs="仿宋_GB2312"/>
          <w:color w:val="auto"/>
          <w:kern w:val="2"/>
          <w:sz w:val="32"/>
          <w:szCs w:val="32"/>
          <w:highlight w:val="none"/>
          <w:lang w:val="en-US" w:eastAsia="zh-CN" w:bidi="ar-SA"/>
        </w:rPr>
        <w:t>正常完成任务。</w:t>
      </w:r>
    </w:p>
    <w:p w14:paraId="7BF2A81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5.</w:t>
      </w:r>
      <w:r>
        <w:rPr>
          <w:rFonts w:hint="eastAsia" w:eastAsia="仿宋_GB2312" w:cs="仿宋_GB2312"/>
          <w:color w:val="auto"/>
          <w:kern w:val="2"/>
          <w:sz w:val="32"/>
          <w:szCs w:val="32"/>
          <w:highlight w:val="none"/>
          <w:lang w:val="en-US" w:eastAsia="zh-CN" w:bidi="ar-SA"/>
        </w:rPr>
        <w:t>社会保障和就业支出（类）残疾人事业（款）行政运行（项）：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75.32</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21E0D53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6.</w:t>
      </w:r>
      <w:r>
        <w:rPr>
          <w:rFonts w:hint="eastAsia" w:eastAsia="仿宋_GB2312" w:cs="仿宋_GB2312"/>
          <w:color w:val="auto"/>
          <w:kern w:val="2"/>
          <w:sz w:val="32"/>
          <w:szCs w:val="32"/>
          <w:highlight w:val="none"/>
          <w:lang w:val="en-US" w:eastAsia="zh-CN" w:bidi="ar-SA"/>
        </w:rPr>
        <w:t>社会保障和就业支出（类）残疾人事业（款）机关服务（项）：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25.14</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1E9CB4A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7</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社会保障和就业支出（类）残疾人事业（款）残疾人康复（项）：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399.90</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0D12AB8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8</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社会保障和就业支出（类）残疾人事业（款）残疾人就业（项）：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65.31</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2D6CABA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9</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社会保障和就业支出（类）残疾人事业（款）残疾人体育（项）：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5.2</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755EF40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10</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社会保障和就业支出（类）残疾人事业（款）其他残疾人事业支出（项）：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253.06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265BF26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11</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社会保障和就业支出（类）其他社会保障和就业支出（款）其他社会保障和就业支出（项）：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0.26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13251DB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12</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卫生健康支出（类）行政事业部门医疗（款）行政部门医疗（项）：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1.96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73D941C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13</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卫生健康支出（类）行政事业部门医疗（款）事业部门医疗（项）：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1.16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77296E8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14</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卫生健康支出（类）行政事业部门医疗（款）公务员医疗补助（项）：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0.68</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25023BD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15</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卫生健康支出（类）行政事业部门医疗（款）其他行政事业部门医疗支出（项）：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2.28</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06116FB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16</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住房保障支出（类）住房改革支出（款）住房公积金（项）：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9.25</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44C9B3FC">
      <w:pPr>
        <w:pStyle w:val="13"/>
        <w:ind w:left="0" w:leftChars="0" w:firstLine="0" w:firstLineChars="0"/>
        <w:rPr>
          <w:rFonts w:hint="eastAsia" w:ascii="Times New Roman" w:hAnsi="Times New Roman" w:eastAsia="仿宋_GB2312" w:cs="仿宋_GB2312"/>
          <w:color w:val="auto"/>
          <w:kern w:val="2"/>
          <w:sz w:val="32"/>
          <w:szCs w:val="32"/>
          <w:highlight w:val="none"/>
          <w:lang w:val="en-US" w:eastAsia="zh-CN" w:bidi="ar-SA"/>
        </w:rPr>
      </w:pPr>
    </w:p>
    <w:p w14:paraId="373499F6">
      <w:pPr>
        <w:pStyle w:val="13"/>
        <w:rPr>
          <w:rFonts w:hint="eastAsia" w:ascii="Times New Roman" w:hAnsi="Times New Roman" w:eastAsia="仿宋_GB2312" w:cs="仿宋_GB2312"/>
          <w:color w:val="auto"/>
          <w:kern w:val="2"/>
          <w:sz w:val="32"/>
          <w:szCs w:val="32"/>
          <w:highlight w:val="none"/>
          <w:lang w:val="en-US" w:eastAsia="zh-CN" w:bidi="ar-SA"/>
        </w:rPr>
      </w:pPr>
    </w:p>
    <w:p w14:paraId="29C5740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64A783CB">
      <w:pPr>
        <w:tabs>
          <w:tab w:val="right" w:pos="8306"/>
        </w:tabs>
        <w:spacing w:line="600" w:lineRule="exact"/>
        <w:ind w:firstLine="640"/>
        <w:outlineLvl w:val="1"/>
        <w:rPr>
          <w:rStyle w:val="29"/>
          <w:rFonts w:ascii="Times New Roman" w:hAnsi="Times New Roman"/>
          <w:color w:val="auto"/>
          <w:highlight w:val="none"/>
        </w:rPr>
      </w:pPr>
      <w:bookmarkStart w:id="62" w:name="_Toc15396608"/>
      <w:bookmarkStart w:id="63" w:name="_Toc1695"/>
      <w:bookmarkStart w:id="64" w:name="_Toc24183"/>
      <w:bookmarkStart w:id="65" w:name="_Toc15377214"/>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29"/>
          <w:rFonts w:hint="eastAsia" w:ascii="Times New Roman" w:hAnsi="Times New Roman" w:eastAsia="黑体"/>
          <w:b w:val="0"/>
          <w:color w:val="auto"/>
          <w:highlight w:val="none"/>
        </w:rPr>
        <w:t>般公共预算财政拨款基本支出决算情况说明</w:t>
      </w:r>
      <w:bookmarkEnd w:id="62"/>
      <w:bookmarkEnd w:id="63"/>
      <w:bookmarkEnd w:id="64"/>
      <w:bookmarkEnd w:id="65"/>
      <w:r>
        <w:rPr>
          <w:rStyle w:val="29"/>
          <w:rFonts w:ascii="Times New Roman" w:hAnsi="Times New Roman" w:eastAsia="黑体"/>
          <w:b w:val="0"/>
          <w:color w:val="auto"/>
          <w:highlight w:val="none"/>
        </w:rPr>
        <w:tab/>
      </w:r>
    </w:p>
    <w:p w14:paraId="7FDAC7C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ascii="仿宋_GB2312" w:hAnsi="仿宋_GB2312" w:eastAsia="仿宋_GB2312" w:cs="仿宋_GB2312"/>
          <w:sz w:val="32"/>
          <w:szCs w:val="32"/>
        </w:rPr>
        <w:t>148.99</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元，其中：</w:t>
      </w:r>
    </w:p>
    <w:p w14:paraId="68F32CE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ascii="仿宋_GB2312" w:hAnsi="仿宋_GB2312" w:eastAsia="仿宋_GB2312" w:cs="仿宋_GB2312"/>
          <w:sz w:val="32"/>
          <w:szCs w:val="32"/>
        </w:rPr>
        <w:t>132.52</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元，主要包括：基本工资、津贴补贴、奖金、伙食补助费、绩效工资、机关事业</w:t>
      </w:r>
      <w:r>
        <w:rPr>
          <w:rFonts w:hint="eastAsia" w:eastAsia="仿宋_GB2312" w:cs="仿宋_GB2312"/>
          <w:color w:val="auto"/>
          <w:kern w:val="2"/>
          <w:sz w:val="32"/>
          <w:szCs w:val="32"/>
          <w:highlight w:val="none"/>
          <w:lang w:val="en-US" w:eastAsia="zh-CN" w:bidi="ar-SA"/>
        </w:rPr>
        <w:t>部门</w:t>
      </w:r>
      <w:r>
        <w:rPr>
          <w:rFonts w:hint="eastAsia" w:ascii="Times New Roman" w:hAnsi="Times New Roman" w:eastAsia="仿宋_GB2312" w:cs="仿宋_GB2312"/>
          <w:color w:val="auto"/>
          <w:kern w:val="2"/>
          <w:sz w:val="32"/>
          <w:szCs w:val="32"/>
          <w:highlight w:val="none"/>
          <w:lang w:val="en-US" w:eastAsia="zh-CN" w:bidi="ar-SA"/>
        </w:rPr>
        <w:t>基本养老保险缴费、职业年金缴费、其他社会保障缴费、其他工资福利支出、离休费、退休费、抚恤金、生活补助、医疗费补助、奖励金、住房公积金、其他对个人和家庭的补助支出等。</w:t>
      </w:r>
      <w:r>
        <w:rPr>
          <w:rFonts w:hint="eastAsia" w:ascii="Times New Roman" w:hAnsi="Times New Roman" w:eastAsia="仿宋_GB2312" w:cs="仿宋_GB2312"/>
          <w:color w:val="auto"/>
          <w:kern w:val="2"/>
          <w:sz w:val="32"/>
          <w:szCs w:val="32"/>
          <w:highlight w:val="none"/>
          <w:lang w:val="en-US" w:eastAsia="zh-CN" w:bidi="ar-SA"/>
        </w:rPr>
        <w:br w:type="textWrapping"/>
      </w:r>
      <w:r>
        <w:rPr>
          <w:rFonts w:hint="eastAsia" w:ascii="Times New Roman" w:hAnsi="Times New Roman" w:eastAsia="仿宋_GB2312" w:cs="仿宋_GB2312"/>
          <w:color w:val="auto"/>
          <w:kern w:val="2"/>
          <w:sz w:val="32"/>
          <w:szCs w:val="32"/>
          <w:highlight w:val="none"/>
          <w:lang w:val="en-US" w:eastAsia="zh-CN" w:bidi="ar-SA"/>
        </w:rPr>
        <w:t>　　公用经费</w:t>
      </w:r>
      <w:r>
        <w:rPr>
          <w:rFonts w:hint="eastAsia" w:ascii="仿宋_GB2312" w:hAnsi="仿宋_GB2312" w:eastAsia="仿宋_GB2312" w:cs="仿宋_GB2312"/>
          <w:sz w:val="32"/>
          <w:szCs w:val="32"/>
        </w:rPr>
        <w:t>16.46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5751C06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15E64360">
      <w:pPr>
        <w:spacing w:line="600" w:lineRule="exact"/>
        <w:ind w:firstLine="640"/>
        <w:outlineLvl w:val="1"/>
        <w:rPr>
          <w:rStyle w:val="29"/>
          <w:rFonts w:ascii="Times New Roman" w:hAnsi="Times New Roman" w:eastAsia="黑体"/>
          <w:b w:val="0"/>
          <w:color w:val="auto"/>
          <w:highlight w:val="none"/>
        </w:rPr>
      </w:pPr>
      <w:bookmarkStart w:id="66" w:name="_Toc15396609"/>
      <w:bookmarkStart w:id="67" w:name="_Toc860"/>
      <w:bookmarkStart w:id="68" w:name="_Toc32532"/>
      <w:bookmarkStart w:id="69" w:name="_Toc15377215"/>
      <w:r>
        <w:rPr>
          <w:rFonts w:hint="eastAsia" w:ascii="Times New Roman" w:hAnsi="Times New Roman" w:eastAsia="黑体"/>
          <w:color w:val="auto"/>
          <w:sz w:val="32"/>
          <w:szCs w:val="32"/>
          <w:highlight w:val="none"/>
        </w:rPr>
        <w:t>七、</w:t>
      </w:r>
      <w:r>
        <w:rPr>
          <w:rStyle w:val="29"/>
          <w:rFonts w:hint="eastAsia" w:ascii="Times New Roman" w:hAnsi="Times New Roman" w:eastAsia="黑体"/>
          <w:b w:val="0"/>
          <w:color w:val="auto"/>
          <w:highlight w:val="none"/>
        </w:rPr>
        <w:t>财政拨款</w:t>
      </w:r>
      <w:r>
        <w:rPr>
          <w:rStyle w:val="29"/>
          <w:rFonts w:hint="eastAsia" w:ascii="Times New Roman" w:hAnsi="Times New Roman" w:eastAsia="黑体"/>
          <w:color w:val="auto"/>
          <w:highlight w:val="none"/>
        </w:rPr>
        <w:t>“</w:t>
      </w:r>
      <w:r>
        <w:rPr>
          <w:rStyle w:val="29"/>
          <w:rFonts w:hint="eastAsia" w:ascii="Times New Roman" w:hAnsi="Times New Roman" w:eastAsia="黑体"/>
          <w:b w:val="0"/>
          <w:color w:val="auto"/>
          <w:highlight w:val="none"/>
        </w:rPr>
        <w:t>三公”经费支出决算情况说明</w:t>
      </w:r>
      <w:bookmarkEnd w:id="66"/>
      <w:bookmarkEnd w:id="67"/>
      <w:bookmarkEnd w:id="68"/>
      <w:bookmarkEnd w:id="69"/>
    </w:p>
    <w:p w14:paraId="08F8A27B">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70" w:name="_Toc15377216"/>
      <w:bookmarkStart w:id="71" w:name="_Toc31145"/>
      <w:bookmarkStart w:id="72" w:name="_Toc13761"/>
      <w:r>
        <w:rPr>
          <w:rFonts w:hint="eastAsia" w:ascii="Times New Roman" w:hAnsi="Times New Roman" w:eastAsia="楷体_GB2312" w:cs="楷体_GB2312"/>
          <w:b/>
          <w:color w:val="auto"/>
          <w:sz w:val="32"/>
          <w:szCs w:val="32"/>
          <w:highlight w:val="none"/>
        </w:rPr>
        <w:t>（一）“三公”经费财政拨款支出决算总体情况说明</w:t>
      </w:r>
      <w:bookmarkEnd w:id="70"/>
      <w:bookmarkEnd w:id="71"/>
      <w:bookmarkEnd w:id="72"/>
    </w:p>
    <w:p w14:paraId="2E05D69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ascii="仿宋_GB2312" w:hAnsi="仿宋_GB2312" w:eastAsia="仿宋_GB2312" w:cs="仿宋_GB2312"/>
          <w:sz w:val="32"/>
          <w:szCs w:val="32"/>
        </w:rPr>
        <w:t>2.49</w:t>
      </w:r>
      <w:r>
        <w:rPr>
          <w:rFonts w:hint="eastAsia" w:ascii="仿宋_GB2312" w:hAnsi="仿宋_GB2312" w:eastAsia="仿宋_GB2312" w:cs="仿宋_GB2312"/>
          <w:color w:val="auto"/>
          <w:kern w:val="2"/>
          <w:sz w:val="32"/>
          <w:szCs w:val="32"/>
          <w:highlight w:val="none"/>
          <w:lang w:val="en-US" w:eastAsia="zh-CN" w:bidi="ar-SA"/>
        </w:rPr>
        <w:t>万元，完成预算</w:t>
      </w:r>
      <w:r>
        <w:rPr>
          <w:rFonts w:hint="eastAsia" w:ascii="仿宋_GB2312" w:hAnsi="仿宋_GB2312" w:eastAsia="仿宋_GB2312" w:cs="仿宋_GB2312"/>
          <w:sz w:val="32"/>
          <w:szCs w:val="32"/>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较上年度减少</w:t>
      </w:r>
      <w:r>
        <w:rPr>
          <w:rFonts w:hint="eastAsia" w:eastAsia="仿宋_GB2312" w:cs="仿宋_GB2312"/>
          <w:color w:val="auto"/>
          <w:kern w:val="2"/>
          <w:sz w:val="32"/>
          <w:szCs w:val="32"/>
          <w:highlight w:val="none"/>
          <w:lang w:val="en-US" w:eastAsia="zh-CN" w:bidi="ar-SA"/>
        </w:rPr>
        <w:t>0.07</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2.7</w:t>
      </w:r>
      <w:r>
        <w:rPr>
          <w:rFonts w:hint="eastAsia" w:ascii="Times New Roman" w:hAnsi="Times New Roman" w:eastAsia="仿宋_GB2312" w:cs="仿宋_GB2312"/>
          <w:color w:val="auto"/>
          <w:kern w:val="2"/>
          <w:sz w:val="32"/>
          <w:szCs w:val="32"/>
          <w:highlight w:val="none"/>
          <w:lang w:val="en-US" w:eastAsia="zh-CN" w:bidi="ar-SA"/>
        </w:rPr>
        <w:t>%。决算数小于预算数的主要原因是</w:t>
      </w:r>
      <w:r>
        <w:rPr>
          <w:rFonts w:hint="eastAsia" w:eastAsia="仿宋_GB2312" w:cs="仿宋_GB2312"/>
          <w:color w:val="auto"/>
          <w:kern w:val="2"/>
          <w:sz w:val="32"/>
          <w:szCs w:val="32"/>
          <w:highlight w:val="none"/>
          <w:lang w:val="en-US" w:eastAsia="zh-CN" w:bidi="ar-SA"/>
        </w:rPr>
        <w:t>项目工作调整</w:t>
      </w:r>
    </w:p>
    <w:p w14:paraId="4F0752AA">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73" w:name="_Toc15377217"/>
      <w:bookmarkStart w:id="74" w:name="_Toc28997"/>
      <w:bookmarkStart w:id="75" w:name="_Toc17793"/>
      <w:r>
        <w:rPr>
          <w:rFonts w:hint="eastAsia" w:ascii="Times New Roman" w:hAnsi="Times New Roman" w:eastAsia="楷体_GB2312" w:cs="楷体_GB2312"/>
          <w:b/>
          <w:color w:val="auto"/>
          <w:sz w:val="32"/>
          <w:szCs w:val="32"/>
          <w:highlight w:val="none"/>
        </w:rPr>
        <w:t>（二）“三公”经费财政拨款支出决算具体情况说明</w:t>
      </w:r>
      <w:bookmarkEnd w:id="73"/>
      <w:bookmarkEnd w:id="74"/>
      <w:bookmarkEnd w:id="75"/>
    </w:p>
    <w:p w14:paraId="201BA705">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2024年度“三公”经费财政拨款支出决算中，因公出国（境）费支出决算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万元，占0%；公务用车购置及运行维护费支出决算</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47</w:t>
      </w:r>
      <w:r>
        <w:rPr>
          <w:rFonts w:hint="eastAsia" w:ascii="仿宋_GB2312" w:hAnsi="仿宋_GB2312" w:eastAsia="仿宋_GB2312" w:cs="仿宋_GB2312"/>
          <w:color w:val="auto"/>
          <w:kern w:val="2"/>
          <w:sz w:val="32"/>
          <w:szCs w:val="32"/>
          <w:highlight w:val="none"/>
          <w:lang w:val="en-US" w:eastAsia="zh-CN" w:bidi="ar-SA"/>
        </w:rPr>
        <w:t>万元，占99%；公务接待费支出决算</w:t>
      </w:r>
      <w:r>
        <w:rPr>
          <w:rFonts w:hint="eastAsia" w:ascii="仿宋_GB2312" w:hAnsi="仿宋_GB2312" w:eastAsia="仿宋_GB2312" w:cs="仿宋_GB2312"/>
          <w:sz w:val="32"/>
          <w:szCs w:val="32"/>
        </w:rPr>
        <w:t>0.02</w:t>
      </w:r>
      <w:r>
        <w:rPr>
          <w:rFonts w:hint="eastAsia" w:ascii="仿宋_GB2312" w:hAnsi="仿宋_GB2312" w:eastAsia="仿宋_GB2312" w:cs="仿宋_GB2312"/>
          <w:color w:val="auto"/>
          <w:kern w:val="2"/>
          <w:sz w:val="32"/>
          <w:szCs w:val="32"/>
          <w:highlight w:val="none"/>
          <w:lang w:val="en-US" w:eastAsia="zh-CN" w:bidi="ar-SA"/>
        </w:rPr>
        <w:t>万元，占1%。具体情况如下：</w:t>
      </w:r>
    </w:p>
    <w:p w14:paraId="426AECF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（图7：“三公”经费财政拨款支出结构）（饼状图）</w:t>
      </w:r>
    </w:p>
    <w:p w14:paraId="7A83EB9D">
      <w:pPr>
        <w:numPr>
          <w:ilvl w:val="0"/>
          <w:numId w:val="2"/>
        </w:numPr>
        <w:spacing w:line="600" w:lineRule="exact"/>
        <w:ind w:firstLine="640"/>
        <w:rPr>
          <w:rFonts w:hint="eastAsia"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因公出国（境）经费支出</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万元，完成预算</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全年安排因公出国（境）团</w:t>
      </w:r>
      <w:r>
        <w:rPr>
          <w:rFonts w:hint="eastAsia" w:ascii="仿宋_GB2312" w:hAnsi="仿宋_GB2312" w:eastAsia="仿宋_GB2312" w:cs="仿宋_GB2312"/>
          <w:color w:val="auto"/>
          <w:kern w:val="2"/>
          <w:sz w:val="32"/>
          <w:szCs w:val="32"/>
          <w:highlight w:val="none"/>
          <w:lang w:val="en-US" w:eastAsia="zh-CN" w:bidi="ar-SA"/>
        </w:rPr>
        <w:t>组</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w:t>
      </w:r>
      <w:r>
        <w:rPr>
          <w:rFonts w:hint="eastAsia" w:ascii="Times New Roman" w:hAnsi="Times New Roman" w:eastAsia="仿宋_GB2312" w:cs="仿宋_GB2312"/>
          <w:color w:val="auto"/>
          <w:kern w:val="2"/>
          <w:sz w:val="32"/>
          <w:szCs w:val="32"/>
          <w:highlight w:val="none"/>
          <w:lang w:val="en-US" w:eastAsia="zh-CN" w:bidi="ar-SA"/>
        </w:rPr>
        <w:t>。因公出国（境）支出决算比2023年增加</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w:t>
      </w:r>
    </w:p>
    <w:p w14:paraId="2C14ADE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2.公务用车购置及运行维护费支出</w:t>
      </w:r>
      <w:r>
        <w:rPr>
          <w:rFonts w:hint="eastAsia" w:ascii="仿宋_GB2312" w:hAnsi="仿宋_GB2312" w:eastAsia="仿宋_GB2312" w:cs="仿宋_GB2312"/>
          <w:b/>
          <w:bCs/>
          <w:color w:val="auto"/>
          <w:kern w:val="2"/>
          <w:sz w:val="32"/>
          <w:szCs w:val="32"/>
          <w:highlight w:val="none"/>
          <w:lang w:val="en-US" w:eastAsia="zh-CN" w:bidi="ar-SA"/>
        </w:rPr>
        <w:t>2.47万</w:t>
      </w:r>
      <w:r>
        <w:rPr>
          <w:rFonts w:hint="eastAsia" w:ascii="Times New Roman" w:hAnsi="Times New Roman" w:eastAsia="仿宋_GB2312" w:cs="仿宋_GB2312"/>
          <w:b/>
          <w:bCs/>
          <w:color w:val="auto"/>
          <w:kern w:val="2"/>
          <w:sz w:val="32"/>
          <w:szCs w:val="32"/>
          <w:highlight w:val="none"/>
          <w:lang w:val="en-US" w:eastAsia="zh-CN" w:bidi="ar-SA"/>
        </w:rPr>
        <w:t>元</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公务用车购置及运行维护费支出决算比2023年度增加</w:t>
      </w:r>
      <w:r>
        <w:rPr>
          <w:rFonts w:hint="eastAsia" w:eastAsia="仿宋_GB2312" w:cs="仿宋_GB2312"/>
          <w:color w:val="auto"/>
          <w:kern w:val="2"/>
          <w:sz w:val="32"/>
          <w:szCs w:val="32"/>
          <w:highlight w:val="none"/>
          <w:lang w:val="en-US" w:eastAsia="zh-CN" w:bidi="ar-SA"/>
        </w:rPr>
        <w:t>0.27</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12.25</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公车维护费用增加</w:t>
      </w:r>
    </w:p>
    <w:p w14:paraId="7D7A3CC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其中：公务用车购置支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万元。全年按规定更新购置公务用车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辆。截至2024年12月31日，</w:t>
      </w:r>
      <w:r>
        <w:rPr>
          <w:rFonts w:hint="eastAsia" w:eastAsia="仿宋_GB2312" w:cs="仿宋_GB2312"/>
          <w:color w:val="auto"/>
          <w:kern w:val="2"/>
          <w:sz w:val="32"/>
          <w:szCs w:val="32"/>
          <w:highlight w:val="none"/>
          <w:lang w:val="en-US" w:eastAsia="zh-CN" w:bidi="ar-SA"/>
        </w:rPr>
        <w:t>部门</w:t>
      </w:r>
      <w:r>
        <w:rPr>
          <w:rFonts w:hint="eastAsia" w:ascii="Times New Roman" w:hAnsi="Times New Roman" w:eastAsia="仿宋_GB2312" w:cs="仿宋_GB2312"/>
          <w:color w:val="auto"/>
          <w:kern w:val="2"/>
          <w:sz w:val="32"/>
          <w:szCs w:val="32"/>
          <w:highlight w:val="none"/>
          <w:lang w:val="en-US" w:eastAsia="zh-CN" w:bidi="ar-SA"/>
        </w:rPr>
        <w:t>共有公务用车</w:t>
      </w:r>
      <w:r>
        <w:rPr>
          <w:rFonts w:hint="eastAsia"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en-US" w:eastAsia="zh-CN" w:bidi="ar-SA"/>
        </w:rPr>
        <w:t>辆、越野车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辆、载客汽车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w:t>
      </w:r>
    </w:p>
    <w:p w14:paraId="6AF9888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公务用车运行维护费支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2.47</w:t>
      </w:r>
      <w:r>
        <w:rPr>
          <w:rFonts w:hint="eastAsia" w:ascii="Times New Roman" w:hAnsi="Times New Roman" w:eastAsia="仿宋_GB2312" w:cs="仿宋_GB2312"/>
          <w:color w:val="auto"/>
          <w:kern w:val="2"/>
          <w:sz w:val="32"/>
          <w:szCs w:val="32"/>
          <w:highlight w:val="none"/>
          <w:lang w:val="en-US" w:eastAsia="zh-CN" w:bidi="ar-SA"/>
        </w:rPr>
        <w:t>万元。主要用于</w:t>
      </w:r>
      <w:r>
        <w:rPr>
          <w:rFonts w:hint="eastAsia" w:eastAsia="仿宋_GB2312" w:cs="仿宋_GB2312"/>
          <w:color w:val="auto"/>
          <w:kern w:val="2"/>
          <w:sz w:val="32"/>
          <w:szCs w:val="32"/>
          <w:highlight w:val="none"/>
          <w:lang w:val="en-US" w:eastAsia="zh-CN" w:bidi="ar-SA"/>
        </w:rPr>
        <w:t>走访慰问残疾人</w:t>
      </w:r>
      <w:r>
        <w:rPr>
          <w:rFonts w:hint="eastAsia" w:ascii="Times New Roman" w:hAnsi="Times New Roman" w:eastAsia="仿宋_GB2312" w:cs="仿宋_GB2312"/>
          <w:color w:val="auto"/>
          <w:kern w:val="2"/>
          <w:sz w:val="32"/>
          <w:szCs w:val="32"/>
          <w:highlight w:val="none"/>
          <w:lang w:val="en-US" w:eastAsia="zh-CN" w:bidi="ar-SA"/>
        </w:rPr>
        <w:t>所需的公务用车燃料费、维修费、过路过桥费、保险费等支出。</w:t>
      </w:r>
    </w:p>
    <w:p w14:paraId="651C231B">
      <w:pPr>
        <w:numPr>
          <w:ilvl w:val="0"/>
          <w:numId w:val="2"/>
        </w:numPr>
        <w:spacing w:line="600" w:lineRule="exact"/>
        <w:ind w:left="0" w:leftChars="0" w:firstLine="640" w:firstLineChars="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公务接待费支出</w:t>
      </w:r>
      <w:r>
        <w:rPr>
          <w:rFonts w:hint="eastAsia" w:ascii="仿宋_GB2312" w:hAnsi="仿宋_GB2312" w:eastAsia="仿宋_GB2312" w:cs="仿宋_GB2312"/>
          <w:b/>
          <w:bCs/>
          <w:color w:val="auto"/>
          <w:kern w:val="2"/>
          <w:sz w:val="32"/>
          <w:szCs w:val="32"/>
          <w:highlight w:val="none"/>
          <w:lang w:val="en-US" w:eastAsia="zh-CN" w:bidi="ar-SA"/>
        </w:rPr>
        <w:t>0.02万</w:t>
      </w:r>
      <w:r>
        <w:rPr>
          <w:rFonts w:hint="eastAsia" w:ascii="Times New Roman" w:hAnsi="Times New Roman" w:eastAsia="仿宋_GB2312" w:cs="仿宋_GB2312"/>
          <w:b/>
          <w:bCs/>
          <w:color w:val="auto"/>
          <w:kern w:val="2"/>
          <w:sz w:val="32"/>
          <w:szCs w:val="32"/>
          <w:highlight w:val="none"/>
          <w:lang w:val="en-US" w:eastAsia="zh-CN" w:bidi="ar-SA"/>
        </w:rPr>
        <w:t>元，完成预算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公务接待费支出决算比2023年度减少</w:t>
      </w:r>
      <w:r>
        <w:rPr>
          <w:rFonts w:hint="eastAsia" w:eastAsia="仿宋_GB2312" w:cs="仿宋_GB2312"/>
          <w:color w:val="auto"/>
          <w:kern w:val="2"/>
          <w:sz w:val="32"/>
          <w:szCs w:val="32"/>
          <w:highlight w:val="none"/>
          <w:lang w:val="en-US" w:eastAsia="zh-CN" w:bidi="ar-SA"/>
        </w:rPr>
        <w:t>0.33</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93.87</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公务接待活动减少</w:t>
      </w:r>
      <w:r>
        <w:rPr>
          <w:rFonts w:hint="eastAsia" w:ascii="Times New Roman" w:hAnsi="Times New Roman" w:eastAsia="仿宋_GB2312" w:cs="仿宋_GB2312"/>
          <w:color w:val="auto"/>
          <w:kern w:val="2"/>
          <w:sz w:val="32"/>
          <w:szCs w:val="32"/>
          <w:highlight w:val="none"/>
          <w:lang w:val="en-US" w:eastAsia="zh-CN" w:bidi="ar-SA"/>
        </w:rPr>
        <w:t>。</w:t>
      </w:r>
    </w:p>
    <w:p w14:paraId="0389FA28">
      <w:pPr>
        <w:numPr>
          <w:ilvl w:val="0"/>
          <w:numId w:val="2"/>
        </w:numPr>
        <w:spacing w:line="600" w:lineRule="exact"/>
        <w:ind w:left="0" w:leftChars="0" w:firstLine="640" w:firstLineChars="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0.02</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元，主要用于开展业务活动开支的用餐费等。国内公务接</w:t>
      </w:r>
      <w:r>
        <w:rPr>
          <w:rFonts w:hint="eastAsia" w:ascii="仿宋_GB2312" w:hAnsi="仿宋_GB2312" w:eastAsia="仿宋_GB2312" w:cs="仿宋_GB2312"/>
          <w:color w:val="auto"/>
          <w:kern w:val="2"/>
          <w:sz w:val="32"/>
          <w:szCs w:val="32"/>
          <w:highlight w:val="none"/>
          <w:lang w:val="en-US" w:eastAsia="zh-CN" w:bidi="ar-SA"/>
        </w:rPr>
        <w:t>待</w:t>
      </w:r>
      <w:r>
        <w:rPr>
          <w:rFonts w:hint="eastAsia" w:ascii="仿宋_GB2312" w:hAnsi="仿宋_GB2312" w:eastAsia="仿宋_GB2312" w:cs="仿宋_GB2312"/>
          <w:sz w:val="32"/>
          <w:szCs w:val="32"/>
        </w:rPr>
        <w:t>1</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6</w:t>
      </w:r>
      <w:r>
        <w:rPr>
          <w:rFonts w:hint="eastAsia" w:ascii="Times New Roman" w:hAnsi="Times New Roman" w:eastAsia="仿宋_GB2312" w:cs="仿宋_GB2312"/>
          <w:color w:val="auto"/>
          <w:kern w:val="2"/>
          <w:sz w:val="32"/>
          <w:szCs w:val="32"/>
          <w:highlight w:val="none"/>
          <w:lang w:val="en-US" w:eastAsia="zh-CN" w:bidi="ar-SA"/>
        </w:rPr>
        <w:t>人次（不包括陪同人员），共计支出</w:t>
      </w:r>
      <w:r>
        <w:rPr>
          <w:rFonts w:hint="eastAsia" w:eastAsia="仿宋_GB2312" w:cs="仿宋_GB2312"/>
          <w:color w:val="auto"/>
          <w:kern w:val="2"/>
          <w:sz w:val="32"/>
          <w:szCs w:val="32"/>
          <w:highlight w:val="none"/>
          <w:lang w:val="en-US" w:eastAsia="zh-CN" w:bidi="ar-SA"/>
        </w:rPr>
        <w:t>0.02</w:t>
      </w:r>
      <w:r>
        <w:rPr>
          <w:rFonts w:hint="eastAsia" w:ascii="Times New Roman" w:hAnsi="Times New Roman" w:eastAsia="仿宋_GB2312" w:cs="仿宋_GB2312"/>
          <w:color w:val="auto"/>
          <w:kern w:val="2"/>
          <w:sz w:val="32"/>
          <w:szCs w:val="32"/>
          <w:highlight w:val="none"/>
          <w:lang w:val="en-US" w:eastAsia="zh-CN" w:bidi="ar-SA"/>
        </w:rPr>
        <w:t>万元，具体内容包括：</w:t>
      </w:r>
      <w:r>
        <w:rPr>
          <w:rFonts w:hint="eastAsia" w:eastAsia="仿宋_GB2312" w:cs="仿宋_GB2312"/>
          <w:color w:val="auto"/>
          <w:kern w:val="2"/>
          <w:sz w:val="32"/>
          <w:szCs w:val="32"/>
          <w:highlight w:val="none"/>
          <w:lang w:val="en-US" w:eastAsia="zh-CN" w:bidi="ar-SA"/>
        </w:rPr>
        <w:t>残协验收参开支219元</w:t>
      </w:r>
      <w:r>
        <w:rPr>
          <w:rFonts w:hint="eastAsia" w:ascii="Times New Roman" w:hAnsi="Times New Roman" w:eastAsia="仿宋_GB2312" w:cs="仿宋_GB2312"/>
          <w:color w:val="auto"/>
          <w:kern w:val="2"/>
          <w:sz w:val="32"/>
          <w:szCs w:val="32"/>
          <w:highlight w:val="none"/>
          <w:lang w:val="en-US" w:eastAsia="zh-CN" w:bidi="ar-SA"/>
        </w:rPr>
        <w:t>。</w:t>
      </w:r>
    </w:p>
    <w:p w14:paraId="5BABFC5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外事接待支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w:t>
      </w:r>
    </w:p>
    <w:p w14:paraId="6DB991E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76" w:name="_Toc15377218"/>
      <w:bookmarkStart w:id="77" w:name="_Toc15396610"/>
    </w:p>
    <w:p w14:paraId="1D49C343">
      <w:pPr>
        <w:spacing w:line="600" w:lineRule="exact"/>
        <w:ind w:firstLine="640"/>
        <w:outlineLvl w:val="1"/>
        <w:rPr>
          <w:rStyle w:val="29"/>
          <w:rFonts w:ascii="Times New Roman" w:hAnsi="Times New Roman" w:eastAsia="黑体"/>
          <w:color w:val="auto"/>
          <w:highlight w:val="none"/>
        </w:rPr>
      </w:pPr>
      <w:bookmarkStart w:id="78" w:name="_Toc25811"/>
      <w:bookmarkStart w:id="79" w:name="_Toc14564"/>
      <w:r>
        <w:rPr>
          <w:rFonts w:hint="eastAsia" w:ascii="Times New Roman" w:hAnsi="Times New Roman" w:eastAsia="黑体"/>
          <w:color w:val="auto"/>
          <w:sz w:val="32"/>
          <w:szCs w:val="32"/>
          <w:highlight w:val="none"/>
        </w:rPr>
        <w:t>八、</w:t>
      </w:r>
      <w:r>
        <w:rPr>
          <w:rStyle w:val="29"/>
          <w:rFonts w:hint="eastAsia" w:ascii="Times New Roman" w:hAnsi="Times New Roman" w:eastAsia="黑体"/>
          <w:b w:val="0"/>
          <w:color w:val="auto"/>
          <w:highlight w:val="none"/>
        </w:rPr>
        <w:t>政府性基金预算支出决算情况说明</w:t>
      </w:r>
      <w:bookmarkEnd w:id="76"/>
      <w:bookmarkEnd w:id="77"/>
      <w:bookmarkEnd w:id="78"/>
      <w:bookmarkEnd w:id="79"/>
    </w:p>
    <w:p w14:paraId="1606594E">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2024年度政府性基金预算财政拨款支出</w:t>
      </w:r>
      <w:r>
        <w:rPr>
          <w:rFonts w:hint="eastAsia" w:ascii="仿宋_GB2312" w:hAnsi="仿宋_GB2312" w:eastAsia="仿宋_GB2312" w:cs="仿宋_GB2312"/>
          <w:sz w:val="32"/>
          <w:szCs w:val="32"/>
        </w:rPr>
        <w:t>143.09</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14.08</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。与2023年度相比，政府性基金预算财政拨款支出增加</w:t>
      </w:r>
      <w:r>
        <w:rPr>
          <w:rFonts w:hint="eastAsia" w:eastAsia="仿宋_GB2312" w:cs="仿宋_GB2312"/>
          <w:color w:val="auto"/>
          <w:kern w:val="2"/>
          <w:sz w:val="32"/>
          <w:szCs w:val="32"/>
          <w:highlight w:val="none"/>
          <w:lang w:val="en-US" w:eastAsia="zh-CN" w:bidi="ar-SA"/>
        </w:rPr>
        <w:t>54.94</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62.32</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eastAsia="仿宋_GB2312" w:cs="仿宋_GB2312"/>
          <w:color w:val="auto"/>
          <w:kern w:val="2"/>
          <w:sz w:val="32"/>
          <w:szCs w:val="32"/>
          <w:highlight w:val="none"/>
          <w:lang w:val="en-US" w:eastAsia="zh-CN" w:bidi="ar-SA"/>
        </w:rPr>
        <w:t>项目资金调整。</w:t>
      </w:r>
    </w:p>
    <w:p w14:paraId="76B49EA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614A00F1">
      <w:pPr>
        <w:numPr>
          <w:ilvl w:val="0"/>
          <w:numId w:val="0"/>
        </w:numPr>
        <w:spacing w:line="600" w:lineRule="exact"/>
        <w:ind w:left="630" w:leftChars="0"/>
        <w:outlineLvl w:val="1"/>
        <w:rPr>
          <w:rStyle w:val="29"/>
          <w:rFonts w:ascii="Times New Roman" w:hAnsi="Times New Roman" w:eastAsia="黑体"/>
          <w:b w:val="0"/>
          <w:color w:val="auto"/>
          <w:highlight w:val="none"/>
        </w:rPr>
      </w:pPr>
      <w:bookmarkStart w:id="80" w:name="_Toc15396611"/>
      <w:bookmarkStart w:id="81" w:name="_Toc31976"/>
      <w:bookmarkStart w:id="82" w:name="_Toc15377219"/>
      <w:bookmarkStart w:id="83" w:name="_Toc32073"/>
      <w:r>
        <w:rPr>
          <w:rStyle w:val="29"/>
          <w:rFonts w:hint="eastAsia" w:ascii="Times New Roman" w:hAnsi="Times New Roman" w:eastAsia="黑体"/>
          <w:b w:val="0"/>
          <w:color w:val="auto"/>
          <w:highlight w:val="none"/>
          <w:lang w:eastAsia="zh-CN"/>
        </w:rPr>
        <w:t>九、</w:t>
      </w:r>
      <w:r>
        <w:rPr>
          <w:rStyle w:val="29"/>
          <w:rFonts w:hint="eastAsia" w:ascii="Times New Roman" w:hAnsi="Times New Roman" w:eastAsia="黑体"/>
          <w:b w:val="0"/>
          <w:color w:val="auto"/>
          <w:highlight w:val="none"/>
        </w:rPr>
        <w:t>国有资本经营预算支出决算情况说明</w:t>
      </w:r>
      <w:bookmarkEnd w:id="80"/>
      <w:bookmarkEnd w:id="81"/>
      <w:bookmarkEnd w:id="82"/>
      <w:bookmarkEnd w:id="83"/>
    </w:p>
    <w:p w14:paraId="1409AED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。与2023年度相比，国有资本经营预算财政拨款支出</w:t>
      </w:r>
      <w:r>
        <w:rPr>
          <w:rFonts w:hint="eastAsia" w:eastAsia="仿宋_GB2312" w:cs="仿宋_GB2312"/>
          <w:color w:val="auto"/>
          <w:kern w:val="2"/>
          <w:sz w:val="32"/>
          <w:szCs w:val="32"/>
          <w:highlight w:val="none"/>
          <w:lang w:val="en-US" w:eastAsia="zh-CN" w:bidi="ar-SA"/>
        </w:rPr>
        <w:t>持平。</w:t>
      </w:r>
    </w:p>
    <w:p w14:paraId="1B4949A6">
      <w:pPr>
        <w:numPr>
          <w:ilvl w:val="0"/>
          <w:numId w:val="0"/>
        </w:numPr>
        <w:spacing w:line="600" w:lineRule="exact"/>
        <w:ind w:left="630" w:leftChars="0"/>
        <w:outlineLvl w:val="1"/>
        <w:rPr>
          <w:rStyle w:val="29"/>
          <w:rFonts w:hint="eastAsia" w:ascii="Times New Roman" w:hAnsi="Times New Roman" w:eastAsia="黑体"/>
          <w:b w:val="0"/>
          <w:color w:val="auto"/>
          <w:highlight w:val="none"/>
        </w:rPr>
      </w:pPr>
      <w:bookmarkStart w:id="84" w:name="_Toc15377221"/>
      <w:bookmarkStart w:id="85" w:name="_Toc11655"/>
      <w:bookmarkStart w:id="86" w:name="_Toc27191"/>
      <w:bookmarkStart w:id="87" w:name="_Toc15396612"/>
      <w:r>
        <w:rPr>
          <w:rStyle w:val="29"/>
          <w:rFonts w:hint="eastAsia" w:ascii="Times New Roman" w:hAnsi="Times New Roman" w:eastAsia="黑体"/>
          <w:b w:val="0"/>
          <w:color w:val="auto"/>
          <w:highlight w:val="none"/>
          <w:lang w:eastAsia="zh-CN"/>
        </w:rPr>
        <w:t>十、</w:t>
      </w:r>
      <w:r>
        <w:rPr>
          <w:rStyle w:val="29"/>
          <w:rFonts w:hint="eastAsia" w:ascii="Times New Roman" w:hAnsi="Times New Roman" w:eastAsia="黑体"/>
          <w:b w:val="0"/>
          <w:color w:val="auto"/>
          <w:highlight w:val="none"/>
        </w:rPr>
        <w:t>其他重要事项的情况说明</w:t>
      </w:r>
      <w:bookmarkEnd w:id="84"/>
      <w:bookmarkEnd w:id="85"/>
      <w:bookmarkEnd w:id="86"/>
      <w:bookmarkEnd w:id="87"/>
    </w:p>
    <w:p w14:paraId="0FDA80D6">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88" w:name="_Toc24597"/>
      <w:bookmarkStart w:id="89" w:name="_Toc4463"/>
      <w:bookmarkStart w:id="90" w:name="_Toc15377222"/>
      <w:r>
        <w:rPr>
          <w:rFonts w:hint="eastAsia" w:ascii="Times New Roman" w:hAnsi="Times New Roman" w:eastAsia="楷体_GB2312" w:cs="楷体_GB2312"/>
          <w:b/>
          <w:color w:val="auto"/>
          <w:sz w:val="32"/>
          <w:szCs w:val="32"/>
          <w:highlight w:val="none"/>
        </w:rPr>
        <w:t>（一）机关运行经费支出情况</w:t>
      </w:r>
      <w:bookmarkEnd w:id="88"/>
      <w:bookmarkEnd w:id="89"/>
      <w:bookmarkEnd w:id="90"/>
    </w:p>
    <w:p w14:paraId="3D21146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z w:val="32"/>
          <w:szCs w:val="32"/>
        </w:rPr>
        <w:t>绵竹市残疾人联合会</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rPr>
        <w:t>16.46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元，比2023年度增加</w:t>
      </w:r>
      <w:r>
        <w:rPr>
          <w:rFonts w:hint="eastAsia" w:eastAsia="仿宋_GB2312" w:cs="仿宋_GB2312"/>
          <w:color w:val="auto"/>
          <w:kern w:val="2"/>
          <w:sz w:val="32"/>
          <w:szCs w:val="32"/>
          <w:highlight w:val="none"/>
          <w:lang w:val="en-US" w:eastAsia="zh-CN" w:bidi="ar-SA"/>
        </w:rPr>
        <w:t>1.48</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9.87</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人员增加。</w:t>
      </w:r>
    </w:p>
    <w:p w14:paraId="2DA5D09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1EE8D69">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91" w:name="_Toc3030"/>
      <w:bookmarkStart w:id="92" w:name="_Toc15377223"/>
      <w:bookmarkStart w:id="93" w:name="_Toc24304"/>
      <w:r>
        <w:rPr>
          <w:rFonts w:hint="eastAsia" w:ascii="Times New Roman" w:hAnsi="Times New Roman" w:eastAsia="楷体_GB2312" w:cs="楷体_GB2312"/>
          <w:b/>
          <w:color w:val="auto"/>
          <w:sz w:val="32"/>
          <w:szCs w:val="32"/>
          <w:highlight w:val="none"/>
        </w:rPr>
        <w:t>（二）政府采购支出情况</w:t>
      </w:r>
      <w:bookmarkEnd w:id="91"/>
      <w:bookmarkEnd w:id="92"/>
      <w:bookmarkEnd w:id="93"/>
    </w:p>
    <w:p w14:paraId="15CCEB4A">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sz w:val="32"/>
          <w:szCs w:val="32"/>
        </w:rPr>
        <w:t>绵竹市残疾人联合会</w:t>
      </w:r>
      <w:r>
        <w:rPr>
          <w:rFonts w:hint="eastAsia" w:ascii="仿宋_GB2312" w:hAnsi="仿宋_GB2312" w:eastAsia="仿宋_GB2312" w:cs="仿宋_GB2312"/>
          <w:color w:val="auto"/>
          <w:kern w:val="2"/>
          <w:sz w:val="32"/>
          <w:szCs w:val="32"/>
          <w:highlight w:val="none"/>
          <w:lang w:val="en-US" w:eastAsia="zh-CN" w:bidi="ar-SA"/>
        </w:rPr>
        <w:t>政府采购支出总额</w:t>
      </w:r>
      <w:r>
        <w:rPr>
          <w:rFonts w:hint="eastAsia" w:ascii="仿宋_GB2312" w:hAnsi="仿宋_GB2312" w:eastAsia="仿宋_GB2312" w:cs="仿宋_GB2312"/>
          <w:sz w:val="32"/>
          <w:szCs w:val="32"/>
        </w:rPr>
        <w:t>146.72</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rPr>
        <w:t>146.72</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万元。主要用于辅具采购、无障碍环境改造、残疾人意外保险。授予中小企业合同金额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p>
    <w:p w14:paraId="262545C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35B8D951">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94" w:name="_Toc17755"/>
      <w:bookmarkStart w:id="95" w:name="_Toc19524"/>
      <w:bookmarkStart w:id="96" w:name="_Toc15377224"/>
      <w:r>
        <w:rPr>
          <w:rFonts w:hint="eastAsia" w:ascii="Times New Roman" w:hAnsi="Times New Roman" w:eastAsia="楷体_GB2312" w:cs="楷体_GB2312"/>
          <w:b/>
          <w:color w:val="auto"/>
          <w:sz w:val="32"/>
          <w:szCs w:val="32"/>
          <w:highlight w:val="none"/>
        </w:rPr>
        <w:t>（三）国有资产占有使用情况</w:t>
      </w:r>
      <w:bookmarkEnd w:id="94"/>
      <w:bookmarkEnd w:id="95"/>
      <w:bookmarkEnd w:id="96"/>
    </w:p>
    <w:p w14:paraId="1BC38D6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rPr>
        <w:t>绵竹市残疾人联合会</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rPr>
        <w:t>1</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辆、其他用车</w:t>
      </w:r>
      <w:r>
        <w:rPr>
          <w:rFonts w:hint="eastAsia" w:ascii="仿宋_GB2312" w:hAnsi="仿宋_GB2312" w:eastAsia="仿宋_GB2312" w:cs="仿宋_GB2312"/>
          <w:sz w:val="32"/>
          <w:szCs w:val="32"/>
        </w:rPr>
        <w:t>1</w:t>
      </w:r>
      <w:r>
        <w:rPr>
          <w:rFonts w:hint="eastAsia" w:ascii="仿宋_GB2312" w:hAnsi="仿宋_GB2312" w:eastAsia="仿宋_GB2312" w:cs="仿宋_GB2312"/>
          <w:color w:val="auto"/>
          <w:kern w:val="2"/>
          <w:sz w:val="32"/>
          <w:szCs w:val="32"/>
          <w:highlight w:val="none"/>
          <w:lang w:val="en-US" w:eastAsia="zh-CN" w:bidi="ar-SA"/>
        </w:rPr>
        <w:t>辆，其他用车主要是用于走访慰问残疾人，开展残疾人工作。单价100万元（含）以上设备（不含车辆）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台（套）</w:t>
      </w:r>
      <w:r>
        <w:rPr>
          <w:rFonts w:hint="eastAsia" w:ascii="Times New Roman" w:hAnsi="Times New Roman" w:eastAsia="仿宋_GB2312" w:cs="仿宋_GB2312"/>
          <w:color w:val="auto"/>
          <w:kern w:val="2"/>
          <w:sz w:val="32"/>
          <w:szCs w:val="32"/>
          <w:highlight w:val="none"/>
          <w:lang w:val="en-US" w:eastAsia="zh-CN" w:bidi="ar-SA"/>
        </w:rPr>
        <w:t>。</w:t>
      </w:r>
    </w:p>
    <w:p w14:paraId="4856FF2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1AFFEBB">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97" w:name="_Toc7170"/>
      <w:bookmarkStart w:id="98" w:name="_Toc22043"/>
      <w:r>
        <w:rPr>
          <w:rFonts w:hint="eastAsia" w:ascii="Times New Roman" w:hAnsi="Times New Roman" w:eastAsia="楷体_GB2312" w:cs="楷体_GB2312"/>
          <w:b/>
          <w:color w:val="auto"/>
          <w:sz w:val="32"/>
          <w:szCs w:val="32"/>
          <w:highlight w:val="none"/>
        </w:rPr>
        <w:t>（四）预算绩效管理情况</w:t>
      </w:r>
      <w:bookmarkEnd w:id="97"/>
      <w:bookmarkEnd w:id="98"/>
    </w:p>
    <w:p w14:paraId="76C3DEB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根据预算绩效管理要求，</w:t>
      </w:r>
      <w:r>
        <w:rPr>
          <w:rFonts w:hint="eastAsia" w:eastAsia="仿宋_GB2312" w:cs="仿宋_GB2312"/>
          <w:color w:val="auto"/>
          <w:kern w:val="2"/>
          <w:sz w:val="32"/>
          <w:szCs w:val="32"/>
          <w:highlight w:val="none"/>
          <w:lang w:val="en-US" w:eastAsia="zh-CN" w:bidi="ar-SA"/>
        </w:rPr>
        <w:t>绵竹市残疾人联合会</w:t>
      </w:r>
      <w:r>
        <w:rPr>
          <w:rFonts w:hint="eastAsia" w:ascii="Times New Roman" w:hAnsi="Times New Roman" w:eastAsia="仿宋_GB2312" w:cs="仿宋_GB2312"/>
          <w:color w:val="auto"/>
          <w:kern w:val="2"/>
          <w:sz w:val="32"/>
          <w:szCs w:val="32"/>
          <w:highlight w:val="none"/>
          <w:lang w:val="en-US" w:eastAsia="zh-CN" w:bidi="ar-SA"/>
        </w:rPr>
        <w:t>在2024年度预算编制阶段，组织对</w:t>
      </w:r>
      <w:r>
        <w:rPr>
          <w:rFonts w:hint="eastAsia" w:eastAsia="仿宋_GB2312" w:cs="仿宋_GB2312"/>
          <w:color w:val="auto"/>
          <w:kern w:val="2"/>
          <w:sz w:val="32"/>
          <w:szCs w:val="32"/>
          <w:highlight w:val="none"/>
          <w:lang w:val="en-US" w:eastAsia="zh-CN" w:bidi="ar-SA"/>
        </w:rPr>
        <w:t>基本康复服务</w:t>
      </w:r>
      <w:r>
        <w:rPr>
          <w:rFonts w:hint="eastAsia" w:ascii="Times New Roman" w:hAnsi="Times New Roman" w:eastAsia="仿宋_GB2312" w:cs="仿宋_GB2312"/>
          <w:color w:val="auto"/>
          <w:kern w:val="2"/>
          <w:sz w:val="32"/>
          <w:szCs w:val="32"/>
          <w:highlight w:val="none"/>
          <w:lang w:val="en-US" w:eastAsia="zh-CN" w:bidi="ar-SA"/>
        </w:rPr>
        <w:t>（项目名称）等</w:t>
      </w:r>
      <w:r>
        <w:rPr>
          <w:rFonts w:hint="eastAsia" w:eastAsia="仿宋_GB2312" w:cs="仿宋_GB2312"/>
          <w:color w:val="auto"/>
          <w:kern w:val="2"/>
          <w:sz w:val="32"/>
          <w:szCs w:val="32"/>
          <w:highlight w:val="none"/>
          <w:lang w:val="en-US" w:eastAsia="zh-CN" w:bidi="ar-SA"/>
        </w:rPr>
        <w:t>34</w:t>
      </w:r>
      <w:r>
        <w:rPr>
          <w:rFonts w:hint="eastAsia" w:ascii="Times New Roman" w:hAnsi="Times New Roman" w:eastAsia="仿宋_GB2312" w:cs="仿宋_GB2312"/>
          <w:color w:val="auto"/>
          <w:kern w:val="2"/>
          <w:sz w:val="32"/>
          <w:szCs w:val="32"/>
          <w:highlight w:val="none"/>
          <w:lang w:val="en-US" w:eastAsia="zh-CN" w:bidi="ar-SA"/>
        </w:rPr>
        <w:t>个项目开展了预算事前绩效评估，对</w:t>
      </w:r>
      <w:r>
        <w:rPr>
          <w:rFonts w:hint="eastAsia" w:eastAsia="仿宋_GB2312" w:cs="仿宋_GB2312"/>
          <w:color w:val="auto"/>
          <w:kern w:val="2"/>
          <w:sz w:val="32"/>
          <w:szCs w:val="32"/>
          <w:highlight w:val="none"/>
          <w:lang w:val="en-US" w:eastAsia="zh-CN" w:bidi="ar-SA"/>
        </w:rPr>
        <w:t>34</w:t>
      </w:r>
      <w:r>
        <w:rPr>
          <w:rFonts w:hint="eastAsia" w:ascii="Times New Roman" w:hAnsi="Times New Roman" w:eastAsia="仿宋_GB2312" w:cs="仿宋_GB2312"/>
          <w:color w:val="auto"/>
          <w:kern w:val="2"/>
          <w:sz w:val="32"/>
          <w:szCs w:val="32"/>
          <w:highlight w:val="none"/>
          <w:lang w:val="en-US" w:eastAsia="zh-CN" w:bidi="ar-SA"/>
        </w:rPr>
        <w:t>个项目编制了绩效目标，预算执行过程中，选取</w:t>
      </w:r>
      <w:r>
        <w:rPr>
          <w:rFonts w:hint="eastAsia" w:eastAsia="仿宋_GB2312" w:cs="仿宋_GB2312"/>
          <w:color w:val="auto"/>
          <w:kern w:val="2"/>
          <w:sz w:val="32"/>
          <w:szCs w:val="32"/>
          <w:highlight w:val="none"/>
          <w:lang w:val="en-US" w:eastAsia="zh-CN" w:bidi="ar-SA"/>
        </w:rPr>
        <w:t>34</w:t>
      </w:r>
      <w:r>
        <w:rPr>
          <w:rFonts w:hint="eastAsia" w:ascii="Times New Roman" w:hAnsi="Times New Roman" w:eastAsia="仿宋_GB2312" w:cs="仿宋_GB2312"/>
          <w:color w:val="auto"/>
          <w:kern w:val="2"/>
          <w:sz w:val="32"/>
          <w:szCs w:val="32"/>
          <w:highlight w:val="none"/>
          <w:lang w:val="en-US" w:eastAsia="zh-CN" w:bidi="ar-SA"/>
        </w:rPr>
        <w:t>个项目开展绩效监控。</w:t>
      </w:r>
    </w:p>
    <w:p w14:paraId="7DB4D282">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组织对2024年度一般公共预算、政府性基金预算、国有资本经营预算、社会保险基金预算以及资本资产、债券资金等全面开展绩效自评</w:t>
      </w:r>
      <w:r>
        <w:rPr>
          <w:rFonts w:hint="eastAsia" w:eastAsia="仿宋_GB2312" w:cs="仿宋_GB2312"/>
          <w:color w:val="auto"/>
          <w:kern w:val="2"/>
          <w:sz w:val="32"/>
          <w:szCs w:val="32"/>
          <w:highlight w:val="none"/>
          <w:lang w:val="en-US" w:eastAsia="zh-CN" w:bidi="ar-SA"/>
        </w:rPr>
        <w:t>。</w:t>
      </w:r>
    </w:p>
    <w:p w14:paraId="0902FDD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702925E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2F6FAA89">
      <w:pPr>
        <w:numPr>
          <w:ilvl w:val="0"/>
          <w:numId w:val="0"/>
        </w:numPr>
        <w:spacing w:line="600" w:lineRule="exact"/>
        <w:jc w:val="center"/>
        <w:outlineLvl w:val="0"/>
        <w:rPr>
          <w:rFonts w:hint="eastAsia" w:ascii="Times New Roman" w:hAnsi="Times New Roman" w:eastAsia="黑体"/>
          <w:color w:val="auto"/>
          <w:sz w:val="44"/>
          <w:szCs w:val="44"/>
          <w:highlight w:val="none"/>
        </w:rPr>
      </w:pPr>
      <w:bookmarkStart w:id="99" w:name="_Toc21667"/>
      <w:bookmarkStart w:id="100" w:name="_Toc22090"/>
      <w:bookmarkStart w:id="101" w:name="_Toc15396613"/>
      <w:bookmarkStart w:id="102" w:name="_Toc15377225"/>
    </w:p>
    <w:p w14:paraId="33A15F1D">
      <w:pPr>
        <w:numPr>
          <w:ilvl w:val="0"/>
          <w:numId w:val="0"/>
        </w:numPr>
        <w:spacing w:line="600" w:lineRule="exact"/>
        <w:jc w:val="center"/>
        <w:outlineLvl w:val="0"/>
        <w:rPr>
          <w:rFonts w:hint="eastAsia" w:ascii="Times New Roman" w:hAnsi="Times New Roman" w:eastAsia="黑体"/>
          <w:color w:val="auto"/>
          <w:sz w:val="44"/>
          <w:szCs w:val="44"/>
          <w:highlight w:val="none"/>
        </w:rPr>
      </w:pPr>
    </w:p>
    <w:p w14:paraId="30042D0E">
      <w:pPr>
        <w:numPr>
          <w:ilvl w:val="0"/>
          <w:numId w:val="0"/>
        </w:numPr>
        <w:spacing w:line="600" w:lineRule="exact"/>
        <w:jc w:val="center"/>
        <w:outlineLvl w:val="0"/>
        <w:rPr>
          <w:rFonts w:hint="eastAsia" w:ascii="Times New Roman" w:hAnsi="Times New Roman" w:eastAsia="黑体"/>
          <w:color w:val="auto"/>
          <w:sz w:val="44"/>
          <w:szCs w:val="44"/>
          <w:highlight w:val="none"/>
        </w:rPr>
      </w:pPr>
      <w:r>
        <w:rPr>
          <w:rFonts w:hint="eastAsia" w:ascii="Times New Roman" w:hAnsi="Times New Roman" w:eastAsia="黑体"/>
          <w:color w:val="auto"/>
          <w:sz w:val="44"/>
          <w:szCs w:val="44"/>
          <w:highlight w:val="none"/>
        </w:rPr>
        <w:t>第</w:t>
      </w:r>
      <w:r>
        <w:rPr>
          <w:rFonts w:hint="eastAsia" w:eastAsia="黑体"/>
          <w:color w:val="auto"/>
          <w:sz w:val="44"/>
          <w:szCs w:val="44"/>
          <w:highlight w:val="none"/>
          <w:lang w:eastAsia="zh-CN"/>
        </w:rPr>
        <w:t>三</w:t>
      </w:r>
      <w:r>
        <w:rPr>
          <w:rFonts w:hint="eastAsia" w:ascii="Times New Roman" w:hAnsi="Times New Roman" w:eastAsia="黑体"/>
          <w:color w:val="auto"/>
          <w:sz w:val="44"/>
          <w:szCs w:val="44"/>
          <w:highlight w:val="none"/>
        </w:rPr>
        <w:t>部分</w:t>
      </w:r>
      <w:r>
        <w:rPr>
          <w:rFonts w:hint="eastAsia" w:ascii="Times New Roman" w:hAnsi="Times New Roman" w:eastAsia="黑体"/>
          <w:color w:val="auto"/>
          <w:sz w:val="44"/>
          <w:szCs w:val="44"/>
          <w:highlight w:val="none"/>
          <w:lang w:val="en-US" w:eastAsia="zh-CN"/>
        </w:rPr>
        <w:t xml:space="preserve"> </w:t>
      </w:r>
      <w:r>
        <w:rPr>
          <w:rFonts w:hint="eastAsia"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名词解释</w:t>
      </w:r>
      <w:bookmarkEnd w:id="99"/>
      <w:bookmarkEnd w:id="100"/>
      <w:bookmarkEnd w:id="101"/>
      <w:bookmarkEnd w:id="102"/>
    </w:p>
    <w:p w14:paraId="0F9499D6">
      <w:pPr>
        <w:spacing w:line="600" w:lineRule="exact"/>
        <w:jc w:val="left"/>
        <w:rPr>
          <w:rFonts w:ascii="Times New Roman" w:hAnsi="Times New Roman"/>
          <w:b/>
          <w:color w:val="auto"/>
          <w:sz w:val="44"/>
          <w:szCs w:val="44"/>
          <w:highlight w:val="none"/>
        </w:rPr>
      </w:pPr>
    </w:p>
    <w:p w14:paraId="093FF1C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1.财政拨款收入：指</w:t>
      </w:r>
      <w:r>
        <w:rPr>
          <w:rFonts w:hint="eastAsia" w:eastAsia="仿宋_GB2312" w:cs="仿宋_GB2312"/>
          <w:color w:val="auto"/>
          <w:kern w:val="2"/>
          <w:sz w:val="32"/>
          <w:szCs w:val="32"/>
          <w:highlight w:val="none"/>
          <w:lang w:val="en-US" w:eastAsia="zh-CN" w:bidi="ar-SA"/>
        </w:rPr>
        <w:t>部门</w:t>
      </w:r>
      <w:r>
        <w:rPr>
          <w:rFonts w:hint="eastAsia" w:ascii="Times New Roman" w:hAnsi="Times New Roman" w:eastAsia="仿宋_GB2312" w:cs="仿宋_GB2312"/>
          <w:color w:val="auto"/>
          <w:kern w:val="2"/>
          <w:sz w:val="32"/>
          <w:szCs w:val="32"/>
          <w:highlight w:val="none"/>
          <w:lang w:val="en-US" w:eastAsia="zh-CN" w:bidi="ar-SA"/>
        </w:rPr>
        <w:t>从同级财政部门取得的财政预算资金。</w:t>
      </w:r>
    </w:p>
    <w:p w14:paraId="68CF562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2.事业收入：指事业</w:t>
      </w:r>
      <w:r>
        <w:rPr>
          <w:rFonts w:hint="eastAsia" w:eastAsia="仿宋_GB2312" w:cs="仿宋_GB2312"/>
          <w:color w:val="auto"/>
          <w:kern w:val="2"/>
          <w:sz w:val="32"/>
          <w:szCs w:val="32"/>
          <w:highlight w:val="none"/>
          <w:lang w:val="en-US" w:eastAsia="zh-CN" w:bidi="ar-SA"/>
        </w:rPr>
        <w:t>部门</w:t>
      </w:r>
      <w:r>
        <w:rPr>
          <w:rFonts w:hint="eastAsia" w:ascii="Times New Roman" w:hAnsi="Times New Roman" w:eastAsia="仿宋_GB2312" w:cs="仿宋_GB2312"/>
          <w:color w:val="auto"/>
          <w:kern w:val="2"/>
          <w:sz w:val="32"/>
          <w:szCs w:val="32"/>
          <w:highlight w:val="none"/>
          <w:lang w:val="en-US" w:eastAsia="zh-CN" w:bidi="ar-SA"/>
        </w:rPr>
        <w:t>开展专业业务活动及辅助活动取得的收入。。</w:t>
      </w:r>
    </w:p>
    <w:p w14:paraId="211A26B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3.经营收入：指事业</w:t>
      </w:r>
      <w:r>
        <w:rPr>
          <w:rFonts w:hint="eastAsia" w:eastAsia="仿宋_GB2312" w:cs="仿宋_GB2312"/>
          <w:color w:val="auto"/>
          <w:kern w:val="2"/>
          <w:sz w:val="32"/>
          <w:szCs w:val="32"/>
          <w:highlight w:val="none"/>
          <w:lang w:val="en-US" w:eastAsia="zh-CN" w:bidi="ar-SA"/>
        </w:rPr>
        <w:t>部门</w:t>
      </w:r>
      <w:r>
        <w:rPr>
          <w:rFonts w:hint="eastAsia" w:ascii="Times New Roman" w:hAnsi="Times New Roman" w:eastAsia="仿宋_GB2312" w:cs="仿宋_GB2312"/>
          <w:color w:val="auto"/>
          <w:kern w:val="2"/>
          <w:sz w:val="32"/>
          <w:szCs w:val="32"/>
          <w:highlight w:val="none"/>
          <w:lang w:val="en-US" w:eastAsia="zh-CN" w:bidi="ar-SA"/>
        </w:rPr>
        <w:t>在专业业务活动及其辅助活动之外开展非独立核算经营活动取得的收入。</w:t>
      </w:r>
    </w:p>
    <w:p w14:paraId="4731DC8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4.其他收入：指</w:t>
      </w:r>
      <w:r>
        <w:rPr>
          <w:rFonts w:hint="eastAsia" w:eastAsia="仿宋_GB2312" w:cs="仿宋_GB2312"/>
          <w:color w:val="auto"/>
          <w:kern w:val="2"/>
          <w:sz w:val="32"/>
          <w:szCs w:val="32"/>
          <w:highlight w:val="none"/>
          <w:lang w:val="en-US" w:eastAsia="zh-CN" w:bidi="ar-SA"/>
        </w:rPr>
        <w:t>部门</w:t>
      </w:r>
      <w:r>
        <w:rPr>
          <w:rFonts w:hint="eastAsia" w:ascii="Times New Roman" w:hAnsi="Times New Roman" w:eastAsia="仿宋_GB2312" w:cs="仿宋_GB2312"/>
          <w:color w:val="auto"/>
          <w:kern w:val="2"/>
          <w:sz w:val="32"/>
          <w:szCs w:val="32"/>
          <w:highlight w:val="none"/>
          <w:lang w:val="en-US" w:eastAsia="zh-CN" w:bidi="ar-SA"/>
        </w:rPr>
        <w:t>取得的除上述收入以外的各项收入。</w:t>
      </w:r>
    </w:p>
    <w:p w14:paraId="1A83523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5.使用非财政拨款结余（含专用结余）：指事业</w:t>
      </w:r>
      <w:r>
        <w:rPr>
          <w:rFonts w:hint="eastAsia" w:eastAsia="仿宋_GB2312" w:cs="仿宋_GB2312"/>
          <w:color w:val="auto"/>
          <w:kern w:val="2"/>
          <w:sz w:val="32"/>
          <w:szCs w:val="32"/>
          <w:highlight w:val="none"/>
          <w:lang w:val="en-US" w:eastAsia="zh-CN" w:bidi="ar-SA"/>
        </w:rPr>
        <w:t>部门</w:t>
      </w:r>
      <w:r>
        <w:rPr>
          <w:rFonts w:hint="eastAsia" w:ascii="Times New Roman" w:hAnsi="Times New Roman" w:eastAsia="仿宋_GB2312" w:cs="仿宋_GB2312"/>
          <w:color w:val="auto"/>
          <w:kern w:val="2"/>
          <w:sz w:val="32"/>
          <w:szCs w:val="32"/>
          <w:highlight w:val="none"/>
          <w:lang w:val="en-US" w:eastAsia="zh-CN" w:bidi="ar-SA"/>
        </w:rPr>
        <w:t xml:space="preserve">使用以前年度积累的非财政拨款结余弥补当年收支差额的金额。 </w:t>
      </w:r>
    </w:p>
    <w:p w14:paraId="3A21022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6.年初结转和结余：指以前年度尚未完成、结转到本年按有关规定继续使用的资金。 </w:t>
      </w:r>
    </w:p>
    <w:p w14:paraId="6793B31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7.结余分配：指事业</w:t>
      </w:r>
      <w:r>
        <w:rPr>
          <w:rFonts w:hint="eastAsia" w:eastAsia="仿宋_GB2312" w:cs="仿宋_GB2312"/>
          <w:color w:val="auto"/>
          <w:kern w:val="2"/>
          <w:sz w:val="32"/>
          <w:szCs w:val="32"/>
          <w:highlight w:val="none"/>
          <w:lang w:val="en-US" w:eastAsia="zh-CN" w:bidi="ar-SA"/>
        </w:rPr>
        <w:t>部门</w:t>
      </w:r>
      <w:r>
        <w:rPr>
          <w:rFonts w:hint="eastAsia" w:ascii="Times New Roman" w:hAnsi="Times New Roman" w:eastAsia="仿宋_GB2312" w:cs="仿宋_GB2312"/>
          <w:color w:val="auto"/>
          <w:kern w:val="2"/>
          <w:sz w:val="32"/>
          <w:szCs w:val="32"/>
          <w:highlight w:val="none"/>
          <w:lang w:val="en-US" w:eastAsia="zh-CN" w:bidi="ar-SA"/>
        </w:rPr>
        <w:t>按照会计制度规定缴纳的所得税、提取的专用结余以及转入非财政拨款结余的金额等。</w:t>
      </w:r>
    </w:p>
    <w:p w14:paraId="0C6A2D8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8.年末结转和结余：指</w:t>
      </w:r>
      <w:r>
        <w:rPr>
          <w:rFonts w:hint="eastAsia" w:eastAsia="仿宋_GB2312" w:cs="仿宋_GB2312"/>
          <w:color w:val="auto"/>
          <w:kern w:val="2"/>
          <w:sz w:val="32"/>
          <w:szCs w:val="32"/>
          <w:highlight w:val="none"/>
          <w:lang w:val="en-US" w:eastAsia="zh-CN" w:bidi="ar-SA"/>
        </w:rPr>
        <w:t>部门</w:t>
      </w:r>
      <w:r>
        <w:rPr>
          <w:rFonts w:hint="eastAsia" w:ascii="Times New Roman" w:hAnsi="Times New Roman" w:eastAsia="仿宋_GB2312" w:cs="仿宋_GB2312"/>
          <w:color w:val="auto"/>
          <w:kern w:val="2"/>
          <w:sz w:val="32"/>
          <w:szCs w:val="32"/>
          <w:highlight w:val="none"/>
          <w:lang w:val="en-US" w:eastAsia="zh-CN" w:bidi="ar-SA"/>
        </w:rPr>
        <w:t>按有关规定结转到下年或以后年度继续使用的资金。</w:t>
      </w:r>
    </w:p>
    <w:p w14:paraId="3692572A">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9.</w:t>
      </w:r>
      <w:r>
        <w:rPr>
          <w:rFonts w:ascii="仿宋" w:hAnsi="仿宋" w:eastAsia="仿宋" w:cs="仿宋"/>
          <w:color w:val="000000"/>
          <w:kern w:val="0"/>
          <w:sz w:val="31"/>
          <w:szCs w:val="31"/>
          <w:lang w:val="en-US" w:eastAsia="zh-CN" w:bidi="ar"/>
        </w:rPr>
        <w:t>社会保障和就业支出（208）行政事业</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 xml:space="preserve">养老支出 </w:t>
      </w:r>
    </w:p>
    <w:p w14:paraId="053D0540">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（05）行政部门离退休（01）：指行政部门开支的离退休经 </w:t>
      </w:r>
    </w:p>
    <w:p w14:paraId="0A207B85">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费。 </w:t>
      </w:r>
    </w:p>
    <w:p w14:paraId="2E0B587D">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社会保障和就业支出（208）行政事业部门养老支出（05） </w:t>
      </w:r>
    </w:p>
    <w:p w14:paraId="43172B82">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机关事业部门基本养老保险缴费支出（05）：指机关事业单 </w:t>
      </w:r>
    </w:p>
    <w:p w14:paraId="4C628551">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位实施养老保险制度由部门缴纳的基本养老保险费支出。 </w:t>
      </w:r>
    </w:p>
    <w:p w14:paraId="4D54474F">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社会保障和就业支出（208）行政事业部门养老支出（05） </w:t>
      </w:r>
    </w:p>
    <w:p w14:paraId="0DB89508">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机关事业部门职业年金缴费支出（06）指反映机关事业部门 </w:t>
      </w:r>
    </w:p>
    <w:p w14:paraId="79D3F807">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实施养老保险制度由部门实际缴纳的职业年金支出。 </w:t>
      </w:r>
    </w:p>
    <w:p w14:paraId="7C0FDCA0">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社会保障和就业支出（208）行政事业部门养老支出（05） </w:t>
      </w:r>
    </w:p>
    <w:p w14:paraId="2E9486C5">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其他行政事业部门养老支出（99）：指反映除上述项目以外 </w:t>
      </w:r>
    </w:p>
    <w:p w14:paraId="7DE98DC8">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其他用于行政事业部门养老方面的支出。</w:t>
      </w:r>
    </w:p>
    <w:p w14:paraId="2E4ED526">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社会保障和就业支出（208）残疾人事业（11）行政运行（01）：</w:t>
      </w:r>
      <w:r>
        <w:rPr>
          <w:rFonts w:ascii="仿宋" w:hAnsi="仿宋" w:eastAsia="仿宋" w:cs="仿宋"/>
          <w:color w:val="000000"/>
          <w:kern w:val="0"/>
          <w:sz w:val="31"/>
          <w:szCs w:val="31"/>
          <w:lang w:val="en-US" w:eastAsia="zh-CN" w:bidi="ar"/>
        </w:rPr>
        <w:t>指反映行政</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（包括实行公务员管理的事业</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）的基本</w:t>
      </w:r>
      <w:r>
        <w:rPr>
          <w:rFonts w:hint="eastAsia" w:ascii="仿宋" w:hAnsi="仿宋" w:eastAsia="仿宋" w:cs="仿宋"/>
          <w:color w:val="000000"/>
          <w:kern w:val="0"/>
          <w:sz w:val="31"/>
          <w:szCs w:val="31"/>
          <w:lang w:val="en-US" w:eastAsia="zh-CN" w:bidi="ar"/>
        </w:rPr>
        <w:t>支出。</w:t>
      </w:r>
    </w:p>
    <w:p w14:paraId="149E73C1">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社会保障和就业支出（208）残疾人事业（11）机关服务（03）：</w:t>
      </w:r>
      <w:r>
        <w:rPr>
          <w:rFonts w:ascii="仿宋" w:hAnsi="仿宋" w:eastAsia="仿宋" w:cs="仿宋"/>
          <w:color w:val="000000"/>
          <w:kern w:val="0"/>
          <w:sz w:val="31"/>
          <w:szCs w:val="31"/>
          <w:lang w:val="en-US" w:eastAsia="zh-CN" w:bidi="ar"/>
        </w:rPr>
        <w:t>指反映行政</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（包括实行公务员管理的事业</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）的</w:t>
      </w:r>
      <w:r>
        <w:rPr>
          <w:rFonts w:hint="eastAsia" w:ascii="仿宋" w:hAnsi="仿宋" w:eastAsia="仿宋" w:cs="仿宋"/>
          <w:color w:val="000000"/>
          <w:kern w:val="0"/>
          <w:sz w:val="31"/>
          <w:szCs w:val="31"/>
          <w:lang w:val="en-US" w:eastAsia="zh-CN" w:bidi="ar"/>
        </w:rPr>
        <w:t>日常服务支出。</w:t>
      </w:r>
    </w:p>
    <w:p w14:paraId="3E609895">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社会保障和就业支出（208）残疾人事业（11）残疾人康复（04）：指反映中央和地方各级残联关于残疾人康复的支出，包括成人基本康复服务、残疾儿童基本康复、辅具适配、居家无障碍改造等方面的支出。</w:t>
      </w:r>
    </w:p>
    <w:p w14:paraId="778F1C04">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社会保障和就业支出（208）残疾人事业（11）残疾人就业（05）：指反映中央和地方各级残联关于残疾人就业的支出，包括阳光家园计划居家托养、使用技术及技能培训、残疾人就业创业补贴等方面的支出。</w:t>
      </w:r>
    </w:p>
    <w:p w14:paraId="623896C6">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社会保障和就业支出（208）残疾人事业（11）残疾人体育（06）：指反映中央和地方各级残联关于残疾人体育的支出，包括残疾人全民健身运动会、培养残疾人跆拳道人才等方面的支出。</w:t>
      </w:r>
    </w:p>
    <w:p w14:paraId="7ECFAE5E">
      <w:pPr>
        <w:keepNext w:val="0"/>
        <w:keepLines w:val="0"/>
        <w:widowControl/>
        <w:suppressLineNumbers w:val="0"/>
        <w:ind w:firstLine="620" w:firstLineChars="200"/>
        <w:jc w:val="left"/>
        <w:rPr>
          <w:rFonts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社会保障和就业支出（208）残疾人事业（11）他残疾人事业支出（99）：</w:t>
      </w:r>
      <w:r>
        <w:rPr>
          <w:rFonts w:ascii="仿宋" w:hAnsi="仿宋" w:eastAsia="仿宋" w:cs="仿宋"/>
          <w:color w:val="000000"/>
          <w:kern w:val="0"/>
          <w:sz w:val="31"/>
          <w:szCs w:val="31"/>
          <w:lang w:val="en-US" w:eastAsia="zh-CN" w:bidi="ar"/>
        </w:rPr>
        <w:t>指反映上述项目以外其他用于</w:t>
      </w:r>
      <w:r>
        <w:rPr>
          <w:rFonts w:hint="eastAsia" w:ascii="仿宋" w:hAnsi="仿宋" w:eastAsia="仿宋" w:cs="仿宋"/>
          <w:color w:val="000000"/>
          <w:kern w:val="0"/>
          <w:sz w:val="31"/>
          <w:szCs w:val="31"/>
          <w:lang w:val="en-US" w:eastAsia="zh-CN" w:bidi="ar"/>
        </w:rPr>
        <w:t>残疾人工作</w:t>
      </w:r>
      <w:r>
        <w:rPr>
          <w:rFonts w:ascii="仿宋" w:hAnsi="仿宋" w:eastAsia="仿宋" w:cs="仿宋"/>
          <w:color w:val="000000"/>
          <w:kern w:val="0"/>
          <w:sz w:val="31"/>
          <w:szCs w:val="31"/>
          <w:lang w:val="en-US" w:eastAsia="zh-CN" w:bidi="ar"/>
        </w:rPr>
        <w:t>方面的支出。</w:t>
      </w:r>
    </w:p>
    <w:p w14:paraId="5728097B">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ascii="仿宋" w:hAnsi="仿宋" w:eastAsia="仿宋" w:cs="仿宋"/>
          <w:color w:val="000000"/>
          <w:kern w:val="0"/>
          <w:sz w:val="31"/>
          <w:szCs w:val="31"/>
          <w:lang w:val="en-US" w:eastAsia="zh-CN" w:bidi="ar"/>
        </w:rPr>
        <w:t>社会保障和就业支出（208）其他社会保障和就业支出（99）其他社会保障和就业支出（99）：指反映除上述项目</w:t>
      </w:r>
      <w:r>
        <w:rPr>
          <w:rFonts w:hint="eastAsia" w:ascii="仿宋" w:hAnsi="仿宋" w:eastAsia="仿宋" w:cs="仿宋"/>
          <w:color w:val="000000"/>
          <w:kern w:val="0"/>
          <w:sz w:val="31"/>
          <w:szCs w:val="31"/>
          <w:lang w:val="en-US" w:eastAsia="zh-CN" w:bidi="ar"/>
        </w:rPr>
        <w:t>以外其他用于社会保障和就业方面的支出。</w:t>
      </w:r>
    </w:p>
    <w:p w14:paraId="7BD15105">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10.</w:t>
      </w:r>
      <w:r>
        <w:rPr>
          <w:rFonts w:ascii="仿宋" w:hAnsi="仿宋" w:eastAsia="仿宋" w:cs="仿宋"/>
          <w:color w:val="000000"/>
          <w:kern w:val="0"/>
          <w:sz w:val="31"/>
          <w:szCs w:val="31"/>
          <w:lang w:val="en-US" w:eastAsia="zh-CN" w:bidi="ar"/>
        </w:rPr>
        <w:t>卫生健康支出（210）行政事业</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医疗（11）行政</w:t>
      </w:r>
      <w:r>
        <w:rPr>
          <w:rFonts w:hint="eastAsia" w:ascii="仿宋" w:hAnsi="仿宋" w:eastAsia="仿宋" w:cs="仿宋"/>
          <w:color w:val="000000"/>
          <w:kern w:val="0"/>
          <w:sz w:val="31"/>
          <w:szCs w:val="31"/>
          <w:lang w:val="en-US" w:eastAsia="zh-CN" w:bidi="ar"/>
        </w:rPr>
        <w:t>部门医疗（01）：指反映行政财政部门安排的行政部门（包括实行公务员管理的事业部门）基本医疗保险缴费经费，未参加医疗保险的行政部门的公费医疗经费，按国家规定享受离休人员、红军老战士待遇人员的医疗经费。</w:t>
      </w:r>
    </w:p>
    <w:p w14:paraId="5668E0C8">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ascii="仿宋" w:hAnsi="仿宋" w:eastAsia="仿宋" w:cs="仿宋"/>
          <w:color w:val="000000"/>
          <w:kern w:val="0"/>
          <w:sz w:val="31"/>
          <w:szCs w:val="31"/>
          <w:lang w:val="en-US" w:eastAsia="zh-CN" w:bidi="ar"/>
        </w:rPr>
        <w:t>卫生健康支出（210）行政事业</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医疗（11）</w:t>
      </w:r>
      <w:r>
        <w:rPr>
          <w:rFonts w:hint="eastAsia" w:ascii="仿宋" w:hAnsi="仿宋" w:eastAsia="仿宋" w:cs="仿宋"/>
          <w:color w:val="000000"/>
          <w:kern w:val="0"/>
          <w:sz w:val="31"/>
          <w:szCs w:val="31"/>
          <w:lang w:val="en-US" w:eastAsia="zh-CN" w:bidi="ar"/>
        </w:rPr>
        <w:t>事业部门医疗（02）：指反映行政财政部门安排的事业部门基本医疗保险缴费经费，未参加医疗保险的行政部门的公费医疗经费，按国家规定享受离休人员、红军老战士待遇人员的医疗经费。</w:t>
      </w:r>
    </w:p>
    <w:p w14:paraId="253DFC58">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卫生健康支出（210）行政事业</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医疗（11）公务员</w:t>
      </w:r>
    </w:p>
    <w:p w14:paraId="648FE2CE">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医疗补助（03）：指反映财政部门安排的公务员医疗补助经费。</w:t>
      </w:r>
    </w:p>
    <w:p w14:paraId="79D3969D">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卫生健康支出（210）行政事业</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医疗（11）其他行</w:t>
      </w:r>
    </w:p>
    <w:p w14:paraId="079CC2C7">
      <w:pPr>
        <w:keepNext w:val="0"/>
        <w:keepLines w:val="0"/>
        <w:widowControl/>
        <w:suppressLineNumbers w:val="0"/>
        <w:jc w:val="left"/>
      </w:pPr>
      <w:r>
        <w:rPr>
          <w:rFonts w:hint="eastAsia" w:ascii="仿宋" w:hAnsi="仿宋" w:eastAsia="仿宋" w:cs="仿宋"/>
          <w:color w:val="000000"/>
          <w:kern w:val="0"/>
          <w:sz w:val="31"/>
          <w:szCs w:val="31"/>
          <w:lang w:val="en-US" w:eastAsia="zh-CN" w:bidi="ar"/>
        </w:rPr>
        <w:t>政事业部门医疗支出（99）：指反映除上述项目以外的其他用</w:t>
      </w:r>
    </w:p>
    <w:p w14:paraId="21050D37">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于行政事业部门医疗方面的支出。</w:t>
      </w:r>
    </w:p>
    <w:p w14:paraId="3A7A426A">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11.</w:t>
      </w:r>
      <w:r>
        <w:rPr>
          <w:rFonts w:ascii="仿宋" w:hAnsi="仿宋" w:eastAsia="仿宋" w:cs="仿宋"/>
          <w:color w:val="000000"/>
          <w:kern w:val="0"/>
          <w:sz w:val="31"/>
          <w:szCs w:val="31"/>
          <w:lang w:val="en-US" w:eastAsia="zh-CN" w:bidi="ar"/>
        </w:rPr>
        <w:t>住房保障支出（221）住房改革支出（02）住房公积</w:t>
      </w:r>
    </w:p>
    <w:p w14:paraId="10F5C921">
      <w:pPr>
        <w:keepNext w:val="0"/>
        <w:keepLines w:val="0"/>
        <w:widowControl/>
        <w:suppressLineNumbers w:val="0"/>
        <w:jc w:val="left"/>
      </w:pPr>
      <w:r>
        <w:rPr>
          <w:rFonts w:hint="eastAsia" w:ascii="仿宋" w:hAnsi="仿宋" w:eastAsia="仿宋" w:cs="仿宋"/>
          <w:color w:val="000000"/>
          <w:kern w:val="0"/>
          <w:sz w:val="31"/>
          <w:szCs w:val="31"/>
          <w:lang w:val="en-US" w:eastAsia="zh-CN" w:bidi="ar"/>
        </w:rPr>
        <w:t>金（01）：指反映行政事业部门按人力资源和社会保障部、财</w:t>
      </w:r>
    </w:p>
    <w:p w14:paraId="38B2AED2">
      <w:pPr>
        <w:keepNext w:val="0"/>
        <w:keepLines w:val="0"/>
        <w:widowControl/>
        <w:suppressLineNumbers w:val="0"/>
        <w:jc w:val="left"/>
      </w:pPr>
      <w:r>
        <w:rPr>
          <w:rFonts w:hint="eastAsia" w:ascii="仿宋" w:hAnsi="仿宋" w:eastAsia="仿宋" w:cs="仿宋"/>
          <w:color w:val="000000"/>
          <w:kern w:val="0"/>
          <w:sz w:val="31"/>
          <w:szCs w:val="31"/>
          <w:lang w:val="en-US" w:eastAsia="zh-CN" w:bidi="ar"/>
        </w:rPr>
        <w:t>政部规定的基本工资和津贴补贴以及规定比例为职工缴纳</w:t>
      </w:r>
    </w:p>
    <w:p w14:paraId="15938F98">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的住房公积金。</w:t>
      </w:r>
    </w:p>
    <w:p w14:paraId="4DB2A766">
      <w:pPr>
        <w:keepNext w:val="0"/>
        <w:keepLines w:val="0"/>
        <w:widowControl/>
        <w:numPr>
          <w:ilvl w:val="0"/>
          <w:numId w:val="3"/>
        </w:numPr>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其他支出</w:t>
      </w:r>
      <w:r>
        <w:rPr>
          <w:rFonts w:ascii="仿宋" w:hAnsi="仿宋" w:eastAsia="仿宋" w:cs="仿宋"/>
          <w:color w:val="000000"/>
          <w:kern w:val="0"/>
          <w:sz w:val="31"/>
          <w:szCs w:val="31"/>
          <w:lang w:val="en-US" w:eastAsia="zh-CN" w:bidi="ar"/>
        </w:rPr>
        <w:t>（22</w:t>
      </w:r>
      <w:r>
        <w:rPr>
          <w:rFonts w:hint="eastAsia" w:ascii="仿宋" w:hAnsi="仿宋" w:eastAsia="仿宋" w:cs="仿宋"/>
          <w:color w:val="000000"/>
          <w:kern w:val="0"/>
          <w:sz w:val="31"/>
          <w:szCs w:val="31"/>
          <w:lang w:val="en-US" w:eastAsia="zh-CN" w:bidi="ar"/>
        </w:rPr>
        <w:t>9</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彩票公益金安排的支出</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60</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用于社会福利的彩票公益金支出（02）：指反映中央和省级下达的用于残疾人工作的福利彩票公益金支出。</w:t>
      </w:r>
    </w:p>
    <w:p w14:paraId="3D99D847">
      <w:pPr>
        <w:keepNext w:val="0"/>
        <w:keepLines w:val="0"/>
        <w:widowControl/>
        <w:numPr>
          <w:ilvl w:val="0"/>
          <w:numId w:val="0"/>
        </w:numPr>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其他支出</w:t>
      </w:r>
      <w:r>
        <w:rPr>
          <w:rFonts w:ascii="仿宋" w:hAnsi="仿宋" w:eastAsia="仿宋" w:cs="仿宋"/>
          <w:color w:val="000000"/>
          <w:kern w:val="0"/>
          <w:sz w:val="31"/>
          <w:szCs w:val="31"/>
          <w:lang w:val="en-US" w:eastAsia="zh-CN" w:bidi="ar"/>
        </w:rPr>
        <w:t>（22</w:t>
      </w:r>
      <w:r>
        <w:rPr>
          <w:rFonts w:hint="eastAsia" w:ascii="仿宋" w:hAnsi="仿宋" w:eastAsia="仿宋" w:cs="仿宋"/>
          <w:color w:val="000000"/>
          <w:kern w:val="0"/>
          <w:sz w:val="31"/>
          <w:szCs w:val="31"/>
          <w:lang w:val="en-US" w:eastAsia="zh-CN" w:bidi="ar"/>
        </w:rPr>
        <w:t>9</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彩票公益金安排的支出</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60</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用于体育事业的彩票公益金支出（03）：指反映中央和省级下达的用于残疾人体育工作的彩票公益金支出。</w:t>
      </w:r>
    </w:p>
    <w:p w14:paraId="5F59A3F9">
      <w:pPr>
        <w:keepNext w:val="0"/>
        <w:keepLines w:val="0"/>
        <w:widowControl/>
        <w:numPr>
          <w:ilvl w:val="0"/>
          <w:numId w:val="0"/>
        </w:numPr>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其他支出</w:t>
      </w:r>
      <w:r>
        <w:rPr>
          <w:rFonts w:ascii="仿宋" w:hAnsi="仿宋" w:eastAsia="仿宋" w:cs="仿宋"/>
          <w:color w:val="000000"/>
          <w:kern w:val="0"/>
          <w:sz w:val="31"/>
          <w:szCs w:val="31"/>
          <w:lang w:val="en-US" w:eastAsia="zh-CN" w:bidi="ar"/>
        </w:rPr>
        <w:t>（22</w:t>
      </w:r>
      <w:r>
        <w:rPr>
          <w:rFonts w:hint="eastAsia" w:ascii="仿宋" w:hAnsi="仿宋" w:eastAsia="仿宋" w:cs="仿宋"/>
          <w:color w:val="000000"/>
          <w:kern w:val="0"/>
          <w:sz w:val="31"/>
          <w:szCs w:val="31"/>
          <w:lang w:val="en-US" w:eastAsia="zh-CN" w:bidi="ar"/>
        </w:rPr>
        <w:t>9</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彩票公益金安排的支出</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60</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用于残疾人事业的彩票公益金支出（06）：指反映中央和省级下达的用于残疾人事业的彩票公益金支出。</w:t>
      </w:r>
    </w:p>
    <w:p w14:paraId="1D99C4AE">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13.</w:t>
      </w:r>
      <w:r>
        <w:rPr>
          <w:rFonts w:ascii="仿宋" w:hAnsi="仿宋" w:eastAsia="仿宋" w:cs="仿宋"/>
          <w:color w:val="000000"/>
          <w:kern w:val="0"/>
          <w:sz w:val="31"/>
          <w:szCs w:val="31"/>
          <w:lang w:val="en-US" w:eastAsia="zh-CN" w:bidi="ar"/>
        </w:rPr>
        <w:t>基本支出：指为保障机构正常运转、完成日常工作任</w:t>
      </w:r>
    </w:p>
    <w:p w14:paraId="6DD6DFFF">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务而发生的人员支出和公用支出。</w:t>
      </w:r>
    </w:p>
    <w:p w14:paraId="6E6BFA40">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14.</w:t>
      </w:r>
      <w:r>
        <w:rPr>
          <w:rFonts w:ascii="仿宋" w:hAnsi="仿宋" w:eastAsia="仿宋" w:cs="仿宋"/>
          <w:color w:val="000000"/>
          <w:kern w:val="0"/>
          <w:sz w:val="31"/>
          <w:szCs w:val="31"/>
          <w:lang w:val="en-US" w:eastAsia="zh-CN" w:bidi="ar"/>
        </w:rPr>
        <w:t>项目支出：指在基本支出之外为完成特定行政任务和</w:t>
      </w:r>
    </w:p>
    <w:p w14:paraId="12EEDAB1">
      <w:pPr>
        <w:keepNext w:val="0"/>
        <w:keepLines w:val="0"/>
        <w:widowControl/>
        <w:suppressLineNumbers w:val="0"/>
        <w:jc w:val="left"/>
      </w:pPr>
      <w:r>
        <w:rPr>
          <w:rFonts w:hint="eastAsia" w:ascii="仿宋" w:hAnsi="仿宋" w:eastAsia="仿宋" w:cs="仿宋"/>
          <w:color w:val="000000"/>
          <w:kern w:val="0"/>
          <w:sz w:val="31"/>
          <w:szCs w:val="31"/>
          <w:lang w:val="en-US" w:eastAsia="zh-CN" w:bidi="ar"/>
        </w:rPr>
        <w:t>事业发展目标所发生的支出。</w:t>
      </w:r>
    </w:p>
    <w:p w14:paraId="6BEDEFE0">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15</w:t>
      </w:r>
      <w:r>
        <w:rPr>
          <w:rFonts w:hint="default" w:ascii="Times New Roman" w:hAnsi="Times New Roman" w:eastAsia="宋体" w:cs="Times New Roman"/>
          <w:color w:val="000000"/>
          <w:kern w:val="0"/>
          <w:sz w:val="31"/>
          <w:szCs w:val="31"/>
          <w:lang w:val="en-US" w:eastAsia="zh-CN" w:bidi="ar"/>
        </w:rPr>
        <w:t>.</w:t>
      </w:r>
      <w:r>
        <w:rPr>
          <w:rFonts w:ascii="仿宋" w:hAnsi="仿宋" w:eastAsia="仿宋" w:cs="仿宋"/>
          <w:color w:val="000000"/>
          <w:kern w:val="0"/>
          <w:sz w:val="31"/>
          <w:szCs w:val="31"/>
          <w:lang w:val="en-US" w:eastAsia="zh-CN" w:bidi="ar"/>
        </w:rPr>
        <w:t>三公”经费：指部门用财政拨款安排的因公出国（境）费、公务用车购置及运行费和公务接待费。其中，因公出国</w:t>
      </w:r>
    </w:p>
    <w:p w14:paraId="6D1EAFFA">
      <w:pPr>
        <w:keepNext w:val="0"/>
        <w:keepLines w:val="0"/>
        <w:widowControl/>
        <w:suppressLineNumbers w:val="0"/>
        <w:jc w:val="left"/>
      </w:pPr>
      <w:r>
        <w:rPr>
          <w:rFonts w:hint="eastAsia" w:ascii="仿宋" w:hAnsi="仿宋" w:eastAsia="仿宋" w:cs="仿宋"/>
          <w:color w:val="000000"/>
          <w:kern w:val="0"/>
          <w:sz w:val="31"/>
          <w:szCs w:val="31"/>
          <w:lang w:val="en-US" w:eastAsia="zh-CN" w:bidi="ar"/>
        </w:rPr>
        <w:t>（境）费反映部门公务出国（境）的国际旅费、国外城市间</w:t>
      </w:r>
    </w:p>
    <w:p w14:paraId="7E064E4A">
      <w:pPr>
        <w:keepNext w:val="0"/>
        <w:keepLines w:val="0"/>
        <w:widowControl/>
        <w:suppressLineNumbers w:val="0"/>
        <w:jc w:val="left"/>
      </w:pPr>
      <w:r>
        <w:rPr>
          <w:rFonts w:hint="eastAsia" w:ascii="仿宋" w:hAnsi="仿宋" w:eastAsia="仿宋" w:cs="仿宋"/>
          <w:color w:val="000000"/>
          <w:kern w:val="0"/>
          <w:sz w:val="31"/>
          <w:szCs w:val="31"/>
          <w:lang w:val="en-US" w:eastAsia="zh-CN" w:bidi="ar"/>
        </w:rPr>
        <w:t>交通费、住宿费、伙食费、培训费、公杂费等支出；公务用</w:t>
      </w:r>
    </w:p>
    <w:p w14:paraId="6E757AFC">
      <w:pPr>
        <w:keepNext w:val="0"/>
        <w:keepLines w:val="0"/>
        <w:widowControl/>
        <w:suppressLineNumbers w:val="0"/>
        <w:jc w:val="left"/>
      </w:pPr>
      <w:r>
        <w:rPr>
          <w:rFonts w:hint="eastAsia" w:ascii="仿宋" w:hAnsi="仿宋" w:eastAsia="仿宋" w:cs="仿宋"/>
          <w:color w:val="000000"/>
          <w:kern w:val="0"/>
          <w:sz w:val="31"/>
          <w:szCs w:val="31"/>
          <w:lang w:val="en-US" w:eastAsia="zh-CN" w:bidi="ar"/>
        </w:rPr>
        <w:t>车购置及运行费反映部门公务用车车辆购置支出（含车辆购</w:t>
      </w:r>
    </w:p>
    <w:p w14:paraId="2C17328A">
      <w:pPr>
        <w:keepNext w:val="0"/>
        <w:keepLines w:val="0"/>
        <w:widowControl/>
        <w:suppressLineNumbers w:val="0"/>
        <w:jc w:val="left"/>
      </w:pPr>
      <w:r>
        <w:rPr>
          <w:rFonts w:hint="eastAsia" w:ascii="仿宋" w:hAnsi="仿宋" w:eastAsia="仿宋" w:cs="仿宋"/>
          <w:color w:val="000000"/>
          <w:kern w:val="0"/>
          <w:sz w:val="31"/>
          <w:szCs w:val="31"/>
          <w:lang w:val="en-US" w:eastAsia="zh-CN" w:bidi="ar"/>
        </w:rPr>
        <w:t>置税）及租用费、燃料费、维修费、过路过桥费、保险费等</w:t>
      </w:r>
    </w:p>
    <w:p w14:paraId="18341DA4">
      <w:pPr>
        <w:keepNext w:val="0"/>
        <w:keepLines w:val="0"/>
        <w:widowControl/>
        <w:suppressLineNumbers w:val="0"/>
        <w:jc w:val="left"/>
      </w:pPr>
      <w:r>
        <w:rPr>
          <w:rFonts w:hint="eastAsia" w:ascii="仿宋" w:hAnsi="仿宋" w:eastAsia="仿宋" w:cs="仿宋"/>
          <w:color w:val="000000"/>
          <w:kern w:val="0"/>
          <w:sz w:val="31"/>
          <w:szCs w:val="31"/>
          <w:lang w:val="en-US" w:eastAsia="zh-CN" w:bidi="ar"/>
        </w:rPr>
        <w:t>支出；公务接待费反映部门按规定开支的各类公务接待（含</w:t>
      </w:r>
    </w:p>
    <w:p w14:paraId="00E903BE">
      <w:pPr>
        <w:keepNext w:val="0"/>
        <w:keepLines w:val="0"/>
        <w:widowControl/>
        <w:suppressLineNumbers w:val="0"/>
        <w:jc w:val="left"/>
      </w:pPr>
      <w:r>
        <w:rPr>
          <w:rFonts w:hint="eastAsia" w:ascii="仿宋" w:hAnsi="仿宋" w:eastAsia="仿宋" w:cs="仿宋"/>
          <w:color w:val="000000"/>
          <w:kern w:val="0"/>
          <w:sz w:val="31"/>
          <w:szCs w:val="31"/>
          <w:lang w:val="en-US" w:eastAsia="zh-CN" w:bidi="ar"/>
        </w:rPr>
        <w:t>外宾接待）支出。</w:t>
      </w:r>
    </w:p>
    <w:p w14:paraId="6CE8582F">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16</w:t>
      </w:r>
      <w:r>
        <w:rPr>
          <w:rFonts w:hint="default" w:ascii="Times New Roman" w:hAnsi="Times New Roman" w:eastAsia="宋体" w:cs="Times New Roman"/>
          <w:color w:val="000000"/>
          <w:kern w:val="0"/>
          <w:sz w:val="31"/>
          <w:szCs w:val="31"/>
          <w:lang w:val="en-US" w:eastAsia="zh-CN" w:bidi="ar"/>
        </w:rPr>
        <w:t>.</w:t>
      </w:r>
      <w:r>
        <w:rPr>
          <w:rFonts w:ascii="仿宋" w:hAnsi="仿宋" w:eastAsia="仿宋" w:cs="仿宋"/>
          <w:color w:val="000000"/>
          <w:kern w:val="0"/>
          <w:sz w:val="31"/>
          <w:szCs w:val="31"/>
          <w:lang w:val="en-US" w:eastAsia="zh-CN" w:bidi="ar"/>
        </w:rPr>
        <w:t>机关运行经费：为保障行政</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（含参照公务员法管</w:t>
      </w:r>
    </w:p>
    <w:p w14:paraId="7EEE292B">
      <w:pPr>
        <w:keepNext w:val="0"/>
        <w:keepLines w:val="0"/>
        <w:widowControl/>
        <w:suppressLineNumbers w:val="0"/>
        <w:jc w:val="left"/>
      </w:pPr>
      <w:r>
        <w:rPr>
          <w:rFonts w:hint="eastAsia" w:ascii="仿宋" w:hAnsi="仿宋" w:eastAsia="仿宋" w:cs="仿宋"/>
          <w:color w:val="000000"/>
          <w:kern w:val="0"/>
          <w:sz w:val="31"/>
          <w:szCs w:val="31"/>
          <w:lang w:val="en-US" w:eastAsia="zh-CN" w:bidi="ar"/>
        </w:rPr>
        <w:t>理的事业部门）运行用于购买货物和服务的各项资金，包括</w:t>
      </w:r>
    </w:p>
    <w:p w14:paraId="73CD3A99">
      <w:pPr>
        <w:keepNext w:val="0"/>
        <w:keepLines w:val="0"/>
        <w:widowControl/>
        <w:suppressLineNumbers w:val="0"/>
        <w:jc w:val="left"/>
      </w:pPr>
      <w:r>
        <w:rPr>
          <w:rFonts w:hint="eastAsia" w:ascii="仿宋" w:hAnsi="仿宋" w:eastAsia="仿宋" w:cs="仿宋"/>
          <w:color w:val="000000"/>
          <w:kern w:val="0"/>
          <w:sz w:val="31"/>
          <w:szCs w:val="31"/>
          <w:lang w:val="en-US" w:eastAsia="zh-CN" w:bidi="ar"/>
        </w:rPr>
        <w:t>办公及印刷费、邮电费、差旅费、会议费、福利费、日常维</w:t>
      </w:r>
    </w:p>
    <w:p w14:paraId="73915C92">
      <w:pPr>
        <w:keepNext w:val="0"/>
        <w:keepLines w:val="0"/>
        <w:widowControl/>
        <w:suppressLineNumbers w:val="0"/>
        <w:jc w:val="left"/>
      </w:pPr>
      <w:r>
        <w:rPr>
          <w:rFonts w:hint="eastAsia" w:ascii="仿宋" w:hAnsi="仿宋" w:eastAsia="仿宋" w:cs="仿宋"/>
          <w:color w:val="000000"/>
          <w:kern w:val="0"/>
          <w:sz w:val="31"/>
          <w:szCs w:val="31"/>
          <w:lang w:val="en-US" w:eastAsia="zh-CN" w:bidi="ar"/>
        </w:rPr>
        <w:t>修费、专用材料及一般设备购置费、办公用房水电费、办公</w:t>
      </w:r>
    </w:p>
    <w:p w14:paraId="34F9AA42">
      <w:pPr>
        <w:keepNext w:val="0"/>
        <w:keepLines w:val="0"/>
        <w:widowControl/>
        <w:suppressLineNumbers w:val="0"/>
        <w:jc w:val="left"/>
      </w:pPr>
      <w:r>
        <w:rPr>
          <w:rFonts w:hint="eastAsia" w:ascii="仿宋" w:hAnsi="仿宋" w:eastAsia="仿宋" w:cs="仿宋"/>
          <w:color w:val="000000"/>
          <w:kern w:val="0"/>
          <w:sz w:val="31"/>
          <w:szCs w:val="31"/>
          <w:lang w:val="en-US" w:eastAsia="zh-CN" w:bidi="ar"/>
        </w:rPr>
        <w:t>用房取暖费、办公用房物业管理费、公务用车运行维护费以</w:t>
      </w:r>
    </w:p>
    <w:p w14:paraId="09EFE3C2">
      <w:pPr>
        <w:keepNext w:val="0"/>
        <w:keepLines w:val="0"/>
        <w:widowControl/>
        <w:suppressLineNumbers w:val="0"/>
        <w:jc w:val="left"/>
      </w:pPr>
      <w:r>
        <w:rPr>
          <w:rFonts w:hint="eastAsia" w:ascii="仿宋" w:hAnsi="仿宋" w:eastAsia="仿宋" w:cs="仿宋"/>
          <w:color w:val="000000"/>
          <w:kern w:val="0"/>
          <w:sz w:val="31"/>
          <w:szCs w:val="31"/>
          <w:lang w:val="en-US" w:eastAsia="zh-CN" w:bidi="ar"/>
        </w:rPr>
        <w:t>及其他费用。</w:t>
      </w:r>
    </w:p>
    <w:p w14:paraId="58B3FA79">
      <w:pPr>
        <w:keepNext w:val="0"/>
        <w:keepLines w:val="0"/>
        <w:widowControl/>
        <w:suppressLineNumbers w:val="0"/>
        <w:jc w:val="left"/>
        <w:rPr>
          <w:rFonts w:hint="default" w:eastAsia="宋体"/>
          <w:lang w:val="en-US" w:eastAsia="zh-CN"/>
        </w:rPr>
      </w:pPr>
    </w:p>
    <w:p w14:paraId="6369AF6C">
      <w:pPr>
        <w:keepNext w:val="0"/>
        <w:keepLines w:val="0"/>
        <w:widowControl/>
        <w:suppressLineNumbers w:val="0"/>
        <w:jc w:val="left"/>
        <w:rPr>
          <w:rFonts w:hint="default" w:ascii="仿宋" w:hAnsi="仿宋" w:eastAsia="仿宋" w:cs="仿宋"/>
          <w:color w:val="000000"/>
          <w:kern w:val="0"/>
          <w:sz w:val="31"/>
          <w:szCs w:val="31"/>
          <w:lang w:val="en-US" w:eastAsia="zh-CN" w:bidi="ar"/>
        </w:rPr>
      </w:pPr>
    </w:p>
    <w:p w14:paraId="1C701B36">
      <w:pPr>
        <w:keepNext w:val="0"/>
        <w:keepLines w:val="0"/>
        <w:widowControl/>
        <w:numPr>
          <w:ilvl w:val="0"/>
          <w:numId w:val="0"/>
        </w:numPr>
        <w:suppressLineNumbers w:val="0"/>
        <w:ind w:firstLine="620" w:firstLineChars="200"/>
        <w:jc w:val="left"/>
        <w:rPr>
          <w:rFonts w:hint="default" w:ascii="仿宋" w:hAnsi="仿宋" w:eastAsia="仿宋" w:cs="仿宋"/>
          <w:color w:val="000000"/>
          <w:kern w:val="0"/>
          <w:sz w:val="31"/>
          <w:szCs w:val="31"/>
          <w:lang w:val="en-US" w:eastAsia="zh-CN" w:bidi="ar"/>
        </w:rPr>
      </w:pPr>
    </w:p>
    <w:p w14:paraId="3150242D">
      <w:pPr>
        <w:keepNext w:val="0"/>
        <w:keepLines w:val="0"/>
        <w:widowControl/>
        <w:suppressLineNumbers w:val="0"/>
        <w:jc w:val="left"/>
        <w:rPr>
          <w:rFonts w:hint="default" w:ascii="仿宋" w:hAnsi="仿宋" w:eastAsia="仿宋" w:cs="仿宋"/>
          <w:color w:val="000000"/>
          <w:kern w:val="0"/>
          <w:sz w:val="31"/>
          <w:szCs w:val="31"/>
          <w:lang w:val="en-US" w:eastAsia="zh-CN" w:bidi="ar"/>
        </w:rPr>
      </w:pPr>
    </w:p>
    <w:p w14:paraId="23A7D332">
      <w:pPr>
        <w:keepNext w:val="0"/>
        <w:keepLines w:val="0"/>
        <w:widowControl/>
        <w:suppressLineNumbers w:val="0"/>
        <w:jc w:val="left"/>
        <w:rPr>
          <w:rFonts w:hint="eastAsia" w:ascii="仿宋" w:hAnsi="仿宋" w:eastAsia="仿宋" w:cs="仿宋"/>
          <w:color w:val="000000"/>
          <w:kern w:val="0"/>
          <w:sz w:val="31"/>
          <w:szCs w:val="31"/>
          <w:lang w:val="en-US" w:eastAsia="zh-CN" w:bidi="ar"/>
        </w:rPr>
      </w:pPr>
    </w:p>
    <w:p w14:paraId="7122F4BA">
      <w:pPr>
        <w:keepNext w:val="0"/>
        <w:keepLines w:val="0"/>
        <w:widowControl/>
        <w:suppressLineNumbers w:val="0"/>
        <w:jc w:val="left"/>
        <w:rPr>
          <w:rFonts w:hint="default" w:ascii="仿宋" w:hAnsi="仿宋" w:eastAsia="仿宋" w:cs="仿宋"/>
          <w:color w:val="000000"/>
          <w:kern w:val="0"/>
          <w:sz w:val="31"/>
          <w:szCs w:val="31"/>
          <w:lang w:val="en-US" w:eastAsia="zh-CN" w:bidi="ar"/>
        </w:rPr>
      </w:pPr>
    </w:p>
    <w:p w14:paraId="43920D41">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p>
    <w:p w14:paraId="376AA8D2">
      <w:pPr>
        <w:keepNext w:val="0"/>
        <w:keepLines w:val="0"/>
        <w:widowControl/>
        <w:suppressLineNumbers w:val="0"/>
        <w:ind w:firstLine="420" w:firstLineChars="200"/>
        <w:jc w:val="left"/>
      </w:pPr>
    </w:p>
    <w:p w14:paraId="5D0AD489">
      <w:pPr>
        <w:keepNext w:val="0"/>
        <w:keepLines w:val="0"/>
        <w:widowControl/>
        <w:suppressLineNumbers w:val="0"/>
        <w:ind w:firstLine="620" w:firstLineChars="200"/>
        <w:jc w:val="left"/>
        <w:rPr>
          <w:rFonts w:ascii="仿宋" w:hAnsi="仿宋" w:eastAsia="仿宋" w:cs="仿宋"/>
          <w:color w:val="000000"/>
          <w:kern w:val="0"/>
          <w:sz w:val="31"/>
          <w:szCs w:val="31"/>
          <w:lang w:val="en-US" w:eastAsia="zh-CN" w:bidi="ar"/>
        </w:rPr>
      </w:pPr>
    </w:p>
    <w:p w14:paraId="38E5681C">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p>
    <w:p w14:paraId="571D848C">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p>
    <w:p w14:paraId="2908A9E6">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p>
    <w:p w14:paraId="60993B56">
      <w:pPr>
        <w:spacing w:line="600" w:lineRule="exact"/>
        <w:jc w:val="center"/>
        <w:rPr>
          <w:rStyle w:val="28"/>
          <w:rFonts w:hint="eastAsia" w:ascii="Times New Roman" w:hAnsi="Times New Roman" w:eastAsia="黑体"/>
          <w:b w:val="0"/>
          <w:color w:val="auto"/>
          <w:highlight w:val="none"/>
          <w:lang w:eastAsia="zh-CN"/>
        </w:rPr>
      </w:pPr>
      <w:bookmarkStart w:id="103" w:name="_Toc15377226"/>
      <w:r>
        <w:rPr>
          <w:rFonts w:hint="eastAsia" w:ascii="Times New Roman" w:hAnsi="Times New Roman" w:eastAsia="仿宋_GB2312" w:cs="仿宋_GB2312"/>
          <w:color w:val="auto"/>
          <w:kern w:val="2"/>
          <w:sz w:val="32"/>
          <w:szCs w:val="32"/>
          <w:highlight w:val="none"/>
          <w:lang w:val="en-US" w:eastAsia="zh-CN" w:bidi="ar-SA"/>
        </w:rPr>
        <w:br w:type="page"/>
      </w:r>
      <w:bookmarkStart w:id="104" w:name="_Toc15396614"/>
      <w:r>
        <w:rPr>
          <w:rFonts w:hint="eastAsia" w:ascii="Times New Roman" w:hAnsi="Times New Roman" w:eastAsia="黑体"/>
          <w:color w:val="auto"/>
          <w:sz w:val="44"/>
          <w:szCs w:val="44"/>
          <w:highlight w:val="none"/>
        </w:rPr>
        <w:t>第四部分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 xml:space="preserve"> 附件</w:t>
      </w:r>
      <w:bookmarkEnd w:id="104"/>
    </w:p>
    <w:p w14:paraId="6737FC85">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黑体"/>
          <w:color w:val="FF0000"/>
          <w:sz w:val="32"/>
          <w:szCs w:val="32"/>
          <w:highlight w:val="none"/>
        </w:rPr>
      </w:pPr>
    </w:p>
    <w:p w14:paraId="1A5B46C3">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方正小标宋简体"/>
          <w:color w:val="auto"/>
          <w:sz w:val="44"/>
          <w:szCs w:val="44"/>
          <w:highlight w:val="none"/>
          <w:lang w:val="en-US" w:eastAsia="zh-CN"/>
        </w:rPr>
      </w:pPr>
      <w:bookmarkStart w:id="105" w:name="_Toc19601"/>
      <w:bookmarkStart w:id="106" w:name="_Toc6377"/>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bookmarkEnd w:id="105"/>
      <w:bookmarkEnd w:id="106"/>
    </w:p>
    <w:p w14:paraId="100187C5">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p>
    <w:p w14:paraId="4D9A07AF">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r>
        <w:rPr>
          <w:rFonts w:hint="eastAsia" w:eastAsia="方正小标宋简体" w:cs="Times New Roman"/>
          <w:b w:val="0"/>
          <w:bCs/>
          <w:sz w:val="44"/>
          <w:szCs w:val="44"/>
          <w:highlight w:val="none"/>
          <w:shd w:val="clear" w:color="auto" w:fill="FFFFFF"/>
          <w:lang w:val="en-US" w:eastAsia="zh-CN"/>
        </w:rPr>
        <w:t>绵竹市残联部门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7348BDA9">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仿宋_GB2312" w:cs="Times New Roman"/>
          <w:sz w:val="32"/>
          <w:szCs w:val="32"/>
          <w:highlight w:val="none"/>
          <w:shd w:val="clear" w:color="auto" w:fill="FFFFFF"/>
        </w:rPr>
      </w:pPr>
    </w:p>
    <w:p w14:paraId="71C90E18">
      <w:pPr>
        <w:keepNext w:val="0"/>
        <w:keepLines w:val="0"/>
        <w:pageBreakBefore w:val="0"/>
        <w:widowControl/>
        <w:kinsoku/>
        <w:wordWrap/>
        <w:overflowPunct/>
        <w:topLinePunct w:val="0"/>
        <w:autoSpaceDE/>
        <w:autoSpaceDN/>
        <w:bidi w:val="0"/>
        <w:adjustRightInd w:val="0"/>
        <w:snapToGrid w:val="0"/>
        <w:spacing w:line="578" w:lineRule="exact"/>
        <w:ind w:firstLine="480" w:firstLineChars="200"/>
        <w:contextualSpacing/>
        <w:jc w:val="left"/>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1691D7BB">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eastAsia" w:ascii="Times New Roman" w:hAnsi="Times New Roman" w:eastAsia="黑体" w:cs="Times New Roman"/>
          <w:color w:val="000000"/>
          <w:kern w:val="0"/>
          <w:sz w:val="32"/>
          <w:szCs w:val="32"/>
          <w:highlight w:val="none"/>
          <w:shd w:val="clear" w:color="auto" w:fill="FFFFFF"/>
          <w:lang w:val="zh-CN"/>
        </w:rPr>
        <w:t>一、</w:t>
      </w:r>
      <w:r>
        <w:rPr>
          <w:rFonts w:hint="default" w:ascii="Times New Roman" w:hAnsi="Times New Roman" w:eastAsia="黑体" w:cs="Times New Roman"/>
          <w:color w:val="000000"/>
          <w:kern w:val="0"/>
          <w:sz w:val="32"/>
          <w:szCs w:val="32"/>
          <w:highlight w:val="none"/>
          <w:shd w:val="clear" w:color="auto" w:fill="FFFFFF"/>
          <w:lang w:val="zh-CN"/>
        </w:rPr>
        <w:t>部门（</w:t>
      </w:r>
      <w:r>
        <w:rPr>
          <w:rFonts w:hint="eastAsia" w:eastAsia="黑体" w:cs="Times New Roman"/>
          <w:color w:val="000000"/>
          <w:kern w:val="0"/>
          <w:sz w:val="32"/>
          <w:szCs w:val="32"/>
          <w:highlight w:val="none"/>
          <w:shd w:val="clear" w:color="auto" w:fill="FFFFFF"/>
          <w:lang w:val="zh-CN"/>
        </w:rPr>
        <w:t>部门</w:t>
      </w:r>
      <w:r>
        <w:rPr>
          <w:rFonts w:hint="default" w:ascii="Times New Roman" w:hAnsi="Times New Roman" w:eastAsia="黑体" w:cs="Times New Roman"/>
          <w:color w:val="000000"/>
          <w:kern w:val="0"/>
          <w:sz w:val="32"/>
          <w:szCs w:val="32"/>
          <w:highlight w:val="none"/>
          <w:shd w:val="clear" w:color="auto" w:fill="FFFFFF"/>
          <w:lang w:val="zh-CN"/>
        </w:rPr>
        <w:t>）基本情况</w:t>
      </w:r>
    </w:p>
    <w:p w14:paraId="344D5B5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szCs w:val="32"/>
        </w:rPr>
      </w:pPr>
      <w:r>
        <w:rPr>
          <w:rFonts w:hint="eastAsia" w:ascii="Times New Roman" w:hAnsi="Times New Roman" w:eastAsia="楷体_GB2312" w:cs="楷体_GB2312"/>
          <w:b/>
          <w:color w:val="auto"/>
          <w:sz w:val="32"/>
          <w:szCs w:val="32"/>
          <w:highlight w:val="none"/>
          <w:lang w:val="zh-CN"/>
        </w:rPr>
        <w:t>（一）</w:t>
      </w:r>
      <w:r>
        <w:rPr>
          <w:rFonts w:hint="default" w:ascii="Times New Roman" w:hAnsi="Times New Roman" w:eastAsia="楷体_GB2312" w:cs="楷体_GB2312"/>
          <w:b/>
          <w:color w:val="auto"/>
          <w:sz w:val="32"/>
          <w:szCs w:val="32"/>
          <w:highlight w:val="none"/>
          <w:lang w:val="zh-CN"/>
        </w:rPr>
        <w:t>机构组成。</w:t>
      </w:r>
      <w:r>
        <w:rPr>
          <w:rFonts w:hint="eastAsia" w:eastAsia="仿宋_GB2312" w:cs="仿宋_GB2312"/>
          <w:color w:val="auto"/>
          <w:kern w:val="2"/>
          <w:sz w:val="32"/>
          <w:szCs w:val="32"/>
          <w:highlight w:val="none"/>
          <w:lang w:val="en-US" w:eastAsia="zh-CN" w:bidi="ar-SA"/>
        </w:rPr>
        <w:t>绵竹市残疾人联合会</w:t>
      </w:r>
      <w:r>
        <w:rPr>
          <w:rFonts w:hint="eastAsia" w:ascii="Times New Roman" w:hAnsi="Times New Roman" w:eastAsia="仿宋_GB2312" w:cs="仿宋_GB2312"/>
          <w:color w:val="auto"/>
          <w:kern w:val="2"/>
          <w:sz w:val="32"/>
          <w:szCs w:val="32"/>
          <w:highlight w:val="none"/>
          <w:lang w:val="en-US" w:eastAsia="zh-CN" w:bidi="ar-SA"/>
        </w:rPr>
        <w:t>内设</w:t>
      </w:r>
      <w:r>
        <w:rPr>
          <w:rFonts w:hint="eastAsia" w:eastAsia="仿宋_GB2312" w:cs="仿宋_GB2312"/>
          <w:color w:val="auto"/>
          <w:kern w:val="2"/>
          <w:sz w:val="32"/>
          <w:szCs w:val="32"/>
          <w:highlight w:val="none"/>
          <w:lang w:val="en-US" w:eastAsia="zh-CN" w:bidi="ar-SA"/>
        </w:rPr>
        <w:t>2股</w:t>
      </w:r>
      <w:r>
        <w:rPr>
          <w:rFonts w:hint="default" w:ascii="Times New Roman" w:hAnsi="Times New Roman" w:eastAsia="仿宋_GB2312" w:cs="仿宋_GB2312"/>
          <w:color w:val="auto"/>
          <w:kern w:val="2"/>
          <w:sz w:val="32"/>
          <w:szCs w:val="32"/>
          <w:highlight w:val="none"/>
          <w:lang w:val="en-US" w:eastAsia="zh-CN" w:bidi="ar-SA"/>
        </w:rPr>
        <w:t>室</w:t>
      </w:r>
      <w:r>
        <w:rPr>
          <w:rFonts w:hint="eastAsia" w:ascii="Times New Roman" w:hAnsi="Times New Roman" w:eastAsia="仿宋_GB2312" w:cs="仿宋_GB2312"/>
          <w:color w:val="auto"/>
          <w:kern w:val="2"/>
          <w:sz w:val="32"/>
          <w:szCs w:val="32"/>
          <w:highlight w:val="none"/>
          <w:lang w:val="en-US" w:eastAsia="zh-CN" w:bidi="ar-SA"/>
        </w:rPr>
        <w:t>及下属</w:t>
      </w:r>
      <w:r>
        <w:rPr>
          <w:rFonts w:hint="eastAsia" w:eastAsia="仿宋_GB2312" w:cs="仿宋_GB2312"/>
          <w:color w:val="auto"/>
          <w:kern w:val="2"/>
          <w:sz w:val="32"/>
          <w:szCs w:val="32"/>
          <w:highlight w:val="none"/>
          <w:lang w:val="en-US" w:eastAsia="zh-CN" w:bidi="ar-SA"/>
        </w:rPr>
        <w:t>部门残疾人康复服务中心</w:t>
      </w:r>
      <w:r>
        <w:rPr>
          <w:rFonts w:hint="default" w:ascii="Times New Roman" w:hAnsi="Times New Roman" w:eastAsia="仿宋_GB2312" w:cs="仿宋_GB2312"/>
          <w:color w:val="auto"/>
          <w:kern w:val="2"/>
          <w:sz w:val="32"/>
          <w:szCs w:val="32"/>
          <w:highlight w:val="none"/>
          <w:lang w:val="en-US" w:eastAsia="zh-CN" w:bidi="ar-SA"/>
        </w:rPr>
        <w:t>。</w:t>
      </w:r>
    </w:p>
    <w:p w14:paraId="7AC704D4">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default" w:ascii="Times New Roman" w:hAnsi="Times New Roman" w:eastAsia="楷体_GB2312" w:cs="楷体_GB2312"/>
          <w:b/>
          <w:color w:val="auto"/>
          <w:sz w:val="32"/>
          <w:szCs w:val="32"/>
          <w:highlight w:val="none"/>
          <w:lang w:val="zh-CN"/>
        </w:rPr>
        <w:t>（二）机构职能</w:t>
      </w:r>
      <w:r>
        <w:rPr>
          <w:rFonts w:hint="eastAsia" w:ascii="Times New Roman" w:hAnsi="Times New Roman" w:eastAsia="楷体_GB2312" w:cs="楷体_GB2312"/>
          <w:b/>
          <w:color w:val="auto"/>
          <w:sz w:val="32"/>
          <w:szCs w:val="32"/>
          <w:highlight w:val="none"/>
          <w:lang w:val="zh-CN"/>
        </w:rPr>
        <w:t>。</w:t>
      </w:r>
      <w:r>
        <w:rPr>
          <w:rFonts w:hint="eastAsia" w:eastAsia="仿宋_GB2312" w:cs="仿宋_GB2312"/>
          <w:color w:val="auto"/>
          <w:kern w:val="2"/>
          <w:sz w:val="32"/>
          <w:szCs w:val="32"/>
          <w:highlight w:val="none"/>
          <w:lang w:val="en-US" w:eastAsia="zh-CN" w:bidi="ar-SA"/>
        </w:rPr>
        <w:t>绵竹市残疾人联合会是国家法律确认、市委、市政府领导下的由残疾人及其亲友和残疾人工作者组成的人民团体，是党和政府联系残疾人群众的桥梁和纽带，具有代表、服务、管理三种职能:代表残疾人共同利益，维护残疾人合法权益;团结帮助残疾人，为残疾人服务;履行法律赋予的职责，承担政府委托的任务，管理和发展残疾人事业。</w:t>
      </w:r>
    </w:p>
    <w:p w14:paraId="3D83FFD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szCs w:val="32"/>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仿宋_GB2312" w:cs="Times New Roman"/>
          <w:sz w:val="32"/>
          <w:szCs w:val="32"/>
          <w:lang w:val="en-US" w:eastAsia="zh-CN"/>
        </w:rPr>
        <w:t>截至202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年末，</w:t>
      </w:r>
      <w:r>
        <w:rPr>
          <w:rFonts w:hint="eastAsia" w:eastAsia="仿宋_GB2312" w:cs="仿宋_GB2312"/>
          <w:color w:val="auto"/>
          <w:kern w:val="2"/>
          <w:sz w:val="32"/>
          <w:szCs w:val="32"/>
          <w:highlight w:val="none"/>
          <w:lang w:val="en-US" w:eastAsia="zh-CN" w:bidi="ar-SA"/>
        </w:rPr>
        <w:t>绵竹市残疾人联合会</w:t>
      </w:r>
      <w:r>
        <w:rPr>
          <w:rFonts w:hint="default" w:ascii="Times New Roman" w:hAnsi="Times New Roman" w:eastAsia="仿宋_GB2312" w:cs="Times New Roman"/>
          <w:sz w:val="32"/>
          <w:szCs w:val="32"/>
          <w:lang w:val="en-US" w:eastAsia="zh-CN"/>
        </w:rPr>
        <w:t>及下属</w:t>
      </w:r>
      <w:r>
        <w:rPr>
          <w:rFonts w:hint="eastAsia" w:eastAsia="仿宋_GB2312" w:cs="Times New Roman"/>
          <w:sz w:val="32"/>
          <w:szCs w:val="32"/>
          <w:lang w:val="en-US" w:eastAsia="zh-CN"/>
        </w:rPr>
        <w:t>部门共有</w:t>
      </w:r>
      <w:r>
        <w:rPr>
          <w:rFonts w:hint="default" w:ascii="Times New Roman" w:hAnsi="Times New Roman" w:eastAsia="仿宋_GB2312" w:cs="Times New Roman"/>
          <w:sz w:val="32"/>
          <w:szCs w:val="32"/>
          <w:lang w:val="en-US" w:eastAsia="zh-CN"/>
        </w:rPr>
        <w:t>编制</w:t>
      </w:r>
      <w:r>
        <w:rPr>
          <w:rFonts w:hint="eastAsia" w:eastAsia="仿宋_GB2312" w:cs="Times New Roman"/>
          <w:sz w:val="32"/>
          <w:szCs w:val="32"/>
          <w:lang w:val="en-US" w:eastAsia="zh-CN"/>
        </w:rPr>
        <w:t>8名</w:t>
      </w:r>
      <w:r>
        <w:rPr>
          <w:rFonts w:hint="eastAsia" w:ascii="Times New Roman" w:hAnsi="Times New Roman" w:eastAsia="仿宋_GB2312" w:cs="Times New Roman"/>
          <w:sz w:val="32"/>
          <w:szCs w:val="32"/>
          <w:lang w:val="en-US" w:eastAsia="zh-CN"/>
        </w:rPr>
        <w:t>情况、</w:t>
      </w:r>
      <w:r>
        <w:rPr>
          <w:rFonts w:hint="default" w:ascii="Times New Roman" w:hAnsi="Times New Roman" w:eastAsia="仿宋_GB2312" w:cs="Times New Roman"/>
          <w:sz w:val="32"/>
          <w:szCs w:val="32"/>
          <w:lang w:val="en-US" w:eastAsia="zh-CN"/>
        </w:rPr>
        <w:t>年末实有人数</w:t>
      </w:r>
      <w:r>
        <w:rPr>
          <w:rFonts w:hint="eastAsia" w:eastAsia="仿宋_GB2312" w:cs="Times New Roman"/>
          <w:sz w:val="32"/>
          <w:szCs w:val="32"/>
          <w:lang w:val="en-US" w:eastAsia="zh-CN"/>
        </w:rPr>
        <w:t>7名</w:t>
      </w:r>
      <w:r>
        <w:rPr>
          <w:rFonts w:hint="eastAsia" w:ascii="Times New Roman" w:hAnsi="Times New Roman" w:eastAsia="仿宋_GB2312" w:cs="Times New Roman"/>
          <w:sz w:val="32"/>
          <w:szCs w:val="32"/>
          <w:lang w:val="en-US" w:eastAsia="zh-CN"/>
        </w:rPr>
        <w:t>。</w:t>
      </w:r>
    </w:p>
    <w:p w14:paraId="75AF3DD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二、部门资金收支情况</w:t>
      </w:r>
    </w:p>
    <w:p w14:paraId="140C94D9">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en-US"/>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eastAsia="仿宋_GB2312" w:cs="仿宋_GB2312"/>
          <w:color w:val="auto"/>
          <w:kern w:val="2"/>
          <w:sz w:val="32"/>
          <w:szCs w:val="32"/>
          <w:highlight w:val="none"/>
          <w:lang w:val="en-US" w:eastAsia="zh-CN" w:bidi="ar-SA"/>
        </w:rPr>
        <w:t>绵竹市残疾人联合会</w:t>
      </w:r>
      <w:r>
        <w:rPr>
          <w:rFonts w:hint="eastAsia" w:ascii="Times New Roman" w:hAnsi="Times New Roman" w:eastAsia="仿宋_GB2312" w:cs="Times New Roman"/>
          <w:sz w:val="32"/>
          <w:szCs w:val="32"/>
          <w:lang w:val="en-US" w:eastAsia="zh-CN"/>
        </w:rPr>
        <w:t>2024年年初预算收入</w:t>
      </w:r>
      <w:r>
        <w:rPr>
          <w:rFonts w:hint="eastAsia" w:eastAsia="仿宋_GB2312" w:cs="Times New Roman"/>
          <w:sz w:val="32"/>
          <w:szCs w:val="32"/>
          <w:lang w:val="en-US" w:eastAsia="zh-CN"/>
        </w:rPr>
        <w:t>1015.57万元</w:t>
      </w:r>
      <w:r>
        <w:rPr>
          <w:rFonts w:hint="eastAsia" w:ascii="Times New Roman" w:hAnsi="Times New Roman" w:eastAsia="仿宋_GB2312" w:cs="Times New Roman"/>
          <w:sz w:val="32"/>
          <w:szCs w:val="32"/>
          <w:lang w:val="en-US" w:eastAsia="zh-CN"/>
        </w:rPr>
        <w:t>、决算报表收入</w:t>
      </w:r>
      <w:r>
        <w:rPr>
          <w:rFonts w:hint="eastAsia" w:eastAsia="仿宋_GB2312" w:cs="Times New Roman"/>
          <w:sz w:val="32"/>
          <w:szCs w:val="32"/>
          <w:lang w:val="en-US" w:eastAsia="zh-CN"/>
        </w:rPr>
        <w:t>1015.57万元</w:t>
      </w:r>
      <w:r>
        <w:rPr>
          <w:rFonts w:hint="eastAsia" w:ascii="Times New Roman" w:hAnsi="Times New Roman" w:eastAsia="仿宋_GB2312" w:cs="Times New Roman"/>
          <w:sz w:val="32"/>
          <w:szCs w:val="32"/>
          <w:lang w:val="en-US" w:eastAsia="zh-CN"/>
        </w:rPr>
        <w:t>。</w:t>
      </w:r>
    </w:p>
    <w:p w14:paraId="6F756C71">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szCs w:val="32"/>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eastAsia="仿宋_GB2312" w:cs="仿宋_GB2312"/>
          <w:color w:val="auto"/>
          <w:kern w:val="2"/>
          <w:sz w:val="32"/>
          <w:szCs w:val="32"/>
          <w:highlight w:val="none"/>
          <w:lang w:val="en-US" w:eastAsia="zh-CN" w:bidi="ar-SA"/>
        </w:rPr>
        <w:t>绵竹市残疾人联合会</w:t>
      </w:r>
      <w:r>
        <w:rPr>
          <w:rFonts w:hint="eastAsia" w:ascii="Times New Roman" w:hAnsi="Times New Roman" w:eastAsia="仿宋_GB2312" w:cs="Times New Roman"/>
          <w:sz w:val="32"/>
          <w:szCs w:val="32"/>
          <w:lang w:val="en-US" w:eastAsia="zh-CN"/>
        </w:rPr>
        <w:t>2024年年初预算支出</w:t>
      </w:r>
      <w:r>
        <w:rPr>
          <w:rFonts w:hint="eastAsia" w:eastAsia="仿宋_GB2312" w:cs="Times New Roman"/>
          <w:sz w:val="32"/>
          <w:szCs w:val="32"/>
          <w:lang w:val="en-US" w:eastAsia="zh-CN"/>
        </w:rPr>
        <w:t>1015.57万元</w:t>
      </w:r>
      <w:r>
        <w:rPr>
          <w:rFonts w:hint="eastAsia" w:ascii="Times New Roman" w:hAnsi="Times New Roman" w:eastAsia="仿宋_GB2312" w:cs="Times New Roman"/>
          <w:sz w:val="32"/>
          <w:szCs w:val="32"/>
          <w:lang w:val="en-US" w:eastAsia="zh-CN"/>
        </w:rPr>
        <w:t>、决算报表支出</w:t>
      </w:r>
      <w:r>
        <w:rPr>
          <w:rFonts w:hint="eastAsia" w:eastAsia="仿宋_GB2312" w:cs="Times New Roman"/>
          <w:sz w:val="32"/>
          <w:szCs w:val="32"/>
          <w:lang w:val="en-US" w:eastAsia="zh-CN"/>
        </w:rPr>
        <w:t>1015.57万元</w:t>
      </w:r>
      <w:r>
        <w:rPr>
          <w:rFonts w:hint="eastAsia" w:ascii="Times New Roman" w:hAnsi="Times New Roman" w:eastAsia="仿宋_GB2312" w:cs="Times New Roman"/>
          <w:sz w:val="32"/>
          <w:szCs w:val="32"/>
          <w:lang w:val="en-US" w:eastAsia="zh-CN"/>
        </w:rPr>
        <w:t>。</w:t>
      </w:r>
    </w:p>
    <w:p w14:paraId="2A01C49E">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仿宋_GB2312" w:cs="仿宋_GB2312"/>
          <w:color w:val="auto"/>
          <w:kern w:val="2"/>
          <w:sz w:val="32"/>
          <w:szCs w:val="32"/>
          <w:highlight w:val="none"/>
          <w:lang w:val="en-US" w:eastAsia="zh-CN" w:bidi="ar-SA"/>
        </w:rPr>
        <w:t>绵竹市残疾人联合会</w:t>
      </w:r>
      <w:r>
        <w:rPr>
          <w:rFonts w:hint="eastAsia" w:ascii="Times New Roman" w:hAnsi="Times New Roman" w:eastAsia="仿宋_GB2312" w:cs="Times New Roman"/>
          <w:sz w:val="32"/>
          <w:szCs w:val="32"/>
          <w:lang w:val="en-US" w:eastAsia="zh-CN"/>
        </w:rPr>
        <w:t>2024年决算报表</w:t>
      </w:r>
      <w:r>
        <w:rPr>
          <w:rFonts w:hint="eastAsia" w:eastAsia="仿宋_GB2312" w:cs="Times New Roman"/>
          <w:sz w:val="32"/>
          <w:szCs w:val="32"/>
          <w:lang w:val="en-US" w:eastAsia="zh-CN"/>
        </w:rPr>
        <w:t>无</w:t>
      </w:r>
      <w:r>
        <w:rPr>
          <w:rFonts w:hint="default" w:ascii="Times New Roman" w:hAnsi="Times New Roman" w:eastAsia="仿宋_GB2312" w:cs="Times New Roman"/>
          <w:sz w:val="32"/>
          <w:szCs w:val="32"/>
          <w:lang w:val="en-US" w:eastAsia="zh-CN"/>
        </w:rPr>
        <w:t>结转结余。</w:t>
      </w:r>
    </w:p>
    <w:p w14:paraId="34F86171">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三、部门预算绩效分析</w:t>
      </w:r>
    </w:p>
    <w:p w14:paraId="24940C6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r>
        <w:rPr>
          <w:rFonts w:hint="default" w:ascii="Times New Roman" w:hAnsi="Times New Roman" w:eastAsia="仿宋_GB2312" w:cs="仿宋_GB2312"/>
          <w:color w:val="auto"/>
          <w:kern w:val="2"/>
          <w:sz w:val="32"/>
          <w:szCs w:val="32"/>
          <w:highlight w:val="none"/>
          <w:lang w:val="zh-CN" w:eastAsia="zh-CN" w:bidi="ar-SA"/>
        </w:rPr>
        <w:t>根据部门预算绩效评价指标体系</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总体绩效</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涉及</w:t>
      </w:r>
      <w:r>
        <w:rPr>
          <w:rFonts w:hint="eastAsia" w:ascii="Times New Roman" w:hAnsi="Times New Roman" w:eastAsia="仿宋_GB2312" w:cs="仿宋_GB2312"/>
          <w:color w:val="auto"/>
          <w:kern w:val="2"/>
          <w:sz w:val="32"/>
          <w:szCs w:val="32"/>
          <w:highlight w:val="none"/>
          <w:lang w:val="zh-CN" w:eastAsia="zh-CN" w:bidi="ar-SA"/>
        </w:rPr>
        <w:t>二、三级</w:t>
      </w:r>
      <w:r>
        <w:rPr>
          <w:rFonts w:hint="default" w:ascii="Times New Roman" w:hAnsi="Times New Roman" w:eastAsia="仿宋_GB2312" w:cs="仿宋_GB2312"/>
          <w:color w:val="auto"/>
          <w:kern w:val="2"/>
          <w:sz w:val="32"/>
          <w:szCs w:val="32"/>
          <w:highlight w:val="none"/>
          <w:lang w:val="zh-CN" w:eastAsia="zh-CN" w:bidi="ar-SA"/>
        </w:rPr>
        <w:t>指标进行</w:t>
      </w:r>
      <w:r>
        <w:rPr>
          <w:rFonts w:hint="eastAsia" w:ascii="Times New Roman" w:hAnsi="Times New Roman" w:eastAsia="仿宋_GB2312" w:cs="仿宋_GB2312"/>
          <w:color w:val="auto"/>
          <w:kern w:val="2"/>
          <w:sz w:val="32"/>
          <w:szCs w:val="32"/>
          <w:highlight w:val="none"/>
          <w:lang w:val="zh-CN" w:eastAsia="zh-CN" w:bidi="ar-SA"/>
        </w:rPr>
        <w:t>逐项</w:t>
      </w:r>
      <w:r>
        <w:rPr>
          <w:rFonts w:hint="default" w:ascii="Times New Roman" w:hAnsi="Times New Roman" w:eastAsia="仿宋_GB2312" w:cs="仿宋_GB2312"/>
          <w:color w:val="auto"/>
          <w:kern w:val="2"/>
          <w:sz w:val="32"/>
          <w:szCs w:val="32"/>
          <w:highlight w:val="none"/>
          <w:lang w:val="zh-CN" w:eastAsia="zh-CN" w:bidi="ar-SA"/>
        </w:rPr>
        <w:t>绩效分析</w:t>
      </w:r>
      <w:r>
        <w:rPr>
          <w:rFonts w:hint="eastAsia" w:ascii="Times New Roman" w:hAnsi="Times New Roman" w:eastAsia="仿宋_GB2312" w:cs="仿宋_GB2312"/>
          <w:color w:val="auto"/>
          <w:kern w:val="2"/>
          <w:sz w:val="32"/>
          <w:szCs w:val="32"/>
          <w:highlight w:val="none"/>
          <w:lang w:val="zh-CN" w:eastAsia="zh-CN" w:bidi="ar-SA"/>
        </w:rPr>
        <w:t>并评分</w:t>
      </w:r>
      <w:r>
        <w:rPr>
          <w:rFonts w:hint="default" w:ascii="Times New Roman" w:hAnsi="Times New Roman" w:eastAsia="仿宋_GB2312" w:cs="仿宋_GB2312"/>
          <w:color w:val="auto"/>
          <w:kern w:val="2"/>
          <w:sz w:val="32"/>
          <w:szCs w:val="32"/>
          <w:highlight w:val="none"/>
          <w:lang w:val="zh-CN" w:eastAsia="zh-CN" w:bidi="ar-SA"/>
        </w:rPr>
        <w:t>，依次包括履职效能、预算管理、财务管理、资产管理、采购管理等情况。</w:t>
      </w:r>
    </w:p>
    <w:p w14:paraId="3FB3BCA4">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履职效能。</w:t>
      </w:r>
      <w:r>
        <w:rPr>
          <w:rFonts w:hint="eastAsia" w:eastAsia="仿宋_GB2312" w:cs="仿宋_GB2312"/>
          <w:color w:val="auto"/>
          <w:kern w:val="2"/>
          <w:sz w:val="32"/>
          <w:szCs w:val="32"/>
          <w:highlight w:val="none"/>
          <w:lang w:val="en-US" w:eastAsia="zh-CN" w:bidi="ar-SA"/>
        </w:rPr>
        <w:t>绵竹市残联聚焦于残疾人工作。</w:t>
      </w:r>
      <w:r>
        <w:rPr>
          <w:rFonts w:hint="default" w:ascii="仿宋_GB2312" w:hAnsi="仿宋" w:eastAsia="仿宋_GB2312" w:cs="Times New Roman"/>
          <w:kern w:val="2"/>
          <w:sz w:val="32"/>
          <w:szCs w:val="32"/>
          <w:highlight w:val="none"/>
          <w:lang w:val="en-US" w:eastAsia="zh-CN" w:bidi="ar-SA"/>
        </w:rPr>
        <w:t>开展残疾预防宣传进机关、进社区、进企业、进学校活动和线上电台专访，受众</w:t>
      </w:r>
      <w:r>
        <w:rPr>
          <w:rFonts w:hint="eastAsia" w:ascii="仿宋_GB2312" w:hAnsi="仿宋" w:eastAsia="仿宋_GB2312" w:cs="Times New Roman"/>
          <w:kern w:val="2"/>
          <w:sz w:val="32"/>
          <w:szCs w:val="32"/>
          <w:highlight w:val="none"/>
          <w:lang w:val="en-US" w:eastAsia="zh-CN" w:bidi="ar-SA"/>
        </w:rPr>
        <w:t>2</w:t>
      </w:r>
      <w:r>
        <w:rPr>
          <w:rFonts w:hint="default" w:ascii="仿宋_GB2312" w:hAnsi="仿宋" w:eastAsia="仿宋_GB2312" w:cs="Times New Roman"/>
          <w:kern w:val="2"/>
          <w:sz w:val="32"/>
          <w:szCs w:val="32"/>
          <w:highlight w:val="none"/>
          <w:lang w:val="en-US" w:eastAsia="zh-CN" w:bidi="ar-SA"/>
        </w:rPr>
        <w:t>万余人次。落实残疾儿童康复救助制度，救助残疾儿童83人。全覆盖开展就业年龄段残疾人就业状况调查，新建</w:t>
      </w:r>
      <w:r>
        <w:rPr>
          <w:rFonts w:hint="eastAsia" w:ascii="仿宋_GB2312" w:hAnsi="仿宋" w:eastAsia="仿宋_GB2312" w:cs="Times New Roman"/>
          <w:kern w:val="2"/>
          <w:sz w:val="32"/>
          <w:szCs w:val="32"/>
          <w:highlight w:val="none"/>
          <w:lang w:val="en-US" w:eastAsia="zh-CN" w:bidi="ar-SA"/>
        </w:rPr>
        <w:t>1</w:t>
      </w:r>
      <w:r>
        <w:rPr>
          <w:rFonts w:hint="default" w:ascii="仿宋_GB2312" w:hAnsi="仿宋" w:eastAsia="仿宋_GB2312" w:cs="Times New Roman"/>
          <w:kern w:val="2"/>
          <w:sz w:val="32"/>
          <w:szCs w:val="32"/>
          <w:highlight w:val="none"/>
          <w:lang w:val="en-US" w:eastAsia="zh-CN" w:bidi="ar-SA"/>
        </w:rPr>
        <w:t>家残疾人辅助性就业机构。开展了</w:t>
      </w:r>
      <w:r>
        <w:rPr>
          <w:rFonts w:hint="eastAsia" w:ascii="仿宋_GB2312" w:hAnsi="仿宋" w:eastAsia="仿宋_GB2312" w:cs="Times New Roman"/>
          <w:kern w:val="2"/>
          <w:sz w:val="32"/>
          <w:szCs w:val="32"/>
          <w:highlight w:val="none"/>
          <w:lang w:val="en-US" w:eastAsia="zh-CN" w:bidi="ar-SA"/>
        </w:rPr>
        <w:t>6</w:t>
      </w:r>
      <w:r>
        <w:rPr>
          <w:rFonts w:hint="default" w:ascii="仿宋_GB2312" w:hAnsi="仿宋" w:eastAsia="仿宋_GB2312" w:cs="Times New Roman"/>
          <w:kern w:val="2"/>
          <w:sz w:val="32"/>
          <w:szCs w:val="32"/>
          <w:highlight w:val="none"/>
          <w:lang w:val="en-US" w:eastAsia="zh-CN" w:bidi="ar-SA"/>
        </w:rPr>
        <w:t>期面塑、肉鸽养殖、花式气球等残疾人职业技能培训和农村实用技术培训。</w:t>
      </w:r>
    </w:p>
    <w:p w14:paraId="264EC0DF">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2.</w:t>
      </w:r>
      <w:r>
        <w:rPr>
          <w:rFonts w:hint="default" w:ascii="Times New Roman" w:hAnsi="Times New Roman" w:eastAsia="仿宋_GB2312" w:cs="仿宋_GB2312"/>
          <w:color w:val="auto"/>
          <w:kern w:val="2"/>
          <w:sz w:val="32"/>
          <w:szCs w:val="32"/>
          <w:highlight w:val="none"/>
          <w:lang w:val="zh-CN" w:eastAsia="zh-CN" w:bidi="ar-SA"/>
        </w:rPr>
        <w:t>预算管理</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宋体" w:cs="Times New Roman"/>
          <w:color w:val="000000"/>
          <w:kern w:val="0"/>
          <w:sz w:val="31"/>
          <w:szCs w:val="31"/>
          <w:lang w:val="en-US" w:eastAsia="zh-CN" w:bidi="ar"/>
        </w:rPr>
        <w:t>2</w:t>
      </w:r>
      <w:r>
        <w:rPr>
          <w:rFonts w:ascii="仿宋" w:hAnsi="仿宋" w:eastAsia="仿宋" w:cs="仿宋"/>
          <w:color w:val="000000"/>
          <w:kern w:val="0"/>
          <w:sz w:val="31"/>
          <w:szCs w:val="31"/>
          <w:lang w:val="en-US" w:eastAsia="zh-CN" w:bidi="ar"/>
        </w:rPr>
        <w:t>024年我</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结合年度工作计划，认真征求</w:t>
      </w:r>
    </w:p>
    <w:p w14:paraId="1331F24A">
      <w:pPr>
        <w:keepNext w:val="0"/>
        <w:keepLines w:val="0"/>
        <w:widowControl/>
        <w:suppressLineNumbers w:val="0"/>
        <w:jc w:val="left"/>
      </w:pPr>
      <w:r>
        <w:rPr>
          <w:rFonts w:hint="eastAsia" w:ascii="仿宋" w:hAnsi="仿宋" w:eastAsia="仿宋" w:cs="仿宋"/>
          <w:color w:val="000000"/>
          <w:kern w:val="0"/>
          <w:sz w:val="31"/>
          <w:szCs w:val="31"/>
          <w:lang w:val="en-US" w:eastAsia="zh-CN" w:bidi="ar"/>
        </w:rPr>
        <w:t>统计相应的经费需求，参考以前年度年初预算编审、预算执</w:t>
      </w:r>
    </w:p>
    <w:p w14:paraId="2C8B1AAB">
      <w:pPr>
        <w:keepNext w:val="0"/>
        <w:keepLines w:val="0"/>
        <w:widowControl/>
        <w:suppressLineNumbers w:val="0"/>
        <w:jc w:val="left"/>
      </w:pPr>
      <w:r>
        <w:rPr>
          <w:rFonts w:hint="eastAsia" w:ascii="仿宋" w:hAnsi="仿宋" w:eastAsia="仿宋" w:cs="仿宋"/>
          <w:color w:val="000000"/>
          <w:kern w:val="0"/>
          <w:sz w:val="31"/>
          <w:szCs w:val="31"/>
          <w:lang w:val="en-US" w:eastAsia="zh-CN" w:bidi="ar"/>
        </w:rPr>
        <w:t>行、资产占有和使用情况等因素，按照绵竹市财政局《关于</w:t>
      </w:r>
    </w:p>
    <w:p w14:paraId="0BA200CA">
      <w:pPr>
        <w:keepNext w:val="0"/>
        <w:keepLines w:val="0"/>
        <w:widowControl/>
        <w:suppressLineNumbers w:val="0"/>
        <w:jc w:val="left"/>
      </w:pPr>
      <w:r>
        <w:rPr>
          <w:rFonts w:hint="eastAsia" w:ascii="仿宋" w:hAnsi="仿宋" w:eastAsia="仿宋" w:cs="仿宋"/>
          <w:color w:val="000000"/>
          <w:kern w:val="0"/>
          <w:sz w:val="31"/>
          <w:szCs w:val="31"/>
          <w:lang w:val="en-US" w:eastAsia="zh-CN" w:bidi="ar"/>
        </w:rPr>
        <w:t>编制2024年市级部门预算的通知》要求，在下达控制数内</w:t>
      </w:r>
    </w:p>
    <w:p w14:paraId="76550870">
      <w:pPr>
        <w:keepNext w:val="0"/>
        <w:keepLines w:val="0"/>
        <w:widowControl/>
        <w:suppressLineNumbers w:val="0"/>
        <w:jc w:val="left"/>
      </w:pPr>
      <w:r>
        <w:rPr>
          <w:rFonts w:hint="eastAsia" w:ascii="仿宋" w:hAnsi="仿宋" w:eastAsia="仿宋" w:cs="仿宋"/>
          <w:color w:val="000000"/>
          <w:kern w:val="0"/>
          <w:sz w:val="31"/>
          <w:szCs w:val="31"/>
          <w:lang w:val="en-US" w:eastAsia="zh-CN" w:bidi="ar"/>
        </w:rPr>
        <w:t>按时完成部门预算草案的编制工作，努力做到各项收入、支</w:t>
      </w:r>
    </w:p>
    <w:p w14:paraId="1B81B090">
      <w:pPr>
        <w:keepNext w:val="0"/>
        <w:keepLines w:val="0"/>
        <w:widowControl/>
        <w:suppressLineNumbers w:val="0"/>
        <w:jc w:val="left"/>
      </w:pPr>
      <w:r>
        <w:rPr>
          <w:rFonts w:hint="eastAsia" w:ascii="仿宋" w:hAnsi="仿宋" w:eastAsia="仿宋" w:cs="仿宋"/>
          <w:color w:val="000000"/>
          <w:kern w:val="0"/>
          <w:sz w:val="31"/>
          <w:szCs w:val="31"/>
          <w:lang w:val="en-US" w:eastAsia="zh-CN" w:bidi="ar"/>
        </w:rPr>
        <w:t>出预算的编制完整、准确、规范，确保不重不漏，无部门预</w:t>
      </w:r>
    </w:p>
    <w:p w14:paraId="6E311008">
      <w:pPr>
        <w:keepNext w:val="0"/>
        <w:keepLines w:val="0"/>
        <w:widowControl/>
        <w:suppressLineNumbers w:val="0"/>
        <w:jc w:val="left"/>
      </w:pPr>
      <w:r>
        <w:rPr>
          <w:rFonts w:hint="eastAsia" w:ascii="仿宋" w:hAnsi="仿宋" w:eastAsia="仿宋" w:cs="仿宋"/>
          <w:color w:val="000000"/>
          <w:kern w:val="0"/>
          <w:sz w:val="31"/>
          <w:szCs w:val="31"/>
          <w:lang w:val="en-US" w:eastAsia="zh-CN" w:bidi="ar"/>
        </w:rPr>
        <w:t>算以外保留的其他收支项目。</w:t>
      </w:r>
    </w:p>
    <w:p w14:paraId="08C65104">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3.</w:t>
      </w:r>
      <w:r>
        <w:rPr>
          <w:rFonts w:hint="default" w:ascii="Times New Roman" w:hAnsi="Times New Roman" w:eastAsia="仿宋_GB2312" w:cs="仿宋_GB2312"/>
          <w:color w:val="auto"/>
          <w:kern w:val="2"/>
          <w:sz w:val="32"/>
          <w:szCs w:val="32"/>
          <w:highlight w:val="none"/>
          <w:lang w:val="zh-CN" w:eastAsia="zh-CN" w:bidi="ar-SA"/>
        </w:rPr>
        <w:t>财务管理</w:t>
      </w:r>
      <w:r>
        <w:rPr>
          <w:rFonts w:hint="eastAsia" w:ascii="Times New Roman" w:hAnsi="Times New Roman" w:eastAsia="仿宋_GB2312" w:cs="仿宋_GB2312"/>
          <w:color w:val="auto"/>
          <w:kern w:val="2"/>
          <w:sz w:val="32"/>
          <w:szCs w:val="32"/>
          <w:highlight w:val="none"/>
          <w:lang w:val="zh-CN" w:eastAsia="zh-CN" w:bidi="ar-SA"/>
        </w:rPr>
        <w:t>。</w:t>
      </w:r>
      <w:r>
        <w:rPr>
          <w:rFonts w:ascii="仿宋" w:hAnsi="仿宋" w:eastAsia="仿宋" w:cs="仿宋"/>
          <w:color w:val="000000"/>
          <w:kern w:val="0"/>
          <w:sz w:val="31"/>
          <w:szCs w:val="31"/>
          <w:lang w:val="en-US" w:eastAsia="zh-CN" w:bidi="ar"/>
        </w:rPr>
        <w:t>2024年，我</w:t>
      </w:r>
      <w:r>
        <w:rPr>
          <w:rFonts w:hint="eastAsia" w:ascii="仿宋" w:hAnsi="仿宋" w:eastAsia="仿宋" w:cs="仿宋"/>
          <w:color w:val="000000"/>
          <w:kern w:val="0"/>
          <w:sz w:val="31"/>
          <w:szCs w:val="31"/>
          <w:lang w:val="en-US" w:eastAsia="zh-CN" w:bidi="ar"/>
        </w:rPr>
        <w:t>部门</w:t>
      </w:r>
      <w:r>
        <w:rPr>
          <w:rFonts w:ascii="仿宋" w:hAnsi="仿宋" w:eastAsia="仿宋" w:cs="仿宋"/>
          <w:color w:val="000000"/>
          <w:kern w:val="0"/>
          <w:sz w:val="31"/>
          <w:szCs w:val="31"/>
          <w:lang w:val="en-US" w:eastAsia="zh-CN" w:bidi="ar"/>
        </w:rPr>
        <w:t>进一步加强机关财务管理工</w:t>
      </w:r>
    </w:p>
    <w:p w14:paraId="5F3B57DA">
      <w:pPr>
        <w:keepNext w:val="0"/>
        <w:keepLines w:val="0"/>
        <w:widowControl/>
        <w:suppressLineNumbers w:val="0"/>
        <w:jc w:val="left"/>
      </w:pPr>
      <w:r>
        <w:rPr>
          <w:rFonts w:hint="eastAsia" w:ascii="仿宋" w:hAnsi="仿宋" w:eastAsia="仿宋" w:cs="仿宋"/>
          <w:color w:val="000000"/>
          <w:kern w:val="0"/>
          <w:sz w:val="31"/>
          <w:szCs w:val="31"/>
          <w:lang w:val="en-US" w:eastAsia="zh-CN" w:bidi="ar"/>
        </w:rPr>
        <w:t>作，认真贯彻《会计法》，严格执行《行政部门会计制度》、</w:t>
      </w:r>
    </w:p>
    <w:p w14:paraId="71DE9C69">
      <w:pPr>
        <w:keepNext w:val="0"/>
        <w:keepLines w:val="0"/>
        <w:widowControl/>
        <w:suppressLineNumbers w:val="0"/>
        <w:jc w:val="left"/>
      </w:pPr>
      <w:r>
        <w:rPr>
          <w:rFonts w:hint="eastAsia" w:ascii="仿宋" w:hAnsi="仿宋" w:eastAsia="仿宋" w:cs="仿宋"/>
          <w:color w:val="000000"/>
          <w:kern w:val="0"/>
          <w:sz w:val="31"/>
          <w:szCs w:val="31"/>
          <w:lang w:val="en-US" w:eastAsia="zh-CN" w:bidi="ar"/>
        </w:rPr>
        <w:t>《行政部门财务规则》及各项费用管理办法，规范资金收支</w:t>
      </w:r>
    </w:p>
    <w:p w14:paraId="2B638175">
      <w:pPr>
        <w:keepNext w:val="0"/>
        <w:keepLines w:val="0"/>
        <w:widowControl/>
        <w:suppressLineNumbers w:val="0"/>
        <w:jc w:val="left"/>
      </w:pPr>
      <w:r>
        <w:rPr>
          <w:rFonts w:hint="eastAsia" w:ascii="仿宋" w:hAnsi="仿宋" w:eastAsia="仿宋" w:cs="仿宋"/>
          <w:color w:val="000000"/>
          <w:kern w:val="0"/>
          <w:sz w:val="31"/>
          <w:szCs w:val="31"/>
          <w:lang w:val="en-US" w:eastAsia="zh-CN" w:bidi="ar"/>
        </w:rPr>
        <w:t>管理及会计核算，强化预算管理，从严从紧控制和节减经费</w:t>
      </w:r>
    </w:p>
    <w:p w14:paraId="1ADBCEEE">
      <w:pPr>
        <w:keepNext w:val="0"/>
        <w:keepLines w:val="0"/>
        <w:widowControl/>
        <w:suppressLineNumbers w:val="0"/>
        <w:jc w:val="left"/>
      </w:pPr>
      <w:r>
        <w:rPr>
          <w:rFonts w:hint="eastAsia" w:ascii="仿宋" w:hAnsi="仿宋" w:eastAsia="仿宋" w:cs="仿宋"/>
          <w:color w:val="000000"/>
          <w:kern w:val="0"/>
          <w:sz w:val="31"/>
          <w:szCs w:val="31"/>
          <w:lang w:val="en-US" w:eastAsia="zh-CN" w:bidi="ar"/>
        </w:rPr>
        <w:t>支出，严格财务审批制度，凡涉重大经费支出，必须做到事</w:t>
      </w:r>
    </w:p>
    <w:p w14:paraId="295F9312">
      <w:pPr>
        <w:keepNext w:val="0"/>
        <w:keepLines w:val="0"/>
        <w:widowControl/>
        <w:suppressLineNumbers w:val="0"/>
        <w:jc w:val="left"/>
      </w:pPr>
      <w:r>
        <w:rPr>
          <w:rFonts w:hint="eastAsia" w:ascii="仿宋" w:hAnsi="仿宋" w:eastAsia="仿宋" w:cs="仿宋"/>
          <w:color w:val="000000"/>
          <w:kern w:val="0"/>
          <w:sz w:val="31"/>
          <w:szCs w:val="31"/>
          <w:lang w:val="en-US" w:eastAsia="zh-CN" w:bidi="ar"/>
        </w:rPr>
        <w:t>前报告，事后逐级审核，最终报请主要领导审批，同时，规</w:t>
      </w:r>
    </w:p>
    <w:p w14:paraId="135B8B01">
      <w:pPr>
        <w:keepNext w:val="0"/>
        <w:keepLines w:val="0"/>
        <w:widowControl/>
        <w:suppressLineNumbers w:val="0"/>
        <w:jc w:val="left"/>
      </w:pPr>
      <w:r>
        <w:rPr>
          <w:rFonts w:hint="eastAsia" w:ascii="仿宋" w:hAnsi="仿宋" w:eastAsia="仿宋" w:cs="仿宋"/>
          <w:color w:val="000000"/>
          <w:kern w:val="0"/>
          <w:sz w:val="31"/>
          <w:szCs w:val="31"/>
          <w:lang w:val="en-US" w:eastAsia="zh-CN" w:bidi="ar"/>
        </w:rPr>
        <w:t>范现金报销制度。</w:t>
      </w:r>
    </w:p>
    <w:p w14:paraId="5F810958">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4.</w:t>
      </w:r>
      <w:r>
        <w:rPr>
          <w:rFonts w:hint="default" w:ascii="Times New Roman" w:hAnsi="Times New Roman" w:eastAsia="仿宋_GB2312" w:cs="仿宋_GB2312"/>
          <w:color w:val="auto"/>
          <w:kern w:val="2"/>
          <w:sz w:val="32"/>
          <w:szCs w:val="32"/>
          <w:highlight w:val="none"/>
          <w:lang w:val="zh-CN" w:eastAsia="zh-CN" w:bidi="ar-SA"/>
        </w:rPr>
        <w:t>资产管理</w:t>
      </w:r>
      <w:r>
        <w:rPr>
          <w:rFonts w:hint="eastAsia" w:ascii="Times New Roman" w:hAnsi="Times New Roman" w:eastAsia="仿宋_GB2312" w:cs="仿宋_GB2312"/>
          <w:color w:val="auto"/>
          <w:kern w:val="2"/>
          <w:sz w:val="32"/>
          <w:szCs w:val="32"/>
          <w:highlight w:val="none"/>
          <w:lang w:val="zh-CN" w:eastAsia="zh-CN" w:bidi="ar-SA"/>
        </w:rPr>
        <w:t>。</w:t>
      </w:r>
      <w:r>
        <w:rPr>
          <w:rFonts w:ascii="仿宋" w:hAnsi="仿宋" w:eastAsia="仿宋" w:cs="仿宋"/>
          <w:color w:val="000000"/>
          <w:kern w:val="0"/>
          <w:sz w:val="31"/>
          <w:szCs w:val="31"/>
          <w:lang w:val="en-US" w:eastAsia="zh-CN" w:bidi="ar"/>
        </w:rPr>
        <w:t>按照要求做好资产管理，固定资产及时入</w:t>
      </w:r>
    </w:p>
    <w:p w14:paraId="7AECF71E">
      <w:pPr>
        <w:keepNext w:val="0"/>
        <w:keepLines w:val="0"/>
        <w:widowControl/>
        <w:suppressLineNumbers w:val="0"/>
        <w:jc w:val="left"/>
      </w:pPr>
      <w:r>
        <w:rPr>
          <w:rFonts w:hint="eastAsia" w:ascii="仿宋" w:hAnsi="仿宋" w:eastAsia="仿宋" w:cs="仿宋"/>
          <w:color w:val="000000"/>
          <w:kern w:val="0"/>
          <w:sz w:val="31"/>
          <w:szCs w:val="31"/>
          <w:lang w:val="en-US" w:eastAsia="zh-CN" w:bidi="ar"/>
        </w:rPr>
        <w:t>账，账务处理及时，确保财务与资产管理账账相符。</w:t>
      </w:r>
    </w:p>
    <w:p w14:paraId="00EB1CA8">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5.</w:t>
      </w:r>
      <w:r>
        <w:rPr>
          <w:rFonts w:hint="default" w:ascii="Times New Roman" w:hAnsi="Times New Roman" w:eastAsia="仿宋_GB2312" w:cs="仿宋_GB2312"/>
          <w:color w:val="auto"/>
          <w:kern w:val="2"/>
          <w:sz w:val="32"/>
          <w:szCs w:val="32"/>
          <w:highlight w:val="none"/>
          <w:lang w:val="zh-CN" w:eastAsia="zh-CN" w:bidi="ar-SA"/>
        </w:rPr>
        <w:t>采购管理</w:t>
      </w:r>
      <w:r>
        <w:rPr>
          <w:rFonts w:hint="eastAsia" w:ascii="Times New Roman" w:hAnsi="Times New Roman" w:eastAsia="仿宋_GB2312" w:cs="仿宋_GB2312"/>
          <w:color w:val="auto"/>
          <w:kern w:val="2"/>
          <w:sz w:val="32"/>
          <w:szCs w:val="32"/>
          <w:highlight w:val="none"/>
          <w:lang w:val="zh-CN" w:eastAsia="zh-CN" w:bidi="ar-SA"/>
        </w:rPr>
        <w:t>。</w:t>
      </w:r>
      <w:r>
        <w:rPr>
          <w:rFonts w:ascii="仿宋" w:hAnsi="仿宋" w:eastAsia="仿宋" w:cs="仿宋"/>
          <w:color w:val="000000"/>
          <w:kern w:val="0"/>
          <w:sz w:val="31"/>
          <w:szCs w:val="31"/>
          <w:lang w:val="en-US" w:eastAsia="zh-CN" w:bidi="ar"/>
        </w:rPr>
        <w:t>严格执行政府采购政策，认真做好采购项</w:t>
      </w:r>
    </w:p>
    <w:p w14:paraId="07CE0A6C">
      <w:pPr>
        <w:keepNext w:val="0"/>
        <w:keepLines w:val="0"/>
        <w:widowControl/>
        <w:suppressLineNumbers w:val="0"/>
        <w:jc w:val="left"/>
      </w:pPr>
      <w:r>
        <w:rPr>
          <w:rFonts w:hint="eastAsia" w:ascii="仿宋" w:hAnsi="仿宋" w:eastAsia="仿宋" w:cs="仿宋"/>
          <w:color w:val="000000"/>
          <w:kern w:val="0"/>
          <w:sz w:val="31"/>
          <w:szCs w:val="31"/>
          <w:lang w:val="en-US" w:eastAsia="zh-CN" w:bidi="ar"/>
        </w:rPr>
        <w:t>目备案、招投标、项目实施及验收、项目资金拨付等，保证</w:t>
      </w:r>
    </w:p>
    <w:p w14:paraId="217E0053">
      <w:pPr>
        <w:keepNext w:val="0"/>
        <w:keepLines w:val="0"/>
        <w:widowControl/>
        <w:suppressLineNumbers w:val="0"/>
        <w:jc w:val="left"/>
        <w:rPr>
          <w:rFonts w:hint="eastAsia" w:ascii="Times New Roman" w:hAnsi="Times New Roman" w:eastAsia="仿宋_GB2312" w:cs="仿宋_GB2312"/>
          <w:color w:val="auto"/>
          <w:kern w:val="2"/>
          <w:sz w:val="32"/>
          <w:szCs w:val="32"/>
          <w:highlight w:val="none"/>
          <w:lang w:val="zh-CN" w:eastAsia="zh-CN" w:bidi="ar-SA"/>
        </w:rPr>
      </w:pPr>
      <w:r>
        <w:rPr>
          <w:rFonts w:hint="eastAsia" w:ascii="仿宋" w:hAnsi="仿宋" w:eastAsia="仿宋" w:cs="仿宋"/>
          <w:color w:val="000000"/>
          <w:kern w:val="0"/>
          <w:sz w:val="31"/>
          <w:szCs w:val="31"/>
          <w:lang w:val="en-US" w:eastAsia="zh-CN" w:bidi="ar"/>
        </w:rPr>
        <w:t>采购项目公平、公正、合法。</w:t>
      </w:r>
    </w:p>
    <w:p w14:paraId="433EB6D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outlineLvl w:val="9"/>
        <w:rPr>
          <w:rFonts w:hint="default" w:ascii="Times New Roman" w:hAnsi="Times New Roman" w:eastAsia="仿宋_GB2312" w:cs="仿宋_GB2312"/>
          <w:color w:val="auto"/>
          <w:kern w:val="2"/>
          <w:sz w:val="32"/>
          <w:szCs w:val="32"/>
          <w:highlight w:val="none"/>
          <w:lang w:val="en-US"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r>
        <w:rPr>
          <w:rFonts w:hint="eastAsia" w:ascii="Times New Roman" w:hAnsi="Times New Roman" w:eastAsia="仿宋_GB2312" w:cs="仿宋_GB2312"/>
          <w:color w:val="auto"/>
          <w:kern w:val="2"/>
          <w:sz w:val="32"/>
          <w:szCs w:val="32"/>
          <w:highlight w:val="none"/>
          <w:lang w:val="zh-CN" w:eastAsia="zh-CN" w:bidi="ar-SA"/>
        </w:rPr>
        <w:t>填报以下数据，并</w:t>
      </w:r>
      <w:r>
        <w:rPr>
          <w:rFonts w:hint="default" w:ascii="Times New Roman" w:hAnsi="Times New Roman" w:eastAsia="仿宋_GB2312" w:cs="仿宋_GB2312"/>
          <w:color w:val="auto"/>
          <w:kern w:val="2"/>
          <w:sz w:val="32"/>
          <w:szCs w:val="32"/>
          <w:highlight w:val="none"/>
          <w:lang w:val="zh-CN" w:eastAsia="zh-CN" w:bidi="ar-SA"/>
        </w:rPr>
        <w:t>根据部门预算绩效评价指标体系</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项目绩效</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涉及</w:t>
      </w:r>
      <w:r>
        <w:rPr>
          <w:rFonts w:hint="eastAsia" w:ascii="Times New Roman" w:hAnsi="Times New Roman" w:eastAsia="仿宋_GB2312" w:cs="仿宋_GB2312"/>
          <w:color w:val="auto"/>
          <w:kern w:val="2"/>
          <w:sz w:val="32"/>
          <w:szCs w:val="32"/>
          <w:highlight w:val="none"/>
          <w:lang w:val="zh-CN" w:eastAsia="zh-CN" w:bidi="ar-SA"/>
        </w:rPr>
        <w:t>二、三级</w:t>
      </w:r>
      <w:r>
        <w:rPr>
          <w:rFonts w:hint="default" w:ascii="Times New Roman" w:hAnsi="Times New Roman" w:eastAsia="仿宋_GB2312" w:cs="仿宋_GB2312"/>
          <w:color w:val="auto"/>
          <w:kern w:val="2"/>
          <w:sz w:val="32"/>
          <w:szCs w:val="32"/>
          <w:highlight w:val="none"/>
          <w:lang w:val="zh-CN" w:eastAsia="zh-CN" w:bidi="ar-SA"/>
        </w:rPr>
        <w:t>指标进行</w:t>
      </w:r>
      <w:r>
        <w:rPr>
          <w:rFonts w:hint="eastAsia" w:ascii="Times New Roman" w:hAnsi="Times New Roman" w:eastAsia="仿宋_GB2312" w:cs="仿宋_GB2312"/>
          <w:color w:val="auto"/>
          <w:kern w:val="2"/>
          <w:sz w:val="32"/>
          <w:szCs w:val="32"/>
          <w:highlight w:val="none"/>
          <w:lang w:val="zh-CN" w:eastAsia="zh-CN" w:bidi="ar-SA"/>
        </w:rPr>
        <w:t>逐项</w:t>
      </w:r>
      <w:r>
        <w:rPr>
          <w:rFonts w:hint="default" w:ascii="Times New Roman" w:hAnsi="Times New Roman" w:eastAsia="仿宋_GB2312" w:cs="仿宋_GB2312"/>
          <w:color w:val="auto"/>
          <w:kern w:val="2"/>
          <w:sz w:val="32"/>
          <w:szCs w:val="32"/>
          <w:highlight w:val="none"/>
          <w:lang w:val="zh-CN" w:eastAsia="zh-CN" w:bidi="ar-SA"/>
        </w:rPr>
        <w:t>绩效分析</w:t>
      </w:r>
      <w:r>
        <w:rPr>
          <w:rFonts w:hint="eastAsia" w:ascii="Times New Roman" w:hAnsi="Times New Roman" w:eastAsia="仿宋_GB2312" w:cs="仿宋_GB2312"/>
          <w:color w:val="auto"/>
          <w:kern w:val="2"/>
          <w:sz w:val="32"/>
          <w:szCs w:val="32"/>
          <w:highlight w:val="none"/>
          <w:lang w:val="zh-CN" w:eastAsia="zh-CN" w:bidi="ar-SA"/>
        </w:rPr>
        <w:t>并评分</w:t>
      </w:r>
      <w:r>
        <w:rPr>
          <w:rFonts w:hint="default" w:ascii="Times New Roman" w:hAnsi="Times New Roman" w:eastAsia="仿宋_GB2312" w:cs="仿宋_GB2312"/>
          <w:color w:val="auto"/>
          <w:kern w:val="2"/>
          <w:sz w:val="32"/>
          <w:szCs w:val="32"/>
          <w:highlight w:val="none"/>
          <w:lang w:val="zh-CN" w:eastAsia="zh-CN" w:bidi="ar-SA"/>
        </w:rPr>
        <w:t>，依次包括项目</w:t>
      </w:r>
      <w:r>
        <w:rPr>
          <w:rFonts w:hint="default" w:ascii="Times New Roman" w:hAnsi="Times New Roman" w:eastAsia="仿宋_GB2312" w:cs="仿宋_GB2312"/>
          <w:color w:val="auto"/>
          <w:kern w:val="2"/>
          <w:sz w:val="32"/>
          <w:szCs w:val="32"/>
          <w:highlight w:val="none"/>
          <w:lang w:val="en-US" w:eastAsia="zh-CN" w:bidi="ar-SA"/>
        </w:rPr>
        <w:t>决策、项目执行、目标实现等情况</w:t>
      </w:r>
      <w:r>
        <w:rPr>
          <w:rFonts w:hint="eastAsia" w:ascii="Times New Roman" w:hAnsi="Times New Roman" w:eastAsia="仿宋_GB2312" w:cs="仿宋_GB2312"/>
          <w:color w:val="auto"/>
          <w:kern w:val="2"/>
          <w:sz w:val="32"/>
          <w:szCs w:val="32"/>
          <w:highlight w:val="none"/>
          <w:lang w:val="en-US" w:eastAsia="zh-CN" w:bidi="ar-SA"/>
        </w:rPr>
        <w:t>。</w:t>
      </w:r>
    </w:p>
    <w:p w14:paraId="12060A20">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仿宋_GB2312" w:cs="仿宋_GB2312"/>
          <w:color w:val="auto"/>
          <w:kern w:val="2"/>
          <w:sz w:val="32"/>
          <w:szCs w:val="32"/>
          <w:highlight w:val="none"/>
          <w:lang w:val="en-US" w:eastAsia="zh-CN" w:bidi="ar-SA"/>
        </w:rPr>
        <w:t>常年项目绩效分析。</w:t>
      </w:r>
      <w:r>
        <w:rPr>
          <w:rFonts w:hint="default" w:ascii="Times New Roman" w:hAnsi="Times New Roman" w:eastAsia="仿宋_GB2312" w:cs="仿宋_GB2312"/>
          <w:color w:val="auto"/>
          <w:kern w:val="2"/>
          <w:sz w:val="32"/>
          <w:szCs w:val="32"/>
          <w:highlight w:val="none"/>
          <w:lang w:val="zh-CN" w:eastAsia="zh-CN" w:bidi="ar-SA"/>
        </w:rPr>
        <w:t>该类项目总数</w:t>
      </w:r>
      <w:r>
        <w:rPr>
          <w:rFonts w:hint="eastAsia" w:eastAsia="仿宋_GB2312" w:cs="仿宋_GB2312"/>
          <w:color w:val="auto"/>
          <w:kern w:val="2"/>
          <w:sz w:val="32"/>
          <w:szCs w:val="32"/>
          <w:highlight w:val="none"/>
          <w:lang w:val="en-US" w:eastAsia="zh-CN" w:bidi="ar-SA"/>
        </w:rPr>
        <w:t>34</w:t>
      </w:r>
      <w:r>
        <w:rPr>
          <w:rFonts w:hint="default" w:ascii="Times New Roman" w:hAnsi="Times New Roman" w:eastAsia="仿宋_GB2312" w:cs="仿宋_GB2312"/>
          <w:color w:val="auto"/>
          <w:kern w:val="2"/>
          <w:sz w:val="32"/>
          <w:szCs w:val="32"/>
          <w:highlight w:val="none"/>
          <w:lang w:val="zh-CN" w:eastAsia="zh-CN" w:bidi="ar-SA"/>
        </w:rPr>
        <w:t>个，涉及预算总金额</w:t>
      </w:r>
      <w:r>
        <w:rPr>
          <w:rFonts w:hint="eastAsia" w:eastAsia="仿宋_GB2312" w:cs="仿宋_GB2312"/>
          <w:color w:val="auto"/>
          <w:kern w:val="2"/>
          <w:sz w:val="32"/>
          <w:szCs w:val="32"/>
          <w:highlight w:val="none"/>
          <w:lang w:val="en-US" w:eastAsia="zh-CN" w:bidi="ar-SA"/>
        </w:rPr>
        <w:t>866.58</w:t>
      </w:r>
      <w:r>
        <w:rPr>
          <w:rFonts w:hint="default" w:ascii="Times New Roman" w:hAnsi="Times New Roman" w:eastAsia="仿宋_GB2312" w:cs="仿宋_GB2312"/>
          <w:color w:val="auto"/>
          <w:kern w:val="2"/>
          <w:sz w:val="32"/>
          <w:szCs w:val="32"/>
          <w:highlight w:val="none"/>
          <w:lang w:val="zh-CN" w:eastAsia="zh-CN" w:bidi="ar-SA"/>
        </w:rPr>
        <w:t>万元，1</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1</w:t>
      </w:r>
      <w:r>
        <w:rPr>
          <w:rFonts w:hint="default" w:ascii="Times New Roman" w:hAnsi="Times New Roman" w:eastAsia="仿宋_GB2312" w:cs="仿宋_GB2312"/>
          <w:color w:val="auto"/>
          <w:kern w:val="2"/>
          <w:sz w:val="32"/>
          <w:szCs w:val="32"/>
          <w:highlight w:val="none"/>
          <w:lang w:val="en-US" w:eastAsia="zh-CN" w:bidi="ar-SA"/>
        </w:rPr>
        <w:t>2</w:t>
      </w:r>
      <w:r>
        <w:rPr>
          <w:rFonts w:hint="default" w:ascii="Times New Roman" w:hAnsi="Times New Roman" w:eastAsia="仿宋_GB2312" w:cs="仿宋_GB2312"/>
          <w:color w:val="auto"/>
          <w:kern w:val="2"/>
          <w:sz w:val="32"/>
          <w:szCs w:val="32"/>
          <w:highlight w:val="none"/>
          <w:lang w:val="zh-CN" w:eastAsia="zh-CN" w:bidi="ar-SA"/>
        </w:rPr>
        <w:t>月预算执行总体进度为</w:t>
      </w:r>
      <w:r>
        <w:rPr>
          <w:rFonts w:hint="eastAsia" w:eastAsia="仿宋_GB2312" w:cs="仿宋_GB2312"/>
          <w:color w:val="auto"/>
          <w:kern w:val="2"/>
          <w:sz w:val="32"/>
          <w:szCs w:val="32"/>
          <w:highlight w:val="none"/>
          <w:lang w:val="en-US" w:eastAsia="zh-CN" w:bidi="ar-SA"/>
        </w:rPr>
        <w:t>100</w:t>
      </w:r>
      <w:r>
        <w:rPr>
          <w:rFonts w:hint="default" w:ascii="Times New Roman" w:hAnsi="Times New Roman" w:eastAsia="仿宋_GB2312" w:cs="仿宋_GB2312"/>
          <w:color w:val="auto"/>
          <w:kern w:val="2"/>
          <w:sz w:val="32"/>
          <w:szCs w:val="32"/>
          <w:highlight w:val="none"/>
          <w:lang w:val="zh-CN" w:eastAsia="zh-CN" w:bidi="ar-SA"/>
        </w:rPr>
        <w:t>%，其中：预算结余率大于</w:t>
      </w:r>
      <w:r>
        <w:rPr>
          <w:rFonts w:hint="default" w:ascii="Times New Roman" w:hAnsi="Times New Roman" w:eastAsia="仿宋_GB2312" w:cs="仿宋_GB2312"/>
          <w:color w:val="auto"/>
          <w:kern w:val="2"/>
          <w:sz w:val="32"/>
          <w:szCs w:val="32"/>
          <w:highlight w:val="none"/>
          <w:lang w:val="en-US" w:eastAsia="zh-CN" w:bidi="ar-SA"/>
        </w:rPr>
        <w:t>10%</w:t>
      </w:r>
      <w:r>
        <w:rPr>
          <w:rFonts w:hint="default" w:ascii="Times New Roman" w:hAnsi="Times New Roman" w:eastAsia="仿宋_GB2312" w:cs="仿宋_GB2312"/>
          <w:color w:val="auto"/>
          <w:kern w:val="2"/>
          <w:sz w:val="32"/>
          <w:szCs w:val="32"/>
          <w:highlight w:val="none"/>
          <w:lang w:val="zh-CN" w:eastAsia="zh-CN" w:bidi="ar-SA"/>
        </w:rPr>
        <w:t>的项目共计</w:t>
      </w:r>
      <w:r>
        <w:rPr>
          <w:rFonts w:hint="eastAsia" w:eastAsia="仿宋_GB2312" w:cs="仿宋_GB2312"/>
          <w:color w:val="auto"/>
          <w:kern w:val="2"/>
          <w:sz w:val="32"/>
          <w:szCs w:val="32"/>
          <w:highlight w:val="none"/>
          <w:lang w:val="en-US" w:eastAsia="zh-CN" w:bidi="ar-SA"/>
        </w:rPr>
        <w:t>0</w:t>
      </w:r>
      <w:r>
        <w:rPr>
          <w:rFonts w:hint="default" w:ascii="Times New Roman" w:hAnsi="Times New Roman" w:eastAsia="仿宋_GB2312" w:cs="仿宋_GB2312"/>
          <w:color w:val="auto"/>
          <w:kern w:val="2"/>
          <w:sz w:val="32"/>
          <w:szCs w:val="32"/>
          <w:highlight w:val="none"/>
          <w:lang w:val="zh-CN" w:eastAsia="zh-CN" w:bidi="ar-SA"/>
        </w:rPr>
        <w:t>个。</w:t>
      </w:r>
    </w:p>
    <w:p w14:paraId="41CC928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仿宋_GB2312" w:cs="仿宋_GB2312"/>
          <w:color w:val="auto"/>
          <w:kern w:val="2"/>
          <w:sz w:val="32"/>
          <w:szCs w:val="32"/>
          <w:highlight w:val="none"/>
          <w:lang w:val="en-US" w:eastAsia="zh-CN" w:bidi="ar-SA"/>
        </w:rPr>
        <w:t>阶段</w:t>
      </w:r>
      <w:r>
        <w:rPr>
          <w:rFonts w:hint="eastAsia" w:ascii="Times New Roman" w:hAnsi="Times New Roman" w:eastAsia="仿宋_GB2312" w:cs="仿宋_GB2312"/>
          <w:color w:val="auto"/>
          <w:kern w:val="2"/>
          <w:sz w:val="32"/>
          <w:szCs w:val="32"/>
          <w:highlight w:val="none"/>
          <w:lang w:val="en-US" w:eastAsia="zh-CN" w:bidi="ar-SA"/>
        </w:rPr>
        <w:t>（</w:t>
      </w:r>
      <w:r>
        <w:rPr>
          <w:rFonts w:hint="default" w:ascii="Times New Roman" w:hAnsi="Times New Roman" w:eastAsia="仿宋_GB2312" w:cs="仿宋_GB2312"/>
          <w:color w:val="auto"/>
          <w:kern w:val="2"/>
          <w:sz w:val="32"/>
          <w:szCs w:val="32"/>
          <w:highlight w:val="none"/>
          <w:lang w:val="en-US" w:eastAsia="zh-CN" w:bidi="ar-SA"/>
        </w:rPr>
        <w:t>一次性</w:t>
      </w:r>
      <w:r>
        <w:rPr>
          <w:rFonts w:hint="eastAsia" w:ascii="Times New Roman" w:hAnsi="Times New Roman" w:eastAsia="仿宋_GB2312" w:cs="仿宋_GB2312"/>
          <w:color w:val="auto"/>
          <w:kern w:val="2"/>
          <w:sz w:val="32"/>
          <w:szCs w:val="32"/>
          <w:highlight w:val="none"/>
          <w:lang w:val="en-US" w:eastAsia="zh-CN" w:bidi="ar-SA"/>
        </w:rPr>
        <w:t>）</w:t>
      </w:r>
      <w:r>
        <w:rPr>
          <w:rFonts w:hint="default" w:ascii="Times New Roman" w:hAnsi="Times New Roman" w:eastAsia="仿宋_GB2312" w:cs="仿宋_GB2312"/>
          <w:color w:val="auto"/>
          <w:kern w:val="2"/>
          <w:sz w:val="32"/>
          <w:szCs w:val="32"/>
          <w:highlight w:val="none"/>
          <w:lang w:val="en-US" w:eastAsia="zh-CN" w:bidi="ar-SA"/>
        </w:rPr>
        <w:t>项目绩效分析。</w:t>
      </w:r>
      <w:r>
        <w:rPr>
          <w:rFonts w:hint="default" w:ascii="Times New Roman" w:hAnsi="Times New Roman" w:eastAsia="仿宋_GB2312" w:cs="仿宋_GB2312"/>
          <w:color w:val="auto"/>
          <w:kern w:val="2"/>
          <w:sz w:val="32"/>
          <w:szCs w:val="32"/>
          <w:highlight w:val="none"/>
          <w:lang w:val="zh-CN" w:eastAsia="zh-CN" w:bidi="ar-SA"/>
        </w:rPr>
        <w:t>该类项目总数</w:t>
      </w:r>
      <w:r>
        <w:rPr>
          <w:rFonts w:hint="eastAsia" w:eastAsia="仿宋_GB2312" w:cs="仿宋_GB2312"/>
          <w:color w:val="auto"/>
          <w:kern w:val="2"/>
          <w:sz w:val="32"/>
          <w:szCs w:val="32"/>
          <w:highlight w:val="none"/>
          <w:lang w:val="en-US" w:eastAsia="zh-CN" w:bidi="ar-SA"/>
        </w:rPr>
        <w:t>0</w:t>
      </w:r>
      <w:r>
        <w:rPr>
          <w:rFonts w:hint="default" w:ascii="Times New Roman" w:hAnsi="Times New Roman" w:eastAsia="仿宋_GB2312" w:cs="仿宋_GB2312"/>
          <w:color w:val="auto"/>
          <w:kern w:val="2"/>
          <w:sz w:val="32"/>
          <w:szCs w:val="32"/>
          <w:highlight w:val="none"/>
          <w:lang w:val="zh-CN" w:eastAsia="zh-CN" w:bidi="ar-SA"/>
        </w:rPr>
        <w:t>个，涉及预算总金额</w:t>
      </w:r>
      <w:r>
        <w:rPr>
          <w:rFonts w:hint="eastAsia" w:eastAsia="仿宋_GB2312" w:cs="仿宋_GB2312"/>
          <w:color w:val="auto"/>
          <w:kern w:val="2"/>
          <w:sz w:val="32"/>
          <w:szCs w:val="32"/>
          <w:highlight w:val="none"/>
          <w:lang w:val="en-US" w:eastAsia="zh-CN" w:bidi="ar-SA"/>
        </w:rPr>
        <w:t>0</w:t>
      </w:r>
      <w:r>
        <w:rPr>
          <w:rFonts w:hint="default" w:ascii="Times New Roman" w:hAnsi="Times New Roman" w:eastAsia="仿宋_GB2312" w:cs="仿宋_GB2312"/>
          <w:color w:val="auto"/>
          <w:kern w:val="2"/>
          <w:sz w:val="32"/>
          <w:szCs w:val="32"/>
          <w:highlight w:val="none"/>
          <w:lang w:val="zh-CN" w:eastAsia="zh-CN" w:bidi="ar-SA"/>
        </w:rPr>
        <w:t>万元，1</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1</w:t>
      </w:r>
      <w:r>
        <w:rPr>
          <w:rFonts w:hint="default" w:ascii="Times New Roman" w:hAnsi="Times New Roman" w:eastAsia="仿宋_GB2312" w:cs="仿宋_GB2312"/>
          <w:color w:val="auto"/>
          <w:kern w:val="2"/>
          <w:sz w:val="32"/>
          <w:szCs w:val="32"/>
          <w:highlight w:val="none"/>
          <w:lang w:val="en-US" w:eastAsia="zh-CN" w:bidi="ar-SA"/>
        </w:rPr>
        <w:t>2</w:t>
      </w:r>
      <w:r>
        <w:rPr>
          <w:rFonts w:hint="default" w:ascii="Times New Roman" w:hAnsi="Times New Roman" w:eastAsia="仿宋_GB2312" w:cs="仿宋_GB2312"/>
          <w:color w:val="auto"/>
          <w:kern w:val="2"/>
          <w:sz w:val="32"/>
          <w:szCs w:val="32"/>
          <w:highlight w:val="none"/>
          <w:lang w:val="zh-CN" w:eastAsia="zh-CN" w:bidi="ar-SA"/>
        </w:rPr>
        <w:t>月预算执行总体进度为</w:t>
      </w:r>
      <w:r>
        <w:rPr>
          <w:rFonts w:hint="eastAsia" w:eastAsia="仿宋_GB2312" w:cs="仿宋_GB2312"/>
          <w:color w:val="auto"/>
          <w:kern w:val="2"/>
          <w:sz w:val="32"/>
          <w:szCs w:val="32"/>
          <w:highlight w:val="none"/>
          <w:lang w:val="en-US" w:eastAsia="zh-CN" w:bidi="ar-SA"/>
        </w:rPr>
        <w:t>0</w:t>
      </w:r>
      <w:r>
        <w:rPr>
          <w:rFonts w:hint="default" w:ascii="Times New Roman" w:hAnsi="Times New Roman" w:eastAsia="仿宋_GB2312" w:cs="仿宋_GB2312"/>
          <w:color w:val="auto"/>
          <w:kern w:val="2"/>
          <w:sz w:val="32"/>
          <w:szCs w:val="32"/>
          <w:highlight w:val="none"/>
          <w:lang w:val="zh-CN" w:eastAsia="zh-CN" w:bidi="ar-SA"/>
        </w:rPr>
        <w:t>%，其中：预算结余率大于</w:t>
      </w:r>
      <w:r>
        <w:rPr>
          <w:rFonts w:hint="default" w:ascii="Times New Roman" w:hAnsi="Times New Roman" w:eastAsia="仿宋_GB2312" w:cs="仿宋_GB2312"/>
          <w:color w:val="auto"/>
          <w:kern w:val="2"/>
          <w:sz w:val="32"/>
          <w:szCs w:val="32"/>
          <w:highlight w:val="none"/>
          <w:lang w:val="en-US" w:eastAsia="zh-CN" w:bidi="ar-SA"/>
        </w:rPr>
        <w:t>10%</w:t>
      </w:r>
      <w:r>
        <w:rPr>
          <w:rFonts w:hint="default" w:ascii="Times New Roman" w:hAnsi="Times New Roman" w:eastAsia="仿宋_GB2312" w:cs="仿宋_GB2312"/>
          <w:color w:val="auto"/>
          <w:kern w:val="2"/>
          <w:sz w:val="32"/>
          <w:szCs w:val="32"/>
          <w:highlight w:val="none"/>
          <w:lang w:val="zh-CN" w:eastAsia="zh-CN" w:bidi="ar-SA"/>
        </w:rPr>
        <w:t>的项目共计</w:t>
      </w:r>
      <w:r>
        <w:rPr>
          <w:rFonts w:hint="eastAsia" w:eastAsia="仿宋_GB2312" w:cs="仿宋_GB2312"/>
          <w:color w:val="auto"/>
          <w:kern w:val="2"/>
          <w:sz w:val="32"/>
          <w:szCs w:val="32"/>
          <w:highlight w:val="none"/>
          <w:lang w:val="en-US" w:eastAsia="zh-CN" w:bidi="ar-SA"/>
        </w:rPr>
        <w:t>0</w:t>
      </w:r>
      <w:r>
        <w:rPr>
          <w:rFonts w:hint="default" w:ascii="Times New Roman" w:hAnsi="Times New Roman" w:eastAsia="仿宋_GB2312" w:cs="仿宋_GB2312"/>
          <w:color w:val="auto"/>
          <w:kern w:val="2"/>
          <w:sz w:val="32"/>
          <w:szCs w:val="32"/>
          <w:highlight w:val="none"/>
          <w:lang w:val="zh-CN" w:eastAsia="zh-CN" w:bidi="ar-SA"/>
        </w:rPr>
        <w:t>个。</w:t>
      </w:r>
    </w:p>
    <w:p w14:paraId="583C2BDC">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项目决策。</w:t>
      </w:r>
      <w:r>
        <w:rPr>
          <w:rFonts w:ascii="仿宋" w:hAnsi="仿宋" w:eastAsia="仿宋" w:cs="仿宋"/>
          <w:color w:val="000000"/>
          <w:kern w:val="0"/>
          <w:sz w:val="31"/>
          <w:szCs w:val="31"/>
          <w:lang w:val="en-US" w:eastAsia="zh-CN" w:bidi="ar"/>
        </w:rPr>
        <w:t>各股室根据</w:t>
      </w:r>
      <w:r>
        <w:rPr>
          <w:rFonts w:hint="default" w:ascii="Times New Roman" w:hAnsi="Times New Roman" w:eastAsia="宋体" w:cs="Times New Roman"/>
          <w:color w:val="000000"/>
          <w:kern w:val="0"/>
          <w:sz w:val="31"/>
          <w:szCs w:val="31"/>
          <w:lang w:val="en-US" w:eastAsia="zh-CN" w:bidi="ar"/>
        </w:rPr>
        <w:t>2024</w:t>
      </w:r>
      <w:r>
        <w:rPr>
          <w:rFonts w:hint="eastAsia" w:ascii="仿宋" w:hAnsi="仿宋" w:eastAsia="仿宋" w:cs="仿宋"/>
          <w:color w:val="000000"/>
          <w:kern w:val="0"/>
          <w:sz w:val="31"/>
          <w:szCs w:val="31"/>
          <w:lang w:val="en-US" w:eastAsia="zh-CN" w:bidi="ar"/>
        </w:rPr>
        <w:t>年工作目标任务，确定实</w:t>
      </w:r>
    </w:p>
    <w:p w14:paraId="2A4E0A87">
      <w:pPr>
        <w:keepNext w:val="0"/>
        <w:keepLines w:val="0"/>
        <w:widowControl/>
        <w:suppressLineNumbers w:val="0"/>
        <w:jc w:val="left"/>
      </w:pPr>
      <w:r>
        <w:rPr>
          <w:rFonts w:hint="eastAsia" w:ascii="仿宋" w:hAnsi="仿宋" w:eastAsia="仿宋" w:cs="仿宋"/>
          <w:color w:val="000000"/>
          <w:kern w:val="0"/>
          <w:sz w:val="31"/>
          <w:szCs w:val="31"/>
          <w:lang w:val="en-US" w:eastAsia="zh-CN" w:bidi="ar"/>
        </w:rPr>
        <w:t>施项目内容及资金，并通过党组会研究决定上报财政。</w:t>
      </w:r>
    </w:p>
    <w:p w14:paraId="61CACF6A">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2.项目执行</w:t>
      </w:r>
      <w:r>
        <w:rPr>
          <w:rFonts w:hint="eastAsia" w:ascii="Times New Roman" w:hAnsi="Times New Roman" w:eastAsia="仿宋_GB2312" w:cs="仿宋_GB2312"/>
          <w:color w:val="auto"/>
          <w:kern w:val="2"/>
          <w:sz w:val="32"/>
          <w:szCs w:val="32"/>
          <w:highlight w:val="none"/>
          <w:lang w:val="zh-CN" w:eastAsia="zh-CN" w:bidi="ar-SA"/>
        </w:rPr>
        <w:t>。</w:t>
      </w:r>
      <w:r>
        <w:rPr>
          <w:rFonts w:ascii="仿宋" w:hAnsi="仿宋" w:eastAsia="仿宋" w:cs="仿宋"/>
          <w:color w:val="000000"/>
          <w:kern w:val="0"/>
          <w:sz w:val="31"/>
          <w:szCs w:val="31"/>
          <w:lang w:val="en-US" w:eastAsia="zh-CN" w:bidi="ar"/>
        </w:rPr>
        <w:t>按照市财政批复项目的绩效指标，严格落</w:t>
      </w:r>
    </w:p>
    <w:p w14:paraId="036CC5C7">
      <w:pPr>
        <w:keepNext w:val="0"/>
        <w:keepLines w:val="0"/>
        <w:widowControl/>
        <w:suppressLineNumbers w:val="0"/>
        <w:jc w:val="left"/>
      </w:pPr>
      <w:r>
        <w:rPr>
          <w:rFonts w:hint="eastAsia" w:ascii="仿宋" w:hAnsi="仿宋" w:eastAsia="仿宋" w:cs="仿宋"/>
          <w:color w:val="000000"/>
          <w:kern w:val="0"/>
          <w:sz w:val="31"/>
          <w:szCs w:val="31"/>
          <w:lang w:val="en-US" w:eastAsia="zh-CN" w:bidi="ar"/>
        </w:rPr>
        <w:t>实各项工作任务。专款专用，完成残疾人工作顺利进行，</w:t>
      </w:r>
      <w:r>
        <w:rPr>
          <w:rFonts w:hint="default" w:ascii="仿宋_GB2312" w:hAnsi="仿宋" w:eastAsia="仿宋_GB2312" w:cs="Times New Roman"/>
          <w:kern w:val="2"/>
          <w:sz w:val="32"/>
          <w:szCs w:val="32"/>
          <w:highlight w:val="none"/>
          <w:lang w:val="en-US" w:eastAsia="zh-CN" w:bidi="ar-SA"/>
        </w:rPr>
        <w:t xml:space="preserve">为全市1.7万余名持证残疾人全覆盖购买意外伤害保险。 </w:t>
      </w:r>
      <w:r>
        <w:rPr>
          <w:rFonts w:hint="eastAsia" w:ascii="仿宋_GB2312" w:hAnsi="仿宋" w:eastAsia="仿宋_GB2312" w:cs="Times New Roman"/>
          <w:kern w:val="2"/>
          <w:sz w:val="32"/>
          <w:szCs w:val="32"/>
          <w:highlight w:val="none"/>
          <w:lang w:val="en-US" w:eastAsia="zh-CN" w:bidi="ar-SA"/>
        </w:rPr>
        <w:t xml:space="preserve">               </w:t>
      </w:r>
      <w:r>
        <w:rPr>
          <w:rFonts w:hint="eastAsia" w:ascii="Times New Roman" w:hAnsi="Times New Roman" w:eastAsia="方正仿宋简体" w:cs="Times New Roman"/>
          <w:sz w:val="32"/>
          <w:szCs w:val="32"/>
          <w:lang w:val="en-US" w:eastAsia="zh-CN"/>
        </w:rPr>
        <w:t xml:space="preserve">             </w:t>
      </w:r>
    </w:p>
    <w:p w14:paraId="188ADE4F">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zh-CN" w:eastAsia="zh-CN" w:bidi="ar-SA"/>
        </w:rPr>
        <w:t>目标实现。</w:t>
      </w:r>
      <w:r>
        <w:rPr>
          <w:rFonts w:hint="default" w:ascii="仿宋_GB2312" w:hAnsi="仿宋" w:eastAsia="仿宋_GB2312" w:cs="Times New Roman"/>
          <w:kern w:val="2"/>
          <w:sz w:val="32"/>
          <w:szCs w:val="32"/>
          <w:highlight w:val="none"/>
          <w:lang w:val="en-US" w:eastAsia="zh-CN" w:bidi="ar-SA"/>
        </w:rPr>
        <w:t>协助发放困难残疾人生活补贴</w:t>
      </w:r>
      <w:r>
        <w:rPr>
          <w:rFonts w:hint="eastAsia" w:ascii="仿宋_GB2312" w:hAnsi="仿宋" w:eastAsia="仿宋_GB2312" w:cs="Times New Roman"/>
          <w:kern w:val="2"/>
          <w:sz w:val="32"/>
          <w:szCs w:val="32"/>
          <w:highlight w:val="none"/>
          <w:lang w:val="en-US" w:eastAsia="zh-CN" w:bidi="ar-SA"/>
        </w:rPr>
        <w:t>52949</w:t>
      </w:r>
      <w:r>
        <w:rPr>
          <w:rFonts w:hint="default" w:ascii="仿宋_GB2312" w:hAnsi="仿宋" w:eastAsia="仿宋_GB2312" w:cs="Times New Roman"/>
          <w:kern w:val="2"/>
          <w:sz w:val="32"/>
          <w:szCs w:val="32"/>
          <w:highlight w:val="none"/>
          <w:lang w:val="en-US" w:eastAsia="zh-CN" w:bidi="ar-SA"/>
        </w:rPr>
        <w:t>万人次，重度残疾人落实护理</w:t>
      </w:r>
      <w:r>
        <w:rPr>
          <w:rFonts w:hint="eastAsia" w:ascii="仿宋_GB2312" w:hAnsi="仿宋" w:eastAsia="仿宋_GB2312" w:cs="Times New Roman"/>
          <w:kern w:val="2"/>
          <w:sz w:val="32"/>
          <w:szCs w:val="32"/>
          <w:highlight w:val="none"/>
          <w:lang w:val="en-US" w:eastAsia="zh-CN" w:bidi="ar-SA"/>
        </w:rPr>
        <w:t>95623</w:t>
      </w:r>
      <w:r>
        <w:rPr>
          <w:rFonts w:hint="default" w:ascii="仿宋_GB2312" w:hAnsi="仿宋" w:eastAsia="仿宋_GB2312" w:cs="Times New Roman"/>
          <w:kern w:val="2"/>
          <w:sz w:val="32"/>
          <w:szCs w:val="32"/>
          <w:highlight w:val="none"/>
          <w:lang w:val="en-US" w:eastAsia="zh-CN" w:bidi="ar-SA"/>
        </w:rPr>
        <w:t>万人次。实施“阳光家园计划”，为470名就业年龄段的智力、精神、重度肢体残疾人提供托养服务。为</w:t>
      </w:r>
      <w:r>
        <w:rPr>
          <w:rFonts w:hint="eastAsia" w:ascii="仿宋_GB2312" w:hAnsi="仿宋" w:eastAsia="仿宋_GB2312" w:cs="Times New Roman"/>
          <w:kern w:val="2"/>
          <w:sz w:val="32"/>
          <w:szCs w:val="32"/>
          <w:highlight w:val="none"/>
          <w:lang w:val="en-US" w:eastAsia="zh-CN" w:bidi="ar-SA"/>
        </w:rPr>
        <w:t>6792</w:t>
      </w:r>
      <w:r>
        <w:rPr>
          <w:rFonts w:hint="default" w:ascii="仿宋_GB2312" w:hAnsi="仿宋" w:eastAsia="仿宋_GB2312" w:cs="Times New Roman"/>
          <w:kern w:val="2"/>
          <w:sz w:val="32"/>
          <w:szCs w:val="32"/>
          <w:highlight w:val="none"/>
          <w:lang w:val="en-US" w:eastAsia="zh-CN" w:bidi="ar-SA"/>
        </w:rPr>
        <w:t>人次残疾人发放一户多残和瘫痪在床生活补贴</w:t>
      </w:r>
      <w:r>
        <w:rPr>
          <w:rFonts w:hint="eastAsia" w:ascii="仿宋_GB2312" w:hAnsi="仿宋" w:eastAsia="仿宋_GB2312" w:cs="Times New Roman"/>
          <w:kern w:val="2"/>
          <w:sz w:val="32"/>
          <w:szCs w:val="32"/>
          <w:highlight w:val="none"/>
          <w:lang w:val="en-US" w:eastAsia="zh-CN" w:bidi="ar-SA"/>
        </w:rPr>
        <w:t>54.33</w:t>
      </w:r>
      <w:r>
        <w:rPr>
          <w:rFonts w:hint="default" w:ascii="仿宋_GB2312" w:hAnsi="仿宋" w:eastAsia="仿宋_GB2312" w:cs="Times New Roman"/>
          <w:kern w:val="2"/>
          <w:sz w:val="32"/>
          <w:szCs w:val="32"/>
          <w:highlight w:val="none"/>
          <w:lang w:val="en-US" w:eastAsia="zh-CN" w:bidi="ar-SA"/>
        </w:rPr>
        <w:t>万元。</w:t>
      </w:r>
    </w:p>
    <w:p w14:paraId="2BDBF3EA">
      <w:pPr>
        <w:keepNext w:val="0"/>
        <w:keepLines w:val="0"/>
        <w:widowControl/>
        <w:suppressLineNumbers w:val="0"/>
        <w:ind w:firstLine="643" w:firstLineChars="200"/>
        <w:jc w:val="left"/>
      </w:pP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楷体_GB2312" w:cs="Times New Roman"/>
          <w:b/>
          <w:bCs/>
          <w:color w:val="000000"/>
          <w:kern w:val="0"/>
          <w:sz w:val="32"/>
          <w:szCs w:val="32"/>
          <w:highlight w:val="none"/>
          <w:shd w:val="clear" w:color="auto" w:fill="FFFFFF"/>
          <w:lang w:val="en-US" w:eastAsia="zh-CN"/>
        </w:rPr>
        <w:t>三</w:t>
      </w:r>
      <w:r>
        <w:rPr>
          <w:rFonts w:hint="default" w:ascii="Times New Roman" w:hAnsi="Times New Roman" w:eastAsia="楷体_GB2312" w:cs="Times New Roman"/>
          <w:b/>
          <w:bCs/>
          <w:color w:val="000000"/>
          <w:kern w:val="0"/>
          <w:sz w:val="32"/>
          <w:szCs w:val="32"/>
          <w:highlight w:val="none"/>
          <w:shd w:val="clear" w:color="auto" w:fill="FFFFFF"/>
          <w:lang w:val="zh-CN" w:eastAsia="zh-CN"/>
        </w:rPr>
        <w:t>）绩效结果应用情况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ascii="仿宋" w:hAnsi="仿宋" w:eastAsia="仿宋" w:cs="仿宋"/>
          <w:color w:val="000000"/>
          <w:kern w:val="0"/>
          <w:sz w:val="31"/>
          <w:szCs w:val="31"/>
          <w:lang w:val="en-US" w:eastAsia="zh-CN" w:bidi="ar"/>
        </w:rPr>
        <w:t>对以前年度绩效自评结果进</w:t>
      </w:r>
    </w:p>
    <w:p w14:paraId="6721787C">
      <w:pPr>
        <w:keepNext w:val="0"/>
        <w:keepLines w:val="0"/>
        <w:widowControl/>
        <w:suppressLineNumbers w:val="0"/>
        <w:jc w:val="left"/>
      </w:pPr>
      <w:r>
        <w:rPr>
          <w:rFonts w:hint="eastAsia" w:ascii="仿宋" w:hAnsi="仿宋" w:eastAsia="仿宋" w:cs="仿宋"/>
          <w:color w:val="000000"/>
          <w:kern w:val="0"/>
          <w:sz w:val="31"/>
          <w:szCs w:val="31"/>
          <w:lang w:val="en-US" w:eastAsia="zh-CN" w:bidi="ar"/>
        </w:rPr>
        <w:t>行有效应用，进一步健全和完善财务内控制度，对项目资金</w:t>
      </w:r>
    </w:p>
    <w:p w14:paraId="64CFF8FF">
      <w:pPr>
        <w:keepNext w:val="0"/>
        <w:keepLines w:val="0"/>
        <w:widowControl/>
        <w:suppressLineNumbers w:val="0"/>
        <w:jc w:val="left"/>
        <w:rPr>
          <w:rFonts w:hint="default" w:ascii="Times New Roman" w:hAnsi="Times New Roman" w:eastAsia="仿宋_GB2312" w:cs="Times New Roman"/>
          <w:sz w:val="32"/>
          <w:szCs w:val="32"/>
          <w:highlight w:val="none"/>
          <w:u w:val="none"/>
          <w:lang w:bidi="ar"/>
        </w:rPr>
      </w:pPr>
      <w:r>
        <w:rPr>
          <w:rFonts w:hint="eastAsia" w:ascii="仿宋" w:hAnsi="仿宋" w:eastAsia="仿宋" w:cs="仿宋"/>
          <w:color w:val="000000"/>
          <w:kern w:val="0"/>
          <w:sz w:val="31"/>
          <w:szCs w:val="31"/>
          <w:lang w:val="en-US" w:eastAsia="zh-CN" w:bidi="ar"/>
        </w:rPr>
        <w:t>严格按照预算执行，并严格按照合同约定支付款项，保障项</w:t>
      </w:r>
      <w:r>
        <w:rPr>
          <w:rFonts w:ascii="仿宋" w:hAnsi="仿宋" w:eastAsia="仿宋" w:cs="仿宋"/>
          <w:color w:val="000000"/>
          <w:kern w:val="0"/>
          <w:sz w:val="31"/>
          <w:szCs w:val="31"/>
          <w:lang w:val="en-US" w:eastAsia="zh-CN" w:bidi="ar"/>
        </w:rPr>
        <w:t>目资金预算绩效各项指标顺利完成。</w:t>
      </w:r>
    </w:p>
    <w:p w14:paraId="6BC22CEA">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default" w:ascii="Times New Roman" w:hAnsi="Times New Roman" w:eastAsia="黑体" w:cs="Times New Roman"/>
          <w:color w:val="000000"/>
          <w:kern w:val="0"/>
          <w:sz w:val="32"/>
          <w:szCs w:val="32"/>
          <w:highlight w:val="none"/>
          <w:shd w:val="clear" w:color="auto" w:fill="FFFFFF"/>
          <w:lang w:val="zh-CN" w:eastAsia="zh-CN"/>
        </w:rPr>
        <w:t>四、</w:t>
      </w:r>
      <w:r>
        <w:rPr>
          <w:rFonts w:hint="default" w:ascii="Times New Roman" w:hAnsi="Times New Roman" w:eastAsia="黑体" w:cs="Times New Roman"/>
          <w:color w:val="000000"/>
          <w:kern w:val="0"/>
          <w:sz w:val="32"/>
          <w:szCs w:val="32"/>
          <w:highlight w:val="none"/>
          <w:shd w:val="clear" w:color="auto" w:fill="FFFFFF"/>
          <w:lang w:val="zh-CN"/>
        </w:rPr>
        <w:t>评价结论及建议</w:t>
      </w:r>
    </w:p>
    <w:p w14:paraId="0E4E50B8">
      <w:pPr>
        <w:keepNext w:val="0"/>
        <w:keepLines w:val="0"/>
        <w:widowControl/>
        <w:suppressLineNumbers w:val="0"/>
        <w:jc w:val="left"/>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r>
        <w:rPr>
          <w:rFonts w:ascii="仿宋" w:hAnsi="仿宋" w:eastAsia="仿宋" w:cs="仿宋"/>
          <w:color w:val="000000"/>
          <w:kern w:val="0"/>
          <w:sz w:val="31"/>
          <w:szCs w:val="31"/>
          <w:lang w:val="en-US" w:eastAsia="zh-CN" w:bidi="ar"/>
        </w:rPr>
        <w:t>全年基本支出保证了部门的正常运行</w:t>
      </w:r>
    </w:p>
    <w:p w14:paraId="323934D8">
      <w:pPr>
        <w:keepNext w:val="0"/>
        <w:keepLines w:val="0"/>
        <w:widowControl/>
        <w:suppressLineNumbers w:val="0"/>
        <w:jc w:val="left"/>
      </w:pPr>
      <w:r>
        <w:rPr>
          <w:rFonts w:hint="eastAsia" w:ascii="仿宋" w:hAnsi="仿宋" w:eastAsia="仿宋" w:cs="仿宋"/>
          <w:color w:val="000000"/>
          <w:kern w:val="0"/>
          <w:sz w:val="31"/>
          <w:szCs w:val="31"/>
          <w:lang w:val="en-US" w:eastAsia="zh-CN" w:bidi="ar"/>
        </w:rPr>
        <w:t>和日常工作任务的顺利完成。全年项目支出达到预期绩效目</w:t>
      </w:r>
    </w:p>
    <w:p w14:paraId="69194082">
      <w:pPr>
        <w:keepNext w:val="0"/>
        <w:keepLines w:val="0"/>
        <w:widowControl/>
        <w:suppressLineNumbers w:val="0"/>
        <w:jc w:val="left"/>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仿宋" w:hAnsi="仿宋" w:eastAsia="仿宋" w:cs="仿宋"/>
          <w:color w:val="000000"/>
          <w:kern w:val="0"/>
          <w:sz w:val="31"/>
          <w:szCs w:val="31"/>
          <w:lang w:val="en-US" w:eastAsia="zh-CN" w:bidi="ar"/>
        </w:rPr>
        <w:t>标。</w:t>
      </w:r>
    </w:p>
    <w:p w14:paraId="7591EAAB">
      <w:pPr>
        <w:keepNext w:val="0"/>
        <w:keepLines w:val="0"/>
        <w:pageBreakBefore w:val="0"/>
        <w:widowControl/>
        <w:kinsoku/>
        <w:wordWrap/>
        <w:overflowPunct/>
        <w:topLinePunct w:val="0"/>
        <w:autoSpaceDE/>
        <w:autoSpaceDN/>
        <w:bidi w:val="0"/>
        <w:adjustRightInd w:val="0"/>
        <w:snapToGrid w:val="0"/>
        <w:spacing w:line="578" w:lineRule="exact"/>
        <w:ind w:firstLine="620" w:firstLineChars="200"/>
        <w:contextualSpacing/>
        <w:jc w:val="left"/>
        <w:textAlignment w:val="auto"/>
        <w:outlineLvl w:val="9"/>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通过对2024年绵竹市残联资金的自查和绩效评价，认为市残联资金是按照《预算法》、财政部政府收支分类科目、财政部、省财政厅《残疾人就业保障金管理暂行规定》等政策法规做到了专款专用。自评得分达到99分。</w:t>
      </w:r>
    </w:p>
    <w:p w14:paraId="3BE44678">
      <w:pPr>
        <w:ind w:firstLine="643" w:firstLineChars="200"/>
        <w:rPr>
          <w:rFonts w:hint="eastAsia" w:ascii="宋体" w:hAnsi="宋体" w:eastAsia="宋体" w:cs="宋体"/>
          <w:sz w:val="32"/>
          <w:szCs w:val="32"/>
        </w:rPr>
      </w:pPr>
      <w:r>
        <w:rPr>
          <w:rFonts w:hint="default" w:ascii="Times New Roman" w:hAnsi="Times New Roman" w:eastAsia="楷体_GB2312" w:cs="Times New Roman"/>
          <w:b/>
          <w:bCs/>
          <w:color w:val="000000"/>
          <w:kern w:val="0"/>
          <w:sz w:val="32"/>
          <w:szCs w:val="32"/>
          <w:highlight w:val="none"/>
          <w:shd w:val="clear" w:color="auto" w:fill="FFFFFF"/>
          <w:lang w:val="zh-CN"/>
        </w:rPr>
        <w:t>（二）存在问题。</w:t>
      </w:r>
      <w:r>
        <w:rPr>
          <w:rFonts w:hint="eastAsia" w:ascii="仿宋" w:hAnsi="仿宋" w:eastAsia="仿宋" w:cs="仿宋"/>
          <w:color w:val="000000"/>
          <w:kern w:val="0"/>
          <w:sz w:val="31"/>
          <w:szCs w:val="31"/>
          <w:lang w:val="en-US" w:eastAsia="zh-CN" w:bidi="ar"/>
        </w:rPr>
        <w:t>尽管绵竹市各级政府不断加大了残疾人工作力度，但多元化残疾人服务体系的构建显然还有很长的路要走。残疾人的生活状况与社会平均水平相比仍有较大差距，各项社会保障政策需要进一步落实、完善；残疾人就业增收存在较大困难，需要全社会消除障碍、大力扶持；为残疾人服务的公共资源短缺，存在资金压力过大的问题。</w:t>
      </w:r>
    </w:p>
    <w:p w14:paraId="4FC23C74">
      <w:pPr>
        <w:ind w:firstLine="643" w:firstLineChars="200"/>
        <w:rPr>
          <w:rFonts w:hint="eastAsia" w:ascii="仿宋" w:hAnsi="仿宋" w:eastAsia="仿宋" w:cs="仿宋"/>
          <w:color w:val="000000"/>
          <w:kern w:val="0"/>
          <w:sz w:val="31"/>
          <w:szCs w:val="31"/>
          <w:lang w:val="en-US"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（三）改进建议。</w:t>
      </w:r>
      <w:bookmarkStart w:id="107" w:name="_Hlk110546638"/>
      <w:r>
        <w:rPr>
          <w:rFonts w:hint="eastAsia" w:ascii="仿宋" w:hAnsi="仿宋" w:eastAsia="仿宋" w:cs="仿宋"/>
          <w:color w:val="000000"/>
          <w:kern w:val="0"/>
          <w:sz w:val="31"/>
          <w:szCs w:val="31"/>
          <w:lang w:val="en-US" w:eastAsia="zh-CN" w:bidi="ar"/>
        </w:rPr>
        <w:t>不断加强残疾人事业综合服务工作。加强残疾人组织规范化建设，加强残联干部队伍、残疾人工作者队伍、专业服务人才队伍的教育、培训和管理，不断提升残疾人工作的整体水平，完善志愿助残服务长效机制，协调开展社区扶残助残服务，帮助残疾人解决实际困难。</w:t>
      </w:r>
    </w:p>
    <w:p w14:paraId="743310D4">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 w:eastAsia="zh-CN" w:bidi="ar"/>
        </w:rPr>
      </w:pPr>
    </w:p>
    <w:bookmarkEnd w:id="107"/>
    <w:p w14:paraId="2BE98E19">
      <w:pPr>
        <w:pStyle w:val="13"/>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p>
    <w:p w14:paraId="26B086A4">
      <w:pPr>
        <w:pStyle w:val="13"/>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hAnsi="Times New Roman" w:eastAsia="仿宋_GB2312" w:cs="Times New Roman"/>
          <w:kern w:val="2"/>
          <w:sz w:val="32"/>
          <w:szCs w:val="32"/>
          <w:u w:val="none"/>
          <w:lang w:val="en-US" w:eastAsia="zh-CN" w:bidi="ar"/>
        </w:rPr>
        <w:t>部门预算项目支出绩效自评表（2024年度）</w:t>
      </w:r>
    </w:p>
    <w:p w14:paraId="01FC779F">
      <w:pPr>
        <w:pStyle w:val="5"/>
        <w:rPr>
          <w:rFonts w:hint="eastAsia" w:ascii="Times New Roman" w:hAnsi="Times New Roman" w:cs="宋体"/>
          <w:color w:val="FF0000"/>
          <w:kern w:val="0"/>
          <w:sz w:val="32"/>
          <w:szCs w:val="32"/>
          <w:highlight w:val="yellow"/>
          <w:shd w:val="clear" w:color="auto" w:fill="FFFFFF"/>
          <w:lang w:val="zh-CN"/>
        </w:rPr>
      </w:pPr>
    </w:p>
    <w:p w14:paraId="053C7E2B">
      <w:pPr>
        <w:rPr>
          <w:rFonts w:hint="eastAsia" w:ascii="Times New Roman" w:hAnsi="Times New Roman" w:eastAsia="黑体" w:cs="黑体"/>
          <w:color w:val="auto"/>
          <w:kern w:val="0"/>
          <w:sz w:val="32"/>
          <w:szCs w:val="32"/>
          <w:highlight w:val="none"/>
          <w:shd w:val="clear" w:color="auto" w:fill="FFFFFF"/>
          <w:lang w:val="zh-CN"/>
        </w:rPr>
      </w:pPr>
      <w:r>
        <w:rPr>
          <w:rFonts w:hint="eastAsia" w:ascii="Times New Roman" w:hAnsi="Times New Roman" w:eastAsia="黑体" w:cs="黑体"/>
          <w:color w:val="auto"/>
          <w:kern w:val="0"/>
          <w:sz w:val="32"/>
          <w:szCs w:val="32"/>
          <w:highlight w:val="none"/>
          <w:shd w:val="clear" w:color="auto" w:fill="FFFFFF"/>
          <w:lang w:val="zh-CN"/>
        </w:rPr>
        <w:br w:type="page"/>
      </w:r>
    </w:p>
    <w:p w14:paraId="1DD2150E">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r>
        <w:drawing>
          <wp:anchor distT="0" distB="0" distL="114300" distR="114300" simplePos="0" relativeHeight="251664384" behindDoc="0" locked="0" layoutInCell="1" allowOverlap="1">
            <wp:simplePos x="0" y="0"/>
            <wp:positionH relativeFrom="column">
              <wp:posOffset>109220</wp:posOffset>
            </wp:positionH>
            <wp:positionV relativeFrom="paragraph">
              <wp:posOffset>4530090</wp:posOffset>
            </wp:positionV>
            <wp:extent cx="5043805" cy="4958080"/>
            <wp:effectExtent l="0" t="0" r="635" b="10160"/>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5043805" cy="495808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92710</wp:posOffset>
            </wp:positionH>
            <wp:positionV relativeFrom="paragraph">
              <wp:posOffset>-931545</wp:posOffset>
            </wp:positionV>
            <wp:extent cx="5021580" cy="5073015"/>
            <wp:effectExtent l="0" t="0" r="7620" b="1905"/>
            <wp:wrapSquare wrapText="bothSides"/>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6"/>
                    <a:stretch>
                      <a:fillRect/>
                    </a:stretch>
                  </pic:blipFill>
                  <pic:spPr>
                    <a:xfrm>
                      <a:off x="0" y="0"/>
                      <a:ext cx="5021580" cy="5073015"/>
                    </a:xfrm>
                    <a:prstGeom prst="rect">
                      <a:avLst/>
                    </a:prstGeom>
                    <a:noFill/>
                    <a:ln>
                      <a:noFill/>
                    </a:ln>
                  </pic:spPr>
                </pic:pic>
              </a:graphicData>
            </a:graphic>
          </wp:anchor>
        </w:drawing>
      </w:r>
    </w:p>
    <w:p w14:paraId="78E0EF4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bookmarkStart w:id="108" w:name="_Toc15396618"/>
      <w:r>
        <w:drawing>
          <wp:anchor distT="0" distB="0" distL="114300" distR="114300" simplePos="0" relativeHeight="251666432" behindDoc="0" locked="0" layoutInCell="1" allowOverlap="1">
            <wp:simplePos x="0" y="0"/>
            <wp:positionH relativeFrom="column">
              <wp:posOffset>0</wp:posOffset>
            </wp:positionH>
            <wp:positionV relativeFrom="paragraph">
              <wp:posOffset>4507865</wp:posOffset>
            </wp:positionV>
            <wp:extent cx="5052060" cy="5218430"/>
            <wp:effectExtent l="0" t="0" r="7620" b="8890"/>
            <wp:wrapSquare wrapText="bothSides"/>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5052060" cy="521843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8255</wp:posOffset>
            </wp:positionH>
            <wp:positionV relativeFrom="paragraph">
              <wp:posOffset>-847090</wp:posOffset>
            </wp:positionV>
            <wp:extent cx="5059045" cy="5262245"/>
            <wp:effectExtent l="0" t="0" r="635" b="10795"/>
            <wp:wrapSquare wrapText="bothSides"/>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5059045" cy="5262245"/>
                    </a:xfrm>
                    <a:prstGeom prst="rect">
                      <a:avLst/>
                    </a:prstGeom>
                    <a:noFill/>
                    <a:ln>
                      <a:noFill/>
                    </a:ln>
                  </pic:spPr>
                </pic:pic>
              </a:graphicData>
            </a:graphic>
          </wp:anchor>
        </w:drawing>
      </w:r>
      <w:r>
        <w:rPr>
          <w:rFonts w:hint="eastAsia" w:ascii="Times New Roman" w:hAnsi="Times New Roman" w:eastAsia="仿宋_GB2312" w:cs="仿宋_GB2312"/>
          <w:b w:val="0"/>
          <w:bCs w:val="0"/>
          <w:kern w:val="0"/>
          <w:position w:val="0"/>
          <w:sz w:val="32"/>
          <w:szCs w:val="32"/>
          <w:highlight w:val="none"/>
          <w:lang w:val="en-US" w:eastAsia="zh-CN" w:bidi="ar-SA"/>
        </w:rPr>
        <w:br w:type="page"/>
      </w:r>
    </w:p>
    <w:p w14:paraId="09891DCE">
      <w:pPr>
        <w:widowControl/>
        <w:jc w:val="center"/>
        <w:rPr>
          <w:rFonts w:hint="eastAsia" w:ascii="Times New Roman" w:hAnsi="Times New Roman" w:eastAsia="黑体"/>
          <w:color w:val="auto"/>
          <w:sz w:val="44"/>
          <w:szCs w:val="44"/>
          <w:highlight w:val="none"/>
        </w:rPr>
      </w:pPr>
    </w:p>
    <w:p w14:paraId="48A2427B">
      <w:pPr>
        <w:widowControl/>
        <w:jc w:val="center"/>
      </w:pPr>
      <w:r>
        <w:drawing>
          <wp:inline distT="0" distB="0" distL="114300" distR="114300">
            <wp:extent cx="4589780" cy="4875530"/>
            <wp:effectExtent l="0" t="0" r="12700" b="127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9"/>
                    <a:stretch>
                      <a:fillRect/>
                    </a:stretch>
                  </pic:blipFill>
                  <pic:spPr>
                    <a:xfrm>
                      <a:off x="0" y="0"/>
                      <a:ext cx="4589780" cy="4875530"/>
                    </a:xfrm>
                    <a:prstGeom prst="rect">
                      <a:avLst/>
                    </a:prstGeom>
                    <a:noFill/>
                    <a:ln>
                      <a:noFill/>
                    </a:ln>
                  </pic:spPr>
                </pic:pic>
              </a:graphicData>
            </a:graphic>
          </wp:inline>
        </w:drawing>
      </w:r>
    </w:p>
    <w:p w14:paraId="09E7E3DD">
      <w:pPr>
        <w:widowControl/>
        <w:jc w:val="center"/>
      </w:pPr>
    </w:p>
    <w:p w14:paraId="096D4334">
      <w:pPr>
        <w:widowControl/>
        <w:jc w:val="center"/>
        <w:rPr>
          <w:rFonts w:hint="eastAsia"/>
        </w:rPr>
      </w:pPr>
    </w:p>
    <w:p w14:paraId="6B561255">
      <w:pPr>
        <w:widowControl/>
        <w:jc w:val="center"/>
        <w:rPr>
          <w:rFonts w:hint="eastAsia" w:ascii="Times New Roman" w:hAnsi="Times New Roman" w:eastAsia="黑体"/>
          <w:color w:val="auto"/>
          <w:sz w:val="44"/>
          <w:szCs w:val="44"/>
          <w:highlight w:val="none"/>
        </w:rPr>
      </w:pPr>
    </w:p>
    <w:p w14:paraId="7DF72073">
      <w:pPr>
        <w:widowControl/>
        <w:jc w:val="center"/>
        <w:rPr>
          <w:rFonts w:hint="eastAsia" w:ascii="Times New Roman" w:hAnsi="Times New Roman" w:eastAsia="黑体"/>
          <w:color w:val="auto"/>
          <w:sz w:val="44"/>
          <w:szCs w:val="44"/>
          <w:highlight w:val="none"/>
        </w:rPr>
      </w:pPr>
      <w:r>
        <w:drawing>
          <wp:inline distT="0" distB="0" distL="114300" distR="114300">
            <wp:extent cx="4904740" cy="5153660"/>
            <wp:effectExtent l="0" t="0" r="2540" b="1270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0"/>
                    <a:stretch>
                      <a:fillRect/>
                    </a:stretch>
                  </pic:blipFill>
                  <pic:spPr>
                    <a:xfrm>
                      <a:off x="0" y="0"/>
                      <a:ext cx="4904740" cy="5153660"/>
                    </a:xfrm>
                    <a:prstGeom prst="rect">
                      <a:avLst/>
                    </a:prstGeom>
                    <a:noFill/>
                    <a:ln>
                      <a:noFill/>
                    </a:ln>
                  </pic:spPr>
                </pic:pic>
              </a:graphicData>
            </a:graphic>
          </wp:inline>
        </w:drawing>
      </w:r>
    </w:p>
    <w:p w14:paraId="439E743F">
      <w:pPr>
        <w:widowControl/>
        <w:jc w:val="center"/>
        <w:rPr>
          <w:rFonts w:hint="eastAsia" w:ascii="Times New Roman" w:hAnsi="Times New Roman" w:eastAsia="黑体"/>
          <w:color w:val="auto"/>
          <w:sz w:val="44"/>
          <w:szCs w:val="44"/>
          <w:highlight w:val="none"/>
        </w:rPr>
      </w:pPr>
    </w:p>
    <w:p w14:paraId="4040BB37">
      <w:pPr>
        <w:widowControl/>
        <w:jc w:val="center"/>
        <w:rPr>
          <w:rFonts w:hint="eastAsia" w:ascii="Times New Roman" w:hAnsi="Times New Roman" w:eastAsia="黑体"/>
          <w:color w:val="auto"/>
          <w:sz w:val="44"/>
          <w:szCs w:val="44"/>
          <w:highlight w:val="none"/>
        </w:rPr>
      </w:pPr>
    </w:p>
    <w:p w14:paraId="1A7620C3">
      <w:pPr>
        <w:widowControl/>
        <w:jc w:val="center"/>
        <w:rPr>
          <w:rFonts w:hint="eastAsia" w:ascii="Times New Roman" w:hAnsi="Times New Roman" w:eastAsia="黑体"/>
          <w:color w:val="auto"/>
          <w:sz w:val="44"/>
          <w:szCs w:val="44"/>
          <w:highlight w:val="none"/>
        </w:rPr>
      </w:pPr>
    </w:p>
    <w:p w14:paraId="4DD13673">
      <w:pPr>
        <w:widowControl/>
        <w:jc w:val="center"/>
        <w:rPr>
          <w:rFonts w:hint="eastAsia" w:ascii="Times New Roman" w:hAnsi="Times New Roman" w:eastAsia="黑体"/>
          <w:color w:val="auto"/>
          <w:sz w:val="44"/>
          <w:szCs w:val="44"/>
          <w:highlight w:val="none"/>
        </w:rPr>
      </w:pPr>
    </w:p>
    <w:p w14:paraId="360C8ECE">
      <w:pPr>
        <w:widowControl/>
        <w:jc w:val="center"/>
        <w:rPr>
          <w:rFonts w:hint="eastAsia" w:ascii="Times New Roman" w:hAnsi="Times New Roman" w:eastAsia="黑体"/>
          <w:color w:val="auto"/>
          <w:sz w:val="44"/>
          <w:szCs w:val="44"/>
          <w:highlight w:val="none"/>
        </w:rPr>
      </w:pPr>
    </w:p>
    <w:p w14:paraId="6341BD53">
      <w:pPr>
        <w:widowControl/>
        <w:jc w:val="center"/>
        <w:rPr>
          <w:rFonts w:hint="eastAsia" w:ascii="Times New Roman" w:hAnsi="Times New Roman" w:eastAsia="黑体"/>
          <w:color w:val="auto"/>
          <w:sz w:val="44"/>
          <w:szCs w:val="44"/>
          <w:highlight w:val="none"/>
        </w:rPr>
      </w:pPr>
    </w:p>
    <w:p w14:paraId="5A25CB60">
      <w:pPr>
        <w:widowControl/>
        <w:jc w:val="center"/>
        <w:rPr>
          <w:rFonts w:hint="eastAsia" w:ascii="Times New Roman" w:hAnsi="Times New Roman" w:eastAsia="黑体"/>
          <w:color w:val="auto"/>
          <w:sz w:val="44"/>
          <w:szCs w:val="44"/>
          <w:highlight w:val="none"/>
        </w:rPr>
      </w:pPr>
    </w:p>
    <w:p w14:paraId="4AFD9F9D">
      <w:pPr>
        <w:widowControl/>
        <w:jc w:val="center"/>
        <w:rPr>
          <w:rFonts w:hint="eastAsia" w:ascii="Times New Roman" w:hAnsi="Times New Roman" w:eastAsia="黑体"/>
          <w:color w:val="auto"/>
          <w:sz w:val="44"/>
          <w:szCs w:val="44"/>
          <w:highlight w:val="none"/>
        </w:rPr>
      </w:pPr>
    </w:p>
    <w:p w14:paraId="5C5B2585">
      <w:pPr>
        <w:widowControl/>
        <w:jc w:val="center"/>
        <w:rPr>
          <w:rFonts w:hint="eastAsia" w:ascii="Times New Roman" w:hAnsi="Times New Roman" w:eastAsia="黑体"/>
          <w:color w:val="auto"/>
          <w:sz w:val="44"/>
          <w:szCs w:val="44"/>
          <w:highlight w:val="none"/>
        </w:rPr>
      </w:pPr>
    </w:p>
    <w:p w14:paraId="5092B27A">
      <w:pPr>
        <w:widowControl/>
        <w:jc w:val="center"/>
        <w:rPr>
          <w:rFonts w:hint="eastAsia" w:ascii="Times New Roman" w:hAnsi="Times New Roman" w:eastAsia="黑体"/>
          <w:color w:val="auto"/>
          <w:sz w:val="44"/>
          <w:szCs w:val="44"/>
          <w:highlight w:val="none"/>
        </w:rPr>
      </w:pPr>
    </w:p>
    <w:p w14:paraId="742095C1">
      <w:pPr>
        <w:widowControl/>
        <w:jc w:val="center"/>
        <w:rPr>
          <w:rFonts w:hint="eastAsia" w:ascii="Times New Roman" w:hAnsi="Times New Roman" w:eastAsia="黑体"/>
          <w:color w:val="auto"/>
          <w:sz w:val="44"/>
          <w:szCs w:val="44"/>
          <w:highlight w:val="none"/>
        </w:rPr>
      </w:pPr>
    </w:p>
    <w:p w14:paraId="69C50D74">
      <w:pPr>
        <w:widowControl/>
        <w:jc w:val="center"/>
        <w:rPr>
          <w:rFonts w:hint="eastAsia" w:ascii="Times New Roman" w:hAnsi="Times New Roman" w:eastAsia="黑体"/>
          <w:color w:val="auto"/>
          <w:sz w:val="44"/>
          <w:szCs w:val="44"/>
          <w:highlight w:val="none"/>
        </w:rPr>
      </w:pPr>
    </w:p>
    <w:p w14:paraId="7A37517B">
      <w:pPr>
        <w:widowControl/>
        <w:jc w:val="center"/>
        <w:rPr>
          <w:rFonts w:hint="eastAsia" w:ascii="Times New Roman" w:hAnsi="Times New Roman" w:eastAsia="黑体"/>
          <w:color w:val="auto"/>
          <w:sz w:val="44"/>
          <w:szCs w:val="44"/>
          <w:highlight w:val="none"/>
        </w:rPr>
      </w:pPr>
    </w:p>
    <w:p w14:paraId="78AA3393">
      <w:pPr>
        <w:widowControl/>
        <w:jc w:val="center"/>
        <w:rPr>
          <w:rFonts w:hint="eastAsia" w:ascii="Times New Roman" w:hAnsi="Times New Roman" w:eastAsia="黑体"/>
          <w:color w:val="auto"/>
          <w:sz w:val="44"/>
          <w:szCs w:val="44"/>
          <w:highlight w:val="none"/>
        </w:rPr>
      </w:pPr>
      <w:r>
        <w:drawing>
          <wp:inline distT="0" distB="0" distL="114300" distR="114300">
            <wp:extent cx="5268595" cy="6156960"/>
            <wp:effectExtent l="0" t="0" r="4445"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1"/>
                    <a:stretch>
                      <a:fillRect/>
                    </a:stretch>
                  </pic:blipFill>
                  <pic:spPr>
                    <a:xfrm>
                      <a:off x="0" y="0"/>
                      <a:ext cx="5268595" cy="6156960"/>
                    </a:xfrm>
                    <a:prstGeom prst="rect">
                      <a:avLst/>
                    </a:prstGeom>
                    <a:noFill/>
                    <a:ln>
                      <a:noFill/>
                    </a:ln>
                  </pic:spPr>
                </pic:pic>
              </a:graphicData>
            </a:graphic>
          </wp:inline>
        </w:drawing>
      </w:r>
    </w:p>
    <w:p w14:paraId="1D7DA457">
      <w:pPr>
        <w:widowControl/>
        <w:jc w:val="center"/>
        <w:rPr>
          <w:rFonts w:hint="eastAsia" w:ascii="Times New Roman" w:hAnsi="Times New Roman" w:eastAsia="黑体"/>
          <w:color w:val="auto"/>
          <w:sz w:val="44"/>
          <w:szCs w:val="44"/>
          <w:highlight w:val="none"/>
        </w:rPr>
      </w:pPr>
    </w:p>
    <w:p w14:paraId="2E3244D9">
      <w:pPr>
        <w:widowControl/>
        <w:jc w:val="center"/>
        <w:rPr>
          <w:rFonts w:hint="eastAsia" w:ascii="Times New Roman" w:hAnsi="Times New Roman" w:eastAsia="黑体"/>
          <w:color w:val="auto"/>
          <w:sz w:val="44"/>
          <w:szCs w:val="44"/>
          <w:highlight w:val="none"/>
        </w:rPr>
      </w:pPr>
    </w:p>
    <w:p w14:paraId="1863CC8A">
      <w:pPr>
        <w:widowControl/>
        <w:jc w:val="center"/>
        <w:rPr>
          <w:rFonts w:hint="eastAsia" w:ascii="Times New Roman" w:hAnsi="Times New Roman" w:eastAsia="黑体"/>
          <w:color w:val="auto"/>
          <w:sz w:val="44"/>
          <w:szCs w:val="44"/>
          <w:highlight w:val="none"/>
        </w:rPr>
      </w:pPr>
      <w:r>
        <w:drawing>
          <wp:inline distT="0" distB="0" distL="114300" distR="114300">
            <wp:extent cx="5265420" cy="5466715"/>
            <wp:effectExtent l="0" t="0" r="7620" b="444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2"/>
                    <a:stretch>
                      <a:fillRect/>
                    </a:stretch>
                  </pic:blipFill>
                  <pic:spPr>
                    <a:xfrm>
                      <a:off x="0" y="0"/>
                      <a:ext cx="5265420" cy="5466715"/>
                    </a:xfrm>
                    <a:prstGeom prst="rect">
                      <a:avLst/>
                    </a:prstGeom>
                    <a:noFill/>
                    <a:ln>
                      <a:noFill/>
                    </a:ln>
                  </pic:spPr>
                </pic:pic>
              </a:graphicData>
            </a:graphic>
          </wp:inline>
        </w:drawing>
      </w:r>
    </w:p>
    <w:p w14:paraId="17719408">
      <w:pPr>
        <w:widowControl/>
        <w:jc w:val="center"/>
        <w:rPr>
          <w:rFonts w:hint="eastAsia" w:ascii="Times New Roman" w:hAnsi="Times New Roman" w:eastAsia="黑体"/>
          <w:color w:val="auto"/>
          <w:sz w:val="44"/>
          <w:szCs w:val="44"/>
          <w:highlight w:val="none"/>
        </w:rPr>
      </w:pPr>
    </w:p>
    <w:p w14:paraId="56129193">
      <w:pPr>
        <w:widowControl/>
        <w:jc w:val="center"/>
        <w:rPr>
          <w:rFonts w:hint="eastAsia" w:ascii="Times New Roman" w:hAnsi="Times New Roman" w:eastAsia="黑体"/>
          <w:color w:val="auto"/>
          <w:sz w:val="44"/>
          <w:szCs w:val="44"/>
          <w:highlight w:val="none"/>
        </w:rPr>
      </w:pPr>
    </w:p>
    <w:p w14:paraId="51F59725">
      <w:pPr>
        <w:widowControl/>
        <w:jc w:val="center"/>
        <w:rPr>
          <w:rFonts w:hint="eastAsia" w:ascii="Times New Roman" w:hAnsi="Times New Roman" w:eastAsia="黑体"/>
          <w:color w:val="auto"/>
          <w:sz w:val="44"/>
          <w:szCs w:val="44"/>
          <w:highlight w:val="none"/>
        </w:rPr>
      </w:pPr>
    </w:p>
    <w:p w14:paraId="703E9500">
      <w:pPr>
        <w:widowControl/>
        <w:jc w:val="center"/>
        <w:rPr>
          <w:rFonts w:hint="eastAsia" w:ascii="Times New Roman" w:hAnsi="Times New Roman" w:eastAsia="黑体"/>
          <w:color w:val="auto"/>
          <w:sz w:val="44"/>
          <w:szCs w:val="44"/>
          <w:highlight w:val="none"/>
        </w:rPr>
      </w:pPr>
    </w:p>
    <w:p w14:paraId="56886868">
      <w:pPr>
        <w:widowControl/>
        <w:jc w:val="center"/>
        <w:rPr>
          <w:rFonts w:hint="eastAsia" w:ascii="Times New Roman" w:hAnsi="Times New Roman" w:eastAsia="黑体"/>
          <w:color w:val="auto"/>
          <w:sz w:val="44"/>
          <w:szCs w:val="44"/>
          <w:highlight w:val="none"/>
        </w:rPr>
      </w:pPr>
    </w:p>
    <w:p w14:paraId="0C332252">
      <w:pPr>
        <w:widowControl/>
        <w:jc w:val="center"/>
        <w:rPr>
          <w:rFonts w:hint="eastAsia" w:ascii="Times New Roman" w:hAnsi="Times New Roman" w:eastAsia="黑体"/>
          <w:color w:val="auto"/>
          <w:sz w:val="44"/>
          <w:szCs w:val="44"/>
          <w:highlight w:val="none"/>
        </w:rPr>
      </w:pPr>
    </w:p>
    <w:p w14:paraId="2A8BCD63">
      <w:pPr>
        <w:widowControl/>
        <w:jc w:val="center"/>
        <w:rPr>
          <w:rFonts w:hint="eastAsia" w:ascii="Times New Roman" w:hAnsi="Times New Roman" w:eastAsia="黑体"/>
          <w:color w:val="auto"/>
          <w:sz w:val="44"/>
          <w:szCs w:val="44"/>
          <w:highlight w:val="none"/>
        </w:rPr>
      </w:pPr>
    </w:p>
    <w:p w14:paraId="4600D71A">
      <w:pPr>
        <w:widowControl/>
        <w:jc w:val="center"/>
        <w:rPr>
          <w:rFonts w:hint="eastAsia" w:ascii="Times New Roman" w:hAnsi="Times New Roman" w:eastAsia="黑体"/>
          <w:color w:val="auto"/>
          <w:sz w:val="44"/>
          <w:szCs w:val="44"/>
          <w:highlight w:val="none"/>
        </w:rPr>
      </w:pPr>
    </w:p>
    <w:p w14:paraId="0A5C8B82">
      <w:pPr>
        <w:widowControl/>
        <w:jc w:val="center"/>
        <w:rPr>
          <w:rFonts w:hint="eastAsia" w:ascii="Times New Roman" w:hAnsi="Times New Roman" w:eastAsia="黑体"/>
          <w:color w:val="auto"/>
          <w:sz w:val="44"/>
          <w:szCs w:val="44"/>
          <w:highlight w:val="none"/>
        </w:rPr>
      </w:pPr>
      <w:r>
        <w:drawing>
          <wp:inline distT="0" distB="0" distL="114300" distR="114300">
            <wp:extent cx="5270500" cy="5497195"/>
            <wp:effectExtent l="0" t="0" r="2540" b="444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3"/>
                    <a:stretch>
                      <a:fillRect/>
                    </a:stretch>
                  </pic:blipFill>
                  <pic:spPr>
                    <a:xfrm>
                      <a:off x="0" y="0"/>
                      <a:ext cx="5270500" cy="5497195"/>
                    </a:xfrm>
                    <a:prstGeom prst="rect">
                      <a:avLst/>
                    </a:prstGeom>
                    <a:noFill/>
                    <a:ln>
                      <a:noFill/>
                    </a:ln>
                  </pic:spPr>
                </pic:pic>
              </a:graphicData>
            </a:graphic>
          </wp:inline>
        </w:drawing>
      </w:r>
    </w:p>
    <w:p w14:paraId="77B0D837">
      <w:pPr>
        <w:widowControl/>
        <w:jc w:val="center"/>
        <w:rPr>
          <w:rFonts w:hint="eastAsia" w:ascii="Times New Roman" w:hAnsi="Times New Roman" w:eastAsia="黑体"/>
          <w:color w:val="auto"/>
          <w:sz w:val="44"/>
          <w:szCs w:val="44"/>
          <w:highlight w:val="none"/>
        </w:rPr>
      </w:pPr>
    </w:p>
    <w:p w14:paraId="0720131F">
      <w:pPr>
        <w:widowControl/>
        <w:jc w:val="center"/>
        <w:rPr>
          <w:rFonts w:hint="eastAsia" w:ascii="Times New Roman" w:hAnsi="Times New Roman" w:eastAsia="黑体"/>
          <w:color w:val="auto"/>
          <w:sz w:val="44"/>
          <w:szCs w:val="44"/>
          <w:highlight w:val="none"/>
        </w:rPr>
      </w:pPr>
    </w:p>
    <w:p w14:paraId="3DE72D80">
      <w:pPr>
        <w:widowControl/>
        <w:jc w:val="center"/>
        <w:rPr>
          <w:rFonts w:hint="eastAsia" w:ascii="Times New Roman" w:hAnsi="Times New Roman" w:eastAsia="黑体"/>
          <w:color w:val="auto"/>
          <w:sz w:val="44"/>
          <w:szCs w:val="44"/>
          <w:highlight w:val="none"/>
        </w:rPr>
      </w:pPr>
    </w:p>
    <w:p w14:paraId="2E2A20C6">
      <w:pPr>
        <w:widowControl/>
        <w:jc w:val="center"/>
        <w:rPr>
          <w:rFonts w:hint="eastAsia" w:ascii="Times New Roman" w:hAnsi="Times New Roman" w:eastAsia="黑体"/>
          <w:color w:val="auto"/>
          <w:sz w:val="44"/>
          <w:szCs w:val="44"/>
          <w:highlight w:val="none"/>
        </w:rPr>
      </w:pPr>
    </w:p>
    <w:p w14:paraId="09E64782">
      <w:pPr>
        <w:widowControl/>
        <w:jc w:val="center"/>
        <w:rPr>
          <w:rFonts w:hint="eastAsia" w:ascii="Times New Roman" w:hAnsi="Times New Roman" w:eastAsia="黑体"/>
          <w:color w:val="auto"/>
          <w:sz w:val="44"/>
          <w:szCs w:val="44"/>
          <w:highlight w:val="none"/>
        </w:rPr>
      </w:pPr>
    </w:p>
    <w:p w14:paraId="6A5175DB">
      <w:pPr>
        <w:widowControl/>
        <w:jc w:val="center"/>
        <w:rPr>
          <w:rFonts w:hint="eastAsia" w:ascii="Times New Roman" w:hAnsi="Times New Roman" w:eastAsia="黑体"/>
          <w:color w:val="auto"/>
          <w:sz w:val="44"/>
          <w:szCs w:val="44"/>
          <w:highlight w:val="none"/>
        </w:rPr>
      </w:pPr>
    </w:p>
    <w:p w14:paraId="13D37185">
      <w:pPr>
        <w:widowControl/>
        <w:jc w:val="center"/>
        <w:rPr>
          <w:rFonts w:hint="eastAsia" w:ascii="Times New Roman" w:hAnsi="Times New Roman" w:eastAsia="黑体"/>
          <w:color w:val="auto"/>
          <w:sz w:val="44"/>
          <w:szCs w:val="44"/>
          <w:highlight w:val="none"/>
        </w:rPr>
      </w:pPr>
    </w:p>
    <w:p w14:paraId="2BE027AA">
      <w:pPr>
        <w:widowControl/>
        <w:jc w:val="center"/>
        <w:rPr>
          <w:rFonts w:hint="eastAsia" w:ascii="Times New Roman" w:hAnsi="Times New Roman" w:eastAsia="黑体"/>
          <w:color w:val="auto"/>
          <w:sz w:val="44"/>
          <w:szCs w:val="44"/>
          <w:highlight w:val="none"/>
        </w:rPr>
      </w:pPr>
    </w:p>
    <w:p w14:paraId="0A4A8B31">
      <w:pPr>
        <w:widowControl/>
        <w:jc w:val="center"/>
        <w:rPr>
          <w:rFonts w:hint="eastAsia" w:ascii="Times New Roman" w:hAnsi="Times New Roman" w:eastAsia="黑体"/>
          <w:color w:val="auto"/>
          <w:sz w:val="44"/>
          <w:szCs w:val="44"/>
          <w:highlight w:val="none"/>
        </w:rPr>
      </w:pPr>
    </w:p>
    <w:p w14:paraId="5BCE5E72">
      <w:pPr>
        <w:widowControl/>
        <w:jc w:val="center"/>
        <w:rPr>
          <w:rFonts w:hint="eastAsia" w:ascii="Times New Roman" w:hAnsi="Times New Roman" w:eastAsia="黑体"/>
          <w:color w:val="auto"/>
          <w:sz w:val="44"/>
          <w:szCs w:val="44"/>
          <w:highlight w:val="none"/>
        </w:rPr>
      </w:pPr>
    </w:p>
    <w:p w14:paraId="107F2838">
      <w:pPr>
        <w:widowControl/>
        <w:jc w:val="center"/>
        <w:rPr>
          <w:rFonts w:hint="eastAsia" w:ascii="Times New Roman" w:hAnsi="Times New Roman" w:eastAsia="黑体"/>
          <w:color w:val="auto"/>
          <w:sz w:val="44"/>
          <w:szCs w:val="44"/>
          <w:highlight w:val="none"/>
        </w:rPr>
      </w:pPr>
    </w:p>
    <w:p w14:paraId="31076295">
      <w:pPr>
        <w:widowControl/>
        <w:jc w:val="center"/>
        <w:rPr>
          <w:rFonts w:hint="eastAsia" w:ascii="Times New Roman" w:hAnsi="Times New Roman" w:eastAsia="黑体"/>
          <w:color w:val="auto"/>
          <w:sz w:val="44"/>
          <w:szCs w:val="44"/>
          <w:highlight w:val="none"/>
        </w:rPr>
      </w:pPr>
      <w:r>
        <w:drawing>
          <wp:inline distT="0" distB="0" distL="114300" distR="114300">
            <wp:extent cx="5267960" cy="6106160"/>
            <wp:effectExtent l="0" t="0" r="5080" b="508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4"/>
                    <a:stretch>
                      <a:fillRect/>
                    </a:stretch>
                  </pic:blipFill>
                  <pic:spPr>
                    <a:xfrm>
                      <a:off x="0" y="0"/>
                      <a:ext cx="5267960" cy="6106160"/>
                    </a:xfrm>
                    <a:prstGeom prst="rect">
                      <a:avLst/>
                    </a:prstGeom>
                    <a:noFill/>
                    <a:ln>
                      <a:noFill/>
                    </a:ln>
                  </pic:spPr>
                </pic:pic>
              </a:graphicData>
            </a:graphic>
          </wp:inline>
        </w:drawing>
      </w:r>
    </w:p>
    <w:p w14:paraId="095DCE9F">
      <w:pPr>
        <w:widowControl/>
        <w:jc w:val="center"/>
        <w:rPr>
          <w:rFonts w:hint="eastAsia" w:ascii="Times New Roman" w:hAnsi="Times New Roman" w:eastAsia="黑体"/>
          <w:color w:val="auto"/>
          <w:sz w:val="44"/>
          <w:szCs w:val="44"/>
          <w:highlight w:val="none"/>
        </w:rPr>
      </w:pPr>
    </w:p>
    <w:p w14:paraId="1DF4ADEE">
      <w:pPr>
        <w:widowControl/>
        <w:jc w:val="center"/>
        <w:rPr>
          <w:rFonts w:hint="eastAsia" w:ascii="Times New Roman" w:hAnsi="Times New Roman" w:eastAsia="黑体"/>
          <w:color w:val="auto"/>
          <w:sz w:val="44"/>
          <w:szCs w:val="44"/>
          <w:highlight w:val="none"/>
        </w:rPr>
      </w:pPr>
    </w:p>
    <w:p w14:paraId="2244E112">
      <w:pPr>
        <w:widowControl/>
        <w:jc w:val="center"/>
        <w:rPr>
          <w:rFonts w:hint="eastAsia" w:ascii="Times New Roman" w:hAnsi="Times New Roman" w:eastAsia="黑体"/>
          <w:color w:val="auto"/>
          <w:sz w:val="44"/>
          <w:szCs w:val="44"/>
          <w:highlight w:val="none"/>
        </w:rPr>
      </w:pPr>
    </w:p>
    <w:p w14:paraId="1219CA9E">
      <w:pPr>
        <w:widowControl/>
        <w:jc w:val="center"/>
        <w:rPr>
          <w:rFonts w:hint="eastAsia" w:ascii="Times New Roman" w:hAnsi="Times New Roman" w:eastAsia="黑体"/>
          <w:color w:val="auto"/>
          <w:sz w:val="44"/>
          <w:szCs w:val="44"/>
          <w:highlight w:val="none"/>
        </w:rPr>
      </w:pPr>
      <w:r>
        <w:drawing>
          <wp:inline distT="0" distB="0" distL="114300" distR="114300">
            <wp:extent cx="5270500" cy="5527675"/>
            <wp:effectExtent l="0" t="0" r="2540" b="444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5"/>
                    <a:stretch>
                      <a:fillRect/>
                    </a:stretch>
                  </pic:blipFill>
                  <pic:spPr>
                    <a:xfrm>
                      <a:off x="0" y="0"/>
                      <a:ext cx="5270500" cy="5527675"/>
                    </a:xfrm>
                    <a:prstGeom prst="rect">
                      <a:avLst/>
                    </a:prstGeom>
                    <a:noFill/>
                    <a:ln>
                      <a:noFill/>
                    </a:ln>
                  </pic:spPr>
                </pic:pic>
              </a:graphicData>
            </a:graphic>
          </wp:inline>
        </w:drawing>
      </w:r>
    </w:p>
    <w:p w14:paraId="5927141B">
      <w:pPr>
        <w:widowControl/>
        <w:jc w:val="center"/>
        <w:rPr>
          <w:rFonts w:hint="eastAsia" w:ascii="Times New Roman" w:hAnsi="Times New Roman" w:eastAsia="黑体"/>
          <w:color w:val="auto"/>
          <w:sz w:val="44"/>
          <w:szCs w:val="44"/>
          <w:highlight w:val="none"/>
        </w:rPr>
      </w:pPr>
    </w:p>
    <w:p w14:paraId="1ADDDAA1">
      <w:pPr>
        <w:widowControl/>
        <w:jc w:val="center"/>
        <w:rPr>
          <w:rFonts w:hint="eastAsia" w:ascii="Times New Roman" w:hAnsi="Times New Roman" w:eastAsia="黑体"/>
          <w:color w:val="auto"/>
          <w:sz w:val="44"/>
          <w:szCs w:val="44"/>
          <w:highlight w:val="none"/>
        </w:rPr>
      </w:pPr>
    </w:p>
    <w:p w14:paraId="35205A55">
      <w:pPr>
        <w:widowControl/>
        <w:jc w:val="center"/>
        <w:rPr>
          <w:rFonts w:hint="eastAsia" w:ascii="Times New Roman" w:hAnsi="Times New Roman" w:eastAsia="黑体"/>
          <w:color w:val="auto"/>
          <w:sz w:val="44"/>
          <w:szCs w:val="44"/>
          <w:highlight w:val="none"/>
        </w:rPr>
      </w:pPr>
    </w:p>
    <w:p w14:paraId="7786F316">
      <w:pPr>
        <w:widowControl/>
        <w:jc w:val="center"/>
        <w:rPr>
          <w:rFonts w:hint="eastAsia" w:ascii="Times New Roman" w:hAnsi="Times New Roman" w:eastAsia="黑体"/>
          <w:color w:val="auto"/>
          <w:sz w:val="44"/>
          <w:szCs w:val="44"/>
          <w:highlight w:val="none"/>
        </w:rPr>
      </w:pPr>
    </w:p>
    <w:p w14:paraId="3DF08BD7">
      <w:pPr>
        <w:widowControl/>
        <w:jc w:val="center"/>
        <w:rPr>
          <w:rFonts w:hint="eastAsia" w:ascii="Times New Roman" w:hAnsi="Times New Roman" w:eastAsia="黑体"/>
          <w:color w:val="auto"/>
          <w:sz w:val="44"/>
          <w:szCs w:val="44"/>
          <w:highlight w:val="none"/>
        </w:rPr>
      </w:pPr>
    </w:p>
    <w:p w14:paraId="263777A1">
      <w:pPr>
        <w:widowControl/>
        <w:jc w:val="center"/>
        <w:rPr>
          <w:rFonts w:hint="eastAsia" w:ascii="Times New Roman" w:hAnsi="Times New Roman" w:eastAsia="黑体"/>
          <w:color w:val="auto"/>
          <w:sz w:val="44"/>
          <w:szCs w:val="44"/>
          <w:highlight w:val="none"/>
        </w:rPr>
      </w:pPr>
    </w:p>
    <w:p w14:paraId="00013CA8">
      <w:pPr>
        <w:widowControl/>
        <w:jc w:val="center"/>
        <w:rPr>
          <w:rFonts w:hint="eastAsia" w:ascii="Times New Roman" w:hAnsi="Times New Roman" w:eastAsia="黑体"/>
          <w:color w:val="auto"/>
          <w:sz w:val="44"/>
          <w:szCs w:val="44"/>
          <w:highlight w:val="none"/>
        </w:rPr>
      </w:pPr>
    </w:p>
    <w:p w14:paraId="325013B8">
      <w:pPr>
        <w:widowControl/>
        <w:jc w:val="center"/>
        <w:rPr>
          <w:rFonts w:hint="eastAsia" w:ascii="Times New Roman" w:hAnsi="Times New Roman" w:eastAsia="黑体"/>
          <w:color w:val="auto"/>
          <w:sz w:val="44"/>
          <w:szCs w:val="44"/>
          <w:highlight w:val="none"/>
        </w:rPr>
      </w:pPr>
    </w:p>
    <w:p w14:paraId="6CC82849">
      <w:pPr>
        <w:widowControl/>
        <w:jc w:val="center"/>
        <w:rPr>
          <w:rFonts w:hint="eastAsia" w:ascii="Times New Roman" w:hAnsi="Times New Roman" w:eastAsia="黑体"/>
          <w:color w:val="auto"/>
          <w:sz w:val="44"/>
          <w:szCs w:val="44"/>
          <w:highlight w:val="none"/>
        </w:rPr>
      </w:pPr>
    </w:p>
    <w:p w14:paraId="6491BBEB">
      <w:pPr>
        <w:widowControl/>
        <w:jc w:val="center"/>
        <w:rPr>
          <w:rFonts w:hint="eastAsia" w:ascii="Times New Roman" w:hAnsi="Times New Roman" w:eastAsia="黑体"/>
          <w:color w:val="auto"/>
          <w:sz w:val="44"/>
          <w:szCs w:val="44"/>
          <w:highlight w:val="none"/>
        </w:rPr>
      </w:pPr>
    </w:p>
    <w:p w14:paraId="00ADC0D0">
      <w:pPr>
        <w:widowControl/>
        <w:jc w:val="center"/>
        <w:rPr>
          <w:rFonts w:hint="eastAsia" w:ascii="Times New Roman" w:hAnsi="Times New Roman" w:eastAsia="黑体"/>
          <w:color w:val="auto"/>
          <w:sz w:val="44"/>
          <w:szCs w:val="44"/>
          <w:highlight w:val="none"/>
        </w:rPr>
      </w:pPr>
    </w:p>
    <w:p w14:paraId="0973E129">
      <w:pPr>
        <w:widowControl/>
        <w:jc w:val="center"/>
        <w:rPr>
          <w:rFonts w:hint="eastAsia" w:ascii="Times New Roman" w:hAnsi="Times New Roman" w:eastAsia="黑体"/>
          <w:color w:val="auto"/>
          <w:sz w:val="44"/>
          <w:szCs w:val="44"/>
          <w:highlight w:val="none"/>
        </w:rPr>
      </w:pPr>
      <w:r>
        <w:drawing>
          <wp:inline distT="0" distB="0" distL="114300" distR="114300">
            <wp:extent cx="5265420" cy="5641340"/>
            <wp:effectExtent l="0" t="0" r="7620" b="1270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6"/>
                    <a:stretch>
                      <a:fillRect/>
                    </a:stretch>
                  </pic:blipFill>
                  <pic:spPr>
                    <a:xfrm>
                      <a:off x="0" y="0"/>
                      <a:ext cx="5265420" cy="5641340"/>
                    </a:xfrm>
                    <a:prstGeom prst="rect">
                      <a:avLst/>
                    </a:prstGeom>
                    <a:noFill/>
                    <a:ln>
                      <a:noFill/>
                    </a:ln>
                  </pic:spPr>
                </pic:pic>
              </a:graphicData>
            </a:graphic>
          </wp:inline>
        </w:drawing>
      </w:r>
    </w:p>
    <w:p w14:paraId="438A9C5B">
      <w:pPr>
        <w:widowControl/>
        <w:jc w:val="center"/>
        <w:rPr>
          <w:rFonts w:hint="eastAsia" w:ascii="Times New Roman" w:hAnsi="Times New Roman" w:eastAsia="黑体"/>
          <w:color w:val="auto"/>
          <w:sz w:val="44"/>
          <w:szCs w:val="44"/>
          <w:highlight w:val="none"/>
        </w:rPr>
      </w:pPr>
    </w:p>
    <w:p w14:paraId="76C9E8CA">
      <w:pPr>
        <w:widowControl/>
        <w:jc w:val="center"/>
        <w:rPr>
          <w:rFonts w:hint="eastAsia" w:ascii="Times New Roman" w:hAnsi="Times New Roman" w:eastAsia="黑体"/>
          <w:color w:val="auto"/>
          <w:sz w:val="44"/>
          <w:szCs w:val="44"/>
          <w:highlight w:val="none"/>
        </w:rPr>
      </w:pPr>
    </w:p>
    <w:p w14:paraId="316C52B4">
      <w:pPr>
        <w:widowControl/>
        <w:jc w:val="center"/>
        <w:rPr>
          <w:rFonts w:hint="eastAsia" w:ascii="Times New Roman" w:hAnsi="Times New Roman" w:eastAsia="黑体"/>
          <w:color w:val="auto"/>
          <w:sz w:val="44"/>
          <w:szCs w:val="44"/>
          <w:highlight w:val="none"/>
        </w:rPr>
      </w:pPr>
    </w:p>
    <w:p w14:paraId="207FF89B">
      <w:pPr>
        <w:widowControl/>
        <w:jc w:val="center"/>
        <w:rPr>
          <w:rFonts w:hint="eastAsia" w:ascii="Times New Roman" w:hAnsi="Times New Roman" w:eastAsia="黑体"/>
          <w:color w:val="auto"/>
          <w:sz w:val="44"/>
          <w:szCs w:val="44"/>
          <w:highlight w:val="none"/>
        </w:rPr>
      </w:pPr>
    </w:p>
    <w:p w14:paraId="6D2D45A3">
      <w:pPr>
        <w:widowControl/>
        <w:jc w:val="center"/>
        <w:rPr>
          <w:rFonts w:hint="eastAsia" w:ascii="Times New Roman" w:hAnsi="Times New Roman" w:eastAsia="黑体"/>
          <w:color w:val="auto"/>
          <w:sz w:val="44"/>
          <w:szCs w:val="44"/>
          <w:highlight w:val="none"/>
        </w:rPr>
      </w:pPr>
    </w:p>
    <w:p w14:paraId="50859606">
      <w:pPr>
        <w:widowControl/>
        <w:jc w:val="center"/>
        <w:rPr>
          <w:rFonts w:hint="eastAsia" w:ascii="Times New Roman" w:hAnsi="Times New Roman" w:eastAsia="黑体"/>
          <w:color w:val="auto"/>
          <w:sz w:val="44"/>
          <w:szCs w:val="44"/>
          <w:highlight w:val="none"/>
        </w:rPr>
      </w:pPr>
    </w:p>
    <w:p w14:paraId="1C7418F0">
      <w:pPr>
        <w:widowControl/>
        <w:jc w:val="center"/>
        <w:rPr>
          <w:rFonts w:hint="eastAsia" w:ascii="Times New Roman" w:hAnsi="Times New Roman" w:eastAsia="黑体"/>
          <w:color w:val="auto"/>
          <w:sz w:val="44"/>
          <w:szCs w:val="44"/>
          <w:highlight w:val="none"/>
        </w:rPr>
      </w:pPr>
    </w:p>
    <w:p w14:paraId="77F2B289">
      <w:pPr>
        <w:widowControl/>
        <w:jc w:val="center"/>
        <w:rPr>
          <w:rFonts w:hint="eastAsia" w:ascii="Times New Roman" w:hAnsi="Times New Roman" w:eastAsia="黑体"/>
          <w:color w:val="auto"/>
          <w:sz w:val="44"/>
          <w:szCs w:val="44"/>
          <w:highlight w:val="none"/>
        </w:rPr>
      </w:pPr>
    </w:p>
    <w:p w14:paraId="6100CD32">
      <w:pPr>
        <w:widowControl/>
        <w:jc w:val="center"/>
        <w:rPr>
          <w:rFonts w:hint="eastAsia" w:ascii="Times New Roman" w:hAnsi="Times New Roman" w:eastAsia="黑体"/>
          <w:color w:val="auto"/>
          <w:sz w:val="44"/>
          <w:szCs w:val="44"/>
          <w:highlight w:val="none"/>
        </w:rPr>
      </w:pPr>
    </w:p>
    <w:p w14:paraId="45639040">
      <w:pPr>
        <w:widowControl/>
        <w:jc w:val="center"/>
        <w:rPr>
          <w:rFonts w:hint="eastAsia" w:ascii="Times New Roman" w:hAnsi="Times New Roman" w:eastAsia="黑体"/>
          <w:color w:val="auto"/>
          <w:sz w:val="44"/>
          <w:szCs w:val="44"/>
          <w:highlight w:val="none"/>
        </w:rPr>
      </w:pPr>
    </w:p>
    <w:p w14:paraId="0C35ACDF">
      <w:pPr>
        <w:widowControl/>
        <w:jc w:val="center"/>
        <w:rPr>
          <w:rFonts w:hint="eastAsia" w:ascii="Times New Roman" w:hAnsi="Times New Roman" w:eastAsia="黑体"/>
          <w:color w:val="auto"/>
          <w:sz w:val="44"/>
          <w:szCs w:val="44"/>
          <w:highlight w:val="none"/>
        </w:rPr>
      </w:pPr>
      <w:r>
        <w:drawing>
          <wp:inline distT="0" distB="0" distL="114300" distR="114300">
            <wp:extent cx="5269230" cy="5544820"/>
            <wp:effectExtent l="0" t="0" r="3810" b="254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7"/>
                    <a:stretch>
                      <a:fillRect/>
                    </a:stretch>
                  </pic:blipFill>
                  <pic:spPr>
                    <a:xfrm>
                      <a:off x="0" y="0"/>
                      <a:ext cx="5269230" cy="5544820"/>
                    </a:xfrm>
                    <a:prstGeom prst="rect">
                      <a:avLst/>
                    </a:prstGeom>
                    <a:noFill/>
                    <a:ln>
                      <a:noFill/>
                    </a:ln>
                  </pic:spPr>
                </pic:pic>
              </a:graphicData>
            </a:graphic>
          </wp:inline>
        </w:drawing>
      </w:r>
    </w:p>
    <w:p w14:paraId="36DAE804">
      <w:pPr>
        <w:widowControl/>
        <w:jc w:val="center"/>
        <w:rPr>
          <w:rFonts w:hint="eastAsia" w:ascii="Times New Roman" w:hAnsi="Times New Roman" w:eastAsia="黑体"/>
          <w:color w:val="auto"/>
          <w:sz w:val="44"/>
          <w:szCs w:val="44"/>
          <w:highlight w:val="none"/>
        </w:rPr>
      </w:pPr>
    </w:p>
    <w:p w14:paraId="5BBE131F">
      <w:pPr>
        <w:widowControl/>
        <w:jc w:val="center"/>
        <w:rPr>
          <w:rFonts w:hint="eastAsia" w:ascii="Times New Roman" w:hAnsi="Times New Roman" w:eastAsia="黑体"/>
          <w:color w:val="auto"/>
          <w:sz w:val="44"/>
          <w:szCs w:val="44"/>
          <w:highlight w:val="none"/>
        </w:rPr>
      </w:pPr>
    </w:p>
    <w:p w14:paraId="30065283">
      <w:pPr>
        <w:widowControl/>
        <w:jc w:val="center"/>
        <w:rPr>
          <w:rFonts w:hint="eastAsia" w:ascii="Times New Roman" w:hAnsi="Times New Roman" w:eastAsia="黑体"/>
          <w:color w:val="auto"/>
          <w:sz w:val="44"/>
          <w:szCs w:val="44"/>
          <w:highlight w:val="none"/>
        </w:rPr>
      </w:pPr>
    </w:p>
    <w:p w14:paraId="2ED7BDD0">
      <w:pPr>
        <w:widowControl/>
        <w:jc w:val="center"/>
        <w:rPr>
          <w:rFonts w:hint="eastAsia" w:ascii="Times New Roman" w:hAnsi="Times New Roman" w:eastAsia="黑体"/>
          <w:color w:val="auto"/>
          <w:sz w:val="44"/>
          <w:szCs w:val="44"/>
          <w:highlight w:val="none"/>
        </w:rPr>
      </w:pPr>
    </w:p>
    <w:p w14:paraId="5D7C3B6E">
      <w:pPr>
        <w:widowControl/>
        <w:jc w:val="center"/>
        <w:rPr>
          <w:rFonts w:hint="eastAsia" w:ascii="Times New Roman" w:hAnsi="Times New Roman" w:eastAsia="黑体"/>
          <w:color w:val="auto"/>
          <w:sz w:val="44"/>
          <w:szCs w:val="44"/>
          <w:highlight w:val="none"/>
        </w:rPr>
      </w:pPr>
    </w:p>
    <w:p w14:paraId="057CB158">
      <w:pPr>
        <w:widowControl/>
        <w:jc w:val="center"/>
        <w:rPr>
          <w:rFonts w:hint="eastAsia" w:ascii="Times New Roman" w:hAnsi="Times New Roman" w:eastAsia="黑体"/>
          <w:color w:val="auto"/>
          <w:sz w:val="44"/>
          <w:szCs w:val="44"/>
          <w:highlight w:val="none"/>
        </w:rPr>
      </w:pPr>
    </w:p>
    <w:p w14:paraId="3880E978">
      <w:pPr>
        <w:widowControl/>
        <w:jc w:val="center"/>
        <w:rPr>
          <w:rFonts w:hint="eastAsia" w:ascii="Times New Roman" w:hAnsi="Times New Roman" w:eastAsia="黑体"/>
          <w:color w:val="auto"/>
          <w:sz w:val="44"/>
          <w:szCs w:val="44"/>
          <w:highlight w:val="none"/>
        </w:rPr>
      </w:pPr>
      <w:r>
        <w:drawing>
          <wp:inline distT="0" distB="0" distL="114300" distR="114300">
            <wp:extent cx="5265420" cy="5395595"/>
            <wp:effectExtent l="0" t="0" r="7620" b="1460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8"/>
                    <a:stretch>
                      <a:fillRect/>
                    </a:stretch>
                  </pic:blipFill>
                  <pic:spPr>
                    <a:xfrm>
                      <a:off x="0" y="0"/>
                      <a:ext cx="5265420" cy="5395595"/>
                    </a:xfrm>
                    <a:prstGeom prst="rect">
                      <a:avLst/>
                    </a:prstGeom>
                    <a:noFill/>
                    <a:ln>
                      <a:noFill/>
                    </a:ln>
                  </pic:spPr>
                </pic:pic>
              </a:graphicData>
            </a:graphic>
          </wp:inline>
        </w:drawing>
      </w:r>
    </w:p>
    <w:p w14:paraId="41E3E096">
      <w:pPr>
        <w:widowControl/>
        <w:jc w:val="center"/>
        <w:rPr>
          <w:rFonts w:hint="eastAsia" w:ascii="Times New Roman" w:hAnsi="Times New Roman" w:eastAsia="黑体"/>
          <w:color w:val="auto"/>
          <w:sz w:val="44"/>
          <w:szCs w:val="44"/>
          <w:highlight w:val="none"/>
        </w:rPr>
      </w:pPr>
    </w:p>
    <w:p w14:paraId="51E082DF">
      <w:pPr>
        <w:widowControl/>
        <w:jc w:val="both"/>
        <w:rPr>
          <w:rFonts w:hint="eastAsia" w:ascii="Times New Roman" w:hAnsi="Times New Roman" w:eastAsia="黑体"/>
          <w:color w:val="auto"/>
          <w:sz w:val="44"/>
          <w:szCs w:val="44"/>
          <w:highlight w:val="none"/>
        </w:rPr>
      </w:pPr>
    </w:p>
    <w:p w14:paraId="1AEC1821">
      <w:pPr>
        <w:widowControl/>
        <w:jc w:val="center"/>
        <w:rPr>
          <w:rFonts w:hint="eastAsia" w:ascii="Times New Roman" w:hAnsi="Times New Roman" w:eastAsia="黑体"/>
          <w:color w:val="auto"/>
          <w:sz w:val="44"/>
          <w:szCs w:val="44"/>
          <w:highlight w:val="none"/>
        </w:rPr>
      </w:pPr>
    </w:p>
    <w:p w14:paraId="34EAF946">
      <w:pPr>
        <w:widowControl/>
        <w:jc w:val="center"/>
        <w:rPr>
          <w:rFonts w:hint="eastAsia" w:ascii="Times New Roman" w:hAnsi="Times New Roman" w:eastAsia="黑体"/>
          <w:color w:val="auto"/>
          <w:sz w:val="44"/>
          <w:szCs w:val="44"/>
          <w:highlight w:val="none"/>
        </w:rPr>
      </w:pPr>
    </w:p>
    <w:p w14:paraId="73897F9F">
      <w:pPr>
        <w:widowControl/>
        <w:jc w:val="center"/>
        <w:rPr>
          <w:rFonts w:hint="eastAsia" w:ascii="Times New Roman" w:hAnsi="Times New Roman" w:eastAsia="黑体"/>
          <w:color w:val="auto"/>
          <w:sz w:val="44"/>
          <w:szCs w:val="44"/>
          <w:highlight w:val="none"/>
        </w:rPr>
      </w:pPr>
    </w:p>
    <w:p w14:paraId="72B21852">
      <w:pPr>
        <w:widowControl/>
        <w:jc w:val="center"/>
        <w:rPr>
          <w:rFonts w:hint="eastAsia" w:ascii="Times New Roman" w:hAnsi="Times New Roman" w:eastAsia="黑体"/>
          <w:color w:val="auto"/>
          <w:sz w:val="44"/>
          <w:szCs w:val="44"/>
          <w:highlight w:val="none"/>
        </w:rPr>
      </w:pPr>
    </w:p>
    <w:p w14:paraId="24F022EE">
      <w:pPr>
        <w:widowControl/>
        <w:jc w:val="center"/>
        <w:rPr>
          <w:rFonts w:hint="eastAsia" w:ascii="Times New Roman" w:hAnsi="Times New Roman" w:eastAsia="黑体"/>
          <w:color w:val="auto"/>
          <w:sz w:val="44"/>
          <w:szCs w:val="44"/>
          <w:highlight w:val="none"/>
        </w:rPr>
      </w:pPr>
    </w:p>
    <w:p w14:paraId="5E2DF007">
      <w:pPr>
        <w:widowControl/>
        <w:jc w:val="center"/>
        <w:rPr>
          <w:rFonts w:hint="eastAsia" w:ascii="Times New Roman" w:hAnsi="Times New Roman" w:eastAsia="黑体"/>
          <w:color w:val="auto"/>
          <w:sz w:val="44"/>
          <w:szCs w:val="44"/>
          <w:highlight w:val="none"/>
        </w:rPr>
      </w:pPr>
      <w:r>
        <w:drawing>
          <wp:inline distT="0" distB="0" distL="114300" distR="114300">
            <wp:extent cx="5270500" cy="5425440"/>
            <wp:effectExtent l="0" t="0" r="2540"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9"/>
                    <a:stretch>
                      <a:fillRect/>
                    </a:stretch>
                  </pic:blipFill>
                  <pic:spPr>
                    <a:xfrm>
                      <a:off x="0" y="0"/>
                      <a:ext cx="5270500" cy="5425440"/>
                    </a:xfrm>
                    <a:prstGeom prst="rect">
                      <a:avLst/>
                    </a:prstGeom>
                    <a:noFill/>
                    <a:ln>
                      <a:noFill/>
                    </a:ln>
                  </pic:spPr>
                </pic:pic>
              </a:graphicData>
            </a:graphic>
          </wp:inline>
        </w:drawing>
      </w:r>
    </w:p>
    <w:p w14:paraId="209C5EE5">
      <w:pPr>
        <w:widowControl/>
        <w:jc w:val="center"/>
        <w:rPr>
          <w:rFonts w:hint="eastAsia" w:ascii="Times New Roman" w:hAnsi="Times New Roman" w:eastAsia="黑体"/>
          <w:color w:val="auto"/>
          <w:sz w:val="44"/>
          <w:szCs w:val="44"/>
          <w:highlight w:val="none"/>
        </w:rPr>
      </w:pPr>
    </w:p>
    <w:p w14:paraId="5E59232D">
      <w:pPr>
        <w:widowControl/>
        <w:jc w:val="center"/>
        <w:rPr>
          <w:rFonts w:hint="eastAsia" w:ascii="Times New Roman" w:hAnsi="Times New Roman" w:eastAsia="黑体"/>
          <w:color w:val="auto"/>
          <w:sz w:val="44"/>
          <w:szCs w:val="44"/>
          <w:highlight w:val="none"/>
        </w:rPr>
      </w:pPr>
    </w:p>
    <w:p w14:paraId="105676E8">
      <w:pPr>
        <w:widowControl/>
        <w:jc w:val="center"/>
        <w:rPr>
          <w:rFonts w:hint="eastAsia" w:ascii="Times New Roman" w:hAnsi="Times New Roman" w:eastAsia="黑体"/>
          <w:color w:val="auto"/>
          <w:sz w:val="44"/>
          <w:szCs w:val="44"/>
          <w:highlight w:val="none"/>
        </w:rPr>
      </w:pPr>
    </w:p>
    <w:p w14:paraId="0185BE3B">
      <w:pPr>
        <w:widowControl/>
        <w:jc w:val="center"/>
        <w:rPr>
          <w:rFonts w:hint="eastAsia" w:ascii="Times New Roman" w:hAnsi="Times New Roman" w:eastAsia="黑体"/>
          <w:color w:val="auto"/>
          <w:sz w:val="44"/>
          <w:szCs w:val="44"/>
          <w:highlight w:val="none"/>
        </w:rPr>
      </w:pPr>
    </w:p>
    <w:p w14:paraId="09EF2123">
      <w:pPr>
        <w:widowControl/>
        <w:jc w:val="center"/>
        <w:rPr>
          <w:rFonts w:hint="eastAsia" w:ascii="Times New Roman" w:hAnsi="Times New Roman" w:eastAsia="黑体"/>
          <w:color w:val="auto"/>
          <w:sz w:val="44"/>
          <w:szCs w:val="44"/>
          <w:highlight w:val="none"/>
        </w:rPr>
      </w:pPr>
    </w:p>
    <w:p w14:paraId="44785880">
      <w:pPr>
        <w:widowControl/>
        <w:jc w:val="both"/>
        <w:rPr>
          <w:rFonts w:hint="eastAsia" w:ascii="Times New Roman" w:hAnsi="Times New Roman" w:eastAsia="黑体"/>
          <w:color w:val="auto"/>
          <w:sz w:val="44"/>
          <w:szCs w:val="44"/>
          <w:highlight w:val="none"/>
        </w:rPr>
      </w:pPr>
    </w:p>
    <w:p w14:paraId="002449B4">
      <w:pPr>
        <w:widowControl/>
        <w:jc w:val="center"/>
        <w:rPr>
          <w:rFonts w:hint="eastAsia" w:ascii="Times New Roman" w:hAnsi="Times New Roman" w:eastAsia="黑体"/>
          <w:color w:val="auto"/>
          <w:sz w:val="44"/>
          <w:szCs w:val="44"/>
          <w:highlight w:val="none"/>
        </w:rPr>
      </w:pPr>
    </w:p>
    <w:p w14:paraId="0E0052D5">
      <w:pPr>
        <w:widowControl/>
        <w:jc w:val="center"/>
        <w:rPr>
          <w:rFonts w:hint="eastAsia" w:ascii="Times New Roman" w:hAnsi="Times New Roman" w:eastAsia="黑体"/>
          <w:color w:val="auto"/>
          <w:sz w:val="44"/>
          <w:szCs w:val="44"/>
          <w:highlight w:val="none"/>
        </w:rPr>
      </w:pPr>
    </w:p>
    <w:p w14:paraId="33B6E27A">
      <w:pPr>
        <w:widowControl/>
        <w:jc w:val="center"/>
        <w:rPr>
          <w:rFonts w:hint="eastAsia" w:ascii="Times New Roman" w:hAnsi="Times New Roman" w:eastAsia="黑体"/>
          <w:color w:val="auto"/>
          <w:sz w:val="44"/>
          <w:szCs w:val="44"/>
          <w:highlight w:val="none"/>
        </w:rPr>
      </w:pPr>
      <w:r>
        <w:drawing>
          <wp:inline distT="0" distB="0" distL="114300" distR="114300">
            <wp:extent cx="5270500" cy="5562600"/>
            <wp:effectExtent l="0" t="0" r="2540" b="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30"/>
                    <a:stretch>
                      <a:fillRect/>
                    </a:stretch>
                  </pic:blipFill>
                  <pic:spPr>
                    <a:xfrm>
                      <a:off x="0" y="0"/>
                      <a:ext cx="5270500" cy="5562600"/>
                    </a:xfrm>
                    <a:prstGeom prst="rect">
                      <a:avLst/>
                    </a:prstGeom>
                    <a:noFill/>
                    <a:ln>
                      <a:noFill/>
                    </a:ln>
                  </pic:spPr>
                </pic:pic>
              </a:graphicData>
            </a:graphic>
          </wp:inline>
        </w:drawing>
      </w:r>
    </w:p>
    <w:p w14:paraId="1C38D0F5">
      <w:pPr>
        <w:widowControl/>
        <w:jc w:val="center"/>
        <w:rPr>
          <w:rFonts w:hint="eastAsia" w:ascii="Times New Roman" w:hAnsi="Times New Roman" w:eastAsia="黑体"/>
          <w:color w:val="auto"/>
          <w:sz w:val="44"/>
          <w:szCs w:val="44"/>
          <w:highlight w:val="none"/>
        </w:rPr>
      </w:pPr>
      <w:r>
        <w:drawing>
          <wp:inline distT="0" distB="0" distL="114300" distR="114300">
            <wp:extent cx="5265420" cy="5408930"/>
            <wp:effectExtent l="0" t="0" r="7620" b="127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31"/>
                    <a:stretch>
                      <a:fillRect/>
                    </a:stretch>
                  </pic:blipFill>
                  <pic:spPr>
                    <a:xfrm>
                      <a:off x="0" y="0"/>
                      <a:ext cx="5265420" cy="5408930"/>
                    </a:xfrm>
                    <a:prstGeom prst="rect">
                      <a:avLst/>
                    </a:prstGeom>
                    <a:noFill/>
                    <a:ln>
                      <a:noFill/>
                    </a:ln>
                  </pic:spPr>
                </pic:pic>
              </a:graphicData>
            </a:graphic>
          </wp:inline>
        </w:drawing>
      </w:r>
    </w:p>
    <w:p w14:paraId="13A546E8">
      <w:pPr>
        <w:widowControl/>
        <w:jc w:val="center"/>
        <w:rPr>
          <w:rFonts w:hint="eastAsia" w:ascii="Times New Roman" w:hAnsi="Times New Roman" w:eastAsia="黑体"/>
          <w:color w:val="auto"/>
          <w:sz w:val="44"/>
          <w:szCs w:val="44"/>
          <w:highlight w:val="none"/>
        </w:rPr>
      </w:pPr>
    </w:p>
    <w:p w14:paraId="6F86DEC4">
      <w:pPr>
        <w:widowControl/>
        <w:jc w:val="center"/>
        <w:rPr>
          <w:rFonts w:hint="eastAsia" w:ascii="Times New Roman" w:hAnsi="Times New Roman" w:eastAsia="黑体"/>
          <w:color w:val="auto"/>
          <w:sz w:val="44"/>
          <w:szCs w:val="44"/>
          <w:highlight w:val="none"/>
        </w:rPr>
      </w:pPr>
    </w:p>
    <w:p w14:paraId="1FD7D933">
      <w:pPr>
        <w:widowControl/>
        <w:jc w:val="center"/>
        <w:rPr>
          <w:rFonts w:hint="eastAsia" w:ascii="Times New Roman" w:hAnsi="Times New Roman" w:eastAsia="黑体"/>
          <w:color w:val="auto"/>
          <w:sz w:val="44"/>
          <w:szCs w:val="44"/>
          <w:highlight w:val="none"/>
        </w:rPr>
      </w:pPr>
    </w:p>
    <w:p w14:paraId="451A944F">
      <w:pPr>
        <w:widowControl/>
        <w:jc w:val="center"/>
        <w:rPr>
          <w:rFonts w:hint="eastAsia" w:ascii="Times New Roman" w:hAnsi="Times New Roman" w:eastAsia="黑体"/>
          <w:color w:val="auto"/>
          <w:sz w:val="44"/>
          <w:szCs w:val="44"/>
          <w:highlight w:val="none"/>
        </w:rPr>
      </w:pPr>
    </w:p>
    <w:p w14:paraId="0829B656">
      <w:pPr>
        <w:widowControl/>
        <w:jc w:val="center"/>
        <w:rPr>
          <w:rFonts w:hint="eastAsia" w:ascii="Times New Roman" w:hAnsi="Times New Roman" w:eastAsia="黑体"/>
          <w:color w:val="auto"/>
          <w:sz w:val="44"/>
          <w:szCs w:val="44"/>
          <w:highlight w:val="none"/>
        </w:rPr>
      </w:pPr>
    </w:p>
    <w:p w14:paraId="7667E36C">
      <w:pPr>
        <w:widowControl/>
        <w:jc w:val="center"/>
        <w:rPr>
          <w:rFonts w:hint="eastAsia" w:ascii="Times New Roman" w:hAnsi="Times New Roman" w:eastAsia="黑体"/>
          <w:color w:val="auto"/>
          <w:sz w:val="44"/>
          <w:szCs w:val="44"/>
          <w:highlight w:val="none"/>
        </w:rPr>
      </w:pPr>
    </w:p>
    <w:p w14:paraId="4CBCB6AD">
      <w:pPr>
        <w:widowControl/>
        <w:jc w:val="center"/>
        <w:rPr>
          <w:rFonts w:hint="eastAsia" w:ascii="Times New Roman" w:hAnsi="Times New Roman" w:eastAsia="黑体"/>
          <w:color w:val="auto"/>
          <w:sz w:val="44"/>
          <w:szCs w:val="44"/>
          <w:highlight w:val="none"/>
        </w:rPr>
      </w:pPr>
    </w:p>
    <w:p w14:paraId="5220AF09">
      <w:pPr>
        <w:widowControl/>
        <w:jc w:val="center"/>
        <w:rPr>
          <w:rFonts w:hint="eastAsia" w:ascii="Times New Roman" w:hAnsi="Times New Roman" w:eastAsia="黑体"/>
          <w:color w:val="auto"/>
          <w:sz w:val="44"/>
          <w:szCs w:val="44"/>
          <w:highlight w:val="none"/>
        </w:rPr>
      </w:pPr>
    </w:p>
    <w:p w14:paraId="24A10000">
      <w:pPr>
        <w:widowControl/>
        <w:jc w:val="center"/>
        <w:rPr>
          <w:rFonts w:hint="eastAsia" w:ascii="Times New Roman" w:hAnsi="Times New Roman" w:eastAsia="黑体"/>
          <w:color w:val="auto"/>
          <w:sz w:val="44"/>
          <w:szCs w:val="44"/>
          <w:highlight w:val="none"/>
        </w:rPr>
      </w:pPr>
      <w:r>
        <w:drawing>
          <wp:inline distT="0" distB="0" distL="114300" distR="114300">
            <wp:extent cx="5273040" cy="5363845"/>
            <wp:effectExtent l="0" t="0" r="0" b="63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32"/>
                    <a:stretch>
                      <a:fillRect/>
                    </a:stretch>
                  </pic:blipFill>
                  <pic:spPr>
                    <a:xfrm>
                      <a:off x="0" y="0"/>
                      <a:ext cx="5273040" cy="5363845"/>
                    </a:xfrm>
                    <a:prstGeom prst="rect">
                      <a:avLst/>
                    </a:prstGeom>
                    <a:noFill/>
                    <a:ln>
                      <a:noFill/>
                    </a:ln>
                  </pic:spPr>
                </pic:pic>
              </a:graphicData>
            </a:graphic>
          </wp:inline>
        </w:drawing>
      </w:r>
    </w:p>
    <w:p w14:paraId="455D0188">
      <w:pPr>
        <w:widowControl/>
        <w:jc w:val="center"/>
        <w:rPr>
          <w:rFonts w:hint="eastAsia" w:ascii="Times New Roman" w:hAnsi="Times New Roman" w:eastAsia="黑体"/>
          <w:color w:val="auto"/>
          <w:sz w:val="44"/>
          <w:szCs w:val="44"/>
          <w:highlight w:val="none"/>
        </w:rPr>
      </w:pPr>
    </w:p>
    <w:p w14:paraId="5B1F8C56">
      <w:pPr>
        <w:widowControl/>
        <w:jc w:val="center"/>
        <w:rPr>
          <w:rFonts w:hint="eastAsia" w:ascii="Times New Roman" w:hAnsi="Times New Roman" w:eastAsia="黑体"/>
          <w:color w:val="auto"/>
          <w:sz w:val="44"/>
          <w:szCs w:val="44"/>
          <w:highlight w:val="none"/>
        </w:rPr>
      </w:pPr>
    </w:p>
    <w:p w14:paraId="769D5CA5">
      <w:pPr>
        <w:widowControl/>
        <w:jc w:val="center"/>
        <w:rPr>
          <w:rFonts w:hint="eastAsia" w:ascii="Times New Roman" w:hAnsi="Times New Roman" w:eastAsia="黑体"/>
          <w:color w:val="auto"/>
          <w:sz w:val="44"/>
          <w:szCs w:val="44"/>
          <w:highlight w:val="none"/>
        </w:rPr>
      </w:pPr>
    </w:p>
    <w:p w14:paraId="7B746D2A">
      <w:pPr>
        <w:widowControl/>
        <w:jc w:val="center"/>
        <w:rPr>
          <w:rFonts w:hint="eastAsia" w:ascii="Times New Roman" w:hAnsi="Times New Roman" w:eastAsia="黑体"/>
          <w:color w:val="auto"/>
          <w:sz w:val="44"/>
          <w:szCs w:val="44"/>
          <w:highlight w:val="none"/>
        </w:rPr>
      </w:pPr>
    </w:p>
    <w:p w14:paraId="4B21881D">
      <w:pPr>
        <w:widowControl/>
        <w:jc w:val="center"/>
        <w:rPr>
          <w:rFonts w:hint="eastAsia" w:ascii="Times New Roman" w:hAnsi="Times New Roman" w:eastAsia="黑体"/>
          <w:color w:val="auto"/>
          <w:sz w:val="44"/>
          <w:szCs w:val="44"/>
          <w:highlight w:val="none"/>
        </w:rPr>
      </w:pPr>
    </w:p>
    <w:p w14:paraId="363E7ACA">
      <w:pPr>
        <w:widowControl/>
        <w:jc w:val="center"/>
        <w:rPr>
          <w:rFonts w:hint="eastAsia" w:ascii="Times New Roman" w:hAnsi="Times New Roman" w:eastAsia="黑体"/>
          <w:color w:val="auto"/>
          <w:sz w:val="44"/>
          <w:szCs w:val="44"/>
          <w:highlight w:val="none"/>
        </w:rPr>
      </w:pPr>
    </w:p>
    <w:p w14:paraId="3082001D">
      <w:pPr>
        <w:widowControl/>
        <w:jc w:val="both"/>
        <w:rPr>
          <w:rFonts w:hint="eastAsia" w:ascii="Times New Roman" w:hAnsi="Times New Roman" w:eastAsia="黑体"/>
          <w:color w:val="auto"/>
          <w:sz w:val="44"/>
          <w:szCs w:val="44"/>
          <w:highlight w:val="none"/>
        </w:rPr>
      </w:pPr>
    </w:p>
    <w:p w14:paraId="35A58B90">
      <w:pPr>
        <w:widowControl/>
        <w:jc w:val="center"/>
        <w:rPr>
          <w:rFonts w:hint="eastAsia" w:ascii="Times New Roman" w:hAnsi="Times New Roman" w:eastAsia="黑体"/>
          <w:color w:val="auto"/>
          <w:sz w:val="44"/>
          <w:szCs w:val="44"/>
          <w:highlight w:val="none"/>
        </w:rPr>
      </w:pPr>
    </w:p>
    <w:p w14:paraId="1BC9592F">
      <w:pPr>
        <w:widowControl/>
        <w:jc w:val="center"/>
        <w:rPr>
          <w:rFonts w:hint="eastAsia" w:ascii="Times New Roman" w:hAnsi="Times New Roman" w:eastAsia="黑体"/>
          <w:color w:val="auto"/>
          <w:sz w:val="44"/>
          <w:szCs w:val="44"/>
          <w:highlight w:val="none"/>
        </w:rPr>
      </w:pPr>
    </w:p>
    <w:p w14:paraId="71FCEC44">
      <w:pPr>
        <w:widowControl/>
        <w:jc w:val="center"/>
        <w:rPr>
          <w:rFonts w:hint="eastAsia" w:ascii="Times New Roman" w:hAnsi="Times New Roman" w:eastAsia="黑体"/>
          <w:color w:val="auto"/>
          <w:sz w:val="44"/>
          <w:szCs w:val="44"/>
          <w:highlight w:val="none"/>
        </w:rPr>
      </w:pPr>
      <w:r>
        <w:drawing>
          <wp:inline distT="0" distB="0" distL="114300" distR="114300">
            <wp:extent cx="5267325" cy="5405755"/>
            <wp:effectExtent l="0" t="0" r="5715" b="444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33"/>
                    <a:stretch>
                      <a:fillRect/>
                    </a:stretch>
                  </pic:blipFill>
                  <pic:spPr>
                    <a:xfrm>
                      <a:off x="0" y="0"/>
                      <a:ext cx="5267325" cy="5405755"/>
                    </a:xfrm>
                    <a:prstGeom prst="rect">
                      <a:avLst/>
                    </a:prstGeom>
                    <a:noFill/>
                    <a:ln>
                      <a:noFill/>
                    </a:ln>
                  </pic:spPr>
                </pic:pic>
              </a:graphicData>
            </a:graphic>
          </wp:inline>
        </w:drawing>
      </w:r>
    </w:p>
    <w:p w14:paraId="16E409A6">
      <w:pPr>
        <w:widowControl/>
        <w:jc w:val="center"/>
        <w:rPr>
          <w:rFonts w:hint="eastAsia" w:ascii="Times New Roman" w:hAnsi="Times New Roman" w:eastAsia="黑体"/>
          <w:color w:val="auto"/>
          <w:sz w:val="44"/>
          <w:szCs w:val="44"/>
          <w:highlight w:val="none"/>
        </w:rPr>
      </w:pPr>
    </w:p>
    <w:p w14:paraId="176ECABE">
      <w:pPr>
        <w:widowControl/>
        <w:jc w:val="center"/>
        <w:rPr>
          <w:rFonts w:hint="eastAsia" w:ascii="Times New Roman" w:hAnsi="Times New Roman" w:eastAsia="黑体"/>
          <w:color w:val="auto"/>
          <w:sz w:val="44"/>
          <w:szCs w:val="44"/>
          <w:highlight w:val="none"/>
        </w:rPr>
      </w:pPr>
    </w:p>
    <w:p w14:paraId="2EC4B64E">
      <w:pPr>
        <w:widowControl/>
        <w:jc w:val="center"/>
        <w:rPr>
          <w:rFonts w:hint="eastAsia" w:ascii="Times New Roman" w:hAnsi="Times New Roman" w:eastAsia="黑体"/>
          <w:color w:val="auto"/>
          <w:sz w:val="44"/>
          <w:szCs w:val="44"/>
          <w:highlight w:val="none"/>
        </w:rPr>
      </w:pPr>
    </w:p>
    <w:p w14:paraId="24738489">
      <w:pPr>
        <w:widowControl/>
        <w:jc w:val="center"/>
        <w:rPr>
          <w:rFonts w:hint="eastAsia" w:ascii="Times New Roman" w:hAnsi="Times New Roman" w:eastAsia="黑体"/>
          <w:color w:val="auto"/>
          <w:sz w:val="44"/>
          <w:szCs w:val="44"/>
          <w:highlight w:val="none"/>
        </w:rPr>
      </w:pPr>
      <w:r>
        <w:drawing>
          <wp:inline distT="0" distB="0" distL="114300" distR="114300">
            <wp:extent cx="5266690" cy="5359400"/>
            <wp:effectExtent l="0" t="0" r="6350" b="508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34"/>
                    <a:stretch>
                      <a:fillRect/>
                    </a:stretch>
                  </pic:blipFill>
                  <pic:spPr>
                    <a:xfrm>
                      <a:off x="0" y="0"/>
                      <a:ext cx="5266690" cy="5359400"/>
                    </a:xfrm>
                    <a:prstGeom prst="rect">
                      <a:avLst/>
                    </a:prstGeom>
                    <a:noFill/>
                    <a:ln>
                      <a:noFill/>
                    </a:ln>
                  </pic:spPr>
                </pic:pic>
              </a:graphicData>
            </a:graphic>
          </wp:inline>
        </w:drawing>
      </w:r>
    </w:p>
    <w:p w14:paraId="5AD6D487">
      <w:pPr>
        <w:widowControl/>
        <w:jc w:val="center"/>
        <w:rPr>
          <w:rFonts w:hint="eastAsia" w:ascii="Times New Roman" w:hAnsi="Times New Roman" w:eastAsia="黑体"/>
          <w:color w:val="auto"/>
          <w:sz w:val="44"/>
          <w:szCs w:val="44"/>
          <w:highlight w:val="none"/>
        </w:rPr>
      </w:pPr>
    </w:p>
    <w:p w14:paraId="35ED4092">
      <w:pPr>
        <w:widowControl/>
        <w:jc w:val="center"/>
        <w:rPr>
          <w:rFonts w:hint="eastAsia" w:ascii="Times New Roman" w:hAnsi="Times New Roman" w:eastAsia="黑体"/>
          <w:color w:val="auto"/>
          <w:sz w:val="44"/>
          <w:szCs w:val="44"/>
          <w:highlight w:val="none"/>
        </w:rPr>
      </w:pPr>
    </w:p>
    <w:p w14:paraId="37B418D5">
      <w:pPr>
        <w:widowControl/>
        <w:jc w:val="center"/>
        <w:rPr>
          <w:rFonts w:hint="eastAsia" w:ascii="Times New Roman" w:hAnsi="Times New Roman" w:eastAsia="黑体"/>
          <w:color w:val="auto"/>
          <w:sz w:val="44"/>
          <w:szCs w:val="44"/>
          <w:highlight w:val="none"/>
        </w:rPr>
      </w:pPr>
    </w:p>
    <w:p w14:paraId="0EECEDF1">
      <w:pPr>
        <w:widowControl/>
        <w:jc w:val="center"/>
        <w:rPr>
          <w:rFonts w:hint="eastAsia" w:ascii="Times New Roman" w:hAnsi="Times New Roman" w:eastAsia="黑体"/>
          <w:color w:val="auto"/>
          <w:sz w:val="44"/>
          <w:szCs w:val="44"/>
          <w:highlight w:val="none"/>
        </w:rPr>
      </w:pPr>
    </w:p>
    <w:p w14:paraId="54D212F3">
      <w:pPr>
        <w:widowControl/>
        <w:jc w:val="center"/>
        <w:rPr>
          <w:rFonts w:hint="eastAsia" w:ascii="Times New Roman" w:hAnsi="Times New Roman" w:eastAsia="黑体"/>
          <w:color w:val="auto"/>
          <w:sz w:val="44"/>
          <w:szCs w:val="44"/>
          <w:highlight w:val="none"/>
        </w:rPr>
      </w:pPr>
    </w:p>
    <w:p w14:paraId="4628AE8B">
      <w:pPr>
        <w:widowControl/>
        <w:jc w:val="center"/>
        <w:rPr>
          <w:rFonts w:hint="eastAsia" w:ascii="Times New Roman" w:hAnsi="Times New Roman" w:eastAsia="黑体"/>
          <w:color w:val="auto"/>
          <w:sz w:val="44"/>
          <w:szCs w:val="44"/>
          <w:highlight w:val="none"/>
        </w:rPr>
      </w:pPr>
    </w:p>
    <w:p w14:paraId="384393DE">
      <w:pPr>
        <w:widowControl/>
        <w:jc w:val="both"/>
        <w:rPr>
          <w:rFonts w:hint="eastAsia" w:ascii="Times New Roman" w:hAnsi="Times New Roman" w:eastAsia="黑体"/>
          <w:color w:val="auto"/>
          <w:sz w:val="44"/>
          <w:szCs w:val="44"/>
          <w:highlight w:val="none"/>
        </w:rPr>
      </w:pPr>
    </w:p>
    <w:p w14:paraId="212CD26E">
      <w:pPr>
        <w:widowControl/>
        <w:jc w:val="center"/>
        <w:rPr>
          <w:rFonts w:hint="eastAsia" w:ascii="Times New Roman" w:hAnsi="Times New Roman" w:eastAsia="黑体"/>
          <w:color w:val="auto"/>
          <w:sz w:val="44"/>
          <w:szCs w:val="44"/>
          <w:highlight w:val="none"/>
        </w:rPr>
      </w:pPr>
    </w:p>
    <w:p w14:paraId="0692B36B">
      <w:pPr>
        <w:widowControl/>
        <w:jc w:val="center"/>
        <w:rPr>
          <w:rFonts w:hint="eastAsia" w:ascii="Times New Roman" w:hAnsi="Times New Roman" w:eastAsia="黑体"/>
          <w:color w:val="auto"/>
          <w:sz w:val="44"/>
          <w:szCs w:val="44"/>
          <w:highlight w:val="none"/>
        </w:rPr>
      </w:pPr>
      <w:r>
        <w:drawing>
          <wp:inline distT="0" distB="0" distL="114300" distR="114300">
            <wp:extent cx="5265420" cy="5485130"/>
            <wp:effectExtent l="0" t="0" r="7620" b="127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35"/>
                    <a:stretch>
                      <a:fillRect/>
                    </a:stretch>
                  </pic:blipFill>
                  <pic:spPr>
                    <a:xfrm>
                      <a:off x="0" y="0"/>
                      <a:ext cx="5265420" cy="5485130"/>
                    </a:xfrm>
                    <a:prstGeom prst="rect">
                      <a:avLst/>
                    </a:prstGeom>
                    <a:noFill/>
                    <a:ln>
                      <a:noFill/>
                    </a:ln>
                  </pic:spPr>
                </pic:pic>
              </a:graphicData>
            </a:graphic>
          </wp:inline>
        </w:drawing>
      </w:r>
    </w:p>
    <w:p w14:paraId="4DE4CA80">
      <w:pPr>
        <w:widowControl/>
        <w:jc w:val="center"/>
        <w:rPr>
          <w:rFonts w:hint="eastAsia" w:ascii="Times New Roman" w:hAnsi="Times New Roman" w:eastAsia="黑体"/>
          <w:color w:val="auto"/>
          <w:sz w:val="44"/>
          <w:szCs w:val="44"/>
          <w:highlight w:val="none"/>
        </w:rPr>
      </w:pPr>
    </w:p>
    <w:p w14:paraId="570C5568">
      <w:pPr>
        <w:widowControl/>
        <w:jc w:val="center"/>
        <w:rPr>
          <w:rFonts w:hint="eastAsia" w:ascii="Times New Roman" w:hAnsi="Times New Roman" w:eastAsia="黑体"/>
          <w:color w:val="auto"/>
          <w:sz w:val="44"/>
          <w:szCs w:val="44"/>
          <w:highlight w:val="none"/>
        </w:rPr>
      </w:pPr>
    </w:p>
    <w:p w14:paraId="34975A92">
      <w:pPr>
        <w:widowControl/>
        <w:jc w:val="center"/>
        <w:rPr>
          <w:rFonts w:hint="eastAsia" w:ascii="Times New Roman" w:hAnsi="Times New Roman" w:eastAsia="黑体"/>
          <w:color w:val="auto"/>
          <w:sz w:val="44"/>
          <w:szCs w:val="44"/>
          <w:highlight w:val="none"/>
        </w:rPr>
      </w:pPr>
    </w:p>
    <w:p w14:paraId="43F8630F">
      <w:pPr>
        <w:widowControl/>
        <w:jc w:val="center"/>
        <w:rPr>
          <w:rFonts w:hint="eastAsia" w:ascii="Times New Roman" w:hAnsi="Times New Roman" w:eastAsia="黑体"/>
          <w:color w:val="auto"/>
          <w:sz w:val="44"/>
          <w:szCs w:val="44"/>
          <w:highlight w:val="none"/>
        </w:rPr>
      </w:pPr>
    </w:p>
    <w:p w14:paraId="2CEAFCCE">
      <w:pPr>
        <w:widowControl/>
        <w:jc w:val="center"/>
        <w:rPr>
          <w:rFonts w:hint="eastAsia" w:ascii="Times New Roman" w:hAnsi="Times New Roman" w:eastAsia="黑体"/>
          <w:color w:val="auto"/>
          <w:sz w:val="44"/>
          <w:szCs w:val="44"/>
          <w:highlight w:val="none"/>
        </w:rPr>
      </w:pPr>
    </w:p>
    <w:p w14:paraId="7628A177">
      <w:pPr>
        <w:widowControl/>
        <w:jc w:val="center"/>
        <w:rPr>
          <w:rFonts w:hint="eastAsia" w:ascii="Times New Roman" w:hAnsi="Times New Roman" w:eastAsia="黑体"/>
          <w:color w:val="auto"/>
          <w:sz w:val="44"/>
          <w:szCs w:val="44"/>
          <w:highlight w:val="none"/>
        </w:rPr>
      </w:pPr>
    </w:p>
    <w:p w14:paraId="3BFA17AE">
      <w:pPr>
        <w:widowControl/>
        <w:jc w:val="center"/>
        <w:rPr>
          <w:rFonts w:hint="eastAsia" w:ascii="Times New Roman" w:hAnsi="Times New Roman" w:eastAsia="黑体"/>
          <w:color w:val="auto"/>
          <w:sz w:val="44"/>
          <w:szCs w:val="44"/>
          <w:highlight w:val="none"/>
        </w:rPr>
      </w:pPr>
    </w:p>
    <w:p w14:paraId="698AA236">
      <w:pPr>
        <w:widowControl/>
        <w:jc w:val="center"/>
        <w:rPr>
          <w:rFonts w:hint="eastAsia" w:ascii="Times New Roman" w:hAnsi="Times New Roman" w:eastAsia="黑体"/>
          <w:color w:val="auto"/>
          <w:sz w:val="44"/>
          <w:szCs w:val="44"/>
          <w:highlight w:val="none"/>
        </w:rPr>
      </w:pPr>
    </w:p>
    <w:p w14:paraId="11D57FC2">
      <w:pPr>
        <w:widowControl/>
        <w:jc w:val="center"/>
        <w:rPr>
          <w:rFonts w:hint="eastAsia" w:ascii="Times New Roman" w:hAnsi="Times New Roman" w:eastAsia="黑体"/>
          <w:color w:val="auto"/>
          <w:sz w:val="44"/>
          <w:szCs w:val="44"/>
          <w:highlight w:val="none"/>
        </w:rPr>
      </w:pPr>
    </w:p>
    <w:p w14:paraId="2144E696">
      <w:pPr>
        <w:widowControl/>
        <w:jc w:val="center"/>
        <w:rPr>
          <w:rFonts w:hint="eastAsia" w:ascii="Times New Roman" w:hAnsi="Times New Roman" w:eastAsia="黑体"/>
          <w:color w:val="auto"/>
          <w:sz w:val="44"/>
          <w:szCs w:val="44"/>
          <w:highlight w:val="none"/>
        </w:rPr>
      </w:pPr>
      <w:r>
        <w:drawing>
          <wp:inline distT="0" distB="0" distL="114300" distR="114300">
            <wp:extent cx="5270500" cy="5524500"/>
            <wp:effectExtent l="0" t="0" r="2540" b="762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36"/>
                    <a:stretch>
                      <a:fillRect/>
                    </a:stretch>
                  </pic:blipFill>
                  <pic:spPr>
                    <a:xfrm>
                      <a:off x="0" y="0"/>
                      <a:ext cx="5270500" cy="5524500"/>
                    </a:xfrm>
                    <a:prstGeom prst="rect">
                      <a:avLst/>
                    </a:prstGeom>
                    <a:noFill/>
                    <a:ln>
                      <a:noFill/>
                    </a:ln>
                  </pic:spPr>
                </pic:pic>
              </a:graphicData>
            </a:graphic>
          </wp:inline>
        </w:drawing>
      </w:r>
    </w:p>
    <w:p w14:paraId="2D8E690C">
      <w:pPr>
        <w:widowControl/>
        <w:jc w:val="center"/>
        <w:rPr>
          <w:rFonts w:hint="eastAsia" w:ascii="Times New Roman" w:hAnsi="Times New Roman" w:eastAsia="黑体"/>
          <w:color w:val="auto"/>
          <w:sz w:val="44"/>
          <w:szCs w:val="44"/>
          <w:highlight w:val="none"/>
        </w:rPr>
      </w:pPr>
    </w:p>
    <w:p w14:paraId="4BBA65D2">
      <w:pPr>
        <w:widowControl/>
        <w:jc w:val="center"/>
        <w:rPr>
          <w:rFonts w:hint="eastAsia" w:ascii="Times New Roman" w:hAnsi="Times New Roman" w:eastAsia="黑体"/>
          <w:color w:val="auto"/>
          <w:sz w:val="44"/>
          <w:szCs w:val="44"/>
          <w:highlight w:val="none"/>
        </w:rPr>
      </w:pPr>
    </w:p>
    <w:p w14:paraId="676B81E2">
      <w:pPr>
        <w:widowControl/>
        <w:jc w:val="center"/>
        <w:rPr>
          <w:rFonts w:hint="eastAsia" w:ascii="Times New Roman" w:hAnsi="Times New Roman" w:eastAsia="黑体"/>
          <w:color w:val="auto"/>
          <w:sz w:val="44"/>
          <w:szCs w:val="44"/>
          <w:highlight w:val="none"/>
        </w:rPr>
      </w:pPr>
    </w:p>
    <w:p w14:paraId="71745EA1">
      <w:pPr>
        <w:widowControl/>
        <w:jc w:val="center"/>
        <w:rPr>
          <w:rFonts w:hint="eastAsia" w:ascii="Times New Roman" w:hAnsi="Times New Roman" w:eastAsia="黑体"/>
          <w:color w:val="auto"/>
          <w:sz w:val="44"/>
          <w:szCs w:val="44"/>
          <w:highlight w:val="none"/>
        </w:rPr>
      </w:pPr>
      <w:r>
        <w:drawing>
          <wp:inline distT="0" distB="0" distL="114300" distR="114300">
            <wp:extent cx="5270500" cy="5509260"/>
            <wp:effectExtent l="0" t="0" r="2540" b="762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37"/>
                    <a:stretch>
                      <a:fillRect/>
                    </a:stretch>
                  </pic:blipFill>
                  <pic:spPr>
                    <a:xfrm>
                      <a:off x="0" y="0"/>
                      <a:ext cx="5270500" cy="5509260"/>
                    </a:xfrm>
                    <a:prstGeom prst="rect">
                      <a:avLst/>
                    </a:prstGeom>
                    <a:noFill/>
                    <a:ln>
                      <a:noFill/>
                    </a:ln>
                  </pic:spPr>
                </pic:pic>
              </a:graphicData>
            </a:graphic>
          </wp:inline>
        </w:drawing>
      </w:r>
    </w:p>
    <w:p w14:paraId="42587410">
      <w:pPr>
        <w:widowControl/>
        <w:jc w:val="center"/>
        <w:rPr>
          <w:rFonts w:hint="eastAsia" w:ascii="Times New Roman" w:hAnsi="Times New Roman" w:eastAsia="黑体"/>
          <w:color w:val="auto"/>
          <w:sz w:val="44"/>
          <w:szCs w:val="44"/>
          <w:highlight w:val="none"/>
        </w:rPr>
      </w:pPr>
    </w:p>
    <w:p w14:paraId="7279D48D">
      <w:pPr>
        <w:widowControl/>
        <w:jc w:val="center"/>
        <w:rPr>
          <w:rFonts w:hint="eastAsia" w:ascii="Times New Roman" w:hAnsi="Times New Roman" w:eastAsia="黑体"/>
          <w:color w:val="auto"/>
          <w:sz w:val="44"/>
          <w:szCs w:val="44"/>
          <w:highlight w:val="none"/>
        </w:rPr>
      </w:pPr>
    </w:p>
    <w:p w14:paraId="618E55D8">
      <w:pPr>
        <w:widowControl/>
        <w:jc w:val="center"/>
        <w:rPr>
          <w:rFonts w:hint="eastAsia" w:ascii="Times New Roman" w:hAnsi="Times New Roman" w:eastAsia="黑体"/>
          <w:color w:val="auto"/>
          <w:sz w:val="44"/>
          <w:szCs w:val="44"/>
          <w:highlight w:val="none"/>
        </w:rPr>
      </w:pPr>
    </w:p>
    <w:p w14:paraId="5C96731E">
      <w:pPr>
        <w:widowControl/>
        <w:jc w:val="center"/>
        <w:rPr>
          <w:rFonts w:hint="eastAsia" w:ascii="Times New Roman" w:hAnsi="Times New Roman" w:eastAsia="黑体"/>
          <w:color w:val="auto"/>
          <w:sz w:val="44"/>
          <w:szCs w:val="44"/>
          <w:highlight w:val="none"/>
        </w:rPr>
      </w:pPr>
    </w:p>
    <w:p w14:paraId="68A95EA0">
      <w:pPr>
        <w:widowControl/>
        <w:jc w:val="center"/>
        <w:rPr>
          <w:rFonts w:hint="eastAsia" w:ascii="Times New Roman" w:hAnsi="Times New Roman" w:eastAsia="黑体"/>
          <w:color w:val="auto"/>
          <w:sz w:val="44"/>
          <w:szCs w:val="44"/>
          <w:highlight w:val="none"/>
        </w:rPr>
      </w:pPr>
    </w:p>
    <w:p w14:paraId="69E4F0A1">
      <w:pPr>
        <w:widowControl/>
        <w:jc w:val="center"/>
        <w:rPr>
          <w:rFonts w:hint="eastAsia" w:ascii="Times New Roman" w:hAnsi="Times New Roman" w:eastAsia="黑体"/>
          <w:color w:val="auto"/>
          <w:sz w:val="44"/>
          <w:szCs w:val="44"/>
          <w:highlight w:val="none"/>
        </w:rPr>
      </w:pPr>
    </w:p>
    <w:p w14:paraId="7C6C35AF">
      <w:pPr>
        <w:widowControl/>
        <w:jc w:val="both"/>
        <w:rPr>
          <w:rFonts w:hint="eastAsia" w:ascii="Times New Roman" w:hAnsi="Times New Roman" w:eastAsia="黑体"/>
          <w:color w:val="auto"/>
          <w:sz w:val="44"/>
          <w:szCs w:val="44"/>
          <w:highlight w:val="none"/>
        </w:rPr>
      </w:pPr>
    </w:p>
    <w:p w14:paraId="179236C9">
      <w:pPr>
        <w:widowControl/>
        <w:jc w:val="center"/>
        <w:rPr>
          <w:rFonts w:hint="eastAsia" w:ascii="Times New Roman" w:hAnsi="Times New Roman" w:eastAsia="黑体"/>
          <w:color w:val="auto"/>
          <w:sz w:val="44"/>
          <w:szCs w:val="44"/>
          <w:highlight w:val="none"/>
        </w:rPr>
      </w:pPr>
    </w:p>
    <w:p w14:paraId="2E436F2F">
      <w:pPr>
        <w:widowControl/>
        <w:jc w:val="center"/>
        <w:rPr>
          <w:rFonts w:hint="eastAsia" w:ascii="Times New Roman" w:hAnsi="Times New Roman" w:eastAsia="黑体"/>
          <w:color w:val="auto"/>
          <w:sz w:val="44"/>
          <w:szCs w:val="44"/>
          <w:highlight w:val="none"/>
        </w:rPr>
      </w:pPr>
      <w:r>
        <w:drawing>
          <wp:inline distT="0" distB="0" distL="114300" distR="114300">
            <wp:extent cx="5264785" cy="5629910"/>
            <wp:effectExtent l="0" t="0" r="8255" b="889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38"/>
                    <a:stretch>
                      <a:fillRect/>
                    </a:stretch>
                  </pic:blipFill>
                  <pic:spPr>
                    <a:xfrm>
                      <a:off x="0" y="0"/>
                      <a:ext cx="5264785" cy="5629910"/>
                    </a:xfrm>
                    <a:prstGeom prst="rect">
                      <a:avLst/>
                    </a:prstGeom>
                    <a:noFill/>
                    <a:ln>
                      <a:noFill/>
                    </a:ln>
                  </pic:spPr>
                </pic:pic>
              </a:graphicData>
            </a:graphic>
          </wp:inline>
        </w:drawing>
      </w:r>
    </w:p>
    <w:p w14:paraId="58041EB5">
      <w:pPr>
        <w:widowControl/>
        <w:jc w:val="center"/>
        <w:rPr>
          <w:rFonts w:hint="eastAsia" w:ascii="Times New Roman" w:hAnsi="Times New Roman" w:eastAsia="黑体"/>
          <w:color w:val="auto"/>
          <w:sz w:val="44"/>
          <w:szCs w:val="44"/>
          <w:highlight w:val="none"/>
        </w:rPr>
      </w:pPr>
    </w:p>
    <w:p w14:paraId="0DC3FF0D">
      <w:pPr>
        <w:widowControl/>
        <w:jc w:val="center"/>
        <w:rPr>
          <w:rFonts w:hint="eastAsia" w:ascii="Times New Roman" w:hAnsi="Times New Roman" w:eastAsia="黑体"/>
          <w:color w:val="auto"/>
          <w:sz w:val="44"/>
          <w:szCs w:val="44"/>
          <w:highlight w:val="none"/>
        </w:rPr>
      </w:pPr>
    </w:p>
    <w:p w14:paraId="2A6D5B5B">
      <w:pPr>
        <w:widowControl/>
        <w:jc w:val="center"/>
        <w:rPr>
          <w:rFonts w:hint="eastAsia" w:ascii="Times New Roman" w:hAnsi="Times New Roman" w:eastAsia="黑体"/>
          <w:color w:val="auto"/>
          <w:sz w:val="44"/>
          <w:szCs w:val="44"/>
          <w:highlight w:val="none"/>
        </w:rPr>
      </w:pPr>
    </w:p>
    <w:p w14:paraId="440461F3">
      <w:pPr>
        <w:widowControl/>
        <w:jc w:val="center"/>
        <w:rPr>
          <w:rFonts w:hint="eastAsia" w:ascii="Times New Roman" w:hAnsi="Times New Roman" w:eastAsia="黑体"/>
          <w:color w:val="auto"/>
          <w:sz w:val="44"/>
          <w:szCs w:val="44"/>
          <w:highlight w:val="none"/>
        </w:rPr>
      </w:pPr>
    </w:p>
    <w:p w14:paraId="4CD4A11D">
      <w:pPr>
        <w:widowControl/>
        <w:jc w:val="center"/>
        <w:rPr>
          <w:rFonts w:hint="eastAsia" w:ascii="Times New Roman" w:hAnsi="Times New Roman" w:eastAsia="黑体"/>
          <w:color w:val="auto"/>
          <w:sz w:val="44"/>
          <w:szCs w:val="44"/>
          <w:highlight w:val="none"/>
        </w:rPr>
      </w:pPr>
    </w:p>
    <w:p w14:paraId="6EB62B8A">
      <w:pPr>
        <w:widowControl/>
        <w:jc w:val="center"/>
        <w:rPr>
          <w:rFonts w:hint="eastAsia" w:ascii="Times New Roman" w:hAnsi="Times New Roman" w:eastAsia="黑体"/>
          <w:color w:val="auto"/>
          <w:sz w:val="44"/>
          <w:szCs w:val="44"/>
          <w:highlight w:val="none"/>
        </w:rPr>
      </w:pPr>
      <w:r>
        <w:drawing>
          <wp:inline distT="0" distB="0" distL="114300" distR="114300">
            <wp:extent cx="5270500" cy="5628640"/>
            <wp:effectExtent l="0" t="0" r="2540" b="1016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39"/>
                    <a:stretch>
                      <a:fillRect/>
                    </a:stretch>
                  </pic:blipFill>
                  <pic:spPr>
                    <a:xfrm>
                      <a:off x="0" y="0"/>
                      <a:ext cx="5270500" cy="5628640"/>
                    </a:xfrm>
                    <a:prstGeom prst="rect">
                      <a:avLst/>
                    </a:prstGeom>
                    <a:noFill/>
                    <a:ln>
                      <a:noFill/>
                    </a:ln>
                  </pic:spPr>
                </pic:pic>
              </a:graphicData>
            </a:graphic>
          </wp:inline>
        </w:drawing>
      </w:r>
    </w:p>
    <w:p w14:paraId="2D95946D">
      <w:pPr>
        <w:widowControl/>
        <w:jc w:val="center"/>
        <w:rPr>
          <w:rFonts w:hint="eastAsia" w:ascii="Times New Roman" w:hAnsi="Times New Roman" w:eastAsia="黑体"/>
          <w:color w:val="auto"/>
          <w:sz w:val="44"/>
          <w:szCs w:val="44"/>
          <w:highlight w:val="none"/>
        </w:rPr>
      </w:pPr>
    </w:p>
    <w:p w14:paraId="6654FC8F">
      <w:pPr>
        <w:widowControl/>
        <w:jc w:val="center"/>
        <w:rPr>
          <w:rFonts w:hint="eastAsia" w:ascii="Times New Roman" w:hAnsi="Times New Roman" w:eastAsia="黑体"/>
          <w:color w:val="auto"/>
          <w:sz w:val="44"/>
          <w:szCs w:val="44"/>
          <w:highlight w:val="none"/>
        </w:rPr>
      </w:pPr>
    </w:p>
    <w:p w14:paraId="1DD742A9">
      <w:pPr>
        <w:widowControl/>
        <w:jc w:val="center"/>
        <w:rPr>
          <w:rFonts w:hint="eastAsia" w:ascii="Times New Roman" w:hAnsi="Times New Roman" w:eastAsia="黑体"/>
          <w:color w:val="auto"/>
          <w:sz w:val="44"/>
          <w:szCs w:val="44"/>
          <w:highlight w:val="none"/>
        </w:rPr>
      </w:pPr>
    </w:p>
    <w:p w14:paraId="78379D08">
      <w:pPr>
        <w:widowControl/>
        <w:jc w:val="center"/>
        <w:rPr>
          <w:rFonts w:hint="eastAsia" w:ascii="Times New Roman" w:hAnsi="Times New Roman" w:eastAsia="黑体"/>
          <w:color w:val="auto"/>
          <w:sz w:val="44"/>
          <w:szCs w:val="44"/>
          <w:highlight w:val="none"/>
        </w:rPr>
      </w:pPr>
    </w:p>
    <w:p w14:paraId="69751365">
      <w:pPr>
        <w:widowControl/>
        <w:jc w:val="center"/>
        <w:rPr>
          <w:rFonts w:hint="eastAsia" w:ascii="Times New Roman" w:hAnsi="Times New Roman" w:eastAsia="黑体"/>
          <w:color w:val="auto"/>
          <w:sz w:val="44"/>
          <w:szCs w:val="44"/>
          <w:highlight w:val="none"/>
        </w:rPr>
      </w:pPr>
    </w:p>
    <w:p w14:paraId="688E9CBC">
      <w:pPr>
        <w:widowControl/>
        <w:jc w:val="center"/>
        <w:rPr>
          <w:rFonts w:hint="eastAsia" w:ascii="Times New Roman" w:hAnsi="Times New Roman" w:eastAsia="黑体"/>
          <w:color w:val="auto"/>
          <w:sz w:val="44"/>
          <w:szCs w:val="44"/>
          <w:highlight w:val="none"/>
        </w:rPr>
      </w:pPr>
    </w:p>
    <w:p w14:paraId="6479DA41">
      <w:pPr>
        <w:widowControl/>
        <w:jc w:val="both"/>
        <w:rPr>
          <w:rFonts w:hint="eastAsia" w:ascii="Times New Roman" w:hAnsi="Times New Roman" w:eastAsia="黑体"/>
          <w:color w:val="auto"/>
          <w:sz w:val="44"/>
          <w:szCs w:val="44"/>
          <w:highlight w:val="none"/>
        </w:rPr>
      </w:pPr>
    </w:p>
    <w:p w14:paraId="0AC26550">
      <w:pPr>
        <w:widowControl/>
        <w:jc w:val="both"/>
        <w:rPr>
          <w:rFonts w:hint="eastAsia" w:ascii="Times New Roman" w:hAnsi="Times New Roman" w:eastAsia="黑体"/>
          <w:color w:val="auto"/>
          <w:sz w:val="44"/>
          <w:szCs w:val="44"/>
          <w:highlight w:val="none"/>
        </w:rPr>
      </w:pPr>
    </w:p>
    <w:p w14:paraId="64715040">
      <w:pPr>
        <w:widowControl/>
        <w:jc w:val="center"/>
        <w:rPr>
          <w:rFonts w:hint="eastAsia" w:ascii="Times New Roman" w:hAnsi="Times New Roman" w:eastAsia="黑体"/>
          <w:color w:val="auto"/>
          <w:sz w:val="44"/>
          <w:szCs w:val="44"/>
          <w:highlight w:val="none"/>
        </w:rPr>
      </w:pPr>
    </w:p>
    <w:p w14:paraId="42E80E4D">
      <w:pPr>
        <w:widowControl/>
        <w:jc w:val="center"/>
        <w:rPr>
          <w:rFonts w:hint="eastAsia" w:ascii="Times New Roman" w:hAnsi="Times New Roman" w:eastAsia="仿宋"/>
          <w:b w:val="0"/>
          <w:color w:val="auto"/>
          <w:highlight w:val="none"/>
        </w:rPr>
      </w:pPr>
      <w:r>
        <w:rPr>
          <w:rFonts w:hint="eastAsia" w:ascii="Times New Roman" w:hAnsi="Times New Roman" w:eastAsia="黑体"/>
          <w:color w:val="auto"/>
          <w:sz w:val="44"/>
          <w:szCs w:val="44"/>
          <w:highlight w:val="none"/>
        </w:rPr>
        <w:t>第</w:t>
      </w:r>
      <w:r>
        <w:rPr>
          <w:rStyle w:val="28"/>
          <w:rFonts w:hint="eastAsia" w:ascii="Times New Roman" w:hAnsi="Times New Roman" w:eastAsia="黑体"/>
          <w:b w:val="0"/>
          <w:color w:val="auto"/>
          <w:highlight w:val="none"/>
        </w:rPr>
        <w:t>五部分 附表</w:t>
      </w:r>
      <w:bookmarkEnd w:id="103"/>
      <w:bookmarkEnd w:id="108"/>
      <w:bookmarkStart w:id="109" w:name="_Toc15396619"/>
    </w:p>
    <w:p w14:paraId="086A2550">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p>
    <w:p w14:paraId="43233130">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bookmarkEnd w:id="109"/>
    </w:p>
    <w:p w14:paraId="738B570A">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0" w:name="_Toc15396620"/>
      <w:r>
        <w:rPr>
          <w:rFonts w:hint="eastAsia" w:ascii="Times New Roman" w:hAnsi="Times New Roman" w:eastAsia="仿宋_GB2312" w:cs="仿宋_GB2312"/>
          <w:color w:val="auto"/>
          <w:sz w:val="32"/>
          <w:szCs w:val="32"/>
          <w:highlight w:val="none"/>
        </w:rPr>
        <w:t>二、收入决算表</w:t>
      </w:r>
      <w:bookmarkEnd w:id="110"/>
    </w:p>
    <w:p w14:paraId="363875C0">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1" w:name="_Toc15396621"/>
      <w:r>
        <w:rPr>
          <w:rFonts w:hint="eastAsia" w:ascii="Times New Roman" w:hAnsi="Times New Roman" w:eastAsia="仿宋_GB2312" w:cs="仿宋_GB2312"/>
          <w:color w:val="auto"/>
          <w:sz w:val="32"/>
          <w:szCs w:val="32"/>
          <w:highlight w:val="none"/>
        </w:rPr>
        <w:t>三、支出决算表</w:t>
      </w:r>
      <w:bookmarkEnd w:id="111"/>
    </w:p>
    <w:p w14:paraId="2D06D475">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2" w:name="_Toc15396622"/>
      <w:r>
        <w:rPr>
          <w:rFonts w:hint="eastAsia" w:ascii="Times New Roman" w:hAnsi="Times New Roman" w:eastAsia="仿宋_GB2312" w:cs="仿宋_GB2312"/>
          <w:color w:val="auto"/>
          <w:sz w:val="32"/>
          <w:szCs w:val="32"/>
          <w:highlight w:val="none"/>
        </w:rPr>
        <w:t>四、财政拨款收入支出决算总表</w:t>
      </w:r>
      <w:bookmarkEnd w:id="112"/>
    </w:p>
    <w:p w14:paraId="3B18C68F">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3" w:name="_Toc15396623"/>
      <w:r>
        <w:rPr>
          <w:rFonts w:hint="eastAsia" w:ascii="Times New Roman" w:hAnsi="Times New Roman" w:eastAsia="仿宋_GB2312" w:cs="仿宋_GB2312"/>
          <w:color w:val="auto"/>
          <w:sz w:val="32"/>
          <w:szCs w:val="32"/>
          <w:highlight w:val="none"/>
        </w:rPr>
        <w:t>五、财政拨款支出决算明细表</w:t>
      </w:r>
      <w:bookmarkEnd w:id="113"/>
      <w:bookmarkStart w:id="114" w:name="_Toc15396624"/>
    </w:p>
    <w:p w14:paraId="77E778E5">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bookmarkEnd w:id="114"/>
    </w:p>
    <w:p w14:paraId="18A02896">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5" w:name="_Toc15396625"/>
      <w:r>
        <w:rPr>
          <w:rFonts w:hint="eastAsia" w:ascii="Times New Roman" w:hAnsi="Times New Roman" w:eastAsia="仿宋_GB2312" w:cs="仿宋_GB2312"/>
          <w:color w:val="auto"/>
          <w:sz w:val="32"/>
          <w:szCs w:val="32"/>
          <w:highlight w:val="none"/>
        </w:rPr>
        <w:t>七、一般公共预算财政拨款支出决算明细表</w:t>
      </w:r>
      <w:bookmarkEnd w:id="115"/>
    </w:p>
    <w:p w14:paraId="15C376D4">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6" w:name="_Toc15396626"/>
      <w:r>
        <w:rPr>
          <w:rFonts w:hint="eastAsia" w:ascii="Times New Roman" w:hAnsi="Times New Roman" w:eastAsia="仿宋_GB2312" w:cs="仿宋_GB2312"/>
          <w:color w:val="auto"/>
          <w:sz w:val="32"/>
          <w:szCs w:val="32"/>
          <w:highlight w:val="none"/>
        </w:rPr>
        <w:t>八、一般公共预算财政拨款基本支出决算表</w:t>
      </w:r>
      <w:bookmarkEnd w:id="116"/>
    </w:p>
    <w:p w14:paraId="6F3BEC86">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7" w:name="_Toc15396627"/>
      <w:r>
        <w:rPr>
          <w:rFonts w:hint="eastAsia" w:ascii="Times New Roman" w:hAnsi="Times New Roman" w:eastAsia="仿宋_GB2312" w:cs="仿宋_GB2312"/>
          <w:color w:val="auto"/>
          <w:sz w:val="32"/>
          <w:szCs w:val="32"/>
          <w:highlight w:val="none"/>
        </w:rPr>
        <w:t>九、一般公共预算财政拨款项目支出决算表</w:t>
      </w:r>
      <w:bookmarkEnd w:id="117"/>
    </w:p>
    <w:p w14:paraId="02858A7F">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8" w:name="_Toc15396628"/>
      <w:r>
        <w:rPr>
          <w:rFonts w:hint="eastAsia" w:ascii="Times New Roman" w:hAnsi="Times New Roman" w:eastAsia="仿宋_GB2312" w:cs="仿宋_GB2312"/>
          <w:color w:val="auto"/>
          <w:sz w:val="32"/>
          <w:szCs w:val="32"/>
          <w:highlight w:val="none"/>
        </w:rPr>
        <w:t>十、</w:t>
      </w:r>
      <w:bookmarkEnd w:id="118"/>
      <w:r>
        <w:rPr>
          <w:rFonts w:hint="eastAsia" w:ascii="Times New Roman" w:hAnsi="Times New Roman" w:eastAsia="仿宋_GB2312" w:cs="仿宋_GB2312"/>
          <w:color w:val="auto"/>
          <w:sz w:val="32"/>
          <w:szCs w:val="32"/>
          <w:highlight w:val="none"/>
        </w:rPr>
        <w:t>政府性基金预算财政拨款收入支出决算表</w:t>
      </w:r>
    </w:p>
    <w:p w14:paraId="30117344">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9" w:name="_Toc15396629"/>
      <w:r>
        <w:rPr>
          <w:rFonts w:hint="eastAsia" w:ascii="Times New Roman" w:hAnsi="Times New Roman" w:eastAsia="仿宋_GB2312" w:cs="仿宋_GB2312"/>
          <w:color w:val="auto"/>
          <w:sz w:val="32"/>
          <w:szCs w:val="32"/>
          <w:highlight w:val="none"/>
        </w:rPr>
        <w:t>十一、</w:t>
      </w:r>
      <w:bookmarkEnd w:id="119"/>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3D548E6F">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20" w:name="_Toc15396630"/>
      <w:r>
        <w:rPr>
          <w:rFonts w:hint="eastAsia" w:ascii="Times New Roman" w:hAnsi="Times New Roman" w:eastAsia="仿宋_GB2312" w:cs="仿宋_GB2312"/>
          <w:color w:val="auto"/>
          <w:sz w:val="32"/>
          <w:szCs w:val="32"/>
          <w:highlight w:val="none"/>
        </w:rPr>
        <w:t>十二、</w:t>
      </w:r>
      <w:bookmarkEnd w:id="120"/>
      <w:r>
        <w:rPr>
          <w:rFonts w:hint="eastAsia" w:ascii="Times New Roman" w:hAnsi="Times New Roman" w:eastAsia="仿宋_GB2312" w:cs="仿宋_GB2312"/>
          <w:color w:val="auto"/>
          <w:sz w:val="32"/>
          <w:szCs w:val="32"/>
          <w:highlight w:val="none"/>
          <w:lang w:eastAsia="zh-CN"/>
        </w:rPr>
        <w:t>国有资本经营预算财政拨款支出决算表</w:t>
      </w:r>
    </w:p>
    <w:p w14:paraId="77988231">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bookmarkStart w:id="121" w:name="_Toc15396631"/>
      <w:r>
        <w:rPr>
          <w:rFonts w:hint="eastAsia" w:ascii="Times New Roman" w:hAnsi="Times New Roman" w:eastAsia="仿宋_GB2312" w:cs="仿宋_GB2312"/>
          <w:color w:val="auto"/>
          <w:sz w:val="32"/>
          <w:szCs w:val="32"/>
          <w:highlight w:val="none"/>
        </w:rPr>
        <w:t>十三、</w:t>
      </w:r>
      <w:bookmarkEnd w:id="121"/>
      <w:r>
        <w:rPr>
          <w:rFonts w:hint="eastAsia" w:ascii="Times New Roman" w:hAnsi="Times New Roman" w:eastAsia="仿宋_GB2312" w:cs="仿宋_GB2312"/>
          <w:color w:val="auto"/>
          <w:sz w:val="32"/>
          <w:szCs w:val="32"/>
          <w:highlight w:val="none"/>
          <w:lang w:eastAsia="zh-CN"/>
        </w:rPr>
        <w:t>财政拨款“三公”经费支出决算表</w:t>
      </w:r>
    </w:p>
    <w:p w14:paraId="3E3A9EE9">
      <w:pPr>
        <w:rPr>
          <w:rFonts w:hint="eastAsia" w:ascii="Times New Roman" w:hAnsi="Times New Roman"/>
          <w:lang w:eastAsia="zh-CN"/>
        </w:rPr>
      </w:pPr>
    </w:p>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D8281">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14E67">
                          <w:pPr>
                            <w:pStyle w:val="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4714E67">
                    <w:pPr>
                      <w:pStyle w:val="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08D59DA8">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35258">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450C2">
                          <w:pPr>
                            <w:pStyle w:val="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8D450C2">
                    <w:pPr>
                      <w:pStyle w:val="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81ED">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D7AB6">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42E18">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A6C2E"/>
    <w:multiLevelType w:val="singleLevel"/>
    <w:tmpl w:val="93AA6C2E"/>
    <w:lvl w:ilvl="0" w:tentative="0">
      <w:start w:val="1"/>
      <w:numFmt w:val="decimal"/>
      <w:lvlText w:val="%1."/>
      <w:lvlJc w:val="left"/>
      <w:pPr>
        <w:tabs>
          <w:tab w:val="left" w:pos="312"/>
        </w:tabs>
      </w:pPr>
    </w:lvl>
  </w:abstractNum>
  <w:abstractNum w:abstractNumId="1">
    <w:nsid w:val="F90D5BB0"/>
    <w:multiLevelType w:val="singleLevel"/>
    <w:tmpl w:val="F90D5BB0"/>
    <w:lvl w:ilvl="0" w:tentative="0">
      <w:start w:val="1"/>
      <w:numFmt w:val="chineseCounting"/>
      <w:suff w:val="nothing"/>
      <w:lvlText w:val="%1、"/>
      <w:lvlJc w:val="left"/>
      <w:rPr>
        <w:rFonts w:hint="eastAsia"/>
      </w:rPr>
    </w:lvl>
  </w:abstractNum>
  <w:abstractNum w:abstractNumId="2">
    <w:nsid w:val="2F4730A7"/>
    <w:multiLevelType w:val="singleLevel"/>
    <w:tmpl w:val="2F4730A7"/>
    <w:lvl w:ilvl="0" w:tentative="0">
      <w:start w:val="12"/>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B6EB2"/>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1D95357"/>
    <w:rsid w:val="028141A1"/>
    <w:rsid w:val="02FEBE30"/>
    <w:rsid w:val="04916F1E"/>
    <w:rsid w:val="061E35DE"/>
    <w:rsid w:val="066E0107"/>
    <w:rsid w:val="07996F6E"/>
    <w:rsid w:val="07DFD8BA"/>
    <w:rsid w:val="09867E8F"/>
    <w:rsid w:val="0A2032A3"/>
    <w:rsid w:val="0BC419DA"/>
    <w:rsid w:val="0CA8290A"/>
    <w:rsid w:val="0D35B1ED"/>
    <w:rsid w:val="0E254B6B"/>
    <w:rsid w:val="0F98263C"/>
    <w:rsid w:val="101860EC"/>
    <w:rsid w:val="101F47CC"/>
    <w:rsid w:val="10C055FF"/>
    <w:rsid w:val="11694EBD"/>
    <w:rsid w:val="11772AA4"/>
    <w:rsid w:val="118107EC"/>
    <w:rsid w:val="12E24EE2"/>
    <w:rsid w:val="136F2A42"/>
    <w:rsid w:val="13D50BC4"/>
    <w:rsid w:val="14B17F78"/>
    <w:rsid w:val="15560D43"/>
    <w:rsid w:val="165E0673"/>
    <w:rsid w:val="16B831D5"/>
    <w:rsid w:val="16BB723D"/>
    <w:rsid w:val="17E50567"/>
    <w:rsid w:val="186504BB"/>
    <w:rsid w:val="194D0714"/>
    <w:rsid w:val="19A445FC"/>
    <w:rsid w:val="1BE8440E"/>
    <w:rsid w:val="1D155CEE"/>
    <w:rsid w:val="1D1638FE"/>
    <w:rsid w:val="1E312DEB"/>
    <w:rsid w:val="1E740ACF"/>
    <w:rsid w:val="1E752555"/>
    <w:rsid w:val="1FF35744"/>
    <w:rsid w:val="1FF6BC77"/>
    <w:rsid w:val="209E6FDA"/>
    <w:rsid w:val="216D32B2"/>
    <w:rsid w:val="2186353C"/>
    <w:rsid w:val="23860B96"/>
    <w:rsid w:val="240371BF"/>
    <w:rsid w:val="244F3473"/>
    <w:rsid w:val="24C97D99"/>
    <w:rsid w:val="25A718F0"/>
    <w:rsid w:val="25BB59F6"/>
    <w:rsid w:val="260F557C"/>
    <w:rsid w:val="26970054"/>
    <w:rsid w:val="26F13CDB"/>
    <w:rsid w:val="281408E2"/>
    <w:rsid w:val="29FD04D3"/>
    <w:rsid w:val="2BFF7BC6"/>
    <w:rsid w:val="2C8A61B5"/>
    <w:rsid w:val="2DAD7466"/>
    <w:rsid w:val="2DF04E50"/>
    <w:rsid w:val="2E586DFA"/>
    <w:rsid w:val="2F040D46"/>
    <w:rsid w:val="2F6B035B"/>
    <w:rsid w:val="2FAE5751"/>
    <w:rsid w:val="2FB1A395"/>
    <w:rsid w:val="2FD9A7D8"/>
    <w:rsid w:val="2FDBF714"/>
    <w:rsid w:val="30AB6865"/>
    <w:rsid w:val="319F7F4E"/>
    <w:rsid w:val="32BD1EF1"/>
    <w:rsid w:val="3304709D"/>
    <w:rsid w:val="33626A43"/>
    <w:rsid w:val="33A773CB"/>
    <w:rsid w:val="349D6851"/>
    <w:rsid w:val="35EC646D"/>
    <w:rsid w:val="36AA5135"/>
    <w:rsid w:val="36BE0DA7"/>
    <w:rsid w:val="376B6AA6"/>
    <w:rsid w:val="376D39B2"/>
    <w:rsid w:val="37E16F03"/>
    <w:rsid w:val="37F53A3B"/>
    <w:rsid w:val="38657D0A"/>
    <w:rsid w:val="389B6C89"/>
    <w:rsid w:val="38B357B0"/>
    <w:rsid w:val="38D469F0"/>
    <w:rsid w:val="39627CCD"/>
    <w:rsid w:val="397BAF1F"/>
    <w:rsid w:val="3AB79AF3"/>
    <w:rsid w:val="3AE834C0"/>
    <w:rsid w:val="3B7346FF"/>
    <w:rsid w:val="3B7EF35A"/>
    <w:rsid w:val="3B9FDB6C"/>
    <w:rsid w:val="3BF5BC2F"/>
    <w:rsid w:val="3C5A47FB"/>
    <w:rsid w:val="3CEBA265"/>
    <w:rsid w:val="3D98207C"/>
    <w:rsid w:val="3DEE7CF3"/>
    <w:rsid w:val="3E740A63"/>
    <w:rsid w:val="3E78745D"/>
    <w:rsid w:val="3EE17838"/>
    <w:rsid w:val="3F55381A"/>
    <w:rsid w:val="3F7F7599"/>
    <w:rsid w:val="3FF4CAE0"/>
    <w:rsid w:val="3FF7B227"/>
    <w:rsid w:val="425E2E8E"/>
    <w:rsid w:val="4339005D"/>
    <w:rsid w:val="44E268DA"/>
    <w:rsid w:val="450D13D7"/>
    <w:rsid w:val="45506656"/>
    <w:rsid w:val="45FF429E"/>
    <w:rsid w:val="46967740"/>
    <w:rsid w:val="486A6C7A"/>
    <w:rsid w:val="497E0EED"/>
    <w:rsid w:val="4A627F82"/>
    <w:rsid w:val="4B0E749A"/>
    <w:rsid w:val="4B2477C4"/>
    <w:rsid w:val="4B4F25DA"/>
    <w:rsid w:val="4BE068DB"/>
    <w:rsid w:val="4C9B473E"/>
    <w:rsid w:val="4D577224"/>
    <w:rsid w:val="4DBF1CEB"/>
    <w:rsid w:val="4DF0007C"/>
    <w:rsid w:val="4EAB630A"/>
    <w:rsid w:val="4ECE2238"/>
    <w:rsid w:val="4F833267"/>
    <w:rsid w:val="4FE9BD67"/>
    <w:rsid w:val="4FFB052F"/>
    <w:rsid w:val="52D21465"/>
    <w:rsid w:val="537E6D0A"/>
    <w:rsid w:val="53F74C96"/>
    <w:rsid w:val="55170BA8"/>
    <w:rsid w:val="553218C9"/>
    <w:rsid w:val="565067D3"/>
    <w:rsid w:val="567E1AA5"/>
    <w:rsid w:val="56E47B74"/>
    <w:rsid w:val="57175D52"/>
    <w:rsid w:val="57BD3DD4"/>
    <w:rsid w:val="5AF92295"/>
    <w:rsid w:val="5B250254"/>
    <w:rsid w:val="5B754997"/>
    <w:rsid w:val="5B8B4DF6"/>
    <w:rsid w:val="5BDD79E6"/>
    <w:rsid w:val="5BF561CA"/>
    <w:rsid w:val="5BFF5DFC"/>
    <w:rsid w:val="5C104F84"/>
    <w:rsid w:val="5CA97B29"/>
    <w:rsid w:val="5CBF1F6D"/>
    <w:rsid w:val="5CD71FC4"/>
    <w:rsid w:val="5D1F11B5"/>
    <w:rsid w:val="5D695134"/>
    <w:rsid w:val="5DAE1B18"/>
    <w:rsid w:val="5DE7D9E5"/>
    <w:rsid w:val="5ECEC941"/>
    <w:rsid w:val="5FBF9FF3"/>
    <w:rsid w:val="5FCD4E2C"/>
    <w:rsid w:val="5FEF394A"/>
    <w:rsid w:val="5FF67715"/>
    <w:rsid w:val="616A0677"/>
    <w:rsid w:val="61DF3E4D"/>
    <w:rsid w:val="62BF3928"/>
    <w:rsid w:val="630E6FE2"/>
    <w:rsid w:val="63B3701E"/>
    <w:rsid w:val="647F5392"/>
    <w:rsid w:val="65E66580"/>
    <w:rsid w:val="664B1D71"/>
    <w:rsid w:val="664B4E8E"/>
    <w:rsid w:val="67277B67"/>
    <w:rsid w:val="67AA3209"/>
    <w:rsid w:val="68DC6667"/>
    <w:rsid w:val="698D0931"/>
    <w:rsid w:val="6A7FE5F3"/>
    <w:rsid w:val="6B053271"/>
    <w:rsid w:val="6B655563"/>
    <w:rsid w:val="6B855D8D"/>
    <w:rsid w:val="6BDD78B3"/>
    <w:rsid w:val="6C4A05C8"/>
    <w:rsid w:val="6C8742B8"/>
    <w:rsid w:val="6CDF77E0"/>
    <w:rsid w:val="6DBF5E93"/>
    <w:rsid w:val="6DFF077E"/>
    <w:rsid w:val="6E714EF0"/>
    <w:rsid w:val="6E7E3605"/>
    <w:rsid w:val="6E7FDCC7"/>
    <w:rsid w:val="6ED6A62E"/>
    <w:rsid w:val="6EE00B15"/>
    <w:rsid w:val="6F6FB3EB"/>
    <w:rsid w:val="6F8731EA"/>
    <w:rsid w:val="6FCE6052"/>
    <w:rsid w:val="6FD57C00"/>
    <w:rsid w:val="6FEFFFD8"/>
    <w:rsid w:val="6FF5CC65"/>
    <w:rsid w:val="6FFB47EC"/>
    <w:rsid w:val="6FFF034A"/>
    <w:rsid w:val="70484440"/>
    <w:rsid w:val="712A28F1"/>
    <w:rsid w:val="715C0E4B"/>
    <w:rsid w:val="71992E7C"/>
    <w:rsid w:val="72233669"/>
    <w:rsid w:val="72734D90"/>
    <w:rsid w:val="73160E6D"/>
    <w:rsid w:val="7332FE48"/>
    <w:rsid w:val="73AB61DA"/>
    <w:rsid w:val="73AD73D5"/>
    <w:rsid w:val="73B6EB34"/>
    <w:rsid w:val="73FA497D"/>
    <w:rsid w:val="744731E5"/>
    <w:rsid w:val="74BBD01D"/>
    <w:rsid w:val="74ED5379"/>
    <w:rsid w:val="75DEEEC2"/>
    <w:rsid w:val="75E32345"/>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6C7DFB"/>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5"/>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1"/>
    <w:semiHidden/>
    <w:unhideWhenUsed/>
    <w:qFormat/>
    <w:uiPriority w:val="99"/>
    <w:rPr>
      <w:sz w:val="18"/>
      <w:szCs w:val="18"/>
    </w:rPr>
  </w:style>
  <w:style w:type="paragraph" w:styleId="9">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footnote text"/>
    <w:basedOn w:val="1"/>
    <w:next w:val="13"/>
    <w:semiHidden/>
    <w:qFormat/>
    <w:uiPriority w:val="0"/>
    <w:pPr>
      <w:snapToGrid w:val="0"/>
      <w:jc w:val="left"/>
    </w:pPr>
    <w:rPr>
      <w:sz w:val="18"/>
      <w:szCs w:val="18"/>
    </w:rPr>
  </w:style>
  <w:style w:type="paragraph" w:styleId="13">
    <w:name w:val="Body Text First Indent 2"/>
    <w:basedOn w:val="6"/>
    <w:unhideWhenUsed/>
    <w:qFormat/>
    <w:uiPriority w:val="99"/>
    <w:pPr>
      <w:ind w:firstLine="420" w:firstLineChars="200"/>
    </w:p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Char"/>
    <w:link w:val="10"/>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Char"/>
    <w:link w:val="9"/>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Char"/>
    <w:link w:val="5"/>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6"/>
    <w:link w:val="2"/>
    <w:qFormat/>
    <w:uiPriority w:val="9"/>
    <w:rPr>
      <w:rFonts w:ascii="Times New Roman" w:hAnsi="Times New Roman"/>
      <w:b/>
      <w:bCs/>
      <w:kern w:val="44"/>
      <w:sz w:val="44"/>
      <w:szCs w:val="44"/>
    </w:rPr>
  </w:style>
  <w:style w:type="character" w:customStyle="1" w:styleId="29">
    <w:name w:val="标题 2 Char"/>
    <w:basedOn w:val="16"/>
    <w:link w:val="3"/>
    <w:qFormat/>
    <w:uiPriority w:val="9"/>
    <w:rPr>
      <w:rFonts w:asciiTheme="majorHAnsi" w:hAnsiTheme="majorHAnsi" w:eastAsiaTheme="majorEastAsia" w:cstheme="majorBidi"/>
      <w:b/>
      <w:bCs/>
      <w:kern w:val="2"/>
      <w:sz w:val="32"/>
      <w:szCs w:val="32"/>
    </w:rPr>
  </w:style>
  <w:style w:type="paragraph" w:customStyle="1" w:styleId="3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6"/>
    <w:link w:val="8"/>
    <w:semiHidden/>
    <w:qFormat/>
    <w:uiPriority w:val="99"/>
    <w:rPr>
      <w:rFonts w:ascii="Times New Roman" w:hAnsi="Times New Roman"/>
      <w:kern w:val="2"/>
      <w:sz w:val="18"/>
      <w:szCs w:val="18"/>
    </w:rPr>
  </w:style>
  <w:style w:type="character" w:customStyle="1" w:styleId="32">
    <w:name w:val="标题 3 Char"/>
    <w:basedOn w:val="16"/>
    <w:link w:val="4"/>
    <w:qFormat/>
    <w:uiPriority w:val="9"/>
    <w:rPr>
      <w:rFonts w:ascii="Times New Roman" w:hAnsi="Times New Roman"/>
      <w:b/>
      <w:bCs/>
      <w:kern w:val="2"/>
      <w:sz w:val="32"/>
      <w:szCs w:val="32"/>
    </w:rPr>
  </w:style>
  <w:style w:type="paragraph" w:customStyle="1" w:styleId="33">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5">
    <w:name w:val="正文-公1"/>
    <w:basedOn w:val="36"/>
    <w:next w:val="1"/>
    <w:qFormat/>
    <w:uiPriority w:val="0"/>
    <w:pPr>
      <w:ind w:firstLine="200" w:firstLineChars="200"/>
    </w:pPr>
  </w:style>
  <w:style w:type="paragraph" w:customStyle="1" w:styleId="36">
    <w:name w:val="正文 New New New New New New New New New New New New New New New New New New New New New New New New New New New New New New New New New New New New New New New New New New New New New New New New New New New New New New New New New New New New New New Ne"/>
    <w:next w:val="35"/>
    <w:qFormat/>
    <w:uiPriority w:val="0"/>
    <w:pPr>
      <w:widowControl w:val="0"/>
      <w:jc w:val="both"/>
    </w:pPr>
    <w:rPr>
      <w:rFonts w:ascii="Times New Roman" w:hAnsi="Times New Roman" w:eastAsia="宋体" w:cs="Times New Roman"/>
      <w:kern w:val="2"/>
      <w:sz w:val="21"/>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"绵竹市残联年度预算收入"</c:f>
              <c:strCache>
                <c:ptCount val="1"/>
                <c:pt idx="0">
                  <c:v>绵竹市残联年度预算收入</c:v>
                </c:pt>
              </c:strCache>
            </c:strRef>
          </c:tx>
          <c:spPr>
            <a:solidFill>
              <a:schemeClr val="accent1"/>
            </a:solidFill>
            <a:ln>
              <a:noFill/>
            </a:ln>
            <a:effectLst/>
          </c:spPr>
          <c:invertIfNegative val="0"/>
          <c:dLbls>
            <c:dLbl>
              <c:idx val="0"/>
              <c:layout>
                <c:manualLayout>
                  <c:x val="0.0502536844648466"/>
                  <c:y val="-0.00254993625159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5689780140130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2023</c:v>
                </c:pt>
                <c:pt idx="1">
                  <c:v>2024</c:v>
                </c:pt>
              </c:numCache>
            </c:numRef>
          </c:cat>
          <c:val>
            <c:numRef>
              <c:f>Sheet1!$B$2:$B$3</c:f>
              <c:numCache>
                <c:formatCode>General</c:formatCode>
                <c:ptCount val="2"/>
                <c:pt idx="0">
                  <c:v>869.34</c:v>
                </c:pt>
                <c:pt idx="1">
                  <c:v>1015.57</c:v>
                </c:pt>
              </c:numCache>
            </c:numRef>
          </c:val>
        </c:ser>
        <c:ser>
          <c:idx val="1"/>
          <c:order val="1"/>
          <c:tx>
            <c:strRef>
              <c:f>"绵竹市残联年度预算支出"</c:f>
              <c:strCache>
                <c:ptCount val="1"/>
                <c:pt idx="0">
                  <c:v>绵竹市残联年度预算支出</c:v>
                </c:pt>
              </c:strCache>
            </c:strRef>
          </c:tx>
          <c:spPr>
            <a:solidFill>
              <a:schemeClr val="accent2"/>
            </a:solidFill>
            <a:ln>
              <a:noFill/>
            </a:ln>
            <a:effectLst/>
          </c:spPr>
          <c:invertIfNegative val="0"/>
          <c:dLbls>
            <c:delete val="1"/>
          </c:dLbls>
          <c:cat>
            <c:numRef>
              <c:f>Sheet1!$A$2:$A$3</c:f>
              <c:numCache>
                <c:formatCode>General</c:formatCode>
                <c:ptCount val="2"/>
                <c:pt idx="0">
                  <c:v>2023</c:v>
                </c:pt>
                <c:pt idx="1">
                  <c:v>2024</c:v>
                </c:pt>
              </c:numCache>
            </c:numRef>
          </c:cat>
          <c:val>
            <c:numRef>
              <c:f>Sheet1!$C$2:$C$3</c:f>
              <c:numCache>
                <c:formatCode>General</c:formatCode>
                <c:ptCount val="2"/>
                <c:pt idx="0">
                  <c:v>869.34</c:v>
                </c:pt>
                <c:pt idx="1">
                  <c:v>1015.57</c:v>
                </c:pt>
              </c:numCache>
            </c:numRef>
          </c:val>
        </c:ser>
        <c:dLbls>
          <c:showLegendKey val="0"/>
          <c:showVal val="0"/>
          <c:showCatName val="0"/>
          <c:showSerName val="0"/>
          <c:showPercent val="0"/>
          <c:showBubbleSize val="0"/>
        </c:dLbls>
        <c:gapWidth val="246"/>
        <c:overlap val="-28"/>
        <c:axId val="681114693"/>
        <c:axId val="807039611"/>
      </c:barChart>
      <c:catAx>
        <c:axId val="68111469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039611"/>
        <c:crosses val="autoZero"/>
        <c:auto val="1"/>
        <c:lblAlgn val="ctr"/>
        <c:lblOffset val="100"/>
        <c:noMultiLvlLbl val="0"/>
      </c:catAx>
      <c:valAx>
        <c:axId val="80703961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111469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793108f-0880-45f5-bb5d-fed1ceefccf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2024年度本年收入</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一般公共预算财政拨款收入</c:v>
                </c:pt>
                <c:pt idx="1">
                  <c:v>政府性基金预算财政拨款收入</c:v>
                </c:pt>
              </c:strCache>
            </c:strRef>
          </c:cat>
          <c:val>
            <c:numRef>
              <c:f>Sheet1!$B$2:$B$3</c:f>
              <c:numCache>
                <c:formatCode>General</c:formatCode>
                <c:ptCount val="2"/>
                <c:pt idx="0">
                  <c:v>872.47</c:v>
                </c:pt>
                <c:pt idx="1">
                  <c:v>143.09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729e40b-fcbc-47b2-9d63-b28f9338ca9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2024年度本年支出</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项目支出</c:v>
                </c:pt>
                <c:pt idx="1">
                  <c:v>基本支出</c:v>
                </c:pt>
              </c:strCache>
            </c:strRef>
          </c:cat>
          <c:val>
            <c:numRef>
              <c:f>Sheet1!$B$2:$B$3</c:f>
              <c:numCache>
                <c:formatCode>General</c:formatCode>
                <c:ptCount val="2"/>
                <c:pt idx="0">
                  <c:v>866.58</c:v>
                </c:pt>
                <c:pt idx="1">
                  <c:v>148.99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729e40b-fcbc-47b2-9d63-b28f9338ca9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zh-CN"/>
              <a:t>年度财政拨款收入、支出</a:t>
            </a:r>
            <a:endParaRPr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2023年度财政拨款收入及支出</c:v>
                </c:pt>
                <c:pt idx="1">
                  <c:v>2024年度财政拨款收入及支出</c:v>
                </c:pt>
              </c:strCache>
            </c:strRef>
          </c:cat>
          <c:val>
            <c:numRef>
              <c:f>Sheet1!$B$2:$B$3</c:f>
              <c:numCache>
                <c:formatCode>General</c:formatCode>
                <c:ptCount val="2"/>
                <c:pt idx="0">
                  <c:v>869.34</c:v>
                </c:pt>
                <c:pt idx="1">
                  <c:v>1015.57</c:v>
                </c:pt>
              </c:numCache>
            </c:numRef>
          </c:val>
        </c:ser>
        <c:ser>
          <c:idx val="1"/>
          <c:order val="1"/>
          <c:tx>
            <c:strRef>
              <c:f>Sheet1!$C$1</c:f>
              <c:strCache>
                <c:ptCount val="1"/>
                <c:pt idx="0">
                  <c:v>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2023年度财政拨款收入及支出</c:v>
                </c:pt>
                <c:pt idx="1">
                  <c:v>2024年度财政拨款收入及支出</c:v>
                </c:pt>
              </c:strCache>
            </c:strRef>
          </c:cat>
          <c:val>
            <c:numRef>
              <c:f>Sheet1!$C$2:$C$3</c:f>
              <c:numCache>
                <c:formatCode>General</c:formatCode>
                <c:ptCount val="2"/>
                <c:pt idx="0">
                  <c:v>869.34</c:v>
                </c:pt>
                <c:pt idx="1">
                  <c:v>1015.57</c:v>
                </c:pt>
              </c:numCache>
            </c:numRef>
          </c:val>
        </c:ser>
        <c:dLbls>
          <c:showLegendKey val="0"/>
          <c:showVal val="1"/>
          <c:showCatName val="0"/>
          <c:showSerName val="0"/>
          <c:showPercent val="0"/>
          <c:showBubbleSize val="0"/>
        </c:dLbls>
        <c:gapWidth val="246"/>
        <c:overlap val="-28"/>
        <c:axId val="145739236"/>
        <c:axId val="277153994"/>
      </c:barChart>
      <c:catAx>
        <c:axId val="1457392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7153994"/>
        <c:crosses val="autoZero"/>
        <c:auto val="1"/>
        <c:lblAlgn val="ctr"/>
        <c:lblOffset val="100"/>
        <c:noMultiLvlLbl val="0"/>
      </c:catAx>
      <c:valAx>
        <c:axId val="27715399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57392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6cef3a8-422e-4585-bd4d-eb4397e7bc5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zh-CN"/>
              <a:t>一般公共预算财政拨款支出</a:t>
            </a:r>
            <a:endParaRPr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一般公共预算财政拨款支出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2023年度一般公共预算财政拨款支出</c:v>
                </c:pt>
                <c:pt idx="1">
                  <c:v>2024年度一般公共预算财政拨款支出</c:v>
                </c:pt>
              </c:strCache>
            </c:strRef>
          </c:cat>
          <c:val>
            <c:numRef>
              <c:f>Sheet1!$B$2:$B$3</c:f>
              <c:numCache>
                <c:formatCode>General</c:formatCode>
                <c:ptCount val="2"/>
                <c:pt idx="0">
                  <c:v>781.19</c:v>
                </c:pt>
                <c:pt idx="1">
                  <c:v>872.47</c:v>
                </c:pt>
              </c:numCache>
            </c:numRef>
          </c:val>
        </c:ser>
        <c:dLbls>
          <c:showLegendKey val="0"/>
          <c:showVal val="1"/>
          <c:showCatName val="0"/>
          <c:showSerName val="0"/>
          <c:showPercent val="0"/>
          <c:showBubbleSize val="0"/>
        </c:dLbls>
        <c:gapWidth val="246"/>
        <c:overlap val="-28"/>
        <c:axId val="145739236"/>
        <c:axId val="277153994"/>
      </c:barChart>
      <c:catAx>
        <c:axId val="1457392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7153994"/>
        <c:crosses val="autoZero"/>
        <c:auto val="1"/>
        <c:lblAlgn val="ctr"/>
        <c:lblOffset val="100"/>
        <c:noMultiLvlLbl val="0"/>
      </c:catAx>
      <c:valAx>
        <c:axId val="27715399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57392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ec18395-e2cf-4b6a-8480-caee93edc14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2024</a:t>
            </a:r>
            <a:r>
              <a:rPr altLang="en-US"/>
              <a:t>年度</a:t>
            </a:r>
            <a:r>
              <a:t>一般公共预算财政拨款支出</a:t>
            </a:r>
          </a:p>
        </c:rich>
      </c:tx>
      <c:layout/>
      <c:overlay val="0"/>
      <c:spPr>
        <a:noFill/>
        <a:ln>
          <a:noFill/>
        </a:ln>
        <a:effectLst/>
      </c:spPr>
    </c:title>
    <c:autoTitleDeleted val="0"/>
    <c:plotArea>
      <c:layout/>
      <c:pieChart>
        <c:varyColors val="1"/>
        <c:ser>
          <c:idx val="0"/>
          <c:order val="0"/>
          <c:tx>
            <c:strRef>
              <c:f>Sheet1!$B$1</c:f>
              <c:strCache>
                <c:ptCount val="1"/>
                <c:pt idx="0">
                  <c:v>2024年度本年支出</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1"/>
              <c:layout>
                <c:manualLayout>
                  <c:x val="-0.0480326469396891"/>
                  <c:y val="0.010235782261518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56388475736092"/>
                  <c:y val="0.0049319253021448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社会保障和就业支出</c:v>
                </c:pt>
                <c:pt idx="1">
                  <c:v>卫生健康支出</c:v>
                </c:pt>
                <c:pt idx="2">
                  <c:v>住房保障支出</c:v>
                </c:pt>
              </c:strCache>
            </c:strRef>
          </c:cat>
          <c:val>
            <c:numRef>
              <c:f>Sheet1!$B$2:$B$4</c:f>
              <c:numCache>
                <c:formatCode>General</c:formatCode>
                <c:ptCount val="3"/>
                <c:pt idx="0">
                  <c:v>857.12</c:v>
                </c:pt>
                <c:pt idx="1">
                  <c:v>6.09</c:v>
                </c:pt>
                <c:pt idx="2">
                  <c:v>9.26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729e40b-fcbc-47b2-9d63-b28f9338ca9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55</Pages>
  <Words>10907</Words>
  <Characters>11874</Characters>
  <Lines>61</Lines>
  <Paragraphs>17</Paragraphs>
  <TotalTime>6</TotalTime>
  <ScaleCrop>false</ScaleCrop>
  <LinksUpToDate>false</LinksUpToDate>
  <CharactersWithSpaces>12513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王海峰</cp:lastModifiedBy>
  <cp:lastPrinted>2025-08-06T17:34:00Z</cp:lastPrinted>
  <dcterms:modified xsi:type="dcterms:W3CDTF">2025-09-23T13:58:33Z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04787F2533EB45DC91BCDE4AB213247F</vt:lpwstr>
  </property>
  <property fmtid="{D5CDD505-2E9C-101B-9397-08002B2CF9AE}" pid="4" name="KSOTemplateDocerSaveRecord">
    <vt:lpwstr>eyJoZGlkIjoiYTRkNDJlMjJlYjcxZTY0OTdkZWIzYzIxYTVjN2FhN2IiLCJ1c2VySWQiOiIxNjU5MTU4MTY0In0=</vt:lpwstr>
  </property>
</Properties>
</file>