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EC2EA1">
      <w:pPr>
        <w:spacing w:line="600" w:lineRule="exact"/>
        <w:jc w:val="both"/>
        <w:outlineLvl w:val="0"/>
        <w:rPr>
          <w:rFonts w:ascii="Times New Roman" w:hAnsi="Times New Roman" w:eastAsia="方正小标宋简体"/>
          <w:color w:val="auto"/>
          <w:sz w:val="72"/>
          <w:szCs w:val="72"/>
          <w:highlight w:val="none"/>
        </w:rPr>
      </w:pPr>
      <w:bookmarkStart w:id="0" w:name="_Toc15377425"/>
      <w:bookmarkStart w:id="1" w:name="_Toc15378441"/>
      <w:bookmarkStart w:id="2" w:name="_Toc15377193"/>
      <w:bookmarkStart w:id="3" w:name="_Toc15396475"/>
      <w:bookmarkStart w:id="4" w:name="_Toc15396597"/>
      <w:bookmarkStart w:id="5" w:name="_Toc15306267"/>
    </w:p>
    <w:p w14:paraId="464CC294">
      <w:pPr>
        <w:rPr>
          <w:rFonts w:ascii="Times New Roman" w:hAnsi="Times New Roman"/>
        </w:rPr>
      </w:pPr>
    </w:p>
    <w:p w14:paraId="2905805E">
      <w:pPr>
        <w:pStyle w:val="5"/>
        <w:jc w:val="center"/>
        <w:rPr>
          <w:rFonts w:hint="eastAsia" w:ascii="Times New Roman" w:hAnsi="Times New Roman" w:eastAsia="方正小标宋简体" w:cs="Times New Roman"/>
          <w:color w:val="auto"/>
          <w:kern w:val="2"/>
          <w:sz w:val="44"/>
          <w:szCs w:val="44"/>
          <w:highlight w:val="none"/>
          <w:lang w:val="en-US" w:eastAsia="zh-CN" w:bidi="ar-SA"/>
        </w:rPr>
      </w:pPr>
    </w:p>
    <w:p w14:paraId="01233462">
      <w:pPr>
        <w:pStyle w:val="5"/>
        <w:jc w:val="center"/>
        <w:rPr>
          <w:rFonts w:hint="eastAsia" w:ascii="Times New Roman" w:hAnsi="Times New Roman" w:eastAsia="方正小标宋简体" w:cs="Times New Roman"/>
          <w:color w:val="auto"/>
          <w:kern w:val="2"/>
          <w:sz w:val="44"/>
          <w:szCs w:val="44"/>
          <w:highlight w:val="none"/>
          <w:lang w:val="en-US" w:eastAsia="zh-CN" w:bidi="ar-SA"/>
        </w:rPr>
      </w:pPr>
    </w:p>
    <w:p w14:paraId="0E6169E7">
      <w:pPr>
        <w:pStyle w:val="5"/>
        <w:jc w:val="center"/>
        <w:rPr>
          <w:rFonts w:hint="eastAsia" w:ascii="Times New Roman" w:hAnsi="Times New Roman" w:eastAsia="方正小标宋简体" w:cs="Times New Roman"/>
          <w:color w:val="auto"/>
          <w:kern w:val="2"/>
          <w:sz w:val="44"/>
          <w:szCs w:val="44"/>
          <w:highlight w:val="none"/>
          <w:lang w:val="en-US" w:eastAsia="zh-CN" w:bidi="ar-SA"/>
        </w:rPr>
      </w:pPr>
    </w:p>
    <w:p w14:paraId="32BEE0BF">
      <w:pPr>
        <w:pStyle w:val="5"/>
        <w:jc w:val="center"/>
        <w:rPr>
          <w:rFonts w:hint="eastAsia" w:ascii="Times New Roman" w:hAnsi="Times New Roman" w:eastAsia="方正小标宋简体" w:cs="Times New Roman"/>
          <w:color w:val="auto"/>
          <w:kern w:val="2"/>
          <w:sz w:val="52"/>
          <w:szCs w:val="52"/>
          <w:highlight w:val="none"/>
          <w:lang w:val="en-US" w:eastAsia="zh-CN" w:bidi="ar-SA"/>
        </w:rPr>
      </w:pPr>
    </w:p>
    <w:bookmarkEnd w:id="0"/>
    <w:bookmarkEnd w:id="1"/>
    <w:bookmarkEnd w:id="2"/>
    <w:bookmarkEnd w:id="3"/>
    <w:bookmarkEnd w:id="4"/>
    <w:p w14:paraId="51CD7B02">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方正小标宋简体" w:cs="Times New Roman"/>
          <w:b/>
          <w:bCs/>
          <w:color w:val="auto"/>
          <w:kern w:val="2"/>
          <w:sz w:val="60"/>
          <w:szCs w:val="60"/>
          <w:highlight w:val="none"/>
          <w:lang w:val="en-US" w:eastAsia="zh-CN" w:bidi="ar-SA"/>
        </w:rPr>
      </w:pPr>
      <w:bookmarkStart w:id="6" w:name="_Toc15396476"/>
      <w:bookmarkStart w:id="7" w:name="_Toc15378442"/>
      <w:bookmarkStart w:id="8" w:name="_Toc15377194"/>
      <w:bookmarkStart w:id="9" w:name="_Toc15377426"/>
      <w:bookmarkStart w:id="10" w:name="_Toc15396598"/>
      <w:r>
        <w:rPr>
          <w:rFonts w:hint="eastAsia" w:ascii="Times New Roman" w:hAnsi="Times New Roman" w:eastAsia="方正小标宋简体" w:cs="Times New Roman"/>
          <w:b/>
          <w:bCs/>
          <w:color w:val="auto"/>
          <w:kern w:val="2"/>
          <w:sz w:val="60"/>
          <w:szCs w:val="60"/>
          <w:highlight w:val="none"/>
          <w:lang w:val="en-US" w:eastAsia="zh-CN" w:bidi="ar-SA"/>
        </w:rPr>
        <w:t>2024年度</w:t>
      </w:r>
    </w:p>
    <w:p w14:paraId="47BB87A8">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eastAsia="方正小标宋简体" w:cs="Times New Roman"/>
          <w:b/>
          <w:bCs/>
          <w:color w:val="auto"/>
          <w:kern w:val="2"/>
          <w:sz w:val="60"/>
          <w:szCs w:val="60"/>
          <w:highlight w:val="none"/>
          <w:lang w:val="en-US" w:eastAsia="zh-CN" w:bidi="ar-SA"/>
        </w:rPr>
      </w:pPr>
      <w:r>
        <w:rPr>
          <w:rFonts w:hint="eastAsia" w:ascii="Times New Roman" w:hAnsi="Times New Roman" w:eastAsia="方正小标宋简体" w:cs="Times New Roman"/>
          <w:b/>
          <w:bCs/>
          <w:color w:val="auto"/>
          <w:kern w:val="2"/>
          <w:sz w:val="60"/>
          <w:szCs w:val="60"/>
          <w:highlight w:val="none"/>
          <w:lang w:val="en-US" w:eastAsia="zh-CN" w:bidi="ar-SA"/>
        </w:rPr>
        <w:t>四川省</w:t>
      </w:r>
      <w:bookmarkEnd w:id="5"/>
      <w:bookmarkStart w:id="11" w:name="_Toc15306268"/>
      <w:r>
        <w:rPr>
          <w:rFonts w:hint="eastAsia" w:ascii="Times New Roman" w:eastAsia="方正小标宋简体" w:cs="Times New Roman"/>
          <w:b/>
          <w:bCs/>
          <w:color w:val="auto"/>
          <w:kern w:val="2"/>
          <w:sz w:val="60"/>
          <w:szCs w:val="60"/>
          <w:highlight w:val="none"/>
          <w:lang w:val="en-US" w:eastAsia="zh-CN" w:bidi="ar-SA"/>
        </w:rPr>
        <w:t>绵竹市残疾人联合会</w:t>
      </w:r>
    </w:p>
    <w:p w14:paraId="4D4EAAF7">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方正小标宋简体" w:cs="Times New Roman"/>
          <w:b/>
          <w:bCs/>
          <w:color w:val="auto"/>
          <w:kern w:val="2"/>
          <w:sz w:val="60"/>
          <w:szCs w:val="60"/>
          <w:highlight w:val="none"/>
          <w:lang w:val="en-US" w:eastAsia="zh-CN" w:bidi="ar-SA"/>
        </w:rPr>
      </w:pPr>
      <w:r>
        <w:rPr>
          <w:rFonts w:hint="eastAsia" w:ascii="Times New Roman" w:eastAsia="方正小标宋简体" w:cs="Times New Roman"/>
          <w:b/>
          <w:bCs/>
          <w:color w:val="auto"/>
          <w:kern w:val="2"/>
          <w:sz w:val="60"/>
          <w:szCs w:val="60"/>
          <w:highlight w:val="none"/>
          <w:lang w:val="en-US" w:eastAsia="zh-CN" w:bidi="ar-SA"/>
        </w:rPr>
        <w:t>单位</w:t>
      </w:r>
      <w:r>
        <w:rPr>
          <w:rFonts w:hint="eastAsia" w:ascii="Times New Roman" w:hAnsi="Times New Roman" w:eastAsia="方正小标宋简体" w:cs="Times New Roman"/>
          <w:b/>
          <w:bCs/>
          <w:color w:val="auto"/>
          <w:kern w:val="2"/>
          <w:sz w:val="60"/>
          <w:szCs w:val="60"/>
          <w:highlight w:val="none"/>
          <w:lang w:val="en-US" w:eastAsia="zh-CN" w:bidi="ar-SA"/>
        </w:rPr>
        <w:t>决算</w:t>
      </w:r>
      <w:bookmarkEnd w:id="6"/>
      <w:bookmarkEnd w:id="7"/>
      <w:bookmarkEnd w:id="8"/>
      <w:bookmarkEnd w:id="9"/>
      <w:bookmarkEnd w:id="10"/>
      <w:bookmarkEnd w:id="11"/>
    </w:p>
    <w:p w14:paraId="65BA8362">
      <w:pPr>
        <w:widowControl/>
        <w:jc w:val="center"/>
        <w:rPr>
          <w:rFonts w:ascii="Times New Roman" w:hAnsi="Times New Roman" w:eastAsia="方正小标宋简体"/>
          <w:color w:val="auto"/>
          <w:sz w:val="36"/>
          <w:szCs w:val="36"/>
          <w:highlight w:val="none"/>
        </w:rPr>
      </w:pPr>
      <w:r>
        <w:rPr>
          <w:rFonts w:ascii="Times New Roman" w:hAnsi="Times New Roman" w:eastAsia="方正小标宋简体"/>
          <w:color w:val="auto"/>
          <w:sz w:val="36"/>
          <w:szCs w:val="36"/>
          <w:highlight w:val="none"/>
        </w:rPr>
        <w:br w:type="page"/>
      </w:r>
    </w:p>
    <w:p w14:paraId="7A888DA9">
      <w:pPr>
        <w:pStyle w:val="11"/>
        <w:tabs>
          <w:tab w:val="right" w:leader="dot" w:pos="8306"/>
          <w:tab w:val="clear" w:pos="8296"/>
        </w:tabs>
        <w:rPr>
          <w:sz w:val="40"/>
          <w:szCs w:val="40"/>
        </w:rPr>
      </w:pPr>
      <w:r>
        <w:rPr>
          <w:rFonts w:ascii="Times New Roman" w:hAnsi="Times New Roman" w:eastAsia="方正小标宋简体"/>
          <w:color w:val="auto"/>
          <w:sz w:val="36"/>
          <w:szCs w:val="36"/>
          <w:highlight w:val="none"/>
        </w:rPr>
        <w:fldChar w:fldCharType="begin"/>
      </w:r>
      <w:r>
        <w:rPr>
          <w:rFonts w:ascii="Times New Roman" w:hAnsi="Times New Roman" w:eastAsia="方正小标宋简体"/>
          <w:color w:val="auto"/>
          <w:sz w:val="36"/>
          <w:szCs w:val="36"/>
          <w:highlight w:val="none"/>
        </w:rPr>
        <w:instrText xml:space="preserve">TOC \o "1-3" \h \u </w:instrText>
      </w:r>
      <w:r>
        <w:rPr>
          <w:rFonts w:ascii="Times New Roman" w:hAnsi="Times New Roman" w:eastAsia="方正小标宋简体"/>
          <w:color w:val="auto"/>
          <w:sz w:val="36"/>
          <w:szCs w:val="36"/>
          <w:highlight w:val="none"/>
        </w:rPr>
        <w:fldChar w:fldCharType="separate"/>
      </w:r>
      <w:r>
        <w:rPr>
          <w:rFonts w:ascii="Times New Roman" w:hAnsi="Times New Roman" w:eastAsia="方正小标宋简体"/>
          <w:color w:val="auto"/>
          <w:sz w:val="40"/>
          <w:szCs w:val="48"/>
          <w:highlight w:val="none"/>
        </w:rPr>
        <w:fldChar w:fldCharType="begin"/>
      </w:r>
      <w:r>
        <w:rPr>
          <w:rFonts w:ascii="Times New Roman" w:hAnsi="Times New Roman" w:eastAsia="方正小标宋简体"/>
          <w:sz w:val="40"/>
          <w:szCs w:val="48"/>
          <w:highlight w:val="none"/>
        </w:rPr>
        <w:instrText xml:space="preserve"> HYPERLINK \l _Toc10392 </w:instrText>
      </w:r>
      <w:r>
        <w:rPr>
          <w:rFonts w:ascii="Times New Roman" w:hAnsi="Times New Roman" w:eastAsia="方正小标宋简体"/>
          <w:sz w:val="40"/>
          <w:szCs w:val="48"/>
          <w:highlight w:val="none"/>
        </w:rPr>
        <w:fldChar w:fldCharType="separate"/>
      </w:r>
      <w:r>
        <w:rPr>
          <w:rFonts w:hint="eastAsia" w:ascii="Times New Roman" w:hAnsi="Times New Roman" w:eastAsia="方正小标宋简体" w:cs="方正小标宋简体"/>
          <w:sz w:val="40"/>
          <w:szCs w:val="40"/>
          <w:highlight w:val="none"/>
        </w:rPr>
        <w:t>第一部分</w:t>
      </w:r>
      <w:r>
        <w:rPr>
          <w:rFonts w:hint="eastAsia" w:ascii="Times New Roman" w:hAnsi="Times New Roman" w:eastAsia="方正小标宋简体" w:cs="方正小标宋简体"/>
          <w:sz w:val="40"/>
          <w:szCs w:val="40"/>
          <w:highlight w:val="none"/>
          <w:lang w:val="en-US" w:eastAsia="zh-CN"/>
        </w:rPr>
        <w:t xml:space="preserve"> </w:t>
      </w:r>
      <w:r>
        <w:rPr>
          <w:rFonts w:hint="eastAsia" w:ascii="Times New Roman" w:hAnsi="Times New Roman" w:eastAsia="方正小标宋简体" w:cs="方正小标宋简体"/>
          <w:sz w:val="40"/>
          <w:szCs w:val="40"/>
          <w:highlight w:val="none"/>
        </w:rPr>
        <w:t xml:space="preserve"> </w:t>
      </w:r>
      <w:r>
        <w:rPr>
          <w:rFonts w:hint="eastAsia" w:ascii="Times New Roman" w:hAnsi="Times New Roman" w:eastAsia="方正小标宋简体" w:cs="方正小标宋简体"/>
          <w:bCs w:val="0"/>
          <w:sz w:val="40"/>
          <w:szCs w:val="40"/>
          <w:highlight w:val="none"/>
          <w:lang w:eastAsia="zh-CN"/>
        </w:rPr>
        <w:t>单位</w:t>
      </w:r>
      <w:r>
        <w:rPr>
          <w:rFonts w:hint="eastAsia" w:ascii="Times New Roman" w:hAnsi="Times New Roman" w:eastAsia="方正小标宋简体" w:cs="方正小标宋简体"/>
          <w:bCs w:val="0"/>
          <w:sz w:val="40"/>
          <w:szCs w:val="40"/>
          <w:highlight w:val="none"/>
        </w:rPr>
        <w:t>概况</w:t>
      </w:r>
      <w:r>
        <w:rPr>
          <w:sz w:val="40"/>
          <w:szCs w:val="40"/>
        </w:rPr>
        <w:tab/>
      </w:r>
      <w:r>
        <w:rPr>
          <w:sz w:val="40"/>
          <w:szCs w:val="40"/>
        </w:rPr>
        <w:fldChar w:fldCharType="begin"/>
      </w:r>
      <w:r>
        <w:rPr>
          <w:sz w:val="40"/>
          <w:szCs w:val="40"/>
        </w:rPr>
        <w:instrText xml:space="preserve"> PAGEREF _Toc10392 \h </w:instrText>
      </w:r>
      <w:r>
        <w:rPr>
          <w:sz w:val="40"/>
          <w:szCs w:val="40"/>
        </w:rPr>
        <w:fldChar w:fldCharType="separate"/>
      </w:r>
      <w:r>
        <w:rPr>
          <w:sz w:val="40"/>
          <w:szCs w:val="40"/>
        </w:rPr>
        <w:t>3</w:t>
      </w:r>
      <w:r>
        <w:rPr>
          <w:sz w:val="40"/>
          <w:szCs w:val="40"/>
        </w:rPr>
        <w:fldChar w:fldCharType="end"/>
      </w:r>
      <w:r>
        <w:rPr>
          <w:rFonts w:ascii="Times New Roman" w:hAnsi="Times New Roman" w:eastAsia="方正小标宋简体"/>
          <w:color w:val="auto"/>
          <w:sz w:val="40"/>
          <w:szCs w:val="48"/>
          <w:highlight w:val="none"/>
        </w:rPr>
        <w:fldChar w:fldCharType="end"/>
      </w:r>
    </w:p>
    <w:p w14:paraId="02AFB89A">
      <w:pPr>
        <w:pStyle w:val="14"/>
        <w:tabs>
          <w:tab w:val="right" w:leader="dot" w:pos="8306"/>
          <w:tab w:val="clear" w:pos="8296"/>
        </w:tabs>
        <w:rPr>
          <w:sz w:val="28"/>
          <w:szCs w:val="36"/>
        </w:rPr>
      </w:pPr>
      <w:r>
        <w:rPr>
          <w:rFonts w:ascii="Times New Roman" w:hAnsi="Times New Roman" w:eastAsia="方正小标宋简体"/>
          <w:color w:val="auto"/>
          <w:sz w:val="28"/>
          <w:szCs w:val="48"/>
          <w:highlight w:val="none"/>
        </w:rPr>
        <w:fldChar w:fldCharType="begin"/>
      </w:r>
      <w:r>
        <w:rPr>
          <w:rFonts w:ascii="Times New Roman" w:hAnsi="Times New Roman" w:eastAsia="方正小标宋简体"/>
          <w:sz w:val="28"/>
          <w:szCs w:val="48"/>
          <w:highlight w:val="none"/>
        </w:rPr>
        <w:instrText xml:space="preserve"> HYPERLINK \l _Toc10154 </w:instrText>
      </w:r>
      <w:r>
        <w:rPr>
          <w:rFonts w:ascii="Times New Roman" w:hAnsi="Times New Roman" w:eastAsia="方正小标宋简体"/>
          <w:sz w:val="28"/>
          <w:szCs w:val="48"/>
          <w:highlight w:val="none"/>
        </w:rPr>
        <w:fldChar w:fldCharType="separate"/>
      </w:r>
      <w:r>
        <w:rPr>
          <w:rFonts w:hint="eastAsia" w:ascii="Times New Roman" w:hAnsi="Times New Roman" w:eastAsia="黑体"/>
          <w:sz w:val="28"/>
          <w:szCs w:val="36"/>
          <w:lang w:eastAsia="zh-CN"/>
        </w:rPr>
        <w:t xml:space="preserve">一、 </w:t>
      </w:r>
      <w:r>
        <w:rPr>
          <w:rFonts w:hint="eastAsia" w:eastAsia="黑体"/>
          <w:sz w:val="28"/>
          <w:szCs w:val="36"/>
          <w:highlight w:val="none"/>
          <w:lang w:eastAsia="zh-CN"/>
        </w:rPr>
        <w:t>单位</w:t>
      </w:r>
      <w:r>
        <w:rPr>
          <w:rFonts w:hint="eastAsia" w:ascii="Times New Roman" w:hAnsi="Times New Roman" w:eastAsia="黑体"/>
          <w:sz w:val="28"/>
          <w:szCs w:val="36"/>
          <w:highlight w:val="none"/>
          <w:lang w:eastAsia="zh-CN"/>
        </w:rPr>
        <w:t>职责</w:t>
      </w:r>
      <w:r>
        <w:rPr>
          <w:sz w:val="28"/>
          <w:szCs w:val="36"/>
        </w:rPr>
        <w:tab/>
      </w:r>
      <w:r>
        <w:rPr>
          <w:sz w:val="28"/>
          <w:szCs w:val="36"/>
        </w:rPr>
        <w:fldChar w:fldCharType="begin"/>
      </w:r>
      <w:r>
        <w:rPr>
          <w:sz w:val="28"/>
          <w:szCs w:val="36"/>
        </w:rPr>
        <w:instrText xml:space="preserve"> PAGEREF _Toc10154 \h </w:instrText>
      </w:r>
      <w:r>
        <w:rPr>
          <w:sz w:val="28"/>
          <w:szCs w:val="36"/>
        </w:rPr>
        <w:fldChar w:fldCharType="separate"/>
      </w:r>
      <w:r>
        <w:rPr>
          <w:sz w:val="28"/>
          <w:szCs w:val="36"/>
        </w:rPr>
        <w:t>4</w:t>
      </w:r>
      <w:r>
        <w:rPr>
          <w:sz w:val="28"/>
          <w:szCs w:val="36"/>
        </w:rPr>
        <w:fldChar w:fldCharType="end"/>
      </w:r>
      <w:r>
        <w:rPr>
          <w:rFonts w:ascii="Times New Roman" w:hAnsi="Times New Roman" w:eastAsia="方正小标宋简体"/>
          <w:color w:val="auto"/>
          <w:sz w:val="28"/>
          <w:szCs w:val="48"/>
          <w:highlight w:val="none"/>
        </w:rPr>
        <w:fldChar w:fldCharType="end"/>
      </w:r>
    </w:p>
    <w:p w14:paraId="48297099">
      <w:pPr>
        <w:pStyle w:val="14"/>
        <w:tabs>
          <w:tab w:val="right" w:leader="dot" w:pos="8306"/>
          <w:tab w:val="clear" w:pos="8296"/>
        </w:tabs>
        <w:rPr>
          <w:sz w:val="28"/>
          <w:szCs w:val="36"/>
        </w:rPr>
      </w:pPr>
      <w:r>
        <w:rPr>
          <w:rFonts w:ascii="Times New Roman" w:hAnsi="Times New Roman" w:eastAsia="方正小标宋简体"/>
          <w:color w:val="auto"/>
          <w:sz w:val="28"/>
          <w:szCs w:val="48"/>
          <w:highlight w:val="none"/>
        </w:rPr>
        <w:fldChar w:fldCharType="begin"/>
      </w:r>
      <w:r>
        <w:rPr>
          <w:rFonts w:ascii="Times New Roman" w:hAnsi="Times New Roman" w:eastAsia="方正小标宋简体"/>
          <w:sz w:val="28"/>
          <w:szCs w:val="48"/>
          <w:highlight w:val="none"/>
        </w:rPr>
        <w:instrText xml:space="preserve"> HYPERLINK \l _Toc6270 </w:instrText>
      </w:r>
      <w:r>
        <w:rPr>
          <w:rFonts w:ascii="Times New Roman" w:hAnsi="Times New Roman" w:eastAsia="方正小标宋简体"/>
          <w:sz w:val="28"/>
          <w:szCs w:val="48"/>
          <w:highlight w:val="none"/>
        </w:rPr>
        <w:fldChar w:fldCharType="separate"/>
      </w:r>
      <w:r>
        <w:rPr>
          <w:rFonts w:hint="eastAsia" w:ascii="Times New Roman" w:hAnsi="Times New Roman" w:eastAsia="黑体"/>
          <w:sz w:val="28"/>
          <w:szCs w:val="36"/>
          <w:highlight w:val="none"/>
        </w:rPr>
        <w:t>二、</w:t>
      </w:r>
      <w:r>
        <w:rPr>
          <w:rFonts w:hint="eastAsia" w:eastAsia="黑体"/>
          <w:sz w:val="28"/>
          <w:szCs w:val="36"/>
          <w:highlight w:val="none"/>
          <w:lang w:val="en-US" w:eastAsia="zh-CN"/>
        </w:rPr>
        <w:t xml:space="preserve"> </w:t>
      </w:r>
      <w:r>
        <w:rPr>
          <w:rFonts w:hint="eastAsia" w:ascii="Times New Roman" w:hAnsi="Times New Roman" w:eastAsia="黑体"/>
          <w:sz w:val="28"/>
          <w:szCs w:val="36"/>
          <w:highlight w:val="none"/>
        </w:rPr>
        <w:t>机</w:t>
      </w:r>
      <w:r>
        <w:rPr>
          <w:rFonts w:hint="eastAsia" w:ascii="Times New Roman" w:hAnsi="Times New Roman" w:eastAsia="黑体"/>
          <w:bCs w:val="0"/>
          <w:sz w:val="28"/>
          <w:szCs w:val="36"/>
          <w:highlight w:val="none"/>
        </w:rPr>
        <w:t>构设置</w:t>
      </w:r>
      <w:r>
        <w:rPr>
          <w:sz w:val="28"/>
          <w:szCs w:val="36"/>
        </w:rPr>
        <w:tab/>
      </w:r>
      <w:r>
        <w:rPr>
          <w:sz w:val="28"/>
          <w:szCs w:val="36"/>
        </w:rPr>
        <w:fldChar w:fldCharType="begin"/>
      </w:r>
      <w:r>
        <w:rPr>
          <w:sz w:val="28"/>
          <w:szCs w:val="36"/>
        </w:rPr>
        <w:instrText xml:space="preserve"> PAGEREF _Toc6270 \h </w:instrText>
      </w:r>
      <w:r>
        <w:rPr>
          <w:sz w:val="28"/>
          <w:szCs w:val="36"/>
        </w:rPr>
        <w:fldChar w:fldCharType="separate"/>
      </w:r>
      <w:r>
        <w:rPr>
          <w:sz w:val="28"/>
          <w:szCs w:val="36"/>
        </w:rPr>
        <w:t>8</w:t>
      </w:r>
      <w:r>
        <w:rPr>
          <w:sz w:val="28"/>
          <w:szCs w:val="36"/>
        </w:rPr>
        <w:fldChar w:fldCharType="end"/>
      </w:r>
      <w:r>
        <w:rPr>
          <w:rFonts w:ascii="Times New Roman" w:hAnsi="Times New Roman" w:eastAsia="方正小标宋简体"/>
          <w:color w:val="auto"/>
          <w:sz w:val="28"/>
          <w:szCs w:val="48"/>
          <w:highlight w:val="none"/>
        </w:rPr>
        <w:fldChar w:fldCharType="end"/>
      </w:r>
    </w:p>
    <w:p w14:paraId="1BF4BB4D">
      <w:pPr>
        <w:pStyle w:val="11"/>
        <w:tabs>
          <w:tab w:val="right" w:leader="dot" w:pos="8306"/>
          <w:tab w:val="clear" w:pos="8296"/>
        </w:tabs>
        <w:rPr>
          <w:sz w:val="40"/>
          <w:szCs w:val="40"/>
        </w:rPr>
      </w:pPr>
      <w:r>
        <w:rPr>
          <w:rFonts w:ascii="Times New Roman" w:hAnsi="Times New Roman" w:eastAsia="方正小标宋简体"/>
          <w:color w:val="auto"/>
          <w:sz w:val="40"/>
          <w:szCs w:val="48"/>
          <w:highlight w:val="none"/>
        </w:rPr>
        <w:fldChar w:fldCharType="begin"/>
      </w:r>
      <w:r>
        <w:rPr>
          <w:rFonts w:ascii="Times New Roman" w:hAnsi="Times New Roman" w:eastAsia="方正小标宋简体"/>
          <w:sz w:val="40"/>
          <w:szCs w:val="48"/>
          <w:highlight w:val="none"/>
        </w:rPr>
        <w:instrText xml:space="preserve"> HYPERLINK \l _Toc21207 </w:instrText>
      </w:r>
      <w:r>
        <w:rPr>
          <w:rFonts w:ascii="Times New Roman" w:hAnsi="Times New Roman" w:eastAsia="方正小标宋简体"/>
          <w:sz w:val="40"/>
          <w:szCs w:val="48"/>
          <w:highlight w:val="none"/>
        </w:rPr>
        <w:fldChar w:fldCharType="separate"/>
      </w:r>
      <w:r>
        <w:rPr>
          <w:rFonts w:hint="eastAsia" w:ascii="Times New Roman" w:hAnsi="Times New Roman" w:eastAsia="方正小标宋简体" w:cs="方正小标宋简体"/>
          <w:sz w:val="40"/>
          <w:szCs w:val="40"/>
          <w:highlight w:val="none"/>
        </w:rPr>
        <w:t>第二部分</w:t>
      </w:r>
      <w:r>
        <w:rPr>
          <w:rFonts w:hint="eastAsia" w:ascii="Times New Roman" w:hAnsi="Times New Roman" w:eastAsia="方正小标宋简体" w:cs="方正小标宋简体"/>
          <w:sz w:val="40"/>
          <w:szCs w:val="40"/>
          <w:highlight w:val="none"/>
          <w:lang w:val="en-US" w:eastAsia="zh-CN"/>
        </w:rPr>
        <w:t xml:space="preserve"> </w:t>
      </w:r>
      <w:r>
        <w:rPr>
          <w:rFonts w:hint="eastAsia" w:ascii="Times New Roman" w:hAnsi="Times New Roman" w:eastAsia="方正小标宋简体" w:cs="方正小标宋简体"/>
          <w:sz w:val="40"/>
          <w:szCs w:val="40"/>
          <w:highlight w:val="none"/>
        </w:rPr>
        <w:t xml:space="preserve"> </w:t>
      </w:r>
      <w:r>
        <w:rPr>
          <w:rFonts w:hint="eastAsia" w:ascii="Times New Roman" w:hAnsi="Times New Roman" w:eastAsia="方正小标宋简体" w:cs="方正小标宋简体"/>
          <w:sz w:val="40"/>
          <w:szCs w:val="40"/>
          <w:highlight w:val="none"/>
          <w:lang w:val="en-US" w:eastAsia="zh-CN"/>
        </w:rPr>
        <w:t>2024年度</w:t>
      </w:r>
      <w:r>
        <w:rPr>
          <w:rFonts w:hint="eastAsia" w:ascii="Times New Roman" w:hAnsi="Times New Roman" w:eastAsia="方正小标宋简体" w:cs="方正小标宋简体"/>
          <w:sz w:val="40"/>
          <w:szCs w:val="40"/>
          <w:highlight w:val="none"/>
          <w:lang w:eastAsia="zh-CN"/>
        </w:rPr>
        <w:t>单位</w:t>
      </w:r>
      <w:r>
        <w:rPr>
          <w:rFonts w:hint="eastAsia" w:ascii="Times New Roman" w:hAnsi="Times New Roman" w:eastAsia="方正小标宋简体" w:cs="方正小标宋简体"/>
          <w:sz w:val="40"/>
          <w:szCs w:val="40"/>
          <w:highlight w:val="none"/>
        </w:rPr>
        <w:t>决算情况说明</w:t>
      </w:r>
      <w:r>
        <w:rPr>
          <w:sz w:val="40"/>
          <w:szCs w:val="40"/>
        </w:rPr>
        <w:tab/>
      </w:r>
      <w:r>
        <w:rPr>
          <w:sz w:val="40"/>
          <w:szCs w:val="40"/>
        </w:rPr>
        <w:fldChar w:fldCharType="begin"/>
      </w:r>
      <w:r>
        <w:rPr>
          <w:sz w:val="40"/>
          <w:szCs w:val="40"/>
        </w:rPr>
        <w:instrText xml:space="preserve"> PAGEREF _Toc21207 \h </w:instrText>
      </w:r>
      <w:r>
        <w:rPr>
          <w:sz w:val="40"/>
          <w:szCs w:val="40"/>
        </w:rPr>
        <w:fldChar w:fldCharType="separate"/>
      </w:r>
      <w:r>
        <w:rPr>
          <w:sz w:val="40"/>
          <w:szCs w:val="40"/>
        </w:rPr>
        <w:t>9</w:t>
      </w:r>
      <w:r>
        <w:rPr>
          <w:sz w:val="40"/>
          <w:szCs w:val="40"/>
        </w:rPr>
        <w:fldChar w:fldCharType="end"/>
      </w:r>
      <w:r>
        <w:rPr>
          <w:rFonts w:ascii="Times New Roman" w:hAnsi="Times New Roman" w:eastAsia="方正小标宋简体"/>
          <w:color w:val="auto"/>
          <w:sz w:val="40"/>
          <w:szCs w:val="48"/>
          <w:highlight w:val="none"/>
        </w:rPr>
        <w:fldChar w:fldCharType="end"/>
      </w:r>
    </w:p>
    <w:p w14:paraId="4CC751B0">
      <w:pPr>
        <w:pStyle w:val="14"/>
        <w:tabs>
          <w:tab w:val="right" w:leader="dot" w:pos="8306"/>
          <w:tab w:val="clear" w:pos="8296"/>
        </w:tabs>
        <w:rPr>
          <w:sz w:val="28"/>
          <w:szCs w:val="36"/>
        </w:rPr>
      </w:pPr>
      <w:r>
        <w:rPr>
          <w:rFonts w:ascii="Times New Roman" w:hAnsi="Times New Roman" w:eastAsia="方正小标宋简体"/>
          <w:color w:val="auto"/>
          <w:sz w:val="28"/>
          <w:szCs w:val="48"/>
          <w:highlight w:val="none"/>
        </w:rPr>
        <w:fldChar w:fldCharType="begin"/>
      </w:r>
      <w:r>
        <w:rPr>
          <w:rFonts w:ascii="Times New Roman" w:hAnsi="Times New Roman" w:eastAsia="方正小标宋简体"/>
          <w:sz w:val="28"/>
          <w:szCs w:val="48"/>
          <w:highlight w:val="none"/>
        </w:rPr>
        <w:instrText xml:space="preserve"> HYPERLINK \l _Toc14462 </w:instrText>
      </w:r>
      <w:r>
        <w:rPr>
          <w:rFonts w:ascii="Times New Roman" w:hAnsi="Times New Roman" w:eastAsia="方正小标宋简体"/>
          <w:sz w:val="28"/>
          <w:szCs w:val="48"/>
          <w:highlight w:val="none"/>
        </w:rPr>
        <w:fldChar w:fldCharType="separate"/>
      </w:r>
      <w:r>
        <w:rPr>
          <w:rFonts w:hint="eastAsia" w:ascii="Times New Roman" w:hAnsi="Times New Roman" w:eastAsia="黑体"/>
          <w:sz w:val="28"/>
          <w:szCs w:val="44"/>
          <w:highlight w:val="none"/>
          <w:lang w:eastAsia="zh-CN"/>
        </w:rPr>
        <w:t>一、</w:t>
      </w:r>
      <w:r>
        <w:rPr>
          <w:rFonts w:hint="eastAsia" w:ascii="Times New Roman" w:hAnsi="Times New Roman" w:eastAsia="黑体"/>
          <w:sz w:val="28"/>
          <w:szCs w:val="44"/>
          <w:highlight w:val="none"/>
        </w:rPr>
        <w:t>收</w:t>
      </w:r>
      <w:r>
        <w:rPr>
          <w:rFonts w:hint="eastAsia" w:ascii="Times New Roman" w:hAnsi="Times New Roman" w:eastAsia="黑体"/>
          <w:sz w:val="28"/>
          <w:szCs w:val="36"/>
          <w:highlight w:val="none"/>
        </w:rPr>
        <w:t>入支出决算总体情况说明</w:t>
      </w:r>
      <w:r>
        <w:rPr>
          <w:sz w:val="28"/>
          <w:szCs w:val="36"/>
        </w:rPr>
        <w:tab/>
      </w:r>
      <w:r>
        <w:rPr>
          <w:sz w:val="28"/>
          <w:szCs w:val="36"/>
        </w:rPr>
        <w:fldChar w:fldCharType="begin"/>
      </w:r>
      <w:r>
        <w:rPr>
          <w:sz w:val="28"/>
          <w:szCs w:val="36"/>
        </w:rPr>
        <w:instrText xml:space="preserve"> PAGEREF _Toc14462 \h </w:instrText>
      </w:r>
      <w:r>
        <w:rPr>
          <w:sz w:val="28"/>
          <w:szCs w:val="36"/>
        </w:rPr>
        <w:fldChar w:fldCharType="separate"/>
      </w:r>
      <w:r>
        <w:rPr>
          <w:sz w:val="28"/>
          <w:szCs w:val="36"/>
        </w:rPr>
        <w:t>9</w:t>
      </w:r>
      <w:r>
        <w:rPr>
          <w:sz w:val="28"/>
          <w:szCs w:val="36"/>
        </w:rPr>
        <w:fldChar w:fldCharType="end"/>
      </w:r>
      <w:r>
        <w:rPr>
          <w:rFonts w:ascii="Times New Roman" w:hAnsi="Times New Roman" w:eastAsia="方正小标宋简体"/>
          <w:color w:val="auto"/>
          <w:sz w:val="28"/>
          <w:szCs w:val="48"/>
          <w:highlight w:val="none"/>
        </w:rPr>
        <w:fldChar w:fldCharType="end"/>
      </w:r>
    </w:p>
    <w:p w14:paraId="11994008">
      <w:pPr>
        <w:pStyle w:val="14"/>
        <w:tabs>
          <w:tab w:val="right" w:leader="dot" w:pos="8306"/>
          <w:tab w:val="clear" w:pos="8296"/>
        </w:tabs>
        <w:rPr>
          <w:sz w:val="28"/>
          <w:szCs w:val="36"/>
        </w:rPr>
      </w:pPr>
      <w:r>
        <w:rPr>
          <w:rFonts w:ascii="Times New Roman" w:hAnsi="Times New Roman" w:eastAsia="方正小标宋简体"/>
          <w:color w:val="auto"/>
          <w:sz w:val="28"/>
          <w:szCs w:val="48"/>
          <w:highlight w:val="none"/>
        </w:rPr>
        <w:fldChar w:fldCharType="begin"/>
      </w:r>
      <w:r>
        <w:rPr>
          <w:rFonts w:ascii="Times New Roman" w:hAnsi="Times New Roman" w:eastAsia="方正小标宋简体"/>
          <w:sz w:val="28"/>
          <w:szCs w:val="48"/>
          <w:highlight w:val="none"/>
        </w:rPr>
        <w:instrText xml:space="preserve"> HYPERLINK \l _Toc22501 </w:instrText>
      </w:r>
      <w:r>
        <w:rPr>
          <w:rFonts w:ascii="Times New Roman" w:hAnsi="Times New Roman" w:eastAsia="方正小标宋简体"/>
          <w:sz w:val="28"/>
          <w:szCs w:val="48"/>
          <w:highlight w:val="none"/>
        </w:rPr>
        <w:fldChar w:fldCharType="separate"/>
      </w:r>
      <w:r>
        <w:rPr>
          <w:rFonts w:hint="eastAsia" w:ascii="Times New Roman" w:hAnsi="Times New Roman" w:eastAsia="黑体"/>
          <w:sz w:val="28"/>
          <w:szCs w:val="44"/>
          <w:highlight w:val="none"/>
          <w:lang w:eastAsia="zh-CN"/>
        </w:rPr>
        <w:t>二、收入决算情况说明</w:t>
      </w:r>
      <w:r>
        <w:rPr>
          <w:sz w:val="28"/>
          <w:szCs w:val="36"/>
        </w:rPr>
        <w:tab/>
      </w:r>
      <w:r>
        <w:rPr>
          <w:sz w:val="28"/>
          <w:szCs w:val="36"/>
        </w:rPr>
        <w:fldChar w:fldCharType="begin"/>
      </w:r>
      <w:r>
        <w:rPr>
          <w:sz w:val="28"/>
          <w:szCs w:val="36"/>
        </w:rPr>
        <w:instrText xml:space="preserve"> PAGEREF _Toc22501 \h </w:instrText>
      </w:r>
      <w:r>
        <w:rPr>
          <w:sz w:val="28"/>
          <w:szCs w:val="36"/>
        </w:rPr>
        <w:fldChar w:fldCharType="separate"/>
      </w:r>
      <w:r>
        <w:rPr>
          <w:sz w:val="28"/>
          <w:szCs w:val="36"/>
        </w:rPr>
        <w:t>10</w:t>
      </w:r>
      <w:r>
        <w:rPr>
          <w:sz w:val="28"/>
          <w:szCs w:val="36"/>
        </w:rPr>
        <w:fldChar w:fldCharType="end"/>
      </w:r>
      <w:r>
        <w:rPr>
          <w:rFonts w:ascii="Times New Roman" w:hAnsi="Times New Roman" w:eastAsia="方正小标宋简体"/>
          <w:color w:val="auto"/>
          <w:sz w:val="28"/>
          <w:szCs w:val="48"/>
          <w:highlight w:val="none"/>
        </w:rPr>
        <w:fldChar w:fldCharType="end"/>
      </w:r>
    </w:p>
    <w:p w14:paraId="42632AD3">
      <w:pPr>
        <w:pStyle w:val="14"/>
        <w:tabs>
          <w:tab w:val="right" w:leader="dot" w:pos="8306"/>
          <w:tab w:val="clear" w:pos="8296"/>
        </w:tabs>
        <w:rPr>
          <w:sz w:val="28"/>
          <w:szCs w:val="36"/>
        </w:rPr>
      </w:pPr>
      <w:r>
        <w:rPr>
          <w:rFonts w:ascii="Times New Roman" w:hAnsi="Times New Roman" w:eastAsia="方正小标宋简体"/>
          <w:color w:val="auto"/>
          <w:sz w:val="28"/>
          <w:szCs w:val="48"/>
          <w:highlight w:val="none"/>
        </w:rPr>
        <w:fldChar w:fldCharType="begin"/>
      </w:r>
      <w:r>
        <w:rPr>
          <w:rFonts w:ascii="Times New Roman" w:hAnsi="Times New Roman" w:eastAsia="方正小标宋简体"/>
          <w:sz w:val="28"/>
          <w:szCs w:val="48"/>
          <w:highlight w:val="none"/>
        </w:rPr>
        <w:instrText xml:space="preserve"> HYPERLINK \l _Toc25667 </w:instrText>
      </w:r>
      <w:r>
        <w:rPr>
          <w:rFonts w:ascii="Times New Roman" w:hAnsi="Times New Roman" w:eastAsia="方正小标宋简体"/>
          <w:sz w:val="28"/>
          <w:szCs w:val="48"/>
          <w:highlight w:val="none"/>
        </w:rPr>
        <w:fldChar w:fldCharType="separate"/>
      </w:r>
      <w:r>
        <w:rPr>
          <w:rFonts w:hint="eastAsia" w:ascii="Times New Roman" w:hAnsi="Times New Roman" w:eastAsia="黑体"/>
          <w:sz w:val="28"/>
          <w:szCs w:val="44"/>
          <w:highlight w:val="none"/>
          <w:lang w:eastAsia="zh-CN"/>
        </w:rPr>
        <w:t>三、</w:t>
      </w:r>
      <w:r>
        <w:rPr>
          <w:rFonts w:hint="eastAsia" w:ascii="Times New Roman" w:hAnsi="Times New Roman" w:eastAsia="黑体"/>
          <w:sz w:val="28"/>
          <w:szCs w:val="44"/>
          <w:highlight w:val="none"/>
        </w:rPr>
        <w:t>支</w:t>
      </w:r>
      <w:r>
        <w:rPr>
          <w:rFonts w:hint="eastAsia" w:ascii="Times New Roman" w:hAnsi="Times New Roman" w:eastAsia="黑体"/>
          <w:sz w:val="28"/>
          <w:szCs w:val="36"/>
          <w:highlight w:val="none"/>
        </w:rPr>
        <w:t>出决算情况说明</w:t>
      </w:r>
      <w:r>
        <w:rPr>
          <w:sz w:val="28"/>
          <w:szCs w:val="36"/>
        </w:rPr>
        <w:tab/>
      </w:r>
      <w:r>
        <w:rPr>
          <w:sz w:val="28"/>
          <w:szCs w:val="36"/>
        </w:rPr>
        <w:fldChar w:fldCharType="begin"/>
      </w:r>
      <w:r>
        <w:rPr>
          <w:sz w:val="28"/>
          <w:szCs w:val="36"/>
        </w:rPr>
        <w:instrText xml:space="preserve"> PAGEREF _Toc25667 \h </w:instrText>
      </w:r>
      <w:r>
        <w:rPr>
          <w:sz w:val="28"/>
          <w:szCs w:val="36"/>
        </w:rPr>
        <w:fldChar w:fldCharType="separate"/>
      </w:r>
      <w:r>
        <w:rPr>
          <w:sz w:val="28"/>
          <w:szCs w:val="36"/>
        </w:rPr>
        <w:t>11</w:t>
      </w:r>
      <w:r>
        <w:rPr>
          <w:sz w:val="28"/>
          <w:szCs w:val="36"/>
        </w:rPr>
        <w:fldChar w:fldCharType="end"/>
      </w:r>
      <w:r>
        <w:rPr>
          <w:rFonts w:ascii="Times New Roman" w:hAnsi="Times New Roman" w:eastAsia="方正小标宋简体"/>
          <w:color w:val="auto"/>
          <w:sz w:val="28"/>
          <w:szCs w:val="48"/>
          <w:highlight w:val="none"/>
        </w:rPr>
        <w:fldChar w:fldCharType="end"/>
      </w:r>
    </w:p>
    <w:p w14:paraId="02E64DD9">
      <w:pPr>
        <w:pStyle w:val="14"/>
        <w:tabs>
          <w:tab w:val="right" w:leader="dot" w:pos="8306"/>
          <w:tab w:val="clear" w:pos="8296"/>
        </w:tabs>
        <w:rPr>
          <w:sz w:val="28"/>
          <w:szCs w:val="36"/>
        </w:rPr>
      </w:pPr>
      <w:r>
        <w:rPr>
          <w:rFonts w:ascii="Times New Roman" w:hAnsi="Times New Roman" w:eastAsia="方正小标宋简体"/>
          <w:color w:val="auto"/>
          <w:sz w:val="28"/>
          <w:szCs w:val="48"/>
          <w:highlight w:val="none"/>
        </w:rPr>
        <w:fldChar w:fldCharType="begin"/>
      </w:r>
      <w:r>
        <w:rPr>
          <w:rFonts w:ascii="Times New Roman" w:hAnsi="Times New Roman" w:eastAsia="方正小标宋简体"/>
          <w:sz w:val="28"/>
          <w:szCs w:val="48"/>
          <w:highlight w:val="none"/>
        </w:rPr>
        <w:instrText xml:space="preserve"> HYPERLINK \l _Toc22525 </w:instrText>
      </w:r>
      <w:r>
        <w:rPr>
          <w:rFonts w:ascii="Times New Roman" w:hAnsi="Times New Roman" w:eastAsia="方正小标宋简体"/>
          <w:sz w:val="28"/>
          <w:szCs w:val="48"/>
          <w:highlight w:val="none"/>
        </w:rPr>
        <w:fldChar w:fldCharType="separate"/>
      </w:r>
      <w:r>
        <w:rPr>
          <w:rFonts w:hint="eastAsia" w:ascii="Times New Roman" w:hAnsi="Times New Roman" w:eastAsia="黑体"/>
          <w:sz w:val="28"/>
          <w:szCs w:val="44"/>
          <w:highlight w:val="none"/>
        </w:rPr>
        <w:t>四、财</w:t>
      </w:r>
      <w:r>
        <w:rPr>
          <w:rFonts w:hint="eastAsia" w:ascii="Times New Roman" w:hAnsi="Times New Roman" w:eastAsia="黑体"/>
          <w:sz w:val="28"/>
          <w:szCs w:val="36"/>
          <w:highlight w:val="none"/>
        </w:rPr>
        <w:t>政拨款收入支出决算总体情况说明</w:t>
      </w:r>
      <w:r>
        <w:rPr>
          <w:sz w:val="28"/>
          <w:szCs w:val="36"/>
        </w:rPr>
        <w:tab/>
      </w:r>
      <w:r>
        <w:rPr>
          <w:sz w:val="28"/>
          <w:szCs w:val="36"/>
        </w:rPr>
        <w:fldChar w:fldCharType="begin"/>
      </w:r>
      <w:r>
        <w:rPr>
          <w:sz w:val="28"/>
          <w:szCs w:val="36"/>
        </w:rPr>
        <w:instrText xml:space="preserve"> PAGEREF _Toc22525 \h </w:instrText>
      </w:r>
      <w:r>
        <w:rPr>
          <w:sz w:val="28"/>
          <w:szCs w:val="36"/>
        </w:rPr>
        <w:fldChar w:fldCharType="separate"/>
      </w:r>
      <w:r>
        <w:rPr>
          <w:sz w:val="28"/>
          <w:szCs w:val="36"/>
        </w:rPr>
        <w:t>12</w:t>
      </w:r>
      <w:r>
        <w:rPr>
          <w:sz w:val="28"/>
          <w:szCs w:val="36"/>
        </w:rPr>
        <w:fldChar w:fldCharType="end"/>
      </w:r>
      <w:r>
        <w:rPr>
          <w:rFonts w:ascii="Times New Roman" w:hAnsi="Times New Roman" w:eastAsia="方正小标宋简体"/>
          <w:color w:val="auto"/>
          <w:sz w:val="28"/>
          <w:szCs w:val="48"/>
          <w:highlight w:val="none"/>
        </w:rPr>
        <w:fldChar w:fldCharType="end"/>
      </w:r>
    </w:p>
    <w:p w14:paraId="47969747">
      <w:pPr>
        <w:pStyle w:val="14"/>
        <w:tabs>
          <w:tab w:val="right" w:leader="dot" w:pos="8306"/>
          <w:tab w:val="clear" w:pos="8296"/>
        </w:tabs>
        <w:rPr>
          <w:sz w:val="28"/>
          <w:szCs w:val="36"/>
        </w:rPr>
      </w:pPr>
      <w:r>
        <w:rPr>
          <w:rFonts w:ascii="Times New Roman" w:hAnsi="Times New Roman" w:eastAsia="方正小标宋简体"/>
          <w:color w:val="auto"/>
          <w:sz w:val="28"/>
          <w:szCs w:val="48"/>
          <w:highlight w:val="none"/>
        </w:rPr>
        <w:fldChar w:fldCharType="begin"/>
      </w:r>
      <w:r>
        <w:rPr>
          <w:rFonts w:ascii="Times New Roman" w:hAnsi="Times New Roman" w:eastAsia="方正小标宋简体"/>
          <w:sz w:val="28"/>
          <w:szCs w:val="48"/>
          <w:highlight w:val="none"/>
        </w:rPr>
        <w:instrText xml:space="preserve"> HYPERLINK \l _Toc19951 </w:instrText>
      </w:r>
      <w:r>
        <w:rPr>
          <w:rFonts w:ascii="Times New Roman" w:hAnsi="Times New Roman" w:eastAsia="方正小标宋简体"/>
          <w:sz w:val="28"/>
          <w:szCs w:val="48"/>
          <w:highlight w:val="none"/>
        </w:rPr>
        <w:fldChar w:fldCharType="separate"/>
      </w:r>
      <w:r>
        <w:rPr>
          <w:rFonts w:hint="eastAsia" w:ascii="Times New Roman" w:hAnsi="Times New Roman" w:eastAsia="黑体"/>
          <w:sz w:val="28"/>
          <w:szCs w:val="44"/>
          <w:highlight w:val="none"/>
        </w:rPr>
        <w:t>五、一</w:t>
      </w:r>
      <w:r>
        <w:rPr>
          <w:rFonts w:hint="eastAsia" w:ascii="Times New Roman" w:hAnsi="Times New Roman" w:eastAsia="黑体"/>
          <w:sz w:val="28"/>
          <w:szCs w:val="36"/>
          <w:highlight w:val="none"/>
        </w:rPr>
        <w:t>般公共预算财政拨款支出决算情况说明</w:t>
      </w:r>
      <w:r>
        <w:rPr>
          <w:sz w:val="28"/>
          <w:szCs w:val="36"/>
        </w:rPr>
        <w:tab/>
      </w:r>
      <w:r>
        <w:rPr>
          <w:sz w:val="28"/>
          <w:szCs w:val="36"/>
        </w:rPr>
        <w:fldChar w:fldCharType="begin"/>
      </w:r>
      <w:r>
        <w:rPr>
          <w:sz w:val="28"/>
          <w:szCs w:val="36"/>
        </w:rPr>
        <w:instrText xml:space="preserve"> PAGEREF _Toc19951 \h </w:instrText>
      </w:r>
      <w:r>
        <w:rPr>
          <w:sz w:val="28"/>
          <w:szCs w:val="36"/>
        </w:rPr>
        <w:fldChar w:fldCharType="separate"/>
      </w:r>
      <w:r>
        <w:rPr>
          <w:sz w:val="28"/>
          <w:szCs w:val="36"/>
        </w:rPr>
        <w:t>14</w:t>
      </w:r>
      <w:r>
        <w:rPr>
          <w:sz w:val="28"/>
          <w:szCs w:val="36"/>
        </w:rPr>
        <w:fldChar w:fldCharType="end"/>
      </w:r>
      <w:r>
        <w:rPr>
          <w:rFonts w:ascii="Times New Roman" w:hAnsi="Times New Roman" w:eastAsia="方正小标宋简体"/>
          <w:color w:val="auto"/>
          <w:sz w:val="28"/>
          <w:szCs w:val="48"/>
          <w:highlight w:val="none"/>
        </w:rPr>
        <w:fldChar w:fldCharType="end"/>
      </w:r>
    </w:p>
    <w:p w14:paraId="7F2505C2">
      <w:pPr>
        <w:pStyle w:val="7"/>
        <w:tabs>
          <w:tab w:val="right" w:leader="dot" w:pos="8306"/>
          <w:tab w:val="clear" w:pos="8296"/>
        </w:tabs>
        <w:rPr>
          <w:sz w:val="28"/>
          <w:szCs w:val="36"/>
        </w:rPr>
      </w:pPr>
      <w:r>
        <w:rPr>
          <w:rFonts w:ascii="Times New Roman" w:hAnsi="Times New Roman" w:eastAsia="方正小标宋简体"/>
          <w:color w:val="auto"/>
          <w:sz w:val="28"/>
          <w:szCs w:val="48"/>
          <w:highlight w:val="none"/>
        </w:rPr>
        <w:fldChar w:fldCharType="begin"/>
      </w:r>
      <w:r>
        <w:rPr>
          <w:rFonts w:ascii="Times New Roman" w:hAnsi="Times New Roman" w:eastAsia="方正小标宋简体"/>
          <w:sz w:val="28"/>
          <w:szCs w:val="48"/>
          <w:highlight w:val="none"/>
        </w:rPr>
        <w:instrText xml:space="preserve"> HYPERLINK \l _Toc13250 </w:instrText>
      </w:r>
      <w:r>
        <w:rPr>
          <w:rFonts w:ascii="Times New Roman" w:hAnsi="Times New Roman" w:eastAsia="方正小标宋简体"/>
          <w:sz w:val="28"/>
          <w:szCs w:val="48"/>
          <w:highlight w:val="none"/>
        </w:rPr>
        <w:fldChar w:fldCharType="separate"/>
      </w:r>
      <w:r>
        <w:rPr>
          <w:rFonts w:hint="eastAsia" w:ascii="Times New Roman" w:hAnsi="Times New Roman" w:eastAsia="楷体_GB2312" w:cs="楷体_GB2312"/>
          <w:sz w:val="28"/>
          <w:szCs w:val="44"/>
          <w:highlight w:val="none"/>
        </w:rPr>
        <w:t>（一）一般公共预算财政拨款支出决算总体情况</w:t>
      </w:r>
      <w:r>
        <w:rPr>
          <w:sz w:val="28"/>
          <w:szCs w:val="36"/>
        </w:rPr>
        <w:tab/>
      </w:r>
      <w:r>
        <w:rPr>
          <w:sz w:val="28"/>
          <w:szCs w:val="36"/>
        </w:rPr>
        <w:fldChar w:fldCharType="begin"/>
      </w:r>
      <w:r>
        <w:rPr>
          <w:sz w:val="28"/>
          <w:szCs w:val="36"/>
        </w:rPr>
        <w:instrText xml:space="preserve"> PAGEREF _Toc13250 \h </w:instrText>
      </w:r>
      <w:r>
        <w:rPr>
          <w:sz w:val="28"/>
          <w:szCs w:val="36"/>
        </w:rPr>
        <w:fldChar w:fldCharType="separate"/>
      </w:r>
      <w:r>
        <w:rPr>
          <w:sz w:val="28"/>
          <w:szCs w:val="36"/>
        </w:rPr>
        <w:t>14</w:t>
      </w:r>
      <w:r>
        <w:rPr>
          <w:sz w:val="28"/>
          <w:szCs w:val="36"/>
        </w:rPr>
        <w:fldChar w:fldCharType="end"/>
      </w:r>
      <w:r>
        <w:rPr>
          <w:rFonts w:ascii="Times New Roman" w:hAnsi="Times New Roman" w:eastAsia="方正小标宋简体"/>
          <w:color w:val="auto"/>
          <w:sz w:val="28"/>
          <w:szCs w:val="48"/>
          <w:highlight w:val="none"/>
        </w:rPr>
        <w:fldChar w:fldCharType="end"/>
      </w:r>
    </w:p>
    <w:p w14:paraId="577CF1EB">
      <w:pPr>
        <w:pStyle w:val="7"/>
        <w:tabs>
          <w:tab w:val="right" w:leader="dot" w:pos="8306"/>
          <w:tab w:val="clear" w:pos="8296"/>
        </w:tabs>
        <w:rPr>
          <w:sz w:val="28"/>
          <w:szCs w:val="36"/>
        </w:rPr>
      </w:pPr>
      <w:r>
        <w:rPr>
          <w:rFonts w:ascii="Times New Roman" w:hAnsi="Times New Roman" w:eastAsia="方正小标宋简体"/>
          <w:color w:val="auto"/>
          <w:sz w:val="28"/>
          <w:szCs w:val="48"/>
          <w:highlight w:val="none"/>
        </w:rPr>
        <w:fldChar w:fldCharType="begin"/>
      </w:r>
      <w:r>
        <w:rPr>
          <w:rFonts w:ascii="Times New Roman" w:hAnsi="Times New Roman" w:eastAsia="方正小标宋简体"/>
          <w:sz w:val="28"/>
          <w:szCs w:val="48"/>
          <w:highlight w:val="none"/>
        </w:rPr>
        <w:instrText xml:space="preserve"> HYPERLINK \l _Toc5248 </w:instrText>
      </w:r>
      <w:r>
        <w:rPr>
          <w:rFonts w:ascii="Times New Roman" w:hAnsi="Times New Roman" w:eastAsia="方正小标宋简体"/>
          <w:sz w:val="28"/>
          <w:szCs w:val="48"/>
          <w:highlight w:val="none"/>
        </w:rPr>
        <w:fldChar w:fldCharType="separate"/>
      </w:r>
      <w:r>
        <w:rPr>
          <w:rFonts w:hint="eastAsia" w:ascii="Times New Roman" w:hAnsi="Times New Roman" w:eastAsia="楷体_GB2312" w:cs="楷体_GB2312"/>
          <w:sz w:val="28"/>
          <w:szCs w:val="44"/>
          <w:highlight w:val="none"/>
        </w:rPr>
        <w:t>（二）一般公共预算财政拨款支出决算结构情况</w:t>
      </w:r>
      <w:r>
        <w:rPr>
          <w:sz w:val="28"/>
          <w:szCs w:val="36"/>
        </w:rPr>
        <w:tab/>
      </w:r>
      <w:r>
        <w:rPr>
          <w:sz w:val="28"/>
          <w:szCs w:val="36"/>
        </w:rPr>
        <w:fldChar w:fldCharType="begin"/>
      </w:r>
      <w:r>
        <w:rPr>
          <w:sz w:val="28"/>
          <w:szCs w:val="36"/>
        </w:rPr>
        <w:instrText xml:space="preserve"> PAGEREF _Toc5248 \h </w:instrText>
      </w:r>
      <w:r>
        <w:rPr>
          <w:sz w:val="28"/>
          <w:szCs w:val="36"/>
        </w:rPr>
        <w:fldChar w:fldCharType="separate"/>
      </w:r>
      <w:r>
        <w:rPr>
          <w:sz w:val="28"/>
          <w:szCs w:val="36"/>
        </w:rPr>
        <w:t>15</w:t>
      </w:r>
      <w:r>
        <w:rPr>
          <w:sz w:val="28"/>
          <w:szCs w:val="36"/>
        </w:rPr>
        <w:fldChar w:fldCharType="end"/>
      </w:r>
      <w:r>
        <w:rPr>
          <w:rFonts w:ascii="Times New Roman" w:hAnsi="Times New Roman" w:eastAsia="方正小标宋简体"/>
          <w:color w:val="auto"/>
          <w:sz w:val="28"/>
          <w:szCs w:val="48"/>
          <w:highlight w:val="none"/>
        </w:rPr>
        <w:fldChar w:fldCharType="end"/>
      </w:r>
    </w:p>
    <w:p w14:paraId="1208B0F9">
      <w:pPr>
        <w:pStyle w:val="7"/>
        <w:tabs>
          <w:tab w:val="right" w:leader="dot" w:pos="8306"/>
          <w:tab w:val="clear" w:pos="8296"/>
        </w:tabs>
        <w:rPr>
          <w:sz w:val="28"/>
          <w:szCs w:val="36"/>
        </w:rPr>
      </w:pPr>
      <w:r>
        <w:rPr>
          <w:rFonts w:ascii="Times New Roman" w:hAnsi="Times New Roman" w:eastAsia="方正小标宋简体"/>
          <w:color w:val="auto"/>
          <w:sz w:val="28"/>
          <w:szCs w:val="48"/>
          <w:highlight w:val="none"/>
        </w:rPr>
        <w:fldChar w:fldCharType="begin"/>
      </w:r>
      <w:r>
        <w:rPr>
          <w:rFonts w:ascii="Times New Roman" w:hAnsi="Times New Roman" w:eastAsia="方正小标宋简体"/>
          <w:sz w:val="28"/>
          <w:szCs w:val="48"/>
          <w:highlight w:val="none"/>
        </w:rPr>
        <w:instrText xml:space="preserve"> HYPERLINK \l _Toc16405 </w:instrText>
      </w:r>
      <w:r>
        <w:rPr>
          <w:rFonts w:ascii="Times New Roman" w:hAnsi="Times New Roman" w:eastAsia="方正小标宋简体"/>
          <w:sz w:val="28"/>
          <w:szCs w:val="48"/>
          <w:highlight w:val="none"/>
        </w:rPr>
        <w:fldChar w:fldCharType="separate"/>
      </w:r>
      <w:r>
        <w:rPr>
          <w:rFonts w:hint="eastAsia" w:ascii="Times New Roman" w:hAnsi="Times New Roman" w:eastAsia="楷体_GB2312" w:cs="楷体_GB2312"/>
          <w:sz w:val="28"/>
          <w:szCs w:val="44"/>
          <w:highlight w:val="none"/>
        </w:rPr>
        <w:t>（三）一般公共预算财政拨款支出决算具体情况</w:t>
      </w:r>
      <w:r>
        <w:rPr>
          <w:sz w:val="28"/>
          <w:szCs w:val="36"/>
        </w:rPr>
        <w:tab/>
      </w:r>
      <w:r>
        <w:rPr>
          <w:sz w:val="28"/>
          <w:szCs w:val="36"/>
        </w:rPr>
        <w:fldChar w:fldCharType="begin"/>
      </w:r>
      <w:r>
        <w:rPr>
          <w:sz w:val="28"/>
          <w:szCs w:val="36"/>
        </w:rPr>
        <w:instrText xml:space="preserve"> PAGEREF _Toc16405 \h </w:instrText>
      </w:r>
      <w:r>
        <w:rPr>
          <w:sz w:val="28"/>
          <w:szCs w:val="36"/>
        </w:rPr>
        <w:fldChar w:fldCharType="separate"/>
      </w:r>
      <w:r>
        <w:rPr>
          <w:sz w:val="28"/>
          <w:szCs w:val="36"/>
        </w:rPr>
        <w:t>16</w:t>
      </w:r>
      <w:r>
        <w:rPr>
          <w:sz w:val="28"/>
          <w:szCs w:val="36"/>
        </w:rPr>
        <w:fldChar w:fldCharType="end"/>
      </w:r>
      <w:r>
        <w:rPr>
          <w:rFonts w:ascii="Times New Roman" w:hAnsi="Times New Roman" w:eastAsia="方正小标宋简体"/>
          <w:color w:val="auto"/>
          <w:sz w:val="28"/>
          <w:szCs w:val="48"/>
          <w:highlight w:val="none"/>
        </w:rPr>
        <w:fldChar w:fldCharType="end"/>
      </w:r>
    </w:p>
    <w:p w14:paraId="6774093E">
      <w:pPr>
        <w:pStyle w:val="14"/>
        <w:tabs>
          <w:tab w:val="right" w:leader="dot" w:pos="8306"/>
          <w:tab w:val="clear" w:pos="8296"/>
        </w:tabs>
        <w:rPr>
          <w:sz w:val="28"/>
          <w:szCs w:val="36"/>
        </w:rPr>
      </w:pPr>
      <w:r>
        <w:rPr>
          <w:rFonts w:ascii="Times New Roman" w:hAnsi="Times New Roman" w:eastAsia="方正小标宋简体"/>
          <w:color w:val="auto"/>
          <w:sz w:val="28"/>
          <w:szCs w:val="48"/>
          <w:highlight w:val="none"/>
        </w:rPr>
        <w:fldChar w:fldCharType="begin"/>
      </w:r>
      <w:r>
        <w:rPr>
          <w:rFonts w:ascii="Times New Roman" w:hAnsi="Times New Roman" w:eastAsia="方正小标宋简体"/>
          <w:sz w:val="28"/>
          <w:szCs w:val="48"/>
          <w:highlight w:val="none"/>
        </w:rPr>
        <w:instrText xml:space="preserve"> HYPERLINK \l _Toc1695 </w:instrText>
      </w:r>
      <w:r>
        <w:rPr>
          <w:rFonts w:ascii="Times New Roman" w:hAnsi="Times New Roman" w:eastAsia="方正小标宋简体"/>
          <w:sz w:val="28"/>
          <w:szCs w:val="48"/>
          <w:highlight w:val="none"/>
        </w:rPr>
        <w:fldChar w:fldCharType="separate"/>
      </w:r>
      <w:r>
        <w:rPr>
          <w:rFonts w:hint="eastAsia" w:ascii="Times New Roman" w:hAnsi="Times New Roman" w:eastAsia="黑体"/>
          <w:sz w:val="28"/>
          <w:szCs w:val="44"/>
          <w:highlight w:val="none"/>
        </w:rPr>
        <w:t>六、一</w:t>
      </w:r>
      <w:r>
        <w:rPr>
          <w:rFonts w:hint="eastAsia" w:ascii="Times New Roman" w:hAnsi="Times New Roman" w:eastAsia="黑体"/>
          <w:sz w:val="28"/>
          <w:szCs w:val="36"/>
          <w:highlight w:val="none"/>
        </w:rPr>
        <w:t>般公共预算财政拨款基本支出决算情况说明</w:t>
      </w:r>
      <w:r>
        <w:rPr>
          <w:sz w:val="28"/>
          <w:szCs w:val="36"/>
        </w:rPr>
        <w:tab/>
      </w:r>
      <w:r>
        <w:rPr>
          <w:sz w:val="28"/>
          <w:szCs w:val="36"/>
        </w:rPr>
        <w:fldChar w:fldCharType="begin"/>
      </w:r>
      <w:r>
        <w:rPr>
          <w:sz w:val="28"/>
          <w:szCs w:val="36"/>
        </w:rPr>
        <w:instrText xml:space="preserve"> PAGEREF _Toc1695 \h </w:instrText>
      </w:r>
      <w:r>
        <w:rPr>
          <w:sz w:val="28"/>
          <w:szCs w:val="36"/>
        </w:rPr>
        <w:fldChar w:fldCharType="separate"/>
      </w:r>
      <w:r>
        <w:rPr>
          <w:sz w:val="28"/>
          <w:szCs w:val="36"/>
        </w:rPr>
        <w:t>18</w:t>
      </w:r>
      <w:r>
        <w:rPr>
          <w:sz w:val="28"/>
          <w:szCs w:val="36"/>
        </w:rPr>
        <w:fldChar w:fldCharType="end"/>
      </w:r>
      <w:r>
        <w:rPr>
          <w:rFonts w:ascii="Times New Roman" w:hAnsi="Times New Roman" w:eastAsia="方正小标宋简体"/>
          <w:color w:val="auto"/>
          <w:sz w:val="28"/>
          <w:szCs w:val="48"/>
          <w:highlight w:val="none"/>
        </w:rPr>
        <w:fldChar w:fldCharType="end"/>
      </w:r>
    </w:p>
    <w:p w14:paraId="6F3B1FF8">
      <w:pPr>
        <w:pStyle w:val="14"/>
        <w:tabs>
          <w:tab w:val="right" w:leader="dot" w:pos="8306"/>
          <w:tab w:val="clear" w:pos="8296"/>
        </w:tabs>
        <w:rPr>
          <w:sz w:val="28"/>
          <w:szCs w:val="36"/>
        </w:rPr>
      </w:pPr>
      <w:r>
        <w:rPr>
          <w:rFonts w:ascii="Times New Roman" w:hAnsi="Times New Roman" w:eastAsia="方正小标宋简体"/>
          <w:color w:val="auto"/>
          <w:sz w:val="28"/>
          <w:szCs w:val="48"/>
          <w:highlight w:val="none"/>
        </w:rPr>
        <w:fldChar w:fldCharType="begin"/>
      </w:r>
      <w:r>
        <w:rPr>
          <w:rFonts w:ascii="Times New Roman" w:hAnsi="Times New Roman" w:eastAsia="方正小标宋简体"/>
          <w:sz w:val="28"/>
          <w:szCs w:val="48"/>
          <w:highlight w:val="none"/>
        </w:rPr>
        <w:instrText xml:space="preserve"> HYPERLINK \l _Toc32532 </w:instrText>
      </w:r>
      <w:r>
        <w:rPr>
          <w:rFonts w:ascii="Times New Roman" w:hAnsi="Times New Roman" w:eastAsia="方正小标宋简体"/>
          <w:sz w:val="28"/>
          <w:szCs w:val="48"/>
          <w:highlight w:val="none"/>
        </w:rPr>
        <w:fldChar w:fldCharType="separate"/>
      </w:r>
      <w:r>
        <w:rPr>
          <w:rFonts w:hint="eastAsia" w:ascii="Times New Roman" w:hAnsi="Times New Roman" w:eastAsia="黑体"/>
          <w:sz w:val="28"/>
          <w:szCs w:val="44"/>
          <w:highlight w:val="none"/>
        </w:rPr>
        <w:t>七、</w:t>
      </w:r>
      <w:r>
        <w:rPr>
          <w:rFonts w:hint="eastAsia" w:ascii="Times New Roman" w:hAnsi="Times New Roman" w:eastAsia="黑体"/>
          <w:sz w:val="28"/>
          <w:szCs w:val="36"/>
          <w:highlight w:val="none"/>
        </w:rPr>
        <w:t>财政拨款“三公”经费支出决算情况说明</w:t>
      </w:r>
      <w:r>
        <w:rPr>
          <w:sz w:val="28"/>
          <w:szCs w:val="36"/>
        </w:rPr>
        <w:tab/>
      </w:r>
      <w:r>
        <w:rPr>
          <w:sz w:val="28"/>
          <w:szCs w:val="36"/>
        </w:rPr>
        <w:fldChar w:fldCharType="begin"/>
      </w:r>
      <w:r>
        <w:rPr>
          <w:sz w:val="28"/>
          <w:szCs w:val="36"/>
        </w:rPr>
        <w:instrText xml:space="preserve"> PAGEREF _Toc32532 \h </w:instrText>
      </w:r>
      <w:r>
        <w:rPr>
          <w:sz w:val="28"/>
          <w:szCs w:val="36"/>
        </w:rPr>
        <w:fldChar w:fldCharType="separate"/>
      </w:r>
      <w:r>
        <w:rPr>
          <w:sz w:val="28"/>
          <w:szCs w:val="36"/>
        </w:rPr>
        <w:t>19</w:t>
      </w:r>
      <w:r>
        <w:rPr>
          <w:sz w:val="28"/>
          <w:szCs w:val="36"/>
        </w:rPr>
        <w:fldChar w:fldCharType="end"/>
      </w:r>
      <w:r>
        <w:rPr>
          <w:rFonts w:ascii="Times New Roman" w:hAnsi="Times New Roman" w:eastAsia="方正小标宋简体"/>
          <w:color w:val="auto"/>
          <w:sz w:val="28"/>
          <w:szCs w:val="48"/>
          <w:highlight w:val="none"/>
        </w:rPr>
        <w:fldChar w:fldCharType="end"/>
      </w:r>
    </w:p>
    <w:p w14:paraId="1AAFAE14">
      <w:pPr>
        <w:pStyle w:val="7"/>
        <w:tabs>
          <w:tab w:val="right" w:leader="dot" w:pos="8306"/>
          <w:tab w:val="clear" w:pos="8296"/>
        </w:tabs>
        <w:rPr>
          <w:sz w:val="28"/>
          <w:szCs w:val="36"/>
        </w:rPr>
      </w:pPr>
      <w:r>
        <w:rPr>
          <w:rFonts w:ascii="Times New Roman" w:hAnsi="Times New Roman" w:eastAsia="方正小标宋简体"/>
          <w:color w:val="auto"/>
          <w:sz w:val="28"/>
          <w:szCs w:val="48"/>
          <w:highlight w:val="none"/>
        </w:rPr>
        <w:fldChar w:fldCharType="begin"/>
      </w:r>
      <w:r>
        <w:rPr>
          <w:rFonts w:ascii="Times New Roman" w:hAnsi="Times New Roman" w:eastAsia="方正小标宋简体"/>
          <w:sz w:val="28"/>
          <w:szCs w:val="48"/>
          <w:highlight w:val="none"/>
        </w:rPr>
        <w:instrText xml:space="preserve"> HYPERLINK \l _Toc31145 </w:instrText>
      </w:r>
      <w:r>
        <w:rPr>
          <w:rFonts w:ascii="Times New Roman" w:hAnsi="Times New Roman" w:eastAsia="方正小标宋简体"/>
          <w:sz w:val="28"/>
          <w:szCs w:val="48"/>
          <w:highlight w:val="none"/>
        </w:rPr>
        <w:fldChar w:fldCharType="separate"/>
      </w:r>
      <w:r>
        <w:rPr>
          <w:rFonts w:hint="eastAsia" w:ascii="Times New Roman" w:hAnsi="Times New Roman" w:eastAsia="楷体_GB2312" w:cs="楷体_GB2312"/>
          <w:sz w:val="28"/>
          <w:szCs w:val="44"/>
          <w:highlight w:val="none"/>
        </w:rPr>
        <w:t>（一）“三公”经费财政拨款支出决算总体情况说明</w:t>
      </w:r>
      <w:r>
        <w:rPr>
          <w:sz w:val="28"/>
          <w:szCs w:val="36"/>
        </w:rPr>
        <w:tab/>
      </w:r>
      <w:r>
        <w:rPr>
          <w:sz w:val="28"/>
          <w:szCs w:val="36"/>
        </w:rPr>
        <w:fldChar w:fldCharType="begin"/>
      </w:r>
      <w:r>
        <w:rPr>
          <w:sz w:val="28"/>
          <w:szCs w:val="36"/>
        </w:rPr>
        <w:instrText xml:space="preserve"> PAGEREF _Toc31145 \h </w:instrText>
      </w:r>
      <w:r>
        <w:rPr>
          <w:sz w:val="28"/>
          <w:szCs w:val="36"/>
        </w:rPr>
        <w:fldChar w:fldCharType="separate"/>
      </w:r>
      <w:r>
        <w:rPr>
          <w:sz w:val="28"/>
          <w:szCs w:val="36"/>
        </w:rPr>
        <w:t>19</w:t>
      </w:r>
      <w:r>
        <w:rPr>
          <w:sz w:val="28"/>
          <w:szCs w:val="36"/>
        </w:rPr>
        <w:fldChar w:fldCharType="end"/>
      </w:r>
      <w:r>
        <w:rPr>
          <w:rFonts w:ascii="Times New Roman" w:hAnsi="Times New Roman" w:eastAsia="方正小标宋简体"/>
          <w:color w:val="auto"/>
          <w:sz w:val="28"/>
          <w:szCs w:val="48"/>
          <w:highlight w:val="none"/>
        </w:rPr>
        <w:fldChar w:fldCharType="end"/>
      </w:r>
    </w:p>
    <w:p w14:paraId="16A525D3">
      <w:pPr>
        <w:pStyle w:val="7"/>
        <w:tabs>
          <w:tab w:val="right" w:leader="dot" w:pos="8306"/>
          <w:tab w:val="clear" w:pos="8296"/>
        </w:tabs>
        <w:rPr>
          <w:sz w:val="28"/>
          <w:szCs w:val="36"/>
        </w:rPr>
      </w:pPr>
      <w:r>
        <w:rPr>
          <w:rFonts w:ascii="Times New Roman" w:hAnsi="Times New Roman" w:eastAsia="方正小标宋简体"/>
          <w:color w:val="auto"/>
          <w:sz w:val="28"/>
          <w:szCs w:val="48"/>
          <w:highlight w:val="none"/>
        </w:rPr>
        <w:fldChar w:fldCharType="begin"/>
      </w:r>
      <w:r>
        <w:rPr>
          <w:rFonts w:ascii="Times New Roman" w:hAnsi="Times New Roman" w:eastAsia="方正小标宋简体"/>
          <w:sz w:val="28"/>
          <w:szCs w:val="48"/>
          <w:highlight w:val="none"/>
        </w:rPr>
        <w:instrText xml:space="preserve"> HYPERLINK \l _Toc17793 </w:instrText>
      </w:r>
      <w:r>
        <w:rPr>
          <w:rFonts w:ascii="Times New Roman" w:hAnsi="Times New Roman" w:eastAsia="方正小标宋简体"/>
          <w:sz w:val="28"/>
          <w:szCs w:val="48"/>
          <w:highlight w:val="none"/>
        </w:rPr>
        <w:fldChar w:fldCharType="separate"/>
      </w:r>
      <w:r>
        <w:rPr>
          <w:rFonts w:hint="eastAsia" w:ascii="Times New Roman" w:hAnsi="Times New Roman" w:eastAsia="楷体_GB2312" w:cs="楷体_GB2312"/>
          <w:sz w:val="28"/>
          <w:szCs w:val="44"/>
          <w:highlight w:val="none"/>
        </w:rPr>
        <w:t>（二）“三公”经费财政拨款支出决算具体情况说明</w:t>
      </w:r>
      <w:r>
        <w:rPr>
          <w:sz w:val="28"/>
          <w:szCs w:val="36"/>
        </w:rPr>
        <w:tab/>
      </w:r>
      <w:r>
        <w:rPr>
          <w:sz w:val="28"/>
          <w:szCs w:val="36"/>
        </w:rPr>
        <w:fldChar w:fldCharType="begin"/>
      </w:r>
      <w:r>
        <w:rPr>
          <w:sz w:val="28"/>
          <w:szCs w:val="36"/>
        </w:rPr>
        <w:instrText xml:space="preserve"> PAGEREF _Toc17793 \h </w:instrText>
      </w:r>
      <w:r>
        <w:rPr>
          <w:sz w:val="28"/>
          <w:szCs w:val="36"/>
        </w:rPr>
        <w:fldChar w:fldCharType="separate"/>
      </w:r>
      <w:r>
        <w:rPr>
          <w:sz w:val="28"/>
          <w:szCs w:val="36"/>
        </w:rPr>
        <w:t>19</w:t>
      </w:r>
      <w:r>
        <w:rPr>
          <w:sz w:val="28"/>
          <w:szCs w:val="36"/>
        </w:rPr>
        <w:fldChar w:fldCharType="end"/>
      </w:r>
      <w:r>
        <w:rPr>
          <w:rFonts w:ascii="Times New Roman" w:hAnsi="Times New Roman" w:eastAsia="方正小标宋简体"/>
          <w:color w:val="auto"/>
          <w:sz w:val="28"/>
          <w:szCs w:val="48"/>
          <w:highlight w:val="none"/>
        </w:rPr>
        <w:fldChar w:fldCharType="end"/>
      </w:r>
    </w:p>
    <w:p w14:paraId="142C086C">
      <w:pPr>
        <w:pStyle w:val="14"/>
        <w:tabs>
          <w:tab w:val="right" w:leader="dot" w:pos="8306"/>
          <w:tab w:val="clear" w:pos="8296"/>
        </w:tabs>
        <w:rPr>
          <w:sz w:val="28"/>
          <w:szCs w:val="36"/>
        </w:rPr>
      </w:pPr>
      <w:r>
        <w:rPr>
          <w:rFonts w:ascii="Times New Roman" w:hAnsi="Times New Roman" w:eastAsia="方正小标宋简体"/>
          <w:color w:val="auto"/>
          <w:sz w:val="28"/>
          <w:szCs w:val="48"/>
          <w:highlight w:val="none"/>
        </w:rPr>
        <w:fldChar w:fldCharType="begin"/>
      </w:r>
      <w:r>
        <w:rPr>
          <w:rFonts w:ascii="Times New Roman" w:hAnsi="Times New Roman" w:eastAsia="方正小标宋简体"/>
          <w:sz w:val="28"/>
          <w:szCs w:val="48"/>
          <w:highlight w:val="none"/>
        </w:rPr>
        <w:instrText xml:space="preserve"> HYPERLINK \l _Toc14564 </w:instrText>
      </w:r>
      <w:r>
        <w:rPr>
          <w:rFonts w:ascii="Times New Roman" w:hAnsi="Times New Roman" w:eastAsia="方正小标宋简体"/>
          <w:sz w:val="28"/>
          <w:szCs w:val="48"/>
          <w:highlight w:val="none"/>
        </w:rPr>
        <w:fldChar w:fldCharType="separate"/>
      </w:r>
      <w:r>
        <w:rPr>
          <w:rFonts w:hint="eastAsia" w:ascii="Times New Roman" w:hAnsi="Times New Roman" w:eastAsia="黑体"/>
          <w:sz w:val="28"/>
          <w:szCs w:val="44"/>
          <w:highlight w:val="none"/>
        </w:rPr>
        <w:t>八、</w:t>
      </w:r>
      <w:r>
        <w:rPr>
          <w:rFonts w:hint="eastAsia" w:ascii="Times New Roman" w:hAnsi="Times New Roman" w:eastAsia="黑体"/>
          <w:sz w:val="28"/>
          <w:szCs w:val="36"/>
          <w:highlight w:val="none"/>
        </w:rPr>
        <w:t>政府性基金预算支出决算情况说明</w:t>
      </w:r>
      <w:r>
        <w:rPr>
          <w:sz w:val="28"/>
          <w:szCs w:val="36"/>
        </w:rPr>
        <w:tab/>
      </w:r>
      <w:r>
        <w:rPr>
          <w:sz w:val="28"/>
          <w:szCs w:val="36"/>
        </w:rPr>
        <w:fldChar w:fldCharType="begin"/>
      </w:r>
      <w:r>
        <w:rPr>
          <w:sz w:val="28"/>
          <w:szCs w:val="36"/>
        </w:rPr>
        <w:instrText xml:space="preserve"> PAGEREF _Toc14564 \h </w:instrText>
      </w:r>
      <w:r>
        <w:rPr>
          <w:sz w:val="28"/>
          <w:szCs w:val="36"/>
        </w:rPr>
        <w:fldChar w:fldCharType="separate"/>
      </w:r>
      <w:r>
        <w:rPr>
          <w:sz w:val="28"/>
          <w:szCs w:val="36"/>
        </w:rPr>
        <w:t>20</w:t>
      </w:r>
      <w:r>
        <w:rPr>
          <w:sz w:val="28"/>
          <w:szCs w:val="36"/>
        </w:rPr>
        <w:fldChar w:fldCharType="end"/>
      </w:r>
      <w:r>
        <w:rPr>
          <w:rFonts w:ascii="Times New Roman" w:hAnsi="Times New Roman" w:eastAsia="方正小标宋简体"/>
          <w:color w:val="auto"/>
          <w:sz w:val="28"/>
          <w:szCs w:val="48"/>
          <w:highlight w:val="none"/>
        </w:rPr>
        <w:fldChar w:fldCharType="end"/>
      </w:r>
    </w:p>
    <w:p w14:paraId="4D864699">
      <w:pPr>
        <w:pStyle w:val="14"/>
        <w:tabs>
          <w:tab w:val="right" w:leader="dot" w:pos="8306"/>
          <w:tab w:val="clear" w:pos="8296"/>
        </w:tabs>
        <w:rPr>
          <w:rFonts w:hint="eastAsia" w:eastAsia="方正小标宋简体"/>
          <w:sz w:val="28"/>
          <w:szCs w:val="36"/>
          <w:lang w:val="en-US" w:eastAsia="zh-CN"/>
        </w:rPr>
      </w:pPr>
      <w:r>
        <w:rPr>
          <w:rFonts w:ascii="Times New Roman" w:hAnsi="Times New Roman" w:eastAsia="方正小标宋简体"/>
          <w:color w:val="auto"/>
          <w:sz w:val="28"/>
          <w:szCs w:val="48"/>
          <w:highlight w:val="none"/>
        </w:rPr>
        <w:fldChar w:fldCharType="begin"/>
      </w:r>
      <w:r>
        <w:rPr>
          <w:rFonts w:ascii="Times New Roman" w:hAnsi="Times New Roman" w:eastAsia="方正小标宋简体"/>
          <w:sz w:val="28"/>
          <w:szCs w:val="48"/>
          <w:highlight w:val="none"/>
        </w:rPr>
        <w:instrText xml:space="preserve"> HYPERLINK \l _Toc31976 </w:instrText>
      </w:r>
      <w:r>
        <w:rPr>
          <w:rFonts w:ascii="Times New Roman" w:hAnsi="Times New Roman" w:eastAsia="方正小标宋简体"/>
          <w:sz w:val="28"/>
          <w:szCs w:val="48"/>
          <w:highlight w:val="none"/>
        </w:rPr>
        <w:fldChar w:fldCharType="separate"/>
      </w:r>
      <w:r>
        <w:rPr>
          <w:rFonts w:hint="eastAsia" w:ascii="Times New Roman" w:hAnsi="Times New Roman" w:eastAsia="黑体"/>
          <w:sz w:val="28"/>
          <w:szCs w:val="36"/>
          <w:highlight w:val="none"/>
          <w:lang w:eastAsia="zh-CN"/>
        </w:rPr>
        <w:t>九、</w:t>
      </w:r>
      <w:r>
        <w:rPr>
          <w:rFonts w:hint="eastAsia" w:ascii="Times New Roman" w:hAnsi="Times New Roman" w:eastAsia="黑体"/>
          <w:sz w:val="28"/>
          <w:szCs w:val="36"/>
          <w:highlight w:val="none"/>
        </w:rPr>
        <w:t>国有资本经营预算支出决算情况说明</w:t>
      </w:r>
      <w:r>
        <w:rPr>
          <w:sz w:val="28"/>
          <w:szCs w:val="36"/>
        </w:rPr>
        <w:tab/>
      </w:r>
      <w:r>
        <w:rPr>
          <w:rFonts w:hint="eastAsia"/>
          <w:sz w:val="28"/>
          <w:szCs w:val="36"/>
          <w:lang w:val="en-US" w:eastAsia="zh-CN"/>
        </w:rPr>
        <w:t>2</w:t>
      </w:r>
      <w:r>
        <w:rPr>
          <w:rFonts w:ascii="Times New Roman" w:hAnsi="Times New Roman" w:eastAsia="方正小标宋简体"/>
          <w:color w:val="auto"/>
          <w:sz w:val="28"/>
          <w:szCs w:val="48"/>
          <w:highlight w:val="none"/>
        </w:rPr>
        <w:fldChar w:fldCharType="end"/>
      </w:r>
      <w:r>
        <w:rPr>
          <w:rFonts w:hint="eastAsia" w:eastAsia="方正小标宋简体"/>
          <w:color w:val="auto"/>
          <w:sz w:val="28"/>
          <w:szCs w:val="48"/>
          <w:highlight w:val="none"/>
          <w:lang w:val="en-US" w:eastAsia="zh-CN"/>
        </w:rPr>
        <w:t>0</w:t>
      </w:r>
    </w:p>
    <w:p w14:paraId="65F59146">
      <w:pPr>
        <w:pStyle w:val="14"/>
        <w:tabs>
          <w:tab w:val="right" w:leader="dot" w:pos="8306"/>
          <w:tab w:val="clear" w:pos="8296"/>
        </w:tabs>
        <w:rPr>
          <w:rFonts w:hint="eastAsia" w:eastAsia="方正小标宋简体"/>
          <w:sz w:val="28"/>
          <w:szCs w:val="36"/>
          <w:lang w:val="en-US" w:eastAsia="zh-CN"/>
        </w:rPr>
      </w:pPr>
      <w:r>
        <w:rPr>
          <w:rFonts w:ascii="Times New Roman" w:hAnsi="Times New Roman" w:eastAsia="方正小标宋简体"/>
          <w:color w:val="auto"/>
          <w:sz w:val="28"/>
          <w:szCs w:val="48"/>
          <w:highlight w:val="none"/>
        </w:rPr>
        <w:fldChar w:fldCharType="begin"/>
      </w:r>
      <w:r>
        <w:rPr>
          <w:rFonts w:ascii="Times New Roman" w:hAnsi="Times New Roman" w:eastAsia="方正小标宋简体"/>
          <w:sz w:val="28"/>
          <w:szCs w:val="48"/>
          <w:highlight w:val="none"/>
        </w:rPr>
        <w:instrText xml:space="preserve"> HYPERLINK \l _Toc11655 </w:instrText>
      </w:r>
      <w:r>
        <w:rPr>
          <w:rFonts w:ascii="Times New Roman" w:hAnsi="Times New Roman" w:eastAsia="方正小标宋简体"/>
          <w:sz w:val="28"/>
          <w:szCs w:val="48"/>
          <w:highlight w:val="none"/>
        </w:rPr>
        <w:fldChar w:fldCharType="separate"/>
      </w:r>
      <w:r>
        <w:rPr>
          <w:rFonts w:hint="eastAsia" w:ascii="Times New Roman" w:hAnsi="Times New Roman" w:eastAsia="黑体"/>
          <w:sz w:val="28"/>
          <w:szCs w:val="36"/>
          <w:highlight w:val="none"/>
          <w:lang w:eastAsia="zh-CN"/>
        </w:rPr>
        <w:t>十、</w:t>
      </w:r>
      <w:r>
        <w:rPr>
          <w:rFonts w:hint="eastAsia" w:ascii="Times New Roman" w:hAnsi="Times New Roman" w:eastAsia="黑体"/>
          <w:sz w:val="28"/>
          <w:szCs w:val="36"/>
          <w:highlight w:val="none"/>
        </w:rPr>
        <w:t>其他重要事项的情况说明</w:t>
      </w:r>
      <w:r>
        <w:rPr>
          <w:sz w:val="28"/>
          <w:szCs w:val="36"/>
        </w:rPr>
        <w:tab/>
      </w:r>
      <w:r>
        <w:rPr>
          <w:rFonts w:hint="eastAsia"/>
          <w:sz w:val="28"/>
          <w:szCs w:val="36"/>
          <w:lang w:val="en-US" w:eastAsia="zh-CN"/>
        </w:rPr>
        <w:t>2</w:t>
      </w:r>
      <w:r>
        <w:rPr>
          <w:rFonts w:ascii="Times New Roman" w:hAnsi="Times New Roman" w:eastAsia="方正小标宋简体"/>
          <w:color w:val="auto"/>
          <w:sz w:val="28"/>
          <w:szCs w:val="48"/>
          <w:highlight w:val="none"/>
        </w:rPr>
        <w:fldChar w:fldCharType="end"/>
      </w:r>
      <w:r>
        <w:rPr>
          <w:rFonts w:hint="eastAsia" w:eastAsia="方正小标宋简体"/>
          <w:color w:val="auto"/>
          <w:sz w:val="28"/>
          <w:szCs w:val="48"/>
          <w:highlight w:val="none"/>
          <w:lang w:val="en-US" w:eastAsia="zh-CN"/>
        </w:rPr>
        <w:t>0</w:t>
      </w:r>
    </w:p>
    <w:p w14:paraId="5C6E3429">
      <w:pPr>
        <w:pStyle w:val="7"/>
        <w:tabs>
          <w:tab w:val="right" w:leader="dot" w:pos="8306"/>
          <w:tab w:val="clear" w:pos="8296"/>
        </w:tabs>
        <w:rPr>
          <w:rFonts w:hint="eastAsia" w:eastAsia="方正小标宋简体"/>
          <w:sz w:val="28"/>
          <w:szCs w:val="36"/>
          <w:lang w:val="en-US" w:eastAsia="zh-CN"/>
        </w:rPr>
      </w:pPr>
      <w:r>
        <w:rPr>
          <w:rFonts w:ascii="Times New Roman" w:hAnsi="Times New Roman" w:eastAsia="方正小标宋简体"/>
          <w:color w:val="auto"/>
          <w:sz w:val="28"/>
          <w:szCs w:val="48"/>
          <w:highlight w:val="none"/>
        </w:rPr>
        <w:fldChar w:fldCharType="begin"/>
      </w:r>
      <w:r>
        <w:rPr>
          <w:rFonts w:ascii="Times New Roman" w:hAnsi="Times New Roman" w:eastAsia="方正小标宋简体"/>
          <w:sz w:val="28"/>
          <w:szCs w:val="48"/>
          <w:highlight w:val="none"/>
        </w:rPr>
        <w:instrText xml:space="preserve"> HYPERLINK \l _Toc24597 </w:instrText>
      </w:r>
      <w:r>
        <w:rPr>
          <w:rFonts w:ascii="Times New Roman" w:hAnsi="Times New Roman" w:eastAsia="方正小标宋简体"/>
          <w:sz w:val="28"/>
          <w:szCs w:val="48"/>
          <w:highlight w:val="none"/>
        </w:rPr>
        <w:fldChar w:fldCharType="separate"/>
      </w:r>
      <w:r>
        <w:rPr>
          <w:rFonts w:hint="eastAsia" w:ascii="Times New Roman" w:hAnsi="Times New Roman" w:eastAsia="楷体_GB2312" w:cs="楷体_GB2312"/>
          <w:sz w:val="28"/>
          <w:szCs w:val="44"/>
          <w:highlight w:val="none"/>
        </w:rPr>
        <w:t>（一）机关运行经费支出情况</w:t>
      </w:r>
      <w:r>
        <w:rPr>
          <w:sz w:val="28"/>
          <w:szCs w:val="36"/>
        </w:rPr>
        <w:tab/>
      </w:r>
      <w:r>
        <w:rPr>
          <w:rFonts w:hint="eastAsia"/>
          <w:sz w:val="28"/>
          <w:szCs w:val="36"/>
          <w:lang w:val="en-US" w:eastAsia="zh-CN"/>
        </w:rPr>
        <w:t>2</w:t>
      </w:r>
      <w:r>
        <w:rPr>
          <w:rFonts w:ascii="Times New Roman" w:hAnsi="Times New Roman" w:eastAsia="方正小标宋简体"/>
          <w:color w:val="auto"/>
          <w:sz w:val="28"/>
          <w:szCs w:val="48"/>
          <w:highlight w:val="none"/>
        </w:rPr>
        <w:fldChar w:fldCharType="end"/>
      </w:r>
      <w:r>
        <w:rPr>
          <w:rFonts w:hint="eastAsia" w:eastAsia="方正小标宋简体"/>
          <w:color w:val="auto"/>
          <w:sz w:val="28"/>
          <w:szCs w:val="48"/>
          <w:highlight w:val="none"/>
          <w:lang w:val="en-US" w:eastAsia="zh-CN"/>
        </w:rPr>
        <w:t>0</w:t>
      </w:r>
    </w:p>
    <w:p w14:paraId="576CFE82">
      <w:pPr>
        <w:pStyle w:val="7"/>
        <w:tabs>
          <w:tab w:val="right" w:leader="dot" w:pos="8306"/>
          <w:tab w:val="clear" w:pos="8296"/>
        </w:tabs>
        <w:rPr>
          <w:rFonts w:hint="eastAsia" w:eastAsia="方正小标宋简体"/>
          <w:sz w:val="28"/>
          <w:szCs w:val="36"/>
          <w:lang w:val="en-US" w:eastAsia="zh-CN"/>
        </w:rPr>
      </w:pPr>
      <w:r>
        <w:rPr>
          <w:rFonts w:ascii="Times New Roman" w:hAnsi="Times New Roman" w:eastAsia="方正小标宋简体"/>
          <w:color w:val="auto"/>
          <w:sz w:val="28"/>
          <w:szCs w:val="48"/>
          <w:highlight w:val="none"/>
        </w:rPr>
        <w:fldChar w:fldCharType="begin"/>
      </w:r>
      <w:r>
        <w:rPr>
          <w:rFonts w:ascii="Times New Roman" w:hAnsi="Times New Roman" w:eastAsia="方正小标宋简体"/>
          <w:sz w:val="28"/>
          <w:szCs w:val="48"/>
          <w:highlight w:val="none"/>
        </w:rPr>
        <w:instrText xml:space="preserve"> HYPERLINK \l _Toc3030 </w:instrText>
      </w:r>
      <w:r>
        <w:rPr>
          <w:rFonts w:ascii="Times New Roman" w:hAnsi="Times New Roman" w:eastAsia="方正小标宋简体"/>
          <w:sz w:val="28"/>
          <w:szCs w:val="48"/>
          <w:highlight w:val="none"/>
        </w:rPr>
        <w:fldChar w:fldCharType="separate"/>
      </w:r>
      <w:r>
        <w:rPr>
          <w:rFonts w:hint="eastAsia" w:ascii="Times New Roman" w:hAnsi="Times New Roman" w:eastAsia="楷体_GB2312" w:cs="楷体_GB2312"/>
          <w:sz w:val="28"/>
          <w:szCs w:val="44"/>
          <w:highlight w:val="none"/>
        </w:rPr>
        <w:t>（二）政府采购支出情况</w:t>
      </w:r>
      <w:r>
        <w:rPr>
          <w:sz w:val="28"/>
          <w:szCs w:val="36"/>
        </w:rPr>
        <w:tab/>
      </w:r>
      <w:r>
        <w:rPr>
          <w:rFonts w:hint="eastAsia"/>
          <w:sz w:val="28"/>
          <w:szCs w:val="36"/>
          <w:lang w:val="en-US" w:eastAsia="zh-CN"/>
        </w:rPr>
        <w:t>2</w:t>
      </w:r>
      <w:r>
        <w:rPr>
          <w:rFonts w:ascii="Times New Roman" w:hAnsi="Times New Roman" w:eastAsia="方正小标宋简体"/>
          <w:color w:val="auto"/>
          <w:sz w:val="28"/>
          <w:szCs w:val="48"/>
          <w:highlight w:val="none"/>
        </w:rPr>
        <w:fldChar w:fldCharType="end"/>
      </w:r>
      <w:r>
        <w:rPr>
          <w:rFonts w:hint="eastAsia" w:eastAsia="方正小标宋简体"/>
          <w:color w:val="auto"/>
          <w:sz w:val="28"/>
          <w:szCs w:val="48"/>
          <w:highlight w:val="none"/>
          <w:lang w:val="en-US" w:eastAsia="zh-CN"/>
        </w:rPr>
        <w:t>0</w:t>
      </w:r>
    </w:p>
    <w:p w14:paraId="75E26450">
      <w:pPr>
        <w:pStyle w:val="7"/>
        <w:tabs>
          <w:tab w:val="right" w:leader="dot" w:pos="8306"/>
          <w:tab w:val="clear" w:pos="8296"/>
        </w:tabs>
        <w:rPr>
          <w:rFonts w:hint="eastAsia" w:eastAsia="方正小标宋简体"/>
          <w:sz w:val="28"/>
          <w:szCs w:val="36"/>
          <w:lang w:val="en-US" w:eastAsia="zh-CN"/>
        </w:rPr>
      </w:pPr>
      <w:r>
        <w:rPr>
          <w:rFonts w:ascii="Times New Roman" w:hAnsi="Times New Roman" w:eastAsia="方正小标宋简体"/>
          <w:color w:val="auto"/>
          <w:sz w:val="28"/>
          <w:szCs w:val="48"/>
          <w:highlight w:val="none"/>
        </w:rPr>
        <w:fldChar w:fldCharType="begin"/>
      </w:r>
      <w:r>
        <w:rPr>
          <w:rFonts w:ascii="Times New Roman" w:hAnsi="Times New Roman" w:eastAsia="方正小标宋简体"/>
          <w:sz w:val="28"/>
          <w:szCs w:val="48"/>
          <w:highlight w:val="none"/>
        </w:rPr>
        <w:instrText xml:space="preserve"> HYPERLINK \l _Toc19524 </w:instrText>
      </w:r>
      <w:r>
        <w:rPr>
          <w:rFonts w:ascii="Times New Roman" w:hAnsi="Times New Roman" w:eastAsia="方正小标宋简体"/>
          <w:sz w:val="28"/>
          <w:szCs w:val="48"/>
          <w:highlight w:val="none"/>
        </w:rPr>
        <w:fldChar w:fldCharType="separate"/>
      </w:r>
      <w:r>
        <w:rPr>
          <w:rFonts w:hint="eastAsia" w:ascii="Times New Roman" w:hAnsi="Times New Roman" w:eastAsia="楷体_GB2312" w:cs="楷体_GB2312"/>
          <w:sz w:val="28"/>
          <w:szCs w:val="44"/>
          <w:highlight w:val="none"/>
        </w:rPr>
        <w:t>（三）国有资产占有使用情况</w:t>
      </w:r>
      <w:r>
        <w:rPr>
          <w:sz w:val="28"/>
          <w:szCs w:val="36"/>
        </w:rPr>
        <w:tab/>
      </w:r>
      <w:r>
        <w:rPr>
          <w:rFonts w:hint="eastAsia"/>
          <w:sz w:val="28"/>
          <w:szCs w:val="36"/>
          <w:lang w:val="en-US" w:eastAsia="zh-CN"/>
        </w:rPr>
        <w:t>2</w:t>
      </w:r>
      <w:r>
        <w:rPr>
          <w:rFonts w:ascii="Times New Roman" w:hAnsi="Times New Roman" w:eastAsia="方正小标宋简体"/>
          <w:color w:val="auto"/>
          <w:sz w:val="28"/>
          <w:szCs w:val="48"/>
          <w:highlight w:val="none"/>
        </w:rPr>
        <w:fldChar w:fldCharType="end"/>
      </w:r>
      <w:r>
        <w:rPr>
          <w:rFonts w:hint="eastAsia" w:eastAsia="方正小标宋简体"/>
          <w:color w:val="auto"/>
          <w:sz w:val="28"/>
          <w:szCs w:val="48"/>
          <w:highlight w:val="none"/>
          <w:lang w:val="en-US" w:eastAsia="zh-CN"/>
        </w:rPr>
        <w:t>0</w:t>
      </w:r>
    </w:p>
    <w:p w14:paraId="5C5CBB9A">
      <w:pPr>
        <w:pStyle w:val="7"/>
        <w:tabs>
          <w:tab w:val="right" w:leader="dot" w:pos="8306"/>
          <w:tab w:val="clear" w:pos="8296"/>
        </w:tabs>
        <w:rPr>
          <w:rFonts w:hint="eastAsia" w:eastAsia="方正小标宋简体"/>
          <w:sz w:val="28"/>
          <w:szCs w:val="36"/>
          <w:lang w:val="en-US" w:eastAsia="zh-CN"/>
        </w:rPr>
      </w:pPr>
      <w:r>
        <w:rPr>
          <w:rFonts w:ascii="Times New Roman" w:hAnsi="Times New Roman" w:eastAsia="方正小标宋简体"/>
          <w:color w:val="auto"/>
          <w:sz w:val="28"/>
          <w:szCs w:val="48"/>
          <w:highlight w:val="none"/>
        </w:rPr>
        <w:fldChar w:fldCharType="begin"/>
      </w:r>
      <w:r>
        <w:rPr>
          <w:rFonts w:ascii="Times New Roman" w:hAnsi="Times New Roman" w:eastAsia="方正小标宋简体"/>
          <w:sz w:val="28"/>
          <w:szCs w:val="48"/>
          <w:highlight w:val="none"/>
        </w:rPr>
        <w:instrText xml:space="preserve"> HYPERLINK \l _Toc22043 </w:instrText>
      </w:r>
      <w:r>
        <w:rPr>
          <w:rFonts w:ascii="Times New Roman" w:hAnsi="Times New Roman" w:eastAsia="方正小标宋简体"/>
          <w:sz w:val="28"/>
          <w:szCs w:val="48"/>
          <w:highlight w:val="none"/>
        </w:rPr>
        <w:fldChar w:fldCharType="separate"/>
      </w:r>
      <w:r>
        <w:rPr>
          <w:rFonts w:hint="eastAsia" w:ascii="Times New Roman" w:hAnsi="Times New Roman" w:eastAsia="楷体_GB2312" w:cs="楷体_GB2312"/>
          <w:sz w:val="28"/>
          <w:szCs w:val="44"/>
          <w:highlight w:val="none"/>
        </w:rPr>
        <w:t>（四）预算绩效管理情况</w:t>
      </w:r>
      <w:r>
        <w:rPr>
          <w:sz w:val="28"/>
          <w:szCs w:val="36"/>
        </w:rPr>
        <w:tab/>
      </w:r>
      <w:r>
        <w:rPr>
          <w:rFonts w:hint="eastAsia"/>
          <w:sz w:val="28"/>
          <w:szCs w:val="36"/>
          <w:lang w:val="en-US" w:eastAsia="zh-CN"/>
        </w:rPr>
        <w:t>2</w:t>
      </w:r>
      <w:r>
        <w:rPr>
          <w:rFonts w:ascii="Times New Roman" w:hAnsi="Times New Roman" w:eastAsia="方正小标宋简体"/>
          <w:color w:val="auto"/>
          <w:sz w:val="28"/>
          <w:szCs w:val="48"/>
          <w:highlight w:val="none"/>
        </w:rPr>
        <w:fldChar w:fldCharType="end"/>
      </w:r>
      <w:r>
        <w:rPr>
          <w:rFonts w:hint="eastAsia" w:eastAsia="方正小标宋简体"/>
          <w:color w:val="auto"/>
          <w:sz w:val="28"/>
          <w:szCs w:val="48"/>
          <w:highlight w:val="none"/>
          <w:lang w:val="en-US" w:eastAsia="zh-CN"/>
        </w:rPr>
        <w:t>1</w:t>
      </w:r>
    </w:p>
    <w:p w14:paraId="6EEC4853">
      <w:pPr>
        <w:pStyle w:val="11"/>
        <w:tabs>
          <w:tab w:val="right" w:leader="dot" w:pos="8306"/>
          <w:tab w:val="clear" w:pos="8296"/>
        </w:tabs>
      </w:pPr>
      <w:r>
        <w:rPr>
          <w:rFonts w:ascii="Times New Roman" w:hAnsi="Times New Roman" w:eastAsia="方正小标宋简体"/>
          <w:color w:val="auto"/>
          <w:szCs w:val="36"/>
          <w:highlight w:val="none"/>
        </w:rPr>
        <w:fldChar w:fldCharType="begin"/>
      </w:r>
      <w:r>
        <w:rPr>
          <w:rFonts w:ascii="Times New Roman" w:hAnsi="Times New Roman" w:eastAsia="方正小标宋简体"/>
          <w:szCs w:val="36"/>
          <w:highlight w:val="none"/>
        </w:rPr>
        <w:instrText xml:space="preserve"> HYPERLINK \l _Toc21667 </w:instrText>
      </w:r>
      <w:r>
        <w:rPr>
          <w:rFonts w:ascii="Times New Roman" w:hAnsi="Times New Roman" w:eastAsia="方正小标宋简体"/>
          <w:szCs w:val="36"/>
          <w:highlight w:val="none"/>
        </w:rPr>
        <w:fldChar w:fldCharType="separate"/>
      </w:r>
      <w:r>
        <w:rPr>
          <w:rFonts w:hint="eastAsia" w:ascii="Times New Roman" w:hAnsi="Times New Roman" w:eastAsia="方正小标宋简体" w:cs="方正小标宋简体"/>
          <w:sz w:val="40"/>
          <w:szCs w:val="40"/>
          <w:highlight w:val="none"/>
        </w:rPr>
        <w:t>第</w:t>
      </w:r>
      <w:r>
        <w:rPr>
          <w:rFonts w:hint="eastAsia" w:ascii="Times New Roman" w:hAnsi="Times New Roman" w:eastAsia="方正小标宋简体" w:cs="方正小标宋简体"/>
          <w:sz w:val="40"/>
          <w:szCs w:val="40"/>
          <w:highlight w:val="none"/>
          <w:lang w:eastAsia="zh-CN"/>
        </w:rPr>
        <w:t>三</w:t>
      </w:r>
      <w:r>
        <w:rPr>
          <w:rFonts w:hint="eastAsia" w:ascii="Times New Roman" w:hAnsi="Times New Roman" w:eastAsia="方正小标宋简体" w:cs="方正小标宋简体"/>
          <w:sz w:val="40"/>
          <w:szCs w:val="40"/>
          <w:highlight w:val="none"/>
        </w:rPr>
        <w:t>部分</w:t>
      </w:r>
      <w:r>
        <w:rPr>
          <w:rFonts w:hint="eastAsia" w:ascii="Times New Roman" w:hAnsi="Times New Roman" w:eastAsia="方正小标宋简体" w:cs="方正小标宋简体"/>
          <w:sz w:val="40"/>
          <w:szCs w:val="40"/>
          <w:highlight w:val="none"/>
          <w:lang w:val="en-US" w:eastAsia="zh-CN"/>
        </w:rPr>
        <w:t xml:space="preserve">  </w:t>
      </w:r>
      <w:r>
        <w:rPr>
          <w:rFonts w:hint="eastAsia" w:ascii="Times New Roman" w:hAnsi="Times New Roman" w:eastAsia="方正小标宋简体" w:cs="方正小标宋简体"/>
          <w:sz w:val="40"/>
          <w:szCs w:val="40"/>
          <w:highlight w:val="none"/>
        </w:rPr>
        <w:t>名词解释</w:t>
      </w:r>
      <w:r>
        <w:tab/>
      </w:r>
      <w:r>
        <w:fldChar w:fldCharType="begin"/>
      </w:r>
      <w:r>
        <w:instrText xml:space="preserve"> PAGEREF _Toc21667 \h </w:instrText>
      </w:r>
      <w:r>
        <w:fldChar w:fldCharType="separate"/>
      </w:r>
      <w:r>
        <w:t>22</w:t>
      </w:r>
      <w:r>
        <w:fldChar w:fldCharType="end"/>
      </w:r>
      <w:r>
        <w:rPr>
          <w:rFonts w:ascii="Times New Roman" w:hAnsi="Times New Roman" w:eastAsia="方正小标宋简体"/>
          <w:color w:val="auto"/>
          <w:szCs w:val="36"/>
          <w:highlight w:val="none"/>
        </w:rPr>
        <w:fldChar w:fldCharType="end"/>
      </w:r>
    </w:p>
    <w:p w14:paraId="04AE69A1">
      <w:pPr>
        <w:keepNext w:val="0"/>
        <w:keepLines w:val="0"/>
        <w:widowControl/>
        <w:suppressLineNumbers w:val="0"/>
        <w:jc w:val="left"/>
        <w:rPr>
          <w:rFonts w:hint="default"/>
          <w:lang w:val="en-US"/>
        </w:rPr>
      </w:pPr>
      <w:r>
        <w:rPr>
          <w:rFonts w:hint="eastAsia" w:ascii="Times New Roman" w:hAnsi="Times New Roman" w:eastAsia="方正小标宋简体" w:cs="方正小标宋简体"/>
          <w:kern w:val="2"/>
          <w:sz w:val="40"/>
          <w:szCs w:val="40"/>
          <w:highlight w:val="none"/>
          <w:lang w:val="en-US" w:eastAsia="zh-CN" w:bidi="ar-SA"/>
        </w:rPr>
        <w:t>第四部分</w:t>
      </w:r>
      <w:r>
        <w:rPr>
          <w:rFonts w:hint="eastAsia" w:eastAsia="方正小标宋简体" w:cs="方正小标宋简体"/>
          <w:kern w:val="2"/>
          <w:sz w:val="40"/>
          <w:szCs w:val="40"/>
          <w:highlight w:val="none"/>
          <w:lang w:val="en-US" w:eastAsia="zh-CN" w:bidi="ar-SA"/>
        </w:rPr>
        <w:t xml:space="preserve">  </w:t>
      </w:r>
      <w:r>
        <w:rPr>
          <w:rFonts w:hint="eastAsia" w:ascii="Times New Roman" w:hAnsi="Times New Roman" w:eastAsia="方正小标宋简体" w:cs="方正小标宋简体"/>
          <w:kern w:val="2"/>
          <w:sz w:val="40"/>
          <w:szCs w:val="40"/>
          <w:highlight w:val="none"/>
          <w:lang w:val="en-US" w:eastAsia="zh-CN" w:bidi="ar-SA"/>
        </w:rPr>
        <w:t>附件</w:t>
      </w:r>
      <w:r>
        <w:rPr>
          <w:rFonts w:hint="default" w:ascii="Times New Roman" w:hAnsi="Times New Roman" w:eastAsia="宋体" w:cs="Times New Roman"/>
          <w:color w:val="000000"/>
          <w:kern w:val="0"/>
          <w:sz w:val="31"/>
          <w:szCs w:val="31"/>
          <w:lang w:val="en-US" w:eastAsia="zh-CN" w:bidi="ar"/>
        </w:rPr>
        <w:t>...................................................................</w:t>
      </w:r>
      <w:r>
        <w:rPr>
          <w:rFonts w:hint="eastAsia" w:ascii="Times New Roman" w:hAnsi="Times New Roman" w:cs="Times New Roman"/>
          <w:color w:val="000000"/>
          <w:kern w:val="0"/>
          <w:sz w:val="31"/>
          <w:szCs w:val="31"/>
          <w:lang w:val="en-US" w:eastAsia="zh-CN" w:bidi="ar"/>
        </w:rPr>
        <w:t>27</w:t>
      </w:r>
    </w:p>
    <w:p w14:paraId="25EBECE5">
      <w:pPr>
        <w:keepNext w:val="0"/>
        <w:keepLines w:val="0"/>
        <w:widowControl/>
        <w:suppressLineNumbers w:val="0"/>
        <w:jc w:val="left"/>
        <w:rPr>
          <w:rFonts w:hint="default" w:ascii="Times New Roman" w:hAnsi="Times New Roman" w:eastAsia="宋体" w:cs="Times New Roman"/>
          <w:color w:val="000000"/>
          <w:kern w:val="0"/>
          <w:sz w:val="31"/>
          <w:szCs w:val="31"/>
          <w:lang w:val="en-US" w:eastAsia="zh-CN" w:bidi="ar"/>
        </w:rPr>
      </w:pPr>
      <w:r>
        <w:rPr>
          <w:rFonts w:hint="eastAsia" w:ascii="Times New Roman" w:hAnsi="Times New Roman" w:eastAsia="方正小标宋简体" w:cs="方正小标宋简体"/>
          <w:kern w:val="2"/>
          <w:sz w:val="40"/>
          <w:szCs w:val="40"/>
          <w:highlight w:val="none"/>
          <w:lang w:val="en-US" w:eastAsia="zh-CN" w:bidi="ar-SA"/>
        </w:rPr>
        <w:t>第五部分</w:t>
      </w:r>
      <w:r>
        <w:rPr>
          <w:rFonts w:hint="eastAsia" w:eastAsia="方正小标宋简体" w:cs="方正小标宋简体"/>
          <w:kern w:val="2"/>
          <w:sz w:val="40"/>
          <w:szCs w:val="40"/>
          <w:highlight w:val="none"/>
          <w:lang w:val="en-US" w:eastAsia="zh-CN" w:bidi="ar-SA"/>
        </w:rPr>
        <w:t xml:space="preserve">  </w:t>
      </w:r>
      <w:r>
        <w:rPr>
          <w:rFonts w:hint="eastAsia" w:ascii="Times New Roman" w:hAnsi="Times New Roman" w:eastAsia="方正小标宋简体" w:cs="方正小标宋简体"/>
          <w:kern w:val="2"/>
          <w:sz w:val="40"/>
          <w:szCs w:val="40"/>
          <w:highlight w:val="none"/>
          <w:lang w:val="en-US" w:eastAsia="zh-CN" w:bidi="ar-SA"/>
        </w:rPr>
        <w:t>附表</w:t>
      </w:r>
      <w:r>
        <w:rPr>
          <w:rFonts w:hint="default" w:ascii="Times New Roman" w:hAnsi="Times New Roman" w:eastAsia="宋体" w:cs="Times New Roman"/>
          <w:color w:val="000000"/>
          <w:kern w:val="0"/>
          <w:sz w:val="31"/>
          <w:szCs w:val="31"/>
          <w:lang w:val="en-US" w:eastAsia="zh-CN" w:bidi="ar"/>
        </w:rPr>
        <w:t>...................................................................32</w:t>
      </w:r>
    </w:p>
    <w:p w14:paraId="12FBFB07">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一、收入支出决算总表</w:t>
      </w:r>
    </w:p>
    <w:p w14:paraId="1D23AE94">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二、收入决算表</w:t>
      </w:r>
    </w:p>
    <w:p w14:paraId="0E3761B1">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三、支出决算表</w:t>
      </w:r>
      <w:bookmarkStart w:id="122" w:name="_GoBack"/>
      <w:bookmarkEnd w:id="122"/>
    </w:p>
    <w:p w14:paraId="4BC09E55">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四、财政拨款收入支出决算总表</w:t>
      </w:r>
    </w:p>
    <w:p w14:paraId="1E39ADC0">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五、财政拨款支出决算明细表</w:t>
      </w:r>
    </w:p>
    <w:p w14:paraId="62BA53BE">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六、一般公共预算财政拨款支出决算表</w:t>
      </w:r>
    </w:p>
    <w:p w14:paraId="395AD8D3">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七、一般公共预算财政拨款支出决算明细表</w:t>
      </w:r>
    </w:p>
    <w:p w14:paraId="11EFE621">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八、一般公共预算财政拨款基本支出决算表</w:t>
      </w:r>
    </w:p>
    <w:p w14:paraId="26919FA9">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九、一般公共预算财政拨款项目支出决算表</w:t>
      </w:r>
    </w:p>
    <w:p w14:paraId="6D804198">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十、政府性基金预算财政拨款收入支出决算表</w:t>
      </w:r>
    </w:p>
    <w:p w14:paraId="08F075F0">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十一、国有资本经营预算</w:t>
      </w:r>
      <w:r>
        <w:rPr>
          <w:rFonts w:hint="eastAsia" w:ascii="Times New Roman" w:hAnsi="Times New Roman" w:eastAsia="仿宋_GB2312" w:cs="仿宋_GB2312"/>
          <w:color w:val="auto"/>
          <w:sz w:val="32"/>
          <w:szCs w:val="32"/>
          <w:highlight w:val="none"/>
          <w:lang w:eastAsia="zh-CN"/>
        </w:rPr>
        <w:t>财政拨款收入</w:t>
      </w:r>
      <w:r>
        <w:rPr>
          <w:rFonts w:hint="eastAsia" w:ascii="Times New Roman" w:hAnsi="Times New Roman" w:eastAsia="仿宋_GB2312" w:cs="仿宋_GB2312"/>
          <w:color w:val="auto"/>
          <w:sz w:val="32"/>
          <w:szCs w:val="32"/>
          <w:highlight w:val="none"/>
        </w:rPr>
        <w:t>支出决算表</w:t>
      </w:r>
    </w:p>
    <w:p w14:paraId="18B2F109">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十二、</w:t>
      </w:r>
      <w:r>
        <w:rPr>
          <w:rFonts w:hint="eastAsia" w:ascii="Times New Roman" w:hAnsi="Times New Roman" w:eastAsia="仿宋_GB2312" w:cs="仿宋_GB2312"/>
          <w:color w:val="auto"/>
          <w:sz w:val="32"/>
          <w:szCs w:val="32"/>
          <w:highlight w:val="none"/>
          <w:lang w:eastAsia="zh-CN"/>
        </w:rPr>
        <w:t>国有资本经营预算财政拨款支出决算表</w:t>
      </w:r>
    </w:p>
    <w:p w14:paraId="79C63D02">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rPr>
        <w:t>十三、</w:t>
      </w:r>
      <w:r>
        <w:rPr>
          <w:rFonts w:hint="eastAsia" w:ascii="Times New Roman" w:hAnsi="Times New Roman" w:eastAsia="仿宋_GB2312" w:cs="仿宋_GB2312"/>
          <w:color w:val="auto"/>
          <w:sz w:val="32"/>
          <w:szCs w:val="32"/>
          <w:highlight w:val="none"/>
          <w:lang w:eastAsia="zh-CN"/>
        </w:rPr>
        <w:t>财政拨款“三公”经费支出决算表</w:t>
      </w:r>
    </w:p>
    <w:p w14:paraId="790C28CB">
      <w:pPr>
        <w:keepNext w:val="0"/>
        <w:keepLines w:val="0"/>
        <w:widowControl/>
        <w:suppressLineNumbers w:val="0"/>
        <w:jc w:val="left"/>
        <w:rPr>
          <w:rFonts w:hint="default" w:ascii="Times New Roman" w:hAnsi="Times New Roman" w:eastAsia="宋体" w:cs="Times New Roman"/>
          <w:color w:val="000000"/>
          <w:kern w:val="0"/>
          <w:sz w:val="31"/>
          <w:szCs w:val="31"/>
          <w:lang w:val="en-US" w:eastAsia="zh-CN" w:bidi="ar"/>
        </w:rPr>
      </w:pPr>
    </w:p>
    <w:p w14:paraId="450793FF">
      <w:pPr>
        <w:widowControl/>
        <w:jc w:val="center"/>
        <w:rPr>
          <w:rFonts w:ascii="Times New Roman" w:hAnsi="Times New Roman" w:eastAsia="方正小标宋简体"/>
          <w:color w:val="auto"/>
          <w:sz w:val="36"/>
          <w:szCs w:val="36"/>
          <w:highlight w:val="none"/>
        </w:rPr>
      </w:pPr>
      <w:r>
        <w:rPr>
          <w:rFonts w:ascii="Times New Roman" w:hAnsi="Times New Roman" w:eastAsia="方正小标宋简体"/>
          <w:color w:val="auto"/>
          <w:szCs w:val="36"/>
          <w:highlight w:val="none"/>
        </w:rPr>
        <w:fldChar w:fldCharType="end"/>
      </w:r>
    </w:p>
    <w:p w14:paraId="007AAC9E">
      <w:pPr>
        <w:widowControl/>
        <w:jc w:val="center"/>
        <w:rPr>
          <w:rFonts w:ascii="Times New Roman" w:hAnsi="Times New Roman" w:eastAsia="方正小标宋简体"/>
          <w:color w:val="auto"/>
          <w:sz w:val="36"/>
          <w:szCs w:val="36"/>
          <w:highlight w:val="none"/>
        </w:rPr>
      </w:pPr>
    </w:p>
    <w:p w14:paraId="0A91565F">
      <w:pPr>
        <w:widowControl/>
        <w:jc w:val="center"/>
        <w:rPr>
          <w:rFonts w:ascii="Times New Roman" w:hAnsi="Times New Roman" w:eastAsia="方正小标宋简体"/>
          <w:color w:val="auto"/>
          <w:sz w:val="36"/>
          <w:szCs w:val="36"/>
          <w:highlight w:val="none"/>
        </w:rPr>
      </w:pPr>
    </w:p>
    <w:p w14:paraId="248A3B9A">
      <w:pPr>
        <w:widowControl/>
        <w:jc w:val="center"/>
        <w:rPr>
          <w:rFonts w:ascii="Times New Roman" w:hAnsi="Times New Roman" w:eastAsia="方正小标宋简体"/>
          <w:color w:val="auto"/>
          <w:sz w:val="36"/>
          <w:szCs w:val="36"/>
          <w:highlight w:val="none"/>
        </w:rPr>
      </w:pPr>
    </w:p>
    <w:p w14:paraId="2D040637">
      <w:pPr>
        <w:widowControl/>
        <w:jc w:val="both"/>
        <w:rPr>
          <w:rFonts w:hint="eastAsia" w:ascii="Times New Roman" w:hAnsi="Times New Roman" w:eastAsia="黑体"/>
          <w:color w:val="auto"/>
          <w:sz w:val="48"/>
          <w:szCs w:val="48"/>
          <w:highlight w:val="none"/>
        </w:rPr>
      </w:pPr>
    </w:p>
    <w:p w14:paraId="6337CE63">
      <w:pPr>
        <w:pStyle w:val="2"/>
        <w:jc w:val="center"/>
        <w:rPr>
          <w:rStyle w:val="28"/>
          <w:rFonts w:hint="eastAsia" w:ascii="Times New Roman" w:hAnsi="Times New Roman" w:eastAsia="方正小标宋简体" w:cs="方正小标宋简体"/>
          <w:b/>
          <w:bCs w:val="0"/>
          <w:color w:val="auto"/>
          <w:highlight w:val="none"/>
        </w:rPr>
      </w:pPr>
      <w:bookmarkStart w:id="12" w:name="_Toc15396599"/>
      <w:bookmarkStart w:id="13" w:name="_Toc15377196"/>
      <w:bookmarkStart w:id="14" w:name="_Toc31651"/>
      <w:bookmarkStart w:id="15" w:name="_Toc10392"/>
      <w:r>
        <w:rPr>
          <w:rFonts w:hint="eastAsia" w:ascii="Times New Roman" w:hAnsi="Times New Roman" w:eastAsia="方正小标宋简体" w:cs="方正小标宋简体"/>
          <w:b w:val="0"/>
          <w:color w:val="auto"/>
          <w:highlight w:val="none"/>
        </w:rPr>
        <w:t>第一部分</w:t>
      </w:r>
      <w:r>
        <w:rPr>
          <w:rFonts w:hint="eastAsia" w:ascii="Times New Roman" w:hAnsi="Times New Roman" w:eastAsia="方正小标宋简体" w:cs="方正小标宋简体"/>
          <w:b w:val="0"/>
          <w:color w:val="auto"/>
          <w:highlight w:val="none"/>
          <w:lang w:val="en-US" w:eastAsia="zh-CN"/>
        </w:rPr>
        <w:t xml:space="preserve"> </w:t>
      </w:r>
      <w:r>
        <w:rPr>
          <w:rFonts w:hint="eastAsia" w:ascii="Times New Roman" w:hAnsi="Times New Roman" w:eastAsia="方正小标宋简体" w:cs="方正小标宋简体"/>
          <w:b w:val="0"/>
          <w:color w:val="auto"/>
          <w:highlight w:val="none"/>
        </w:rPr>
        <w:t xml:space="preserve"> </w:t>
      </w:r>
      <w:r>
        <w:rPr>
          <w:rStyle w:val="28"/>
          <w:rFonts w:hint="eastAsia" w:eastAsia="方正小标宋简体" w:cs="方正小标宋简体"/>
          <w:b w:val="0"/>
          <w:bCs w:val="0"/>
          <w:color w:val="auto"/>
          <w:highlight w:val="none"/>
          <w:lang w:eastAsia="zh-CN"/>
        </w:rPr>
        <w:t>单位</w:t>
      </w:r>
      <w:r>
        <w:rPr>
          <w:rStyle w:val="28"/>
          <w:rFonts w:hint="eastAsia" w:ascii="Times New Roman" w:hAnsi="Times New Roman" w:eastAsia="方正小标宋简体" w:cs="方正小标宋简体"/>
          <w:b w:val="0"/>
          <w:bCs w:val="0"/>
          <w:color w:val="auto"/>
          <w:highlight w:val="none"/>
        </w:rPr>
        <w:t>概况</w:t>
      </w:r>
      <w:bookmarkEnd w:id="12"/>
      <w:bookmarkEnd w:id="13"/>
      <w:bookmarkEnd w:id="14"/>
      <w:bookmarkEnd w:id="15"/>
    </w:p>
    <w:p w14:paraId="091F19DD">
      <w:pPr>
        <w:widowControl/>
        <w:jc w:val="left"/>
        <w:rPr>
          <w:rFonts w:ascii="Times New Roman" w:hAnsi="Times New Roman" w:eastAsia="黑体"/>
          <w:color w:val="auto"/>
          <w:sz w:val="32"/>
          <w:szCs w:val="32"/>
          <w:highlight w:val="none"/>
        </w:rPr>
      </w:pPr>
    </w:p>
    <w:p w14:paraId="15F4BE57">
      <w:pPr>
        <w:pStyle w:val="3"/>
        <w:numPr>
          <w:ilvl w:val="0"/>
          <w:numId w:val="1"/>
        </w:numPr>
        <w:rPr>
          <w:rFonts w:hint="eastAsia" w:ascii="Times New Roman" w:hAnsi="Times New Roman" w:eastAsia="黑体"/>
          <w:b w:val="0"/>
          <w:color w:val="auto"/>
          <w:highlight w:val="none"/>
          <w:lang w:eastAsia="zh-CN"/>
        </w:rPr>
      </w:pPr>
      <w:bookmarkStart w:id="16" w:name="_Toc10154"/>
      <w:bookmarkStart w:id="17" w:name="_Toc12568"/>
      <w:r>
        <w:rPr>
          <w:rFonts w:hint="eastAsia" w:ascii="Times New Roman" w:hAnsi="Times New Roman" w:eastAsia="黑体"/>
          <w:b w:val="0"/>
          <w:color w:val="auto"/>
          <w:highlight w:val="none"/>
          <w:lang w:eastAsia="zh-CN"/>
        </w:rPr>
        <w:t>单位职责</w:t>
      </w:r>
      <w:bookmarkEnd w:id="16"/>
      <w:bookmarkEnd w:id="17"/>
    </w:p>
    <w:p w14:paraId="56ECDCD5">
      <w:pPr>
        <w:snapToGrid w:val="0"/>
        <w:spacing w:line="520" w:lineRule="exact"/>
        <w:ind w:firstLine="643" w:firstLineChars="200"/>
        <w:rPr>
          <w:rFonts w:hint="eastAsia" w:ascii="楷体_GB2312" w:hAnsi="仿宋" w:eastAsia="楷体_GB2312"/>
          <w:b/>
          <w:sz w:val="32"/>
          <w:szCs w:val="32"/>
          <w:highlight w:val="none"/>
        </w:rPr>
      </w:pPr>
      <w:r>
        <w:rPr>
          <w:rFonts w:hint="eastAsia" w:ascii="楷体_GB2312" w:hAnsi="仿宋" w:eastAsia="楷体_GB2312"/>
          <w:b/>
          <w:sz w:val="32"/>
          <w:szCs w:val="32"/>
          <w:highlight w:val="none"/>
        </w:rPr>
        <w:t>（一）基本情况。</w:t>
      </w:r>
    </w:p>
    <w:p w14:paraId="42A40913">
      <w:pPr>
        <w:snapToGrid w:val="0"/>
        <w:spacing w:line="520" w:lineRule="exact"/>
        <w:ind w:firstLine="640" w:firstLineChars="200"/>
        <w:rPr>
          <w:rFonts w:hint="eastAsia" w:ascii="仿宋_GB2312" w:hAnsi="仿宋" w:eastAsia="仿宋_GB2312"/>
          <w:sz w:val="32"/>
          <w:szCs w:val="32"/>
          <w:highlight w:val="none"/>
        </w:rPr>
      </w:pPr>
      <w:r>
        <w:rPr>
          <w:rFonts w:hint="eastAsia" w:ascii="仿宋_GB2312" w:hAnsi="仿宋" w:eastAsia="仿宋_GB2312"/>
          <w:sz w:val="32"/>
          <w:szCs w:val="32"/>
          <w:highlight w:val="none"/>
        </w:rPr>
        <w:t>1．主要职能。</w:t>
      </w:r>
    </w:p>
    <w:p w14:paraId="012FDD5A">
      <w:pPr>
        <w:pStyle w:val="35"/>
        <w:rPr>
          <w:rFonts w:hint="eastAsia" w:ascii="仿宋_GB2312" w:hAnsi="仿宋" w:eastAsia="仿宋_GB2312" w:cs="Times New Roman"/>
          <w:kern w:val="2"/>
          <w:sz w:val="32"/>
          <w:szCs w:val="32"/>
          <w:highlight w:val="none"/>
          <w:lang w:val="en-US" w:eastAsia="zh-CN" w:bidi="ar-SA"/>
        </w:rPr>
      </w:pPr>
      <w:r>
        <w:rPr>
          <w:rFonts w:hint="eastAsia" w:ascii="仿宋_GB2312" w:hAnsi="仿宋" w:eastAsia="仿宋_GB2312" w:cs="Times New Roman"/>
          <w:kern w:val="2"/>
          <w:sz w:val="32"/>
          <w:szCs w:val="32"/>
          <w:highlight w:val="none"/>
          <w:lang w:val="en-US" w:eastAsia="zh-CN" w:bidi="ar-SA"/>
        </w:rPr>
        <w:t>（一）宣传贯彻《中华人民共和国残疾人保障法》，维护残疾人在政治、经济、文化、社会等方面平等的公民权利，密切联系残疾人，听取残疾人意见，反映残疾人需求，全心全意为残疾人服务。</w:t>
      </w:r>
    </w:p>
    <w:p w14:paraId="0C6954C2">
      <w:pPr>
        <w:pStyle w:val="35"/>
        <w:rPr>
          <w:rFonts w:hint="eastAsia" w:ascii="仿宋_GB2312" w:hAnsi="仿宋" w:eastAsia="仿宋_GB2312" w:cs="Times New Roman"/>
          <w:kern w:val="2"/>
          <w:sz w:val="32"/>
          <w:szCs w:val="32"/>
          <w:highlight w:val="none"/>
          <w:lang w:val="en-US" w:eastAsia="zh-CN" w:bidi="ar-SA"/>
        </w:rPr>
      </w:pPr>
      <w:r>
        <w:rPr>
          <w:rFonts w:hint="eastAsia" w:ascii="仿宋_GB2312" w:hAnsi="仿宋" w:eastAsia="仿宋_GB2312" w:cs="Times New Roman"/>
          <w:kern w:val="2"/>
          <w:sz w:val="32"/>
          <w:szCs w:val="32"/>
          <w:highlight w:val="none"/>
          <w:lang w:val="en-US" w:eastAsia="zh-CN" w:bidi="ar-SA"/>
        </w:rPr>
        <w:t>（二）贯彻执行关于残疾人事业的方针、政策和法律法规；协助政府起草、实施残疾人事业发展规划，并对实施情况进行指导、监督。</w:t>
      </w:r>
    </w:p>
    <w:p w14:paraId="69FE585D">
      <w:pPr>
        <w:pStyle w:val="35"/>
        <w:rPr>
          <w:rFonts w:hint="eastAsia" w:ascii="仿宋_GB2312" w:hAnsi="仿宋" w:eastAsia="仿宋_GB2312" w:cs="Times New Roman"/>
          <w:kern w:val="2"/>
          <w:sz w:val="32"/>
          <w:szCs w:val="32"/>
          <w:highlight w:val="none"/>
          <w:lang w:val="en-US" w:eastAsia="zh-CN" w:bidi="ar-SA"/>
        </w:rPr>
      </w:pPr>
      <w:r>
        <w:rPr>
          <w:rFonts w:hint="eastAsia" w:ascii="仿宋_GB2312" w:hAnsi="仿宋" w:eastAsia="仿宋_GB2312" w:cs="Times New Roman"/>
          <w:kern w:val="2"/>
          <w:sz w:val="32"/>
          <w:szCs w:val="32"/>
          <w:highlight w:val="none"/>
          <w:lang w:val="en-US" w:eastAsia="zh-CN" w:bidi="ar-SA"/>
        </w:rPr>
        <w:t>（三）团结、教育残疾人遵守法律、履行应尽的义务，践行社会主义核心价值观，传播现代文明残疾人观，宣传残疾人事业，营造理解、尊重、关心、帮助残疾人的社会氛围，激励残疾人乐观进取，自尊、自信、自强、自立，为建设富强民主文明和谐美丽的社会主义现代化强国、实现中华民族伟大复兴的中国梦贡献力量。</w:t>
      </w:r>
    </w:p>
    <w:p w14:paraId="241761F0">
      <w:pPr>
        <w:pStyle w:val="35"/>
        <w:rPr>
          <w:rFonts w:hint="eastAsia" w:ascii="仿宋_GB2312" w:hAnsi="仿宋" w:eastAsia="仿宋_GB2312" w:cs="Times New Roman"/>
          <w:kern w:val="2"/>
          <w:sz w:val="32"/>
          <w:szCs w:val="32"/>
          <w:highlight w:val="none"/>
          <w:lang w:val="en-US" w:eastAsia="zh-CN" w:bidi="ar-SA"/>
        </w:rPr>
      </w:pPr>
      <w:r>
        <w:rPr>
          <w:rFonts w:hint="eastAsia" w:ascii="仿宋_GB2312" w:hAnsi="仿宋" w:eastAsia="仿宋_GB2312" w:cs="Times New Roman"/>
          <w:kern w:val="2"/>
          <w:sz w:val="32"/>
          <w:szCs w:val="32"/>
          <w:highlight w:val="none"/>
          <w:lang w:val="en-US" w:eastAsia="zh-CN" w:bidi="ar-SA"/>
        </w:rPr>
        <w:t>（四）开展残疾人康复、教育、劳动就业、托养、维权、文化体育等工作，推进残疾人社会保障和关爱服务体系建设、无障碍环境建设、科技信息化应用、残疾人服务标准化建设和残疾预防等工作，改善残疾人参与社会生活的环境和条件，促进残健融合发展。</w:t>
      </w:r>
    </w:p>
    <w:p w14:paraId="29AE3104">
      <w:pPr>
        <w:pStyle w:val="35"/>
        <w:rPr>
          <w:rFonts w:hint="eastAsia" w:ascii="仿宋_GB2312" w:hAnsi="仿宋" w:eastAsia="仿宋_GB2312" w:cs="Times New Roman"/>
          <w:kern w:val="2"/>
          <w:sz w:val="32"/>
          <w:szCs w:val="32"/>
          <w:highlight w:val="none"/>
          <w:lang w:val="en-US" w:eastAsia="zh-CN" w:bidi="ar-SA"/>
        </w:rPr>
      </w:pPr>
      <w:r>
        <w:rPr>
          <w:rFonts w:hint="eastAsia" w:ascii="仿宋_GB2312" w:hAnsi="仿宋" w:eastAsia="仿宋_GB2312" w:cs="Times New Roman"/>
          <w:kern w:val="2"/>
          <w:sz w:val="32"/>
          <w:szCs w:val="32"/>
          <w:highlight w:val="none"/>
          <w:lang w:val="en-US" w:eastAsia="zh-CN" w:bidi="ar-SA"/>
        </w:rPr>
        <w:t>（五）做好党委、政府、社会与残疾人之间的联系工作，了解掌握残疾人服务状况和需求信息，深化助残服务改革，负责中、省残联系统网上平台录入和维护。</w:t>
      </w:r>
    </w:p>
    <w:p w14:paraId="66D94E46">
      <w:pPr>
        <w:pStyle w:val="35"/>
        <w:rPr>
          <w:rFonts w:hint="eastAsia" w:ascii="仿宋_GB2312" w:hAnsi="仿宋" w:eastAsia="仿宋_GB2312" w:cs="Times New Roman"/>
          <w:kern w:val="2"/>
          <w:sz w:val="32"/>
          <w:szCs w:val="32"/>
          <w:highlight w:val="none"/>
          <w:lang w:val="en-US" w:eastAsia="zh-CN" w:bidi="ar-SA"/>
        </w:rPr>
      </w:pPr>
      <w:r>
        <w:rPr>
          <w:rFonts w:hint="eastAsia" w:ascii="仿宋_GB2312" w:hAnsi="仿宋" w:eastAsia="仿宋_GB2312" w:cs="Times New Roman"/>
          <w:kern w:val="2"/>
          <w:sz w:val="32"/>
          <w:szCs w:val="32"/>
          <w:highlight w:val="none"/>
          <w:lang w:val="en-US" w:eastAsia="zh-CN" w:bidi="ar-SA"/>
        </w:rPr>
        <w:t>（六）加强党的建设，深化自身改革，保持和增强政治性、先进性、群众性。指导和培育各类助残社会组织，引导社会各方面力量参与和支持残疾人事业发展。</w:t>
      </w:r>
    </w:p>
    <w:p w14:paraId="3A8908E6">
      <w:pPr>
        <w:pStyle w:val="35"/>
        <w:rPr>
          <w:rFonts w:hint="eastAsia" w:ascii="仿宋_GB2312" w:hAnsi="仿宋" w:eastAsia="仿宋_GB2312" w:cs="Times New Roman"/>
          <w:kern w:val="2"/>
          <w:sz w:val="32"/>
          <w:szCs w:val="32"/>
          <w:highlight w:val="none"/>
          <w:lang w:val="en-US" w:eastAsia="zh-CN" w:bidi="ar-SA"/>
        </w:rPr>
      </w:pPr>
      <w:r>
        <w:rPr>
          <w:rFonts w:hint="eastAsia" w:ascii="仿宋_GB2312" w:hAnsi="仿宋" w:eastAsia="仿宋_GB2312" w:cs="Times New Roman"/>
          <w:kern w:val="2"/>
          <w:sz w:val="32"/>
          <w:szCs w:val="32"/>
          <w:highlight w:val="none"/>
          <w:lang w:val="en-US" w:eastAsia="zh-CN" w:bidi="ar-SA"/>
        </w:rPr>
        <w:t>（七）主动融入长江经济带发展、新时代西部大开发、成渝地区双城经济圈建设等国家战略，加强区域残疾人事业一体化高质量发展。开展残疾人事业对外交流与合作。</w:t>
      </w:r>
    </w:p>
    <w:p w14:paraId="0C070A15">
      <w:pPr>
        <w:pStyle w:val="35"/>
        <w:rPr>
          <w:rFonts w:hint="eastAsia" w:ascii="仿宋_GB2312" w:hAnsi="仿宋" w:eastAsia="仿宋_GB2312" w:cs="Times New Roman"/>
          <w:kern w:val="2"/>
          <w:sz w:val="32"/>
          <w:szCs w:val="32"/>
          <w:highlight w:val="none"/>
          <w:lang w:val="en-US" w:eastAsia="zh-CN" w:bidi="ar-SA"/>
        </w:rPr>
      </w:pPr>
      <w:r>
        <w:rPr>
          <w:rFonts w:hint="eastAsia" w:ascii="仿宋_GB2312" w:hAnsi="仿宋" w:eastAsia="仿宋_GB2312" w:cs="Times New Roman"/>
          <w:kern w:val="2"/>
          <w:sz w:val="32"/>
          <w:szCs w:val="32"/>
          <w:highlight w:val="none"/>
          <w:lang w:val="en-US" w:eastAsia="zh-CN" w:bidi="ar-SA"/>
        </w:rPr>
        <w:t xml:space="preserve">（八）培养残疾人工作者，指导镇（街道）残联、村（社区）残协的各项工作。 </w:t>
      </w:r>
    </w:p>
    <w:p w14:paraId="4DC22D59">
      <w:pPr>
        <w:pStyle w:val="35"/>
        <w:rPr>
          <w:rFonts w:hint="eastAsia" w:ascii="仿宋_GB2312" w:hAnsi="仿宋" w:eastAsia="仿宋_GB2312" w:cs="Times New Roman"/>
          <w:kern w:val="2"/>
          <w:sz w:val="32"/>
          <w:szCs w:val="32"/>
          <w:highlight w:val="none"/>
          <w:lang w:val="en-US" w:eastAsia="zh-CN" w:bidi="ar-SA"/>
        </w:rPr>
      </w:pPr>
      <w:r>
        <w:rPr>
          <w:rFonts w:hint="eastAsia" w:ascii="仿宋_GB2312" w:hAnsi="仿宋" w:eastAsia="仿宋_GB2312" w:cs="Times New Roman"/>
          <w:kern w:val="2"/>
          <w:sz w:val="32"/>
          <w:szCs w:val="32"/>
          <w:highlight w:val="none"/>
          <w:lang w:val="en-US" w:eastAsia="zh-CN" w:bidi="ar-SA"/>
        </w:rPr>
        <w:t> （九）根据职责分工，承担市人民政府残疾人工作委员会的残疾人相关日常工作。</w:t>
      </w:r>
    </w:p>
    <w:p w14:paraId="5BBFAA01">
      <w:pPr>
        <w:pStyle w:val="35"/>
        <w:rPr>
          <w:rFonts w:hint="eastAsia" w:ascii="仿宋_GB2312" w:hAnsi="仿宋" w:eastAsia="仿宋_GB2312" w:cs="Times New Roman"/>
          <w:kern w:val="2"/>
          <w:sz w:val="32"/>
          <w:szCs w:val="32"/>
          <w:highlight w:val="none"/>
          <w:lang w:val="en-US" w:eastAsia="zh-CN" w:bidi="ar-SA"/>
        </w:rPr>
      </w:pPr>
      <w:r>
        <w:rPr>
          <w:rFonts w:hint="eastAsia" w:ascii="仿宋_GB2312" w:hAnsi="仿宋" w:eastAsia="仿宋_GB2312" w:cs="Times New Roman"/>
          <w:kern w:val="2"/>
          <w:sz w:val="32"/>
          <w:szCs w:val="32"/>
          <w:highlight w:val="none"/>
          <w:lang w:val="en-US" w:eastAsia="zh-CN" w:bidi="ar-SA"/>
        </w:rPr>
        <w:t>（十）负责职责范围内的安全生产和职业健康、生态环境保护、审批服务便民化等工作。</w:t>
      </w:r>
    </w:p>
    <w:p w14:paraId="185A16DA">
      <w:pPr>
        <w:pStyle w:val="35"/>
        <w:rPr>
          <w:rFonts w:hint="eastAsia" w:ascii="仿宋_GB2312" w:hAnsi="仿宋" w:eastAsia="仿宋_GB2312" w:cs="Times New Roman"/>
          <w:kern w:val="2"/>
          <w:sz w:val="32"/>
          <w:szCs w:val="32"/>
          <w:highlight w:val="none"/>
          <w:lang w:val="en-US" w:eastAsia="zh-CN" w:bidi="ar-SA"/>
        </w:rPr>
      </w:pPr>
      <w:r>
        <w:rPr>
          <w:rFonts w:hint="eastAsia" w:ascii="仿宋_GB2312" w:hAnsi="仿宋" w:eastAsia="仿宋_GB2312" w:cs="Times New Roman"/>
          <w:kern w:val="2"/>
          <w:sz w:val="32"/>
          <w:szCs w:val="32"/>
          <w:highlight w:val="none"/>
          <w:lang w:val="en-US" w:eastAsia="zh-CN" w:bidi="ar-SA"/>
        </w:rPr>
        <w:t xml:space="preserve">（十一）承办市12345热线平台工作机构转办的事项。    </w:t>
      </w:r>
    </w:p>
    <w:p w14:paraId="6317F311">
      <w:pPr>
        <w:pStyle w:val="35"/>
        <w:rPr>
          <w:rFonts w:hint="eastAsia" w:ascii="仿宋_GB2312" w:hAnsi="仿宋" w:eastAsia="仿宋_GB2312" w:cs="Times New Roman"/>
          <w:kern w:val="2"/>
          <w:sz w:val="32"/>
          <w:szCs w:val="32"/>
          <w:highlight w:val="none"/>
          <w:lang w:val="en-US" w:eastAsia="zh-CN" w:bidi="ar-SA"/>
        </w:rPr>
      </w:pPr>
      <w:r>
        <w:rPr>
          <w:rFonts w:hint="eastAsia" w:ascii="仿宋_GB2312" w:hAnsi="仿宋" w:eastAsia="仿宋_GB2312" w:cs="Times New Roman"/>
          <w:kern w:val="2"/>
          <w:sz w:val="32"/>
          <w:szCs w:val="32"/>
          <w:highlight w:val="none"/>
          <w:lang w:val="en-US" w:eastAsia="zh-CN" w:bidi="ar-SA"/>
        </w:rPr>
        <w:t>（十二）完成市委、市政府交办的其他任务。</w:t>
      </w:r>
    </w:p>
    <w:p w14:paraId="251E94BB">
      <w:pPr>
        <w:ind w:firstLine="640" w:firstLineChars="200"/>
        <w:rPr>
          <w:rFonts w:hint="eastAsia" w:ascii="仿宋_GB2312" w:hAnsi="仿宋" w:eastAsia="仿宋_GB2312" w:cs="Times New Roman"/>
          <w:kern w:val="2"/>
          <w:sz w:val="32"/>
          <w:szCs w:val="32"/>
          <w:highlight w:val="none"/>
          <w:lang w:val="en-US" w:eastAsia="zh-CN" w:bidi="ar-SA"/>
        </w:rPr>
      </w:pPr>
      <w:r>
        <w:rPr>
          <w:rFonts w:hint="eastAsia" w:ascii="仿宋_GB2312" w:hAnsi="仿宋" w:eastAsia="仿宋_GB2312"/>
          <w:sz w:val="32"/>
          <w:szCs w:val="32"/>
          <w:highlight w:val="none"/>
        </w:rPr>
        <w:t>2．机构情况，</w:t>
      </w:r>
      <w:r>
        <w:rPr>
          <w:rFonts w:hint="eastAsia" w:ascii="仿宋_GB2312" w:hAnsi="仿宋" w:eastAsia="仿宋_GB2312" w:cs="Times New Roman"/>
          <w:kern w:val="2"/>
          <w:sz w:val="32"/>
          <w:szCs w:val="32"/>
          <w:highlight w:val="none"/>
          <w:lang w:val="en-US" w:eastAsia="zh-CN" w:bidi="ar-SA"/>
        </w:rPr>
        <w:t>绵竹市残疾人联合会属一级预算单位，含一个下属单位绵竹市残疾人康复服务中心，但未单独进行经费预算,与2023年情况一样。</w:t>
      </w:r>
    </w:p>
    <w:p w14:paraId="75DDCC51">
      <w:pPr>
        <w:snapToGrid w:val="0"/>
        <w:spacing w:line="520" w:lineRule="exact"/>
        <w:ind w:firstLine="640" w:firstLineChars="200"/>
        <w:rPr>
          <w:rFonts w:hint="eastAsia" w:ascii="仿宋_GB2312" w:hAnsi="仿宋" w:eastAsia="仿宋_GB2312"/>
          <w:sz w:val="32"/>
          <w:szCs w:val="32"/>
          <w:highlight w:val="none"/>
        </w:rPr>
      </w:pPr>
      <w:r>
        <w:rPr>
          <w:rFonts w:hint="eastAsia" w:ascii="仿宋_GB2312" w:hAnsi="仿宋" w:eastAsia="仿宋_GB2312"/>
          <w:sz w:val="32"/>
          <w:szCs w:val="32"/>
          <w:highlight w:val="none"/>
        </w:rPr>
        <w:t>。</w:t>
      </w:r>
    </w:p>
    <w:p w14:paraId="3579D76E">
      <w:pPr>
        <w:ind w:firstLine="800" w:firstLineChars="250"/>
        <w:rPr>
          <w:rFonts w:hint="eastAsia" w:ascii="仿宋_GB2312" w:hAnsi="仿宋" w:eastAsia="仿宋_GB2312" w:cs="Times New Roman"/>
          <w:sz w:val="32"/>
          <w:szCs w:val="32"/>
          <w:highlight w:val="none"/>
        </w:rPr>
      </w:pPr>
      <w:r>
        <w:rPr>
          <w:rFonts w:hint="eastAsia" w:ascii="仿宋_GB2312" w:hAnsi="仿宋" w:eastAsia="仿宋_GB2312"/>
          <w:sz w:val="32"/>
          <w:szCs w:val="32"/>
          <w:highlight w:val="none"/>
        </w:rPr>
        <w:t>3．人员情况，</w:t>
      </w:r>
      <w:r>
        <w:rPr>
          <w:rFonts w:hint="eastAsia" w:ascii="仿宋_GB2312" w:hAnsi="仿宋" w:eastAsia="仿宋_GB2312" w:cs="Times New Roman"/>
          <w:sz w:val="32"/>
          <w:szCs w:val="32"/>
          <w:highlight w:val="none"/>
        </w:rPr>
        <w:t>绵竹市残联现有公务员</w:t>
      </w:r>
      <w:r>
        <w:rPr>
          <w:rFonts w:hint="eastAsia" w:ascii="仿宋_GB2312" w:hAnsi="仿宋" w:eastAsia="仿宋_GB2312" w:cs="Times New Roman"/>
          <w:sz w:val="32"/>
          <w:szCs w:val="32"/>
          <w:highlight w:val="none"/>
          <w:lang w:eastAsia="zh-CN"/>
        </w:rPr>
        <w:t>四</w:t>
      </w:r>
      <w:r>
        <w:rPr>
          <w:rFonts w:hint="eastAsia" w:ascii="仿宋_GB2312" w:hAnsi="仿宋" w:eastAsia="仿宋_GB2312" w:cs="Times New Roman"/>
          <w:sz w:val="32"/>
          <w:szCs w:val="32"/>
          <w:highlight w:val="none"/>
        </w:rPr>
        <w:t>名，机关工人一名，事业管理人员一名。</w:t>
      </w:r>
    </w:p>
    <w:p w14:paraId="243E4B77">
      <w:pPr>
        <w:snapToGrid w:val="0"/>
        <w:spacing w:line="520" w:lineRule="exact"/>
        <w:ind w:firstLine="640" w:firstLineChars="200"/>
        <w:rPr>
          <w:rFonts w:hint="eastAsia" w:ascii="仿宋_GB2312" w:hAnsi="仿宋" w:eastAsia="仿宋_GB2312"/>
          <w:sz w:val="32"/>
          <w:szCs w:val="32"/>
          <w:highlight w:val="none"/>
        </w:rPr>
      </w:pPr>
    </w:p>
    <w:p w14:paraId="4450AFB2">
      <w:pPr>
        <w:snapToGrid w:val="0"/>
        <w:spacing w:line="520" w:lineRule="exact"/>
        <w:ind w:firstLine="643" w:firstLineChars="200"/>
        <w:rPr>
          <w:rFonts w:hint="eastAsia" w:ascii="楷体_GB2312" w:hAnsi="仿宋" w:eastAsia="楷体_GB2312"/>
          <w:b/>
          <w:sz w:val="32"/>
          <w:szCs w:val="32"/>
          <w:highlight w:val="none"/>
        </w:rPr>
      </w:pPr>
      <w:r>
        <w:rPr>
          <w:rFonts w:hint="eastAsia" w:ascii="楷体_GB2312" w:hAnsi="仿宋" w:eastAsia="楷体_GB2312"/>
          <w:b/>
          <w:sz w:val="32"/>
          <w:szCs w:val="32"/>
          <w:highlight w:val="none"/>
        </w:rPr>
        <w:t>（二）当年取得的主要事业成效。</w:t>
      </w:r>
    </w:p>
    <w:p w14:paraId="676D8A4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简体" w:cs="Times New Roman"/>
          <w:b/>
          <w:bCs/>
          <w:sz w:val="32"/>
          <w:szCs w:val="48"/>
          <w:lang w:val="en-US" w:eastAsia="zh-CN"/>
        </w:rPr>
      </w:pPr>
      <w:r>
        <w:rPr>
          <w:rFonts w:hint="default" w:ascii="Times New Roman" w:hAnsi="Times New Roman" w:eastAsia="方正仿宋简体" w:cs="Times New Roman"/>
          <w:b/>
          <w:bCs/>
          <w:sz w:val="32"/>
          <w:szCs w:val="48"/>
          <w:lang w:val="en" w:eastAsia="zh-CN"/>
        </w:rPr>
        <w:t>1.</w:t>
      </w:r>
      <w:r>
        <w:rPr>
          <w:rFonts w:hint="default" w:ascii="Times New Roman" w:hAnsi="Times New Roman" w:eastAsia="方正仿宋简体" w:cs="Times New Roman"/>
          <w:b/>
          <w:bCs/>
          <w:sz w:val="32"/>
          <w:szCs w:val="48"/>
          <w:lang w:val="en-US" w:eastAsia="zh-CN"/>
        </w:rPr>
        <w:t>兜牢残疾人社会保障</w:t>
      </w:r>
    </w:p>
    <w:p w14:paraId="1054445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简体" w:cs="Times New Roman"/>
          <w:sz w:val="32"/>
          <w:szCs w:val="32"/>
          <w:lang w:val="en-US" w:eastAsia="zh-CN"/>
        </w:rPr>
      </w:pPr>
      <w:r>
        <w:rPr>
          <w:rFonts w:hint="default" w:ascii="仿宋_GB2312" w:hAnsi="仿宋" w:eastAsia="仿宋_GB2312" w:cs="Times New Roman"/>
          <w:kern w:val="2"/>
          <w:sz w:val="32"/>
          <w:szCs w:val="32"/>
          <w:highlight w:val="none"/>
          <w:lang w:val="en-US" w:eastAsia="zh-CN" w:bidi="ar-SA"/>
        </w:rPr>
        <w:t>为全市1.7万余名持证残疾人全覆盖购买意外伤害保险。 协助发放困难残疾人生活补贴</w:t>
      </w:r>
      <w:r>
        <w:rPr>
          <w:rFonts w:hint="eastAsia" w:ascii="仿宋_GB2312" w:hAnsi="仿宋" w:eastAsia="仿宋_GB2312" w:cs="Times New Roman"/>
          <w:kern w:val="2"/>
          <w:sz w:val="32"/>
          <w:szCs w:val="32"/>
          <w:highlight w:val="none"/>
          <w:lang w:val="en-US" w:eastAsia="zh-CN" w:bidi="ar-SA"/>
        </w:rPr>
        <w:t>52949</w:t>
      </w:r>
      <w:r>
        <w:rPr>
          <w:rFonts w:hint="default" w:ascii="仿宋_GB2312" w:hAnsi="仿宋" w:eastAsia="仿宋_GB2312" w:cs="Times New Roman"/>
          <w:kern w:val="2"/>
          <w:sz w:val="32"/>
          <w:szCs w:val="32"/>
          <w:highlight w:val="none"/>
          <w:lang w:val="en-US" w:eastAsia="zh-CN" w:bidi="ar-SA"/>
        </w:rPr>
        <w:t>万人次，重度残疾人落实护理</w:t>
      </w:r>
      <w:r>
        <w:rPr>
          <w:rFonts w:hint="eastAsia" w:ascii="仿宋_GB2312" w:hAnsi="仿宋" w:eastAsia="仿宋_GB2312" w:cs="Times New Roman"/>
          <w:kern w:val="2"/>
          <w:sz w:val="32"/>
          <w:szCs w:val="32"/>
          <w:highlight w:val="none"/>
          <w:lang w:val="en-US" w:eastAsia="zh-CN" w:bidi="ar-SA"/>
        </w:rPr>
        <w:t>95623</w:t>
      </w:r>
      <w:r>
        <w:rPr>
          <w:rFonts w:hint="default" w:ascii="仿宋_GB2312" w:hAnsi="仿宋" w:eastAsia="仿宋_GB2312" w:cs="Times New Roman"/>
          <w:kern w:val="2"/>
          <w:sz w:val="32"/>
          <w:szCs w:val="32"/>
          <w:highlight w:val="none"/>
          <w:lang w:val="en-US" w:eastAsia="zh-CN" w:bidi="ar-SA"/>
        </w:rPr>
        <w:t>万人次。实施“阳光家园计划”，为470名就业年龄段的智力、精神、重度肢体残疾人提供托养服务。为</w:t>
      </w:r>
      <w:r>
        <w:rPr>
          <w:rFonts w:hint="eastAsia" w:ascii="仿宋_GB2312" w:hAnsi="仿宋" w:eastAsia="仿宋_GB2312" w:cs="Times New Roman"/>
          <w:kern w:val="2"/>
          <w:sz w:val="32"/>
          <w:szCs w:val="32"/>
          <w:highlight w:val="none"/>
          <w:lang w:val="en-US" w:eastAsia="zh-CN" w:bidi="ar-SA"/>
        </w:rPr>
        <w:t>6792</w:t>
      </w:r>
      <w:r>
        <w:rPr>
          <w:rFonts w:hint="default" w:ascii="仿宋_GB2312" w:hAnsi="仿宋" w:eastAsia="仿宋_GB2312" w:cs="Times New Roman"/>
          <w:kern w:val="2"/>
          <w:sz w:val="32"/>
          <w:szCs w:val="32"/>
          <w:highlight w:val="none"/>
          <w:lang w:val="en-US" w:eastAsia="zh-CN" w:bidi="ar-SA"/>
        </w:rPr>
        <w:t>人次残疾人发放一户多残和瘫痪在床生活补贴</w:t>
      </w:r>
      <w:r>
        <w:rPr>
          <w:rFonts w:hint="eastAsia" w:ascii="仿宋_GB2312" w:hAnsi="仿宋" w:eastAsia="仿宋_GB2312" w:cs="Times New Roman"/>
          <w:kern w:val="2"/>
          <w:sz w:val="32"/>
          <w:szCs w:val="32"/>
          <w:highlight w:val="none"/>
          <w:lang w:val="en-US" w:eastAsia="zh-CN" w:bidi="ar-SA"/>
        </w:rPr>
        <w:t>54.33</w:t>
      </w:r>
      <w:r>
        <w:rPr>
          <w:rFonts w:hint="default" w:ascii="仿宋_GB2312" w:hAnsi="仿宋" w:eastAsia="仿宋_GB2312" w:cs="Times New Roman"/>
          <w:kern w:val="2"/>
          <w:sz w:val="32"/>
          <w:szCs w:val="32"/>
          <w:highlight w:val="none"/>
          <w:lang w:val="en-US" w:eastAsia="zh-CN" w:bidi="ar-SA"/>
        </w:rPr>
        <w:t>万元。</w:t>
      </w:r>
      <w:r>
        <w:rPr>
          <w:rFonts w:hint="eastAsia" w:ascii="仿宋_GB2312" w:hAnsi="仿宋" w:eastAsia="仿宋_GB2312" w:cs="Times New Roman"/>
          <w:kern w:val="2"/>
          <w:sz w:val="32"/>
          <w:szCs w:val="32"/>
          <w:highlight w:val="none"/>
          <w:lang w:val="en-US" w:eastAsia="zh-CN" w:bidi="ar-SA"/>
        </w:rPr>
        <w:t xml:space="preserve">               </w:t>
      </w:r>
      <w:r>
        <w:rPr>
          <w:rFonts w:hint="eastAsia" w:ascii="Times New Roman" w:hAnsi="Times New Roman" w:eastAsia="方正仿宋简体" w:cs="Times New Roman"/>
          <w:sz w:val="32"/>
          <w:szCs w:val="32"/>
          <w:lang w:val="en-US" w:eastAsia="zh-CN"/>
        </w:rPr>
        <w:t xml:space="preserve">                                                                                                                                                                                                                                                                                                                                                                                                                                                                                                                                            </w:t>
      </w:r>
    </w:p>
    <w:p w14:paraId="63D31D5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简体" w:cs="Times New Roman"/>
          <w:b/>
          <w:bCs/>
          <w:sz w:val="32"/>
          <w:szCs w:val="48"/>
          <w:lang w:val="en-US" w:eastAsia="zh-CN"/>
        </w:rPr>
      </w:pPr>
      <w:r>
        <w:rPr>
          <w:rFonts w:hint="default" w:ascii="Times New Roman" w:hAnsi="Times New Roman" w:eastAsia="方正仿宋简体" w:cs="Times New Roman"/>
          <w:b/>
          <w:bCs/>
          <w:sz w:val="32"/>
          <w:szCs w:val="48"/>
          <w:lang w:val="en" w:eastAsia="zh-CN"/>
        </w:rPr>
        <w:t>2.</w:t>
      </w:r>
      <w:r>
        <w:rPr>
          <w:rFonts w:hint="default" w:ascii="Times New Roman" w:hAnsi="Times New Roman" w:eastAsia="方正仿宋简体" w:cs="Times New Roman"/>
          <w:b/>
          <w:bCs/>
          <w:sz w:val="32"/>
          <w:szCs w:val="48"/>
          <w:lang w:val="en-US" w:eastAsia="zh-CN"/>
        </w:rPr>
        <w:t>实施残疾人康复服务</w:t>
      </w:r>
    </w:p>
    <w:p w14:paraId="7058C248">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default" w:ascii="仿宋_GB2312" w:hAnsi="仿宋" w:eastAsia="仿宋_GB2312" w:cs="Times New Roman"/>
          <w:kern w:val="2"/>
          <w:sz w:val="32"/>
          <w:szCs w:val="32"/>
          <w:highlight w:val="none"/>
          <w:lang w:val="en-US" w:eastAsia="zh-CN" w:bidi="ar-SA"/>
        </w:rPr>
      </w:pPr>
      <w:r>
        <w:rPr>
          <w:rFonts w:hint="default" w:ascii="Times New Roman" w:hAnsi="Times New Roman" w:eastAsia="方正仿宋简体" w:cs="Times New Roman"/>
          <w:sz w:val="32"/>
          <w:szCs w:val="32"/>
          <w:lang w:val="en-US" w:eastAsia="zh-CN"/>
        </w:rPr>
        <w:t>　　</w:t>
      </w:r>
      <w:r>
        <w:rPr>
          <w:rFonts w:hint="default" w:ascii="仿宋_GB2312" w:hAnsi="仿宋" w:eastAsia="仿宋_GB2312" w:cs="Times New Roman"/>
          <w:kern w:val="2"/>
          <w:sz w:val="32"/>
          <w:szCs w:val="32"/>
          <w:highlight w:val="none"/>
          <w:lang w:val="en-US" w:eastAsia="zh-CN" w:bidi="ar-SA"/>
        </w:rPr>
        <w:t>开展残疾预防宣传进机关、进社区、进企业、进学校活动和线上电台专访，受众</w:t>
      </w:r>
      <w:r>
        <w:rPr>
          <w:rFonts w:hint="eastAsia" w:ascii="仿宋_GB2312" w:hAnsi="仿宋" w:eastAsia="仿宋_GB2312" w:cs="Times New Roman"/>
          <w:kern w:val="2"/>
          <w:sz w:val="32"/>
          <w:szCs w:val="32"/>
          <w:highlight w:val="none"/>
          <w:lang w:val="en-US" w:eastAsia="zh-CN" w:bidi="ar-SA"/>
        </w:rPr>
        <w:t>2</w:t>
      </w:r>
      <w:r>
        <w:rPr>
          <w:rFonts w:hint="default" w:ascii="仿宋_GB2312" w:hAnsi="仿宋" w:eastAsia="仿宋_GB2312" w:cs="Times New Roman"/>
          <w:kern w:val="2"/>
          <w:sz w:val="32"/>
          <w:szCs w:val="32"/>
          <w:highlight w:val="none"/>
          <w:lang w:val="en-US" w:eastAsia="zh-CN" w:bidi="ar-SA"/>
        </w:rPr>
        <w:t>万余人次。落实残疾儿童康复救助制度，救助残疾儿童83人。深化五级残疾人康复服务，为3500名残疾人提供家庭医生签约增值（个性化）服务，为670名残疾人提供心理健康支持服务。为649名残疾人提供精神病门诊服药救助，为30名视力残疾人开展盲人融合训练。推进实施成德眉资残疾儿童康复救助定点服务机构同城共享。</w:t>
      </w:r>
    </w:p>
    <w:p w14:paraId="5512D45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简体" w:cs="Times New Roman"/>
          <w:b/>
          <w:bCs/>
          <w:sz w:val="32"/>
          <w:szCs w:val="48"/>
          <w:lang w:val="en-US" w:eastAsia="zh-CN"/>
        </w:rPr>
      </w:pPr>
      <w:r>
        <w:rPr>
          <w:rFonts w:hint="default" w:ascii="Times New Roman" w:hAnsi="Times New Roman" w:eastAsia="方正仿宋简体" w:cs="Times New Roman"/>
          <w:b/>
          <w:bCs/>
          <w:sz w:val="32"/>
          <w:szCs w:val="48"/>
          <w:lang w:val="en" w:eastAsia="zh-CN"/>
        </w:rPr>
        <w:t>3.</w:t>
      </w:r>
      <w:r>
        <w:rPr>
          <w:rFonts w:hint="default" w:ascii="Times New Roman" w:hAnsi="Times New Roman" w:eastAsia="方正仿宋简体" w:cs="Times New Roman"/>
          <w:b/>
          <w:bCs/>
          <w:sz w:val="32"/>
          <w:szCs w:val="48"/>
          <w:lang w:val="en-US" w:eastAsia="zh-CN"/>
        </w:rPr>
        <w:t>促进残疾人就业创业</w:t>
      </w:r>
    </w:p>
    <w:p w14:paraId="0E42726F">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highlight w:val="none"/>
          <w:lang w:val="en-US" w:eastAsia="zh-CN" w:bidi="ar-SA"/>
        </w:rPr>
      </w:pPr>
      <w:r>
        <w:rPr>
          <w:rFonts w:hint="default" w:ascii="仿宋_GB2312" w:hAnsi="仿宋" w:eastAsia="仿宋_GB2312" w:cs="Times New Roman"/>
          <w:kern w:val="2"/>
          <w:sz w:val="32"/>
          <w:szCs w:val="32"/>
          <w:highlight w:val="none"/>
          <w:lang w:val="en-US" w:eastAsia="zh-CN" w:bidi="ar-SA"/>
        </w:rPr>
        <w:t>全覆盖开展就业年龄段残疾人就业状况调查，新建</w:t>
      </w:r>
      <w:r>
        <w:rPr>
          <w:rFonts w:hint="eastAsia" w:ascii="仿宋_GB2312" w:hAnsi="仿宋" w:eastAsia="仿宋_GB2312" w:cs="Times New Roman"/>
          <w:kern w:val="2"/>
          <w:sz w:val="32"/>
          <w:szCs w:val="32"/>
          <w:highlight w:val="none"/>
          <w:lang w:val="en-US" w:eastAsia="zh-CN" w:bidi="ar-SA"/>
        </w:rPr>
        <w:t>1</w:t>
      </w:r>
      <w:r>
        <w:rPr>
          <w:rFonts w:hint="default" w:ascii="仿宋_GB2312" w:hAnsi="仿宋" w:eastAsia="仿宋_GB2312" w:cs="Times New Roman"/>
          <w:kern w:val="2"/>
          <w:sz w:val="32"/>
          <w:szCs w:val="32"/>
          <w:highlight w:val="none"/>
          <w:lang w:val="en-US" w:eastAsia="zh-CN" w:bidi="ar-SA"/>
        </w:rPr>
        <w:t>家残疾人辅助性就业机构。开展了</w:t>
      </w:r>
      <w:r>
        <w:rPr>
          <w:rFonts w:hint="eastAsia" w:ascii="仿宋_GB2312" w:hAnsi="仿宋" w:eastAsia="仿宋_GB2312" w:cs="Times New Roman"/>
          <w:kern w:val="2"/>
          <w:sz w:val="32"/>
          <w:szCs w:val="32"/>
          <w:highlight w:val="none"/>
          <w:lang w:val="en-US" w:eastAsia="zh-CN" w:bidi="ar-SA"/>
        </w:rPr>
        <w:t>6</w:t>
      </w:r>
      <w:r>
        <w:rPr>
          <w:rFonts w:hint="default" w:ascii="仿宋_GB2312" w:hAnsi="仿宋" w:eastAsia="仿宋_GB2312" w:cs="Times New Roman"/>
          <w:kern w:val="2"/>
          <w:sz w:val="32"/>
          <w:szCs w:val="32"/>
          <w:highlight w:val="none"/>
          <w:lang w:val="en-US" w:eastAsia="zh-CN" w:bidi="ar-SA"/>
        </w:rPr>
        <w:t>期面塑、肉鸽养殖、花式气球等残疾人职业技能培训和农村实用技术培训。参加德阳市第二届残疾人职业技能竞赛获集体</w:t>
      </w:r>
      <w:r>
        <w:rPr>
          <w:rFonts w:hint="eastAsia" w:ascii="仿宋_GB2312" w:hAnsi="仿宋" w:eastAsia="仿宋_GB2312" w:cs="Times New Roman"/>
          <w:kern w:val="2"/>
          <w:sz w:val="32"/>
          <w:szCs w:val="32"/>
          <w:highlight w:val="none"/>
          <w:lang w:val="en-US" w:eastAsia="zh-CN" w:bidi="ar-SA"/>
        </w:rPr>
        <w:t>三</w:t>
      </w:r>
      <w:r>
        <w:rPr>
          <w:rFonts w:hint="default" w:ascii="仿宋_GB2312" w:hAnsi="仿宋" w:eastAsia="仿宋_GB2312" w:cs="Times New Roman"/>
          <w:kern w:val="2"/>
          <w:sz w:val="32"/>
          <w:szCs w:val="32"/>
          <w:highlight w:val="none"/>
          <w:lang w:val="en-US" w:eastAsia="zh-CN" w:bidi="ar-SA"/>
        </w:rPr>
        <w:t>等奖。与人社</w:t>
      </w:r>
      <w:r>
        <w:rPr>
          <w:rFonts w:hint="eastAsia" w:ascii="仿宋_GB2312" w:hAnsi="仿宋" w:eastAsia="仿宋_GB2312" w:cs="Times New Roman"/>
          <w:kern w:val="2"/>
          <w:sz w:val="32"/>
          <w:szCs w:val="32"/>
          <w:highlight w:val="none"/>
          <w:lang w:val="en-US" w:eastAsia="zh-CN" w:bidi="ar-SA"/>
        </w:rPr>
        <w:t>单位</w:t>
      </w:r>
      <w:r>
        <w:rPr>
          <w:rFonts w:hint="default" w:ascii="仿宋_GB2312" w:hAnsi="仿宋" w:eastAsia="仿宋_GB2312" w:cs="Times New Roman"/>
          <w:kern w:val="2"/>
          <w:sz w:val="32"/>
          <w:szCs w:val="32"/>
          <w:highlight w:val="none"/>
          <w:lang w:val="en-US" w:eastAsia="zh-CN" w:bidi="ar-SA"/>
        </w:rPr>
        <w:t>共同开展“2024年春风行动暨就业援助月”系列活动，在全国助残日等重大时间节点，组织开展线上线下招聘会</w:t>
      </w:r>
      <w:r>
        <w:rPr>
          <w:rFonts w:hint="eastAsia" w:ascii="仿宋_GB2312" w:hAnsi="仿宋" w:eastAsia="仿宋_GB2312" w:cs="Times New Roman"/>
          <w:kern w:val="2"/>
          <w:sz w:val="32"/>
          <w:szCs w:val="32"/>
          <w:highlight w:val="none"/>
          <w:lang w:val="en-US" w:eastAsia="zh-CN" w:bidi="ar-SA"/>
        </w:rPr>
        <w:t>10</w:t>
      </w:r>
      <w:r>
        <w:rPr>
          <w:rFonts w:hint="default" w:ascii="仿宋_GB2312" w:hAnsi="仿宋" w:eastAsia="仿宋_GB2312" w:cs="Times New Roman"/>
          <w:kern w:val="2"/>
          <w:sz w:val="32"/>
          <w:szCs w:val="32"/>
          <w:highlight w:val="none"/>
          <w:lang w:val="en-US" w:eastAsia="zh-CN" w:bidi="ar-SA"/>
        </w:rPr>
        <w:t>余场，帮助</w:t>
      </w:r>
      <w:r>
        <w:rPr>
          <w:rFonts w:hint="eastAsia" w:ascii="仿宋_GB2312" w:hAnsi="仿宋" w:eastAsia="仿宋_GB2312" w:cs="Times New Roman"/>
          <w:kern w:val="2"/>
          <w:sz w:val="32"/>
          <w:szCs w:val="32"/>
          <w:highlight w:val="none"/>
          <w:lang w:val="en-US" w:eastAsia="zh-CN" w:bidi="ar-SA"/>
        </w:rPr>
        <w:t>50</w:t>
      </w:r>
      <w:r>
        <w:rPr>
          <w:rFonts w:hint="default" w:ascii="仿宋_GB2312" w:hAnsi="仿宋" w:eastAsia="仿宋_GB2312" w:cs="Times New Roman"/>
          <w:kern w:val="2"/>
          <w:sz w:val="32"/>
          <w:szCs w:val="32"/>
          <w:highlight w:val="none"/>
          <w:lang w:val="en-US" w:eastAsia="zh-CN" w:bidi="ar-SA"/>
        </w:rPr>
        <w:t>余名残疾人与企业达成就业意向。对今年毕业的</w:t>
      </w:r>
      <w:r>
        <w:rPr>
          <w:rFonts w:hint="eastAsia" w:ascii="仿宋_GB2312" w:hAnsi="仿宋" w:eastAsia="仿宋_GB2312" w:cs="Times New Roman"/>
          <w:kern w:val="2"/>
          <w:sz w:val="32"/>
          <w:szCs w:val="32"/>
          <w:highlight w:val="none"/>
          <w:lang w:val="en-US" w:eastAsia="zh-CN" w:bidi="ar-SA"/>
        </w:rPr>
        <w:t>9</w:t>
      </w:r>
      <w:r>
        <w:rPr>
          <w:rFonts w:hint="default" w:ascii="仿宋_GB2312" w:hAnsi="仿宋" w:eastAsia="仿宋_GB2312" w:cs="Times New Roman"/>
          <w:kern w:val="2"/>
          <w:sz w:val="32"/>
          <w:szCs w:val="32"/>
          <w:highlight w:val="none"/>
          <w:lang w:val="en-US" w:eastAsia="zh-CN" w:bidi="ar-SA"/>
        </w:rPr>
        <w:t>名残疾高校毕业生开展了“一对一”的就业摸底和服务。联合税务</w:t>
      </w:r>
      <w:r>
        <w:rPr>
          <w:rFonts w:hint="eastAsia" w:ascii="仿宋_GB2312" w:hAnsi="仿宋" w:eastAsia="仿宋_GB2312" w:cs="Times New Roman"/>
          <w:kern w:val="2"/>
          <w:sz w:val="32"/>
          <w:szCs w:val="32"/>
          <w:highlight w:val="none"/>
          <w:lang w:val="en-US" w:eastAsia="zh-CN" w:bidi="ar-SA"/>
        </w:rPr>
        <w:t>单位</w:t>
      </w:r>
      <w:r>
        <w:rPr>
          <w:rFonts w:hint="default" w:ascii="仿宋_GB2312" w:hAnsi="仿宋" w:eastAsia="仿宋_GB2312" w:cs="Times New Roman"/>
          <w:kern w:val="2"/>
          <w:sz w:val="32"/>
          <w:szCs w:val="32"/>
          <w:highlight w:val="none"/>
          <w:lang w:val="en-US" w:eastAsia="zh-CN" w:bidi="ar-SA"/>
        </w:rPr>
        <w:t>开展“访企脱岗”走访服务工作，向企业普及按比例安置残疾人就业政策</w:t>
      </w:r>
      <w:r>
        <w:rPr>
          <w:rFonts w:hint="eastAsia" w:ascii="仿宋_GB2312" w:hAnsi="仿宋" w:eastAsia="仿宋_GB2312" w:cs="Times New Roman"/>
          <w:kern w:val="2"/>
          <w:sz w:val="32"/>
          <w:szCs w:val="32"/>
          <w:highlight w:val="none"/>
          <w:lang w:val="en-US" w:eastAsia="zh-CN" w:bidi="ar-SA"/>
        </w:rPr>
        <w:t>35</w:t>
      </w:r>
      <w:r>
        <w:rPr>
          <w:rFonts w:hint="default" w:ascii="仿宋_GB2312" w:hAnsi="仿宋" w:eastAsia="仿宋_GB2312" w:cs="Times New Roman"/>
          <w:kern w:val="2"/>
          <w:sz w:val="32"/>
          <w:szCs w:val="32"/>
          <w:highlight w:val="none"/>
          <w:lang w:val="en-US" w:eastAsia="zh-CN" w:bidi="ar-SA"/>
        </w:rPr>
        <w:t>次，截至目前服务企业完成残保金申报143家，帮助467名残疾人实现就业</w:t>
      </w:r>
      <w:r>
        <w:rPr>
          <w:rFonts w:hint="eastAsia" w:ascii="仿宋_GB2312" w:hAnsi="仿宋" w:eastAsia="仿宋_GB2312" w:cs="Times New Roman"/>
          <w:kern w:val="2"/>
          <w:sz w:val="32"/>
          <w:szCs w:val="32"/>
          <w:highlight w:val="none"/>
          <w:lang w:val="en-US" w:eastAsia="zh-CN" w:bidi="ar-SA"/>
        </w:rPr>
        <w:t>。</w:t>
      </w:r>
    </w:p>
    <w:p w14:paraId="349D642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简体" w:cs="Times New Roman"/>
          <w:b/>
          <w:bCs/>
          <w:sz w:val="32"/>
          <w:szCs w:val="48"/>
          <w:lang w:val="en-US" w:eastAsia="zh-CN"/>
        </w:rPr>
      </w:pPr>
      <w:r>
        <w:rPr>
          <w:rFonts w:hint="default" w:ascii="Times New Roman" w:hAnsi="Times New Roman" w:eastAsia="方正仿宋简体" w:cs="Times New Roman"/>
          <w:b/>
          <w:bCs/>
          <w:sz w:val="32"/>
          <w:szCs w:val="48"/>
          <w:lang w:val="en" w:eastAsia="zh-CN"/>
        </w:rPr>
        <w:t>4.</w:t>
      </w:r>
      <w:r>
        <w:rPr>
          <w:rFonts w:hint="default" w:ascii="Times New Roman" w:hAnsi="Times New Roman" w:eastAsia="方正仿宋简体" w:cs="Times New Roman"/>
          <w:b/>
          <w:bCs/>
          <w:sz w:val="32"/>
          <w:szCs w:val="48"/>
          <w:lang w:val="en-US" w:eastAsia="zh-CN"/>
        </w:rPr>
        <w:t>推进残疾人教育工作</w:t>
      </w:r>
    </w:p>
    <w:p w14:paraId="600C1136">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highlight w:val="none"/>
          <w:lang w:val="en-US" w:eastAsia="zh-CN" w:bidi="ar-SA"/>
        </w:rPr>
      </w:pPr>
      <w:r>
        <w:rPr>
          <w:rFonts w:hint="default" w:ascii="仿宋_GB2312" w:hAnsi="仿宋" w:eastAsia="仿宋_GB2312" w:cs="Times New Roman"/>
          <w:kern w:val="2"/>
          <w:sz w:val="32"/>
          <w:szCs w:val="32"/>
          <w:highlight w:val="none"/>
          <w:lang w:val="en-US" w:eastAsia="zh-CN" w:bidi="ar-SA"/>
        </w:rPr>
        <w:t>抓好学前教育，与市教育局深入调研，</w:t>
      </w:r>
      <w:r>
        <w:rPr>
          <w:rFonts w:hint="eastAsia" w:ascii="仿宋_GB2312" w:hAnsi="仿宋" w:eastAsia="仿宋_GB2312" w:cs="Times New Roman"/>
          <w:kern w:val="2"/>
          <w:sz w:val="32"/>
          <w:szCs w:val="32"/>
          <w:highlight w:val="none"/>
          <w:lang w:val="en-US" w:eastAsia="zh-CN" w:bidi="ar-SA"/>
        </w:rPr>
        <w:t>推动提升</w:t>
      </w:r>
      <w:r>
        <w:rPr>
          <w:rFonts w:hint="default" w:ascii="仿宋_GB2312" w:hAnsi="仿宋" w:eastAsia="仿宋_GB2312" w:cs="Times New Roman"/>
          <w:kern w:val="2"/>
          <w:sz w:val="32"/>
          <w:szCs w:val="32"/>
          <w:highlight w:val="none"/>
          <w:lang w:val="en-US" w:eastAsia="zh-CN" w:bidi="ar-SA"/>
        </w:rPr>
        <w:t>全市3-6岁残疾儿童</w:t>
      </w:r>
      <w:r>
        <w:rPr>
          <w:rFonts w:hint="eastAsia" w:ascii="仿宋_GB2312" w:hAnsi="仿宋" w:eastAsia="仿宋_GB2312" w:cs="Times New Roman"/>
          <w:kern w:val="2"/>
          <w:sz w:val="32"/>
          <w:szCs w:val="32"/>
          <w:highlight w:val="none"/>
          <w:lang w:val="en-US" w:eastAsia="zh-CN" w:bidi="ar-SA"/>
        </w:rPr>
        <w:t>入学率</w:t>
      </w:r>
      <w:r>
        <w:rPr>
          <w:rFonts w:hint="default" w:ascii="仿宋_GB2312" w:hAnsi="仿宋" w:eastAsia="仿宋_GB2312" w:cs="Times New Roman"/>
          <w:kern w:val="2"/>
          <w:sz w:val="32"/>
          <w:szCs w:val="32"/>
          <w:highlight w:val="none"/>
          <w:lang w:val="en-US" w:eastAsia="zh-CN" w:bidi="ar-SA"/>
        </w:rPr>
        <w:t>。</w:t>
      </w:r>
      <w:r>
        <w:rPr>
          <w:rFonts w:hint="eastAsia" w:ascii="仿宋_GB2312" w:hAnsi="仿宋" w:eastAsia="仿宋_GB2312" w:cs="Times New Roman"/>
          <w:kern w:val="2"/>
          <w:sz w:val="32"/>
          <w:szCs w:val="32"/>
          <w:highlight w:val="none"/>
          <w:lang w:val="en-US" w:eastAsia="zh-CN" w:bidi="ar-SA"/>
        </w:rPr>
        <w:t>实现</w:t>
      </w:r>
      <w:r>
        <w:rPr>
          <w:rFonts w:hint="default" w:ascii="仿宋_GB2312" w:hAnsi="仿宋" w:eastAsia="仿宋_GB2312" w:cs="Times New Roman"/>
          <w:kern w:val="2"/>
          <w:sz w:val="32"/>
          <w:szCs w:val="32"/>
          <w:highlight w:val="none"/>
          <w:lang w:val="en-US" w:eastAsia="zh-CN" w:bidi="ar-SA"/>
        </w:rPr>
        <w:t>义务教育适龄学生应入学尽入学，全市义务教育阶段的残疾人学生入学率</w:t>
      </w:r>
      <w:r>
        <w:rPr>
          <w:rFonts w:hint="eastAsia" w:ascii="仿宋_GB2312" w:hAnsi="仿宋" w:eastAsia="仿宋_GB2312" w:cs="Times New Roman"/>
          <w:kern w:val="2"/>
          <w:sz w:val="32"/>
          <w:szCs w:val="32"/>
          <w:highlight w:val="none"/>
          <w:lang w:val="en-US" w:eastAsia="zh-CN" w:bidi="ar-SA"/>
        </w:rPr>
        <w:t>100</w:t>
      </w:r>
      <w:r>
        <w:rPr>
          <w:rFonts w:hint="default" w:ascii="仿宋_GB2312" w:hAnsi="仿宋" w:eastAsia="仿宋_GB2312" w:cs="Times New Roman"/>
          <w:kern w:val="2"/>
          <w:sz w:val="32"/>
          <w:szCs w:val="32"/>
          <w:highlight w:val="none"/>
          <w:lang w:val="en-US" w:eastAsia="zh-CN" w:bidi="ar-SA"/>
        </w:rPr>
        <w:t>%。实施教育资助政策，为259名符合条件的残疾学生发放教育资助金24.975万元。</w:t>
      </w:r>
    </w:p>
    <w:p w14:paraId="219725D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简体" w:cs="Times New Roman"/>
          <w:b/>
          <w:bCs/>
          <w:sz w:val="32"/>
          <w:szCs w:val="48"/>
          <w:lang w:val="en-US" w:eastAsia="zh-CN"/>
        </w:rPr>
      </w:pPr>
      <w:r>
        <w:rPr>
          <w:rFonts w:hint="default" w:ascii="Times New Roman" w:hAnsi="Times New Roman" w:eastAsia="方正仿宋简体" w:cs="Times New Roman"/>
          <w:b/>
          <w:bCs/>
          <w:sz w:val="32"/>
          <w:szCs w:val="48"/>
          <w:lang w:val="en" w:eastAsia="zh-CN"/>
        </w:rPr>
        <w:t>5.</w:t>
      </w:r>
      <w:r>
        <w:rPr>
          <w:rFonts w:hint="default" w:ascii="Times New Roman" w:hAnsi="Times New Roman" w:eastAsia="方正仿宋简体" w:cs="Times New Roman"/>
          <w:b/>
          <w:bCs/>
          <w:sz w:val="32"/>
          <w:szCs w:val="48"/>
          <w:lang w:val="en-US" w:eastAsia="zh-CN"/>
        </w:rPr>
        <w:t>丰富残疾人文体生活</w:t>
      </w:r>
    </w:p>
    <w:p w14:paraId="4F63FC30">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highlight w:val="none"/>
          <w:lang w:val="en-US" w:eastAsia="zh-CN" w:bidi="ar-SA"/>
        </w:rPr>
      </w:pPr>
      <w:r>
        <w:rPr>
          <w:rFonts w:hint="default" w:ascii="仿宋_GB2312" w:hAnsi="仿宋" w:eastAsia="仿宋_GB2312" w:cs="Times New Roman"/>
          <w:kern w:val="2"/>
          <w:sz w:val="32"/>
          <w:szCs w:val="32"/>
          <w:highlight w:val="none"/>
          <w:lang w:val="en-US" w:eastAsia="zh-CN" w:bidi="ar-SA"/>
        </w:rPr>
        <w:t>开展文化进家庭“五个一”和“光明影院”项目，丰富残疾人精神文化生活。建立残疾人体育健身示范点2个，举办残疾人全民健身运动会5场，500余人参加。举办了第二届体育复健进校园城际邀请赛。选拔出了10余名有条件、有潜力的残疾人作为残运会、残奥会体育后备人才。承接德阳市残疾人跆拳道赛事训练，参加四川省残疾人体育单项比赛跆拳道和盲人柔道获1金2银4铜。</w:t>
      </w:r>
    </w:p>
    <w:p w14:paraId="4F44A45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简体" w:cs="Times New Roman"/>
          <w:b/>
          <w:bCs/>
          <w:sz w:val="32"/>
          <w:szCs w:val="48"/>
          <w:lang w:val="en-US" w:eastAsia="zh-CN"/>
        </w:rPr>
      </w:pPr>
      <w:r>
        <w:rPr>
          <w:rFonts w:hint="default" w:ascii="Times New Roman" w:hAnsi="Times New Roman" w:eastAsia="方正仿宋简体" w:cs="Times New Roman"/>
          <w:b/>
          <w:bCs/>
          <w:sz w:val="32"/>
          <w:szCs w:val="48"/>
          <w:lang w:val="en" w:eastAsia="zh-CN"/>
        </w:rPr>
        <w:t>6.</w:t>
      </w:r>
      <w:r>
        <w:rPr>
          <w:rFonts w:hint="default" w:ascii="Times New Roman" w:hAnsi="Times New Roman" w:eastAsia="方正仿宋简体" w:cs="Times New Roman"/>
          <w:b/>
          <w:bCs/>
          <w:sz w:val="32"/>
          <w:szCs w:val="48"/>
          <w:lang w:val="en-US" w:eastAsia="zh-CN"/>
        </w:rPr>
        <w:t>依法维护残疾人权益</w:t>
      </w:r>
    </w:p>
    <w:p w14:paraId="4EE54266">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highlight w:val="none"/>
          <w:lang w:val="en-US" w:eastAsia="zh-CN" w:bidi="ar-SA"/>
        </w:rPr>
      </w:pPr>
      <w:r>
        <w:rPr>
          <w:rFonts w:hint="default" w:ascii="仿宋_GB2312" w:hAnsi="仿宋" w:eastAsia="仿宋_GB2312" w:cs="Times New Roman"/>
          <w:kern w:val="2"/>
          <w:sz w:val="32"/>
          <w:szCs w:val="32"/>
          <w:highlight w:val="none"/>
          <w:lang w:val="en-US" w:eastAsia="zh-CN" w:bidi="ar-SA"/>
        </w:rPr>
        <w:t>推动服务残疾人“一件事”一次办落地落实，广泛开展残疾人无障碍环境建设督导活动，组建了1支大学生无障碍督导员队伍，组织开展环境无障碍督导2次，推动改善无障碍环境。对150户残疾人家庭实施改造，开展残疾人“院坝维权”活动，为残疾人提供家门口释法、现场维权、就业指导等服务</w:t>
      </w:r>
      <w:r>
        <w:rPr>
          <w:rFonts w:hint="eastAsia" w:ascii="仿宋_GB2312" w:hAnsi="仿宋" w:eastAsia="仿宋_GB2312" w:cs="Times New Roman"/>
          <w:kern w:val="2"/>
          <w:sz w:val="32"/>
          <w:szCs w:val="32"/>
          <w:highlight w:val="none"/>
          <w:lang w:val="en-US" w:eastAsia="zh-CN" w:bidi="ar-SA"/>
        </w:rPr>
        <w:t>1200</w:t>
      </w:r>
      <w:r>
        <w:rPr>
          <w:rFonts w:hint="default" w:ascii="仿宋_GB2312" w:hAnsi="仿宋" w:eastAsia="仿宋_GB2312" w:cs="Times New Roman"/>
          <w:kern w:val="2"/>
          <w:sz w:val="32"/>
          <w:szCs w:val="32"/>
          <w:highlight w:val="none"/>
          <w:lang w:val="en-US" w:eastAsia="zh-CN" w:bidi="ar-SA"/>
        </w:rPr>
        <w:t>余人次。为1037名符合条件的残疾人发放信息消费补贴6.22万元。开展感恩自强教育、人文关怀和涉残政策法规宣传，提供及时有效法律服务，维护残疾群体在元旦、春节、两会等重要时间节点的安全稳定。</w:t>
      </w:r>
    </w:p>
    <w:p w14:paraId="17E96A0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简体" w:cs="Times New Roman"/>
          <w:b/>
          <w:bCs/>
          <w:sz w:val="32"/>
          <w:szCs w:val="48"/>
          <w:lang w:val="en-US" w:eastAsia="zh-CN"/>
        </w:rPr>
      </w:pPr>
      <w:r>
        <w:rPr>
          <w:rFonts w:hint="default" w:ascii="Times New Roman" w:hAnsi="Times New Roman" w:eastAsia="方正仿宋简体" w:cs="Times New Roman"/>
          <w:b/>
          <w:bCs/>
          <w:sz w:val="32"/>
          <w:szCs w:val="48"/>
          <w:lang w:val="en" w:eastAsia="zh-CN"/>
        </w:rPr>
        <w:t>7.</w:t>
      </w:r>
      <w:r>
        <w:rPr>
          <w:rFonts w:hint="default" w:ascii="Times New Roman" w:hAnsi="Times New Roman" w:eastAsia="方正仿宋简体" w:cs="Times New Roman"/>
          <w:b/>
          <w:bCs/>
          <w:sz w:val="32"/>
          <w:szCs w:val="48"/>
          <w:lang w:val="en-US" w:eastAsia="zh-CN"/>
        </w:rPr>
        <w:t>夯实残联组织建设</w:t>
      </w:r>
    </w:p>
    <w:p w14:paraId="576961B0">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highlight w:val="none"/>
          <w:lang w:val="en-US" w:eastAsia="zh-CN" w:bidi="ar-SA"/>
        </w:rPr>
      </w:pPr>
      <w:r>
        <w:rPr>
          <w:rFonts w:hint="default" w:ascii="仿宋_GB2312" w:hAnsi="仿宋" w:eastAsia="仿宋_GB2312" w:cs="Times New Roman"/>
          <w:kern w:val="2"/>
          <w:sz w:val="32"/>
          <w:szCs w:val="32"/>
          <w:highlight w:val="none"/>
          <w:lang w:val="en-US" w:eastAsia="zh-CN" w:bidi="ar-SA"/>
        </w:rPr>
        <w:t>持续推进村（社区）残协规范化建设，“残协+”工作模式在全市全面推进。全市新办残疾证784件，到期换证805件，“跨省通办残疾证”15件；开展上门评残服务</w:t>
      </w:r>
      <w:r>
        <w:rPr>
          <w:rFonts w:hint="eastAsia" w:ascii="仿宋_GB2312" w:hAnsi="仿宋" w:eastAsia="仿宋_GB2312" w:cs="Times New Roman"/>
          <w:kern w:val="2"/>
          <w:sz w:val="32"/>
          <w:szCs w:val="32"/>
          <w:highlight w:val="none"/>
          <w:lang w:val="en-US" w:eastAsia="zh-CN" w:bidi="ar-SA"/>
        </w:rPr>
        <w:t>20余</w:t>
      </w:r>
      <w:r>
        <w:rPr>
          <w:rFonts w:hint="default" w:ascii="仿宋_GB2312" w:hAnsi="仿宋" w:eastAsia="仿宋_GB2312" w:cs="Times New Roman"/>
          <w:kern w:val="2"/>
          <w:sz w:val="32"/>
          <w:szCs w:val="32"/>
          <w:highlight w:val="none"/>
          <w:lang w:val="en-US" w:eastAsia="zh-CN" w:bidi="ar-SA"/>
        </w:rPr>
        <w:t>次，服务残疾人</w:t>
      </w:r>
      <w:r>
        <w:rPr>
          <w:rFonts w:hint="eastAsia" w:ascii="仿宋_GB2312" w:hAnsi="仿宋" w:eastAsia="仿宋_GB2312" w:cs="Times New Roman"/>
          <w:kern w:val="2"/>
          <w:sz w:val="32"/>
          <w:szCs w:val="32"/>
          <w:highlight w:val="none"/>
          <w:lang w:val="en-US" w:eastAsia="zh-CN" w:bidi="ar-SA"/>
        </w:rPr>
        <w:t>150余</w:t>
      </w:r>
      <w:r>
        <w:rPr>
          <w:rFonts w:hint="default" w:ascii="仿宋_GB2312" w:hAnsi="仿宋" w:eastAsia="仿宋_GB2312" w:cs="Times New Roman"/>
          <w:kern w:val="2"/>
          <w:sz w:val="32"/>
          <w:szCs w:val="32"/>
          <w:highlight w:val="none"/>
          <w:lang w:val="en-US" w:eastAsia="zh-CN" w:bidi="ar-SA"/>
        </w:rPr>
        <w:t>人次。</w:t>
      </w:r>
    </w:p>
    <w:p w14:paraId="7EC94087">
      <w:pPr>
        <w:numPr>
          <w:ilvl w:val="0"/>
          <w:numId w:val="0"/>
        </w:numPr>
        <w:rPr>
          <w:rFonts w:hint="eastAsia"/>
          <w:lang w:eastAsia="zh-CN"/>
        </w:rPr>
      </w:pPr>
    </w:p>
    <w:p w14:paraId="58C7841B">
      <w:pPr>
        <w:pStyle w:val="3"/>
        <w:rPr>
          <w:rStyle w:val="29"/>
          <w:rFonts w:ascii="Times New Roman" w:hAnsi="Times New Roman"/>
          <w:b w:val="0"/>
          <w:bCs w:val="0"/>
          <w:color w:val="auto"/>
          <w:highlight w:val="none"/>
        </w:rPr>
      </w:pPr>
      <w:bookmarkStart w:id="18" w:name="_Toc6270"/>
      <w:bookmarkStart w:id="19" w:name="_Toc15377200"/>
      <w:bookmarkStart w:id="20" w:name="_Toc19434"/>
      <w:bookmarkStart w:id="21" w:name="_Toc15396601"/>
      <w:r>
        <w:rPr>
          <w:rFonts w:hint="eastAsia" w:ascii="Times New Roman" w:hAnsi="Times New Roman" w:eastAsia="黑体"/>
          <w:b w:val="0"/>
          <w:color w:val="auto"/>
          <w:highlight w:val="none"/>
        </w:rPr>
        <w:t>二、机</w:t>
      </w:r>
      <w:r>
        <w:rPr>
          <w:rStyle w:val="29"/>
          <w:rFonts w:hint="eastAsia" w:ascii="Times New Roman" w:hAnsi="Times New Roman" w:eastAsia="黑体"/>
          <w:b w:val="0"/>
          <w:bCs w:val="0"/>
          <w:color w:val="auto"/>
          <w:highlight w:val="none"/>
        </w:rPr>
        <w:t>构设置</w:t>
      </w:r>
      <w:bookmarkEnd w:id="18"/>
      <w:bookmarkEnd w:id="19"/>
      <w:bookmarkEnd w:id="20"/>
      <w:bookmarkEnd w:id="21"/>
    </w:p>
    <w:p w14:paraId="50BF2271">
      <w:pPr>
        <w:ind w:firstLine="800" w:firstLineChars="250"/>
        <w:rPr>
          <w:rFonts w:hint="eastAsia" w:ascii="Times New Roman" w:hAnsi="Times New Roman"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绵竹市残疾人联合会</w:t>
      </w:r>
      <w:r>
        <w:rPr>
          <w:rFonts w:hint="eastAsia" w:ascii="Times New Roman" w:hAnsi="Times New Roman" w:eastAsia="仿宋_GB2312" w:cs="仿宋_GB2312"/>
          <w:color w:val="auto"/>
          <w:sz w:val="32"/>
          <w:szCs w:val="32"/>
          <w:highlight w:val="none"/>
        </w:rPr>
        <w:t>下属二级</w:t>
      </w:r>
      <w:r>
        <w:rPr>
          <w:rFonts w:hint="eastAsia" w:ascii="Times New Roman" w:hAnsi="Times New Roman" w:eastAsia="仿宋_GB2312" w:cs="仿宋_GB2312"/>
          <w:color w:val="auto"/>
          <w:sz w:val="32"/>
          <w:szCs w:val="32"/>
          <w:highlight w:val="none"/>
          <w:lang w:eastAsia="zh-CN"/>
        </w:rPr>
        <w:t>预算</w:t>
      </w:r>
      <w:r>
        <w:rPr>
          <w:rFonts w:hint="eastAsia" w:eastAsia="仿宋_GB2312" w:cs="仿宋_GB2312"/>
          <w:color w:val="auto"/>
          <w:sz w:val="32"/>
          <w:szCs w:val="32"/>
          <w:highlight w:val="none"/>
          <w:lang w:eastAsia="zh-CN"/>
        </w:rPr>
        <w:t>单位</w:t>
      </w:r>
      <w:r>
        <w:rPr>
          <w:rFonts w:hint="eastAsia" w:eastAsia="仿宋_GB2312" w:cs="仿宋_GB2312"/>
          <w:color w:val="auto"/>
          <w:sz w:val="32"/>
          <w:szCs w:val="32"/>
          <w:highlight w:val="none"/>
          <w:lang w:val="en-US" w:eastAsia="zh-CN"/>
        </w:rPr>
        <w:t>0</w:t>
      </w:r>
      <w:r>
        <w:rPr>
          <w:rFonts w:hint="eastAsia" w:ascii="Times New Roman" w:hAnsi="Times New Roman" w:eastAsia="仿宋_GB2312" w:cs="仿宋_GB2312"/>
          <w:color w:val="auto"/>
          <w:sz w:val="32"/>
          <w:szCs w:val="32"/>
          <w:highlight w:val="none"/>
        </w:rPr>
        <w:t>个，其中行政</w:t>
      </w:r>
      <w:r>
        <w:rPr>
          <w:rFonts w:hint="eastAsia" w:eastAsia="仿宋_GB2312" w:cs="仿宋_GB2312"/>
          <w:color w:val="auto"/>
          <w:sz w:val="32"/>
          <w:szCs w:val="32"/>
          <w:highlight w:val="none"/>
          <w:lang w:eastAsia="zh-CN"/>
        </w:rPr>
        <w:t>单位</w:t>
      </w:r>
      <w:r>
        <w:rPr>
          <w:rFonts w:hint="eastAsia" w:eastAsia="仿宋_GB2312" w:cs="仿宋_GB2312"/>
          <w:color w:val="auto"/>
          <w:sz w:val="32"/>
          <w:szCs w:val="32"/>
          <w:highlight w:val="none"/>
          <w:lang w:val="en-US" w:eastAsia="zh-CN"/>
        </w:rPr>
        <w:t>0</w:t>
      </w:r>
      <w:r>
        <w:rPr>
          <w:rFonts w:hint="eastAsia" w:ascii="Times New Roman" w:hAnsi="Times New Roman" w:eastAsia="仿宋_GB2312" w:cs="仿宋_GB2312"/>
          <w:color w:val="auto"/>
          <w:sz w:val="32"/>
          <w:szCs w:val="32"/>
          <w:highlight w:val="none"/>
        </w:rPr>
        <w:t>个，参照公务员法管理的事业</w:t>
      </w:r>
      <w:r>
        <w:rPr>
          <w:rFonts w:hint="eastAsia" w:eastAsia="仿宋_GB2312" w:cs="仿宋_GB2312"/>
          <w:color w:val="auto"/>
          <w:sz w:val="32"/>
          <w:szCs w:val="32"/>
          <w:highlight w:val="none"/>
          <w:lang w:eastAsia="zh-CN"/>
        </w:rPr>
        <w:t>单位</w:t>
      </w:r>
      <w:r>
        <w:rPr>
          <w:rFonts w:hint="eastAsia" w:eastAsia="仿宋_GB2312" w:cs="仿宋_GB2312"/>
          <w:bCs/>
          <w:color w:val="auto"/>
          <w:sz w:val="32"/>
          <w:szCs w:val="32"/>
          <w:highlight w:val="none"/>
          <w:lang w:val="en-US" w:eastAsia="zh-CN"/>
        </w:rPr>
        <w:t>0</w:t>
      </w:r>
      <w:r>
        <w:rPr>
          <w:rFonts w:hint="eastAsia" w:ascii="Times New Roman" w:hAnsi="Times New Roman" w:eastAsia="仿宋_GB2312" w:cs="仿宋_GB2312"/>
          <w:color w:val="auto"/>
          <w:sz w:val="32"/>
          <w:szCs w:val="32"/>
          <w:highlight w:val="none"/>
        </w:rPr>
        <w:t>个，其他事业</w:t>
      </w:r>
      <w:r>
        <w:rPr>
          <w:rFonts w:hint="eastAsia" w:eastAsia="仿宋_GB2312" w:cs="仿宋_GB2312"/>
          <w:color w:val="auto"/>
          <w:sz w:val="32"/>
          <w:szCs w:val="32"/>
          <w:highlight w:val="none"/>
          <w:lang w:eastAsia="zh-CN"/>
        </w:rPr>
        <w:t>单位</w:t>
      </w:r>
      <w:r>
        <w:rPr>
          <w:rFonts w:hint="eastAsia" w:eastAsia="仿宋_GB2312" w:cs="仿宋_GB2312"/>
          <w:color w:val="auto"/>
          <w:sz w:val="32"/>
          <w:szCs w:val="32"/>
          <w:highlight w:val="none"/>
          <w:lang w:val="en-US" w:eastAsia="zh-CN"/>
        </w:rPr>
        <w:t>0</w:t>
      </w:r>
      <w:r>
        <w:rPr>
          <w:rFonts w:hint="eastAsia" w:ascii="Times New Roman" w:hAnsi="Times New Roman" w:eastAsia="仿宋_GB2312" w:cs="仿宋_GB2312"/>
          <w:color w:val="auto"/>
          <w:sz w:val="32"/>
          <w:szCs w:val="32"/>
          <w:highlight w:val="none"/>
        </w:rPr>
        <w:t>个。</w:t>
      </w:r>
    </w:p>
    <w:p w14:paraId="0B9D2033">
      <w:pPr>
        <w:pStyle w:val="5"/>
        <w:adjustRightInd w:val="0"/>
        <w:snapToGrid w:val="0"/>
        <w:spacing w:before="93" w:line="600" w:lineRule="exact"/>
        <w:ind w:firstLine="672" w:firstLineChars="210"/>
        <w:rPr>
          <w:rFonts w:hint="eastAsia" w:ascii="Times New Roman" w:hAnsi="Times New Roman" w:eastAsia="仿宋_GB2312" w:cs="仿宋_GB2312"/>
          <w:color w:val="auto"/>
          <w:sz w:val="32"/>
          <w:szCs w:val="32"/>
          <w:highlight w:val="none"/>
          <w:lang w:val="en-US" w:eastAsia="zh-CN"/>
        </w:rPr>
      </w:pPr>
      <w:r>
        <w:rPr>
          <w:rFonts w:hint="eastAsia" w:ascii="Times New Roman" w:cs="仿宋_GB2312"/>
          <w:color w:val="auto"/>
          <w:sz w:val="32"/>
          <w:szCs w:val="32"/>
          <w:highlight w:val="none"/>
          <w:lang w:eastAsia="zh-CN"/>
        </w:rPr>
        <w:t>无</w:t>
      </w:r>
      <w:r>
        <w:rPr>
          <w:rFonts w:hint="eastAsia" w:ascii="Times New Roman" w:hAnsi="Times New Roman" w:eastAsia="仿宋_GB2312" w:cs="仿宋_GB2312"/>
          <w:color w:val="auto"/>
          <w:sz w:val="32"/>
          <w:szCs w:val="32"/>
          <w:highlight w:val="none"/>
        </w:rPr>
        <w:t>纳入</w:t>
      </w:r>
      <w:r>
        <w:rPr>
          <w:sz w:val="32"/>
          <w:szCs w:val="32"/>
        </w:rPr>
        <w:t>绵竹市残疾人联合会</w:t>
      </w:r>
      <w:r>
        <w:rPr>
          <w:rFonts w:hint="eastAsia" w:ascii="Times New Roman" w:hAnsi="Times New Roman" w:eastAsia="仿宋_GB2312" w:cs="仿宋_GB2312"/>
          <w:color w:val="auto"/>
          <w:sz w:val="32"/>
          <w:szCs w:val="32"/>
          <w:highlight w:val="none"/>
          <w:lang w:eastAsia="zh-CN"/>
        </w:rPr>
        <w:t>2024年度</w:t>
      </w:r>
      <w:r>
        <w:rPr>
          <w:rFonts w:hint="eastAsia" w:ascii="Times New Roman" w:cs="仿宋_GB2312"/>
          <w:color w:val="auto"/>
          <w:sz w:val="32"/>
          <w:szCs w:val="32"/>
          <w:highlight w:val="none"/>
          <w:lang w:eastAsia="zh-CN"/>
        </w:rPr>
        <w:t>单位</w:t>
      </w:r>
      <w:r>
        <w:rPr>
          <w:rFonts w:hint="eastAsia" w:ascii="Times New Roman" w:hAnsi="Times New Roman" w:eastAsia="仿宋_GB2312" w:cs="仿宋_GB2312"/>
          <w:color w:val="auto"/>
          <w:sz w:val="32"/>
          <w:szCs w:val="32"/>
          <w:highlight w:val="none"/>
        </w:rPr>
        <w:t>决算编制范围的二级预算</w:t>
      </w:r>
      <w:r>
        <w:rPr>
          <w:rFonts w:hint="eastAsia" w:ascii="Times New Roman" w:cs="仿宋_GB2312"/>
          <w:color w:val="auto"/>
          <w:sz w:val="32"/>
          <w:szCs w:val="32"/>
          <w:highlight w:val="none"/>
          <w:lang w:eastAsia="zh-CN"/>
        </w:rPr>
        <w:t>单位</w:t>
      </w:r>
    </w:p>
    <w:p w14:paraId="20E3A6E7">
      <w:pPr>
        <w:pStyle w:val="2"/>
        <w:jc w:val="center"/>
        <w:rPr>
          <w:rFonts w:hint="eastAsia" w:ascii="Times New Roman" w:hAnsi="Times New Roman" w:eastAsia="方正小标宋简体" w:cs="方正小标宋简体"/>
          <w:b w:val="0"/>
          <w:color w:val="auto"/>
          <w:highlight w:val="none"/>
        </w:rPr>
      </w:pPr>
      <w:bookmarkStart w:id="22" w:name="_Toc21207"/>
      <w:bookmarkStart w:id="23" w:name="_Toc15396602"/>
      <w:bookmarkStart w:id="24" w:name="_Toc15377204"/>
      <w:bookmarkStart w:id="25" w:name="_Toc17236"/>
      <w:r>
        <w:rPr>
          <w:rFonts w:hint="eastAsia" w:ascii="Times New Roman" w:hAnsi="Times New Roman" w:eastAsia="方正小标宋简体" w:cs="方正小标宋简体"/>
          <w:b w:val="0"/>
          <w:color w:val="auto"/>
          <w:highlight w:val="none"/>
        </w:rPr>
        <w:t>第二部分</w:t>
      </w:r>
      <w:r>
        <w:rPr>
          <w:rFonts w:hint="eastAsia" w:ascii="Times New Roman" w:hAnsi="Times New Roman" w:eastAsia="方正小标宋简体" w:cs="方正小标宋简体"/>
          <w:b w:val="0"/>
          <w:color w:val="auto"/>
          <w:highlight w:val="none"/>
          <w:lang w:val="en-US" w:eastAsia="zh-CN"/>
        </w:rPr>
        <w:t xml:space="preserve"> </w:t>
      </w:r>
      <w:r>
        <w:rPr>
          <w:rFonts w:hint="eastAsia" w:ascii="Times New Roman" w:hAnsi="Times New Roman" w:eastAsia="方正小标宋简体" w:cs="方正小标宋简体"/>
          <w:b w:val="0"/>
          <w:color w:val="auto"/>
          <w:highlight w:val="none"/>
        </w:rPr>
        <w:t xml:space="preserve"> </w:t>
      </w:r>
      <w:r>
        <w:rPr>
          <w:rFonts w:hint="eastAsia" w:ascii="Times New Roman" w:hAnsi="Times New Roman" w:eastAsia="方正小标宋简体" w:cs="方正小标宋简体"/>
          <w:b w:val="0"/>
          <w:color w:val="auto"/>
          <w:highlight w:val="none"/>
          <w:lang w:val="en-US" w:eastAsia="zh-CN"/>
        </w:rPr>
        <w:t>2024年度</w:t>
      </w:r>
      <w:r>
        <w:rPr>
          <w:rFonts w:hint="eastAsia" w:eastAsia="方正小标宋简体" w:cs="方正小标宋简体"/>
          <w:b w:val="0"/>
          <w:color w:val="auto"/>
          <w:highlight w:val="none"/>
          <w:lang w:eastAsia="zh-CN"/>
        </w:rPr>
        <w:t>单位</w:t>
      </w:r>
      <w:r>
        <w:rPr>
          <w:rFonts w:hint="eastAsia" w:ascii="Times New Roman" w:hAnsi="Times New Roman" w:eastAsia="方正小标宋简体" w:cs="方正小标宋简体"/>
          <w:b w:val="0"/>
          <w:color w:val="auto"/>
          <w:highlight w:val="none"/>
        </w:rPr>
        <w:t>决算情况说明</w:t>
      </w:r>
      <w:bookmarkEnd w:id="22"/>
      <w:bookmarkEnd w:id="23"/>
      <w:bookmarkEnd w:id="24"/>
      <w:bookmarkEnd w:id="25"/>
    </w:p>
    <w:p w14:paraId="6206697F">
      <w:pPr>
        <w:rPr>
          <w:rFonts w:ascii="Times New Roman" w:hAnsi="Times New Roman"/>
          <w:color w:val="auto"/>
          <w:highlight w:val="none"/>
        </w:rPr>
      </w:pPr>
    </w:p>
    <w:p w14:paraId="54CEB0E7">
      <w:pPr>
        <w:pStyle w:val="27"/>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1"/>
        <w:rPr>
          <w:rStyle w:val="29"/>
          <w:rFonts w:hint="eastAsia" w:ascii="Times New Roman" w:hAnsi="Times New Roman" w:eastAsia="黑体"/>
          <w:b w:val="0"/>
          <w:color w:val="auto"/>
          <w:highlight w:val="none"/>
        </w:rPr>
      </w:pPr>
      <w:bookmarkStart w:id="26" w:name="_Toc22818"/>
      <w:bookmarkStart w:id="27" w:name="_Toc14462"/>
      <w:bookmarkStart w:id="28" w:name="_Toc15377205"/>
      <w:bookmarkStart w:id="29" w:name="_Toc15396603"/>
      <w:r>
        <w:rPr>
          <w:rFonts w:hint="eastAsia" w:ascii="Times New Roman" w:hAnsi="Times New Roman" w:eastAsia="黑体"/>
          <w:color w:val="auto"/>
          <w:sz w:val="32"/>
          <w:szCs w:val="32"/>
          <w:highlight w:val="none"/>
          <w:lang w:eastAsia="zh-CN"/>
        </w:rPr>
        <w:t>一、</w:t>
      </w:r>
      <w:r>
        <w:rPr>
          <w:rFonts w:hint="eastAsia" w:ascii="Times New Roman" w:hAnsi="Times New Roman" w:eastAsia="黑体"/>
          <w:color w:val="auto"/>
          <w:sz w:val="32"/>
          <w:szCs w:val="32"/>
          <w:highlight w:val="none"/>
        </w:rPr>
        <w:t>收</w:t>
      </w:r>
      <w:r>
        <w:rPr>
          <w:rStyle w:val="29"/>
          <w:rFonts w:hint="eastAsia" w:ascii="Times New Roman" w:hAnsi="Times New Roman" w:eastAsia="黑体"/>
          <w:b w:val="0"/>
          <w:color w:val="auto"/>
          <w:highlight w:val="none"/>
        </w:rPr>
        <w:t>入支出决算总体情况说明</w:t>
      </w:r>
      <w:bookmarkEnd w:id="26"/>
      <w:bookmarkEnd w:id="27"/>
      <w:bookmarkEnd w:id="28"/>
      <w:bookmarkEnd w:id="29"/>
    </w:p>
    <w:p w14:paraId="58EA92B7">
      <w:pPr>
        <w:snapToGrid w:val="0"/>
        <w:spacing w:line="520" w:lineRule="exact"/>
        <w:ind w:firstLine="640" w:firstLineChars="200"/>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lang w:eastAsia="zh-CN"/>
        </w:rPr>
        <w:t>2024年度收入</w:t>
      </w:r>
      <w:r>
        <w:rPr>
          <w:rFonts w:hint="eastAsia" w:ascii="Times New Roman" w:hAnsi="Times New Roman" w:eastAsia="仿宋_GB2312" w:cs="仿宋_GB2312"/>
          <w:color w:val="auto"/>
          <w:sz w:val="32"/>
          <w:szCs w:val="32"/>
          <w:highlight w:val="none"/>
        </w:rPr>
        <w:t>、</w:t>
      </w:r>
      <w:r>
        <w:rPr>
          <w:rFonts w:hint="eastAsia" w:ascii="Times New Roman" w:hAnsi="Times New Roman" w:eastAsia="仿宋_GB2312" w:cs="仿宋_GB2312"/>
          <w:color w:val="auto"/>
          <w:sz w:val="32"/>
          <w:szCs w:val="32"/>
          <w:highlight w:val="none"/>
          <w:lang w:eastAsia="zh-CN"/>
        </w:rPr>
        <w:t>支出</w:t>
      </w:r>
      <w:r>
        <w:rPr>
          <w:rFonts w:hint="eastAsia" w:ascii="Times New Roman" w:hAnsi="Times New Roman" w:eastAsia="仿宋_GB2312" w:cs="仿宋_GB2312"/>
          <w:color w:val="auto"/>
          <w:sz w:val="32"/>
          <w:szCs w:val="32"/>
          <w:highlight w:val="none"/>
        </w:rPr>
        <w:t>总计</w:t>
      </w:r>
      <w:r>
        <w:rPr>
          <w:rFonts w:hint="eastAsia" w:ascii="Times New Roman" w:hAnsi="Times New Roman" w:eastAsia="仿宋_GB2312" w:cs="仿宋_GB2312"/>
          <w:color w:val="auto"/>
          <w:sz w:val="32"/>
          <w:szCs w:val="32"/>
          <w:highlight w:val="none"/>
          <w:lang w:eastAsia="zh-CN"/>
        </w:rPr>
        <w:t>均为</w:t>
      </w:r>
      <w:r>
        <w:rPr>
          <w:rFonts w:hint="eastAsia" w:ascii="仿宋_GB2312" w:hAnsi="仿宋_GB2312" w:eastAsia="仿宋_GB2312" w:cs="仿宋_GB2312"/>
          <w:sz w:val="32"/>
          <w:szCs w:val="32"/>
        </w:rPr>
        <w:t>1015.57</w:t>
      </w:r>
      <w:r>
        <w:rPr>
          <w:rFonts w:hint="eastAsia" w:ascii="Times New Roman" w:hAnsi="Times New Roman" w:eastAsia="仿宋_GB2312" w:cs="仿宋_GB2312"/>
          <w:color w:val="auto"/>
          <w:sz w:val="32"/>
          <w:szCs w:val="32"/>
          <w:highlight w:val="none"/>
        </w:rPr>
        <w:t>万元。</w:t>
      </w:r>
    </w:p>
    <w:p w14:paraId="0AC199A8">
      <w:pPr>
        <w:snapToGrid w:val="0"/>
        <w:spacing w:line="520" w:lineRule="exact"/>
        <w:ind w:firstLine="640" w:firstLineChars="200"/>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202</w:t>
      </w:r>
      <w:r>
        <w:rPr>
          <w:rFonts w:hint="eastAsia" w:ascii="Times New Roman" w:hAnsi="Times New Roman" w:eastAsia="仿宋_GB2312" w:cs="仿宋_GB2312"/>
          <w:color w:val="auto"/>
          <w:sz w:val="32"/>
          <w:szCs w:val="32"/>
          <w:highlight w:val="none"/>
          <w:lang w:val="en-US" w:eastAsia="zh-CN"/>
        </w:rPr>
        <w:t>4</w:t>
      </w:r>
      <w:r>
        <w:rPr>
          <w:rFonts w:hint="eastAsia" w:ascii="Times New Roman" w:hAnsi="Times New Roman" w:eastAsia="仿宋_GB2312" w:cs="仿宋_GB2312"/>
          <w:color w:val="auto"/>
          <w:sz w:val="32"/>
          <w:szCs w:val="32"/>
          <w:highlight w:val="none"/>
          <w:lang w:eastAsia="zh-CN"/>
        </w:rPr>
        <w:t>年绵竹市残联本年预算收入合计</w:t>
      </w:r>
      <w:r>
        <w:rPr>
          <w:rFonts w:hint="eastAsia" w:ascii="Times New Roman" w:hAnsi="Times New Roman" w:eastAsia="仿宋_GB2312" w:cs="仿宋_GB2312"/>
          <w:color w:val="auto"/>
          <w:sz w:val="32"/>
          <w:szCs w:val="32"/>
          <w:highlight w:val="none"/>
          <w:lang w:val="en-US" w:eastAsia="zh-CN"/>
        </w:rPr>
        <w:t>1015.57</w:t>
      </w:r>
      <w:r>
        <w:rPr>
          <w:rFonts w:hint="eastAsia" w:ascii="Times New Roman" w:hAnsi="Times New Roman" w:eastAsia="仿宋_GB2312" w:cs="仿宋_GB2312"/>
          <w:color w:val="auto"/>
          <w:sz w:val="32"/>
          <w:szCs w:val="32"/>
          <w:highlight w:val="none"/>
          <w:lang w:eastAsia="zh-CN"/>
        </w:rPr>
        <w:t>万元，比202</w:t>
      </w:r>
      <w:r>
        <w:rPr>
          <w:rFonts w:hint="eastAsia" w:ascii="Times New Roman" w:hAnsi="Times New Roman" w:eastAsia="仿宋_GB2312" w:cs="仿宋_GB2312"/>
          <w:color w:val="auto"/>
          <w:sz w:val="32"/>
          <w:szCs w:val="32"/>
          <w:highlight w:val="none"/>
          <w:lang w:val="en-US" w:eastAsia="zh-CN"/>
        </w:rPr>
        <w:t>3</w:t>
      </w:r>
      <w:r>
        <w:rPr>
          <w:rFonts w:hint="eastAsia" w:ascii="Times New Roman" w:hAnsi="Times New Roman" w:eastAsia="仿宋_GB2312" w:cs="仿宋_GB2312"/>
          <w:color w:val="auto"/>
          <w:sz w:val="32"/>
          <w:szCs w:val="32"/>
          <w:highlight w:val="none"/>
          <w:lang w:eastAsia="zh-CN"/>
        </w:rPr>
        <w:t>年的</w:t>
      </w:r>
      <w:r>
        <w:rPr>
          <w:rFonts w:hint="eastAsia" w:ascii="Times New Roman" w:hAnsi="Times New Roman" w:eastAsia="仿宋_GB2312" w:cs="仿宋_GB2312"/>
          <w:color w:val="auto"/>
          <w:sz w:val="32"/>
          <w:szCs w:val="32"/>
          <w:highlight w:val="none"/>
          <w:lang w:val="en-US" w:eastAsia="zh-CN"/>
        </w:rPr>
        <w:t>869.34</w:t>
      </w:r>
      <w:r>
        <w:rPr>
          <w:rFonts w:hint="eastAsia" w:ascii="Times New Roman" w:hAnsi="Times New Roman" w:eastAsia="仿宋_GB2312" w:cs="仿宋_GB2312"/>
          <w:color w:val="auto"/>
          <w:sz w:val="32"/>
          <w:szCs w:val="32"/>
          <w:highlight w:val="none"/>
          <w:lang w:eastAsia="zh-CN"/>
        </w:rPr>
        <w:t>万元</w:t>
      </w:r>
      <w:r>
        <w:rPr>
          <w:rFonts w:hint="eastAsia" w:ascii="Times New Roman" w:hAnsi="Times New Roman" w:eastAsia="仿宋_GB2312" w:cs="仿宋_GB2312"/>
          <w:color w:val="auto"/>
          <w:sz w:val="32"/>
          <w:szCs w:val="32"/>
          <w:highlight w:val="none"/>
          <w:lang w:val="en-US" w:eastAsia="zh-CN"/>
        </w:rPr>
        <w:t>增加146.23</w:t>
      </w:r>
      <w:r>
        <w:rPr>
          <w:rFonts w:hint="eastAsia" w:ascii="Times New Roman" w:hAnsi="Times New Roman" w:eastAsia="仿宋_GB2312" w:cs="仿宋_GB2312"/>
          <w:color w:val="auto"/>
          <w:sz w:val="32"/>
          <w:szCs w:val="32"/>
          <w:highlight w:val="none"/>
          <w:lang w:eastAsia="zh-CN"/>
        </w:rPr>
        <w:t>万元，</w:t>
      </w:r>
      <w:r>
        <w:rPr>
          <w:rFonts w:hint="eastAsia" w:ascii="Times New Roman" w:hAnsi="Times New Roman" w:eastAsia="仿宋_GB2312" w:cs="仿宋_GB2312"/>
          <w:color w:val="auto"/>
          <w:sz w:val="32"/>
          <w:szCs w:val="32"/>
          <w:highlight w:val="none"/>
          <w:lang w:val="en-US" w:eastAsia="zh-CN"/>
        </w:rPr>
        <w:t>增加17</w:t>
      </w:r>
      <w:r>
        <w:rPr>
          <w:rFonts w:hint="eastAsia" w:ascii="Times New Roman" w:hAnsi="Times New Roman" w:eastAsia="仿宋_GB2312" w:cs="仿宋_GB2312"/>
          <w:color w:val="auto"/>
          <w:sz w:val="32"/>
          <w:szCs w:val="32"/>
          <w:highlight w:val="none"/>
          <w:lang w:eastAsia="zh-CN"/>
        </w:rPr>
        <w:t>%。主要原因是</w:t>
      </w:r>
      <w:r>
        <w:rPr>
          <w:rFonts w:hint="eastAsia" w:ascii="Times New Roman" w:hAnsi="Times New Roman" w:eastAsia="仿宋_GB2312" w:cs="仿宋_GB2312"/>
          <w:color w:val="auto"/>
          <w:sz w:val="32"/>
          <w:szCs w:val="32"/>
          <w:highlight w:val="none"/>
          <w:lang w:val="en-US" w:eastAsia="zh-CN"/>
        </w:rPr>
        <w:t>本年度</w:t>
      </w:r>
      <w:r>
        <w:rPr>
          <w:rFonts w:hint="eastAsia" w:ascii="Times New Roman" w:hAnsi="Times New Roman" w:eastAsia="仿宋_GB2312" w:cs="仿宋_GB2312"/>
          <w:color w:val="auto"/>
          <w:sz w:val="32"/>
          <w:szCs w:val="32"/>
          <w:highlight w:val="none"/>
          <w:lang w:eastAsia="zh-CN"/>
        </w:rPr>
        <w:t>部分项目调整。</w:t>
      </w:r>
    </w:p>
    <w:p w14:paraId="45D9EFCA">
      <w:pPr>
        <w:snapToGrid w:val="0"/>
        <w:spacing w:line="520" w:lineRule="exact"/>
        <w:ind w:firstLine="640" w:firstLineChars="200"/>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eastAsia="zh-CN"/>
        </w:rPr>
        <w:t>202</w:t>
      </w:r>
      <w:r>
        <w:rPr>
          <w:rFonts w:hint="eastAsia" w:ascii="Times New Roman" w:hAnsi="Times New Roman" w:eastAsia="仿宋_GB2312" w:cs="仿宋_GB2312"/>
          <w:color w:val="auto"/>
          <w:sz w:val="32"/>
          <w:szCs w:val="32"/>
          <w:highlight w:val="none"/>
          <w:lang w:val="en-US" w:eastAsia="zh-CN"/>
        </w:rPr>
        <w:t>4</w:t>
      </w:r>
      <w:r>
        <w:rPr>
          <w:rFonts w:hint="eastAsia" w:ascii="Times New Roman" w:hAnsi="Times New Roman" w:eastAsia="仿宋_GB2312" w:cs="仿宋_GB2312"/>
          <w:color w:val="auto"/>
          <w:sz w:val="32"/>
          <w:szCs w:val="32"/>
          <w:highlight w:val="none"/>
          <w:lang w:eastAsia="zh-CN"/>
        </w:rPr>
        <w:t>年绵竹市残联本年预算支出合计</w:t>
      </w:r>
      <w:r>
        <w:rPr>
          <w:rFonts w:hint="eastAsia" w:ascii="Times New Roman" w:hAnsi="Times New Roman" w:eastAsia="仿宋_GB2312" w:cs="仿宋_GB2312"/>
          <w:color w:val="auto"/>
          <w:sz w:val="32"/>
          <w:szCs w:val="32"/>
          <w:highlight w:val="none"/>
          <w:lang w:val="en-US" w:eastAsia="zh-CN"/>
        </w:rPr>
        <w:t>1015.57</w:t>
      </w:r>
      <w:r>
        <w:rPr>
          <w:rFonts w:hint="eastAsia" w:ascii="Times New Roman" w:hAnsi="Times New Roman" w:eastAsia="仿宋_GB2312" w:cs="仿宋_GB2312"/>
          <w:color w:val="auto"/>
          <w:sz w:val="32"/>
          <w:szCs w:val="32"/>
          <w:highlight w:val="none"/>
          <w:lang w:eastAsia="zh-CN"/>
        </w:rPr>
        <w:t>万元，比202</w:t>
      </w:r>
      <w:r>
        <w:rPr>
          <w:rFonts w:hint="eastAsia" w:ascii="Times New Roman" w:hAnsi="Times New Roman" w:eastAsia="仿宋_GB2312" w:cs="仿宋_GB2312"/>
          <w:color w:val="auto"/>
          <w:sz w:val="32"/>
          <w:szCs w:val="32"/>
          <w:highlight w:val="none"/>
          <w:lang w:val="en-US" w:eastAsia="zh-CN"/>
        </w:rPr>
        <w:t>3</w:t>
      </w:r>
      <w:r>
        <w:rPr>
          <w:rFonts w:hint="eastAsia" w:ascii="Times New Roman" w:hAnsi="Times New Roman" w:eastAsia="仿宋_GB2312" w:cs="仿宋_GB2312"/>
          <w:color w:val="auto"/>
          <w:sz w:val="32"/>
          <w:szCs w:val="32"/>
          <w:highlight w:val="none"/>
          <w:lang w:eastAsia="zh-CN"/>
        </w:rPr>
        <w:t>年的</w:t>
      </w:r>
      <w:r>
        <w:rPr>
          <w:rFonts w:hint="eastAsia" w:ascii="Times New Roman" w:hAnsi="Times New Roman" w:eastAsia="仿宋_GB2312" w:cs="仿宋_GB2312"/>
          <w:color w:val="auto"/>
          <w:sz w:val="32"/>
          <w:szCs w:val="32"/>
          <w:highlight w:val="none"/>
          <w:lang w:val="en-US" w:eastAsia="zh-CN"/>
        </w:rPr>
        <w:t>869.34</w:t>
      </w:r>
      <w:r>
        <w:rPr>
          <w:rFonts w:hint="eastAsia" w:ascii="Times New Roman" w:hAnsi="Times New Roman" w:eastAsia="仿宋_GB2312" w:cs="仿宋_GB2312"/>
          <w:color w:val="auto"/>
          <w:sz w:val="32"/>
          <w:szCs w:val="32"/>
          <w:highlight w:val="none"/>
          <w:lang w:eastAsia="zh-CN"/>
        </w:rPr>
        <w:t>万元</w:t>
      </w:r>
      <w:r>
        <w:rPr>
          <w:rFonts w:hint="eastAsia" w:ascii="Times New Roman" w:hAnsi="Times New Roman" w:eastAsia="仿宋_GB2312" w:cs="仿宋_GB2312"/>
          <w:color w:val="auto"/>
          <w:sz w:val="32"/>
          <w:szCs w:val="32"/>
          <w:highlight w:val="none"/>
          <w:lang w:val="en-US" w:eastAsia="zh-CN"/>
        </w:rPr>
        <w:t>增加146.23</w:t>
      </w:r>
      <w:r>
        <w:rPr>
          <w:rFonts w:hint="eastAsia" w:ascii="Times New Roman" w:hAnsi="Times New Roman" w:eastAsia="仿宋_GB2312" w:cs="仿宋_GB2312"/>
          <w:color w:val="auto"/>
          <w:sz w:val="32"/>
          <w:szCs w:val="32"/>
          <w:highlight w:val="none"/>
          <w:lang w:eastAsia="zh-CN"/>
        </w:rPr>
        <w:t>万元，</w:t>
      </w:r>
      <w:r>
        <w:rPr>
          <w:rFonts w:hint="eastAsia" w:ascii="Times New Roman" w:hAnsi="Times New Roman" w:eastAsia="仿宋_GB2312" w:cs="仿宋_GB2312"/>
          <w:color w:val="auto"/>
          <w:sz w:val="32"/>
          <w:szCs w:val="32"/>
          <w:highlight w:val="none"/>
          <w:lang w:val="en-US" w:eastAsia="zh-CN"/>
        </w:rPr>
        <w:t>增加17</w:t>
      </w:r>
      <w:r>
        <w:rPr>
          <w:rFonts w:hint="eastAsia" w:ascii="Times New Roman" w:hAnsi="Times New Roman" w:eastAsia="仿宋_GB2312" w:cs="仿宋_GB2312"/>
          <w:color w:val="auto"/>
          <w:sz w:val="32"/>
          <w:szCs w:val="32"/>
          <w:highlight w:val="none"/>
          <w:lang w:eastAsia="zh-CN"/>
        </w:rPr>
        <w:t>%，主要原</w:t>
      </w:r>
      <w:r>
        <w:rPr>
          <w:rFonts w:hint="eastAsia" w:ascii="Times New Roman" w:hAnsi="Times New Roman" w:eastAsia="仿宋_GB2312" w:cs="仿宋_GB2312"/>
          <w:color w:val="auto"/>
          <w:sz w:val="32"/>
          <w:szCs w:val="32"/>
          <w:highlight w:val="none"/>
          <w:lang w:val="en-US" w:eastAsia="zh-CN"/>
        </w:rPr>
        <w:t>因是因为本年度部分项目调整。</w:t>
      </w:r>
    </w:p>
    <w:p w14:paraId="13919856">
      <w:pPr>
        <w:snapToGrid w:val="0"/>
        <w:spacing w:line="520" w:lineRule="exact"/>
        <w:ind w:firstLine="640" w:firstLineChars="200"/>
        <w:rPr>
          <w:rFonts w:hint="eastAsia" w:ascii="Times New Roman" w:hAnsi="Times New Roman" w:eastAsia="仿宋_GB2312" w:cs="仿宋_GB2312"/>
          <w:color w:val="auto"/>
          <w:sz w:val="32"/>
          <w:szCs w:val="32"/>
          <w:highlight w:val="none"/>
          <w:lang w:val="en-US" w:eastAsia="zh-CN"/>
        </w:rPr>
      </w:pPr>
    </w:p>
    <w:p w14:paraId="768A48F5">
      <w:pPr>
        <w:pStyle w:val="27"/>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1"/>
        <w:rPr>
          <w:rFonts w:hint="eastAsia" w:ascii="Times New Roman" w:hAnsi="Times New Roman" w:eastAsia="仿宋_GB2312" w:cs="仿宋_GB2312"/>
          <w:color w:val="auto"/>
          <w:sz w:val="32"/>
          <w:szCs w:val="32"/>
          <w:highlight w:val="none"/>
          <w:lang w:eastAsia="zh-CN"/>
        </w:rPr>
      </w:pPr>
    </w:p>
    <w:p w14:paraId="3AAC99FA">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drawing>
          <wp:inline distT="0" distB="0" distL="114300" distR="114300">
            <wp:extent cx="5256530" cy="2988310"/>
            <wp:effectExtent l="5080" t="4445" r="15240" b="17145"/>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182C9E2">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Times New Roman" w:hAnsi="Times New Roman" w:eastAsia="仿宋_GB2312" w:cs="仿宋_GB2312"/>
          <w:color w:val="auto"/>
          <w:sz w:val="32"/>
          <w:szCs w:val="32"/>
          <w:highlight w:val="none"/>
        </w:rPr>
      </w:pPr>
    </w:p>
    <w:p w14:paraId="492E7248">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Times New Roman" w:hAnsi="Times New Roman" w:eastAsia="仿宋_GB2312" w:cs="仿宋_GB2312"/>
          <w:color w:val="auto"/>
          <w:sz w:val="32"/>
          <w:szCs w:val="32"/>
          <w:highlight w:val="none"/>
        </w:rPr>
      </w:pPr>
    </w:p>
    <w:p w14:paraId="0D4CE0E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Times New Roman" w:hAnsi="Times New Roman" w:eastAsia="仿宋_GB2312" w:cs="仿宋_GB2312"/>
          <w:color w:val="auto"/>
          <w:sz w:val="32"/>
          <w:szCs w:val="32"/>
          <w:highlight w:val="none"/>
        </w:rPr>
      </w:pPr>
    </w:p>
    <w:p w14:paraId="02D47D9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Times New Roman" w:hAnsi="Times New Roman" w:eastAsia="仿宋_GB2312" w:cs="仿宋_GB2312"/>
          <w:color w:val="auto"/>
          <w:sz w:val="32"/>
          <w:szCs w:val="32"/>
          <w:highlight w:val="none"/>
        </w:rPr>
      </w:pPr>
    </w:p>
    <w:p w14:paraId="675A2AC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Times New Roman" w:hAnsi="Times New Roman" w:eastAsia="仿宋_GB2312" w:cs="仿宋_GB2312"/>
          <w:color w:val="auto"/>
          <w:sz w:val="32"/>
          <w:szCs w:val="32"/>
          <w:highlight w:val="none"/>
        </w:rPr>
      </w:pPr>
    </w:p>
    <w:p w14:paraId="37AC5559">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Times New Roman" w:hAnsi="Times New Roman" w:eastAsia="仿宋_GB2312" w:cs="仿宋_GB2312"/>
          <w:color w:val="auto"/>
          <w:sz w:val="32"/>
          <w:szCs w:val="32"/>
          <w:highlight w:val="none"/>
        </w:rPr>
      </w:pPr>
    </w:p>
    <w:p w14:paraId="795BFE3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（图1：</w:t>
      </w:r>
      <w:r>
        <w:rPr>
          <w:rFonts w:hint="eastAsia" w:ascii="Times New Roman" w:hAnsi="Times New Roman" w:eastAsia="仿宋_GB2312" w:cs="仿宋_GB2312"/>
          <w:color w:val="auto"/>
          <w:sz w:val="32"/>
          <w:szCs w:val="32"/>
          <w:highlight w:val="none"/>
          <w:lang w:eastAsia="zh-CN"/>
        </w:rPr>
        <w:t>收入</w:t>
      </w:r>
      <w:r>
        <w:rPr>
          <w:rFonts w:hint="eastAsia" w:ascii="Times New Roman" w:hAnsi="Times New Roman" w:eastAsia="仿宋_GB2312" w:cs="仿宋_GB2312"/>
          <w:color w:val="auto"/>
          <w:sz w:val="32"/>
          <w:szCs w:val="32"/>
          <w:highlight w:val="none"/>
        </w:rPr>
        <w:t>、</w:t>
      </w:r>
      <w:r>
        <w:rPr>
          <w:rFonts w:hint="eastAsia" w:ascii="Times New Roman" w:hAnsi="Times New Roman" w:eastAsia="仿宋_GB2312" w:cs="仿宋_GB2312"/>
          <w:color w:val="auto"/>
          <w:sz w:val="32"/>
          <w:szCs w:val="32"/>
          <w:highlight w:val="none"/>
          <w:lang w:eastAsia="zh-CN"/>
        </w:rPr>
        <w:t>支出</w:t>
      </w:r>
      <w:r>
        <w:rPr>
          <w:rFonts w:hint="eastAsia" w:ascii="Times New Roman" w:hAnsi="Times New Roman" w:eastAsia="仿宋_GB2312" w:cs="仿宋_GB2312"/>
          <w:color w:val="auto"/>
          <w:sz w:val="32"/>
          <w:szCs w:val="32"/>
          <w:highlight w:val="none"/>
        </w:rPr>
        <w:t>决算总计变动情况图）（柱状图）</w:t>
      </w:r>
    </w:p>
    <w:p w14:paraId="21B20CB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Times New Roman" w:hAnsi="Times New Roman" w:eastAsia="仿宋_GB2312" w:cs="仿宋_GB2312"/>
          <w:color w:val="auto"/>
          <w:sz w:val="32"/>
          <w:szCs w:val="32"/>
          <w:highlight w:val="none"/>
        </w:rPr>
      </w:pPr>
    </w:p>
    <w:p w14:paraId="3249FA7D">
      <w:pPr>
        <w:pStyle w:val="27"/>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1"/>
        <w:rPr>
          <w:rFonts w:hint="eastAsia" w:ascii="Times New Roman" w:hAnsi="Times New Roman" w:eastAsia="黑体"/>
          <w:color w:val="auto"/>
          <w:sz w:val="32"/>
          <w:szCs w:val="32"/>
          <w:highlight w:val="none"/>
          <w:lang w:eastAsia="zh-CN"/>
        </w:rPr>
      </w:pPr>
      <w:bookmarkStart w:id="30" w:name="_Toc15377206"/>
      <w:bookmarkStart w:id="31" w:name="_Toc26755"/>
      <w:bookmarkStart w:id="32" w:name="_Toc22501"/>
      <w:bookmarkStart w:id="33" w:name="_Toc15396604"/>
      <w:r>
        <w:rPr>
          <w:rFonts w:hint="eastAsia" w:ascii="Times New Roman" w:hAnsi="Times New Roman" w:eastAsia="黑体"/>
          <w:color w:val="auto"/>
          <w:sz w:val="32"/>
          <w:szCs w:val="32"/>
          <w:highlight w:val="none"/>
          <w:lang w:eastAsia="zh-CN"/>
        </w:rPr>
        <w:t>二、收入决算情况说明</w:t>
      </w:r>
      <w:bookmarkEnd w:id="30"/>
      <w:bookmarkEnd w:id="31"/>
      <w:bookmarkEnd w:id="32"/>
      <w:bookmarkEnd w:id="33"/>
    </w:p>
    <w:p w14:paraId="243E3906">
      <w:pPr>
        <w:pStyle w:val="27"/>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outlineLvl w:val="1"/>
        <w:rPr>
          <w:rFonts w:hint="eastAsia" w:ascii="Times New Roman" w:hAnsi="Times New Roman" w:eastAsia="仿宋_GB2312" w:cs="仿宋_GB2312"/>
          <w:b/>
          <w:bCs/>
          <w:color w:val="auto"/>
          <w:sz w:val="32"/>
          <w:szCs w:val="32"/>
          <w:highlight w:val="none"/>
          <w:lang w:eastAsia="zh-CN"/>
        </w:rPr>
      </w:pPr>
      <w:bookmarkStart w:id="34" w:name="_Toc7498"/>
      <w:bookmarkStart w:id="35" w:name="_Toc14640"/>
      <w:r>
        <w:rPr>
          <w:rFonts w:hint="eastAsia" w:ascii="仿宋_GB2312" w:hAnsi="仿宋_GB2312" w:eastAsia="仿宋_GB2312" w:cs="仿宋_GB2312"/>
          <w:color w:val="auto"/>
          <w:sz w:val="32"/>
          <w:szCs w:val="32"/>
          <w:highlight w:val="none"/>
          <w:lang w:eastAsia="zh-CN"/>
        </w:rPr>
        <w:t>2024年度本年收入合计</w:t>
      </w:r>
      <w:r>
        <w:rPr>
          <w:rFonts w:hint="eastAsia" w:ascii="仿宋_GB2312" w:hAnsi="仿宋_GB2312" w:eastAsia="仿宋_GB2312" w:cs="仿宋_GB2312"/>
          <w:sz w:val="32"/>
          <w:szCs w:val="32"/>
        </w:rPr>
        <w:t>1015.57万元，其中：一般公共预算财政拨款收入872.47</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85.91</w:t>
      </w:r>
      <w:r>
        <w:rPr>
          <w:rFonts w:hint="eastAsia" w:ascii="仿宋_GB2312" w:hAnsi="仿宋_GB2312" w:eastAsia="仿宋_GB2312" w:cs="仿宋_GB2312"/>
          <w:color w:val="auto"/>
          <w:sz w:val="32"/>
          <w:szCs w:val="32"/>
          <w:highlight w:val="none"/>
          <w:lang w:eastAsia="zh-CN"/>
        </w:rPr>
        <w:t>%；政府性基金预算财政拨款收入</w:t>
      </w:r>
      <w:r>
        <w:rPr>
          <w:rFonts w:hint="eastAsia" w:ascii="仿宋_GB2312" w:hAnsi="仿宋_GB2312" w:eastAsia="仿宋_GB2312" w:cs="仿宋_GB2312"/>
          <w:sz w:val="32"/>
          <w:szCs w:val="32"/>
        </w:rPr>
        <w:t>143.09</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14.08%</w:t>
      </w:r>
      <w:r>
        <w:rPr>
          <w:rFonts w:hint="eastAsia" w:ascii="仿宋_GB2312" w:hAnsi="仿宋_GB2312" w:eastAsia="仿宋_GB2312" w:cs="仿宋_GB2312"/>
          <w:color w:val="auto"/>
          <w:sz w:val="32"/>
          <w:szCs w:val="32"/>
          <w:highlight w:val="none"/>
          <w:lang w:eastAsia="zh-CN"/>
        </w:rPr>
        <w:t>%；国有资本经营预算财政拨款收入</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%；上级补助收入</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%；事业收入</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%；经营收入</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%；附属单位上缴收入</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%；其他收入</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w:t>
      </w:r>
      <w:bookmarkEnd w:id="34"/>
      <w:bookmarkEnd w:id="35"/>
    </w:p>
    <w:p w14:paraId="7BC1CBA6">
      <w:pPr>
        <w:pStyle w:val="27"/>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left"/>
        <w:textAlignment w:val="auto"/>
        <w:outlineLvl w:val="1"/>
        <w:rPr>
          <w:rFonts w:hint="eastAsia" w:ascii="Times New Roman" w:hAnsi="Times New Roman" w:eastAsia="仿宋_GB2312" w:cs="仿宋_GB2312"/>
          <w:b/>
          <w:bCs/>
          <w:color w:val="auto"/>
          <w:sz w:val="32"/>
          <w:szCs w:val="32"/>
          <w:highlight w:val="none"/>
          <w:lang w:eastAsia="zh-CN"/>
        </w:rPr>
      </w:pPr>
    </w:p>
    <w:p w14:paraId="421308A0">
      <w:pPr>
        <w:pStyle w:val="27"/>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left"/>
        <w:textAlignment w:val="auto"/>
        <w:outlineLvl w:val="1"/>
        <w:rPr>
          <w:rFonts w:hint="eastAsia" w:ascii="Times New Roman" w:hAnsi="Times New Roman" w:eastAsia="仿宋_GB2312" w:cs="仿宋_GB2312"/>
          <w:b/>
          <w:bCs/>
          <w:color w:val="auto"/>
          <w:sz w:val="32"/>
          <w:szCs w:val="32"/>
          <w:highlight w:val="none"/>
          <w:lang w:eastAsia="zh-CN"/>
        </w:rPr>
      </w:pPr>
    </w:p>
    <w:p w14:paraId="6A2924F4">
      <w:pPr>
        <w:ind w:firstLine="800" w:firstLineChars="250"/>
        <w:rPr>
          <w:rFonts w:hint="eastAsia" w:ascii="Times New Roman" w:hAnsi="Times New Roman" w:eastAsia="仿宋_GB2312" w:cs="仿宋_GB2312"/>
          <w:color w:val="auto"/>
          <w:sz w:val="32"/>
          <w:szCs w:val="32"/>
          <w:highlight w:val="none"/>
          <w:lang w:eastAsia="zh-CN"/>
        </w:rPr>
      </w:pPr>
    </w:p>
    <w:p w14:paraId="4C9C2E8E">
      <w:pPr>
        <w:ind w:firstLine="800" w:firstLineChars="250"/>
        <w:rPr>
          <w:rFonts w:hint="eastAsia" w:ascii="Times New Roman" w:hAnsi="Times New Roman" w:eastAsia="仿宋_GB2312" w:cs="仿宋_GB2312"/>
          <w:color w:val="auto"/>
          <w:sz w:val="32"/>
          <w:szCs w:val="32"/>
          <w:highlight w:val="none"/>
          <w:lang w:eastAsia="zh-CN"/>
        </w:rPr>
      </w:pPr>
    </w:p>
    <w:p w14:paraId="2BFBF1DF">
      <w:pPr>
        <w:ind w:firstLine="800" w:firstLineChars="250"/>
        <w:rPr>
          <w:rFonts w:hint="eastAsia" w:ascii="Times New Roman" w:hAnsi="Times New Roman" w:eastAsia="仿宋_GB2312" w:cs="仿宋_GB2312"/>
          <w:color w:val="auto"/>
          <w:sz w:val="32"/>
          <w:szCs w:val="32"/>
          <w:highlight w:val="none"/>
          <w:lang w:eastAsia="zh-CN"/>
        </w:rPr>
      </w:pPr>
    </w:p>
    <w:p w14:paraId="7439C5CE">
      <w:pPr>
        <w:ind w:firstLine="800" w:firstLineChars="250"/>
        <w:rPr>
          <w:rFonts w:hint="eastAsia" w:ascii="Times New Roman" w:hAnsi="Times New Roman" w:eastAsia="仿宋_GB2312" w:cs="仿宋_GB2312"/>
          <w:color w:val="auto"/>
          <w:sz w:val="32"/>
          <w:szCs w:val="32"/>
          <w:highlight w:val="none"/>
          <w:lang w:eastAsia="zh-CN"/>
        </w:rPr>
      </w:pPr>
    </w:p>
    <w:p w14:paraId="668CDBA5">
      <w:pPr>
        <w:ind w:firstLine="803" w:firstLineChars="250"/>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b/>
          <w:bCs/>
          <w:color w:val="auto"/>
          <w:sz w:val="32"/>
          <w:szCs w:val="32"/>
          <w:highlight w:val="none"/>
          <w:lang w:eastAsia="zh-CN"/>
        </w:rPr>
        <w:drawing>
          <wp:inline distT="0" distB="0" distL="114300" distR="114300">
            <wp:extent cx="5256530" cy="2988310"/>
            <wp:effectExtent l="5080" t="4445" r="15240" b="1714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48FEFC3">
      <w:pPr>
        <w:ind w:firstLine="800" w:firstLineChars="250"/>
        <w:rPr>
          <w:rFonts w:hint="eastAsia" w:ascii="Times New Roman" w:hAnsi="Times New Roman" w:eastAsia="仿宋_GB2312" w:cs="仿宋_GB2312"/>
          <w:color w:val="auto"/>
          <w:sz w:val="32"/>
          <w:szCs w:val="32"/>
          <w:highlight w:val="none"/>
          <w:lang w:eastAsia="zh-CN"/>
        </w:rPr>
      </w:pPr>
    </w:p>
    <w:p w14:paraId="25385239">
      <w:pPr>
        <w:ind w:firstLine="800" w:firstLineChars="250"/>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（图2：收入决算结构图）（饼状图）</w:t>
      </w:r>
    </w:p>
    <w:p w14:paraId="6146E27A">
      <w:pPr>
        <w:ind w:firstLine="800" w:firstLineChars="250"/>
        <w:rPr>
          <w:rFonts w:hint="eastAsia" w:ascii="Times New Roman" w:hAnsi="Times New Roman" w:eastAsia="仿宋_GB2312" w:cs="仿宋_GB2312"/>
          <w:color w:val="auto"/>
          <w:sz w:val="32"/>
          <w:szCs w:val="32"/>
          <w:highlight w:val="none"/>
          <w:lang w:eastAsia="zh-CN"/>
        </w:rPr>
      </w:pPr>
    </w:p>
    <w:p w14:paraId="1271D4FF">
      <w:pPr>
        <w:pStyle w:val="27"/>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1"/>
        <w:rPr>
          <w:rStyle w:val="29"/>
          <w:rFonts w:hint="eastAsia" w:ascii="Times New Roman" w:hAnsi="Times New Roman" w:eastAsia="黑体"/>
          <w:b w:val="0"/>
          <w:color w:val="auto"/>
          <w:highlight w:val="none"/>
        </w:rPr>
      </w:pPr>
      <w:bookmarkStart w:id="36" w:name="_Toc15377207"/>
      <w:bookmarkStart w:id="37" w:name="_Toc25667"/>
      <w:bookmarkStart w:id="38" w:name="_Toc14122"/>
      <w:bookmarkStart w:id="39" w:name="_Toc15396605"/>
      <w:r>
        <w:rPr>
          <w:rFonts w:hint="eastAsia" w:ascii="Times New Roman" w:hAnsi="Times New Roman" w:eastAsia="黑体"/>
          <w:color w:val="auto"/>
          <w:sz w:val="32"/>
          <w:szCs w:val="32"/>
          <w:highlight w:val="none"/>
          <w:lang w:eastAsia="zh-CN"/>
        </w:rPr>
        <w:t>三、</w:t>
      </w:r>
      <w:r>
        <w:rPr>
          <w:rFonts w:hint="eastAsia" w:ascii="Times New Roman" w:hAnsi="Times New Roman" w:eastAsia="黑体"/>
          <w:color w:val="auto"/>
          <w:sz w:val="32"/>
          <w:szCs w:val="32"/>
          <w:highlight w:val="none"/>
        </w:rPr>
        <w:t>支</w:t>
      </w:r>
      <w:r>
        <w:rPr>
          <w:rStyle w:val="29"/>
          <w:rFonts w:hint="eastAsia" w:ascii="Times New Roman" w:hAnsi="Times New Roman" w:eastAsia="黑体"/>
          <w:b w:val="0"/>
          <w:color w:val="auto"/>
          <w:highlight w:val="none"/>
        </w:rPr>
        <w:t>出决算情况说明</w:t>
      </w:r>
      <w:bookmarkEnd w:id="36"/>
      <w:bookmarkEnd w:id="37"/>
      <w:bookmarkEnd w:id="38"/>
      <w:bookmarkEnd w:id="39"/>
    </w:p>
    <w:p w14:paraId="3E35FE2C">
      <w:pPr>
        <w:pStyle w:val="27"/>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outlineLvl w:val="1"/>
        <w:rPr>
          <w:rFonts w:hint="eastAsia" w:ascii="Times New Roman" w:hAnsi="Times New Roman" w:eastAsia="仿宋_GB2312" w:cs="仿宋_GB2312"/>
          <w:b/>
          <w:bCs/>
          <w:color w:val="auto"/>
          <w:sz w:val="32"/>
          <w:szCs w:val="32"/>
          <w:highlight w:val="none"/>
          <w:lang w:eastAsia="zh-CN"/>
        </w:rPr>
      </w:pPr>
      <w:bookmarkStart w:id="40" w:name="_Toc1037"/>
      <w:bookmarkStart w:id="41" w:name="_Toc26606"/>
      <w:r>
        <w:rPr>
          <w:rFonts w:hint="eastAsia" w:ascii="仿宋_GB2312" w:hAnsi="仿宋_GB2312" w:eastAsia="仿宋_GB2312" w:cs="仿宋_GB2312"/>
          <w:color w:val="auto"/>
          <w:sz w:val="32"/>
          <w:szCs w:val="32"/>
          <w:highlight w:val="none"/>
          <w:lang w:eastAsia="zh-CN"/>
        </w:rPr>
        <w:t>2024年度本年支出合计</w:t>
      </w:r>
      <w:r>
        <w:rPr>
          <w:rFonts w:hint="eastAsia" w:ascii="仿宋_GB2312" w:hAnsi="仿宋_GB2312" w:eastAsia="仿宋_GB2312" w:cs="仿宋_GB2312"/>
          <w:sz w:val="32"/>
          <w:szCs w:val="32"/>
        </w:rPr>
        <w:t>1015.57</w:t>
      </w:r>
      <w:r>
        <w:rPr>
          <w:rFonts w:hint="eastAsia" w:ascii="仿宋_GB2312" w:hAnsi="仿宋_GB2312" w:eastAsia="仿宋_GB2312" w:cs="仿宋_GB2312"/>
          <w:color w:val="auto"/>
          <w:sz w:val="32"/>
          <w:szCs w:val="32"/>
          <w:highlight w:val="none"/>
          <w:lang w:eastAsia="zh-CN"/>
        </w:rPr>
        <w:t>万元，其中：基本支出</w:t>
      </w:r>
      <w:r>
        <w:rPr>
          <w:rFonts w:hint="eastAsia" w:ascii="仿宋_GB2312" w:hAnsi="仿宋_GB2312" w:eastAsia="仿宋_GB2312" w:cs="仿宋_GB2312"/>
          <w:sz w:val="32"/>
          <w:szCs w:val="32"/>
        </w:rPr>
        <w:t>148.99</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14.67</w:t>
      </w:r>
      <w:r>
        <w:rPr>
          <w:rFonts w:hint="eastAsia" w:ascii="仿宋_GB2312" w:hAnsi="仿宋_GB2312" w:eastAsia="仿宋_GB2312" w:cs="仿宋_GB2312"/>
          <w:color w:val="auto"/>
          <w:sz w:val="32"/>
          <w:szCs w:val="32"/>
          <w:highlight w:val="none"/>
          <w:lang w:eastAsia="zh-CN"/>
        </w:rPr>
        <w:t>%；项目支出</w:t>
      </w:r>
      <w:r>
        <w:rPr>
          <w:rFonts w:hint="eastAsia" w:ascii="仿宋_GB2312" w:hAnsi="仿宋_GB2312" w:eastAsia="仿宋_GB2312" w:cs="仿宋_GB2312"/>
          <w:sz w:val="32"/>
          <w:szCs w:val="32"/>
        </w:rPr>
        <w:t>866.58</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85.32</w:t>
      </w:r>
      <w:r>
        <w:rPr>
          <w:rFonts w:hint="eastAsia" w:ascii="仿宋_GB2312" w:hAnsi="仿宋_GB2312" w:eastAsia="仿宋_GB2312" w:cs="仿宋_GB2312"/>
          <w:color w:val="auto"/>
          <w:sz w:val="32"/>
          <w:szCs w:val="32"/>
          <w:highlight w:val="none"/>
          <w:lang w:eastAsia="zh-CN"/>
        </w:rPr>
        <w:t>%；上缴上级支出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%；经营支出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%；对附属单位补助支出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w:t>
      </w:r>
      <w:bookmarkEnd w:id="40"/>
      <w:bookmarkEnd w:id="41"/>
    </w:p>
    <w:p w14:paraId="445AF455">
      <w:pPr>
        <w:pStyle w:val="27"/>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left"/>
        <w:textAlignment w:val="auto"/>
        <w:outlineLvl w:val="1"/>
        <w:rPr>
          <w:rFonts w:hint="eastAsia" w:ascii="Times New Roman" w:hAnsi="Times New Roman" w:eastAsia="仿宋_GB2312" w:cs="仿宋_GB2312"/>
          <w:b/>
          <w:bCs/>
          <w:color w:val="auto"/>
          <w:sz w:val="32"/>
          <w:szCs w:val="32"/>
          <w:highlight w:val="none"/>
          <w:lang w:eastAsia="zh-CN"/>
        </w:rPr>
      </w:pPr>
    </w:p>
    <w:p w14:paraId="19C09550">
      <w:pPr>
        <w:pStyle w:val="27"/>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left"/>
        <w:textAlignment w:val="auto"/>
        <w:outlineLvl w:val="1"/>
        <w:rPr>
          <w:rFonts w:hint="eastAsia" w:ascii="Times New Roman" w:hAnsi="Times New Roman" w:eastAsia="仿宋_GB2312" w:cs="仿宋_GB2312"/>
          <w:b/>
          <w:bCs/>
          <w:color w:val="auto"/>
          <w:sz w:val="32"/>
          <w:szCs w:val="32"/>
          <w:highlight w:val="none"/>
          <w:lang w:eastAsia="zh-CN"/>
        </w:rPr>
      </w:pPr>
    </w:p>
    <w:p w14:paraId="63F8459E">
      <w:pPr>
        <w:pStyle w:val="27"/>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left"/>
        <w:textAlignment w:val="auto"/>
        <w:outlineLvl w:val="1"/>
        <w:rPr>
          <w:rFonts w:hint="eastAsia" w:ascii="Times New Roman" w:hAnsi="Times New Roman" w:eastAsia="仿宋_GB2312" w:cs="仿宋_GB2312"/>
          <w:b/>
          <w:bCs/>
          <w:color w:val="auto"/>
          <w:sz w:val="32"/>
          <w:szCs w:val="32"/>
          <w:highlight w:val="none"/>
          <w:lang w:eastAsia="zh-CN"/>
        </w:rPr>
      </w:pPr>
    </w:p>
    <w:p w14:paraId="376BD3D4">
      <w:pPr>
        <w:pStyle w:val="27"/>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left"/>
        <w:textAlignment w:val="auto"/>
        <w:outlineLvl w:val="1"/>
        <w:rPr>
          <w:rFonts w:hint="eastAsia" w:ascii="Times New Roman" w:hAnsi="Times New Roman" w:eastAsia="仿宋_GB2312" w:cs="仿宋_GB2312"/>
          <w:b/>
          <w:bCs/>
          <w:color w:val="auto"/>
          <w:sz w:val="32"/>
          <w:szCs w:val="32"/>
          <w:highlight w:val="none"/>
          <w:lang w:eastAsia="zh-CN"/>
        </w:rPr>
      </w:pPr>
    </w:p>
    <w:p w14:paraId="03B15BC4">
      <w:pPr>
        <w:pStyle w:val="27"/>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left"/>
        <w:textAlignment w:val="auto"/>
        <w:outlineLvl w:val="1"/>
        <w:rPr>
          <w:rFonts w:hint="eastAsia" w:ascii="Times New Roman" w:hAnsi="Times New Roman" w:eastAsia="仿宋_GB2312" w:cs="仿宋_GB2312"/>
          <w:b/>
          <w:bCs/>
          <w:color w:val="auto"/>
          <w:sz w:val="32"/>
          <w:szCs w:val="32"/>
          <w:highlight w:val="none"/>
          <w:lang w:eastAsia="zh-CN"/>
        </w:rPr>
      </w:pPr>
    </w:p>
    <w:p w14:paraId="6F6DB71F">
      <w:pPr>
        <w:ind w:firstLine="803" w:firstLineChars="250"/>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b/>
          <w:bCs/>
          <w:color w:val="auto"/>
          <w:sz w:val="32"/>
          <w:szCs w:val="32"/>
          <w:highlight w:val="none"/>
          <w:lang w:eastAsia="zh-CN"/>
        </w:rPr>
        <w:drawing>
          <wp:inline distT="0" distB="0" distL="114300" distR="114300">
            <wp:extent cx="5256530" cy="2988310"/>
            <wp:effectExtent l="5080" t="4445" r="15240" b="17145"/>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1F1CF63">
      <w:pPr>
        <w:rPr>
          <w:rFonts w:hint="eastAsia" w:ascii="Times New Roman" w:hAnsi="Times New Roman" w:eastAsia="仿宋_GB2312" w:cs="仿宋_GB2312"/>
          <w:color w:val="auto"/>
          <w:sz w:val="32"/>
          <w:szCs w:val="32"/>
          <w:highlight w:val="none"/>
          <w:lang w:eastAsia="zh-CN"/>
        </w:rPr>
      </w:pPr>
    </w:p>
    <w:p w14:paraId="373D4B0E">
      <w:pPr>
        <w:ind w:firstLine="2080" w:firstLineChars="650"/>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（图3：支出决算结构图）（饼状图）</w:t>
      </w:r>
    </w:p>
    <w:p w14:paraId="7EE84234">
      <w:pPr>
        <w:ind w:firstLine="800" w:firstLineChars="250"/>
        <w:rPr>
          <w:rFonts w:hint="eastAsia" w:ascii="Times New Roman" w:hAnsi="Times New Roman" w:eastAsia="仿宋_GB2312" w:cs="仿宋_GB2312"/>
          <w:color w:val="auto"/>
          <w:sz w:val="32"/>
          <w:szCs w:val="32"/>
          <w:highlight w:val="none"/>
          <w:lang w:eastAsia="zh-CN"/>
        </w:rPr>
      </w:pPr>
    </w:p>
    <w:p w14:paraId="3D994DEC">
      <w:pPr>
        <w:spacing w:line="600" w:lineRule="exact"/>
        <w:ind w:firstLine="640" w:firstLineChars="200"/>
        <w:outlineLvl w:val="1"/>
        <w:rPr>
          <w:rStyle w:val="29"/>
          <w:rFonts w:ascii="Times New Roman" w:hAnsi="Times New Roman" w:eastAsia="黑体"/>
          <w:b w:val="0"/>
          <w:color w:val="auto"/>
          <w:highlight w:val="none"/>
        </w:rPr>
      </w:pPr>
      <w:bookmarkStart w:id="42" w:name="_Toc15377208"/>
      <w:bookmarkStart w:id="43" w:name="_Toc15396606"/>
      <w:bookmarkStart w:id="44" w:name="_Toc22525"/>
      <w:bookmarkStart w:id="45" w:name="_Toc9591"/>
      <w:r>
        <w:rPr>
          <w:rFonts w:hint="eastAsia" w:ascii="Times New Roman" w:hAnsi="Times New Roman" w:eastAsia="黑体"/>
          <w:color w:val="auto"/>
          <w:sz w:val="32"/>
          <w:szCs w:val="32"/>
          <w:highlight w:val="none"/>
        </w:rPr>
        <w:t>四、财</w:t>
      </w:r>
      <w:r>
        <w:rPr>
          <w:rStyle w:val="29"/>
          <w:rFonts w:hint="eastAsia" w:ascii="Times New Roman" w:hAnsi="Times New Roman" w:eastAsia="黑体"/>
          <w:b w:val="0"/>
          <w:color w:val="auto"/>
          <w:highlight w:val="none"/>
        </w:rPr>
        <w:t>政拨款收入支出决算总体情况说明</w:t>
      </w:r>
      <w:bookmarkEnd w:id="42"/>
      <w:bookmarkEnd w:id="43"/>
      <w:bookmarkEnd w:id="44"/>
      <w:bookmarkEnd w:id="45"/>
    </w:p>
    <w:p w14:paraId="4DE52003">
      <w:pPr>
        <w:snapToGrid w:val="0"/>
        <w:spacing w:line="520" w:lineRule="exact"/>
        <w:ind w:firstLine="640" w:firstLineChars="200"/>
        <w:rPr>
          <w:rFonts w:hint="eastAsia" w:ascii="仿宋_GB2312" w:hAnsi="仿宋" w:eastAsia="仿宋_GB2312" w:cs="Times New Roman"/>
          <w:sz w:val="32"/>
          <w:szCs w:val="32"/>
          <w:highlight w:val="none"/>
          <w:lang w:val="en-US" w:eastAsia="zh-CN"/>
        </w:rPr>
      </w:pPr>
      <w:r>
        <w:rPr>
          <w:rFonts w:hint="eastAsia" w:ascii="Times New Roman" w:hAnsi="Times New Roman" w:eastAsia="仿宋_GB2312" w:cs="仿宋_GB2312"/>
          <w:color w:val="auto"/>
          <w:kern w:val="2"/>
          <w:sz w:val="32"/>
          <w:szCs w:val="32"/>
          <w:highlight w:val="none"/>
          <w:lang w:val="en-US" w:eastAsia="zh-CN" w:bidi="ar-SA"/>
        </w:rPr>
        <w:t>2024年度财政拨款收入、支出总计均为</w:t>
      </w:r>
      <w:r>
        <w:rPr>
          <w:rFonts w:hint="eastAsia" w:ascii="仿宋_GB2312" w:hAnsi="仿宋_GB2312" w:eastAsia="仿宋_GB2312" w:cs="仿宋_GB2312"/>
          <w:sz w:val="32"/>
          <w:szCs w:val="32"/>
        </w:rPr>
        <w:t>1015.57</w:t>
      </w:r>
      <w:r>
        <w:rPr>
          <w:rFonts w:hint="eastAsia" w:ascii="Times New Roman" w:hAnsi="Times New Roman" w:eastAsia="仿宋_GB2312" w:cs="仿宋_GB2312"/>
          <w:color w:val="auto"/>
          <w:kern w:val="2"/>
          <w:sz w:val="32"/>
          <w:szCs w:val="32"/>
          <w:highlight w:val="none"/>
          <w:lang w:val="en-US" w:eastAsia="zh-CN" w:bidi="ar-SA"/>
        </w:rPr>
        <w:t>万元。与2023年度相比，财政拨款收入总计、支出总计各增加</w:t>
      </w:r>
      <w:r>
        <w:rPr>
          <w:rFonts w:hint="eastAsia" w:eastAsia="仿宋_GB2312" w:cs="仿宋_GB2312"/>
          <w:color w:val="auto"/>
          <w:kern w:val="2"/>
          <w:sz w:val="32"/>
          <w:szCs w:val="32"/>
          <w:highlight w:val="none"/>
          <w:lang w:val="en-US" w:eastAsia="zh-CN" w:bidi="ar-SA"/>
        </w:rPr>
        <w:t>146.23万元</w:t>
      </w:r>
      <w:r>
        <w:rPr>
          <w:rFonts w:hint="eastAsia" w:ascii="Times New Roman" w:hAnsi="Times New Roman" w:eastAsia="仿宋_GB2312" w:cs="仿宋_GB2312"/>
          <w:color w:val="auto"/>
          <w:kern w:val="2"/>
          <w:sz w:val="32"/>
          <w:szCs w:val="32"/>
          <w:highlight w:val="none"/>
          <w:lang w:val="en-US" w:eastAsia="zh-CN" w:bidi="ar-SA"/>
        </w:rPr>
        <w:t>，增长</w:t>
      </w:r>
      <w:r>
        <w:rPr>
          <w:rFonts w:hint="eastAsia" w:eastAsia="仿宋_GB2312" w:cs="仿宋_GB2312"/>
          <w:color w:val="auto"/>
          <w:kern w:val="2"/>
          <w:sz w:val="32"/>
          <w:szCs w:val="32"/>
          <w:highlight w:val="none"/>
          <w:lang w:val="en-US" w:eastAsia="zh-CN" w:bidi="ar-SA"/>
        </w:rPr>
        <w:t>17</w:t>
      </w:r>
      <w:r>
        <w:rPr>
          <w:rFonts w:hint="eastAsia" w:ascii="Times New Roman" w:hAnsi="Times New Roman" w:eastAsia="仿宋_GB2312" w:cs="仿宋_GB2312"/>
          <w:color w:val="auto"/>
          <w:kern w:val="2"/>
          <w:sz w:val="32"/>
          <w:szCs w:val="32"/>
          <w:highlight w:val="none"/>
          <w:lang w:val="en-US" w:eastAsia="zh-CN" w:bidi="ar-SA"/>
        </w:rPr>
        <w:t>%。主要变动原因是</w:t>
      </w:r>
      <w:r>
        <w:rPr>
          <w:rFonts w:hint="eastAsia" w:ascii="仿宋_GB2312" w:hAnsi="仿宋" w:eastAsia="仿宋_GB2312" w:cs="Times New Roman"/>
          <w:sz w:val="32"/>
          <w:szCs w:val="32"/>
          <w:highlight w:val="none"/>
          <w:lang w:val="en-US" w:eastAsia="zh-CN"/>
        </w:rPr>
        <w:t>是因为本年度部分项目调整。</w:t>
      </w:r>
    </w:p>
    <w:p w14:paraId="698F79CE">
      <w:pPr>
        <w:snapToGrid w:val="0"/>
        <w:spacing w:line="520" w:lineRule="exact"/>
        <w:ind w:firstLine="640" w:firstLineChars="200"/>
        <w:rPr>
          <w:rFonts w:hint="eastAsia" w:ascii="仿宋_GB2312" w:hAnsi="仿宋" w:eastAsia="仿宋_GB2312" w:cs="Times New Roman"/>
          <w:sz w:val="32"/>
          <w:szCs w:val="32"/>
          <w:highlight w:val="none"/>
          <w:lang w:val="en-US" w:eastAsia="zh-CN"/>
        </w:rPr>
      </w:pPr>
    </w:p>
    <w:p w14:paraId="0A733D3D">
      <w:pPr>
        <w:snapToGrid w:val="0"/>
        <w:spacing w:line="520" w:lineRule="exact"/>
        <w:ind w:firstLine="640" w:firstLineChars="200"/>
        <w:rPr>
          <w:rFonts w:hint="eastAsia" w:ascii="仿宋_GB2312" w:hAnsi="仿宋" w:eastAsia="仿宋_GB2312" w:cs="Times New Roman"/>
          <w:sz w:val="32"/>
          <w:szCs w:val="32"/>
          <w:highlight w:val="none"/>
          <w:lang w:val="en-US" w:eastAsia="zh-CN"/>
        </w:rPr>
      </w:pPr>
    </w:p>
    <w:p w14:paraId="5E9848D2">
      <w:pPr>
        <w:snapToGrid w:val="0"/>
        <w:spacing w:line="520" w:lineRule="exact"/>
        <w:ind w:firstLine="640" w:firstLineChars="200"/>
        <w:rPr>
          <w:rFonts w:hint="eastAsia" w:ascii="仿宋_GB2312" w:hAnsi="仿宋" w:eastAsia="仿宋_GB2312" w:cs="Times New Roman"/>
          <w:sz w:val="32"/>
          <w:szCs w:val="32"/>
          <w:highlight w:val="none"/>
          <w:lang w:val="en-US" w:eastAsia="zh-CN"/>
        </w:rPr>
      </w:pPr>
    </w:p>
    <w:p w14:paraId="451581A1">
      <w:pPr>
        <w:snapToGrid w:val="0"/>
        <w:spacing w:line="520" w:lineRule="exact"/>
        <w:ind w:firstLine="640" w:firstLineChars="200"/>
        <w:rPr>
          <w:rFonts w:hint="eastAsia" w:ascii="仿宋_GB2312" w:hAnsi="仿宋" w:eastAsia="仿宋_GB2312" w:cs="Times New Roman"/>
          <w:sz w:val="32"/>
          <w:szCs w:val="32"/>
          <w:highlight w:val="none"/>
          <w:lang w:val="en-US" w:eastAsia="zh-CN"/>
        </w:rPr>
      </w:pPr>
    </w:p>
    <w:p w14:paraId="16427BCB">
      <w:pPr>
        <w:snapToGrid w:val="0"/>
        <w:spacing w:line="520" w:lineRule="exact"/>
        <w:ind w:firstLine="640" w:firstLineChars="200"/>
        <w:rPr>
          <w:rFonts w:hint="eastAsia" w:ascii="仿宋_GB2312" w:hAnsi="仿宋" w:eastAsia="仿宋_GB2312" w:cs="Times New Roman"/>
          <w:sz w:val="32"/>
          <w:szCs w:val="32"/>
          <w:highlight w:val="none"/>
          <w:lang w:val="en-US" w:eastAsia="zh-CN"/>
        </w:rPr>
      </w:pPr>
    </w:p>
    <w:p w14:paraId="4BF0E96F">
      <w:pPr>
        <w:snapToGrid w:val="0"/>
        <w:spacing w:line="520" w:lineRule="exact"/>
        <w:ind w:firstLine="640" w:firstLineChars="200"/>
        <w:rPr>
          <w:rFonts w:hint="eastAsia" w:ascii="仿宋_GB2312" w:hAnsi="仿宋" w:eastAsia="仿宋_GB2312" w:cs="Times New Roman"/>
          <w:sz w:val="32"/>
          <w:szCs w:val="32"/>
          <w:highlight w:val="none"/>
          <w:lang w:val="en-US" w:eastAsia="zh-CN"/>
        </w:rPr>
      </w:pPr>
    </w:p>
    <w:p w14:paraId="2B506E3E">
      <w:pPr>
        <w:snapToGrid w:val="0"/>
        <w:spacing w:line="520" w:lineRule="exact"/>
        <w:ind w:firstLine="640" w:firstLineChars="200"/>
        <w:rPr>
          <w:rFonts w:hint="eastAsia" w:ascii="仿宋_GB2312" w:hAnsi="仿宋" w:eastAsia="仿宋_GB2312" w:cs="Times New Roman"/>
          <w:sz w:val="32"/>
          <w:szCs w:val="32"/>
          <w:highlight w:val="none"/>
          <w:lang w:val="en-US" w:eastAsia="zh-CN"/>
        </w:rPr>
      </w:pPr>
    </w:p>
    <w:p w14:paraId="41E9ED48">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14:paraId="7D8633B0">
      <w:p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drawing>
          <wp:anchor distT="0" distB="0" distL="114300" distR="114300" simplePos="0" relativeHeight="251660288" behindDoc="0" locked="0" layoutInCell="1" allowOverlap="1">
            <wp:simplePos x="0" y="0"/>
            <wp:positionH relativeFrom="column">
              <wp:posOffset>404495</wp:posOffset>
            </wp:positionH>
            <wp:positionV relativeFrom="paragraph">
              <wp:posOffset>-433705</wp:posOffset>
            </wp:positionV>
            <wp:extent cx="5256530" cy="2988310"/>
            <wp:effectExtent l="5080" t="4445" r="15240" b="17145"/>
            <wp:wrapSquare wrapText="bothSides"/>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449A61C4">
      <w:p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p>
    <w:p w14:paraId="5CEB694D">
      <w:p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p>
    <w:p w14:paraId="030BA8B5">
      <w:p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p>
    <w:p w14:paraId="147FE616">
      <w:p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p>
    <w:p w14:paraId="1B4764B1">
      <w:p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p>
    <w:p w14:paraId="1DF08407">
      <w:p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p>
    <w:p w14:paraId="623A197E">
      <w:pPr>
        <w:spacing w:line="600" w:lineRule="exact"/>
        <w:rPr>
          <w:rFonts w:hint="eastAsia" w:ascii="Times New Roman" w:hAnsi="Times New Roman" w:eastAsia="仿宋_GB2312" w:cs="仿宋_GB2312"/>
          <w:color w:val="auto"/>
          <w:kern w:val="2"/>
          <w:sz w:val="32"/>
          <w:szCs w:val="32"/>
          <w:highlight w:val="none"/>
          <w:lang w:val="en-US" w:eastAsia="zh-CN" w:bidi="ar-SA"/>
        </w:rPr>
      </w:pPr>
    </w:p>
    <w:p w14:paraId="5CFABFE5">
      <w:p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（图4：财政拨款收、支决算总计变动情况）（柱状图）</w:t>
      </w:r>
    </w:p>
    <w:p w14:paraId="5331201A">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14:paraId="7F843046">
      <w:pPr>
        <w:spacing w:line="600" w:lineRule="exact"/>
        <w:ind w:firstLine="640" w:firstLineChars="200"/>
        <w:outlineLvl w:val="1"/>
        <w:rPr>
          <w:rStyle w:val="29"/>
          <w:rFonts w:ascii="Times New Roman" w:hAnsi="Times New Roman" w:eastAsia="黑体"/>
          <w:b w:val="0"/>
          <w:color w:val="auto"/>
          <w:highlight w:val="none"/>
        </w:rPr>
      </w:pPr>
      <w:bookmarkStart w:id="46" w:name="_Toc15396607"/>
      <w:bookmarkStart w:id="47" w:name="_Toc19951"/>
      <w:bookmarkStart w:id="48" w:name="_Toc15377209"/>
      <w:bookmarkStart w:id="49" w:name="_Toc19850"/>
      <w:r>
        <w:rPr>
          <w:rFonts w:hint="eastAsia" w:ascii="Times New Roman" w:hAnsi="Times New Roman" w:eastAsia="黑体"/>
          <w:color w:val="auto"/>
          <w:sz w:val="32"/>
          <w:szCs w:val="32"/>
          <w:highlight w:val="none"/>
        </w:rPr>
        <w:t>五、</w:t>
      </w:r>
      <w:r>
        <w:rPr>
          <w:rFonts w:hint="eastAsia" w:ascii="Times New Roman" w:hAnsi="Times New Roman" w:eastAsia="黑体"/>
          <w:b/>
          <w:color w:val="auto"/>
          <w:sz w:val="32"/>
          <w:szCs w:val="32"/>
          <w:highlight w:val="none"/>
        </w:rPr>
        <w:t>一</w:t>
      </w:r>
      <w:r>
        <w:rPr>
          <w:rStyle w:val="29"/>
          <w:rFonts w:hint="eastAsia" w:ascii="Times New Roman" w:hAnsi="Times New Roman" w:eastAsia="黑体"/>
          <w:b w:val="0"/>
          <w:color w:val="auto"/>
          <w:highlight w:val="none"/>
        </w:rPr>
        <w:t>般公共预算财政拨款支出决算情况说明</w:t>
      </w:r>
      <w:bookmarkEnd w:id="46"/>
      <w:bookmarkEnd w:id="47"/>
      <w:bookmarkEnd w:id="48"/>
      <w:bookmarkEnd w:id="49"/>
    </w:p>
    <w:p w14:paraId="24612B50">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50" w:name="_Toc15377210"/>
      <w:bookmarkStart w:id="51" w:name="_Toc13250"/>
      <w:bookmarkStart w:id="52" w:name="_Toc698"/>
      <w:r>
        <w:rPr>
          <w:rFonts w:hint="eastAsia" w:ascii="Times New Roman" w:hAnsi="Times New Roman" w:eastAsia="楷体_GB2312" w:cs="楷体_GB2312"/>
          <w:b/>
          <w:color w:val="auto"/>
          <w:sz w:val="32"/>
          <w:szCs w:val="32"/>
          <w:highlight w:val="none"/>
        </w:rPr>
        <w:t>（一）一般公共预算财政拨款支出决算总体情况</w:t>
      </w:r>
      <w:bookmarkEnd w:id="50"/>
      <w:bookmarkEnd w:id="51"/>
      <w:bookmarkEnd w:id="52"/>
    </w:p>
    <w:p w14:paraId="2CBF17B6">
      <w:pPr>
        <w:spacing w:line="600" w:lineRule="exact"/>
        <w:ind w:firstLine="640"/>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2024年度一般公共预算财政拨款支出</w:t>
      </w:r>
      <w:r>
        <w:rPr>
          <w:rFonts w:hint="eastAsia" w:ascii="仿宋_GB2312" w:hAnsi="仿宋_GB2312" w:eastAsia="仿宋_GB2312" w:cs="仿宋_GB2312"/>
          <w:sz w:val="32"/>
          <w:szCs w:val="32"/>
        </w:rPr>
        <w:t>872.47</w:t>
      </w:r>
      <w:r>
        <w:rPr>
          <w:rFonts w:hint="eastAsia" w:ascii="仿宋_GB2312" w:hAnsi="仿宋_GB2312" w:eastAsia="仿宋_GB2312" w:cs="仿宋_GB2312"/>
          <w:color w:val="auto"/>
          <w:kern w:val="2"/>
          <w:sz w:val="32"/>
          <w:szCs w:val="32"/>
          <w:highlight w:val="none"/>
          <w:lang w:val="en-US" w:eastAsia="zh-CN" w:bidi="ar-SA"/>
        </w:rPr>
        <w:t>万元，占本年支出合计的</w:t>
      </w:r>
      <w:r>
        <w:rPr>
          <w:rFonts w:hint="eastAsia" w:ascii="仿宋_GB2312" w:hAnsi="仿宋_GB2312" w:eastAsia="仿宋_GB2312" w:cs="仿宋_GB2312"/>
          <w:sz w:val="32"/>
          <w:szCs w:val="32"/>
        </w:rPr>
        <w:t>85.91</w:t>
      </w:r>
      <w:r>
        <w:rPr>
          <w:rFonts w:hint="eastAsia" w:ascii="仿宋_GB2312" w:hAnsi="仿宋_GB2312" w:eastAsia="仿宋_GB2312" w:cs="仿宋_GB2312"/>
          <w:color w:val="auto"/>
          <w:kern w:val="2"/>
          <w:sz w:val="32"/>
          <w:szCs w:val="32"/>
          <w:highlight w:val="none"/>
          <w:lang w:val="en-US" w:eastAsia="zh-CN" w:bidi="ar-SA"/>
        </w:rPr>
        <w:t>%。与2023年度相比，一般公共预算财政拨款支出增加91.28万元，增长11.7%。主要变动原因是本年度部分项目调整。</w:t>
      </w:r>
    </w:p>
    <w:p w14:paraId="25C92787">
      <w:pPr>
        <w:spacing w:line="600" w:lineRule="exact"/>
        <w:ind w:firstLine="640"/>
        <w:rPr>
          <w:rFonts w:hint="eastAsia" w:ascii="仿宋_GB2312" w:hAnsi="仿宋_GB2312"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drawing>
          <wp:anchor distT="0" distB="0" distL="114300" distR="114300" simplePos="0" relativeHeight="251661312" behindDoc="0" locked="0" layoutInCell="1" allowOverlap="1">
            <wp:simplePos x="0" y="0"/>
            <wp:positionH relativeFrom="column">
              <wp:posOffset>130175</wp:posOffset>
            </wp:positionH>
            <wp:positionV relativeFrom="paragraph">
              <wp:posOffset>273685</wp:posOffset>
            </wp:positionV>
            <wp:extent cx="5256530" cy="2988310"/>
            <wp:effectExtent l="5080" t="4445" r="15240" b="17145"/>
            <wp:wrapSquare wrapText="bothSides"/>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6577C2ED">
      <w:pPr>
        <w:spacing w:line="600" w:lineRule="exact"/>
        <w:ind w:firstLine="640"/>
        <w:rPr>
          <w:rFonts w:hint="eastAsia" w:ascii="仿宋_GB2312" w:hAnsi="仿宋_GB2312" w:eastAsia="仿宋_GB2312" w:cs="仿宋_GB2312"/>
          <w:color w:val="auto"/>
          <w:kern w:val="2"/>
          <w:sz w:val="32"/>
          <w:szCs w:val="32"/>
          <w:highlight w:val="none"/>
          <w:lang w:val="en-US" w:eastAsia="zh-CN" w:bidi="ar-SA"/>
        </w:rPr>
      </w:pPr>
    </w:p>
    <w:p w14:paraId="64CF1759">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（图5：一般公共预算财政拨款支出决算变动情况）（柱状图）</w:t>
      </w:r>
    </w:p>
    <w:p w14:paraId="0194C0F6">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14:paraId="02E2DD99">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53" w:name="_Toc11425"/>
      <w:bookmarkStart w:id="54" w:name="_Toc15377211"/>
      <w:bookmarkStart w:id="55" w:name="_Toc5248"/>
      <w:r>
        <w:rPr>
          <w:rFonts w:hint="eastAsia" w:ascii="Times New Roman" w:hAnsi="Times New Roman" w:eastAsia="楷体_GB2312" w:cs="楷体_GB2312"/>
          <w:b/>
          <w:color w:val="auto"/>
          <w:sz w:val="32"/>
          <w:szCs w:val="32"/>
          <w:highlight w:val="none"/>
        </w:rPr>
        <w:t>（二）一般公共预算财政拨款支出决算结构情况</w:t>
      </w:r>
      <w:bookmarkEnd w:id="53"/>
      <w:bookmarkEnd w:id="54"/>
      <w:bookmarkEnd w:id="55"/>
    </w:p>
    <w:p w14:paraId="6E01772F">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2024年度一般公共预算财政拨款支出</w:t>
      </w:r>
      <w:r>
        <w:rPr>
          <w:rFonts w:hint="eastAsia" w:ascii="仿宋_GB2312" w:hAnsi="仿宋_GB2312" w:eastAsia="仿宋_GB2312" w:cs="仿宋_GB2312"/>
          <w:sz w:val="32"/>
          <w:szCs w:val="32"/>
        </w:rPr>
        <w:t>872.47</w:t>
      </w:r>
      <w:r>
        <w:rPr>
          <w:rFonts w:hint="eastAsia" w:ascii="仿宋_GB2312" w:hAnsi="仿宋_GB2312" w:eastAsia="仿宋_GB2312" w:cs="仿宋_GB2312"/>
          <w:color w:val="auto"/>
          <w:kern w:val="2"/>
          <w:sz w:val="32"/>
          <w:szCs w:val="32"/>
          <w:highlight w:val="none"/>
          <w:lang w:val="en-US" w:eastAsia="zh-CN" w:bidi="ar-SA"/>
        </w:rPr>
        <w:t>万元</w:t>
      </w:r>
      <w:r>
        <w:rPr>
          <w:rFonts w:hint="eastAsia" w:ascii="Times New Roman" w:hAnsi="Times New Roman" w:eastAsia="仿宋_GB2312" w:cs="仿宋_GB2312"/>
          <w:color w:val="auto"/>
          <w:kern w:val="2"/>
          <w:sz w:val="32"/>
          <w:szCs w:val="32"/>
          <w:highlight w:val="none"/>
          <w:lang w:val="en-US" w:eastAsia="zh-CN" w:bidi="ar-SA"/>
        </w:rPr>
        <w:t>，主要用于以下方面</w:t>
      </w:r>
      <w:r>
        <w:rPr>
          <w:rFonts w:hint="eastAsia" w:eastAsia="仿宋_GB2312" w:cs="仿宋_GB2312"/>
          <w:color w:val="auto"/>
          <w:kern w:val="2"/>
          <w:sz w:val="32"/>
          <w:szCs w:val="32"/>
          <w:highlight w:val="none"/>
          <w:lang w:val="en-US" w:eastAsia="zh-CN" w:bidi="ar-SA"/>
        </w:rPr>
        <w:t>：社会保障和就业支出857.12</w:t>
      </w:r>
      <w:r>
        <w:rPr>
          <w:rFonts w:hint="eastAsia" w:ascii="Times New Roman" w:hAnsi="Times New Roman" w:eastAsia="仿宋_GB2312" w:cs="仿宋_GB2312"/>
          <w:color w:val="auto"/>
          <w:kern w:val="2"/>
          <w:sz w:val="32"/>
          <w:szCs w:val="32"/>
          <w:highlight w:val="none"/>
          <w:lang w:val="en-US" w:eastAsia="zh-CN" w:bidi="ar-SA"/>
        </w:rPr>
        <w:t>万元，占</w:t>
      </w:r>
      <w:r>
        <w:rPr>
          <w:rFonts w:hint="eastAsia" w:eastAsia="仿宋_GB2312" w:cs="仿宋_GB2312"/>
          <w:color w:val="auto"/>
          <w:kern w:val="2"/>
          <w:sz w:val="32"/>
          <w:szCs w:val="32"/>
          <w:highlight w:val="none"/>
          <w:lang w:val="en-US" w:eastAsia="zh-CN" w:bidi="ar-SA"/>
        </w:rPr>
        <w:t>98.24</w:t>
      </w:r>
      <w:r>
        <w:rPr>
          <w:rFonts w:hint="eastAsia" w:ascii="Times New Roman" w:hAnsi="Times New Roman" w:eastAsia="仿宋_GB2312" w:cs="仿宋_GB2312"/>
          <w:color w:val="auto"/>
          <w:kern w:val="2"/>
          <w:sz w:val="32"/>
          <w:szCs w:val="32"/>
          <w:highlight w:val="none"/>
          <w:lang w:val="en-US" w:eastAsia="zh-CN" w:bidi="ar-SA"/>
        </w:rPr>
        <w:t>%；</w:t>
      </w:r>
      <w:r>
        <w:rPr>
          <w:rFonts w:hint="eastAsia" w:eastAsia="仿宋_GB2312" w:cs="仿宋_GB2312"/>
          <w:color w:val="auto"/>
          <w:kern w:val="2"/>
          <w:sz w:val="32"/>
          <w:szCs w:val="32"/>
          <w:highlight w:val="none"/>
          <w:lang w:val="en-US" w:eastAsia="zh-CN" w:bidi="ar-SA"/>
        </w:rPr>
        <w:t>卫生健康支出6.09</w:t>
      </w:r>
      <w:r>
        <w:rPr>
          <w:rFonts w:hint="eastAsia" w:ascii="Times New Roman" w:hAnsi="Times New Roman" w:eastAsia="仿宋_GB2312" w:cs="仿宋_GB2312"/>
          <w:color w:val="auto"/>
          <w:kern w:val="2"/>
          <w:sz w:val="32"/>
          <w:szCs w:val="32"/>
          <w:highlight w:val="none"/>
          <w:lang w:val="en-US" w:eastAsia="zh-CN" w:bidi="ar-SA"/>
        </w:rPr>
        <w:t>万元，占</w:t>
      </w:r>
      <w:r>
        <w:rPr>
          <w:rFonts w:hint="eastAsia" w:eastAsia="仿宋_GB2312" w:cs="仿宋_GB2312"/>
          <w:color w:val="auto"/>
          <w:kern w:val="2"/>
          <w:sz w:val="32"/>
          <w:szCs w:val="32"/>
          <w:highlight w:val="none"/>
          <w:lang w:val="en-US" w:eastAsia="zh-CN" w:bidi="ar-SA"/>
        </w:rPr>
        <w:t>0.7</w:t>
      </w:r>
      <w:r>
        <w:rPr>
          <w:rFonts w:hint="eastAsia" w:ascii="Times New Roman" w:hAnsi="Times New Roman" w:eastAsia="仿宋_GB2312" w:cs="仿宋_GB2312"/>
          <w:color w:val="auto"/>
          <w:kern w:val="2"/>
          <w:sz w:val="32"/>
          <w:szCs w:val="32"/>
          <w:highlight w:val="none"/>
          <w:lang w:val="en-US" w:eastAsia="zh-CN" w:bidi="ar-SA"/>
        </w:rPr>
        <w:t>%</w:t>
      </w:r>
      <w:r>
        <w:rPr>
          <w:rFonts w:hint="eastAsia" w:eastAsia="仿宋_GB2312" w:cs="仿宋_GB2312"/>
          <w:color w:val="auto"/>
          <w:kern w:val="2"/>
          <w:sz w:val="32"/>
          <w:szCs w:val="32"/>
          <w:highlight w:val="none"/>
          <w:lang w:val="en-US" w:eastAsia="zh-CN" w:bidi="ar-SA"/>
        </w:rPr>
        <w:t>；住房保障支出9.26万元</w:t>
      </w:r>
      <w:r>
        <w:rPr>
          <w:rFonts w:hint="eastAsia" w:ascii="Times New Roman" w:hAnsi="Times New Roman" w:eastAsia="仿宋_GB2312" w:cs="仿宋_GB2312"/>
          <w:color w:val="auto"/>
          <w:kern w:val="2"/>
          <w:sz w:val="32"/>
          <w:szCs w:val="32"/>
          <w:highlight w:val="none"/>
          <w:lang w:val="en-US" w:eastAsia="zh-CN" w:bidi="ar-SA"/>
        </w:rPr>
        <w:t>占1.06%。</w:t>
      </w:r>
    </w:p>
    <w:p w14:paraId="51E019DB">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14:paraId="7B2B708C">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14:paraId="38D73F9E">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14:paraId="066BF598">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14:paraId="0615F6C4">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b/>
          <w:bCs/>
          <w:color w:val="auto"/>
          <w:sz w:val="32"/>
          <w:szCs w:val="32"/>
          <w:highlight w:val="none"/>
          <w:lang w:eastAsia="zh-CN"/>
        </w:rPr>
        <w:drawing>
          <wp:anchor distT="0" distB="0" distL="114300" distR="114300" simplePos="0" relativeHeight="251662336" behindDoc="0" locked="0" layoutInCell="1" allowOverlap="1">
            <wp:simplePos x="0" y="0"/>
            <wp:positionH relativeFrom="column">
              <wp:posOffset>280670</wp:posOffset>
            </wp:positionH>
            <wp:positionV relativeFrom="paragraph">
              <wp:posOffset>-255270</wp:posOffset>
            </wp:positionV>
            <wp:extent cx="5256530" cy="2988310"/>
            <wp:effectExtent l="5080" t="4445" r="15240" b="17145"/>
            <wp:wrapSquare wrapText="bothSides"/>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64C9244B">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（图6：一般公共预算财政拨款支出决算结构）（饼状图）</w:t>
      </w:r>
    </w:p>
    <w:p w14:paraId="084117B1">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14:paraId="30E36615">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56" w:name="_Toc15377212"/>
      <w:bookmarkStart w:id="57" w:name="_Toc7545"/>
      <w:bookmarkStart w:id="58" w:name="_Toc16405"/>
      <w:r>
        <w:rPr>
          <w:rFonts w:hint="eastAsia" w:ascii="Times New Roman" w:hAnsi="Times New Roman" w:eastAsia="楷体_GB2312" w:cs="楷体_GB2312"/>
          <w:b/>
          <w:color w:val="auto"/>
          <w:sz w:val="32"/>
          <w:szCs w:val="32"/>
          <w:highlight w:val="none"/>
        </w:rPr>
        <w:t>（三）一般公共预算财政拨款支出决算具体情况</w:t>
      </w:r>
      <w:bookmarkEnd w:id="56"/>
      <w:bookmarkEnd w:id="57"/>
      <w:bookmarkEnd w:id="58"/>
    </w:p>
    <w:p w14:paraId="638B415C">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bookmarkStart w:id="59" w:name="_Toc15377213"/>
      <w:bookmarkStart w:id="60" w:name="_Toc15377444"/>
      <w:bookmarkStart w:id="61" w:name="_Toc15378460"/>
      <w:r>
        <w:rPr>
          <w:rFonts w:hint="eastAsia" w:ascii="Times New Roman" w:hAnsi="Times New Roman" w:eastAsia="仿宋_GB2312" w:cs="仿宋_GB2312"/>
          <w:color w:val="auto"/>
          <w:kern w:val="2"/>
          <w:sz w:val="32"/>
          <w:szCs w:val="32"/>
          <w:highlight w:val="none"/>
          <w:lang w:val="en-US" w:eastAsia="zh-CN" w:bidi="ar-SA"/>
        </w:rPr>
        <w:t>2024年度一般公共预算财政拨款支出决算数为</w:t>
      </w:r>
      <w:r>
        <w:rPr>
          <w:rFonts w:hint="eastAsia" w:ascii="仿宋_GB2312" w:hAnsi="仿宋_GB2312" w:eastAsia="仿宋_GB2312" w:cs="仿宋_GB2312"/>
          <w:sz w:val="32"/>
          <w:szCs w:val="32"/>
        </w:rPr>
        <w:t>872.47</w:t>
      </w:r>
      <w:r>
        <w:rPr>
          <w:rFonts w:hint="eastAsia" w:ascii="仿宋_GB2312" w:hAnsi="仿宋_GB2312"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%。其中：</w:t>
      </w:r>
      <w:bookmarkEnd w:id="59"/>
      <w:bookmarkEnd w:id="60"/>
      <w:bookmarkEnd w:id="61"/>
    </w:p>
    <w:p w14:paraId="2DDE0594">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1</w:t>
      </w:r>
      <w:r>
        <w:rPr>
          <w:rFonts w:hint="eastAsia" w:eastAsia="仿宋_GB2312" w:cs="仿宋_GB2312"/>
          <w:color w:val="auto"/>
          <w:kern w:val="2"/>
          <w:sz w:val="32"/>
          <w:szCs w:val="32"/>
          <w:highlight w:val="none"/>
          <w:lang w:val="en-US" w:eastAsia="zh-CN" w:bidi="ar-SA"/>
        </w:rPr>
        <w:t>.社会保障和就业支出（类）行政事业单位单位养老支出（款）行政单位离退休（项）：</w:t>
      </w:r>
      <w:r>
        <w:rPr>
          <w:rFonts w:hint="eastAsia" w:ascii="Times New Roman" w:hAnsi="Times New Roman" w:eastAsia="仿宋_GB2312" w:cs="仿宋_GB2312"/>
          <w:color w:val="auto"/>
          <w:kern w:val="2"/>
          <w:sz w:val="32"/>
          <w:szCs w:val="32"/>
          <w:highlight w:val="none"/>
          <w:lang w:val="en-US" w:eastAsia="zh-CN" w:bidi="ar-SA"/>
        </w:rPr>
        <w:t>支出决算为</w:t>
      </w:r>
      <w:r>
        <w:rPr>
          <w:rFonts w:hint="eastAsia" w:eastAsia="仿宋_GB2312" w:cs="仿宋_GB2312"/>
          <w:color w:val="auto"/>
          <w:kern w:val="2"/>
          <w:sz w:val="32"/>
          <w:szCs w:val="32"/>
          <w:highlight w:val="none"/>
          <w:lang w:val="en-US" w:eastAsia="zh-CN" w:bidi="ar-SA"/>
        </w:rPr>
        <w:t>0.36</w:t>
      </w:r>
      <w:r>
        <w:rPr>
          <w:rFonts w:hint="eastAsia" w:ascii="Times New Roman" w:hAnsi="Times New Roman" w:eastAsia="仿宋_GB2312" w:cs="仿宋_GB2312"/>
          <w:color w:val="auto"/>
          <w:kern w:val="2"/>
          <w:sz w:val="32"/>
          <w:szCs w:val="32"/>
          <w:highlight w:val="none"/>
          <w:lang w:val="en-US" w:eastAsia="zh-CN" w:bidi="ar-SA"/>
        </w:rPr>
        <w:t>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%，决算数等于预算数的主要原因是</w:t>
      </w:r>
      <w:r>
        <w:rPr>
          <w:rFonts w:hint="eastAsia" w:eastAsia="仿宋_GB2312" w:cs="仿宋_GB2312"/>
          <w:color w:val="auto"/>
          <w:kern w:val="2"/>
          <w:sz w:val="32"/>
          <w:szCs w:val="32"/>
          <w:highlight w:val="none"/>
          <w:lang w:val="en-US" w:eastAsia="zh-CN" w:bidi="ar-SA"/>
        </w:rPr>
        <w:t>正常完成任务。</w:t>
      </w:r>
    </w:p>
    <w:p w14:paraId="53663FD8">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w:t>
      </w:r>
      <w:r>
        <w:rPr>
          <w:rFonts w:hint="eastAsia" w:eastAsia="仿宋_GB2312" w:cs="仿宋_GB2312"/>
          <w:color w:val="auto"/>
          <w:kern w:val="2"/>
          <w:sz w:val="32"/>
          <w:szCs w:val="32"/>
          <w:highlight w:val="none"/>
          <w:lang w:val="en-US" w:eastAsia="zh-CN" w:bidi="ar-SA"/>
        </w:rPr>
        <w:t>社会保障和就业支出（类）行政事业单位单位养老支出（款）机关事业单位基本养老保险缴费支出（项）</w:t>
      </w:r>
      <w:r>
        <w:rPr>
          <w:rFonts w:hint="eastAsia" w:ascii="Times New Roman" w:hAnsi="Times New Roman" w:eastAsia="仿宋_GB2312" w:cs="仿宋_GB2312"/>
          <w:color w:val="auto"/>
          <w:kern w:val="2"/>
          <w:sz w:val="32"/>
          <w:szCs w:val="32"/>
          <w:highlight w:val="none"/>
          <w:lang w:val="en-US" w:eastAsia="zh-CN" w:bidi="ar-SA"/>
        </w:rPr>
        <w:t>: 支出决算为</w:t>
      </w:r>
      <w:r>
        <w:rPr>
          <w:rFonts w:hint="eastAsia" w:eastAsia="仿宋_GB2312" w:cs="仿宋_GB2312"/>
          <w:color w:val="auto"/>
          <w:kern w:val="2"/>
          <w:sz w:val="32"/>
          <w:szCs w:val="32"/>
          <w:highlight w:val="none"/>
          <w:lang w:val="en-US" w:eastAsia="zh-CN" w:bidi="ar-SA"/>
        </w:rPr>
        <w:t>10.95</w:t>
      </w:r>
      <w:r>
        <w:rPr>
          <w:rFonts w:hint="eastAsia" w:ascii="Times New Roman" w:hAnsi="Times New Roman" w:eastAsia="仿宋_GB2312" w:cs="仿宋_GB2312"/>
          <w:color w:val="auto"/>
          <w:kern w:val="2"/>
          <w:sz w:val="32"/>
          <w:szCs w:val="32"/>
          <w:highlight w:val="none"/>
          <w:lang w:val="en-US" w:eastAsia="zh-CN" w:bidi="ar-SA"/>
        </w:rPr>
        <w:t>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%，决算数等于预算数的主要原因是</w:t>
      </w:r>
      <w:r>
        <w:rPr>
          <w:rFonts w:hint="eastAsia" w:eastAsia="仿宋_GB2312" w:cs="仿宋_GB2312"/>
          <w:color w:val="auto"/>
          <w:kern w:val="2"/>
          <w:sz w:val="32"/>
          <w:szCs w:val="32"/>
          <w:highlight w:val="none"/>
          <w:lang w:val="en-US" w:eastAsia="zh-CN" w:bidi="ar-SA"/>
        </w:rPr>
        <w:t>正常完成任务。</w:t>
      </w:r>
    </w:p>
    <w:p w14:paraId="6F60FFDC">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3.</w:t>
      </w:r>
      <w:r>
        <w:rPr>
          <w:rFonts w:hint="eastAsia" w:eastAsia="仿宋_GB2312" w:cs="仿宋_GB2312"/>
          <w:color w:val="auto"/>
          <w:kern w:val="2"/>
          <w:sz w:val="32"/>
          <w:szCs w:val="32"/>
          <w:highlight w:val="none"/>
          <w:lang w:val="en-US" w:eastAsia="zh-CN" w:bidi="ar-SA"/>
        </w:rPr>
        <w:t>社会保障和就业支出（类）行政事业单位单位养老支出（款）机关事业单位职业年金缴费支出（项）：</w:t>
      </w:r>
      <w:r>
        <w:rPr>
          <w:rFonts w:hint="eastAsia" w:ascii="Times New Roman" w:hAnsi="Times New Roman" w:eastAsia="仿宋_GB2312" w:cs="仿宋_GB2312"/>
          <w:color w:val="auto"/>
          <w:kern w:val="2"/>
          <w:sz w:val="32"/>
          <w:szCs w:val="32"/>
          <w:highlight w:val="none"/>
          <w:lang w:val="en-US" w:eastAsia="zh-CN" w:bidi="ar-SA"/>
        </w:rPr>
        <w:t>支出决算为</w:t>
      </w:r>
      <w:r>
        <w:rPr>
          <w:rFonts w:hint="eastAsia" w:eastAsia="仿宋_GB2312" w:cs="仿宋_GB2312"/>
          <w:color w:val="auto"/>
          <w:kern w:val="2"/>
          <w:sz w:val="32"/>
          <w:szCs w:val="32"/>
          <w:highlight w:val="none"/>
          <w:lang w:val="en-US" w:eastAsia="zh-CN" w:bidi="ar-SA"/>
        </w:rPr>
        <w:t>5.48</w:t>
      </w:r>
      <w:r>
        <w:rPr>
          <w:rFonts w:hint="eastAsia" w:ascii="Times New Roman" w:hAnsi="Times New Roman" w:eastAsia="仿宋_GB2312" w:cs="仿宋_GB2312"/>
          <w:color w:val="auto"/>
          <w:kern w:val="2"/>
          <w:sz w:val="32"/>
          <w:szCs w:val="32"/>
          <w:highlight w:val="none"/>
          <w:lang w:val="en-US" w:eastAsia="zh-CN" w:bidi="ar-SA"/>
        </w:rPr>
        <w:t>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%，决算数等于预算数的主要原因是</w:t>
      </w:r>
      <w:r>
        <w:rPr>
          <w:rFonts w:hint="eastAsia" w:eastAsia="仿宋_GB2312" w:cs="仿宋_GB2312"/>
          <w:color w:val="auto"/>
          <w:kern w:val="2"/>
          <w:sz w:val="32"/>
          <w:szCs w:val="32"/>
          <w:highlight w:val="none"/>
          <w:lang w:val="en-US" w:eastAsia="zh-CN" w:bidi="ar-SA"/>
        </w:rPr>
        <w:t>正常完成任务。</w:t>
      </w:r>
    </w:p>
    <w:p w14:paraId="5D6ADD5B">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4.</w:t>
      </w:r>
      <w:r>
        <w:rPr>
          <w:rFonts w:hint="eastAsia" w:eastAsia="仿宋_GB2312" w:cs="仿宋_GB2312"/>
          <w:color w:val="auto"/>
          <w:kern w:val="2"/>
          <w:sz w:val="32"/>
          <w:szCs w:val="32"/>
          <w:highlight w:val="none"/>
          <w:lang w:val="en-US" w:eastAsia="zh-CN" w:bidi="ar-SA"/>
        </w:rPr>
        <w:t>社会保障和就业支出（类）行政事业单位单位养老支出（款）其他行政事业单位养老支出（类）：</w:t>
      </w:r>
      <w:r>
        <w:rPr>
          <w:rFonts w:hint="eastAsia" w:ascii="Times New Roman" w:hAnsi="Times New Roman" w:eastAsia="仿宋_GB2312" w:cs="仿宋_GB2312"/>
          <w:color w:val="auto"/>
          <w:kern w:val="2"/>
          <w:sz w:val="32"/>
          <w:szCs w:val="32"/>
          <w:highlight w:val="none"/>
          <w:lang w:val="en-US" w:eastAsia="zh-CN" w:bidi="ar-SA"/>
        </w:rPr>
        <w:t>支出决算为</w:t>
      </w:r>
      <w:r>
        <w:rPr>
          <w:rFonts w:hint="eastAsia" w:eastAsia="仿宋_GB2312" w:cs="仿宋_GB2312"/>
          <w:color w:val="auto"/>
          <w:kern w:val="2"/>
          <w:sz w:val="32"/>
          <w:szCs w:val="32"/>
          <w:highlight w:val="none"/>
          <w:lang w:val="en-US" w:eastAsia="zh-CN" w:bidi="ar-SA"/>
        </w:rPr>
        <w:t>16.11</w:t>
      </w:r>
      <w:r>
        <w:rPr>
          <w:rFonts w:hint="eastAsia" w:ascii="Times New Roman" w:hAnsi="Times New Roman" w:eastAsia="仿宋_GB2312" w:cs="仿宋_GB2312"/>
          <w:color w:val="auto"/>
          <w:kern w:val="2"/>
          <w:sz w:val="32"/>
          <w:szCs w:val="32"/>
          <w:highlight w:val="none"/>
          <w:lang w:val="en-US" w:eastAsia="zh-CN" w:bidi="ar-SA"/>
        </w:rPr>
        <w:t>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w:t>
      </w:r>
      <w:r>
        <w:rPr>
          <w:rFonts w:hint="eastAsia" w:eastAsia="仿宋_GB2312" w:cs="仿宋_GB2312"/>
          <w:color w:val="auto"/>
          <w:kern w:val="2"/>
          <w:sz w:val="32"/>
          <w:szCs w:val="32"/>
          <w:highlight w:val="none"/>
          <w:lang w:val="en-US" w:eastAsia="zh-CN" w:bidi="ar-SA"/>
        </w:rPr>
        <w:t>决</w:t>
      </w:r>
      <w:r>
        <w:rPr>
          <w:rFonts w:hint="eastAsia" w:ascii="Times New Roman" w:hAnsi="Times New Roman" w:eastAsia="仿宋_GB2312" w:cs="仿宋_GB2312"/>
          <w:color w:val="auto"/>
          <w:kern w:val="2"/>
          <w:sz w:val="32"/>
          <w:szCs w:val="32"/>
          <w:highlight w:val="none"/>
          <w:lang w:val="en-US" w:eastAsia="zh-CN" w:bidi="ar-SA"/>
        </w:rPr>
        <w:t>算数等于预算数的主要原因是</w:t>
      </w:r>
      <w:r>
        <w:rPr>
          <w:rFonts w:hint="eastAsia" w:eastAsia="仿宋_GB2312" w:cs="仿宋_GB2312"/>
          <w:color w:val="auto"/>
          <w:kern w:val="2"/>
          <w:sz w:val="32"/>
          <w:szCs w:val="32"/>
          <w:highlight w:val="none"/>
          <w:lang w:val="en-US" w:eastAsia="zh-CN" w:bidi="ar-SA"/>
        </w:rPr>
        <w:t>正常完成任务。</w:t>
      </w:r>
    </w:p>
    <w:p w14:paraId="7BF2A81F">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5.</w:t>
      </w:r>
      <w:r>
        <w:rPr>
          <w:rFonts w:hint="eastAsia" w:eastAsia="仿宋_GB2312" w:cs="仿宋_GB2312"/>
          <w:color w:val="auto"/>
          <w:kern w:val="2"/>
          <w:sz w:val="32"/>
          <w:szCs w:val="32"/>
          <w:highlight w:val="none"/>
          <w:lang w:val="en-US" w:eastAsia="zh-CN" w:bidi="ar-SA"/>
        </w:rPr>
        <w:t>社会保障和就业支出（类）残疾人事业（款）行政运行（项）：</w:t>
      </w:r>
      <w:r>
        <w:rPr>
          <w:rFonts w:hint="eastAsia" w:ascii="Times New Roman" w:hAnsi="Times New Roman" w:eastAsia="仿宋_GB2312" w:cs="仿宋_GB2312"/>
          <w:color w:val="auto"/>
          <w:kern w:val="2"/>
          <w:sz w:val="32"/>
          <w:szCs w:val="32"/>
          <w:highlight w:val="none"/>
          <w:lang w:val="en-US" w:eastAsia="zh-CN" w:bidi="ar-SA"/>
        </w:rPr>
        <w:t>支出决算为</w:t>
      </w:r>
      <w:r>
        <w:rPr>
          <w:rFonts w:hint="eastAsia" w:eastAsia="仿宋_GB2312" w:cs="仿宋_GB2312"/>
          <w:color w:val="auto"/>
          <w:kern w:val="2"/>
          <w:sz w:val="32"/>
          <w:szCs w:val="32"/>
          <w:highlight w:val="none"/>
          <w:lang w:val="en-US" w:eastAsia="zh-CN" w:bidi="ar-SA"/>
        </w:rPr>
        <w:t>75.32</w:t>
      </w:r>
      <w:r>
        <w:rPr>
          <w:rFonts w:hint="eastAsia" w:ascii="Times New Roman" w:hAnsi="Times New Roman" w:eastAsia="仿宋_GB2312" w:cs="仿宋_GB2312"/>
          <w:color w:val="auto"/>
          <w:kern w:val="2"/>
          <w:sz w:val="32"/>
          <w:szCs w:val="32"/>
          <w:highlight w:val="none"/>
          <w:lang w:val="en-US" w:eastAsia="zh-CN" w:bidi="ar-SA"/>
        </w:rPr>
        <w:t>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%，决算数等于预算数的主要原因是</w:t>
      </w:r>
      <w:r>
        <w:rPr>
          <w:rFonts w:hint="eastAsia" w:eastAsia="仿宋_GB2312" w:cs="仿宋_GB2312"/>
          <w:color w:val="auto"/>
          <w:kern w:val="2"/>
          <w:sz w:val="32"/>
          <w:szCs w:val="32"/>
          <w:highlight w:val="none"/>
          <w:lang w:val="en-US" w:eastAsia="zh-CN" w:bidi="ar-SA"/>
        </w:rPr>
        <w:t>正常完成任务。</w:t>
      </w:r>
    </w:p>
    <w:p w14:paraId="21E0D535">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6.</w:t>
      </w:r>
      <w:r>
        <w:rPr>
          <w:rFonts w:hint="eastAsia" w:eastAsia="仿宋_GB2312" w:cs="仿宋_GB2312"/>
          <w:color w:val="auto"/>
          <w:kern w:val="2"/>
          <w:sz w:val="32"/>
          <w:szCs w:val="32"/>
          <w:highlight w:val="none"/>
          <w:lang w:val="en-US" w:eastAsia="zh-CN" w:bidi="ar-SA"/>
        </w:rPr>
        <w:t>社会保障和就业支出（类）残疾人事业（款）机关服务（项）：</w:t>
      </w:r>
      <w:r>
        <w:rPr>
          <w:rFonts w:hint="eastAsia" w:ascii="Times New Roman" w:hAnsi="Times New Roman" w:eastAsia="仿宋_GB2312" w:cs="仿宋_GB2312"/>
          <w:color w:val="auto"/>
          <w:kern w:val="2"/>
          <w:sz w:val="32"/>
          <w:szCs w:val="32"/>
          <w:highlight w:val="none"/>
          <w:lang w:val="en-US" w:eastAsia="zh-CN" w:bidi="ar-SA"/>
        </w:rPr>
        <w:t>支出决算为</w:t>
      </w:r>
      <w:r>
        <w:rPr>
          <w:rFonts w:hint="eastAsia" w:eastAsia="仿宋_GB2312" w:cs="仿宋_GB2312"/>
          <w:color w:val="auto"/>
          <w:kern w:val="2"/>
          <w:sz w:val="32"/>
          <w:szCs w:val="32"/>
          <w:highlight w:val="none"/>
          <w:lang w:val="en-US" w:eastAsia="zh-CN" w:bidi="ar-SA"/>
        </w:rPr>
        <w:t>25.14</w:t>
      </w:r>
      <w:r>
        <w:rPr>
          <w:rFonts w:hint="eastAsia" w:ascii="Times New Roman" w:hAnsi="Times New Roman" w:eastAsia="仿宋_GB2312" w:cs="仿宋_GB2312"/>
          <w:color w:val="auto"/>
          <w:kern w:val="2"/>
          <w:sz w:val="32"/>
          <w:szCs w:val="32"/>
          <w:highlight w:val="none"/>
          <w:lang w:val="en-US" w:eastAsia="zh-CN" w:bidi="ar-SA"/>
        </w:rPr>
        <w:t>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%，决算数等于预算数的主要原因是</w:t>
      </w:r>
      <w:r>
        <w:rPr>
          <w:rFonts w:hint="eastAsia" w:eastAsia="仿宋_GB2312" w:cs="仿宋_GB2312"/>
          <w:color w:val="auto"/>
          <w:kern w:val="2"/>
          <w:sz w:val="32"/>
          <w:szCs w:val="32"/>
          <w:highlight w:val="none"/>
          <w:lang w:val="en-US" w:eastAsia="zh-CN" w:bidi="ar-SA"/>
        </w:rPr>
        <w:t>正常完成任务。</w:t>
      </w:r>
    </w:p>
    <w:p w14:paraId="1E9CB4AE">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eastAsia="仿宋_GB2312" w:cs="仿宋_GB2312"/>
          <w:color w:val="auto"/>
          <w:kern w:val="2"/>
          <w:sz w:val="32"/>
          <w:szCs w:val="32"/>
          <w:highlight w:val="none"/>
          <w:lang w:val="en-US" w:eastAsia="zh-CN" w:bidi="ar-SA"/>
        </w:rPr>
        <w:t>7</w:t>
      </w:r>
      <w:r>
        <w:rPr>
          <w:rFonts w:hint="eastAsia" w:ascii="Times New Roman" w:hAnsi="Times New Roman" w:eastAsia="仿宋_GB2312" w:cs="仿宋_GB2312"/>
          <w:color w:val="auto"/>
          <w:kern w:val="2"/>
          <w:sz w:val="32"/>
          <w:szCs w:val="32"/>
          <w:highlight w:val="none"/>
          <w:lang w:val="en-US" w:eastAsia="zh-CN" w:bidi="ar-SA"/>
        </w:rPr>
        <w:t>.</w:t>
      </w:r>
      <w:r>
        <w:rPr>
          <w:rFonts w:hint="eastAsia" w:eastAsia="仿宋_GB2312" w:cs="仿宋_GB2312"/>
          <w:color w:val="auto"/>
          <w:kern w:val="2"/>
          <w:sz w:val="32"/>
          <w:szCs w:val="32"/>
          <w:highlight w:val="none"/>
          <w:lang w:val="en-US" w:eastAsia="zh-CN" w:bidi="ar-SA"/>
        </w:rPr>
        <w:t>社会保障和就业支出（类）残疾人事业（款）残疾人康复（项）：</w:t>
      </w:r>
      <w:r>
        <w:rPr>
          <w:rFonts w:hint="eastAsia" w:ascii="Times New Roman" w:hAnsi="Times New Roman" w:eastAsia="仿宋_GB2312" w:cs="仿宋_GB2312"/>
          <w:color w:val="auto"/>
          <w:kern w:val="2"/>
          <w:sz w:val="32"/>
          <w:szCs w:val="32"/>
          <w:highlight w:val="none"/>
          <w:lang w:val="en-US" w:eastAsia="zh-CN" w:bidi="ar-SA"/>
        </w:rPr>
        <w:t>支出决算为</w:t>
      </w:r>
      <w:r>
        <w:rPr>
          <w:rFonts w:hint="eastAsia" w:eastAsia="仿宋_GB2312" w:cs="仿宋_GB2312"/>
          <w:color w:val="auto"/>
          <w:kern w:val="2"/>
          <w:sz w:val="32"/>
          <w:szCs w:val="32"/>
          <w:highlight w:val="none"/>
          <w:lang w:val="en-US" w:eastAsia="zh-CN" w:bidi="ar-SA"/>
        </w:rPr>
        <w:t>399.90</w:t>
      </w:r>
      <w:r>
        <w:rPr>
          <w:rFonts w:hint="eastAsia" w:ascii="Times New Roman" w:hAnsi="Times New Roman" w:eastAsia="仿宋_GB2312" w:cs="仿宋_GB2312"/>
          <w:color w:val="auto"/>
          <w:kern w:val="2"/>
          <w:sz w:val="32"/>
          <w:szCs w:val="32"/>
          <w:highlight w:val="none"/>
          <w:lang w:val="en-US" w:eastAsia="zh-CN" w:bidi="ar-SA"/>
        </w:rPr>
        <w:t>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%，决算数等于预算数的主要原因是</w:t>
      </w:r>
      <w:r>
        <w:rPr>
          <w:rFonts w:hint="eastAsia" w:eastAsia="仿宋_GB2312" w:cs="仿宋_GB2312"/>
          <w:color w:val="auto"/>
          <w:kern w:val="2"/>
          <w:sz w:val="32"/>
          <w:szCs w:val="32"/>
          <w:highlight w:val="none"/>
          <w:lang w:val="en-US" w:eastAsia="zh-CN" w:bidi="ar-SA"/>
        </w:rPr>
        <w:t>正常完成任务。</w:t>
      </w:r>
    </w:p>
    <w:p w14:paraId="0D12AB8C">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eastAsia="仿宋_GB2312" w:cs="仿宋_GB2312"/>
          <w:color w:val="auto"/>
          <w:kern w:val="2"/>
          <w:sz w:val="32"/>
          <w:szCs w:val="32"/>
          <w:highlight w:val="none"/>
          <w:lang w:val="en-US" w:eastAsia="zh-CN" w:bidi="ar-SA"/>
        </w:rPr>
        <w:t>8</w:t>
      </w:r>
      <w:r>
        <w:rPr>
          <w:rFonts w:hint="eastAsia" w:ascii="Times New Roman" w:hAnsi="Times New Roman" w:eastAsia="仿宋_GB2312" w:cs="仿宋_GB2312"/>
          <w:color w:val="auto"/>
          <w:kern w:val="2"/>
          <w:sz w:val="32"/>
          <w:szCs w:val="32"/>
          <w:highlight w:val="none"/>
          <w:lang w:val="en-US" w:eastAsia="zh-CN" w:bidi="ar-SA"/>
        </w:rPr>
        <w:t>.</w:t>
      </w:r>
      <w:r>
        <w:rPr>
          <w:rFonts w:hint="eastAsia" w:eastAsia="仿宋_GB2312" w:cs="仿宋_GB2312"/>
          <w:color w:val="auto"/>
          <w:kern w:val="2"/>
          <w:sz w:val="32"/>
          <w:szCs w:val="32"/>
          <w:highlight w:val="none"/>
          <w:lang w:val="en-US" w:eastAsia="zh-CN" w:bidi="ar-SA"/>
        </w:rPr>
        <w:t>社会保障和就业支出（类）残疾人事业（款）残疾人就业（项）：</w:t>
      </w:r>
      <w:r>
        <w:rPr>
          <w:rFonts w:hint="eastAsia" w:ascii="Times New Roman" w:hAnsi="Times New Roman" w:eastAsia="仿宋_GB2312" w:cs="仿宋_GB2312"/>
          <w:color w:val="auto"/>
          <w:kern w:val="2"/>
          <w:sz w:val="32"/>
          <w:szCs w:val="32"/>
          <w:highlight w:val="none"/>
          <w:lang w:val="en-US" w:eastAsia="zh-CN" w:bidi="ar-SA"/>
        </w:rPr>
        <w:t>支出决算为</w:t>
      </w:r>
      <w:r>
        <w:rPr>
          <w:rFonts w:hint="eastAsia" w:eastAsia="仿宋_GB2312" w:cs="仿宋_GB2312"/>
          <w:color w:val="auto"/>
          <w:kern w:val="2"/>
          <w:sz w:val="32"/>
          <w:szCs w:val="32"/>
          <w:highlight w:val="none"/>
          <w:lang w:val="en-US" w:eastAsia="zh-CN" w:bidi="ar-SA"/>
        </w:rPr>
        <w:t>65.31</w:t>
      </w:r>
      <w:r>
        <w:rPr>
          <w:rFonts w:hint="eastAsia" w:ascii="Times New Roman" w:hAnsi="Times New Roman" w:eastAsia="仿宋_GB2312" w:cs="仿宋_GB2312"/>
          <w:color w:val="auto"/>
          <w:kern w:val="2"/>
          <w:sz w:val="32"/>
          <w:szCs w:val="32"/>
          <w:highlight w:val="none"/>
          <w:lang w:val="en-US" w:eastAsia="zh-CN" w:bidi="ar-SA"/>
        </w:rPr>
        <w:t>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%，决算数等于预算数的主要原因是</w:t>
      </w:r>
      <w:r>
        <w:rPr>
          <w:rFonts w:hint="eastAsia" w:eastAsia="仿宋_GB2312" w:cs="仿宋_GB2312"/>
          <w:color w:val="auto"/>
          <w:kern w:val="2"/>
          <w:sz w:val="32"/>
          <w:szCs w:val="32"/>
          <w:highlight w:val="none"/>
          <w:lang w:val="en-US" w:eastAsia="zh-CN" w:bidi="ar-SA"/>
        </w:rPr>
        <w:t>正常完成任务。</w:t>
      </w:r>
    </w:p>
    <w:p w14:paraId="2D6CABA5">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eastAsia="仿宋_GB2312" w:cs="仿宋_GB2312"/>
          <w:color w:val="auto"/>
          <w:kern w:val="2"/>
          <w:sz w:val="32"/>
          <w:szCs w:val="32"/>
          <w:highlight w:val="none"/>
          <w:lang w:val="en-US" w:eastAsia="zh-CN" w:bidi="ar-SA"/>
        </w:rPr>
        <w:t>9</w:t>
      </w:r>
      <w:r>
        <w:rPr>
          <w:rFonts w:hint="eastAsia" w:ascii="Times New Roman" w:hAnsi="Times New Roman" w:eastAsia="仿宋_GB2312" w:cs="仿宋_GB2312"/>
          <w:color w:val="auto"/>
          <w:kern w:val="2"/>
          <w:sz w:val="32"/>
          <w:szCs w:val="32"/>
          <w:highlight w:val="none"/>
          <w:lang w:val="en-US" w:eastAsia="zh-CN" w:bidi="ar-SA"/>
        </w:rPr>
        <w:t>.</w:t>
      </w:r>
      <w:r>
        <w:rPr>
          <w:rFonts w:hint="eastAsia" w:eastAsia="仿宋_GB2312" w:cs="仿宋_GB2312"/>
          <w:color w:val="auto"/>
          <w:kern w:val="2"/>
          <w:sz w:val="32"/>
          <w:szCs w:val="32"/>
          <w:highlight w:val="none"/>
          <w:lang w:val="en-US" w:eastAsia="zh-CN" w:bidi="ar-SA"/>
        </w:rPr>
        <w:t>社会保障和就业支出（类）残疾人事业（款）残疾人体育（项）：</w:t>
      </w:r>
      <w:r>
        <w:rPr>
          <w:rFonts w:hint="eastAsia" w:ascii="Times New Roman" w:hAnsi="Times New Roman" w:eastAsia="仿宋_GB2312" w:cs="仿宋_GB2312"/>
          <w:color w:val="auto"/>
          <w:kern w:val="2"/>
          <w:sz w:val="32"/>
          <w:szCs w:val="32"/>
          <w:highlight w:val="none"/>
          <w:lang w:val="en-US" w:eastAsia="zh-CN" w:bidi="ar-SA"/>
        </w:rPr>
        <w:t>支出决算为</w:t>
      </w:r>
      <w:r>
        <w:rPr>
          <w:rFonts w:hint="eastAsia" w:eastAsia="仿宋_GB2312" w:cs="仿宋_GB2312"/>
          <w:color w:val="auto"/>
          <w:kern w:val="2"/>
          <w:sz w:val="32"/>
          <w:szCs w:val="32"/>
          <w:highlight w:val="none"/>
          <w:lang w:val="en-US" w:eastAsia="zh-CN" w:bidi="ar-SA"/>
        </w:rPr>
        <w:t>5.2</w:t>
      </w:r>
      <w:r>
        <w:rPr>
          <w:rFonts w:hint="eastAsia" w:ascii="Times New Roman" w:hAnsi="Times New Roman" w:eastAsia="仿宋_GB2312" w:cs="仿宋_GB2312"/>
          <w:color w:val="auto"/>
          <w:kern w:val="2"/>
          <w:sz w:val="32"/>
          <w:szCs w:val="32"/>
          <w:highlight w:val="none"/>
          <w:lang w:val="en-US" w:eastAsia="zh-CN" w:bidi="ar-SA"/>
        </w:rPr>
        <w:t>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%，决算数等于预算数的主要原因是</w:t>
      </w:r>
      <w:r>
        <w:rPr>
          <w:rFonts w:hint="eastAsia" w:eastAsia="仿宋_GB2312" w:cs="仿宋_GB2312"/>
          <w:color w:val="auto"/>
          <w:kern w:val="2"/>
          <w:sz w:val="32"/>
          <w:szCs w:val="32"/>
          <w:highlight w:val="none"/>
          <w:lang w:val="en-US" w:eastAsia="zh-CN" w:bidi="ar-SA"/>
        </w:rPr>
        <w:t>正常完成任务。</w:t>
      </w:r>
    </w:p>
    <w:p w14:paraId="755EF408">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eastAsia="仿宋_GB2312" w:cs="仿宋_GB2312"/>
          <w:color w:val="auto"/>
          <w:kern w:val="2"/>
          <w:sz w:val="32"/>
          <w:szCs w:val="32"/>
          <w:highlight w:val="none"/>
          <w:lang w:val="en-US" w:eastAsia="zh-CN" w:bidi="ar-SA"/>
        </w:rPr>
        <w:t>10</w:t>
      </w:r>
      <w:r>
        <w:rPr>
          <w:rFonts w:hint="eastAsia" w:ascii="Times New Roman" w:hAnsi="Times New Roman" w:eastAsia="仿宋_GB2312" w:cs="仿宋_GB2312"/>
          <w:color w:val="auto"/>
          <w:kern w:val="2"/>
          <w:sz w:val="32"/>
          <w:szCs w:val="32"/>
          <w:highlight w:val="none"/>
          <w:lang w:val="en-US" w:eastAsia="zh-CN" w:bidi="ar-SA"/>
        </w:rPr>
        <w:t>.</w:t>
      </w:r>
      <w:r>
        <w:rPr>
          <w:rFonts w:hint="eastAsia" w:eastAsia="仿宋_GB2312" w:cs="仿宋_GB2312"/>
          <w:color w:val="auto"/>
          <w:kern w:val="2"/>
          <w:sz w:val="32"/>
          <w:szCs w:val="32"/>
          <w:highlight w:val="none"/>
          <w:lang w:val="en-US" w:eastAsia="zh-CN" w:bidi="ar-SA"/>
        </w:rPr>
        <w:t>社会保障和就业支出（类）残疾人事业（款）其他残疾人事业支出（项）：</w:t>
      </w:r>
      <w:r>
        <w:rPr>
          <w:rFonts w:hint="eastAsia" w:ascii="Times New Roman" w:hAnsi="Times New Roman" w:eastAsia="仿宋_GB2312" w:cs="仿宋_GB2312"/>
          <w:color w:val="auto"/>
          <w:kern w:val="2"/>
          <w:sz w:val="32"/>
          <w:szCs w:val="32"/>
          <w:highlight w:val="none"/>
          <w:lang w:val="en-US" w:eastAsia="zh-CN" w:bidi="ar-SA"/>
        </w:rPr>
        <w:t>支出决算为</w:t>
      </w:r>
      <w:r>
        <w:rPr>
          <w:rFonts w:hint="eastAsia" w:eastAsia="仿宋_GB2312" w:cs="仿宋_GB2312"/>
          <w:color w:val="auto"/>
          <w:kern w:val="2"/>
          <w:sz w:val="32"/>
          <w:szCs w:val="32"/>
          <w:highlight w:val="none"/>
          <w:lang w:val="en-US" w:eastAsia="zh-CN" w:bidi="ar-SA"/>
        </w:rPr>
        <w:t>253.06</w:t>
      </w:r>
      <w:r>
        <w:rPr>
          <w:rFonts w:hint="eastAsia" w:ascii="Times New Roman" w:hAnsi="Times New Roman" w:eastAsia="仿宋_GB2312" w:cs="仿宋_GB2312"/>
          <w:color w:val="auto"/>
          <w:kern w:val="2"/>
          <w:sz w:val="32"/>
          <w:szCs w:val="32"/>
          <w:highlight w:val="none"/>
          <w:lang w:val="en-US" w:eastAsia="zh-CN" w:bidi="ar-SA"/>
        </w:rPr>
        <w:t>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%，决算数等于预算数的主要原因是</w:t>
      </w:r>
      <w:r>
        <w:rPr>
          <w:rFonts w:hint="eastAsia" w:eastAsia="仿宋_GB2312" w:cs="仿宋_GB2312"/>
          <w:color w:val="auto"/>
          <w:kern w:val="2"/>
          <w:sz w:val="32"/>
          <w:szCs w:val="32"/>
          <w:highlight w:val="none"/>
          <w:lang w:val="en-US" w:eastAsia="zh-CN" w:bidi="ar-SA"/>
        </w:rPr>
        <w:t>正常完成任务。</w:t>
      </w:r>
    </w:p>
    <w:p w14:paraId="265BF26D">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eastAsia="仿宋_GB2312" w:cs="仿宋_GB2312"/>
          <w:color w:val="auto"/>
          <w:kern w:val="2"/>
          <w:sz w:val="32"/>
          <w:szCs w:val="32"/>
          <w:highlight w:val="none"/>
          <w:lang w:val="en-US" w:eastAsia="zh-CN" w:bidi="ar-SA"/>
        </w:rPr>
        <w:t>11</w:t>
      </w:r>
      <w:r>
        <w:rPr>
          <w:rFonts w:hint="eastAsia" w:ascii="Times New Roman" w:hAnsi="Times New Roman" w:eastAsia="仿宋_GB2312" w:cs="仿宋_GB2312"/>
          <w:color w:val="auto"/>
          <w:kern w:val="2"/>
          <w:sz w:val="32"/>
          <w:szCs w:val="32"/>
          <w:highlight w:val="none"/>
          <w:lang w:val="en-US" w:eastAsia="zh-CN" w:bidi="ar-SA"/>
        </w:rPr>
        <w:t>.</w:t>
      </w:r>
      <w:r>
        <w:rPr>
          <w:rFonts w:hint="eastAsia" w:eastAsia="仿宋_GB2312" w:cs="仿宋_GB2312"/>
          <w:color w:val="auto"/>
          <w:kern w:val="2"/>
          <w:sz w:val="32"/>
          <w:szCs w:val="32"/>
          <w:highlight w:val="none"/>
          <w:lang w:val="en-US" w:eastAsia="zh-CN" w:bidi="ar-SA"/>
        </w:rPr>
        <w:t>社会保障和就业支出（类）其他社会保障和就业支出（款）其他社会保障和就业支出（项）：</w:t>
      </w:r>
      <w:r>
        <w:rPr>
          <w:rFonts w:hint="eastAsia" w:ascii="Times New Roman" w:hAnsi="Times New Roman" w:eastAsia="仿宋_GB2312" w:cs="仿宋_GB2312"/>
          <w:color w:val="auto"/>
          <w:kern w:val="2"/>
          <w:sz w:val="32"/>
          <w:szCs w:val="32"/>
          <w:highlight w:val="none"/>
          <w:lang w:val="en-US" w:eastAsia="zh-CN" w:bidi="ar-SA"/>
        </w:rPr>
        <w:t>支出决算为</w:t>
      </w:r>
      <w:r>
        <w:rPr>
          <w:rFonts w:hint="eastAsia" w:eastAsia="仿宋_GB2312" w:cs="仿宋_GB2312"/>
          <w:color w:val="auto"/>
          <w:kern w:val="2"/>
          <w:sz w:val="32"/>
          <w:szCs w:val="32"/>
          <w:highlight w:val="none"/>
          <w:lang w:val="en-US" w:eastAsia="zh-CN" w:bidi="ar-SA"/>
        </w:rPr>
        <w:t>0.26</w:t>
      </w:r>
      <w:r>
        <w:rPr>
          <w:rFonts w:hint="eastAsia" w:ascii="Times New Roman" w:hAnsi="Times New Roman" w:eastAsia="仿宋_GB2312" w:cs="仿宋_GB2312"/>
          <w:color w:val="auto"/>
          <w:kern w:val="2"/>
          <w:sz w:val="32"/>
          <w:szCs w:val="32"/>
          <w:highlight w:val="none"/>
          <w:lang w:val="en-US" w:eastAsia="zh-CN" w:bidi="ar-SA"/>
        </w:rPr>
        <w:t>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%，决算数等于预算数的主要原因是</w:t>
      </w:r>
      <w:r>
        <w:rPr>
          <w:rFonts w:hint="eastAsia" w:eastAsia="仿宋_GB2312" w:cs="仿宋_GB2312"/>
          <w:color w:val="auto"/>
          <w:kern w:val="2"/>
          <w:sz w:val="32"/>
          <w:szCs w:val="32"/>
          <w:highlight w:val="none"/>
          <w:lang w:val="en-US" w:eastAsia="zh-CN" w:bidi="ar-SA"/>
        </w:rPr>
        <w:t>正常完成任务。</w:t>
      </w:r>
    </w:p>
    <w:p w14:paraId="13251DBA">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eastAsia="仿宋_GB2312" w:cs="仿宋_GB2312"/>
          <w:color w:val="auto"/>
          <w:kern w:val="2"/>
          <w:sz w:val="32"/>
          <w:szCs w:val="32"/>
          <w:highlight w:val="none"/>
          <w:lang w:val="en-US" w:eastAsia="zh-CN" w:bidi="ar-SA"/>
        </w:rPr>
        <w:t>12</w:t>
      </w:r>
      <w:r>
        <w:rPr>
          <w:rFonts w:hint="eastAsia" w:ascii="Times New Roman" w:hAnsi="Times New Roman" w:eastAsia="仿宋_GB2312" w:cs="仿宋_GB2312"/>
          <w:color w:val="auto"/>
          <w:kern w:val="2"/>
          <w:sz w:val="32"/>
          <w:szCs w:val="32"/>
          <w:highlight w:val="none"/>
          <w:lang w:val="en-US" w:eastAsia="zh-CN" w:bidi="ar-SA"/>
        </w:rPr>
        <w:t>.</w:t>
      </w:r>
      <w:r>
        <w:rPr>
          <w:rFonts w:hint="eastAsia" w:eastAsia="仿宋_GB2312" w:cs="仿宋_GB2312"/>
          <w:color w:val="auto"/>
          <w:kern w:val="2"/>
          <w:sz w:val="32"/>
          <w:szCs w:val="32"/>
          <w:highlight w:val="none"/>
          <w:lang w:val="en-US" w:eastAsia="zh-CN" w:bidi="ar-SA"/>
        </w:rPr>
        <w:t>卫生健康支出（类）行政事业单位医疗（款）行政单位医疗（项）：</w:t>
      </w:r>
      <w:r>
        <w:rPr>
          <w:rFonts w:hint="eastAsia" w:ascii="Times New Roman" w:hAnsi="Times New Roman" w:eastAsia="仿宋_GB2312" w:cs="仿宋_GB2312"/>
          <w:color w:val="auto"/>
          <w:kern w:val="2"/>
          <w:sz w:val="32"/>
          <w:szCs w:val="32"/>
          <w:highlight w:val="none"/>
          <w:lang w:val="en-US" w:eastAsia="zh-CN" w:bidi="ar-SA"/>
        </w:rPr>
        <w:t>支出决算为</w:t>
      </w:r>
      <w:r>
        <w:rPr>
          <w:rFonts w:hint="eastAsia" w:eastAsia="仿宋_GB2312" w:cs="仿宋_GB2312"/>
          <w:color w:val="auto"/>
          <w:kern w:val="2"/>
          <w:sz w:val="32"/>
          <w:szCs w:val="32"/>
          <w:highlight w:val="none"/>
          <w:lang w:val="en-US" w:eastAsia="zh-CN" w:bidi="ar-SA"/>
        </w:rPr>
        <w:t>1.96</w:t>
      </w:r>
      <w:r>
        <w:rPr>
          <w:rFonts w:hint="eastAsia" w:ascii="Times New Roman" w:hAnsi="Times New Roman" w:eastAsia="仿宋_GB2312" w:cs="仿宋_GB2312"/>
          <w:color w:val="auto"/>
          <w:kern w:val="2"/>
          <w:sz w:val="32"/>
          <w:szCs w:val="32"/>
          <w:highlight w:val="none"/>
          <w:lang w:val="en-US" w:eastAsia="zh-CN" w:bidi="ar-SA"/>
        </w:rPr>
        <w:t>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%，决算数等于预算数的主要原因是</w:t>
      </w:r>
      <w:r>
        <w:rPr>
          <w:rFonts w:hint="eastAsia" w:eastAsia="仿宋_GB2312" w:cs="仿宋_GB2312"/>
          <w:color w:val="auto"/>
          <w:kern w:val="2"/>
          <w:sz w:val="32"/>
          <w:szCs w:val="32"/>
          <w:highlight w:val="none"/>
          <w:lang w:val="en-US" w:eastAsia="zh-CN" w:bidi="ar-SA"/>
        </w:rPr>
        <w:t>正常完成任务。</w:t>
      </w:r>
    </w:p>
    <w:p w14:paraId="73D941C4">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eastAsia="仿宋_GB2312" w:cs="仿宋_GB2312"/>
          <w:color w:val="auto"/>
          <w:kern w:val="2"/>
          <w:sz w:val="32"/>
          <w:szCs w:val="32"/>
          <w:highlight w:val="none"/>
          <w:lang w:val="en-US" w:eastAsia="zh-CN" w:bidi="ar-SA"/>
        </w:rPr>
        <w:t>13</w:t>
      </w:r>
      <w:r>
        <w:rPr>
          <w:rFonts w:hint="eastAsia" w:ascii="Times New Roman" w:hAnsi="Times New Roman" w:eastAsia="仿宋_GB2312" w:cs="仿宋_GB2312"/>
          <w:color w:val="auto"/>
          <w:kern w:val="2"/>
          <w:sz w:val="32"/>
          <w:szCs w:val="32"/>
          <w:highlight w:val="none"/>
          <w:lang w:val="en-US" w:eastAsia="zh-CN" w:bidi="ar-SA"/>
        </w:rPr>
        <w:t>.</w:t>
      </w:r>
      <w:r>
        <w:rPr>
          <w:rFonts w:hint="eastAsia" w:eastAsia="仿宋_GB2312" w:cs="仿宋_GB2312"/>
          <w:color w:val="auto"/>
          <w:kern w:val="2"/>
          <w:sz w:val="32"/>
          <w:szCs w:val="32"/>
          <w:highlight w:val="none"/>
          <w:lang w:val="en-US" w:eastAsia="zh-CN" w:bidi="ar-SA"/>
        </w:rPr>
        <w:t>卫生健康支出（类）行政事业单位医疗（款）事业单位医疗（项）：</w:t>
      </w:r>
      <w:r>
        <w:rPr>
          <w:rFonts w:hint="eastAsia" w:ascii="Times New Roman" w:hAnsi="Times New Roman" w:eastAsia="仿宋_GB2312" w:cs="仿宋_GB2312"/>
          <w:color w:val="auto"/>
          <w:kern w:val="2"/>
          <w:sz w:val="32"/>
          <w:szCs w:val="32"/>
          <w:highlight w:val="none"/>
          <w:lang w:val="en-US" w:eastAsia="zh-CN" w:bidi="ar-SA"/>
        </w:rPr>
        <w:t>支出决算为</w:t>
      </w:r>
      <w:r>
        <w:rPr>
          <w:rFonts w:hint="eastAsia" w:eastAsia="仿宋_GB2312" w:cs="仿宋_GB2312"/>
          <w:color w:val="auto"/>
          <w:kern w:val="2"/>
          <w:sz w:val="32"/>
          <w:szCs w:val="32"/>
          <w:highlight w:val="none"/>
          <w:lang w:val="en-US" w:eastAsia="zh-CN" w:bidi="ar-SA"/>
        </w:rPr>
        <w:t>1.16</w:t>
      </w:r>
      <w:r>
        <w:rPr>
          <w:rFonts w:hint="eastAsia" w:ascii="Times New Roman" w:hAnsi="Times New Roman" w:eastAsia="仿宋_GB2312" w:cs="仿宋_GB2312"/>
          <w:color w:val="auto"/>
          <w:kern w:val="2"/>
          <w:sz w:val="32"/>
          <w:szCs w:val="32"/>
          <w:highlight w:val="none"/>
          <w:lang w:val="en-US" w:eastAsia="zh-CN" w:bidi="ar-SA"/>
        </w:rPr>
        <w:t>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%，决算数等于预算数的主要原因是</w:t>
      </w:r>
      <w:r>
        <w:rPr>
          <w:rFonts w:hint="eastAsia" w:eastAsia="仿宋_GB2312" w:cs="仿宋_GB2312"/>
          <w:color w:val="auto"/>
          <w:kern w:val="2"/>
          <w:sz w:val="32"/>
          <w:szCs w:val="32"/>
          <w:highlight w:val="none"/>
          <w:lang w:val="en-US" w:eastAsia="zh-CN" w:bidi="ar-SA"/>
        </w:rPr>
        <w:t>正常完成任务。</w:t>
      </w:r>
    </w:p>
    <w:p w14:paraId="77296E87">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eastAsia="仿宋_GB2312" w:cs="仿宋_GB2312"/>
          <w:color w:val="auto"/>
          <w:kern w:val="2"/>
          <w:sz w:val="32"/>
          <w:szCs w:val="32"/>
          <w:highlight w:val="none"/>
          <w:lang w:val="en-US" w:eastAsia="zh-CN" w:bidi="ar-SA"/>
        </w:rPr>
        <w:t>14</w:t>
      </w:r>
      <w:r>
        <w:rPr>
          <w:rFonts w:hint="eastAsia" w:ascii="Times New Roman" w:hAnsi="Times New Roman" w:eastAsia="仿宋_GB2312" w:cs="仿宋_GB2312"/>
          <w:color w:val="auto"/>
          <w:kern w:val="2"/>
          <w:sz w:val="32"/>
          <w:szCs w:val="32"/>
          <w:highlight w:val="none"/>
          <w:lang w:val="en-US" w:eastAsia="zh-CN" w:bidi="ar-SA"/>
        </w:rPr>
        <w:t>.</w:t>
      </w:r>
      <w:r>
        <w:rPr>
          <w:rFonts w:hint="eastAsia" w:eastAsia="仿宋_GB2312" w:cs="仿宋_GB2312"/>
          <w:color w:val="auto"/>
          <w:kern w:val="2"/>
          <w:sz w:val="32"/>
          <w:szCs w:val="32"/>
          <w:highlight w:val="none"/>
          <w:lang w:val="en-US" w:eastAsia="zh-CN" w:bidi="ar-SA"/>
        </w:rPr>
        <w:t>卫生健康支出（类）行政事业单位医疗（款）公务员医疗补助（项）：</w:t>
      </w:r>
      <w:r>
        <w:rPr>
          <w:rFonts w:hint="eastAsia" w:ascii="Times New Roman" w:hAnsi="Times New Roman" w:eastAsia="仿宋_GB2312" w:cs="仿宋_GB2312"/>
          <w:color w:val="auto"/>
          <w:kern w:val="2"/>
          <w:sz w:val="32"/>
          <w:szCs w:val="32"/>
          <w:highlight w:val="none"/>
          <w:lang w:val="en-US" w:eastAsia="zh-CN" w:bidi="ar-SA"/>
        </w:rPr>
        <w:t>支出决算为</w:t>
      </w:r>
      <w:r>
        <w:rPr>
          <w:rFonts w:hint="eastAsia" w:eastAsia="仿宋_GB2312" w:cs="仿宋_GB2312"/>
          <w:color w:val="auto"/>
          <w:kern w:val="2"/>
          <w:sz w:val="32"/>
          <w:szCs w:val="32"/>
          <w:highlight w:val="none"/>
          <w:lang w:val="en-US" w:eastAsia="zh-CN" w:bidi="ar-SA"/>
        </w:rPr>
        <w:t>0.68</w:t>
      </w:r>
      <w:r>
        <w:rPr>
          <w:rFonts w:hint="eastAsia" w:ascii="Times New Roman" w:hAnsi="Times New Roman" w:eastAsia="仿宋_GB2312" w:cs="仿宋_GB2312"/>
          <w:color w:val="auto"/>
          <w:kern w:val="2"/>
          <w:sz w:val="32"/>
          <w:szCs w:val="32"/>
          <w:highlight w:val="none"/>
          <w:lang w:val="en-US" w:eastAsia="zh-CN" w:bidi="ar-SA"/>
        </w:rPr>
        <w:t>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%，决算数等于预算数的主要原因是</w:t>
      </w:r>
      <w:r>
        <w:rPr>
          <w:rFonts w:hint="eastAsia" w:eastAsia="仿宋_GB2312" w:cs="仿宋_GB2312"/>
          <w:color w:val="auto"/>
          <w:kern w:val="2"/>
          <w:sz w:val="32"/>
          <w:szCs w:val="32"/>
          <w:highlight w:val="none"/>
          <w:lang w:val="en-US" w:eastAsia="zh-CN" w:bidi="ar-SA"/>
        </w:rPr>
        <w:t>正常完成任务。</w:t>
      </w:r>
    </w:p>
    <w:p w14:paraId="25023BD8">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eastAsia="仿宋_GB2312" w:cs="仿宋_GB2312"/>
          <w:color w:val="auto"/>
          <w:kern w:val="2"/>
          <w:sz w:val="32"/>
          <w:szCs w:val="32"/>
          <w:highlight w:val="none"/>
          <w:lang w:val="en-US" w:eastAsia="zh-CN" w:bidi="ar-SA"/>
        </w:rPr>
        <w:t>15</w:t>
      </w:r>
      <w:r>
        <w:rPr>
          <w:rFonts w:hint="eastAsia" w:ascii="Times New Roman" w:hAnsi="Times New Roman" w:eastAsia="仿宋_GB2312" w:cs="仿宋_GB2312"/>
          <w:color w:val="auto"/>
          <w:kern w:val="2"/>
          <w:sz w:val="32"/>
          <w:szCs w:val="32"/>
          <w:highlight w:val="none"/>
          <w:lang w:val="en-US" w:eastAsia="zh-CN" w:bidi="ar-SA"/>
        </w:rPr>
        <w:t>.</w:t>
      </w:r>
      <w:r>
        <w:rPr>
          <w:rFonts w:hint="eastAsia" w:eastAsia="仿宋_GB2312" w:cs="仿宋_GB2312"/>
          <w:color w:val="auto"/>
          <w:kern w:val="2"/>
          <w:sz w:val="32"/>
          <w:szCs w:val="32"/>
          <w:highlight w:val="none"/>
          <w:lang w:val="en-US" w:eastAsia="zh-CN" w:bidi="ar-SA"/>
        </w:rPr>
        <w:t>卫生健康支出（类）行政事业单位医疗（款）其他行政事业单位医疗支出（项）：</w:t>
      </w:r>
      <w:r>
        <w:rPr>
          <w:rFonts w:hint="eastAsia" w:ascii="Times New Roman" w:hAnsi="Times New Roman" w:eastAsia="仿宋_GB2312" w:cs="仿宋_GB2312"/>
          <w:color w:val="auto"/>
          <w:kern w:val="2"/>
          <w:sz w:val="32"/>
          <w:szCs w:val="32"/>
          <w:highlight w:val="none"/>
          <w:lang w:val="en-US" w:eastAsia="zh-CN" w:bidi="ar-SA"/>
        </w:rPr>
        <w:t>支出决算为</w:t>
      </w:r>
      <w:r>
        <w:rPr>
          <w:rFonts w:hint="eastAsia" w:eastAsia="仿宋_GB2312" w:cs="仿宋_GB2312"/>
          <w:color w:val="auto"/>
          <w:kern w:val="2"/>
          <w:sz w:val="32"/>
          <w:szCs w:val="32"/>
          <w:highlight w:val="none"/>
          <w:lang w:val="en-US" w:eastAsia="zh-CN" w:bidi="ar-SA"/>
        </w:rPr>
        <w:t>2.28</w:t>
      </w:r>
      <w:r>
        <w:rPr>
          <w:rFonts w:hint="eastAsia" w:ascii="Times New Roman" w:hAnsi="Times New Roman" w:eastAsia="仿宋_GB2312" w:cs="仿宋_GB2312"/>
          <w:color w:val="auto"/>
          <w:kern w:val="2"/>
          <w:sz w:val="32"/>
          <w:szCs w:val="32"/>
          <w:highlight w:val="none"/>
          <w:lang w:val="en-US" w:eastAsia="zh-CN" w:bidi="ar-SA"/>
        </w:rPr>
        <w:t>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%，决算数等于预算数的主要原因是</w:t>
      </w:r>
      <w:r>
        <w:rPr>
          <w:rFonts w:hint="eastAsia" w:eastAsia="仿宋_GB2312" w:cs="仿宋_GB2312"/>
          <w:color w:val="auto"/>
          <w:kern w:val="2"/>
          <w:sz w:val="32"/>
          <w:szCs w:val="32"/>
          <w:highlight w:val="none"/>
          <w:lang w:val="en-US" w:eastAsia="zh-CN" w:bidi="ar-SA"/>
        </w:rPr>
        <w:t>正常完成任务。</w:t>
      </w:r>
    </w:p>
    <w:p w14:paraId="06116FB2">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eastAsia="仿宋_GB2312" w:cs="仿宋_GB2312"/>
          <w:color w:val="auto"/>
          <w:kern w:val="2"/>
          <w:sz w:val="32"/>
          <w:szCs w:val="32"/>
          <w:highlight w:val="none"/>
          <w:lang w:val="en-US" w:eastAsia="zh-CN" w:bidi="ar-SA"/>
        </w:rPr>
        <w:t>16</w:t>
      </w:r>
      <w:r>
        <w:rPr>
          <w:rFonts w:hint="eastAsia" w:ascii="Times New Roman" w:hAnsi="Times New Roman" w:eastAsia="仿宋_GB2312" w:cs="仿宋_GB2312"/>
          <w:color w:val="auto"/>
          <w:kern w:val="2"/>
          <w:sz w:val="32"/>
          <w:szCs w:val="32"/>
          <w:highlight w:val="none"/>
          <w:lang w:val="en-US" w:eastAsia="zh-CN" w:bidi="ar-SA"/>
        </w:rPr>
        <w:t>.</w:t>
      </w:r>
      <w:r>
        <w:rPr>
          <w:rFonts w:hint="eastAsia" w:eastAsia="仿宋_GB2312" w:cs="仿宋_GB2312"/>
          <w:color w:val="auto"/>
          <w:kern w:val="2"/>
          <w:sz w:val="32"/>
          <w:szCs w:val="32"/>
          <w:highlight w:val="none"/>
          <w:lang w:val="en-US" w:eastAsia="zh-CN" w:bidi="ar-SA"/>
        </w:rPr>
        <w:t>住房保障支出（类）住房改革支出（款）住房公积金（项）：</w:t>
      </w:r>
      <w:r>
        <w:rPr>
          <w:rFonts w:hint="eastAsia" w:ascii="Times New Roman" w:hAnsi="Times New Roman" w:eastAsia="仿宋_GB2312" w:cs="仿宋_GB2312"/>
          <w:color w:val="auto"/>
          <w:kern w:val="2"/>
          <w:sz w:val="32"/>
          <w:szCs w:val="32"/>
          <w:highlight w:val="none"/>
          <w:lang w:val="en-US" w:eastAsia="zh-CN" w:bidi="ar-SA"/>
        </w:rPr>
        <w:t>支出决算为</w:t>
      </w:r>
      <w:r>
        <w:rPr>
          <w:rFonts w:hint="eastAsia" w:eastAsia="仿宋_GB2312" w:cs="仿宋_GB2312"/>
          <w:color w:val="auto"/>
          <w:kern w:val="2"/>
          <w:sz w:val="32"/>
          <w:szCs w:val="32"/>
          <w:highlight w:val="none"/>
          <w:lang w:val="en-US" w:eastAsia="zh-CN" w:bidi="ar-SA"/>
        </w:rPr>
        <w:t>9.25</w:t>
      </w:r>
      <w:r>
        <w:rPr>
          <w:rFonts w:hint="eastAsia" w:ascii="Times New Roman" w:hAnsi="Times New Roman" w:eastAsia="仿宋_GB2312" w:cs="仿宋_GB2312"/>
          <w:color w:val="auto"/>
          <w:kern w:val="2"/>
          <w:sz w:val="32"/>
          <w:szCs w:val="32"/>
          <w:highlight w:val="none"/>
          <w:lang w:val="en-US" w:eastAsia="zh-CN" w:bidi="ar-SA"/>
        </w:rPr>
        <w:t>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%，决算数等于预算数的主要原因是</w:t>
      </w:r>
      <w:r>
        <w:rPr>
          <w:rFonts w:hint="eastAsia" w:eastAsia="仿宋_GB2312" w:cs="仿宋_GB2312"/>
          <w:color w:val="auto"/>
          <w:kern w:val="2"/>
          <w:sz w:val="32"/>
          <w:szCs w:val="32"/>
          <w:highlight w:val="none"/>
          <w:lang w:val="en-US" w:eastAsia="zh-CN" w:bidi="ar-SA"/>
        </w:rPr>
        <w:t>正常完成任务。</w:t>
      </w:r>
    </w:p>
    <w:p w14:paraId="44C9B3FC">
      <w:pPr>
        <w:pStyle w:val="13"/>
        <w:ind w:left="0" w:leftChars="0" w:firstLine="0" w:firstLineChars="0"/>
        <w:rPr>
          <w:rFonts w:hint="eastAsia" w:ascii="Times New Roman" w:hAnsi="Times New Roman" w:eastAsia="仿宋_GB2312" w:cs="仿宋_GB2312"/>
          <w:color w:val="auto"/>
          <w:kern w:val="2"/>
          <w:sz w:val="32"/>
          <w:szCs w:val="32"/>
          <w:highlight w:val="none"/>
          <w:lang w:val="en-US" w:eastAsia="zh-CN" w:bidi="ar-SA"/>
        </w:rPr>
      </w:pPr>
    </w:p>
    <w:p w14:paraId="373499F6">
      <w:pPr>
        <w:pStyle w:val="13"/>
        <w:rPr>
          <w:rFonts w:hint="eastAsia" w:ascii="Times New Roman" w:hAnsi="Times New Roman" w:eastAsia="仿宋_GB2312" w:cs="仿宋_GB2312"/>
          <w:color w:val="auto"/>
          <w:kern w:val="2"/>
          <w:sz w:val="32"/>
          <w:szCs w:val="32"/>
          <w:highlight w:val="none"/>
          <w:lang w:val="en-US" w:eastAsia="zh-CN" w:bidi="ar-SA"/>
        </w:rPr>
      </w:pPr>
    </w:p>
    <w:p w14:paraId="29C5740D">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14:paraId="64A783CB">
      <w:pPr>
        <w:tabs>
          <w:tab w:val="right" w:pos="8306"/>
        </w:tabs>
        <w:spacing w:line="600" w:lineRule="exact"/>
        <w:ind w:firstLine="640"/>
        <w:outlineLvl w:val="1"/>
        <w:rPr>
          <w:rStyle w:val="29"/>
          <w:rFonts w:ascii="Times New Roman" w:hAnsi="Times New Roman"/>
          <w:color w:val="auto"/>
          <w:highlight w:val="none"/>
        </w:rPr>
      </w:pPr>
      <w:bookmarkStart w:id="62" w:name="_Toc15377214"/>
      <w:bookmarkStart w:id="63" w:name="_Toc1695"/>
      <w:bookmarkStart w:id="64" w:name="_Toc24183"/>
      <w:bookmarkStart w:id="65" w:name="_Toc15396608"/>
      <w:r>
        <w:rPr>
          <w:rFonts w:hint="eastAsia" w:ascii="Times New Roman" w:hAnsi="Times New Roman" w:eastAsia="黑体"/>
          <w:color w:val="auto"/>
          <w:sz w:val="32"/>
          <w:szCs w:val="32"/>
          <w:highlight w:val="none"/>
        </w:rPr>
        <w:t>六</w:t>
      </w:r>
      <w:r>
        <w:rPr>
          <w:rFonts w:hint="eastAsia" w:ascii="Times New Roman" w:hAnsi="Times New Roman" w:eastAsia="黑体"/>
          <w:b/>
          <w:color w:val="auto"/>
          <w:sz w:val="32"/>
          <w:szCs w:val="32"/>
          <w:highlight w:val="none"/>
        </w:rPr>
        <w:t>、一</w:t>
      </w:r>
      <w:r>
        <w:rPr>
          <w:rStyle w:val="29"/>
          <w:rFonts w:hint="eastAsia" w:ascii="Times New Roman" w:hAnsi="Times New Roman" w:eastAsia="黑体"/>
          <w:b w:val="0"/>
          <w:color w:val="auto"/>
          <w:highlight w:val="none"/>
        </w:rPr>
        <w:t>般公共预算财政拨款基本支出决算情况说明</w:t>
      </w:r>
      <w:bookmarkEnd w:id="62"/>
      <w:bookmarkEnd w:id="63"/>
      <w:bookmarkEnd w:id="64"/>
      <w:bookmarkEnd w:id="65"/>
      <w:r>
        <w:rPr>
          <w:rStyle w:val="29"/>
          <w:rFonts w:ascii="Times New Roman" w:hAnsi="Times New Roman" w:eastAsia="黑体"/>
          <w:b w:val="0"/>
          <w:color w:val="auto"/>
          <w:highlight w:val="none"/>
        </w:rPr>
        <w:tab/>
      </w:r>
    </w:p>
    <w:p w14:paraId="7FDAC7CB">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2024年度一般公共预算财政拨款基本支出</w:t>
      </w:r>
      <w:r>
        <w:rPr>
          <w:rFonts w:hint="eastAsia" w:ascii="仿宋_GB2312" w:hAnsi="仿宋_GB2312" w:eastAsia="仿宋_GB2312" w:cs="仿宋_GB2312"/>
          <w:sz w:val="32"/>
          <w:szCs w:val="32"/>
        </w:rPr>
        <w:t>148.99</w:t>
      </w:r>
      <w:r>
        <w:rPr>
          <w:rFonts w:hint="eastAsia" w:ascii="仿宋_GB2312" w:hAnsi="仿宋_GB2312" w:eastAsia="仿宋_GB2312" w:cs="仿宋_GB2312"/>
          <w:color w:val="auto"/>
          <w:kern w:val="2"/>
          <w:sz w:val="32"/>
          <w:szCs w:val="32"/>
          <w:highlight w:val="none"/>
          <w:lang w:val="en-US" w:eastAsia="zh-CN" w:bidi="ar-SA"/>
        </w:rPr>
        <w:t>万</w:t>
      </w:r>
      <w:r>
        <w:rPr>
          <w:rFonts w:hint="eastAsia" w:ascii="Times New Roman" w:hAnsi="Times New Roman" w:eastAsia="仿宋_GB2312" w:cs="仿宋_GB2312"/>
          <w:color w:val="auto"/>
          <w:kern w:val="2"/>
          <w:sz w:val="32"/>
          <w:szCs w:val="32"/>
          <w:highlight w:val="none"/>
          <w:lang w:val="en-US" w:eastAsia="zh-CN" w:bidi="ar-SA"/>
        </w:rPr>
        <w:t>元，其中：</w:t>
      </w:r>
    </w:p>
    <w:p w14:paraId="68F32CEB">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人员经费</w:t>
      </w:r>
      <w:r>
        <w:rPr>
          <w:rFonts w:hint="eastAsia" w:ascii="仿宋_GB2312" w:hAnsi="仿宋_GB2312" w:eastAsia="仿宋_GB2312" w:cs="仿宋_GB2312"/>
          <w:sz w:val="32"/>
          <w:szCs w:val="32"/>
        </w:rPr>
        <w:t>132.52</w:t>
      </w:r>
      <w:r>
        <w:rPr>
          <w:rFonts w:hint="eastAsia" w:ascii="仿宋_GB2312" w:hAnsi="仿宋_GB2312" w:eastAsia="仿宋_GB2312" w:cs="仿宋_GB2312"/>
          <w:color w:val="auto"/>
          <w:kern w:val="2"/>
          <w:sz w:val="32"/>
          <w:szCs w:val="32"/>
          <w:highlight w:val="none"/>
          <w:lang w:val="en-US" w:eastAsia="zh-CN" w:bidi="ar-SA"/>
        </w:rPr>
        <w:t>万</w:t>
      </w:r>
      <w:r>
        <w:rPr>
          <w:rFonts w:hint="eastAsia" w:ascii="Times New Roman" w:hAnsi="Times New Roman" w:eastAsia="仿宋_GB2312" w:cs="仿宋_GB2312"/>
          <w:color w:val="auto"/>
          <w:kern w:val="2"/>
          <w:sz w:val="32"/>
          <w:szCs w:val="32"/>
          <w:highlight w:val="none"/>
          <w:lang w:val="en-US" w:eastAsia="zh-CN" w:bidi="ar-SA"/>
        </w:rPr>
        <w:t>元，主要包括：基本工资、津贴补贴、奖金、伙食补助费、绩效工资、机关事业</w:t>
      </w:r>
      <w:r>
        <w:rPr>
          <w:rFonts w:hint="eastAsia" w:eastAsia="仿宋_GB2312" w:cs="仿宋_GB2312"/>
          <w:color w:val="auto"/>
          <w:kern w:val="2"/>
          <w:sz w:val="32"/>
          <w:szCs w:val="32"/>
          <w:highlight w:val="none"/>
          <w:lang w:val="en-US" w:eastAsia="zh-CN" w:bidi="ar-SA"/>
        </w:rPr>
        <w:t>单位</w:t>
      </w:r>
      <w:r>
        <w:rPr>
          <w:rFonts w:hint="eastAsia" w:ascii="Times New Roman" w:hAnsi="Times New Roman" w:eastAsia="仿宋_GB2312" w:cs="仿宋_GB2312"/>
          <w:color w:val="auto"/>
          <w:kern w:val="2"/>
          <w:sz w:val="32"/>
          <w:szCs w:val="32"/>
          <w:highlight w:val="none"/>
          <w:lang w:val="en-US" w:eastAsia="zh-CN" w:bidi="ar-SA"/>
        </w:rPr>
        <w:t>基本养老保险缴费、职业年金缴费、其他社会保障缴费、其他工资福利支出、离休费、退休费、抚恤金、生活补助、医疗费补助、奖励金、住房公积金、其他对个人和家庭的补助支出等。</w:t>
      </w:r>
      <w:r>
        <w:rPr>
          <w:rFonts w:hint="eastAsia" w:ascii="Times New Roman" w:hAnsi="Times New Roman" w:eastAsia="仿宋_GB2312" w:cs="仿宋_GB2312"/>
          <w:color w:val="auto"/>
          <w:kern w:val="2"/>
          <w:sz w:val="32"/>
          <w:szCs w:val="32"/>
          <w:highlight w:val="none"/>
          <w:lang w:val="en-US" w:eastAsia="zh-CN" w:bidi="ar-SA"/>
        </w:rPr>
        <w:br w:type="textWrapping"/>
      </w:r>
      <w:r>
        <w:rPr>
          <w:rFonts w:hint="eastAsia" w:ascii="Times New Roman" w:hAnsi="Times New Roman" w:eastAsia="仿宋_GB2312" w:cs="仿宋_GB2312"/>
          <w:color w:val="auto"/>
          <w:kern w:val="2"/>
          <w:sz w:val="32"/>
          <w:szCs w:val="32"/>
          <w:highlight w:val="none"/>
          <w:lang w:val="en-US" w:eastAsia="zh-CN" w:bidi="ar-SA"/>
        </w:rPr>
        <w:t>　　公用经费</w:t>
      </w:r>
      <w:r>
        <w:rPr>
          <w:rFonts w:hint="eastAsia" w:ascii="仿宋_GB2312" w:hAnsi="仿宋_GB2312" w:eastAsia="仿宋_GB2312" w:cs="仿宋_GB2312"/>
          <w:sz w:val="32"/>
          <w:szCs w:val="32"/>
        </w:rPr>
        <w:t>16.46</w:t>
      </w:r>
      <w:r>
        <w:rPr>
          <w:rFonts w:hint="eastAsia" w:ascii="仿宋_GB2312" w:hAnsi="仿宋_GB2312" w:eastAsia="仿宋_GB2312" w:cs="仿宋_GB2312"/>
          <w:color w:val="auto"/>
          <w:kern w:val="2"/>
          <w:sz w:val="32"/>
          <w:szCs w:val="32"/>
          <w:highlight w:val="none"/>
          <w:lang w:val="en-US" w:eastAsia="zh-CN" w:bidi="ar-SA"/>
        </w:rPr>
        <w:t>万</w:t>
      </w:r>
      <w:r>
        <w:rPr>
          <w:rFonts w:hint="eastAsia" w:ascii="Times New Roman" w:hAnsi="Times New Roman" w:eastAsia="仿宋_GB2312" w:cs="仿宋_GB2312"/>
          <w:color w:val="auto"/>
          <w:kern w:val="2"/>
          <w:sz w:val="32"/>
          <w:szCs w:val="32"/>
          <w:highlight w:val="none"/>
          <w:lang w:val="en-US" w:eastAsia="zh-CN" w:bidi="ar-SA"/>
        </w:rPr>
        <w:t>元，主要包括：办公费、印刷费、咨询费、手续费、水费、电费、邮电费、取暖费、物业管理费、差旅费、因公出国（境）费用、维修（护）费、租赁费、会议费、培训费、公务接待费、劳务费、委托业务费、工会经费、福利费、公务用车运行维护费、其他交通费、税金及附加费用、其他商品和服务支出、办公设备购置、专用设备购置、信息网络及软件购置更新、其他资本性支出等。</w:t>
      </w:r>
    </w:p>
    <w:p w14:paraId="5751C067">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14:paraId="15E64360">
      <w:pPr>
        <w:spacing w:line="600" w:lineRule="exact"/>
        <w:ind w:firstLine="640"/>
        <w:outlineLvl w:val="1"/>
        <w:rPr>
          <w:rStyle w:val="29"/>
          <w:rFonts w:ascii="Times New Roman" w:hAnsi="Times New Roman" w:eastAsia="黑体"/>
          <w:b w:val="0"/>
          <w:color w:val="auto"/>
          <w:highlight w:val="none"/>
        </w:rPr>
      </w:pPr>
      <w:bookmarkStart w:id="66" w:name="_Toc32532"/>
      <w:bookmarkStart w:id="67" w:name="_Toc15396609"/>
      <w:bookmarkStart w:id="68" w:name="_Toc15377215"/>
      <w:bookmarkStart w:id="69" w:name="_Toc860"/>
      <w:r>
        <w:rPr>
          <w:rFonts w:hint="eastAsia" w:ascii="Times New Roman" w:hAnsi="Times New Roman" w:eastAsia="黑体"/>
          <w:color w:val="auto"/>
          <w:sz w:val="32"/>
          <w:szCs w:val="32"/>
          <w:highlight w:val="none"/>
        </w:rPr>
        <w:t>七、</w:t>
      </w:r>
      <w:r>
        <w:rPr>
          <w:rStyle w:val="29"/>
          <w:rFonts w:hint="eastAsia" w:ascii="Times New Roman" w:hAnsi="Times New Roman" w:eastAsia="黑体"/>
          <w:b w:val="0"/>
          <w:color w:val="auto"/>
          <w:highlight w:val="none"/>
        </w:rPr>
        <w:t>财政拨款</w:t>
      </w:r>
      <w:r>
        <w:rPr>
          <w:rStyle w:val="29"/>
          <w:rFonts w:hint="eastAsia" w:ascii="Times New Roman" w:hAnsi="Times New Roman" w:eastAsia="黑体"/>
          <w:color w:val="auto"/>
          <w:highlight w:val="none"/>
        </w:rPr>
        <w:t>“</w:t>
      </w:r>
      <w:r>
        <w:rPr>
          <w:rStyle w:val="29"/>
          <w:rFonts w:hint="eastAsia" w:ascii="Times New Roman" w:hAnsi="Times New Roman" w:eastAsia="黑体"/>
          <w:b w:val="0"/>
          <w:color w:val="auto"/>
          <w:highlight w:val="none"/>
        </w:rPr>
        <w:t>三公”经费支出决算情况说明</w:t>
      </w:r>
      <w:bookmarkEnd w:id="66"/>
      <w:bookmarkEnd w:id="67"/>
      <w:bookmarkEnd w:id="68"/>
      <w:bookmarkEnd w:id="69"/>
    </w:p>
    <w:p w14:paraId="08F8A27B">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70" w:name="_Toc31145"/>
      <w:bookmarkStart w:id="71" w:name="_Toc13761"/>
      <w:bookmarkStart w:id="72" w:name="_Toc15377216"/>
      <w:r>
        <w:rPr>
          <w:rFonts w:hint="eastAsia" w:ascii="Times New Roman" w:hAnsi="Times New Roman" w:eastAsia="楷体_GB2312" w:cs="楷体_GB2312"/>
          <w:b/>
          <w:color w:val="auto"/>
          <w:sz w:val="32"/>
          <w:szCs w:val="32"/>
          <w:highlight w:val="none"/>
        </w:rPr>
        <w:t>（一）“三公”经费财政拨款支出决算总体情况说明</w:t>
      </w:r>
      <w:bookmarkEnd w:id="70"/>
      <w:bookmarkEnd w:id="71"/>
      <w:bookmarkEnd w:id="72"/>
    </w:p>
    <w:p w14:paraId="2E05D698">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2024年度“三公”经费财政拨款支出决算为</w:t>
      </w:r>
      <w:r>
        <w:rPr>
          <w:rFonts w:hint="eastAsia" w:ascii="仿宋_GB2312" w:hAnsi="仿宋_GB2312" w:eastAsia="仿宋_GB2312" w:cs="仿宋_GB2312"/>
          <w:sz w:val="32"/>
          <w:szCs w:val="32"/>
        </w:rPr>
        <w:t>2.49</w:t>
      </w:r>
      <w:r>
        <w:rPr>
          <w:rFonts w:hint="eastAsia" w:ascii="仿宋_GB2312" w:hAnsi="仿宋_GB2312" w:eastAsia="仿宋_GB2312" w:cs="仿宋_GB2312"/>
          <w:color w:val="auto"/>
          <w:kern w:val="2"/>
          <w:sz w:val="32"/>
          <w:szCs w:val="32"/>
          <w:highlight w:val="none"/>
          <w:lang w:val="en-US" w:eastAsia="zh-CN" w:bidi="ar-SA"/>
        </w:rPr>
        <w:t>万元，完成预算</w:t>
      </w:r>
      <w:r>
        <w:rPr>
          <w:rFonts w:hint="eastAsia" w:ascii="仿宋_GB2312" w:hAnsi="仿宋_GB2312" w:eastAsia="仿宋_GB2312" w:cs="仿宋_GB2312"/>
          <w:sz w:val="32"/>
          <w:szCs w:val="32"/>
        </w:rPr>
        <w:t>100</w:t>
      </w:r>
      <w:r>
        <w:rPr>
          <w:rFonts w:hint="eastAsia" w:ascii="仿宋_GB2312" w:hAnsi="仿宋_GB2312"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较上年度减少</w:t>
      </w:r>
      <w:r>
        <w:rPr>
          <w:rFonts w:hint="eastAsia" w:eastAsia="仿宋_GB2312" w:cs="仿宋_GB2312"/>
          <w:color w:val="auto"/>
          <w:kern w:val="2"/>
          <w:sz w:val="32"/>
          <w:szCs w:val="32"/>
          <w:highlight w:val="none"/>
          <w:lang w:val="en-US" w:eastAsia="zh-CN" w:bidi="ar-SA"/>
        </w:rPr>
        <w:t>0.07</w:t>
      </w:r>
      <w:r>
        <w:rPr>
          <w:rFonts w:hint="eastAsia" w:ascii="Times New Roman" w:hAnsi="Times New Roman" w:eastAsia="仿宋_GB2312" w:cs="仿宋_GB2312"/>
          <w:color w:val="auto"/>
          <w:kern w:val="2"/>
          <w:sz w:val="32"/>
          <w:szCs w:val="32"/>
          <w:highlight w:val="none"/>
          <w:lang w:val="en-US" w:eastAsia="zh-CN" w:bidi="ar-SA"/>
        </w:rPr>
        <w:t>万元，下降</w:t>
      </w:r>
      <w:r>
        <w:rPr>
          <w:rFonts w:hint="eastAsia" w:eastAsia="仿宋_GB2312" w:cs="仿宋_GB2312"/>
          <w:color w:val="auto"/>
          <w:kern w:val="2"/>
          <w:sz w:val="32"/>
          <w:szCs w:val="32"/>
          <w:highlight w:val="none"/>
          <w:lang w:val="en-US" w:eastAsia="zh-CN" w:bidi="ar-SA"/>
        </w:rPr>
        <w:t>2.7</w:t>
      </w:r>
      <w:r>
        <w:rPr>
          <w:rFonts w:hint="eastAsia" w:ascii="Times New Roman" w:hAnsi="Times New Roman" w:eastAsia="仿宋_GB2312" w:cs="仿宋_GB2312"/>
          <w:color w:val="auto"/>
          <w:kern w:val="2"/>
          <w:sz w:val="32"/>
          <w:szCs w:val="32"/>
          <w:highlight w:val="none"/>
          <w:lang w:val="en-US" w:eastAsia="zh-CN" w:bidi="ar-SA"/>
        </w:rPr>
        <w:t>%。决算数小于预算数的主要原因是</w:t>
      </w:r>
      <w:r>
        <w:rPr>
          <w:rFonts w:hint="eastAsia" w:eastAsia="仿宋_GB2312" w:cs="仿宋_GB2312"/>
          <w:color w:val="auto"/>
          <w:kern w:val="2"/>
          <w:sz w:val="32"/>
          <w:szCs w:val="32"/>
          <w:highlight w:val="none"/>
          <w:lang w:val="en-US" w:eastAsia="zh-CN" w:bidi="ar-SA"/>
        </w:rPr>
        <w:t>项目工作调整</w:t>
      </w:r>
    </w:p>
    <w:p w14:paraId="4F0752AA">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73" w:name="_Toc17793"/>
      <w:bookmarkStart w:id="74" w:name="_Toc28997"/>
      <w:bookmarkStart w:id="75" w:name="_Toc15377217"/>
      <w:r>
        <w:rPr>
          <w:rFonts w:hint="eastAsia" w:ascii="Times New Roman" w:hAnsi="Times New Roman" w:eastAsia="楷体_GB2312" w:cs="楷体_GB2312"/>
          <w:b/>
          <w:color w:val="auto"/>
          <w:sz w:val="32"/>
          <w:szCs w:val="32"/>
          <w:highlight w:val="none"/>
        </w:rPr>
        <w:t>（二）“三公”经费财政拨款支出决算具体情况说明</w:t>
      </w:r>
      <w:bookmarkEnd w:id="73"/>
      <w:bookmarkEnd w:id="74"/>
      <w:bookmarkEnd w:id="75"/>
    </w:p>
    <w:p w14:paraId="201BA705">
      <w:pPr>
        <w:spacing w:line="600" w:lineRule="exact"/>
        <w:ind w:firstLine="640"/>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2024年度“三公”经费财政拨款支出决算中，因公出国（境）费支出决算</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万元，占0%；公务用车购置及运行维护费支出决算</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47</w:t>
      </w:r>
      <w:r>
        <w:rPr>
          <w:rFonts w:hint="eastAsia" w:ascii="仿宋_GB2312" w:hAnsi="仿宋_GB2312" w:eastAsia="仿宋_GB2312" w:cs="仿宋_GB2312"/>
          <w:color w:val="auto"/>
          <w:kern w:val="2"/>
          <w:sz w:val="32"/>
          <w:szCs w:val="32"/>
          <w:highlight w:val="none"/>
          <w:lang w:val="en-US" w:eastAsia="zh-CN" w:bidi="ar-SA"/>
        </w:rPr>
        <w:t>万元，占99%；公务接待费支出决算</w:t>
      </w:r>
      <w:r>
        <w:rPr>
          <w:rFonts w:hint="eastAsia" w:ascii="仿宋_GB2312" w:hAnsi="仿宋_GB2312" w:eastAsia="仿宋_GB2312" w:cs="仿宋_GB2312"/>
          <w:sz w:val="32"/>
          <w:szCs w:val="32"/>
        </w:rPr>
        <w:t>0.02</w:t>
      </w:r>
      <w:r>
        <w:rPr>
          <w:rFonts w:hint="eastAsia" w:ascii="仿宋_GB2312" w:hAnsi="仿宋_GB2312" w:eastAsia="仿宋_GB2312" w:cs="仿宋_GB2312"/>
          <w:color w:val="auto"/>
          <w:kern w:val="2"/>
          <w:sz w:val="32"/>
          <w:szCs w:val="32"/>
          <w:highlight w:val="none"/>
          <w:lang w:val="en-US" w:eastAsia="zh-CN" w:bidi="ar-SA"/>
        </w:rPr>
        <w:t>万元，占1%。具体情况如下：</w:t>
      </w:r>
    </w:p>
    <w:p w14:paraId="426AECF3">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（图7：“三公”经费财政拨款支出结构）（饼状图）</w:t>
      </w:r>
    </w:p>
    <w:p w14:paraId="7A83EB9D">
      <w:pPr>
        <w:numPr>
          <w:ilvl w:val="0"/>
          <w:numId w:val="2"/>
        </w:numPr>
        <w:spacing w:line="600" w:lineRule="exact"/>
        <w:ind w:firstLine="640"/>
        <w:rPr>
          <w:rFonts w:hint="eastAsia" w:eastAsia="仿宋_GB2312" w:cs="仿宋_GB2312"/>
          <w:color w:val="auto"/>
          <w:kern w:val="2"/>
          <w:sz w:val="32"/>
          <w:szCs w:val="32"/>
          <w:highlight w:val="none"/>
          <w:lang w:val="en-US" w:eastAsia="zh-CN" w:bidi="ar-SA"/>
        </w:rPr>
      </w:pPr>
      <w:r>
        <w:rPr>
          <w:rFonts w:hint="eastAsia" w:ascii="Times New Roman" w:hAnsi="Times New Roman" w:eastAsia="仿宋_GB2312" w:cs="仿宋_GB2312"/>
          <w:b/>
          <w:bCs/>
          <w:color w:val="auto"/>
          <w:kern w:val="2"/>
          <w:sz w:val="32"/>
          <w:szCs w:val="32"/>
          <w:highlight w:val="none"/>
          <w:lang w:val="en-US" w:eastAsia="zh-CN" w:bidi="ar-SA"/>
        </w:rPr>
        <w:t>因公出国（境）经费支出</w:t>
      </w:r>
      <w:r>
        <w:rPr>
          <w:rFonts w:hint="eastAsia" w:eastAsia="仿宋_GB2312" w:cs="仿宋_GB2312"/>
          <w:b/>
          <w:bCs/>
          <w:color w:val="auto"/>
          <w:kern w:val="2"/>
          <w:sz w:val="32"/>
          <w:szCs w:val="32"/>
          <w:highlight w:val="none"/>
          <w:lang w:val="en-US" w:eastAsia="zh-CN" w:bidi="ar-SA"/>
        </w:rPr>
        <w:t>0</w:t>
      </w:r>
      <w:r>
        <w:rPr>
          <w:rFonts w:hint="eastAsia" w:ascii="Times New Roman" w:hAnsi="Times New Roman" w:eastAsia="仿宋_GB2312" w:cs="仿宋_GB2312"/>
          <w:b/>
          <w:bCs/>
          <w:color w:val="auto"/>
          <w:kern w:val="2"/>
          <w:sz w:val="32"/>
          <w:szCs w:val="32"/>
          <w:highlight w:val="none"/>
          <w:lang w:val="en-US" w:eastAsia="zh-CN" w:bidi="ar-SA"/>
        </w:rPr>
        <w:t>万元，完成预算</w:t>
      </w:r>
      <w:r>
        <w:rPr>
          <w:rFonts w:hint="eastAsia" w:eastAsia="仿宋_GB2312" w:cs="仿宋_GB2312"/>
          <w:b/>
          <w:bCs/>
          <w:color w:val="auto"/>
          <w:kern w:val="2"/>
          <w:sz w:val="32"/>
          <w:szCs w:val="32"/>
          <w:highlight w:val="none"/>
          <w:lang w:val="en-US" w:eastAsia="zh-CN" w:bidi="ar-SA"/>
        </w:rPr>
        <w:t>0</w:t>
      </w:r>
      <w:r>
        <w:rPr>
          <w:rFonts w:hint="eastAsia" w:ascii="Times New Roman" w:hAnsi="Times New Roman" w:eastAsia="仿宋_GB2312" w:cs="仿宋_GB2312"/>
          <w:b/>
          <w:bCs/>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全年安排因公出国（境）团</w:t>
      </w:r>
      <w:r>
        <w:rPr>
          <w:rFonts w:hint="eastAsia" w:ascii="仿宋_GB2312" w:hAnsi="仿宋_GB2312" w:eastAsia="仿宋_GB2312" w:cs="仿宋_GB2312"/>
          <w:color w:val="auto"/>
          <w:kern w:val="2"/>
          <w:sz w:val="32"/>
          <w:szCs w:val="32"/>
          <w:highlight w:val="none"/>
          <w:lang w:val="en-US" w:eastAsia="zh-CN" w:bidi="ar-SA"/>
        </w:rPr>
        <w:t>组</w:t>
      </w:r>
      <w:r>
        <w:rPr>
          <w:rFonts w:hint="eastAsia" w:ascii="仿宋_GB2312" w:hAnsi="仿宋_GB2312" w:eastAsia="仿宋_GB2312" w:cs="仿宋_GB2312"/>
          <w:sz w:val="32"/>
          <w:szCs w:val="32"/>
        </w:rPr>
        <w:t>0</w:t>
      </w:r>
      <w:r>
        <w:rPr>
          <w:rFonts w:hint="eastAsia" w:ascii="Times New Roman" w:hAnsi="Times New Roman" w:eastAsia="仿宋_GB2312" w:cs="仿宋_GB2312"/>
          <w:color w:val="auto"/>
          <w:kern w:val="2"/>
          <w:sz w:val="32"/>
          <w:szCs w:val="32"/>
          <w:highlight w:val="none"/>
          <w:lang w:val="en-US" w:eastAsia="zh-CN" w:bidi="ar-SA"/>
        </w:rPr>
        <w:t>次，出国（境）</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人</w:t>
      </w:r>
      <w:r>
        <w:rPr>
          <w:rFonts w:hint="eastAsia" w:ascii="Times New Roman" w:hAnsi="Times New Roman" w:eastAsia="仿宋_GB2312" w:cs="仿宋_GB2312"/>
          <w:color w:val="auto"/>
          <w:kern w:val="2"/>
          <w:sz w:val="32"/>
          <w:szCs w:val="32"/>
          <w:highlight w:val="none"/>
          <w:lang w:val="en-US" w:eastAsia="zh-CN" w:bidi="ar-SA"/>
        </w:rPr>
        <w:t>。因公出国（境）支出决算比2023年增加</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万元</w:t>
      </w:r>
      <w:r>
        <w:rPr>
          <w:rFonts w:hint="eastAsia" w:eastAsia="仿宋_GB2312" w:cs="仿宋_GB2312"/>
          <w:color w:val="auto"/>
          <w:kern w:val="2"/>
          <w:sz w:val="32"/>
          <w:szCs w:val="32"/>
          <w:highlight w:val="none"/>
          <w:lang w:val="en-US" w:eastAsia="zh-CN" w:bidi="ar-SA"/>
        </w:rPr>
        <w:t>。</w:t>
      </w:r>
    </w:p>
    <w:p w14:paraId="2C14ADE4">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b/>
          <w:bCs/>
          <w:color w:val="auto"/>
          <w:kern w:val="2"/>
          <w:sz w:val="32"/>
          <w:szCs w:val="32"/>
          <w:highlight w:val="none"/>
          <w:lang w:val="en-US" w:eastAsia="zh-CN" w:bidi="ar-SA"/>
        </w:rPr>
        <w:t>2.公务用车购置及运行维护费支出</w:t>
      </w:r>
      <w:r>
        <w:rPr>
          <w:rFonts w:hint="eastAsia" w:ascii="仿宋_GB2312" w:hAnsi="仿宋_GB2312" w:eastAsia="仿宋_GB2312" w:cs="仿宋_GB2312"/>
          <w:b/>
          <w:bCs/>
          <w:color w:val="auto"/>
          <w:kern w:val="2"/>
          <w:sz w:val="32"/>
          <w:szCs w:val="32"/>
          <w:highlight w:val="none"/>
          <w:lang w:val="en-US" w:eastAsia="zh-CN" w:bidi="ar-SA"/>
        </w:rPr>
        <w:t>2.47万</w:t>
      </w:r>
      <w:r>
        <w:rPr>
          <w:rFonts w:hint="eastAsia" w:ascii="Times New Roman" w:hAnsi="Times New Roman" w:eastAsia="仿宋_GB2312" w:cs="仿宋_GB2312"/>
          <w:b/>
          <w:bCs/>
          <w:color w:val="auto"/>
          <w:kern w:val="2"/>
          <w:sz w:val="32"/>
          <w:szCs w:val="32"/>
          <w:highlight w:val="none"/>
          <w:lang w:val="en-US" w:eastAsia="zh-CN" w:bidi="ar-SA"/>
        </w:rPr>
        <w:t>元</w:t>
      </w:r>
      <w:r>
        <w:rPr>
          <w:rFonts w:hint="eastAsia" w:eastAsia="仿宋_GB2312" w:cs="仿宋_GB2312"/>
          <w:b/>
          <w:bCs/>
          <w:color w:val="auto"/>
          <w:kern w:val="2"/>
          <w:sz w:val="32"/>
          <w:szCs w:val="32"/>
          <w:highlight w:val="none"/>
          <w:lang w:val="en-US" w:eastAsia="zh-CN" w:bidi="ar-SA"/>
        </w:rPr>
        <w:t>，</w:t>
      </w:r>
      <w:r>
        <w:rPr>
          <w:rFonts w:hint="eastAsia" w:ascii="Times New Roman" w:hAnsi="Times New Roman" w:eastAsia="仿宋_GB2312" w:cs="仿宋_GB2312"/>
          <w:b/>
          <w:bCs/>
          <w:color w:val="auto"/>
          <w:kern w:val="2"/>
          <w:sz w:val="32"/>
          <w:szCs w:val="32"/>
          <w:highlight w:val="none"/>
          <w:lang w:val="en-US" w:eastAsia="zh-CN" w:bidi="ar-SA"/>
        </w:rPr>
        <w:t>完成预算</w:t>
      </w:r>
      <w:r>
        <w:rPr>
          <w:rFonts w:hint="eastAsia" w:eastAsia="仿宋_GB2312" w:cs="仿宋_GB2312"/>
          <w:b/>
          <w:bCs/>
          <w:color w:val="auto"/>
          <w:kern w:val="2"/>
          <w:sz w:val="32"/>
          <w:szCs w:val="32"/>
          <w:highlight w:val="none"/>
          <w:lang w:val="en-US" w:eastAsia="zh-CN" w:bidi="ar-SA"/>
        </w:rPr>
        <w:t>100</w:t>
      </w:r>
      <w:r>
        <w:rPr>
          <w:rFonts w:hint="eastAsia" w:ascii="Times New Roman" w:hAnsi="Times New Roman" w:eastAsia="仿宋_GB2312" w:cs="仿宋_GB2312"/>
          <w:b/>
          <w:bCs/>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公务用车购置及运行维护费支出决算比2023年度增加</w:t>
      </w:r>
      <w:r>
        <w:rPr>
          <w:rFonts w:hint="eastAsia" w:eastAsia="仿宋_GB2312" w:cs="仿宋_GB2312"/>
          <w:color w:val="auto"/>
          <w:kern w:val="2"/>
          <w:sz w:val="32"/>
          <w:szCs w:val="32"/>
          <w:highlight w:val="none"/>
          <w:lang w:val="en-US" w:eastAsia="zh-CN" w:bidi="ar-SA"/>
        </w:rPr>
        <w:t>0.27</w:t>
      </w:r>
      <w:r>
        <w:rPr>
          <w:rFonts w:hint="eastAsia" w:ascii="Times New Roman" w:hAnsi="Times New Roman" w:eastAsia="仿宋_GB2312" w:cs="仿宋_GB2312"/>
          <w:color w:val="auto"/>
          <w:kern w:val="2"/>
          <w:sz w:val="32"/>
          <w:szCs w:val="32"/>
          <w:highlight w:val="none"/>
          <w:lang w:val="en-US" w:eastAsia="zh-CN" w:bidi="ar-SA"/>
        </w:rPr>
        <w:t>万元，增长</w:t>
      </w:r>
      <w:r>
        <w:rPr>
          <w:rFonts w:hint="eastAsia" w:eastAsia="仿宋_GB2312" w:cs="仿宋_GB2312"/>
          <w:color w:val="auto"/>
          <w:kern w:val="2"/>
          <w:sz w:val="32"/>
          <w:szCs w:val="32"/>
          <w:highlight w:val="none"/>
          <w:lang w:val="en-US" w:eastAsia="zh-CN" w:bidi="ar-SA"/>
        </w:rPr>
        <w:t>12.25</w:t>
      </w:r>
      <w:r>
        <w:rPr>
          <w:rFonts w:hint="eastAsia" w:ascii="Times New Roman" w:hAnsi="Times New Roman" w:eastAsia="仿宋_GB2312" w:cs="仿宋_GB2312"/>
          <w:color w:val="auto"/>
          <w:kern w:val="2"/>
          <w:sz w:val="32"/>
          <w:szCs w:val="32"/>
          <w:highlight w:val="none"/>
          <w:lang w:val="en-US" w:eastAsia="zh-CN" w:bidi="ar-SA"/>
        </w:rPr>
        <w:t>%。主要原因是</w:t>
      </w:r>
      <w:r>
        <w:rPr>
          <w:rFonts w:hint="eastAsia" w:eastAsia="仿宋_GB2312" w:cs="仿宋_GB2312"/>
          <w:color w:val="auto"/>
          <w:kern w:val="2"/>
          <w:sz w:val="32"/>
          <w:szCs w:val="32"/>
          <w:highlight w:val="none"/>
          <w:lang w:val="en-US" w:eastAsia="zh-CN" w:bidi="ar-SA"/>
        </w:rPr>
        <w:t>公车维护费用增加</w:t>
      </w:r>
    </w:p>
    <w:p w14:paraId="7D7A3CC0">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其中：公务用车购置支</w:t>
      </w:r>
      <w:r>
        <w:rPr>
          <w:rFonts w:hint="eastAsia" w:ascii="仿宋_GB2312" w:hAnsi="仿宋_GB2312" w:eastAsia="仿宋_GB2312" w:cs="仿宋_GB2312"/>
          <w:color w:val="auto"/>
          <w:kern w:val="2"/>
          <w:sz w:val="32"/>
          <w:szCs w:val="32"/>
          <w:highlight w:val="none"/>
          <w:lang w:val="en-US" w:eastAsia="zh-CN" w:bidi="ar-SA"/>
        </w:rPr>
        <w:t>出</w:t>
      </w:r>
      <w:r>
        <w:rPr>
          <w:rFonts w:hint="eastAsia" w:ascii="仿宋_GB2312" w:hAnsi="仿宋_GB2312" w:eastAsia="仿宋_GB2312" w:cs="仿宋_GB2312"/>
          <w:sz w:val="32"/>
          <w:szCs w:val="32"/>
        </w:rPr>
        <w:t>0</w:t>
      </w:r>
      <w:r>
        <w:rPr>
          <w:rFonts w:hint="eastAsia" w:ascii="Times New Roman" w:hAnsi="Times New Roman" w:eastAsia="仿宋_GB2312" w:cs="仿宋_GB2312"/>
          <w:color w:val="auto"/>
          <w:kern w:val="2"/>
          <w:sz w:val="32"/>
          <w:szCs w:val="32"/>
          <w:highlight w:val="none"/>
          <w:lang w:val="en-US" w:eastAsia="zh-CN" w:bidi="ar-SA"/>
        </w:rPr>
        <w:t>万元。全年按规定更新购置公务用车</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辆。截至2024年12月31日，</w:t>
      </w:r>
      <w:r>
        <w:rPr>
          <w:rFonts w:hint="eastAsia" w:eastAsia="仿宋_GB2312" w:cs="仿宋_GB2312"/>
          <w:color w:val="auto"/>
          <w:kern w:val="2"/>
          <w:sz w:val="32"/>
          <w:szCs w:val="32"/>
          <w:highlight w:val="none"/>
          <w:lang w:val="en-US" w:eastAsia="zh-CN" w:bidi="ar-SA"/>
        </w:rPr>
        <w:t>单位</w:t>
      </w:r>
      <w:r>
        <w:rPr>
          <w:rFonts w:hint="eastAsia" w:ascii="Times New Roman" w:hAnsi="Times New Roman" w:eastAsia="仿宋_GB2312" w:cs="仿宋_GB2312"/>
          <w:color w:val="auto"/>
          <w:kern w:val="2"/>
          <w:sz w:val="32"/>
          <w:szCs w:val="32"/>
          <w:highlight w:val="none"/>
          <w:lang w:val="en-US" w:eastAsia="zh-CN" w:bidi="ar-SA"/>
        </w:rPr>
        <w:t>共有公务用车</w:t>
      </w:r>
      <w:r>
        <w:rPr>
          <w:rFonts w:hint="eastAsia" w:eastAsia="仿宋_GB2312" w:cs="仿宋_GB2312"/>
          <w:color w:val="auto"/>
          <w:kern w:val="2"/>
          <w:sz w:val="32"/>
          <w:szCs w:val="32"/>
          <w:highlight w:val="none"/>
          <w:lang w:val="en-US" w:eastAsia="zh-CN" w:bidi="ar-SA"/>
        </w:rPr>
        <w:t>1</w:t>
      </w:r>
      <w:r>
        <w:rPr>
          <w:rFonts w:hint="eastAsia" w:ascii="Times New Roman" w:hAnsi="Times New Roman" w:eastAsia="仿宋_GB2312" w:cs="仿宋_GB2312"/>
          <w:color w:val="auto"/>
          <w:kern w:val="2"/>
          <w:sz w:val="32"/>
          <w:szCs w:val="32"/>
          <w:highlight w:val="none"/>
          <w:lang w:val="en-US" w:eastAsia="zh-CN" w:bidi="ar-SA"/>
        </w:rPr>
        <w:t>辆，其中：轿车</w:t>
      </w:r>
      <w:r>
        <w:rPr>
          <w:rFonts w:hint="eastAsia" w:eastAsia="仿宋_GB2312" w:cs="仿宋_GB2312"/>
          <w:color w:val="auto"/>
          <w:kern w:val="2"/>
          <w:sz w:val="32"/>
          <w:szCs w:val="32"/>
          <w:highlight w:val="none"/>
          <w:lang w:val="en-US" w:eastAsia="zh-CN" w:bidi="ar-SA"/>
        </w:rPr>
        <w:t>1</w:t>
      </w:r>
      <w:r>
        <w:rPr>
          <w:rFonts w:hint="eastAsia" w:ascii="Times New Roman" w:hAnsi="Times New Roman" w:eastAsia="仿宋_GB2312" w:cs="仿宋_GB2312"/>
          <w:color w:val="auto"/>
          <w:kern w:val="2"/>
          <w:sz w:val="32"/>
          <w:szCs w:val="32"/>
          <w:highlight w:val="none"/>
          <w:lang w:val="en-US" w:eastAsia="zh-CN" w:bidi="ar-SA"/>
        </w:rPr>
        <w:t>辆、越野车</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辆、载客汽车</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辆。</w:t>
      </w:r>
    </w:p>
    <w:p w14:paraId="6AF9888D">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公务用车运行维护费支</w:t>
      </w:r>
      <w:r>
        <w:rPr>
          <w:rFonts w:hint="eastAsia" w:ascii="仿宋_GB2312" w:hAnsi="仿宋_GB2312" w:eastAsia="仿宋_GB2312" w:cs="仿宋_GB2312"/>
          <w:color w:val="auto"/>
          <w:kern w:val="2"/>
          <w:sz w:val="32"/>
          <w:szCs w:val="32"/>
          <w:highlight w:val="none"/>
          <w:lang w:val="en-US" w:eastAsia="zh-CN" w:bidi="ar-SA"/>
        </w:rPr>
        <w:t>出</w:t>
      </w:r>
      <w:r>
        <w:rPr>
          <w:rFonts w:hint="eastAsia" w:ascii="仿宋_GB2312" w:hAnsi="仿宋_GB2312" w:eastAsia="仿宋_GB2312" w:cs="仿宋_GB2312"/>
          <w:sz w:val="32"/>
          <w:szCs w:val="32"/>
        </w:rPr>
        <w:t>2.47</w:t>
      </w:r>
      <w:r>
        <w:rPr>
          <w:rFonts w:hint="eastAsia" w:ascii="Times New Roman" w:hAnsi="Times New Roman" w:eastAsia="仿宋_GB2312" w:cs="仿宋_GB2312"/>
          <w:color w:val="auto"/>
          <w:kern w:val="2"/>
          <w:sz w:val="32"/>
          <w:szCs w:val="32"/>
          <w:highlight w:val="none"/>
          <w:lang w:val="en-US" w:eastAsia="zh-CN" w:bidi="ar-SA"/>
        </w:rPr>
        <w:t>万元。主要用于</w:t>
      </w:r>
      <w:r>
        <w:rPr>
          <w:rFonts w:hint="eastAsia" w:eastAsia="仿宋_GB2312" w:cs="仿宋_GB2312"/>
          <w:color w:val="auto"/>
          <w:kern w:val="2"/>
          <w:sz w:val="32"/>
          <w:szCs w:val="32"/>
          <w:highlight w:val="none"/>
          <w:lang w:val="en-US" w:eastAsia="zh-CN" w:bidi="ar-SA"/>
        </w:rPr>
        <w:t>走访慰问残疾人</w:t>
      </w:r>
      <w:r>
        <w:rPr>
          <w:rFonts w:hint="eastAsia" w:ascii="Times New Roman" w:hAnsi="Times New Roman" w:eastAsia="仿宋_GB2312" w:cs="仿宋_GB2312"/>
          <w:color w:val="auto"/>
          <w:kern w:val="2"/>
          <w:sz w:val="32"/>
          <w:szCs w:val="32"/>
          <w:highlight w:val="none"/>
          <w:lang w:val="en-US" w:eastAsia="zh-CN" w:bidi="ar-SA"/>
        </w:rPr>
        <w:t>所需的公务用车燃料费、维修费、过路过桥费、保险费等支出。</w:t>
      </w:r>
    </w:p>
    <w:p w14:paraId="651C231B">
      <w:pPr>
        <w:numPr>
          <w:ilvl w:val="0"/>
          <w:numId w:val="2"/>
        </w:numPr>
        <w:spacing w:line="600" w:lineRule="exact"/>
        <w:ind w:left="0" w:leftChars="0" w:firstLine="640" w:firstLineChars="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b/>
          <w:bCs/>
          <w:color w:val="auto"/>
          <w:kern w:val="2"/>
          <w:sz w:val="32"/>
          <w:szCs w:val="32"/>
          <w:highlight w:val="none"/>
          <w:lang w:val="en-US" w:eastAsia="zh-CN" w:bidi="ar-SA"/>
        </w:rPr>
        <w:t>公务接待费支出</w:t>
      </w:r>
      <w:r>
        <w:rPr>
          <w:rFonts w:hint="eastAsia" w:ascii="仿宋_GB2312" w:hAnsi="仿宋_GB2312" w:eastAsia="仿宋_GB2312" w:cs="仿宋_GB2312"/>
          <w:b/>
          <w:bCs/>
          <w:color w:val="auto"/>
          <w:kern w:val="2"/>
          <w:sz w:val="32"/>
          <w:szCs w:val="32"/>
          <w:highlight w:val="none"/>
          <w:lang w:val="en-US" w:eastAsia="zh-CN" w:bidi="ar-SA"/>
        </w:rPr>
        <w:t>0.02万</w:t>
      </w:r>
      <w:r>
        <w:rPr>
          <w:rFonts w:hint="eastAsia" w:ascii="Times New Roman" w:hAnsi="Times New Roman" w:eastAsia="仿宋_GB2312" w:cs="仿宋_GB2312"/>
          <w:b/>
          <w:bCs/>
          <w:color w:val="auto"/>
          <w:kern w:val="2"/>
          <w:sz w:val="32"/>
          <w:szCs w:val="32"/>
          <w:highlight w:val="none"/>
          <w:lang w:val="en-US" w:eastAsia="zh-CN" w:bidi="ar-SA"/>
        </w:rPr>
        <w:t>元，完成预算</w:t>
      </w:r>
      <w:r>
        <w:rPr>
          <w:rFonts w:hint="eastAsia" w:eastAsia="仿宋_GB2312" w:cs="仿宋_GB2312"/>
          <w:b/>
          <w:bCs/>
          <w:color w:val="auto"/>
          <w:kern w:val="2"/>
          <w:sz w:val="32"/>
          <w:szCs w:val="32"/>
          <w:highlight w:val="none"/>
          <w:lang w:val="en-US" w:eastAsia="zh-CN" w:bidi="ar-SA"/>
        </w:rPr>
        <w:t>100</w:t>
      </w:r>
      <w:r>
        <w:rPr>
          <w:rFonts w:hint="eastAsia" w:ascii="Times New Roman" w:hAnsi="Times New Roman" w:eastAsia="仿宋_GB2312" w:cs="仿宋_GB2312"/>
          <w:b/>
          <w:bCs/>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公务接待费支出决算比2023年度减少</w:t>
      </w:r>
      <w:r>
        <w:rPr>
          <w:rFonts w:hint="eastAsia" w:eastAsia="仿宋_GB2312" w:cs="仿宋_GB2312"/>
          <w:color w:val="auto"/>
          <w:kern w:val="2"/>
          <w:sz w:val="32"/>
          <w:szCs w:val="32"/>
          <w:highlight w:val="none"/>
          <w:lang w:val="en-US" w:eastAsia="zh-CN" w:bidi="ar-SA"/>
        </w:rPr>
        <w:t>0.33</w:t>
      </w:r>
      <w:r>
        <w:rPr>
          <w:rFonts w:hint="eastAsia" w:ascii="Times New Roman" w:hAnsi="Times New Roman" w:eastAsia="仿宋_GB2312" w:cs="仿宋_GB2312"/>
          <w:color w:val="auto"/>
          <w:kern w:val="2"/>
          <w:sz w:val="32"/>
          <w:szCs w:val="32"/>
          <w:highlight w:val="none"/>
          <w:lang w:val="en-US" w:eastAsia="zh-CN" w:bidi="ar-SA"/>
        </w:rPr>
        <w:t>万元，下降</w:t>
      </w:r>
      <w:r>
        <w:rPr>
          <w:rFonts w:hint="eastAsia" w:eastAsia="仿宋_GB2312" w:cs="仿宋_GB2312"/>
          <w:color w:val="auto"/>
          <w:kern w:val="2"/>
          <w:sz w:val="32"/>
          <w:szCs w:val="32"/>
          <w:highlight w:val="none"/>
          <w:lang w:val="en-US" w:eastAsia="zh-CN" w:bidi="ar-SA"/>
        </w:rPr>
        <w:t>93.87</w:t>
      </w:r>
      <w:r>
        <w:rPr>
          <w:rFonts w:hint="eastAsia" w:ascii="Times New Roman" w:hAnsi="Times New Roman" w:eastAsia="仿宋_GB2312" w:cs="仿宋_GB2312"/>
          <w:color w:val="auto"/>
          <w:kern w:val="2"/>
          <w:sz w:val="32"/>
          <w:szCs w:val="32"/>
          <w:highlight w:val="none"/>
          <w:lang w:val="en-US" w:eastAsia="zh-CN" w:bidi="ar-SA"/>
        </w:rPr>
        <w:t>%。主要原因是</w:t>
      </w:r>
      <w:r>
        <w:rPr>
          <w:rFonts w:hint="eastAsia" w:eastAsia="仿宋_GB2312" w:cs="仿宋_GB2312"/>
          <w:color w:val="auto"/>
          <w:kern w:val="2"/>
          <w:sz w:val="32"/>
          <w:szCs w:val="32"/>
          <w:highlight w:val="none"/>
          <w:lang w:val="en-US" w:eastAsia="zh-CN" w:bidi="ar-SA"/>
        </w:rPr>
        <w:t>公务接待活动减少</w:t>
      </w:r>
      <w:r>
        <w:rPr>
          <w:rFonts w:hint="eastAsia" w:ascii="Times New Roman" w:hAnsi="Times New Roman" w:eastAsia="仿宋_GB2312" w:cs="仿宋_GB2312"/>
          <w:color w:val="auto"/>
          <w:kern w:val="2"/>
          <w:sz w:val="32"/>
          <w:szCs w:val="32"/>
          <w:highlight w:val="none"/>
          <w:lang w:val="en-US" w:eastAsia="zh-CN" w:bidi="ar-SA"/>
        </w:rPr>
        <w:t>。</w:t>
      </w:r>
    </w:p>
    <w:p w14:paraId="0389FA28">
      <w:pPr>
        <w:numPr>
          <w:ilvl w:val="0"/>
          <w:numId w:val="2"/>
        </w:numPr>
        <w:spacing w:line="600" w:lineRule="exact"/>
        <w:ind w:left="0" w:leftChars="0" w:firstLine="640" w:firstLineChars="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国内公务接待支</w:t>
      </w:r>
      <w:r>
        <w:rPr>
          <w:rFonts w:hint="eastAsia" w:ascii="仿宋_GB2312" w:hAnsi="仿宋_GB2312" w:eastAsia="仿宋_GB2312" w:cs="仿宋_GB2312"/>
          <w:color w:val="auto"/>
          <w:kern w:val="2"/>
          <w:sz w:val="32"/>
          <w:szCs w:val="32"/>
          <w:highlight w:val="none"/>
          <w:lang w:val="en-US" w:eastAsia="zh-CN" w:bidi="ar-SA"/>
        </w:rPr>
        <w:t>出</w:t>
      </w:r>
      <w:r>
        <w:rPr>
          <w:rFonts w:hint="eastAsia" w:ascii="仿宋_GB2312" w:hAnsi="仿宋_GB2312" w:eastAsia="仿宋_GB2312" w:cs="仿宋_GB2312"/>
          <w:sz w:val="32"/>
          <w:szCs w:val="32"/>
        </w:rPr>
        <w:t>0.02</w:t>
      </w:r>
      <w:r>
        <w:rPr>
          <w:rFonts w:hint="eastAsia" w:ascii="仿宋_GB2312" w:hAnsi="仿宋_GB2312" w:eastAsia="仿宋_GB2312" w:cs="仿宋_GB2312"/>
          <w:color w:val="auto"/>
          <w:kern w:val="2"/>
          <w:sz w:val="32"/>
          <w:szCs w:val="32"/>
          <w:highlight w:val="none"/>
          <w:lang w:val="en-US" w:eastAsia="zh-CN" w:bidi="ar-SA"/>
        </w:rPr>
        <w:t>万</w:t>
      </w:r>
      <w:r>
        <w:rPr>
          <w:rFonts w:hint="eastAsia" w:ascii="Times New Roman" w:hAnsi="Times New Roman" w:eastAsia="仿宋_GB2312" w:cs="仿宋_GB2312"/>
          <w:color w:val="auto"/>
          <w:kern w:val="2"/>
          <w:sz w:val="32"/>
          <w:szCs w:val="32"/>
          <w:highlight w:val="none"/>
          <w:lang w:val="en-US" w:eastAsia="zh-CN" w:bidi="ar-SA"/>
        </w:rPr>
        <w:t>元，主要用于开展业务活动开支的用餐费等。国内公务接</w:t>
      </w:r>
      <w:r>
        <w:rPr>
          <w:rFonts w:hint="eastAsia" w:ascii="仿宋_GB2312" w:hAnsi="仿宋_GB2312" w:eastAsia="仿宋_GB2312" w:cs="仿宋_GB2312"/>
          <w:color w:val="auto"/>
          <w:kern w:val="2"/>
          <w:sz w:val="32"/>
          <w:szCs w:val="32"/>
          <w:highlight w:val="none"/>
          <w:lang w:val="en-US" w:eastAsia="zh-CN" w:bidi="ar-SA"/>
        </w:rPr>
        <w:t>待</w:t>
      </w:r>
      <w:r>
        <w:rPr>
          <w:rFonts w:hint="eastAsia" w:ascii="仿宋_GB2312" w:hAnsi="仿宋_GB2312" w:eastAsia="仿宋_GB2312" w:cs="仿宋_GB2312"/>
          <w:sz w:val="32"/>
          <w:szCs w:val="32"/>
        </w:rPr>
        <w:t>1</w:t>
      </w:r>
      <w:r>
        <w:rPr>
          <w:rFonts w:hint="eastAsia" w:ascii="仿宋_GB2312" w:hAnsi="仿宋_GB2312" w:eastAsia="仿宋_GB2312" w:cs="仿宋_GB2312"/>
          <w:color w:val="auto"/>
          <w:kern w:val="2"/>
          <w:sz w:val="32"/>
          <w:szCs w:val="32"/>
          <w:highlight w:val="none"/>
          <w:lang w:val="en-US" w:eastAsia="zh-CN" w:bidi="ar-SA"/>
        </w:rPr>
        <w:t>批次，</w:t>
      </w:r>
      <w:r>
        <w:rPr>
          <w:rFonts w:hint="eastAsia" w:ascii="仿宋_GB2312" w:hAnsi="仿宋_GB2312" w:eastAsia="仿宋_GB2312" w:cs="仿宋_GB2312"/>
          <w:sz w:val="32"/>
          <w:szCs w:val="32"/>
        </w:rPr>
        <w:t>6</w:t>
      </w:r>
      <w:r>
        <w:rPr>
          <w:rFonts w:hint="eastAsia" w:ascii="Times New Roman" w:hAnsi="Times New Roman" w:eastAsia="仿宋_GB2312" w:cs="仿宋_GB2312"/>
          <w:color w:val="auto"/>
          <w:kern w:val="2"/>
          <w:sz w:val="32"/>
          <w:szCs w:val="32"/>
          <w:highlight w:val="none"/>
          <w:lang w:val="en-US" w:eastAsia="zh-CN" w:bidi="ar-SA"/>
        </w:rPr>
        <w:t>人次（不包括陪同人员），共计支出</w:t>
      </w:r>
      <w:r>
        <w:rPr>
          <w:rFonts w:hint="eastAsia" w:eastAsia="仿宋_GB2312" w:cs="仿宋_GB2312"/>
          <w:color w:val="auto"/>
          <w:kern w:val="2"/>
          <w:sz w:val="32"/>
          <w:szCs w:val="32"/>
          <w:highlight w:val="none"/>
          <w:lang w:val="en-US" w:eastAsia="zh-CN" w:bidi="ar-SA"/>
        </w:rPr>
        <w:t>0.02</w:t>
      </w:r>
      <w:r>
        <w:rPr>
          <w:rFonts w:hint="eastAsia" w:ascii="Times New Roman" w:hAnsi="Times New Roman" w:eastAsia="仿宋_GB2312" w:cs="仿宋_GB2312"/>
          <w:color w:val="auto"/>
          <w:kern w:val="2"/>
          <w:sz w:val="32"/>
          <w:szCs w:val="32"/>
          <w:highlight w:val="none"/>
          <w:lang w:val="en-US" w:eastAsia="zh-CN" w:bidi="ar-SA"/>
        </w:rPr>
        <w:t>万元，具体内容包括：</w:t>
      </w:r>
      <w:r>
        <w:rPr>
          <w:rFonts w:hint="eastAsia" w:eastAsia="仿宋_GB2312" w:cs="仿宋_GB2312"/>
          <w:color w:val="auto"/>
          <w:kern w:val="2"/>
          <w:sz w:val="32"/>
          <w:szCs w:val="32"/>
          <w:highlight w:val="none"/>
          <w:lang w:val="en-US" w:eastAsia="zh-CN" w:bidi="ar-SA"/>
        </w:rPr>
        <w:t>残协验收参开支219元</w:t>
      </w:r>
      <w:r>
        <w:rPr>
          <w:rFonts w:hint="eastAsia" w:ascii="Times New Roman" w:hAnsi="Times New Roman" w:eastAsia="仿宋_GB2312" w:cs="仿宋_GB2312"/>
          <w:color w:val="auto"/>
          <w:kern w:val="2"/>
          <w:sz w:val="32"/>
          <w:szCs w:val="32"/>
          <w:highlight w:val="none"/>
          <w:lang w:val="en-US" w:eastAsia="zh-CN" w:bidi="ar-SA"/>
        </w:rPr>
        <w:t>。</w:t>
      </w:r>
    </w:p>
    <w:p w14:paraId="5BABFC57">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外事接待支</w:t>
      </w:r>
      <w:r>
        <w:rPr>
          <w:rFonts w:hint="eastAsia" w:ascii="仿宋_GB2312" w:hAnsi="仿宋_GB2312" w:eastAsia="仿宋_GB2312" w:cs="仿宋_GB2312"/>
          <w:color w:val="auto"/>
          <w:kern w:val="2"/>
          <w:sz w:val="32"/>
          <w:szCs w:val="32"/>
          <w:highlight w:val="none"/>
          <w:lang w:val="en-US" w:eastAsia="zh-CN" w:bidi="ar-SA"/>
        </w:rPr>
        <w:t>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w:t>
      </w:r>
    </w:p>
    <w:p w14:paraId="6DB991ED">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bookmarkStart w:id="76" w:name="_Toc15396610"/>
      <w:bookmarkStart w:id="77" w:name="_Toc15377218"/>
    </w:p>
    <w:p w14:paraId="1D49C343">
      <w:pPr>
        <w:spacing w:line="600" w:lineRule="exact"/>
        <w:ind w:firstLine="640"/>
        <w:outlineLvl w:val="1"/>
        <w:rPr>
          <w:rStyle w:val="29"/>
          <w:rFonts w:ascii="Times New Roman" w:hAnsi="Times New Roman" w:eastAsia="黑体"/>
          <w:color w:val="auto"/>
          <w:highlight w:val="none"/>
        </w:rPr>
      </w:pPr>
      <w:bookmarkStart w:id="78" w:name="_Toc25811"/>
      <w:bookmarkStart w:id="79" w:name="_Toc14564"/>
      <w:r>
        <w:rPr>
          <w:rFonts w:hint="eastAsia" w:ascii="Times New Roman" w:hAnsi="Times New Roman" w:eastAsia="黑体"/>
          <w:color w:val="auto"/>
          <w:sz w:val="32"/>
          <w:szCs w:val="32"/>
          <w:highlight w:val="none"/>
        </w:rPr>
        <w:t>八、</w:t>
      </w:r>
      <w:r>
        <w:rPr>
          <w:rStyle w:val="29"/>
          <w:rFonts w:hint="eastAsia" w:ascii="Times New Roman" w:hAnsi="Times New Roman" w:eastAsia="黑体"/>
          <w:b w:val="0"/>
          <w:color w:val="auto"/>
          <w:highlight w:val="none"/>
        </w:rPr>
        <w:t>政府性基金预算支出决算情况说明</w:t>
      </w:r>
      <w:bookmarkEnd w:id="76"/>
      <w:bookmarkEnd w:id="77"/>
      <w:bookmarkEnd w:id="78"/>
      <w:bookmarkEnd w:id="79"/>
    </w:p>
    <w:p w14:paraId="1606594E">
      <w:pPr>
        <w:spacing w:line="600" w:lineRule="exact"/>
        <w:ind w:firstLine="640"/>
        <w:rPr>
          <w:rFonts w:hint="eastAsia" w:ascii="Times New Roman" w:hAnsi="Times New Roman" w:eastAsia="仿宋_GB2312" w:cs="仿宋_GB2312"/>
          <w:b/>
          <w:bCs/>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2024年度政府性基金预算财政拨款支出</w:t>
      </w:r>
      <w:r>
        <w:rPr>
          <w:rFonts w:hint="eastAsia" w:ascii="仿宋_GB2312" w:hAnsi="仿宋_GB2312" w:eastAsia="仿宋_GB2312" w:cs="仿宋_GB2312"/>
          <w:sz w:val="32"/>
          <w:szCs w:val="32"/>
        </w:rPr>
        <w:t>143.09</w:t>
      </w:r>
      <w:r>
        <w:rPr>
          <w:rFonts w:hint="eastAsia" w:ascii="仿宋_GB2312" w:hAnsi="仿宋_GB2312" w:eastAsia="仿宋_GB2312" w:cs="仿宋_GB2312"/>
          <w:color w:val="auto"/>
          <w:kern w:val="2"/>
          <w:sz w:val="32"/>
          <w:szCs w:val="32"/>
          <w:highlight w:val="none"/>
          <w:lang w:val="en-US" w:eastAsia="zh-CN" w:bidi="ar-SA"/>
        </w:rPr>
        <w:t>万元，占本年支出合计的</w:t>
      </w:r>
      <w:r>
        <w:rPr>
          <w:rFonts w:hint="eastAsia" w:ascii="仿宋_GB2312" w:hAnsi="仿宋_GB2312" w:eastAsia="仿宋_GB2312" w:cs="仿宋_GB2312"/>
          <w:sz w:val="32"/>
          <w:szCs w:val="32"/>
        </w:rPr>
        <w:t>14.08</w:t>
      </w:r>
      <w:r>
        <w:rPr>
          <w:rFonts w:hint="eastAsia" w:ascii="仿宋_GB2312" w:hAnsi="仿宋_GB2312"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。与2023年度相比，政府性基金预算财政拨款支出增加</w:t>
      </w:r>
      <w:r>
        <w:rPr>
          <w:rFonts w:hint="eastAsia" w:eastAsia="仿宋_GB2312" w:cs="仿宋_GB2312"/>
          <w:color w:val="auto"/>
          <w:kern w:val="2"/>
          <w:sz w:val="32"/>
          <w:szCs w:val="32"/>
          <w:highlight w:val="none"/>
          <w:lang w:val="en-US" w:eastAsia="zh-CN" w:bidi="ar-SA"/>
        </w:rPr>
        <w:t>54.94</w:t>
      </w:r>
      <w:r>
        <w:rPr>
          <w:rFonts w:hint="eastAsia" w:ascii="Times New Roman" w:hAnsi="Times New Roman" w:eastAsia="仿宋_GB2312" w:cs="仿宋_GB2312"/>
          <w:color w:val="auto"/>
          <w:kern w:val="2"/>
          <w:sz w:val="32"/>
          <w:szCs w:val="32"/>
          <w:highlight w:val="none"/>
          <w:lang w:val="en-US" w:eastAsia="zh-CN" w:bidi="ar-SA"/>
        </w:rPr>
        <w:t>万元，增长</w:t>
      </w:r>
      <w:r>
        <w:rPr>
          <w:rFonts w:hint="eastAsia" w:eastAsia="仿宋_GB2312" w:cs="仿宋_GB2312"/>
          <w:color w:val="auto"/>
          <w:kern w:val="2"/>
          <w:sz w:val="32"/>
          <w:szCs w:val="32"/>
          <w:highlight w:val="none"/>
          <w:lang w:val="en-US" w:eastAsia="zh-CN" w:bidi="ar-SA"/>
        </w:rPr>
        <w:t>62.32</w:t>
      </w:r>
      <w:r>
        <w:rPr>
          <w:rFonts w:hint="eastAsia" w:ascii="Times New Roman" w:hAnsi="Times New Roman" w:eastAsia="仿宋_GB2312" w:cs="仿宋_GB2312"/>
          <w:color w:val="auto"/>
          <w:kern w:val="2"/>
          <w:sz w:val="32"/>
          <w:szCs w:val="32"/>
          <w:highlight w:val="none"/>
          <w:lang w:val="en-US" w:eastAsia="zh-CN" w:bidi="ar-SA"/>
        </w:rPr>
        <w:t>%。主要变动原因是</w:t>
      </w:r>
      <w:r>
        <w:rPr>
          <w:rFonts w:hint="eastAsia" w:eastAsia="仿宋_GB2312" w:cs="仿宋_GB2312"/>
          <w:color w:val="auto"/>
          <w:kern w:val="2"/>
          <w:sz w:val="32"/>
          <w:szCs w:val="32"/>
          <w:highlight w:val="none"/>
          <w:lang w:val="en-US" w:eastAsia="zh-CN" w:bidi="ar-SA"/>
        </w:rPr>
        <w:t>项目资金调整。</w:t>
      </w:r>
    </w:p>
    <w:p w14:paraId="76B49EA8">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14:paraId="614A00F1">
      <w:pPr>
        <w:numPr>
          <w:ilvl w:val="0"/>
          <w:numId w:val="0"/>
        </w:numPr>
        <w:spacing w:line="600" w:lineRule="exact"/>
        <w:ind w:left="630" w:leftChars="0"/>
        <w:outlineLvl w:val="1"/>
        <w:rPr>
          <w:rStyle w:val="29"/>
          <w:rFonts w:ascii="Times New Roman" w:hAnsi="Times New Roman" w:eastAsia="黑体"/>
          <w:b w:val="0"/>
          <w:color w:val="auto"/>
          <w:highlight w:val="none"/>
        </w:rPr>
      </w:pPr>
      <w:bookmarkStart w:id="80" w:name="_Toc32073"/>
      <w:bookmarkStart w:id="81" w:name="_Toc15396611"/>
      <w:bookmarkStart w:id="82" w:name="_Toc31976"/>
      <w:bookmarkStart w:id="83" w:name="_Toc15377219"/>
      <w:r>
        <w:rPr>
          <w:rStyle w:val="29"/>
          <w:rFonts w:hint="eastAsia" w:ascii="Times New Roman" w:hAnsi="Times New Roman" w:eastAsia="黑体"/>
          <w:b w:val="0"/>
          <w:color w:val="auto"/>
          <w:highlight w:val="none"/>
          <w:lang w:eastAsia="zh-CN"/>
        </w:rPr>
        <w:t>九、</w:t>
      </w:r>
      <w:r>
        <w:rPr>
          <w:rStyle w:val="29"/>
          <w:rFonts w:hint="eastAsia" w:ascii="Times New Roman" w:hAnsi="Times New Roman" w:eastAsia="黑体"/>
          <w:b w:val="0"/>
          <w:color w:val="auto"/>
          <w:highlight w:val="none"/>
        </w:rPr>
        <w:t>国有资本经营预算支出决算情况说明</w:t>
      </w:r>
      <w:bookmarkEnd w:id="80"/>
      <w:bookmarkEnd w:id="81"/>
      <w:bookmarkEnd w:id="82"/>
      <w:bookmarkEnd w:id="83"/>
    </w:p>
    <w:p w14:paraId="1409AED6">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2024年度国有资本经营预算财政拨款支出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万元，占本年支出合计的</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。与2023年度相比，国有资本经营预算财政拨款支出</w:t>
      </w:r>
      <w:r>
        <w:rPr>
          <w:rFonts w:hint="eastAsia" w:eastAsia="仿宋_GB2312" w:cs="仿宋_GB2312"/>
          <w:color w:val="auto"/>
          <w:kern w:val="2"/>
          <w:sz w:val="32"/>
          <w:szCs w:val="32"/>
          <w:highlight w:val="none"/>
          <w:lang w:val="en-US" w:eastAsia="zh-CN" w:bidi="ar-SA"/>
        </w:rPr>
        <w:t>持平。</w:t>
      </w:r>
    </w:p>
    <w:p w14:paraId="1B4949A6">
      <w:pPr>
        <w:numPr>
          <w:ilvl w:val="0"/>
          <w:numId w:val="0"/>
        </w:numPr>
        <w:spacing w:line="600" w:lineRule="exact"/>
        <w:ind w:left="630" w:leftChars="0"/>
        <w:outlineLvl w:val="1"/>
        <w:rPr>
          <w:rStyle w:val="29"/>
          <w:rFonts w:hint="eastAsia" w:ascii="Times New Roman" w:hAnsi="Times New Roman" w:eastAsia="黑体"/>
          <w:b w:val="0"/>
          <w:color w:val="auto"/>
          <w:highlight w:val="none"/>
        </w:rPr>
      </w:pPr>
      <w:bookmarkStart w:id="84" w:name="_Toc11655"/>
      <w:bookmarkStart w:id="85" w:name="_Toc15377221"/>
      <w:bookmarkStart w:id="86" w:name="_Toc15396612"/>
      <w:bookmarkStart w:id="87" w:name="_Toc27191"/>
      <w:r>
        <w:rPr>
          <w:rStyle w:val="29"/>
          <w:rFonts w:hint="eastAsia" w:ascii="Times New Roman" w:hAnsi="Times New Roman" w:eastAsia="黑体"/>
          <w:b w:val="0"/>
          <w:color w:val="auto"/>
          <w:highlight w:val="none"/>
          <w:lang w:eastAsia="zh-CN"/>
        </w:rPr>
        <w:t>十、</w:t>
      </w:r>
      <w:r>
        <w:rPr>
          <w:rStyle w:val="29"/>
          <w:rFonts w:hint="eastAsia" w:ascii="Times New Roman" w:hAnsi="Times New Roman" w:eastAsia="黑体"/>
          <w:b w:val="0"/>
          <w:color w:val="auto"/>
          <w:highlight w:val="none"/>
        </w:rPr>
        <w:t>其他重要事项的情况说明</w:t>
      </w:r>
      <w:bookmarkEnd w:id="84"/>
      <w:bookmarkEnd w:id="85"/>
      <w:bookmarkEnd w:id="86"/>
      <w:bookmarkEnd w:id="87"/>
    </w:p>
    <w:p w14:paraId="0FDA80D6">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88" w:name="_Toc24597"/>
      <w:bookmarkStart w:id="89" w:name="_Toc4463"/>
      <w:bookmarkStart w:id="90" w:name="_Toc15377222"/>
      <w:r>
        <w:rPr>
          <w:rFonts w:hint="eastAsia" w:ascii="Times New Roman" w:hAnsi="Times New Roman" w:eastAsia="楷体_GB2312" w:cs="楷体_GB2312"/>
          <w:b/>
          <w:color w:val="auto"/>
          <w:sz w:val="32"/>
          <w:szCs w:val="32"/>
          <w:highlight w:val="none"/>
        </w:rPr>
        <w:t>（一）机关运行经费支出情况</w:t>
      </w:r>
      <w:bookmarkEnd w:id="88"/>
      <w:bookmarkEnd w:id="89"/>
      <w:bookmarkEnd w:id="90"/>
    </w:p>
    <w:p w14:paraId="3D21146C">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w:t>
      </w:r>
      <w:r>
        <w:rPr>
          <w:rFonts w:hint="eastAsia" w:ascii="仿宋_GB2312" w:hAnsi="仿宋_GB2312" w:eastAsia="仿宋_GB2312" w:cs="仿宋_GB2312"/>
          <w:color w:val="auto"/>
          <w:kern w:val="2"/>
          <w:sz w:val="32"/>
          <w:szCs w:val="32"/>
          <w:highlight w:val="none"/>
          <w:lang w:val="en-US" w:eastAsia="zh-CN" w:bidi="ar-SA"/>
        </w:rPr>
        <w:t>，</w:t>
      </w:r>
      <w:r>
        <w:rPr>
          <w:rFonts w:hint="eastAsia" w:ascii="仿宋_GB2312" w:hAnsi="仿宋_GB2312" w:eastAsia="仿宋_GB2312" w:cs="仿宋_GB2312"/>
          <w:sz w:val="32"/>
          <w:szCs w:val="32"/>
        </w:rPr>
        <w:t>绵竹市残疾人联合会</w:t>
      </w:r>
      <w:r>
        <w:rPr>
          <w:rFonts w:hint="eastAsia" w:ascii="仿宋_GB2312" w:hAnsi="仿宋_GB2312" w:eastAsia="仿宋_GB2312" w:cs="仿宋_GB2312"/>
          <w:color w:val="auto"/>
          <w:kern w:val="2"/>
          <w:sz w:val="32"/>
          <w:szCs w:val="32"/>
          <w:highlight w:val="none"/>
          <w:lang w:val="en-US" w:eastAsia="zh-CN" w:bidi="ar-SA"/>
        </w:rPr>
        <w:t>机关运行经费支出</w:t>
      </w:r>
      <w:r>
        <w:rPr>
          <w:rFonts w:hint="eastAsia" w:ascii="仿宋_GB2312" w:hAnsi="仿宋_GB2312" w:eastAsia="仿宋_GB2312" w:cs="仿宋_GB2312"/>
          <w:sz w:val="32"/>
          <w:szCs w:val="32"/>
        </w:rPr>
        <w:t>16.46</w:t>
      </w:r>
      <w:r>
        <w:rPr>
          <w:rFonts w:hint="eastAsia" w:ascii="仿宋_GB2312" w:hAnsi="仿宋_GB2312" w:eastAsia="仿宋_GB2312" w:cs="仿宋_GB2312"/>
          <w:color w:val="auto"/>
          <w:kern w:val="2"/>
          <w:sz w:val="32"/>
          <w:szCs w:val="32"/>
          <w:highlight w:val="none"/>
          <w:lang w:val="en-US" w:eastAsia="zh-CN" w:bidi="ar-SA"/>
        </w:rPr>
        <w:t>万</w:t>
      </w:r>
      <w:r>
        <w:rPr>
          <w:rFonts w:hint="eastAsia" w:ascii="Times New Roman" w:hAnsi="Times New Roman" w:eastAsia="仿宋_GB2312" w:cs="仿宋_GB2312"/>
          <w:color w:val="auto"/>
          <w:kern w:val="2"/>
          <w:sz w:val="32"/>
          <w:szCs w:val="32"/>
          <w:highlight w:val="none"/>
          <w:lang w:val="en-US" w:eastAsia="zh-CN" w:bidi="ar-SA"/>
        </w:rPr>
        <w:t>元，比2023年度增加</w:t>
      </w:r>
      <w:r>
        <w:rPr>
          <w:rFonts w:hint="eastAsia" w:eastAsia="仿宋_GB2312" w:cs="仿宋_GB2312"/>
          <w:color w:val="auto"/>
          <w:kern w:val="2"/>
          <w:sz w:val="32"/>
          <w:szCs w:val="32"/>
          <w:highlight w:val="none"/>
          <w:lang w:val="en-US" w:eastAsia="zh-CN" w:bidi="ar-SA"/>
        </w:rPr>
        <w:t>1.48</w:t>
      </w:r>
      <w:r>
        <w:rPr>
          <w:rFonts w:hint="eastAsia" w:ascii="Times New Roman" w:hAnsi="Times New Roman" w:eastAsia="仿宋_GB2312" w:cs="仿宋_GB2312"/>
          <w:color w:val="auto"/>
          <w:kern w:val="2"/>
          <w:sz w:val="32"/>
          <w:szCs w:val="32"/>
          <w:highlight w:val="none"/>
          <w:lang w:val="en-US" w:eastAsia="zh-CN" w:bidi="ar-SA"/>
        </w:rPr>
        <w:t>万元，增长</w:t>
      </w:r>
      <w:r>
        <w:rPr>
          <w:rFonts w:hint="eastAsia" w:eastAsia="仿宋_GB2312" w:cs="仿宋_GB2312"/>
          <w:color w:val="auto"/>
          <w:kern w:val="2"/>
          <w:sz w:val="32"/>
          <w:szCs w:val="32"/>
          <w:highlight w:val="none"/>
          <w:lang w:val="en-US" w:eastAsia="zh-CN" w:bidi="ar-SA"/>
        </w:rPr>
        <w:t>9.87</w:t>
      </w:r>
      <w:r>
        <w:rPr>
          <w:rFonts w:hint="eastAsia" w:ascii="Times New Roman" w:hAnsi="Times New Roman" w:eastAsia="仿宋_GB2312" w:cs="仿宋_GB2312"/>
          <w:color w:val="auto"/>
          <w:kern w:val="2"/>
          <w:sz w:val="32"/>
          <w:szCs w:val="32"/>
          <w:highlight w:val="none"/>
          <w:lang w:val="en-US" w:eastAsia="zh-CN" w:bidi="ar-SA"/>
        </w:rPr>
        <w:t>%</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主要原因是</w:t>
      </w:r>
      <w:r>
        <w:rPr>
          <w:rFonts w:hint="eastAsia" w:eastAsia="仿宋_GB2312" w:cs="仿宋_GB2312"/>
          <w:color w:val="auto"/>
          <w:kern w:val="2"/>
          <w:sz w:val="32"/>
          <w:szCs w:val="32"/>
          <w:highlight w:val="none"/>
          <w:lang w:val="en-US" w:eastAsia="zh-CN" w:bidi="ar-SA"/>
        </w:rPr>
        <w:t>人员增加。</w:t>
      </w:r>
    </w:p>
    <w:p w14:paraId="2DA5D098">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14:paraId="01EE8D69">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91" w:name="_Toc15377223"/>
      <w:bookmarkStart w:id="92" w:name="_Toc3030"/>
      <w:bookmarkStart w:id="93" w:name="_Toc24304"/>
      <w:r>
        <w:rPr>
          <w:rFonts w:hint="eastAsia" w:ascii="Times New Roman" w:hAnsi="Times New Roman" w:eastAsia="楷体_GB2312" w:cs="楷体_GB2312"/>
          <w:b/>
          <w:color w:val="auto"/>
          <w:sz w:val="32"/>
          <w:szCs w:val="32"/>
          <w:highlight w:val="none"/>
        </w:rPr>
        <w:t>（二）政府采购支出情况</w:t>
      </w:r>
      <w:bookmarkEnd w:id="91"/>
      <w:bookmarkEnd w:id="92"/>
      <w:bookmarkEnd w:id="93"/>
    </w:p>
    <w:p w14:paraId="15CCEB4A">
      <w:pPr>
        <w:spacing w:line="600" w:lineRule="exact"/>
        <w:ind w:firstLine="640"/>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2024年度，</w:t>
      </w:r>
      <w:r>
        <w:rPr>
          <w:rFonts w:hint="eastAsia" w:ascii="仿宋_GB2312" w:hAnsi="仿宋_GB2312" w:eastAsia="仿宋_GB2312" w:cs="仿宋_GB2312"/>
          <w:sz w:val="32"/>
          <w:szCs w:val="32"/>
        </w:rPr>
        <w:t>绵竹市残疾人联合会</w:t>
      </w:r>
      <w:r>
        <w:rPr>
          <w:rFonts w:hint="eastAsia" w:ascii="仿宋_GB2312" w:hAnsi="仿宋_GB2312" w:eastAsia="仿宋_GB2312" w:cs="仿宋_GB2312"/>
          <w:color w:val="auto"/>
          <w:kern w:val="2"/>
          <w:sz w:val="32"/>
          <w:szCs w:val="32"/>
          <w:highlight w:val="none"/>
          <w:lang w:val="en-US" w:eastAsia="zh-CN" w:bidi="ar-SA"/>
        </w:rPr>
        <w:t>政府采购支出总额</w:t>
      </w:r>
      <w:r>
        <w:rPr>
          <w:rFonts w:hint="eastAsia" w:ascii="仿宋_GB2312" w:hAnsi="仿宋_GB2312" w:eastAsia="仿宋_GB2312" w:cs="仿宋_GB2312"/>
          <w:sz w:val="32"/>
          <w:szCs w:val="32"/>
        </w:rPr>
        <w:t>146.72</w:t>
      </w:r>
      <w:r>
        <w:rPr>
          <w:rFonts w:hint="eastAsia" w:ascii="仿宋_GB2312" w:hAnsi="仿宋_GB2312" w:eastAsia="仿宋_GB2312" w:cs="仿宋_GB2312"/>
          <w:color w:val="auto"/>
          <w:kern w:val="2"/>
          <w:sz w:val="32"/>
          <w:szCs w:val="32"/>
          <w:highlight w:val="none"/>
          <w:lang w:val="en-US" w:eastAsia="zh-CN" w:bidi="ar-SA"/>
        </w:rPr>
        <w:t>万元，其中：政府采购货物支出</w:t>
      </w:r>
      <w:r>
        <w:rPr>
          <w:rFonts w:hint="eastAsia" w:ascii="仿宋_GB2312" w:hAnsi="仿宋_GB2312" w:eastAsia="仿宋_GB2312" w:cs="仿宋_GB2312"/>
          <w:sz w:val="32"/>
          <w:szCs w:val="32"/>
        </w:rPr>
        <w:t>146.72</w:t>
      </w:r>
      <w:r>
        <w:rPr>
          <w:rFonts w:hint="eastAsia" w:ascii="仿宋_GB2312" w:hAnsi="仿宋_GB2312" w:eastAsia="仿宋_GB2312" w:cs="仿宋_GB2312"/>
          <w:color w:val="auto"/>
          <w:kern w:val="2"/>
          <w:sz w:val="32"/>
          <w:szCs w:val="32"/>
          <w:highlight w:val="none"/>
          <w:lang w:val="en-US" w:eastAsia="zh-CN" w:bidi="ar-SA"/>
        </w:rPr>
        <w:t>万元、政府采购工程支出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万元、政府采购服务支出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万元。主要用于辅具采购、无障碍环境改造、残疾人意外保险。授予中小企业合同金额</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万元，占政府采购支出总额的</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%，其中：授予小微企业合同金额</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万元，占政府采购支出总额的</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w:t>
      </w:r>
    </w:p>
    <w:p w14:paraId="262545C6">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14:paraId="35B8D951">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94" w:name="_Toc19524"/>
      <w:bookmarkStart w:id="95" w:name="_Toc17755"/>
      <w:bookmarkStart w:id="96" w:name="_Toc15377224"/>
      <w:r>
        <w:rPr>
          <w:rFonts w:hint="eastAsia" w:ascii="Times New Roman" w:hAnsi="Times New Roman" w:eastAsia="楷体_GB2312" w:cs="楷体_GB2312"/>
          <w:b/>
          <w:color w:val="auto"/>
          <w:sz w:val="32"/>
          <w:szCs w:val="32"/>
          <w:highlight w:val="none"/>
        </w:rPr>
        <w:t>（三）国有资产占有使用情况</w:t>
      </w:r>
      <w:bookmarkEnd w:id="94"/>
      <w:bookmarkEnd w:id="95"/>
      <w:bookmarkEnd w:id="96"/>
    </w:p>
    <w:p w14:paraId="1BC38D6A">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截至2024年12月31日，</w:t>
      </w:r>
      <w:r>
        <w:rPr>
          <w:rFonts w:hint="eastAsia" w:ascii="仿宋_GB2312" w:hAnsi="仿宋_GB2312" w:eastAsia="仿宋_GB2312" w:cs="仿宋_GB2312"/>
          <w:sz w:val="32"/>
          <w:szCs w:val="32"/>
        </w:rPr>
        <w:t>绵竹市残疾人联合会</w:t>
      </w:r>
      <w:r>
        <w:rPr>
          <w:rFonts w:hint="eastAsia" w:ascii="仿宋_GB2312" w:hAnsi="仿宋_GB2312" w:eastAsia="仿宋_GB2312" w:cs="仿宋_GB2312"/>
          <w:color w:val="auto"/>
          <w:kern w:val="2"/>
          <w:sz w:val="32"/>
          <w:szCs w:val="32"/>
          <w:highlight w:val="none"/>
          <w:lang w:val="en-US" w:eastAsia="zh-CN" w:bidi="ar-SA"/>
        </w:rPr>
        <w:t>共有车辆</w:t>
      </w:r>
      <w:r>
        <w:rPr>
          <w:rFonts w:hint="eastAsia" w:ascii="仿宋_GB2312" w:hAnsi="仿宋_GB2312" w:eastAsia="仿宋_GB2312" w:cs="仿宋_GB2312"/>
          <w:sz w:val="32"/>
          <w:szCs w:val="32"/>
        </w:rPr>
        <w:t>1</w:t>
      </w:r>
      <w:r>
        <w:rPr>
          <w:rFonts w:hint="eastAsia" w:ascii="仿宋_GB2312" w:hAnsi="仿宋_GB2312" w:eastAsia="仿宋_GB2312" w:cs="仿宋_GB2312"/>
          <w:color w:val="auto"/>
          <w:kern w:val="2"/>
          <w:sz w:val="32"/>
          <w:szCs w:val="32"/>
          <w:highlight w:val="none"/>
          <w:lang w:val="en-US" w:eastAsia="zh-CN" w:bidi="ar-SA"/>
        </w:rPr>
        <w:t>辆，其中：主要负责人用车</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辆、机要通信用车</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辆、应急保障用车</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辆、其他用车</w:t>
      </w:r>
      <w:r>
        <w:rPr>
          <w:rFonts w:hint="eastAsia" w:ascii="仿宋_GB2312" w:hAnsi="仿宋_GB2312" w:eastAsia="仿宋_GB2312" w:cs="仿宋_GB2312"/>
          <w:sz w:val="32"/>
          <w:szCs w:val="32"/>
        </w:rPr>
        <w:t>1</w:t>
      </w:r>
      <w:r>
        <w:rPr>
          <w:rFonts w:hint="eastAsia" w:ascii="仿宋_GB2312" w:hAnsi="仿宋_GB2312" w:eastAsia="仿宋_GB2312" w:cs="仿宋_GB2312"/>
          <w:color w:val="auto"/>
          <w:kern w:val="2"/>
          <w:sz w:val="32"/>
          <w:szCs w:val="32"/>
          <w:highlight w:val="none"/>
          <w:lang w:val="en-US" w:eastAsia="zh-CN" w:bidi="ar-SA"/>
        </w:rPr>
        <w:t>辆，其他用车主要是用于走访慰问残疾人，开展残疾人工作。单价100万元（含）以上设备（不含车辆）</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台（套）</w:t>
      </w:r>
      <w:r>
        <w:rPr>
          <w:rFonts w:hint="eastAsia" w:ascii="Times New Roman" w:hAnsi="Times New Roman" w:eastAsia="仿宋_GB2312" w:cs="仿宋_GB2312"/>
          <w:color w:val="auto"/>
          <w:kern w:val="2"/>
          <w:sz w:val="32"/>
          <w:szCs w:val="32"/>
          <w:highlight w:val="none"/>
          <w:lang w:val="en-US" w:eastAsia="zh-CN" w:bidi="ar-SA"/>
        </w:rPr>
        <w:t>。</w:t>
      </w:r>
    </w:p>
    <w:p w14:paraId="4856FF29">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14:paraId="01AFFEBB">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97" w:name="_Toc22043"/>
      <w:bookmarkStart w:id="98" w:name="_Toc7170"/>
      <w:r>
        <w:rPr>
          <w:rFonts w:hint="eastAsia" w:ascii="Times New Roman" w:hAnsi="Times New Roman" w:eastAsia="楷体_GB2312" w:cs="楷体_GB2312"/>
          <w:b/>
          <w:color w:val="auto"/>
          <w:sz w:val="32"/>
          <w:szCs w:val="32"/>
          <w:highlight w:val="none"/>
        </w:rPr>
        <w:t>（四）预算绩效管理情况</w:t>
      </w:r>
      <w:bookmarkEnd w:id="97"/>
      <w:bookmarkEnd w:id="98"/>
    </w:p>
    <w:p w14:paraId="76C3DEB4">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根据预算绩效管理要求，</w:t>
      </w:r>
      <w:r>
        <w:rPr>
          <w:rFonts w:hint="eastAsia" w:eastAsia="仿宋_GB2312" w:cs="仿宋_GB2312"/>
          <w:color w:val="auto"/>
          <w:kern w:val="2"/>
          <w:sz w:val="32"/>
          <w:szCs w:val="32"/>
          <w:highlight w:val="none"/>
          <w:lang w:val="en-US" w:eastAsia="zh-CN" w:bidi="ar-SA"/>
        </w:rPr>
        <w:t>绵竹市残疾人联合会</w:t>
      </w:r>
      <w:r>
        <w:rPr>
          <w:rFonts w:hint="eastAsia" w:ascii="Times New Roman" w:hAnsi="Times New Roman" w:eastAsia="仿宋_GB2312" w:cs="仿宋_GB2312"/>
          <w:color w:val="auto"/>
          <w:kern w:val="2"/>
          <w:sz w:val="32"/>
          <w:szCs w:val="32"/>
          <w:highlight w:val="none"/>
          <w:lang w:val="en-US" w:eastAsia="zh-CN" w:bidi="ar-SA"/>
        </w:rPr>
        <w:t>在2024年度预算编制阶段，组织对</w:t>
      </w:r>
      <w:r>
        <w:rPr>
          <w:rFonts w:hint="eastAsia" w:eastAsia="仿宋_GB2312" w:cs="仿宋_GB2312"/>
          <w:color w:val="auto"/>
          <w:kern w:val="2"/>
          <w:sz w:val="32"/>
          <w:szCs w:val="32"/>
          <w:highlight w:val="none"/>
          <w:lang w:val="en-US" w:eastAsia="zh-CN" w:bidi="ar-SA"/>
        </w:rPr>
        <w:t>基本康复服务</w:t>
      </w:r>
      <w:r>
        <w:rPr>
          <w:rFonts w:hint="eastAsia" w:ascii="Times New Roman" w:hAnsi="Times New Roman" w:eastAsia="仿宋_GB2312" w:cs="仿宋_GB2312"/>
          <w:color w:val="auto"/>
          <w:kern w:val="2"/>
          <w:sz w:val="32"/>
          <w:szCs w:val="32"/>
          <w:highlight w:val="none"/>
          <w:lang w:val="en-US" w:eastAsia="zh-CN" w:bidi="ar-SA"/>
        </w:rPr>
        <w:t>（项目名称）等</w:t>
      </w:r>
      <w:r>
        <w:rPr>
          <w:rFonts w:hint="eastAsia" w:eastAsia="仿宋_GB2312" w:cs="仿宋_GB2312"/>
          <w:color w:val="auto"/>
          <w:kern w:val="2"/>
          <w:sz w:val="32"/>
          <w:szCs w:val="32"/>
          <w:highlight w:val="none"/>
          <w:lang w:val="en-US" w:eastAsia="zh-CN" w:bidi="ar-SA"/>
        </w:rPr>
        <w:t>34</w:t>
      </w:r>
      <w:r>
        <w:rPr>
          <w:rFonts w:hint="eastAsia" w:ascii="Times New Roman" w:hAnsi="Times New Roman" w:eastAsia="仿宋_GB2312" w:cs="仿宋_GB2312"/>
          <w:color w:val="auto"/>
          <w:kern w:val="2"/>
          <w:sz w:val="32"/>
          <w:szCs w:val="32"/>
          <w:highlight w:val="none"/>
          <w:lang w:val="en-US" w:eastAsia="zh-CN" w:bidi="ar-SA"/>
        </w:rPr>
        <w:t>个项目开展了预算事前绩效评估，对</w:t>
      </w:r>
      <w:r>
        <w:rPr>
          <w:rFonts w:hint="eastAsia" w:eastAsia="仿宋_GB2312" w:cs="仿宋_GB2312"/>
          <w:color w:val="auto"/>
          <w:kern w:val="2"/>
          <w:sz w:val="32"/>
          <w:szCs w:val="32"/>
          <w:highlight w:val="none"/>
          <w:lang w:val="en-US" w:eastAsia="zh-CN" w:bidi="ar-SA"/>
        </w:rPr>
        <w:t>34</w:t>
      </w:r>
      <w:r>
        <w:rPr>
          <w:rFonts w:hint="eastAsia" w:ascii="Times New Roman" w:hAnsi="Times New Roman" w:eastAsia="仿宋_GB2312" w:cs="仿宋_GB2312"/>
          <w:color w:val="auto"/>
          <w:kern w:val="2"/>
          <w:sz w:val="32"/>
          <w:szCs w:val="32"/>
          <w:highlight w:val="none"/>
          <w:lang w:val="en-US" w:eastAsia="zh-CN" w:bidi="ar-SA"/>
        </w:rPr>
        <w:t>个项目编制了绩效目标，预算执行过程中，选取</w:t>
      </w:r>
      <w:r>
        <w:rPr>
          <w:rFonts w:hint="eastAsia" w:eastAsia="仿宋_GB2312" w:cs="仿宋_GB2312"/>
          <w:color w:val="auto"/>
          <w:kern w:val="2"/>
          <w:sz w:val="32"/>
          <w:szCs w:val="32"/>
          <w:highlight w:val="none"/>
          <w:lang w:val="en-US" w:eastAsia="zh-CN" w:bidi="ar-SA"/>
        </w:rPr>
        <w:t>34</w:t>
      </w:r>
      <w:r>
        <w:rPr>
          <w:rFonts w:hint="eastAsia" w:ascii="Times New Roman" w:hAnsi="Times New Roman" w:eastAsia="仿宋_GB2312" w:cs="仿宋_GB2312"/>
          <w:color w:val="auto"/>
          <w:kern w:val="2"/>
          <w:sz w:val="32"/>
          <w:szCs w:val="32"/>
          <w:highlight w:val="none"/>
          <w:lang w:val="en-US" w:eastAsia="zh-CN" w:bidi="ar-SA"/>
        </w:rPr>
        <w:t>个项目开展绩效监控。</w:t>
      </w:r>
    </w:p>
    <w:p w14:paraId="7DB4D282">
      <w:pPr>
        <w:spacing w:line="600" w:lineRule="exact"/>
        <w:ind w:firstLine="640"/>
        <w:rPr>
          <w:rFonts w:hint="eastAsia" w:ascii="Times New Roman" w:hAnsi="Times New Roman" w:eastAsia="仿宋_GB2312" w:cs="仿宋_GB2312"/>
          <w:b/>
          <w:bCs/>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组织对2024年度一般公共预算、政府性基金预算、国有资本经营预算、社会保险基金预算以及资本资产、债券资金等全面开展绩效自评</w:t>
      </w:r>
      <w:r>
        <w:rPr>
          <w:rFonts w:hint="eastAsia" w:eastAsia="仿宋_GB2312" w:cs="仿宋_GB2312"/>
          <w:color w:val="auto"/>
          <w:kern w:val="2"/>
          <w:sz w:val="32"/>
          <w:szCs w:val="32"/>
          <w:highlight w:val="none"/>
          <w:lang w:val="en-US" w:eastAsia="zh-CN" w:bidi="ar-SA"/>
        </w:rPr>
        <w:t>。</w:t>
      </w:r>
    </w:p>
    <w:p w14:paraId="0902FDDD">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14:paraId="702925E0">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14:paraId="2F6FAA89">
      <w:pPr>
        <w:numPr>
          <w:ilvl w:val="0"/>
          <w:numId w:val="0"/>
        </w:numPr>
        <w:spacing w:line="600" w:lineRule="exact"/>
        <w:jc w:val="center"/>
        <w:outlineLvl w:val="0"/>
        <w:rPr>
          <w:rFonts w:hint="eastAsia" w:ascii="Times New Roman" w:hAnsi="Times New Roman" w:eastAsia="黑体"/>
          <w:color w:val="auto"/>
          <w:sz w:val="44"/>
          <w:szCs w:val="44"/>
          <w:highlight w:val="none"/>
        </w:rPr>
      </w:pPr>
      <w:bookmarkStart w:id="99" w:name="_Toc15396613"/>
      <w:bookmarkStart w:id="100" w:name="_Toc15377225"/>
      <w:bookmarkStart w:id="101" w:name="_Toc22090"/>
      <w:bookmarkStart w:id="102" w:name="_Toc21667"/>
    </w:p>
    <w:p w14:paraId="33A15F1D">
      <w:pPr>
        <w:numPr>
          <w:ilvl w:val="0"/>
          <w:numId w:val="0"/>
        </w:numPr>
        <w:spacing w:line="600" w:lineRule="exact"/>
        <w:jc w:val="center"/>
        <w:outlineLvl w:val="0"/>
        <w:rPr>
          <w:rFonts w:hint="eastAsia" w:ascii="Times New Roman" w:hAnsi="Times New Roman" w:eastAsia="黑体"/>
          <w:color w:val="auto"/>
          <w:sz w:val="44"/>
          <w:szCs w:val="44"/>
          <w:highlight w:val="none"/>
        </w:rPr>
      </w:pPr>
    </w:p>
    <w:p w14:paraId="30042D0E">
      <w:pPr>
        <w:numPr>
          <w:ilvl w:val="0"/>
          <w:numId w:val="0"/>
        </w:numPr>
        <w:spacing w:line="600" w:lineRule="exact"/>
        <w:jc w:val="center"/>
        <w:outlineLvl w:val="0"/>
        <w:rPr>
          <w:rFonts w:hint="eastAsia" w:ascii="Times New Roman" w:hAnsi="Times New Roman" w:eastAsia="黑体"/>
          <w:color w:val="auto"/>
          <w:sz w:val="44"/>
          <w:szCs w:val="44"/>
          <w:highlight w:val="none"/>
        </w:rPr>
      </w:pPr>
      <w:r>
        <w:rPr>
          <w:rFonts w:hint="eastAsia" w:ascii="Times New Roman" w:hAnsi="Times New Roman" w:eastAsia="黑体"/>
          <w:color w:val="auto"/>
          <w:sz w:val="44"/>
          <w:szCs w:val="44"/>
          <w:highlight w:val="none"/>
        </w:rPr>
        <w:t>第</w:t>
      </w:r>
      <w:r>
        <w:rPr>
          <w:rFonts w:hint="eastAsia" w:eastAsia="黑体"/>
          <w:color w:val="auto"/>
          <w:sz w:val="44"/>
          <w:szCs w:val="44"/>
          <w:highlight w:val="none"/>
          <w:lang w:eastAsia="zh-CN"/>
        </w:rPr>
        <w:t>三</w:t>
      </w:r>
      <w:r>
        <w:rPr>
          <w:rFonts w:hint="eastAsia" w:ascii="Times New Roman" w:hAnsi="Times New Roman" w:eastAsia="黑体"/>
          <w:color w:val="auto"/>
          <w:sz w:val="44"/>
          <w:szCs w:val="44"/>
          <w:highlight w:val="none"/>
        </w:rPr>
        <w:t>部分</w:t>
      </w:r>
      <w:r>
        <w:rPr>
          <w:rFonts w:hint="eastAsia" w:ascii="Times New Roman" w:hAnsi="Times New Roman" w:eastAsia="黑体"/>
          <w:color w:val="auto"/>
          <w:sz w:val="44"/>
          <w:szCs w:val="44"/>
          <w:highlight w:val="none"/>
          <w:lang w:val="en-US" w:eastAsia="zh-CN"/>
        </w:rPr>
        <w:t xml:space="preserve"> </w:t>
      </w:r>
      <w:r>
        <w:rPr>
          <w:rFonts w:hint="eastAsia" w:eastAsia="黑体"/>
          <w:color w:val="auto"/>
          <w:sz w:val="44"/>
          <w:szCs w:val="44"/>
          <w:highlight w:val="none"/>
          <w:lang w:val="en-US" w:eastAsia="zh-CN"/>
        </w:rPr>
        <w:t xml:space="preserve"> </w:t>
      </w:r>
      <w:r>
        <w:rPr>
          <w:rFonts w:hint="eastAsia" w:ascii="Times New Roman" w:hAnsi="Times New Roman" w:eastAsia="黑体"/>
          <w:color w:val="auto"/>
          <w:sz w:val="44"/>
          <w:szCs w:val="44"/>
          <w:highlight w:val="none"/>
        </w:rPr>
        <w:t>名词解释</w:t>
      </w:r>
      <w:bookmarkEnd w:id="99"/>
      <w:bookmarkEnd w:id="100"/>
      <w:bookmarkEnd w:id="101"/>
      <w:bookmarkEnd w:id="102"/>
    </w:p>
    <w:p w14:paraId="0F9499D6">
      <w:pPr>
        <w:spacing w:line="600" w:lineRule="exact"/>
        <w:jc w:val="left"/>
        <w:rPr>
          <w:rFonts w:ascii="Times New Roman" w:hAnsi="Times New Roman"/>
          <w:b/>
          <w:color w:val="auto"/>
          <w:sz w:val="44"/>
          <w:szCs w:val="44"/>
          <w:highlight w:val="none"/>
        </w:rPr>
      </w:pPr>
    </w:p>
    <w:p w14:paraId="093FF1C4">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1.财政拨款收入：指</w:t>
      </w:r>
      <w:r>
        <w:rPr>
          <w:rFonts w:hint="eastAsia" w:eastAsia="仿宋_GB2312" w:cs="仿宋_GB2312"/>
          <w:color w:val="auto"/>
          <w:kern w:val="2"/>
          <w:sz w:val="32"/>
          <w:szCs w:val="32"/>
          <w:highlight w:val="none"/>
          <w:lang w:val="en-US" w:eastAsia="zh-CN" w:bidi="ar-SA"/>
        </w:rPr>
        <w:t>单位</w:t>
      </w:r>
      <w:r>
        <w:rPr>
          <w:rFonts w:hint="eastAsia" w:ascii="Times New Roman" w:hAnsi="Times New Roman" w:eastAsia="仿宋_GB2312" w:cs="仿宋_GB2312"/>
          <w:color w:val="auto"/>
          <w:kern w:val="2"/>
          <w:sz w:val="32"/>
          <w:szCs w:val="32"/>
          <w:highlight w:val="none"/>
          <w:lang w:val="en-US" w:eastAsia="zh-CN" w:bidi="ar-SA"/>
        </w:rPr>
        <w:t>从同级财政</w:t>
      </w:r>
      <w:r>
        <w:rPr>
          <w:rFonts w:hint="eastAsia" w:eastAsia="仿宋_GB2312" w:cs="仿宋_GB2312"/>
          <w:color w:val="auto"/>
          <w:kern w:val="2"/>
          <w:sz w:val="32"/>
          <w:szCs w:val="32"/>
          <w:highlight w:val="none"/>
          <w:lang w:val="en-US" w:eastAsia="zh-CN" w:bidi="ar-SA"/>
        </w:rPr>
        <w:t>单位</w:t>
      </w:r>
      <w:r>
        <w:rPr>
          <w:rFonts w:hint="eastAsia" w:ascii="Times New Roman" w:hAnsi="Times New Roman" w:eastAsia="仿宋_GB2312" w:cs="仿宋_GB2312"/>
          <w:color w:val="auto"/>
          <w:kern w:val="2"/>
          <w:sz w:val="32"/>
          <w:szCs w:val="32"/>
          <w:highlight w:val="none"/>
          <w:lang w:val="en-US" w:eastAsia="zh-CN" w:bidi="ar-SA"/>
        </w:rPr>
        <w:t>取得的财政预算资金。</w:t>
      </w:r>
    </w:p>
    <w:p w14:paraId="68CF5626">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2.事业收入：指事业</w:t>
      </w:r>
      <w:r>
        <w:rPr>
          <w:rFonts w:hint="eastAsia" w:eastAsia="仿宋_GB2312" w:cs="仿宋_GB2312"/>
          <w:color w:val="auto"/>
          <w:kern w:val="2"/>
          <w:sz w:val="32"/>
          <w:szCs w:val="32"/>
          <w:highlight w:val="none"/>
          <w:lang w:val="en-US" w:eastAsia="zh-CN" w:bidi="ar-SA"/>
        </w:rPr>
        <w:t>单位</w:t>
      </w:r>
      <w:r>
        <w:rPr>
          <w:rFonts w:hint="eastAsia" w:ascii="Times New Roman" w:hAnsi="Times New Roman" w:eastAsia="仿宋_GB2312" w:cs="仿宋_GB2312"/>
          <w:color w:val="auto"/>
          <w:kern w:val="2"/>
          <w:sz w:val="32"/>
          <w:szCs w:val="32"/>
          <w:highlight w:val="none"/>
          <w:lang w:val="en-US" w:eastAsia="zh-CN" w:bidi="ar-SA"/>
        </w:rPr>
        <w:t>开展专业业务活动及辅助活动取得的收入。。</w:t>
      </w:r>
    </w:p>
    <w:p w14:paraId="211A26BC">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3.经营收入：指事业</w:t>
      </w:r>
      <w:r>
        <w:rPr>
          <w:rFonts w:hint="eastAsia" w:eastAsia="仿宋_GB2312" w:cs="仿宋_GB2312"/>
          <w:color w:val="auto"/>
          <w:kern w:val="2"/>
          <w:sz w:val="32"/>
          <w:szCs w:val="32"/>
          <w:highlight w:val="none"/>
          <w:lang w:val="en-US" w:eastAsia="zh-CN" w:bidi="ar-SA"/>
        </w:rPr>
        <w:t>单位</w:t>
      </w:r>
      <w:r>
        <w:rPr>
          <w:rFonts w:hint="eastAsia" w:ascii="Times New Roman" w:hAnsi="Times New Roman" w:eastAsia="仿宋_GB2312" w:cs="仿宋_GB2312"/>
          <w:color w:val="auto"/>
          <w:kern w:val="2"/>
          <w:sz w:val="32"/>
          <w:szCs w:val="32"/>
          <w:highlight w:val="none"/>
          <w:lang w:val="en-US" w:eastAsia="zh-CN" w:bidi="ar-SA"/>
        </w:rPr>
        <w:t>在专业业务活动及其辅助活动之外开展非独立核算经营活动取得的收入。</w:t>
      </w:r>
    </w:p>
    <w:p w14:paraId="4731DC85">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4.其他收入：指</w:t>
      </w:r>
      <w:r>
        <w:rPr>
          <w:rFonts w:hint="eastAsia" w:eastAsia="仿宋_GB2312" w:cs="仿宋_GB2312"/>
          <w:color w:val="auto"/>
          <w:kern w:val="2"/>
          <w:sz w:val="32"/>
          <w:szCs w:val="32"/>
          <w:highlight w:val="none"/>
          <w:lang w:val="en-US" w:eastAsia="zh-CN" w:bidi="ar-SA"/>
        </w:rPr>
        <w:t>单位</w:t>
      </w:r>
      <w:r>
        <w:rPr>
          <w:rFonts w:hint="eastAsia" w:ascii="Times New Roman" w:hAnsi="Times New Roman" w:eastAsia="仿宋_GB2312" w:cs="仿宋_GB2312"/>
          <w:color w:val="auto"/>
          <w:kern w:val="2"/>
          <w:sz w:val="32"/>
          <w:szCs w:val="32"/>
          <w:highlight w:val="none"/>
          <w:lang w:val="en-US" w:eastAsia="zh-CN" w:bidi="ar-SA"/>
        </w:rPr>
        <w:t>取得的除上述收入以外的各项收入。</w:t>
      </w:r>
    </w:p>
    <w:p w14:paraId="1A835238">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5.使用非财政拨款结余（含专用结余）：指事业</w:t>
      </w:r>
      <w:r>
        <w:rPr>
          <w:rFonts w:hint="eastAsia" w:eastAsia="仿宋_GB2312" w:cs="仿宋_GB2312"/>
          <w:color w:val="auto"/>
          <w:kern w:val="2"/>
          <w:sz w:val="32"/>
          <w:szCs w:val="32"/>
          <w:highlight w:val="none"/>
          <w:lang w:val="en-US" w:eastAsia="zh-CN" w:bidi="ar-SA"/>
        </w:rPr>
        <w:t>单位</w:t>
      </w:r>
      <w:r>
        <w:rPr>
          <w:rFonts w:hint="eastAsia" w:ascii="Times New Roman" w:hAnsi="Times New Roman" w:eastAsia="仿宋_GB2312" w:cs="仿宋_GB2312"/>
          <w:color w:val="auto"/>
          <w:kern w:val="2"/>
          <w:sz w:val="32"/>
          <w:szCs w:val="32"/>
          <w:highlight w:val="none"/>
          <w:lang w:val="en-US" w:eastAsia="zh-CN" w:bidi="ar-SA"/>
        </w:rPr>
        <w:t xml:space="preserve">使用以前年度积累的非财政拨款结余弥补当年收支差额的金额。 </w:t>
      </w:r>
    </w:p>
    <w:p w14:paraId="3A210223">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 xml:space="preserve">6.年初结转和结余：指以前年度尚未完成、结转到本年按有关规定继续使用的资金。 </w:t>
      </w:r>
    </w:p>
    <w:p w14:paraId="6793B311">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7.结余分配：指事业</w:t>
      </w:r>
      <w:r>
        <w:rPr>
          <w:rFonts w:hint="eastAsia" w:eastAsia="仿宋_GB2312" w:cs="仿宋_GB2312"/>
          <w:color w:val="auto"/>
          <w:kern w:val="2"/>
          <w:sz w:val="32"/>
          <w:szCs w:val="32"/>
          <w:highlight w:val="none"/>
          <w:lang w:val="en-US" w:eastAsia="zh-CN" w:bidi="ar-SA"/>
        </w:rPr>
        <w:t>单位</w:t>
      </w:r>
      <w:r>
        <w:rPr>
          <w:rFonts w:hint="eastAsia" w:ascii="Times New Roman" w:hAnsi="Times New Roman" w:eastAsia="仿宋_GB2312" w:cs="仿宋_GB2312"/>
          <w:color w:val="auto"/>
          <w:kern w:val="2"/>
          <w:sz w:val="32"/>
          <w:szCs w:val="32"/>
          <w:highlight w:val="none"/>
          <w:lang w:val="en-US" w:eastAsia="zh-CN" w:bidi="ar-SA"/>
        </w:rPr>
        <w:t>按照会计制度规定缴纳的所得税、提取的专用结余以及转入非财政拨款结余的金额等。</w:t>
      </w:r>
    </w:p>
    <w:p w14:paraId="0C6A2D8C">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8.年末结转和结余：指</w:t>
      </w:r>
      <w:r>
        <w:rPr>
          <w:rFonts w:hint="eastAsia" w:eastAsia="仿宋_GB2312" w:cs="仿宋_GB2312"/>
          <w:color w:val="auto"/>
          <w:kern w:val="2"/>
          <w:sz w:val="32"/>
          <w:szCs w:val="32"/>
          <w:highlight w:val="none"/>
          <w:lang w:val="en-US" w:eastAsia="zh-CN" w:bidi="ar-SA"/>
        </w:rPr>
        <w:t>单位</w:t>
      </w:r>
      <w:r>
        <w:rPr>
          <w:rFonts w:hint="eastAsia" w:ascii="Times New Roman" w:hAnsi="Times New Roman" w:eastAsia="仿宋_GB2312" w:cs="仿宋_GB2312"/>
          <w:color w:val="auto"/>
          <w:kern w:val="2"/>
          <w:sz w:val="32"/>
          <w:szCs w:val="32"/>
          <w:highlight w:val="none"/>
          <w:lang w:val="en-US" w:eastAsia="zh-CN" w:bidi="ar-SA"/>
        </w:rPr>
        <w:t>按有关规定结转到下年或以后年度继续使用的资金。</w:t>
      </w:r>
    </w:p>
    <w:p w14:paraId="3692572A">
      <w:pPr>
        <w:keepNext w:val="0"/>
        <w:keepLines w:val="0"/>
        <w:widowControl/>
        <w:suppressLineNumbers w:val="0"/>
        <w:ind w:firstLine="640" w:firstLineChars="200"/>
        <w:jc w:val="left"/>
      </w:pPr>
      <w:r>
        <w:rPr>
          <w:rFonts w:hint="eastAsia" w:ascii="Times New Roman" w:hAnsi="Times New Roman" w:eastAsia="仿宋_GB2312" w:cs="仿宋_GB2312"/>
          <w:color w:val="auto"/>
          <w:kern w:val="2"/>
          <w:sz w:val="32"/>
          <w:szCs w:val="32"/>
          <w:highlight w:val="none"/>
          <w:lang w:val="en-US" w:eastAsia="zh-CN" w:bidi="ar-SA"/>
        </w:rPr>
        <w:t>9.</w:t>
      </w:r>
      <w:r>
        <w:rPr>
          <w:rFonts w:ascii="仿宋" w:hAnsi="仿宋" w:eastAsia="仿宋" w:cs="仿宋"/>
          <w:color w:val="000000"/>
          <w:kern w:val="0"/>
          <w:sz w:val="31"/>
          <w:szCs w:val="31"/>
          <w:lang w:val="en-US" w:eastAsia="zh-CN" w:bidi="ar"/>
        </w:rPr>
        <w:t>社会保障和就业支出（208）行政事业</w:t>
      </w:r>
      <w:r>
        <w:rPr>
          <w:rFonts w:hint="eastAsia" w:ascii="仿宋" w:hAnsi="仿宋" w:eastAsia="仿宋" w:cs="仿宋"/>
          <w:color w:val="000000"/>
          <w:kern w:val="0"/>
          <w:sz w:val="31"/>
          <w:szCs w:val="31"/>
          <w:lang w:val="en-US" w:eastAsia="zh-CN" w:bidi="ar"/>
        </w:rPr>
        <w:t>单位</w:t>
      </w:r>
      <w:r>
        <w:rPr>
          <w:rFonts w:ascii="仿宋" w:hAnsi="仿宋" w:eastAsia="仿宋" w:cs="仿宋"/>
          <w:color w:val="000000"/>
          <w:kern w:val="0"/>
          <w:sz w:val="31"/>
          <w:szCs w:val="31"/>
          <w:lang w:val="en-US" w:eastAsia="zh-CN" w:bidi="ar"/>
        </w:rPr>
        <w:t xml:space="preserve">养老支出 </w:t>
      </w:r>
    </w:p>
    <w:p w14:paraId="053D0540">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（05）行政单位离退休（01）：指行政单位开支的离退休经 </w:t>
      </w:r>
    </w:p>
    <w:p w14:paraId="0A207B85">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费。 </w:t>
      </w:r>
    </w:p>
    <w:p w14:paraId="2E0B587D">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社会保障和就业支出（208）行政事业单位养老支出（05） </w:t>
      </w:r>
    </w:p>
    <w:p w14:paraId="43172B82">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机关事业单位基本养老保险缴费支出（05）：指机关事业单 </w:t>
      </w:r>
    </w:p>
    <w:p w14:paraId="4C628551">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位实施养老保险制度由单位缴纳的基本养老保险费支出。 </w:t>
      </w:r>
    </w:p>
    <w:p w14:paraId="4D54474F">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社会保障和就业支出（208）行政事业单位养老支出（05） </w:t>
      </w:r>
    </w:p>
    <w:p w14:paraId="0DB89508">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机关事业单位职业年金缴费支出（06）指反映机关事业单位 </w:t>
      </w:r>
    </w:p>
    <w:p w14:paraId="79D3F807">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实施养老保险制度由单位实际缴纳的职业年金支出。 </w:t>
      </w:r>
    </w:p>
    <w:p w14:paraId="7C0FDCA0">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社会保障和就业支出（208）行政事业单位养老支出（05） </w:t>
      </w:r>
    </w:p>
    <w:p w14:paraId="2E9486C5">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其他行政事业单位养老支出（99）：指反映除上述项目以外 </w:t>
      </w:r>
    </w:p>
    <w:p w14:paraId="7DE98DC8">
      <w:pPr>
        <w:keepNext w:val="0"/>
        <w:keepLines w:val="0"/>
        <w:widowControl/>
        <w:suppressLineNumbers w:val="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其他用于行政事业单位养老方面的支出。</w:t>
      </w:r>
    </w:p>
    <w:p w14:paraId="2E4ED526">
      <w:pPr>
        <w:keepNext w:val="0"/>
        <w:keepLines w:val="0"/>
        <w:widowControl/>
        <w:suppressLineNumbers w:val="0"/>
        <w:ind w:firstLine="620" w:firstLineChars="20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社会保障和就业支出（208）残疾人事业（11）行政运行（01）：</w:t>
      </w:r>
      <w:r>
        <w:rPr>
          <w:rFonts w:ascii="仿宋" w:hAnsi="仿宋" w:eastAsia="仿宋" w:cs="仿宋"/>
          <w:color w:val="000000"/>
          <w:kern w:val="0"/>
          <w:sz w:val="31"/>
          <w:szCs w:val="31"/>
          <w:lang w:val="en-US" w:eastAsia="zh-CN" w:bidi="ar"/>
        </w:rPr>
        <w:t>指反映行政</w:t>
      </w:r>
      <w:r>
        <w:rPr>
          <w:rFonts w:hint="eastAsia" w:ascii="仿宋" w:hAnsi="仿宋" w:eastAsia="仿宋" w:cs="仿宋"/>
          <w:color w:val="000000"/>
          <w:kern w:val="0"/>
          <w:sz w:val="31"/>
          <w:szCs w:val="31"/>
          <w:lang w:val="en-US" w:eastAsia="zh-CN" w:bidi="ar"/>
        </w:rPr>
        <w:t>单位</w:t>
      </w:r>
      <w:r>
        <w:rPr>
          <w:rFonts w:ascii="仿宋" w:hAnsi="仿宋" w:eastAsia="仿宋" w:cs="仿宋"/>
          <w:color w:val="000000"/>
          <w:kern w:val="0"/>
          <w:sz w:val="31"/>
          <w:szCs w:val="31"/>
          <w:lang w:val="en-US" w:eastAsia="zh-CN" w:bidi="ar"/>
        </w:rPr>
        <w:t>（包括实行公务员管理的事业</w:t>
      </w:r>
      <w:r>
        <w:rPr>
          <w:rFonts w:hint="eastAsia" w:ascii="仿宋" w:hAnsi="仿宋" w:eastAsia="仿宋" w:cs="仿宋"/>
          <w:color w:val="000000"/>
          <w:kern w:val="0"/>
          <w:sz w:val="31"/>
          <w:szCs w:val="31"/>
          <w:lang w:val="en-US" w:eastAsia="zh-CN" w:bidi="ar"/>
        </w:rPr>
        <w:t>单位</w:t>
      </w:r>
      <w:r>
        <w:rPr>
          <w:rFonts w:ascii="仿宋" w:hAnsi="仿宋" w:eastAsia="仿宋" w:cs="仿宋"/>
          <w:color w:val="000000"/>
          <w:kern w:val="0"/>
          <w:sz w:val="31"/>
          <w:szCs w:val="31"/>
          <w:lang w:val="en-US" w:eastAsia="zh-CN" w:bidi="ar"/>
        </w:rPr>
        <w:t>）的基本</w:t>
      </w:r>
      <w:r>
        <w:rPr>
          <w:rFonts w:hint="eastAsia" w:ascii="仿宋" w:hAnsi="仿宋" w:eastAsia="仿宋" w:cs="仿宋"/>
          <w:color w:val="000000"/>
          <w:kern w:val="0"/>
          <w:sz w:val="31"/>
          <w:szCs w:val="31"/>
          <w:lang w:val="en-US" w:eastAsia="zh-CN" w:bidi="ar"/>
        </w:rPr>
        <w:t>支出。</w:t>
      </w:r>
    </w:p>
    <w:p w14:paraId="149E73C1">
      <w:pPr>
        <w:keepNext w:val="0"/>
        <w:keepLines w:val="0"/>
        <w:widowControl/>
        <w:suppressLineNumbers w:val="0"/>
        <w:ind w:firstLine="620" w:firstLineChars="20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社会保障和就业支出（208）残疾人事业（11）机关服务（03）：</w:t>
      </w:r>
      <w:r>
        <w:rPr>
          <w:rFonts w:ascii="仿宋" w:hAnsi="仿宋" w:eastAsia="仿宋" w:cs="仿宋"/>
          <w:color w:val="000000"/>
          <w:kern w:val="0"/>
          <w:sz w:val="31"/>
          <w:szCs w:val="31"/>
          <w:lang w:val="en-US" w:eastAsia="zh-CN" w:bidi="ar"/>
        </w:rPr>
        <w:t>指反映行政</w:t>
      </w:r>
      <w:r>
        <w:rPr>
          <w:rFonts w:hint="eastAsia" w:ascii="仿宋" w:hAnsi="仿宋" w:eastAsia="仿宋" w:cs="仿宋"/>
          <w:color w:val="000000"/>
          <w:kern w:val="0"/>
          <w:sz w:val="31"/>
          <w:szCs w:val="31"/>
          <w:lang w:val="en-US" w:eastAsia="zh-CN" w:bidi="ar"/>
        </w:rPr>
        <w:t>单位</w:t>
      </w:r>
      <w:r>
        <w:rPr>
          <w:rFonts w:ascii="仿宋" w:hAnsi="仿宋" w:eastAsia="仿宋" w:cs="仿宋"/>
          <w:color w:val="000000"/>
          <w:kern w:val="0"/>
          <w:sz w:val="31"/>
          <w:szCs w:val="31"/>
          <w:lang w:val="en-US" w:eastAsia="zh-CN" w:bidi="ar"/>
        </w:rPr>
        <w:t>（包括实行公务员管理的事业</w:t>
      </w:r>
      <w:r>
        <w:rPr>
          <w:rFonts w:hint="eastAsia" w:ascii="仿宋" w:hAnsi="仿宋" w:eastAsia="仿宋" w:cs="仿宋"/>
          <w:color w:val="000000"/>
          <w:kern w:val="0"/>
          <w:sz w:val="31"/>
          <w:szCs w:val="31"/>
          <w:lang w:val="en-US" w:eastAsia="zh-CN" w:bidi="ar"/>
        </w:rPr>
        <w:t>单位</w:t>
      </w:r>
      <w:r>
        <w:rPr>
          <w:rFonts w:ascii="仿宋" w:hAnsi="仿宋" w:eastAsia="仿宋" w:cs="仿宋"/>
          <w:color w:val="000000"/>
          <w:kern w:val="0"/>
          <w:sz w:val="31"/>
          <w:szCs w:val="31"/>
          <w:lang w:val="en-US" w:eastAsia="zh-CN" w:bidi="ar"/>
        </w:rPr>
        <w:t>）的</w:t>
      </w:r>
      <w:r>
        <w:rPr>
          <w:rFonts w:hint="eastAsia" w:ascii="仿宋" w:hAnsi="仿宋" w:eastAsia="仿宋" w:cs="仿宋"/>
          <w:color w:val="000000"/>
          <w:kern w:val="0"/>
          <w:sz w:val="31"/>
          <w:szCs w:val="31"/>
          <w:lang w:val="en-US" w:eastAsia="zh-CN" w:bidi="ar"/>
        </w:rPr>
        <w:t>日常服务支出。</w:t>
      </w:r>
    </w:p>
    <w:p w14:paraId="3E609895">
      <w:pPr>
        <w:keepNext w:val="0"/>
        <w:keepLines w:val="0"/>
        <w:widowControl/>
        <w:suppressLineNumbers w:val="0"/>
        <w:ind w:firstLine="620" w:firstLineChars="20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社会保障和就业支出（208）残疾人事业（11）残疾人康复（04）：指反映中央和地方各级残联关于残疾人康复的支出，包括成人基本康复服务、残疾儿童基本康复、辅具适配、居家无障碍改造等方面的支出。</w:t>
      </w:r>
    </w:p>
    <w:p w14:paraId="778F1C04">
      <w:pPr>
        <w:keepNext w:val="0"/>
        <w:keepLines w:val="0"/>
        <w:widowControl/>
        <w:suppressLineNumbers w:val="0"/>
        <w:ind w:firstLine="620" w:firstLineChars="20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社会保障和就业支出（208）残疾人事业（11）残疾人就业（05）：指反映中央和地方各级残联关于残疾人就业的支出，包括阳光家园计划居家托养、使用技术及技能培训、残疾人就业创业补贴等方面的支出。</w:t>
      </w:r>
    </w:p>
    <w:p w14:paraId="623896C6">
      <w:pPr>
        <w:keepNext w:val="0"/>
        <w:keepLines w:val="0"/>
        <w:widowControl/>
        <w:suppressLineNumbers w:val="0"/>
        <w:ind w:firstLine="620" w:firstLineChars="20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社会保障和就业支出（208）残疾人事业（11）残疾人体育（06）：指反映中央和地方各级残联关于残疾人体育的支出，包括残疾人全民健身运动会、培养残疾人跆拳道人才等方面的支出。</w:t>
      </w:r>
    </w:p>
    <w:p w14:paraId="7ECFAE5E">
      <w:pPr>
        <w:keepNext w:val="0"/>
        <w:keepLines w:val="0"/>
        <w:widowControl/>
        <w:suppressLineNumbers w:val="0"/>
        <w:ind w:firstLine="620" w:firstLineChars="200"/>
        <w:jc w:val="left"/>
        <w:rPr>
          <w:rFonts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社会保障和就业支出（208）残疾人事业（11）他残疾人事业支出（99）：</w:t>
      </w:r>
      <w:r>
        <w:rPr>
          <w:rFonts w:ascii="仿宋" w:hAnsi="仿宋" w:eastAsia="仿宋" w:cs="仿宋"/>
          <w:color w:val="000000"/>
          <w:kern w:val="0"/>
          <w:sz w:val="31"/>
          <w:szCs w:val="31"/>
          <w:lang w:val="en-US" w:eastAsia="zh-CN" w:bidi="ar"/>
        </w:rPr>
        <w:t>指反映上述项目以外其他用于</w:t>
      </w:r>
      <w:r>
        <w:rPr>
          <w:rFonts w:hint="eastAsia" w:ascii="仿宋" w:hAnsi="仿宋" w:eastAsia="仿宋" w:cs="仿宋"/>
          <w:color w:val="000000"/>
          <w:kern w:val="0"/>
          <w:sz w:val="31"/>
          <w:szCs w:val="31"/>
          <w:lang w:val="en-US" w:eastAsia="zh-CN" w:bidi="ar"/>
        </w:rPr>
        <w:t>残疾人工作</w:t>
      </w:r>
      <w:r>
        <w:rPr>
          <w:rFonts w:ascii="仿宋" w:hAnsi="仿宋" w:eastAsia="仿宋" w:cs="仿宋"/>
          <w:color w:val="000000"/>
          <w:kern w:val="0"/>
          <w:sz w:val="31"/>
          <w:szCs w:val="31"/>
          <w:lang w:val="en-US" w:eastAsia="zh-CN" w:bidi="ar"/>
        </w:rPr>
        <w:t>方面的支出。</w:t>
      </w:r>
    </w:p>
    <w:p w14:paraId="5728097B">
      <w:pPr>
        <w:keepNext w:val="0"/>
        <w:keepLines w:val="0"/>
        <w:widowControl/>
        <w:suppressLineNumbers w:val="0"/>
        <w:ind w:firstLine="620" w:firstLineChars="200"/>
        <w:jc w:val="left"/>
        <w:rPr>
          <w:rFonts w:hint="eastAsia" w:ascii="仿宋" w:hAnsi="仿宋" w:eastAsia="仿宋" w:cs="仿宋"/>
          <w:color w:val="000000"/>
          <w:kern w:val="0"/>
          <w:sz w:val="31"/>
          <w:szCs w:val="31"/>
          <w:lang w:val="en-US" w:eastAsia="zh-CN" w:bidi="ar"/>
        </w:rPr>
      </w:pPr>
      <w:r>
        <w:rPr>
          <w:rFonts w:ascii="仿宋" w:hAnsi="仿宋" w:eastAsia="仿宋" w:cs="仿宋"/>
          <w:color w:val="000000"/>
          <w:kern w:val="0"/>
          <w:sz w:val="31"/>
          <w:szCs w:val="31"/>
          <w:lang w:val="en-US" w:eastAsia="zh-CN" w:bidi="ar"/>
        </w:rPr>
        <w:t>社会保障和就业支出（208）其他社会保障和就业支出（99）其他社会保障和就业支出（99）：指反映除上述项目</w:t>
      </w:r>
      <w:r>
        <w:rPr>
          <w:rFonts w:hint="eastAsia" w:ascii="仿宋" w:hAnsi="仿宋" w:eastAsia="仿宋" w:cs="仿宋"/>
          <w:color w:val="000000"/>
          <w:kern w:val="0"/>
          <w:sz w:val="31"/>
          <w:szCs w:val="31"/>
          <w:lang w:val="en-US" w:eastAsia="zh-CN" w:bidi="ar"/>
        </w:rPr>
        <w:t>以外其他用于社会保障和就业方面的支出。</w:t>
      </w:r>
    </w:p>
    <w:p w14:paraId="7BD15105">
      <w:pPr>
        <w:keepNext w:val="0"/>
        <w:keepLines w:val="0"/>
        <w:widowControl/>
        <w:suppressLineNumbers w:val="0"/>
        <w:ind w:firstLine="620" w:firstLineChars="20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10.</w:t>
      </w:r>
      <w:r>
        <w:rPr>
          <w:rFonts w:ascii="仿宋" w:hAnsi="仿宋" w:eastAsia="仿宋" w:cs="仿宋"/>
          <w:color w:val="000000"/>
          <w:kern w:val="0"/>
          <w:sz w:val="31"/>
          <w:szCs w:val="31"/>
          <w:lang w:val="en-US" w:eastAsia="zh-CN" w:bidi="ar"/>
        </w:rPr>
        <w:t>卫生健康支出（210）行政事业</w:t>
      </w:r>
      <w:r>
        <w:rPr>
          <w:rFonts w:hint="eastAsia" w:ascii="仿宋" w:hAnsi="仿宋" w:eastAsia="仿宋" w:cs="仿宋"/>
          <w:color w:val="000000"/>
          <w:kern w:val="0"/>
          <w:sz w:val="31"/>
          <w:szCs w:val="31"/>
          <w:lang w:val="en-US" w:eastAsia="zh-CN" w:bidi="ar"/>
        </w:rPr>
        <w:t>单位</w:t>
      </w:r>
      <w:r>
        <w:rPr>
          <w:rFonts w:ascii="仿宋" w:hAnsi="仿宋" w:eastAsia="仿宋" w:cs="仿宋"/>
          <w:color w:val="000000"/>
          <w:kern w:val="0"/>
          <w:sz w:val="31"/>
          <w:szCs w:val="31"/>
          <w:lang w:val="en-US" w:eastAsia="zh-CN" w:bidi="ar"/>
        </w:rPr>
        <w:t>医疗（11）行政</w:t>
      </w:r>
      <w:r>
        <w:rPr>
          <w:rFonts w:hint="eastAsia" w:ascii="仿宋" w:hAnsi="仿宋" w:eastAsia="仿宋" w:cs="仿宋"/>
          <w:color w:val="000000"/>
          <w:kern w:val="0"/>
          <w:sz w:val="31"/>
          <w:szCs w:val="31"/>
          <w:lang w:val="en-US" w:eastAsia="zh-CN" w:bidi="ar"/>
        </w:rPr>
        <w:t>单位医疗（01）：指反映行政财政单位安排的行政单位（包括实行公务员管理的事业单位）基本医疗保险缴费经费，未参加医疗保险的行政单位的公费医疗经费，按国家规定享受离休人员、红军老战士待遇人员的医疗经费。</w:t>
      </w:r>
    </w:p>
    <w:p w14:paraId="5668E0C8">
      <w:pPr>
        <w:keepNext w:val="0"/>
        <w:keepLines w:val="0"/>
        <w:widowControl/>
        <w:suppressLineNumbers w:val="0"/>
        <w:ind w:firstLine="620" w:firstLineChars="200"/>
        <w:jc w:val="left"/>
        <w:rPr>
          <w:rFonts w:hint="eastAsia" w:ascii="仿宋" w:hAnsi="仿宋" w:eastAsia="仿宋" w:cs="仿宋"/>
          <w:color w:val="000000"/>
          <w:kern w:val="0"/>
          <w:sz w:val="31"/>
          <w:szCs w:val="31"/>
          <w:lang w:val="en-US" w:eastAsia="zh-CN" w:bidi="ar"/>
        </w:rPr>
      </w:pPr>
      <w:r>
        <w:rPr>
          <w:rFonts w:ascii="仿宋" w:hAnsi="仿宋" w:eastAsia="仿宋" w:cs="仿宋"/>
          <w:color w:val="000000"/>
          <w:kern w:val="0"/>
          <w:sz w:val="31"/>
          <w:szCs w:val="31"/>
          <w:lang w:val="en-US" w:eastAsia="zh-CN" w:bidi="ar"/>
        </w:rPr>
        <w:t>卫生健康支出（210）行政事业</w:t>
      </w:r>
      <w:r>
        <w:rPr>
          <w:rFonts w:hint="eastAsia" w:ascii="仿宋" w:hAnsi="仿宋" w:eastAsia="仿宋" w:cs="仿宋"/>
          <w:color w:val="000000"/>
          <w:kern w:val="0"/>
          <w:sz w:val="31"/>
          <w:szCs w:val="31"/>
          <w:lang w:val="en-US" w:eastAsia="zh-CN" w:bidi="ar"/>
        </w:rPr>
        <w:t>单位</w:t>
      </w:r>
      <w:r>
        <w:rPr>
          <w:rFonts w:ascii="仿宋" w:hAnsi="仿宋" w:eastAsia="仿宋" w:cs="仿宋"/>
          <w:color w:val="000000"/>
          <w:kern w:val="0"/>
          <w:sz w:val="31"/>
          <w:szCs w:val="31"/>
          <w:lang w:val="en-US" w:eastAsia="zh-CN" w:bidi="ar"/>
        </w:rPr>
        <w:t>医疗（11）</w:t>
      </w:r>
      <w:r>
        <w:rPr>
          <w:rFonts w:hint="eastAsia" w:ascii="仿宋" w:hAnsi="仿宋" w:eastAsia="仿宋" w:cs="仿宋"/>
          <w:color w:val="000000"/>
          <w:kern w:val="0"/>
          <w:sz w:val="31"/>
          <w:szCs w:val="31"/>
          <w:lang w:val="en-US" w:eastAsia="zh-CN" w:bidi="ar"/>
        </w:rPr>
        <w:t>事业单位医疗（02）：指反映行政财政单位安排的事业单位基本医疗保险缴费经费，未参加医疗保险的行政单位的公费医疗经费，按国家规定享受离休人员、红军老战士待遇人员的医疗经费。</w:t>
      </w:r>
    </w:p>
    <w:p w14:paraId="253DFC58">
      <w:pPr>
        <w:keepNext w:val="0"/>
        <w:keepLines w:val="0"/>
        <w:widowControl/>
        <w:suppressLineNumbers w:val="0"/>
        <w:ind w:firstLine="620" w:firstLineChars="200"/>
        <w:jc w:val="left"/>
      </w:pPr>
      <w:r>
        <w:rPr>
          <w:rFonts w:ascii="仿宋" w:hAnsi="仿宋" w:eastAsia="仿宋" w:cs="仿宋"/>
          <w:color w:val="000000"/>
          <w:kern w:val="0"/>
          <w:sz w:val="31"/>
          <w:szCs w:val="31"/>
          <w:lang w:val="en-US" w:eastAsia="zh-CN" w:bidi="ar"/>
        </w:rPr>
        <w:t>卫生健康支出（210）行政事业</w:t>
      </w:r>
      <w:r>
        <w:rPr>
          <w:rFonts w:hint="eastAsia" w:ascii="仿宋" w:hAnsi="仿宋" w:eastAsia="仿宋" w:cs="仿宋"/>
          <w:color w:val="000000"/>
          <w:kern w:val="0"/>
          <w:sz w:val="31"/>
          <w:szCs w:val="31"/>
          <w:lang w:val="en-US" w:eastAsia="zh-CN" w:bidi="ar"/>
        </w:rPr>
        <w:t>单位</w:t>
      </w:r>
      <w:r>
        <w:rPr>
          <w:rFonts w:ascii="仿宋" w:hAnsi="仿宋" w:eastAsia="仿宋" w:cs="仿宋"/>
          <w:color w:val="000000"/>
          <w:kern w:val="0"/>
          <w:sz w:val="31"/>
          <w:szCs w:val="31"/>
          <w:lang w:val="en-US" w:eastAsia="zh-CN" w:bidi="ar"/>
        </w:rPr>
        <w:t>医疗（11）公务员</w:t>
      </w:r>
    </w:p>
    <w:p w14:paraId="648FE2CE">
      <w:pPr>
        <w:keepNext w:val="0"/>
        <w:keepLines w:val="0"/>
        <w:widowControl/>
        <w:suppressLineNumbers w:val="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医疗补助（03）：指反映财政单位安排的公务员医疗补助经费。</w:t>
      </w:r>
    </w:p>
    <w:p w14:paraId="79D3969D">
      <w:pPr>
        <w:keepNext w:val="0"/>
        <w:keepLines w:val="0"/>
        <w:widowControl/>
        <w:suppressLineNumbers w:val="0"/>
        <w:ind w:firstLine="620" w:firstLineChars="200"/>
        <w:jc w:val="left"/>
      </w:pPr>
      <w:r>
        <w:rPr>
          <w:rFonts w:ascii="仿宋" w:hAnsi="仿宋" w:eastAsia="仿宋" w:cs="仿宋"/>
          <w:color w:val="000000"/>
          <w:kern w:val="0"/>
          <w:sz w:val="31"/>
          <w:szCs w:val="31"/>
          <w:lang w:val="en-US" w:eastAsia="zh-CN" w:bidi="ar"/>
        </w:rPr>
        <w:t>卫生健康支出（210）行政事业</w:t>
      </w:r>
      <w:r>
        <w:rPr>
          <w:rFonts w:hint="eastAsia" w:ascii="仿宋" w:hAnsi="仿宋" w:eastAsia="仿宋" w:cs="仿宋"/>
          <w:color w:val="000000"/>
          <w:kern w:val="0"/>
          <w:sz w:val="31"/>
          <w:szCs w:val="31"/>
          <w:lang w:val="en-US" w:eastAsia="zh-CN" w:bidi="ar"/>
        </w:rPr>
        <w:t>单位</w:t>
      </w:r>
      <w:r>
        <w:rPr>
          <w:rFonts w:ascii="仿宋" w:hAnsi="仿宋" w:eastAsia="仿宋" w:cs="仿宋"/>
          <w:color w:val="000000"/>
          <w:kern w:val="0"/>
          <w:sz w:val="31"/>
          <w:szCs w:val="31"/>
          <w:lang w:val="en-US" w:eastAsia="zh-CN" w:bidi="ar"/>
        </w:rPr>
        <w:t>医疗（11）其他行</w:t>
      </w:r>
    </w:p>
    <w:p w14:paraId="079CC2C7">
      <w:pPr>
        <w:keepNext w:val="0"/>
        <w:keepLines w:val="0"/>
        <w:widowControl/>
        <w:suppressLineNumbers w:val="0"/>
        <w:jc w:val="left"/>
      </w:pPr>
      <w:r>
        <w:rPr>
          <w:rFonts w:hint="eastAsia" w:ascii="仿宋" w:hAnsi="仿宋" w:eastAsia="仿宋" w:cs="仿宋"/>
          <w:color w:val="000000"/>
          <w:kern w:val="0"/>
          <w:sz w:val="31"/>
          <w:szCs w:val="31"/>
          <w:lang w:val="en-US" w:eastAsia="zh-CN" w:bidi="ar"/>
        </w:rPr>
        <w:t>政事业单位医疗支出（99）：指反映除上述项目以外的其他用</w:t>
      </w:r>
    </w:p>
    <w:p w14:paraId="21050D37">
      <w:pPr>
        <w:keepNext w:val="0"/>
        <w:keepLines w:val="0"/>
        <w:widowControl/>
        <w:suppressLineNumbers w:val="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于行政事业单位医疗方面的支出。</w:t>
      </w:r>
    </w:p>
    <w:p w14:paraId="3A7A426A">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11.</w:t>
      </w:r>
      <w:r>
        <w:rPr>
          <w:rFonts w:ascii="仿宋" w:hAnsi="仿宋" w:eastAsia="仿宋" w:cs="仿宋"/>
          <w:color w:val="000000"/>
          <w:kern w:val="0"/>
          <w:sz w:val="31"/>
          <w:szCs w:val="31"/>
          <w:lang w:val="en-US" w:eastAsia="zh-CN" w:bidi="ar"/>
        </w:rPr>
        <w:t>住房保障支出（221）住房改革支出（02）住房公积</w:t>
      </w:r>
    </w:p>
    <w:p w14:paraId="10F5C921">
      <w:pPr>
        <w:keepNext w:val="0"/>
        <w:keepLines w:val="0"/>
        <w:widowControl/>
        <w:suppressLineNumbers w:val="0"/>
        <w:jc w:val="left"/>
      </w:pPr>
      <w:r>
        <w:rPr>
          <w:rFonts w:hint="eastAsia" w:ascii="仿宋" w:hAnsi="仿宋" w:eastAsia="仿宋" w:cs="仿宋"/>
          <w:color w:val="000000"/>
          <w:kern w:val="0"/>
          <w:sz w:val="31"/>
          <w:szCs w:val="31"/>
          <w:lang w:val="en-US" w:eastAsia="zh-CN" w:bidi="ar"/>
        </w:rPr>
        <w:t>金（01）：指反映行政事业单位按人力资源和社会保障部、财</w:t>
      </w:r>
    </w:p>
    <w:p w14:paraId="38B2AED2">
      <w:pPr>
        <w:keepNext w:val="0"/>
        <w:keepLines w:val="0"/>
        <w:widowControl/>
        <w:suppressLineNumbers w:val="0"/>
        <w:jc w:val="left"/>
      </w:pPr>
      <w:r>
        <w:rPr>
          <w:rFonts w:hint="eastAsia" w:ascii="仿宋" w:hAnsi="仿宋" w:eastAsia="仿宋" w:cs="仿宋"/>
          <w:color w:val="000000"/>
          <w:kern w:val="0"/>
          <w:sz w:val="31"/>
          <w:szCs w:val="31"/>
          <w:lang w:val="en-US" w:eastAsia="zh-CN" w:bidi="ar"/>
        </w:rPr>
        <w:t>政部规定的基本工资和津贴补贴以及规定比例为职工缴纳</w:t>
      </w:r>
    </w:p>
    <w:p w14:paraId="15938F98">
      <w:pPr>
        <w:keepNext w:val="0"/>
        <w:keepLines w:val="0"/>
        <w:widowControl/>
        <w:suppressLineNumbers w:val="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的住房公积金。</w:t>
      </w:r>
    </w:p>
    <w:p w14:paraId="4DB2A766">
      <w:pPr>
        <w:keepNext w:val="0"/>
        <w:keepLines w:val="0"/>
        <w:widowControl/>
        <w:numPr>
          <w:ilvl w:val="0"/>
          <w:numId w:val="3"/>
        </w:numPr>
        <w:suppressLineNumbers w:val="0"/>
        <w:ind w:firstLine="620" w:firstLineChars="20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其他支出</w:t>
      </w:r>
      <w:r>
        <w:rPr>
          <w:rFonts w:ascii="仿宋" w:hAnsi="仿宋" w:eastAsia="仿宋" w:cs="仿宋"/>
          <w:color w:val="000000"/>
          <w:kern w:val="0"/>
          <w:sz w:val="31"/>
          <w:szCs w:val="31"/>
          <w:lang w:val="en-US" w:eastAsia="zh-CN" w:bidi="ar"/>
        </w:rPr>
        <w:t>（22</w:t>
      </w:r>
      <w:r>
        <w:rPr>
          <w:rFonts w:hint="eastAsia" w:ascii="仿宋" w:hAnsi="仿宋" w:eastAsia="仿宋" w:cs="仿宋"/>
          <w:color w:val="000000"/>
          <w:kern w:val="0"/>
          <w:sz w:val="31"/>
          <w:szCs w:val="31"/>
          <w:lang w:val="en-US" w:eastAsia="zh-CN" w:bidi="ar"/>
        </w:rPr>
        <w:t>9</w:t>
      </w:r>
      <w:r>
        <w:rPr>
          <w:rFonts w:ascii="仿宋" w:hAnsi="仿宋" w:eastAsia="仿宋" w:cs="仿宋"/>
          <w:color w:val="000000"/>
          <w:kern w:val="0"/>
          <w:sz w:val="31"/>
          <w:szCs w:val="31"/>
          <w:lang w:val="en-US" w:eastAsia="zh-CN" w:bidi="ar"/>
        </w:rPr>
        <w:t>）</w:t>
      </w:r>
      <w:r>
        <w:rPr>
          <w:rFonts w:hint="eastAsia" w:ascii="仿宋" w:hAnsi="仿宋" w:eastAsia="仿宋" w:cs="仿宋"/>
          <w:color w:val="000000"/>
          <w:kern w:val="0"/>
          <w:sz w:val="31"/>
          <w:szCs w:val="31"/>
          <w:lang w:val="en-US" w:eastAsia="zh-CN" w:bidi="ar"/>
        </w:rPr>
        <w:t>彩票公益金安排的支出</w:t>
      </w:r>
      <w:r>
        <w:rPr>
          <w:rFonts w:ascii="仿宋" w:hAnsi="仿宋" w:eastAsia="仿宋" w:cs="仿宋"/>
          <w:color w:val="000000"/>
          <w:kern w:val="0"/>
          <w:sz w:val="31"/>
          <w:szCs w:val="31"/>
          <w:lang w:val="en-US" w:eastAsia="zh-CN" w:bidi="ar"/>
        </w:rPr>
        <w:t>（</w:t>
      </w:r>
      <w:r>
        <w:rPr>
          <w:rFonts w:hint="eastAsia" w:ascii="仿宋" w:hAnsi="仿宋" w:eastAsia="仿宋" w:cs="仿宋"/>
          <w:color w:val="000000"/>
          <w:kern w:val="0"/>
          <w:sz w:val="31"/>
          <w:szCs w:val="31"/>
          <w:lang w:val="en-US" w:eastAsia="zh-CN" w:bidi="ar"/>
        </w:rPr>
        <w:t>60</w:t>
      </w:r>
      <w:r>
        <w:rPr>
          <w:rFonts w:ascii="仿宋" w:hAnsi="仿宋" w:eastAsia="仿宋" w:cs="仿宋"/>
          <w:color w:val="000000"/>
          <w:kern w:val="0"/>
          <w:sz w:val="31"/>
          <w:szCs w:val="31"/>
          <w:lang w:val="en-US" w:eastAsia="zh-CN" w:bidi="ar"/>
        </w:rPr>
        <w:t>）</w:t>
      </w:r>
      <w:r>
        <w:rPr>
          <w:rFonts w:hint="eastAsia" w:ascii="仿宋" w:hAnsi="仿宋" w:eastAsia="仿宋" w:cs="仿宋"/>
          <w:color w:val="000000"/>
          <w:kern w:val="0"/>
          <w:sz w:val="31"/>
          <w:szCs w:val="31"/>
          <w:lang w:val="en-US" w:eastAsia="zh-CN" w:bidi="ar"/>
        </w:rPr>
        <w:t>用于社会福利的彩票公益金支出（02）：指反映中央和省级下达的用于残疾人工作的福利彩票公益金支出。</w:t>
      </w:r>
    </w:p>
    <w:p w14:paraId="3D99D847">
      <w:pPr>
        <w:keepNext w:val="0"/>
        <w:keepLines w:val="0"/>
        <w:widowControl/>
        <w:numPr>
          <w:ilvl w:val="0"/>
          <w:numId w:val="0"/>
        </w:numPr>
        <w:suppressLineNumbers w:val="0"/>
        <w:ind w:firstLine="620" w:firstLineChars="20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其他支出</w:t>
      </w:r>
      <w:r>
        <w:rPr>
          <w:rFonts w:ascii="仿宋" w:hAnsi="仿宋" w:eastAsia="仿宋" w:cs="仿宋"/>
          <w:color w:val="000000"/>
          <w:kern w:val="0"/>
          <w:sz w:val="31"/>
          <w:szCs w:val="31"/>
          <w:lang w:val="en-US" w:eastAsia="zh-CN" w:bidi="ar"/>
        </w:rPr>
        <w:t>（22</w:t>
      </w:r>
      <w:r>
        <w:rPr>
          <w:rFonts w:hint="eastAsia" w:ascii="仿宋" w:hAnsi="仿宋" w:eastAsia="仿宋" w:cs="仿宋"/>
          <w:color w:val="000000"/>
          <w:kern w:val="0"/>
          <w:sz w:val="31"/>
          <w:szCs w:val="31"/>
          <w:lang w:val="en-US" w:eastAsia="zh-CN" w:bidi="ar"/>
        </w:rPr>
        <w:t>9</w:t>
      </w:r>
      <w:r>
        <w:rPr>
          <w:rFonts w:ascii="仿宋" w:hAnsi="仿宋" w:eastAsia="仿宋" w:cs="仿宋"/>
          <w:color w:val="000000"/>
          <w:kern w:val="0"/>
          <w:sz w:val="31"/>
          <w:szCs w:val="31"/>
          <w:lang w:val="en-US" w:eastAsia="zh-CN" w:bidi="ar"/>
        </w:rPr>
        <w:t>）</w:t>
      </w:r>
      <w:r>
        <w:rPr>
          <w:rFonts w:hint="eastAsia" w:ascii="仿宋" w:hAnsi="仿宋" w:eastAsia="仿宋" w:cs="仿宋"/>
          <w:color w:val="000000"/>
          <w:kern w:val="0"/>
          <w:sz w:val="31"/>
          <w:szCs w:val="31"/>
          <w:lang w:val="en-US" w:eastAsia="zh-CN" w:bidi="ar"/>
        </w:rPr>
        <w:t>彩票公益金安排的支出</w:t>
      </w:r>
      <w:r>
        <w:rPr>
          <w:rFonts w:ascii="仿宋" w:hAnsi="仿宋" w:eastAsia="仿宋" w:cs="仿宋"/>
          <w:color w:val="000000"/>
          <w:kern w:val="0"/>
          <w:sz w:val="31"/>
          <w:szCs w:val="31"/>
          <w:lang w:val="en-US" w:eastAsia="zh-CN" w:bidi="ar"/>
        </w:rPr>
        <w:t>（</w:t>
      </w:r>
      <w:r>
        <w:rPr>
          <w:rFonts w:hint="eastAsia" w:ascii="仿宋" w:hAnsi="仿宋" w:eastAsia="仿宋" w:cs="仿宋"/>
          <w:color w:val="000000"/>
          <w:kern w:val="0"/>
          <w:sz w:val="31"/>
          <w:szCs w:val="31"/>
          <w:lang w:val="en-US" w:eastAsia="zh-CN" w:bidi="ar"/>
        </w:rPr>
        <w:t>60</w:t>
      </w:r>
      <w:r>
        <w:rPr>
          <w:rFonts w:ascii="仿宋" w:hAnsi="仿宋" w:eastAsia="仿宋" w:cs="仿宋"/>
          <w:color w:val="000000"/>
          <w:kern w:val="0"/>
          <w:sz w:val="31"/>
          <w:szCs w:val="31"/>
          <w:lang w:val="en-US" w:eastAsia="zh-CN" w:bidi="ar"/>
        </w:rPr>
        <w:t>）</w:t>
      </w:r>
      <w:r>
        <w:rPr>
          <w:rFonts w:hint="eastAsia" w:ascii="仿宋" w:hAnsi="仿宋" w:eastAsia="仿宋" w:cs="仿宋"/>
          <w:color w:val="000000"/>
          <w:kern w:val="0"/>
          <w:sz w:val="31"/>
          <w:szCs w:val="31"/>
          <w:lang w:val="en-US" w:eastAsia="zh-CN" w:bidi="ar"/>
        </w:rPr>
        <w:t>用于体育事业的彩票公益金支出（03）：指反映中央和省级下达的用于残疾人体育工作的彩票公益金支出。</w:t>
      </w:r>
    </w:p>
    <w:p w14:paraId="5F59A3F9">
      <w:pPr>
        <w:keepNext w:val="0"/>
        <w:keepLines w:val="0"/>
        <w:widowControl/>
        <w:numPr>
          <w:ilvl w:val="0"/>
          <w:numId w:val="0"/>
        </w:numPr>
        <w:suppressLineNumbers w:val="0"/>
        <w:ind w:firstLine="620" w:firstLineChars="20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其他支出</w:t>
      </w:r>
      <w:r>
        <w:rPr>
          <w:rFonts w:ascii="仿宋" w:hAnsi="仿宋" w:eastAsia="仿宋" w:cs="仿宋"/>
          <w:color w:val="000000"/>
          <w:kern w:val="0"/>
          <w:sz w:val="31"/>
          <w:szCs w:val="31"/>
          <w:lang w:val="en-US" w:eastAsia="zh-CN" w:bidi="ar"/>
        </w:rPr>
        <w:t>（22</w:t>
      </w:r>
      <w:r>
        <w:rPr>
          <w:rFonts w:hint="eastAsia" w:ascii="仿宋" w:hAnsi="仿宋" w:eastAsia="仿宋" w:cs="仿宋"/>
          <w:color w:val="000000"/>
          <w:kern w:val="0"/>
          <w:sz w:val="31"/>
          <w:szCs w:val="31"/>
          <w:lang w:val="en-US" w:eastAsia="zh-CN" w:bidi="ar"/>
        </w:rPr>
        <w:t>9</w:t>
      </w:r>
      <w:r>
        <w:rPr>
          <w:rFonts w:ascii="仿宋" w:hAnsi="仿宋" w:eastAsia="仿宋" w:cs="仿宋"/>
          <w:color w:val="000000"/>
          <w:kern w:val="0"/>
          <w:sz w:val="31"/>
          <w:szCs w:val="31"/>
          <w:lang w:val="en-US" w:eastAsia="zh-CN" w:bidi="ar"/>
        </w:rPr>
        <w:t>）</w:t>
      </w:r>
      <w:r>
        <w:rPr>
          <w:rFonts w:hint="eastAsia" w:ascii="仿宋" w:hAnsi="仿宋" w:eastAsia="仿宋" w:cs="仿宋"/>
          <w:color w:val="000000"/>
          <w:kern w:val="0"/>
          <w:sz w:val="31"/>
          <w:szCs w:val="31"/>
          <w:lang w:val="en-US" w:eastAsia="zh-CN" w:bidi="ar"/>
        </w:rPr>
        <w:t>彩票公益金安排的支出</w:t>
      </w:r>
      <w:r>
        <w:rPr>
          <w:rFonts w:ascii="仿宋" w:hAnsi="仿宋" w:eastAsia="仿宋" w:cs="仿宋"/>
          <w:color w:val="000000"/>
          <w:kern w:val="0"/>
          <w:sz w:val="31"/>
          <w:szCs w:val="31"/>
          <w:lang w:val="en-US" w:eastAsia="zh-CN" w:bidi="ar"/>
        </w:rPr>
        <w:t>（</w:t>
      </w:r>
      <w:r>
        <w:rPr>
          <w:rFonts w:hint="eastAsia" w:ascii="仿宋" w:hAnsi="仿宋" w:eastAsia="仿宋" w:cs="仿宋"/>
          <w:color w:val="000000"/>
          <w:kern w:val="0"/>
          <w:sz w:val="31"/>
          <w:szCs w:val="31"/>
          <w:lang w:val="en-US" w:eastAsia="zh-CN" w:bidi="ar"/>
        </w:rPr>
        <w:t>60</w:t>
      </w:r>
      <w:r>
        <w:rPr>
          <w:rFonts w:ascii="仿宋" w:hAnsi="仿宋" w:eastAsia="仿宋" w:cs="仿宋"/>
          <w:color w:val="000000"/>
          <w:kern w:val="0"/>
          <w:sz w:val="31"/>
          <w:szCs w:val="31"/>
          <w:lang w:val="en-US" w:eastAsia="zh-CN" w:bidi="ar"/>
        </w:rPr>
        <w:t>）</w:t>
      </w:r>
      <w:r>
        <w:rPr>
          <w:rFonts w:hint="eastAsia" w:ascii="仿宋" w:hAnsi="仿宋" w:eastAsia="仿宋" w:cs="仿宋"/>
          <w:color w:val="000000"/>
          <w:kern w:val="0"/>
          <w:sz w:val="31"/>
          <w:szCs w:val="31"/>
          <w:lang w:val="en-US" w:eastAsia="zh-CN" w:bidi="ar"/>
        </w:rPr>
        <w:t>用于残疾人事业的彩票公益金支出（06）：指反映中央和省级下达的用于残疾人事业的彩票公益金支出。</w:t>
      </w:r>
    </w:p>
    <w:p w14:paraId="1D99C4AE">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13.</w:t>
      </w:r>
      <w:r>
        <w:rPr>
          <w:rFonts w:ascii="仿宋" w:hAnsi="仿宋" w:eastAsia="仿宋" w:cs="仿宋"/>
          <w:color w:val="000000"/>
          <w:kern w:val="0"/>
          <w:sz w:val="31"/>
          <w:szCs w:val="31"/>
          <w:lang w:val="en-US" w:eastAsia="zh-CN" w:bidi="ar"/>
        </w:rPr>
        <w:t>基本支出：指为保障机构正常运转、完成日常工作任</w:t>
      </w:r>
    </w:p>
    <w:p w14:paraId="6DD6DFFF">
      <w:pPr>
        <w:keepNext w:val="0"/>
        <w:keepLines w:val="0"/>
        <w:widowControl/>
        <w:suppressLineNumbers w:val="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务而发生的人员支出和公用支出。</w:t>
      </w:r>
    </w:p>
    <w:p w14:paraId="6E6BFA40">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14.</w:t>
      </w:r>
      <w:r>
        <w:rPr>
          <w:rFonts w:ascii="仿宋" w:hAnsi="仿宋" w:eastAsia="仿宋" w:cs="仿宋"/>
          <w:color w:val="000000"/>
          <w:kern w:val="0"/>
          <w:sz w:val="31"/>
          <w:szCs w:val="31"/>
          <w:lang w:val="en-US" w:eastAsia="zh-CN" w:bidi="ar"/>
        </w:rPr>
        <w:t>项目支出：指在基本支出之外为完成特定行政任务和</w:t>
      </w:r>
    </w:p>
    <w:p w14:paraId="12EEDAB1">
      <w:pPr>
        <w:keepNext w:val="0"/>
        <w:keepLines w:val="0"/>
        <w:widowControl/>
        <w:suppressLineNumbers w:val="0"/>
        <w:jc w:val="left"/>
      </w:pPr>
      <w:r>
        <w:rPr>
          <w:rFonts w:hint="eastAsia" w:ascii="仿宋" w:hAnsi="仿宋" w:eastAsia="仿宋" w:cs="仿宋"/>
          <w:color w:val="000000"/>
          <w:kern w:val="0"/>
          <w:sz w:val="31"/>
          <w:szCs w:val="31"/>
          <w:lang w:val="en-US" w:eastAsia="zh-CN" w:bidi="ar"/>
        </w:rPr>
        <w:t>事业发展目标所发生的支出。</w:t>
      </w:r>
    </w:p>
    <w:p w14:paraId="6BEDEFE0">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15</w:t>
      </w:r>
      <w:r>
        <w:rPr>
          <w:rFonts w:hint="default" w:ascii="Times New Roman" w:hAnsi="Times New Roman" w:eastAsia="宋体" w:cs="Times New Roman"/>
          <w:color w:val="000000"/>
          <w:kern w:val="0"/>
          <w:sz w:val="31"/>
          <w:szCs w:val="31"/>
          <w:lang w:val="en-US" w:eastAsia="zh-CN" w:bidi="ar"/>
        </w:rPr>
        <w:t>.</w:t>
      </w:r>
      <w:r>
        <w:rPr>
          <w:rFonts w:ascii="仿宋" w:hAnsi="仿宋" w:eastAsia="仿宋" w:cs="仿宋"/>
          <w:color w:val="000000"/>
          <w:kern w:val="0"/>
          <w:sz w:val="31"/>
          <w:szCs w:val="31"/>
          <w:lang w:val="en-US" w:eastAsia="zh-CN" w:bidi="ar"/>
        </w:rPr>
        <w:t>三公”经费：指</w:t>
      </w:r>
      <w:r>
        <w:rPr>
          <w:rFonts w:hint="eastAsia" w:ascii="仿宋" w:hAnsi="仿宋" w:eastAsia="仿宋" w:cs="仿宋"/>
          <w:color w:val="000000"/>
          <w:kern w:val="0"/>
          <w:sz w:val="31"/>
          <w:szCs w:val="31"/>
          <w:lang w:val="en-US" w:eastAsia="zh-CN" w:bidi="ar"/>
        </w:rPr>
        <w:t>单位</w:t>
      </w:r>
      <w:r>
        <w:rPr>
          <w:rFonts w:ascii="仿宋" w:hAnsi="仿宋" w:eastAsia="仿宋" w:cs="仿宋"/>
          <w:color w:val="000000"/>
          <w:kern w:val="0"/>
          <w:sz w:val="31"/>
          <w:szCs w:val="31"/>
          <w:lang w:val="en-US" w:eastAsia="zh-CN" w:bidi="ar"/>
        </w:rPr>
        <w:t>用财政拨款安排的因公出国（境）费、公务用车购置及运行费和公务接待费。其中，因公出国</w:t>
      </w:r>
    </w:p>
    <w:p w14:paraId="6D1EAFFA">
      <w:pPr>
        <w:keepNext w:val="0"/>
        <w:keepLines w:val="0"/>
        <w:widowControl/>
        <w:suppressLineNumbers w:val="0"/>
        <w:jc w:val="left"/>
      </w:pPr>
      <w:r>
        <w:rPr>
          <w:rFonts w:hint="eastAsia" w:ascii="仿宋" w:hAnsi="仿宋" w:eastAsia="仿宋" w:cs="仿宋"/>
          <w:color w:val="000000"/>
          <w:kern w:val="0"/>
          <w:sz w:val="31"/>
          <w:szCs w:val="31"/>
          <w:lang w:val="en-US" w:eastAsia="zh-CN" w:bidi="ar"/>
        </w:rPr>
        <w:t>（境）费反映单位公务出国（境）的国际旅费、国外城市间</w:t>
      </w:r>
    </w:p>
    <w:p w14:paraId="7E064E4A">
      <w:pPr>
        <w:keepNext w:val="0"/>
        <w:keepLines w:val="0"/>
        <w:widowControl/>
        <w:suppressLineNumbers w:val="0"/>
        <w:jc w:val="left"/>
      </w:pPr>
      <w:r>
        <w:rPr>
          <w:rFonts w:hint="eastAsia" w:ascii="仿宋" w:hAnsi="仿宋" w:eastAsia="仿宋" w:cs="仿宋"/>
          <w:color w:val="000000"/>
          <w:kern w:val="0"/>
          <w:sz w:val="31"/>
          <w:szCs w:val="31"/>
          <w:lang w:val="en-US" w:eastAsia="zh-CN" w:bidi="ar"/>
        </w:rPr>
        <w:t>交通费、住宿费、伙食费、培训费、公杂费等支出；公务用</w:t>
      </w:r>
    </w:p>
    <w:p w14:paraId="6E757AFC">
      <w:pPr>
        <w:keepNext w:val="0"/>
        <w:keepLines w:val="0"/>
        <w:widowControl/>
        <w:suppressLineNumbers w:val="0"/>
        <w:jc w:val="left"/>
      </w:pPr>
      <w:r>
        <w:rPr>
          <w:rFonts w:hint="eastAsia" w:ascii="仿宋" w:hAnsi="仿宋" w:eastAsia="仿宋" w:cs="仿宋"/>
          <w:color w:val="000000"/>
          <w:kern w:val="0"/>
          <w:sz w:val="31"/>
          <w:szCs w:val="31"/>
          <w:lang w:val="en-US" w:eastAsia="zh-CN" w:bidi="ar"/>
        </w:rPr>
        <w:t>车购置及运行费反映单位公务用车车辆购置支出（含车辆购</w:t>
      </w:r>
    </w:p>
    <w:p w14:paraId="2C17328A">
      <w:pPr>
        <w:keepNext w:val="0"/>
        <w:keepLines w:val="0"/>
        <w:widowControl/>
        <w:suppressLineNumbers w:val="0"/>
        <w:jc w:val="left"/>
      </w:pPr>
      <w:r>
        <w:rPr>
          <w:rFonts w:hint="eastAsia" w:ascii="仿宋" w:hAnsi="仿宋" w:eastAsia="仿宋" w:cs="仿宋"/>
          <w:color w:val="000000"/>
          <w:kern w:val="0"/>
          <w:sz w:val="31"/>
          <w:szCs w:val="31"/>
          <w:lang w:val="en-US" w:eastAsia="zh-CN" w:bidi="ar"/>
        </w:rPr>
        <w:t>置税）及租用费、燃料费、维修费、过路过桥费、保险费等</w:t>
      </w:r>
    </w:p>
    <w:p w14:paraId="18341DA4">
      <w:pPr>
        <w:keepNext w:val="0"/>
        <w:keepLines w:val="0"/>
        <w:widowControl/>
        <w:suppressLineNumbers w:val="0"/>
        <w:jc w:val="left"/>
      </w:pPr>
      <w:r>
        <w:rPr>
          <w:rFonts w:hint="eastAsia" w:ascii="仿宋" w:hAnsi="仿宋" w:eastAsia="仿宋" w:cs="仿宋"/>
          <w:color w:val="000000"/>
          <w:kern w:val="0"/>
          <w:sz w:val="31"/>
          <w:szCs w:val="31"/>
          <w:lang w:val="en-US" w:eastAsia="zh-CN" w:bidi="ar"/>
        </w:rPr>
        <w:t>支出；公务接待费反映单位按规定开支的各类公务接待（含</w:t>
      </w:r>
    </w:p>
    <w:p w14:paraId="00E903BE">
      <w:pPr>
        <w:keepNext w:val="0"/>
        <w:keepLines w:val="0"/>
        <w:widowControl/>
        <w:suppressLineNumbers w:val="0"/>
        <w:jc w:val="left"/>
      </w:pPr>
      <w:r>
        <w:rPr>
          <w:rFonts w:hint="eastAsia" w:ascii="仿宋" w:hAnsi="仿宋" w:eastAsia="仿宋" w:cs="仿宋"/>
          <w:color w:val="000000"/>
          <w:kern w:val="0"/>
          <w:sz w:val="31"/>
          <w:szCs w:val="31"/>
          <w:lang w:val="en-US" w:eastAsia="zh-CN" w:bidi="ar"/>
        </w:rPr>
        <w:t>外宾接待）支出。</w:t>
      </w:r>
    </w:p>
    <w:p w14:paraId="6CE8582F">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16</w:t>
      </w:r>
      <w:r>
        <w:rPr>
          <w:rFonts w:hint="default" w:ascii="Times New Roman" w:hAnsi="Times New Roman" w:eastAsia="宋体" w:cs="Times New Roman"/>
          <w:color w:val="000000"/>
          <w:kern w:val="0"/>
          <w:sz w:val="31"/>
          <w:szCs w:val="31"/>
          <w:lang w:val="en-US" w:eastAsia="zh-CN" w:bidi="ar"/>
        </w:rPr>
        <w:t>.</w:t>
      </w:r>
      <w:r>
        <w:rPr>
          <w:rFonts w:ascii="仿宋" w:hAnsi="仿宋" w:eastAsia="仿宋" w:cs="仿宋"/>
          <w:color w:val="000000"/>
          <w:kern w:val="0"/>
          <w:sz w:val="31"/>
          <w:szCs w:val="31"/>
          <w:lang w:val="en-US" w:eastAsia="zh-CN" w:bidi="ar"/>
        </w:rPr>
        <w:t>机关运行经费：为保障行政</w:t>
      </w:r>
      <w:r>
        <w:rPr>
          <w:rFonts w:hint="eastAsia" w:ascii="仿宋" w:hAnsi="仿宋" w:eastAsia="仿宋" w:cs="仿宋"/>
          <w:color w:val="000000"/>
          <w:kern w:val="0"/>
          <w:sz w:val="31"/>
          <w:szCs w:val="31"/>
          <w:lang w:val="en-US" w:eastAsia="zh-CN" w:bidi="ar"/>
        </w:rPr>
        <w:t>单位</w:t>
      </w:r>
      <w:r>
        <w:rPr>
          <w:rFonts w:ascii="仿宋" w:hAnsi="仿宋" w:eastAsia="仿宋" w:cs="仿宋"/>
          <w:color w:val="000000"/>
          <w:kern w:val="0"/>
          <w:sz w:val="31"/>
          <w:szCs w:val="31"/>
          <w:lang w:val="en-US" w:eastAsia="zh-CN" w:bidi="ar"/>
        </w:rPr>
        <w:t>（含参照公务员法管</w:t>
      </w:r>
    </w:p>
    <w:p w14:paraId="7EEE292B">
      <w:pPr>
        <w:keepNext w:val="0"/>
        <w:keepLines w:val="0"/>
        <w:widowControl/>
        <w:suppressLineNumbers w:val="0"/>
        <w:jc w:val="left"/>
      </w:pPr>
      <w:r>
        <w:rPr>
          <w:rFonts w:hint="eastAsia" w:ascii="仿宋" w:hAnsi="仿宋" w:eastAsia="仿宋" w:cs="仿宋"/>
          <w:color w:val="000000"/>
          <w:kern w:val="0"/>
          <w:sz w:val="31"/>
          <w:szCs w:val="31"/>
          <w:lang w:val="en-US" w:eastAsia="zh-CN" w:bidi="ar"/>
        </w:rPr>
        <w:t>理的事业单位）运行用于购买货物和服务的各项资金，包括</w:t>
      </w:r>
    </w:p>
    <w:p w14:paraId="73CD3A99">
      <w:pPr>
        <w:keepNext w:val="0"/>
        <w:keepLines w:val="0"/>
        <w:widowControl/>
        <w:suppressLineNumbers w:val="0"/>
        <w:jc w:val="left"/>
      </w:pPr>
      <w:r>
        <w:rPr>
          <w:rFonts w:hint="eastAsia" w:ascii="仿宋" w:hAnsi="仿宋" w:eastAsia="仿宋" w:cs="仿宋"/>
          <w:color w:val="000000"/>
          <w:kern w:val="0"/>
          <w:sz w:val="31"/>
          <w:szCs w:val="31"/>
          <w:lang w:val="en-US" w:eastAsia="zh-CN" w:bidi="ar"/>
        </w:rPr>
        <w:t>办公及印刷费、邮电费、差旅费、会议费、福利费、日常维</w:t>
      </w:r>
    </w:p>
    <w:p w14:paraId="73915C92">
      <w:pPr>
        <w:keepNext w:val="0"/>
        <w:keepLines w:val="0"/>
        <w:widowControl/>
        <w:suppressLineNumbers w:val="0"/>
        <w:jc w:val="left"/>
      </w:pPr>
      <w:r>
        <w:rPr>
          <w:rFonts w:hint="eastAsia" w:ascii="仿宋" w:hAnsi="仿宋" w:eastAsia="仿宋" w:cs="仿宋"/>
          <w:color w:val="000000"/>
          <w:kern w:val="0"/>
          <w:sz w:val="31"/>
          <w:szCs w:val="31"/>
          <w:lang w:val="en-US" w:eastAsia="zh-CN" w:bidi="ar"/>
        </w:rPr>
        <w:t>修费、专用材料及一般设备购置费、办公用房水电费、办公</w:t>
      </w:r>
    </w:p>
    <w:p w14:paraId="34F9AA42">
      <w:pPr>
        <w:keepNext w:val="0"/>
        <w:keepLines w:val="0"/>
        <w:widowControl/>
        <w:suppressLineNumbers w:val="0"/>
        <w:jc w:val="left"/>
      </w:pPr>
      <w:r>
        <w:rPr>
          <w:rFonts w:hint="eastAsia" w:ascii="仿宋" w:hAnsi="仿宋" w:eastAsia="仿宋" w:cs="仿宋"/>
          <w:color w:val="000000"/>
          <w:kern w:val="0"/>
          <w:sz w:val="31"/>
          <w:szCs w:val="31"/>
          <w:lang w:val="en-US" w:eastAsia="zh-CN" w:bidi="ar"/>
        </w:rPr>
        <w:t>用房取暖费、办公用房物业管理费、公务用车运行维护费以</w:t>
      </w:r>
    </w:p>
    <w:p w14:paraId="09EFE3C2">
      <w:pPr>
        <w:keepNext w:val="0"/>
        <w:keepLines w:val="0"/>
        <w:widowControl/>
        <w:suppressLineNumbers w:val="0"/>
        <w:jc w:val="left"/>
      </w:pPr>
      <w:r>
        <w:rPr>
          <w:rFonts w:hint="eastAsia" w:ascii="仿宋" w:hAnsi="仿宋" w:eastAsia="仿宋" w:cs="仿宋"/>
          <w:color w:val="000000"/>
          <w:kern w:val="0"/>
          <w:sz w:val="31"/>
          <w:szCs w:val="31"/>
          <w:lang w:val="en-US" w:eastAsia="zh-CN" w:bidi="ar"/>
        </w:rPr>
        <w:t>及其他费用。</w:t>
      </w:r>
    </w:p>
    <w:p w14:paraId="58B3FA79">
      <w:pPr>
        <w:keepNext w:val="0"/>
        <w:keepLines w:val="0"/>
        <w:widowControl/>
        <w:suppressLineNumbers w:val="0"/>
        <w:jc w:val="left"/>
        <w:rPr>
          <w:rFonts w:hint="default" w:eastAsia="宋体"/>
          <w:lang w:val="en-US" w:eastAsia="zh-CN"/>
        </w:rPr>
      </w:pPr>
    </w:p>
    <w:p w14:paraId="6369AF6C">
      <w:pPr>
        <w:keepNext w:val="0"/>
        <w:keepLines w:val="0"/>
        <w:widowControl/>
        <w:suppressLineNumbers w:val="0"/>
        <w:jc w:val="left"/>
        <w:rPr>
          <w:rFonts w:hint="default" w:ascii="仿宋" w:hAnsi="仿宋" w:eastAsia="仿宋" w:cs="仿宋"/>
          <w:color w:val="000000"/>
          <w:kern w:val="0"/>
          <w:sz w:val="31"/>
          <w:szCs w:val="31"/>
          <w:lang w:val="en-US" w:eastAsia="zh-CN" w:bidi="ar"/>
        </w:rPr>
      </w:pPr>
    </w:p>
    <w:p w14:paraId="1C701B36">
      <w:pPr>
        <w:keepNext w:val="0"/>
        <w:keepLines w:val="0"/>
        <w:widowControl/>
        <w:numPr>
          <w:ilvl w:val="0"/>
          <w:numId w:val="0"/>
        </w:numPr>
        <w:suppressLineNumbers w:val="0"/>
        <w:ind w:firstLine="620" w:firstLineChars="200"/>
        <w:jc w:val="left"/>
        <w:rPr>
          <w:rFonts w:hint="default" w:ascii="仿宋" w:hAnsi="仿宋" w:eastAsia="仿宋" w:cs="仿宋"/>
          <w:color w:val="000000"/>
          <w:kern w:val="0"/>
          <w:sz w:val="31"/>
          <w:szCs w:val="31"/>
          <w:lang w:val="en-US" w:eastAsia="zh-CN" w:bidi="ar"/>
        </w:rPr>
      </w:pPr>
    </w:p>
    <w:p w14:paraId="3150242D">
      <w:pPr>
        <w:keepNext w:val="0"/>
        <w:keepLines w:val="0"/>
        <w:widowControl/>
        <w:suppressLineNumbers w:val="0"/>
        <w:jc w:val="left"/>
        <w:rPr>
          <w:rFonts w:hint="default" w:ascii="仿宋" w:hAnsi="仿宋" w:eastAsia="仿宋" w:cs="仿宋"/>
          <w:color w:val="000000"/>
          <w:kern w:val="0"/>
          <w:sz w:val="31"/>
          <w:szCs w:val="31"/>
          <w:lang w:val="en-US" w:eastAsia="zh-CN" w:bidi="ar"/>
        </w:rPr>
      </w:pPr>
    </w:p>
    <w:p w14:paraId="23A7D332">
      <w:pPr>
        <w:keepNext w:val="0"/>
        <w:keepLines w:val="0"/>
        <w:widowControl/>
        <w:suppressLineNumbers w:val="0"/>
        <w:jc w:val="left"/>
        <w:rPr>
          <w:rFonts w:hint="eastAsia" w:ascii="仿宋" w:hAnsi="仿宋" w:eastAsia="仿宋" w:cs="仿宋"/>
          <w:color w:val="000000"/>
          <w:kern w:val="0"/>
          <w:sz w:val="31"/>
          <w:szCs w:val="31"/>
          <w:lang w:val="en-US" w:eastAsia="zh-CN" w:bidi="ar"/>
        </w:rPr>
      </w:pPr>
    </w:p>
    <w:p w14:paraId="7122F4BA">
      <w:pPr>
        <w:keepNext w:val="0"/>
        <w:keepLines w:val="0"/>
        <w:widowControl/>
        <w:suppressLineNumbers w:val="0"/>
        <w:jc w:val="left"/>
        <w:rPr>
          <w:rFonts w:hint="default" w:ascii="仿宋" w:hAnsi="仿宋" w:eastAsia="仿宋" w:cs="仿宋"/>
          <w:color w:val="000000"/>
          <w:kern w:val="0"/>
          <w:sz w:val="31"/>
          <w:szCs w:val="31"/>
          <w:lang w:val="en-US" w:eastAsia="zh-CN" w:bidi="ar"/>
        </w:rPr>
      </w:pPr>
    </w:p>
    <w:p w14:paraId="43920D41">
      <w:pPr>
        <w:keepNext w:val="0"/>
        <w:keepLines w:val="0"/>
        <w:widowControl/>
        <w:suppressLineNumbers w:val="0"/>
        <w:ind w:firstLine="620" w:firstLineChars="200"/>
        <w:jc w:val="left"/>
        <w:rPr>
          <w:rFonts w:hint="default" w:ascii="仿宋" w:hAnsi="仿宋" w:eastAsia="仿宋" w:cs="仿宋"/>
          <w:color w:val="000000"/>
          <w:kern w:val="0"/>
          <w:sz w:val="31"/>
          <w:szCs w:val="31"/>
          <w:lang w:val="en-US" w:eastAsia="zh-CN" w:bidi="ar"/>
        </w:rPr>
      </w:pPr>
    </w:p>
    <w:p w14:paraId="376AA8D2">
      <w:pPr>
        <w:keepNext w:val="0"/>
        <w:keepLines w:val="0"/>
        <w:widowControl/>
        <w:suppressLineNumbers w:val="0"/>
        <w:ind w:firstLine="420" w:firstLineChars="200"/>
        <w:jc w:val="left"/>
      </w:pPr>
    </w:p>
    <w:p w14:paraId="5D0AD489">
      <w:pPr>
        <w:keepNext w:val="0"/>
        <w:keepLines w:val="0"/>
        <w:widowControl/>
        <w:suppressLineNumbers w:val="0"/>
        <w:ind w:firstLine="620" w:firstLineChars="200"/>
        <w:jc w:val="left"/>
        <w:rPr>
          <w:rFonts w:ascii="仿宋" w:hAnsi="仿宋" w:eastAsia="仿宋" w:cs="仿宋"/>
          <w:color w:val="000000"/>
          <w:kern w:val="0"/>
          <w:sz w:val="31"/>
          <w:szCs w:val="31"/>
          <w:lang w:val="en-US" w:eastAsia="zh-CN" w:bidi="ar"/>
        </w:rPr>
      </w:pPr>
    </w:p>
    <w:p w14:paraId="38E5681C">
      <w:pPr>
        <w:keepNext w:val="0"/>
        <w:keepLines w:val="0"/>
        <w:widowControl/>
        <w:suppressLineNumbers w:val="0"/>
        <w:ind w:firstLine="620" w:firstLineChars="200"/>
        <w:jc w:val="left"/>
        <w:rPr>
          <w:rFonts w:hint="default" w:ascii="仿宋" w:hAnsi="仿宋" w:eastAsia="仿宋" w:cs="仿宋"/>
          <w:color w:val="000000"/>
          <w:kern w:val="0"/>
          <w:sz w:val="31"/>
          <w:szCs w:val="31"/>
          <w:lang w:val="en-US" w:eastAsia="zh-CN" w:bidi="ar"/>
        </w:rPr>
      </w:pPr>
    </w:p>
    <w:p w14:paraId="571D848C">
      <w:pPr>
        <w:keepNext w:val="0"/>
        <w:keepLines w:val="0"/>
        <w:widowControl/>
        <w:suppressLineNumbers w:val="0"/>
        <w:ind w:firstLine="620" w:firstLineChars="200"/>
        <w:jc w:val="left"/>
        <w:rPr>
          <w:rFonts w:hint="default" w:ascii="仿宋" w:hAnsi="仿宋" w:eastAsia="仿宋" w:cs="仿宋"/>
          <w:color w:val="000000"/>
          <w:kern w:val="0"/>
          <w:sz w:val="31"/>
          <w:szCs w:val="31"/>
          <w:lang w:val="en-US" w:eastAsia="zh-CN" w:bidi="ar"/>
        </w:rPr>
      </w:pPr>
    </w:p>
    <w:p w14:paraId="2908A9E6">
      <w:pPr>
        <w:keepNext w:val="0"/>
        <w:keepLines w:val="0"/>
        <w:widowControl/>
        <w:suppressLineNumbers w:val="0"/>
        <w:ind w:firstLine="620" w:firstLineChars="200"/>
        <w:jc w:val="left"/>
        <w:rPr>
          <w:rFonts w:hint="default" w:ascii="仿宋" w:hAnsi="仿宋" w:eastAsia="仿宋" w:cs="仿宋"/>
          <w:color w:val="000000"/>
          <w:kern w:val="0"/>
          <w:sz w:val="31"/>
          <w:szCs w:val="31"/>
          <w:lang w:val="en-US" w:eastAsia="zh-CN" w:bidi="ar"/>
        </w:rPr>
      </w:pPr>
    </w:p>
    <w:p w14:paraId="60993B56">
      <w:pPr>
        <w:spacing w:line="600" w:lineRule="exact"/>
        <w:jc w:val="center"/>
        <w:rPr>
          <w:rStyle w:val="28"/>
          <w:rFonts w:hint="eastAsia" w:ascii="Times New Roman" w:hAnsi="Times New Roman" w:eastAsia="黑体"/>
          <w:b w:val="0"/>
          <w:color w:val="auto"/>
          <w:highlight w:val="none"/>
          <w:lang w:eastAsia="zh-CN"/>
        </w:rPr>
      </w:pPr>
      <w:bookmarkStart w:id="103" w:name="_Toc15377226"/>
      <w:r>
        <w:rPr>
          <w:rFonts w:hint="eastAsia" w:ascii="Times New Roman" w:hAnsi="Times New Roman" w:eastAsia="仿宋_GB2312" w:cs="仿宋_GB2312"/>
          <w:color w:val="auto"/>
          <w:kern w:val="2"/>
          <w:sz w:val="32"/>
          <w:szCs w:val="32"/>
          <w:highlight w:val="none"/>
          <w:lang w:val="en-US" w:eastAsia="zh-CN" w:bidi="ar-SA"/>
        </w:rPr>
        <w:br w:type="page"/>
      </w:r>
      <w:bookmarkStart w:id="104" w:name="_Toc15396614"/>
      <w:r>
        <w:rPr>
          <w:rFonts w:hint="eastAsia" w:ascii="Times New Roman" w:hAnsi="Times New Roman" w:eastAsia="黑体"/>
          <w:color w:val="auto"/>
          <w:sz w:val="44"/>
          <w:szCs w:val="44"/>
          <w:highlight w:val="none"/>
        </w:rPr>
        <w:t>第四部分</w:t>
      </w:r>
      <w:r>
        <w:rPr>
          <w:rFonts w:hint="eastAsia" w:ascii="Times New Roman" w:hAnsi="Times New Roman" w:eastAsia="黑体"/>
          <w:color w:val="auto"/>
          <w:sz w:val="44"/>
          <w:szCs w:val="44"/>
          <w:highlight w:val="none"/>
          <w:lang w:val="en-US" w:eastAsia="zh-CN"/>
        </w:rPr>
        <w:t xml:space="preserve"> </w:t>
      </w:r>
      <w:r>
        <w:rPr>
          <w:rFonts w:hint="eastAsia" w:ascii="Times New Roman" w:hAnsi="Times New Roman" w:eastAsia="黑体"/>
          <w:color w:val="auto"/>
          <w:sz w:val="44"/>
          <w:szCs w:val="44"/>
          <w:highlight w:val="none"/>
        </w:rPr>
        <w:t xml:space="preserve"> 附件</w:t>
      </w:r>
      <w:bookmarkEnd w:id="104"/>
    </w:p>
    <w:p w14:paraId="6737FC85">
      <w:pPr>
        <w:keepNext w:val="0"/>
        <w:keepLines w:val="0"/>
        <w:pageBreakBefore w:val="0"/>
        <w:kinsoku/>
        <w:wordWrap/>
        <w:overflowPunct/>
        <w:topLinePunct w:val="0"/>
        <w:autoSpaceDE/>
        <w:autoSpaceDN/>
        <w:bidi w:val="0"/>
        <w:spacing w:line="572" w:lineRule="exact"/>
        <w:jc w:val="left"/>
        <w:textAlignment w:val="auto"/>
        <w:outlineLvl w:val="0"/>
        <w:rPr>
          <w:rFonts w:hint="eastAsia" w:ascii="Times New Roman" w:hAnsi="Times New Roman" w:eastAsia="黑体" w:cs="黑体"/>
          <w:color w:val="FF0000"/>
          <w:sz w:val="32"/>
          <w:szCs w:val="32"/>
          <w:highlight w:val="none"/>
        </w:rPr>
      </w:pPr>
    </w:p>
    <w:p w14:paraId="1A5B46C3">
      <w:pPr>
        <w:keepNext w:val="0"/>
        <w:keepLines w:val="0"/>
        <w:pageBreakBefore w:val="0"/>
        <w:kinsoku/>
        <w:wordWrap/>
        <w:overflowPunct/>
        <w:topLinePunct w:val="0"/>
        <w:autoSpaceDE/>
        <w:autoSpaceDN/>
        <w:bidi w:val="0"/>
        <w:spacing w:line="572" w:lineRule="exact"/>
        <w:jc w:val="left"/>
        <w:textAlignment w:val="auto"/>
        <w:outlineLvl w:val="0"/>
        <w:rPr>
          <w:rFonts w:hint="eastAsia" w:ascii="Times New Roman" w:hAnsi="Times New Roman" w:eastAsia="黑体" w:cs="方正小标宋简体"/>
          <w:color w:val="auto"/>
          <w:sz w:val="44"/>
          <w:szCs w:val="44"/>
          <w:highlight w:val="none"/>
          <w:lang w:val="en-US" w:eastAsia="zh-CN"/>
        </w:rPr>
      </w:pPr>
      <w:bookmarkStart w:id="105" w:name="_Toc19601"/>
      <w:bookmarkStart w:id="106" w:name="_Toc6377"/>
      <w:r>
        <w:rPr>
          <w:rFonts w:hint="eastAsia" w:ascii="Times New Roman" w:hAnsi="Times New Roman" w:eastAsia="黑体" w:cs="黑体"/>
          <w:color w:val="auto"/>
          <w:sz w:val="32"/>
          <w:szCs w:val="32"/>
          <w:highlight w:val="none"/>
        </w:rPr>
        <w:t>附件</w:t>
      </w:r>
      <w:r>
        <w:rPr>
          <w:rFonts w:hint="eastAsia" w:ascii="Times New Roman" w:hAnsi="Times New Roman" w:eastAsia="黑体" w:cs="黑体"/>
          <w:color w:val="auto"/>
          <w:sz w:val="32"/>
          <w:szCs w:val="32"/>
          <w:highlight w:val="none"/>
          <w:lang w:val="en-US" w:eastAsia="zh-CN"/>
        </w:rPr>
        <w:t>1</w:t>
      </w:r>
      <w:bookmarkEnd w:id="105"/>
      <w:bookmarkEnd w:id="106"/>
    </w:p>
    <w:p w14:paraId="100187C5">
      <w:pPr>
        <w:keepNext w:val="0"/>
        <w:keepLines w:val="0"/>
        <w:pageBreakBefore w:val="0"/>
        <w:widowControl/>
        <w:kinsoku/>
        <w:wordWrap/>
        <w:overflowPunct/>
        <w:topLinePunct w:val="0"/>
        <w:autoSpaceDE/>
        <w:autoSpaceDN/>
        <w:bidi w:val="0"/>
        <w:spacing w:line="578" w:lineRule="exact"/>
        <w:contextualSpacing/>
        <w:jc w:val="center"/>
        <w:textAlignment w:val="auto"/>
        <w:outlineLvl w:val="9"/>
        <w:rPr>
          <w:rFonts w:hint="default" w:ascii="Times New Roman" w:hAnsi="Times New Roman" w:eastAsia="方正小标宋简体" w:cs="Times New Roman"/>
          <w:b w:val="0"/>
          <w:bCs/>
          <w:sz w:val="44"/>
          <w:szCs w:val="44"/>
          <w:highlight w:val="none"/>
          <w:shd w:val="clear" w:color="auto" w:fill="FFFFFF"/>
        </w:rPr>
      </w:pPr>
    </w:p>
    <w:p w14:paraId="4D9A07AF">
      <w:pPr>
        <w:keepNext w:val="0"/>
        <w:keepLines w:val="0"/>
        <w:pageBreakBefore w:val="0"/>
        <w:widowControl/>
        <w:kinsoku/>
        <w:wordWrap/>
        <w:overflowPunct/>
        <w:topLinePunct w:val="0"/>
        <w:autoSpaceDE/>
        <w:autoSpaceDN/>
        <w:bidi w:val="0"/>
        <w:spacing w:line="578" w:lineRule="exact"/>
        <w:contextualSpacing/>
        <w:jc w:val="center"/>
        <w:textAlignment w:val="auto"/>
        <w:outlineLvl w:val="9"/>
        <w:rPr>
          <w:rFonts w:hint="default" w:ascii="Times New Roman" w:hAnsi="Times New Roman" w:eastAsia="方正小标宋简体" w:cs="Times New Roman"/>
          <w:b w:val="0"/>
          <w:bCs/>
          <w:sz w:val="44"/>
          <w:szCs w:val="44"/>
          <w:highlight w:val="none"/>
          <w:shd w:val="clear" w:color="auto" w:fill="FFFFFF"/>
        </w:rPr>
      </w:pPr>
      <w:r>
        <w:rPr>
          <w:rFonts w:hint="eastAsia" w:eastAsia="方正小标宋简体" w:cs="Times New Roman"/>
          <w:b w:val="0"/>
          <w:bCs/>
          <w:sz w:val="44"/>
          <w:szCs w:val="44"/>
          <w:highlight w:val="none"/>
          <w:shd w:val="clear" w:color="auto" w:fill="FFFFFF"/>
          <w:lang w:val="en-US" w:eastAsia="zh-CN"/>
        </w:rPr>
        <w:t>绵竹市残联单位</w:t>
      </w:r>
      <w:r>
        <w:rPr>
          <w:rFonts w:hint="default" w:ascii="Times New Roman" w:hAnsi="Times New Roman" w:eastAsia="方正小标宋简体" w:cs="Times New Roman"/>
          <w:b w:val="0"/>
          <w:bCs/>
          <w:sz w:val="44"/>
          <w:szCs w:val="44"/>
          <w:highlight w:val="none"/>
          <w:shd w:val="clear" w:color="auto" w:fill="FFFFFF"/>
          <w:lang w:eastAsia="zh-CN"/>
        </w:rPr>
        <w:t>预算</w:t>
      </w:r>
      <w:r>
        <w:rPr>
          <w:rFonts w:hint="default" w:ascii="Times New Roman" w:hAnsi="Times New Roman" w:eastAsia="方正小标宋简体" w:cs="Times New Roman"/>
          <w:b w:val="0"/>
          <w:bCs/>
          <w:sz w:val="44"/>
          <w:szCs w:val="44"/>
          <w:highlight w:val="none"/>
          <w:shd w:val="clear" w:color="auto" w:fill="FFFFFF"/>
        </w:rPr>
        <w:t>绩效</w:t>
      </w:r>
      <w:r>
        <w:rPr>
          <w:rFonts w:hint="eastAsia" w:ascii="Times New Roman" w:hAnsi="Times New Roman" w:eastAsia="方正小标宋简体" w:cs="Times New Roman"/>
          <w:b w:val="0"/>
          <w:bCs/>
          <w:sz w:val="44"/>
          <w:szCs w:val="44"/>
          <w:highlight w:val="none"/>
          <w:shd w:val="clear" w:color="auto" w:fill="FFFFFF"/>
          <w:lang w:eastAsia="zh-CN"/>
        </w:rPr>
        <w:t>评价</w:t>
      </w:r>
      <w:r>
        <w:rPr>
          <w:rFonts w:hint="default" w:ascii="Times New Roman" w:hAnsi="Times New Roman" w:eastAsia="方正小标宋简体" w:cs="Times New Roman"/>
          <w:b w:val="0"/>
          <w:bCs/>
          <w:sz w:val="44"/>
          <w:szCs w:val="44"/>
          <w:highlight w:val="none"/>
          <w:shd w:val="clear" w:color="auto" w:fill="FFFFFF"/>
        </w:rPr>
        <w:t>报告</w:t>
      </w:r>
    </w:p>
    <w:p w14:paraId="7348BDA9">
      <w:pPr>
        <w:keepNext w:val="0"/>
        <w:keepLines w:val="0"/>
        <w:pageBreakBefore w:val="0"/>
        <w:widowControl/>
        <w:kinsoku/>
        <w:wordWrap/>
        <w:overflowPunct/>
        <w:topLinePunct w:val="0"/>
        <w:autoSpaceDE/>
        <w:autoSpaceDN/>
        <w:bidi w:val="0"/>
        <w:spacing w:line="578" w:lineRule="exact"/>
        <w:contextualSpacing/>
        <w:jc w:val="center"/>
        <w:textAlignment w:val="auto"/>
        <w:outlineLvl w:val="9"/>
        <w:rPr>
          <w:rFonts w:hint="default" w:ascii="Times New Roman" w:hAnsi="Times New Roman" w:eastAsia="仿宋_GB2312" w:cs="Times New Roman"/>
          <w:sz w:val="32"/>
          <w:szCs w:val="32"/>
          <w:highlight w:val="none"/>
          <w:shd w:val="clear" w:color="auto" w:fill="FFFFFF"/>
        </w:rPr>
      </w:pPr>
    </w:p>
    <w:p w14:paraId="71C90E18">
      <w:pPr>
        <w:keepNext w:val="0"/>
        <w:keepLines w:val="0"/>
        <w:pageBreakBefore w:val="0"/>
        <w:widowControl/>
        <w:kinsoku/>
        <w:wordWrap/>
        <w:overflowPunct/>
        <w:topLinePunct w:val="0"/>
        <w:autoSpaceDE/>
        <w:autoSpaceDN/>
        <w:bidi w:val="0"/>
        <w:adjustRightInd w:val="0"/>
        <w:snapToGrid w:val="0"/>
        <w:spacing w:line="578" w:lineRule="exact"/>
        <w:ind w:firstLine="480" w:firstLineChars="200"/>
        <w:contextualSpacing/>
        <w:jc w:val="left"/>
        <w:textAlignment w:val="auto"/>
        <w:outlineLvl w:val="9"/>
        <w:rPr>
          <w:rFonts w:hint="default" w:ascii="Times New Roman" w:hAnsi="Times New Roman" w:eastAsia="黑体" w:cs="Times New Roman"/>
          <w:color w:val="000000"/>
          <w:kern w:val="0"/>
          <w:sz w:val="24"/>
          <w:szCs w:val="32"/>
          <w:highlight w:val="none"/>
          <w:shd w:val="clear" w:color="auto" w:fill="FFFFFF"/>
        </w:rPr>
      </w:pPr>
    </w:p>
    <w:p w14:paraId="1691D7BB">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黑体" w:cs="Times New Roman"/>
          <w:color w:val="000000"/>
          <w:kern w:val="0"/>
          <w:sz w:val="32"/>
          <w:szCs w:val="32"/>
          <w:highlight w:val="none"/>
          <w:shd w:val="clear" w:color="auto" w:fill="FFFFFF"/>
          <w:lang w:val="zh-CN"/>
        </w:rPr>
      </w:pPr>
      <w:r>
        <w:rPr>
          <w:rFonts w:hint="eastAsia" w:ascii="Times New Roman" w:hAnsi="Times New Roman" w:eastAsia="黑体" w:cs="Times New Roman"/>
          <w:color w:val="000000"/>
          <w:kern w:val="0"/>
          <w:sz w:val="32"/>
          <w:szCs w:val="32"/>
          <w:highlight w:val="none"/>
          <w:shd w:val="clear" w:color="auto" w:fill="FFFFFF"/>
          <w:lang w:val="zh-CN"/>
        </w:rPr>
        <w:t>一、</w:t>
      </w:r>
      <w:r>
        <w:rPr>
          <w:rFonts w:hint="eastAsia" w:eastAsia="黑体" w:cs="Times New Roman"/>
          <w:color w:val="000000"/>
          <w:kern w:val="0"/>
          <w:sz w:val="32"/>
          <w:szCs w:val="32"/>
          <w:highlight w:val="none"/>
          <w:shd w:val="clear" w:color="auto" w:fill="FFFFFF"/>
          <w:lang w:val="zh-CN"/>
        </w:rPr>
        <w:t>单位</w:t>
      </w:r>
      <w:r>
        <w:rPr>
          <w:rFonts w:hint="default" w:ascii="Times New Roman" w:hAnsi="Times New Roman" w:eastAsia="黑体" w:cs="Times New Roman"/>
          <w:color w:val="000000"/>
          <w:kern w:val="0"/>
          <w:sz w:val="32"/>
          <w:szCs w:val="32"/>
          <w:highlight w:val="none"/>
          <w:shd w:val="clear" w:color="auto" w:fill="FFFFFF"/>
          <w:lang w:val="zh-CN"/>
        </w:rPr>
        <w:t>（</w:t>
      </w:r>
      <w:r>
        <w:rPr>
          <w:rFonts w:hint="eastAsia" w:eastAsia="黑体" w:cs="Times New Roman"/>
          <w:color w:val="000000"/>
          <w:kern w:val="0"/>
          <w:sz w:val="32"/>
          <w:szCs w:val="32"/>
          <w:highlight w:val="none"/>
          <w:shd w:val="clear" w:color="auto" w:fill="FFFFFF"/>
          <w:lang w:val="zh-CN"/>
        </w:rPr>
        <w:t>单位</w:t>
      </w:r>
      <w:r>
        <w:rPr>
          <w:rFonts w:hint="default" w:ascii="Times New Roman" w:hAnsi="Times New Roman" w:eastAsia="黑体" w:cs="Times New Roman"/>
          <w:color w:val="000000"/>
          <w:kern w:val="0"/>
          <w:sz w:val="32"/>
          <w:szCs w:val="32"/>
          <w:highlight w:val="none"/>
          <w:shd w:val="clear" w:color="auto" w:fill="FFFFFF"/>
          <w:lang w:val="zh-CN"/>
        </w:rPr>
        <w:t>）基本情况</w:t>
      </w:r>
    </w:p>
    <w:p w14:paraId="344D5B5D">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cs="Times New Roman"/>
          <w:szCs w:val="32"/>
        </w:rPr>
      </w:pPr>
      <w:r>
        <w:rPr>
          <w:rFonts w:hint="eastAsia" w:ascii="Times New Roman" w:hAnsi="Times New Roman" w:eastAsia="楷体_GB2312" w:cs="楷体_GB2312"/>
          <w:b/>
          <w:color w:val="auto"/>
          <w:sz w:val="32"/>
          <w:szCs w:val="32"/>
          <w:highlight w:val="none"/>
          <w:lang w:val="zh-CN"/>
        </w:rPr>
        <w:t>（一）</w:t>
      </w:r>
      <w:r>
        <w:rPr>
          <w:rFonts w:hint="default" w:ascii="Times New Roman" w:hAnsi="Times New Roman" w:eastAsia="楷体_GB2312" w:cs="楷体_GB2312"/>
          <w:b/>
          <w:color w:val="auto"/>
          <w:sz w:val="32"/>
          <w:szCs w:val="32"/>
          <w:highlight w:val="none"/>
          <w:lang w:val="zh-CN"/>
        </w:rPr>
        <w:t>机构组成。</w:t>
      </w:r>
      <w:r>
        <w:rPr>
          <w:rFonts w:hint="eastAsia" w:eastAsia="仿宋_GB2312" w:cs="仿宋_GB2312"/>
          <w:color w:val="auto"/>
          <w:kern w:val="2"/>
          <w:sz w:val="32"/>
          <w:szCs w:val="32"/>
          <w:highlight w:val="none"/>
          <w:lang w:val="en-US" w:eastAsia="zh-CN" w:bidi="ar-SA"/>
        </w:rPr>
        <w:t>绵竹市残疾人联合会</w:t>
      </w:r>
      <w:r>
        <w:rPr>
          <w:rFonts w:hint="eastAsia" w:ascii="Times New Roman" w:hAnsi="Times New Roman" w:eastAsia="仿宋_GB2312" w:cs="仿宋_GB2312"/>
          <w:color w:val="auto"/>
          <w:kern w:val="2"/>
          <w:sz w:val="32"/>
          <w:szCs w:val="32"/>
          <w:highlight w:val="none"/>
          <w:lang w:val="en-US" w:eastAsia="zh-CN" w:bidi="ar-SA"/>
        </w:rPr>
        <w:t>内设</w:t>
      </w:r>
      <w:r>
        <w:rPr>
          <w:rFonts w:hint="eastAsia" w:eastAsia="仿宋_GB2312" w:cs="仿宋_GB2312"/>
          <w:color w:val="auto"/>
          <w:kern w:val="2"/>
          <w:sz w:val="32"/>
          <w:szCs w:val="32"/>
          <w:highlight w:val="none"/>
          <w:lang w:val="en-US" w:eastAsia="zh-CN" w:bidi="ar-SA"/>
        </w:rPr>
        <w:t>2股</w:t>
      </w:r>
      <w:r>
        <w:rPr>
          <w:rFonts w:hint="default" w:ascii="Times New Roman" w:hAnsi="Times New Roman" w:eastAsia="仿宋_GB2312" w:cs="仿宋_GB2312"/>
          <w:color w:val="auto"/>
          <w:kern w:val="2"/>
          <w:sz w:val="32"/>
          <w:szCs w:val="32"/>
          <w:highlight w:val="none"/>
          <w:lang w:val="en-US" w:eastAsia="zh-CN" w:bidi="ar-SA"/>
        </w:rPr>
        <w:t>室</w:t>
      </w:r>
      <w:r>
        <w:rPr>
          <w:rFonts w:hint="eastAsia" w:ascii="Times New Roman" w:hAnsi="Times New Roman" w:eastAsia="仿宋_GB2312" w:cs="仿宋_GB2312"/>
          <w:color w:val="auto"/>
          <w:kern w:val="2"/>
          <w:sz w:val="32"/>
          <w:szCs w:val="32"/>
          <w:highlight w:val="none"/>
          <w:lang w:val="en-US" w:eastAsia="zh-CN" w:bidi="ar-SA"/>
        </w:rPr>
        <w:t>及下属</w:t>
      </w:r>
      <w:r>
        <w:rPr>
          <w:rFonts w:hint="eastAsia" w:eastAsia="仿宋_GB2312" w:cs="仿宋_GB2312"/>
          <w:color w:val="auto"/>
          <w:kern w:val="2"/>
          <w:sz w:val="32"/>
          <w:szCs w:val="32"/>
          <w:highlight w:val="none"/>
          <w:lang w:val="en-US" w:eastAsia="zh-CN" w:bidi="ar-SA"/>
        </w:rPr>
        <w:t>单位残疾人康复服务中心</w:t>
      </w:r>
      <w:r>
        <w:rPr>
          <w:rFonts w:hint="default" w:ascii="Times New Roman" w:hAnsi="Times New Roman" w:eastAsia="仿宋_GB2312" w:cs="仿宋_GB2312"/>
          <w:color w:val="auto"/>
          <w:kern w:val="2"/>
          <w:sz w:val="32"/>
          <w:szCs w:val="32"/>
          <w:highlight w:val="none"/>
          <w:lang w:val="en-US" w:eastAsia="zh-CN" w:bidi="ar-SA"/>
        </w:rPr>
        <w:t>。</w:t>
      </w:r>
    </w:p>
    <w:p w14:paraId="7AC704D4">
      <w:pPr>
        <w:keepNext w:val="0"/>
        <w:keepLines w:val="0"/>
        <w:pageBreakBefore w:val="0"/>
        <w:widowControl/>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eastAsia="楷体_GB2312" w:cs="Times New Roman"/>
          <w:b/>
          <w:bCs/>
          <w:color w:val="000000"/>
          <w:kern w:val="0"/>
          <w:szCs w:val="32"/>
          <w:highlight w:val="none"/>
          <w:shd w:val="clear" w:color="auto" w:fill="FFFFFF"/>
          <w:lang w:val="zh-CN"/>
        </w:rPr>
      </w:pPr>
      <w:r>
        <w:rPr>
          <w:rFonts w:hint="default" w:ascii="Times New Roman" w:hAnsi="Times New Roman" w:eastAsia="楷体_GB2312" w:cs="楷体_GB2312"/>
          <w:b/>
          <w:color w:val="auto"/>
          <w:sz w:val="32"/>
          <w:szCs w:val="32"/>
          <w:highlight w:val="none"/>
          <w:lang w:val="zh-CN"/>
        </w:rPr>
        <w:t>（二）机构职能</w:t>
      </w:r>
      <w:r>
        <w:rPr>
          <w:rFonts w:hint="eastAsia" w:ascii="Times New Roman" w:hAnsi="Times New Roman" w:eastAsia="楷体_GB2312" w:cs="楷体_GB2312"/>
          <w:b/>
          <w:color w:val="auto"/>
          <w:sz w:val="32"/>
          <w:szCs w:val="32"/>
          <w:highlight w:val="none"/>
          <w:lang w:val="zh-CN"/>
        </w:rPr>
        <w:t>。</w:t>
      </w:r>
      <w:r>
        <w:rPr>
          <w:rFonts w:hint="eastAsia" w:eastAsia="仿宋_GB2312" w:cs="仿宋_GB2312"/>
          <w:color w:val="auto"/>
          <w:kern w:val="2"/>
          <w:sz w:val="32"/>
          <w:szCs w:val="32"/>
          <w:highlight w:val="none"/>
          <w:lang w:val="en-US" w:eastAsia="zh-CN" w:bidi="ar-SA"/>
        </w:rPr>
        <w:t>绵竹市残疾人联合会是国家法律确认、市委、市政府领导下的由残疾人及其亲友和残疾人工作者组成的人民团体，是党和政府联系残疾人群众的桥梁和纽带，具有代表、服务、管理三种职能:代表残疾人共同利益，维护残疾人合法权益;团结帮助残疾人，为残疾人服务;履行法律赋予的职责，承担政府委托的任务，管理和发展残疾人事业。</w:t>
      </w:r>
    </w:p>
    <w:p w14:paraId="3D83FFD5">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cs="Times New Roman"/>
          <w:szCs w:val="32"/>
        </w:rPr>
      </w:pP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楷体_GB2312" w:cs="Times New Roman"/>
          <w:b/>
          <w:bCs/>
          <w:color w:val="000000"/>
          <w:kern w:val="0"/>
          <w:sz w:val="32"/>
          <w:szCs w:val="32"/>
          <w:highlight w:val="none"/>
          <w:shd w:val="clear" w:color="auto" w:fill="FFFFFF"/>
          <w:lang w:val="zh-CN"/>
        </w:rPr>
        <w:t>三</w:t>
      </w:r>
      <w:r>
        <w:rPr>
          <w:rFonts w:hint="default" w:ascii="Times New Roman" w:hAnsi="Times New Roman" w:eastAsia="楷体_GB2312" w:cs="Times New Roman"/>
          <w:b/>
          <w:bCs/>
          <w:color w:val="000000"/>
          <w:kern w:val="0"/>
          <w:sz w:val="32"/>
          <w:szCs w:val="32"/>
          <w:highlight w:val="none"/>
          <w:shd w:val="clear" w:color="auto" w:fill="FFFFFF"/>
          <w:lang w:val="zh-CN"/>
        </w:rPr>
        <w:t>）人员概况</w:t>
      </w:r>
      <w:r>
        <w:rPr>
          <w:rFonts w:hint="eastAsia" w:ascii="Times New Roman" w:hAnsi="Times New Roman" w:eastAsia="楷体_GB2312" w:cs="Times New Roman"/>
          <w:b/>
          <w:bCs/>
          <w:color w:val="000000"/>
          <w:kern w:val="0"/>
          <w:sz w:val="32"/>
          <w:szCs w:val="32"/>
          <w:highlight w:val="none"/>
          <w:shd w:val="clear" w:color="auto" w:fill="FFFFFF"/>
          <w:lang w:val="zh-CN"/>
        </w:rPr>
        <w:t>。</w:t>
      </w:r>
      <w:r>
        <w:rPr>
          <w:rFonts w:hint="default" w:ascii="Times New Roman" w:hAnsi="Times New Roman" w:eastAsia="仿宋_GB2312" w:cs="Times New Roman"/>
          <w:sz w:val="32"/>
          <w:szCs w:val="32"/>
          <w:lang w:val="en-US" w:eastAsia="zh-CN"/>
        </w:rPr>
        <w:t>截至202</w:t>
      </w:r>
      <w:r>
        <w:rPr>
          <w:rFonts w:hint="eastAsia"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lang w:val="en-US" w:eastAsia="zh-CN"/>
        </w:rPr>
        <w:t>年末，</w:t>
      </w:r>
      <w:r>
        <w:rPr>
          <w:rFonts w:hint="eastAsia" w:eastAsia="仿宋_GB2312" w:cs="仿宋_GB2312"/>
          <w:color w:val="auto"/>
          <w:kern w:val="2"/>
          <w:sz w:val="32"/>
          <w:szCs w:val="32"/>
          <w:highlight w:val="none"/>
          <w:lang w:val="en-US" w:eastAsia="zh-CN" w:bidi="ar-SA"/>
        </w:rPr>
        <w:t>绵竹市残疾人联合会</w:t>
      </w:r>
      <w:r>
        <w:rPr>
          <w:rFonts w:hint="default" w:ascii="Times New Roman" w:hAnsi="Times New Roman" w:eastAsia="仿宋_GB2312" w:cs="Times New Roman"/>
          <w:sz w:val="32"/>
          <w:szCs w:val="32"/>
          <w:lang w:val="en-US" w:eastAsia="zh-CN"/>
        </w:rPr>
        <w:t>及下属</w:t>
      </w:r>
      <w:r>
        <w:rPr>
          <w:rFonts w:hint="eastAsia" w:eastAsia="仿宋_GB2312" w:cs="Times New Roman"/>
          <w:sz w:val="32"/>
          <w:szCs w:val="32"/>
          <w:lang w:val="en-US" w:eastAsia="zh-CN"/>
        </w:rPr>
        <w:t>单位共有</w:t>
      </w:r>
      <w:r>
        <w:rPr>
          <w:rFonts w:hint="default" w:ascii="Times New Roman" w:hAnsi="Times New Roman" w:eastAsia="仿宋_GB2312" w:cs="Times New Roman"/>
          <w:sz w:val="32"/>
          <w:szCs w:val="32"/>
          <w:lang w:val="en-US" w:eastAsia="zh-CN"/>
        </w:rPr>
        <w:t>编制</w:t>
      </w:r>
      <w:r>
        <w:rPr>
          <w:rFonts w:hint="eastAsia" w:eastAsia="仿宋_GB2312" w:cs="Times New Roman"/>
          <w:sz w:val="32"/>
          <w:szCs w:val="32"/>
          <w:lang w:val="en-US" w:eastAsia="zh-CN"/>
        </w:rPr>
        <w:t>8名</w:t>
      </w:r>
      <w:r>
        <w:rPr>
          <w:rFonts w:hint="eastAsia" w:ascii="Times New Roman" w:hAnsi="Times New Roman" w:eastAsia="仿宋_GB2312" w:cs="Times New Roman"/>
          <w:sz w:val="32"/>
          <w:szCs w:val="32"/>
          <w:lang w:val="en-US" w:eastAsia="zh-CN"/>
        </w:rPr>
        <w:t>情况、</w:t>
      </w:r>
      <w:r>
        <w:rPr>
          <w:rFonts w:hint="default" w:ascii="Times New Roman" w:hAnsi="Times New Roman" w:eastAsia="仿宋_GB2312" w:cs="Times New Roman"/>
          <w:sz w:val="32"/>
          <w:szCs w:val="32"/>
          <w:lang w:val="en-US" w:eastAsia="zh-CN"/>
        </w:rPr>
        <w:t>年末实有人数</w:t>
      </w:r>
      <w:r>
        <w:rPr>
          <w:rFonts w:hint="eastAsia" w:eastAsia="仿宋_GB2312" w:cs="Times New Roman"/>
          <w:sz w:val="32"/>
          <w:szCs w:val="32"/>
          <w:lang w:val="en-US" w:eastAsia="zh-CN"/>
        </w:rPr>
        <w:t>7名</w:t>
      </w:r>
      <w:r>
        <w:rPr>
          <w:rFonts w:hint="eastAsia" w:ascii="Times New Roman" w:hAnsi="Times New Roman" w:eastAsia="仿宋_GB2312" w:cs="Times New Roman"/>
          <w:sz w:val="32"/>
          <w:szCs w:val="32"/>
          <w:lang w:val="en-US" w:eastAsia="zh-CN"/>
        </w:rPr>
        <w:t>。</w:t>
      </w:r>
    </w:p>
    <w:p w14:paraId="75AF3DDD">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黑体" w:cs="Times New Roman"/>
          <w:color w:val="000000"/>
          <w:kern w:val="0"/>
          <w:sz w:val="32"/>
          <w:szCs w:val="32"/>
          <w:highlight w:val="none"/>
          <w:shd w:val="clear" w:color="auto" w:fill="FFFFFF"/>
          <w:lang w:val="zh-CN" w:eastAsia="zh-CN"/>
        </w:rPr>
      </w:pPr>
      <w:r>
        <w:rPr>
          <w:rFonts w:hint="default" w:ascii="Times New Roman" w:hAnsi="Times New Roman" w:eastAsia="黑体" w:cs="Times New Roman"/>
          <w:color w:val="000000"/>
          <w:kern w:val="0"/>
          <w:sz w:val="32"/>
          <w:szCs w:val="32"/>
          <w:highlight w:val="none"/>
          <w:shd w:val="clear" w:color="auto" w:fill="FFFFFF"/>
          <w:lang w:val="zh-CN" w:eastAsia="zh-CN"/>
        </w:rPr>
        <w:t>二、</w:t>
      </w:r>
      <w:r>
        <w:rPr>
          <w:rFonts w:hint="eastAsia" w:eastAsia="黑体" w:cs="Times New Roman"/>
          <w:color w:val="000000"/>
          <w:kern w:val="0"/>
          <w:sz w:val="32"/>
          <w:szCs w:val="32"/>
          <w:highlight w:val="none"/>
          <w:shd w:val="clear" w:color="auto" w:fill="FFFFFF"/>
          <w:lang w:val="zh-CN" w:eastAsia="zh-CN"/>
        </w:rPr>
        <w:t>单位</w:t>
      </w:r>
      <w:r>
        <w:rPr>
          <w:rFonts w:hint="default" w:ascii="Times New Roman" w:hAnsi="Times New Roman" w:eastAsia="黑体" w:cs="Times New Roman"/>
          <w:color w:val="000000"/>
          <w:kern w:val="0"/>
          <w:sz w:val="32"/>
          <w:szCs w:val="32"/>
          <w:highlight w:val="none"/>
          <w:shd w:val="clear" w:color="auto" w:fill="FFFFFF"/>
          <w:lang w:val="zh-CN" w:eastAsia="zh-CN"/>
        </w:rPr>
        <w:t>资金收支情况</w:t>
      </w:r>
    </w:p>
    <w:p w14:paraId="140C94D9">
      <w:pPr>
        <w:keepNext w:val="0"/>
        <w:keepLines w:val="0"/>
        <w:pageBreakBefore w:val="0"/>
        <w:widowControl/>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eastAsia="楷体_GB2312" w:cs="Times New Roman"/>
          <w:b/>
          <w:bCs/>
          <w:color w:val="000000"/>
          <w:kern w:val="0"/>
          <w:szCs w:val="32"/>
          <w:highlight w:val="none"/>
          <w:shd w:val="clear" w:color="auto" w:fill="FFFFFF"/>
          <w:lang w:val="en-US"/>
        </w:rPr>
      </w:pPr>
      <w:r>
        <w:rPr>
          <w:rFonts w:hint="default" w:ascii="Times New Roman" w:hAnsi="Times New Roman" w:eastAsia="楷体_GB2312" w:cs="Times New Roman"/>
          <w:b/>
          <w:bCs/>
          <w:color w:val="000000"/>
          <w:kern w:val="0"/>
          <w:sz w:val="32"/>
          <w:szCs w:val="32"/>
          <w:highlight w:val="none"/>
          <w:shd w:val="clear" w:color="auto" w:fill="FFFFFF"/>
          <w:lang w:val="zh-CN"/>
        </w:rPr>
        <w:t>（一）</w:t>
      </w:r>
      <w:r>
        <w:rPr>
          <w:rFonts w:hint="eastAsia" w:ascii="Times New Roman" w:hAnsi="Times New Roman" w:eastAsia="楷体_GB2312" w:cs="Times New Roman"/>
          <w:b/>
          <w:bCs/>
          <w:color w:val="000000"/>
          <w:kern w:val="0"/>
          <w:sz w:val="32"/>
          <w:szCs w:val="32"/>
          <w:highlight w:val="none"/>
          <w:shd w:val="clear" w:color="auto" w:fill="FFFFFF"/>
          <w:lang w:val="zh-CN"/>
        </w:rPr>
        <w:t>收入情况</w:t>
      </w: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eastAsia="仿宋_GB2312" w:cs="仿宋_GB2312"/>
          <w:color w:val="auto"/>
          <w:kern w:val="2"/>
          <w:sz w:val="32"/>
          <w:szCs w:val="32"/>
          <w:highlight w:val="none"/>
          <w:lang w:val="en-US" w:eastAsia="zh-CN" w:bidi="ar-SA"/>
        </w:rPr>
        <w:t>绵竹市残疾人联合会</w:t>
      </w:r>
      <w:r>
        <w:rPr>
          <w:rFonts w:hint="eastAsia" w:ascii="Times New Roman" w:hAnsi="Times New Roman" w:eastAsia="仿宋_GB2312" w:cs="Times New Roman"/>
          <w:sz w:val="32"/>
          <w:szCs w:val="32"/>
          <w:lang w:val="en-US" w:eastAsia="zh-CN"/>
        </w:rPr>
        <w:t>2024年年初预算收入</w:t>
      </w:r>
      <w:r>
        <w:rPr>
          <w:rFonts w:hint="eastAsia" w:eastAsia="仿宋_GB2312" w:cs="Times New Roman"/>
          <w:sz w:val="32"/>
          <w:szCs w:val="32"/>
          <w:lang w:val="en-US" w:eastAsia="zh-CN"/>
        </w:rPr>
        <w:t>1015.57万元</w:t>
      </w:r>
      <w:r>
        <w:rPr>
          <w:rFonts w:hint="eastAsia" w:ascii="Times New Roman" w:hAnsi="Times New Roman" w:eastAsia="仿宋_GB2312" w:cs="Times New Roman"/>
          <w:sz w:val="32"/>
          <w:szCs w:val="32"/>
          <w:lang w:val="en-US" w:eastAsia="zh-CN"/>
        </w:rPr>
        <w:t>、决算报表收入</w:t>
      </w:r>
      <w:r>
        <w:rPr>
          <w:rFonts w:hint="eastAsia" w:eastAsia="仿宋_GB2312" w:cs="Times New Roman"/>
          <w:sz w:val="32"/>
          <w:szCs w:val="32"/>
          <w:lang w:val="en-US" w:eastAsia="zh-CN"/>
        </w:rPr>
        <w:t>1015.57万元</w:t>
      </w:r>
      <w:r>
        <w:rPr>
          <w:rFonts w:hint="eastAsia" w:ascii="Times New Roman" w:hAnsi="Times New Roman" w:eastAsia="仿宋_GB2312" w:cs="Times New Roman"/>
          <w:sz w:val="32"/>
          <w:szCs w:val="32"/>
          <w:lang w:val="en-US" w:eastAsia="zh-CN"/>
        </w:rPr>
        <w:t>。</w:t>
      </w:r>
    </w:p>
    <w:p w14:paraId="6F756C71">
      <w:pPr>
        <w:keepNext w:val="0"/>
        <w:keepLines w:val="0"/>
        <w:pageBreakBefore w:val="0"/>
        <w:widowControl/>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cs="Times New Roman"/>
          <w:szCs w:val="32"/>
          <w:lang w:val="zh-CN" w:eastAsia="zh-CN"/>
        </w:rPr>
      </w:pP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楷体_GB2312" w:cs="Times New Roman"/>
          <w:b/>
          <w:bCs/>
          <w:color w:val="000000"/>
          <w:kern w:val="0"/>
          <w:sz w:val="32"/>
          <w:szCs w:val="32"/>
          <w:highlight w:val="none"/>
          <w:shd w:val="clear" w:color="auto" w:fill="FFFFFF"/>
          <w:lang w:val="zh-CN"/>
        </w:rPr>
        <w:t>二</w:t>
      </w: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楷体_GB2312" w:cs="Times New Roman"/>
          <w:b/>
          <w:bCs/>
          <w:color w:val="000000"/>
          <w:kern w:val="0"/>
          <w:sz w:val="32"/>
          <w:szCs w:val="32"/>
          <w:highlight w:val="none"/>
          <w:shd w:val="clear" w:color="auto" w:fill="FFFFFF"/>
          <w:lang w:val="zh-CN"/>
        </w:rPr>
        <w:t>支出情况</w:t>
      </w: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eastAsia="仿宋_GB2312" w:cs="仿宋_GB2312"/>
          <w:color w:val="auto"/>
          <w:kern w:val="2"/>
          <w:sz w:val="32"/>
          <w:szCs w:val="32"/>
          <w:highlight w:val="none"/>
          <w:lang w:val="en-US" w:eastAsia="zh-CN" w:bidi="ar-SA"/>
        </w:rPr>
        <w:t>绵竹市残疾人联合会</w:t>
      </w:r>
      <w:r>
        <w:rPr>
          <w:rFonts w:hint="eastAsia" w:ascii="Times New Roman" w:hAnsi="Times New Roman" w:eastAsia="仿宋_GB2312" w:cs="Times New Roman"/>
          <w:sz w:val="32"/>
          <w:szCs w:val="32"/>
          <w:lang w:val="en-US" w:eastAsia="zh-CN"/>
        </w:rPr>
        <w:t>2024年年初预算支出</w:t>
      </w:r>
      <w:r>
        <w:rPr>
          <w:rFonts w:hint="eastAsia" w:eastAsia="仿宋_GB2312" w:cs="Times New Roman"/>
          <w:sz w:val="32"/>
          <w:szCs w:val="32"/>
          <w:lang w:val="en-US" w:eastAsia="zh-CN"/>
        </w:rPr>
        <w:t>1015.57万元</w:t>
      </w:r>
      <w:r>
        <w:rPr>
          <w:rFonts w:hint="eastAsia" w:ascii="Times New Roman" w:hAnsi="Times New Roman" w:eastAsia="仿宋_GB2312" w:cs="Times New Roman"/>
          <w:sz w:val="32"/>
          <w:szCs w:val="32"/>
          <w:lang w:val="en-US" w:eastAsia="zh-CN"/>
        </w:rPr>
        <w:t>、决算报表支出</w:t>
      </w:r>
      <w:r>
        <w:rPr>
          <w:rFonts w:hint="eastAsia" w:eastAsia="仿宋_GB2312" w:cs="Times New Roman"/>
          <w:sz w:val="32"/>
          <w:szCs w:val="32"/>
          <w:lang w:val="en-US" w:eastAsia="zh-CN"/>
        </w:rPr>
        <w:t>1015.57万元</w:t>
      </w:r>
      <w:r>
        <w:rPr>
          <w:rFonts w:hint="eastAsia" w:ascii="Times New Roman" w:hAnsi="Times New Roman" w:eastAsia="仿宋_GB2312" w:cs="Times New Roman"/>
          <w:sz w:val="32"/>
          <w:szCs w:val="32"/>
          <w:lang w:val="en-US" w:eastAsia="zh-CN"/>
        </w:rPr>
        <w:t>。</w:t>
      </w:r>
    </w:p>
    <w:p w14:paraId="2A01C49E">
      <w:pPr>
        <w:keepNext w:val="0"/>
        <w:keepLines w:val="0"/>
        <w:pageBreakBefore w:val="0"/>
        <w:widowControl/>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eastAsia="仿宋_GB2312" w:cs="Times New Roman"/>
          <w:b w:val="0"/>
          <w:bCs w:val="0"/>
          <w:color w:val="000000"/>
          <w:kern w:val="0"/>
          <w:szCs w:val="32"/>
          <w:highlight w:val="none"/>
          <w:shd w:val="clear" w:color="auto" w:fill="FFFFFF"/>
          <w:lang w:val="zh-CN" w:eastAsia="zh-CN"/>
        </w:rPr>
      </w:pP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楷体_GB2312" w:cs="Times New Roman"/>
          <w:b/>
          <w:bCs/>
          <w:color w:val="000000"/>
          <w:kern w:val="0"/>
          <w:sz w:val="32"/>
          <w:szCs w:val="32"/>
          <w:highlight w:val="none"/>
          <w:shd w:val="clear" w:color="auto" w:fill="FFFFFF"/>
          <w:lang w:val="zh-CN"/>
        </w:rPr>
        <w:t>三</w:t>
      </w:r>
      <w:r>
        <w:rPr>
          <w:rFonts w:hint="default" w:ascii="Times New Roman" w:hAnsi="Times New Roman" w:eastAsia="楷体_GB2312" w:cs="Times New Roman"/>
          <w:b/>
          <w:bCs/>
          <w:color w:val="000000"/>
          <w:kern w:val="0"/>
          <w:sz w:val="32"/>
          <w:szCs w:val="32"/>
          <w:highlight w:val="none"/>
          <w:shd w:val="clear" w:color="auto" w:fill="FFFFFF"/>
          <w:lang w:val="zh-CN"/>
        </w:rPr>
        <w:t>）结余分配和结转结余情况</w:t>
      </w:r>
      <w:r>
        <w:rPr>
          <w:rFonts w:hint="eastAsia" w:ascii="Times New Roman" w:hAnsi="Times New Roman" w:eastAsia="楷体_GB2312" w:cs="Times New Roman"/>
          <w:b/>
          <w:bCs/>
          <w:color w:val="000000"/>
          <w:kern w:val="0"/>
          <w:sz w:val="32"/>
          <w:szCs w:val="32"/>
          <w:highlight w:val="none"/>
          <w:shd w:val="clear" w:color="auto" w:fill="FFFFFF"/>
          <w:lang w:val="zh-CN" w:eastAsia="zh-CN"/>
        </w:rPr>
        <w:t>。</w:t>
      </w:r>
      <w:r>
        <w:rPr>
          <w:rFonts w:hint="eastAsia" w:eastAsia="仿宋_GB2312" w:cs="仿宋_GB2312"/>
          <w:color w:val="auto"/>
          <w:kern w:val="2"/>
          <w:sz w:val="32"/>
          <w:szCs w:val="32"/>
          <w:highlight w:val="none"/>
          <w:lang w:val="en-US" w:eastAsia="zh-CN" w:bidi="ar-SA"/>
        </w:rPr>
        <w:t>绵竹市残疾人联合会</w:t>
      </w:r>
      <w:r>
        <w:rPr>
          <w:rFonts w:hint="eastAsia" w:ascii="Times New Roman" w:hAnsi="Times New Roman" w:eastAsia="仿宋_GB2312" w:cs="Times New Roman"/>
          <w:sz w:val="32"/>
          <w:szCs w:val="32"/>
          <w:lang w:val="en-US" w:eastAsia="zh-CN"/>
        </w:rPr>
        <w:t>2024年决算报表</w:t>
      </w:r>
      <w:r>
        <w:rPr>
          <w:rFonts w:hint="eastAsia" w:eastAsia="仿宋_GB2312" w:cs="Times New Roman"/>
          <w:sz w:val="32"/>
          <w:szCs w:val="32"/>
          <w:lang w:val="en-US" w:eastAsia="zh-CN"/>
        </w:rPr>
        <w:t>无</w:t>
      </w:r>
      <w:r>
        <w:rPr>
          <w:rFonts w:hint="default" w:ascii="Times New Roman" w:hAnsi="Times New Roman" w:eastAsia="仿宋_GB2312" w:cs="Times New Roman"/>
          <w:sz w:val="32"/>
          <w:szCs w:val="32"/>
          <w:lang w:val="en-US" w:eastAsia="zh-CN"/>
        </w:rPr>
        <w:t>结转结余。</w:t>
      </w:r>
    </w:p>
    <w:p w14:paraId="34F86171">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黑体" w:cs="Times New Roman"/>
          <w:color w:val="000000"/>
          <w:kern w:val="0"/>
          <w:sz w:val="32"/>
          <w:szCs w:val="32"/>
          <w:highlight w:val="none"/>
          <w:shd w:val="clear" w:color="auto" w:fill="FFFFFF"/>
          <w:lang w:val="zh-CN" w:eastAsia="zh-CN"/>
        </w:rPr>
      </w:pPr>
      <w:r>
        <w:rPr>
          <w:rFonts w:hint="default" w:ascii="Times New Roman" w:hAnsi="Times New Roman" w:eastAsia="黑体" w:cs="Times New Roman"/>
          <w:color w:val="000000"/>
          <w:kern w:val="0"/>
          <w:sz w:val="32"/>
          <w:szCs w:val="32"/>
          <w:highlight w:val="none"/>
          <w:shd w:val="clear" w:color="auto" w:fill="FFFFFF"/>
          <w:lang w:val="zh-CN" w:eastAsia="zh-CN"/>
        </w:rPr>
        <w:t>三、</w:t>
      </w:r>
      <w:r>
        <w:rPr>
          <w:rFonts w:hint="eastAsia" w:eastAsia="黑体" w:cs="Times New Roman"/>
          <w:color w:val="000000"/>
          <w:kern w:val="0"/>
          <w:sz w:val="32"/>
          <w:szCs w:val="32"/>
          <w:highlight w:val="none"/>
          <w:shd w:val="clear" w:color="auto" w:fill="FFFFFF"/>
          <w:lang w:val="zh-CN" w:eastAsia="zh-CN"/>
        </w:rPr>
        <w:t>单位</w:t>
      </w:r>
      <w:r>
        <w:rPr>
          <w:rFonts w:hint="default" w:ascii="Times New Roman" w:hAnsi="Times New Roman" w:eastAsia="黑体" w:cs="Times New Roman"/>
          <w:color w:val="000000"/>
          <w:kern w:val="0"/>
          <w:sz w:val="32"/>
          <w:szCs w:val="32"/>
          <w:highlight w:val="none"/>
          <w:shd w:val="clear" w:color="auto" w:fill="FFFFFF"/>
          <w:lang w:val="zh-CN" w:eastAsia="zh-CN"/>
        </w:rPr>
        <w:t>预算绩效分析</w:t>
      </w:r>
    </w:p>
    <w:p w14:paraId="24940C68">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eastAsia="仿宋_GB2312" w:cs="仿宋_GB2312"/>
          <w:color w:val="auto"/>
          <w:kern w:val="2"/>
          <w:sz w:val="32"/>
          <w:szCs w:val="32"/>
          <w:highlight w:val="none"/>
          <w:lang w:val="zh-CN" w:eastAsia="zh-CN" w:bidi="ar-SA"/>
        </w:rPr>
      </w:pPr>
      <w:r>
        <w:rPr>
          <w:rFonts w:hint="default" w:ascii="Times New Roman" w:hAnsi="Times New Roman" w:eastAsia="楷体_GB2312" w:cs="Times New Roman"/>
          <w:b/>
          <w:bCs/>
          <w:color w:val="000000"/>
          <w:kern w:val="0"/>
          <w:sz w:val="32"/>
          <w:szCs w:val="32"/>
          <w:highlight w:val="none"/>
          <w:shd w:val="clear" w:color="auto" w:fill="FFFFFF"/>
          <w:lang w:val="zh-CN"/>
        </w:rPr>
        <w:t>（一）</w:t>
      </w:r>
      <w:r>
        <w:rPr>
          <w:rFonts w:hint="eastAsia" w:eastAsia="楷体_GB2312" w:cs="Times New Roman"/>
          <w:b/>
          <w:bCs/>
          <w:color w:val="000000"/>
          <w:kern w:val="0"/>
          <w:sz w:val="32"/>
          <w:szCs w:val="32"/>
          <w:highlight w:val="none"/>
          <w:shd w:val="clear" w:color="auto" w:fill="FFFFFF"/>
          <w:lang w:val="zh-CN"/>
        </w:rPr>
        <w:t>单位</w:t>
      </w:r>
      <w:r>
        <w:rPr>
          <w:rFonts w:hint="eastAsia" w:ascii="Times New Roman" w:hAnsi="Times New Roman" w:eastAsia="楷体_GB2312" w:cs="Times New Roman"/>
          <w:b/>
          <w:bCs/>
          <w:color w:val="000000"/>
          <w:kern w:val="0"/>
          <w:sz w:val="32"/>
          <w:szCs w:val="32"/>
          <w:highlight w:val="none"/>
          <w:shd w:val="clear" w:color="auto" w:fill="FFFFFF"/>
          <w:lang w:val="zh-CN"/>
        </w:rPr>
        <w:t>预算</w:t>
      </w:r>
      <w:r>
        <w:rPr>
          <w:rFonts w:hint="default" w:ascii="Times New Roman" w:hAnsi="Times New Roman" w:eastAsia="楷体_GB2312" w:cs="Times New Roman"/>
          <w:b/>
          <w:bCs/>
          <w:color w:val="000000"/>
          <w:kern w:val="0"/>
          <w:sz w:val="32"/>
          <w:szCs w:val="32"/>
          <w:highlight w:val="none"/>
          <w:shd w:val="clear" w:color="auto" w:fill="FFFFFF"/>
          <w:lang w:val="zh-CN"/>
        </w:rPr>
        <w:t>总体绩效分析。</w:t>
      </w:r>
      <w:r>
        <w:rPr>
          <w:rFonts w:hint="default" w:ascii="Times New Roman" w:hAnsi="Times New Roman" w:eastAsia="仿宋_GB2312" w:cs="仿宋_GB2312"/>
          <w:color w:val="auto"/>
          <w:kern w:val="2"/>
          <w:sz w:val="32"/>
          <w:szCs w:val="32"/>
          <w:highlight w:val="none"/>
          <w:lang w:val="zh-CN" w:eastAsia="zh-CN" w:bidi="ar-SA"/>
        </w:rPr>
        <w:t>根据</w:t>
      </w:r>
      <w:r>
        <w:rPr>
          <w:rFonts w:hint="eastAsia" w:eastAsia="仿宋_GB2312" w:cs="仿宋_GB2312"/>
          <w:color w:val="auto"/>
          <w:kern w:val="2"/>
          <w:sz w:val="32"/>
          <w:szCs w:val="32"/>
          <w:highlight w:val="none"/>
          <w:lang w:val="zh-CN" w:eastAsia="zh-CN" w:bidi="ar-SA"/>
        </w:rPr>
        <w:t>单位</w:t>
      </w:r>
      <w:r>
        <w:rPr>
          <w:rFonts w:hint="default" w:ascii="Times New Roman" w:hAnsi="Times New Roman" w:eastAsia="仿宋_GB2312" w:cs="仿宋_GB2312"/>
          <w:color w:val="auto"/>
          <w:kern w:val="2"/>
          <w:sz w:val="32"/>
          <w:szCs w:val="32"/>
          <w:highlight w:val="none"/>
          <w:lang w:val="zh-CN" w:eastAsia="zh-CN" w:bidi="ar-SA"/>
        </w:rPr>
        <w:t>预算绩效评价指标体系</w:t>
      </w:r>
      <w:r>
        <w:rPr>
          <w:rFonts w:hint="eastAsia" w:ascii="Times New Roman" w:hAnsi="Times New Roman" w:eastAsia="仿宋_GB2312" w:cs="仿宋_GB2312"/>
          <w:color w:val="auto"/>
          <w:kern w:val="2"/>
          <w:sz w:val="32"/>
          <w:szCs w:val="32"/>
          <w:highlight w:val="none"/>
          <w:lang w:val="zh-CN" w:eastAsia="zh-CN" w:bidi="ar-SA"/>
        </w:rPr>
        <w:t>“</w:t>
      </w:r>
      <w:r>
        <w:rPr>
          <w:rFonts w:hint="default" w:ascii="Times New Roman" w:hAnsi="Times New Roman" w:eastAsia="仿宋_GB2312" w:cs="仿宋_GB2312"/>
          <w:color w:val="auto"/>
          <w:kern w:val="2"/>
          <w:sz w:val="32"/>
          <w:szCs w:val="32"/>
          <w:highlight w:val="none"/>
          <w:lang w:val="zh-CN" w:eastAsia="zh-CN" w:bidi="ar-SA"/>
        </w:rPr>
        <w:t>总体绩效</w:t>
      </w:r>
      <w:r>
        <w:rPr>
          <w:rFonts w:hint="eastAsia" w:ascii="Times New Roman" w:hAnsi="Times New Roman" w:eastAsia="仿宋_GB2312" w:cs="仿宋_GB2312"/>
          <w:color w:val="auto"/>
          <w:kern w:val="2"/>
          <w:sz w:val="32"/>
          <w:szCs w:val="32"/>
          <w:highlight w:val="none"/>
          <w:lang w:val="zh-CN" w:eastAsia="zh-CN" w:bidi="ar-SA"/>
        </w:rPr>
        <w:t>”</w:t>
      </w:r>
      <w:r>
        <w:rPr>
          <w:rFonts w:hint="default" w:ascii="Times New Roman" w:hAnsi="Times New Roman" w:eastAsia="仿宋_GB2312" w:cs="仿宋_GB2312"/>
          <w:color w:val="auto"/>
          <w:kern w:val="2"/>
          <w:sz w:val="32"/>
          <w:szCs w:val="32"/>
          <w:highlight w:val="none"/>
          <w:lang w:val="zh-CN" w:eastAsia="zh-CN" w:bidi="ar-SA"/>
        </w:rPr>
        <w:t>涉及</w:t>
      </w:r>
      <w:r>
        <w:rPr>
          <w:rFonts w:hint="eastAsia" w:ascii="Times New Roman" w:hAnsi="Times New Roman" w:eastAsia="仿宋_GB2312" w:cs="仿宋_GB2312"/>
          <w:color w:val="auto"/>
          <w:kern w:val="2"/>
          <w:sz w:val="32"/>
          <w:szCs w:val="32"/>
          <w:highlight w:val="none"/>
          <w:lang w:val="zh-CN" w:eastAsia="zh-CN" w:bidi="ar-SA"/>
        </w:rPr>
        <w:t>二、三级</w:t>
      </w:r>
      <w:r>
        <w:rPr>
          <w:rFonts w:hint="default" w:ascii="Times New Roman" w:hAnsi="Times New Roman" w:eastAsia="仿宋_GB2312" w:cs="仿宋_GB2312"/>
          <w:color w:val="auto"/>
          <w:kern w:val="2"/>
          <w:sz w:val="32"/>
          <w:szCs w:val="32"/>
          <w:highlight w:val="none"/>
          <w:lang w:val="zh-CN" w:eastAsia="zh-CN" w:bidi="ar-SA"/>
        </w:rPr>
        <w:t>指标进行</w:t>
      </w:r>
      <w:r>
        <w:rPr>
          <w:rFonts w:hint="eastAsia" w:ascii="Times New Roman" w:hAnsi="Times New Roman" w:eastAsia="仿宋_GB2312" w:cs="仿宋_GB2312"/>
          <w:color w:val="auto"/>
          <w:kern w:val="2"/>
          <w:sz w:val="32"/>
          <w:szCs w:val="32"/>
          <w:highlight w:val="none"/>
          <w:lang w:val="zh-CN" w:eastAsia="zh-CN" w:bidi="ar-SA"/>
        </w:rPr>
        <w:t>逐项</w:t>
      </w:r>
      <w:r>
        <w:rPr>
          <w:rFonts w:hint="default" w:ascii="Times New Roman" w:hAnsi="Times New Roman" w:eastAsia="仿宋_GB2312" w:cs="仿宋_GB2312"/>
          <w:color w:val="auto"/>
          <w:kern w:val="2"/>
          <w:sz w:val="32"/>
          <w:szCs w:val="32"/>
          <w:highlight w:val="none"/>
          <w:lang w:val="zh-CN" w:eastAsia="zh-CN" w:bidi="ar-SA"/>
        </w:rPr>
        <w:t>绩效分析</w:t>
      </w:r>
      <w:r>
        <w:rPr>
          <w:rFonts w:hint="eastAsia" w:ascii="Times New Roman" w:hAnsi="Times New Roman" w:eastAsia="仿宋_GB2312" w:cs="仿宋_GB2312"/>
          <w:color w:val="auto"/>
          <w:kern w:val="2"/>
          <w:sz w:val="32"/>
          <w:szCs w:val="32"/>
          <w:highlight w:val="none"/>
          <w:lang w:val="zh-CN" w:eastAsia="zh-CN" w:bidi="ar-SA"/>
        </w:rPr>
        <w:t>并评分</w:t>
      </w:r>
      <w:r>
        <w:rPr>
          <w:rFonts w:hint="default" w:ascii="Times New Roman" w:hAnsi="Times New Roman" w:eastAsia="仿宋_GB2312" w:cs="仿宋_GB2312"/>
          <w:color w:val="auto"/>
          <w:kern w:val="2"/>
          <w:sz w:val="32"/>
          <w:szCs w:val="32"/>
          <w:highlight w:val="none"/>
          <w:lang w:val="zh-CN" w:eastAsia="zh-CN" w:bidi="ar-SA"/>
        </w:rPr>
        <w:t>，依次包括履职效能、预算管理、财务管理、资产管理、采购管理等情况。</w:t>
      </w:r>
    </w:p>
    <w:p w14:paraId="3FB3BCA4">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1.</w:t>
      </w:r>
      <w:r>
        <w:rPr>
          <w:rFonts w:hint="eastAsia" w:ascii="Times New Roman" w:hAnsi="Times New Roman" w:eastAsia="仿宋_GB2312" w:cs="仿宋_GB2312"/>
          <w:color w:val="auto"/>
          <w:kern w:val="2"/>
          <w:sz w:val="32"/>
          <w:szCs w:val="32"/>
          <w:highlight w:val="none"/>
          <w:lang w:val="zh-CN" w:eastAsia="zh-CN" w:bidi="ar-SA"/>
        </w:rPr>
        <w:t>履职效能。</w:t>
      </w:r>
      <w:r>
        <w:rPr>
          <w:rFonts w:hint="eastAsia" w:eastAsia="仿宋_GB2312" w:cs="仿宋_GB2312"/>
          <w:color w:val="auto"/>
          <w:kern w:val="2"/>
          <w:sz w:val="32"/>
          <w:szCs w:val="32"/>
          <w:highlight w:val="none"/>
          <w:lang w:val="en-US" w:eastAsia="zh-CN" w:bidi="ar-SA"/>
        </w:rPr>
        <w:t>绵竹市残联聚焦于残疾人工作。</w:t>
      </w:r>
      <w:r>
        <w:rPr>
          <w:rFonts w:hint="default" w:ascii="仿宋_GB2312" w:hAnsi="仿宋" w:eastAsia="仿宋_GB2312" w:cs="Times New Roman"/>
          <w:kern w:val="2"/>
          <w:sz w:val="32"/>
          <w:szCs w:val="32"/>
          <w:highlight w:val="none"/>
          <w:lang w:val="en-US" w:eastAsia="zh-CN" w:bidi="ar-SA"/>
        </w:rPr>
        <w:t>开展残疾预防宣传进机关、进社区、进企业、进学校活动和线上电台专访，受众</w:t>
      </w:r>
      <w:r>
        <w:rPr>
          <w:rFonts w:hint="eastAsia" w:ascii="仿宋_GB2312" w:hAnsi="仿宋" w:eastAsia="仿宋_GB2312" w:cs="Times New Roman"/>
          <w:kern w:val="2"/>
          <w:sz w:val="32"/>
          <w:szCs w:val="32"/>
          <w:highlight w:val="none"/>
          <w:lang w:val="en-US" w:eastAsia="zh-CN" w:bidi="ar-SA"/>
        </w:rPr>
        <w:t>2</w:t>
      </w:r>
      <w:r>
        <w:rPr>
          <w:rFonts w:hint="default" w:ascii="仿宋_GB2312" w:hAnsi="仿宋" w:eastAsia="仿宋_GB2312" w:cs="Times New Roman"/>
          <w:kern w:val="2"/>
          <w:sz w:val="32"/>
          <w:szCs w:val="32"/>
          <w:highlight w:val="none"/>
          <w:lang w:val="en-US" w:eastAsia="zh-CN" w:bidi="ar-SA"/>
        </w:rPr>
        <w:t>万余人次。落实残疾儿童康复救助制度，救助残疾儿童83人。全覆盖开展就业年龄段残疾人就业状况调查，新建</w:t>
      </w:r>
      <w:r>
        <w:rPr>
          <w:rFonts w:hint="eastAsia" w:ascii="仿宋_GB2312" w:hAnsi="仿宋" w:eastAsia="仿宋_GB2312" w:cs="Times New Roman"/>
          <w:kern w:val="2"/>
          <w:sz w:val="32"/>
          <w:szCs w:val="32"/>
          <w:highlight w:val="none"/>
          <w:lang w:val="en-US" w:eastAsia="zh-CN" w:bidi="ar-SA"/>
        </w:rPr>
        <w:t>1</w:t>
      </w:r>
      <w:r>
        <w:rPr>
          <w:rFonts w:hint="default" w:ascii="仿宋_GB2312" w:hAnsi="仿宋" w:eastAsia="仿宋_GB2312" w:cs="Times New Roman"/>
          <w:kern w:val="2"/>
          <w:sz w:val="32"/>
          <w:szCs w:val="32"/>
          <w:highlight w:val="none"/>
          <w:lang w:val="en-US" w:eastAsia="zh-CN" w:bidi="ar-SA"/>
        </w:rPr>
        <w:t>家残疾人辅助性就业机构。开展了</w:t>
      </w:r>
      <w:r>
        <w:rPr>
          <w:rFonts w:hint="eastAsia" w:ascii="仿宋_GB2312" w:hAnsi="仿宋" w:eastAsia="仿宋_GB2312" w:cs="Times New Roman"/>
          <w:kern w:val="2"/>
          <w:sz w:val="32"/>
          <w:szCs w:val="32"/>
          <w:highlight w:val="none"/>
          <w:lang w:val="en-US" w:eastAsia="zh-CN" w:bidi="ar-SA"/>
        </w:rPr>
        <w:t>6</w:t>
      </w:r>
      <w:r>
        <w:rPr>
          <w:rFonts w:hint="default" w:ascii="仿宋_GB2312" w:hAnsi="仿宋" w:eastAsia="仿宋_GB2312" w:cs="Times New Roman"/>
          <w:kern w:val="2"/>
          <w:sz w:val="32"/>
          <w:szCs w:val="32"/>
          <w:highlight w:val="none"/>
          <w:lang w:val="en-US" w:eastAsia="zh-CN" w:bidi="ar-SA"/>
        </w:rPr>
        <w:t>期面塑、肉鸽养殖、花式气球等残疾人职业技能培训和农村实用技术培训。</w:t>
      </w:r>
    </w:p>
    <w:p w14:paraId="264EC0DF">
      <w:pPr>
        <w:keepNext w:val="0"/>
        <w:keepLines w:val="0"/>
        <w:widowControl/>
        <w:suppressLineNumbers w:val="0"/>
        <w:ind w:firstLine="640" w:firstLineChars="200"/>
        <w:jc w:val="left"/>
      </w:pPr>
      <w:r>
        <w:rPr>
          <w:rFonts w:hint="eastAsia" w:ascii="Times New Roman" w:hAnsi="Times New Roman" w:eastAsia="仿宋_GB2312" w:cs="仿宋_GB2312"/>
          <w:color w:val="auto"/>
          <w:kern w:val="2"/>
          <w:sz w:val="32"/>
          <w:szCs w:val="32"/>
          <w:highlight w:val="none"/>
          <w:lang w:val="en-US" w:eastAsia="zh-CN" w:bidi="ar-SA"/>
        </w:rPr>
        <w:t>2.</w:t>
      </w:r>
      <w:r>
        <w:rPr>
          <w:rFonts w:hint="default" w:ascii="Times New Roman" w:hAnsi="Times New Roman" w:eastAsia="仿宋_GB2312" w:cs="仿宋_GB2312"/>
          <w:color w:val="auto"/>
          <w:kern w:val="2"/>
          <w:sz w:val="32"/>
          <w:szCs w:val="32"/>
          <w:highlight w:val="none"/>
          <w:lang w:val="zh-CN" w:eastAsia="zh-CN" w:bidi="ar-SA"/>
        </w:rPr>
        <w:t>预算管理</w:t>
      </w:r>
      <w:r>
        <w:rPr>
          <w:rFonts w:hint="eastAsia" w:ascii="Times New Roman" w:hAnsi="Times New Roman" w:eastAsia="仿宋_GB2312" w:cs="仿宋_GB2312"/>
          <w:color w:val="auto"/>
          <w:kern w:val="2"/>
          <w:sz w:val="32"/>
          <w:szCs w:val="32"/>
          <w:highlight w:val="none"/>
          <w:lang w:val="zh-CN" w:eastAsia="zh-CN" w:bidi="ar-SA"/>
        </w:rPr>
        <w:t>。</w:t>
      </w:r>
      <w:r>
        <w:rPr>
          <w:rFonts w:hint="default" w:ascii="Times New Roman" w:hAnsi="Times New Roman" w:eastAsia="宋体" w:cs="Times New Roman"/>
          <w:color w:val="000000"/>
          <w:kern w:val="0"/>
          <w:sz w:val="31"/>
          <w:szCs w:val="31"/>
          <w:lang w:val="en-US" w:eastAsia="zh-CN" w:bidi="ar"/>
        </w:rPr>
        <w:t>2</w:t>
      </w:r>
      <w:r>
        <w:rPr>
          <w:rFonts w:ascii="仿宋" w:hAnsi="仿宋" w:eastAsia="仿宋" w:cs="仿宋"/>
          <w:color w:val="000000"/>
          <w:kern w:val="0"/>
          <w:sz w:val="31"/>
          <w:szCs w:val="31"/>
          <w:lang w:val="en-US" w:eastAsia="zh-CN" w:bidi="ar"/>
        </w:rPr>
        <w:t>024年我</w:t>
      </w:r>
      <w:r>
        <w:rPr>
          <w:rFonts w:hint="eastAsia" w:ascii="仿宋" w:hAnsi="仿宋" w:eastAsia="仿宋" w:cs="仿宋"/>
          <w:color w:val="000000"/>
          <w:kern w:val="0"/>
          <w:sz w:val="31"/>
          <w:szCs w:val="31"/>
          <w:lang w:val="en-US" w:eastAsia="zh-CN" w:bidi="ar"/>
        </w:rPr>
        <w:t>单位</w:t>
      </w:r>
      <w:r>
        <w:rPr>
          <w:rFonts w:ascii="仿宋" w:hAnsi="仿宋" w:eastAsia="仿宋" w:cs="仿宋"/>
          <w:color w:val="000000"/>
          <w:kern w:val="0"/>
          <w:sz w:val="31"/>
          <w:szCs w:val="31"/>
          <w:lang w:val="en-US" w:eastAsia="zh-CN" w:bidi="ar"/>
        </w:rPr>
        <w:t>结合年度工作计划，认真征求</w:t>
      </w:r>
    </w:p>
    <w:p w14:paraId="1331F24A">
      <w:pPr>
        <w:keepNext w:val="0"/>
        <w:keepLines w:val="0"/>
        <w:widowControl/>
        <w:suppressLineNumbers w:val="0"/>
        <w:jc w:val="left"/>
      </w:pPr>
      <w:r>
        <w:rPr>
          <w:rFonts w:hint="eastAsia" w:ascii="仿宋" w:hAnsi="仿宋" w:eastAsia="仿宋" w:cs="仿宋"/>
          <w:color w:val="000000"/>
          <w:kern w:val="0"/>
          <w:sz w:val="31"/>
          <w:szCs w:val="31"/>
          <w:lang w:val="en-US" w:eastAsia="zh-CN" w:bidi="ar"/>
        </w:rPr>
        <w:t>统计相应的经费需求，参考以前年度年初预算编审、预算执</w:t>
      </w:r>
    </w:p>
    <w:p w14:paraId="2C8B1AAB">
      <w:pPr>
        <w:keepNext w:val="0"/>
        <w:keepLines w:val="0"/>
        <w:widowControl/>
        <w:suppressLineNumbers w:val="0"/>
        <w:jc w:val="left"/>
      </w:pPr>
      <w:r>
        <w:rPr>
          <w:rFonts w:hint="eastAsia" w:ascii="仿宋" w:hAnsi="仿宋" w:eastAsia="仿宋" w:cs="仿宋"/>
          <w:color w:val="000000"/>
          <w:kern w:val="0"/>
          <w:sz w:val="31"/>
          <w:szCs w:val="31"/>
          <w:lang w:val="en-US" w:eastAsia="zh-CN" w:bidi="ar"/>
        </w:rPr>
        <w:t>行、资产占有和使用情况等因素，按照绵竹市财政局《关于</w:t>
      </w:r>
    </w:p>
    <w:p w14:paraId="0BA200CA">
      <w:pPr>
        <w:keepNext w:val="0"/>
        <w:keepLines w:val="0"/>
        <w:widowControl/>
        <w:suppressLineNumbers w:val="0"/>
        <w:jc w:val="left"/>
      </w:pPr>
      <w:r>
        <w:rPr>
          <w:rFonts w:hint="eastAsia" w:ascii="仿宋" w:hAnsi="仿宋" w:eastAsia="仿宋" w:cs="仿宋"/>
          <w:color w:val="000000"/>
          <w:kern w:val="0"/>
          <w:sz w:val="31"/>
          <w:szCs w:val="31"/>
          <w:lang w:val="en-US" w:eastAsia="zh-CN" w:bidi="ar"/>
        </w:rPr>
        <w:t>编制2024年市级单位预算的通知》要求，在下达控制数内</w:t>
      </w:r>
    </w:p>
    <w:p w14:paraId="76550870">
      <w:pPr>
        <w:keepNext w:val="0"/>
        <w:keepLines w:val="0"/>
        <w:widowControl/>
        <w:suppressLineNumbers w:val="0"/>
        <w:jc w:val="left"/>
      </w:pPr>
      <w:r>
        <w:rPr>
          <w:rFonts w:hint="eastAsia" w:ascii="仿宋" w:hAnsi="仿宋" w:eastAsia="仿宋" w:cs="仿宋"/>
          <w:color w:val="000000"/>
          <w:kern w:val="0"/>
          <w:sz w:val="31"/>
          <w:szCs w:val="31"/>
          <w:lang w:val="en-US" w:eastAsia="zh-CN" w:bidi="ar"/>
        </w:rPr>
        <w:t>按时完成单位预算草案的编制工作，努力做到各项收入、支</w:t>
      </w:r>
    </w:p>
    <w:p w14:paraId="1B81B090">
      <w:pPr>
        <w:keepNext w:val="0"/>
        <w:keepLines w:val="0"/>
        <w:widowControl/>
        <w:suppressLineNumbers w:val="0"/>
        <w:jc w:val="left"/>
      </w:pPr>
      <w:r>
        <w:rPr>
          <w:rFonts w:hint="eastAsia" w:ascii="仿宋" w:hAnsi="仿宋" w:eastAsia="仿宋" w:cs="仿宋"/>
          <w:color w:val="000000"/>
          <w:kern w:val="0"/>
          <w:sz w:val="31"/>
          <w:szCs w:val="31"/>
          <w:lang w:val="en-US" w:eastAsia="zh-CN" w:bidi="ar"/>
        </w:rPr>
        <w:t>出预算的编制完整、准确、规范，确保不重不漏，无单位预</w:t>
      </w:r>
    </w:p>
    <w:p w14:paraId="6E311008">
      <w:pPr>
        <w:keepNext w:val="0"/>
        <w:keepLines w:val="0"/>
        <w:widowControl/>
        <w:suppressLineNumbers w:val="0"/>
        <w:jc w:val="left"/>
      </w:pPr>
      <w:r>
        <w:rPr>
          <w:rFonts w:hint="eastAsia" w:ascii="仿宋" w:hAnsi="仿宋" w:eastAsia="仿宋" w:cs="仿宋"/>
          <w:color w:val="000000"/>
          <w:kern w:val="0"/>
          <w:sz w:val="31"/>
          <w:szCs w:val="31"/>
          <w:lang w:val="en-US" w:eastAsia="zh-CN" w:bidi="ar"/>
        </w:rPr>
        <w:t>算以外保留的其他收支项目。</w:t>
      </w:r>
    </w:p>
    <w:p w14:paraId="08C65104">
      <w:pPr>
        <w:keepNext w:val="0"/>
        <w:keepLines w:val="0"/>
        <w:widowControl/>
        <w:suppressLineNumbers w:val="0"/>
        <w:ind w:firstLine="640" w:firstLineChars="200"/>
        <w:jc w:val="left"/>
      </w:pPr>
      <w:r>
        <w:rPr>
          <w:rFonts w:hint="eastAsia" w:ascii="Times New Roman" w:hAnsi="Times New Roman" w:eastAsia="仿宋_GB2312" w:cs="仿宋_GB2312"/>
          <w:color w:val="auto"/>
          <w:kern w:val="2"/>
          <w:sz w:val="32"/>
          <w:szCs w:val="32"/>
          <w:highlight w:val="none"/>
          <w:lang w:val="en-US" w:eastAsia="zh-CN" w:bidi="ar-SA"/>
        </w:rPr>
        <w:t>3.</w:t>
      </w:r>
      <w:r>
        <w:rPr>
          <w:rFonts w:hint="default" w:ascii="Times New Roman" w:hAnsi="Times New Roman" w:eastAsia="仿宋_GB2312" w:cs="仿宋_GB2312"/>
          <w:color w:val="auto"/>
          <w:kern w:val="2"/>
          <w:sz w:val="32"/>
          <w:szCs w:val="32"/>
          <w:highlight w:val="none"/>
          <w:lang w:val="zh-CN" w:eastAsia="zh-CN" w:bidi="ar-SA"/>
        </w:rPr>
        <w:t>财务管理</w:t>
      </w:r>
      <w:r>
        <w:rPr>
          <w:rFonts w:hint="eastAsia" w:ascii="Times New Roman" w:hAnsi="Times New Roman" w:eastAsia="仿宋_GB2312" w:cs="仿宋_GB2312"/>
          <w:color w:val="auto"/>
          <w:kern w:val="2"/>
          <w:sz w:val="32"/>
          <w:szCs w:val="32"/>
          <w:highlight w:val="none"/>
          <w:lang w:val="zh-CN" w:eastAsia="zh-CN" w:bidi="ar-SA"/>
        </w:rPr>
        <w:t>。</w:t>
      </w:r>
      <w:r>
        <w:rPr>
          <w:rFonts w:ascii="仿宋" w:hAnsi="仿宋" w:eastAsia="仿宋" w:cs="仿宋"/>
          <w:color w:val="000000"/>
          <w:kern w:val="0"/>
          <w:sz w:val="31"/>
          <w:szCs w:val="31"/>
          <w:lang w:val="en-US" w:eastAsia="zh-CN" w:bidi="ar"/>
        </w:rPr>
        <w:t>2024年，我</w:t>
      </w:r>
      <w:r>
        <w:rPr>
          <w:rFonts w:hint="eastAsia" w:ascii="仿宋" w:hAnsi="仿宋" w:eastAsia="仿宋" w:cs="仿宋"/>
          <w:color w:val="000000"/>
          <w:kern w:val="0"/>
          <w:sz w:val="31"/>
          <w:szCs w:val="31"/>
          <w:lang w:val="en-US" w:eastAsia="zh-CN" w:bidi="ar"/>
        </w:rPr>
        <w:t>单位</w:t>
      </w:r>
      <w:r>
        <w:rPr>
          <w:rFonts w:ascii="仿宋" w:hAnsi="仿宋" w:eastAsia="仿宋" w:cs="仿宋"/>
          <w:color w:val="000000"/>
          <w:kern w:val="0"/>
          <w:sz w:val="31"/>
          <w:szCs w:val="31"/>
          <w:lang w:val="en-US" w:eastAsia="zh-CN" w:bidi="ar"/>
        </w:rPr>
        <w:t>进一步加强机关财务管理工</w:t>
      </w:r>
    </w:p>
    <w:p w14:paraId="5F3B57DA">
      <w:pPr>
        <w:keepNext w:val="0"/>
        <w:keepLines w:val="0"/>
        <w:widowControl/>
        <w:suppressLineNumbers w:val="0"/>
        <w:jc w:val="left"/>
      </w:pPr>
      <w:r>
        <w:rPr>
          <w:rFonts w:hint="eastAsia" w:ascii="仿宋" w:hAnsi="仿宋" w:eastAsia="仿宋" w:cs="仿宋"/>
          <w:color w:val="000000"/>
          <w:kern w:val="0"/>
          <w:sz w:val="31"/>
          <w:szCs w:val="31"/>
          <w:lang w:val="en-US" w:eastAsia="zh-CN" w:bidi="ar"/>
        </w:rPr>
        <w:t>作，认真贯彻《会计法》，严格执行《行政单位会计制度》、</w:t>
      </w:r>
    </w:p>
    <w:p w14:paraId="71DE9C69">
      <w:pPr>
        <w:keepNext w:val="0"/>
        <w:keepLines w:val="0"/>
        <w:widowControl/>
        <w:suppressLineNumbers w:val="0"/>
        <w:jc w:val="left"/>
      </w:pPr>
      <w:r>
        <w:rPr>
          <w:rFonts w:hint="eastAsia" w:ascii="仿宋" w:hAnsi="仿宋" w:eastAsia="仿宋" w:cs="仿宋"/>
          <w:color w:val="000000"/>
          <w:kern w:val="0"/>
          <w:sz w:val="31"/>
          <w:szCs w:val="31"/>
          <w:lang w:val="en-US" w:eastAsia="zh-CN" w:bidi="ar"/>
        </w:rPr>
        <w:t>《行政单位财务规则》及各项费用管理办法，规范资金收支</w:t>
      </w:r>
    </w:p>
    <w:p w14:paraId="2B638175">
      <w:pPr>
        <w:keepNext w:val="0"/>
        <w:keepLines w:val="0"/>
        <w:widowControl/>
        <w:suppressLineNumbers w:val="0"/>
        <w:jc w:val="left"/>
      </w:pPr>
      <w:r>
        <w:rPr>
          <w:rFonts w:hint="eastAsia" w:ascii="仿宋" w:hAnsi="仿宋" w:eastAsia="仿宋" w:cs="仿宋"/>
          <w:color w:val="000000"/>
          <w:kern w:val="0"/>
          <w:sz w:val="31"/>
          <w:szCs w:val="31"/>
          <w:lang w:val="en-US" w:eastAsia="zh-CN" w:bidi="ar"/>
        </w:rPr>
        <w:t>管理及会计核算，强化预算管理，从严从紧控制和节减经费</w:t>
      </w:r>
    </w:p>
    <w:p w14:paraId="1ADBCEEE">
      <w:pPr>
        <w:keepNext w:val="0"/>
        <w:keepLines w:val="0"/>
        <w:widowControl/>
        <w:suppressLineNumbers w:val="0"/>
        <w:jc w:val="left"/>
      </w:pPr>
      <w:r>
        <w:rPr>
          <w:rFonts w:hint="eastAsia" w:ascii="仿宋" w:hAnsi="仿宋" w:eastAsia="仿宋" w:cs="仿宋"/>
          <w:color w:val="000000"/>
          <w:kern w:val="0"/>
          <w:sz w:val="31"/>
          <w:szCs w:val="31"/>
          <w:lang w:val="en-US" w:eastAsia="zh-CN" w:bidi="ar"/>
        </w:rPr>
        <w:t>支出，严格财务审批制度，凡涉重大经费支出，必须做到事</w:t>
      </w:r>
    </w:p>
    <w:p w14:paraId="295F9312">
      <w:pPr>
        <w:keepNext w:val="0"/>
        <w:keepLines w:val="0"/>
        <w:widowControl/>
        <w:suppressLineNumbers w:val="0"/>
        <w:jc w:val="left"/>
      </w:pPr>
      <w:r>
        <w:rPr>
          <w:rFonts w:hint="eastAsia" w:ascii="仿宋" w:hAnsi="仿宋" w:eastAsia="仿宋" w:cs="仿宋"/>
          <w:color w:val="000000"/>
          <w:kern w:val="0"/>
          <w:sz w:val="31"/>
          <w:szCs w:val="31"/>
          <w:lang w:val="en-US" w:eastAsia="zh-CN" w:bidi="ar"/>
        </w:rPr>
        <w:t>前报告，事后逐级审核，最终报请主要领导审批，同时，规</w:t>
      </w:r>
    </w:p>
    <w:p w14:paraId="135B8B01">
      <w:pPr>
        <w:keepNext w:val="0"/>
        <w:keepLines w:val="0"/>
        <w:widowControl/>
        <w:suppressLineNumbers w:val="0"/>
        <w:jc w:val="left"/>
      </w:pPr>
      <w:r>
        <w:rPr>
          <w:rFonts w:hint="eastAsia" w:ascii="仿宋" w:hAnsi="仿宋" w:eastAsia="仿宋" w:cs="仿宋"/>
          <w:color w:val="000000"/>
          <w:kern w:val="0"/>
          <w:sz w:val="31"/>
          <w:szCs w:val="31"/>
          <w:lang w:val="en-US" w:eastAsia="zh-CN" w:bidi="ar"/>
        </w:rPr>
        <w:t>范现金报销制度。</w:t>
      </w:r>
    </w:p>
    <w:p w14:paraId="5F810958">
      <w:pPr>
        <w:keepNext w:val="0"/>
        <w:keepLines w:val="0"/>
        <w:widowControl/>
        <w:suppressLineNumbers w:val="0"/>
        <w:ind w:firstLine="640" w:firstLineChars="200"/>
        <w:jc w:val="left"/>
      </w:pPr>
      <w:r>
        <w:rPr>
          <w:rFonts w:hint="eastAsia" w:ascii="Times New Roman" w:hAnsi="Times New Roman" w:eastAsia="仿宋_GB2312" w:cs="仿宋_GB2312"/>
          <w:color w:val="auto"/>
          <w:kern w:val="2"/>
          <w:sz w:val="32"/>
          <w:szCs w:val="32"/>
          <w:highlight w:val="none"/>
          <w:lang w:val="en-US" w:eastAsia="zh-CN" w:bidi="ar-SA"/>
        </w:rPr>
        <w:t>4.</w:t>
      </w:r>
      <w:r>
        <w:rPr>
          <w:rFonts w:hint="default" w:ascii="Times New Roman" w:hAnsi="Times New Roman" w:eastAsia="仿宋_GB2312" w:cs="仿宋_GB2312"/>
          <w:color w:val="auto"/>
          <w:kern w:val="2"/>
          <w:sz w:val="32"/>
          <w:szCs w:val="32"/>
          <w:highlight w:val="none"/>
          <w:lang w:val="zh-CN" w:eastAsia="zh-CN" w:bidi="ar-SA"/>
        </w:rPr>
        <w:t>资产管理</w:t>
      </w:r>
      <w:r>
        <w:rPr>
          <w:rFonts w:hint="eastAsia" w:ascii="Times New Roman" w:hAnsi="Times New Roman" w:eastAsia="仿宋_GB2312" w:cs="仿宋_GB2312"/>
          <w:color w:val="auto"/>
          <w:kern w:val="2"/>
          <w:sz w:val="32"/>
          <w:szCs w:val="32"/>
          <w:highlight w:val="none"/>
          <w:lang w:val="zh-CN" w:eastAsia="zh-CN" w:bidi="ar-SA"/>
        </w:rPr>
        <w:t>。</w:t>
      </w:r>
      <w:r>
        <w:rPr>
          <w:rFonts w:ascii="仿宋" w:hAnsi="仿宋" w:eastAsia="仿宋" w:cs="仿宋"/>
          <w:color w:val="000000"/>
          <w:kern w:val="0"/>
          <w:sz w:val="31"/>
          <w:szCs w:val="31"/>
          <w:lang w:val="en-US" w:eastAsia="zh-CN" w:bidi="ar"/>
        </w:rPr>
        <w:t>按照要求做好资产管理，固定资产及时入</w:t>
      </w:r>
    </w:p>
    <w:p w14:paraId="7AECF71E">
      <w:pPr>
        <w:keepNext w:val="0"/>
        <w:keepLines w:val="0"/>
        <w:widowControl/>
        <w:suppressLineNumbers w:val="0"/>
        <w:jc w:val="left"/>
      </w:pPr>
      <w:r>
        <w:rPr>
          <w:rFonts w:hint="eastAsia" w:ascii="仿宋" w:hAnsi="仿宋" w:eastAsia="仿宋" w:cs="仿宋"/>
          <w:color w:val="000000"/>
          <w:kern w:val="0"/>
          <w:sz w:val="31"/>
          <w:szCs w:val="31"/>
          <w:lang w:val="en-US" w:eastAsia="zh-CN" w:bidi="ar"/>
        </w:rPr>
        <w:t>账，账务处理及时，确保财务与资产管理账账相符。</w:t>
      </w:r>
    </w:p>
    <w:p w14:paraId="00EB1CA8">
      <w:pPr>
        <w:keepNext w:val="0"/>
        <w:keepLines w:val="0"/>
        <w:widowControl/>
        <w:suppressLineNumbers w:val="0"/>
        <w:ind w:firstLine="640" w:firstLineChars="200"/>
        <w:jc w:val="left"/>
      </w:pPr>
      <w:r>
        <w:rPr>
          <w:rFonts w:hint="eastAsia" w:ascii="Times New Roman" w:hAnsi="Times New Roman" w:eastAsia="仿宋_GB2312" w:cs="仿宋_GB2312"/>
          <w:color w:val="auto"/>
          <w:kern w:val="2"/>
          <w:sz w:val="32"/>
          <w:szCs w:val="32"/>
          <w:highlight w:val="none"/>
          <w:lang w:val="en-US" w:eastAsia="zh-CN" w:bidi="ar-SA"/>
        </w:rPr>
        <w:t>5.</w:t>
      </w:r>
      <w:r>
        <w:rPr>
          <w:rFonts w:hint="default" w:ascii="Times New Roman" w:hAnsi="Times New Roman" w:eastAsia="仿宋_GB2312" w:cs="仿宋_GB2312"/>
          <w:color w:val="auto"/>
          <w:kern w:val="2"/>
          <w:sz w:val="32"/>
          <w:szCs w:val="32"/>
          <w:highlight w:val="none"/>
          <w:lang w:val="zh-CN" w:eastAsia="zh-CN" w:bidi="ar-SA"/>
        </w:rPr>
        <w:t>采购管理</w:t>
      </w:r>
      <w:r>
        <w:rPr>
          <w:rFonts w:hint="eastAsia" w:ascii="Times New Roman" w:hAnsi="Times New Roman" w:eastAsia="仿宋_GB2312" w:cs="仿宋_GB2312"/>
          <w:color w:val="auto"/>
          <w:kern w:val="2"/>
          <w:sz w:val="32"/>
          <w:szCs w:val="32"/>
          <w:highlight w:val="none"/>
          <w:lang w:val="zh-CN" w:eastAsia="zh-CN" w:bidi="ar-SA"/>
        </w:rPr>
        <w:t>。</w:t>
      </w:r>
      <w:r>
        <w:rPr>
          <w:rFonts w:ascii="仿宋" w:hAnsi="仿宋" w:eastAsia="仿宋" w:cs="仿宋"/>
          <w:color w:val="000000"/>
          <w:kern w:val="0"/>
          <w:sz w:val="31"/>
          <w:szCs w:val="31"/>
          <w:lang w:val="en-US" w:eastAsia="zh-CN" w:bidi="ar"/>
        </w:rPr>
        <w:t>严格执行政府采购政策，认真做好采购项</w:t>
      </w:r>
    </w:p>
    <w:p w14:paraId="07CE0A6C">
      <w:pPr>
        <w:keepNext w:val="0"/>
        <w:keepLines w:val="0"/>
        <w:widowControl/>
        <w:suppressLineNumbers w:val="0"/>
        <w:jc w:val="left"/>
      </w:pPr>
      <w:r>
        <w:rPr>
          <w:rFonts w:hint="eastAsia" w:ascii="仿宋" w:hAnsi="仿宋" w:eastAsia="仿宋" w:cs="仿宋"/>
          <w:color w:val="000000"/>
          <w:kern w:val="0"/>
          <w:sz w:val="31"/>
          <w:szCs w:val="31"/>
          <w:lang w:val="en-US" w:eastAsia="zh-CN" w:bidi="ar"/>
        </w:rPr>
        <w:t>目备案、招投标、项目实施及验收、项目资金拨付等，保证</w:t>
      </w:r>
    </w:p>
    <w:p w14:paraId="217E0053">
      <w:pPr>
        <w:keepNext w:val="0"/>
        <w:keepLines w:val="0"/>
        <w:widowControl/>
        <w:suppressLineNumbers w:val="0"/>
        <w:jc w:val="left"/>
        <w:rPr>
          <w:rFonts w:hint="eastAsia" w:ascii="Times New Roman" w:hAnsi="Times New Roman" w:eastAsia="仿宋_GB2312" w:cs="仿宋_GB2312"/>
          <w:color w:val="auto"/>
          <w:kern w:val="2"/>
          <w:sz w:val="32"/>
          <w:szCs w:val="32"/>
          <w:highlight w:val="none"/>
          <w:lang w:val="zh-CN" w:eastAsia="zh-CN" w:bidi="ar-SA"/>
        </w:rPr>
      </w:pPr>
      <w:r>
        <w:rPr>
          <w:rFonts w:hint="eastAsia" w:ascii="仿宋" w:hAnsi="仿宋" w:eastAsia="仿宋" w:cs="仿宋"/>
          <w:color w:val="000000"/>
          <w:kern w:val="0"/>
          <w:sz w:val="31"/>
          <w:szCs w:val="31"/>
          <w:lang w:val="en-US" w:eastAsia="zh-CN" w:bidi="ar"/>
        </w:rPr>
        <w:t>采购项目公平、公正、合法。</w:t>
      </w:r>
    </w:p>
    <w:p w14:paraId="433EB6DB">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3" w:firstLineChars="200"/>
        <w:contextualSpacing/>
        <w:jc w:val="both"/>
        <w:textAlignment w:val="auto"/>
        <w:outlineLvl w:val="9"/>
        <w:rPr>
          <w:rFonts w:hint="default" w:ascii="Times New Roman" w:hAnsi="Times New Roman" w:eastAsia="仿宋_GB2312" w:cs="仿宋_GB2312"/>
          <w:color w:val="auto"/>
          <w:kern w:val="2"/>
          <w:sz w:val="32"/>
          <w:szCs w:val="32"/>
          <w:highlight w:val="none"/>
          <w:lang w:val="en-US" w:eastAsia="zh-CN" w:bidi="ar-SA"/>
        </w:rPr>
      </w:pPr>
      <w:r>
        <w:rPr>
          <w:rFonts w:hint="default" w:ascii="Times New Roman" w:hAnsi="Times New Roman" w:eastAsia="楷体_GB2312" w:cs="Times New Roman"/>
          <w:b/>
          <w:bCs/>
          <w:color w:val="000000"/>
          <w:kern w:val="0"/>
          <w:sz w:val="32"/>
          <w:szCs w:val="32"/>
          <w:highlight w:val="none"/>
          <w:shd w:val="clear" w:color="auto" w:fill="FFFFFF"/>
          <w:lang w:val="zh-CN"/>
        </w:rPr>
        <w:t>（二）</w:t>
      </w:r>
      <w:r>
        <w:rPr>
          <w:rFonts w:hint="eastAsia" w:eastAsia="楷体_GB2312" w:cs="Times New Roman"/>
          <w:b/>
          <w:bCs/>
          <w:color w:val="000000"/>
          <w:kern w:val="0"/>
          <w:sz w:val="32"/>
          <w:szCs w:val="32"/>
          <w:highlight w:val="none"/>
          <w:shd w:val="clear" w:color="auto" w:fill="FFFFFF"/>
          <w:lang w:val="zh-CN"/>
        </w:rPr>
        <w:t>单位</w:t>
      </w:r>
      <w:r>
        <w:rPr>
          <w:rFonts w:hint="default" w:ascii="Times New Roman" w:hAnsi="Times New Roman" w:eastAsia="楷体_GB2312" w:cs="Times New Roman"/>
          <w:b/>
          <w:bCs/>
          <w:color w:val="000000"/>
          <w:kern w:val="0"/>
          <w:sz w:val="32"/>
          <w:szCs w:val="32"/>
          <w:highlight w:val="none"/>
          <w:shd w:val="clear" w:color="auto" w:fill="FFFFFF"/>
          <w:lang w:val="zh-CN"/>
        </w:rPr>
        <w:t>预算项目绩效分析。</w:t>
      </w:r>
      <w:r>
        <w:rPr>
          <w:rFonts w:hint="eastAsia" w:ascii="Times New Roman" w:hAnsi="Times New Roman" w:eastAsia="仿宋_GB2312" w:cs="仿宋_GB2312"/>
          <w:color w:val="auto"/>
          <w:kern w:val="2"/>
          <w:sz w:val="32"/>
          <w:szCs w:val="32"/>
          <w:highlight w:val="none"/>
          <w:lang w:val="zh-CN" w:eastAsia="zh-CN" w:bidi="ar-SA"/>
        </w:rPr>
        <w:t>填报以下数据，并</w:t>
      </w:r>
      <w:r>
        <w:rPr>
          <w:rFonts w:hint="default" w:ascii="Times New Roman" w:hAnsi="Times New Roman" w:eastAsia="仿宋_GB2312" w:cs="仿宋_GB2312"/>
          <w:color w:val="auto"/>
          <w:kern w:val="2"/>
          <w:sz w:val="32"/>
          <w:szCs w:val="32"/>
          <w:highlight w:val="none"/>
          <w:lang w:val="zh-CN" w:eastAsia="zh-CN" w:bidi="ar-SA"/>
        </w:rPr>
        <w:t>根据</w:t>
      </w:r>
      <w:r>
        <w:rPr>
          <w:rFonts w:hint="eastAsia" w:eastAsia="仿宋_GB2312" w:cs="仿宋_GB2312"/>
          <w:color w:val="auto"/>
          <w:kern w:val="2"/>
          <w:sz w:val="32"/>
          <w:szCs w:val="32"/>
          <w:highlight w:val="none"/>
          <w:lang w:val="zh-CN" w:eastAsia="zh-CN" w:bidi="ar-SA"/>
        </w:rPr>
        <w:t>单位</w:t>
      </w:r>
      <w:r>
        <w:rPr>
          <w:rFonts w:hint="default" w:ascii="Times New Roman" w:hAnsi="Times New Roman" w:eastAsia="仿宋_GB2312" w:cs="仿宋_GB2312"/>
          <w:color w:val="auto"/>
          <w:kern w:val="2"/>
          <w:sz w:val="32"/>
          <w:szCs w:val="32"/>
          <w:highlight w:val="none"/>
          <w:lang w:val="zh-CN" w:eastAsia="zh-CN" w:bidi="ar-SA"/>
        </w:rPr>
        <w:t>预算绩效评价指标体系</w:t>
      </w:r>
      <w:r>
        <w:rPr>
          <w:rFonts w:hint="eastAsia" w:ascii="Times New Roman" w:hAnsi="Times New Roman" w:eastAsia="仿宋_GB2312" w:cs="仿宋_GB2312"/>
          <w:color w:val="auto"/>
          <w:kern w:val="2"/>
          <w:sz w:val="32"/>
          <w:szCs w:val="32"/>
          <w:highlight w:val="none"/>
          <w:lang w:val="zh-CN" w:eastAsia="zh-CN" w:bidi="ar-SA"/>
        </w:rPr>
        <w:t>“</w:t>
      </w:r>
      <w:r>
        <w:rPr>
          <w:rFonts w:hint="default" w:ascii="Times New Roman" w:hAnsi="Times New Roman" w:eastAsia="仿宋_GB2312" w:cs="仿宋_GB2312"/>
          <w:color w:val="auto"/>
          <w:kern w:val="2"/>
          <w:sz w:val="32"/>
          <w:szCs w:val="32"/>
          <w:highlight w:val="none"/>
          <w:lang w:val="zh-CN" w:eastAsia="zh-CN" w:bidi="ar-SA"/>
        </w:rPr>
        <w:t>项目绩效</w:t>
      </w:r>
      <w:r>
        <w:rPr>
          <w:rFonts w:hint="eastAsia" w:ascii="Times New Roman" w:hAnsi="Times New Roman" w:eastAsia="仿宋_GB2312" w:cs="仿宋_GB2312"/>
          <w:color w:val="auto"/>
          <w:kern w:val="2"/>
          <w:sz w:val="32"/>
          <w:szCs w:val="32"/>
          <w:highlight w:val="none"/>
          <w:lang w:val="zh-CN" w:eastAsia="zh-CN" w:bidi="ar-SA"/>
        </w:rPr>
        <w:t>”</w:t>
      </w:r>
      <w:r>
        <w:rPr>
          <w:rFonts w:hint="default" w:ascii="Times New Roman" w:hAnsi="Times New Roman" w:eastAsia="仿宋_GB2312" w:cs="仿宋_GB2312"/>
          <w:color w:val="auto"/>
          <w:kern w:val="2"/>
          <w:sz w:val="32"/>
          <w:szCs w:val="32"/>
          <w:highlight w:val="none"/>
          <w:lang w:val="zh-CN" w:eastAsia="zh-CN" w:bidi="ar-SA"/>
        </w:rPr>
        <w:t>涉及</w:t>
      </w:r>
      <w:r>
        <w:rPr>
          <w:rFonts w:hint="eastAsia" w:ascii="Times New Roman" w:hAnsi="Times New Roman" w:eastAsia="仿宋_GB2312" w:cs="仿宋_GB2312"/>
          <w:color w:val="auto"/>
          <w:kern w:val="2"/>
          <w:sz w:val="32"/>
          <w:szCs w:val="32"/>
          <w:highlight w:val="none"/>
          <w:lang w:val="zh-CN" w:eastAsia="zh-CN" w:bidi="ar-SA"/>
        </w:rPr>
        <w:t>二、三级</w:t>
      </w:r>
      <w:r>
        <w:rPr>
          <w:rFonts w:hint="default" w:ascii="Times New Roman" w:hAnsi="Times New Roman" w:eastAsia="仿宋_GB2312" w:cs="仿宋_GB2312"/>
          <w:color w:val="auto"/>
          <w:kern w:val="2"/>
          <w:sz w:val="32"/>
          <w:szCs w:val="32"/>
          <w:highlight w:val="none"/>
          <w:lang w:val="zh-CN" w:eastAsia="zh-CN" w:bidi="ar-SA"/>
        </w:rPr>
        <w:t>指标进行</w:t>
      </w:r>
      <w:r>
        <w:rPr>
          <w:rFonts w:hint="eastAsia" w:ascii="Times New Roman" w:hAnsi="Times New Roman" w:eastAsia="仿宋_GB2312" w:cs="仿宋_GB2312"/>
          <w:color w:val="auto"/>
          <w:kern w:val="2"/>
          <w:sz w:val="32"/>
          <w:szCs w:val="32"/>
          <w:highlight w:val="none"/>
          <w:lang w:val="zh-CN" w:eastAsia="zh-CN" w:bidi="ar-SA"/>
        </w:rPr>
        <w:t>逐项</w:t>
      </w:r>
      <w:r>
        <w:rPr>
          <w:rFonts w:hint="default" w:ascii="Times New Roman" w:hAnsi="Times New Roman" w:eastAsia="仿宋_GB2312" w:cs="仿宋_GB2312"/>
          <w:color w:val="auto"/>
          <w:kern w:val="2"/>
          <w:sz w:val="32"/>
          <w:szCs w:val="32"/>
          <w:highlight w:val="none"/>
          <w:lang w:val="zh-CN" w:eastAsia="zh-CN" w:bidi="ar-SA"/>
        </w:rPr>
        <w:t>绩效分析</w:t>
      </w:r>
      <w:r>
        <w:rPr>
          <w:rFonts w:hint="eastAsia" w:ascii="Times New Roman" w:hAnsi="Times New Roman" w:eastAsia="仿宋_GB2312" w:cs="仿宋_GB2312"/>
          <w:color w:val="auto"/>
          <w:kern w:val="2"/>
          <w:sz w:val="32"/>
          <w:szCs w:val="32"/>
          <w:highlight w:val="none"/>
          <w:lang w:val="zh-CN" w:eastAsia="zh-CN" w:bidi="ar-SA"/>
        </w:rPr>
        <w:t>并评分</w:t>
      </w:r>
      <w:r>
        <w:rPr>
          <w:rFonts w:hint="default" w:ascii="Times New Roman" w:hAnsi="Times New Roman" w:eastAsia="仿宋_GB2312" w:cs="仿宋_GB2312"/>
          <w:color w:val="auto"/>
          <w:kern w:val="2"/>
          <w:sz w:val="32"/>
          <w:szCs w:val="32"/>
          <w:highlight w:val="none"/>
          <w:lang w:val="zh-CN" w:eastAsia="zh-CN" w:bidi="ar-SA"/>
        </w:rPr>
        <w:t>，依次包括项目</w:t>
      </w:r>
      <w:r>
        <w:rPr>
          <w:rFonts w:hint="default" w:ascii="Times New Roman" w:hAnsi="Times New Roman" w:eastAsia="仿宋_GB2312" w:cs="仿宋_GB2312"/>
          <w:color w:val="auto"/>
          <w:kern w:val="2"/>
          <w:sz w:val="32"/>
          <w:szCs w:val="32"/>
          <w:highlight w:val="none"/>
          <w:lang w:val="en-US" w:eastAsia="zh-CN" w:bidi="ar-SA"/>
        </w:rPr>
        <w:t>决策、项目执行、目标实现等情况</w:t>
      </w:r>
      <w:r>
        <w:rPr>
          <w:rFonts w:hint="eastAsia" w:ascii="Times New Roman" w:hAnsi="Times New Roman" w:eastAsia="仿宋_GB2312" w:cs="仿宋_GB2312"/>
          <w:color w:val="auto"/>
          <w:kern w:val="2"/>
          <w:sz w:val="32"/>
          <w:szCs w:val="32"/>
          <w:highlight w:val="none"/>
          <w:lang w:val="en-US" w:eastAsia="zh-CN" w:bidi="ar-SA"/>
        </w:rPr>
        <w:t>。</w:t>
      </w:r>
    </w:p>
    <w:p w14:paraId="12060A20">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outlineLvl w:val="9"/>
        <w:rPr>
          <w:rFonts w:hint="default" w:ascii="Times New Roman" w:hAnsi="Times New Roman" w:eastAsia="仿宋_GB2312" w:cs="仿宋_GB2312"/>
          <w:color w:val="auto"/>
          <w:kern w:val="2"/>
          <w:sz w:val="32"/>
          <w:szCs w:val="32"/>
          <w:highlight w:val="none"/>
          <w:lang w:val="zh-CN" w:eastAsia="zh-CN" w:bidi="ar-SA"/>
        </w:rPr>
      </w:pPr>
      <w:r>
        <w:rPr>
          <w:rFonts w:hint="default" w:ascii="Times New Roman" w:hAnsi="Times New Roman" w:eastAsia="仿宋_GB2312" w:cs="仿宋_GB2312"/>
          <w:color w:val="auto"/>
          <w:kern w:val="2"/>
          <w:sz w:val="32"/>
          <w:szCs w:val="32"/>
          <w:highlight w:val="none"/>
          <w:lang w:val="en-US" w:eastAsia="zh-CN" w:bidi="ar-SA"/>
        </w:rPr>
        <w:t>常年项目绩效分析。</w:t>
      </w:r>
      <w:r>
        <w:rPr>
          <w:rFonts w:hint="default" w:ascii="Times New Roman" w:hAnsi="Times New Roman" w:eastAsia="仿宋_GB2312" w:cs="仿宋_GB2312"/>
          <w:color w:val="auto"/>
          <w:kern w:val="2"/>
          <w:sz w:val="32"/>
          <w:szCs w:val="32"/>
          <w:highlight w:val="none"/>
          <w:lang w:val="zh-CN" w:eastAsia="zh-CN" w:bidi="ar-SA"/>
        </w:rPr>
        <w:t>该类项目总数</w:t>
      </w:r>
      <w:r>
        <w:rPr>
          <w:rFonts w:hint="eastAsia" w:eastAsia="仿宋_GB2312" w:cs="仿宋_GB2312"/>
          <w:color w:val="auto"/>
          <w:kern w:val="2"/>
          <w:sz w:val="32"/>
          <w:szCs w:val="32"/>
          <w:highlight w:val="none"/>
          <w:lang w:val="en-US" w:eastAsia="zh-CN" w:bidi="ar-SA"/>
        </w:rPr>
        <w:t>34</w:t>
      </w:r>
      <w:r>
        <w:rPr>
          <w:rFonts w:hint="default" w:ascii="Times New Roman" w:hAnsi="Times New Roman" w:eastAsia="仿宋_GB2312" w:cs="仿宋_GB2312"/>
          <w:color w:val="auto"/>
          <w:kern w:val="2"/>
          <w:sz w:val="32"/>
          <w:szCs w:val="32"/>
          <w:highlight w:val="none"/>
          <w:lang w:val="zh-CN" w:eastAsia="zh-CN" w:bidi="ar-SA"/>
        </w:rPr>
        <w:t>个，涉及预算总金额</w:t>
      </w:r>
      <w:r>
        <w:rPr>
          <w:rFonts w:hint="eastAsia" w:eastAsia="仿宋_GB2312" w:cs="仿宋_GB2312"/>
          <w:color w:val="auto"/>
          <w:kern w:val="2"/>
          <w:sz w:val="32"/>
          <w:szCs w:val="32"/>
          <w:highlight w:val="none"/>
          <w:lang w:val="en-US" w:eastAsia="zh-CN" w:bidi="ar-SA"/>
        </w:rPr>
        <w:t>866.58</w:t>
      </w:r>
      <w:r>
        <w:rPr>
          <w:rFonts w:hint="default" w:ascii="Times New Roman" w:hAnsi="Times New Roman" w:eastAsia="仿宋_GB2312" w:cs="仿宋_GB2312"/>
          <w:color w:val="auto"/>
          <w:kern w:val="2"/>
          <w:sz w:val="32"/>
          <w:szCs w:val="32"/>
          <w:highlight w:val="none"/>
          <w:lang w:val="zh-CN" w:eastAsia="zh-CN" w:bidi="ar-SA"/>
        </w:rPr>
        <w:t>万元，1</w:t>
      </w:r>
      <w:r>
        <w:rPr>
          <w:rFonts w:hint="eastAsia" w:ascii="Times New Roman" w:hAnsi="Times New Roman" w:eastAsia="仿宋_GB2312" w:cs="仿宋_GB2312"/>
          <w:color w:val="auto"/>
          <w:kern w:val="2"/>
          <w:sz w:val="32"/>
          <w:szCs w:val="32"/>
          <w:highlight w:val="none"/>
          <w:lang w:val="zh-CN" w:eastAsia="zh-CN" w:bidi="ar-SA"/>
        </w:rPr>
        <w:t>—</w:t>
      </w:r>
      <w:r>
        <w:rPr>
          <w:rFonts w:hint="default" w:ascii="Times New Roman" w:hAnsi="Times New Roman" w:eastAsia="仿宋_GB2312" w:cs="仿宋_GB2312"/>
          <w:color w:val="auto"/>
          <w:kern w:val="2"/>
          <w:sz w:val="32"/>
          <w:szCs w:val="32"/>
          <w:highlight w:val="none"/>
          <w:lang w:val="zh-CN" w:eastAsia="zh-CN" w:bidi="ar-SA"/>
        </w:rPr>
        <w:t>1</w:t>
      </w:r>
      <w:r>
        <w:rPr>
          <w:rFonts w:hint="default" w:ascii="Times New Roman" w:hAnsi="Times New Roman" w:eastAsia="仿宋_GB2312" w:cs="仿宋_GB2312"/>
          <w:color w:val="auto"/>
          <w:kern w:val="2"/>
          <w:sz w:val="32"/>
          <w:szCs w:val="32"/>
          <w:highlight w:val="none"/>
          <w:lang w:val="en-US" w:eastAsia="zh-CN" w:bidi="ar-SA"/>
        </w:rPr>
        <w:t>2</w:t>
      </w:r>
      <w:r>
        <w:rPr>
          <w:rFonts w:hint="default" w:ascii="Times New Roman" w:hAnsi="Times New Roman" w:eastAsia="仿宋_GB2312" w:cs="仿宋_GB2312"/>
          <w:color w:val="auto"/>
          <w:kern w:val="2"/>
          <w:sz w:val="32"/>
          <w:szCs w:val="32"/>
          <w:highlight w:val="none"/>
          <w:lang w:val="zh-CN" w:eastAsia="zh-CN" w:bidi="ar-SA"/>
        </w:rPr>
        <w:t>月预算执行总体进度为</w:t>
      </w:r>
      <w:r>
        <w:rPr>
          <w:rFonts w:hint="eastAsia" w:eastAsia="仿宋_GB2312" w:cs="仿宋_GB2312"/>
          <w:color w:val="auto"/>
          <w:kern w:val="2"/>
          <w:sz w:val="32"/>
          <w:szCs w:val="32"/>
          <w:highlight w:val="none"/>
          <w:lang w:val="en-US" w:eastAsia="zh-CN" w:bidi="ar-SA"/>
        </w:rPr>
        <w:t>100</w:t>
      </w:r>
      <w:r>
        <w:rPr>
          <w:rFonts w:hint="default" w:ascii="Times New Roman" w:hAnsi="Times New Roman" w:eastAsia="仿宋_GB2312" w:cs="仿宋_GB2312"/>
          <w:color w:val="auto"/>
          <w:kern w:val="2"/>
          <w:sz w:val="32"/>
          <w:szCs w:val="32"/>
          <w:highlight w:val="none"/>
          <w:lang w:val="zh-CN" w:eastAsia="zh-CN" w:bidi="ar-SA"/>
        </w:rPr>
        <w:t>%，其中：预算结余率大于</w:t>
      </w:r>
      <w:r>
        <w:rPr>
          <w:rFonts w:hint="default" w:ascii="Times New Roman" w:hAnsi="Times New Roman" w:eastAsia="仿宋_GB2312" w:cs="仿宋_GB2312"/>
          <w:color w:val="auto"/>
          <w:kern w:val="2"/>
          <w:sz w:val="32"/>
          <w:szCs w:val="32"/>
          <w:highlight w:val="none"/>
          <w:lang w:val="en-US" w:eastAsia="zh-CN" w:bidi="ar-SA"/>
        </w:rPr>
        <w:t>10%</w:t>
      </w:r>
      <w:r>
        <w:rPr>
          <w:rFonts w:hint="default" w:ascii="Times New Roman" w:hAnsi="Times New Roman" w:eastAsia="仿宋_GB2312" w:cs="仿宋_GB2312"/>
          <w:color w:val="auto"/>
          <w:kern w:val="2"/>
          <w:sz w:val="32"/>
          <w:szCs w:val="32"/>
          <w:highlight w:val="none"/>
          <w:lang w:val="zh-CN" w:eastAsia="zh-CN" w:bidi="ar-SA"/>
        </w:rPr>
        <w:t>的项目共计</w:t>
      </w:r>
      <w:r>
        <w:rPr>
          <w:rFonts w:hint="eastAsia" w:eastAsia="仿宋_GB2312" w:cs="仿宋_GB2312"/>
          <w:color w:val="auto"/>
          <w:kern w:val="2"/>
          <w:sz w:val="32"/>
          <w:szCs w:val="32"/>
          <w:highlight w:val="none"/>
          <w:lang w:val="en-US" w:eastAsia="zh-CN" w:bidi="ar-SA"/>
        </w:rPr>
        <w:t>0</w:t>
      </w:r>
      <w:r>
        <w:rPr>
          <w:rFonts w:hint="default" w:ascii="Times New Roman" w:hAnsi="Times New Roman" w:eastAsia="仿宋_GB2312" w:cs="仿宋_GB2312"/>
          <w:color w:val="auto"/>
          <w:kern w:val="2"/>
          <w:sz w:val="32"/>
          <w:szCs w:val="32"/>
          <w:highlight w:val="none"/>
          <w:lang w:val="zh-CN" w:eastAsia="zh-CN" w:bidi="ar-SA"/>
        </w:rPr>
        <w:t>个。</w:t>
      </w:r>
    </w:p>
    <w:p w14:paraId="41CC928B">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outlineLvl w:val="9"/>
        <w:rPr>
          <w:rFonts w:hint="default" w:ascii="Times New Roman" w:hAnsi="Times New Roman" w:eastAsia="仿宋_GB2312" w:cs="仿宋_GB2312"/>
          <w:color w:val="auto"/>
          <w:kern w:val="2"/>
          <w:sz w:val="32"/>
          <w:szCs w:val="32"/>
          <w:highlight w:val="none"/>
          <w:lang w:val="zh-CN" w:eastAsia="zh-CN" w:bidi="ar-SA"/>
        </w:rPr>
      </w:pPr>
      <w:r>
        <w:rPr>
          <w:rFonts w:hint="default" w:ascii="Times New Roman" w:hAnsi="Times New Roman" w:eastAsia="仿宋_GB2312" w:cs="仿宋_GB2312"/>
          <w:color w:val="auto"/>
          <w:kern w:val="2"/>
          <w:sz w:val="32"/>
          <w:szCs w:val="32"/>
          <w:highlight w:val="none"/>
          <w:lang w:val="en-US" w:eastAsia="zh-CN" w:bidi="ar-SA"/>
        </w:rPr>
        <w:t>阶段</w:t>
      </w:r>
      <w:r>
        <w:rPr>
          <w:rFonts w:hint="eastAsia" w:ascii="Times New Roman" w:hAnsi="Times New Roman" w:eastAsia="仿宋_GB2312" w:cs="仿宋_GB2312"/>
          <w:color w:val="auto"/>
          <w:kern w:val="2"/>
          <w:sz w:val="32"/>
          <w:szCs w:val="32"/>
          <w:highlight w:val="none"/>
          <w:lang w:val="en-US" w:eastAsia="zh-CN" w:bidi="ar-SA"/>
        </w:rPr>
        <w:t>（</w:t>
      </w:r>
      <w:r>
        <w:rPr>
          <w:rFonts w:hint="default" w:ascii="Times New Roman" w:hAnsi="Times New Roman" w:eastAsia="仿宋_GB2312" w:cs="仿宋_GB2312"/>
          <w:color w:val="auto"/>
          <w:kern w:val="2"/>
          <w:sz w:val="32"/>
          <w:szCs w:val="32"/>
          <w:highlight w:val="none"/>
          <w:lang w:val="en-US" w:eastAsia="zh-CN" w:bidi="ar-SA"/>
        </w:rPr>
        <w:t>一次性</w:t>
      </w:r>
      <w:r>
        <w:rPr>
          <w:rFonts w:hint="eastAsia" w:ascii="Times New Roman" w:hAnsi="Times New Roman" w:eastAsia="仿宋_GB2312" w:cs="仿宋_GB2312"/>
          <w:color w:val="auto"/>
          <w:kern w:val="2"/>
          <w:sz w:val="32"/>
          <w:szCs w:val="32"/>
          <w:highlight w:val="none"/>
          <w:lang w:val="en-US" w:eastAsia="zh-CN" w:bidi="ar-SA"/>
        </w:rPr>
        <w:t>）</w:t>
      </w:r>
      <w:r>
        <w:rPr>
          <w:rFonts w:hint="default" w:ascii="Times New Roman" w:hAnsi="Times New Roman" w:eastAsia="仿宋_GB2312" w:cs="仿宋_GB2312"/>
          <w:color w:val="auto"/>
          <w:kern w:val="2"/>
          <w:sz w:val="32"/>
          <w:szCs w:val="32"/>
          <w:highlight w:val="none"/>
          <w:lang w:val="en-US" w:eastAsia="zh-CN" w:bidi="ar-SA"/>
        </w:rPr>
        <w:t>项目绩效分析。</w:t>
      </w:r>
      <w:r>
        <w:rPr>
          <w:rFonts w:hint="default" w:ascii="Times New Roman" w:hAnsi="Times New Roman" w:eastAsia="仿宋_GB2312" w:cs="仿宋_GB2312"/>
          <w:color w:val="auto"/>
          <w:kern w:val="2"/>
          <w:sz w:val="32"/>
          <w:szCs w:val="32"/>
          <w:highlight w:val="none"/>
          <w:lang w:val="zh-CN" w:eastAsia="zh-CN" w:bidi="ar-SA"/>
        </w:rPr>
        <w:t>该类项目总数</w:t>
      </w:r>
      <w:r>
        <w:rPr>
          <w:rFonts w:hint="eastAsia" w:eastAsia="仿宋_GB2312" w:cs="仿宋_GB2312"/>
          <w:color w:val="auto"/>
          <w:kern w:val="2"/>
          <w:sz w:val="32"/>
          <w:szCs w:val="32"/>
          <w:highlight w:val="none"/>
          <w:lang w:val="en-US" w:eastAsia="zh-CN" w:bidi="ar-SA"/>
        </w:rPr>
        <w:t>0</w:t>
      </w:r>
      <w:r>
        <w:rPr>
          <w:rFonts w:hint="default" w:ascii="Times New Roman" w:hAnsi="Times New Roman" w:eastAsia="仿宋_GB2312" w:cs="仿宋_GB2312"/>
          <w:color w:val="auto"/>
          <w:kern w:val="2"/>
          <w:sz w:val="32"/>
          <w:szCs w:val="32"/>
          <w:highlight w:val="none"/>
          <w:lang w:val="zh-CN" w:eastAsia="zh-CN" w:bidi="ar-SA"/>
        </w:rPr>
        <w:t>个，涉及预算总金额</w:t>
      </w:r>
      <w:r>
        <w:rPr>
          <w:rFonts w:hint="eastAsia" w:eastAsia="仿宋_GB2312" w:cs="仿宋_GB2312"/>
          <w:color w:val="auto"/>
          <w:kern w:val="2"/>
          <w:sz w:val="32"/>
          <w:szCs w:val="32"/>
          <w:highlight w:val="none"/>
          <w:lang w:val="en-US" w:eastAsia="zh-CN" w:bidi="ar-SA"/>
        </w:rPr>
        <w:t>0</w:t>
      </w:r>
      <w:r>
        <w:rPr>
          <w:rFonts w:hint="default" w:ascii="Times New Roman" w:hAnsi="Times New Roman" w:eastAsia="仿宋_GB2312" w:cs="仿宋_GB2312"/>
          <w:color w:val="auto"/>
          <w:kern w:val="2"/>
          <w:sz w:val="32"/>
          <w:szCs w:val="32"/>
          <w:highlight w:val="none"/>
          <w:lang w:val="zh-CN" w:eastAsia="zh-CN" w:bidi="ar-SA"/>
        </w:rPr>
        <w:t>万元，1</w:t>
      </w:r>
      <w:r>
        <w:rPr>
          <w:rFonts w:hint="eastAsia" w:ascii="Times New Roman" w:hAnsi="Times New Roman" w:eastAsia="仿宋_GB2312" w:cs="仿宋_GB2312"/>
          <w:color w:val="auto"/>
          <w:kern w:val="2"/>
          <w:sz w:val="32"/>
          <w:szCs w:val="32"/>
          <w:highlight w:val="none"/>
          <w:lang w:val="zh-CN" w:eastAsia="zh-CN" w:bidi="ar-SA"/>
        </w:rPr>
        <w:t>—</w:t>
      </w:r>
      <w:r>
        <w:rPr>
          <w:rFonts w:hint="default" w:ascii="Times New Roman" w:hAnsi="Times New Roman" w:eastAsia="仿宋_GB2312" w:cs="仿宋_GB2312"/>
          <w:color w:val="auto"/>
          <w:kern w:val="2"/>
          <w:sz w:val="32"/>
          <w:szCs w:val="32"/>
          <w:highlight w:val="none"/>
          <w:lang w:val="zh-CN" w:eastAsia="zh-CN" w:bidi="ar-SA"/>
        </w:rPr>
        <w:t>1</w:t>
      </w:r>
      <w:r>
        <w:rPr>
          <w:rFonts w:hint="default" w:ascii="Times New Roman" w:hAnsi="Times New Roman" w:eastAsia="仿宋_GB2312" w:cs="仿宋_GB2312"/>
          <w:color w:val="auto"/>
          <w:kern w:val="2"/>
          <w:sz w:val="32"/>
          <w:szCs w:val="32"/>
          <w:highlight w:val="none"/>
          <w:lang w:val="en-US" w:eastAsia="zh-CN" w:bidi="ar-SA"/>
        </w:rPr>
        <w:t>2</w:t>
      </w:r>
      <w:r>
        <w:rPr>
          <w:rFonts w:hint="default" w:ascii="Times New Roman" w:hAnsi="Times New Roman" w:eastAsia="仿宋_GB2312" w:cs="仿宋_GB2312"/>
          <w:color w:val="auto"/>
          <w:kern w:val="2"/>
          <w:sz w:val="32"/>
          <w:szCs w:val="32"/>
          <w:highlight w:val="none"/>
          <w:lang w:val="zh-CN" w:eastAsia="zh-CN" w:bidi="ar-SA"/>
        </w:rPr>
        <w:t>月预算执行总体进度为</w:t>
      </w:r>
      <w:r>
        <w:rPr>
          <w:rFonts w:hint="eastAsia" w:eastAsia="仿宋_GB2312" w:cs="仿宋_GB2312"/>
          <w:color w:val="auto"/>
          <w:kern w:val="2"/>
          <w:sz w:val="32"/>
          <w:szCs w:val="32"/>
          <w:highlight w:val="none"/>
          <w:lang w:val="en-US" w:eastAsia="zh-CN" w:bidi="ar-SA"/>
        </w:rPr>
        <w:t>0</w:t>
      </w:r>
      <w:r>
        <w:rPr>
          <w:rFonts w:hint="default" w:ascii="Times New Roman" w:hAnsi="Times New Roman" w:eastAsia="仿宋_GB2312" w:cs="仿宋_GB2312"/>
          <w:color w:val="auto"/>
          <w:kern w:val="2"/>
          <w:sz w:val="32"/>
          <w:szCs w:val="32"/>
          <w:highlight w:val="none"/>
          <w:lang w:val="zh-CN" w:eastAsia="zh-CN" w:bidi="ar-SA"/>
        </w:rPr>
        <w:t>%，其中：预算结余率大于</w:t>
      </w:r>
      <w:r>
        <w:rPr>
          <w:rFonts w:hint="default" w:ascii="Times New Roman" w:hAnsi="Times New Roman" w:eastAsia="仿宋_GB2312" w:cs="仿宋_GB2312"/>
          <w:color w:val="auto"/>
          <w:kern w:val="2"/>
          <w:sz w:val="32"/>
          <w:szCs w:val="32"/>
          <w:highlight w:val="none"/>
          <w:lang w:val="en-US" w:eastAsia="zh-CN" w:bidi="ar-SA"/>
        </w:rPr>
        <w:t>10%</w:t>
      </w:r>
      <w:r>
        <w:rPr>
          <w:rFonts w:hint="default" w:ascii="Times New Roman" w:hAnsi="Times New Roman" w:eastAsia="仿宋_GB2312" w:cs="仿宋_GB2312"/>
          <w:color w:val="auto"/>
          <w:kern w:val="2"/>
          <w:sz w:val="32"/>
          <w:szCs w:val="32"/>
          <w:highlight w:val="none"/>
          <w:lang w:val="zh-CN" w:eastAsia="zh-CN" w:bidi="ar-SA"/>
        </w:rPr>
        <w:t>的项目共计</w:t>
      </w:r>
      <w:r>
        <w:rPr>
          <w:rFonts w:hint="eastAsia" w:eastAsia="仿宋_GB2312" w:cs="仿宋_GB2312"/>
          <w:color w:val="auto"/>
          <w:kern w:val="2"/>
          <w:sz w:val="32"/>
          <w:szCs w:val="32"/>
          <w:highlight w:val="none"/>
          <w:lang w:val="en-US" w:eastAsia="zh-CN" w:bidi="ar-SA"/>
        </w:rPr>
        <w:t>0</w:t>
      </w:r>
      <w:r>
        <w:rPr>
          <w:rFonts w:hint="default" w:ascii="Times New Roman" w:hAnsi="Times New Roman" w:eastAsia="仿宋_GB2312" w:cs="仿宋_GB2312"/>
          <w:color w:val="auto"/>
          <w:kern w:val="2"/>
          <w:sz w:val="32"/>
          <w:szCs w:val="32"/>
          <w:highlight w:val="none"/>
          <w:lang w:val="zh-CN" w:eastAsia="zh-CN" w:bidi="ar-SA"/>
        </w:rPr>
        <w:t>个。</w:t>
      </w:r>
    </w:p>
    <w:p w14:paraId="583C2BDC">
      <w:pPr>
        <w:keepNext w:val="0"/>
        <w:keepLines w:val="0"/>
        <w:widowControl/>
        <w:suppressLineNumbers w:val="0"/>
        <w:ind w:firstLine="640" w:firstLineChars="200"/>
        <w:jc w:val="left"/>
      </w:pPr>
      <w:r>
        <w:rPr>
          <w:rFonts w:hint="eastAsia" w:ascii="Times New Roman" w:hAnsi="Times New Roman" w:eastAsia="仿宋_GB2312" w:cs="仿宋_GB2312"/>
          <w:color w:val="auto"/>
          <w:kern w:val="2"/>
          <w:sz w:val="32"/>
          <w:szCs w:val="32"/>
          <w:highlight w:val="none"/>
          <w:lang w:val="en-US" w:eastAsia="zh-CN" w:bidi="ar-SA"/>
        </w:rPr>
        <w:t>1.</w:t>
      </w:r>
      <w:r>
        <w:rPr>
          <w:rFonts w:hint="eastAsia" w:ascii="Times New Roman" w:hAnsi="Times New Roman" w:eastAsia="仿宋_GB2312" w:cs="仿宋_GB2312"/>
          <w:color w:val="auto"/>
          <w:kern w:val="2"/>
          <w:sz w:val="32"/>
          <w:szCs w:val="32"/>
          <w:highlight w:val="none"/>
          <w:lang w:val="zh-CN" w:eastAsia="zh-CN" w:bidi="ar-SA"/>
        </w:rPr>
        <w:t>项目决策。</w:t>
      </w:r>
      <w:r>
        <w:rPr>
          <w:rFonts w:ascii="仿宋" w:hAnsi="仿宋" w:eastAsia="仿宋" w:cs="仿宋"/>
          <w:color w:val="000000"/>
          <w:kern w:val="0"/>
          <w:sz w:val="31"/>
          <w:szCs w:val="31"/>
          <w:lang w:val="en-US" w:eastAsia="zh-CN" w:bidi="ar"/>
        </w:rPr>
        <w:t>各股室根据</w:t>
      </w:r>
      <w:r>
        <w:rPr>
          <w:rFonts w:hint="default" w:ascii="Times New Roman" w:hAnsi="Times New Roman" w:eastAsia="宋体" w:cs="Times New Roman"/>
          <w:color w:val="000000"/>
          <w:kern w:val="0"/>
          <w:sz w:val="31"/>
          <w:szCs w:val="31"/>
          <w:lang w:val="en-US" w:eastAsia="zh-CN" w:bidi="ar"/>
        </w:rPr>
        <w:t>2024</w:t>
      </w:r>
      <w:r>
        <w:rPr>
          <w:rFonts w:hint="eastAsia" w:ascii="仿宋" w:hAnsi="仿宋" w:eastAsia="仿宋" w:cs="仿宋"/>
          <w:color w:val="000000"/>
          <w:kern w:val="0"/>
          <w:sz w:val="31"/>
          <w:szCs w:val="31"/>
          <w:lang w:val="en-US" w:eastAsia="zh-CN" w:bidi="ar"/>
        </w:rPr>
        <w:t>年工作目标任务，确定实</w:t>
      </w:r>
    </w:p>
    <w:p w14:paraId="2A4E0A87">
      <w:pPr>
        <w:keepNext w:val="0"/>
        <w:keepLines w:val="0"/>
        <w:widowControl/>
        <w:suppressLineNumbers w:val="0"/>
        <w:jc w:val="left"/>
      </w:pPr>
      <w:r>
        <w:rPr>
          <w:rFonts w:hint="eastAsia" w:ascii="仿宋" w:hAnsi="仿宋" w:eastAsia="仿宋" w:cs="仿宋"/>
          <w:color w:val="000000"/>
          <w:kern w:val="0"/>
          <w:sz w:val="31"/>
          <w:szCs w:val="31"/>
          <w:lang w:val="en-US" w:eastAsia="zh-CN" w:bidi="ar"/>
        </w:rPr>
        <w:t>施项目内容及资金，并通过党组会研究决定上报财政。</w:t>
      </w:r>
    </w:p>
    <w:p w14:paraId="61CACF6A">
      <w:pPr>
        <w:keepNext w:val="0"/>
        <w:keepLines w:val="0"/>
        <w:widowControl/>
        <w:suppressLineNumbers w:val="0"/>
        <w:ind w:firstLine="640" w:firstLineChars="200"/>
        <w:jc w:val="left"/>
      </w:pPr>
      <w:r>
        <w:rPr>
          <w:rFonts w:hint="eastAsia" w:ascii="Times New Roman" w:hAnsi="Times New Roman" w:eastAsia="仿宋_GB2312" w:cs="仿宋_GB2312"/>
          <w:color w:val="auto"/>
          <w:kern w:val="2"/>
          <w:sz w:val="32"/>
          <w:szCs w:val="32"/>
          <w:highlight w:val="none"/>
          <w:lang w:val="en-US" w:eastAsia="zh-CN" w:bidi="ar-SA"/>
        </w:rPr>
        <w:t>2.项目执行</w:t>
      </w:r>
      <w:r>
        <w:rPr>
          <w:rFonts w:hint="eastAsia" w:ascii="Times New Roman" w:hAnsi="Times New Roman" w:eastAsia="仿宋_GB2312" w:cs="仿宋_GB2312"/>
          <w:color w:val="auto"/>
          <w:kern w:val="2"/>
          <w:sz w:val="32"/>
          <w:szCs w:val="32"/>
          <w:highlight w:val="none"/>
          <w:lang w:val="zh-CN" w:eastAsia="zh-CN" w:bidi="ar-SA"/>
        </w:rPr>
        <w:t>。</w:t>
      </w:r>
      <w:r>
        <w:rPr>
          <w:rFonts w:ascii="仿宋" w:hAnsi="仿宋" w:eastAsia="仿宋" w:cs="仿宋"/>
          <w:color w:val="000000"/>
          <w:kern w:val="0"/>
          <w:sz w:val="31"/>
          <w:szCs w:val="31"/>
          <w:lang w:val="en-US" w:eastAsia="zh-CN" w:bidi="ar"/>
        </w:rPr>
        <w:t>按照市财政批复项目的绩效指标，严格落</w:t>
      </w:r>
    </w:p>
    <w:p w14:paraId="036CC5C7">
      <w:pPr>
        <w:keepNext w:val="0"/>
        <w:keepLines w:val="0"/>
        <w:widowControl/>
        <w:suppressLineNumbers w:val="0"/>
        <w:jc w:val="left"/>
      </w:pPr>
      <w:r>
        <w:rPr>
          <w:rFonts w:hint="eastAsia" w:ascii="仿宋" w:hAnsi="仿宋" w:eastAsia="仿宋" w:cs="仿宋"/>
          <w:color w:val="000000"/>
          <w:kern w:val="0"/>
          <w:sz w:val="31"/>
          <w:szCs w:val="31"/>
          <w:lang w:val="en-US" w:eastAsia="zh-CN" w:bidi="ar"/>
        </w:rPr>
        <w:t>实各项工作任务。专款专用，完成残疾人工作顺利进行，</w:t>
      </w:r>
      <w:r>
        <w:rPr>
          <w:rFonts w:hint="default" w:ascii="仿宋_GB2312" w:hAnsi="仿宋" w:eastAsia="仿宋_GB2312" w:cs="Times New Roman"/>
          <w:kern w:val="2"/>
          <w:sz w:val="32"/>
          <w:szCs w:val="32"/>
          <w:highlight w:val="none"/>
          <w:lang w:val="en-US" w:eastAsia="zh-CN" w:bidi="ar-SA"/>
        </w:rPr>
        <w:t xml:space="preserve">为全市1.7万余名持证残疾人全覆盖购买意外伤害保险。 </w:t>
      </w:r>
      <w:r>
        <w:rPr>
          <w:rFonts w:hint="eastAsia" w:ascii="仿宋_GB2312" w:hAnsi="仿宋" w:eastAsia="仿宋_GB2312" w:cs="Times New Roman"/>
          <w:kern w:val="2"/>
          <w:sz w:val="32"/>
          <w:szCs w:val="32"/>
          <w:highlight w:val="none"/>
          <w:lang w:val="en-US" w:eastAsia="zh-CN" w:bidi="ar-SA"/>
        </w:rPr>
        <w:t xml:space="preserve">               </w:t>
      </w:r>
      <w:r>
        <w:rPr>
          <w:rFonts w:hint="eastAsia" w:ascii="Times New Roman" w:hAnsi="Times New Roman" w:eastAsia="方正仿宋简体" w:cs="Times New Roman"/>
          <w:sz w:val="32"/>
          <w:szCs w:val="32"/>
          <w:lang w:val="en-US" w:eastAsia="zh-CN"/>
        </w:rPr>
        <w:t xml:space="preserve">             </w:t>
      </w:r>
    </w:p>
    <w:p w14:paraId="188ADE4F">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outlineLvl w:val="9"/>
        <w:rPr>
          <w:rFonts w:hint="eastAsia" w:ascii="Times New Roman" w:hAnsi="Times New Roman" w:eastAsia="仿宋_GB2312" w:cs="仿宋_GB2312"/>
          <w:color w:val="auto"/>
          <w:kern w:val="2"/>
          <w:sz w:val="32"/>
          <w:szCs w:val="32"/>
          <w:highlight w:val="none"/>
          <w:lang w:val="zh-CN" w:eastAsia="zh-CN" w:bidi="ar-SA"/>
        </w:rPr>
      </w:pPr>
      <w:r>
        <w:rPr>
          <w:rFonts w:hint="eastAsia" w:ascii="Times New Roman" w:hAnsi="Times New Roman" w:eastAsia="仿宋_GB2312" w:cs="仿宋_GB2312"/>
          <w:color w:val="auto"/>
          <w:kern w:val="2"/>
          <w:sz w:val="32"/>
          <w:szCs w:val="32"/>
          <w:highlight w:val="none"/>
          <w:lang w:val="en-US" w:eastAsia="zh-CN" w:bidi="ar-SA"/>
        </w:rPr>
        <w:t>3.</w:t>
      </w:r>
      <w:r>
        <w:rPr>
          <w:rFonts w:hint="eastAsia" w:ascii="Times New Roman" w:hAnsi="Times New Roman" w:eastAsia="仿宋_GB2312" w:cs="仿宋_GB2312"/>
          <w:color w:val="auto"/>
          <w:kern w:val="2"/>
          <w:sz w:val="32"/>
          <w:szCs w:val="32"/>
          <w:highlight w:val="none"/>
          <w:lang w:val="zh-CN" w:eastAsia="zh-CN" w:bidi="ar-SA"/>
        </w:rPr>
        <w:t>目标实现。</w:t>
      </w:r>
      <w:r>
        <w:rPr>
          <w:rFonts w:hint="default" w:ascii="仿宋_GB2312" w:hAnsi="仿宋" w:eastAsia="仿宋_GB2312" w:cs="Times New Roman"/>
          <w:kern w:val="2"/>
          <w:sz w:val="32"/>
          <w:szCs w:val="32"/>
          <w:highlight w:val="none"/>
          <w:lang w:val="en-US" w:eastAsia="zh-CN" w:bidi="ar-SA"/>
        </w:rPr>
        <w:t>协助发放困难残疾人生活补贴</w:t>
      </w:r>
      <w:r>
        <w:rPr>
          <w:rFonts w:hint="eastAsia" w:ascii="仿宋_GB2312" w:hAnsi="仿宋" w:eastAsia="仿宋_GB2312" w:cs="Times New Roman"/>
          <w:kern w:val="2"/>
          <w:sz w:val="32"/>
          <w:szCs w:val="32"/>
          <w:highlight w:val="none"/>
          <w:lang w:val="en-US" w:eastAsia="zh-CN" w:bidi="ar-SA"/>
        </w:rPr>
        <w:t>52949</w:t>
      </w:r>
      <w:r>
        <w:rPr>
          <w:rFonts w:hint="default" w:ascii="仿宋_GB2312" w:hAnsi="仿宋" w:eastAsia="仿宋_GB2312" w:cs="Times New Roman"/>
          <w:kern w:val="2"/>
          <w:sz w:val="32"/>
          <w:szCs w:val="32"/>
          <w:highlight w:val="none"/>
          <w:lang w:val="en-US" w:eastAsia="zh-CN" w:bidi="ar-SA"/>
        </w:rPr>
        <w:t>万人次，重度残疾人落实护理</w:t>
      </w:r>
      <w:r>
        <w:rPr>
          <w:rFonts w:hint="eastAsia" w:ascii="仿宋_GB2312" w:hAnsi="仿宋" w:eastAsia="仿宋_GB2312" w:cs="Times New Roman"/>
          <w:kern w:val="2"/>
          <w:sz w:val="32"/>
          <w:szCs w:val="32"/>
          <w:highlight w:val="none"/>
          <w:lang w:val="en-US" w:eastAsia="zh-CN" w:bidi="ar-SA"/>
        </w:rPr>
        <w:t>95623</w:t>
      </w:r>
      <w:r>
        <w:rPr>
          <w:rFonts w:hint="default" w:ascii="仿宋_GB2312" w:hAnsi="仿宋" w:eastAsia="仿宋_GB2312" w:cs="Times New Roman"/>
          <w:kern w:val="2"/>
          <w:sz w:val="32"/>
          <w:szCs w:val="32"/>
          <w:highlight w:val="none"/>
          <w:lang w:val="en-US" w:eastAsia="zh-CN" w:bidi="ar-SA"/>
        </w:rPr>
        <w:t>万人次。实施“阳光家园计划”，为470名就业年龄段的智力、精神、重度肢体残疾人提供托养服务。为</w:t>
      </w:r>
      <w:r>
        <w:rPr>
          <w:rFonts w:hint="eastAsia" w:ascii="仿宋_GB2312" w:hAnsi="仿宋" w:eastAsia="仿宋_GB2312" w:cs="Times New Roman"/>
          <w:kern w:val="2"/>
          <w:sz w:val="32"/>
          <w:szCs w:val="32"/>
          <w:highlight w:val="none"/>
          <w:lang w:val="en-US" w:eastAsia="zh-CN" w:bidi="ar-SA"/>
        </w:rPr>
        <w:t>6792</w:t>
      </w:r>
      <w:r>
        <w:rPr>
          <w:rFonts w:hint="default" w:ascii="仿宋_GB2312" w:hAnsi="仿宋" w:eastAsia="仿宋_GB2312" w:cs="Times New Roman"/>
          <w:kern w:val="2"/>
          <w:sz w:val="32"/>
          <w:szCs w:val="32"/>
          <w:highlight w:val="none"/>
          <w:lang w:val="en-US" w:eastAsia="zh-CN" w:bidi="ar-SA"/>
        </w:rPr>
        <w:t>人次残疾人发放一户多残和瘫痪在床生活补贴</w:t>
      </w:r>
      <w:r>
        <w:rPr>
          <w:rFonts w:hint="eastAsia" w:ascii="仿宋_GB2312" w:hAnsi="仿宋" w:eastAsia="仿宋_GB2312" w:cs="Times New Roman"/>
          <w:kern w:val="2"/>
          <w:sz w:val="32"/>
          <w:szCs w:val="32"/>
          <w:highlight w:val="none"/>
          <w:lang w:val="en-US" w:eastAsia="zh-CN" w:bidi="ar-SA"/>
        </w:rPr>
        <w:t>54.33</w:t>
      </w:r>
      <w:r>
        <w:rPr>
          <w:rFonts w:hint="default" w:ascii="仿宋_GB2312" w:hAnsi="仿宋" w:eastAsia="仿宋_GB2312" w:cs="Times New Roman"/>
          <w:kern w:val="2"/>
          <w:sz w:val="32"/>
          <w:szCs w:val="32"/>
          <w:highlight w:val="none"/>
          <w:lang w:val="en-US" w:eastAsia="zh-CN" w:bidi="ar-SA"/>
        </w:rPr>
        <w:t>万元。</w:t>
      </w:r>
    </w:p>
    <w:p w14:paraId="2BDBF3EA">
      <w:pPr>
        <w:keepNext w:val="0"/>
        <w:keepLines w:val="0"/>
        <w:widowControl/>
        <w:suppressLineNumbers w:val="0"/>
        <w:ind w:firstLine="643" w:firstLineChars="200"/>
        <w:jc w:val="left"/>
      </w:pPr>
      <w:r>
        <w:rPr>
          <w:rFonts w:hint="default" w:ascii="Times New Roman" w:hAnsi="Times New Roman" w:eastAsia="楷体_GB2312" w:cs="Times New Roman"/>
          <w:b/>
          <w:bCs/>
          <w:color w:val="000000"/>
          <w:kern w:val="0"/>
          <w:sz w:val="32"/>
          <w:szCs w:val="32"/>
          <w:highlight w:val="none"/>
          <w:shd w:val="clear" w:color="auto" w:fill="FFFFFF"/>
          <w:lang w:val="zh-CN" w:eastAsia="zh-CN"/>
        </w:rPr>
        <w:t>（</w:t>
      </w:r>
      <w:r>
        <w:rPr>
          <w:rFonts w:hint="eastAsia" w:eastAsia="楷体_GB2312" w:cs="Times New Roman"/>
          <w:b/>
          <w:bCs/>
          <w:color w:val="000000"/>
          <w:kern w:val="0"/>
          <w:sz w:val="32"/>
          <w:szCs w:val="32"/>
          <w:highlight w:val="none"/>
          <w:shd w:val="clear" w:color="auto" w:fill="FFFFFF"/>
          <w:lang w:val="en-US" w:eastAsia="zh-CN"/>
        </w:rPr>
        <w:t>三</w:t>
      </w:r>
      <w:r>
        <w:rPr>
          <w:rFonts w:hint="default" w:ascii="Times New Roman" w:hAnsi="Times New Roman" w:eastAsia="楷体_GB2312" w:cs="Times New Roman"/>
          <w:b/>
          <w:bCs/>
          <w:color w:val="000000"/>
          <w:kern w:val="0"/>
          <w:sz w:val="32"/>
          <w:szCs w:val="32"/>
          <w:highlight w:val="none"/>
          <w:shd w:val="clear" w:color="auto" w:fill="FFFFFF"/>
          <w:lang w:val="zh-CN" w:eastAsia="zh-CN"/>
        </w:rPr>
        <w:t>）绩效结果应用情况</w:t>
      </w:r>
      <w:r>
        <w:rPr>
          <w:rFonts w:hint="eastAsia" w:ascii="Times New Roman" w:hAnsi="Times New Roman" w:eastAsia="楷体_GB2312" w:cs="Times New Roman"/>
          <w:b/>
          <w:bCs/>
          <w:color w:val="000000"/>
          <w:kern w:val="0"/>
          <w:sz w:val="32"/>
          <w:szCs w:val="32"/>
          <w:highlight w:val="none"/>
          <w:shd w:val="clear" w:color="auto" w:fill="FFFFFF"/>
          <w:lang w:val="zh-CN" w:eastAsia="zh-CN"/>
        </w:rPr>
        <w:t>。</w:t>
      </w:r>
      <w:r>
        <w:rPr>
          <w:rFonts w:ascii="仿宋" w:hAnsi="仿宋" w:eastAsia="仿宋" w:cs="仿宋"/>
          <w:color w:val="000000"/>
          <w:kern w:val="0"/>
          <w:sz w:val="31"/>
          <w:szCs w:val="31"/>
          <w:lang w:val="en-US" w:eastAsia="zh-CN" w:bidi="ar"/>
        </w:rPr>
        <w:t>对以前年度绩效自评结果进</w:t>
      </w:r>
    </w:p>
    <w:p w14:paraId="6721787C">
      <w:pPr>
        <w:keepNext w:val="0"/>
        <w:keepLines w:val="0"/>
        <w:widowControl/>
        <w:suppressLineNumbers w:val="0"/>
        <w:jc w:val="left"/>
      </w:pPr>
      <w:r>
        <w:rPr>
          <w:rFonts w:hint="eastAsia" w:ascii="仿宋" w:hAnsi="仿宋" w:eastAsia="仿宋" w:cs="仿宋"/>
          <w:color w:val="000000"/>
          <w:kern w:val="0"/>
          <w:sz w:val="31"/>
          <w:szCs w:val="31"/>
          <w:lang w:val="en-US" w:eastAsia="zh-CN" w:bidi="ar"/>
        </w:rPr>
        <w:t>行有效应用，进一步健全和完善财务内控制度，对项目资金</w:t>
      </w:r>
    </w:p>
    <w:p w14:paraId="64CFF8FF">
      <w:pPr>
        <w:keepNext w:val="0"/>
        <w:keepLines w:val="0"/>
        <w:widowControl/>
        <w:suppressLineNumbers w:val="0"/>
        <w:jc w:val="left"/>
        <w:rPr>
          <w:rFonts w:hint="default" w:ascii="Times New Roman" w:hAnsi="Times New Roman" w:eastAsia="仿宋_GB2312" w:cs="Times New Roman"/>
          <w:sz w:val="32"/>
          <w:szCs w:val="32"/>
          <w:highlight w:val="none"/>
          <w:u w:val="none"/>
          <w:lang w:bidi="ar"/>
        </w:rPr>
      </w:pPr>
      <w:r>
        <w:rPr>
          <w:rFonts w:hint="eastAsia" w:ascii="仿宋" w:hAnsi="仿宋" w:eastAsia="仿宋" w:cs="仿宋"/>
          <w:color w:val="000000"/>
          <w:kern w:val="0"/>
          <w:sz w:val="31"/>
          <w:szCs w:val="31"/>
          <w:lang w:val="en-US" w:eastAsia="zh-CN" w:bidi="ar"/>
        </w:rPr>
        <w:t>严格按照预算执行，并严格按照合同约定支付款项，保障项</w:t>
      </w:r>
      <w:r>
        <w:rPr>
          <w:rFonts w:ascii="仿宋" w:hAnsi="仿宋" w:eastAsia="仿宋" w:cs="仿宋"/>
          <w:color w:val="000000"/>
          <w:kern w:val="0"/>
          <w:sz w:val="31"/>
          <w:szCs w:val="31"/>
          <w:lang w:val="en-US" w:eastAsia="zh-CN" w:bidi="ar"/>
        </w:rPr>
        <w:t>目资金预算绩效各项指标顺利完成。</w:t>
      </w:r>
    </w:p>
    <w:p w14:paraId="6BC22CEA">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黑体" w:cs="Times New Roman"/>
          <w:color w:val="000000"/>
          <w:kern w:val="0"/>
          <w:sz w:val="32"/>
          <w:szCs w:val="32"/>
          <w:highlight w:val="none"/>
          <w:shd w:val="clear" w:color="auto" w:fill="FFFFFF"/>
          <w:lang w:val="zh-CN"/>
        </w:rPr>
      </w:pPr>
      <w:r>
        <w:rPr>
          <w:rFonts w:hint="default" w:ascii="Times New Roman" w:hAnsi="Times New Roman" w:eastAsia="黑体" w:cs="Times New Roman"/>
          <w:color w:val="000000"/>
          <w:kern w:val="0"/>
          <w:sz w:val="32"/>
          <w:szCs w:val="32"/>
          <w:highlight w:val="none"/>
          <w:shd w:val="clear" w:color="auto" w:fill="FFFFFF"/>
          <w:lang w:val="zh-CN" w:eastAsia="zh-CN"/>
        </w:rPr>
        <w:t>四、</w:t>
      </w:r>
      <w:r>
        <w:rPr>
          <w:rFonts w:hint="default" w:ascii="Times New Roman" w:hAnsi="Times New Roman" w:eastAsia="黑体" w:cs="Times New Roman"/>
          <w:color w:val="000000"/>
          <w:kern w:val="0"/>
          <w:sz w:val="32"/>
          <w:szCs w:val="32"/>
          <w:highlight w:val="none"/>
          <w:shd w:val="clear" w:color="auto" w:fill="FFFFFF"/>
          <w:lang w:val="zh-CN"/>
        </w:rPr>
        <w:t>评价结论及建议</w:t>
      </w:r>
    </w:p>
    <w:p w14:paraId="0E4E50B8">
      <w:pPr>
        <w:keepNext w:val="0"/>
        <w:keepLines w:val="0"/>
        <w:widowControl/>
        <w:suppressLineNumbers w:val="0"/>
        <w:jc w:val="left"/>
      </w:pPr>
      <w:r>
        <w:rPr>
          <w:rFonts w:hint="default" w:ascii="Times New Roman" w:hAnsi="Times New Roman" w:eastAsia="楷体_GB2312" w:cs="Times New Roman"/>
          <w:b/>
          <w:bCs/>
          <w:color w:val="000000"/>
          <w:kern w:val="0"/>
          <w:sz w:val="32"/>
          <w:szCs w:val="32"/>
          <w:highlight w:val="none"/>
          <w:shd w:val="clear" w:color="auto" w:fill="FFFFFF"/>
          <w:lang w:val="zh-CN"/>
        </w:rPr>
        <w:t>（一）评价结论。</w:t>
      </w:r>
      <w:r>
        <w:rPr>
          <w:rFonts w:ascii="仿宋" w:hAnsi="仿宋" w:eastAsia="仿宋" w:cs="仿宋"/>
          <w:color w:val="000000"/>
          <w:kern w:val="0"/>
          <w:sz w:val="31"/>
          <w:szCs w:val="31"/>
          <w:lang w:val="en-US" w:eastAsia="zh-CN" w:bidi="ar"/>
        </w:rPr>
        <w:t>全年基本支出保证了</w:t>
      </w:r>
      <w:r>
        <w:rPr>
          <w:rFonts w:hint="eastAsia" w:ascii="仿宋" w:hAnsi="仿宋" w:eastAsia="仿宋" w:cs="仿宋"/>
          <w:color w:val="000000"/>
          <w:kern w:val="0"/>
          <w:sz w:val="31"/>
          <w:szCs w:val="31"/>
          <w:lang w:val="en-US" w:eastAsia="zh-CN" w:bidi="ar"/>
        </w:rPr>
        <w:t>单位</w:t>
      </w:r>
      <w:r>
        <w:rPr>
          <w:rFonts w:ascii="仿宋" w:hAnsi="仿宋" w:eastAsia="仿宋" w:cs="仿宋"/>
          <w:color w:val="000000"/>
          <w:kern w:val="0"/>
          <w:sz w:val="31"/>
          <w:szCs w:val="31"/>
          <w:lang w:val="en-US" w:eastAsia="zh-CN" w:bidi="ar"/>
        </w:rPr>
        <w:t>的正常运行</w:t>
      </w:r>
    </w:p>
    <w:p w14:paraId="323934D8">
      <w:pPr>
        <w:keepNext w:val="0"/>
        <w:keepLines w:val="0"/>
        <w:widowControl/>
        <w:suppressLineNumbers w:val="0"/>
        <w:jc w:val="left"/>
      </w:pPr>
      <w:r>
        <w:rPr>
          <w:rFonts w:hint="eastAsia" w:ascii="仿宋" w:hAnsi="仿宋" w:eastAsia="仿宋" w:cs="仿宋"/>
          <w:color w:val="000000"/>
          <w:kern w:val="0"/>
          <w:sz w:val="31"/>
          <w:szCs w:val="31"/>
          <w:lang w:val="en-US" w:eastAsia="zh-CN" w:bidi="ar"/>
        </w:rPr>
        <w:t>和日常工作任务的顺利完成。全年项目支出达到预期绩效目</w:t>
      </w:r>
    </w:p>
    <w:p w14:paraId="69194082">
      <w:pPr>
        <w:keepNext w:val="0"/>
        <w:keepLines w:val="0"/>
        <w:widowControl/>
        <w:suppressLineNumbers w:val="0"/>
        <w:jc w:val="left"/>
        <w:rPr>
          <w:rFonts w:hint="default" w:ascii="Times New Roman" w:hAnsi="Times New Roman" w:eastAsia="楷体_GB2312" w:cs="Times New Roman"/>
          <w:b/>
          <w:bCs/>
          <w:color w:val="000000"/>
          <w:kern w:val="0"/>
          <w:sz w:val="32"/>
          <w:szCs w:val="32"/>
          <w:highlight w:val="none"/>
          <w:shd w:val="clear" w:color="auto" w:fill="FFFFFF"/>
          <w:lang w:val="zh-CN"/>
        </w:rPr>
      </w:pPr>
      <w:r>
        <w:rPr>
          <w:rFonts w:hint="eastAsia" w:ascii="仿宋" w:hAnsi="仿宋" w:eastAsia="仿宋" w:cs="仿宋"/>
          <w:color w:val="000000"/>
          <w:kern w:val="0"/>
          <w:sz w:val="31"/>
          <w:szCs w:val="31"/>
          <w:lang w:val="en-US" w:eastAsia="zh-CN" w:bidi="ar"/>
        </w:rPr>
        <w:t>标。</w:t>
      </w:r>
    </w:p>
    <w:p w14:paraId="7591EAAB">
      <w:pPr>
        <w:keepNext w:val="0"/>
        <w:keepLines w:val="0"/>
        <w:pageBreakBefore w:val="0"/>
        <w:widowControl/>
        <w:kinsoku/>
        <w:wordWrap/>
        <w:overflowPunct/>
        <w:topLinePunct w:val="0"/>
        <w:autoSpaceDE/>
        <w:autoSpaceDN/>
        <w:bidi w:val="0"/>
        <w:adjustRightInd w:val="0"/>
        <w:snapToGrid w:val="0"/>
        <w:spacing w:line="578" w:lineRule="exact"/>
        <w:ind w:firstLine="620" w:firstLineChars="200"/>
        <w:contextualSpacing/>
        <w:jc w:val="left"/>
        <w:textAlignment w:val="auto"/>
        <w:outlineLvl w:val="9"/>
        <w:rPr>
          <w:rFonts w:hint="default"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通过对2024年绵竹市残联资金的自查和绩效评价，认为市残联资金是按照《预算法》、财政部政府收支分类科目、财政部、省财政厅《残疾人就业保障金管理暂行规定》等政策法规做到了专款专用。自评得分达到99分。</w:t>
      </w:r>
    </w:p>
    <w:p w14:paraId="3BE44678">
      <w:pPr>
        <w:ind w:firstLine="643" w:firstLineChars="200"/>
        <w:rPr>
          <w:rFonts w:hint="eastAsia" w:ascii="宋体" w:hAnsi="宋体" w:eastAsia="宋体" w:cs="宋体"/>
          <w:sz w:val="32"/>
          <w:szCs w:val="32"/>
        </w:rPr>
      </w:pPr>
      <w:r>
        <w:rPr>
          <w:rFonts w:hint="default" w:ascii="Times New Roman" w:hAnsi="Times New Roman" w:eastAsia="楷体_GB2312" w:cs="Times New Roman"/>
          <w:b/>
          <w:bCs/>
          <w:color w:val="000000"/>
          <w:kern w:val="0"/>
          <w:sz w:val="32"/>
          <w:szCs w:val="32"/>
          <w:highlight w:val="none"/>
          <w:shd w:val="clear" w:color="auto" w:fill="FFFFFF"/>
          <w:lang w:val="zh-CN"/>
        </w:rPr>
        <w:t>（二）存在问题。</w:t>
      </w:r>
      <w:r>
        <w:rPr>
          <w:rFonts w:hint="eastAsia" w:ascii="仿宋" w:hAnsi="仿宋" w:eastAsia="仿宋" w:cs="仿宋"/>
          <w:color w:val="000000"/>
          <w:kern w:val="0"/>
          <w:sz w:val="31"/>
          <w:szCs w:val="31"/>
          <w:lang w:val="en-US" w:eastAsia="zh-CN" w:bidi="ar"/>
        </w:rPr>
        <w:t>尽管绵竹市各级政府不断加大了残疾人工作力度，但多元化残疾人服务体系的构建显然还有很长的路要走。残疾人的生活状况与社会平均水平相比仍有较大差距，各项社会保障政策需要进一步落实、完善；残疾人就业增收存在较大困难，需要全社会消除障碍、大力扶持；为残疾人服务的公共资源短缺，存在资金压力过大的问题。</w:t>
      </w:r>
    </w:p>
    <w:p w14:paraId="4FC23C74">
      <w:pPr>
        <w:ind w:firstLine="643" w:firstLineChars="200"/>
        <w:rPr>
          <w:rFonts w:hint="eastAsia" w:ascii="仿宋" w:hAnsi="仿宋" w:eastAsia="仿宋" w:cs="仿宋"/>
          <w:color w:val="000000"/>
          <w:kern w:val="0"/>
          <w:sz w:val="31"/>
          <w:szCs w:val="31"/>
          <w:lang w:val="en-US" w:eastAsia="zh-CN" w:bidi="ar"/>
        </w:rPr>
      </w:pPr>
      <w:r>
        <w:rPr>
          <w:rFonts w:hint="default" w:ascii="Times New Roman" w:hAnsi="Times New Roman" w:eastAsia="楷体_GB2312" w:cs="Times New Roman"/>
          <w:b/>
          <w:bCs/>
          <w:color w:val="000000"/>
          <w:kern w:val="0"/>
          <w:sz w:val="32"/>
          <w:szCs w:val="32"/>
          <w:highlight w:val="none"/>
          <w:shd w:val="clear" w:color="auto" w:fill="FFFFFF"/>
          <w:lang w:val="zh-CN" w:eastAsia="zh-CN"/>
        </w:rPr>
        <w:t>（三）改进建议。</w:t>
      </w:r>
      <w:bookmarkStart w:id="107" w:name="_Hlk110546638"/>
      <w:r>
        <w:rPr>
          <w:rFonts w:hint="eastAsia" w:ascii="仿宋" w:hAnsi="仿宋" w:eastAsia="仿宋" w:cs="仿宋"/>
          <w:color w:val="000000"/>
          <w:kern w:val="0"/>
          <w:sz w:val="31"/>
          <w:szCs w:val="31"/>
          <w:lang w:val="en-US" w:eastAsia="zh-CN" w:bidi="ar"/>
        </w:rPr>
        <w:t>不断加强残疾人事业综合服务工作。加强残疾人组织规范化建设，加强残联干部队伍、残疾人工作者队伍、专业服务人才队伍的教育、培训和管理，不断提升残疾人工作的整体水平，完善志愿助残服务长效机制，协调开展社区扶残助残服务，帮助残疾人解决实际困难。</w:t>
      </w:r>
    </w:p>
    <w:p w14:paraId="743310D4">
      <w:pPr>
        <w:keepNext w:val="0"/>
        <w:keepLines w:val="0"/>
        <w:pageBreakBefore w:val="0"/>
        <w:widowControl/>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Times New Roman" w:hAnsi="Times New Roman" w:eastAsia="仿宋_GB2312" w:cs="Times New Roman"/>
          <w:sz w:val="32"/>
          <w:szCs w:val="32"/>
          <w:u w:val="none"/>
          <w:lang w:val="en" w:eastAsia="zh-CN" w:bidi="ar"/>
        </w:rPr>
      </w:pPr>
    </w:p>
    <w:bookmarkEnd w:id="107"/>
    <w:p w14:paraId="2BE98E19">
      <w:pPr>
        <w:pStyle w:val="13"/>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Times New Roman" w:hAnsi="Times New Roman" w:eastAsia="仿宋_GB2312" w:cs="Times New Roman"/>
          <w:kern w:val="2"/>
          <w:sz w:val="32"/>
          <w:szCs w:val="32"/>
          <w:u w:val="none"/>
          <w:lang w:val="zh-CN" w:eastAsia="zh-CN" w:bidi="ar"/>
        </w:rPr>
      </w:pPr>
    </w:p>
    <w:p w14:paraId="26B086A4">
      <w:pPr>
        <w:pStyle w:val="13"/>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Times New Roman" w:hAnsi="Times New Roman" w:eastAsia="仿宋_GB2312" w:cs="Times New Roman"/>
          <w:kern w:val="2"/>
          <w:sz w:val="32"/>
          <w:szCs w:val="32"/>
          <w:u w:val="none"/>
          <w:lang w:val="zh-CN" w:eastAsia="zh-CN" w:bidi="ar"/>
        </w:rPr>
      </w:pPr>
      <w:r>
        <w:rPr>
          <w:rFonts w:hint="eastAsia" w:ascii="Times New Roman" w:hAnsi="Times New Roman" w:eastAsia="仿宋_GB2312" w:cs="Times New Roman"/>
          <w:kern w:val="2"/>
          <w:sz w:val="32"/>
          <w:szCs w:val="32"/>
          <w:u w:val="none"/>
          <w:lang w:val="zh-CN" w:eastAsia="zh-CN" w:bidi="ar"/>
        </w:rPr>
        <w:t>附表：</w:t>
      </w:r>
      <w:r>
        <w:rPr>
          <w:rFonts w:hint="eastAsia" w:ascii="Times New Roman" w:eastAsia="仿宋_GB2312" w:cs="Times New Roman"/>
          <w:kern w:val="2"/>
          <w:sz w:val="32"/>
          <w:szCs w:val="32"/>
          <w:u w:val="none"/>
          <w:lang w:val="en-US" w:eastAsia="zh-CN" w:bidi="ar"/>
        </w:rPr>
        <w:t>单位</w:t>
      </w:r>
      <w:r>
        <w:rPr>
          <w:rFonts w:hint="eastAsia" w:ascii="Times New Roman" w:hAnsi="Times New Roman" w:eastAsia="仿宋_GB2312" w:cs="Times New Roman"/>
          <w:kern w:val="2"/>
          <w:sz w:val="32"/>
          <w:szCs w:val="32"/>
          <w:u w:val="none"/>
          <w:lang w:val="en-US" w:eastAsia="zh-CN" w:bidi="ar"/>
        </w:rPr>
        <w:t>预算项目支出绩效自评表（2024年度）</w:t>
      </w:r>
    </w:p>
    <w:p w14:paraId="01FC779F">
      <w:pPr>
        <w:pStyle w:val="5"/>
        <w:rPr>
          <w:rFonts w:hint="eastAsia" w:ascii="Times New Roman" w:hAnsi="Times New Roman" w:cs="宋体"/>
          <w:color w:val="FF0000"/>
          <w:kern w:val="0"/>
          <w:sz w:val="32"/>
          <w:szCs w:val="32"/>
          <w:highlight w:val="yellow"/>
          <w:shd w:val="clear" w:color="auto" w:fill="FFFFFF"/>
          <w:lang w:val="zh-CN"/>
        </w:rPr>
      </w:pPr>
    </w:p>
    <w:p w14:paraId="053C7E2B">
      <w:pPr>
        <w:rPr>
          <w:rFonts w:hint="eastAsia" w:ascii="Times New Roman" w:hAnsi="Times New Roman" w:eastAsia="黑体" w:cs="黑体"/>
          <w:color w:val="auto"/>
          <w:kern w:val="0"/>
          <w:sz w:val="32"/>
          <w:szCs w:val="32"/>
          <w:highlight w:val="none"/>
          <w:shd w:val="clear" w:color="auto" w:fill="FFFFFF"/>
          <w:lang w:val="zh-CN"/>
        </w:rPr>
      </w:pPr>
      <w:r>
        <w:rPr>
          <w:rFonts w:hint="eastAsia" w:ascii="Times New Roman" w:hAnsi="Times New Roman" w:eastAsia="黑体" w:cs="黑体"/>
          <w:color w:val="auto"/>
          <w:kern w:val="0"/>
          <w:sz w:val="32"/>
          <w:szCs w:val="32"/>
          <w:highlight w:val="none"/>
          <w:shd w:val="clear" w:color="auto" w:fill="FFFFFF"/>
          <w:lang w:val="zh-CN"/>
        </w:rPr>
        <w:br w:type="page"/>
      </w:r>
    </w:p>
    <w:p w14:paraId="1DD2150E">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Times New Roman" w:hAnsi="Times New Roman" w:eastAsia="仿宋_GB2312" w:cs="仿宋_GB2312"/>
          <w:b w:val="0"/>
          <w:bCs w:val="0"/>
          <w:kern w:val="0"/>
          <w:position w:val="0"/>
          <w:sz w:val="32"/>
          <w:szCs w:val="32"/>
          <w:highlight w:val="none"/>
          <w:lang w:val="en-US" w:eastAsia="zh-CN" w:bidi="ar-SA"/>
        </w:rPr>
      </w:pPr>
      <w:r>
        <w:drawing>
          <wp:anchor distT="0" distB="0" distL="114300" distR="114300" simplePos="0" relativeHeight="251664384" behindDoc="0" locked="0" layoutInCell="1" allowOverlap="1">
            <wp:simplePos x="0" y="0"/>
            <wp:positionH relativeFrom="column">
              <wp:posOffset>109220</wp:posOffset>
            </wp:positionH>
            <wp:positionV relativeFrom="paragraph">
              <wp:posOffset>4530090</wp:posOffset>
            </wp:positionV>
            <wp:extent cx="5043805" cy="4958080"/>
            <wp:effectExtent l="0" t="0" r="635" b="10160"/>
            <wp:wrapSquare wrapText="bothSides"/>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5"/>
                    <a:stretch>
                      <a:fillRect/>
                    </a:stretch>
                  </pic:blipFill>
                  <pic:spPr>
                    <a:xfrm>
                      <a:off x="0" y="0"/>
                      <a:ext cx="5043805" cy="4958080"/>
                    </a:xfrm>
                    <a:prstGeom prst="rect">
                      <a:avLst/>
                    </a:prstGeom>
                    <a:noFill/>
                    <a:ln>
                      <a:noFill/>
                    </a:ln>
                  </pic:spPr>
                </pic:pic>
              </a:graphicData>
            </a:graphic>
          </wp:anchor>
        </w:drawing>
      </w:r>
      <w:r>
        <w:drawing>
          <wp:anchor distT="0" distB="0" distL="114300" distR="114300" simplePos="0" relativeHeight="251663360" behindDoc="0" locked="0" layoutInCell="1" allowOverlap="1">
            <wp:simplePos x="0" y="0"/>
            <wp:positionH relativeFrom="column">
              <wp:posOffset>92710</wp:posOffset>
            </wp:positionH>
            <wp:positionV relativeFrom="paragraph">
              <wp:posOffset>-931545</wp:posOffset>
            </wp:positionV>
            <wp:extent cx="5021580" cy="5073015"/>
            <wp:effectExtent l="0" t="0" r="7620" b="1905"/>
            <wp:wrapSquare wrapText="bothSides"/>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6"/>
                    <a:stretch>
                      <a:fillRect/>
                    </a:stretch>
                  </pic:blipFill>
                  <pic:spPr>
                    <a:xfrm>
                      <a:off x="0" y="0"/>
                      <a:ext cx="5021580" cy="5073015"/>
                    </a:xfrm>
                    <a:prstGeom prst="rect">
                      <a:avLst/>
                    </a:prstGeom>
                    <a:noFill/>
                    <a:ln>
                      <a:noFill/>
                    </a:ln>
                  </pic:spPr>
                </pic:pic>
              </a:graphicData>
            </a:graphic>
          </wp:anchor>
        </w:drawing>
      </w:r>
    </w:p>
    <w:p w14:paraId="78E0EF49">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Times New Roman" w:hAnsi="Times New Roman" w:eastAsia="仿宋_GB2312" w:cs="仿宋_GB2312"/>
          <w:b w:val="0"/>
          <w:bCs w:val="0"/>
          <w:kern w:val="0"/>
          <w:position w:val="0"/>
          <w:sz w:val="32"/>
          <w:szCs w:val="32"/>
          <w:highlight w:val="none"/>
          <w:lang w:val="en-US" w:eastAsia="zh-CN" w:bidi="ar-SA"/>
        </w:rPr>
      </w:pPr>
      <w:bookmarkStart w:id="108" w:name="_Toc15396618"/>
      <w:r>
        <w:drawing>
          <wp:anchor distT="0" distB="0" distL="114300" distR="114300" simplePos="0" relativeHeight="251666432" behindDoc="0" locked="0" layoutInCell="1" allowOverlap="1">
            <wp:simplePos x="0" y="0"/>
            <wp:positionH relativeFrom="column">
              <wp:posOffset>0</wp:posOffset>
            </wp:positionH>
            <wp:positionV relativeFrom="paragraph">
              <wp:posOffset>4507865</wp:posOffset>
            </wp:positionV>
            <wp:extent cx="5052060" cy="5218430"/>
            <wp:effectExtent l="0" t="0" r="7620" b="8890"/>
            <wp:wrapSquare wrapText="bothSides"/>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7"/>
                    <a:stretch>
                      <a:fillRect/>
                    </a:stretch>
                  </pic:blipFill>
                  <pic:spPr>
                    <a:xfrm>
                      <a:off x="0" y="0"/>
                      <a:ext cx="5052060" cy="5218430"/>
                    </a:xfrm>
                    <a:prstGeom prst="rect">
                      <a:avLst/>
                    </a:prstGeom>
                    <a:noFill/>
                    <a:ln>
                      <a:noFill/>
                    </a:ln>
                  </pic:spPr>
                </pic:pic>
              </a:graphicData>
            </a:graphic>
          </wp:anchor>
        </w:drawing>
      </w:r>
      <w:r>
        <w:drawing>
          <wp:anchor distT="0" distB="0" distL="114300" distR="114300" simplePos="0" relativeHeight="251665408" behindDoc="0" locked="0" layoutInCell="1" allowOverlap="1">
            <wp:simplePos x="0" y="0"/>
            <wp:positionH relativeFrom="column">
              <wp:posOffset>8255</wp:posOffset>
            </wp:positionH>
            <wp:positionV relativeFrom="paragraph">
              <wp:posOffset>-847090</wp:posOffset>
            </wp:positionV>
            <wp:extent cx="5059045" cy="5262245"/>
            <wp:effectExtent l="0" t="0" r="635" b="10795"/>
            <wp:wrapSquare wrapText="bothSides"/>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8"/>
                    <a:stretch>
                      <a:fillRect/>
                    </a:stretch>
                  </pic:blipFill>
                  <pic:spPr>
                    <a:xfrm>
                      <a:off x="0" y="0"/>
                      <a:ext cx="5059045" cy="5262245"/>
                    </a:xfrm>
                    <a:prstGeom prst="rect">
                      <a:avLst/>
                    </a:prstGeom>
                    <a:noFill/>
                    <a:ln>
                      <a:noFill/>
                    </a:ln>
                  </pic:spPr>
                </pic:pic>
              </a:graphicData>
            </a:graphic>
          </wp:anchor>
        </w:drawing>
      </w:r>
      <w:r>
        <w:rPr>
          <w:rFonts w:hint="eastAsia" w:ascii="Times New Roman" w:hAnsi="Times New Roman" w:eastAsia="仿宋_GB2312" w:cs="仿宋_GB2312"/>
          <w:b w:val="0"/>
          <w:bCs w:val="0"/>
          <w:kern w:val="0"/>
          <w:position w:val="0"/>
          <w:sz w:val="32"/>
          <w:szCs w:val="32"/>
          <w:highlight w:val="none"/>
          <w:lang w:val="en-US" w:eastAsia="zh-CN" w:bidi="ar-SA"/>
        </w:rPr>
        <w:br w:type="page"/>
      </w:r>
    </w:p>
    <w:p w14:paraId="09891DCE">
      <w:pPr>
        <w:widowControl/>
        <w:jc w:val="center"/>
        <w:rPr>
          <w:rFonts w:hint="eastAsia" w:ascii="Times New Roman" w:hAnsi="Times New Roman" w:eastAsia="黑体"/>
          <w:color w:val="auto"/>
          <w:sz w:val="44"/>
          <w:szCs w:val="44"/>
          <w:highlight w:val="none"/>
        </w:rPr>
      </w:pPr>
    </w:p>
    <w:p w14:paraId="48A2427B">
      <w:pPr>
        <w:widowControl/>
        <w:jc w:val="center"/>
      </w:pPr>
      <w:r>
        <w:drawing>
          <wp:inline distT="0" distB="0" distL="114300" distR="114300">
            <wp:extent cx="4589780" cy="4875530"/>
            <wp:effectExtent l="0" t="0" r="12700" b="1270"/>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9"/>
                    <a:stretch>
                      <a:fillRect/>
                    </a:stretch>
                  </pic:blipFill>
                  <pic:spPr>
                    <a:xfrm>
                      <a:off x="0" y="0"/>
                      <a:ext cx="4589780" cy="4875530"/>
                    </a:xfrm>
                    <a:prstGeom prst="rect">
                      <a:avLst/>
                    </a:prstGeom>
                    <a:noFill/>
                    <a:ln>
                      <a:noFill/>
                    </a:ln>
                  </pic:spPr>
                </pic:pic>
              </a:graphicData>
            </a:graphic>
          </wp:inline>
        </w:drawing>
      </w:r>
    </w:p>
    <w:p w14:paraId="09E7E3DD">
      <w:pPr>
        <w:widowControl/>
        <w:jc w:val="center"/>
      </w:pPr>
    </w:p>
    <w:p w14:paraId="096D4334">
      <w:pPr>
        <w:widowControl/>
        <w:jc w:val="center"/>
        <w:rPr>
          <w:rFonts w:hint="eastAsia"/>
        </w:rPr>
      </w:pPr>
    </w:p>
    <w:p w14:paraId="6B561255">
      <w:pPr>
        <w:widowControl/>
        <w:jc w:val="center"/>
        <w:rPr>
          <w:rFonts w:hint="eastAsia" w:ascii="Times New Roman" w:hAnsi="Times New Roman" w:eastAsia="黑体"/>
          <w:color w:val="auto"/>
          <w:sz w:val="44"/>
          <w:szCs w:val="44"/>
          <w:highlight w:val="none"/>
        </w:rPr>
      </w:pPr>
    </w:p>
    <w:p w14:paraId="7DF72073">
      <w:pPr>
        <w:widowControl/>
        <w:jc w:val="center"/>
        <w:rPr>
          <w:rFonts w:hint="eastAsia" w:ascii="Times New Roman" w:hAnsi="Times New Roman" w:eastAsia="黑体"/>
          <w:color w:val="auto"/>
          <w:sz w:val="44"/>
          <w:szCs w:val="44"/>
          <w:highlight w:val="none"/>
        </w:rPr>
      </w:pPr>
      <w:r>
        <w:drawing>
          <wp:inline distT="0" distB="0" distL="114300" distR="114300">
            <wp:extent cx="4904740" cy="5153660"/>
            <wp:effectExtent l="0" t="0" r="2540" b="1270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0"/>
                    <a:stretch>
                      <a:fillRect/>
                    </a:stretch>
                  </pic:blipFill>
                  <pic:spPr>
                    <a:xfrm>
                      <a:off x="0" y="0"/>
                      <a:ext cx="4904740" cy="5153660"/>
                    </a:xfrm>
                    <a:prstGeom prst="rect">
                      <a:avLst/>
                    </a:prstGeom>
                    <a:noFill/>
                    <a:ln>
                      <a:noFill/>
                    </a:ln>
                  </pic:spPr>
                </pic:pic>
              </a:graphicData>
            </a:graphic>
          </wp:inline>
        </w:drawing>
      </w:r>
    </w:p>
    <w:p w14:paraId="439E743F">
      <w:pPr>
        <w:widowControl/>
        <w:jc w:val="center"/>
        <w:rPr>
          <w:rFonts w:hint="eastAsia" w:ascii="Times New Roman" w:hAnsi="Times New Roman" w:eastAsia="黑体"/>
          <w:color w:val="auto"/>
          <w:sz w:val="44"/>
          <w:szCs w:val="44"/>
          <w:highlight w:val="none"/>
        </w:rPr>
      </w:pPr>
    </w:p>
    <w:p w14:paraId="4040BB37">
      <w:pPr>
        <w:widowControl/>
        <w:jc w:val="center"/>
        <w:rPr>
          <w:rFonts w:hint="eastAsia" w:ascii="Times New Roman" w:hAnsi="Times New Roman" w:eastAsia="黑体"/>
          <w:color w:val="auto"/>
          <w:sz w:val="44"/>
          <w:szCs w:val="44"/>
          <w:highlight w:val="none"/>
        </w:rPr>
      </w:pPr>
    </w:p>
    <w:p w14:paraId="1A7620C3">
      <w:pPr>
        <w:widowControl/>
        <w:jc w:val="center"/>
        <w:rPr>
          <w:rFonts w:hint="eastAsia" w:ascii="Times New Roman" w:hAnsi="Times New Roman" w:eastAsia="黑体"/>
          <w:color w:val="auto"/>
          <w:sz w:val="44"/>
          <w:szCs w:val="44"/>
          <w:highlight w:val="none"/>
        </w:rPr>
      </w:pPr>
    </w:p>
    <w:p w14:paraId="4DD13673">
      <w:pPr>
        <w:widowControl/>
        <w:jc w:val="center"/>
        <w:rPr>
          <w:rFonts w:hint="eastAsia" w:ascii="Times New Roman" w:hAnsi="Times New Roman" w:eastAsia="黑体"/>
          <w:color w:val="auto"/>
          <w:sz w:val="44"/>
          <w:szCs w:val="44"/>
          <w:highlight w:val="none"/>
        </w:rPr>
      </w:pPr>
    </w:p>
    <w:p w14:paraId="360C8ECE">
      <w:pPr>
        <w:widowControl/>
        <w:jc w:val="center"/>
        <w:rPr>
          <w:rFonts w:hint="eastAsia" w:ascii="Times New Roman" w:hAnsi="Times New Roman" w:eastAsia="黑体"/>
          <w:color w:val="auto"/>
          <w:sz w:val="44"/>
          <w:szCs w:val="44"/>
          <w:highlight w:val="none"/>
        </w:rPr>
      </w:pPr>
    </w:p>
    <w:p w14:paraId="6341BD53">
      <w:pPr>
        <w:widowControl/>
        <w:jc w:val="center"/>
        <w:rPr>
          <w:rFonts w:hint="eastAsia" w:ascii="Times New Roman" w:hAnsi="Times New Roman" w:eastAsia="黑体"/>
          <w:color w:val="auto"/>
          <w:sz w:val="44"/>
          <w:szCs w:val="44"/>
          <w:highlight w:val="none"/>
        </w:rPr>
      </w:pPr>
    </w:p>
    <w:p w14:paraId="5A25CB60">
      <w:pPr>
        <w:widowControl/>
        <w:jc w:val="center"/>
        <w:rPr>
          <w:rFonts w:hint="eastAsia" w:ascii="Times New Roman" w:hAnsi="Times New Roman" w:eastAsia="黑体"/>
          <w:color w:val="auto"/>
          <w:sz w:val="44"/>
          <w:szCs w:val="44"/>
          <w:highlight w:val="none"/>
        </w:rPr>
      </w:pPr>
    </w:p>
    <w:p w14:paraId="4AFD9F9D">
      <w:pPr>
        <w:widowControl/>
        <w:jc w:val="center"/>
        <w:rPr>
          <w:rFonts w:hint="eastAsia" w:ascii="Times New Roman" w:hAnsi="Times New Roman" w:eastAsia="黑体"/>
          <w:color w:val="auto"/>
          <w:sz w:val="44"/>
          <w:szCs w:val="44"/>
          <w:highlight w:val="none"/>
        </w:rPr>
      </w:pPr>
    </w:p>
    <w:p w14:paraId="5C5B2585">
      <w:pPr>
        <w:widowControl/>
        <w:jc w:val="center"/>
        <w:rPr>
          <w:rFonts w:hint="eastAsia" w:ascii="Times New Roman" w:hAnsi="Times New Roman" w:eastAsia="黑体"/>
          <w:color w:val="auto"/>
          <w:sz w:val="44"/>
          <w:szCs w:val="44"/>
          <w:highlight w:val="none"/>
        </w:rPr>
      </w:pPr>
    </w:p>
    <w:p w14:paraId="5092B27A">
      <w:pPr>
        <w:widowControl/>
        <w:jc w:val="center"/>
        <w:rPr>
          <w:rFonts w:hint="eastAsia" w:ascii="Times New Roman" w:hAnsi="Times New Roman" w:eastAsia="黑体"/>
          <w:color w:val="auto"/>
          <w:sz w:val="44"/>
          <w:szCs w:val="44"/>
          <w:highlight w:val="none"/>
        </w:rPr>
      </w:pPr>
    </w:p>
    <w:p w14:paraId="742095C1">
      <w:pPr>
        <w:widowControl/>
        <w:jc w:val="center"/>
        <w:rPr>
          <w:rFonts w:hint="eastAsia" w:ascii="Times New Roman" w:hAnsi="Times New Roman" w:eastAsia="黑体"/>
          <w:color w:val="auto"/>
          <w:sz w:val="44"/>
          <w:szCs w:val="44"/>
          <w:highlight w:val="none"/>
        </w:rPr>
      </w:pPr>
    </w:p>
    <w:p w14:paraId="69C50D74">
      <w:pPr>
        <w:widowControl/>
        <w:jc w:val="center"/>
        <w:rPr>
          <w:rFonts w:hint="eastAsia" w:ascii="Times New Roman" w:hAnsi="Times New Roman" w:eastAsia="黑体"/>
          <w:color w:val="auto"/>
          <w:sz w:val="44"/>
          <w:szCs w:val="44"/>
          <w:highlight w:val="none"/>
        </w:rPr>
      </w:pPr>
    </w:p>
    <w:p w14:paraId="7A37517B">
      <w:pPr>
        <w:widowControl/>
        <w:jc w:val="center"/>
        <w:rPr>
          <w:rFonts w:hint="eastAsia" w:ascii="Times New Roman" w:hAnsi="Times New Roman" w:eastAsia="黑体"/>
          <w:color w:val="auto"/>
          <w:sz w:val="44"/>
          <w:szCs w:val="44"/>
          <w:highlight w:val="none"/>
        </w:rPr>
      </w:pPr>
    </w:p>
    <w:p w14:paraId="78AA3393">
      <w:pPr>
        <w:widowControl/>
        <w:jc w:val="center"/>
        <w:rPr>
          <w:rFonts w:hint="eastAsia" w:ascii="Times New Roman" w:hAnsi="Times New Roman" w:eastAsia="黑体"/>
          <w:color w:val="auto"/>
          <w:sz w:val="44"/>
          <w:szCs w:val="44"/>
          <w:highlight w:val="none"/>
        </w:rPr>
      </w:pPr>
      <w:r>
        <w:drawing>
          <wp:inline distT="0" distB="0" distL="114300" distR="114300">
            <wp:extent cx="5268595" cy="6156960"/>
            <wp:effectExtent l="0" t="0" r="4445" b="0"/>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1"/>
                    <a:stretch>
                      <a:fillRect/>
                    </a:stretch>
                  </pic:blipFill>
                  <pic:spPr>
                    <a:xfrm>
                      <a:off x="0" y="0"/>
                      <a:ext cx="5268595" cy="6156960"/>
                    </a:xfrm>
                    <a:prstGeom prst="rect">
                      <a:avLst/>
                    </a:prstGeom>
                    <a:noFill/>
                    <a:ln>
                      <a:noFill/>
                    </a:ln>
                  </pic:spPr>
                </pic:pic>
              </a:graphicData>
            </a:graphic>
          </wp:inline>
        </w:drawing>
      </w:r>
    </w:p>
    <w:p w14:paraId="1D7DA457">
      <w:pPr>
        <w:widowControl/>
        <w:jc w:val="center"/>
        <w:rPr>
          <w:rFonts w:hint="eastAsia" w:ascii="Times New Roman" w:hAnsi="Times New Roman" w:eastAsia="黑体"/>
          <w:color w:val="auto"/>
          <w:sz w:val="44"/>
          <w:szCs w:val="44"/>
          <w:highlight w:val="none"/>
        </w:rPr>
      </w:pPr>
    </w:p>
    <w:p w14:paraId="2E3244D9">
      <w:pPr>
        <w:widowControl/>
        <w:jc w:val="center"/>
        <w:rPr>
          <w:rFonts w:hint="eastAsia" w:ascii="Times New Roman" w:hAnsi="Times New Roman" w:eastAsia="黑体"/>
          <w:color w:val="auto"/>
          <w:sz w:val="44"/>
          <w:szCs w:val="44"/>
          <w:highlight w:val="none"/>
        </w:rPr>
      </w:pPr>
    </w:p>
    <w:p w14:paraId="1863CC8A">
      <w:pPr>
        <w:widowControl/>
        <w:jc w:val="center"/>
        <w:rPr>
          <w:rFonts w:hint="eastAsia" w:ascii="Times New Roman" w:hAnsi="Times New Roman" w:eastAsia="黑体"/>
          <w:color w:val="auto"/>
          <w:sz w:val="44"/>
          <w:szCs w:val="44"/>
          <w:highlight w:val="none"/>
        </w:rPr>
      </w:pPr>
      <w:r>
        <w:drawing>
          <wp:inline distT="0" distB="0" distL="114300" distR="114300">
            <wp:extent cx="5265420" cy="5466715"/>
            <wp:effectExtent l="0" t="0" r="7620" b="4445"/>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22"/>
                    <a:stretch>
                      <a:fillRect/>
                    </a:stretch>
                  </pic:blipFill>
                  <pic:spPr>
                    <a:xfrm>
                      <a:off x="0" y="0"/>
                      <a:ext cx="5265420" cy="5466715"/>
                    </a:xfrm>
                    <a:prstGeom prst="rect">
                      <a:avLst/>
                    </a:prstGeom>
                    <a:noFill/>
                    <a:ln>
                      <a:noFill/>
                    </a:ln>
                  </pic:spPr>
                </pic:pic>
              </a:graphicData>
            </a:graphic>
          </wp:inline>
        </w:drawing>
      </w:r>
    </w:p>
    <w:p w14:paraId="17719408">
      <w:pPr>
        <w:widowControl/>
        <w:jc w:val="center"/>
        <w:rPr>
          <w:rFonts w:hint="eastAsia" w:ascii="Times New Roman" w:hAnsi="Times New Roman" w:eastAsia="黑体"/>
          <w:color w:val="auto"/>
          <w:sz w:val="44"/>
          <w:szCs w:val="44"/>
          <w:highlight w:val="none"/>
        </w:rPr>
      </w:pPr>
    </w:p>
    <w:p w14:paraId="56129193">
      <w:pPr>
        <w:widowControl/>
        <w:jc w:val="center"/>
        <w:rPr>
          <w:rFonts w:hint="eastAsia" w:ascii="Times New Roman" w:hAnsi="Times New Roman" w:eastAsia="黑体"/>
          <w:color w:val="auto"/>
          <w:sz w:val="44"/>
          <w:szCs w:val="44"/>
          <w:highlight w:val="none"/>
        </w:rPr>
      </w:pPr>
    </w:p>
    <w:p w14:paraId="51F59725">
      <w:pPr>
        <w:widowControl/>
        <w:jc w:val="center"/>
        <w:rPr>
          <w:rFonts w:hint="eastAsia" w:ascii="Times New Roman" w:hAnsi="Times New Roman" w:eastAsia="黑体"/>
          <w:color w:val="auto"/>
          <w:sz w:val="44"/>
          <w:szCs w:val="44"/>
          <w:highlight w:val="none"/>
        </w:rPr>
      </w:pPr>
    </w:p>
    <w:p w14:paraId="703E9500">
      <w:pPr>
        <w:widowControl/>
        <w:jc w:val="center"/>
        <w:rPr>
          <w:rFonts w:hint="eastAsia" w:ascii="Times New Roman" w:hAnsi="Times New Roman" w:eastAsia="黑体"/>
          <w:color w:val="auto"/>
          <w:sz w:val="44"/>
          <w:szCs w:val="44"/>
          <w:highlight w:val="none"/>
        </w:rPr>
      </w:pPr>
    </w:p>
    <w:p w14:paraId="56886868">
      <w:pPr>
        <w:widowControl/>
        <w:jc w:val="center"/>
        <w:rPr>
          <w:rFonts w:hint="eastAsia" w:ascii="Times New Roman" w:hAnsi="Times New Roman" w:eastAsia="黑体"/>
          <w:color w:val="auto"/>
          <w:sz w:val="44"/>
          <w:szCs w:val="44"/>
          <w:highlight w:val="none"/>
        </w:rPr>
      </w:pPr>
    </w:p>
    <w:p w14:paraId="0C332252">
      <w:pPr>
        <w:widowControl/>
        <w:jc w:val="center"/>
        <w:rPr>
          <w:rFonts w:hint="eastAsia" w:ascii="Times New Roman" w:hAnsi="Times New Roman" w:eastAsia="黑体"/>
          <w:color w:val="auto"/>
          <w:sz w:val="44"/>
          <w:szCs w:val="44"/>
          <w:highlight w:val="none"/>
        </w:rPr>
      </w:pPr>
    </w:p>
    <w:p w14:paraId="2A8BCD63">
      <w:pPr>
        <w:widowControl/>
        <w:jc w:val="center"/>
        <w:rPr>
          <w:rFonts w:hint="eastAsia" w:ascii="Times New Roman" w:hAnsi="Times New Roman" w:eastAsia="黑体"/>
          <w:color w:val="auto"/>
          <w:sz w:val="44"/>
          <w:szCs w:val="44"/>
          <w:highlight w:val="none"/>
        </w:rPr>
      </w:pPr>
    </w:p>
    <w:p w14:paraId="4600D71A">
      <w:pPr>
        <w:widowControl/>
        <w:jc w:val="center"/>
        <w:rPr>
          <w:rFonts w:hint="eastAsia" w:ascii="Times New Roman" w:hAnsi="Times New Roman" w:eastAsia="黑体"/>
          <w:color w:val="auto"/>
          <w:sz w:val="44"/>
          <w:szCs w:val="44"/>
          <w:highlight w:val="none"/>
        </w:rPr>
      </w:pPr>
    </w:p>
    <w:p w14:paraId="0A5C8B82">
      <w:pPr>
        <w:widowControl/>
        <w:jc w:val="center"/>
        <w:rPr>
          <w:rFonts w:hint="eastAsia" w:ascii="Times New Roman" w:hAnsi="Times New Roman" w:eastAsia="黑体"/>
          <w:color w:val="auto"/>
          <w:sz w:val="44"/>
          <w:szCs w:val="44"/>
          <w:highlight w:val="none"/>
        </w:rPr>
      </w:pPr>
      <w:r>
        <w:drawing>
          <wp:inline distT="0" distB="0" distL="114300" distR="114300">
            <wp:extent cx="5270500" cy="5497195"/>
            <wp:effectExtent l="0" t="0" r="2540" b="444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23"/>
                    <a:stretch>
                      <a:fillRect/>
                    </a:stretch>
                  </pic:blipFill>
                  <pic:spPr>
                    <a:xfrm>
                      <a:off x="0" y="0"/>
                      <a:ext cx="5270500" cy="5497195"/>
                    </a:xfrm>
                    <a:prstGeom prst="rect">
                      <a:avLst/>
                    </a:prstGeom>
                    <a:noFill/>
                    <a:ln>
                      <a:noFill/>
                    </a:ln>
                  </pic:spPr>
                </pic:pic>
              </a:graphicData>
            </a:graphic>
          </wp:inline>
        </w:drawing>
      </w:r>
    </w:p>
    <w:p w14:paraId="77B0D837">
      <w:pPr>
        <w:widowControl/>
        <w:jc w:val="center"/>
        <w:rPr>
          <w:rFonts w:hint="eastAsia" w:ascii="Times New Roman" w:hAnsi="Times New Roman" w:eastAsia="黑体"/>
          <w:color w:val="auto"/>
          <w:sz w:val="44"/>
          <w:szCs w:val="44"/>
          <w:highlight w:val="none"/>
        </w:rPr>
      </w:pPr>
    </w:p>
    <w:p w14:paraId="0720131F">
      <w:pPr>
        <w:widowControl/>
        <w:jc w:val="center"/>
        <w:rPr>
          <w:rFonts w:hint="eastAsia" w:ascii="Times New Roman" w:hAnsi="Times New Roman" w:eastAsia="黑体"/>
          <w:color w:val="auto"/>
          <w:sz w:val="44"/>
          <w:szCs w:val="44"/>
          <w:highlight w:val="none"/>
        </w:rPr>
      </w:pPr>
    </w:p>
    <w:p w14:paraId="3DE72D80">
      <w:pPr>
        <w:widowControl/>
        <w:jc w:val="center"/>
        <w:rPr>
          <w:rFonts w:hint="eastAsia" w:ascii="Times New Roman" w:hAnsi="Times New Roman" w:eastAsia="黑体"/>
          <w:color w:val="auto"/>
          <w:sz w:val="44"/>
          <w:szCs w:val="44"/>
          <w:highlight w:val="none"/>
        </w:rPr>
      </w:pPr>
    </w:p>
    <w:p w14:paraId="2E2A20C6">
      <w:pPr>
        <w:widowControl/>
        <w:jc w:val="center"/>
        <w:rPr>
          <w:rFonts w:hint="eastAsia" w:ascii="Times New Roman" w:hAnsi="Times New Roman" w:eastAsia="黑体"/>
          <w:color w:val="auto"/>
          <w:sz w:val="44"/>
          <w:szCs w:val="44"/>
          <w:highlight w:val="none"/>
        </w:rPr>
      </w:pPr>
    </w:p>
    <w:p w14:paraId="09E64782">
      <w:pPr>
        <w:widowControl/>
        <w:jc w:val="center"/>
        <w:rPr>
          <w:rFonts w:hint="eastAsia" w:ascii="Times New Roman" w:hAnsi="Times New Roman" w:eastAsia="黑体"/>
          <w:color w:val="auto"/>
          <w:sz w:val="44"/>
          <w:szCs w:val="44"/>
          <w:highlight w:val="none"/>
        </w:rPr>
      </w:pPr>
    </w:p>
    <w:p w14:paraId="6A5175DB">
      <w:pPr>
        <w:widowControl/>
        <w:jc w:val="center"/>
        <w:rPr>
          <w:rFonts w:hint="eastAsia" w:ascii="Times New Roman" w:hAnsi="Times New Roman" w:eastAsia="黑体"/>
          <w:color w:val="auto"/>
          <w:sz w:val="44"/>
          <w:szCs w:val="44"/>
          <w:highlight w:val="none"/>
        </w:rPr>
      </w:pPr>
    </w:p>
    <w:p w14:paraId="13D37185">
      <w:pPr>
        <w:widowControl/>
        <w:jc w:val="center"/>
        <w:rPr>
          <w:rFonts w:hint="eastAsia" w:ascii="Times New Roman" w:hAnsi="Times New Roman" w:eastAsia="黑体"/>
          <w:color w:val="auto"/>
          <w:sz w:val="44"/>
          <w:szCs w:val="44"/>
          <w:highlight w:val="none"/>
        </w:rPr>
      </w:pPr>
    </w:p>
    <w:p w14:paraId="2BE027AA">
      <w:pPr>
        <w:widowControl/>
        <w:jc w:val="center"/>
        <w:rPr>
          <w:rFonts w:hint="eastAsia" w:ascii="Times New Roman" w:hAnsi="Times New Roman" w:eastAsia="黑体"/>
          <w:color w:val="auto"/>
          <w:sz w:val="44"/>
          <w:szCs w:val="44"/>
          <w:highlight w:val="none"/>
        </w:rPr>
      </w:pPr>
    </w:p>
    <w:p w14:paraId="0A4A8B31">
      <w:pPr>
        <w:widowControl/>
        <w:jc w:val="center"/>
        <w:rPr>
          <w:rFonts w:hint="eastAsia" w:ascii="Times New Roman" w:hAnsi="Times New Roman" w:eastAsia="黑体"/>
          <w:color w:val="auto"/>
          <w:sz w:val="44"/>
          <w:szCs w:val="44"/>
          <w:highlight w:val="none"/>
        </w:rPr>
      </w:pPr>
    </w:p>
    <w:p w14:paraId="5BCE5E72">
      <w:pPr>
        <w:widowControl/>
        <w:jc w:val="center"/>
        <w:rPr>
          <w:rFonts w:hint="eastAsia" w:ascii="Times New Roman" w:hAnsi="Times New Roman" w:eastAsia="黑体"/>
          <w:color w:val="auto"/>
          <w:sz w:val="44"/>
          <w:szCs w:val="44"/>
          <w:highlight w:val="none"/>
        </w:rPr>
      </w:pPr>
    </w:p>
    <w:p w14:paraId="107F2838">
      <w:pPr>
        <w:widowControl/>
        <w:jc w:val="center"/>
        <w:rPr>
          <w:rFonts w:hint="eastAsia" w:ascii="Times New Roman" w:hAnsi="Times New Roman" w:eastAsia="黑体"/>
          <w:color w:val="auto"/>
          <w:sz w:val="44"/>
          <w:szCs w:val="44"/>
          <w:highlight w:val="none"/>
        </w:rPr>
      </w:pPr>
    </w:p>
    <w:p w14:paraId="31076295">
      <w:pPr>
        <w:widowControl/>
        <w:jc w:val="center"/>
        <w:rPr>
          <w:rFonts w:hint="eastAsia" w:ascii="Times New Roman" w:hAnsi="Times New Roman" w:eastAsia="黑体"/>
          <w:color w:val="auto"/>
          <w:sz w:val="44"/>
          <w:szCs w:val="44"/>
          <w:highlight w:val="none"/>
        </w:rPr>
      </w:pPr>
      <w:r>
        <w:drawing>
          <wp:inline distT="0" distB="0" distL="114300" distR="114300">
            <wp:extent cx="5267960" cy="6106160"/>
            <wp:effectExtent l="0" t="0" r="5080" b="5080"/>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24"/>
                    <a:stretch>
                      <a:fillRect/>
                    </a:stretch>
                  </pic:blipFill>
                  <pic:spPr>
                    <a:xfrm>
                      <a:off x="0" y="0"/>
                      <a:ext cx="5267960" cy="6106160"/>
                    </a:xfrm>
                    <a:prstGeom prst="rect">
                      <a:avLst/>
                    </a:prstGeom>
                    <a:noFill/>
                    <a:ln>
                      <a:noFill/>
                    </a:ln>
                  </pic:spPr>
                </pic:pic>
              </a:graphicData>
            </a:graphic>
          </wp:inline>
        </w:drawing>
      </w:r>
    </w:p>
    <w:p w14:paraId="095DCE9F">
      <w:pPr>
        <w:widowControl/>
        <w:jc w:val="center"/>
        <w:rPr>
          <w:rFonts w:hint="eastAsia" w:ascii="Times New Roman" w:hAnsi="Times New Roman" w:eastAsia="黑体"/>
          <w:color w:val="auto"/>
          <w:sz w:val="44"/>
          <w:szCs w:val="44"/>
          <w:highlight w:val="none"/>
        </w:rPr>
      </w:pPr>
    </w:p>
    <w:p w14:paraId="1DF4ADEE">
      <w:pPr>
        <w:widowControl/>
        <w:jc w:val="center"/>
        <w:rPr>
          <w:rFonts w:hint="eastAsia" w:ascii="Times New Roman" w:hAnsi="Times New Roman" w:eastAsia="黑体"/>
          <w:color w:val="auto"/>
          <w:sz w:val="44"/>
          <w:szCs w:val="44"/>
          <w:highlight w:val="none"/>
        </w:rPr>
      </w:pPr>
    </w:p>
    <w:p w14:paraId="2244E112">
      <w:pPr>
        <w:widowControl/>
        <w:jc w:val="center"/>
        <w:rPr>
          <w:rFonts w:hint="eastAsia" w:ascii="Times New Roman" w:hAnsi="Times New Roman" w:eastAsia="黑体"/>
          <w:color w:val="auto"/>
          <w:sz w:val="44"/>
          <w:szCs w:val="44"/>
          <w:highlight w:val="none"/>
        </w:rPr>
      </w:pPr>
    </w:p>
    <w:p w14:paraId="1219CA9E">
      <w:pPr>
        <w:widowControl/>
        <w:jc w:val="center"/>
        <w:rPr>
          <w:rFonts w:hint="eastAsia" w:ascii="Times New Roman" w:hAnsi="Times New Roman" w:eastAsia="黑体"/>
          <w:color w:val="auto"/>
          <w:sz w:val="44"/>
          <w:szCs w:val="44"/>
          <w:highlight w:val="none"/>
        </w:rPr>
      </w:pPr>
      <w:r>
        <w:drawing>
          <wp:inline distT="0" distB="0" distL="114300" distR="114300">
            <wp:extent cx="5270500" cy="5527675"/>
            <wp:effectExtent l="0" t="0" r="2540" b="4445"/>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25"/>
                    <a:stretch>
                      <a:fillRect/>
                    </a:stretch>
                  </pic:blipFill>
                  <pic:spPr>
                    <a:xfrm>
                      <a:off x="0" y="0"/>
                      <a:ext cx="5270500" cy="5527675"/>
                    </a:xfrm>
                    <a:prstGeom prst="rect">
                      <a:avLst/>
                    </a:prstGeom>
                    <a:noFill/>
                    <a:ln>
                      <a:noFill/>
                    </a:ln>
                  </pic:spPr>
                </pic:pic>
              </a:graphicData>
            </a:graphic>
          </wp:inline>
        </w:drawing>
      </w:r>
    </w:p>
    <w:p w14:paraId="5927141B">
      <w:pPr>
        <w:widowControl/>
        <w:jc w:val="center"/>
        <w:rPr>
          <w:rFonts w:hint="eastAsia" w:ascii="Times New Roman" w:hAnsi="Times New Roman" w:eastAsia="黑体"/>
          <w:color w:val="auto"/>
          <w:sz w:val="44"/>
          <w:szCs w:val="44"/>
          <w:highlight w:val="none"/>
        </w:rPr>
      </w:pPr>
    </w:p>
    <w:p w14:paraId="1ADDDAA1">
      <w:pPr>
        <w:widowControl/>
        <w:jc w:val="center"/>
        <w:rPr>
          <w:rFonts w:hint="eastAsia" w:ascii="Times New Roman" w:hAnsi="Times New Roman" w:eastAsia="黑体"/>
          <w:color w:val="auto"/>
          <w:sz w:val="44"/>
          <w:szCs w:val="44"/>
          <w:highlight w:val="none"/>
        </w:rPr>
      </w:pPr>
    </w:p>
    <w:p w14:paraId="35205A55">
      <w:pPr>
        <w:widowControl/>
        <w:jc w:val="center"/>
        <w:rPr>
          <w:rFonts w:hint="eastAsia" w:ascii="Times New Roman" w:hAnsi="Times New Roman" w:eastAsia="黑体"/>
          <w:color w:val="auto"/>
          <w:sz w:val="44"/>
          <w:szCs w:val="44"/>
          <w:highlight w:val="none"/>
        </w:rPr>
      </w:pPr>
    </w:p>
    <w:p w14:paraId="7786F316">
      <w:pPr>
        <w:widowControl/>
        <w:jc w:val="center"/>
        <w:rPr>
          <w:rFonts w:hint="eastAsia" w:ascii="Times New Roman" w:hAnsi="Times New Roman" w:eastAsia="黑体"/>
          <w:color w:val="auto"/>
          <w:sz w:val="44"/>
          <w:szCs w:val="44"/>
          <w:highlight w:val="none"/>
        </w:rPr>
      </w:pPr>
    </w:p>
    <w:p w14:paraId="3DF08BD7">
      <w:pPr>
        <w:widowControl/>
        <w:jc w:val="center"/>
        <w:rPr>
          <w:rFonts w:hint="eastAsia" w:ascii="Times New Roman" w:hAnsi="Times New Roman" w:eastAsia="黑体"/>
          <w:color w:val="auto"/>
          <w:sz w:val="44"/>
          <w:szCs w:val="44"/>
          <w:highlight w:val="none"/>
        </w:rPr>
      </w:pPr>
    </w:p>
    <w:p w14:paraId="263777A1">
      <w:pPr>
        <w:widowControl/>
        <w:jc w:val="center"/>
        <w:rPr>
          <w:rFonts w:hint="eastAsia" w:ascii="Times New Roman" w:hAnsi="Times New Roman" w:eastAsia="黑体"/>
          <w:color w:val="auto"/>
          <w:sz w:val="44"/>
          <w:szCs w:val="44"/>
          <w:highlight w:val="none"/>
        </w:rPr>
      </w:pPr>
    </w:p>
    <w:p w14:paraId="00013CA8">
      <w:pPr>
        <w:widowControl/>
        <w:jc w:val="center"/>
        <w:rPr>
          <w:rFonts w:hint="eastAsia" w:ascii="Times New Roman" w:hAnsi="Times New Roman" w:eastAsia="黑体"/>
          <w:color w:val="auto"/>
          <w:sz w:val="44"/>
          <w:szCs w:val="44"/>
          <w:highlight w:val="none"/>
        </w:rPr>
      </w:pPr>
    </w:p>
    <w:p w14:paraId="325013B8">
      <w:pPr>
        <w:widowControl/>
        <w:jc w:val="center"/>
        <w:rPr>
          <w:rFonts w:hint="eastAsia" w:ascii="Times New Roman" w:hAnsi="Times New Roman" w:eastAsia="黑体"/>
          <w:color w:val="auto"/>
          <w:sz w:val="44"/>
          <w:szCs w:val="44"/>
          <w:highlight w:val="none"/>
        </w:rPr>
      </w:pPr>
    </w:p>
    <w:p w14:paraId="6CC82849">
      <w:pPr>
        <w:widowControl/>
        <w:jc w:val="center"/>
        <w:rPr>
          <w:rFonts w:hint="eastAsia" w:ascii="Times New Roman" w:hAnsi="Times New Roman" w:eastAsia="黑体"/>
          <w:color w:val="auto"/>
          <w:sz w:val="44"/>
          <w:szCs w:val="44"/>
          <w:highlight w:val="none"/>
        </w:rPr>
      </w:pPr>
    </w:p>
    <w:p w14:paraId="6491BBEB">
      <w:pPr>
        <w:widowControl/>
        <w:jc w:val="center"/>
        <w:rPr>
          <w:rFonts w:hint="eastAsia" w:ascii="Times New Roman" w:hAnsi="Times New Roman" w:eastAsia="黑体"/>
          <w:color w:val="auto"/>
          <w:sz w:val="44"/>
          <w:szCs w:val="44"/>
          <w:highlight w:val="none"/>
        </w:rPr>
      </w:pPr>
    </w:p>
    <w:p w14:paraId="00ADC0D0">
      <w:pPr>
        <w:widowControl/>
        <w:jc w:val="center"/>
        <w:rPr>
          <w:rFonts w:hint="eastAsia" w:ascii="Times New Roman" w:hAnsi="Times New Roman" w:eastAsia="黑体"/>
          <w:color w:val="auto"/>
          <w:sz w:val="44"/>
          <w:szCs w:val="44"/>
          <w:highlight w:val="none"/>
        </w:rPr>
      </w:pPr>
    </w:p>
    <w:p w14:paraId="0973E129">
      <w:pPr>
        <w:widowControl/>
        <w:jc w:val="center"/>
        <w:rPr>
          <w:rFonts w:hint="eastAsia" w:ascii="Times New Roman" w:hAnsi="Times New Roman" w:eastAsia="黑体"/>
          <w:color w:val="auto"/>
          <w:sz w:val="44"/>
          <w:szCs w:val="44"/>
          <w:highlight w:val="none"/>
        </w:rPr>
      </w:pPr>
      <w:r>
        <w:drawing>
          <wp:inline distT="0" distB="0" distL="114300" distR="114300">
            <wp:extent cx="5265420" cy="5641340"/>
            <wp:effectExtent l="0" t="0" r="7620" b="12700"/>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pic:cNvPicPr>
                      <a:picLocks noChangeAspect="1"/>
                    </pic:cNvPicPr>
                  </pic:nvPicPr>
                  <pic:blipFill>
                    <a:blip r:embed="rId26"/>
                    <a:stretch>
                      <a:fillRect/>
                    </a:stretch>
                  </pic:blipFill>
                  <pic:spPr>
                    <a:xfrm>
                      <a:off x="0" y="0"/>
                      <a:ext cx="5265420" cy="5641340"/>
                    </a:xfrm>
                    <a:prstGeom prst="rect">
                      <a:avLst/>
                    </a:prstGeom>
                    <a:noFill/>
                    <a:ln>
                      <a:noFill/>
                    </a:ln>
                  </pic:spPr>
                </pic:pic>
              </a:graphicData>
            </a:graphic>
          </wp:inline>
        </w:drawing>
      </w:r>
    </w:p>
    <w:p w14:paraId="438A9C5B">
      <w:pPr>
        <w:widowControl/>
        <w:jc w:val="center"/>
        <w:rPr>
          <w:rFonts w:hint="eastAsia" w:ascii="Times New Roman" w:hAnsi="Times New Roman" w:eastAsia="黑体"/>
          <w:color w:val="auto"/>
          <w:sz w:val="44"/>
          <w:szCs w:val="44"/>
          <w:highlight w:val="none"/>
        </w:rPr>
      </w:pPr>
    </w:p>
    <w:p w14:paraId="76C9E8CA">
      <w:pPr>
        <w:widowControl/>
        <w:jc w:val="center"/>
        <w:rPr>
          <w:rFonts w:hint="eastAsia" w:ascii="Times New Roman" w:hAnsi="Times New Roman" w:eastAsia="黑体"/>
          <w:color w:val="auto"/>
          <w:sz w:val="44"/>
          <w:szCs w:val="44"/>
          <w:highlight w:val="none"/>
        </w:rPr>
      </w:pPr>
    </w:p>
    <w:p w14:paraId="316C52B4">
      <w:pPr>
        <w:widowControl/>
        <w:jc w:val="center"/>
        <w:rPr>
          <w:rFonts w:hint="eastAsia" w:ascii="Times New Roman" w:hAnsi="Times New Roman" w:eastAsia="黑体"/>
          <w:color w:val="auto"/>
          <w:sz w:val="44"/>
          <w:szCs w:val="44"/>
          <w:highlight w:val="none"/>
        </w:rPr>
      </w:pPr>
    </w:p>
    <w:p w14:paraId="207FF89B">
      <w:pPr>
        <w:widowControl/>
        <w:jc w:val="center"/>
        <w:rPr>
          <w:rFonts w:hint="eastAsia" w:ascii="Times New Roman" w:hAnsi="Times New Roman" w:eastAsia="黑体"/>
          <w:color w:val="auto"/>
          <w:sz w:val="44"/>
          <w:szCs w:val="44"/>
          <w:highlight w:val="none"/>
        </w:rPr>
      </w:pPr>
    </w:p>
    <w:p w14:paraId="6D2D45A3">
      <w:pPr>
        <w:widowControl/>
        <w:jc w:val="center"/>
        <w:rPr>
          <w:rFonts w:hint="eastAsia" w:ascii="Times New Roman" w:hAnsi="Times New Roman" w:eastAsia="黑体"/>
          <w:color w:val="auto"/>
          <w:sz w:val="44"/>
          <w:szCs w:val="44"/>
          <w:highlight w:val="none"/>
        </w:rPr>
      </w:pPr>
    </w:p>
    <w:p w14:paraId="50859606">
      <w:pPr>
        <w:widowControl/>
        <w:jc w:val="center"/>
        <w:rPr>
          <w:rFonts w:hint="eastAsia" w:ascii="Times New Roman" w:hAnsi="Times New Roman" w:eastAsia="黑体"/>
          <w:color w:val="auto"/>
          <w:sz w:val="44"/>
          <w:szCs w:val="44"/>
          <w:highlight w:val="none"/>
        </w:rPr>
      </w:pPr>
    </w:p>
    <w:p w14:paraId="1C7418F0">
      <w:pPr>
        <w:widowControl/>
        <w:jc w:val="center"/>
        <w:rPr>
          <w:rFonts w:hint="eastAsia" w:ascii="Times New Roman" w:hAnsi="Times New Roman" w:eastAsia="黑体"/>
          <w:color w:val="auto"/>
          <w:sz w:val="44"/>
          <w:szCs w:val="44"/>
          <w:highlight w:val="none"/>
        </w:rPr>
      </w:pPr>
    </w:p>
    <w:p w14:paraId="77F2B289">
      <w:pPr>
        <w:widowControl/>
        <w:jc w:val="center"/>
        <w:rPr>
          <w:rFonts w:hint="eastAsia" w:ascii="Times New Roman" w:hAnsi="Times New Roman" w:eastAsia="黑体"/>
          <w:color w:val="auto"/>
          <w:sz w:val="44"/>
          <w:szCs w:val="44"/>
          <w:highlight w:val="none"/>
        </w:rPr>
      </w:pPr>
    </w:p>
    <w:p w14:paraId="6100CD32">
      <w:pPr>
        <w:widowControl/>
        <w:jc w:val="center"/>
        <w:rPr>
          <w:rFonts w:hint="eastAsia" w:ascii="Times New Roman" w:hAnsi="Times New Roman" w:eastAsia="黑体"/>
          <w:color w:val="auto"/>
          <w:sz w:val="44"/>
          <w:szCs w:val="44"/>
          <w:highlight w:val="none"/>
        </w:rPr>
      </w:pPr>
    </w:p>
    <w:p w14:paraId="45639040">
      <w:pPr>
        <w:widowControl/>
        <w:jc w:val="center"/>
        <w:rPr>
          <w:rFonts w:hint="eastAsia" w:ascii="Times New Roman" w:hAnsi="Times New Roman" w:eastAsia="黑体"/>
          <w:color w:val="auto"/>
          <w:sz w:val="44"/>
          <w:szCs w:val="44"/>
          <w:highlight w:val="none"/>
        </w:rPr>
      </w:pPr>
    </w:p>
    <w:p w14:paraId="0C35ACDF">
      <w:pPr>
        <w:widowControl/>
        <w:jc w:val="center"/>
        <w:rPr>
          <w:rFonts w:hint="eastAsia" w:ascii="Times New Roman" w:hAnsi="Times New Roman" w:eastAsia="黑体"/>
          <w:color w:val="auto"/>
          <w:sz w:val="44"/>
          <w:szCs w:val="44"/>
          <w:highlight w:val="none"/>
        </w:rPr>
      </w:pPr>
      <w:r>
        <w:drawing>
          <wp:inline distT="0" distB="0" distL="114300" distR="114300">
            <wp:extent cx="5269230" cy="5544820"/>
            <wp:effectExtent l="0" t="0" r="3810" b="2540"/>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pic:cNvPicPr>
                      <a:picLocks noChangeAspect="1"/>
                    </pic:cNvPicPr>
                  </pic:nvPicPr>
                  <pic:blipFill>
                    <a:blip r:embed="rId27"/>
                    <a:stretch>
                      <a:fillRect/>
                    </a:stretch>
                  </pic:blipFill>
                  <pic:spPr>
                    <a:xfrm>
                      <a:off x="0" y="0"/>
                      <a:ext cx="5269230" cy="5544820"/>
                    </a:xfrm>
                    <a:prstGeom prst="rect">
                      <a:avLst/>
                    </a:prstGeom>
                    <a:noFill/>
                    <a:ln>
                      <a:noFill/>
                    </a:ln>
                  </pic:spPr>
                </pic:pic>
              </a:graphicData>
            </a:graphic>
          </wp:inline>
        </w:drawing>
      </w:r>
    </w:p>
    <w:p w14:paraId="36DAE804">
      <w:pPr>
        <w:widowControl/>
        <w:jc w:val="center"/>
        <w:rPr>
          <w:rFonts w:hint="eastAsia" w:ascii="Times New Roman" w:hAnsi="Times New Roman" w:eastAsia="黑体"/>
          <w:color w:val="auto"/>
          <w:sz w:val="44"/>
          <w:szCs w:val="44"/>
          <w:highlight w:val="none"/>
        </w:rPr>
      </w:pPr>
    </w:p>
    <w:p w14:paraId="5BBE131F">
      <w:pPr>
        <w:widowControl/>
        <w:jc w:val="center"/>
        <w:rPr>
          <w:rFonts w:hint="eastAsia" w:ascii="Times New Roman" w:hAnsi="Times New Roman" w:eastAsia="黑体"/>
          <w:color w:val="auto"/>
          <w:sz w:val="44"/>
          <w:szCs w:val="44"/>
          <w:highlight w:val="none"/>
        </w:rPr>
      </w:pPr>
    </w:p>
    <w:p w14:paraId="30065283">
      <w:pPr>
        <w:widowControl/>
        <w:jc w:val="center"/>
        <w:rPr>
          <w:rFonts w:hint="eastAsia" w:ascii="Times New Roman" w:hAnsi="Times New Roman" w:eastAsia="黑体"/>
          <w:color w:val="auto"/>
          <w:sz w:val="44"/>
          <w:szCs w:val="44"/>
          <w:highlight w:val="none"/>
        </w:rPr>
      </w:pPr>
    </w:p>
    <w:p w14:paraId="2ED7BDD0">
      <w:pPr>
        <w:widowControl/>
        <w:jc w:val="center"/>
        <w:rPr>
          <w:rFonts w:hint="eastAsia" w:ascii="Times New Roman" w:hAnsi="Times New Roman" w:eastAsia="黑体"/>
          <w:color w:val="auto"/>
          <w:sz w:val="44"/>
          <w:szCs w:val="44"/>
          <w:highlight w:val="none"/>
        </w:rPr>
      </w:pPr>
    </w:p>
    <w:p w14:paraId="5D7C3B6E">
      <w:pPr>
        <w:widowControl/>
        <w:jc w:val="center"/>
        <w:rPr>
          <w:rFonts w:hint="eastAsia" w:ascii="Times New Roman" w:hAnsi="Times New Roman" w:eastAsia="黑体"/>
          <w:color w:val="auto"/>
          <w:sz w:val="44"/>
          <w:szCs w:val="44"/>
          <w:highlight w:val="none"/>
        </w:rPr>
      </w:pPr>
    </w:p>
    <w:p w14:paraId="057CB158">
      <w:pPr>
        <w:widowControl/>
        <w:jc w:val="center"/>
        <w:rPr>
          <w:rFonts w:hint="eastAsia" w:ascii="Times New Roman" w:hAnsi="Times New Roman" w:eastAsia="黑体"/>
          <w:color w:val="auto"/>
          <w:sz w:val="44"/>
          <w:szCs w:val="44"/>
          <w:highlight w:val="none"/>
        </w:rPr>
      </w:pPr>
    </w:p>
    <w:p w14:paraId="3880E978">
      <w:pPr>
        <w:widowControl/>
        <w:jc w:val="center"/>
        <w:rPr>
          <w:rFonts w:hint="eastAsia" w:ascii="Times New Roman" w:hAnsi="Times New Roman" w:eastAsia="黑体"/>
          <w:color w:val="auto"/>
          <w:sz w:val="44"/>
          <w:szCs w:val="44"/>
          <w:highlight w:val="none"/>
        </w:rPr>
      </w:pPr>
      <w:r>
        <w:drawing>
          <wp:inline distT="0" distB="0" distL="114300" distR="114300">
            <wp:extent cx="5265420" cy="5395595"/>
            <wp:effectExtent l="0" t="0" r="7620" b="14605"/>
            <wp:docPr id="2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pic:cNvPicPr>
                      <a:picLocks noChangeAspect="1"/>
                    </pic:cNvPicPr>
                  </pic:nvPicPr>
                  <pic:blipFill>
                    <a:blip r:embed="rId28"/>
                    <a:stretch>
                      <a:fillRect/>
                    </a:stretch>
                  </pic:blipFill>
                  <pic:spPr>
                    <a:xfrm>
                      <a:off x="0" y="0"/>
                      <a:ext cx="5265420" cy="5395595"/>
                    </a:xfrm>
                    <a:prstGeom prst="rect">
                      <a:avLst/>
                    </a:prstGeom>
                    <a:noFill/>
                    <a:ln>
                      <a:noFill/>
                    </a:ln>
                  </pic:spPr>
                </pic:pic>
              </a:graphicData>
            </a:graphic>
          </wp:inline>
        </w:drawing>
      </w:r>
    </w:p>
    <w:p w14:paraId="41E3E096">
      <w:pPr>
        <w:widowControl/>
        <w:jc w:val="center"/>
        <w:rPr>
          <w:rFonts w:hint="eastAsia" w:ascii="Times New Roman" w:hAnsi="Times New Roman" w:eastAsia="黑体"/>
          <w:color w:val="auto"/>
          <w:sz w:val="44"/>
          <w:szCs w:val="44"/>
          <w:highlight w:val="none"/>
        </w:rPr>
      </w:pPr>
    </w:p>
    <w:p w14:paraId="51E082DF">
      <w:pPr>
        <w:widowControl/>
        <w:jc w:val="both"/>
        <w:rPr>
          <w:rFonts w:hint="eastAsia" w:ascii="Times New Roman" w:hAnsi="Times New Roman" w:eastAsia="黑体"/>
          <w:color w:val="auto"/>
          <w:sz w:val="44"/>
          <w:szCs w:val="44"/>
          <w:highlight w:val="none"/>
        </w:rPr>
      </w:pPr>
    </w:p>
    <w:p w14:paraId="1AEC1821">
      <w:pPr>
        <w:widowControl/>
        <w:jc w:val="center"/>
        <w:rPr>
          <w:rFonts w:hint="eastAsia" w:ascii="Times New Roman" w:hAnsi="Times New Roman" w:eastAsia="黑体"/>
          <w:color w:val="auto"/>
          <w:sz w:val="44"/>
          <w:szCs w:val="44"/>
          <w:highlight w:val="none"/>
        </w:rPr>
      </w:pPr>
    </w:p>
    <w:p w14:paraId="34EAF946">
      <w:pPr>
        <w:widowControl/>
        <w:jc w:val="center"/>
        <w:rPr>
          <w:rFonts w:hint="eastAsia" w:ascii="Times New Roman" w:hAnsi="Times New Roman" w:eastAsia="黑体"/>
          <w:color w:val="auto"/>
          <w:sz w:val="44"/>
          <w:szCs w:val="44"/>
          <w:highlight w:val="none"/>
        </w:rPr>
      </w:pPr>
    </w:p>
    <w:p w14:paraId="73897F9F">
      <w:pPr>
        <w:widowControl/>
        <w:jc w:val="center"/>
        <w:rPr>
          <w:rFonts w:hint="eastAsia" w:ascii="Times New Roman" w:hAnsi="Times New Roman" w:eastAsia="黑体"/>
          <w:color w:val="auto"/>
          <w:sz w:val="44"/>
          <w:szCs w:val="44"/>
          <w:highlight w:val="none"/>
        </w:rPr>
      </w:pPr>
    </w:p>
    <w:p w14:paraId="72B21852">
      <w:pPr>
        <w:widowControl/>
        <w:jc w:val="center"/>
        <w:rPr>
          <w:rFonts w:hint="eastAsia" w:ascii="Times New Roman" w:hAnsi="Times New Roman" w:eastAsia="黑体"/>
          <w:color w:val="auto"/>
          <w:sz w:val="44"/>
          <w:szCs w:val="44"/>
          <w:highlight w:val="none"/>
        </w:rPr>
      </w:pPr>
    </w:p>
    <w:p w14:paraId="24F022EE">
      <w:pPr>
        <w:widowControl/>
        <w:jc w:val="center"/>
        <w:rPr>
          <w:rFonts w:hint="eastAsia" w:ascii="Times New Roman" w:hAnsi="Times New Roman" w:eastAsia="黑体"/>
          <w:color w:val="auto"/>
          <w:sz w:val="44"/>
          <w:szCs w:val="44"/>
          <w:highlight w:val="none"/>
        </w:rPr>
      </w:pPr>
    </w:p>
    <w:p w14:paraId="5E2DF007">
      <w:pPr>
        <w:widowControl/>
        <w:jc w:val="center"/>
        <w:rPr>
          <w:rFonts w:hint="eastAsia" w:ascii="Times New Roman" w:hAnsi="Times New Roman" w:eastAsia="黑体"/>
          <w:color w:val="auto"/>
          <w:sz w:val="44"/>
          <w:szCs w:val="44"/>
          <w:highlight w:val="none"/>
        </w:rPr>
      </w:pPr>
      <w:r>
        <w:drawing>
          <wp:inline distT="0" distB="0" distL="114300" distR="114300">
            <wp:extent cx="5270500" cy="5425440"/>
            <wp:effectExtent l="0" t="0" r="2540" b="0"/>
            <wp:docPr id="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
                    <pic:cNvPicPr>
                      <a:picLocks noChangeAspect="1"/>
                    </pic:cNvPicPr>
                  </pic:nvPicPr>
                  <pic:blipFill>
                    <a:blip r:embed="rId29"/>
                    <a:stretch>
                      <a:fillRect/>
                    </a:stretch>
                  </pic:blipFill>
                  <pic:spPr>
                    <a:xfrm>
                      <a:off x="0" y="0"/>
                      <a:ext cx="5270500" cy="5425440"/>
                    </a:xfrm>
                    <a:prstGeom prst="rect">
                      <a:avLst/>
                    </a:prstGeom>
                    <a:noFill/>
                    <a:ln>
                      <a:noFill/>
                    </a:ln>
                  </pic:spPr>
                </pic:pic>
              </a:graphicData>
            </a:graphic>
          </wp:inline>
        </w:drawing>
      </w:r>
    </w:p>
    <w:p w14:paraId="209C5EE5">
      <w:pPr>
        <w:widowControl/>
        <w:jc w:val="center"/>
        <w:rPr>
          <w:rFonts w:hint="eastAsia" w:ascii="Times New Roman" w:hAnsi="Times New Roman" w:eastAsia="黑体"/>
          <w:color w:val="auto"/>
          <w:sz w:val="44"/>
          <w:szCs w:val="44"/>
          <w:highlight w:val="none"/>
        </w:rPr>
      </w:pPr>
    </w:p>
    <w:p w14:paraId="5E59232D">
      <w:pPr>
        <w:widowControl/>
        <w:jc w:val="center"/>
        <w:rPr>
          <w:rFonts w:hint="eastAsia" w:ascii="Times New Roman" w:hAnsi="Times New Roman" w:eastAsia="黑体"/>
          <w:color w:val="auto"/>
          <w:sz w:val="44"/>
          <w:szCs w:val="44"/>
          <w:highlight w:val="none"/>
        </w:rPr>
      </w:pPr>
    </w:p>
    <w:p w14:paraId="105676E8">
      <w:pPr>
        <w:widowControl/>
        <w:jc w:val="center"/>
        <w:rPr>
          <w:rFonts w:hint="eastAsia" w:ascii="Times New Roman" w:hAnsi="Times New Roman" w:eastAsia="黑体"/>
          <w:color w:val="auto"/>
          <w:sz w:val="44"/>
          <w:szCs w:val="44"/>
          <w:highlight w:val="none"/>
        </w:rPr>
      </w:pPr>
    </w:p>
    <w:p w14:paraId="0185BE3B">
      <w:pPr>
        <w:widowControl/>
        <w:jc w:val="center"/>
        <w:rPr>
          <w:rFonts w:hint="eastAsia" w:ascii="Times New Roman" w:hAnsi="Times New Roman" w:eastAsia="黑体"/>
          <w:color w:val="auto"/>
          <w:sz w:val="44"/>
          <w:szCs w:val="44"/>
          <w:highlight w:val="none"/>
        </w:rPr>
      </w:pPr>
    </w:p>
    <w:p w14:paraId="09EF2123">
      <w:pPr>
        <w:widowControl/>
        <w:jc w:val="center"/>
        <w:rPr>
          <w:rFonts w:hint="eastAsia" w:ascii="Times New Roman" w:hAnsi="Times New Roman" w:eastAsia="黑体"/>
          <w:color w:val="auto"/>
          <w:sz w:val="44"/>
          <w:szCs w:val="44"/>
          <w:highlight w:val="none"/>
        </w:rPr>
      </w:pPr>
    </w:p>
    <w:p w14:paraId="44785880">
      <w:pPr>
        <w:widowControl/>
        <w:jc w:val="both"/>
        <w:rPr>
          <w:rFonts w:hint="eastAsia" w:ascii="Times New Roman" w:hAnsi="Times New Roman" w:eastAsia="黑体"/>
          <w:color w:val="auto"/>
          <w:sz w:val="44"/>
          <w:szCs w:val="44"/>
          <w:highlight w:val="none"/>
        </w:rPr>
      </w:pPr>
    </w:p>
    <w:p w14:paraId="002449B4">
      <w:pPr>
        <w:widowControl/>
        <w:jc w:val="center"/>
        <w:rPr>
          <w:rFonts w:hint="eastAsia" w:ascii="Times New Roman" w:hAnsi="Times New Roman" w:eastAsia="黑体"/>
          <w:color w:val="auto"/>
          <w:sz w:val="44"/>
          <w:szCs w:val="44"/>
          <w:highlight w:val="none"/>
        </w:rPr>
      </w:pPr>
    </w:p>
    <w:p w14:paraId="0E0052D5">
      <w:pPr>
        <w:widowControl/>
        <w:jc w:val="center"/>
        <w:rPr>
          <w:rFonts w:hint="eastAsia" w:ascii="Times New Roman" w:hAnsi="Times New Roman" w:eastAsia="黑体"/>
          <w:color w:val="auto"/>
          <w:sz w:val="44"/>
          <w:szCs w:val="44"/>
          <w:highlight w:val="none"/>
        </w:rPr>
      </w:pPr>
    </w:p>
    <w:p w14:paraId="33B6E27A">
      <w:pPr>
        <w:widowControl/>
        <w:jc w:val="center"/>
        <w:rPr>
          <w:rFonts w:hint="eastAsia" w:ascii="Times New Roman" w:hAnsi="Times New Roman" w:eastAsia="黑体"/>
          <w:color w:val="auto"/>
          <w:sz w:val="44"/>
          <w:szCs w:val="44"/>
          <w:highlight w:val="none"/>
        </w:rPr>
      </w:pPr>
      <w:r>
        <w:drawing>
          <wp:inline distT="0" distB="0" distL="114300" distR="114300">
            <wp:extent cx="5270500" cy="5562600"/>
            <wp:effectExtent l="0" t="0" r="2540" b="0"/>
            <wp:docPr id="2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0"/>
                    <pic:cNvPicPr>
                      <a:picLocks noChangeAspect="1"/>
                    </pic:cNvPicPr>
                  </pic:nvPicPr>
                  <pic:blipFill>
                    <a:blip r:embed="rId30"/>
                    <a:stretch>
                      <a:fillRect/>
                    </a:stretch>
                  </pic:blipFill>
                  <pic:spPr>
                    <a:xfrm>
                      <a:off x="0" y="0"/>
                      <a:ext cx="5270500" cy="5562600"/>
                    </a:xfrm>
                    <a:prstGeom prst="rect">
                      <a:avLst/>
                    </a:prstGeom>
                    <a:noFill/>
                    <a:ln>
                      <a:noFill/>
                    </a:ln>
                  </pic:spPr>
                </pic:pic>
              </a:graphicData>
            </a:graphic>
          </wp:inline>
        </w:drawing>
      </w:r>
    </w:p>
    <w:p w14:paraId="1C38D0F5">
      <w:pPr>
        <w:widowControl/>
        <w:jc w:val="center"/>
        <w:rPr>
          <w:rFonts w:hint="eastAsia" w:ascii="Times New Roman" w:hAnsi="Times New Roman" w:eastAsia="黑体"/>
          <w:color w:val="auto"/>
          <w:sz w:val="44"/>
          <w:szCs w:val="44"/>
          <w:highlight w:val="none"/>
        </w:rPr>
      </w:pPr>
      <w:r>
        <w:drawing>
          <wp:inline distT="0" distB="0" distL="114300" distR="114300">
            <wp:extent cx="5265420" cy="5408930"/>
            <wp:effectExtent l="0" t="0" r="7620" b="1270"/>
            <wp:docPr id="2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1"/>
                    <pic:cNvPicPr>
                      <a:picLocks noChangeAspect="1"/>
                    </pic:cNvPicPr>
                  </pic:nvPicPr>
                  <pic:blipFill>
                    <a:blip r:embed="rId31"/>
                    <a:stretch>
                      <a:fillRect/>
                    </a:stretch>
                  </pic:blipFill>
                  <pic:spPr>
                    <a:xfrm>
                      <a:off x="0" y="0"/>
                      <a:ext cx="5265420" cy="5408930"/>
                    </a:xfrm>
                    <a:prstGeom prst="rect">
                      <a:avLst/>
                    </a:prstGeom>
                    <a:noFill/>
                    <a:ln>
                      <a:noFill/>
                    </a:ln>
                  </pic:spPr>
                </pic:pic>
              </a:graphicData>
            </a:graphic>
          </wp:inline>
        </w:drawing>
      </w:r>
    </w:p>
    <w:p w14:paraId="13A546E8">
      <w:pPr>
        <w:widowControl/>
        <w:jc w:val="center"/>
        <w:rPr>
          <w:rFonts w:hint="eastAsia" w:ascii="Times New Roman" w:hAnsi="Times New Roman" w:eastAsia="黑体"/>
          <w:color w:val="auto"/>
          <w:sz w:val="44"/>
          <w:szCs w:val="44"/>
          <w:highlight w:val="none"/>
        </w:rPr>
      </w:pPr>
    </w:p>
    <w:p w14:paraId="6F86DEC4">
      <w:pPr>
        <w:widowControl/>
        <w:jc w:val="center"/>
        <w:rPr>
          <w:rFonts w:hint="eastAsia" w:ascii="Times New Roman" w:hAnsi="Times New Roman" w:eastAsia="黑体"/>
          <w:color w:val="auto"/>
          <w:sz w:val="44"/>
          <w:szCs w:val="44"/>
          <w:highlight w:val="none"/>
        </w:rPr>
      </w:pPr>
    </w:p>
    <w:p w14:paraId="1FD7D933">
      <w:pPr>
        <w:widowControl/>
        <w:jc w:val="center"/>
        <w:rPr>
          <w:rFonts w:hint="eastAsia" w:ascii="Times New Roman" w:hAnsi="Times New Roman" w:eastAsia="黑体"/>
          <w:color w:val="auto"/>
          <w:sz w:val="44"/>
          <w:szCs w:val="44"/>
          <w:highlight w:val="none"/>
        </w:rPr>
      </w:pPr>
    </w:p>
    <w:p w14:paraId="451A944F">
      <w:pPr>
        <w:widowControl/>
        <w:jc w:val="center"/>
        <w:rPr>
          <w:rFonts w:hint="eastAsia" w:ascii="Times New Roman" w:hAnsi="Times New Roman" w:eastAsia="黑体"/>
          <w:color w:val="auto"/>
          <w:sz w:val="44"/>
          <w:szCs w:val="44"/>
          <w:highlight w:val="none"/>
        </w:rPr>
      </w:pPr>
    </w:p>
    <w:p w14:paraId="0829B656">
      <w:pPr>
        <w:widowControl/>
        <w:jc w:val="center"/>
        <w:rPr>
          <w:rFonts w:hint="eastAsia" w:ascii="Times New Roman" w:hAnsi="Times New Roman" w:eastAsia="黑体"/>
          <w:color w:val="auto"/>
          <w:sz w:val="44"/>
          <w:szCs w:val="44"/>
          <w:highlight w:val="none"/>
        </w:rPr>
      </w:pPr>
    </w:p>
    <w:p w14:paraId="7667E36C">
      <w:pPr>
        <w:widowControl/>
        <w:jc w:val="center"/>
        <w:rPr>
          <w:rFonts w:hint="eastAsia" w:ascii="Times New Roman" w:hAnsi="Times New Roman" w:eastAsia="黑体"/>
          <w:color w:val="auto"/>
          <w:sz w:val="44"/>
          <w:szCs w:val="44"/>
          <w:highlight w:val="none"/>
        </w:rPr>
      </w:pPr>
    </w:p>
    <w:p w14:paraId="4CBCB6AD">
      <w:pPr>
        <w:widowControl/>
        <w:jc w:val="center"/>
        <w:rPr>
          <w:rFonts w:hint="eastAsia" w:ascii="Times New Roman" w:hAnsi="Times New Roman" w:eastAsia="黑体"/>
          <w:color w:val="auto"/>
          <w:sz w:val="44"/>
          <w:szCs w:val="44"/>
          <w:highlight w:val="none"/>
        </w:rPr>
      </w:pPr>
    </w:p>
    <w:p w14:paraId="5220AF09">
      <w:pPr>
        <w:widowControl/>
        <w:jc w:val="center"/>
        <w:rPr>
          <w:rFonts w:hint="eastAsia" w:ascii="Times New Roman" w:hAnsi="Times New Roman" w:eastAsia="黑体"/>
          <w:color w:val="auto"/>
          <w:sz w:val="44"/>
          <w:szCs w:val="44"/>
          <w:highlight w:val="none"/>
        </w:rPr>
      </w:pPr>
    </w:p>
    <w:p w14:paraId="24A10000">
      <w:pPr>
        <w:widowControl/>
        <w:jc w:val="center"/>
        <w:rPr>
          <w:rFonts w:hint="eastAsia" w:ascii="Times New Roman" w:hAnsi="Times New Roman" w:eastAsia="黑体"/>
          <w:color w:val="auto"/>
          <w:sz w:val="44"/>
          <w:szCs w:val="44"/>
          <w:highlight w:val="none"/>
        </w:rPr>
      </w:pPr>
      <w:r>
        <w:drawing>
          <wp:inline distT="0" distB="0" distL="114300" distR="114300">
            <wp:extent cx="5273040" cy="5363845"/>
            <wp:effectExtent l="0" t="0" r="0" b="635"/>
            <wp:docPr id="2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2"/>
                    <pic:cNvPicPr>
                      <a:picLocks noChangeAspect="1"/>
                    </pic:cNvPicPr>
                  </pic:nvPicPr>
                  <pic:blipFill>
                    <a:blip r:embed="rId32"/>
                    <a:stretch>
                      <a:fillRect/>
                    </a:stretch>
                  </pic:blipFill>
                  <pic:spPr>
                    <a:xfrm>
                      <a:off x="0" y="0"/>
                      <a:ext cx="5273040" cy="5363845"/>
                    </a:xfrm>
                    <a:prstGeom prst="rect">
                      <a:avLst/>
                    </a:prstGeom>
                    <a:noFill/>
                    <a:ln>
                      <a:noFill/>
                    </a:ln>
                  </pic:spPr>
                </pic:pic>
              </a:graphicData>
            </a:graphic>
          </wp:inline>
        </w:drawing>
      </w:r>
    </w:p>
    <w:p w14:paraId="455D0188">
      <w:pPr>
        <w:widowControl/>
        <w:jc w:val="center"/>
        <w:rPr>
          <w:rFonts w:hint="eastAsia" w:ascii="Times New Roman" w:hAnsi="Times New Roman" w:eastAsia="黑体"/>
          <w:color w:val="auto"/>
          <w:sz w:val="44"/>
          <w:szCs w:val="44"/>
          <w:highlight w:val="none"/>
        </w:rPr>
      </w:pPr>
    </w:p>
    <w:p w14:paraId="5B1F8C56">
      <w:pPr>
        <w:widowControl/>
        <w:jc w:val="center"/>
        <w:rPr>
          <w:rFonts w:hint="eastAsia" w:ascii="Times New Roman" w:hAnsi="Times New Roman" w:eastAsia="黑体"/>
          <w:color w:val="auto"/>
          <w:sz w:val="44"/>
          <w:szCs w:val="44"/>
          <w:highlight w:val="none"/>
        </w:rPr>
      </w:pPr>
    </w:p>
    <w:p w14:paraId="769D5CA5">
      <w:pPr>
        <w:widowControl/>
        <w:jc w:val="center"/>
        <w:rPr>
          <w:rFonts w:hint="eastAsia" w:ascii="Times New Roman" w:hAnsi="Times New Roman" w:eastAsia="黑体"/>
          <w:color w:val="auto"/>
          <w:sz w:val="44"/>
          <w:szCs w:val="44"/>
          <w:highlight w:val="none"/>
        </w:rPr>
      </w:pPr>
    </w:p>
    <w:p w14:paraId="7B746D2A">
      <w:pPr>
        <w:widowControl/>
        <w:jc w:val="center"/>
        <w:rPr>
          <w:rFonts w:hint="eastAsia" w:ascii="Times New Roman" w:hAnsi="Times New Roman" w:eastAsia="黑体"/>
          <w:color w:val="auto"/>
          <w:sz w:val="44"/>
          <w:szCs w:val="44"/>
          <w:highlight w:val="none"/>
        </w:rPr>
      </w:pPr>
    </w:p>
    <w:p w14:paraId="4B21881D">
      <w:pPr>
        <w:widowControl/>
        <w:jc w:val="center"/>
        <w:rPr>
          <w:rFonts w:hint="eastAsia" w:ascii="Times New Roman" w:hAnsi="Times New Roman" w:eastAsia="黑体"/>
          <w:color w:val="auto"/>
          <w:sz w:val="44"/>
          <w:szCs w:val="44"/>
          <w:highlight w:val="none"/>
        </w:rPr>
      </w:pPr>
    </w:p>
    <w:p w14:paraId="363E7ACA">
      <w:pPr>
        <w:widowControl/>
        <w:jc w:val="center"/>
        <w:rPr>
          <w:rFonts w:hint="eastAsia" w:ascii="Times New Roman" w:hAnsi="Times New Roman" w:eastAsia="黑体"/>
          <w:color w:val="auto"/>
          <w:sz w:val="44"/>
          <w:szCs w:val="44"/>
          <w:highlight w:val="none"/>
        </w:rPr>
      </w:pPr>
    </w:p>
    <w:p w14:paraId="3082001D">
      <w:pPr>
        <w:widowControl/>
        <w:jc w:val="both"/>
        <w:rPr>
          <w:rFonts w:hint="eastAsia" w:ascii="Times New Roman" w:hAnsi="Times New Roman" w:eastAsia="黑体"/>
          <w:color w:val="auto"/>
          <w:sz w:val="44"/>
          <w:szCs w:val="44"/>
          <w:highlight w:val="none"/>
        </w:rPr>
      </w:pPr>
    </w:p>
    <w:p w14:paraId="35A58B90">
      <w:pPr>
        <w:widowControl/>
        <w:jc w:val="center"/>
        <w:rPr>
          <w:rFonts w:hint="eastAsia" w:ascii="Times New Roman" w:hAnsi="Times New Roman" w:eastAsia="黑体"/>
          <w:color w:val="auto"/>
          <w:sz w:val="44"/>
          <w:szCs w:val="44"/>
          <w:highlight w:val="none"/>
        </w:rPr>
      </w:pPr>
    </w:p>
    <w:p w14:paraId="1BC9592F">
      <w:pPr>
        <w:widowControl/>
        <w:jc w:val="center"/>
        <w:rPr>
          <w:rFonts w:hint="eastAsia" w:ascii="Times New Roman" w:hAnsi="Times New Roman" w:eastAsia="黑体"/>
          <w:color w:val="auto"/>
          <w:sz w:val="44"/>
          <w:szCs w:val="44"/>
          <w:highlight w:val="none"/>
        </w:rPr>
      </w:pPr>
    </w:p>
    <w:p w14:paraId="71FCEC44">
      <w:pPr>
        <w:widowControl/>
        <w:jc w:val="center"/>
        <w:rPr>
          <w:rFonts w:hint="eastAsia" w:ascii="Times New Roman" w:hAnsi="Times New Roman" w:eastAsia="黑体"/>
          <w:color w:val="auto"/>
          <w:sz w:val="44"/>
          <w:szCs w:val="44"/>
          <w:highlight w:val="none"/>
        </w:rPr>
      </w:pPr>
      <w:r>
        <w:drawing>
          <wp:inline distT="0" distB="0" distL="114300" distR="114300">
            <wp:extent cx="5267325" cy="5405755"/>
            <wp:effectExtent l="0" t="0" r="5715" b="4445"/>
            <wp:docPr id="3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4"/>
                    <pic:cNvPicPr>
                      <a:picLocks noChangeAspect="1"/>
                    </pic:cNvPicPr>
                  </pic:nvPicPr>
                  <pic:blipFill>
                    <a:blip r:embed="rId33"/>
                    <a:stretch>
                      <a:fillRect/>
                    </a:stretch>
                  </pic:blipFill>
                  <pic:spPr>
                    <a:xfrm>
                      <a:off x="0" y="0"/>
                      <a:ext cx="5267325" cy="5405755"/>
                    </a:xfrm>
                    <a:prstGeom prst="rect">
                      <a:avLst/>
                    </a:prstGeom>
                    <a:noFill/>
                    <a:ln>
                      <a:noFill/>
                    </a:ln>
                  </pic:spPr>
                </pic:pic>
              </a:graphicData>
            </a:graphic>
          </wp:inline>
        </w:drawing>
      </w:r>
    </w:p>
    <w:p w14:paraId="16E409A6">
      <w:pPr>
        <w:widowControl/>
        <w:jc w:val="center"/>
        <w:rPr>
          <w:rFonts w:hint="eastAsia" w:ascii="Times New Roman" w:hAnsi="Times New Roman" w:eastAsia="黑体"/>
          <w:color w:val="auto"/>
          <w:sz w:val="44"/>
          <w:szCs w:val="44"/>
          <w:highlight w:val="none"/>
        </w:rPr>
      </w:pPr>
    </w:p>
    <w:p w14:paraId="176ECABE">
      <w:pPr>
        <w:widowControl/>
        <w:jc w:val="center"/>
        <w:rPr>
          <w:rFonts w:hint="eastAsia" w:ascii="Times New Roman" w:hAnsi="Times New Roman" w:eastAsia="黑体"/>
          <w:color w:val="auto"/>
          <w:sz w:val="44"/>
          <w:szCs w:val="44"/>
          <w:highlight w:val="none"/>
        </w:rPr>
      </w:pPr>
    </w:p>
    <w:p w14:paraId="2EC4B64E">
      <w:pPr>
        <w:widowControl/>
        <w:jc w:val="center"/>
        <w:rPr>
          <w:rFonts w:hint="eastAsia" w:ascii="Times New Roman" w:hAnsi="Times New Roman" w:eastAsia="黑体"/>
          <w:color w:val="auto"/>
          <w:sz w:val="44"/>
          <w:szCs w:val="44"/>
          <w:highlight w:val="none"/>
        </w:rPr>
      </w:pPr>
    </w:p>
    <w:p w14:paraId="24738489">
      <w:pPr>
        <w:widowControl/>
        <w:jc w:val="center"/>
        <w:rPr>
          <w:rFonts w:hint="eastAsia" w:ascii="Times New Roman" w:hAnsi="Times New Roman" w:eastAsia="黑体"/>
          <w:color w:val="auto"/>
          <w:sz w:val="44"/>
          <w:szCs w:val="44"/>
          <w:highlight w:val="none"/>
        </w:rPr>
      </w:pPr>
      <w:r>
        <w:drawing>
          <wp:inline distT="0" distB="0" distL="114300" distR="114300">
            <wp:extent cx="5266690" cy="5359400"/>
            <wp:effectExtent l="0" t="0" r="6350" b="5080"/>
            <wp:docPr id="3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3"/>
                    <pic:cNvPicPr>
                      <a:picLocks noChangeAspect="1"/>
                    </pic:cNvPicPr>
                  </pic:nvPicPr>
                  <pic:blipFill>
                    <a:blip r:embed="rId34"/>
                    <a:stretch>
                      <a:fillRect/>
                    </a:stretch>
                  </pic:blipFill>
                  <pic:spPr>
                    <a:xfrm>
                      <a:off x="0" y="0"/>
                      <a:ext cx="5266690" cy="5359400"/>
                    </a:xfrm>
                    <a:prstGeom prst="rect">
                      <a:avLst/>
                    </a:prstGeom>
                    <a:noFill/>
                    <a:ln>
                      <a:noFill/>
                    </a:ln>
                  </pic:spPr>
                </pic:pic>
              </a:graphicData>
            </a:graphic>
          </wp:inline>
        </w:drawing>
      </w:r>
    </w:p>
    <w:p w14:paraId="5AD6D487">
      <w:pPr>
        <w:widowControl/>
        <w:jc w:val="center"/>
        <w:rPr>
          <w:rFonts w:hint="eastAsia" w:ascii="Times New Roman" w:hAnsi="Times New Roman" w:eastAsia="黑体"/>
          <w:color w:val="auto"/>
          <w:sz w:val="44"/>
          <w:szCs w:val="44"/>
          <w:highlight w:val="none"/>
        </w:rPr>
      </w:pPr>
    </w:p>
    <w:p w14:paraId="35ED4092">
      <w:pPr>
        <w:widowControl/>
        <w:jc w:val="center"/>
        <w:rPr>
          <w:rFonts w:hint="eastAsia" w:ascii="Times New Roman" w:hAnsi="Times New Roman" w:eastAsia="黑体"/>
          <w:color w:val="auto"/>
          <w:sz w:val="44"/>
          <w:szCs w:val="44"/>
          <w:highlight w:val="none"/>
        </w:rPr>
      </w:pPr>
    </w:p>
    <w:p w14:paraId="37B418D5">
      <w:pPr>
        <w:widowControl/>
        <w:jc w:val="center"/>
        <w:rPr>
          <w:rFonts w:hint="eastAsia" w:ascii="Times New Roman" w:hAnsi="Times New Roman" w:eastAsia="黑体"/>
          <w:color w:val="auto"/>
          <w:sz w:val="44"/>
          <w:szCs w:val="44"/>
          <w:highlight w:val="none"/>
        </w:rPr>
      </w:pPr>
    </w:p>
    <w:p w14:paraId="0EECEDF1">
      <w:pPr>
        <w:widowControl/>
        <w:jc w:val="center"/>
        <w:rPr>
          <w:rFonts w:hint="eastAsia" w:ascii="Times New Roman" w:hAnsi="Times New Roman" w:eastAsia="黑体"/>
          <w:color w:val="auto"/>
          <w:sz w:val="44"/>
          <w:szCs w:val="44"/>
          <w:highlight w:val="none"/>
        </w:rPr>
      </w:pPr>
    </w:p>
    <w:p w14:paraId="54D212F3">
      <w:pPr>
        <w:widowControl/>
        <w:jc w:val="center"/>
        <w:rPr>
          <w:rFonts w:hint="eastAsia" w:ascii="Times New Roman" w:hAnsi="Times New Roman" w:eastAsia="黑体"/>
          <w:color w:val="auto"/>
          <w:sz w:val="44"/>
          <w:szCs w:val="44"/>
          <w:highlight w:val="none"/>
        </w:rPr>
      </w:pPr>
    </w:p>
    <w:p w14:paraId="4628AE8B">
      <w:pPr>
        <w:widowControl/>
        <w:jc w:val="center"/>
        <w:rPr>
          <w:rFonts w:hint="eastAsia" w:ascii="Times New Roman" w:hAnsi="Times New Roman" w:eastAsia="黑体"/>
          <w:color w:val="auto"/>
          <w:sz w:val="44"/>
          <w:szCs w:val="44"/>
          <w:highlight w:val="none"/>
        </w:rPr>
      </w:pPr>
    </w:p>
    <w:p w14:paraId="384393DE">
      <w:pPr>
        <w:widowControl/>
        <w:jc w:val="both"/>
        <w:rPr>
          <w:rFonts w:hint="eastAsia" w:ascii="Times New Roman" w:hAnsi="Times New Roman" w:eastAsia="黑体"/>
          <w:color w:val="auto"/>
          <w:sz w:val="44"/>
          <w:szCs w:val="44"/>
          <w:highlight w:val="none"/>
        </w:rPr>
      </w:pPr>
    </w:p>
    <w:p w14:paraId="212CD26E">
      <w:pPr>
        <w:widowControl/>
        <w:jc w:val="center"/>
        <w:rPr>
          <w:rFonts w:hint="eastAsia" w:ascii="Times New Roman" w:hAnsi="Times New Roman" w:eastAsia="黑体"/>
          <w:color w:val="auto"/>
          <w:sz w:val="44"/>
          <w:szCs w:val="44"/>
          <w:highlight w:val="none"/>
        </w:rPr>
      </w:pPr>
    </w:p>
    <w:p w14:paraId="0692B36B">
      <w:pPr>
        <w:widowControl/>
        <w:jc w:val="center"/>
        <w:rPr>
          <w:rFonts w:hint="eastAsia" w:ascii="Times New Roman" w:hAnsi="Times New Roman" w:eastAsia="黑体"/>
          <w:color w:val="auto"/>
          <w:sz w:val="44"/>
          <w:szCs w:val="44"/>
          <w:highlight w:val="none"/>
        </w:rPr>
      </w:pPr>
      <w:r>
        <w:drawing>
          <wp:inline distT="0" distB="0" distL="114300" distR="114300">
            <wp:extent cx="5265420" cy="5485130"/>
            <wp:effectExtent l="0" t="0" r="7620" b="1270"/>
            <wp:docPr id="3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5"/>
                    <pic:cNvPicPr>
                      <a:picLocks noChangeAspect="1"/>
                    </pic:cNvPicPr>
                  </pic:nvPicPr>
                  <pic:blipFill>
                    <a:blip r:embed="rId35"/>
                    <a:stretch>
                      <a:fillRect/>
                    </a:stretch>
                  </pic:blipFill>
                  <pic:spPr>
                    <a:xfrm>
                      <a:off x="0" y="0"/>
                      <a:ext cx="5265420" cy="5485130"/>
                    </a:xfrm>
                    <a:prstGeom prst="rect">
                      <a:avLst/>
                    </a:prstGeom>
                    <a:noFill/>
                    <a:ln>
                      <a:noFill/>
                    </a:ln>
                  </pic:spPr>
                </pic:pic>
              </a:graphicData>
            </a:graphic>
          </wp:inline>
        </w:drawing>
      </w:r>
    </w:p>
    <w:p w14:paraId="4DE4CA80">
      <w:pPr>
        <w:widowControl/>
        <w:jc w:val="center"/>
        <w:rPr>
          <w:rFonts w:hint="eastAsia" w:ascii="Times New Roman" w:hAnsi="Times New Roman" w:eastAsia="黑体"/>
          <w:color w:val="auto"/>
          <w:sz w:val="44"/>
          <w:szCs w:val="44"/>
          <w:highlight w:val="none"/>
        </w:rPr>
      </w:pPr>
    </w:p>
    <w:p w14:paraId="570C5568">
      <w:pPr>
        <w:widowControl/>
        <w:jc w:val="center"/>
        <w:rPr>
          <w:rFonts w:hint="eastAsia" w:ascii="Times New Roman" w:hAnsi="Times New Roman" w:eastAsia="黑体"/>
          <w:color w:val="auto"/>
          <w:sz w:val="44"/>
          <w:szCs w:val="44"/>
          <w:highlight w:val="none"/>
        </w:rPr>
      </w:pPr>
    </w:p>
    <w:p w14:paraId="34975A92">
      <w:pPr>
        <w:widowControl/>
        <w:jc w:val="center"/>
        <w:rPr>
          <w:rFonts w:hint="eastAsia" w:ascii="Times New Roman" w:hAnsi="Times New Roman" w:eastAsia="黑体"/>
          <w:color w:val="auto"/>
          <w:sz w:val="44"/>
          <w:szCs w:val="44"/>
          <w:highlight w:val="none"/>
        </w:rPr>
      </w:pPr>
    </w:p>
    <w:p w14:paraId="43F8630F">
      <w:pPr>
        <w:widowControl/>
        <w:jc w:val="center"/>
        <w:rPr>
          <w:rFonts w:hint="eastAsia" w:ascii="Times New Roman" w:hAnsi="Times New Roman" w:eastAsia="黑体"/>
          <w:color w:val="auto"/>
          <w:sz w:val="44"/>
          <w:szCs w:val="44"/>
          <w:highlight w:val="none"/>
        </w:rPr>
      </w:pPr>
    </w:p>
    <w:p w14:paraId="2CEAFCCE">
      <w:pPr>
        <w:widowControl/>
        <w:jc w:val="center"/>
        <w:rPr>
          <w:rFonts w:hint="eastAsia" w:ascii="Times New Roman" w:hAnsi="Times New Roman" w:eastAsia="黑体"/>
          <w:color w:val="auto"/>
          <w:sz w:val="44"/>
          <w:szCs w:val="44"/>
          <w:highlight w:val="none"/>
        </w:rPr>
      </w:pPr>
    </w:p>
    <w:p w14:paraId="7628A177">
      <w:pPr>
        <w:widowControl/>
        <w:jc w:val="center"/>
        <w:rPr>
          <w:rFonts w:hint="eastAsia" w:ascii="Times New Roman" w:hAnsi="Times New Roman" w:eastAsia="黑体"/>
          <w:color w:val="auto"/>
          <w:sz w:val="44"/>
          <w:szCs w:val="44"/>
          <w:highlight w:val="none"/>
        </w:rPr>
      </w:pPr>
    </w:p>
    <w:p w14:paraId="3BFA17AE">
      <w:pPr>
        <w:widowControl/>
        <w:jc w:val="center"/>
        <w:rPr>
          <w:rFonts w:hint="eastAsia" w:ascii="Times New Roman" w:hAnsi="Times New Roman" w:eastAsia="黑体"/>
          <w:color w:val="auto"/>
          <w:sz w:val="44"/>
          <w:szCs w:val="44"/>
          <w:highlight w:val="none"/>
        </w:rPr>
      </w:pPr>
    </w:p>
    <w:p w14:paraId="698AA236">
      <w:pPr>
        <w:widowControl/>
        <w:jc w:val="center"/>
        <w:rPr>
          <w:rFonts w:hint="eastAsia" w:ascii="Times New Roman" w:hAnsi="Times New Roman" w:eastAsia="黑体"/>
          <w:color w:val="auto"/>
          <w:sz w:val="44"/>
          <w:szCs w:val="44"/>
          <w:highlight w:val="none"/>
        </w:rPr>
      </w:pPr>
    </w:p>
    <w:p w14:paraId="11D57FC2">
      <w:pPr>
        <w:widowControl/>
        <w:jc w:val="center"/>
        <w:rPr>
          <w:rFonts w:hint="eastAsia" w:ascii="Times New Roman" w:hAnsi="Times New Roman" w:eastAsia="黑体"/>
          <w:color w:val="auto"/>
          <w:sz w:val="44"/>
          <w:szCs w:val="44"/>
          <w:highlight w:val="none"/>
        </w:rPr>
      </w:pPr>
    </w:p>
    <w:p w14:paraId="2144E696">
      <w:pPr>
        <w:widowControl/>
        <w:jc w:val="center"/>
        <w:rPr>
          <w:rFonts w:hint="eastAsia" w:ascii="Times New Roman" w:hAnsi="Times New Roman" w:eastAsia="黑体"/>
          <w:color w:val="auto"/>
          <w:sz w:val="44"/>
          <w:szCs w:val="44"/>
          <w:highlight w:val="none"/>
        </w:rPr>
      </w:pPr>
      <w:r>
        <w:drawing>
          <wp:inline distT="0" distB="0" distL="114300" distR="114300">
            <wp:extent cx="5270500" cy="5524500"/>
            <wp:effectExtent l="0" t="0" r="2540" b="7620"/>
            <wp:docPr id="3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6"/>
                    <pic:cNvPicPr>
                      <a:picLocks noChangeAspect="1"/>
                    </pic:cNvPicPr>
                  </pic:nvPicPr>
                  <pic:blipFill>
                    <a:blip r:embed="rId36"/>
                    <a:stretch>
                      <a:fillRect/>
                    </a:stretch>
                  </pic:blipFill>
                  <pic:spPr>
                    <a:xfrm>
                      <a:off x="0" y="0"/>
                      <a:ext cx="5270500" cy="5524500"/>
                    </a:xfrm>
                    <a:prstGeom prst="rect">
                      <a:avLst/>
                    </a:prstGeom>
                    <a:noFill/>
                    <a:ln>
                      <a:noFill/>
                    </a:ln>
                  </pic:spPr>
                </pic:pic>
              </a:graphicData>
            </a:graphic>
          </wp:inline>
        </w:drawing>
      </w:r>
    </w:p>
    <w:p w14:paraId="2D8E690C">
      <w:pPr>
        <w:widowControl/>
        <w:jc w:val="center"/>
        <w:rPr>
          <w:rFonts w:hint="eastAsia" w:ascii="Times New Roman" w:hAnsi="Times New Roman" w:eastAsia="黑体"/>
          <w:color w:val="auto"/>
          <w:sz w:val="44"/>
          <w:szCs w:val="44"/>
          <w:highlight w:val="none"/>
        </w:rPr>
      </w:pPr>
    </w:p>
    <w:p w14:paraId="4BBA65D2">
      <w:pPr>
        <w:widowControl/>
        <w:jc w:val="center"/>
        <w:rPr>
          <w:rFonts w:hint="eastAsia" w:ascii="Times New Roman" w:hAnsi="Times New Roman" w:eastAsia="黑体"/>
          <w:color w:val="auto"/>
          <w:sz w:val="44"/>
          <w:szCs w:val="44"/>
          <w:highlight w:val="none"/>
        </w:rPr>
      </w:pPr>
    </w:p>
    <w:p w14:paraId="676B81E2">
      <w:pPr>
        <w:widowControl/>
        <w:jc w:val="center"/>
        <w:rPr>
          <w:rFonts w:hint="eastAsia" w:ascii="Times New Roman" w:hAnsi="Times New Roman" w:eastAsia="黑体"/>
          <w:color w:val="auto"/>
          <w:sz w:val="44"/>
          <w:szCs w:val="44"/>
          <w:highlight w:val="none"/>
        </w:rPr>
      </w:pPr>
    </w:p>
    <w:p w14:paraId="71745EA1">
      <w:pPr>
        <w:widowControl/>
        <w:jc w:val="center"/>
        <w:rPr>
          <w:rFonts w:hint="eastAsia" w:ascii="Times New Roman" w:hAnsi="Times New Roman" w:eastAsia="黑体"/>
          <w:color w:val="auto"/>
          <w:sz w:val="44"/>
          <w:szCs w:val="44"/>
          <w:highlight w:val="none"/>
        </w:rPr>
      </w:pPr>
      <w:r>
        <w:drawing>
          <wp:inline distT="0" distB="0" distL="114300" distR="114300">
            <wp:extent cx="5270500" cy="5509260"/>
            <wp:effectExtent l="0" t="0" r="2540" b="7620"/>
            <wp:docPr id="3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8"/>
                    <pic:cNvPicPr>
                      <a:picLocks noChangeAspect="1"/>
                    </pic:cNvPicPr>
                  </pic:nvPicPr>
                  <pic:blipFill>
                    <a:blip r:embed="rId37"/>
                    <a:stretch>
                      <a:fillRect/>
                    </a:stretch>
                  </pic:blipFill>
                  <pic:spPr>
                    <a:xfrm>
                      <a:off x="0" y="0"/>
                      <a:ext cx="5270500" cy="5509260"/>
                    </a:xfrm>
                    <a:prstGeom prst="rect">
                      <a:avLst/>
                    </a:prstGeom>
                    <a:noFill/>
                    <a:ln>
                      <a:noFill/>
                    </a:ln>
                  </pic:spPr>
                </pic:pic>
              </a:graphicData>
            </a:graphic>
          </wp:inline>
        </w:drawing>
      </w:r>
    </w:p>
    <w:p w14:paraId="42587410">
      <w:pPr>
        <w:widowControl/>
        <w:jc w:val="center"/>
        <w:rPr>
          <w:rFonts w:hint="eastAsia" w:ascii="Times New Roman" w:hAnsi="Times New Roman" w:eastAsia="黑体"/>
          <w:color w:val="auto"/>
          <w:sz w:val="44"/>
          <w:szCs w:val="44"/>
          <w:highlight w:val="none"/>
        </w:rPr>
      </w:pPr>
    </w:p>
    <w:p w14:paraId="7279D48D">
      <w:pPr>
        <w:widowControl/>
        <w:jc w:val="center"/>
        <w:rPr>
          <w:rFonts w:hint="eastAsia" w:ascii="Times New Roman" w:hAnsi="Times New Roman" w:eastAsia="黑体"/>
          <w:color w:val="auto"/>
          <w:sz w:val="44"/>
          <w:szCs w:val="44"/>
          <w:highlight w:val="none"/>
        </w:rPr>
      </w:pPr>
    </w:p>
    <w:p w14:paraId="618E55D8">
      <w:pPr>
        <w:widowControl/>
        <w:jc w:val="center"/>
        <w:rPr>
          <w:rFonts w:hint="eastAsia" w:ascii="Times New Roman" w:hAnsi="Times New Roman" w:eastAsia="黑体"/>
          <w:color w:val="auto"/>
          <w:sz w:val="44"/>
          <w:szCs w:val="44"/>
          <w:highlight w:val="none"/>
        </w:rPr>
      </w:pPr>
    </w:p>
    <w:p w14:paraId="5C96731E">
      <w:pPr>
        <w:widowControl/>
        <w:jc w:val="center"/>
        <w:rPr>
          <w:rFonts w:hint="eastAsia" w:ascii="Times New Roman" w:hAnsi="Times New Roman" w:eastAsia="黑体"/>
          <w:color w:val="auto"/>
          <w:sz w:val="44"/>
          <w:szCs w:val="44"/>
          <w:highlight w:val="none"/>
        </w:rPr>
      </w:pPr>
    </w:p>
    <w:p w14:paraId="68A95EA0">
      <w:pPr>
        <w:widowControl/>
        <w:jc w:val="center"/>
        <w:rPr>
          <w:rFonts w:hint="eastAsia" w:ascii="Times New Roman" w:hAnsi="Times New Roman" w:eastAsia="黑体"/>
          <w:color w:val="auto"/>
          <w:sz w:val="44"/>
          <w:szCs w:val="44"/>
          <w:highlight w:val="none"/>
        </w:rPr>
      </w:pPr>
    </w:p>
    <w:p w14:paraId="69E4F0A1">
      <w:pPr>
        <w:widowControl/>
        <w:jc w:val="center"/>
        <w:rPr>
          <w:rFonts w:hint="eastAsia" w:ascii="Times New Roman" w:hAnsi="Times New Roman" w:eastAsia="黑体"/>
          <w:color w:val="auto"/>
          <w:sz w:val="44"/>
          <w:szCs w:val="44"/>
          <w:highlight w:val="none"/>
        </w:rPr>
      </w:pPr>
    </w:p>
    <w:p w14:paraId="7C6C35AF">
      <w:pPr>
        <w:widowControl/>
        <w:jc w:val="both"/>
        <w:rPr>
          <w:rFonts w:hint="eastAsia" w:ascii="Times New Roman" w:hAnsi="Times New Roman" w:eastAsia="黑体"/>
          <w:color w:val="auto"/>
          <w:sz w:val="44"/>
          <w:szCs w:val="44"/>
          <w:highlight w:val="none"/>
        </w:rPr>
      </w:pPr>
    </w:p>
    <w:p w14:paraId="179236C9">
      <w:pPr>
        <w:widowControl/>
        <w:jc w:val="center"/>
        <w:rPr>
          <w:rFonts w:hint="eastAsia" w:ascii="Times New Roman" w:hAnsi="Times New Roman" w:eastAsia="黑体"/>
          <w:color w:val="auto"/>
          <w:sz w:val="44"/>
          <w:szCs w:val="44"/>
          <w:highlight w:val="none"/>
        </w:rPr>
      </w:pPr>
    </w:p>
    <w:p w14:paraId="2E436F2F">
      <w:pPr>
        <w:widowControl/>
        <w:jc w:val="center"/>
        <w:rPr>
          <w:rFonts w:hint="eastAsia" w:ascii="Times New Roman" w:hAnsi="Times New Roman" w:eastAsia="黑体"/>
          <w:color w:val="auto"/>
          <w:sz w:val="44"/>
          <w:szCs w:val="44"/>
          <w:highlight w:val="none"/>
        </w:rPr>
      </w:pPr>
      <w:r>
        <w:drawing>
          <wp:inline distT="0" distB="0" distL="114300" distR="114300">
            <wp:extent cx="5264785" cy="5629910"/>
            <wp:effectExtent l="0" t="0" r="8255" b="8890"/>
            <wp:docPr id="3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7"/>
                    <pic:cNvPicPr>
                      <a:picLocks noChangeAspect="1"/>
                    </pic:cNvPicPr>
                  </pic:nvPicPr>
                  <pic:blipFill>
                    <a:blip r:embed="rId38"/>
                    <a:stretch>
                      <a:fillRect/>
                    </a:stretch>
                  </pic:blipFill>
                  <pic:spPr>
                    <a:xfrm>
                      <a:off x="0" y="0"/>
                      <a:ext cx="5264785" cy="5629910"/>
                    </a:xfrm>
                    <a:prstGeom prst="rect">
                      <a:avLst/>
                    </a:prstGeom>
                    <a:noFill/>
                    <a:ln>
                      <a:noFill/>
                    </a:ln>
                  </pic:spPr>
                </pic:pic>
              </a:graphicData>
            </a:graphic>
          </wp:inline>
        </w:drawing>
      </w:r>
    </w:p>
    <w:p w14:paraId="58041EB5">
      <w:pPr>
        <w:widowControl/>
        <w:jc w:val="center"/>
        <w:rPr>
          <w:rFonts w:hint="eastAsia" w:ascii="Times New Roman" w:hAnsi="Times New Roman" w:eastAsia="黑体"/>
          <w:color w:val="auto"/>
          <w:sz w:val="44"/>
          <w:szCs w:val="44"/>
          <w:highlight w:val="none"/>
        </w:rPr>
      </w:pPr>
    </w:p>
    <w:p w14:paraId="0DC3FF0D">
      <w:pPr>
        <w:widowControl/>
        <w:jc w:val="center"/>
        <w:rPr>
          <w:rFonts w:hint="eastAsia" w:ascii="Times New Roman" w:hAnsi="Times New Roman" w:eastAsia="黑体"/>
          <w:color w:val="auto"/>
          <w:sz w:val="44"/>
          <w:szCs w:val="44"/>
          <w:highlight w:val="none"/>
        </w:rPr>
      </w:pPr>
    </w:p>
    <w:p w14:paraId="2A6D5B5B">
      <w:pPr>
        <w:widowControl/>
        <w:jc w:val="center"/>
        <w:rPr>
          <w:rFonts w:hint="eastAsia" w:ascii="Times New Roman" w:hAnsi="Times New Roman" w:eastAsia="黑体"/>
          <w:color w:val="auto"/>
          <w:sz w:val="44"/>
          <w:szCs w:val="44"/>
          <w:highlight w:val="none"/>
        </w:rPr>
      </w:pPr>
    </w:p>
    <w:p w14:paraId="440461F3">
      <w:pPr>
        <w:widowControl/>
        <w:jc w:val="center"/>
        <w:rPr>
          <w:rFonts w:hint="eastAsia" w:ascii="Times New Roman" w:hAnsi="Times New Roman" w:eastAsia="黑体"/>
          <w:color w:val="auto"/>
          <w:sz w:val="44"/>
          <w:szCs w:val="44"/>
          <w:highlight w:val="none"/>
        </w:rPr>
      </w:pPr>
    </w:p>
    <w:p w14:paraId="4CD4A11D">
      <w:pPr>
        <w:widowControl/>
        <w:jc w:val="center"/>
        <w:rPr>
          <w:rFonts w:hint="eastAsia" w:ascii="Times New Roman" w:hAnsi="Times New Roman" w:eastAsia="黑体"/>
          <w:color w:val="auto"/>
          <w:sz w:val="44"/>
          <w:szCs w:val="44"/>
          <w:highlight w:val="none"/>
        </w:rPr>
      </w:pPr>
    </w:p>
    <w:p w14:paraId="6EB62B8A">
      <w:pPr>
        <w:widowControl/>
        <w:jc w:val="center"/>
        <w:rPr>
          <w:rFonts w:hint="eastAsia" w:ascii="Times New Roman" w:hAnsi="Times New Roman" w:eastAsia="黑体"/>
          <w:color w:val="auto"/>
          <w:sz w:val="44"/>
          <w:szCs w:val="44"/>
          <w:highlight w:val="none"/>
        </w:rPr>
      </w:pPr>
      <w:r>
        <w:drawing>
          <wp:inline distT="0" distB="0" distL="114300" distR="114300">
            <wp:extent cx="5270500" cy="5628640"/>
            <wp:effectExtent l="0" t="0" r="2540" b="10160"/>
            <wp:docPr id="3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9"/>
                    <pic:cNvPicPr>
                      <a:picLocks noChangeAspect="1"/>
                    </pic:cNvPicPr>
                  </pic:nvPicPr>
                  <pic:blipFill>
                    <a:blip r:embed="rId39"/>
                    <a:stretch>
                      <a:fillRect/>
                    </a:stretch>
                  </pic:blipFill>
                  <pic:spPr>
                    <a:xfrm>
                      <a:off x="0" y="0"/>
                      <a:ext cx="5270500" cy="5628640"/>
                    </a:xfrm>
                    <a:prstGeom prst="rect">
                      <a:avLst/>
                    </a:prstGeom>
                    <a:noFill/>
                    <a:ln>
                      <a:noFill/>
                    </a:ln>
                  </pic:spPr>
                </pic:pic>
              </a:graphicData>
            </a:graphic>
          </wp:inline>
        </w:drawing>
      </w:r>
    </w:p>
    <w:p w14:paraId="2D95946D">
      <w:pPr>
        <w:widowControl/>
        <w:jc w:val="center"/>
        <w:rPr>
          <w:rFonts w:hint="eastAsia" w:ascii="Times New Roman" w:hAnsi="Times New Roman" w:eastAsia="黑体"/>
          <w:color w:val="auto"/>
          <w:sz w:val="44"/>
          <w:szCs w:val="44"/>
          <w:highlight w:val="none"/>
        </w:rPr>
      </w:pPr>
    </w:p>
    <w:p w14:paraId="6654FC8F">
      <w:pPr>
        <w:widowControl/>
        <w:jc w:val="center"/>
        <w:rPr>
          <w:rFonts w:hint="eastAsia" w:ascii="Times New Roman" w:hAnsi="Times New Roman" w:eastAsia="黑体"/>
          <w:color w:val="auto"/>
          <w:sz w:val="44"/>
          <w:szCs w:val="44"/>
          <w:highlight w:val="none"/>
        </w:rPr>
      </w:pPr>
    </w:p>
    <w:p w14:paraId="1DD742A9">
      <w:pPr>
        <w:widowControl/>
        <w:jc w:val="center"/>
        <w:rPr>
          <w:rFonts w:hint="eastAsia" w:ascii="Times New Roman" w:hAnsi="Times New Roman" w:eastAsia="黑体"/>
          <w:color w:val="auto"/>
          <w:sz w:val="44"/>
          <w:szCs w:val="44"/>
          <w:highlight w:val="none"/>
        </w:rPr>
      </w:pPr>
    </w:p>
    <w:p w14:paraId="78379D08">
      <w:pPr>
        <w:widowControl/>
        <w:jc w:val="center"/>
        <w:rPr>
          <w:rFonts w:hint="eastAsia" w:ascii="Times New Roman" w:hAnsi="Times New Roman" w:eastAsia="黑体"/>
          <w:color w:val="auto"/>
          <w:sz w:val="44"/>
          <w:szCs w:val="44"/>
          <w:highlight w:val="none"/>
        </w:rPr>
      </w:pPr>
    </w:p>
    <w:p w14:paraId="69751365">
      <w:pPr>
        <w:widowControl/>
        <w:jc w:val="center"/>
        <w:rPr>
          <w:rFonts w:hint="eastAsia" w:ascii="Times New Roman" w:hAnsi="Times New Roman" w:eastAsia="黑体"/>
          <w:color w:val="auto"/>
          <w:sz w:val="44"/>
          <w:szCs w:val="44"/>
          <w:highlight w:val="none"/>
        </w:rPr>
      </w:pPr>
    </w:p>
    <w:p w14:paraId="688E9CBC">
      <w:pPr>
        <w:widowControl/>
        <w:jc w:val="center"/>
        <w:rPr>
          <w:rFonts w:hint="eastAsia" w:ascii="Times New Roman" w:hAnsi="Times New Roman" w:eastAsia="黑体"/>
          <w:color w:val="auto"/>
          <w:sz w:val="44"/>
          <w:szCs w:val="44"/>
          <w:highlight w:val="none"/>
        </w:rPr>
      </w:pPr>
    </w:p>
    <w:p w14:paraId="6479DA41">
      <w:pPr>
        <w:widowControl/>
        <w:jc w:val="both"/>
        <w:rPr>
          <w:rFonts w:hint="eastAsia" w:ascii="Times New Roman" w:hAnsi="Times New Roman" w:eastAsia="黑体"/>
          <w:color w:val="auto"/>
          <w:sz w:val="44"/>
          <w:szCs w:val="44"/>
          <w:highlight w:val="none"/>
        </w:rPr>
      </w:pPr>
    </w:p>
    <w:p w14:paraId="0AC26550">
      <w:pPr>
        <w:widowControl/>
        <w:jc w:val="both"/>
        <w:rPr>
          <w:rFonts w:hint="eastAsia" w:ascii="Times New Roman" w:hAnsi="Times New Roman" w:eastAsia="黑体"/>
          <w:color w:val="auto"/>
          <w:sz w:val="44"/>
          <w:szCs w:val="44"/>
          <w:highlight w:val="none"/>
        </w:rPr>
      </w:pPr>
    </w:p>
    <w:p w14:paraId="64715040">
      <w:pPr>
        <w:widowControl/>
        <w:jc w:val="center"/>
        <w:rPr>
          <w:rFonts w:hint="eastAsia" w:ascii="Times New Roman" w:hAnsi="Times New Roman" w:eastAsia="黑体"/>
          <w:color w:val="auto"/>
          <w:sz w:val="44"/>
          <w:szCs w:val="44"/>
          <w:highlight w:val="none"/>
        </w:rPr>
      </w:pPr>
    </w:p>
    <w:p w14:paraId="42E80E4D">
      <w:pPr>
        <w:widowControl/>
        <w:jc w:val="center"/>
        <w:rPr>
          <w:rFonts w:hint="eastAsia" w:ascii="Times New Roman" w:hAnsi="Times New Roman" w:eastAsia="仿宋"/>
          <w:b w:val="0"/>
          <w:color w:val="auto"/>
          <w:highlight w:val="none"/>
        </w:rPr>
      </w:pPr>
      <w:r>
        <w:rPr>
          <w:rFonts w:hint="eastAsia" w:ascii="Times New Roman" w:hAnsi="Times New Roman" w:eastAsia="黑体"/>
          <w:color w:val="auto"/>
          <w:sz w:val="44"/>
          <w:szCs w:val="44"/>
          <w:highlight w:val="none"/>
        </w:rPr>
        <w:t>第</w:t>
      </w:r>
      <w:r>
        <w:rPr>
          <w:rStyle w:val="28"/>
          <w:rFonts w:hint="eastAsia" w:ascii="Times New Roman" w:hAnsi="Times New Roman" w:eastAsia="黑体"/>
          <w:b w:val="0"/>
          <w:color w:val="auto"/>
          <w:highlight w:val="none"/>
        </w:rPr>
        <w:t>五部分 附表</w:t>
      </w:r>
      <w:bookmarkEnd w:id="103"/>
      <w:bookmarkEnd w:id="108"/>
      <w:bookmarkStart w:id="109" w:name="_Toc15396619"/>
    </w:p>
    <w:p w14:paraId="086A2550">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p>
    <w:p w14:paraId="43233130">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一、收入支出决算总表</w:t>
      </w:r>
      <w:bookmarkEnd w:id="109"/>
    </w:p>
    <w:p w14:paraId="738B570A">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110" w:name="_Toc15396620"/>
      <w:r>
        <w:rPr>
          <w:rFonts w:hint="eastAsia" w:ascii="Times New Roman" w:hAnsi="Times New Roman" w:eastAsia="仿宋_GB2312" w:cs="仿宋_GB2312"/>
          <w:color w:val="auto"/>
          <w:sz w:val="32"/>
          <w:szCs w:val="32"/>
          <w:highlight w:val="none"/>
        </w:rPr>
        <w:t>二、收入决算表</w:t>
      </w:r>
      <w:bookmarkEnd w:id="110"/>
    </w:p>
    <w:p w14:paraId="363875C0">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111" w:name="_Toc15396621"/>
      <w:r>
        <w:rPr>
          <w:rFonts w:hint="eastAsia" w:ascii="Times New Roman" w:hAnsi="Times New Roman" w:eastAsia="仿宋_GB2312" w:cs="仿宋_GB2312"/>
          <w:color w:val="auto"/>
          <w:sz w:val="32"/>
          <w:szCs w:val="32"/>
          <w:highlight w:val="none"/>
        </w:rPr>
        <w:t>三、支出决算表</w:t>
      </w:r>
      <w:bookmarkEnd w:id="111"/>
    </w:p>
    <w:p w14:paraId="2D06D475">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112" w:name="_Toc15396622"/>
      <w:r>
        <w:rPr>
          <w:rFonts w:hint="eastAsia" w:ascii="Times New Roman" w:hAnsi="Times New Roman" w:eastAsia="仿宋_GB2312" w:cs="仿宋_GB2312"/>
          <w:color w:val="auto"/>
          <w:sz w:val="32"/>
          <w:szCs w:val="32"/>
          <w:highlight w:val="none"/>
        </w:rPr>
        <w:t>四、财政拨款收入支出决算总表</w:t>
      </w:r>
      <w:bookmarkEnd w:id="112"/>
    </w:p>
    <w:p w14:paraId="3B18C68F">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113" w:name="_Toc15396623"/>
      <w:r>
        <w:rPr>
          <w:rFonts w:hint="eastAsia" w:ascii="Times New Roman" w:hAnsi="Times New Roman" w:eastAsia="仿宋_GB2312" w:cs="仿宋_GB2312"/>
          <w:color w:val="auto"/>
          <w:sz w:val="32"/>
          <w:szCs w:val="32"/>
          <w:highlight w:val="none"/>
        </w:rPr>
        <w:t>五、财政拨款支出决算明细表</w:t>
      </w:r>
      <w:bookmarkEnd w:id="113"/>
      <w:bookmarkStart w:id="114" w:name="_Toc15396624"/>
    </w:p>
    <w:p w14:paraId="77E778E5">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六、一般公共预算财政拨款支出决算表</w:t>
      </w:r>
      <w:bookmarkEnd w:id="114"/>
    </w:p>
    <w:p w14:paraId="18A02896">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115" w:name="_Toc15396625"/>
      <w:r>
        <w:rPr>
          <w:rFonts w:hint="eastAsia" w:ascii="Times New Roman" w:hAnsi="Times New Roman" w:eastAsia="仿宋_GB2312" w:cs="仿宋_GB2312"/>
          <w:color w:val="auto"/>
          <w:sz w:val="32"/>
          <w:szCs w:val="32"/>
          <w:highlight w:val="none"/>
        </w:rPr>
        <w:t>七、一般公共预算财政拨款支出决算明细表</w:t>
      </w:r>
      <w:bookmarkEnd w:id="115"/>
    </w:p>
    <w:p w14:paraId="15C376D4">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116" w:name="_Toc15396626"/>
      <w:r>
        <w:rPr>
          <w:rFonts w:hint="eastAsia" w:ascii="Times New Roman" w:hAnsi="Times New Roman" w:eastAsia="仿宋_GB2312" w:cs="仿宋_GB2312"/>
          <w:color w:val="auto"/>
          <w:sz w:val="32"/>
          <w:szCs w:val="32"/>
          <w:highlight w:val="none"/>
        </w:rPr>
        <w:t>八、一般公共预算财政拨款基本支出决算表</w:t>
      </w:r>
      <w:bookmarkEnd w:id="116"/>
    </w:p>
    <w:p w14:paraId="6F3BEC86">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117" w:name="_Toc15396627"/>
      <w:r>
        <w:rPr>
          <w:rFonts w:hint="eastAsia" w:ascii="Times New Roman" w:hAnsi="Times New Roman" w:eastAsia="仿宋_GB2312" w:cs="仿宋_GB2312"/>
          <w:color w:val="auto"/>
          <w:sz w:val="32"/>
          <w:szCs w:val="32"/>
          <w:highlight w:val="none"/>
        </w:rPr>
        <w:t>九、一般公共预算财政拨款项目支出决算表</w:t>
      </w:r>
      <w:bookmarkEnd w:id="117"/>
    </w:p>
    <w:p w14:paraId="02858A7F">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118" w:name="_Toc15396628"/>
      <w:r>
        <w:rPr>
          <w:rFonts w:hint="eastAsia" w:ascii="Times New Roman" w:hAnsi="Times New Roman" w:eastAsia="仿宋_GB2312" w:cs="仿宋_GB2312"/>
          <w:color w:val="auto"/>
          <w:sz w:val="32"/>
          <w:szCs w:val="32"/>
          <w:highlight w:val="none"/>
        </w:rPr>
        <w:t>十、</w:t>
      </w:r>
      <w:bookmarkEnd w:id="118"/>
      <w:r>
        <w:rPr>
          <w:rFonts w:hint="eastAsia" w:ascii="Times New Roman" w:hAnsi="Times New Roman" w:eastAsia="仿宋_GB2312" w:cs="仿宋_GB2312"/>
          <w:color w:val="auto"/>
          <w:sz w:val="32"/>
          <w:szCs w:val="32"/>
          <w:highlight w:val="none"/>
        </w:rPr>
        <w:t>政府性基金预算财政拨款收入支出决算表</w:t>
      </w:r>
    </w:p>
    <w:p w14:paraId="30117344">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119" w:name="_Toc15396629"/>
      <w:r>
        <w:rPr>
          <w:rFonts w:hint="eastAsia" w:ascii="Times New Roman" w:hAnsi="Times New Roman" w:eastAsia="仿宋_GB2312" w:cs="仿宋_GB2312"/>
          <w:color w:val="auto"/>
          <w:sz w:val="32"/>
          <w:szCs w:val="32"/>
          <w:highlight w:val="none"/>
        </w:rPr>
        <w:t>十一、</w:t>
      </w:r>
      <w:bookmarkEnd w:id="119"/>
      <w:r>
        <w:rPr>
          <w:rFonts w:hint="eastAsia" w:ascii="Times New Roman" w:hAnsi="Times New Roman" w:eastAsia="仿宋_GB2312" w:cs="仿宋_GB2312"/>
          <w:color w:val="auto"/>
          <w:sz w:val="32"/>
          <w:szCs w:val="32"/>
          <w:highlight w:val="none"/>
        </w:rPr>
        <w:t>国有资本经营预算</w:t>
      </w:r>
      <w:r>
        <w:rPr>
          <w:rFonts w:hint="eastAsia" w:ascii="Times New Roman" w:hAnsi="Times New Roman" w:eastAsia="仿宋_GB2312" w:cs="仿宋_GB2312"/>
          <w:color w:val="auto"/>
          <w:sz w:val="32"/>
          <w:szCs w:val="32"/>
          <w:highlight w:val="none"/>
          <w:lang w:eastAsia="zh-CN"/>
        </w:rPr>
        <w:t>财政拨款收入</w:t>
      </w:r>
      <w:r>
        <w:rPr>
          <w:rFonts w:hint="eastAsia" w:ascii="Times New Roman" w:hAnsi="Times New Roman" w:eastAsia="仿宋_GB2312" w:cs="仿宋_GB2312"/>
          <w:color w:val="auto"/>
          <w:sz w:val="32"/>
          <w:szCs w:val="32"/>
          <w:highlight w:val="none"/>
        </w:rPr>
        <w:t>支出决算表</w:t>
      </w:r>
    </w:p>
    <w:p w14:paraId="3D548E6F">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120" w:name="_Toc15396630"/>
      <w:r>
        <w:rPr>
          <w:rFonts w:hint="eastAsia" w:ascii="Times New Roman" w:hAnsi="Times New Roman" w:eastAsia="仿宋_GB2312" w:cs="仿宋_GB2312"/>
          <w:color w:val="auto"/>
          <w:sz w:val="32"/>
          <w:szCs w:val="32"/>
          <w:highlight w:val="none"/>
        </w:rPr>
        <w:t>十二、</w:t>
      </w:r>
      <w:bookmarkEnd w:id="120"/>
      <w:r>
        <w:rPr>
          <w:rFonts w:hint="eastAsia" w:ascii="Times New Roman" w:hAnsi="Times New Roman" w:eastAsia="仿宋_GB2312" w:cs="仿宋_GB2312"/>
          <w:color w:val="auto"/>
          <w:sz w:val="32"/>
          <w:szCs w:val="32"/>
          <w:highlight w:val="none"/>
          <w:lang w:eastAsia="zh-CN"/>
        </w:rPr>
        <w:t>国有资本经营预算财政拨款支出决算表</w:t>
      </w:r>
    </w:p>
    <w:p w14:paraId="77988231">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lang w:eastAsia="zh-CN"/>
        </w:rPr>
      </w:pPr>
      <w:bookmarkStart w:id="121" w:name="_Toc15396631"/>
      <w:r>
        <w:rPr>
          <w:rFonts w:hint="eastAsia" w:ascii="Times New Roman" w:hAnsi="Times New Roman" w:eastAsia="仿宋_GB2312" w:cs="仿宋_GB2312"/>
          <w:color w:val="auto"/>
          <w:sz w:val="32"/>
          <w:szCs w:val="32"/>
          <w:highlight w:val="none"/>
        </w:rPr>
        <w:t>十三、</w:t>
      </w:r>
      <w:bookmarkEnd w:id="121"/>
      <w:r>
        <w:rPr>
          <w:rFonts w:hint="eastAsia" w:ascii="Times New Roman" w:hAnsi="Times New Roman" w:eastAsia="仿宋_GB2312" w:cs="仿宋_GB2312"/>
          <w:color w:val="auto"/>
          <w:sz w:val="32"/>
          <w:szCs w:val="32"/>
          <w:highlight w:val="none"/>
          <w:lang w:eastAsia="zh-CN"/>
        </w:rPr>
        <w:t>财政拨款“三公”经费支出决算表</w:t>
      </w:r>
    </w:p>
    <w:p w14:paraId="3E3A9EE9">
      <w:pPr>
        <w:rPr>
          <w:rFonts w:hint="eastAsia" w:ascii="Times New Roman" w:hAnsi="Times New Roman"/>
          <w:lang w:eastAsia="zh-CN"/>
        </w:rPr>
      </w:pPr>
    </w:p>
    <w:sectPr>
      <w:headerReference r:id="rId4" w:type="first"/>
      <w:footerReference r:id="rId7" w:type="first"/>
      <w:headerReference r:id="rId3" w:type="default"/>
      <w:footerReference r:id="rId5" w:type="default"/>
      <w:footerReference r:id="rId6" w:type="even"/>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小标宋简体">
    <w:altName w:val="黑体"/>
    <w:panose1 w:val="03000509000000000000"/>
    <w:charset w:val="86"/>
    <w:family w:val="script"/>
    <w:pitch w:val="default"/>
    <w:sig w:usb0="00000000" w:usb1="00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仿宋简体">
    <w:altName w:val="微软雅黑"/>
    <w:panose1 w:val="02010601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D8281">
    <w:pPr>
      <w:pStyle w:val="9"/>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714E67">
                          <w:pPr>
                            <w:pStyle w:val="9"/>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14714E67">
                    <w:pPr>
                      <w:pStyle w:val="9"/>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p w14:paraId="08D59DA8">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35258">
    <w:pPr>
      <w:pStyle w:val="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D450C2">
                          <w:pPr>
                            <w:pStyle w:val="9"/>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48D450C2">
                    <w:pPr>
                      <w:pStyle w:val="9"/>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681ED">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D7AB6">
    <w:pPr>
      <w:pStyle w:val="1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42E18">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AA6C2E"/>
    <w:multiLevelType w:val="singleLevel"/>
    <w:tmpl w:val="93AA6C2E"/>
    <w:lvl w:ilvl="0" w:tentative="0">
      <w:start w:val="1"/>
      <w:numFmt w:val="decimal"/>
      <w:lvlText w:val="%1."/>
      <w:lvlJc w:val="left"/>
      <w:pPr>
        <w:tabs>
          <w:tab w:val="left" w:pos="312"/>
        </w:tabs>
      </w:pPr>
    </w:lvl>
  </w:abstractNum>
  <w:abstractNum w:abstractNumId="1">
    <w:nsid w:val="F90D5BB0"/>
    <w:multiLevelType w:val="singleLevel"/>
    <w:tmpl w:val="F90D5BB0"/>
    <w:lvl w:ilvl="0" w:tentative="0">
      <w:start w:val="1"/>
      <w:numFmt w:val="chineseCounting"/>
      <w:suff w:val="nothing"/>
      <w:lvlText w:val="%1、"/>
      <w:lvlJc w:val="left"/>
      <w:rPr>
        <w:rFonts w:hint="eastAsia"/>
      </w:rPr>
    </w:lvl>
  </w:abstractNum>
  <w:abstractNum w:abstractNumId="2">
    <w:nsid w:val="2F4730A7"/>
    <w:multiLevelType w:val="singleLevel"/>
    <w:tmpl w:val="2F4730A7"/>
    <w:lvl w:ilvl="0" w:tentative="0">
      <w:start w:val="12"/>
      <w:numFmt w:val="decimal"/>
      <w:lvlText w:val="%1."/>
      <w:lvlJc w:val="left"/>
      <w:pPr>
        <w:tabs>
          <w:tab w:val="left" w:pos="312"/>
        </w:tabs>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B33"/>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B6EB2"/>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4633"/>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12A5EC2"/>
    <w:rsid w:val="015975B8"/>
    <w:rsid w:val="01D95357"/>
    <w:rsid w:val="028141A1"/>
    <w:rsid w:val="02FEBE30"/>
    <w:rsid w:val="04916F1E"/>
    <w:rsid w:val="061E35DE"/>
    <w:rsid w:val="066E0107"/>
    <w:rsid w:val="07996F6E"/>
    <w:rsid w:val="07DFD8BA"/>
    <w:rsid w:val="09867E8F"/>
    <w:rsid w:val="0A2032A3"/>
    <w:rsid w:val="0BC419DA"/>
    <w:rsid w:val="0CA8290A"/>
    <w:rsid w:val="0D35B1ED"/>
    <w:rsid w:val="0E254B6B"/>
    <w:rsid w:val="0F98263C"/>
    <w:rsid w:val="101860EC"/>
    <w:rsid w:val="101F47CC"/>
    <w:rsid w:val="10C055FF"/>
    <w:rsid w:val="11694EBD"/>
    <w:rsid w:val="11772AA4"/>
    <w:rsid w:val="118107EC"/>
    <w:rsid w:val="12E24EE2"/>
    <w:rsid w:val="136F2A42"/>
    <w:rsid w:val="13D50BC4"/>
    <w:rsid w:val="14B17F78"/>
    <w:rsid w:val="15560D43"/>
    <w:rsid w:val="165E0673"/>
    <w:rsid w:val="16B831D5"/>
    <w:rsid w:val="16BB723D"/>
    <w:rsid w:val="17E50567"/>
    <w:rsid w:val="186504BB"/>
    <w:rsid w:val="194D0714"/>
    <w:rsid w:val="19A445FC"/>
    <w:rsid w:val="1BE8440E"/>
    <w:rsid w:val="1D155CEE"/>
    <w:rsid w:val="1D1638FE"/>
    <w:rsid w:val="1E312DEB"/>
    <w:rsid w:val="1E740ACF"/>
    <w:rsid w:val="1E752555"/>
    <w:rsid w:val="1ED97B79"/>
    <w:rsid w:val="1FF35744"/>
    <w:rsid w:val="1FF6BC77"/>
    <w:rsid w:val="209E6FDA"/>
    <w:rsid w:val="216D32B2"/>
    <w:rsid w:val="2186353C"/>
    <w:rsid w:val="23860B96"/>
    <w:rsid w:val="240371BF"/>
    <w:rsid w:val="244F3473"/>
    <w:rsid w:val="24C97D99"/>
    <w:rsid w:val="25A718F0"/>
    <w:rsid w:val="25BB59F6"/>
    <w:rsid w:val="260F557C"/>
    <w:rsid w:val="26970054"/>
    <w:rsid w:val="26F13CDB"/>
    <w:rsid w:val="281408E2"/>
    <w:rsid w:val="29B316AE"/>
    <w:rsid w:val="29FD04D3"/>
    <w:rsid w:val="2BFF7BC6"/>
    <w:rsid w:val="2C8A61B5"/>
    <w:rsid w:val="2DAD7466"/>
    <w:rsid w:val="2DF04E50"/>
    <w:rsid w:val="2E586DFA"/>
    <w:rsid w:val="2F040D46"/>
    <w:rsid w:val="2F6B035B"/>
    <w:rsid w:val="2FAE5751"/>
    <w:rsid w:val="2FB1A395"/>
    <w:rsid w:val="2FD9A7D8"/>
    <w:rsid w:val="2FDBF714"/>
    <w:rsid w:val="30AB6865"/>
    <w:rsid w:val="319F7F4E"/>
    <w:rsid w:val="32BD1EF1"/>
    <w:rsid w:val="3304709D"/>
    <w:rsid w:val="33626A43"/>
    <w:rsid w:val="33A773CB"/>
    <w:rsid w:val="349D6851"/>
    <w:rsid w:val="35EC646D"/>
    <w:rsid w:val="36AA5135"/>
    <w:rsid w:val="36BE0DA7"/>
    <w:rsid w:val="376B6AA6"/>
    <w:rsid w:val="376D39B2"/>
    <w:rsid w:val="37E16F03"/>
    <w:rsid w:val="37F53A3B"/>
    <w:rsid w:val="38657D0A"/>
    <w:rsid w:val="389B6C89"/>
    <w:rsid w:val="38B357B0"/>
    <w:rsid w:val="38D469F0"/>
    <w:rsid w:val="39627CCD"/>
    <w:rsid w:val="397BAF1F"/>
    <w:rsid w:val="3AB79AF3"/>
    <w:rsid w:val="3AE834C0"/>
    <w:rsid w:val="3B7346FF"/>
    <w:rsid w:val="3B7EF35A"/>
    <w:rsid w:val="3B9FDB6C"/>
    <w:rsid w:val="3BF5BC2F"/>
    <w:rsid w:val="3C5A47FB"/>
    <w:rsid w:val="3CEBA265"/>
    <w:rsid w:val="3D98207C"/>
    <w:rsid w:val="3DEE7CF3"/>
    <w:rsid w:val="3E740A63"/>
    <w:rsid w:val="3E78745D"/>
    <w:rsid w:val="3EE17838"/>
    <w:rsid w:val="3F55381A"/>
    <w:rsid w:val="3F7F7599"/>
    <w:rsid w:val="3FF4CAE0"/>
    <w:rsid w:val="3FF7B227"/>
    <w:rsid w:val="425E2E8E"/>
    <w:rsid w:val="4339005D"/>
    <w:rsid w:val="44E268DA"/>
    <w:rsid w:val="450D13D7"/>
    <w:rsid w:val="45506656"/>
    <w:rsid w:val="45FF429E"/>
    <w:rsid w:val="46967740"/>
    <w:rsid w:val="486A6C7A"/>
    <w:rsid w:val="497E0EED"/>
    <w:rsid w:val="4A627F82"/>
    <w:rsid w:val="4B0E749A"/>
    <w:rsid w:val="4B2477C4"/>
    <w:rsid w:val="4B4F25DA"/>
    <w:rsid w:val="4BE068DB"/>
    <w:rsid w:val="4C9B473E"/>
    <w:rsid w:val="4D577224"/>
    <w:rsid w:val="4DBF1CEB"/>
    <w:rsid w:val="4DF0007C"/>
    <w:rsid w:val="4EAB630A"/>
    <w:rsid w:val="4ECE2238"/>
    <w:rsid w:val="4F833267"/>
    <w:rsid w:val="4FE9BD67"/>
    <w:rsid w:val="4FFB052F"/>
    <w:rsid w:val="52D21465"/>
    <w:rsid w:val="537E6D0A"/>
    <w:rsid w:val="53F74C96"/>
    <w:rsid w:val="55170BA8"/>
    <w:rsid w:val="553218C9"/>
    <w:rsid w:val="567E1AA5"/>
    <w:rsid w:val="56E47B74"/>
    <w:rsid w:val="57175D52"/>
    <w:rsid w:val="57BD3DD4"/>
    <w:rsid w:val="5AF92295"/>
    <w:rsid w:val="5B250254"/>
    <w:rsid w:val="5B754997"/>
    <w:rsid w:val="5B8B4DF6"/>
    <w:rsid w:val="5BDD79E6"/>
    <w:rsid w:val="5BF561CA"/>
    <w:rsid w:val="5BFF5DFC"/>
    <w:rsid w:val="5C104F84"/>
    <w:rsid w:val="5CA97B29"/>
    <w:rsid w:val="5CBF1F6D"/>
    <w:rsid w:val="5CD71FC4"/>
    <w:rsid w:val="5D1F11B5"/>
    <w:rsid w:val="5D695134"/>
    <w:rsid w:val="5DAE1B18"/>
    <w:rsid w:val="5DE7D9E5"/>
    <w:rsid w:val="5ECEC941"/>
    <w:rsid w:val="5FBF9FF3"/>
    <w:rsid w:val="5FCD4E2C"/>
    <w:rsid w:val="5FEF394A"/>
    <w:rsid w:val="5FF67715"/>
    <w:rsid w:val="61DF3E4D"/>
    <w:rsid w:val="62BF3928"/>
    <w:rsid w:val="630E6FE2"/>
    <w:rsid w:val="63B3701E"/>
    <w:rsid w:val="647F5392"/>
    <w:rsid w:val="65E66580"/>
    <w:rsid w:val="664B1D71"/>
    <w:rsid w:val="664B4E8E"/>
    <w:rsid w:val="67277B67"/>
    <w:rsid w:val="67AA3209"/>
    <w:rsid w:val="68DC6667"/>
    <w:rsid w:val="698D0931"/>
    <w:rsid w:val="6A7FE5F3"/>
    <w:rsid w:val="6B053271"/>
    <w:rsid w:val="6B655563"/>
    <w:rsid w:val="6B855D8D"/>
    <w:rsid w:val="6BDD78B3"/>
    <w:rsid w:val="6C4A05C8"/>
    <w:rsid w:val="6C8742B8"/>
    <w:rsid w:val="6CDF77E0"/>
    <w:rsid w:val="6DBF5E93"/>
    <w:rsid w:val="6DFF077E"/>
    <w:rsid w:val="6E714EF0"/>
    <w:rsid w:val="6E7E3605"/>
    <w:rsid w:val="6E7FDCC7"/>
    <w:rsid w:val="6ED6A62E"/>
    <w:rsid w:val="6EE00B15"/>
    <w:rsid w:val="6F6FB3EB"/>
    <w:rsid w:val="6F8731EA"/>
    <w:rsid w:val="6FCE6052"/>
    <w:rsid w:val="6FD57C00"/>
    <w:rsid w:val="6FEFFFD8"/>
    <w:rsid w:val="6FF5CC65"/>
    <w:rsid w:val="6FFB47EC"/>
    <w:rsid w:val="6FFF034A"/>
    <w:rsid w:val="70484440"/>
    <w:rsid w:val="712A28F1"/>
    <w:rsid w:val="715C0E4B"/>
    <w:rsid w:val="71992E7C"/>
    <w:rsid w:val="72233669"/>
    <w:rsid w:val="72734D90"/>
    <w:rsid w:val="73160E6D"/>
    <w:rsid w:val="7332FE48"/>
    <w:rsid w:val="73AB61DA"/>
    <w:rsid w:val="73AD73D5"/>
    <w:rsid w:val="73B6EB34"/>
    <w:rsid w:val="73FA497D"/>
    <w:rsid w:val="744731E5"/>
    <w:rsid w:val="74BBD01D"/>
    <w:rsid w:val="74ED5379"/>
    <w:rsid w:val="75DEEEC2"/>
    <w:rsid w:val="75E32345"/>
    <w:rsid w:val="76E3355F"/>
    <w:rsid w:val="76FF5125"/>
    <w:rsid w:val="776F6FFA"/>
    <w:rsid w:val="778769C8"/>
    <w:rsid w:val="77A75DCA"/>
    <w:rsid w:val="77DC22F5"/>
    <w:rsid w:val="783E271A"/>
    <w:rsid w:val="78616DE9"/>
    <w:rsid w:val="78E875D7"/>
    <w:rsid w:val="79086DAD"/>
    <w:rsid w:val="79D7FD79"/>
    <w:rsid w:val="79EE5BA4"/>
    <w:rsid w:val="7A894339"/>
    <w:rsid w:val="7AD284E8"/>
    <w:rsid w:val="7AFF7572"/>
    <w:rsid w:val="7B6C7DFB"/>
    <w:rsid w:val="7BBFBED0"/>
    <w:rsid w:val="7BC3E394"/>
    <w:rsid w:val="7C1F3737"/>
    <w:rsid w:val="7CBFC87B"/>
    <w:rsid w:val="7CFE0F48"/>
    <w:rsid w:val="7D272ABC"/>
    <w:rsid w:val="7D7EC23E"/>
    <w:rsid w:val="7E8ADEBF"/>
    <w:rsid w:val="7EEF11D3"/>
    <w:rsid w:val="7EFE4840"/>
    <w:rsid w:val="7F0971A6"/>
    <w:rsid w:val="7F1D62E7"/>
    <w:rsid w:val="7F3F679B"/>
    <w:rsid w:val="7F4FC4EF"/>
    <w:rsid w:val="7F5E4D54"/>
    <w:rsid w:val="7F6E0135"/>
    <w:rsid w:val="7F79F205"/>
    <w:rsid w:val="7FA30C79"/>
    <w:rsid w:val="7FA79C44"/>
    <w:rsid w:val="7FAF8ABF"/>
    <w:rsid w:val="7FB7269E"/>
    <w:rsid w:val="7FC96657"/>
    <w:rsid w:val="7FDA9588"/>
    <w:rsid w:val="7FDF220F"/>
    <w:rsid w:val="7FEDC5F7"/>
    <w:rsid w:val="7FEDD9DE"/>
    <w:rsid w:val="7FF5890D"/>
    <w:rsid w:val="7FF93490"/>
    <w:rsid w:val="99FF2014"/>
    <w:rsid w:val="A6DD0D7F"/>
    <w:rsid w:val="ACFF4FBB"/>
    <w:rsid w:val="ADC6F725"/>
    <w:rsid w:val="B7CF06AB"/>
    <w:rsid w:val="B7CFA926"/>
    <w:rsid w:val="B7F8786B"/>
    <w:rsid w:val="BABB6AA1"/>
    <w:rsid w:val="BB2F4199"/>
    <w:rsid w:val="BCFFB442"/>
    <w:rsid w:val="BD079C78"/>
    <w:rsid w:val="BD733540"/>
    <w:rsid w:val="BF3735D5"/>
    <w:rsid w:val="BF7F09AC"/>
    <w:rsid w:val="BFD475C3"/>
    <w:rsid w:val="BFDE5EA6"/>
    <w:rsid w:val="CF6FC6F3"/>
    <w:rsid w:val="CFD3D3D7"/>
    <w:rsid w:val="CFDF1009"/>
    <w:rsid w:val="D7D7B16A"/>
    <w:rsid w:val="D8D6DB89"/>
    <w:rsid w:val="DB6F4CAB"/>
    <w:rsid w:val="DB777682"/>
    <w:rsid w:val="DD1FB521"/>
    <w:rsid w:val="DEFBFEAE"/>
    <w:rsid w:val="DF1F3B80"/>
    <w:rsid w:val="DF6F9789"/>
    <w:rsid w:val="DFE9BE81"/>
    <w:rsid w:val="DFFFA9E8"/>
    <w:rsid w:val="E5F4E9DC"/>
    <w:rsid w:val="E70FE695"/>
    <w:rsid w:val="EB2E368B"/>
    <w:rsid w:val="ECFED1BC"/>
    <w:rsid w:val="ED1D69BB"/>
    <w:rsid w:val="ED7FD312"/>
    <w:rsid w:val="EF2E1AC6"/>
    <w:rsid w:val="EF53993F"/>
    <w:rsid w:val="EF6FD633"/>
    <w:rsid w:val="EFBFB2F4"/>
    <w:rsid w:val="EFBFFA21"/>
    <w:rsid w:val="F2BEBCB8"/>
    <w:rsid w:val="F36FB518"/>
    <w:rsid w:val="F3DE1A04"/>
    <w:rsid w:val="F3F722E5"/>
    <w:rsid w:val="F4FBCD07"/>
    <w:rsid w:val="FA5F1E70"/>
    <w:rsid w:val="FA5FDB97"/>
    <w:rsid w:val="FB7F486A"/>
    <w:rsid w:val="FBFF5B2E"/>
    <w:rsid w:val="FD7FFE2B"/>
    <w:rsid w:val="FDEE196B"/>
    <w:rsid w:val="FDFE6575"/>
    <w:rsid w:val="FEDFDDC2"/>
    <w:rsid w:val="FEED32F6"/>
    <w:rsid w:val="FEF781DD"/>
    <w:rsid w:val="FF3F7E3F"/>
    <w:rsid w:val="FFBA12D7"/>
    <w:rsid w:val="FFCBD314"/>
    <w:rsid w:val="FFDFF91C"/>
    <w:rsid w:val="FFDFFAEE"/>
    <w:rsid w:val="FFEF6777"/>
    <w:rsid w:val="FFF9B57B"/>
    <w:rsid w:val="FFFD61D9"/>
    <w:rsid w:val="FFFD8F59"/>
    <w:rsid w:val="FFFF2BB1"/>
    <w:rsid w:val="FFFFB04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2"/>
    <w:unhideWhenUsed/>
    <w:qFormat/>
    <w:uiPriority w:val="9"/>
    <w:pPr>
      <w:keepNext/>
      <w:keepLines/>
      <w:spacing w:before="260" w:after="260" w:line="416" w:lineRule="auto"/>
      <w:outlineLvl w:val="2"/>
    </w:pPr>
    <w:rPr>
      <w:b/>
      <w:bCs/>
      <w:sz w:val="32"/>
      <w:szCs w:val="32"/>
    </w:rPr>
  </w:style>
  <w:style w:type="character" w:default="1" w:styleId="16">
    <w:name w:val="Default Paragraph Font"/>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25"/>
    <w:qFormat/>
    <w:uiPriority w:val="99"/>
    <w:pPr>
      <w:spacing w:beforeLines="30"/>
    </w:pPr>
    <w:rPr>
      <w:rFonts w:ascii="仿宋_GB2312" w:eastAsia="仿宋_GB2312"/>
      <w:kern w:val="0"/>
      <w:sz w:val="30"/>
    </w:rPr>
  </w:style>
  <w:style w:type="paragraph" w:styleId="6">
    <w:name w:val="Body Text Indent"/>
    <w:basedOn w:val="1"/>
    <w:qFormat/>
    <w:uiPriority w:val="0"/>
    <w:pPr>
      <w:spacing w:after="120"/>
      <w:ind w:leftChars="200"/>
    </w:pPr>
    <w:rPr>
      <w:rFonts w:ascii="仿宋_GB2312"/>
      <w:szCs w:val="32"/>
    </w:rPr>
  </w:style>
  <w:style w:type="paragraph" w:styleId="7">
    <w:name w:val="toc 3"/>
    <w:basedOn w:val="1"/>
    <w:next w:val="1"/>
    <w:unhideWhenUsed/>
    <w:qFormat/>
    <w:uiPriority w:val="39"/>
    <w:pPr>
      <w:tabs>
        <w:tab w:val="right" w:leader="dot" w:pos="8296"/>
      </w:tabs>
      <w:ind w:left="840" w:leftChars="400"/>
    </w:pPr>
  </w:style>
  <w:style w:type="paragraph" w:styleId="8">
    <w:name w:val="Balloon Text"/>
    <w:basedOn w:val="1"/>
    <w:link w:val="31"/>
    <w:semiHidden/>
    <w:unhideWhenUsed/>
    <w:qFormat/>
    <w:uiPriority w:val="99"/>
    <w:rPr>
      <w:sz w:val="18"/>
      <w:szCs w:val="18"/>
    </w:rPr>
  </w:style>
  <w:style w:type="paragraph" w:styleId="9">
    <w:name w:val="footer"/>
    <w:basedOn w:val="1"/>
    <w:link w:val="23"/>
    <w:qFormat/>
    <w:uiPriority w:val="99"/>
    <w:pPr>
      <w:tabs>
        <w:tab w:val="center" w:pos="4153"/>
        <w:tab w:val="right" w:pos="8306"/>
      </w:tabs>
      <w:snapToGrid w:val="0"/>
      <w:jc w:val="left"/>
    </w:pPr>
    <w:rPr>
      <w:rFonts w:ascii="Calibri" w:hAnsi="Calibri"/>
      <w:kern w:val="0"/>
      <w:sz w:val="18"/>
      <w:szCs w:val="18"/>
    </w:rPr>
  </w:style>
  <w:style w:type="paragraph" w:styleId="10">
    <w:name w:val="header"/>
    <w:basedOn w:val="1"/>
    <w:link w:val="21"/>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1">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2">
    <w:name w:val="footnote text"/>
    <w:basedOn w:val="1"/>
    <w:next w:val="13"/>
    <w:semiHidden/>
    <w:qFormat/>
    <w:uiPriority w:val="0"/>
    <w:pPr>
      <w:snapToGrid w:val="0"/>
      <w:jc w:val="left"/>
    </w:pPr>
    <w:rPr>
      <w:sz w:val="18"/>
      <w:szCs w:val="18"/>
    </w:rPr>
  </w:style>
  <w:style w:type="paragraph" w:styleId="13">
    <w:name w:val="Body Text First Indent 2"/>
    <w:basedOn w:val="6"/>
    <w:unhideWhenUsed/>
    <w:qFormat/>
    <w:uiPriority w:val="99"/>
    <w:pPr>
      <w:ind w:firstLine="420" w:firstLineChars="200"/>
    </w:pPr>
  </w:style>
  <w:style w:type="paragraph" w:styleId="14">
    <w:name w:val="toc 2"/>
    <w:basedOn w:val="1"/>
    <w:next w:val="1"/>
    <w:unhideWhenUsed/>
    <w:qFormat/>
    <w:uiPriority w:val="39"/>
    <w:pPr>
      <w:tabs>
        <w:tab w:val="right" w:leader="dot" w:pos="8296"/>
      </w:tabs>
      <w:ind w:left="420" w:leftChars="200"/>
    </w:pPr>
  </w:style>
  <w:style w:type="character" w:styleId="17">
    <w:name w:val="Strong"/>
    <w:basedOn w:val="16"/>
    <w:qFormat/>
    <w:uiPriority w:val="99"/>
    <w:rPr>
      <w:b/>
    </w:rPr>
  </w:style>
  <w:style w:type="character" w:styleId="18">
    <w:name w:val="Hyperlink"/>
    <w:basedOn w:val="16"/>
    <w:unhideWhenUsed/>
    <w:qFormat/>
    <w:uiPriority w:val="99"/>
    <w:rPr>
      <w:color w:val="0000FF" w:themeColor="hyperlink"/>
      <w:u w:val="single"/>
      <w14:textFill>
        <w14:solidFill>
          <w14:schemeClr w14:val="hlink"/>
        </w14:solidFill>
      </w14:textFill>
    </w:rPr>
  </w:style>
  <w:style w:type="paragraph" w:customStyle="1" w:styleId="19">
    <w:name w:val="标题 5（有编号）（绿盟科技）"/>
    <w:next w:val="1"/>
    <w:qFormat/>
    <w:uiPriority w:val="99"/>
    <w:pPr>
      <w:keepNext/>
      <w:keepLines/>
      <w:widowControl w:val="0"/>
      <w:spacing w:before="280" w:after="156" w:line="377" w:lineRule="auto"/>
      <w:jc w:val="left"/>
      <w:outlineLvl w:val="4"/>
    </w:pPr>
    <w:rPr>
      <w:rFonts w:ascii="Arial" w:hAnsi="Arial" w:eastAsia="黑体" w:cs="Times New Roman"/>
      <w:b/>
      <w:kern w:val="2"/>
      <w:sz w:val="24"/>
      <w:szCs w:val="28"/>
      <w:lang w:val="en-US" w:eastAsia="zh-CN" w:bidi="ar-SA"/>
    </w:rPr>
  </w:style>
  <w:style w:type="character" w:customStyle="1" w:styleId="20">
    <w:name w:val="Header Char"/>
    <w:basedOn w:val="16"/>
    <w:semiHidden/>
    <w:qFormat/>
    <w:uiPriority w:val="99"/>
    <w:rPr>
      <w:rFonts w:ascii="Times New Roman" w:hAnsi="Times New Roman"/>
      <w:sz w:val="18"/>
      <w:szCs w:val="18"/>
    </w:rPr>
  </w:style>
  <w:style w:type="character" w:customStyle="1" w:styleId="21">
    <w:name w:val="页眉 Char"/>
    <w:link w:val="10"/>
    <w:semiHidden/>
    <w:qFormat/>
    <w:locked/>
    <w:uiPriority w:val="99"/>
    <w:rPr>
      <w:sz w:val="18"/>
    </w:rPr>
  </w:style>
  <w:style w:type="character" w:customStyle="1" w:styleId="22">
    <w:name w:val="Footer Char"/>
    <w:basedOn w:val="16"/>
    <w:semiHidden/>
    <w:qFormat/>
    <w:uiPriority w:val="99"/>
    <w:rPr>
      <w:rFonts w:ascii="Times New Roman" w:hAnsi="Times New Roman"/>
      <w:sz w:val="18"/>
      <w:szCs w:val="18"/>
    </w:rPr>
  </w:style>
  <w:style w:type="character" w:customStyle="1" w:styleId="23">
    <w:name w:val="页脚 Char"/>
    <w:link w:val="9"/>
    <w:qFormat/>
    <w:locked/>
    <w:uiPriority w:val="99"/>
    <w:rPr>
      <w:sz w:val="18"/>
    </w:rPr>
  </w:style>
  <w:style w:type="character" w:customStyle="1" w:styleId="24">
    <w:name w:val="Body Text Char"/>
    <w:basedOn w:val="16"/>
    <w:semiHidden/>
    <w:qFormat/>
    <w:uiPriority w:val="99"/>
    <w:rPr>
      <w:rFonts w:ascii="Times New Roman" w:hAnsi="Times New Roman"/>
      <w:szCs w:val="24"/>
    </w:rPr>
  </w:style>
  <w:style w:type="character" w:customStyle="1" w:styleId="25">
    <w:name w:val="正文文本 Char"/>
    <w:link w:val="5"/>
    <w:qFormat/>
    <w:locked/>
    <w:uiPriority w:val="99"/>
    <w:rPr>
      <w:rFonts w:ascii="仿宋_GB2312" w:hAnsi="Times New Roman" w:eastAsia="仿宋_GB2312"/>
      <w:sz w:val="24"/>
    </w:rPr>
  </w:style>
  <w:style w:type="paragraph" w:customStyle="1" w:styleId="26">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7">
    <w:name w:val="List Paragraph"/>
    <w:basedOn w:val="1"/>
    <w:qFormat/>
    <w:uiPriority w:val="34"/>
    <w:pPr>
      <w:ind w:firstLine="420" w:firstLineChars="200"/>
    </w:pPr>
  </w:style>
  <w:style w:type="character" w:customStyle="1" w:styleId="28">
    <w:name w:val="标题 1 Char"/>
    <w:basedOn w:val="16"/>
    <w:link w:val="2"/>
    <w:qFormat/>
    <w:uiPriority w:val="9"/>
    <w:rPr>
      <w:rFonts w:ascii="Times New Roman" w:hAnsi="Times New Roman"/>
      <w:b/>
      <w:bCs/>
      <w:kern w:val="44"/>
      <w:sz w:val="44"/>
      <w:szCs w:val="44"/>
    </w:rPr>
  </w:style>
  <w:style w:type="character" w:customStyle="1" w:styleId="29">
    <w:name w:val="标题 2 Char"/>
    <w:basedOn w:val="16"/>
    <w:link w:val="3"/>
    <w:qFormat/>
    <w:uiPriority w:val="9"/>
    <w:rPr>
      <w:rFonts w:asciiTheme="majorHAnsi" w:hAnsiTheme="majorHAnsi" w:eastAsiaTheme="majorEastAsia" w:cstheme="majorBidi"/>
      <w:b/>
      <w:bCs/>
      <w:kern w:val="2"/>
      <w:sz w:val="32"/>
      <w:szCs w:val="32"/>
    </w:rPr>
  </w:style>
  <w:style w:type="paragraph" w:customStyle="1" w:styleId="30">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1">
    <w:name w:val="批注框文本 Char"/>
    <w:basedOn w:val="16"/>
    <w:link w:val="8"/>
    <w:semiHidden/>
    <w:qFormat/>
    <w:uiPriority w:val="99"/>
    <w:rPr>
      <w:rFonts w:ascii="Times New Roman" w:hAnsi="Times New Roman"/>
      <w:kern w:val="2"/>
      <w:sz w:val="18"/>
      <w:szCs w:val="18"/>
    </w:rPr>
  </w:style>
  <w:style w:type="character" w:customStyle="1" w:styleId="32">
    <w:name w:val="标题 3 Char"/>
    <w:basedOn w:val="16"/>
    <w:link w:val="4"/>
    <w:qFormat/>
    <w:uiPriority w:val="9"/>
    <w:rPr>
      <w:rFonts w:ascii="Times New Roman" w:hAnsi="Times New Roman"/>
      <w:b/>
      <w:bCs/>
      <w:kern w:val="2"/>
      <w:sz w:val="32"/>
      <w:szCs w:val="32"/>
    </w:rPr>
  </w:style>
  <w:style w:type="paragraph" w:customStyle="1" w:styleId="33">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4">
    <w:name w:val="四号正文"/>
    <w:basedOn w:val="1"/>
    <w:qFormat/>
    <w:uiPriority w:val="0"/>
    <w:pPr>
      <w:spacing w:line="360" w:lineRule="auto"/>
    </w:pPr>
    <w:rPr>
      <w:rFonts w:ascii="??" w:hAnsi="??" w:eastAsia="宋体"/>
      <w:color w:val="000000"/>
      <w:kern w:val="0"/>
      <w:sz w:val="28"/>
      <w:szCs w:val="21"/>
      <w:lang w:val="zh-CN" w:eastAsia="zh-CN"/>
    </w:rPr>
  </w:style>
  <w:style w:type="paragraph" w:customStyle="1" w:styleId="35">
    <w:name w:val="正文-公1"/>
    <w:basedOn w:val="36"/>
    <w:next w:val="1"/>
    <w:qFormat/>
    <w:uiPriority w:val="0"/>
    <w:pPr>
      <w:ind w:firstLine="200" w:firstLineChars="200"/>
    </w:pPr>
  </w:style>
  <w:style w:type="paragraph" w:customStyle="1" w:styleId="36">
    <w:name w:val="正文 New New New New New New New New New New New New New New New New New New New New New New New New New New New New New New New New New New New New New New New New New New New New New New New New New New New New New New New New New New New New New New Ne"/>
    <w:next w:val="35"/>
    <w:qFormat/>
    <w:uiPriority w:val="0"/>
    <w:pPr>
      <w:widowControl w:val="0"/>
      <w:jc w:val="both"/>
    </w:pPr>
    <w:rPr>
      <w:rFonts w:ascii="Times New Roman" w:hAnsi="Times New Roman" w:eastAsia="宋体" w:cs="Times New Roman"/>
      <w:kern w:val="2"/>
      <w:sz w:val="21"/>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header" Target="header2.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chart" Target="charts/chart6.xml"/><Relationship Id="rId13" Type="http://schemas.openxmlformats.org/officeDocument/2006/relationships/chart" Target="charts/chart5.xml"/><Relationship Id="rId12" Type="http://schemas.openxmlformats.org/officeDocument/2006/relationships/chart" Target="charts/chart4.xml"/><Relationship Id="rId11" Type="http://schemas.openxmlformats.org/officeDocument/2006/relationships/chart" Target="charts/chart3.xml"/><Relationship Id="rId10" Type="http://schemas.openxmlformats.org/officeDocument/2006/relationships/chart" Target="charts/chart2.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5.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6.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"绵竹市残联年度预算收入"</c:f>
              <c:strCache>
                <c:ptCount val="1"/>
                <c:pt idx="0">
                  <c:v>绵竹市残联年度预算收入</c:v>
                </c:pt>
              </c:strCache>
            </c:strRef>
          </c:tx>
          <c:spPr>
            <a:solidFill>
              <a:schemeClr val="accent1"/>
            </a:solidFill>
            <a:ln>
              <a:noFill/>
            </a:ln>
            <a:effectLst/>
          </c:spPr>
          <c:invertIfNegative val="0"/>
          <c:dLbls>
            <c:dLbl>
              <c:idx val="0"/>
              <c:layout>
                <c:manualLayout>
                  <c:x val="0.0502536844648466"/>
                  <c:y val="-0.0025499362515937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56897801401305"/>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2023</c:v>
                </c:pt>
                <c:pt idx="1">
                  <c:v>2024</c:v>
                </c:pt>
              </c:numCache>
            </c:numRef>
          </c:cat>
          <c:val>
            <c:numRef>
              <c:f>Sheet1!$B$2:$B$3</c:f>
              <c:numCache>
                <c:formatCode>General</c:formatCode>
                <c:ptCount val="2"/>
                <c:pt idx="0">
                  <c:v>869.34</c:v>
                </c:pt>
                <c:pt idx="1">
                  <c:v>1015.57</c:v>
                </c:pt>
              </c:numCache>
            </c:numRef>
          </c:val>
        </c:ser>
        <c:ser>
          <c:idx val="1"/>
          <c:order val="1"/>
          <c:tx>
            <c:strRef>
              <c:f>"绵竹市残联年度预算支出"</c:f>
              <c:strCache>
                <c:ptCount val="1"/>
                <c:pt idx="0">
                  <c:v>绵竹市残联年度预算支出</c:v>
                </c:pt>
              </c:strCache>
            </c:strRef>
          </c:tx>
          <c:spPr>
            <a:solidFill>
              <a:schemeClr val="accent2"/>
            </a:solidFill>
            <a:ln>
              <a:noFill/>
            </a:ln>
            <a:effectLst/>
          </c:spPr>
          <c:invertIfNegative val="0"/>
          <c:dLbls>
            <c:delete val="1"/>
          </c:dLbls>
          <c:cat>
            <c:numRef>
              <c:f>Sheet1!$A$2:$A$3</c:f>
              <c:numCache>
                <c:formatCode>General</c:formatCode>
                <c:ptCount val="2"/>
                <c:pt idx="0">
                  <c:v>2023</c:v>
                </c:pt>
                <c:pt idx="1">
                  <c:v>2024</c:v>
                </c:pt>
              </c:numCache>
            </c:numRef>
          </c:cat>
          <c:val>
            <c:numRef>
              <c:f>Sheet1!$C$2:$C$3</c:f>
              <c:numCache>
                <c:formatCode>General</c:formatCode>
                <c:ptCount val="2"/>
                <c:pt idx="0">
                  <c:v>869.34</c:v>
                </c:pt>
                <c:pt idx="1">
                  <c:v>1015.57</c:v>
                </c:pt>
              </c:numCache>
            </c:numRef>
          </c:val>
        </c:ser>
        <c:dLbls>
          <c:showLegendKey val="0"/>
          <c:showVal val="0"/>
          <c:showCatName val="0"/>
          <c:showSerName val="0"/>
          <c:showPercent val="0"/>
          <c:showBubbleSize val="0"/>
        </c:dLbls>
        <c:gapWidth val="246"/>
        <c:overlap val="-28"/>
        <c:axId val="681114693"/>
        <c:axId val="807039611"/>
      </c:barChart>
      <c:catAx>
        <c:axId val="681114693"/>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7039611"/>
        <c:crosses val="autoZero"/>
        <c:auto val="1"/>
        <c:lblAlgn val="ctr"/>
        <c:lblOffset val="100"/>
        <c:noMultiLvlLbl val="0"/>
      </c:catAx>
      <c:valAx>
        <c:axId val="807039611"/>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81114693"/>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d793108f-0880-45f5-bb5d-fed1ceefccf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p>
      </c:txPr>
    </c:title>
    <c:autoTitleDeleted val="0"/>
    <c:plotArea>
      <c:layout/>
      <c:pieChart>
        <c:varyColors val="1"/>
        <c:ser>
          <c:idx val="0"/>
          <c:order val="0"/>
          <c:tx>
            <c:strRef>
              <c:f>Sheet1!$B$1</c:f>
              <c:strCache>
                <c:ptCount val="1"/>
                <c:pt idx="0">
                  <c:v>2024年度本年收入</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一般公共预算财政拨款收入</c:v>
                </c:pt>
                <c:pt idx="1">
                  <c:v>政府性基金预算财政拨款收入</c:v>
                </c:pt>
              </c:strCache>
            </c:strRef>
          </c:cat>
          <c:val>
            <c:numRef>
              <c:f>Sheet1!$B$2:$B$3</c:f>
              <c:numCache>
                <c:formatCode>General</c:formatCode>
                <c:ptCount val="2"/>
                <c:pt idx="0">
                  <c:v>872.47</c:v>
                </c:pt>
                <c:pt idx="1">
                  <c:v>143.09</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b729e40b-fcbc-47b2-9d63-b28f9338ca9a}"/>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p>
      </c:txPr>
    </c:title>
    <c:autoTitleDeleted val="0"/>
    <c:plotArea>
      <c:layout/>
      <c:pieChart>
        <c:varyColors val="1"/>
        <c:ser>
          <c:idx val="0"/>
          <c:order val="0"/>
          <c:tx>
            <c:strRef>
              <c:f>Sheet1!$B$1</c:f>
              <c:strCache>
                <c:ptCount val="1"/>
                <c:pt idx="0">
                  <c:v>2024年度本年支出</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项目支出</c:v>
                </c:pt>
                <c:pt idx="1">
                  <c:v>基本支出</c:v>
                </c:pt>
              </c:strCache>
            </c:strRef>
          </c:cat>
          <c:val>
            <c:numRef>
              <c:f>Sheet1!$B$2:$B$3</c:f>
              <c:numCache>
                <c:formatCode>General</c:formatCode>
                <c:ptCount val="2"/>
                <c:pt idx="0">
                  <c:v>866.58</c:v>
                </c:pt>
                <c:pt idx="1">
                  <c:v>148.99</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b729e40b-fcbc-47b2-9d63-b28f9338ca9a}"/>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altLang="zh-CN"/>
              <a:t>年度财政拨款收入、支出</a:t>
            </a:r>
            <a:endParaRPr altLang="zh-CN"/>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收入</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2023年度财政拨款收入及支出</c:v>
                </c:pt>
                <c:pt idx="1">
                  <c:v>2024年度财政拨款收入及支出</c:v>
                </c:pt>
              </c:strCache>
            </c:strRef>
          </c:cat>
          <c:val>
            <c:numRef>
              <c:f>Sheet1!$B$2:$B$3</c:f>
              <c:numCache>
                <c:formatCode>General</c:formatCode>
                <c:ptCount val="2"/>
                <c:pt idx="0">
                  <c:v>869.34</c:v>
                </c:pt>
                <c:pt idx="1">
                  <c:v>1015.57</c:v>
                </c:pt>
              </c:numCache>
            </c:numRef>
          </c:val>
        </c:ser>
        <c:ser>
          <c:idx val="1"/>
          <c:order val="1"/>
          <c:tx>
            <c:strRef>
              <c:f>Sheet1!$C$1</c:f>
              <c:strCache>
                <c:ptCount val="1"/>
                <c:pt idx="0">
                  <c:v>支出</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2023年度财政拨款收入及支出</c:v>
                </c:pt>
                <c:pt idx="1">
                  <c:v>2024年度财政拨款收入及支出</c:v>
                </c:pt>
              </c:strCache>
            </c:strRef>
          </c:cat>
          <c:val>
            <c:numRef>
              <c:f>Sheet1!$C$2:$C$3</c:f>
              <c:numCache>
                <c:formatCode>General</c:formatCode>
                <c:ptCount val="2"/>
                <c:pt idx="0">
                  <c:v>869.34</c:v>
                </c:pt>
                <c:pt idx="1">
                  <c:v>1015.57</c:v>
                </c:pt>
              </c:numCache>
            </c:numRef>
          </c:val>
        </c:ser>
        <c:dLbls>
          <c:showLegendKey val="0"/>
          <c:showVal val="1"/>
          <c:showCatName val="0"/>
          <c:showSerName val="0"/>
          <c:showPercent val="0"/>
          <c:showBubbleSize val="0"/>
        </c:dLbls>
        <c:gapWidth val="246"/>
        <c:overlap val="-28"/>
        <c:axId val="145739236"/>
        <c:axId val="277153994"/>
      </c:barChart>
      <c:catAx>
        <c:axId val="14573923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77153994"/>
        <c:crosses val="autoZero"/>
        <c:auto val="1"/>
        <c:lblAlgn val="ctr"/>
        <c:lblOffset val="100"/>
        <c:noMultiLvlLbl val="0"/>
      </c:catAx>
      <c:valAx>
        <c:axId val="277153994"/>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573923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6cef3a8-422e-4585-bd4d-eb4397e7bc5d}"/>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altLang="zh-CN"/>
              <a:t>一般公共预算财政拨款支出</a:t>
            </a:r>
            <a:endParaRPr altLang="zh-CN"/>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一般公共预算财政拨款支出</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2023年度一般公共预算财政拨款支出</c:v>
                </c:pt>
                <c:pt idx="1">
                  <c:v>2024年度一般公共预算财政拨款支出</c:v>
                </c:pt>
              </c:strCache>
            </c:strRef>
          </c:cat>
          <c:val>
            <c:numRef>
              <c:f>Sheet1!$B$2:$B$3</c:f>
              <c:numCache>
                <c:formatCode>General</c:formatCode>
                <c:ptCount val="2"/>
                <c:pt idx="0">
                  <c:v>781.19</c:v>
                </c:pt>
                <c:pt idx="1">
                  <c:v>872.47</c:v>
                </c:pt>
              </c:numCache>
            </c:numRef>
          </c:val>
        </c:ser>
        <c:dLbls>
          <c:showLegendKey val="0"/>
          <c:showVal val="1"/>
          <c:showCatName val="0"/>
          <c:showSerName val="0"/>
          <c:showPercent val="0"/>
          <c:showBubbleSize val="0"/>
        </c:dLbls>
        <c:gapWidth val="246"/>
        <c:overlap val="-28"/>
        <c:axId val="145739236"/>
        <c:axId val="277153994"/>
      </c:barChart>
      <c:catAx>
        <c:axId val="14573923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77153994"/>
        <c:crosses val="autoZero"/>
        <c:auto val="1"/>
        <c:lblAlgn val="ctr"/>
        <c:lblOffset val="100"/>
        <c:noMultiLvlLbl val="0"/>
      </c:catAx>
      <c:valAx>
        <c:axId val="277153994"/>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573923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9ec18395-e2cf-4b6a-8480-caee93edc14a}"/>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en-US" altLang="zh-CN"/>
              <a:t>2024</a:t>
            </a:r>
            <a:r>
              <a:rPr altLang="en-US"/>
              <a:t>年度</a:t>
            </a:r>
            <a:r>
              <a:t>一般公共预算财政拨款支出</a:t>
            </a:r>
          </a:p>
        </c:rich>
      </c:tx>
      <c:layout/>
      <c:overlay val="0"/>
      <c:spPr>
        <a:noFill/>
        <a:ln>
          <a:noFill/>
        </a:ln>
        <a:effectLst/>
      </c:spPr>
    </c:title>
    <c:autoTitleDeleted val="0"/>
    <c:plotArea>
      <c:layout/>
      <c:pieChart>
        <c:varyColors val="1"/>
        <c:ser>
          <c:idx val="0"/>
          <c:order val="0"/>
          <c:tx>
            <c:strRef>
              <c:f>Sheet1!$B$1</c:f>
              <c:strCache>
                <c:ptCount val="1"/>
                <c:pt idx="0">
                  <c:v>2024年度本年支出</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Lbls>
            <c:dLbl>
              <c:idx val="1"/>
              <c:layout>
                <c:manualLayout>
                  <c:x val="-0.0480326469396891"/>
                  <c:y val="0.010235782261518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656388475736092"/>
                  <c:y val="0.0049319253021448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社会保障和就业支出</c:v>
                </c:pt>
                <c:pt idx="1">
                  <c:v>卫生健康支出</c:v>
                </c:pt>
                <c:pt idx="2">
                  <c:v>住房保障支出</c:v>
                </c:pt>
              </c:strCache>
            </c:strRef>
          </c:cat>
          <c:val>
            <c:numRef>
              <c:f>Sheet1!$B$2:$B$4</c:f>
              <c:numCache>
                <c:formatCode>General</c:formatCode>
                <c:ptCount val="3"/>
                <c:pt idx="0">
                  <c:v>857.12</c:v>
                </c:pt>
                <c:pt idx="1">
                  <c:v>6.09</c:v>
                </c:pt>
                <c:pt idx="2">
                  <c:v>9.26</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b729e40b-fcbc-47b2-9d63-b28f9338ca9a}"/>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四川省财政厅</Company>
  <Pages>55</Pages>
  <Words>10906</Words>
  <Characters>11873</Characters>
  <Lines>61</Lines>
  <Paragraphs>17</Paragraphs>
  <TotalTime>5</TotalTime>
  <ScaleCrop>false</ScaleCrop>
  <LinksUpToDate>false</LinksUpToDate>
  <CharactersWithSpaces>12512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2020-08-09T09:49:00Z</dcterms:created>
  <dc:creator>曹颖</dc:creator>
  <cp:lastModifiedBy>王海峰</cp:lastModifiedBy>
  <cp:lastPrinted>2025-08-06T17:34:00Z</cp:lastPrinted>
  <dcterms:modified xsi:type="dcterms:W3CDTF">2025-09-23T13:58:59Z</dcterms:modified>
  <dc:title>四川省***</dc:title>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04787F2533EB45DC91BCDE4AB213247F</vt:lpwstr>
  </property>
  <property fmtid="{D5CDD505-2E9C-101B-9397-08002B2CF9AE}" pid="4" name="KSOTemplateDocerSaveRecord">
    <vt:lpwstr>eyJoZGlkIjoiYTRkNDJlMjJlYjcxZTY0OTdkZWIzYzIxYTVjN2FhN2IiLCJ1c2VySWQiOiIxNjU5MTU4MTY0In0=</vt:lpwstr>
  </property>
</Properties>
</file>