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E508F">
      <w:pPr>
        <w:pStyle w:val="7"/>
        <w:rPr>
          <w:rFonts w:hint="eastAsia" w:ascii="Times New Roman" w:hAnsi="Times New Roman" w:eastAsia="方正小标宋简体" w:cs="Times New Roman"/>
          <w:color w:val="auto"/>
          <w:kern w:val="2"/>
          <w:sz w:val="72"/>
          <w:szCs w:val="72"/>
          <w:highlight w:val="none"/>
          <w:lang w:val="en-US" w:eastAsia="zh-CN" w:bidi="ar-SA"/>
        </w:rPr>
      </w:pPr>
      <w:bookmarkStart w:id="0" w:name="_Toc15377193"/>
      <w:bookmarkStart w:id="1" w:name="_Toc15378441"/>
      <w:bookmarkStart w:id="2" w:name="_Toc15396475"/>
      <w:bookmarkStart w:id="3" w:name="_Toc15396597"/>
      <w:bookmarkStart w:id="4" w:name="_Toc15377425"/>
      <w:bookmarkStart w:id="5" w:name="_Toc15306267"/>
    </w:p>
    <w:p w14:paraId="303F776F">
      <w:pPr>
        <w:pStyle w:val="7"/>
        <w:rPr>
          <w:rFonts w:hint="eastAsia" w:ascii="Times New Roman" w:hAnsi="Times New Roman" w:eastAsia="方正小标宋简体" w:cs="Times New Roman"/>
          <w:color w:val="auto"/>
          <w:kern w:val="2"/>
          <w:sz w:val="72"/>
          <w:szCs w:val="72"/>
          <w:highlight w:val="none"/>
          <w:lang w:val="en-US" w:eastAsia="zh-CN" w:bidi="ar-SA"/>
        </w:rPr>
      </w:pPr>
    </w:p>
    <w:p w14:paraId="3C4943AC">
      <w:pPr>
        <w:pStyle w:val="7"/>
        <w:rPr>
          <w:rFonts w:hint="eastAsia" w:ascii="Times New Roman" w:hAnsi="Times New Roman" w:eastAsia="方正小标宋简体" w:cs="Times New Roman"/>
          <w:color w:val="auto"/>
          <w:kern w:val="2"/>
          <w:sz w:val="72"/>
          <w:szCs w:val="72"/>
          <w:highlight w:val="none"/>
          <w:lang w:val="en-US" w:eastAsia="zh-CN" w:bidi="ar-SA"/>
        </w:rPr>
      </w:pPr>
    </w:p>
    <w:p w14:paraId="28D6FCA5">
      <w:pPr>
        <w:pStyle w:val="7"/>
        <w:jc w:val="center"/>
        <w:rPr>
          <w:rFonts w:hint="eastAsia" w:asci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w:t>
      </w:r>
      <w:r>
        <w:rPr>
          <w:rFonts w:hint="eastAsia" w:ascii="Times New Roman" w:eastAsia="方正小标宋简体" w:cs="Times New Roman"/>
          <w:color w:val="auto"/>
          <w:kern w:val="2"/>
          <w:sz w:val="44"/>
          <w:szCs w:val="44"/>
          <w:highlight w:val="none"/>
          <w:lang w:val="en-US" w:eastAsia="zh-CN" w:bidi="ar-SA"/>
        </w:rPr>
        <w:t>四川省绵竹市清平镇</w:t>
      </w:r>
    </w:p>
    <w:p w14:paraId="5D149D54">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部门决算</w:t>
      </w:r>
    </w:p>
    <w:p w14:paraId="1E2D73AA">
      <w:pPr>
        <w:spacing w:line="600" w:lineRule="exact"/>
        <w:jc w:val="center"/>
        <w:outlineLvl w:val="0"/>
        <w:rPr>
          <w:rFonts w:ascii="Times New Roman" w:hAnsi="Times New Roman" w:eastAsia="方正小标宋简体"/>
          <w:color w:val="auto"/>
          <w:sz w:val="72"/>
          <w:szCs w:val="72"/>
          <w:highlight w:val="none"/>
        </w:rPr>
      </w:pPr>
    </w:p>
    <w:p w14:paraId="45EB7D74">
      <w:pPr>
        <w:pStyle w:val="42"/>
        <w:rPr>
          <w:rFonts w:ascii="Times New Roman" w:hAnsi="Times New Roman"/>
        </w:rPr>
        <w:sectPr>
          <w:headerReference r:id="rId5" w:type="default"/>
          <w:footerReference r:id="rId6" w:type="default"/>
          <w:pgSz w:w="11906" w:h="16838"/>
          <w:pgMar w:top="1440" w:right="1800" w:bottom="1440" w:left="1800" w:header="851" w:footer="992" w:gutter="0"/>
          <w:pgNumType w:fmt="numberInDash" w:start="1"/>
          <w:cols w:space="425" w:num="1"/>
          <w:titlePg/>
          <w:docGrid w:type="lines" w:linePitch="312" w:charSpace="0"/>
        </w:sectPr>
      </w:pPr>
    </w:p>
    <w:p w14:paraId="357CA332">
      <w:pPr>
        <w:rPr>
          <w:rFonts w:ascii="Times New Roman" w:hAnsi="Times New Roman"/>
        </w:rPr>
      </w:pPr>
    </w:p>
    <w:p w14:paraId="32569D16">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28F6FAFC">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2C1BBCB1">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5CB9BE4B">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p w14:paraId="13ECA48B">
      <w:pPr>
        <w:pStyle w:val="7"/>
        <w:jc w:val="center"/>
        <w:rPr>
          <w:rFonts w:hint="eastAsia" w:ascii="Times New Roman" w:eastAsia="方正小标宋简体" w:cs="Times New Roman"/>
          <w:color w:val="auto"/>
          <w:kern w:val="2"/>
          <w:sz w:val="44"/>
          <w:szCs w:val="44"/>
          <w:highlight w:val="none"/>
          <w:lang w:val="en-US" w:eastAsia="zh-CN" w:bidi="ar-SA"/>
        </w:rPr>
      </w:pPr>
      <w:bookmarkStart w:id="6" w:name="_Toc15378442"/>
      <w:bookmarkStart w:id="7" w:name="_Toc15377194"/>
      <w:bookmarkStart w:id="8" w:name="_Toc15396598"/>
      <w:bookmarkStart w:id="9" w:name="_Toc15377426"/>
      <w:bookmarkStart w:id="10" w:name="_Toc15396476"/>
      <w:r>
        <w:rPr>
          <w:rFonts w:hint="eastAsia" w:ascii="Times New Roman" w:hAnsi="Times New Roman" w:eastAsia="方正小标宋简体" w:cs="Times New Roman"/>
          <w:color w:val="auto"/>
          <w:kern w:val="2"/>
          <w:sz w:val="44"/>
          <w:szCs w:val="44"/>
          <w:highlight w:val="none"/>
          <w:lang w:val="en-US" w:eastAsia="zh-CN" w:bidi="ar-SA"/>
        </w:rPr>
        <w:t>2024年度四川省</w:t>
      </w:r>
      <w:bookmarkEnd w:id="5"/>
      <w:bookmarkStart w:id="11" w:name="_Toc15306268"/>
      <w:r>
        <w:rPr>
          <w:rFonts w:hint="eastAsia" w:ascii="Times New Roman" w:eastAsia="方正小标宋简体" w:cs="Times New Roman"/>
          <w:color w:val="auto"/>
          <w:kern w:val="2"/>
          <w:sz w:val="44"/>
          <w:szCs w:val="44"/>
          <w:highlight w:val="none"/>
          <w:lang w:val="en-US" w:eastAsia="zh-CN" w:bidi="ar-SA"/>
        </w:rPr>
        <w:t>绵竹市清平镇</w:t>
      </w:r>
    </w:p>
    <w:p w14:paraId="6AB9A43E">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部门决算</w:t>
      </w:r>
      <w:bookmarkEnd w:id="6"/>
      <w:bookmarkEnd w:id="7"/>
      <w:bookmarkEnd w:id="8"/>
      <w:bookmarkEnd w:id="9"/>
      <w:bookmarkEnd w:id="10"/>
      <w:bookmarkEnd w:id="11"/>
    </w:p>
    <w:p w14:paraId="2D41BD8F">
      <w:pPr>
        <w:widowControl/>
        <w:jc w:val="center"/>
        <w:rPr>
          <w:rFonts w:ascii="Times New Roman" w:hAnsi="Times New Roman" w:eastAsia="黑体"/>
          <w:color w:val="auto"/>
          <w:sz w:val="48"/>
          <w:szCs w:val="48"/>
          <w:highlight w:val="none"/>
        </w:rPr>
      </w:pPr>
      <w:r>
        <w:rPr>
          <w:rFonts w:ascii="Times New Roman" w:hAnsi="Times New Roman" w:eastAsia="方正小标宋简体"/>
          <w:color w:val="auto"/>
          <w:sz w:val="36"/>
          <w:szCs w:val="36"/>
          <w:highlight w:val="none"/>
        </w:rPr>
        <w:br w:type="page"/>
      </w:r>
      <w:r>
        <w:rPr>
          <w:rFonts w:hint="eastAsia" w:ascii="Times New Roman" w:hAnsi="Times New Roman" w:eastAsia="黑体"/>
          <w:color w:val="auto"/>
          <w:sz w:val="48"/>
          <w:szCs w:val="48"/>
          <w:highlight w:val="none"/>
        </w:rPr>
        <w:t>目录</w:t>
      </w:r>
    </w:p>
    <w:p w14:paraId="1E413F2B">
      <w:pPr>
        <w:widowControl/>
        <w:jc w:val="center"/>
        <w:rPr>
          <w:rFonts w:ascii="Times New Roman" w:hAnsi="Times New Roman" w:eastAsia="黑体" w:cstheme="minorBidi"/>
          <w:color w:val="auto"/>
          <w:sz w:val="28"/>
          <w:szCs w:val="28"/>
          <w:highlight w:val="none"/>
        </w:rPr>
      </w:pPr>
    </w:p>
    <w:p w14:paraId="75C85BAD">
      <w:pPr>
        <w:pStyle w:val="23"/>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23</w:t>
      </w:r>
      <w:r>
        <w:rPr>
          <w:rFonts w:hint="eastAsia" w:ascii="Times New Roman" w:hAnsi="Times New Roman" w:eastAsia="仿宋_GB2312" w:cs="仿宋_GB2312"/>
          <w:color w:val="auto"/>
          <w:sz w:val="32"/>
          <w:szCs w:val="32"/>
          <w:highlight w:val="none"/>
        </w:rPr>
        <w:t>日</w:t>
      </w:r>
    </w:p>
    <w:p w14:paraId="29EA588A">
      <w:pPr>
        <w:rPr>
          <w:rFonts w:ascii="Times New Roman" w:hAnsi="Times New Roman"/>
          <w:color w:val="auto"/>
          <w:highlight w:val="none"/>
        </w:rPr>
      </w:pPr>
    </w:p>
    <w:p w14:paraId="656789C7">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第一部分 部门概况</w:t>
      </w:r>
    </w:p>
    <w:p w14:paraId="084335C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p>
    <w:p w14:paraId="707730E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bookmarkStart w:id="67" w:name="_GoBack"/>
      <w:bookmarkEnd w:id="67"/>
    </w:p>
    <w:p w14:paraId="463B7503">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p>
    <w:p w14:paraId="1A0B64C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21529A8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6DFE904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6413562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6845A8AE">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0A774A5D">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5EDEC27B">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270B646D">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24FB37EE">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14:paraId="2615B15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14:paraId="632F0039">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14:paraId="6D1389FE">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14:paraId="02EABB58">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05026B7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2343F348">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00CF59A5">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5A6CF10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4D4AD8C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2DD9CCA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0659EB5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031DC98C">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5BF123E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281F2F19">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3FD50DB8">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4228777A">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3C6F336B">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2C316D6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t>（</w:t>
      </w:r>
      <w:r>
        <w:rPr>
          <w:rFonts w:hint="eastAsia" w:ascii="Times New Roman" w:hAnsi="Times New Roman" w:eastAsia="仿宋_GB2312" w:cs="仿宋_GB2312"/>
          <w:b/>
          <w:bCs/>
          <w:color w:val="auto"/>
          <w:sz w:val="32"/>
          <w:szCs w:val="32"/>
          <w:highlight w:val="none"/>
        </w:rPr>
        <w:t>注：请部门根据实际注明页码</w:t>
      </w:r>
      <w:r>
        <w:rPr>
          <w:rFonts w:hint="eastAsia" w:ascii="Times New Roman" w:hAnsi="Times New Roman" w:eastAsia="仿宋_GB2312" w:cs="仿宋_GB2312"/>
          <w:b/>
          <w:bCs/>
          <w:color w:val="auto"/>
          <w:sz w:val="32"/>
          <w:szCs w:val="32"/>
          <w:highlight w:val="none"/>
          <w:lang w:eastAsia="zh-CN"/>
        </w:rPr>
        <w:t>）</w:t>
      </w:r>
    </w:p>
    <w:p w14:paraId="15EFCEC0">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12" w:name="_Toc15377196"/>
      <w:bookmarkStart w:id="13" w:name="_Toc15396599"/>
      <w:r>
        <w:rPr>
          <w:rFonts w:hint="eastAsia" w:ascii="Times New Roman" w:hAnsi="Times New Roman" w:eastAsia="仿宋_GB2312" w:cs="仿宋_GB2312"/>
          <w:b/>
          <w:color w:val="auto"/>
          <w:sz w:val="32"/>
          <w:szCs w:val="32"/>
          <w:highlight w:val="none"/>
        </w:rPr>
        <w:br w:type="page"/>
      </w:r>
    </w:p>
    <w:p w14:paraId="79A11478">
      <w:pPr>
        <w:pStyle w:val="2"/>
        <w:jc w:val="center"/>
        <w:rPr>
          <w:rFonts w:ascii="Times New Roman" w:hAnsi="Times New Roman" w:eastAsia="黑体"/>
          <w:color w:val="auto"/>
          <w:sz w:val="32"/>
          <w:szCs w:val="32"/>
          <w:highlight w:val="none"/>
        </w:rPr>
      </w:pPr>
      <w:r>
        <w:rPr>
          <w:rFonts w:hint="eastAsia" w:ascii="Times New Roman" w:hAnsi="Times New Roman" w:eastAsia="方正小标宋简体" w:cs="方正小标宋简体"/>
          <w:b w:val="0"/>
          <w:color w:val="auto"/>
          <w:highlight w:val="none"/>
        </w:rPr>
        <w:t>第一部分</w:t>
      </w:r>
      <w:r>
        <w:rPr>
          <w:rFonts w:hint="eastAsia" w:eastAsia="方正小标宋简体" w:cs="方正小标宋简体"/>
          <w:b w:val="0"/>
          <w:color w:val="auto"/>
          <w:highlight w:val="none"/>
          <w:lang w:val="en-US" w:eastAsia="zh-CN"/>
        </w:rPr>
        <w:t xml:space="preserve">  </w:t>
      </w:r>
      <w:r>
        <w:rPr>
          <w:rStyle w:val="51"/>
          <w:rFonts w:hint="eastAsia" w:ascii="Times New Roman" w:hAnsi="Times New Roman" w:eastAsia="方正小标宋简体" w:cs="方正小标宋简体"/>
          <w:b w:val="0"/>
          <w:bCs w:val="0"/>
          <w:color w:val="auto"/>
          <w:highlight w:val="none"/>
        </w:rPr>
        <w:t>部门概况</w:t>
      </w:r>
      <w:bookmarkEnd w:id="12"/>
      <w:bookmarkEnd w:id="13"/>
    </w:p>
    <w:p w14:paraId="4B8F1B9F">
      <w:pPr>
        <w:pStyle w:val="3"/>
        <w:numPr>
          <w:ilvl w:val="0"/>
          <w:numId w:val="2"/>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6122E4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一）贯彻执行党和国家的路线方针政策和上级党委、政府各项决策部署。以及本级党员代表大会（党员大会）、人民代表大会的决议决定。讨论决定加强党的建设、保障经济建设、组织公共服务、实施公共管理、维护公共安全、动员社会参与、指导基层自治等方面的重大问题。</w:t>
      </w:r>
    </w:p>
    <w:p w14:paraId="448E8B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二）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w:t>
      </w:r>
    </w:p>
    <w:p w14:paraId="31D902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三）经济发展。落实关于辖区发展的重大决策，参与编制辖区经济和社会发展规划、公共服务设施布局，负责辖区建设管理、重点项目促建、投资立项申报工作，推动辖区经济社会健康、有序、可持续、高质量发展。</w:t>
      </w:r>
    </w:p>
    <w:p w14:paraId="1B9A63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（四）民生服务。密切联系群众，建立健全群众工作机制，加强民生保障。组织实施并优化教育、民政、劳动社会保障、文化、卫生健康、退役军人事务等各项公共服务。</w:t>
      </w:r>
    </w:p>
    <w:p w14:paraId="7F8F87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五）平安法治。履行社会治安综合治理、安全生产监督、法治建设职责。负责有效排查化解社会矛盾纠纷。负责辖区内的社会稳定、安全生产和职业健康、生态环境保护、社会信用体系建设和审批服务便民化等工作。</w:t>
      </w:r>
    </w:p>
    <w:p w14:paraId="3C94A3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（六）基层治理。健全党组织领导下的基层治理体系，负责辖区</w:t>
      </w:r>
      <w:r>
        <w:rPr>
          <w:rFonts w:hint="eastAsia"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城乡</w:t>
      </w: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管理，指导村（居）委员会建设，完善基层治理平台，组织群众和单位参与村（居）委员会建设和管理。承担法律法规、依法授权或委托授权的行政执法工作。</w:t>
      </w:r>
    </w:p>
    <w:p w14:paraId="16373562">
      <w:pPr>
        <w:keepNext w:val="0"/>
        <w:keepLines w:val="0"/>
        <w:pageBreakBefore w:val="0"/>
        <w:kinsoku/>
        <w:wordWrap/>
        <w:overflowPunct/>
        <w:topLinePunct w:val="0"/>
        <w:autoSpaceDE/>
        <w:bidi w:val="0"/>
        <w:spacing w:line="600" w:lineRule="exact"/>
        <w:ind w:firstLine="640" w:firstLineChars="200"/>
        <w:textAlignment w:val="auto"/>
        <w:rPr>
          <w:rFonts w:hint="eastAsia"/>
          <w:lang w:eastAsia="zh-CN"/>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（七）完成市委、市政府交办的其他任务。</w:t>
      </w:r>
    </w:p>
    <w:p w14:paraId="4EFC79DE">
      <w:pPr>
        <w:pStyle w:val="3"/>
        <w:rPr>
          <w:rStyle w:val="52"/>
          <w:rFonts w:ascii="Times New Roman" w:hAnsi="Times New Roman"/>
          <w:b w:val="0"/>
          <w:bCs w:val="0"/>
          <w:color w:val="auto"/>
          <w:highlight w:val="none"/>
        </w:rPr>
      </w:pPr>
      <w:bookmarkStart w:id="14" w:name="_Toc15396601"/>
      <w:bookmarkStart w:id="15" w:name="_Toc15377200"/>
      <w:r>
        <w:rPr>
          <w:rFonts w:hint="eastAsia" w:ascii="Times New Roman" w:hAnsi="Times New Roman" w:eastAsia="黑体"/>
          <w:b w:val="0"/>
          <w:color w:val="auto"/>
          <w:highlight w:val="none"/>
        </w:rPr>
        <w:t>二、机</w:t>
      </w:r>
      <w:r>
        <w:rPr>
          <w:rStyle w:val="52"/>
          <w:rFonts w:hint="eastAsia" w:ascii="Times New Roman" w:hAnsi="Times New Roman" w:eastAsia="黑体"/>
          <w:b w:val="0"/>
          <w:bCs w:val="0"/>
          <w:color w:val="auto"/>
          <w:highlight w:val="none"/>
        </w:rPr>
        <w:t>构设置</w:t>
      </w:r>
      <w:bookmarkEnd w:id="14"/>
      <w:bookmarkEnd w:id="15"/>
    </w:p>
    <w:p w14:paraId="74D7FB9B">
      <w:pPr>
        <w:ind w:firstLine="800" w:firstLineChars="250"/>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绵竹市清平镇人民政府</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ascii="Times New Roman" w:hAnsi="Times New Roman" w:eastAsia="仿宋_GB2312" w:cs="仿宋_GB2312"/>
          <w:color w:val="auto"/>
          <w:sz w:val="32"/>
          <w:szCs w:val="32"/>
          <w:highlight w:val="none"/>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个，其中行政单位</w:t>
      </w:r>
      <w:r>
        <w:rPr>
          <w:rFonts w:hint="eastAsia" w:eastAsia="仿宋_GB2312" w:cs="仿宋_GB2312"/>
          <w:color w:val="auto"/>
          <w:sz w:val="32"/>
          <w:szCs w:val="32"/>
          <w:highlight w:val="none"/>
          <w:lang w:val="en-US" w:eastAsia="zh-CN"/>
        </w:rPr>
        <w:t>1</w:t>
      </w:r>
      <w:r>
        <w:rPr>
          <w:rFonts w:hint="eastAsia" w:ascii="Times New Roman" w:hAnsi="Times New Roman" w:eastAsia="仿宋_GB2312" w:cs="仿宋_GB2312"/>
          <w:color w:val="auto"/>
          <w:sz w:val="32"/>
          <w:szCs w:val="32"/>
          <w:highlight w:val="none"/>
        </w:rPr>
        <w:t>个，参照公务员法管理的事业单位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个，其他事业单位</w:t>
      </w:r>
      <w:r>
        <w:rPr>
          <w:rFonts w:hint="eastAsia"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个。</w:t>
      </w:r>
    </w:p>
    <w:p w14:paraId="5709CF94">
      <w:pPr>
        <w:pStyle w:val="7"/>
        <w:adjustRightInd w:val="0"/>
        <w:snapToGrid w:val="0"/>
        <w:spacing w:before="93" w:line="600" w:lineRule="exact"/>
        <w:ind w:firstLine="672" w:firstLineChars="21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纳入</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eastAsia="zh-CN"/>
        </w:rPr>
        <w:t>4年度</w:t>
      </w:r>
      <w:r>
        <w:rPr>
          <w:rFonts w:hint="eastAsia" w:ascii="Times New Roman" w:hAnsi="Times New Roman" w:eastAsia="仿宋_GB2312" w:cs="仿宋_GB2312"/>
          <w:color w:val="auto"/>
          <w:sz w:val="32"/>
          <w:szCs w:val="32"/>
          <w:highlight w:val="none"/>
        </w:rPr>
        <w:t>部门决算编制范围的二级预算单位包括：</w:t>
      </w:r>
    </w:p>
    <w:p w14:paraId="0103BB38">
      <w:pPr>
        <w:pStyle w:val="7"/>
        <w:numPr>
          <w:ilvl w:val="0"/>
          <w:numId w:val="3"/>
        </w:numPr>
        <w:adjustRightInd w:val="0"/>
        <w:snapToGrid w:val="0"/>
        <w:spacing w:before="93" w:line="600" w:lineRule="exact"/>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绵竹市清平镇人民政府</w:t>
      </w:r>
    </w:p>
    <w:p w14:paraId="00DCCC66">
      <w:pPr>
        <w:widowControl/>
        <w:jc w:val="left"/>
        <w:rPr>
          <w:rFonts w:ascii="Times New Roman" w:hAnsi="Times New Roman" w:eastAsia="仿宋"/>
          <w:color w:val="auto"/>
          <w:kern w:val="0"/>
          <w:sz w:val="32"/>
          <w:szCs w:val="32"/>
          <w:highlight w:val="none"/>
        </w:rPr>
      </w:pPr>
      <w:r>
        <w:rPr>
          <w:rFonts w:hint="eastAsia" w:eastAsia="仿宋"/>
          <w:color w:val="auto"/>
          <w:sz w:val="32"/>
          <w:szCs w:val="32"/>
          <w:highlight w:val="none"/>
          <w:lang w:val="en-US" w:eastAsia="zh-CN"/>
        </w:rPr>
        <w:t xml:space="preserve">                 </w:t>
      </w:r>
      <w:r>
        <w:rPr>
          <w:rFonts w:ascii="Times New Roman" w:hAnsi="Times New Roman" w:eastAsia="仿宋"/>
          <w:color w:val="auto"/>
          <w:sz w:val="32"/>
          <w:szCs w:val="32"/>
          <w:highlight w:val="none"/>
        </w:rPr>
        <w:br w:type="page"/>
      </w:r>
    </w:p>
    <w:p w14:paraId="4FF2F524">
      <w:pPr>
        <w:pStyle w:val="2"/>
        <w:jc w:val="center"/>
        <w:rPr>
          <w:rFonts w:hint="eastAsia" w:ascii="Times New Roman" w:hAnsi="Times New Roman" w:eastAsia="方正小标宋简体" w:cs="方正小标宋简体"/>
          <w:b w:val="0"/>
          <w:color w:val="auto"/>
          <w:highlight w:val="none"/>
        </w:rPr>
      </w:pPr>
      <w:bookmarkStart w:id="16" w:name="_Toc15377204"/>
      <w:bookmarkStart w:id="17" w:name="_Toc15396602"/>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6"/>
      <w:bookmarkEnd w:id="17"/>
    </w:p>
    <w:p w14:paraId="4F2F9DEF">
      <w:pPr>
        <w:rPr>
          <w:rFonts w:ascii="Times New Roman" w:hAnsi="Times New Roman"/>
          <w:color w:val="auto"/>
          <w:highlight w:val="none"/>
        </w:rPr>
      </w:pPr>
    </w:p>
    <w:p w14:paraId="782DEBA8">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52"/>
          <w:rFonts w:hint="eastAsia" w:ascii="Times New Roman" w:hAnsi="Times New Roman" w:eastAsia="黑体"/>
          <w:b w:val="0"/>
          <w:color w:val="auto"/>
          <w:highlight w:val="none"/>
        </w:rPr>
      </w:pPr>
      <w:bookmarkStart w:id="18" w:name="_Toc15396603"/>
      <w:bookmarkStart w:id="19"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52"/>
          <w:rFonts w:hint="eastAsia" w:ascii="Times New Roman" w:hAnsi="Times New Roman" w:eastAsia="黑体"/>
          <w:b w:val="0"/>
          <w:color w:val="auto"/>
          <w:highlight w:val="none"/>
        </w:rPr>
        <w:t>入支出决算总体情况说明</w:t>
      </w:r>
      <w:bookmarkEnd w:id="18"/>
      <w:bookmarkEnd w:id="19"/>
    </w:p>
    <w:p w14:paraId="50E7E301">
      <w:pPr>
        <w:spacing w:line="600" w:lineRule="exact"/>
        <w:ind w:firstLine="640" w:firstLineChars="200"/>
        <w:rPr>
          <w:rFonts w:hint="eastAsia" w:ascii="仿宋" w:hAnsi="仿宋" w:eastAsia="仿宋"/>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1355.98</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868.72</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39.05</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eastAsia="zh-CN"/>
        </w:rPr>
        <w:t>特定类项目减少</w:t>
      </w:r>
      <w:r>
        <w:rPr>
          <w:rFonts w:hint="eastAsia" w:ascii="仿宋" w:hAnsi="仿宋" w:eastAsia="仿宋"/>
          <w:color w:val="auto"/>
          <w:sz w:val="32"/>
          <w:szCs w:val="32"/>
          <w:highlight w:val="none"/>
          <w:lang w:eastAsia="zh-CN"/>
        </w:rPr>
        <w:t>。</w:t>
      </w:r>
    </w:p>
    <w:p w14:paraId="18B89EB6">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r>
        <w:rPr>
          <w:rFonts w:hint="default" w:ascii="Times New Roman" w:hAnsi="Times New Roman" w:eastAsia="仿宋"/>
          <w:kern w:val="2"/>
          <w:sz w:val="32"/>
          <w:szCs w:val="24"/>
        </w:rPr>
        <w:object>
          <v:shape id="_x0000_i1025" o:spt="75" type="#_x0000_t75" style="height:262.9pt;width:393.35pt;" o:ole="t" filled="f" o:preferrelative="t" stroked="f" coordsize="21600,21600">
            <v:path/>
            <v:fill on="f" focussize="0,0"/>
            <v:stroke on="f"/>
            <v:imagedata r:id="rId11" o:title=""/>
            <o:lock v:ext="edit" aspectratio="t"/>
            <w10:wrap type="none"/>
            <w10:anchorlock/>
          </v:shape>
          <o:OLEObject Type="Embed" ProgID="MSGraph.Chart.8" ShapeID="_x0000_i1025" DrawAspect="Content" ObjectID="_1468075725" r:id="rId10">
            <o:LockedField>false</o:LockedField>
          </o:OLEObject>
        </w:object>
      </w:r>
    </w:p>
    <w:p w14:paraId="3A14C7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420B896C">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0" w:name="_Toc15377206"/>
      <w:bookmarkStart w:id="21" w:name="_Toc15396604"/>
      <w:r>
        <w:rPr>
          <w:rFonts w:hint="eastAsia" w:ascii="Times New Roman" w:hAnsi="Times New Roman" w:eastAsia="黑体"/>
          <w:color w:val="auto"/>
          <w:sz w:val="32"/>
          <w:szCs w:val="32"/>
          <w:highlight w:val="none"/>
          <w:lang w:eastAsia="zh-CN"/>
        </w:rPr>
        <w:t>二、收入决算情况说明</w:t>
      </w:r>
      <w:bookmarkEnd w:id="20"/>
      <w:bookmarkEnd w:id="21"/>
    </w:p>
    <w:p w14:paraId="161DBBA6">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1355.98万元，其中：一般公共预算财政拨款收入1343.7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99.09</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万元，占0%；国有资本经营预算财政拨款收入</w:t>
      </w:r>
      <w:r>
        <w:rPr>
          <w:rFonts w:hint="eastAsia" w:ascii="仿宋_GB2312" w:hAnsi="仿宋_GB2312" w:eastAsia="仿宋_GB2312" w:cs="仿宋_GB2312"/>
          <w:sz w:val="32"/>
          <w:szCs w:val="32"/>
        </w:rPr>
        <w:t>9.8</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0.72</w:t>
      </w:r>
      <w:r>
        <w:rPr>
          <w:rFonts w:hint="eastAsia" w:ascii="仿宋_GB2312" w:hAnsi="仿宋_GB2312" w:eastAsia="仿宋_GB2312" w:cs="仿宋_GB2312"/>
          <w:color w:val="auto"/>
          <w:sz w:val="32"/>
          <w:szCs w:val="32"/>
          <w:highlight w:val="none"/>
          <w:lang w:eastAsia="zh-CN"/>
        </w:rPr>
        <w:t>%；上级补助收入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%；事业收入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%；附属单位上缴收入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2.49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0.18</w:t>
      </w:r>
      <w:r>
        <w:rPr>
          <w:rFonts w:hint="eastAsia" w:ascii="仿宋_GB2312" w:hAnsi="仿宋_GB2312" w:eastAsia="仿宋_GB2312" w:cs="仿宋_GB2312"/>
          <w:color w:val="auto"/>
          <w:sz w:val="32"/>
          <w:szCs w:val="32"/>
          <w:highlight w:val="none"/>
          <w:lang w:eastAsia="zh-CN"/>
        </w:rPr>
        <w:t>%。</w:t>
      </w:r>
    </w:p>
    <w:p w14:paraId="782E262C">
      <w:pPr>
        <w:pStyle w:val="50"/>
        <w:keepNext w:val="0"/>
        <w:keepLines w:val="0"/>
        <w:pageBreakBefore w:val="0"/>
        <w:widowControl w:val="0"/>
        <w:numPr>
          <w:ilvl w:val="0"/>
          <w:numId w:val="0"/>
        </w:numPr>
        <w:tabs>
          <w:tab w:val="left" w:pos="2940"/>
        </w:tabs>
        <w:kinsoku/>
        <w:wordWrap/>
        <w:overflowPunct/>
        <w:topLinePunct w:val="0"/>
        <w:autoSpaceDE/>
        <w:autoSpaceDN/>
        <w:bidi w:val="0"/>
        <w:adjustRightInd/>
        <w:snapToGrid/>
        <w:spacing w:line="240" w:lineRule="auto"/>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方正仿宋简体"/>
          <w:color w:val="000000"/>
          <w:kern w:val="2"/>
          <w:sz w:val="32"/>
          <w:szCs w:val="24"/>
          <w:lang w:val="zh-CN"/>
        </w:rPr>
        <w:object>
          <v:shape id="_x0000_i1026" o:spt="75" type="#_x0000_t75" style="height:201.3pt;width:329.4pt;" o:ole="t" filled="f" o:preferrelative="t" stroked="f" coordsize="21600,21600">
            <v:path/>
            <v:fill on="f" focussize="0,0"/>
            <v:stroke on="f"/>
            <v:imagedata r:id="rId13" o:title=""/>
            <o:lock v:ext="edit" aspectratio="t"/>
            <w10:wrap type="none"/>
            <w10:anchorlock/>
          </v:shape>
          <o:OLEObject Type="Embed" ProgID="MSGraph.Chart.8" ShapeID="_x0000_i1026" DrawAspect="Content" ObjectID="_1468075726" r:id="rId12">
            <o:LockedField>false</o:LockedField>
          </o:OLEObject>
        </w:object>
      </w:r>
    </w:p>
    <w:p w14:paraId="3C8CA8FC">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379C500C">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52"/>
          <w:rFonts w:hint="eastAsia" w:ascii="Times New Roman" w:hAnsi="Times New Roman" w:eastAsia="黑体"/>
          <w:b w:val="0"/>
          <w:color w:val="auto"/>
          <w:highlight w:val="none"/>
        </w:rPr>
      </w:pPr>
      <w:bookmarkStart w:id="22" w:name="_Toc15396605"/>
      <w:bookmarkStart w:id="23"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52"/>
          <w:rFonts w:hint="eastAsia" w:ascii="Times New Roman" w:hAnsi="Times New Roman" w:eastAsia="黑体"/>
          <w:b w:val="0"/>
          <w:color w:val="auto"/>
          <w:highlight w:val="none"/>
        </w:rPr>
        <w:t>出决算情况说明</w:t>
      </w:r>
      <w:bookmarkEnd w:id="22"/>
      <w:bookmarkEnd w:id="23"/>
    </w:p>
    <w:p w14:paraId="017F14FF">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1355.98</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888.73</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65.54</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467.26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34.45</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万元，占0%。</w:t>
      </w:r>
      <w:r>
        <w:rPr>
          <w:rFonts w:hint="eastAsia" w:ascii="Times New Roman" w:hAnsi="Times New Roman" w:eastAsia="仿宋_GB2312" w:cs="仿宋_GB2312"/>
          <w:b/>
          <w:bCs/>
          <w:color w:val="auto"/>
          <w:sz w:val="32"/>
          <w:szCs w:val="32"/>
          <w:highlight w:val="none"/>
          <w:lang w:eastAsia="zh-CN"/>
        </w:rPr>
        <w:t>（注：仅罗列本部门涉及的支出）</w:t>
      </w:r>
    </w:p>
    <w:p w14:paraId="7DB7A2AE">
      <w:pPr>
        <w:bidi w:val="0"/>
        <w:jc w:val="both"/>
        <w:rPr>
          <w:rFonts w:hint="eastAsia"/>
          <w:lang w:eastAsia="zh-CN"/>
        </w:rPr>
      </w:pPr>
    </w:p>
    <w:p w14:paraId="26506C7A">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default" w:ascii="Times New Roman" w:hAnsi="Times New Roman" w:eastAsia="方正仿宋简体"/>
          <w:color w:val="000000"/>
          <w:kern w:val="2"/>
          <w:sz w:val="32"/>
          <w:szCs w:val="24"/>
          <w:lang w:val="zh-CN"/>
        </w:rPr>
        <w:object>
          <v:shape id="_x0000_i1027" o:spt="75" type="#_x0000_t75" style="height:222.2pt;width:379.9pt;" o:ole="t" filled="f" o:preferrelative="t" stroked="f" coordsize="21600,21600">
            <v:path/>
            <v:fill on="f" focussize="0,0"/>
            <v:stroke on="f"/>
            <v:imagedata r:id="rId15" o:title=""/>
            <o:lock v:ext="edit" aspectratio="t"/>
            <w10:wrap type="none"/>
            <w10:anchorlock/>
          </v:shape>
          <o:OLEObject Type="Embed" ProgID="MSGraph.Chart.8" ShapeID="_x0000_i1027" DrawAspect="Content" ObjectID="_1468075727" r:id="rId14">
            <o:LockedField>false</o:LockedField>
          </o:OLEObject>
        </w:object>
      </w:r>
    </w:p>
    <w:p w14:paraId="505CDFB9">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07B36C4D">
      <w:pPr>
        <w:spacing w:line="600" w:lineRule="exact"/>
        <w:ind w:firstLine="640" w:firstLineChars="200"/>
        <w:outlineLvl w:val="1"/>
        <w:rPr>
          <w:rStyle w:val="52"/>
          <w:rFonts w:ascii="Times New Roman" w:hAnsi="Times New Roman" w:eastAsia="黑体"/>
          <w:b w:val="0"/>
          <w:color w:val="auto"/>
          <w:highlight w:val="none"/>
        </w:rPr>
      </w:pPr>
      <w:bookmarkStart w:id="24" w:name="_Toc15377208"/>
      <w:bookmarkStart w:id="25" w:name="_Toc15396606"/>
      <w:r>
        <w:rPr>
          <w:rFonts w:hint="eastAsia" w:ascii="Times New Roman" w:hAnsi="Times New Roman" w:eastAsia="黑体"/>
          <w:color w:val="auto"/>
          <w:sz w:val="32"/>
          <w:szCs w:val="32"/>
          <w:highlight w:val="none"/>
        </w:rPr>
        <w:t>四、财</w:t>
      </w:r>
      <w:r>
        <w:rPr>
          <w:rStyle w:val="52"/>
          <w:rFonts w:hint="eastAsia" w:ascii="Times New Roman" w:hAnsi="Times New Roman" w:eastAsia="黑体"/>
          <w:b w:val="0"/>
          <w:color w:val="auto"/>
          <w:highlight w:val="none"/>
        </w:rPr>
        <w:t>政拨款收入支出决算总体情况说明</w:t>
      </w:r>
      <w:bookmarkEnd w:id="24"/>
      <w:bookmarkEnd w:id="25"/>
    </w:p>
    <w:p w14:paraId="71848B0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1353.5</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万元。与2023年度相比，财政拨款收入总计、支出总计各减少871.20万元，下降39.16%。主要变动原因是特定类项目减少。</w:t>
      </w:r>
    </w:p>
    <w:p w14:paraId="5DDCD483">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宋体"/>
          <w:sz w:val="24"/>
          <w:szCs w:val="24"/>
        </w:rPr>
        <w:object>
          <v:shape id="_x0000_i1028" o:spt="75" type="#_x0000_t75" style="height:244.25pt;width:335.55pt;" o:ole="t" filled="f" o:preferrelative="t" stroked="f" coordsize="21600,21600">
            <v:path/>
            <v:fill on="f" focussize="0,0"/>
            <v:stroke on="f"/>
            <v:imagedata r:id="rId17" o:title=""/>
            <o:lock v:ext="edit" aspectratio="t"/>
            <w10:wrap type="none"/>
            <w10:anchorlock/>
          </v:shape>
          <o:OLEObject Type="Embed" ProgID="MSGraph.Chart.8" ShapeID="_x0000_i1028" DrawAspect="Content" ObjectID="_1468075728" r:id="rId16">
            <o:LockedField>false</o:LockedField>
          </o:OLEObject>
        </w:object>
      </w:r>
    </w:p>
    <w:p w14:paraId="0264029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6E815A65">
      <w:pPr>
        <w:spacing w:line="600" w:lineRule="exact"/>
        <w:ind w:firstLine="640" w:firstLineChars="200"/>
        <w:outlineLvl w:val="1"/>
        <w:rPr>
          <w:rStyle w:val="52"/>
          <w:rFonts w:ascii="Times New Roman" w:hAnsi="Times New Roman" w:eastAsia="黑体"/>
          <w:b w:val="0"/>
          <w:color w:val="auto"/>
          <w:highlight w:val="none"/>
        </w:rPr>
      </w:pPr>
      <w:bookmarkStart w:id="26" w:name="_Toc15377209"/>
      <w:bookmarkStart w:id="27"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52"/>
          <w:rFonts w:hint="eastAsia" w:ascii="Times New Roman" w:hAnsi="Times New Roman" w:eastAsia="黑体"/>
          <w:b w:val="0"/>
          <w:color w:val="auto"/>
          <w:highlight w:val="none"/>
        </w:rPr>
        <w:t>般公共预算财政拨款支出决算情况说明</w:t>
      </w:r>
      <w:bookmarkEnd w:id="26"/>
      <w:bookmarkEnd w:id="27"/>
    </w:p>
    <w:p w14:paraId="1CDC3CA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8"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8"/>
    </w:p>
    <w:p w14:paraId="3D1F8F0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99.09</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%。与2023年度相比，一般公共预算财政拨款支出减少871.20万元，下降39.33%。主要变动原因是特定类项目减少。</w:t>
      </w:r>
    </w:p>
    <w:p w14:paraId="42F11CF6">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宋体"/>
          <w:sz w:val="24"/>
          <w:szCs w:val="24"/>
        </w:rPr>
        <w:object>
          <v:shape id="_x0000_i1029" o:spt="75" type="#_x0000_t75" style="height:262.6pt;width:393.35pt;" o:ole="t" filled="f" o:preferrelative="t" stroked="f" coordsize="21600,21600">
            <v:path/>
            <v:fill on="f" focussize="0,0"/>
            <v:stroke on="f"/>
            <v:imagedata r:id="rId19" o:title=""/>
            <o:lock v:ext="edit" aspectratio="t"/>
            <w10:wrap type="none"/>
            <w10:anchorlock/>
          </v:shape>
          <o:OLEObject Type="Embed" ProgID="MSGraph.Chart.8" ShapeID="_x0000_i1029" DrawAspect="Content" ObjectID="_1468075729" r:id="rId18">
            <o:LockedField>false</o:LockedField>
          </o:OLEObject>
        </w:object>
      </w:r>
    </w:p>
    <w:p w14:paraId="78184E7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03266D4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9"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9"/>
    </w:p>
    <w:p w14:paraId="755DE364">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756.36万元，占56.30%；公共安全支出5.18万元，占0.39%；文化旅游体育与传媒支出5.00万元，占0.37%；社会保障和就业支出124.35万元，占9.25%；卫生健康支出25.93万元，占1.93%；节能环保支出16.80万元，占1.25%；城乡社区支出50.31万元，占3.74%；农林水支出300.97万元，占比22.40%；住房保障支出45.45万元，占3.38%；灾害防治及应急管理支出13.35万元，占比0.99%；</w:t>
      </w:r>
    </w:p>
    <w:p w14:paraId="0B67E7EE">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仿宋"/>
          <w:b/>
          <w:kern w:val="2"/>
          <w:sz w:val="32"/>
          <w:szCs w:val="24"/>
        </w:rPr>
        <w:object>
          <v:shape id="_x0000_i1030" o:spt="75" type="#_x0000_t75" style="height:207pt;width:417.85pt;" o:ole="t" filled="f" o:preferrelative="t" stroked="f" coordsize="21600,21600">
            <v:path/>
            <v:fill on="f" focussize="0,0"/>
            <v:stroke on="f"/>
            <v:imagedata r:id="rId21" o:title=""/>
            <o:lock v:ext="edit" aspectratio="t"/>
            <w10:wrap type="none"/>
            <w10:anchorlock/>
          </v:shape>
          <o:OLEObject Type="Embed" ProgID="MSGraph.Chart.8" ShapeID="_x0000_i1030" DrawAspect="Content" ObjectID="_1468075730" r:id="rId20">
            <o:LockedField>false</o:LockedField>
          </o:OLEObject>
        </w:object>
      </w:r>
      <w:r>
        <w:rPr>
          <w:rFonts w:hint="eastAsia" w:ascii="Times New Roman" w:hAnsi="Times New Roman" w:eastAsia="仿宋"/>
          <w:b/>
          <w:kern w:val="2"/>
          <w:sz w:val="32"/>
          <w:szCs w:val="24"/>
          <w:lang w:val="en-US" w:eastAsia="zh-CN"/>
        </w:rPr>
        <w:t xml:space="preserve">       </w:t>
      </w: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w:t>
      </w:r>
    </w:p>
    <w:p w14:paraId="3826E76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0"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0"/>
    </w:p>
    <w:p w14:paraId="5AA81E2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1" w:name="_Toc15378460"/>
      <w:bookmarkStart w:id="32" w:name="_Toc15377444"/>
      <w:bookmarkStart w:id="33" w:name="_Toc15377213"/>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完成预算100%。其中：</w:t>
      </w:r>
      <w:bookmarkEnd w:id="31"/>
      <w:bookmarkEnd w:id="32"/>
      <w:bookmarkEnd w:id="33"/>
    </w:p>
    <w:p w14:paraId="6402C75B">
      <w:pPr>
        <w:numPr>
          <w:ilvl w:val="0"/>
          <w:numId w:val="0"/>
        </w:numPr>
        <w:snapToGrid w:val="0"/>
        <w:spacing w:line="600" w:lineRule="exact"/>
        <w:ind w:firstLine="640" w:firstLineChars="200"/>
        <w:jc w:val="both"/>
        <w:rPr>
          <w:rFonts w:hint="default"/>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b/>
          <w:bCs/>
          <w:color w:val="auto"/>
          <w:kern w:val="2"/>
          <w:sz w:val="32"/>
          <w:szCs w:val="32"/>
          <w:highlight w:val="none"/>
          <w:lang w:val="en-US" w:eastAsia="zh-CN" w:bidi="ar-SA"/>
        </w:rPr>
        <w:t>一般公共服务（201）</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支出决算为756.36万元，完成预算100%，其中：</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1</w:t>
      </w:r>
      <w:r>
        <w:rPr>
          <w:rFonts w:hint="eastAsia" w:ascii="Times New Roman" w:hAnsi="Times New Roman" w:eastAsia="方正仿宋简体"/>
          <w:color w:val="000000"/>
          <w:sz w:val="32"/>
          <w:szCs w:val="24"/>
        </w:rPr>
        <w:t>）其他人大事务支出（</w:t>
      </w:r>
      <w:r>
        <w:rPr>
          <w:rFonts w:hint="default" w:ascii="Times New Roman" w:hAnsi="Times New Roman" w:eastAsia="Times New Roman"/>
          <w:color w:val="000000"/>
          <w:sz w:val="32"/>
          <w:szCs w:val="24"/>
        </w:rPr>
        <w:t>2010199</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sz w:val="32"/>
          <w:szCs w:val="24"/>
          <w:lang w:val="en-US" w:eastAsia="zh-CN"/>
        </w:rPr>
        <w:t>2024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2.46</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 xml:space="preserve"> </w:t>
      </w:r>
      <w:r>
        <w:rPr>
          <w:rFonts w:hint="eastAsia" w:ascii="Times New Roman" w:hAnsi="Times New Roman" w:eastAsia="方正仿宋简体"/>
          <w:color w:val="000000"/>
          <w:sz w:val="32"/>
          <w:szCs w:val="24"/>
        </w:rPr>
        <w:t>行政运行（</w:t>
      </w:r>
      <w:r>
        <w:rPr>
          <w:rFonts w:hint="default" w:ascii="Times New Roman" w:hAnsi="Times New Roman" w:eastAsia="Times New Roman"/>
          <w:color w:val="000000"/>
          <w:sz w:val="32"/>
          <w:szCs w:val="24"/>
        </w:rPr>
        <w:t>2010301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380.92</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3</w:t>
      </w:r>
      <w:r>
        <w:rPr>
          <w:rFonts w:hint="eastAsia" w:ascii="Times New Roman" w:hAnsi="Times New Roman" w:eastAsia="方正仿宋简体"/>
          <w:color w:val="000000"/>
          <w:sz w:val="32"/>
          <w:szCs w:val="24"/>
        </w:rPr>
        <w:t>）一般行政管理事务支出（</w:t>
      </w:r>
      <w:r>
        <w:rPr>
          <w:rFonts w:hint="default" w:ascii="Times New Roman" w:hAnsi="Times New Roman" w:eastAsia="Times New Roman"/>
          <w:color w:val="000000"/>
          <w:sz w:val="32"/>
          <w:szCs w:val="24"/>
        </w:rPr>
        <w:t>2010302</w:t>
      </w:r>
      <w:r>
        <w:rPr>
          <w:rFonts w:hint="eastAsia" w:ascii="Times New Roman" w:hAnsi="Times New Roman"/>
          <w:color w:val="000000"/>
          <w:sz w:val="32"/>
          <w:szCs w:val="24"/>
          <w:lang w:eastAsia="zh-CN"/>
        </w:rPr>
        <w:t>）</w:t>
      </w:r>
      <w:r>
        <w:rPr>
          <w:rFonts w:hint="default" w:ascii="Times New Roman" w:hAnsi="Times New Roman" w:eastAsia="Times New Roman"/>
          <w:color w:val="000000"/>
          <w:sz w:val="32"/>
          <w:szCs w:val="24"/>
        </w:rPr>
        <w:t>202</w:t>
      </w:r>
      <w:r>
        <w:rPr>
          <w:rFonts w:hint="eastAsia" w:ascii="Times New Roman" w:hAnsi="Times New Roman" w:eastAsia="方正仿宋简体"/>
          <w:color w:val="000000"/>
          <w:sz w:val="32"/>
          <w:szCs w:val="24"/>
        </w:rPr>
        <w:t>年决算数为261.03万元，完成预算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4</w:t>
      </w:r>
      <w:r>
        <w:rPr>
          <w:rFonts w:hint="eastAsia" w:ascii="Times New Roman" w:hAnsi="Times New Roman" w:eastAsia="方正仿宋简体"/>
          <w:color w:val="000000"/>
          <w:sz w:val="32"/>
          <w:szCs w:val="24"/>
        </w:rPr>
        <w:t>）事业运行（</w:t>
      </w:r>
      <w:r>
        <w:rPr>
          <w:rFonts w:hint="default" w:ascii="Times New Roman" w:hAnsi="Times New Roman" w:eastAsia="Times New Roman"/>
          <w:color w:val="000000"/>
          <w:sz w:val="32"/>
          <w:szCs w:val="24"/>
        </w:rPr>
        <w:t>2010350</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91.95</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5</w:t>
      </w:r>
      <w:r>
        <w:rPr>
          <w:rFonts w:hint="eastAsia" w:ascii="Times New Roman" w:hAnsi="Times New Roman" w:eastAsia="方正仿宋简体"/>
          <w:color w:val="000000"/>
          <w:sz w:val="32"/>
          <w:szCs w:val="24"/>
          <w:lang w:eastAsia="zh-CN"/>
        </w:rPr>
        <w:t>）其他群众团体事务支出（</w:t>
      </w:r>
      <w:r>
        <w:rPr>
          <w:rFonts w:hint="eastAsia" w:ascii="Times New Roman" w:hAnsi="Times New Roman" w:eastAsia="方正仿宋简体"/>
          <w:color w:val="000000"/>
          <w:sz w:val="32"/>
          <w:szCs w:val="24"/>
          <w:lang w:val="en-US" w:eastAsia="zh-CN"/>
        </w:rPr>
        <w:t>2012999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2024年决算数为5.00万元，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val="en-US" w:eastAsia="zh-CN"/>
        </w:rPr>
        <w:t>6</w:t>
      </w:r>
      <w:r>
        <w:rPr>
          <w:rFonts w:hint="eastAsia" w:ascii="Times New Roman" w:hAnsi="Times New Roman" w:eastAsia="方正仿宋简体"/>
          <w:color w:val="000000"/>
          <w:sz w:val="32"/>
          <w:szCs w:val="24"/>
        </w:rPr>
        <w:t>）其他共产党事务支出（</w:t>
      </w:r>
      <w:r>
        <w:rPr>
          <w:rFonts w:hint="default" w:ascii="Times New Roman" w:hAnsi="Times New Roman" w:eastAsia="Times New Roman"/>
          <w:color w:val="000000"/>
          <w:sz w:val="32"/>
          <w:szCs w:val="24"/>
        </w:rPr>
        <w:t>2013699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15.00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0F1FFFE9">
      <w:pPr>
        <w:spacing w:line="600" w:lineRule="exact"/>
        <w:ind w:firstLine="640"/>
        <w:rPr>
          <w:rFonts w:hint="eastAsia" w:ascii="Times New Roman" w:hAnsi="Times New Roman" w:eastAsia="方正仿宋简体"/>
          <w:kern w:val="2"/>
          <w:sz w:val="32"/>
          <w:szCs w:val="24"/>
          <w:lang w:eastAsia="zh-CN"/>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b/>
          <w:bCs/>
          <w:color w:val="auto"/>
          <w:kern w:val="2"/>
          <w:sz w:val="32"/>
          <w:szCs w:val="32"/>
          <w:highlight w:val="none"/>
          <w:lang w:val="en-US" w:eastAsia="zh-CN" w:bidi="ar-SA"/>
        </w:rPr>
        <w:t>.公共安全支出（204）：</w:t>
      </w:r>
      <w:r>
        <w:rPr>
          <w:rFonts w:hint="eastAsia" w:ascii="Times New Roman" w:hAnsi="Times New Roman" w:eastAsia="仿宋_GB2312" w:cs="仿宋_GB2312"/>
          <w:color w:val="auto"/>
          <w:kern w:val="2"/>
          <w:sz w:val="32"/>
          <w:szCs w:val="32"/>
          <w:highlight w:val="none"/>
          <w:lang w:val="en-US" w:eastAsia="zh-CN" w:bidi="ar-SA"/>
        </w:rPr>
        <w:t xml:space="preserve"> 支出决算为5.18万元，完成预算100%，其中：其他公安支出（2040299）决算数为5.18万元，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宋体"/>
          <w:color w:val="000000"/>
          <w:sz w:val="32"/>
          <w:szCs w:val="24"/>
          <w:lang w:eastAsia="zh-CN"/>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p>
    <w:p w14:paraId="6A1A8EED">
      <w:pPr>
        <w:spacing w:line="590" w:lineRule="exact"/>
        <w:ind w:firstLine="640" w:firstLineChars="200"/>
        <w:rPr>
          <w:rFonts w:hint="default" w:ascii="Times New Roman" w:hAnsi="Times New Roman" w:eastAsia="方正仿宋简体"/>
          <w:color w:val="000000"/>
          <w:sz w:val="32"/>
          <w:szCs w:val="24"/>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仿宋" w:hAnsi="仿宋" w:eastAsia="仿宋" w:cs="仿宋"/>
          <w:b/>
          <w:color w:val="000000"/>
          <w:sz w:val="32"/>
          <w:szCs w:val="24"/>
        </w:rPr>
        <w:t>文化体育与传媒支出（207）</w:t>
      </w:r>
      <w:r>
        <w:rPr>
          <w:rFonts w:hint="eastAsia" w:ascii="Times New Roman" w:hAnsi="Times New Roman" w:eastAsia="方正仿宋简体"/>
          <w:color w:val="000000"/>
          <w:sz w:val="32"/>
          <w:szCs w:val="24"/>
        </w:rPr>
        <w:t>：支出决算</w:t>
      </w:r>
      <w:r>
        <w:rPr>
          <w:rFonts w:hint="eastAsia" w:ascii="Times New Roman" w:hAnsi="Times New Roman" w:eastAsia="方正仿宋简体"/>
          <w:color w:val="000000"/>
          <w:sz w:val="32"/>
          <w:szCs w:val="24"/>
          <w:lang w:val="en-US" w:eastAsia="zh-CN"/>
        </w:rPr>
        <w:t>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。其中：其他文化和旅游支出（</w:t>
      </w:r>
      <w:r>
        <w:rPr>
          <w:rFonts w:hint="default" w:ascii="Times New Roman" w:hAnsi="Times New Roman" w:eastAsia="Times New Roman"/>
          <w:color w:val="000000"/>
          <w:sz w:val="32"/>
          <w:szCs w:val="24"/>
        </w:rPr>
        <w:t>2070199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1C17C9B2">
      <w:pPr>
        <w:snapToGrid w:val="0"/>
        <w:spacing w:line="600" w:lineRule="exact"/>
        <w:ind w:firstLine="643"/>
        <w:jc w:val="both"/>
        <w:rPr>
          <w:rFonts w:hint="default" w:ascii="Times New Roman" w:hAnsi="Times New Roman" w:eastAsia="Times New Roman"/>
          <w:color w:val="000000"/>
          <w:sz w:val="32"/>
          <w:szCs w:val="24"/>
        </w:rPr>
      </w:pPr>
      <w:r>
        <w:rPr>
          <w:rFonts w:hint="eastAsia" w:ascii="仿宋" w:hAnsi="仿宋" w:eastAsia="仿宋" w:cs="仿宋"/>
          <w:b/>
          <w:color w:val="000000"/>
          <w:sz w:val="32"/>
          <w:szCs w:val="24"/>
          <w:lang w:val="en-US" w:eastAsia="zh-CN"/>
        </w:rPr>
        <w:t>4</w:t>
      </w:r>
      <w:r>
        <w:rPr>
          <w:rFonts w:hint="eastAsia" w:ascii="仿宋" w:hAnsi="仿宋" w:eastAsia="仿宋" w:cs="仿宋"/>
          <w:b/>
          <w:color w:val="000000"/>
          <w:sz w:val="32"/>
          <w:szCs w:val="24"/>
        </w:rPr>
        <w:t>.社会保障与就业支出（208）</w:t>
      </w:r>
      <w:r>
        <w:rPr>
          <w:rFonts w:hint="eastAsia" w:ascii="Times New Roman" w:hAnsi="Times New Roman" w:eastAsia="方正仿宋简体"/>
          <w:b/>
          <w:color w:val="000000"/>
          <w:sz w:val="32"/>
          <w:szCs w:val="24"/>
        </w:rPr>
        <w:t>：</w:t>
      </w:r>
      <w:r>
        <w:rPr>
          <w:rFonts w:hint="eastAsia" w:ascii="Times New Roman" w:hAnsi="Times New Roman" w:eastAsia="方正仿宋简体"/>
          <w:color w:val="000000"/>
          <w:sz w:val="32"/>
          <w:szCs w:val="24"/>
        </w:rPr>
        <w:t>支出决算为</w:t>
      </w:r>
      <w:r>
        <w:rPr>
          <w:rFonts w:hint="eastAsia" w:ascii="Times New Roman" w:hAnsi="Times New Roman" w:eastAsia="方正仿宋简体"/>
          <w:color w:val="000000"/>
          <w:sz w:val="32"/>
          <w:szCs w:val="24"/>
          <w:lang w:val="en-US" w:eastAsia="zh-CN"/>
        </w:rPr>
        <w:t>124.35</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。其中：（</w:t>
      </w:r>
      <w:r>
        <w:rPr>
          <w:rFonts w:hint="default" w:ascii="Times New Roman" w:hAnsi="Times New Roman" w:eastAsia="Times New Roman"/>
          <w:color w:val="000000"/>
          <w:sz w:val="32"/>
          <w:szCs w:val="24"/>
        </w:rPr>
        <w:t>1</w:t>
      </w:r>
      <w:r>
        <w:rPr>
          <w:rFonts w:hint="eastAsia" w:ascii="Times New Roman" w:hAnsi="Times New Roman" w:eastAsia="方正仿宋简体"/>
          <w:color w:val="000000"/>
          <w:sz w:val="32"/>
          <w:szCs w:val="24"/>
        </w:rPr>
        <w:t>）其他人力资源和社会保障管理事务支出（</w:t>
      </w:r>
      <w:r>
        <w:rPr>
          <w:rFonts w:hint="default" w:ascii="Times New Roman" w:hAnsi="Times New Roman" w:eastAsia="Times New Roman"/>
          <w:color w:val="000000"/>
          <w:sz w:val="32"/>
          <w:szCs w:val="24"/>
        </w:rPr>
        <w:t>2080199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default" w:ascii="Times New Roman" w:hAnsi="Times New Roman" w:eastAsia="Times New Roman"/>
          <w:color w:val="000000"/>
          <w:sz w:val="32"/>
          <w:szCs w:val="24"/>
        </w:rPr>
        <w:t>0.5</w:t>
      </w:r>
      <w:r>
        <w:rPr>
          <w:rFonts w:hint="eastAsia" w:ascii="Times New Roman" w:hAnsi="Times New Roman"/>
          <w:color w:val="000000"/>
          <w:sz w:val="32"/>
          <w:szCs w:val="24"/>
          <w:lang w:val="en-US" w:eastAsia="zh-CN"/>
        </w:rPr>
        <w:t>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2</w:t>
      </w:r>
      <w:r>
        <w:rPr>
          <w:rFonts w:hint="eastAsia" w:ascii="Times New Roman" w:hAnsi="Times New Roman" w:eastAsia="方正仿宋简体"/>
          <w:color w:val="000000"/>
          <w:sz w:val="32"/>
          <w:szCs w:val="24"/>
        </w:rPr>
        <w:t>）行政单位离退休（</w:t>
      </w:r>
      <w:r>
        <w:rPr>
          <w:rFonts w:hint="default" w:ascii="Times New Roman" w:hAnsi="Times New Roman" w:eastAsia="Times New Roman"/>
          <w:color w:val="000000"/>
          <w:sz w:val="32"/>
          <w:szCs w:val="24"/>
        </w:rPr>
        <w:t>2080501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0.7</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3</w:t>
      </w:r>
      <w:r>
        <w:rPr>
          <w:rFonts w:hint="eastAsia" w:ascii="Times New Roman" w:hAnsi="Times New Roman" w:eastAsia="方正仿宋简体"/>
          <w:color w:val="000000"/>
          <w:sz w:val="32"/>
          <w:szCs w:val="24"/>
        </w:rPr>
        <w:t>）事业单位离退休（</w:t>
      </w:r>
      <w:r>
        <w:rPr>
          <w:rFonts w:hint="default" w:ascii="Times New Roman" w:hAnsi="Times New Roman" w:eastAsia="Times New Roman"/>
          <w:color w:val="000000"/>
          <w:sz w:val="32"/>
          <w:szCs w:val="24"/>
        </w:rPr>
        <w:t>2080502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default" w:ascii="Times New Roman" w:hAnsi="Times New Roman" w:eastAsia="Times New Roman"/>
          <w:color w:val="000000"/>
          <w:sz w:val="32"/>
          <w:szCs w:val="24"/>
        </w:rPr>
        <w:t>0.5</w:t>
      </w:r>
      <w:r>
        <w:rPr>
          <w:rFonts w:hint="eastAsia" w:ascii="Times New Roman" w:hAnsi="Times New Roman" w:eastAsia="宋体"/>
          <w:color w:val="000000"/>
          <w:sz w:val="32"/>
          <w:szCs w:val="24"/>
          <w:lang w:val="en-US" w:eastAsia="zh-CN"/>
        </w:rPr>
        <w:t>2</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4</w:t>
      </w:r>
      <w:r>
        <w:rPr>
          <w:rFonts w:hint="eastAsia" w:ascii="Times New Roman" w:hAnsi="Times New Roman" w:eastAsia="方正仿宋简体"/>
          <w:color w:val="000000"/>
          <w:sz w:val="32"/>
          <w:szCs w:val="24"/>
        </w:rPr>
        <w:t>）机关事业单位基本养老保险缴费支出（</w:t>
      </w:r>
      <w:r>
        <w:rPr>
          <w:rFonts w:hint="default" w:ascii="Times New Roman" w:hAnsi="Times New Roman" w:eastAsia="Times New Roman"/>
          <w:color w:val="000000"/>
          <w:sz w:val="32"/>
          <w:szCs w:val="24"/>
        </w:rPr>
        <w:t>2080505</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54.94</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5</w:t>
      </w:r>
      <w:r>
        <w:rPr>
          <w:rFonts w:hint="eastAsia" w:ascii="Times New Roman" w:hAnsi="Times New Roman" w:eastAsia="方正仿宋简体"/>
          <w:color w:val="000000"/>
          <w:sz w:val="32"/>
          <w:szCs w:val="24"/>
        </w:rPr>
        <w:t>）机关事业单位职业年金缴费支出（</w:t>
      </w:r>
      <w:r>
        <w:rPr>
          <w:rFonts w:hint="default" w:ascii="Times New Roman" w:hAnsi="Times New Roman" w:eastAsia="Times New Roman"/>
          <w:color w:val="000000"/>
          <w:sz w:val="32"/>
          <w:szCs w:val="24"/>
        </w:rPr>
        <w:t>2080506</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24.11</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6</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rPr>
        <w:t>其他行政事业单位养老支出</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rPr>
        <w:t>2080599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2024年决算数为15.23万元，完成预算数100%，与预算数持平。</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sz w:val="32"/>
          <w:szCs w:val="24"/>
          <w:lang w:val="en-US" w:eastAsia="zh-CN"/>
        </w:rPr>
        <w:t>7</w:t>
      </w:r>
      <w:r>
        <w:rPr>
          <w:rFonts w:hint="eastAsia" w:ascii="Times New Roman" w:hAnsi="Times New Roman" w:eastAsia="方正仿宋简体"/>
          <w:color w:val="000000"/>
          <w:sz w:val="32"/>
          <w:szCs w:val="24"/>
        </w:rPr>
        <w:t>）其他行政事业单位养老支出（</w:t>
      </w:r>
      <w:r>
        <w:rPr>
          <w:rFonts w:hint="default" w:ascii="Times New Roman" w:hAnsi="Times New Roman" w:eastAsia="Times New Roman"/>
          <w:color w:val="000000"/>
          <w:sz w:val="32"/>
          <w:szCs w:val="24"/>
        </w:rPr>
        <w:t>2080599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28.36</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37B6B685">
      <w:pPr>
        <w:snapToGrid w:val="0"/>
        <w:spacing w:line="600" w:lineRule="exact"/>
        <w:ind w:firstLine="643"/>
        <w:jc w:val="both"/>
        <w:rPr>
          <w:rFonts w:hint="eastAsia" w:ascii="Times New Roman" w:hAnsi="Times New Roman" w:eastAsia="方正仿宋简体"/>
          <w:color w:val="000000"/>
          <w:sz w:val="32"/>
          <w:szCs w:val="24"/>
          <w:lang w:eastAsia="zh-CN"/>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ascii="仿宋" w:hAnsi="仿宋" w:eastAsia="仿宋" w:cs="仿宋"/>
          <w:b/>
          <w:color w:val="000000"/>
          <w:sz w:val="32"/>
          <w:szCs w:val="24"/>
        </w:rPr>
        <w:t>卫生健康支出（210）：</w:t>
      </w:r>
      <w:r>
        <w:rPr>
          <w:rFonts w:hint="eastAsia" w:ascii="仿宋" w:hAnsi="仿宋" w:eastAsia="仿宋" w:cs="仿宋"/>
          <w:b w:val="0"/>
          <w:bCs/>
          <w:color w:val="000000"/>
          <w:sz w:val="32"/>
          <w:szCs w:val="24"/>
          <w:lang w:val="en-US" w:eastAsia="zh-CN"/>
        </w:rPr>
        <w:t>2024年</w:t>
      </w:r>
      <w:r>
        <w:rPr>
          <w:rFonts w:hint="eastAsia" w:ascii="Times New Roman" w:hAnsi="Times New Roman" w:eastAsia="方正仿宋简体"/>
          <w:color w:val="000000"/>
          <w:sz w:val="32"/>
          <w:szCs w:val="24"/>
        </w:rPr>
        <w:t>支出决算为</w:t>
      </w:r>
      <w:r>
        <w:rPr>
          <w:rFonts w:hint="eastAsia" w:ascii="Times New Roman" w:hAnsi="Times New Roman" w:eastAsia="方正仿宋简体"/>
          <w:color w:val="000000"/>
          <w:sz w:val="32"/>
          <w:szCs w:val="24"/>
          <w:lang w:val="en-US" w:eastAsia="zh-CN"/>
        </w:rPr>
        <w:t>25.93</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，与预算数持平。其中：（</w:t>
      </w:r>
      <w:r>
        <w:rPr>
          <w:rFonts w:hint="eastAsia" w:ascii="Times New Roman" w:hAnsi="Times New Roman" w:eastAsia="方正仿宋简体"/>
          <w:color w:val="000000"/>
          <w:sz w:val="32"/>
          <w:szCs w:val="24"/>
          <w:lang w:val="en-US" w:eastAsia="zh-CN"/>
        </w:rPr>
        <w:t>1</w:t>
      </w:r>
      <w:r>
        <w:rPr>
          <w:rFonts w:hint="eastAsia" w:ascii="Times New Roman" w:hAnsi="Times New Roman" w:eastAsia="方正仿宋简体"/>
          <w:color w:val="000000"/>
          <w:sz w:val="32"/>
          <w:szCs w:val="24"/>
        </w:rPr>
        <w:t>）行政单位医疗（</w:t>
      </w:r>
      <w:r>
        <w:rPr>
          <w:rFonts w:hint="default" w:ascii="Times New Roman" w:hAnsi="Times New Roman" w:eastAsia="Times New Roman"/>
          <w:color w:val="000000"/>
          <w:sz w:val="32"/>
          <w:szCs w:val="24"/>
        </w:rPr>
        <w:t>2101101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11.64</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val="en-US" w:eastAsia="zh-CN"/>
        </w:rPr>
        <w:t>2</w:t>
      </w:r>
      <w:r>
        <w:rPr>
          <w:rFonts w:hint="eastAsia" w:ascii="Times New Roman" w:hAnsi="Times New Roman" w:eastAsia="方正仿宋简体"/>
          <w:color w:val="000000"/>
          <w:sz w:val="32"/>
          <w:szCs w:val="24"/>
        </w:rPr>
        <w:t>）事业单位医疗（</w:t>
      </w:r>
      <w:r>
        <w:rPr>
          <w:rFonts w:hint="default" w:ascii="Times New Roman" w:hAnsi="Times New Roman" w:eastAsia="Times New Roman"/>
          <w:color w:val="000000"/>
          <w:sz w:val="32"/>
          <w:szCs w:val="24"/>
        </w:rPr>
        <w:t>2101102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6.57</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3</w:t>
      </w:r>
      <w:r>
        <w:rPr>
          <w:rFonts w:hint="eastAsia" w:ascii="Times New Roman" w:hAnsi="Times New Roman" w:eastAsia="方正仿宋简体"/>
          <w:color w:val="000000"/>
          <w:sz w:val="32"/>
          <w:szCs w:val="24"/>
          <w:lang w:eastAsia="zh-CN"/>
        </w:rPr>
        <w:t>）公务员医疗补助（</w:t>
      </w:r>
      <w:r>
        <w:rPr>
          <w:rFonts w:hint="eastAsia" w:ascii="Times New Roman" w:hAnsi="Times New Roman" w:eastAsia="方正仿宋简体"/>
          <w:color w:val="000000"/>
          <w:sz w:val="32"/>
          <w:szCs w:val="24"/>
          <w:lang w:val="en-US" w:eastAsia="zh-CN"/>
        </w:rPr>
        <w:t>2101103</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2024年决算数为3.59万元，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4</w:t>
      </w:r>
      <w:r>
        <w:rPr>
          <w:rFonts w:hint="eastAsia" w:ascii="Times New Roman" w:hAnsi="Times New Roman" w:eastAsia="方正仿宋简体"/>
          <w:color w:val="000000"/>
          <w:sz w:val="32"/>
          <w:szCs w:val="24"/>
          <w:lang w:eastAsia="zh-CN"/>
        </w:rPr>
        <w:t>）其他行政事业单位医疗支出（</w:t>
      </w:r>
      <w:r>
        <w:rPr>
          <w:rFonts w:hint="eastAsia" w:ascii="Times New Roman" w:hAnsi="Times New Roman" w:eastAsia="方正仿宋简体"/>
          <w:color w:val="000000"/>
          <w:sz w:val="32"/>
          <w:szCs w:val="24"/>
          <w:lang w:val="en-US" w:eastAsia="zh-CN"/>
        </w:rPr>
        <w:t>2101199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2024年决算数为4.13万元，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p>
    <w:p w14:paraId="4AD38F81">
      <w:pPr>
        <w:snapToGrid w:val="0"/>
        <w:spacing w:line="600" w:lineRule="exact"/>
        <w:ind w:firstLine="643"/>
        <w:jc w:val="both"/>
        <w:rPr>
          <w:rFonts w:hint="eastAsia" w:ascii="仿宋" w:hAnsi="仿宋" w:eastAsia="仿宋" w:cs="仿宋"/>
          <w:color w:val="000000"/>
          <w:sz w:val="32"/>
          <w:szCs w:val="24"/>
          <w:lang w:eastAsia="zh-CN"/>
        </w:rPr>
      </w:pPr>
      <w:r>
        <w:rPr>
          <w:rFonts w:hint="eastAsia" w:ascii="仿宋" w:hAnsi="仿宋" w:eastAsia="仿宋" w:cs="仿宋"/>
          <w:b/>
          <w:bCs/>
          <w:color w:val="000000"/>
          <w:sz w:val="32"/>
          <w:szCs w:val="24"/>
          <w:lang w:val="en-US" w:eastAsia="zh-CN"/>
        </w:rPr>
        <w:t>6.</w:t>
      </w:r>
      <w:r>
        <w:rPr>
          <w:rFonts w:hint="eastAsia" w:ascii="仿宋" w:hAnsi="仿宋" w:eastAsia="仿宋" w:cs="仿宋"/>
          <w:b/>
          <w:bCs/>
          <w:color w:val="000000"/>
          <w:sz w:val="32"/>
          <w:szCs w:val="24"/>
          <w:lang w:eastAsia="zh-CN"/>
        </w:rPr>
        <w:t>节能环保支出（</w:t>
      </w:r>
      <w:r>
        <w:rPr>
          <w:rFonts w:hint="eastAsia" w:ascii="仿宋" w:hAnsi="仿宋" w:eastAsia="仿宋" w:cs="仿宋"/>
          <w:b/>
          <w:bCs/>
          <w:color w:val="000000"/>
          <w:sz w:val="32"/>
          <w:szCs w:val="24"/>
        </w:rPr>
        <w:t>21</w:t>
      </w:r>
      <w:r>
        <w:rPr>
          <w:rFonts w:hint="eastAsia" w:ascii="仿宋" w:hAnsi="仿宋" w:eastAsia="仿宋" w:cs="仿宋"/>
          <w:b/>
          <w:bCs/>
          <w:color w:val="000000"/>
          <w:sz w:val="32"/>
          <w:szCs w:val="24"/>
          <w:lang w:val="en-US" w:eastAsia="zh-CN"/>
        </w:rPr>
        <w:t>1</w:t>
      </w:r>
      <w:r>
        <w:rPr>
          <w:rFonts w:hint="eastAsia" w:ascii="仿宋" w:hAnsi="仿宋" w:eastAsia="仿宋" w:cs="仿宋"/>
          <w:b/>
          <w:bCs/>
          <w:color w:val="000000"/>
          <w:sz w:val="32"/>
          <w:szCs w:val="24"/>
        </w:rPr>
        <w:t>）</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16.80</w:t>
      </w:r>
      <w:r>
        <w:rPr>
          <w:rFonts w:hint="eastAsia" w:ascii="仿宋" w:hAnsi="仿宋" w:eastAsia="仿宋" w:cs="仿宋"/>
          <w:color w:val="000000"/>
          <w:sz w:val="32"/>
          <w:szCs w:val="24"/>
        </w:rPr>
        <w:t>万元，完成预算100%，与预算持平。其中：（1）</w:t>
      </w:r>
      <w:r>
        <w:rPr>
          <w:rFonts w:hint="eastAsia" w:ascii="仿宋" w:hAnsi="仿宋" w:eastAsia="仿宋" w:cs="仿宋"/>
          <w:color w:val="000000"/>
          <w:sz w:val="32"/>
          <w:szCs w:val="24"/>
          <w:lang w:eastAsia="zh-CN"/>
        </w:rPr>
        <w:t>水体（</w:t>
      </w:r>
      <w:r>
        <w:rPr>
          <w:rFonts w:hint="eastAsia" w:ascii="仿宋" w:hAnsi="仿宋" w:eastAsia="仿宋" w:cs="仿宋"/>
          <w:color w:val="000000"/>
          <w:sz w:val="32"/>
          <w:szCs w:val="24"/>
          <w:lang w:val="en-US" w:eastAsia="zh-CN"/>
        </w:rPr>
        <w:t>2110302</w:t>
      </w:r>
      <w:r>
        <w:rPr>
          <w:rFonts w:hint="eastAsia" w:ascii="仿宋" w:hAnsi="仿宋" w:eastAsia="仿宋" w:cs="仿宋"/>
          <w:color w:val="000000"/>
          <w:sz w:val="32"/>
          <w:szCs w:val="24"/>
          <w:lang w:eastAsia="zh-CN"/>
        </w:rPr>
        <w:t>）</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16.80</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eastAsia="zh-CN"/>
        </w:rPr>
        <w:t>。</w:t>
      </w:r>
    </w:p>
    <w:p w14:paraId="7E49BB85">
      <w:pPr>
        <w:snapToGrid w:val="0"/>
        <w:spacing w:line="600" w:lineRule="exact"/>
        <w:ind w:firstLine="643"/>
        <w:jc w:val="both"/>
        <w:rPr>
          <w:rFonts w:hint="default"/>
          <w:lang w:val="en-US" w:eastAsia="zh-CN"/>
        </w:rPr>
      </w:pPr>
      <w:r>
        <w:rPr>
          <w:rFonts w:hint="eastAsia" w:ascii="仿宋" w:hAnsi="仿宋" w:eastAsia="仿宋" w:cs="仿宋"/>
          <w:b/>
          <w:color w:val="000000"/>
          <w:kern w:val="2"/>
          <w:sz w:val="32"/>
          <w:szCs w:val="24"/>
          <w:lang w:val="en-US" w:eastAsia="zh-CN"/>
        </w:rPr>
        <w:t>7</w:t>
      </w:r>
      <w:r>
        <w:rPr>
          <w:rFonts w:hint="eastAsia" w:ascii="仿宋" w:hAnsi="仿宋" w:eastAsia="仿宋" w:cs="仿宋"/>
          <w:b/>
          <w:color w:val="000000"/>
          <w:kern w:val="2"/>
          <w:sz w:val="32"/>
          <w:szCs w:val="24"/>
        </w:rPr>
        <w:t>.</w:t>
      </w:r>
      <w:r>
        <w:rPr>
          <w:rFonts w:hint="eastAsia" w:ascii="仿宋" w:hAnsi="仿宋" w:eastAsia="仿宋" w:cs="仿宋"/>
          <w:b/>
          <w:color w:val="000000"/>
          <w:sz w:val="32"/>
          <w:szCs w:val="24"/>
        </w:rPr>
        <w:t>城乡社区支出（212）：</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50.31</w:t>
      </w:r>
      <w:r>
        <w:rPr>
          <w:rFonts w:hint="eastAsia" w:ascii="仿宋" w:hAnsi="仿宋" w:eastAsia="仿宋" w:cs="仿宋"/>
          <w:color w:val="000000"/>
          <w:sz w:val="32"/>
          <w:szCs w:val="24"/>
        </w:rPr>
        <w:t>万元，</w:t>
      </w:r>
      <w:r>
        <w:rPr>
          <w:rFonts w:hint="eastAsia" w:ascii="仿宋" w:hAnsi="仿宋" w:eastAsia="仿宋" w:cs="仿宋"/>
          <w:b/>
          <w:bCs/>
          <w:color w:val="000000"/>
          <w:sz w:val="32"/>
          <w:szCs w:val="24"/>
          <w:lang w:val="en-US" w:eastAsia="zh-CN"/>
        </w:rPr>
        <w:t>完成</w:t>
      </w:r>
      <w:r>
        <w:rPr>
          <w:rFonts w:hint="eastAsia" w:ascii="仿宋" w:hAnsi="仿宋" w:eastAsia="仿宋" w:cs="仿宋"/>
          <w:color w:val="000000"/>
          <w:sz w:val="32"/>
          <w:szCs w:val="24"/>
        </w:rPr>
        <w:t>预算100%，与预算持平。其中：（1）其他城乡社区管理事务支出（2120199）202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44.96</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2</w:t>
      </w:r>
      <w:r>
        <w:rPr>
          <w:rFonts w:hint="eastAsia" w:ascii="仿宋" w:hAnsi="仿宋" w:eastAsia="仿宋" w:cs="仿宋"/>
          <w:color w:val="000000"/>
          <w:sz w:val="32"/>
          <w:szCs w:val="24"/>
        </w:rPr>
        <w:t>）其他城乡社区支出（2129999）202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5.34</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w:t>
      </w:r>
    </w:p>
    <w:p w14:paraId="3E7C7568">
      <w:pPr>
        <w:snapToGrid w:val="0"/>
        <w:spacing w:line="600" w:lineRule="exact"/>
        <w:ind w:firstLine="643"/>
        <w:jc w:val="both"/>
        <w:rPr>
          <w:rFonts w:hint="eastAsia" w:ascii="仿宋" w:hAnsi="仿宋" w:eastAsia="仿宋" w:cs="仿宋"/>
          <w:color w:val="000000"/>
          <w:sz w:val="32"/>
          <w:szCs w:val="24"/>
        </w:rPr>
      </w:pPr>
      <w:r>
        <w:rPr>
          <w:rFonts w:hint="eastAsia" w:ascii="仿宋" w:hAnsi="仿宋" w:eastAsia="仿宋" w:cs="仿宋"/>
          <w:b/>
          <w:color w:val="000000"/>
          <w:kern w:val="2"/>
          <w:sz w:val="32"/>
          <w:szCs w:val="24"/>
          <w:lang w:val="en-US" w:eastAsia="zh-CN"/>
        </w:rPr>
        <w:t>8.</w:t>
      </w:r>
      <w:r>
        <w:rPr>
          <w:rFonts w:hint="eastAsia" w:ascii="仿宋" w:hAnsi="仿宋" w:eastAsia="仿宋" w:cs="仿宋"/>
          <w:b/>
          <w:color w:val="000000"/>
          <w:kern w:val="2"/>
          <w:sz w:val="32"/>
          <w:szCs w:val="24"/>
        </w:rPr>
        <w:t>农林水支出（213）：</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303.44</w:t>
      </w:r>
      <w:r>
        <w:rPr>
          <w:rFonts w:hint="eastAsia" w:ascii="仿宋" w:hAnsi="仿宋" w:eastAsia="仿宋" w:cs="仿宋"/>
          <w:color w:val="000000"/>
          <w:sz w:val="32"/>
          <w:szCs w:val="24"/>
        </w:rPr>
        <w:t>万元，完成预算100%，与预算持平。其中：（1）事业运行（2130104）202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39.63</w:t>
      </w:r>
      <w:r>
        <w:rPr>
          <w:rFonts w:hint="eastAsia" w:ascii="仿宋" w:hAnsi="仿宋" w:eastAsia="仿宋" w:cs="仿宋"/>
          <w:color w:val="000000"/>
          <w:sz w:val="32"/>
          <w:szCs w:val="24"/>
        </w:rPr>
        <w:t>万元，完成预算100%，与预算数持平；（2）其他农业农村支出（2130199）202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19.73</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3</w:t>
      </w:r>
      <w:r>
        <w:rPr>
          <w:rFonts w:hint="eastAsia" w:ascii="仿宋" w:hAnsi="仿宋" w:eastAsia="仿宋" w:cs="仿宋"/>
          <w:color w:val="000000"/>
          <w:sz w:val="32"/>
          <w:szCs w:val="24"/>
        </w:rPr>
        <w:t>）对村民委员会和村党支部的补助（2130705）202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219.60</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）其他农林水支出（2139999）202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19.73</w:t>
      </w:r>
      <w:r>
        <w:rPr>
          <w:rFonts w:hint="eastAsia" w:ascii="仿宋" w:hAnsi="仿宋" w:eastAsia="仿宋" w:cs="仿宋"/>
          <w:color w:val="000000"/>
          <w:sz w:val="32"/>
          <w:szCs w:val="24"/>
        </w:rPr>
        <w:t>万元，完成预算100%，与预算数持平。</w:t>
      </w:r>
    </w:p>
    <w:p w14:paraId="63852AFA">
      <w:pPr>
        <w:pStyle w:val="31"/>
        <w:ind w:left="0" w:leftChars="0" w:firstLine="640" w:firstLineChars="200"/>
        <w:rPr>
          <w:rFonts w:hint="eastAsia" w:ascii="Times New Roman" w:hAnsi="Times New Roman" w:eastAsia="仿宋_GB2312" w:cs="仿宋_GB2312"/>
          <w:snapToGrid/>
          <w:color w:val="auto"/>
          <w:kern w:val="2"/>
          <w:sz w:val="32"/>
          <w:szCs w:val="32"/>
          <w:highlight w:val="none"/>
          <w:lang w:val="en-US" w:eastAsia="zh-CN" w:bidi="ar-SA"/>
        </w:rPr>
      </w:pPr>
      <w:r>
        <w:rPr>
          <w:rFonts w:hint="eastAsia" w:ascii="Times New Roman" w:hAnsi="Times New Roman" w:eastAsia="仿宋_GB2312" w:cs="仿宋_GB2312"/>
          <w:snapToGrid/>
          <w:color w:val="auto"/>
          <w:kern w:val="2"/>
          <w:sz w:val="32"/>
          <w:szCs w:val="32"/>
          <w:highlight w:val="none"/>
          <w:lang w:val="en-US" w:eastAsia="zh-CN" w:bidi="ar-SA"/>
        </w:rPr>
        <w:t>9.住房保障支出（221）：2024年决算数为45.45万元，完成预算100%，与预算持平。其中：住房公积金支出（2210201）2024年决算数为45.45万元，完成预算100%，与预算数持平。</w:t>
      </w:r>
    </w:p>
    <w:p w14:paraId="504AFA15">
      <w:pPr>
        <w:tabs>
          <w:tab w:val="right" w:pos="8306"/>
        </w:tabs>
        <w:spacing w:line="600" w:lineRule="exact"/>
        <w:ind w:firstLine="640" w:firstLineChars="200"/>
        <w:outlineLvl w:val="1"/>
        <w:rPr>
          <w:rStyle w:val="52"/>
          <w:rFonts w:ascii="Times New Roman" w:hAnsi="Times New Roman"/>
          <w:color w:val="auto"/>
          <w:highlight w:val="none"/>
        </w:rPr>
      </w:pPr>
      <w:bookmarkStart w:id="34" w:name="_Toc15396608"/>
      <w:bookmarkStart w:id="35"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52"/>
          <w:rFonts w:hint="eastAsia" w:ascii="Times New Roman" w:hAnsi="Times New Roman" w:eastAsia="黑体"/>
          <w:b w:val="0"/>
          <w:color w:val="auto"/>
          <w:highlight w:val="none"/>
        </w:rPr>
        <w:t>般公共预算财政拨款基本支出决算情况说明</w:t>
      </w:r>
      <w:bookmarkEnd w:id="34"/>
      <w:bookmarkEnd w:id="35"/>
      <w:r>
        <w:rPr>
          <w:rStyle w:val="52"/>
          <w:rFonts w:ascii="Times New Roman" w:hAnsi="Times New Roman" w:eastAsia="黑体"/>
          <w:b w:val="0"/>
          <w:color w:val="auto"/>
          <w:highlight w:val="none"/>
        </w:rPr>
        <w:tab/>
      </w:r>
    </w:p>
    <w:p w14:paraId="160256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886.24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2E0560D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780.03</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绩效工资、机关事业单位基本养老保险缴费、职业年金缴费、其他社会保障缴费、其他工资福利支出、离休费、退休费、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xml:space="preserve">    公用经费</w:t>
      </w:r>
      <w:r>
        <w:rPr>
          <w:rFonts w:hint="eastAsia" w:ascii="仿宋_GB2312" w:hAnsi="仿宋_GB2312" w:eastAsia="仿宋_GB2312" w:cs="仿宋_GB2312"/>
          <w:sz w:val="32"/>
          <w:szCs w:val="32"/>
        </w:rPr>
        <w:t>106.21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咨询费、手续费、水费、电费、邮电费、差旅费、维修（护）费、会议费、培训费、公务接待费、劳务费、委托业务费、工会经费、福利费、公务用车运行维护费、其他交通费、税金及附加费用、其他商品和服务支出、办公设备购置、信息网络及软件购置更新、其他资本性支出等。</w:t>
      </w:r>
    </w:p>
    <w:p w14:paraId="732768CF">
      <w:pPr>
        <w:spacing w:line="600" w:lineRule="exact"/>
        <w:ind w:firstLine="640"/>
        <w:outlineLvl w:val="1"/>
        <w:rPr>
          <w:rStyle w:val="52"/>
          <w:rFonts w:ascii="Times New Roman" w:hAnsi="Times New Roman" w:eastAsia="黑体"/>
          <w:b w:val="0"/>
          <w:color w:val="auto"/>
          <w:highlight w:val="none"/>
        </w:rPr>
      </w:pPr>
      <w:bookmarkStart w:id="36" w:name="_Toc15377215"/>
      <w:bookmarkStart w:id="37" w:name="_Toc15396609"/>
      <w:r>
        <w:rPr>
          <w:rFonts w:hint="eastAsia" w:ascii="Times New Roman" w:hAnsi="Times New Roman" w:eastAsia="黑体"/>
          <w:color w:val="auto"/>
          <w:sz w:val="32"/>
          <w:szCs w:val="32"/>
          <w:highlight w:val="none"/>
        </w:rPr>
        <w:t>七、</w:t>
      </w:r>
      <w:r>
        <w:rPr>
          <w:rStyle w:val="52"/>
          <w:rFonts w:hint="eastAsia" w:ascii="Times New Roman" w:hAnsi="Times New Roman" w:eastAsia="黑体"/>
          <w:b w:val="0"/>
          <w:color w:val="auto"/>
          <w:highlight w:val="none"/>
        </w:rPr>
        <w:t>财政拨款</w:t>
      </w:r>
      <w:r>
        <w:rPr>
          <w:rStyle w:val="52"/>
          <w:rFonts w:hint="eastAsia" w:ascii="Times New Roman" w:hAnsi="Times New Roman" w:eastAsia="黑体"/>
          <w:color w:val="auto"/>
          <w:highlight w:val="none"/>
        </w:rPr>
        <w:t>“</w:t>
      </w:r>
      <w:r>
        <w:rPr>
          <w:rStyle w:val="52"/>
          <w:rFonts w:hint="eastAsia" w:ascii="Times New Roman" w:hAnsi="Times New Roman" w:eastAsia="黑体"/>
          <w:b w:val="0"/>
          <w:color w:val="auto"/>
          <w:highlight w:val="none"/>
        </w:rPr>
        <w:t>三公”经费支出决算情况说明</w:t>
      </w:r>
      <w:bookmarkEnd w:id="36"/>
      <w:bookmarkEnd w:id="37"/>
    </w:p>
    <w:p w14:paraId="4641A6E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8"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8"/>
    </w:p>
    <w:p w14:paraId="1C99C0A7">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14.94</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较上年度减少7.73万元，下降34.09%。</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eastAsia="zh-CN"/>
        </w:rPr>
        <w:t>与</w:t>
      </w:r>
      <w:r>
        <w:rPr>
          <w:rFonts w:hint="eastAsia" w:ascii="仿宋" w:hAnsi="仿宋" w:eastAsia="仿宋"/>
          <w:color w:val="auto"/>
          <w:sz w:val="32"/>
          <w:szCs w:val="32"/>
          <w:highlight w:val="none"/>
        </w:rPr>
        <w:t>预算数持平。</w:t>
      </w:r>
    </w:p>
    <w:p w14:paraId="5CA9A88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9"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9"/>
    </w:p>
    <w:p w14:paraId="2C722B9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万元，占0.00%；公务用车购置及运行维护费支出决算</w:t>
      </w:r>
      <w:r>
        <w:rPr>
          <w:rFonts w:hint="eastAsia" w:ascii="仿宋_GB2312" w:hAnsi="仿宋_GB2312" w:eastAsia="仿宋_GB2312" w:cs="仿宋_GB2312"/>
          <w:sz w:val="32"/>
          <w:szCs w:val="32"/>
        </w:rPr>
        <w:t>14.26</w:t>
      </w:r>
      <w:r>
        <w:rPr>
          <w:rFonts w:hint="eastAsia" w:ascii="仿宋_GB2312" w:hAnsi="仿宋_GB2312" w:eastAsia="仿宋_GB2312" w:cs="仿宋_GB2312"/>
          <w:color w:val="auto"/>
          <w:kern w:val="2"/>
          <w:sz w:val="32"/>
          <w:szCs w:val="32"/>
          <w:highlight w:val="none"/>
          <w:lang w:val="en-US" w:eastAsia="zh-CN" w:bidi="ar-SA"/>
        </w:rPr>
        <w:t>万元，占95.45%；公务接待费支出决算</w:t>
      </w:r>
      <w:r>
        <w:rPr>
          <w:rFonts w:hint="eastAsia" w:ascii="仿宋_GB2312" w:hAnsi="仿宋_GB2312" w:eastAsia="仿宋_GB2312" w:cs="仿宋_GB2312"/>
          <w:sz w:val="32"/>
          <w:szCs w:val="32"/>
        </w:rPr>
        <w:t>0.68</w:t>
      </w:r>
      <w:r>
        <w:rPr>
          <w:rFonts w:hint="eastAsia" w:ascii="仿宋_GB2312" w:hAnsi="仿宋_GB2312" w:eastAsia="仿宋_GB2312" w:cs="仿宋_GB2312"/>
          <w:color w:val="auto"/>
          <w:kern w:val="2"/>
          <w:sz w:val="32"/>
          <w:szCs w:val="32"/>
          <w:highlight w:val="none"/>
          <w:lang w:val="en-US" w:eastAsia="zh-CN" w:bidi="ar-SA"/>
        </w:rPr>
        <w:t>万元，占4.55%。具体情况如下：</w:t>
      </w:r>
    </w:p>
    <w:p w14:paraId="5A494D2C">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方正仿宋简体"/>
          <w:color w:val="000000"/>
          <w:sz w:val="32"/>
          <w:szCs w:val="24"/>
        </w:rPr>
        <w:object>
          <v:shape id="_x0000_i1031" o:spt="75" type="#_x0000_t75" style="height:185.05pt;width:411.4pt;" o:ole="t" filled="f" o:preferrelative="t" stroked="f" coordsize="21600,21600">
            <v:path/>
            <v:fill on="f" focussize="0,0"/>
            <v:stroke on="f"/>
            <v:imagedata r:id="rId23" o:title=""/>
            <o:lock v:ext="edit" aspectratio="t"/>
            <w10:wrap type="none"/>
            <w10:anchorlock/>
          </v:shape>
          <o:OLEObject Type="Embed" ProgID="MSGraph.Chart.8" ShapeID="_x0000_i1031" DrawAspect="Content" ObjectID="_1468075731" r:id="rId22">
            <o:LockedField>false</o:LockedField>
          </o:OLEObject>
        </w:object>
      </w:r>
    </w:p>
    <w:p w14:paraId="6BE7E8C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084B57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1.因公出国（境）经费支出**万元，完成预算**%。</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。因公出国（境）支出决算与2023年</w:t>
      </w:r>
      <w:r>
        <w:rPr>
          <w:rFonts w:hint="eastAsia" w:ascii="仿宋_GB2312" w:eastAsia="仿宋_GB2312"/>
          <w:color w:val="auto"/>
          <w:sz w:val="32"/>
          <w:szCs w:val="32"/>
          <w:highlight w:val="none"/>
          <w:lang w:eastAsia="zh-CN"/>
        </w:rPr>
        <w:t>持平。</w:t>
      </w:r>
    </w:p>
    <w:p w14:paraId="36C8033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14.26万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完成预算100%。</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公务用车购置及运行维护费支出决算比2023年度减少7.22万元，下降33.61%。主要原因是2024年无公务用车采购。</w:t>
      </w:r>
    </w:p>
    <w:p w14:paraId="0483C86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万元。全年按规定更新购置公务用车0辆，其中：轿车0辆、越野车0辆、载客汽车0辆。截至2024年12月31日，单位共有公务用车3辆，其中：轿车2辆、</w:t>
      </w:r>
      <w:r>
        <w:rPr>
          <w:rFonts w:hint="eastAsia" w:ascii="仿宋_GB2312" w:eastAsia="仿宋_GB2312"/>
          <w:color w:val="auto"/>
          <w:sz w:val="32"/>
          <w:szCs w:val="32"/>
          <w:highlight w:val="none"/>
          <w:lang w:eastAsia="zh-CN"/>
        </w:rPr>
        <w:t>专业特种技术车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p>
    <w:p w14:paraId="3C1F84E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14.26</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ascii="仿宋_GB2312" w:hAnsi="仿宋_GB2312" w:eastAsia="仿宋_GB2312"/>
          <w:color w:val="000000"/>
          <w:kern w:val="2"/>
          <w:sz w:val="32"/>
          <w:szCs w:val="24"/>
          <w:lang w:val="zh-CN"/>
        </w:rPr>
        <w:t>办公应急等所需的</w:t>
      </w:r>
      <w:r>
        <w:rPr>
          <w:rFonts w:hint="eastAsia" w:ascii="仿宋_GB2312" w:eastAsia="仿宋_GB2312"/>
          <w:color w:val="auto"/>
          <w:sz w:val="32"/>
          <w:szCs w:val="32"/>
          <w:highlight w:val="none"/>
        </w:rPr>
        <w:t>公务用车燃料费、维修费、过路过桥费、保险费等支出。</w:t>
      </w:r>
    </w:p>
    <w:p w14:paraId="5722A5D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0.68万</w:t>
      </w:r>
      <w:r>
        <w:rPr>
          <w:rFonts w:hint="eastAsia" w:ascii="Times New Roman" w:hAnsi="Times New Roman" w:eastAsia="仿宋_GB2312" w:cs="仿宋_GB2312"/>
          <w:b/>
          <w:bCs/>
          <w:color w:val="auto"/>
          <w:kern w:val="2"/>
          <w:sz w:val="32"/>
          <w:szCs w:val="32"/>
          <w:highlight w:val="none"/>
          <w:lang w:val="en-US" w:eastAsia="zh-CN" w:bidi="ar-SA"/>
        </w:rPr>
        <w:t>元，完成预算100%。</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公务接待费支出决算比2023年度减少0.51万元，下降42.85%。主要原因是</w:t>
      </w:r>
      <w:r>
        <w:rPr>
          <w:rFonts w:hint="eastAsia" w:ascii="仿宋_GB2312" w:hAnsi="仿宋_GB2312" w:eastAsia="仿宋_GB2312"/>
          <w:color w:val="000000"/>
          <w:kern w:val="2"/>
          <w:sz w:val="32"/>
          <w:szCs w:val="24"/>
          <w:lang w:val="zh-CN"/>
        </w:rPr>
        <w:t>公务接待减少</w:t>
      </w:r>
      <w:r>
        <w:rPr>
          <w:rFonts w:hint="eastAsia" w:ascii="Times New Roman" w:hAnsi="Times New Roman" w:eastAsia="仿宋_GB2312" w:cs="仿宋_GB2312"/>
          <w:color w:val="auto"/>
          <w:kern w:val="2"/>
          <w:sz w:val="32"/>
          <w:szCs w:val="32"/>
          <w:highlight w:val="none"/>
          <w:lang w:val="en-US" w:eastAsia="zh-CN" w:bidi="ar-SA"/>
        </w:rPr>
        <w:t>。其中：</w:t>
      </w:r>
    </w:p>
    <w:p w14:paraId="48B02E9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0.68</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元，主要用于开展业务活动开支的交通费、住宿费、用餐费等。国内公务接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6</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98</w:t>
      </w:r>
      <w:r>
        <w:rPr>
          <w:rFonts w:hint="eastAsia" w:ascii="Times New Roman" w:hAnsi="Times New Roman" w:eastAsia="仿宋_GB2312" w:cs="仿宋_GB2312"/>
          <w:color w:val="auto"/>
          <w:kern w:val="2"/>
          <w:sz w:val="32"/>
          <w:szCs w:val="32"/>
          <w:highlight w:val="none"/>
          <w:lang w:val="en-US" w:eastAsia="zh-CN" w:bidi="ar-SA"/>
        </w:rPr>
        <w:t>人次（不包括陪同人员），共计支出0.68万元。</w:t>
      </w:r>
    </w:p>
    <w:p w14:paraId="2C5E125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人次，共计支出0.00万</w:t>
      </w:r>
      <w:r>
        <w:rPr>
          <w:rFonts w:hint="eastAsia" w:ascii="Times New Roman" w:hAnsi="Times New Roman" w:eastAsia="仿宋_GB2312" w:cs="仿宋_GB2312"/>
          <w:color w:val="auto"/>
          <w:kern w:val="2"/>
          <w:sz w:val="32"/>
          <w:szCs w:val="32"/>
          <w:highlight w:val="none"/>
          <w:lang w:val="en-US" w:eastAsia="zh-CN" w:bidi="ar-SA"/>
        </w:rPr>
        <w:t>元。</w:t>
      </w:r>
      <w:bookmarkStart w:id="40" w:name="_Toc15377218"/>
      <w:bookmarkStart w:id="41" w:name="_Toc15396610"/>
    </w:p>
    <w:p w14:paraId="1A36545B">
      <w:pPr>
        <w:spacing w:line="600" w:lineRule="exact"/>
        <w:ind w:firstLine="640"/>
        <w:outlineLvl w:val="1"/>
        <w:rPr>
          <w:rStyle w:val="52"/>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52"/>
          <w:rFonts w:hint="eastAsia" w:ascii="Times New Roman" w:hAnsi="Times New Roman" w:eastAsia="黑体"/>
          <w:b w:val="0"/>
          <w:color w:val="auto"/>
          <w:highlight w:val="none"/>
        </w:rPr>
        <w:t>政府性基金预算支出决算情况说明</w:t>
      </w:r>
      <w:bookmarkEnd w:id="40"/>
      <w:bookmarkEnd w:id="41"/>
    </w:p>
    <w:p w14:paraId="247C535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。与2023年度相比，政府性基金预算财政拨款支出与上年持平。</w:t>
      </w:r>
    </w:p>
    <w:p w14:paraId="773449C0">
      <w:pPr>
        <w:numPr>
          <w:ilvl w:val="0"/>
          <w:numId w:val="0"/>
        </w:numPr>
        <w:spacing w:line="600" w:lineRule="exact"/>
        <w:ind w:left="630" w:leftChars="0"/>
        <w:outlineLvl w:val="1"/>
        <w:rPr>
          <w:rStyle w:val="52"/>
          <w:rFonts w:ascii="Times New Roman" w:hAnsi="Times New Roman" w:eastAsia="黑体"/>
          <w:b w:val="0"/>
          <w:color w:val="auto"/>
          <w:highlight w:val="none"/>
        </w:rPr>
      </w:pPr>
      <w:bookmarkStart w:id="42" w:name="_Toc15396611"/>
      <w:bookmarkStart w:id="43" w:name="_Toc15377219"/>
      <w:r>
        <w:rPr>
          <w:rStyle w:val="52"/>
          <w:rFonts w:hint="eastAsia" w:ascii="Times New Roman" w:hAnsi="Times New Roman" w:eastAsia="黑体"/>
          <w:b w:val="0"/>
          <w:color w:val="auto"/>
          <w:highlight w:val="none"/>
          <w:lang w:eastAsia="zh-CN"/>
        </w:rPr>
        <w:t>九、</w:t>
      </w:r>
      <w:r>
        <w:rPr>
          <w:rStyle w:val="52"/>
          <w:rFonts w:hint="eastAsia" w:ascii="Times New Roman" w:hAnsi="Times New Roman" w:eastAsia="黑体"/>
          <w:b w:val="0"/>
          <w:color w:val="auto"/>
          <w:highlight w:val="none"/>
        </w:rPr>
        <w:t>国有资本经营预算支出决算情况说明</w:t>
      </w:r>
      <w:bookmarkEnd w:id="42"/>
      <w:bookmarkEnd w:id="43"/>
    </w:p>
    <w:p w14:paraId="1F32D1C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9.8</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0.72</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。与2023年度相比，国有资本经营预算财政拨款支出与上年持平。</w:t>
      </w:r>
    </w:p>
    <w:p w14:paraId="71B1C472">
      <w:pPr>
        <w:numPr>
          <w:ilvl w:val="0"/>
          <w:numId w:val="0"/>
        </w:numPr>
        <w:spacing w:line="600" w:lineRule="exact"/>
        <w:ind w:left="630" w:leftChars="0"/>
        <w:outlineLvl w:val="1"/>
        <w:rPr>
          <w:rStyle w:val="52"/>
          <w:rFonts w:hint="eastAsia" w:ascii="Times New Roman" w:hAnsi="Times New Roman" w:eastAsia="黑体"/>
          <w:b w:val="0"/>
          <w:color w:val="auto"/>
          <w:highlight w:val="none"/>
        </w:rPr>
      </w:pPr>
      <w:bookmarkStart w:id="44" w:name="_Toc15377221"/>
      <w:bookmarkStart w:id="45" w:name="_Toc15396612"/>
      <w:r>
        <w:rPr>
          <w:rStyle w:val="52"/>
          <w:rFonts w:hint="eastAsia" w:ascii="Times New Roman" w:hAnsi="Times New Roman" w:eastAsia="黑体"/>
          <w:b w:val="0"/>
          <w:color w:val="auto"/>
          <w:highlight w:val="none"/>
          <w:lang w:eastAsia="zh-CN"/>
        </w:rPr>
        <w:t>十、</w:t>
      </w:r>
      <w:r>
        <w:rPr>
          <w:rStyle w:val="52"/>
          <w:rFonts w:hint="eastAsia" w:ascii="Times New Roman" w:hAnsi="Times New Roman" w:eastAsia="黑体"/>
          <w:b w:val="0"/>
          <w:color w:val="auto"/>
          <w:highlight w:val="none"/>
        </w:rPr>
        <w:t>其他重要事项的情况说明</w:t>
      </w:r>
      <w:bookmarkEnd w:id="44"/>
      <w:bookmarkEnd w:id="45"/>
    </w:p>
    <w:p w14:paraId="6EBC7AC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6" w:name="_Toc15377222"/>
      <w:r>
        <w:rPr>
          <w:rFonts w:hint="eastAsia" w:ascii="Times New Roman" w:hAnsi="Times New Roman" w:eastAsia="楷体_GB2312" w:cs="楷体_GB2312"/>
          <w:b/>
          <w:color w:val="auto"/>
          <w:sz w:val="32"/>
          <w:szCs w:val="32"/>
          <w:highlight w:val="none"/>
        </w:rPr>
        <w:t>（一）机关运行经费支出情况</w:t>
      </w:r>
      <w:bookmarkEnd w:id="46"/>
    </w:p>
    <w:p w14:paraId="203BCE8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106.21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元，比2023年度增加14.13万元，增长15.34%，主要原因是新增行政事业人员8名。</w:t>
      </w:r>
      <w:bookmarkStart w:id="47" w:name="_Toc15377223"/>
    </w:p>
    <w:p w14:paraId="41DDA3F1">
      <w:pPr>
        <w:spacing w:line="600" w:lineRule="exact"/>
        <w:ind w:firstLine="640"/>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（二）政府采购支出情况</w:t>
      </w:r>
      <w:bookmarkEnd w:id="47"/>
    </w:p>
    <w:p w14:paraId="6AC061F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采购支出总额</w:t>
      </w:r>
      <w:r>
        <w:rPr>
          <w:rFonts w:hint="eastAsia" w:ascii="仿宋_GB2312" w:hAnsi="仿宋_GB2312" w:eastAsia="仿宋_GB2312" w:cs="仿宋_GB2312"/>
          <w:sz w:val="32"/>
          <w:szCs w:val="32"/>
        </w:rPr>
        <w:t>16.86</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11.23</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5.63</w:t>
      </w:r>
      <w:r>
        <w:rPr>
          <w:rFonts w:hint="eastAsia" w:ascii="仿宋_GB2312" w:hAnsi="仿宋_GB2312" w:eastAsia="仿宋_GB2312" w:cs="仿宋_GB2312"/>
          <w:color w:val="auto"/>
          <w:kern w:val="2"/>
          <w:sz w:val="32"/>
          <w:szCs w:val="32"/>
          <w:highlight w:val="none"/>
          <w:lang w:val="en-US" w:eastAsia="zh-CN" w:bidi="ar-SA"/>
        </w:rPr>
        <w:t>万元。主要用于公务用车维修、公务用车加油服务、采购台式电脑及多功能一体机。授予中小企业合同金额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7DAC7C3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8" w:name="_Toc15377224"/>
      <w:r>
        <w:rPr>
          <w:rFonts w:hint="eastAsia" w:ascii="Times New Roman" w:hAnsi="Times New Roman" w:eastAsia="楷体_GB2312" w:cs="楷体_GB2312"/>
          <w:b/>
          <w:color w:val="auto"/>
          <w:sz w:val="32"/>
          <w:szCs w:val="32"/>
          <w:highlight w:val="none"/>
        </w:rPr>
        <w:t>（三）国有资产占有使用情况</w:t>
      </w:r>
      <w:bookmarkEnd w:id="48"/>
    </w:p>
    <w:p w14:paraId="232EA38A">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3</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辆、其他用车1辆，其他用车主要是用于</w:t>
      </w:r>
      <w:r>
        <w:rPr>
          <w:rFonts w:hint="eastAsia" w:ascii="仿宋_GB2312" w:hAnsi="仿宋_GB2312" w:eastAsia="仿宋_GB2312"/>
          <w:color w:val="000000"/>
          <w:kern w:val="2"/>
          <w:sz w:val="32"/>
          <w:szCs w:val="24"/>
          <w:lang w:val="zh-CN"/>
        </w:rPr>
        <w:t>公务活动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452097AD">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59CF677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根据预算绩效管理要求，绵竹市清平镇人民政府在2024年度预算编制阶段，组织对</w:t>
      </w:r>
      <w:r>
        <w:rPr>
          <w:rFonts w:hint="eastAsia" w:ascii="仿宋_GB2312" w:hAnsi="仿宋_GB2312" w:eastAsia="仿宋_GB2312"/>
          <w:color w:val="auto"/>
          <w:kern w:val="2"/>
          <w:sz w:val="32"/>
          <w:szCs w:val="24"/>
          <w:lang w:val="en-US" w:eastAsia="zh-CN"/>
        </w:rPr>
        <w:t>公益林调出后林地补偿项目、人大工作经费、妇联、团委工作经费、党建工作经费、社会综合治理、农村交管员和劝导员相关经费</w:t>
      </w:r>
      <w:r>
        <w:rPr>
          <w:rFonts w:hint="eastAsia" w:ascii="Times New Roman" w:hAnsi="Times New Roman" w:eastAsia="仿宋_GB2312" w:cs="仿宋_GB2312"/>
          <w:color w:val="auto"/>
          <w:kern w:val="2"/>
          <w:sz w:val="32"/>
          <w:szCs w:val="32"/>
          <w:highlight w:val="none"/>
          <w:lang w:val="en-US" w:eastAsia="zh-CN" w:bidi="ar-SA"/>
        </w:rPr>
        <w:t>等11个项目开展了预算事前绩效评估，对11个项目编制了绩效目标，预算执行过程中，选取11个项目开展绩效监控。</w:t>
      </w:r>
    </w:p>
    <w:p w14:paraId="36B24E8F">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组织对2024年度一般公共预算、政府性基金预算、国有资本经营预算、社会保险基金预算以及资本资产、债券资金等全面开展绩效自评，形成绵竹市清平镇人民政府部门整体（含部门预算项目）绩效自评报告、</w:t>
      </w:r>
      <w:r>
        <w:rPr>
          <w:rFonts w:hint="eastAsia" w:ascii="仿宋_GB2312" w:hAnsi="仿宋_GB2312" w:eastAsia="仿宋_GB2312"/>
          <w:color w:val="auto"/>
          <w:kern w:val="2"/>
          <w:sz w:val="32"/>
          <w:szCs w:val="24"/>
          <w:lang w:val="en-US" w:eastAsia="zh-CN"/>
        </w:rPr>
        <w:t>益林调出后林地补偿项目、人大工作经费、妇联、团委工作经费、党建工作经费、社会综合治理、农村交管员和劝导员相关经费</w:t>
      </w:r>
      <w:r>
        <w:rPr>
          <w:rFonts w:hint="eastAsia" w:ascii="Times New Roman" w:hAnsi="Times New Roman" w:eastAsia="仿宋_GB2312" w:cs="仿宋_GB2312"/>
          <w:color w:val="auto"/>
          <w:kern w:val="2"/>
          <w:sz w:val="32"/>
          <w:szCs w:val="32"/>
          <w:highlight w:val="none"/>
          <w:lang w:val="en-US" w:eastAsia="zh-CN" w:bidi="ar-SA"/>
        </w:rPr>
        <w:t>等专项预算项目绩效自评报告，其中，绵竹市清平镇人民政府部门整体（含部门预算项目）绩效自评得分为85.37分，绩效自评综述我单位严格按要求编制年初预算，</w:t>
      </w:r>
      <w:r>
        <w:rPr>
          <w:rFonts w:hint="eastAsia" w:hAnsi="Times New Roman" w:eastAsia="方正仿宋简体" w:cs="Times New Roman"/>
          <w:sz w:val="32"/>
          <w:szCs w:val="32"/>
          <w:lang w:val="en-US" w:eastAsia="zh-CN"/>
        </w:rPr>
        <w:t>2024年我镇绩效目标设定坚持目标明确、目标可衡量、目标可行、明确目标时效</w:t>
      </w:r>
      <w:r>
        <w:rPr>
          <w:rFonts w:hint="eastAsia" w:ascii="Times New Roman" w:hAnsi="Times New Roman" w:eastAsia="仿宋_GB2312" w:cs="仿宋_GB2312"/>
          <w:color w:val="auto"/>
          <w:kern w:val="2"/>
          <w:sz w:val="32"/>
          <w:szCs w:val="32"/>
          <w:highlight w:val="none"/>
          <w:lang w:val="en-US" w:eastAsia="zh-CN" w:bidi="ar-SA"/>
        </w:rPr>
        <w:t>落实。基层组织和公共服务运行经费预算项目绩效自评得分为87.35分、基层组织活动和公共运行经费－农村文化建设预算项目绩效自评得分为84.45分、基层组织活动和公共服务运行经费（上级）预算项目绩效自评得分为83.45分、矿山关停遗留问题资金绩效自评得分为84.05分、国有企业退休人员社会化管理补助资金绩效自评得分为85.01分、大湾井废弃井硐涌水治理工作经费绩效自评得分为85.15分、产业转型发展资金绩效自评得分为81.35分、村级公共服务经费补助（上级直达）绩效自评得分为82分、7.23灾后应急抢险经费绩效自评得分为87.7分、道路交通安全突出单位补助资金绩效自评得分为86.05分、综治中心“多中心合一”建设绩效自评得分为82.04分；绩效自评报告详见附件。</w:t>
      </w:r>
    </w:p>
    <w:p w14:paraId="260768D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E9F07A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5211FA9">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49" w:name="_Toc15377225"/>
      <w:bookmarkStart w:id="50" w:name="_Toc15396613"/>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49"/>
      <w:bookmarkEnd w:id="50"/>
    </w:p>
    <w:p w14:paraId="19B51C61">
      <w:pPr>
        <w:spacing w:line="600" w:lineRule="exact"/>
        <w:jc w:val="left"/>
        <w:rPr>
          <w:rFonts w:ascii="Times New Roman" w:hAnsi="Times New Roman"/>
          <w:b/>
          <w:color w:val="auto"/>
          <w:sz w:val="44"/>
          <w:szCs w:val="44"/>
          <w:highlight w:val="none"/>
        </w:rPr>
      </w:pPr>
    </w:p>
    <w:p w14:paraId="160EF1E6">
      <w:pPr>
        <w:pStyle w:val="49"/>
        <w:spacing w:line="560" w:lineRule="exact"/>
        <w:ind w:firstLine="640" w:firstLineChars="200"/>
        <w:rPr>
          <w:rFonts w:ascii="仿宋_GB2312"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1.财政拨款收入：</w:t>
      </w:r>
      <w:r>
        <w:rPr>
          <w:rFonts w:hint="eastAsia" w:ascii="仿宋_GB2312" w:eastAsia="仿宋_GB2312"/>
          <w:color w:val="auto"/>
          <w:sz w:val="32"/>
          <w:szCs w:val="32"/>
          <w:highlight w:val="none"/>
        </w:rPr>
        <w:t>指单位从同级财政部门取得的财政预算资金。</w:t>
      </w:r>
    </w:p>
    <w:p w14:paraId="6228F5B9">
      <w:pPr>
        <w:pStyle w:val="49"/>
        <w:spacing w:line="560" w:lineRule="exact"/>
        <w:ind w:firstLine="640" w:firstLineChars="200"/>
        <w:rPr>
          <w:rFonts w:ascii="仿宋_GB2312"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2.事业收入：</w:t>
      </w:r>
      <w:r>
        <w:rPr>
          <w:rFonts w:hint="eastAsia" w:ascii="仿宋_GB2312" w:eastAsia="仿宋_GB2312"/>
          <w:color w:val="auto"/>
          <w:sz w:val="32"/>
          <w:szCs w:val="32"/>
          <w:highlight w:val="none"/>
        </w:rPr>
        <w:t>指事业单位开展专业业务活动及辅助活动取得的收入。</w:t>
      </w:r>
    </w:p>
    <w:p w14:paraId="09F47B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w:t>
      </w:r>
      <w:r>
        <w:rPr>
          <w:rFonts w:hint="eastAsia" w:ascii="仿宋_GB2312" w:eastAsia="仿宋_GB2312"/>
          <w:color w:val="auto"/>
          <w:sz w:val="32"/>
          <w:szCs w:val="32"/>
          <w:highlight w:val="none"/>
        </w:rPr>
        <w:t>指事业单位在专业业务活动及其辅助活动之外开展非独立核算经营活动取得的收入。</w:t>
      </w:r>
    </w:p>
    <w:p w14:paraId="0ABD73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4.其他收入：指单位取得的除上述收入以外的各项收入。</w:t>
      </w:r>
    </w:p>
    <w:p w14:paraId="3EBF984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5.使用非财政拨款结余（含专用结余）：指事业单位使用以前年度积累的非财政拨款结余弥补当年收支差额的金额。 </w:t>
      </w:r>
    </w:p>
    <w:p w14:paraId="2E9D798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5C50086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7.结余分配：指事业单位按照会计制度规定缴纳的所得税、提取的专用结余以及转入非财政拨款结余的金额等。</w:t>
      </w:r>
    </w:p>
    <w:p w14:paraId="2B8452C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8.年末结转和结余：指单位按有关规定结转到下年或以后年度继续使用的资金。</w:t>
      </w:r>
    </w:p>
    <w:p w14:paraId="6837D3D7">
      <w:pPr>
        <w:snapToGrid w:val="0"/>
        <w:spacing w:line="600" w:lineRule="exact"/>
        <w:ind w:firstLine="640"/>
        <w:jc w:val="both"/>
        <w:rPr>
          <w:rFonts w:hint="eastAsia" w:ascii="Times New Roman" w:hAnsi="Times New Roman" w:eastAsia="方正仿宋简体"/>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9.</w:t>
      </w:r>
      <w:r>
        <w:rPr>
          <w:rFonts w:hint="eastAsia" w:ascii="Times New Roman" w:hAnsi="Times New Roman" w:eastAsia="方正仿宋简体"/>
          <w:color w:val="000000"/>
          <w:kern w:val="2"/>
          <w:sz w:val="32"/>
          <w:szCs w:val="24"/>
        </w:rPr>
        <w:t>一般公共服务支出（</w:t>
      </w:r>
      <w:r>
        <w:rPr>
          <w:rFonts w:hint="default" w:ascii="Times New Roman" w:hAnsi="Times New Roman" w:eastAsia="Times New Roman"/>
          <w:color w:val="000000"/>
          <w:kern w:val="2"/>
          <w:sz w:val="32"/>
          <w:szCs w:val="24"/>
        </w:rPr>
        <w:t>201</w:t>
      </w:r>
      <w:r>
        <w:rPr>
          <w:rFonts w:hint="eastAsia" w:ascii="Times New Roman" w:hAnsi="Times New Roman" w:eastAsia="方正仿宋简体"/>
          <w:color w:val="000000"/>
          <w:kern w:val="2"/>
          <w:sz w:val="32"/>
          <w:szCs w:val="24"/>
        </w:rPr>
        <w:t>）：</w:t>
      </w:r>
      <w:r>
        <w:rPr>
          <w:rFonts w:hint="eastAsia" w:ascii="Times New Roman" w:hAnsi="Times New Roman" w:eastAsia="方正仿宋简体"/>
          <w:color w:val="000000"/>
          <w:kern w:val="2"/>
          <w:sz w:val="32"/>
          <w:szCs w:val="24"/>
          <w:lang w:val="zh-CN"/>
        </w:rPr>
        <w:t>其他人大事务支出（</w:t>
      </w:r>
      <w:r>
        <w:rPr>
          <w:rFonts w:hint="default" w:ascii="Times New Roman" w:hAnsi="Times New Roman" w:eastAsia="Times New Roman"/>
          <w:color w:val="000000"/>
          <w:kern w:val="2"/>
          <w:sz w:val="32"/>
          <w:szCs w:val="24"/>
          <w:lang w:val="zh-CN"/>
        </w:rPr>
        <w:t>2010199</w:t>
      </w:r>
      <w:r>
        <w:rPr>
          <w:rFonts w:hint="eastAsia" w:ascii="Times New Roman" w:hAnsi="Times New Roman" w:eastAsia="方正仿宋简体"/>
          <w:color w:val="000000"/>
          <w:kern w:val="2"/>
          <w:sz w:val="32"/>
          <w:szCs w:val="24"/>
          <w:lang w:val="zh-CN"/>
        </w:rPr>
        <w:t>）：主要用于开展人大工作发生的各项费用；</w:t>
      </w:r>
      <w:r>
        <w:rPr>
          <w:rFonts w:hint="default" w:ascii="Times New Roman" w:hAnsi="Times New Roman" w:eastAsia="Times New Roman"/>
          <w:color w:val="000000"/>
          <w:kern w:val="2"/>
          <w:sz w:val="32"/>
          <w:szCs w:val="24"/>
          <w:lang w:val="zh-CN"/>
        </w:rPr>
        <w:t xml:space="preserve"> </w:t>
      </w:r>
      <w:r>
        <w:rPr>
          <w:rFonts w:hint="eastAsia" w:ascii="Times New Roman" w:hAnsi="Times New Roman" w:eastAsia="方正仿宋简体"/>
          <w:color w:val="000000"/>
          <w:kern w:val="2"/>
          <w:sz w:val="32"/>
          <w:szCs w:val="24"/>
          <w:lang w:val="zh-CN"/>
        </w:rPr>
        <w:t>行政运行（</w:t>
      </w:r>
      <w:r>
        <w:rPr>
          <w:rFonts w:hint="default" w:ascii="Times New Roman" w:hAnsi="Times New Roman" w:eastAsia="Times New Roman"/>
          <w:color w:val="000000"/>
          <w:kern w:val="2"/>
          <w:sz w:val="32"/>
          <w:szCs w:val="24"/>
          <w:lang w:val="zh-CN"/>
        </w:rPr>
        <w:t>2010301</w:t>
      </w:r>
      <w:r>
        <w:rPr>
          <w:rFonts w:hint="eastAsia" w:ascii="Times New Roman" w:hAnsi="Times New Roman" w:eastAsia="方正仿宋简体"/>
          <w:color w:val="000000"/>
          <w:kern w:val="2"/>
          <w:sz w:val="32"/>
          <w:szCs w:val="24"/>
          <w:lang w:val="zh-CN"/>
        </w:rPr>
        <w:t>）：主要用于反映行政单位的基本支出；一般行政管理事务支出（</w:t>
      </w:r>
      <w:r>
        <w:rPr>
          <w:rFonts w:hint="default" w:ascii="Times New Roman" w:hAnsi="Times New Roman" w:eastAsia="Times New Roman"/>
          <w:color w:val="000000"/>
          <w:kern w:val="2"/>
          <w:sz w:val="32"/>
          <w:szCs w:val="24"/>
          <w:lang w:val="zh-CN"/>
        </w:rPr>
        <w:t>2010302</w:t>
      </w:r>
      <w:r>
        <w:rPr>
          <w:rFonts w:hint="eastAsia" w:ascii="Times New Roman" w:hAnsi="Times New Roman" w:eastAsia="方正仿宋简体"/>
          <w:color w:val="000000"/>
          <w:kern w:val="2"/>
          <w:sz w:val="32"/>
          <w:szCs w:val="24"/>
          <w:lang w:val="zh-CN"/>
        </w:rPr>
        <w:t>）：指反映行政单位（包括实行公务员管理的事业单位）未单独设置项级科目的其他项目支出；事业运行（</w:t>
      </w:r>
      <w:r>
        <w:rPr>
          <w:rFonts w:hint="default" w:ascii="Times New Roman" w:hAnsi="Times New Roman" w:eastAsia="Times New Roman"/>
          <w:color w:val="000000"/>
          <w:kern w:val="2"/>
          <w:sz w:val="32"/>
          <w:szCs w:val="24"/>
          <w:lang w:val="zh-CN"/>
        </w:rPr>
        <w:t>2010350</w:t>
      </w:r>
      <w:r>
        <w:rPr>
          <w:rFonts w:hint="eastAsia" w:ascii="Times New Roman" w:hAnsi="Times New Roman" w:eastAsia="方正仿宋简体"/>
          <w:color w:val="000000"/>
          <w:kern w:val="2"/>
          <w:sz w:val="32"/>
          <w:szCs w:val="24"/>
          <w:lang w:val="zh-CN"/>
        </w:rPr>
        <w:t>）：反映事业单位的基本支出；专项普查活动（</w:t>
      </w:r>
      <w:r>
        <w:rPr>
          <w:rFonts w:hint="eastAsia" w:ascii="Times New Roman" w:hAnsi="Times New Roman" w:eastAsia="方正仿宋简体"/>
          <w:color w:val="000000"/>
          <w:kern w:val="2"/>
          <w:sz w:val="32"/>
          <w:szCs w:val="24"/>
          <w:lang w:val="en-US" w:eastAsia="zh-CN"/>
        </w:rPr>
        <w:t>2010507</w:t>
      </w:r>
      <w:r>
        <w:rPr>
          <w:rFonts w:hint="eastAsia" w:ascii="Times New Roman" w:hAnsi="Times New Roman" w:eastAsia="方正仿宋简体"/>
          <w:color w:val="000000"/>
          <w:kern w:val="2"/>
          <w:sz w:val="32"/>
          <w:szCs w:val="24"/>
          <w:lang w:val="zh-CN"/>
        </w:rPr>
        <w:t>）：反映统计部门开展人口普查、经济普查、农业普查、投入产出调查等周期性普查工作的支出；其他群众团体事务支出（</w:t>
      </w:r>
      <w:r>
        <w:rPr>
          <w:rFonts w:hint="default" w:ascii="Times New Roman" w:hAnsi="Times New Roman" w:eastAsia="Times New Roman"/>
          <w:color w:val="000000"/>
          <w:kern w:val="2"/>
          <w:sz w:val="32"/>
          <w:szCs w:val="24"/>
          <w:lang w:val="zh-CN"/>
        </w:rPr>
        <w:t>2012999</w:t>
      </w:r>
      <w:r>
        <w:rPr>
          <w:rFonts w:hint="eastAsia" w:ascii="Times New Roman" w:hAnsi="Times New Roman" w:eastAsia="方正仿宋简体"/>
          <w:color w:val="000000"/>
          <w:kern w:val="2"/>
          <w:sz w:val="32"/>
          <w:szCs w:val="24"/>
          <w:lang w:val="zh-CN"/>
        </w:rPr>
        <w:t>）：主要用于团委、妇联日常办公工作经费。其他共产党事务支出（</w:t>
      </w:r>
      <w:r>
        <w:rPr>
          <w:rFonts w:hint="default" w:ascii="Times New Roman" w:hAnsi="Times New Roman" w:eastAsia="Times New Roman"/>
          <w:color w:val="000000"/>
          <w:kern w:val="2"/>
          <w:sz w:val="32"/>
          <w:szCs w:val="24"/>
          <w:lang w:val="zh-CN"/>
        </w:rPr>
        <w:t>2013699</w:t>
      </w:r>
      <w:r>
        <w:rPr>
          <w:rFonts w:hint="eastAsia" w:ascii="Times New Roman" w:hAnsi="Times New Roman" w:eastAsia="方正仿宋简体"/>
          <w:color w:val="000000"/>
          <w:kern w:val="2"/>
          <w:sz w:val="32"/>
          <w:szCs w:val="24"/>
          <w:lang w:val="zh-CN"/>
        </w:rPr>
        <w:t>）：其他用于中国共产党事务的支出。</w:t>
      </w:r>
    </w:p>
    <w:p w14:paraId="3BFDF6F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11.公共安全（204）：其他公安支出（2040299）其他用于公共方面的支出。</w:t>
      </w:r>
    </w:p>
    <w:p w14:paraId="6E41C69B">
      <w:pPr>
        <w:snapToGrid w:val="0"/>
        <w:spacing w:line="600" w:lineRule="exact"/>
        <w:ind w:firstLine="640"/>
        <w:jc w:val="both"/>
        <w:rPr>
          <w:rFonts w:hint="default" w:ascii="Times New Roman" w:hAnsi="Times New Roman" w:eastAsia="Times New Roman"/>
          <w:color w:val="000000"/>
          <w:sz w:val="32"/>
          <w:szCs w:val="24"/>
        </w:rPr>
      </w:pPr>
      <w:r>
        <w:rPr>
          <w:rFonts w:hint="eastAsia" w:ascii="Times New Roman" w:hAnsi="Times New Roman" w:eastAsia="仿宋_GB2312" w:cs="仿宋_GB2312"/>
          <w:color w:val="auto"/>
          <w:kern w:val="2"/>
          <w:sz w:val="32"/>
          <w:szCs w:val="32"/>
          <w:highlight w:val="none"/>
          <w:lang w:val="en-US" w:eastAsia="zh-CN" w:bidi="ar-SA"/>
        </w:rPr>
        <w:t>12.</w:t>
      </w:r>
      <w:r>
        <w:rPr>
          <w:rFonts w:hint="eastAsia" w:ascii="Times New Roman" w:hAnsi="Times New Roman" w:eastAsia="方正仿宋简体"/>
          <w:color w:val="000000"/>
          <w:kern w:val="2"/>
          <w:sz w:val="32"/>
          <w:szCs w:val="24"/>
          <w:lang w:val="zh-CN"/>
        </w:rPr>
        <w:t>文化体育与传媒支出（</w:t>
      </w:r>
      <w:r>
        <w:rPr>
          <w:rFonts w:hint="default" w:ascii="Times New Roman" w:hAnsi="Times New Roman" w:eastAsia="Times New Roman"/>
          <w:color w:val="000000"/>
          <w:kern w:val="2"/>
          <w:sz w:val="32"/>
          <w:szCs w:val="24"/>
          <w:lang w:val="zh-CN"/>
        </w:rPr>
        <w:t>207</w:t>
      </w:r>
      <w:r>
        <w:rPr>
          <w:rFonts w:hint="eastAsia" w:ascii="Times New Roman" w:hAnsi="Times New Roman" w:eastAsia="方正仿宋简体"/>
          <w:color w:val="000000"/>
          <w:kern w:val="2"/>
          <w:sz w:val="32"/>
          <w:szCs w:val="24"/>
          <w:lang w:val="zh-CN"/>
        </w:rPr>
        <w:t>）：</w:t>
      </w:r>
      <w:r>
        <w:rPr>
          <w:rFonts w:hint="eastAsia" w:ascii="Times New Roman" w:hAnsi="Times New Roman" w:eastAsia="方正仿宋简体"/>
          <w:color w:val="000000"/>
          <w:sz w:val="32"/>
          <w:szCs w:val="24"/>
        </w:rPr>
        <w:t>其他文化和旅游支出（</w:t>
      </w:r>
      <w:r>
        <w:rPr>
          <w:rFonts w:hint="default" w:ascii="Times New Roman" w:hAnsi="Times New Roman" w:eastAsia="Times New Roman"/>
          <w:color w:val="000000"/>
          <w:sz w:val="32"/>
          <w:szCs w:val="24"/>
        </w:rPr>
        <w:t>2070199</w:t>
      </w:r>
      <w:r>
        <w:rPr>
          <w:rFonts w:hint="eastAsia" w:ascii="Times New Roman" w:hAnsi="Times New Roman" w:eastAsia="方正仿宋简体"/>
          <w:color w:val="000000"/>
          <w:sz w:val="32"/>
          <w:szCs w:val="24"/>
        </w:rPr>
        <w:t>）：反映其他用于文化和旅游方面的支出。</w:t>
      </w:r>
    </w:p>
    <w:p w14:paraId="16D97776">
      <w:pPr>
        <w:snapToGrid w:val="0"/>
        <w:spacing w:line="600" w:lineRule="exact"/>
        <w:ind w:firstLine="643"/>
        <w:jc w:val="both"/>
        <w:rPr>
          <w:rFonts w:hint="default" w:ascii="Times New Roman" w:hAnsi="Times New Roman" w:eastAsia="Times New Roman"/>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13.</w:t>
      </w:r>
      <w:r>
        <w:rPr>
          <w:rFonts w:hint="eastAsia" w:ascii="Times New Roman" w:hAnsi="Times New Roman" w:eastAsia="方正仿宋简体"/>
          <w:color w:val="000000"/>
          <w:sz w:val="32"/>
          <w:szCs w:val="24"/>
        </w:rPr>
        <w:t>社会保障与就业支出（</w:t>
      </w:r>
      <w:r>
        <w:rPr>
          <w:rFonts w:hint="default" w:ascii="Times New Roman" w:hAnsi="Times New Roman" w:eastAsia="Times New Roman"/>
          <w:color w:val="000000"/>
          <w:sz w:val="32"/>
          <w:szCs w:val="24"/>
        </w:rPr>
        <w:t>208</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kern w:val="2"/>
          <w:sz w:val="32"/>
          <w:szCs w:val="24"/>
          <w:lang w:val="zh-CN"/>
        </w:rPr>
        <w:t>其他人力资源和社会保障管理事务支出（</w:t>
      </w:r>
      <w:r>
        <w:rPr>
          <w:rFonts w:hint="default" w:ascii="Times New Roman" w:hAnsi="Times New Roman" w:eastAsia="Times New Roman"/>
          <w:color w:val="000000"/>
          <w:kern w:val="2"/>
          <w:sz w:val="32"/>
          <w:szCs w:val="24"/>
          <w:lang w:val="zh-CN"/>
        </w:rPr>
        <w:t>2080199</w:t>
      </w:r>
      <w:r>
        <w:rPr>
          <w:rFonts w:hint="eastAsia" w:ascii="Times New Roman" w:hAnsi="Times New Roman" w:eastAsia="方正仿宋简体"/>
          <w:color w:val="000000"/>
          <w:kern w:val="2"/>
          <w:sz w:val="32"/>
          <w:szCs w:val="24"/>
          <w:lang w:val="zh-CN"/>
        </w:rPr>
        <w:t>）：主要用于劳动保障所办公支出；行政单位离退休（</w:t>
      </w:r>
      <w:r>
        <w:rPr>
          <w:rFonts w:hint="default" w:ascii="Times New Roman" w:hAnsi="Times New Roman" w:eastAsia="Times New Roman"/>
          <w:color w:val="000000"/>
          <w:kern w:val="2"/>
          <w:sz w:val="32"/>
          <w:szCs w:val="24"/>
          <w:lang w:val="zh-CN"/>
        </w:rPr>
        <w:t>2080501</w:t>
      </w:r>
      <w:r>
        <w:rPr>
          <w:rFonts w:hint="eastAsia" w:ascii="Times New Roman" w:hAnsi="Times New Roman" w:eastAsia="方正仿宋简体"/>
          <w:color w:val="000000"/>
          <w:kern w:val="2"/>
          <w:sz w:val="32"/>
          <w:szCs w:val="24"/>
          <w:lang w:val="zh-CN"/>
        </w:rPr>
        <w:t>）：反映行政单位开支的离退休经费；事业单位离退休（</w:t>
      </w:r>
      <w:r>
        <w:rPr>
          <w:rFonts w:hint="default" w:ascii="Times New Roman" w:hAnsi="Times New Roman" w:eastAsia="Times New Roman"/>
          <w:color w:val="000000"/>
          <w:kern w:val="2"/>
          <w:sz w:val="32"/>
          <w:szCs w:val="24"/>
          <w:lang w:val="zh-CN"/>
        </w:rPr>
        <w:t>2080502</w:t>
      </w:r>
      <w:r>
        <w:rPr>
          <w:rFonts w:hint="eastAsia" w:ascii="Times New Roman" w:hAnsi="Times New Roman" w:eastAsia="方正仿宋简体"/>
          <w:color w:val="000000"/>
          <w:kern w:val="2"/>
          <w:sz w:val="32"/>
          <w:szCs w:val="24"/>
          <w:lang w:val="zh-CN"/>
        </w:rPr>
        <w:t>）：反映事业单位开支的离退休经费；机关事业单位基本养老保险缴费支出（</w:t>
      </w:r>
      <w:r>
        <w:rPr>
          <w:rFonts w:hint="default" w:ascii="Times New Roman" w:hAnsi="Times New Roman" w:eastAsia="Times New Roman"/>
          <w:color w:val="000000"/>
          <w:kern w:val="2"/>
          <w:sz w:val="32"/>
          <w:szCs w:val="24"/>
          <w:lang w:val="zh-CN"/>
        </w:rPr>
        <w:t>2080505</w:t>
      </w:r>
      <w:r>
        <w:rPr>
          <w:rFonts w:hint="eastAsia" w:ascii="Times New Roman" w:hAnsi="Times New Roman" w:eastAsia="方正仿宋简体"/>
          <w:color w:val="000000"/>
          <w:kern w:val="2"/>
          <w:sz w:val="32"/>
          <w:szCs w:val="24"/>
          <w:lang w:val="zh-CN"/>
        </w:rPr>
        <w:t>）：指反映机关事业单位实施养老保险制度由单位缴纳的基本养老保险支出；机关事业单位职业年金缴费支出（</w:t>
      </w:r>
      <w:r>
        <w:rPr>
          <w:rFonts w:hint="default" w:ascii="Times New Roman" w:hAnsi="Times New Roman" w:eastAsia="Times New Roman"/>
          <w:color w:val="000000"/>
          <w:kern w:val="2"/>
          <w:sz w:val="32"/>
          <w:szCs w:val="24"/>
          <w:lang w:val="zh-CN"/>
        </w:rPr>
        <w:t>2080506</w:t>
      </w:r>
      <w:r>
        <w:rPr>
          <w:rFonts w:hint="eastAsia" w:ascii="Times New Roman" w:hAnsi="Times New Roman" w:eastAsia="方正仿宋简体"/>
          <w:color w:val="000000"/>
          <w:kern w:val="2"/>
          <w:sz w:val="32"/>
          <w:szCs w:val="24"/>
          <w:lang w:val="zh-CN"/>
        </w:rPr>
        <w:t>）：指反映机关事业单位实施养老保险制度由单位实际缴纳的职业年金支出；其他行政事业单位养老支出（</w:t>
      </w:r>
      <w:r>
        <w:rPr>
          <w:rFonts w:hint="default" w:ascii="Times New Roman" w:hAnsi="Times New Roman" w:eastAsia="Times New Roman"/>
          <w:color w:val="000000"/>
          <w:kern w:val="2"/>
          <w:sz w:val="32"/>
          <w:szCs w:val="24"/>
          <w:lang w:val="zh-CN"/>
        </w:rPr>
        <w:t>2080599</w:t>
      </w:r>
      <w:r>
        <w:rPr>
          <w:rFonts w:hint="eastAsia" w:ascii="Times New Roman" w:hAnsi="Times New Roman" w:eastAsia="方正仿宋简体"/>
          <w:color w:val="000000"/>
          <w:kern w:val="2"/>
          <w:sz w:val="32"/>
          <w:szCs w:val="24"/>
          <w:lang w:val="zh-CN"/>
        </w:rPr>
        <w:t>）：其他用于行政事业单位养老方面的支出；其他社会保障和就业支出（</w:t>
      </w:r>
      <w:r>
        <w:rPr>
          <w:rFonts w:hint="default" w:ascii="Times New Roman" w:hAnsi="Times New Roman" w:eastAsia="Times New Roman"/>
          <w:color w:val="000000"/>
          <w:kern w:val="2"/>
          <w:sz w:val="32"/>
          <w:szCs w:val="24"/>
          <w:lang w:val="zh-CN"/>
        </w:rPr>
        <w:t>2089999</w:t>
      </w:r>
      <w:r>
        <w:rPr>
          <w:rFonts w:hint="eastAsia" w:ascii="Times New Roman" w:hAnsi="Times New Roman" w:eastAsia="方正仿宋简体"/>
          <w:color w:val="000000"/>
          <w:kern w:val="2"/>
          <w:sz w:val="32"/>
          <w:szCs w:val="24"/>
          <w:lang w:val="zh-CN"/>
        </w:rPr>
        <w:t>）：其他用于社会保障和就业方面的支出。</w:t>
      </w:r>
      <w:r>
        <w:rPr>
          <w:rFonts w:hint="default" w:ascii="Times New Roman" w:hAnsi="Times New Roman" w:eastAsia="Times New Roman"/>
          <w:color w:val="000000"/>
          <w:kern w:val="2"/>
          <w:sz w:val="32"/>
          <w:szCs w:val="24"/>
          <w:lang w:val="zh-CN"/>
        </w:rPr>
        <w:t xml:space="preserve"> </w:t>
      </w:r>
    </w:p>
    <w:p w14:paraId="6D19A1A5">
      <w:pPr>
        <w:snapToGrid w:val="0"/>
        <w:spacing w:line="600" w:lineRule="exact"/>
        <w:ind w:firstLine="643"/>
        <w:jc w:val="both"/>
        <w:rPr>
          <w:rFonts w:hint="eastAsia" w:ascii="Times New Roman" w:hAnsi="Times New Roman" w:eastAsia="方正仿宋简体"/>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14.</w:t>
      </w:r>
      <w:r>
        <w:rPr>
          <w:rFonts w:hint="eastAsia" w:ascii="Times New Roman" w:hAnsi="Times New Roman" w:eastAsia="方正仿宋简体"/>
          <w:color w:val="000000"/>
          <w:sz w:val="32"/>
          <w:szCs w:val="24"/>
        </w:rPr>
        <w:t>卫生健康支出（</w:t>
      </w:r>
      <w:r>
        <w:rPr>
          <w:rFonts w:hint="default" w:ascii="Times New Roman" w:hAnsi="Times New Roman" w:eastAsia="Times New Roman"/>
          <w:color w:val="000000"/>
          <w:sz w:val="32"/>
          <w:szCs w:val="24"/>
        </w:rPr>
        <w:t>210</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kern w:val="2"/>
          <w:sz w:val="32"/>
          <w:szCs w:val="24"/>
          <w:lang w:val="zh-CN"/>
        </w:rPr>
        <w:t>行政单位医疗（</w:t>
      </w:r>
      <w:r>
        <w:rPr>
          <w:rFonts w:hint="default" w:ascii="Times New Roman" w:hAnsi="Times New Roman" w:eastAsia="Times New Roman"/>
          <w:color w:val="000000"/>
          <w:kern w:val="2"/>
          <w:sz w:val="32"/>
          <w:szCs w:val="24"/>
          <w:lang w:val="zh-CN"/>
        </w:rPr>
        <w:t>2101101</w:t>
      </w:r>
      <w:r>
        <w:rPr>
          <w:rFonts w:hint="eastAsia" w:ascii="Times New Roman" w:hAnsi="Times New Roman" w:eastAsia="方正仿宋简体"/>
          <w:color w:val="000000"/>
          <w:kern w:val="2"/>
          <w:sz w:val="32"/>
          <w:szCs w:val="24"/>
          <w:lang w:val="zh-CN"/>
        </w:rPr>
        <w:t>）：主要用于财政部门集中安排的行政单位基本医疗保险缴费经费支出；事业单位医疗（</w:t>
      </w:r>
      <w:r>
        <w:rPr>
          <w:rFonts w:hint="default" w:ascii="Times New Roman" w:hAnsi="Times New Roman" w:eastAsia="Times New Roman"/>
          <w:color w:val="000000"/>
          <w:kern w:val="2"/>
          <w:sz w:val="32"/>
          <w:szCs w:val="24"/>
          <w:lang w:val="zh-CN"/>
        </w:rPr>
        <w:t>2101102</w:t>
      </w:r>
      <w:r>
        <w:rPr>
          <w:rFonts w:hint="eastAsia" w:ascii="Times New Roman" w:hAnsi="Times New Roman" w:eastAsia="方正仿宋简体"/>
          <w:color w:val="000000"/>
          <w:kern w:val="2"/>
          <w:sz w:val="32"/>
          <w:szCs w:val="24"/>
          <w:lang w:val="zh-CN"/>
        </w:rPr>
        <w:t>）：主要用于财政部门集中安排的事业单位基本医疗保险缴费经费支出；公务员医疗补助（</w:t>
      </w:r>
      <w:r>
        <w:rPr>
          <w:rFonts w:hint="eastAsia" w:ascii="Times New Roman" w:hAnsi="Times New Roman" w:eastAsia="方正仿宋简体"/>
          <w:color w:val="000000"/>
          <w:kern w:val="2"/>
          <w:sz w:val="32"/>
          <w:szCs w:val="24"/>
          <w:lang w:val="en-US" w:eastAsia="zh-CN"/>
        </w:rPr>
        <w:t>2101103</w:t>
      </w:r>
      <w:r>
        <w:rPr>
          <w:rFonts w:hint="eastAsia" w:ascii="Times New Roman" w:hAnsi="Times New Roman" w:eastAsia="方正仿宋简体"/>
          <w:color w:val="000000"/>
          <w:kern w:val="2"/>
          <w:sz w:val="32"/>
          <w:szCs w:val="24"/>
          <w:lang w:val="zh-CN"/>
        </w:rPr>
        <w:t>）反映财政部门安排的公务员医疗补助；其他行政事业单位医疗支出（</w:t>
      </w:r>
      <w:r>
        <w:rPr>
          <w:rFonts w:hint="eastAsia" w:ascii="Times New Roman" w:hAnsi="Times New Roman" w:eastAsia="方正仿宋简体"/>
          <w:color w:val="000000"/>
          <w:kern w:val="2"/>
          <w:sz w:val="32"/>
          <w:szCs w:val="24"/>
          <w:lang w:val="en-US" w:eastAsia="zh-CN"/>
        </w:rPr>
        <w:t>2101199</w:t>
      </w:r>
      <w:r>
        <w:rPr>
          <w:rFonts w:hint="eastAsia" w:ascii="Times New Roman" w:hAnsi="Times New Roman" w:eastAsia="方正仿宋简体"/>
          <w:color w:val="000000"/>
          <w:kern w:val="2"/>
          <w:sz w:val="32"/>
          <w:szCs w:val="24"/>
          <w:lang w:val="zh-CN"/>
        </w:rPr>
        <w:t>）反映其他用于行政事业单位医疗方面的支出。</w:t>
      </w:r>
    </w:p>
    <w:p w14:paraId="6DBC2474">
      <w:pPr>
        <w:snapToGrid w:val="0"/>
        <w:spacing w:line="600" w:lineRule="exact"/>
        <w:ind w:firstLine="643"/>
        <w:jc w:val="both"/>
        <w:rPr>
          <w:rFonts w:hint="eastAsia" w:ascii="Times New Roman" w:hAnsi="Times New Roman" w:eastAsia="方正仿宋简体"/>
          <w:color w:val="000000"/>
          <w:kern w:val="2"/>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15.</w:t>
      </w:r>
      <w:r>
        <w:rPr>
          <w:rFonts w:hint="eastAsia" w:ascii="Times New Roman" w:hAnsi="Times New Roman" w:eastAsia="方正仿宋简体"/>
          <w:color w:val="000000"/>
          <w:kern w:val="2"/>
          <w:sz w:val="32"/>
          <w:szCs w:val="24"/>
          <w:lang w:val="en-US" w:eastAsia="zh-CN"/>
        </w:rPr>
        <w:t>节能环保支出（211）：水体（2110302）反映政府在排水、污水处理、水污染防治、湖库生态环境保护、水源地保护、国土江河综合整治、河流治理与保护、地下水修护与保护等方面。</w:t>
      </w:r>
    </w:p>
    <w:p w14:paraId="0BBA18CE">
      <w:pPr>
        <w:snapToGrid w:val="0"/>
        <w:spacing w:line="600" w:lineRule="exact"/>
        <w:ind w:firstLine="640" w:firstLineChars="200"/>
        <w:jc w:val="both"/>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16.</w:t>
      </w:r>
      <w:r>
        <w:rPr>
          <w:rFonts w:hint="eastAsia" w:ascii="Times New Roman" w:hAnsi="Times New Roman" w:eastAsia="方正仿宋简体"/>
          <w:color w:val="000000"/>
          <w:sz w:val="32"/>
          <w:szCs w:val="24"/>
        </w:rPr>
        <w:t>城乡社区支出（</w:t>
      </w:r>
      <w:r>
        <w:rPr>
          <w:rFonts w:hint="default" w:ascii="Times New Roman" w:hAnsi="Times New Roman" w:eastAsia="Times New Roman"/>
          <w:color w:val="000000"/>
          <w:sz w:val="32"/>
          <w:szCs w:val="24"/>
        </w:rPr>
        <w:t>212</w:t>
      </w:r>
      <w:r>
        <w:rPr>
          <w:rFonts w:hint="eastAsia" w:ascii="Times New Roman" w:hAnsi="Times New Roman" w:eastAsia="方正仿宋简体"/>
          <w:color w:val="000000"/>
          <w:sz w:val="32"/>
          <w:szCs w:val="24"/>
        </w:rPr>
        <w:t>）：其他城乡社区管理事务支出（</w:t>
      </w:r>
      <w:r>
        <w:rPr>
          <w:rFonts w:hint="default" w:ascii="Times New Roman" w:hAnsi="Times New Roman" w:eastAsia="Times New Roman"/>
          <w:color w:val="000000"/>
          <w:sz w:val="32"/>
          <w:szCs w:val="24"/>
        </w:rPr>
        <w:t>2120199</w:t>
      </w:r>
      <w:r>
        <w:rPr>
          <w:rFonts w:hint="eastAsia" w:ascii="Times New Roman" w:hAnsi="Times New Roman" w:eastAsia="方正仿宋简体"/>
          <w:color w:val="000000"/>
          <w:sz w:val="32"/>
          <w:szCs w:val="24"/>
        </w:rPr>
        <w:t>）：用于其他城乡社区管理事务方面的支出；小城镇基础设施建设（</w:t>
      </w:r>
      <w:r>
        <w:rPr>
          <w:rFonts w:hint="default" w:ascii="Times New Roman" w:hAnsi="Times New Roman" w:eastAsia="Times New Roman"/>
          <w:color w:val="000000"/>
          <w:sz w:val="32"/>
          <w:szCs w:val="24"/>
        </w:rPr>
        <w:t>2120303</w:t>
      </w:r>
      <w:r>
        <w:rPr>
          <w:rFonts w:hint="eastAsia" w:ascii="Times New Roman" w:hAnsi="Times New Roman" w:eastAsia="方正仿宋简体"/>
          <w:color w:val="000000"/>
          <w:sz w:val="32"/>
          <w:szCs w:val="24"/>
        </w:rPr>
        <w:t>）：反映小城镇路、气、水、电等基础建设方面的支出；其他城乡社区支出（</w:t>
      </w:r>
      <w:r>
        <w:rPr>
          <w:rFonts w:hint="default" w:ascii="Times New Roman" w:hAnsi="Times New Roman" w:eastAsia="Times New Roman"/>
          <w:color w:val="000000"/>
          <w:sz w:val="32"/>
          <w:szCs w:val="24"/>
        </w:rPr>
        <w:t>2129999</w:t>
      </w:r>
      <w:r>
        <w:rPr>
          <w:rFonts w:hint="eastAsia" w:ascii="Times New Roman" w:hAnsi="Times New Roman" w:eastAsia="方正仿宋简体"/>
          <w:color w:val="000000"/>
          <w:sz w:val="32"/>
          <w:szCs w:val="24"/>
        </w:rPr>
        <w:t>）：主要用于社区干部生活补助、社区办公费、社区场镇环境整治和基础设施维修维护等。</w:t>
      </w:r>
    </w:p>
    <w:p w14:paraId="0D48E660">
      <w:pPr>
        <w:pStyle w:val="31"/>
        <w:ind w:left="0" w:leftChars="0" w:firstLine="640" w:firstLineChars="200"/>
        <w:rPr>
          <w:rFonts w:hint="eastAsia" w:ascii="Times New Roman" w:hAnsi="Times New Roman" w:eastAsia="方正仿宋简体"/>
          <w:color w:val="000000"/>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17.</w:t>
      </w:r>
      <w:r>
        <w:rPr>
          <w:rFonts w:hint="eastAsia" w:ascii="Times New Roman" w:hAnsi="Times New Roman" w:eastAsia="方正仿宋简体"/>
          <w:color w:val="000000"/>
          <w:sz w:val="32"/>
          <w:szCs w:val="24"/>
          <w:lang w:val="en-US" w:eastAsia="zh-CN"/>
        </w:rPr>
        <w:t>农林水支出（213）：事业运行（2130104）：反映用于农业事业单位基本支出，事业单位设施、系统运行与资产维护等方面的支出；其他农业农村支出（2130199）反映其他用于农业农村方面的支出；森林生态效益补偿（2130209）反映用于公益林保护和管理等方面的支出；对村民委员会和村党支部的补助（2130705）反映各级财政对村民委员会和村党支部的补助支出，以及支持建立县级基本财力保障机制安排的村级组织运转奖补资金；其他农林水支出（2139999）反映除化解债务支出以外其他用于农林水方面的支出。</w:t>
      </w:r>
    </w:p>
    <w:p w14:paraId="00B0D68B">
      <w:pPr>
        <w:pStyle w:val="31"/>
        <w:ind w:left="0" w:leftChars="0"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18.</w:t>
      </w:r>
      <w:r>
        <w:rPr>
          <w:rFonts w:hint="eastAsia" w:ascii="Times New Roman" w:hAnsi="Times New Roman" w:eastAsia="方正仿宋简体"/>
          <w:color w:val="000000"/>
          <w:sz w:val="32"/>
          <w:szCs w:val="24"/>
          <w:lang w:val="en-US" w:eastAsia="zh-CN"/>
        </w:rPr>
        <w:t>住房保障支出（221）：</w:t>
      </w:r>
      <w:r>
        <w:rPr>
          <w:rFonts w:hint="eastAsia" w:ascii="Times New Roman" w:hAnsi="Times New Roman" w:eastAsia="方正仿宋简体"/>
          <w:color w:val="000000"/>
          <w:sz w:val="32"/>
          <w:szCs w:val="24"/>
        </w:rPr>
        <w:t>住房公积金支出（</w:t>
      </w:r>
      <w:r>
        <w:rPr>
          <w:rFonts w:hint="default" w:ascii="Times New Roman" w:hAnsi="Times New Roman" w:eastAsia="Times New Roman"/>
          <w:color w:val="000000"/>
          <w:sz w:val="32"/>
          <w:szCs w:val="24"/>
        </w:rPr>
        <w:t>2210201</w:t>
      </w:r>
      <w:r>
        <w:rPr>
          <w:rFonts w:hint="eastAsia" w:ascii="Times New Roman" w:hAnsi="Times New Roman" w:eastAsia="方正仿宋简体"/>
          <w:color w:val="000000"/>
          <w:sz w:val="32"/>
          <w:szCs w:val="24"/>
        </w:rPr>
        <w:t>）：指反映行政事业单位按人力资源和社会保障部、财政部规定的基本工资和津贴补贴以及规定比例为职工缴纳的住房公积金。</w:t>
      </w:r>
    </w:p>
    <w:p w14:paraId="4FB2EA22">
      <w:pPr>
        <w:pStyle w:val="31"/>
        <w:ind w:left="0" w:leftChars="0" w:firstLine="640" w:firstLineChars="200"/>
        <w:rPr>
          <w:rFonts w:hint="eastAsia" w:ascii="Times New Roman" w:hAnsi="Times New Roman" w:eastAsia="方正仿宋简体"/>
          <w:color w:val="000000"/>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19.</w:t>
      </w:r>
      <w:r>
        <w:rPr>
          <w:rFonts w:hint="eastAsia" w:ascii="Times New Roman" w:hAnsi="Times New Roman" w:eastAsia="方正仿宋简体"/>
          <w:color w:val="000000"/>
          <w:sz w:val="32"/>
          <w:szCs w:val="24"/>
          <w:lang w:val="en-US" w:eastAsia="zh-CN"/>
        </w:rPr>
        <w:t>国有资本经营预算支出（223）：国有企业退休人员社会化管理补助（2230105）反映用国有资本经营预算收入安排的支持国有企业退休人员移交社会实现社会化管理的支出。</w:t>
      </w:r>
    </w:p>
    <w:p w14:paraId="28B1E62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20.灾害防治及应急管理支出（224）：自然灾害救灾补助（2240703）反映其他用于自然灾害防治的支出。</w:t>
      </w:r>
    </w:p>
    <w:p w14:paraId="2D91A1A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21.基本支出：指为保障机构正常运转、完成日常工作任务而发生的人员支出和公用支出。</w:t>
      </w:r>
    </w:p>
    <w:p w14:paraId="636BA8A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22.项目支出：指在基本支出之外为完成特定行政任务和事业发展目标所发生的支出。 </w:t>
      </w:r>
    </w:p>
    <w:p w14:paraId="4AE204E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23.经营支出：指事业单位在专业业务活动及其辅助活动之外开展非独立核算经营活动发生的支出。</w:t>
      </w:r>
    </w:p>
    <w:p w14:paraId="6AF8566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24.</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三公</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4860B0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26.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67CE0B4">
      <w:pPr>
        <w:spacing w:line="600" w:lineRule="exact"/>
        <w:jc w:val="center"/>
        <w:rPr>
          <w:rStyle w:val="51"/>
          <w:rFonts w:hint="eastAsia" w:ascii="Times New Roman" w:hAnsi="Times New Roman" w:eastAsia="黑体"/>
          <w:b w:val="0"/>
          <w:color w:val="auto"/>
          <w:highlight w:val="none"/>
          <w:lang w:eastAsia="zh-CN"/>
        </w:rPr>
      </w:pPr>
      <w:bookmarkStart w:id="51" w:name="_Toc15377226"/>
      <w:r>
        <w:rPr>
          <w:rFonts w:hint="eastAsia" w:ascii="Times New Roman" w:hAnsi="Times New Roman" w:eastAsia="仿宋_GB2312" w:cs="仿宋_GB2312"/>
          <w:color w:val="auto"/>
          <w:kern w:val="2"/>
          <w:sz w:val="32"/>
          <w:szCs w:val="32"/>
          <w:highlight w:val="none"/>
          <w:lang w:val="en-US" w:eastAsia="zh-CN" w:bidi="ar-SA"/>
        </w:rPr>
        <w:br w:type="page"/>
      </w:r>
      <w:bookmarkStart w:id="52"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2"/>
    </w:p>
    <w:p w14:paraId="3AF7CDC4">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6B6E7C5C">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5F484FA4">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6454DE48">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黑体" w:cs="Times New Roman"/>
          <w:color w:val="000000"/>
          <w:kern w:val="0"/>
          <w:sz w:val="24"/>
          <w:szCs w:val="32"/>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122299D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25BE486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楷体_GB2312"/>
          <w:b/>
          <w:color w:val="auto"/>
          <w:sz w:val="32"/>
          <w:szCs w:val="32"/>
          <w:highlight w:val="none"/>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p>
    <w:p w14:paraId="2A52CCB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 w:val="32"/>
          <w:szCs w:val="32"/>
        </w:rPr>
      </w:pPr>
      <w:r>
        <w:rPr>
          <w:rFonts w:hint="eastAsia" w:ascii="仿宋_GB2312" w:hAnsi="仿宋_GB2312" w:eastAsia="仿宋_GB2312" w:cs="仿宋_GB2312"/>
          <w:color w:val="000000"/>
          <w:kern w:val="0"/>
          <w:sz w:val="32"/>
          <w:szCs w:val="32"/>
          <w:shd w:val="clear" w:color="auto" w:fill="FFFFFF"/>
          <w:lang w:val="zh-CN"/>
        </w:rPr>
        <w:t>绵竹市清平镇人民政府，</w:t>
      </w:r>
      <w:r>
        <w:rPr>
          <w:rFonts w:hint="eastAsia" w:ascii="仿宋_GB2312" w:hAnsi="仿宋_GB2312" w:eastAsia="仿宋_GB2312" w:cs="仿宋_GB2312"/>
          <w:color w:val="000000"/>
          <w:sz w:val="32"/>
          <w:szCs w:val="32"/>
        </w:rPr>
        <w:t>下设独立编制机构4个，其中行政机构1个，其他事业机构3个</w:t>
      </w:r>
      <w:r>
        <w:rPr>
          <w:rFonts w:hint="eastAsia" w:ascii="仿宋_GB2312" w:hAnsi="仿宋_GB2312" w:eastAsia="仿宋_GB2312" w:cs="仿宋_GB2312"/>
          <w:color w:val="000000"/>
          <w:sz w:val="32"/>
          <w:szCs w:val="32"/>
          <w:lang w:eastAsia="zh-CN"/>
        </w:rPr>
        <w:t>便民服务中心、农业服务中心、乡村振兴服务中心</w:t>
      </w:r>
      <w:r>
        <w:rPr>
          <w:rFonts w:hint="eastAsia" w:ascii="仿宋_GB2312" w:hAnsi="仿宋_GB2312" w:eastAsia="仿宋_GB2312" w:cs="仿宋_GB2312"/>
          <w:color w:val="000000"/>
          <w:sz w:val="32"/>
          <w:szCs w:val="32"/>
        </w:rPr>
        <w:t>。</w:t>
      </w:r>
    </w:p>
    <w:p w14:paraId="36D4C5CB">
      <w:pPr>
        <w:keepNext w:val="0"/>
        <w:keepLines w:val="0"/>
        <w:pageBreakBefore w:val="0"/>
        <w:widowControl/>
        <w:numPr>
          <w:ilvl w:val="0"/>
          <w:numId w:val="4"/>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楷体_GB2312"/>
          <w:b/>
          <w:color w:val="auto"/>
          <w:sz w:val="32"/>
          <w:szCs w:val="32"/>
          <w:highlight w:val="none"/>
          <w:lang w:val="zh-CN"/>
        </w:rPr>
      </w:pPr>
      <w:r>
        <w:rPr>
          <w:rFonts w:hint="default" w:ascii="Times New Roman" w:hAnsi="Times New Roman" w:eastAsia="楷体_GB2312" w:cs="楷体_GB2312"/>
          <w:b/>
          <w:color w:val="auto"/>
          <w:sz w:val="32"/>
          <w:szCs w:val="32"/>
          <w:highlight w:val="none"/>
          <w:lang w:val="zh-CN"/>
        </w:rPr>
        <w:t>机构职能</w:t>
      </w:r>
      <w:r>
        <w:rPr>
          <w:rFonts w:hint="eastAsia" w:ascii="Times New Roman" w:hAnsi="Times New Roman" w:eastAsia="楷体_GB2312" w:cs="楷体_GB2312"/>
          <w:b/>
          <w:color w:val="auto"/>
          <w:sz w:val="32"/>
          <w:szCs w:val="32"/>
          <w:highlight w:val="none"/>
          <w:lang w:val="zh-CN"/>
        </w:rPr>
        <w:t>。</w:t>
      </w:r>
    </w:p>
    <w:p w14:paraId="43D655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Times New Roman" w:hAnsi="Times New Roman" w:eastAsia="楷体_GB2312" w:cs="楷体_GB2312"/>
          <w:b/>
          <w:color w:val="auto"/>
          <w:sz w:val="32"/>
          <w:szCs w:val="32"/>
          <w:highlight w:val="none"/>
          <w:lang w:val="en-US" w:eastAsia="zh-CN"/>
        </w:rPr>
        <w:t xml:space="preserve">  </w:t>
      </w:r>
      <w:r>
        <w:rPr>
          <w:rFonts w:hint="eastAsia" w:ascii="仿宋_GB2312" w:hAnsi="仿宋_GB2312" w:eastAsia="仿宋_GB2312" w:cs="仿宋_GB2312"/>
          <w:color w:val="000000"/>
          <w:sz w:val="32"/>
          <w:szCs w:val="32"/>
        </w:rPr>
        <w:t>绵竹市清平镇人民政府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shd w:val="clear" w:color="auto" w:fill="FFFFFF"/>
          <w:lang w:val="zh-CN"/>
        </w:rPr>
        <w:t>本着转变乡镇政府职能，不断提高社会管理和公共服务水平，提高行政效率，减轻财政和农民负担的原则，清平镇党委、政府的具体职能职责是：</w:t>
      </w:r>
      <w:r>
        <w:rPr>
          <w:rFonts w:hint="eastAsia" w:ascii="仿宋_GB2312" w:hAnsi="仿宋_GB2312" w:eastAsia="仿宋_GB2312" w:cs="仿宋_GB2312"/>
          <w:color w:val="000000"/>
          <w:kern w:val="2"/>
          <w:sz w:val="32"/>
          <w:szCs w:val="32"/>
          <w:lang w:val="en-US" w:eastAsia="zh-CN" w:bidi="ar-SA"/>
        </w:rPr>
        <w:t>一是贯彻执行党和国家的路线方针政策和上级党委、省政府各项决策部署。以及本级党员代表大会（党员大会）、人民代表大会的决议决定。讨论决定加强党的建设、保障经济建设、组织公共服务、实施公共管理、维护公共安全、动员社会参与、指导基层自治等方面的重大问题。二是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三是经济发展。落实关于辖区发展的重大决策，参与编制辖区经济和社会发展规划、公共服务设施布局，负责辖区建设管理、重点项目促建、投资立项申报工作，推动辖区经济社会健康、有序、可持续、高质量发展。四是民生服务。密切联系群众，建立健全群众工作机制，加强民生保障。组织实施并优化教育、民政、劳动社会保障、文化、卫生健康、退役军人事务等各项公共服务。五是平安法治。履行社会治安综合治理、安全生产监督、法治建设职责。负责有效排查化解社会矛盾纠纷。负责辖区内的社会稳定、安全生产和职业健康、生态环境保护、社会信用体系建设和审批服务便民化等工作。六是基层治理。健全党组织领导下的基层治理体系，负责辖区城乡管理，指导村（居）委员会建设，完善基层治理平台，组织群众和单位参与村（居）委员会建设和管理。承担法律法规、依法授权或委托授权的行政执法工作。七是完成市委、市政府交办的其他任务。</w:t>
      </w:r>
    </w:p>
    <w:p w14:paraId="324F9D0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ascii="Times New Roman" w:hAnsi="Times New Roman" w:eastAsia="仿宋_GB2312" w:cs="Times New Roman"/>
          <w:sz w:val="32"/>
          <w:szCs w:val="32"/>
          <w:lang w:val="en-US" w:eastAsia="zh-CN"/>
        </w:rPr>
        <w:t>绵竹市清平镇人民政府编制数为行政23人、事业25人；</w:t>
      </w:r>
      <w:r>
        <w:rPr>
          <w:rFonts w:hint="default" w:ascii="Times New Roman" w:hAnsi="Times New Roman" w:eastAsia="仿宋_GB2312" w:cs="Times New Roman"/>
          <w:sz w:val="32"/>
          <w:szCs w:val="32"/>
          <w:lang w:val="en-US" w:eastAsia="zh-CN"/>
        </w:rPr>
        <w:t>年末实有</w:t>
      </w:r>
      <w:r>
        <w:rPr>
          <w:rFonts w:hint="eastAsia" w:ascii="Times New Roman" w:hAnsi="Times New Roman" w:eastAsia="仿宋_GB2312" w:cs="Times New Roman"/>
          <w:sz w:val="32"/>
          <w:szCs w:val="32"/>
          <w:lang w:val="en-US" w:eastAsia="zh-CN"/>
        </w:rPr>
        <w:t>行政人员23人、事业人员14。</w:t>
      </w:r>
    </w:p>
    <w:p w14:paraId="4304E71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585EB51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绵竹市清平镇人民政府2024年年初预算收入为1058.11万元，追加预算收入297.87万元、决算报表收入为1355.98万元。</w:t>
      </w:r>
    </w:p>
    <w:p w14:paraId="29AA2642">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绵竹市清平镇人民政府2024年决算支出为1355.98万元。</w:t>
      </w:r>
    </w:p>
    <w:p w14:paraId="29B65765">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lang w:val="en-US" w:eastAsia="zh-CN"/>
        </w:rPr>
        <w:t>绵竹市清平镇人民政府2024年无</w:t>
      </w:r>
      <w:r>
        <w:rPr>
          <w:rFonts w:hint="default" w:ascii="Times New Roman" w:hAnsi="Times New Roman" w:eastAsia="仿宋_GB2312" w:cs="Times New Roman"/>
          <w:sz w:val="32"/>
          <w:szCs w:val="32"/>
          <w:lang w:val="en-US" w:eastAsia="zh-CN"/>
        </w:rPr>
        <w:t>结转结余</w:t>
      </w:r>
      <w:r>
        <w:rPr>
          <w:rFonts w:hint="eastAsia" w:ascii="Times New Roman" w:hAnsi="Times New Roman" w:eastAsia="仿宋_GB2312" w:cs="Times New Roman"/>
          <w:sz w:val="32"/>
          <w:szCs w:val="32"/>
          <w:lang w:val="en-US" w:eastAsia="zh-CN"/>
        </w:rPr>
        <w:t>。</w:t>
      </w:r>
    </w:p>
    <w:p w14:paraId="5EE6980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0715E3C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2FD7497D">
      <w:pPr>
        <w:pStyle w:val="26"/>
        <w:spacing w:line="600" w:lineRule="exact"/>
        <w:ind w:firstLine="640" w:firstLineChars="20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p>
    <w:p w14:paraId="233733A5">
      <w:pPr>
        <w:pStyle w:val="26"/>
        <w:spacing w:line="600" w:lineRule="exact"/>
        <w:ind w:firstLine="640" w:firstLineChars="200"/>
        <w:rPr>
          <w:rFonts w:hint="default" w:ascii="Times New Roman" w:hAnsi="Times New Roman" w:eastAsia="方正仿宋简体" w:cs="Times New Roman"/>
          <w:color w:val="auto"/>
          <w:kern w:val="2"/>
          <w:sz w:val="32"/>
          <w:szCs w:val="32"/>
          <w:lang w:val="en-US" w:eastAsia="zh-CN" w:bidi="ar-SA"/>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纵横联动，</w:t>
      </w:r>
      <w:r>
        <w:rPr>
          <w:rFonts w:hint="eastAsia" w:ascii="方正仿宋简体" w:hAnsi="方正仿宋简体" w:eastAsia="方正仿宋简体" w:cs="方正仿宋简体"/>
          <w:color w:val="auto"/>
          <w:sz w:val="32"/>
          <w:szCs w:val="32"/>
          <w:lang w:eastAsia="zh-CN"/>
        </w:rPr>
        <w:t>推动产业</w:t>
      </w:r>
      <w:r>
        <w:rPr>
          <w:rFonts w:hint="eastAsia" w:ascii="方正仿宋简体" w:hAnsi="方正仿宋简体" w:eastAsia="方正仿宋简体" w:cs="方正仿宋简体"/>
          <w:color w:val="auto"/>
          <w:sz w:val="32"/>
          <w:szCs w:val="32"/>
        </w:rPr>
        <w:t>发展稳中求进</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kern w:val="2"/>
          <w:sz w:val="32"/>
          <w:szCs w:val="32"/>
          <w:lang w:val="en-US" w:eastAsia="zh-CN" w:bidi="ar-SA"/>
        </w:rPr>
        <w:t>紧紧围绕沿山农文旅融合发展战略，按照“一个景区、</w:t>
      </w:r>
      <w:r>
        <w:rPr>
          <w:rFonts w:hint="default" w:ascii="Times New Roman" w:hAnsi="Times New Roman" w:eastAsia="方正仿宋简体" w:cs="Times New Roman"/>
          <w:color w:val="auto"/>
          <w:kern w:val="2"/>
          <w:sz w:val="32"/>
          <w:szCs w:val="32"/>
          <w:lang w:val="en-US" w:eastAsia="zh-CN" w:bidi="ar-SA"/>
        </w:rPr>
        <w:t>多个园区”的思路</w:t>
      </w:r>
      <w:r>
        <w:rPr>
          <w:rFonts w:ascii="Times New Roman" w:hAnsi="Times New Roman" w:eastAsia="方正仿宋简体" w:cs="Times New Roman"/>
          <w:color w:val="auto"/>
          <w:kern w:val="2"/>
          <w:sz w:val="32"/>
          <w:szCs w:val="32"/>
          <w:lang w:val="en-US" w:eastAsia="zh-CN" w:bidi="ar-SA"/>
        </w:rPr>
        <w:t>，</w:t>
      </w:r>
      <w:r>
        <w:rPr>
          <w:rFonts w:hint="eastAsia" w:ascii="Times New Roman" w:hAnsi="Times New Roman" w:eastAsia="方正仿宋简体" w:cs="Times New Roman"/>
          <w:color w:val="auto"/>
          <w:kern w:val="2"/>
          <w:sz w:val="32"/>
          <w:szCs w:val="32"/>
          <w:lang w:val="en-US" w:eastAsia="zh-CN" w:bidi="ar-SA"/>
        </w:rPr>
        <w:t>抢抓全域旅游发展契机，全方位展示“天府旅游名镇”独特魅力，全面推介“大美乡村·童话清平”旅游形象，让清平成为环龙门山国际旅游度假带上的重要节点。</w:t>
      </w:r>
      <w:r>
        <w:rPr>
          <w:rFonts w:hint="default" w:ascii="Times New Roman" w:hAnsi="Times New Roman" w:eastAsia="方正仿宋简体" w:cs="Times New Roman"/>
          <w:color w:val="auto"/>
          <w:kern w:val="2"/>
          <w:sz w:val="32"/>
          <w:szCs w:val="32"/>
          <w:lang w:val="en-US" w:eastAsia="zh-CN" w:bidi="ar-SA"/>
        </w:rPr>
        <w:t>精心打造</w:t>
      </w:r>
      <w:r>
        <w:rPr>
          <w:rFonts w:hint="eastAsia" w:ascii="Times New Roman" w:hAnsi="Times New Roman" w:eastAsia="方正仿宋简体" w:cs="Times New Roman"/>
          <w:color w:val="auto"/>
          <w:kern w:val="2"/>
          <w:sz w:val="32"/>
          <w:szCs w:val="32"/>
          <w:lang w:val="en-US" w:eastAsia="zh-CN" w:bidi="ar-SA"/>
        </w:rPr>
        <w:t>“</w:t>
      </w:r>
      <w:r>
        <w:rPr>
          <w:rFonts w:hint="default" w:ascii="Times New Roman" w:hAnsi="Times New Roman" w:eastAsia="方正仿宋简体" w:cs="Times New Roman"/>
          <w:color w:val="auto"/>
          <w:kern w:val="2"/>
          <w:sz w:val="32"/>
          <w:szCs w:val="32"/>
          <w:lang w:val="en-US" w:eastAsia="zh-CN" w:bidi="ar-SA"/>
        </w:rPr>
        <w:t>流萤之夏</w:t>
      </w:r>
      <w:r>
        <w:rPr>
          <w:rFonts w:hint="eastAsia" w:ascii="Times New Roman" w:hAnsi="Times New Roman" w:eastAsia="方正仿宋简体" w:cs="Times New Roman"/>
          <w:color w:val="auto"/>
          <w:kern w:val="2"/>
          <w:sz w:val="32"/>
          <w:szCs w:val="32"/>
          <w:lang w:val="en-US" w:eastAsia="zh-CN" w:bidi="ar-SA"/>
        </w:rPr>
        <w:t>”</w:t>
      </w:r>
      <w:r>
        <w:rPr>
          <w:rFonts w:hint="default" w:ascii="Times New Roman" w:hAnsi="Times New Roman" w:eastAsia="方正仿宋简体" w:cs="Times New Roman"/>
          <w:color w:val="auto"/>
          <w:kern w:val="2"/>
          <w:sz w:val="32"/>
          <w:szCs w:val="32"/>
          <w:lang w:val="en-US" w:eastAsia="zh-CN" w:bidi="ar-SA"/>
        </w:rPr>
        <w:t>盛夏嘉年华活动，</w:t>
      </w:r>
      <w:r>
        <w:rPr>
          <w:rFonts w:hint="eastAsia" w:ascii="方正仿宋简体" w:hAnsi="方正仿宋简体" w:eastAsia="方正仿宋简体" w:cs="方正仿宋简体"/>
          <w:color w:val="auto"/>
          <w:kern w:val="2"/>
          <w:sz w:val="32"/>
          <w:szCs w:val="32"/>
          <w:lang w:val="en-US" w:eastAsia="zh-CN" w:bidi="ar"/>
        </w:rPr>
        <w:t>以“流萤之夏”为平台，</w:t>
      </w:r>
      <w:r>
        <w:rPr>
          <w:rFonts w:hint="eastAsia" w:ascii="方正仿宋简体" w:hAnsi="方正仿宋简体" w:eastAsia="方正仿宋简体" w:cs="方正仿宋简体"/>
          <w:color w:val="auto"/>
          <w:spacing w:val="0"/>
          <w:kern w:val="0"/>
          <w:sz w:val="32"/>
          <w:szCs w:val="32"/>
          <w:lang w:val="en-US" w:eastAsia="zh-CN" w:bidi="ar"/>
        </w:rPr>
        <w:t>集大型歌舞表演、藏羌汉文化融合展示、特色美食、星空露营、科普宣教、游客现场有奖互动、商家惠民活动于一体，丰富了旅游新场景，打造了旅游新业态，通过此次活动，</w:t>
      </w:r>
      <w:r>
        <w:rPr>
          <w:rFonts w:hint="default" w:ascii="Times New Roman" w:hAnsi="Times New Roman" w:eastAsia="方正仿宋简体" w:cs="Times New Roman"/>
          <w:color w:val="auto"/>
          <w:kern w:val="2"/>
          <w:sz w:val="32"/>
          <w:szCs w:val="32"/>
          <w:lang w:val="en-US" w:eastAsia="zh-CN" w:bidi="ar-SA"/>
        </w:rPr>
        <w:t>开展大</w:t>
      </w:r>
      <w:r>
        <w:rPr>
          <w:rFonts w:hint="eastAsia" w:ascii="Times New Roman" w:hAnsi="Times New Roman" w:eastAsia="方正仿宋简体" w:cs="Times New Roman"/>
          <w:color w:val="auto"/>
          <w:kern w:val="2"/>
          <w:sz w:val="32"/>
          <w:szCs w:val="32"/>
          <w:lang w:val="en-US" w:eastAsia="zh-CN" w:bidi="ar-SA"/>
        </w:rPr>
        <w:t>小</w:t>
      </w:r>
      <w:r>
        <w:rPr>
          <w:rFonts w:hint="default" w:ascii="Times New Roman" w:hAnsi="Times New Roman" w:eastAsia="方正仿宋简体" w:cs="Times New Roman"/>
          <w:color w:val="auto"/>
          <w:kern w:val="2"/>
          <w:sz w:val="32"/>
          <w:szCs w:val="32"/>
          <w:lang w:val="en-US" w:eastAsia="zh-CN" w:bidi="ar-SA"/>
        </w:rPr>
        <w:t>型演出</w:t>
      </w:r>
      <w:r>
        <w:rPr>
          <w:rFonts w:hint="eastAsia" w:ascii="Times New Roman" w:hAnsi="Times New Roman" w:eastAsia="方正仿宋简体" w:cs="Times New Roman"/>
          <w:color w:val="auto"/>
          <w:kern w:val="2"/>
          <w:sz w:val="32"/>
          <w:szCs w:val="32"/>
          <w:lang w:val="en-US" w:eastAsia="zh-CN" w:bidi="ar-SA"/>
        </w:rPr>
        <w:t>51</w:t>
      </w:r>
      <w:r>
        <w:rPr>
          <w:rFonts w:hint="default" w:ascii="Times New Roman" w:hAnsi="Times New Roman" w:eastAsia="方正仿宋简体" w:cs="Times New Roman"/>
          <w:color w:val="auto"/>
          <w:kern w:val="2"/>
          <w:sz w:val="32"/>
          <w:szCs w:val="32"/>
          <w:lang w:val="en-US" w:eastAsia="zh-CN" w:bidi="ar-SA"/>
        </w:rPr>
        <w:t>场次，吸引游客5万余人次</w:t>
      </w:r>
      <w:r>
        <w:rPr>
          <w:rFonts w:hint="eastAsia" w:ascii="方正仿宋简体" w:hAnsi="方正仿宋简体" w:eastAsia="方正仿宋简体" w:cs="方正仿宋简体"/>
          <w:color w:val="auto"/>
          <w:spacing w:val="0"/>
          <w:kern w:val="0"/>
          <w:sz w:val="32"/>
          <w:szCs w:val="32"/>
          <w:lang w:val="en-US" w:eastAsia="zh-CN" w:bidi="ar"/>
        </w:rPr>
        <w:t>，助推了全域旅游发展新篇</w:t>
      </w:r>
      <w:r>
        <w:rPr>
          <w:rFonts w:hint="default" w:ascii="Times New Roman" w:hAnsi="Times New Roman" w:eastAsia="方正仿宋简体" w:cs="Times New Roman"/>
          <w:color w:val="auto"/>
          <w:kern w:val="2"/>
          <w:sz w:val="32"/>
          <w:szCs w:val="32"/>
          <w:lang w:val="en-US" w:eastAsia="zh-CN" w:bidi="ar-SA"/>
        </w:rPr>
        <w:t>。截至目前，全镇群众投身餐饮、住宿等产业达</w:t>
      </w:r>
      <w:r>
        <w:rPr>
          <w:rFonts w:hint="eastAsia" w:ascii="Times New Roman" w:hAnsi="Times New Roman" w:eastAsia="方正仿宋简体" w:cs="Times New Roman"/>
          <w:color w:val="auto"/>
          <w:kern w:val="2"/>
          <w:sz w:val="32"/>
          <w:szCs w:val="32"/>
          <w:highlight w:val="none"/>
          <w:lang w:val="en-US" w:eastAsia="zh-CN" w:bidi="ar-SA"/>
        </w:rPr>
        <w:t>2000</w:t>
      </w:r>
      <w:r>
        <w:rPr>
          <w:rFonts w:hint="default" w:ascii="Times New Roman" w:hAnsi="Times New Roman" w:eastAsia="方正仿宋简体" w:cs="Times New Roman"/>
          <w:color w:val="auto"/>
          <w:kern w:val="2"/>
          <w:sz w:val="32"/>
          <w:szCs w:val="32"/>
          <w:highlight w:val="none"/>
          <w:lang w:val="en-US" w:eastAsia="zh-CN" w:bidi="ar-SA"/>
        </w:rPr>
        <w:t>余人，兴办农家乐、民宿达</w:t>
      </w:r>
      <w:r>
        <w:rPr>
          <w:rFonts w:hint="eastAsia" w:ascii="Times New Roman" w:hAnsi="Times New Roman" w:eastAsia="方正仿宋简体" w:cs="Times New Roman"/>
          <w:color w:val="auto"/>
          <w:kern w:val="2"/>
          <w:sz w:val="32"/>
          <w:szCs w:val="32"/>
          <w:highlight w:val="none"/>
          <w:lang w:val="en-US" w:eastAsia="zh-CN" w:bidi="ar-SA"/>
        </w:rPr>
        <w:t>200</w:t>
      </w:r>
      <w:r>
        <w:rPr>
          <w:rFonts w:hint="default" w:ascii="Times New Roman" w:hAnsi="Times New Roman" w:eastAsia="方正仿宋简体" w:cs="Times New Roman"/>
          <w:color w:val="auto"/>
          <w:kern w:val="2"/>
          <w:sz w:val="32"/>
          <w:szCs w:val="32"/>
          <w:lang w:val="en-US" w:eastAsia="zh-CN" w:bidi="ar-SA"/>
        </w:rPr>
        <w:t>余家，已接待游客达45余万人次，高峰期日接待游客量达10000余人次，旅游营收超4500万元。</w:t>
      </w:r>
    </w:p>
    <w:p w14:paraId="52FD1B80">
      <w:pPr>
        <w:keepNext w:val="0"/>
        <w:keepLines w:val="0"/>
        <w:widowControl w:val="0"/>
        <w:suppressLineNumbers w:val="0"/>
        <w:suppressAutoHyphens/>
        <w:spacing w:before="0" w:beforeAutospacing="0" w:after="0" w:afterAutospacing="0"/>
        <w:ind w:left="0" w:right="0" w:firstLine="640" w:firstLineChars="200"/>
        <w:jc w:val="both"/>
        <w:rPr>
          <w:rFonts w:hint="eastAsia" w:ascii="Times New Roman" w:hAnsi="Times New Roman" w:eastAsia="方正仿宋简体" w:cs="Times New Roman"/>
          <w:color w:val="auto"/>
          <w:sz w:val="32"/>
          <w:szCs w:val="32"/>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量质齐升</w:t>
      </w:r>
      <w:r>
        <w:rPr>
          <w:rFonts w:hint="eastAsia" w:ascii="方正仿宋简体" w:hAnsi="方正仿宋简体" w:eastAsia="方正仿宋简体" w:cs="方正仿宋简体"/>
          <w:color w:val="auto"/>
          <w:sz w:val="32"/>
          <w:szCs w:val="32"/>
          <w:lang w:eastAsia="zh-CN"/>
        </w:rPr>
        <w:t>，优化基础建设进中提质。</w:t>
      </w:r>
      <w:r>
        <w:rPr>
          <w:rFonts w:hint="eastAsia" w:ascii="Times New Roman" w:hAnsi="Times New Roman" w:eastAsia="方正仿宋简体" w:cs="Times New Roman"/>
          <w:color w:val="auto"/>
          <w:sz w:val="32"/>
          <w:szCs w:val="32"/>
          <w:lang w:eastAsia="zh-CN"/>
        </w:rPr>
        <w:t>通过全域景区化管理高标准推进“全域无垃圾”常态化工作，</w:t>
      </w:r>
      <w:r>
        <w:rPr>
          <w:rFonts w:hint="eastAsia" w:ascii="Times New Roman" w:hAnsi="Times New Roman" w:eastAsia="方正仿宋简体" w:cs="Times New Roman"/>
          <w:color w:val="auto"/>
          <w:sz w:val="32"/>
          <w:szCs w:val="32"/>
        </w:rPr>
        <w:t>全面实施净化、亮化、绿化、美化、环境整治等手段，</w:t>
      </w:r>
      <w:r>
        <w:rPr>
          <w:rFonts w:hint="eastAsia" w:ascii="方正仿宋简体" w:hAnsi="方正仿宋简体" w:eastAsia="方正仿宋简体" w:cs="方正仿宋简体"/>
          <w:color w:val="auto"/>
          <w:kern w:val="2"/>
          <w:sz w:val="32"/>
          <w:szCs w:val="32"/>
          <w:lang w:val="en-US" w:eastAsia="zh-CN" w:bidi="ar"/>
        </w:rPr>
        <w:t>改善“房、田、水、路、沟、渠”面貌，</w:t>
      </w:r>
      <w:r>
        <w:rPr>
          <w:rFonts w:hint="eastAsia" w:ascii="Times New Roman" w:hAnsi="Times New Roman" w:eastAsia="方正仿宋简体" w:cs="Times New Roman"/>
          <w:color w:val="auto"/>
          <w:sz w:val="32"/>
          <w:szCs w:val="32"/>
          <w:lang w:eastAsia="zh-CN"/>
        </w:rPr>
        <w:t>“全域无垃圾”工作考核位居绵竹市第一、德阳市前列，</w:t>
      </w:r>
      <w:r>
        <w:rPr>
          <w:rFonts w:hint="eastAsia" w:ascii="Times New Roman" w:hAnsi="Times New Roman" w:eastAsia="方正仿宋简体" w:cs="Times New Roman"/>
          <w:color w:val="auto"/>
          <w:sz w:val="32"/>
          <w:szCs w:val="32"/>
        </w:rPr>
        <w:t>深</w:t>
      </w:r>
      <w:r>
        <w:rPr>
          <w:rFonts w:hint="default" w:ascii="Times New Roman" w:hAnsi="Times New Roman" w:eastAsia="方正仿宋简体" w:cs="Times New Roman"/>
          <w:color w:val="auto"/>
          <w:sz w:val="32"/>
          <w:szCs w:val="32"/>
        </w:rPr>
        <w:t>化“门前三包”“田长制”“河长制”</w:t>
      </w:r>
      <w:r>
        <w:rPr>
          <w:rFonts w:hint="eastAsia" w:ascii="Times New Roman" w:hAnsi="Times New Roman" w:eastAsia="方正仿宋简体" w:cs="Times New Roman"/>
          <w:color w:val="auto"/>
          <w:sz w:val="32"/>
          <w:szCs w:val="32"/>
        </w:rPr>
        <w:t>等工作，镇域基础设施建设得到进一步改善，镇村</w:t>
      </w:r>
      <w:r>
        <w:rPr>
          <w:rFonts w:hint="eastAsia" w:ascii="Times New Roman" w:hAnsi="Times New Roman" w:eastAsia="方正仿宋简体" w:cs="Times New Roman"/>
          <w:color w:val="auto"/>
          <w:sz w:val="32"/>
          <w:szCs w:val="32"/>
          <w:lang w:eastAsia="zh-CN"/>
        </w:rPr>
        <w:t>人居</w:t>
      </w:r>
      <w:r>
        <w:rPr>
          <w:rFonts w:hint="eastAsia" w:ascii="Times New Roman" w:hAnsi="Times New Roman" w:eastAsia="方正仿宋简体" w:cs="Times New Roman"/>
          <w:color w:val="auto"/>
          <w:sz w:val="32"/>
          <w:szCs w:val="32"/>
        </w:rPr>
        <w:t>环境得到进一步优化。截至目前，全镇道路硬化</w:t>
      </w:r>
      <w:r>
        <w:rPr>
          <w:rFonts w:hint="eastAsia" w:ascii="Times New Roman" w:hAnsi="Times New Roman" w:eastAsia="方正仿宋简体" w:cs="Times New Roman"/>
          <w:color w:val="auto"/>
          <w:sz w:val="32"/>
          <w:szCs w:val="32"/>
          <w:lang w:val="en-US" w:eastAsia="zh-CN"/>
        </w:rPr>
        <w:t>500余</w:t>
      </w:r>
      <w:r>
        <w:rPr>
          <w:rFonts w:hint="eastAsia" w:ascii="Times New Roman" w:hAnsi="Times New Roman" w:eastAsia="方正仿宋简体" w:cs="Times New Roman"/>
          <w:color w:val="auto"/>
          <w:sz w:val="32"/>
          <w:szCs w:val="32"/>
        </w:rPr>
        <w:t>米，</w:t>
      </w:r>
      <w:r>
        <w:rPr>
          <w:rFonts w:ascii="Times New Roman" w:hAnsi="Times New Roman" w:eastAsia="方正仿宋简体" w:cs="Times New Roman"/>
          <w:color w:val="auto"/>
          <w:sz w:val="32"/>
          <w:szCs w:val="32"/>
        </w:rPr>
        <w:t>新</w:t>
      </w:r>
      <w:r>
        <w:rPr>
          <w:rFonts w:hint="eastAsia" w:ascii="Times New Roman" w:hAnsi="Times New Roman" w:eastAsia="方正仿宋简体" w:cs="Times New Roman"/>
          <w:color w:val="auto"/>
          <w:sz w:val="32"/>
          <w:szCs w:val="32"/>
          <w:lang w:eastAsia="zh-CN"/>
        </w:rPr>
        <w:t>（</w:t>
      </w:r>
      <w:r>
        <w:rPr>
          <w:rFonts w:ascii="Times New Roman" w:hAnsi="Times New Roman" w:eastAsia="方正仿宋简体" w:cs="Times New Roman"/>
          <w:color w:val="auto"/>
          <w:sz w:val="32"/>
          <w:szCs w:val="32"/>
        </w:rPr>
        <w:t>翻</w:t>
      </w:r>
      <w:r>
        <w:rPr>
          <w:rFonts w:hint="eastAsia" w:ascii="Times New Roman" w:hAnsi="Times New Roman" w:eastAsia="方正仿宋简体" w:cs="Times New Roman"/>
          <w:color w:val="auto"/>
          <w:sz w:val="32"/>
          <w:szCs w:val="32"/>
          <w:lang w:eastAsia="zh-CN"/>
        </w:rPr>
        <w:t>）</w:t>
      </w:r>
      <w:r>
        <w:rPr>
          <w:rFonts w:ascii="Times New Roman" w:hAnsi="Times New Roman" w:eastAsia="方正仿宋简体" w:cs="Times New Roman"/>
          <w:color w:val="auto"/>
          <w:sz w:val="32"/>
          <w:szCs w:val="32"/>
        </w:rPr>
        <w:t>建</w:t>
      </w:r>
      <w:r>
        <w:rPr>
          <w:rFonts w:hint="eastAsia" w:ascii="Times New Roman" w:hAnsi="Times New Roman" w:eastAsia="方正仿宋简体" w:cs="Times New Roman"/>
          <w:color w:val="auto"/>
          <w:sz w:val="32"/>
          <w:szCs w:val="32"/>
        </w:rPr>
        <w:t>排污管道</w:t>
      </w:r>
      <w:r>
        <w:rPr>
          <w:rFonts w:hint="eastAsia" w:ascii="Times New Roman" w:hAnsi="Times New Roman" w:eastAsia="方正仿宋简体" w:cs="Times New Roman"/>
          <w:color w:val="auto"/>
          <w:sz w:val="32"/>
          <w:szCs w:val="32"/>
          <w:lang w:val="en-US" w:eastAsia="zh-CN"/>
        </w:rPr>
        <w:t>600</w:t>
      </w:r>
      <w:r>
        <w:rPr>
          <w:rFonts w:hint="eastAsia" w:ascii="Times New Roman" w:hAnsi="Times New Roman" w:eastAsia="方正仿宋简体" w:cs="Times New Roman"/>
          <w:color w:val="auto"/>
          <w:sz w:val="32"/>
          <w:szCs w:val="32"/>
        </w:rPr>
        <w:t>米，更换污水井盖</w:t>
      </w:r>
      <w:r>
        <w:rPr>
          <w:rFonts w:hint="eastAsia" w:ascii="Times New Roman" w:hAnsi="Times New Roman" w:eastAsia="方正仿宋简体" w:cs="Times New Roman"/>
          <w:color w:val="auto"/>
          <w:sz w:val="32"/>
          <w:szCs w:val="32"/>
          <w:lang w:val="en-US" w:eastAsia="zh-CN"/>
        </w:rPr>
        <w:t>32</w:t>
      </w:r>
      <w:r>
        <w:rPr>
          <w:rFonts w:hint="eastAsia" w:ascii="Times New Roman" w:hAnsi="Times New Roman" w:eastAsia="方正仿宋简体" w:cs="Times New Roman"/>
          <w:color w:val="auto"/>
          <w:sz w:val="32"/>
          <w:szCs w:val="32"/>
        </w:rPr>
        <w:t>个，</w:t>
      </w:r>
      <w:r>
        <w:rPr>
          <w:rFonts w:ascii="Times New Roman" w:hAnsi="Times New Roman" w:eastAsia="方正仿宋简体" w:cs="Times New Roman"/>
          <w:color w:val="auto"/>
          <w:sz w:val="32"/>
          <w:szCs w:val="32"/>
        </w:rPr>
        <w:t>生活污水管网覆盖率提升至</w:t>
      </w:r>
      <w:r>
        <w:rPr>
          <w:rFonts w:hint="eastAsia" w:ascii="Times New Roman" w:hAnsi="Times New Roman" w:eastAsia="方正仿宋简体" w:cs="Times New Roman"/>
          <w:color w:val="auto"/>
          <w:sz w:val="32"/>
          <w:szCs w:val="32"/>
          <w:lang w:val="en-US" w:eastAsia="zh-CN"/>
        </w:rPr>
        <w:t>85</w:t>
      </w:r>
      <w:r>
        <w:rPr>
          <w:rFonts w:ascii="Times New Roman" w:hAnsi="Times New Roman" w:eastAsia="方正仿宋简体" w:cs="Times New Roman"/>
          <w:color w:val="auto"/>
          <w:sz w:val="32"/>
          <w:szCs w:val="32"/>
        </w:rPr>
        <w:t>%</w:t>
      </w:r>
      <w:r>
        <w:rPr>
          <w:rFonts w:hint="eastAsia" w:ascii="Times New Roman" w:hAnsi="Times New Roman" w:eastAsia="方正仿宋简体" w:cs="Times New Roman"/>
          <w:color w:val="auto"/>
          <w:sz w:val="32"/>
          <w:szCs w:val="32"/>
          <w:lang w:eastAsia="zh-CN"/>
        </w:rPr>
        <w:t>，</w:t>
      </w:r>
      <w:r>
        <w:rPr>
          <w:rFonts w:hint="eastAsia" w:ascii="Times New Roman" w:hAnsi="Times New Roman" w:eastAsia="方正仿宋简体" w:cs="Times New Roman"/>
          <w:color w:val="auto"/>
          <w:sz w:val="32"/>
          <w:szCs w:val="32"/>
        </w:rPr>
        <w:t>维修饮用水管</w:t>
      </w:r>
      <w:r>
        <w:rPr>
          <w:rFonts w:hint="eastAsia" w:ascii="Times New Roman" w:hAnsi="Times New Roman" w:eastAsia="方正仿宋简体" w:cs="Times New Roman"/>
          <w:color w:val="auto"/>
          <w:sz w:val="32"/>
          <w:szCs w:val="32"/>
          <w:lang w:val="en-US" w:eastAsia="zh-CN"/>
        </w:rPr>
        <w:t>90</w:t>
      </w:r>
      <w:r>
        <w:rPr>
          <w:rFonts w:ascii="Times New Roman" w:hAnsi="Times New Roman" w:eastAsia="方正仿宋简体" w:cs="Times New Roman"/>
          <w:color w:val="auto"/>
          <w:sz w:val="32"/>
          <w:szCs w:val="32"/>
        </w:rPr>
        <w:t>00</w:t>
      </w:r>
      <w:r>
        <w:rPr>
          <w:rFonts w:hint="eastAsia" w:ascii="Times New Roman" w:hAnsi="Times New Roman" w:eastAsia="方正仿宋简体" w:cs="Times New Roman"/>
          <w:color w:val="auto"/>
          <w:sz w:val="32"/>
          <w:szCs w:val="32"/>
          <w:lang w:eastAsia="zh-CN"/>
        </w:rPr>
        <w:t>余</w:t>
      </w:r>
      <w:r>
        <w:rPr>
          <w:rFonts w:ascii="Times New Roman" w:hAnsi="Times New Roman" w:eastAsia="方正仿宋简体" w:cs="Times New Roman"/>
          <w:color w:val="auto"/>
          <w:sz w:val="32"/>
          <w:szCs w:val="32"/>
        </w:rPr>
        <w:t>米</w:t>
      </w:r>
      <w:r>
        <w:rPr>
          <w:rFonts w:hint="eastAsia" w:ascii="Times New Roman" w:hAnsi="Times New Roman" w:eastAsia="方正仿宋简体" w:cs="Times New Roman"/>
          <w:color w:val="auto"/>
          <w:sz w:val="32"/>
          <w:szCs w:val="32"/>
        </w:rPr>
        <w:t>，新增或更换路灯</w:t>
      </w:r>
      <w:r>
        <w:rPr>
          <w:rFonts w:hint="eastAsia" w:ascii="Times New Roman" w:hAnsi="Times New Roman" w:eastAsia="方正仿宋简体" w:cs="Times New Roman"/>
          <w:color w:val="auto"/>
          <w:sz w:val="32"/>
          <w:szCs w:val="32"/>
          <w:lang w:val="en-US" w:eastAsia="zh-CN"/>
        </w:rPr>
        <w:t>172</w:t>
      </w:r>
      <w:r>
        <w:rPr>
          <w:rFonts w:hint="eastAsia" w:ascii="Times New Roman" w:hAnsi="Times New Roman" w:eastAsia="方正仿宋简体" w:cs="Times New Roman"/>
          <w:color w:val="auto"/>
          <w:sz w:val="32"/>
          <w:szCs w:val="32"/>
        </w:rPr>
        <w:t>盏，新增垃圾桶58个，</w:t>
      </w:r>
      <w:r>
        <w:rPr>
          <w:rFonts w:hint="eastAsia" w:ascii="Times New Roman" w:hAnsi="Times New Roman" w:eastAsia="方正仿宋简体" w:cs="Times New Roman"/>
          <w:color w:val="auto"/>
          <w:sz w:val="32"/>
          <w:szCs w:val="32"/>
          <w:lang w:eastAsia="zh-CN"/>
        </w:rPr>
        <w:t>成功推进清平镇自来水厂开工建设，进一步提升辖区人居环境</w:t>
      </w:r>
      <w:r>
        <w:rPr>
          <w:rFonts w:hint="eastAsia" w:ascii="Times New Roman" w:hAnsi="Times New Roman" w:eastAsia="方正仿宋简体" w:cs="Times New Roman"/>
          <w:color w:val="auto"/>
          <w:sz w:val="32"/>
          <w:szCs w:val="32"/>
        </w:rPr>
        <w:t>。</w:t>
      </w:r>
    </w:p>
    <w:p w14:paraId="62754258">
      <w:pPr>
        <w:keepNext w:val="0"/>
        <w:keepLines w:val="0"/>
        <w:widowControl w:val="0"/>
        <w:suppressLineNumbers w:val="0"/>
        <w:suppressAutoHyphens/>
        <w:spacing w:before="0" w:beforeAutospacing="0" w:after="0" w:afterAutospacing="0"/>
        <w:ind w:left="0" w:right="0" w:firstLine="640" w:firstLineChars="200"/>
        <w:jc w:val="both"/>
        <w:rPr>
          <w:rFonts w:hint="eastAsia"/>
          <w:lang w:val="en-US" w:eastAsia="zh-CN"/>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优服提效，保障民生基础谨守初心</w:t>
      </w:r>
      <w:r>
        <w:rPr>
          <w:rFonts w:hint="eastAsia" w:ascii="方正仿宋简体" w:hAnsi="方正仿宋简体" w:eastAsia="方正仿宋简体" w:cs="方正仿宋简体"/>
          <w:color w:val="auto"/>
          <w:sz w:val="32"/>
          <w:szCs w:val="32"/>
          <w:lang w:eastAsia="zh-CN"/>
        </w:rPr>
        <w:t>。</w:t>
      </w:r>
      <w:r>
        <w:rPr>
          <w:rFonts w:hint="eastAsia" w:ascii="Times New Roman" w:hAnsi="Times New Roman" w:eastAsia="方正仿宋简体" w:cs="Times New Roman"/>
          <w:color w:val="auto"/>
          <w:spacing w:val="0"/>
          <w:kern w:val="0"/>
          <w:sz w:val="32"/>
          <w:szCs w:val="32"/>
          <w:shd w:val="clear" w:color="auto" w:fill="FFFFFF"/>
          <w:lang w:val="en-US" w:eastAsia="zh-CN" w:bidi="ar"/>
        </w:rPr>
        <w:t>确保兜底保障、社会救助落地落实，做到</w:t>
      </w:r>
      <w:r>
        <w:rPr>
          <w:rFonts w:hint="default" w:ascii="Times New Roman" w:hAnsi="Times New Roman" w:eastAsia="方正仿宋简体" w:cs="Times New Roman"/>
          <w:color w:val="auto"/>
          <w:spacing w:val="0"/>
          <w:kern w:val="0"/>
          <w:sz w:val="32"/>
          <w:szCs w:val="32"/>
          <w:shd w:val="clear" w:color="auto" w:fill="FFFFFF"/>
          <w:lang w:val="en-US" w:eastAsia="zh-CN" w:bidi="ar"/>
        </w:rPr>
        <w:t>“应保尽保、不漏一户、不落一人”，</w:t>
      </w:r>
      <w:r>
        <w:rPr>
          <w:rFonts w:hint="eastAsia" w:ascii="Times New Roman" w:hAnsi="Times New Roman" w:eastAsia="方正仿宋简体" w:cs="Times New Roman"/>
          <w:color w:val="auto"/>
          <w:spacing w:val="0"/>
          <w:kern w:val="0"/>
          <w:sz w:val="32"/>
          <w:szCs w:val="32"/>
          <w:shd w:val="clear" w:color="auto" w:fill="FFFFFF"/>
          <w:lang w:val="en-US" w:eastAsia="zh-CN" w:bidi="ar"/>
        </w:rPr>
        <w:t>2024年清平镇城乡居民医疗保险参保2689人，参保率达97.11%；严格按照规定程序落实各项惠民政策，加大社会救助力度，截至目前低保申请共88户，发放80岁以上老年人老龄补贴183人，新增集中供养特困户1人，为特困户发放护理补贴1.18万元；就业创业工作成效显著，全年参加就业招聘会2场，提供就业岗位1000个，帮助城乡劳动力实现就业200余名，超额完成年度目标任务；深入推进创业扶持政策，发放创业贷款30万元，扶持创业项目1个，带动就业3人，对失业人员、就业困难人员进行一对一服务，完成失业人员再就业10人，就业困难人员就业7人，提供乡村公益性岗位30个，城镇公益性岗位30个，对5个残疾人进行了乡村公益性岗位就业安置；关注教育事业发展，开展金秋助学系列活动，今年以来累计投入6万余元，资助学生48名，开展关工委夏（冬）令营4场，覆盖青少年儿童120余人次。</w:t>
      </w:r>
    </w:p>
    <w:p w14:paraId="00566BCE">
      <w:pPr>
        <w:keepNext w:val="0"/>
        <w:keepLines w:val="0"/>
        <w:widowControl w:val="0"/>
        <w:suppressLineNumbers w:val="0"/>
        <w:suppressAutoHyphens/>
        <w:spacing w:before="0" w:beforeAutospacing="0" w:after="0" w:afterAutospacing="0"/>
        <w:ind w:left="0" w:right="0" w:firstLine="640" w:firstLineChars="200"/>
        <w:jc w:val="both"/>
        <w:rPr>
          <w:rFonts w:hint="eastAsia" w:ascii="Times New Roman" w:hAnsi="Times New Roman" w:eastAsia="方正仿宋简体" w:cs="Times New Roman"/>
          <w:sz w:val="32"/>
          <w:szCs w:val="32"/>
          <w:highlight w:val="none"/>
          <w:lang w:val="zh-CN" w:eastAsia="zh-CN"/>
        </w:rPr>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方正仿宋简体" w:cs="Times New Roman"/>
          <w:sz w:val="32"/>
          <w:szCs w:val="32"/>
          <w:lang w:val="zh-CN" w:eastAsia="zh-CN"/>
        </w:rPr>
        <w:t>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年依据我镇履职要求和年度工作计划，认真征求相关部门统计相应的经费需求</w:t>
      </w:r>
      <w:r>
        <w:rPr>
          <w:rFonts w:hint="eastAsia" w:ascii="Times New Roman" w:hAnsi="Times New Roman" w:eastAsia="方正仿宋简体" w:cs="Times New Roman"/>
          <w:sz w:val="32"/>
          <w:szCs w:val="32"/>
          <w:highlight w:val="none"/>
          <w:lang w:val="zh-CN" w:eastAsia="zh-CN"/>
        </w:rPr>
        <w:t>，参考以前年度年初预算编审、预算执行中期评估、以前年度结转结余情况、支出绩效评价成果、资产占有和使用情况等因素，按照市财政局《关于编制20</w:t>
      </w:r>
      <w:r>
        <w:rPr>
          <w:rFonts w:hint="eastAsia" w:ascii="Times New Roman" w:hAnsi="Times New Roman" w:eastAsia="方正仿宋简体" w:cs="Times New Roman"/>
          <w:sz w:val="32"/>
          <w:szCs w:val="32"/>
          <w:highlight w:val="none"/>
          <w:lang w:val="en-US" w:eastAsia="zh-CN"/>
        </w:rPr>
        <w:t>24</w:t>
      </w:r>
      <w:r>
        <w:rPr>
          <w:rFonts w:hint="eastAsia" w:ascii="Times New Roman" w:hAnsi="Times New Roman" w:eastAsia="方正仿宋简体" w:cs="Times New Roman"/>
          <w:sz w:val="32"/>
          <w:szCs w:val="32"/>
          <w:highlight w:val="none"/>
          <w:lang w:val="zh-CN" w:eastAsia="zh-CN"/>
        </w:rPr>
        <w:t>年部门预算的通知》要求，在下达控制数内按时完成部门预算的编制工作，努力做到各项收入、支出预算的编制完整、准确、规范，确保不重不漏，无部门预算以外保留的其他收支项目。</w:t>
      </w:r>
    </w:p>
    <w:p w14:paraId="3E24496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在预算编制中，支出预算严格按照“零基预算”方法，人员经费按标准、日常公用经费按定额、专项支出按项目分别编制。基本支出预算以20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年12月31日为基准期编制。</w:t>
      </w:r>
    </w:p>
    <w:p w14:paraId="098E664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lang w:val="zh-CN"/>
        </w:rPr>
      </w:pPr>
      <w:r>
        <w:rPr>
          <w:rFonts w:hint="eastAsia" w:ascii="Times New Roman" w:hAnsi="Times New Roman" w:eastAsia="方正仿宋简体" w:cs="Times New Roman"/>
          <w:sz w:val="32"/>
          <w:szCs w:val="32"/>
          <w:lang w:val="zh-CN" w:eastAsia="zh-CN"/>
        </w:rPr>
        <w:t>对于项目支出预算，一是参考20</w:t>
      </w:r>
      <w:r>
        <w:rPr>
          <w:rFonts w:hint="eastAsia" w:ascii="Times New Roman" w:hAnsi="Times New Roman" w:eastAsia="方正仿宋简体" w:cs="Times New Roman"/>
          <w:sz w:val="32"/>
          <w:szCs w:val="32"/>
          <w:lang w:val="en-US" w:eastAsia="zh-CN"/>
        </w:rPr>
        <w:t>23</w:t>
      </w:r>
      <w:r>
        <w:rPr>
          <w:rFonts w:hint="eastAsia" w:ascii="Times New Roman" w:hAnsi="Times New Roman" w:eastAsia="方正仿宋简体" w:cs="Times New Roman"/>
          <w:sz w:val="32"/>
          <w:szCs w:val="32"/>
          <w:lang w:val="zh-CN" w:eastAsia="zh-CN"/>
        </w:rPr>
        <w:t>年实际支出情况并结合20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工作安排，对符合政策规定和财政事业发展规划的项目，合理界定通用项目和专用项目，纳入项目库，完整准确填报项目信息。二是项目绩效目标编制详细反映了工作任务保障完成目标、经费预算的测算过程及预期达成效果。三是按照省级政府集中采购目录及采购限额标准和《四川省省级行政单位通用办公设备购置费预算标准》规定，认真编制政府采购预算，做到应编尽编，确保了政府采购预算的完整。四是按要求单独编制“三公”经费预算及编报说明。</w:t>
      </w:r>
    </w:p>
    <w:p w14:paraId="452FC8A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年，清平镇人民政府继续加强预算执行管理，强化预算约束，按照收支平衡的原则，合理安排预算进度。</w:t>
      </w:r>
    </w:p>
    <w:p w14:paraId="517A5BB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基本支出按照月度均衡原则，确保每月及时、足额支付人员经费和日常办公经费，保证了政府各部门的正常运行和日常工作的顺利开展。</w:t>
      </w:r>
    </w:p>
    <w:p w14:paraId="0D9E1799">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方正仿宋简体" w:cs="Times New Roman"/>
          <w:sz w:val="32"/>
          <w:szCs w:val="32"/>
          <w:highlight w:val="none"/>
        </w:rPr>
        <w:t>为进一步严肃财经纪律，规范财务管理行为，充分发挥</w:t>
      </w:r>
      <w:r>
        <w:rPr>
          <w:rFonts w:hint="eastAsia" w:ascii="Times New Roman" w:hAnsi="Times New Roman" w:eastAsia="方正仿宋简体" w:cs="Times New Roman"/>
          <w:sz w:val="32"/>
          <w:szCs w:val="32"/>
          <w:highlight w:val="none"/>
          <w:lang w:eastAsia="zh-CN"/>
        </w:rPr>
        <w:t>财政资金使用</w:t>
      </w:r>
      <w:r>
        <w:rPr>
          <w:rFonts w:hint="default" w:ascii="Times New Roman" w:hAnsi="Times New Roman" w:eastAsia="方正仿宋简体" w:cs="Times New Roman"/>
          <w:sz w:val="32"/>
          <w:szCs w:val="32"/>
          <w:highlight w:val="none"/>
        </w:rPr>
        <w:t>效率</w:t>
      </w:r>
      <w:r>
        <w:rPr>
          <w:rFonts w:hint="eastAsia" w:ascii="Times New Roman" w:hAnsi="Times New Roman" w:eastAsia="方正仿宋简体" w:cs="Times New Roman"/>
          <w:sz w:val="32"/>
          <w:szCs w:val="32"/>
          <w:highlight w:val="none"/>
          <w:lang w:eastAsia="zh-CN"/>
        </w:rPr>
        <w:t>的作用。我镇修订了清平镇财务管理制度。该制度包含现金管理，</w:t>
      </w:r>
      <w:r>
        <w:rPr>
          <w:rFonts w:hint="eastAsia" w:ascii="仿宋_GB2312" w:hAnsi="仿宋_GB2312" w:eastAsia="仿宋_GB2312" w:cs="仿宋_GB2312"/>
          <w:sz w:val="32"/>
          <w:szCs w:val="32"/>
          <w:highlight w:val="none"/>
        </w:rPr>
        <w:t>银行存款、银行票据</w:t>
      </w:r>
      <w:r>
        <w:rPr>
          <w:rFonts w:hint="eastAsia" w:ascii="仿宋_GB2312" w:hAnsi="仿宋_GB2312" w:eastAsia="仿宋_GB2312" w:cs="仿宋_GB2312"/>
          <w:sz w:val="32"/>
          <w:szCs w:val="32"/>
          <w:highlight w:val="none"/>
          <w:lang w:val="en-US" w:eastAsia="zh-CN"/>
        </w:rPr>
        <w:t>管理，</w:t>
      </w:r>
      <w:r>
        <w:rPr>
          <w:rFonts w:hint="eastAsia" w:ascii="仿宋_GB2312" w:hAnsi="仿宋_GB2312" w:eastAsia="仿宋_GB2312" w:cs="仿宋_GB2312"/>
          <w:sz w:val="32"/>
          <w:szCs w:val="32"/>
          <w:highlight w:val="none"/>
        </w:rPr>
        <w:t>费用支出管理办法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借款的管理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物资采购程序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固定资产的管理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票据管理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财务印鉴章保管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财务档案管理</w:t>
      </w:r>
      <w:r>
        <w:rPr>
          <w:rFonts w:hint="eastAsia" w:ascii="仿宋_GB2312" w:hAnsi="仿宋_GB2312" w:eastAsia="仿宋_GB2312" w:cs="仿宋_GB2312"/>
          <w:sz w:val="32"/>
          <w:szCs w:val="32"/>
          <w:highlight w:val="none"/>
          <w:lang w:eastAsia="zh-CN"/>
        </w:rPr>
        <w:t>。</w:t>
      </w:r>
    </w:p>
    <w:p w14:paraId="5E07E23B">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方正仿宋简体" w:cs="Times New Roman"/>
          <w:sz w:val="32"/>
          <w:szCs w:val="32"/>
          <w:lang w:val="zh-CN" w:eastAsia="zh-CN"/>
        </w:rPr>
        <w:t>按照资产管理的系列要求，20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度采购的固定资产验收交付使用后，及时纳入固定资产管理。政府机关国有资产实行党建办管理实物，党政综合和经济发展办公室管理账务的管理模式，并专设有国有资产管理人员，定期对资产进行清查盘点，保证账实相符，及时发现和处理资产存在的问题；对闲置、报废等资产，按照市财政局规定的程序进行处理。政府机关所有固定资产均录入到了行政事业单位国有资产管理系统，进行动态管理，实现了固定资产配置、处置各环节的信息化管理。</w:t>
      </w:r>
    </w:p>
    <w:p w14:paraId="31B5F65E">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en-US" w:eastAsia="zh-CN"/>
        </w:rPr>
        <w:t>5.</w:t>
      </w:r>
      <w:r>
        <w:rPr>
          <w:rFonts w:hint="default" w:ascii="Times New Roman" w:hAnsi="Times New Roman" w:eastAsia="方正仿宋简体" w:cs="Times New Roman"/>
          <w:sz w:val="32"/>
          <w:szCs w:val="32"/>
          <w:lang w:val="zh-CN" w:eastAsia="zh-CN"/>
        </w:rPr>
        <w:t>采购管理</w:t>
      </w:r>
      <w:r>
        <w:rPr>
          <w:rFonts w:hint="eastAsia" w:ascii="Times New Roman" w:hAnsi="Times New Roman" w:eastAsia="方正仿宋简体" w:cs="Times New Roman"/>
          <w:sz w:val="32"/>
          <w:szCs w:val="32"/>
          <w:lang w:val="zh-CN" w:eastAsia="zh-CN"/>
        </w:rPr>
        <w:t>。</w:t>
      </w:r>
      <w:r>
        <w:rPr>
          <w:rFonts w:hint="eastAsia" w:ascii="Times New Roman" w:hAnsi="Times New Roman" w:eastAsia="方正仿宋简体" w:cs="Times New Roman"/>
          <w:sz w:val="32"/>
          <w:szCs w:val="32"/>
          <w:lang w:val="en-US" w:eastAsia="zh-CN"/>
        </w:rPr>
        <w:t>我</w:t>
      </w:r>
      <w:r>
        <w:rPr>
          <w:rFonts w:hint="eastAsia" w:ascii="Times New Roman" w:hAnsi="Times New Roman" w:eastAsia="方正仿宋简体" w:cs="Times New Roman"/>
          <w:sz w:val="32"/>
          <w:szCs w:val="32"/>
          <w:lang w:val="zh-CN" w:eastAsia="zh-CN"/>
        </w:rPr>
        <w:t>单位采购管理遵循公开、公平、公正和诚实信用的原则，对采购过程中的分工与授权、预算与计划、采购与验收等方面严格控制。</w:t>
      </w:r>
      <w:r>
        <w:rPr>
          <w:rFonts w:hint="eastAsia" w:ascii="Times New Roman" w:hAnsi="Times New Roman" w:eastAsia="方正仿宋简体" w:cs="Times New Roman"/>
          <w:sz w:val="32"/>
          <w:szCs w:val="32"/>
          <w:lang w:val="en-US" w:eastAsia="zh-CN"/>
        </w:rPr>
        <w:t>我单位</w:t>
      </w:r>
      <w:r>
        <w:rPr>
          <w:rFonts w:hint="eastAsia" w:ascii="Times New Roman" w:hAnsi="Times New Roman" w:eastAsia="方正仿宋简体" w:cs="Times New Roman"/>
          <w:sz w:val="32"/>
          <w:szCs w:val="32"/>
          <w:lang w:val="zh-CN" w:eastAsia="zh-CN"/>
        </w:rPr>
        <w:t>严格按照政府采购预算编制，开展政府采购工作，20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年全年政府采购资金预算</w:t>
      </w:r>
      <w:r>
        <w:rPr>
          <w:rFonts w:hint="eastAsia" w:ascii="Times New Roman" w:hAnsi="Times New Roman" w:eastAsia="方正仿宋简体" w:cs="Times New Roman"/>
          <w:sz w:val="32"/>
          <w:szCs w:val="32"/>
          <w:lang w:val="en-US" w:eastAsia="zh-CN"/>
        </w:rPr>
        <w:t>16.86</w:t>
      </w:r>
      <w:r>
        <w:rPr>
          <w:rFonts w:hint="eastAsia" w:ascii="Times New Roman" w:hAnsi="Times New Roman" w:eastAsia="方正仿宋简体" w:cs="Times New Roman"/>
          <w:sz w:val="32"/>
          <w:szCs w:val="32"/>
          <w:lang w:val="zh-CN" w:eastAsia="zh-CN"/>
        </w:rPr>
        <w:t>元，实现采购</w:t>
      </w:r>
      <w:r>
        <w:rPr>
          <w:rFonts w:hint="eastAsia" w:ascii="Times New Roman" w:hAnsi="Times New Roman" w:eastAsia="方正仿宋简体" w:cs="Times New Roman"/>
          <w:sz w:val="32"/>
          <w:szCs w:val="32"/>
          <w:lang w:val="en-US" w:eastAsia="zh-CN"/>
        </w:rPr>
        <w:t>14.37</w:t>
      </w:r>
      <w:r>
        <w:rPr>
          <w:rFonts w:hint="eastAsia" w:ascii="Times New Roman" w:hAnsi="Times New Roman" w:eastAsia="方正仿宋简体" w:cs="Times New Roman"/>
          <w:sz w:val="32"/>
          <w:szCs w:val="32"/>
          <w:lang w:val="zh-CN" w:eastAsia="zh-CN"/>
        </w:rPr>
        <w:t>万元。</w:t>
      </w:r>
    </w:p>
    <w:p w14:paraId="47F2AEF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46EA1A40">
      <w:pPr>
        <w:spacing w:line="560" w:lineRule="exact"/>
        <w:ind w:firstLine="707" w:firstLineChars="221"/>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常年项目绩效分析。</w:t>
      </w:r>
      <w:r>
        <w:rPr>
          <w:rFonts w:eastAsia="方正仿宋简体"/>
          <w:sz w:val="32"/>
          <w:szCs w:val="32"/>
        </w:rPr>
        <w:t>该类项目总数</w:t>
      </w:r>
      <w:r>
        <w:rPr>
          <w:rFonts w:hint="eastAsia" w:eastAsia="方正仿宋简体"/>
          <w:sz w:val="32"/>
          <w:szCs w:val="32"/>
          <w:lang w:val="en-US" w:eastAsia="zh-CN"/>
        </w:rPr>
        <w:t>7</w:t>
      </w:r>
      <w:r>
        <w:rPr>
          <w:rFonts w:eastAsia="方正仿宋简体"/>
          <w:sz w:val="32"/>
          <w:szCs w:val="32"/>
        </w:rPr>
        <w:t>个，涉及预算总金额</w:t>
      </w:r>
      <w:r>
        <w:rPr>
          <w:rFonts w:hint="eastAsia" w:eastAsia="方正仿宋简体"/>
          <w:sz w:val="32"/>
          <w:szCs w:val="32"/>
          <w:lang w:val="en-US" w:eastAsia="zh-CN"/>
        </w:rPr>
        <w:t>187.44</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w:t>
      </w:r>
      <w:r>
        <w:rPr>
          <w:rFonts w:hint="eastAsia" w:eastAsia="方正仿宋简体"/>
          <w:sz w:val="32"/>
          <w:szCs w:val="32"/>
          <w:lang w:eastAsia="zh-CN"/>
        </w:rPr>
        <w:t>结转</w:t>
      </w:r>
      <w:r>
        <w:rPr>
          <w:rFonts w:eastAsia="方正仿宋简体"/>
          <w:sz w:val="32"/>
          <w:szCs w:val="32"/>
        </w:rPr>
        <w:t>。</w:t>
      </w:r>
    </w:p>
    <w:p w14:paraId="18FFA442">
      <w:pPr>
        <w:spacing w:line="560" w:lineRule="exact"/>
        <w:ind w:firstLine="707" w:firstLineChars="221"/>
        <w:rPr>
          <w:rFonts w:eastAsia="方正仿宋简体"/>
          <w:sz w:val="32"/>
          <w:szCs w:val="32"/>
        </w:rPr>
      </w:pPr>
      <w:r>
        <w:rPr>
          <w:rFonts w:hint="default" w:ascii="Times New Roman" w:hAnsi="Times New Roman" w:eastAsia="仿宋_GB2312" w:cs="仿宋_GB2312"/>
          <w:color w:val="auto"/>
          <w:kern w:val="2"/>
          <w:sz w:val="32"/>
          <w:szCs w:val="32"/>
          <w:highlight w:val="none"/>
          <w:lang w:val="en-US" w:eastAsia="zh-CN" w:bidi="ar-SA"/>
        </w:rPr>
        <w:t>阶段</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一次性</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项目绩效分析。</w:t>
      </w:r>
      <w:r>
        <w:rPr>
          <w:rFonts w:eastAsia="方正仿宋简体"/>
          <w:sz w:val="32"/>
          <w:szCs w:val="32"/>
        </w:rPr>
        <w:t>该类项目总数</w:t>
      </w:r>
      <w:r>
        <w:rPr>
          <w:rFonts w:hint="eastAsia" w:eastAsia="方正仿宋简体"/>
          <w:sz w:val="32"/>
          <w:szCs w:val="32"/>
          <w:lang w:val="en-US" w:eastAsia="zh-CN"/>
        </w:rPr>
        <w:t>10</w:t>
      </w:r>
      <w:r>
        <w:rPr>
          <w:rFonts w:eastAsia="方正仿宋简体"/>
          <w:sz w:val="32"/>
          <w:szCs w:val="32"/>
        </w:rPr>
        <w:t>个，涉及预算总金额</w:t>
      </w:r>
      <w:r>
        <w:rPr>
          <w:rFonts w:hint="eastAsia" w:eastAsia="方正仿宋简体"/>
          <w:sz w:val="32"/>
          <w:szCs w:val="32"/>
          <w:lang w:val="en-US" w:eastAsia="zh-CN"/>
        </w:rPr>
        <w:t>282.41</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预算结余。</w:t>
      </w:r>
    </w:p>
    <w:p w14:paraId="63DA8B3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项目决策。</w:t>
      </w:r>
      <w:r>
        <w:rPr>
          <w:rFonts w:eastAsia="方正仿宋简体"/>
          <w:sz w:val="32"/>
          <w:szCs w:val="32"/>
        </w:rPr>
        <w:t>项目决策</w:t>
      </w:r>
      <w:r>
        <w:rPr>
          <w:rFonts w:hint="eastAsia" w:eastAsia="方正仿宋简体"/>
          <w:sz w:val="32"/>
          <w:szCs w:val="32"/>
          <w:lang w:eastAsia="zh-CN"/>
        </w:rPr>
        <w:t>，项目规划论证符合中省要求，项目绩效目标设置科学合理、充分评估论证项目立项必要性、前瞻性、合理性和可行性。</w:t>
      </w:r>
    </w:p>
    <w:p w14:paraId="249D940C">
      <w:pPr>
        <w:spacing w:line="560" w:lineRule="exact"/>
        <w:ind w:firstLine="707" w:firstLineChars="221"/>
        <w:rPr>
          <w:rFonts w:hint="eastAsia" w:eastAsia="方正仿宋简体"/>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2.项目执行</w:t>
      </w:r>
      <w:r>
        <w:rPr>
          <w:rFonts w:hint="eastAsia" w:ascii="Times New Roman" w:hAnsi="Times New Roman" w:eastAsia="仿宋_GB2312" w:cs="仿宋_GB2312"/>
          <w:color w:val="auto"/>
          <w:kern w:val="2"/>
          <w:sz w:val="32"/>
          <w:szCs w:val="32"/>
          <w:highlight w:val="none"/>
          <w:lang w:val="zh-CN" w:eastAsia="zh-CN" w:bidi="ar-SA"/>
        </w:rPr>
        <w:t>。</w:t>
      </w:r>
      <w:r>
        <w:rPr>
          <w:rFonts w:hint="eastAsia" w:eastAsia="方正仿宋简体"/>
          <w:sz w:val="32"/>
          <w:szCs w:val="32"/>
          <w:lang w:eastAsia="zh-CN"/>
        </w:rPr>
        <w:t>与预算管理一体化系统设定的设定绩效目标对比，我单位评价项目满意度指标涉及的服务对象满意度指标、产出指标、效益指标完成值高于目标值且未超过30%。</w:t>
      </w:r>
    </w:p>
    <w:p w14:paraId="0AE59DA1">
      <w:pPr>
        <w:spacing w:line="560" w:lineRule="exact"/>
        <w:ind w:firstLine="707" w:firstLineChars="221"/>
        <w:rPr>
          <w:rFonts w:hint="eastAsia" w:eastAsia="方正仿宋简体"/>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目标实现。</w:t>
      </w:r>
      <w:r>
        <w:rPr>
          <w:rFonts w:eastAsia="方正仿宋简体"/>
          <w:sz w:val="32"/>
          <w:szCs w:val="32"/>
        </w:rPr>
        <w:t>目标完成</w:t>
      </w:r>
      <w:r>
        <w:rPr>
          <w:rFonts w:hint="eastAsia" w:eastAsia="方正仿宋简体"/>
          <w:sz w:val="32"/>
          <w:szCs w:val="32"/>
          <w:lang w:eastAsia="zh-CN"/>
        </w:rPr>
        <w:t>，与预算管理一体化系统设定的设定绩效目标对比，我单位评价项目满意度指标涉及的服务对象满意度指标、产出指标、效益指标完成值高于目标值且未超过30%。</w:t>
      </w:r>
    </w:p>
    <w:p w14:paraId="5A561459">
      <w:pPr>
        <w:spacing w:line="560" w:lineRule="exact"/>
        <w:ind w:firstLine="710" w:firstLineChars="221"/>
        <w:rPr>
          <w:rFonts w:eastAsia="方正仿宋简体"/>
          <w:sz w:val="32"/>
          <w:szCs w:val="32"/>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eastAsia="方正仿宋简体"/>
          <w:sz w:val="32"/>
          <w:szCs w:val="32"/>
        </w:rPr>
        <w:t>绩效结果内部应用情况、绩效结果整改落实情况和绩效信息公开情况</w:t>
      </w:r>
      <w:r>
        <w:rPr>
          <w:rFonts w:hint="eastAsia" w:eastAsia="方正仿宋简体"/>
          <w:sz w:val="32"/>
          <w:szCs w:val="32"/>
          <w:lang w:eastAsia="zh-CN"/>
        </w:rPr>
        <w:t>，</w:t>
      </w:r>
      <w:r>
        <w:rPr>
          <w:rFonts w:hint="eastAsia" w:ascii="Times New Roman" w:hAnsi="Times New Roman" w:eastAsia="方正仿宋简体" w:cs="Times New Roman"/>
          <w:sz w:val="32"/>
          <w:szCs w:val="32"/>
          <w:lang w:val="zh-CN" w:eastAsia="zh-CN"/>
        </w:rPr>
        <w:t>按照绵竹市财政局要求，在20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年部门预算批复后，及时在指定网站进行了公开，接受社会各界群众监督。“三公”经费和“部门预算执行进度”均按要求及时上报给市财政局，实现了信息传递的及时性，内容公开的真实性、准确性。</w:t>
      </w:r>
    </w:p>
    <w:p w14:paraId="4272076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06E0F769">
      <w:pPr>
        <w:spacing w:line="560" w:lineRule="exact"/>
        <w:ind w:firstLine="643" w:firstLineChars="200"/>
        <w:rPr>
          <w:rFonts w:hint="default" w:ascii="Times New Roman" w:hAnsi="Times New Roman" w:eastAsia="仿宋_GB2312" w:cs="Times New Roman"/>
          <w:sz w:val="32"/>
          <w:szCs w:val="32"/>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eastAsia="方正仿宋简体"/>
          <w:sz w:val="32"/>
          <w:szCs w:val="32"/>
        </w:rPr>
        <w:t>本部门整体预算绩效评价得分</w:t>
      </w:r>
      <w:r>
        <w:rPr>
          <w:rFonts w:hint="eastAsia" w:eastAsia="方正仿宋简体"/>
          <w:sz w:val="32"/>
          <w:szCs w:val="32"/>
          <w:lang w:val="en-US" w:eastAsia="zh-CN"/>
        </w:rPr>
        <w:t>85.37</w:t>
      </w:r>
      <w:r>
        <w:rPr>
          <w:rFonts w:eastAsia="方正仿宋简体"/>
          <w:sz w:val="32"/>
          <w:szCs w:val="32"/>
        </w:rPr>
        <w:t>分，评价等级为“</w:t>
      </w:r>
      <w:r>
        <w:rPr>
          <w:rFonts w:hint="eastAsia" w:eastAsia="方正仿宋简体"/>
          <w:sz w:val="32"/>
          <w:szCs w:val="32"/>
          <w:lang w:eastAsia="zh-CN"/>
        </w:rPr>
        <w:t>良</w:t>
      </w:r>
      <w:r>
        <w:rPr>
          <w:rFonts w:eastAsia="方正仿宋简体"/>
          <w:sz w:val="32"/>
          <w:szCs w:val="32"/>
        </w:rPr>
        <w:t>”。</w:t>
      </w:r>
    </w:p>
    <w:p w14:paraId="49D4FC2A">
      <w:pPr>
        <w:pStyle w:val="31"/>
        <w:rPr>
          <w:rFonts w:hint="eastAsia" w:ascii="Times New Roman" w:hAnsi="Times New Roman" w:eastAsia="方正仿宋简体" w:cs="Times New Roman"/>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hAnsi="Times New Roman" w:eastAsia="方正仿宋简体" w:cs="Times New Roman"/>
          <w:kern w:val="2"/>
          <w:sz w:val="32"/>
          <w:szCs w:val="32"/>
          <w:highlight w:val="none"/>
          <w:lang w:val="en-US" w:eastAsia="zh-CN" w:bidi="ar-SA"/>
        </w:rPr>
        <w:t>1.</w:t>
      </w:r>
      <w:r>
        <w:rPr>
          <w:rFonts w:hint="eastAsia" w:ascii="Times New Roman" w:hAnsi="Times New Roman" w:eastAsia="方正仿宋简体" w:cs="Times New Roman"/>
          <w:kern w:val="2"/>
          <w:sz w:val="32"/>
          <w:szCs w:val="32"/>
          <w:highlight w:val="none"/>
          <w:lang w:val="zh-CN" w:eastAsia="zh-CN" w:bidi="ar-SA"/>
        </w:rPr>
        <w:t>由于财务人员更换，对财务知识熟悉程度有所欠缺，同时近年财政改革力度大，财务人员对新的绩效考核知识未深入系统学习，使部门内部绩效考核不够科学精细。</w:t>
      </w:r>
    </w:p>
    <w:p w14:paraId="096FE5B9">
      <w:pPr>
        <w:ind w:firstLine="640" w:firstLineChars="200"/>
        <w:rPr>
          <w:rFonts w:hint="eastAsia" w:ascii="Times New Roman" w:hAnsi="Times New Roman" w:eastAsia="方正仿宋简体" w:cs="Times New Roman"/>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方正仿宋_GB18030" w:hAnsi="方正仿宋_GB18030" w:eastAsia="方正仿宋_GB18030" w:cs="方正仿宋_GB18030"/>
          <w:b w:val="0"/>
          <w:bCs w:val="0"/>
          <w:color w:val="auto"/>
          <w:sz w:val="32"/>
          <w:szCs w:val="32"/>
          <w:highlight w:val="none"/>
        </w:rPr>
        <w:t>制度运用持续性落地</w:t>
      </w:r>
      <w:r>
        <w:rPr>
          <w:rFonts w:hint="eastAsia" w:ascii="方正仿宋_GB18030" w:hAnsi="方正仿宋_GB18030" w:eastAsia="方正仿宋_GB18030" w:cs="方正仿宋_GB18030"/>
          <w:b w:val="0"/>
          <w:bCs w:val="0"/>
          <w:color w:val="auto"/>
          <w:sz w:val="32"/>
          <w:szCs w:val="32"/>
          <w:highlight w:val="none"/>
          <w:lang w:eastAsia="zh-CN"/>
        </w:rPr>
        <w:t>尚需进一步提高</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eastAsia="zh-CN"/>
        </w:rPr>
        <w:t>在</w:t>
      </w:r>
      <w:r>
        <w:rPr>
          <w:rFonts w:hint="eastAsia" w:ascii="Times New Roman" w:hAnsi="Times New Roman" w:eastAsia="方正仿宋简体" w:cs="Times New Roman"/>
          <w:color w:val="auto"/>
          <w:sz w:val="32"/>
          <w:szCs w:val="32"/>
          <w:highlight w:val="none"/>
          <w:lang w:eastAsia="zh-CN"/>
        </w:rPr>
        <w:t>重点</w:t>
      </w:r>
      <w:r>
        <w:rPr>
          <w:rFonts w:hint="default" w:ascii="Times New Roman" w:hAnsi="Times New Roman" w:eastAsia="方正仿宋简体" w:cs="Times New Roman"/>
          <w:color w:val="auto"/>
          <w:sz w:val="32"/>
          <w:szCs w:val="32"/>
          <w:highlight w:val="none"/>
        </w:rPr>
        <w:t>工作</w:t>
      </w:r>
      <w:r>
        <w:rPr>
          <w:rFonts w:hint="eastAsia" w:ascii="Times New Roman" w:hAnsi="Times New Roman" w:eastAsia="方正仿宋简体" w:cs="Times New Roman"/>
          <w:color w:val="auto"/>
          <w:sz w:val="32"/>
          <w:szCs w:val="32"/>
          <w:highlight w:val="none"/>
          <w:lang w:eastAsia="zh-CN"/>
        </w:rPr>
        <w:t>的</w:t>
      </w:r>
      <w:r>
        <w:rPr>
          <w:rFonts w:hint="default" w:ascii="Times New Roman" w:hAnsi="Times New Roman" w:eastAsia="方正仿宋简体" w:cs="Times New Roman"/>
          <w:color w:val="auto"/>
          <w:sz w:val="32"/>
          <w:szCs w:val="32"/>
          <w:highlight w:val="none"/>
        </w:rPr>
        <w:t>制度持续运用落实上不彻底，缺乏有效的检查与监督</w:t>
      </w:r>
      <w:r>
        <w:rPr>
          <w:rFonts w:hint="eastAsia" w:ascii="Times New Roman" w:hAnsi="Times New Roman" w:eastAsia="方正仿宋简体" w:cs="Times New Roman"/>
          <w:color w:val="auto"/>
          <w:sz w:val="32"/>
          <w:szCs w:val="32"/>
          <w:highlight w:val="none"/>
          <w:lang w:eastAsia="zh-CN"/>
        </w:rPr>
        <w:t>，对道路交通安全、产业转型发展等项目后期养护责任的</w:t>
      </w:r>
      <w:r>
        <w:rPr>
          <w:rFonts w:hint="default" w:ascii="Times New Roman" w:hAnsi="Times New Roman" w:eastAsia="方正仿宋简体" w:cs="Times New Roman"/>
          <w:color w:val="auto"/>
          <w:sz w:val="32"/>
          <w:szCs w:val="32"/>
          <w:highlight w:val="none"/>
        </w:rPr>
        <w:t>落实效果还存在提升空间</w:t>
      </w:r>
      <w:r>
        <w:rPr>
          <w:rFonts w:hint="eastAsia" w:ascii="Times New Roman" w:hAnsi="Times New Roman" w:eastAsia="方正仿宋简体" w:cs="Times New Roman"/>
          <w:color w:val="auto"/>
          <w:sz w:val="32"/>
          <w:szCs w:val="32"/>
          <w:highlight w:val="none"/>
          <w:lang w:eastAsia="zh-CN"/>
        </w:rPr>
        <w:t>。</w:t>
      </w:r>
    </w:p>
    <w:p w14:paraId="29893A51">
      <w:pPr>
        <w:pStyle w:val="31"/>
        <w:rPr>
          <w:rFonts w:hint="eastAsia" w:ascii="Times New Roman" w:hAnsi="Times New Roman" w:eastAsia="方正仿宋简体" w:cs="Times New Roman"/>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r>
        <w:rPr>
          <w:rFonts w:hint="eastAsia" w:hAnsi="Times New Roman" w:eastAsia="方正仿宋简体" w:cs="Times New Roman"/>
          <w:kern w:val="2"/>
          <w:sz w:val="32"/>
          <w:szCs w:val="32"/>
          <w:highlight w:val="none"/>
          <w:lang w:val="en-US" w:eastAsia="zh-CN" w:bidi="ar-SA"/>
        </w:rPr>
        <w:t>1.</w:t>
      </w:r>
      <w:r>
        <w:rPr>
          <w:rFonts w:hint="eastAsia" w:ascii="Times New Roman" w:hAnsi="Times New Roman" w:eastAsia="方正仿宋简体" w:cs="Times New Roman"/>
          <w:kern w:val="2"/>
          <w:sz w:val="32"/>
          <w:szCs w:val="32"/>
          <w:highlight w:val="none"/>
          <w:lang w:val="zh-CN" w:eastAsia="zh-CN" w:bidi="ar-SA"/>
        </w:rPr>
        <w:t>督促本单位财务人员加强财务、绩效评价等专业知识的学习，提高自身业务能力水平</w:t>
      </w:r>
      <w:r>
        <w:rPr>
          <w:rFonts w:hint="eastAsia" w:hAnsi="Times New Roman" w:eastAsia="方正仿宋简体" w:cs="Times New Roman"/>
          <w:kern w:val="2"/>
          <w:sz w:val="32"/>
          <w:szCs w:val="32"/>
          <w:highlight w:val="none"/>
          <w:lang w:val="zh-CN" w:eastAsia="zh-CN" w:bidi="ar-SA"/>
        </w:rPr>
        <w:t>；</w:t>
      </w:r>
      <w:r>
        <w:rPr>
          <w:rFonts w:hint="eastAsia" w:ascii="Times New Roman" w:hAnsi="Times New Roman" w:eastAsia="方正仿宋简体" w:cs="Times New Roman"/>
          <w:kern w:val="2"/>
          <w:sz w:val="32"/>
          <w:szCs w:val="32"/>
          <w:highlight w:val="none"/>
          <w:lang w:val="zh-CN" w:eastAsia="zh-CN" w:bidi="ar-SA"/>
        </w:rPr>
        <w:t>上级财政部门加强对镇乡财务工作的指导，加强友邻单位之间的学习交流。</w:t>
      </w:r>
    </w:p>
    <w:p w14:paraId="01E6E208">
      <w:pPr>
        <w:ind w:firstLine="640" w:firstLineChars="200"/>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方正仿宋简体" w:cs="Times New Roman"/>
          <w:kern w:val="2"/>
          <w:sz w:val="32"/>
          <w:szCs w:val="32"/>
          <w:highlight w:val="none"/>
          <w:lang w:val="en-US" w:eastAsia="zh-CN" w:bidi="ar-SA"/>
        </w:rPr>
        <w:t>2.严格落实我单位制定的项目管理制度，</w:t>
      </w:r>
      <w:r>
        <w:rPr>
          <w:rFonts w:hint="eastAsia" w:eastAsia="方正仿宋简体"/>
          <w:sz w:val="32"/>
          <w:szCs w:val="32"/>
          <w:lang w:eastAsia="zh-CN"/>
        </w:rPr>
        <w:t>各办所按年初计划推进任务，定期对比实际进度与计划，对照项目目标绩效表的指标，召开定期复盘工作。</w:t>
      </w:r>
    </w:p>
    <w:p w14:paraId="03F325C2">
      <w:pPr>
        <w:pStyle w:val="3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342E60A1">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465445" cy="8136890"/>
            <wp:effectExtent l="0" t="0" r="1905" b="1651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4"/>
                    <a:stretch>
                      <a:fillRect/>
                    </a:stretch>
                  </pic:blipFill>
                  <pic:spPr>
                    <a:xfrm>
                      <a:off x="0" y="0"/>
                      <a:ext cx="5465445" cy="8136890"/>
                    </a:xfrm>
                    <a:prstGeom prst="rect">
                      <a:avLst/>
                    </a:prstGeom>
                    <a:noFill/>
                    <a:ln>
                      <a:noFill/>
                    </a:ln>
                  </pic:spPr>
                </pic:pic>
              </a:graphicData>
            </a:graphic>
          </wp:inline>
        </w:drawing>
      </w:r>
    </w:p>
    <w:p w14:paraId="29AB714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66690" cy="8745220"/>
            <wp:effectExtent l="0" t="0" r="10160" b="1778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5"/>
                    <a:stretch>
                      <a:fillRect/>
                    </a:stretch>
                  </pic:blipFill>
                  <pic:spPr>
                    <a:xfrm>
                      <a:off x="0" y="0"/>
                      <a:ext cx="5266690" cy="8745220"/>
                    </a:xfrm>
                    <a:prstGeom prst="rect">
                      <a:avLst/>
                    </a:prstGeom>
                    <a:noFill/>
                    <a:ln>
                      <a:noFill/>
                    </a:ln>
                  </pic:spPr>
                </pic:pic>
              </a:graphicData>
            </a:graphic>
          </wp:inline>
        </w:drawing>
      </w:r>
    </w:p>
    <w:p w14:paraId="18604524">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717915"/>
            <wp:effectExtent l="0" t="0" r="4445" b="698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6"/>
                    <a:stretch>
                      <a:fillRect/>
                    </a:stretch>
                  </pic:blipFill>
                  <pic:spPr>
                    <a:xfrm>
                      <a:off x="0" y="0"/>
                      <a:ext cx="5272405" cy="8717915"/>
                    </a:xfrm>
                    <a:prstGeom prst="rect">
                      <a:avLst/>
                    </a:prstGeom>
                    <a:noFill/>
                    <a:ln>
                      <a:noFill/>
                    </a:ln>
                  </pic:spPr>
                </pic:pic>
              </a:graphicData>
            </a:graphic>
          </wp:inline>
        </w:drawing>
      </w:r>
    </w:p>
    <w:p w14:paraId="1F1E0BBE">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76BC154D">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136890"/>
            <wp:effectExtent l="0" t="0" r="4445" b="1651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7"/>
                    <a:stretch>
                      <a:fillRect/>
                    </a:stretch>
                  </pic:blipFill>
                  <pic:spPr>
                    <a:xfrm>
                      <a:off x="0" y="0"/>
                      <a:ext cx="5272405" cy="8136890"/>
                    </a:xfrm>
                    <a:prstGeom prst="rect">
                      <a:avLst/>
                    </a:prstGeom>
                    <a:noFill/>
                    <a:ln>
                      <a:noFill/>
                    </a:ln>
                  </pic:spPr>
                </pic:pic>
              </a:graphicData>
            </a:graphic>
          </wp:inline>
        </w:drawing>
      </w:r>
    </w:p>
    <w:p w14:paraId="51E9744F">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3040" cy="8660130"/>
            <wp:effectExtent l="0" t="0" r="3810" b="762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8"/>
                    <a:stretch>
                      <a:fillRect/>
                    </a:stretch>
                  </pic:blipFill>
                  <pic:spPr>
                    <a:xfrm>
                      <a:off x="0" y="0"/>
                      <a:ext cx="5273040" cy="8660130"/>
                    </a:xfrm>
                    <a:prstGeom prst="rect">
                      <a:avLst/>
                    </a:prstGeom>
                    <a:noFill/>
                    <a:ln>
                      <a:noFill/>
                    </a:ln>
                  </pic:spPr>
                </pic:pic>
              </a:graphicData>
            </a:graphic>
          </wp:inline>
        </w:drawing>
      </w:r>
    </w:p>
    <w:p w14:paraId="08A184F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20125"/>
            <wp:effectExtent l="0" t="0" r="4445" b="952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29"/>
                    <a:stretch>
                      <a:fillRect/>
                    </a:stretch>
                  </pic:blipFill>
                  <pic:spPr>
                    <a:xfrm>
                      <a:off x="0" y="0"/>
                      <a:ext cx="5272405" cy="8620125"/>
                    </a:xfrm>
                    <a:prstGeom prst="rect">
                      <a:avLst/>
                    </a:prstGeom>
                    <a:noFill/>
                    <a:ln>
                      <a:noFill/>
                    </a:ln>
                  </pic:spPr>
                </pic:pic>
              </a:graphicData>
            </a:graphic>
          </wp:inline>
        </w:drawing>
      </w:r>
    </w:p>
    <w:p w14:paraId="15645659">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37905"/>
            <wp:effectExtent l="0" t="0" r="444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30"/>
                    <a:stretch>
                      <a:fillRect/>
                    </a:stretch>
                  </pic:blipFill>
                  <pic:spPr>
                    <a:xfrm>
                      <a:off x="0" y="0"/>
                      <a:ext cx="5272405" cy="8637905"/>
                    </a:xfrm>
                    <a:prstGeom prst="rect">
                      <a:avLst/>
                    </a:prstGeom>
                    <a:noFill/>
                    <a:ln>
                      <a:noFill/>
                    </a:ln>
                  </pic:spPr>
                </pic:pic>
              </a:graphicData>
            </a:graphic>
          </wp:inline>
        </w:drawing>
      </w:r>
    </w:p>
    <w:p w14:paraId="276DCC48">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54415"/>
            <wp:effectExtent l="0" t="0" r="4445" b="1333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31"/>
                    <a:stretch>
                      <a:fillRect/>
                    </a:stretch>
                  </pic:blipFill>
                  <pic:spPr>
                    <a:xfrm>
                      <a:off x="0" y="0"/>
                      <a:ext cx="5272405" cy="8654415"/>
                    </a:xfrm>
                    <a:prstGeom prst="rect">
                      <a:avLst/>
                    </a:prstGeom>
                    <a:noFill/>
                    <a:ln>
                      <a:noFill/>
                    </a:ln>
                  </pic:spPr>
                </pic:pic>
              </a:graphicData>
            </a:graphic>
          </wp:inline>
        </w:drawing>
      </w:r>
    </w:p>
    <w:p w14:paraId="7F62C492">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0500" cy="8639810"/>
            <wp:effectExtent l="0" t="0" r="6350" b="889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32"/>
                    <a:stretch>
                      <a:fillRect/>
                    </a:stretch>
                  </pic:blipFill>
                  <pic:spPr>
                    <a:xfrm>
                      <a:off x="0" y="0"/>
                      <a:ext cx="5270500" cy="8639810"/>
                    </a:xfrm>
                    <a:prstGeom prst="rect">
                      <a:avLst/>
                    </a:prstGeom>
                    <a:noFill/>
                    <a:ln>
                      <a:noFill/>
                    </a:ln>
                  </pic:spPr>
                </pic:pic>
              </a:graphicData>
            </a:graphic>
          </wp:inline>
        </w:drawing>
      </w:r>
    </w:p>
    <w:p w14:paraId="545D4852">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23B6293F">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147050"/>
            <wp:effectExtent l="0" t="0" r="4445" b="635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33"/>
                    <a:stretch>
                      <a:fillRect/>
                    </a:stretch>
                  </pic:blipFill>
                  <pic:spPr>
                    <a:xfrm>
                      <a:off x="0" y="0"/>
                      <a:ext cx="5272405" cy="8147050"/>
                    </a:xfrm>
                    <a:prstGeom prst="rect">
                      <a:avLst/>
                    </a:prstGeom>
                    <a:noFill/>
                    <a:ln>
                      <a:noFill/>
                    </a:ln>
                  </pic:spPr>
                </pic:pic>
              </a:graphicData>
            </a:graphic>
          </wp:inline>
        </w:drawing>
      </w:r>
    </w:p>
    <w:p w14:paraId="29AA168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598535"/>
            <wp:effectExtent l="0" t="0" r="4445" b="1206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34"/>
                    <a:stretch>
                      <a:fillRect/>
                    </a:stretch>
                  </pic:blipFill>
                  <pic:spPr>
                    <a:xfrm>
                      <a:off x="0" y="0"/>
                      <a:ext cx="5272405" cy="8598535"/>
                    </a:xfrm>
                    <a:prstGeom prst="rect">
                      <a:avLst/>
                    </a:prstGeom>
                    <a:noFill/>
                    <a:ln>
                      <a:noFill/>
                    </a:ln>
                  </pic:spPr>
                </pic:pic>
              </a:graphicData>
            </a:graphic>
          </wp:inline>
        </w:drawing>
      </w:r>
    </w:p>
    <w:p w14:paraId="31F8091A">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ascii="Times New Roman" w:hAnsi="Times New Roman" w:eastAsia="仿宋_GB2312" w:cs="仿宋_GB2312"/>
          <w:b w:val="0"/>
          <w:bCs w:val="0"/>
          <w:kern w:val="0"/>
          <w:position w:val="0"/>
          <w:sz w:val="32"/>
          <w:szCs w:val="32"/>
          <w:highlight w:val="none"/>
          <w:lang w:val="zh-CN" w:eastAsia="zh-CN" w:bidi="ar-SA"/>
        </w:rPr>
      </w:pPr>
      <w:r>
        <w:drawing>
          <wp:inline distT="0" distB="0" distL="114300" distR="114300">
            <wp:extent cx="5272405" cy="8620760"/>
            <wp:effectExtent l="0" t="0" r="4445" b="889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35"/>
                    <a:stretch>
                      <a:fillRect/>
                    </a:stretch>
                  </pic:blipFill>
                  <pic:spPr>
                    <a:xfrm>
                      <a:off x="0" y="0"/>
                      <a:ext cx="5272405" cy="8620760"/>
                    </a:xfrm>
                    <a:prstGeom prst="rect">
                      <a:avLst/>
                    </a:prstGeom>
                    <a:noFill/>
                    <a:ln>
                      <a:noFill/>
                    </a:ln>
                  </pic:spPr>
                </pic:pic>
              </a:graphicData>
            </a:graphic>
          </wp:inline>
        </w:drawing>
      </w:r>
    </w:p>
    <w:p w14:paraId="0AC18608">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bookmarkStart w:id="53" w:name="_Toc15396618"/>
    </w:p>
    <w:p w14:paraId="7E046ADA">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51"/>
          <w:rFonts w:hint="eastAsia" w:ascii="Times New Roman" w:hAnsi="Times New Roman" w:eastAsia="黑体"/>
          <w:b w:val="0"/>
          <w:color w:val="auto"/>
          <w:highlight w:val="none"/>
        </w:rPr>
        <w:t>五部分 附表</w:t>
      </w:r>
      <w:bookmarkEnd w:id="51"/>
      <w:bookmarkEnd w:id="53"/>
      <w:bookmarkStart w:id="54" w:name="_Toc15396619"/>
    </w:p>
    <w:p w14:paraId="50360D5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60C419E3">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4"/>
    </w:p>
    <w:p w14:paraId="36380EF7">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5" w:name="_Toc15396620"/>
      <w:r>
        <w:rPr>
          <w:rFonts w:hint="eastAsia" w:ascii="Times New Roman" w:hAnsi="Times New Roman" w:eastAsia="仿宋_GB2312" w:cs="仿宋_GB2312"/>
          <w:color w:val="auto"/>
          <w:sz w:val="32"/>
          <w:szCs w:val="32"/>
          <w:highlight w:val="none"/>
        </w:rPr>
        <w:t>二、收入决算表</w:t>
      </w:r>
      <w:bookmarkEnd w:id="55"/>
    </w:p>
    <w:p w14:paraId="33AE654D">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6" w:name="_Toc15396621"/>
      <w:r>
        <w:rPr>
          <w:rFonts w:hint="eastAsia" w:ascii="Times New Roman" w:hAnsi="Times New Roman" w:eastAsia="仿宋_GB2312" w:cs="仿宋_GB2312"/>
          <w:color w:val="auto"/>
          <w:sz w:val="32"/>
          <w:szCs w:val="32"/>
          <w:highlight w:val="none"/>
        </w:rPr>
        <w:t>三、支出决算表</w:t>
      </w:r>
      <w:bookmarkEnd w:id="56"/>
    </w:p>
    <w:p w14:paraId="37A6AF7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7" w:name="_Toc15396622"/>
      <w:r>
        <w:rPr>
          <w:rFonts w:hint="eastAsia" w:ascii="Times New Roman" w:hAnsi="Times New Roman" w:eastAsia="仿宋_GB2312" w:cs="仿宋_GB2312"/>
          <w:color w:val="auto"/>
          <w:sz w:val="32"/>
          <w:szCs w:val="32"/>
          <w:highlight w:val="none"/>
        </w:rPr>
        <w:t>四、财政拨款收入支出决算总表</w:t>
      </w:r>
      <w:bookmarkEnd w:id="57"/>
    </w:p>
    <w:p w14:paraId="1DC16FFB">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3"/>
      <w:r>
        <w:rPr>
          <w:rFonts w:hint="eastAsia" w:ascii="Times New Roman" w:hAnsi="Times New Roman" w:eastAsia="仿宋_GB2312" w:cs="仿宋_GB2312"/>
          <w:color w:val="auto"/>
          <w:sz w:val="32"/>
          <w:szCs w:val="32"/>
          <w:highlight w:val="none"/>
        </w:rPr>
        <w:t>五、财政拨款支出决算明细表</w:t>
      </w:r>
      <w:bookmarkEnd w:id="58"/>
      <w:bookmarkStart w:id="59" w:name="_Toc15396624"/>
    </w:p>
    <w:p w14:paraId="5BC9E39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59"/>
    </w:p>
    <w:p w14:paraId="297CEE32">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5"/>
      <w:r>
        <w:rPr>
          <w:rFonts w:hint="eastAsia" w:ascii="Times New Roman" w:hAnsi="Times New Roman" w:eastAsia="仿宋_GB2312" w:cs="仿宋_GB2312"/>
          <w:color w:val="auto"/>
          <w:sz w:val="32"/>
          <w:szCs w:val="32"/>
          <w:highlight w:val="none"/>
        </w:rPr>
        <w:t>七、一般公共预算财政拨款支出决算明细表</w:t>
      </w:r>
      <w:bookmarkEnd w:id="60"/>
    </w:p>
    <w:p w14:paraId="347CAF7A">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6"/>
      <w:r>
        <w:rPr>
          <w:rFonts w:hint="eastAsia" w:ascii="Times New Roman" w:hAnsi="Times New Roman" w:eastAsia="仿宋_GB2312" w:cs="仿宋_GB2312"/>
          <w:color w:val="auto"/>
          <w:sz w:val="32"/>
          <w:szCs w:val="32"/>
          <w:highlight w:val="none"/>
        </w:rPr>
        <w:t>八、一般公共预算财政拨款基本支出决算表</w:t>
      </w:r>
      <w:bookmarkEnd w:id="61"/>
    </w:p>
    <w:p w14:paraId="4AE8D051">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2" w:name="_Toc15396627"/>
      <w:r>
        <w:rPr>
          <w:rFonts w:hint="eastAsia" w:ascii="Times New Roman" w:hAnsi="Times New Roman" w:eastAsia="仿宋_GB2312" w:cs="仿宋_GB2312"/>
          <w:color w:val="auto"/>
          <w:sz w:val="32"/>
          <w:szCs w:val="32"/>
          <w:highlight w:val="none"/>
        </w:rPr>
        <w:t>九、一般公共预算财政拨款项目支出决算表</w:t>
      </w:r>
      <w:bookmarkEnd w:id="62"/>
    </w:p>
    <w:p w14:paraId="1BACFEE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3" w:name="_Toc15396628"/>
      <w:r>
        <w:rPr>
          <w:rFonts w:hint="eastAsia" w:ascii="Times New Roman" w:hAnsi="Times New Roman" w:eastAsia="仿宋_GB2312" w:cs="仿宋_GB2312"/>
          <w:color w:val="auto"/>
          <w:sz w:val="32"/>
          <w:szCs w:val="32"/>
          <w:highlight w:val="none"/>
        </w:rPr>
        <w:t>十、</w:t>
      </w:r>
      <w:bookmarkEnd w:id="63"/>
      <w:r>
        <w:rPr>
          <w:rFonts w:hint="eastAsia" w:ascii="Times New Roman" w:hAnsi="Times New Roman" w:eastAsia="仿宋_GB2312" w:cs="仿宋_GB2312"/>
          <w:color w:val="auto"/>
          <w:sz w:val="32"/>
          <w:szCs w:val="32"/>
          <w:highlight w:val="none"/>
        </w:rPr>
        <w:t>政府性基金预算财政拨款收入支出决算表</w:t>
      </w:r>
    </w:p>
    <w:p w14:paraId="6C6BB53B">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9"/>
      <w:r>
        <w:rPr>
          <w:rFonts w:hint="eastAsia" w:ascii="Times New Roman" w:hAnsi="Times New Roman" w:eastAsia="仿宋_GB2312" w:cs="仿宋_GB2312"/>
          <w:color w:val="auto"/>
          <w:sz w:val="32"/>
          <w:szCs w:val="32"/>
          <w:highlight w:val="none"/>
        </w:rPr>
        <w:t>十一、</w:t>
      </w:r>
      <w:bookmarkEnd w:id="64"/>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098F5D43">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30"/>
      <w:r>
        <w:rPr>
          <w:rFonts w:hint="eastAsia" w:ascii="Times New Roman" w:hAnsi="Times New Roman" w:eastAsia="仿宋_GB2312" w:cs="仿宋_GB2312"/>
          <w:color w:val="auto"/>
          <w:sz w:val="32"/>
          <w:szCs w:val="32"/>
          <w:highlight w:val="none"/>
        </w:rPr>
        <w:t>十二、</w:t>
      </w:r>
      <w:bookmarkEnd w:id="65"/>
      <w:r>
        <w:rPr>
          <w:rFonts w:hint="eastAsia" w:ascii="Times New Roman" w:hAnsi="Times New Roman" w:eastAsia="仿宋_GB2312" w:cs="仿宋_GB2312"/>
          <w:color w:val="auto"/>
          <w:sz w:val="32"/>
          <w:szCs w:val="32"/>
          <w:highlight w:val="none"/>
          <w:lang w:eastAsia="zh-CN"/>
        </w:rPr>
        <w:t>国有资本经营预算财政拨款支出决算表</w:t>
      </w:r>
    </w:p>
    <w:p w14:paraId="0E68D5B5">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6" w:name="_Toc15396631"/>
      <w:r>
        <w:rPr>
          <w:rFonts w:hint="eastAsia" w:ascii="Times New Roman" w:hAnsi="Times New Roman" w:eastAsia="仿宋_GB2312" w:cs="仿宋_GB2312"/>
          <w:color w:val="auto"/>
          <w:sz w:val="32"/>
          <w:szCs w:val="32"/>
          <w:highlight w:val="none"/>
        </w:rPr>
        <w:t>十三、</w:t>
      </w:r>
      <w:bookmarkEnd w:id="66"/>
      <w:r>
        <w:rPr>
          <w:rFonts w:hint="eastAsia" w:ascii="Times New Roman" w:hAnsi="Times New Roman" w:eastAsia="仿宋_GB2312" w:cs="仿宋_GB2312"/>
          <w:color w:val="auto"/>
          <w:sz w:val="32"/>
          <w:szCs w:val="32"/>
          <w:highlight w:val="none"/>
          <w:lang w:eastAsia="zh-CN"/>
        </w:rPr>
        <w:t>财政拨款“三公”经费支出决算表</w:t>
      </w:r>
    </w:p>
    <w:p w14:paraId="6919A792">
      <w:pPr>
        <w:rPr>
          <w:rFonts w:hint="eastAsia" w:ascii="Times New Roman" w:hAnsi="Times New Roman"/>
          <w:lang w:eastAsia="zh-CN"/>
        </w:rPr>
      </w:pPr>
    </w:p>
    <w:sectPr>
      <w:footerReference r:id="rId8" w:type="first"/>
      <w:footerReference r:id="rId7" w:type="default"/>
      <w:pgSz w:w="11906" w:h="16838"/>
      <w:pgMar w:top="1440" w:right="1800" w:bottom="1440" w:left="1800" w:header="851" w:footer="992" w:gutter="0"/>
      <w:pgNumType w:fmt="numberInDash"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2CDE8F-F44D-45EB-B745-264E6D0F69B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EF718EF6-4169-4205-847E-990C6DBB6A24}"/>
  </w:font>
  <w:font w:name="仿宋">
    <w:panose1 w:val="02010609060101010101"/>
    <w:charset w:val="86"/>
    <w:family w:val="modern"/>
    <w:pitch w:val="default"/>
    <w:sig w:usb0="800002BF" w:usb1="38CF7CFA" w:usb2="00000016" w:usb3="00000000" w:csb0="00040001" w:csb1="00000000"/>
    <w:embedRegular r:id="rId3" w:fontKey="{67EDACDA-4A7A-43D3-A339-09C2C433E3D2}"/>
  </w:font>
  <w:font w:name="方正仿宋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2FF" w:usb1="400004FF" w:usb2="00000000" w:usb3="00000000" w:csb0="2000019F"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embedRegular r:id="rId4" w:fontKey="{5596DACA-5E76-4F65-A949-F1E864651B13}"/>
  </w:font>
  <w:font w:name="楷体">
    <w:panose1 w:val="02010609060101010101"/>
    <w:charset w:val="86"/>
    <w:family w:val="auto"/>
    <w:pitch w:val="default"/>
    <w:sig w:usb0="800002BF" w:usb1="38CF7CFA" w:usb2="00000016" w:usb3="00000000" w:csb0="00040001" w:csb1="00000000"/>
  </w:font>
  <w:font w:name="方正仿宋_GB18030">
    <w:panose1 w:val="02000000000000000000"/>
    <w:charset w:val="86"/>
    <w:family w:val="auto"/>
    <w:pitch w:val="default"/>
    <w:sig w:usb0="00000001" w:usb1="08000000" w:usb2="00000000" w:usb3="00000000" w:csb0="00040000" w:csb1="00000000"/>
    <w:embedRegular r:id="rId5" w:fontKey="{1DA94A43-AAC6-4B95-BC22-A38A7BBA3FD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A6ECF">
    <w:pPr>
      <w:pStyle w:val="20"/>
      <w:jc w:val="center"/>
    </w:pPr>
  </w:p>
  <w:p w14:paraId="74C2D10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B5EC5">
    <w:pPr>
      <w:pStyle w:val="20"/>
      <w:jc w:val="center"/>
    </w:pPr>
  </w:p>
  <w:p w14:paraId="5E4D658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D6B2">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530F">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2789AD"/>
    <w:multiLevelType w:val="singleLevel"/>
    <w:tmpl w:val="DF2789AD"/>
    <w:lvl w:ilvl="0" w:tentative="0">
      <w:start w:val="2"/>
      <w:numFmt w:val="chineseCounting"/>
      <w:suff w:val="nothing"/>
      <w:lvlText w:val="（%1）"/>
      <w:lvlJc w:val="left"/>
      <w:rPr>
        <w:rFonts w:hint="eastAsia"/>
      </w:rPr>
    </w:lvl>
  </w:abstractNum>
  <w:abstractNum w:abstractNumId="1">
    <w:nsid w:val="E4FD85F6"/>
    <w:multiLevelType w:val="singleLevel"/>
    <w:tmpl w:val="E4FD85F6"/>
    <w:lvl w:ilvl="0" w:tentative="0">
      <w:start w:val="1"/>
      <w:numFmt w:val="chineseCounting"/>
      <w:suff w:val="nothing"/>
      <w:lvlText w:val="%1、"/>
      <w:lvlJc w:val="left"/>
      <w:rPr>
        <w:rFonts w:hint="eastAsia"/>
      </w:rPr>
    </w:lvl>
  </w:abstractNum>
  <w:abstractNum w:abstractNumId="2">
    <w:nsid w:val="3E270DCF"/>
    <w:multiLevelType w:val="multilevel"/>
    <w:tmpl w:val="3E270DCF"/>
    <w:lvl w:ilvl="0" w:tentative="0">
      <w:start w:val="1"/>
      <w:numFmt w:val="decimal"/>
      <w:pStyle w:val="2"/>
      <w:suff w:val="space"/>
      <w:lvlText w:val="%1."/>
      <w:lvlJc w:val="left"/>
      <w:pPr>
        <w:ind w:left="0" w:leftChars="0" w:firstLine="0" w:firstLineChars="0"/>
      </w:pPr>
      <w:rPr>
        <w:rFonts w:hint="default" w:ascii="微软雅黑" w:hAnsi="微软雅黑" w:eastAsia="微软雅黑"/>
      </w:rPr>
    </w:lvl>
    <w:lvl w:ilvl="1" w:tentative="0">
      <w:start w:val="1"/>
      <w:numFmt w:val="decimal"/>
      <w:pStyle w:val="3"/>
      <w:suff w:val="space"/>
      <w:lvlText w:val="%1.%2."/>
      <w:lvlJc w:val="left"/>
      <w:pPr>
        <w:ind w:left="0" w:leftChars="0" w:firstLine="0" w:firstLineChars="0"/>
      </w:pPr>
      <w:rPr>
        <w:rFonts w:hint="default" w:ascii="微软雅黑" w:hAnsi="微软雅黑" w:eastAsia="微软雅黑"/>
      </w:rPr>
    </w:lvl>
    <w:lvl w:ilvl="2" w:tentative="0">
      <w:start w:val="1"/>
      <w:numFmt w:val="decimal"/>
      <w:pStyle w:val="4"/>
      <w:suff w:val="space"/>
      <w:lvlText w:val="%1.%2.%3."/>
      <w:lvlJc w:val="left"/>
      <w:pPr>
        <w:ind w:left="0" w:leftChars="0" w:firstLine="0" w:firstLineChars="0"/>
      </w:pPr>
      <w:rPr>
        <w:rFonts w:hint="default" w:ascii="微软雅黑" w:hAnsi="微软雅黑" w:eastAsia="微软雅黑"/>
      </w:rPr>
    </w:lvl>
    <w:lvl w:ilvl="3" w:tentative="0">
      <w:start w:val="1"/>
      <w:numFmt w:val="decimal"/>
      <w:pStyle w:val="5"/>
      <w:suff w:val="space"/>
      <w:lvlText w:val="%1.%2.%3.%4."/>
      <w:lvlJc w:val="left"/>
      <w:pPr>
        <w:ind w:left="0" w:leftChars="0" w:firstLine="0" w:firstLineChars="0"/>
      </w:pPr>
      <w:rPr>
        <w:rFonts w:hint="default" w:ascii="微软雅黑" w:hAnsi="微软雅黑" w:eastAsia="微软雅黑"/>
      </w:rPr>
    </w:lvl>
    <w:lvl w:ilvl="4" w:tentative="0">
      <w:start w:val="1"/>
      <w:numFmt w:val="decimal"/>
      <w:pStyle w:val="6"/>
      <w:lvlText w:val="%1.%2.%3.%4.%5."/>
      <w:lvlJc w:val="left"/>
      <w:pPr>
        <w:tabs>
          <w:tab w:val="left" w:pos="0"/>
        </w:tabs>
        <w:ind w:left="0" w:leftChars="0" w:firstLine="0" w:firstLineChars="0"/>
      </w:pPr>
      <w:rPr>
        <w:rFonts w:hint="default" w:ascii="微软雅黑" w:hAnsi="微软雅黑" w:eastAsia="微软雅黑"/>
      </w:rPr>
    </w:lvl>
    <w:lvl w:ilvl="5" w:tentative="0">
      <w:start w:val="1"/>
      <w:numFmt w:val="decimal"/>
      <w:pStyle w:val="8"/>
      <w:suff w:val="space"/>
      <w:lvlText w:val="%1.%2.%3.%4.%5.%6."/>
      <w:lvlJc w:val="left"/>
      <w:pPr>
        <w:ind w:left="0" w:leftChars="0" w:firstLine="0" w:firstLineChars="0"/>
      </w:pPr>
      <w:rPr>
        <w:rFonts w:hint="default"/>
      </w:rPr>
    </w:lvl>
    <w:lvl w:ilvl="6" w:tentative="0">
      <w:start w:val="1"/>
      <w:numFmt w:val="decimal"/>
      <w:pStyle w:val="9"/>
      <w:lvlText w:val="%1.%2.%3.%4.%5.%6.%7."/>
      <w:lvlJc w:val="left"/>
      <w:pPr>
        <w:tabs>
          <w:tab w:val="left" w:pos="0"/>
        </w:tabs>
        <w:ind w:left="0" w:leftChars="0" w:firstLine="0" w:firstLineChars="0"/>
      </w:pPr>
      <w:rPr>
        <w:rFonts w:hint="default"/>
      </w:rPr>
    </w:lvl>
    <w:lvl w:ilvl="7" w:tentative="0">
      <w:start w:val="1"/>
      <w:numFmt w:val="decimal"/>
      <w:pStyle w:val="10"/>
      <w:suff w:val="space"/>
      <w:lvlText w:val="%1.%2.%3.%4.%5.%6.%7.%8."/>
      <w:lvlJc w:val="left"/>
      <w:pPr>
        <w:ind w:left="0" w:leftChars="0" w:firstLine="0" w:firstLineChars="0"/>
      </w:pPr>
      <w:rPr>
        <w:rFonts w:hint="default"/>
      </w:rPr>
    </w:lvl>
    <w:lvl w:ilvl="8" w:tentative="0">
      <w:start w:val="1"/>
      <w:numFmt w:val="decimal"/>
      <w:pStyle w:val="11"/>
      <w:lvlText w:val="%1.%2.%3.%4.%5.%6.%7.%8.%9."/>
      <w:lvlJc w:val="left"/>
      <w:pPr>
        <w:tabs>
          <w:tab w:val="left" w:pos="0"/>
        </w:tabs>
        <w:ind w:left="0" w:leftChars="0" w:firstLine="0" w:firstLineChars="0"/>
      </w:pPr>
      <w:rPr>
        <w:rFonts w:hint="default"/>
      </w:rPr>
    </w:lvl>
  </w:abstractNum>
  <w:abstractNum w:abstractNumId="3">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230DE5"/>
    <w:rsid w:val="02FEBE30"/>
    <w:rsid w:val="04916F1E"/>
    <w:rsid w:val="061E35DE"/>
    <w:rsid w:val="066E0107"/>
    <w:rsid w:val="07996F6E"/>
    <w:rsid w:val="07DFD8BA"/>
    <w:rsid w:val="09867E8F"/>
    <w:rsid w:val="0A2032A3"/>
    <w:rsid w:val="0CA8290A"/>
    <w:rsid w:val="0D35B1ED"/>
    <w:rsid w:val="0E254B6B"/>
    <w:rsid w:val="0F98263C"/>
    <w:rsid w:val="101860EC"/>
    <w:rsid w:val="101F47CC"/>
    <w:rsid w:val="10C055FF"/>
    <w:rsid w:val="11694EBD"/>
    <w:rsid w:val="11772AA4"/>
    <w:rsid w:val="118107EC"/>
    <w:rsid w:val="12E24EE2"/>
    <w:rsid w:val="13D50BC4"/>
    <w:rsid w:val="14B17F78"/>
    <w:rsid w:val="15AB0069"/>
    <w:rsid w:val="15BF1079"/>
    <w:rsid w:val="165E0673"/>
    <w:rsid w:val="16B831D5"/>
    <w:rsid w:val="16BB723D"/>
    <w:rsid w:val="17E50567"/>
    <w:rsid w:val="186504BB"/>
    <w:rsid w:val="19A445FC"/>
    <w:rsid w:val="1BE8440E"/>
    <w:rsid w:val="1C7953E1"/>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8EB7886"/>
    <w:rsid w:val="2925036F"/>
    <w:rsid w:val="29FD04D3"/>
    <w:rsid w:val="2BFF7BC6"/>
    <w:rsid w:val="2C8A61B5"/>
    <w:rsid w:val="2DF04E50"/>
    <w:rsid w:val="2E586DFA"/>
    <w:rsid w:val="2F040D46"/>
    <w:rsid w:val="2F6B035B"/>
    <w:rsid w:val="2FAE5751"/>
    <w:rsid w:val="2FB1A395"/>
    <w:rsid w:val="2FD9A7D8"/>
    <w:rsid w:val="2FDBF714"/>
    <w:rsid w:val="30AB6865"/>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B79AF3"/>
    <w:rsid w:val="3AE834C0"/>
    <w:rsid w:val="3B7EF35A"/>
    <w:rsid w:val="3B9FDB6C"/>
    <w:rsid w:val="3BF5BC2F"/>
    <w:rsid w:val="3CEBA265"/>
    <w:rsid w:val="3D98207C"/>
    <w:rsid w:val="3DEE7CF3"/>
    <w:rsid w:val="3E740A63"/>
    <w:rsid w:val="3E78745D"/>
    <w:rsid w:val="3EE17838"/>
    <w:rsid w:val="3F55381A"/>
    <w:rsid w:val="3F7F7599"/>
    <w:rsid w:val="3FF4CAE0"/>
    <w:rsid w:val="3FF7B227"/>
    <w:rsid w:val="44E268DA"/>
    <w:rsid w:val="450D13D7"/>
    <w:rsid w:val="45506656"/>
    <w:rsid w:val="486A6C7A"/>
    <w:rsid w:val="48800BE0"/>
    <w:rsid w:val="4A627F82"/>
    <w:rsid w:val="4B0E749A"/>
    <w:rsid w:val="4B2477C4"/>
    <w:rsid w:val="4B4F25DA"/>
    <w:rsid w:val="4BE068DB"/>
    <w:rsid w:val="4D577224"/>
    <w:rsid w:val="4DBF1CEB"/>
    <w:rsid w:val="4DF0007C"/>
    <w:rsid w:val="4EAB630A"/>
    <w:rsid w:val="4ECE2238"/>
    <w:rsid w:val="4F833267"/>
    <w:rsid w:val="4F9F77F3"/>
    <w:rsid w:val="4FE9BD67"/>
    <w:rsid w:val="4FFB052F"/>
    <w:rsid w:val="537E6D0A"/>
    <w:rsid w:val="53F74C96"/>
    <w:rsid w:val="55170BA8"/>
    <w:rsid w:val="553218C9"/>
    <w:rsid w:val="567E1AA5"/>
    <w:rsid w:val="56E47B74"/>
    <w:rsid w:val="57175D52"/>
    <w:rsid w:val="57BD3DD4"/>
    <w:rsid w:val="598924B0"/>
    <w:rsid w:val="5AF92295"/>
    <w:rsid w:val="5B250254"/>
    <w:rsid w:val="5BDD79E6"/>
    <w:rsid w:val="5BF561CA"/>
    <w:rsid w:val="5BFF5DFC"/>
    <w:rsid w:val="5CD71FC4"/>
    <w:rsid w:val="5D1F11B5"/>
    <w:rsid w:val="5D695134"/>
    <w:rsid w:val="5DAE1B18"/>
    <w:rsid w:val="5DE7D9E5"/>
    <w:rsid w:val="5ECEC941"/>
    <w:rsid w:val="5FBF9FF3"/>
    <w:rsid w:val="5FCD4E2C"/>
    <w:rsid w:val="5FEF394A"/>
    <w:rsid w:val="5FF67715"/>
    <w:rsid w:val="62BF3928"/>
    <w:rsid w:val="63B3701E"/>
    <w:rsid w:val="647F5392"/>
    <w:rsid w:val="65E66580"/>
    <w:rsid w:val="663A792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Ascii" w:hAnsiTheme="minorAscii" w:cstheme="minorBidi"/>
      <w:snapToGrid/>
      <w:kern w:val="2"/>
      <w:sz w:val="21"/>
      <w:szCs w:val="24"/>
      <w:lang w:val="en-US" w:eastAsia="zh-CN" w:bidi="ar-SA"/>
    </w:rPr>
  </w:style>
  <w:style w:type="paragraph" w:styleId="2">
    <w:name w:val="heading 1"/>
    <w:next w:val="1"/>
    <w:link w:val="51"/>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heme="minorBidi"/>
      <w:b/>
      <w:bCs/>
      <w:kern w:val="44"/>
      <w:sz w:val="36"/>
      <w:szCs w:val="36"/>
    </w:rPr>
  </w:style>
  <w:style w:type="paragraph" w:styleId="3">
    <w:name w:val="heading 2"/>
    <w:next w:val="1"/>
    <w:link w:val="52"/>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微软雅黑" w:cstheme="minorBidi"/>
      <w:b/>
      <w:bCs/>
      <w:kern w:val="2"/>
      <w:sz w:val="32"/>
      <w:szCs w:val="32"/>
    </w:rPr>
  </w:style>
  <w:style w:type="paragraph" w:styleId="4">
    <w:name w:val="heading 3"/>
    <w:next w:val="1"/>
    <w:link w:val="55"/>
    <w:unhideWhenUsed/>
    <w:qFormat/>
    <w:uiPriority w:val="9"/>
    <w:pPr>
      <w:numPr>
        <w:ilvl w:val="2"/>
        <w:numId w:val="1"/>
      </w:numPr>
      <w:tabs>
        <w:tab w:val="left" w:pos="0"/>
        <w:tab w:val="left" w:pos="312"/>
      </w:tabs>
      <w:adjustRightInd w:val="0"/>
      <w:snapToGrid w:val="0"/>
      <w:spacing w:before="50" w:beforeLines="50" w:after="20" w:afterLines="20" w:line="288" w:lineRule="auto"/>
      <w:ind w:left="0" w:firstLine="0"/>
      <w:outlineLvl w:val="2"/>
    </w:pPr>
    <w:rPr>
      <w:rFonts w:ascii="微软雅黑" w:hAnsi="微软雅黑" w:eastAsia="微软雅黑" w:cstheme="minorBidi"/>
      <w:b/>
      <w:kern w:val="2"/>
      <w:sz w:val="30"/>
      <w:szCs w:val="30"/>
    </w:rPr>
  </w:style>
  <w:style w:type="paragraph" w:styleId="5">
    <w:name w:val="heading 4"/>
    <w:next w:val="1"/>
    <w:unhideWhenUsed/>
    <w:qFormat/>
    <w:uiPriority w:val="9"/>
    <w:pPr>
      <w:numPr>
        <w:ilvl w:val="3"/>
        <w:numId w:val="1"/>
      </w:numPr>
      <w:tabs>
        <w:tab w:val="left" w:pos="0"/>
      </w:tabs>
      <w:adjustRightInd w:val="0"/>
      <w:snapToGrid w:val="0"/>
      <w:spacing w:before="50" w:beforeLines="50" w:after="20" w:afterLines="20" w:line="288" w:lineRule="auto"/>
      <w:ind w:left="0" w:firstLine="0"/>
      <w:outlineLvl w:val="3"/>
    </w:pPr>
    <w:rPr>
      <w:rFonts w:ascii="微软雅黑" w:hAnsi="微软雅黑" w:eastAsia="微软雅黑" w:cstheme="minorBidi"/>
      <w:b/>
      <w:bCs/>
      <w:sz w:val="28"/>
      <w:szCs w:val="28"/>
    </w:rPr>
  </w:style>
  <w:style w:type="paragraph" w:styleId="6">
    <w:name w:val="heading 5"/>
    <w:basedOn w:val="1"/>
    <w:next w:val="7"/>
    <w:unhideWhenUsed/>
    <w:qFormat/>
    <w:uiPriority w:val="9"/>
    <w:pPr>
      <w:numPr>
        <w:ilvl w:val="4"/>
        <w:numId w:val="1"/>
      </w:numPr>
      <w:tabs>
        <w:tab w:val="left" w:pos="312"/>
      </w:tabs>
      <w:spacing w:before="50" w:beforeLines="50" w:after="20" w:afterLines="20"/>
      <w:ind w:left="0" w:firstLine="0"/>
      <w:jc w:val="left"/>
      <w:outlineLvl w:val="4"/>
    </w:pPr>
    <w:rPr>
      <w:rFonts w:ascii="Arial" w:hAnsi="Arial"/>
      <w:b/>
      <w:sz w:val="24"/>
      <w:szCs w:val="22"/>
    </w:rPr>
  </w:style>
  <w:style w:type="paragraph" w:styleId="8">
    <w:name w:val="heading 6"/>
    <w:basedOn w:val="1"/>
    <w:next w:val="7"/>
    <w:unhideWhenUsed/>
    <w:qFormat/>
    <w:uiPriority w:val="0"/>
    <w:pPr>
      <w:numPr>
        <w:ilvl w:val="5"/>
        <w:numId w:val="1"/>
      </w:numPr>
      <w:tabs>
        <w:tab w:val="left" w:pos="0"/>
      </w:tabs>
      <w:spacing w:before="50" w:beforeLines="50" w:after="20" w:afterLines="20" w:line="288" w:lineRule="auto"/>
      <w:ind w:left="0" w:firstLine="0"/>
      <w:outlineLvl w:val="5"/>
    </w:pPr>
    <w:rPr>
      <w:rFonts w:ascii="微软雅黑" w:hAnsi="微软雅黑"/>
      <w:b/>
      <w:bCs/>
      <w:sz w:val="24"/>
    </w:rPr>
  </w:style>
  <w:style w:type="paragraph" w:styleId="9">
    <w:name w:val="heading 7"/>
    <w:basedOn w:val="1"/>
    <w:next w:val="7"/>
    <w:unhideWhenUsed/>
    <w:qFormat/>
    <w:uiPriority w:val="0"/>
    <w:pPr>
      <w:numPr>
        <w:ilvl w:val="6"/>
        <w:numId w:val="1"/>
      </w:numPr>
      <w:spacing w:before="50" w:beforeLines="50" w:after="20" w:afterLines="20" w:line="288" w:lineRule="auto"/>
      <w:ind w:left="0" w:firstLine="0"/>
      <w:jc w:val="left"/>
      <w:outlineLvl w:val="6"/>
    </w:pPr>
    <w:rPr>
      <w:rFonts w:ascii="微软雅黑" w:hAnsi="微软雅黑"/>
      <w:b/>
      <w:bCs/>
      <w:sz w:val="24"/>
    </w:rPr>
  </w:style>
  <w:style w:type="paragraph" w:styleId="10">
    <w:name w:val="heading 8"/>
    <w:basedOn w:val="1"/>
    <w:next w:val="7"/>
    <w:unhideWhenUsed/>
    <w:qFormat/>
    <w:uiPriority w:val="0"/>
    <w:pPr>
      <w:numPr>
        <w:ilvl w:val="7"/>
        <w:numId w:val="1"/>
      </w:numPr>
      <w:tabs>
        <w:tab w:val="left" w:pos="0"/>
      </w:tabs>
      <w:spacing w:before="50" w:beforeLines="50" w:after="20" w:afterLines="20" w:line="288" w:lineRule="auto"/>
      <w:ind w:left="0" w:firstLine="0"/>
      <w:outlineLvl w:val="7"/>
    </w:pPr>
    <w:rPr>
      <w:rFonts w:ascii="微软雅黑" w:hAnsi="微软雅黑" w:cstheme="majorBidi"/>
      <w:b/>
      <w:bCs/>
      <w:sz w:val="24"/>
    </w:rPr>
  </w:style>
  <w:style w:type="paragraph" w:styleId="11">
    <w:name w:val="heading 9"/>
    <w:basedOn w:val="1"/>
    <w:next w:val="7"/>
    <w:unhideWhenUsed/>
    <w:qFormat/>
    <w:uiPriority w:val="0"/>
    <w:pPr>
      <w:numPr>
        <w:ilvl w:val="8"/>
        <w:numId w:val="1"/>
      </w:numPr>
      <w:spacing w:before="50" w:beforeLines="50" w:after="20" w:afterLines="20" w:line="288" w:lineRule="auto"/>
      <w:ind w:left="0" w:firstLine="0"/>
      <w:outlineLvl w:val="8"/>
    </w:pPr>
    <w:rPr>
      <w:rFonts w:ascii="微软雅黑" w:hAnsi="微软雅黑" w:cstheme="majorBidi"/>
      <w:b/>
      <w:bCs/>
      <w:sz w:val="24"/>
      <w:szCs w:val="24"/>
    </w:rPr>
  </w:style>
  <w:style w:type="character" w:default="1" w:styleId="33">
    <w:name w:val="Default Paragraph Font"/>
    <w:semiHidden/>
    <w:qFormat/>
    <w:uiPriority w:val="0"/>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48"/>
    <w:qFormat/>
    <w:uiPriority w:val="0"/>
    <w:pPr>
      <w:spacing w:after="20" w:afterLines="20" w:afterAutospacing="0" w:line="288" w:lineRule="auto"/>
      <w:ind w:firstLine="0" w:firstLineChars="0"/>
    </w:pPr>
    <w:rPr>
      <w:rFonts w:ascii="微软雅黑" w:hAnsi="微软雅黑"/>
      <w:szCs w:val="21"/>
    </w:rPr>
  </w:style>
  <w:style w:type="paragraph" w:styleId="12">
    <w:name w:val="caption"/>
    <w:basedOn w:val="1"/>
    <w:next w:val="1"/>
    <w:unhideWhenUsed/>
    <w:qFormat/>
    <w:uiPriority w:val="0"/>
    <w:pPr>
      <w:ind w:firstLine="0" w:firstLineChars="0"/>
    </w:pPr>
    <w:rPr>
      <w:rFonts w:ascii="微软雅黑" w:hAnsi="微软雅黑" w:cs="Times New Roman"/>
      <w:sz w:val="20"/>
      <w:szCs w:val="20"/>
    </w:rPr>
  </w:style>
  <w:style w:type="paragraph" w:styleId="13">
    <w:name w:val="annotation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4">
    <w:name w:val="Salutation"/>
    <w:basedOn w:val="1"/>
    <w:next w:val="1"/>
    <w:qFormat/>
    <w:uiPriority w:val="0"/>
    <w:pPr>
      <w:ind w:firstLine="0" w:firstLineChars="0"/>
    </w:pPr>
    <w:rPr>
      <w:rFonts w:ascii="微软雅黑" w:hAnsi="微软雅黑"/>
      <w:szCs w:val="21"/>
    </w:rPr>
  </w:style>
  <w:style w:type="paragraph" w:styleId="15">
    <w:name w:val="Body Text Indent"/>
    <w:basedOn w:val="1"/>
    <w:qFormat/>
    <w:uiPriority w:val="0"/>
    <w:pPr>
      <w:spacing w:after="120"/>
      <w:ind w:leftChars="200"/>
    </w:pPr>
    <w:rPr>
      <w:rFonts w:ascii="仿宋_GB2312"/>
      <w:szCs w:val="32"/>
    </w:rPr>
  </w:style>
  <w:style w:type="paragraph" w:styleId="16">
    <w:name w:val="toc 3"/>
    <w:basedOn w:val="1"/>
    <w:next w:val="1"/>
    <w:unhideWhenUsed/>
    <w:qFormat/>
    <w:uiPriority w:val="39"/>
    <w:pPr>
      <w:tabs>
        <w:tab w:val="right" w:leader="dot" w:pos="8296"/>
      </w:tabs>
      <w:ind w:left="840" w:leftChars="400"/>
    </w:pPr>
  </w:style>
  <w:style w:type="paragraph" w:styleId="17">
    <w:name w:val="Date"/>
    <w:basedOn w:val="1"/>
    <w:next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8">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9">
    <w:name w:val="Balloon Text"/>
    <w:basedOn w:val="1"/>
    <w:link w:val="54"/>
    <w:qFormat/>
    <w:uiPriority w:val="0"/>
    <w:rPr>
      <w:rFonts w:ascii="微软雅黑" w:hAnsi="微软雅黑"/>
      <w:sz w:val="18"/>
      <w:szCs w:val="18"/>
    </w:rPr>
  </w:style>
  <w:style w:type="paragraph" w:styleId="20">
    <w:name w:val="footer"/>
    <w:basedOn w:val="1"/>
    <w:link w:val="46"/>
    <w:qFormat/>
    <w:uiPriority w:val="0"/>
    <w:pPr>
      <w:tabs>
        <w:tab w:val="center" w:pos="4153"/>
        <w:tab w:val="right" w:pos="8306"/>
      </w:tabs>
      <w:ind w:firstLine="0" w:firstLineChars="0"/>
      <w:jc w:val="left"/>
    </w:pPr>
    <w:rPr>
      <w:rFonts w:ascii="微软雅黑" w:hAnsi="微软雅黑"/>
      <w:sz w:val="18"/>
      <w:szCs w:val="18"/>
    </w:rPr>
  </w:style>
  <w:style w:type="paragraph" w:styleId="21">
    <w:name w:val="header"/>
    <w:basedOn w:val="1"/>
    <w:link w:val="44"/>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rFonts w:ascii="微软雅黑" w:hAnsi="微软雅黑"/>
      <w:sz w:val="18"/>
      <w:szCs w:val="18"/>
    </w:rPr>
  </w:style>
  <w:style w:type="paragraph" w:styleId="22">
    <w:name w:val="Signature"/>
    <w:basedOn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24">
    <w:name w:val="Subtitle"/>
    <w:basedOn w:val="1"/>
    <w:next w:val="7"/>
    <w:qFormat/>
    <w:uiPriority w:val="0"/>
    <w:pPr>
      <w:spacing w:beforeLines="0" w:beforeAutospacing="0" w:after="100" w:afterLines="100" w:afterAutospacing="0" w:line="240" w:lineRule="auto"/>
      <w:jc w:val="center"/>
      <w:outlineLvl w:val="9"/>
    </w:pPr>
    <w:rPr>
      <w:rFonts w:ascii="微软雅黑" w:hAnsi="微软雅黑"/>
      <w:b/>
      <w:bCs/>
      <w:kern w:val="28"/>
      <w:sz w:val="36"/>
      <w:szCs w:val="36"/>
    </w:rPr>
  </w:style>
  <w:style w:type="paragraph" w:styleId="25">
    <w:name w:val="footnote text"/>
    <w:basedOn w:val="1"/>
    <w:qFormat/>
    <w:uiPriority w:val="0"/>
    <w:pPr>
      <w:jc w:val="left"/>
    </w:pPr>
    <w:rPr>
      <w:rFonts w:ascii="微软雅黑" w:hAnsi="微软雅黑" w:eastAsia="微软雅黑"/>
      <w:sz w:val="24"/>
    </w:rPr>
  </w:style>
  <w:style w:type="paragraph" w:styleId="26">
    <w:name w:val="table of figures"/>
    <w:basedOn w:val="1"/>
    <w:next w:val="1"/>
    <w:qFormat/>
    <w:uiPriority w:val="0"/>
    <w:rPr>
      <w:rFonts w:ascii="Calibri" w:hAnsi="Calibri" w:eastAsia="方正仿宋_GB2312" w:cs="Times New Roman"/>
      <w:sz w:val="36"/>
      <w:szCs w:val="22"/>
    </w:rPr>
  </w:style>
  <w:style w:type="paragraph" w:styleId="27">
    <w:name w:val="toc 2"/>
    <w:basedOn w:val="1"/>
    <w:next w:val="1"/>
    <w:unhideWhenUsed/>
    <w:qFormat/>
    <w:uiPriority w:val="39"/>
    <w:pPr>
      <w:tabs>
        <w:tab w:val="right" w:leader="dot" w:pos="8296"/>
      </w:tabs>
      <w:ind w:left="420" w:leftChars="200"/>
    </w:pPr>
  </w:style>
  <w:style w:type="paragraph" w:styleId="28">
    <w:name w:val="Normal (Web)"/>
    <w:basedOn w:val="1"/>
    <w:qFormat/>
    <w:uiPriority w:val="0"/>
    <w:rPr>
      <w:rFonts w:ascii="微软雅黑" w:hAnsi="微软雅黑"/>
      <w:sz w:val="24"/>
    </w:rPr>
  </w:style>
  <w:style w:type="paragraph" w:styleId="29">
    <w:name w:val="Title"/>
    <w:basedOn w:val="1"/>
    <w:qFormat/>
    <w:uiPriority w:val="10"/>
    <w:pPr>
      <w:spacing w:after="100" w:afterLines="100" w:line="288" w:lineRule="auto"/>
      <w:jc w:val="center"/>
      <w:outlineLvl w:val="9"/>
    </w:pPr>
    <w:rPr>
      <w:rFonts w:ascii="微软雅黑" w:hAnsi="微软雅黑"/>
      <w:b/>
      <w:bCs/>
      <w:sz w:val="48"/>
      <w:szCs w:val="48"/>
    </w:rPr>
  </w:style>
  <w:style w:type="paragraph" w:styleId="30">
    <w:name w:val="annotation subject"/>
    <w:basedOn w:val="13"/>
    <w:next w:val="13"/>
    <w:qFormat/>
    <w:uiPriority w:val="0"/>
    <w:rPr>
      <w:b/>
      <w:bCs/>
    </w:rPr>
  </w:style>
  <w:style w:type="paragraph" w:styleId="31">
    <w:name w:val="Body Text First Indent 2"/>
    <w:basedOn w:val="15"/>
    <w:unhideWhenUsed/>
    <w:qFormat/>
    <w:uiPriority w:val="99"/>
    <w:pPr>
      <w:ind w:firstLine="420" w:firstLineChars="200"/>
    </w:pPr>
  </w:style>
  <w:style w:type="character" w:styleId="34">
    <w:name w:val="Strong"/>
    <w:basedOn w:val="33"/>
    <w:qFormat/>
    <w:uiPriority w:val="22"/>
    <w:rPr>
      <w:rFonts w:ascii="微软雅黑" w:hAnsi="微软雅黑" w:eastAsia="微软雅黑"/>
      <w:b/>
      <w:color w:val="auto"/>
      <w:u w:val="single"/>
    </w:rPr>
  </w:style>
  <w:style w:type="character" w:styleId="35">
    <w:name w:val="endnote reference"/>
    <w:basedOn w:val="33"/>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36">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37">
    <w:name w:val="FollowedHyperlink"/>
    <w:basedOn w:val="33"/>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38">
    <w:name w:val="Emphasis"/>
    <w:basedOn w:val="33"/>
    <w:qFormat/>
    <w:uiPriority w:val="20"/>
    <w:rPr>
      <w:rFonts w:ascii="Arial" w:hAnsi="Arial" w:eastAsia="微软雅黑"/>
      <w:b/>
      <w:bCs/>
      <w:i/>
      <w:color w:val="auto"/>
      <w:sz w:val="24"/>
      <w:szCs w:val="22"/>
    </w:rPr>
  </w:style>
  <w:style w:type="character" w:styleId="39">
    <w:name w:val="Hyperlink"/>
    <w:basedOn w:val="33"/>
    <w:qFormat/>
    <w:uiPriority w:val="0"/>
    <w:rPr>
      <w:rFonts w:ascii="微软雅黑" w:hAnsi="微软雅黑" w:eastAsia="微软雅黑" w:cs="Times New Roman"/>
      <w:caps/>
      <w:color w:val="0000FF"/>
      <w:spacing w:val="-6"/>
      <w:kern w:val="2"/>
      <w:sz w:val="24"/>
      <w:szCs w:val="24"/>
      <w:u w:val="single"/>
      <w:lang w:val="en-US" w:eastAsia="zh-CN" w:bidi="ar-SA"/>
    </w:rPr>
  </w:style>
  <w:style w:type="character" w:styleId="40">
    <w:name w:val="annotation reference"/>
    <w:basedOn w:val="33"/>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41">
    <w:name w:val="footnote reference"/>
    <w:basedOn w:val="33"/>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paragraph" w:customStyle="1" w:styleId="4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43">
    <w:name w:val="Header Char"/>
    <w:basedOn w:val="33"/>
    <w:semiHidden/>
    <w:qFormat/>
    <w:uiPriority w:val="99"/>
    <w:rPr>
      <w:rFonts w:ascii="Times New Roman" w:hAnsi="Times New Roman"/>
      <w:sz w:val="18"/>
      <w:szCs w:val="18"/>
    </w:rPr>
  </w:style>
  <w:style w:type="character" w:customStyle="1" w:styleId="44">
    <w:name w:val="页眉 Char"/>
    <w:link w:val="21"/>
    <w:semiHidden/>
    <w:qFormat/>
    <w:locked/>
    <w:uiPriority w:val="99"/>
    <w:rPr>
      <w:rFonts w:ascii="微软雅黑" w:hAnsi="微软雅黑"/>
      <w:sz w:val="18"/>
      <w:szCs w:val="18"/>
    </w:rPr>
  </w:style>
  <w:style w:type="character" w:customStyle="1" w:styleId="45">
    <w:name w:val="Footer Char"/>
    <w:basedOn w:val="33"/>
    <w:semiHidden/>
    <w:qFormat/>
    <w:uiPriority w:val="99"/>
    <w:rPr>
      <w:rFonts w:ascii="Times New Roman" w:hAnsi="Times New Roman"/>
      <w:sz w:val="18"/>
      <w:szCs w:val="18"/>
    </w:rPr>
  </w:style>
  <w:style w:type="character" w:customStyle="1" w:styleId="46">
    <w:name w:val="页脚 Char"/>
    <w:link w:val="20"/>
    <w:qFormat/>
    <w:locked/>
    <w:uiPriority w:val="99"/>
    <w:rPr>
      <w:rFonts w:ascii="微软雅黑" w:hAnsi="微软雅黑"/>
      <w:sz w:val="18"/>
      <w:szCs w:val="18"/>
    </w:rPr>
  </w:style>
  <w:style w:type="character" w:customStyle="1" w:styleId="47">
    <w:name w:val="Body Text Char"/>
    <w:basedOn w:val="33"/>
    <w:semiHidden/>
    <w:qFormat/>
    <w:uiPriority w:val="99"/>
    <w:rPr>
      <w:rFonts w:ascii="Times New Roman" w:hAnsi="Times New Roman"/>
      <w:szCs w:val="24"/>
    </w:rPr>
  </w:style>
  <w:style w:type="character" w:customStyle="1" w:styleId="48">
    <w:name w:val="正文文本 Char"/>
    <w:link w:val="7"/>
    <w:qFormat/>
    <w:locked/>
    <w:uiPriority w:val="99"/>
    <w:rPr>
      <w:rFonts w:ascii="微软雅黑" w:hAnsi="微软雅黑"/>
      <w:szCs w:val="21"/>
    </w:rPr>
  </w:style>
  <w:style w:type="paragraph" w:customStyle="1" w:styleId="4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50">
    <w:name w:val="List Paragraph"/>
    <w:basedOn w:val="1"/>
    <w:qFormat/>
    <w:uiPriority w:val="34"/>
    <w:pPr>
      <w:ind w:firstLine="420" w:firstLineChars="200"/>
    </w:pPr>
  </w:style>
  <w:style w:type="character" w:customStyle="1" w:styleId="51">
    <w:name w:val="标题 1 Char"/>
    <w:link w:val="2"/>
    <w:qFormat/>
    <w:uiPriority w:val="9"/>
    <w:rPr>
      <w:rFonts w:ascii="微软雅黑" w:hAnsi="微软雅黑" w:eastAsia="微软雅黑" w:cstheme="minorBidi"/>
      <w:b/>
      <w:bCs/>
      <w:kern w:val="44"/>
      <w:sz w:val="36"/>
      <w:szCs w:val="36"/>
    </w:rPr>
  </w:style>
  <w:style w:type="character" w:customStyle="1" w:styleId="52">
    <w:name w:val="标题 2 Char"/>
    <w:link w:val="3"/>
    <w:qFormat/>
    <w:uiPriority w:val="9"/>
    <w:rPr>
      <w:rFonts w:ascii="微软雅黑" w:hAnsi="微软雅黑" w:eastAsia="微软雅黑" w:cstheme="minorBidi"/>
      <w:b/>
      <w:bCs/>
      <w:kern w:val="2"/>
      <w:sz w:val="32"/>
      <w:szCs w:val="32"/>
    </w:rPr>
  </w:style>
  <w:style w:type="paragraph" w:customStyle="1" w:styleId="5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4">
    <w:name w:val="批注框文本 Char"/>
    <w:link w:val="19"/>
    <w:semiHidden/>
    <w:qFormat/>
    <w:uiPriority w:val="99"/>
    <w:rPr>
      <w:rFonts w:ascii="微软雅黑" w:hAnsi="微软雅黑"/>
      <w:sz w:val="18"/>
      <w:szCs w:val="18"/>
    </w:rPr>
  </w:style>
  <w:style w:type="character" w:customStyle="1" w:styleId="55">
    <w:name w:val="标题 3 Char"/>
    <w:link w:val="4"/>
    <w:qFormat/>
    <w:uiPriority w:val="9"/>
    <w:rPr>
      <w:rFonts w:ascii="微软雅黑" w:hAnsi="微软雅黑" w:eastAsia="微软雅黑" w:cstheme="minorBidi"/>
      <w:b/>
      <w:kern w:val="2"/>
      <w:sz w:val="30"/>
      <w:szCs w:val="30"/>
    </w:rPr>
  </w:style>
  <w:style w:type="paragraph" w:customStyle="1" w:styleId="56">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7">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58">
    <w:name w:val="文档说明标题"/>
    <w:basedOn w:val="1"/>
    <w:next w:val="1"/>
    <w:qFormat/>
    <w:uiPriority w:val="0"/>
    <w:pPr>
      <w:spacing w:after="100" w:afterLines="100" w:line="240" w:lineRule="auto"/>
      <w:ind w:firstLine="0" w:firstLineChars="0"/>
      <w:jc w:val="center"/>
      <w:outlineLvl w:val="9"/>
    </w:pPr>
    <w:rPr>
      <w:rFonts w:ascii="微软雅黑" w:hAnsi="微软雅黑"/>
      <w:b/>
      <w:bCs/>
      <w:sz w:val="48"/>
      <w:szCs w:val="48"/>
      <w:lang w:eastAsia="zh-Hans"/>
    </w:rPr>
  </w:style>
  <w:style w:type="paragraph" w:customStyle="1" w:styleId="59">
    <w:name w:val="附录标题"/>
    <w:next w:val="7"/>
    <w:qFormat/>
    <w:uiPriority w:val="0"/>
    <w:pPr>
      <w:tabs>
        <w:tab w:val="left" w:pos="0"/>
      </w:tabs>
      <w:bidi w:val="0"/>
      <w:adjustRightInd w:val="0"/>
      <w:snapToGrid w:val="0"/>
      <w:spacing w:after="100" w:afterLines="100" w:line="240" w:lineRule="auto"/>
      <w:jc w:val="center"/>
    </w:pPr>
    <w:rPr>
      <w:rFonts w:ascii="微软雅黑" w:hAnsi="微软雅黑" w:eastAsia="微软雅黑" w:cstheme="minorBidi"/>
      <w:b/>
      <w:bCs/>
      <w:snapToGrid/>
      <w:kern w:val="28"/>
      <w:sz w:val="44"/>
      <w:szCs w:val="44"/>
      <w:lang w:val="en-US" w:eastAsia="zh-CN" w:bidi="ar-SA"/>
    </w:rPr>
  </w:style>
  <w:style w:type="paragraph" w:customStyle="1" w:styleId="60">
    <w:name w:val="章标题"/>
    <w:basedOn w:val="1"/>
    <w:next w:val="1"/>
    <w:qFormat/>
    <w:uiPriority w:val="0"/>
    <w:pPr>
      <w:spacing w:beforeLines="0" w:after="100" w:afterLines="100" w:line="240" w:lineRule="auto"/>
      <w:jc w:val="center"/>
      <w:outlineLvl w:val="0"/>
    </w:pPr>
    <w:rPr>
      <w:rFonts w:hint="eastAsia" w:ascii="微软雅黑" w:hAnsi="微软雅黑"/>
      <w:b/>
      <w:bCs/>
      <w:kern w:val="28"/>
      <w:sz w:val="44"/>
      <w:szCs w:val="44"/>
    </w:rPr>
  </w:style>
  <w:style w:type="paragraph" w:customStyle="1" w:styleId="61">
    <w:name w:val="节标题"/>
    <w:basedOn w:val="1"/>
    <w:next w:val="1"/>
    <w:qFormat/>
    <w:uiPriority w:val="0"/>
    <w:pPr>
      <w:spacing w:beforeLines="0" w:after="100" w:afterLines="100" w:line="240" w:lineRule="auto"/>
      <w:jc w:val="center"/>
      <w:outlineLvl w:val="0"/>
    </w:pPr>
    <w:rPr>
      <w:rFonts w:hint="eastAsia" w:ascii="微软雅黑" w:hAnsi="微软雅黑"/>
      <w:b/>
      <w:bCs/>
      <w:kern w:val="28"/>
      <w:sz w:val="36"/>
      <w:szCs w:val="36"/>
    </w:rPr>
  </w:style>
  <w:style w:type="character" w:customStyle="1" w:styleId="62">
    <w:name w:val="摘要"/>
    <w:basedOn w:val="33"/>
    <w:qFormat/>
    <w:uiPriority w:val="0"/>
    <w:rPr>
      <w:rFonts w:hint="eastAsia" w:ascii="Arial" w:hAnsi="Arial"/>
      <w:b/>
      <w:lang w:val="en-US" w:eastAsia="zh-CN"/>
    </w:rPr>
  </w:style>
  <w:style w:type="character" w:customStyle="1" w:styleId="63">
    <w:name w:val="关键词"/>
    <w:basedOn w:val="33"/>
    <w:qFormat/>
    <w:uiPriority w:val="0"/>
    <w:rPr>
      <w:rFonts w:hint="eastAsia" w:ascii="Arial" w:hAnsi="Arial"/>
      <w:b/>
      <w:lang w:val="en-US" w:eastAsia="zh-CN"/>
    </w:rPr>
  </w:style>
  <w:style w:type="paragraph" w:customStyle="1" w:styleId="64">
    <w:name w:val="题注1"/>
    <w:basedOn w:val="1"/>
    <w:qFormat/>
    <w:uiPriority w:val="0"/>
    <w:pPr>
      <w:jc w:val="center"/>
    </w:pPr>
    <w:rPr>
      <w:rFonts w:hint="eastAsia" w:ascii="微软雅黑" w:hAnsi="微软雅黑"/>
      <w:sz w:val="20"/>
      <w:szCs w:val="20"/>
    </w:rPr>
  </w:style>
  <w:style w:type="paragraph" w:customStyle="1" w:styleId="65">
    <w:name w:val="主送对象"/>
    <w:next w:val="7"/>
    <w:qFormat/>
    <w:uiPriority w:val="0"/>
    <w:pPr>
      <w:bidi w:val="0"/>
      <w:adjustRightInd w:val="0"/>
      <w:snapToGrid w:val="0"/>
      <w:spacing w:line="288" w:lineRule="auto"/>
    </w:pPr>
    <w:rPr>
      <w:rFonts w:ascii="微软雅黑" w:hAnsi="微软雅黑" w:eastAsia="微软雅黑" w:cs="Times New Roman"/>
      <w:color w:val="262626" w:themeColor="text1" w:themeTint="D9"/>
      <w:sz w:val="24"/>
      <w:szCs w:val="24"/>
      <w:lang w:val="en-US" w:eastAsia="zh-CN" w:bidi="ar-SA"/>
      <w14:textFill>
        <w14:solidFill>
          <w14:schemeClr w14:val="tx1">
            <w14:lumMod w14:val="85000"/>
            <w14:lumOff w14:val="15000"/>
          </w14:schemeClr>
        </w14:solidFill>
      </w14:textFill>
    </w:rPr>
  </w:style>
  <w:style w:type="paragraph" w:customStyle="1" w:styleId="66">
    <w:name w:val="目录标题"/>
    <w:basedOn w:val="1"/>
    <w:qFormat/>
    <w:uiPriority w:val="0"/>
    <w:pPr>
      <w:spacing w:before="0" w:beforeLines="0" w:afterLines="0" w:line="240" w:lineRule="auto"/>
      <w:ind w:firstLine="0" w:firstLineChars="0"/>
      <w:jc w:val="center"/>
    </w:pPr>
    <w:rPr>
      <w:rFonts w:ascii="微软雅黑" w:hAnsi="微软雅黑" w:eastAsia="微软雅黑"/>
      <w:b/>
      <w:sz w:val="28"/>
      <w:szCs w:val="28"/>
    </w:rPr>
  </w:style>
  <w:style w:type="paragraph" w:customStyle="1" w:styleId="67">
    <w:name w:val="致谢标题"/>
    <w:qFormat/>
    <w:uiPriority w:val="0"/>
    <w:pPr>
      <w:bidi w:val="0"/>
      <w:adjustRightInd w:val="0"/>
      <w:snapToGrid w:val="0"/>
      <w:spacing w:beforeLines="0" w:after="100" w:afterLines="100" w:line="240" w:lineRule="auto"/>
      <w:jc w:val="center"/>
      <w:outlineLvl w:val="0"/>
    </w:pPr>
    <w:rPr>
      <w:rFonts w:ascii="微软雅黑" w:hAnsi="微软雅黑" w:eastAsia="微软雅黑" w:cstheme="minorBidi"/>
      <w:b/>
      <w:bCs/>
      <w:snapToGrid/>
      <w:kern w:val="28"/>
      <w:sz w:val="44"/>
      <w:szCs w:val="44"/>
      <w:lang w:val="en-US" w:eastAsia="zh-CN" w:bidi="ar-SA"/>
    </w:rPr>
  </w:style>
  <w:style w:type="paragraph" w:customStyle="1" w:styleId="68">
    <w:name w:val="声明标题"/>
    <w:next w:val="7"/>
    <w:qFormat/>
    <w:uiPriority w:val="0"/>
    <w:pPr>
      <w:bidi w:val="0"/>
      <w:adjustRightInd w:val="0"/>
      <w:snapToGrid w:val="0"/>
      <w:spacing w:after="100" w:afterLines="100"/>
      <w:jc w:val="center"/>
    </w:pPr>
    <w:rPr>
      <w:rFonts w:ascii="微软雅黑" w:hAnsi="微软雅黑" w:eastAsia="微软雅黑" w:cstheme="minorBidi"/>
      <w:b/>
      <w:bCs/>
      <w:snapToGrid/>
      <w:kern w:val="28"/>
      <w:sz w:val="44"/>
      <w:szCs w:val="44"/>
      <w:lang w:val="en-US" w:eastAsia="zh-CN" w:bidi="ar-SA"/>
    </w:rPr>
  </w:style>
  <w:style w:type="paragraph" w:customStyle="1" w:styleId="69">
    <w:name w:val="参考文献标题"/>
    <w:link w:val="70"/>
    <w:qFormat/>
    <w:uiPriority w:val="0"/>
    <w:pPr>
      <w:bidi w:val="0"/>
      <w:adjustRightInd w:val="0"/>
      <w:snapToGrid w:val="0"/>
      <w:spacing w:after="100" w:afterLines="100"/>
      <w:jc w:val="center"/>
    </w:pPr>
    <w:rPr>
      <w:rFonts w:ascii="微软雅黑" w:hAnsi="微软雅黑" w:eastAsia="微软雅黑" w:cstheme="minorBidi"/>
      <w:b/>
      <w:bCs/>
      <w:sz w:val="44"/>
      <w:szCs w:val="44"/>
      <w:lang w:val="en-US" w:eastAsia="zh-CN"/>
    </w:rPr>
  </w:style>
  <w:style w:type="character" w:customStyle="1" w:styleId="70">
    <w:name w:val="参考文献标题 Char"/>
    <w:link w:val="69"/>
    <w:qFormat/>
    <w:uiPriority w:val="0"/>
    <w:rPr>
      <w:rFonts w:ascii="微软雅黑" w:hAnsi="微软雅黑" w:eastAsia="微软雅黑" w:cstheme="minorBidi"/>
      <w:b/>
      <w:bCs/>
      <w:sz w:val="44"/>
      <w:szCs w:val="4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45</Pages>
  <Words>11885</Words>
  <Characters>13349</Characters>
  <Lines>61</Lines>
  <Paragraphs>17</Paragraphs>
  <TotalTime>21</TotalTime>
  <ScaleCrop>false</ScaleCrop>
  <LinksUpToDate>false</LinksUpToDate>
  <CharactersWithSpaces>13401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凝萌</cp:lastModifiedBy>
  <cp:lastPrinted>2025-08-06T17:34:00Z</cp:lastPrinted>
  <dcterms:modified xsi:type="dcterms:W3CDTF">2025-09-23T01:18:11Z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04787F2533EB45DC91BCDE4AB213247F</vt:lpwstr>
  </property>
  <property fmtid="{D5CDD505-2E9C-101B-9397-08002B2CF9AE}" pid="4" name="KSOTemplateDocerSaveRecord">
    <vt:lpwstr>eyJoZGlkIjoiYTcyNWFkMTcyNTdhMmU4ZmExZTczMDY3MzA5MjkxYWMiLCJ1c2VySWQiOiIzMjU2MzcyMzQifQ==</vt:lpwstr>
  </property>
</Properties>
</file>