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版本号：N510683202500016220250827002</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2025年公务用车购置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N5106832025000162</w:t>
      </w:r>
    </w:p>
    <w:p>
      <w:pPr>
        <w:pStyle w:val="null3"/>
        <w:jc w:val="left"/>
        <w:outlineLvl w:val="2"/>
      </w:pPr>
      <w:r>
        <w:rPr>
          <w:rFonts w:ascii="仿宋_GB2312" w:hAnsi="仿宋_GB2312" w:cs="仿宋_GB2312" w:eastAsia="仿宋_GB2312"/>
          <w:sz w:val="28"/>
          <w:b/>
        </w:rPr>
        <w:t>绵竹市机关事务中心</w:t>
      </w:r>
    </w:p>
    <w:p>
      <w:pPr>
        <w:pStyle w:val="null3"/>
        <w:jc w:val="center"/>
        <w:outlineLvl w:val="2"/>
      </w:pPr>
      <w:r>
        <w:rPr>
          <w:rFonts w:ascii="仿宋_GB2312" w:hAnsi="仿宋_GB2312" w:cs="仿宋_GB2312" w:eastAsia="仿宋_GB2312"/>
          <w:sz w:val="28"/>
          <w:b/>
        </w:rPr>
        <w:t>绵竹市政府政务服务和公共资源交易服务中心（绵竹市政府采购中心）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绵竹市政府政务服务和公共资源交易服务中心（绵竹市政府采购中心）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绵竹市机关事务中心</w:t>
      </w:r>
      <w:r>
        <w:rPr>
          <w:rFonts w:ascii="仿宋_GB2312" w:hAnsi="仿宋_GB2312" w:cs="仿宋_GB2312" w:eastAsia="仿宋_GB2312"/>
        </w:rPr>
        <w:t xml:space="preserve"> 委托，拟对 </w:t>
      </w:r>
      <w:r>
        <w:rPr>
          <w:rFonts w:ascii="仿宋_GB2312" w:hAnsi="仿宋_GB2312" w:cs="仿宋_GB2312" w:eastAsia="仿宋_GB2312"/>
        </w:rPr>
        <w:t>2025年公务用车购置</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德阳市绵竹市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N5106832025000162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2025年公务用车购置</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绵竹市机关事务中心拟采用询价方式采购公务用车乘用车一批。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监督部门：绵竹市财政局，联系电话：0838-6905527。</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绵竹市机关事务中心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绵竹市剑南镇回澜大道395号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13980118726</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绵竹市政府政务服务和公共资源交易服务中心（绵竹市政府采购中心）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绵竹市苏绵大道中段21号政务服务中心D区4楼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0838-6784411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采购包1：1,190,000.00元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询价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绵竹市机关事务中心</w:t>
      </w:r>
      <w:r>
        <w:rPr>
          <w:rFonts w:ascii="仿宋_GB2312" w:hAnsi="仿宋_GB2312" w:cs="仿宋_GB2312" w:eastAsia="仿宋_GB2312"/>
        </w:rPr>
        <w:t xml:space="preserve"> 和 </w:t>
      </w:r>
      <w:r>
        <w:rPr>
          <w:rFonts w:ascii="仿宋_GB2312" w:hAnsi="仿宋_GB2312" w:cs="仿宋_GB2312" w:eastAsia="仿宋_GB2312"/>
        </w:rPr>
        <w:t>绵竹市政府政务服务和公共资源交易服务中心（绵竹市政府采购中心）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绵竹市机关事务中心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绵竹市政府政务服务和公共资源交易服务中心（绵竹市政府采购中心）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更正后的询价通知书上传至交易系统，通过交易系统向已获取询价通知书的供应商发送更正通知，在四川政府采购网发布更正公告。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三、采购人或者代理机构通过交易系统发出更正通知的同时，即为送达供应商。供应商应当及时查看更正公告、更正信息，并根据更正公告、更正信息要求，获取更正后的询价通知书，进行响应文件编制。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交付完成</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询价通知书的质量要求和技术指标以及响应文件的承诺。</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是否按合同约定的时间、地点、质量、培训、售后等实施该项目。</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（1）验收标准以询价通知书技术参数及要求、响应文件和相关行业标准为准。 （2）本项目采购人将严格按照政府采购相关法律法规以及《财政部关于进一步加强政府采购需求和履约验收管理的指导意见》财库（2016）205 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其他未尽事宜应严格按照国家、行业以及《财政部关于进一步加强政府采购需求和履约验收管理的指导意见》（财库〔2016〕205号）和《政府采购需求管理办法》（财库〔2021〕22号）的要求进行。</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绵竹市机关事务中心</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绵竹市政府政务服务和公共资源交易服务中心（绵竹市政府采购中心）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绵竹市政府政务服务和公共资源交易服务中心（绵竹市政府采购中心）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联系人：杨先生</w:t>
      </w:r>
    </w:p>
    <w:p>
      <w:pPr>
        <w:pStyle w:val="null3"/>
        <w:jc w:val="left"/>
      </w:pPr>
      <w:r>
        <w:rPr>
          <w:rFonts w:ascii="仿宋_GB2312" w:hAnsi="仿宋_GB2312" w:cs="仿宋_GB2312" w:eastAsia="仿宋_GB2312"/>
        </w:rPr>
        <w:t>联系电话：13980118726</w:t>
      </w:r>
    </w:p>
    <w:p>
      <w:pPr>
        <w:pStyle w:val="null3"/>
        <w:jc w:val="left"/>
      </w:pPr>
      <w:r>
        <w:rPr>
          <w:rFonts w:ascii="仿宋_GB2312" w:hAnsi="仿宋_GB2312" w:cs="仿宋_GB2312" w:eastAsia="仿宋_GB2312"/>
        </w:rPr>
        <w:t>地址：绵竹市剑南镇回澜大道395号</w:t>
      </w:r>
    </w:p>
    <w:p>
      <w:pPr>
        <w:pStyle w:val="null3"/>
        <w:jc w:val="left"/>
      </w:pPr>
      <w:r>
        <w:rPr>
          <w:rFonts w:ascii="仿宋_GB2312" w:hAnsi="仿宋_GB2312" w:cs="仿宋_GB2312" w:eastAsia="仿宋_GB2312"/>
        </w:rPr>
        <w:t>邮编：618200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联系人：杨女士</w:t>
      </w:r>
    </w:p>
    <w:p>
      <w:pPr>
        <w:pStyle w:val="null3"/>
        <w:jc w:val="left"/>
      </w:pPr>
      <w:r>
        <w:rPr>
          <w:rFonts w:ascii="仿宋_GB2312" w:hAnsi="仿宋_GB2312" w:cs="仿宋_GB2312" w:eastAsia="仿宋_GB2312"/>
        </w:rPr>
        <w:t>联系电话：0838-6784411</w:t>
      </w:r>
    </w:p>
    <w:p>
      <w:pPr>
        <w:pStyle w:val="null3"/>
        <w:jc w:val="left"/>
      </w:pPr>
      <w:r>
        <w:rPr>
          <w:rFonts w:ascii="仿宋_GB2312" w:hAnsi="仿宋_GB2312" w:cs="仿宋_GB2312" w:eastAsia="仿宋_GB2312"/>
        </w:rPr>
        <w:t>地址：绵竹市苏绵大道中段21号政务服务中心D区4楼</w:t>
      </w:r>
    </w:p>
    <w:p>
      <w:pPr>
        <w:pStyle w:val="null3"/>
        <w:jc w:val="left"/>
      </w:pPr>
      <w:r>
        <w:rPr>
          <w:rFonts w:ascii="仿宋_GB2312" w:hAnsi="仿宋_GB2312" w:cs="仿宋_GB2312" w:eastAsia="仿宋_GB2312"/>
        </w:rPr>
        <w:t>邮编：618200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获取询价通知书之日。对更正后的询价通知书提出质疑的，如质疑内容为更正内容，为发出询价通知书更正通知之日；如质疑内容为原询价通知书内容，为获取原询价通知书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1,190,000.00</w:t>
      </w:r>
    </w:p>
    <w:p>
      <w:pPr>
        <w:pStyle w:val="null3"/>
        <w:jc w:val="left"/>
      </w:pPr>
      <w:r>
        <w:rPr>
          <w:rFonts w:ascii="仿宋_GB2312" w:hAnsi="仿宋_GB2312" w:cs="仿宋_GB2312" w:eastAsia="仿宋_GB2312"/>
        </w:rPr>
        <w:t>采购包最高限价（元）: 1,170,000.00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A02030501 轿车</w:t>
            </w:r>
          </w:p>
        </w:tc>
        <w:tc>
          <w:tcPr>
            <w:tcW w:type="dxa" w:w="821"/>
          </w:tcPr>
          <w:p>
            <w:pPr>
              <w:pStyle w:val="null3"/>
              <w:jc w:val="left"/>
            </w:pPr>
            <w:r>
              <w:rPr>
                <w:rFonts w:ascii="仿宋_GB2312" w:hAnsi="仿宋_GB2312" w:cs="仿宋_GB2312" w:eastAsia="仿宋_GB2312"/>
              </w:rPr>
              <w:t>新能源乘用车</w:t>
            </w:r>
          </w:p>
        </w:tc>
        <w:tc>
          <w:tcPr>
            <w:tcW w:type="dxa" w:w="821"/>
          </w:tcPr>
          <w:p>
            <w:pPr>
              <w:pStyle w:val="null3"/>
              <w:jc w:val="right"/>
            </w:pPr>
            <w:r>
              <w:rPr>
                <w:rFonts w:ascii="仿宋_GB2312" w:hAnsi="仿宋_GB2312" w:cs="仿宋_GB2312" w:eastAsia="仿宋_GB2312"/>
              </w:rPr>
              <w:t>9.00（项）</w:t>
            </w:r>
          </w:p>
        </w:tc>
        <w:tc>
          <w:tcPr>
            <w:tcW w:type="dxa" w:w="821"/>
          </w:tcPr>
          <w:p>
            <w:pPr>
              <w:pStyle w:val="null3"/>
              <w:jc w:val="right"/>
            </w:pPr>
            <w:r>
              <w:rPr>
                <w:rFonts w:ascii="仿宋_GB2312" w:hAnsi="仿宋_GB2312" w:cs="仿宋_GB2312" w:eastAsia="仿宋_GB2312"/>
              </w:rPr>
              <w:t>1,170,000.00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新能源乘用车</w:t>
            </w:r>
          </w:p>
        </w:tc>
        <w:tc>
          <w:tcPr>
            <w:tcW w:type="dxa" w:w="1138"/>
          </w:tcPr>
          <w:p>
            <w:pPr>
              <w:pStyle w:val="null3"/>
              <w:jc w:val="center"/>
            </w:pPr>
            <w:r>
              <w:rPr>
                <w:rFonts w:ascii="仿宋_GB2312" w:hAnsi="仿宋_GB2312" w:cs="仿宋_GB2312" w:eastAsia="仿宋_GB2312"/>
              </w:rPr>
              <w:t>9.00（项）</w:t>
            </w:r>
          </w:p>
        </w:tc>
        <w:tc>
          <w:tcPr>
            <w:tcW w:type="dxa" w:w="1365"/>
          </w:tcPr>
          <w:p>
            <w:pPr>
              <w:pStyle w:val="null3"/>
              <w:jc w:val="center"/>
            </w:pPr>
            <w:r>
              <w:rPr>
                <w:rFonts w:ascii="仿宋_GB2312" w:hAnsi="仿宋_GB2312" w:cs="仿宋_GB2312" w:eastAsia="仿宋_GB2312"/>
              </w:rPr>
              <w:t>1,170,000.00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A02030501 轿车</w:t>
            </w:r>
          </w:p>
        </w:tc>
        <w:tc>
          <w:tcPr>
            <w:tcW w:type="dxa" w:w="2492"/>
          </w:tcPr>
          <w:p>
            <w:pPr>
              <w:pStyle w:val="null3"/>
              <w:jc w:val="left"/>
            </w:pPr>
            <w:r>
              <w:rPr>
                <w:rFonts w:ascii="仿宋_GB2312" w:hAnsi="仿宋_GB2312" w:cs="仿宋_GB2312" w:eastAsia="仿宋_GB2312"/>
              </w:rPr>
              <w:t>新能源乘用车</w:t>
            </w:r>
          </w:p>
        </w:tc>
        <w:tc>
          <w:tcPr>
            <w:tcW w:type="dxa" w:w="2492"/>
          </w:tcPr>
          <w:p>
            <w:pPr>
              <w:pStyle w:val="null3"/>
              <w:jc w:val="left"/>
            </w:pPr>
            <w:r>
              <w:rPr>
                <w:rFonts w:ascii="仿宋_GB2312" w:hAnsi="仿宋_GB2312" w:cs="仿宋_GB2312" w:eastAsia="仿宋_GB2312"/>
              </w:rPr>
              <w:t>新能源乘用车</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A02030501 轿车</w:t>
            </w:r>
          </w:p>
        </w:tc>
        <w:tc>
          <w:tcPr>
            <w:tcW w:type="dxa" w:w="2492"/>
          </w:tcPr>
          <w:p>
            <w:pPr>
              <w:pStyle w:val="null3"/>
              <w:jc w:val="left"/>
            </w:pPr>
            <w:r>
              <w:rPr>
                <w:rFonts w:ascii="仿宋_GB2312" w:hAnsi="仿宋_GB2312" w:cs="仿宋_GB2312" w:eastAsia="仿宋_GB2312"/>
              </w:rPr>
              <w:t>新能源乘用车</w:t>
            </w:r>
          </w:p>
        </w:tc>
        <w:tc>
          <w:tcPr>
            <w:tcW w:type="dxa" w:w="2492"/>
          </w:tcPr>
          <w:p>
            <w:pPr>
              <w:pStyle w:val="null3"/>
              <w:jc w:val="left"/>
            </w:pPr>
            <w:r>
              <w:rPr>
                <w:rFonts w:ascii="仿宋_GB2312" w:hAnsi="仿宋_GB2312" w:cs="仿宋_GB2312" w:eastAsia="仿宋_GB2312"/>
              </w:rPr>
              <w:t>新能源乘用车</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标的名称：新能源乘用车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新能源乘用车</w:t>
            </w:r>
          </w:p>
        </w:tc>
        <w:tc>
          <w:tcPr>
            <w:tcW w:type="dxa" w:w="5814"/>
          </w:tcPr>
          <w:p>
            <w:pPr>
              <w:pStyle w:val="null3"/>
              <w:spacing w:before="105" w:after="105"/>
              <w:jc w:val="left"/>
            </w:pPr>
            <w:r>
              <w:rPr>
                <w:rFonts w:ascii="仿宋_GB2312" w:hAnsi="仿宋_GB2312" w:cs="仿宋_GB2312" w:eastAsia="仿宋_GB2312"/>
                <w:sz w:val="21"/>
              </w:rPr>
              <w:t>1.燃料种类：插电式混合动力（提供工信部《道路机动车辆生产企业及产品》截图)</w:t>
            </w:r>
          </w:p>
          <w:p>
            <w:pPr>
              <w:pStyle w:val="null3"/>
              <w:spacing w:before="105" w:after="105"/>
              <w:jc w:val="left"/>
            </w:pPr>
            <w:r>
              <w:rPr>
                <w:rFonts w:ascii="仿宋_GB2312" w:hAnsi="仿宋_GB2312" w:cs="仿宋_GB2312" w:eastAsia="仿宋_GB2312"/>
                <w:sz w:val="21"/>
              </w:rPr>
              <w:t>2.车辆类型：5门5座SUV</w:t>
            </w:r>
          </w:p>
          <w:p>
            <w:pPr>
              <w:pStyle w:val="null3"/>
              <w:spacing w:before="105" w:after="105"/>
              <w:jc w:val="left"/>
            </w:pPr>
            <w:r>
              <w:rPr>
                <w:rFonts w:ascii="仿宋_GB2312" w:hAnsi="仿宋_GB2312" w:cs="仿宋_GB2312" w:eastAsia="仿宋_GB2312"/>
                <w:sz w:val="21"/>
              </w:rPr>
              <w:t>3.发动机排量(L)：≤1.8</w:t>
            </w:r>
          </w:p>
          <w:p>
            <w:pPr>
              <w:pStyle w:val="null3"/>
              <w:spacing w:before="105" w:after="105"/>
              <w:jc w:val="left"/>
            </w:pPr>
            <w:r>
              <w:rPr>
                <w:rFonts w:ascii="仿宋_GB2312" w:hAnsi="仿宋_GB2312" w:cs="仿宋_GB2312" w:eastAsia="仿宋_GB2312"/>
                <w:sz w:val="21"/>
              </w:rPr>
              <w:t>4.发动机进气形式： 自然吸气/涡轮增压</w:t>
            </w:r>
          </w:p>
          <w:p>
            <w:pPr>
              <w:pStyle w:val="null3"/>
              <w:spacing w:before="105" w:after="105"/>
              <w:jc w:val="left"/>
            </w:pPr>
            <w:r>
              <w:rPr>
                <w:rFonts w:ascii="仿宋_GB2312" w:hAnsi="仿宋_GB2312" w:cs="仿宋_GB2312" w:eastAsia="仿宋_GB2312"/>
                <w:sz w:val="21"/>
              </w:rPr>
              <w:t>5.变速箱型式：自动挡</w:t>
            </w:r>
          </w:p>
          <w:p>
            <w:pPr>
              <w:pStyle w:val="null3"/>
              <w:spacing w:before="105" w:after="105"/>
              <w:jc w:val="left"/>
            </w:pPr>
            <w:r>
              <w:rPr>
                <w:rFonts w:ascii="仿宋_GB2312" w:hAnsi="仿宋_GB2312" w:cs="仿宋_GB2312" w:eastAsia="仿宋_GB2312"/>
                <w:sz w:val="21"/>
              </w:rPr>
              <w:t>6.排放标准：国Ⅵ</w:t>
            </w:r>
          </w:p>
          <w:p>
            <w:pPr>
              <w:pStyle w:val="null3"/>
              <w:spacing w:before="105" w:after="105"/>
              <w:jc w:val="left"/>
            </w:pPr>
            <w:r>
              <w:rPr>
                <w:rFonts w:ascii="仿宋_GB2312" w:hAnsi="仿宋_GB2312" w:cs="仿宋_GB2312" w:eastAsia="仿宋_GB2312"/>
                <w:sz w:val="21"/>
              </w:rPr>
              <w:t>7.颜色：灰色</w:t>
            </w:r>
          </w:p>
          <w:p>
            <w:pPr>
              <w:pStyle w:val="null3"/>
              <w:spacing w:before="105" w:after="105"/>
              <w:jc w:val="left"/>
            </w:pPr>
            <w:r>
              <w:rPr>
                <w:rFonts w:ascii="仿宋_GB2312" w:hAnsi="仿宋_GB2312" w:cs="仿宋_GB2312" w:eastAsia="仿宋_GB2312"/>
                <w:sz w:val="21"/>
              </w:rPr>
              <w:t>8.车身尺寸：车长（ mm）：≥4700</w:t>
            </w:r>
          </w:p>
          <w:p>
            <w:pPr>
              <w:pStyle w:val="null3"/>
              <w:spacing w:before="105" w:after="105"/>
              <w:jc w:val="left"/>
            </w:pPr>
            <w:r>
              <w:rPr>
                <w:rFonts w:ascii="仿宋_GB2312" w:hAnsi="仿宋_GB2312" w:cs="仿宋_GB2312" w:eastAsia="仿宋_GB2312"/>
                <w:sz w:val="21"/>
              </w:rPr>
              <w:t>9.车身尺寸：车宽（ mm）：≥1860</w:t>
            </w:r>
          </w:p>
          <w:p>
            <w:pPr>
              <w:pStyle w:val="null3"/>
              <w:spacing w:before="105" w:after="105"/>
              <w:jc w:val="left"/>
            </w:pPr>
            <w:r>
              <w:rPr>
                <w:rFonts w:ascii="仿宋_GB2312" w:hAnsi="仿宋_GB2312" w:cs="仿宋_GB2312" w:eastAsia="仿宋_GB2312"/>
                <w:sz w:val="21"/>
              </w:rPr>
              <w:t>10.车身尺寸：车高（ mm）：≥1710</w:t>
            </w:r>
          </w:p>
          <w:p>
            <w:pPr>
              <w:pStyle w:val="null3"/>
              <w:spacing w:before="105" w:after="105"/>
              <w:jc w:val="left"/>
            </w:pPr>
            <w:r>
              <w:rPr>
                <w:rFonts w:ascii="仿宋_GB2312" w:hAnsi="仿宋_GB2312" w:cs="仿宋_GB2312" w:eastAsia="仿宋_GB2312"/>
                <w:sz w:val="21"/>
              </w:rPr>
              <w:t>11.轴距（mm）：≥2700</w:t>
            </w:r>
          </w:p>
          <w:p>
            <w:pPr>
              <w:pStyle w:val="null3"/>
              <w:spacing w:before="105" w:after="105"/>
              <w:jc w:val="left"/>
            </w:pPr>
            <w:r>
              <w:rPr>
                <w:rFonts w:ascii="仿宋_GB2312" w:hAnsi="仿宋_GB2312" w:cs="仿宋_GB2312" w:eastAsia="仿宋_GB2312"/>
                <w:sz w:val="21"/>
              </w:rPr>
              <w:t>12.发动机额定功率(kW)：≥74</w:t>
            </w:r>
          </w:p>
          <w:p>
            <w:pPr>
              <w:pStyle w:val="null3"/>
              <w:spacing w:before="105" w:after="105"/>
              <w:jc w:val="left"/>
            </w:pPr>
            <w:r>
              <w:rPr>
                <w:rFonts w:ascii="仿宋_GB2312" w:hAnsi="仿宋_GB2312" w:cs="仿宋_GB2312" w:eastAsia="仿宋_GB2312"/>
                <w:sz w:val="21"/>
              </w:rPr>
              <w:t>13.发动机最大扭矩(Nm)：≥126</w:t>
            </w:r>
          </w:p>
          <w:p>
            <w:pPr>
              <w:pStyle w:val="null3"/>
              <w:spacing w:before="105" w:after="105"/>
              <w:jc w:val="left"/>
            </w:pPr>
            <w:r>
              <w:rPr>
                <w:rFonts w:ascii="仿宋_GB2312" w:hAnsi="仿宋_GB2312" w:cs="仿宋_GB2312" w:eastAsia="仿宋_GB2312"/>
                <w:sz w:val="21"/>
              </w:rPr>
              <w:t>14.电机峰值功率(kW)：≥120</w:t>
            </w:r>
          </w:p>
          <w:p>
            <w:pPr>
              <w:pStyle w:val="null3"/>
              <w:spacing w:before="105" w:after="105"/>
              <w:jc w:val="left"/>
            </w:pPr>
            <w:r>
              <w:rPr>
                <w:rFonts w:ascii="仿宋_GB2312" w:hAnsi="仿宋_GB2312" w:cs="仿宋_GB2312" w:eastAsia="仿宋_GB2312"/>
                <w:sz w:val="21"/>
              </w:rPr>
              <w:t>15.电机峰值扭矩(Nm)：≥210</w:t>
            </w:r>
          </w:p>
          <w:p>
            <w:pPr>
              <w:pStyle w:val="null3"/>
              <w:spacing w:before="105" w:after="105"/>
              <w:jc w:val="left"/>
            </w:pPr>
            <w:r>
              <w:rPr>
                <w:rFonts w:ascii="仿宋_GB2312" w:hAnsi="仿宋_GB2312" w:cs="仿宋_GB2312" w:eastAsia="仿宋_GB2312"/>
                <w:sz w:val="21"/>
              </w:rPr>
              <w:t>16.电池容量(kWh)：≥18</w:t>
            </w:r>
          </w:p>
          <w:p>
            <w:pPr>
              <w:pStyle w:val="null3"/>
              <w:spacing w:before="105" w:after="105"/>
              <w:jc w:val="left"/>
            </w:pPr>
            <w:r>
              <w:rPr>
                <w:rFonts w:ascii="仿宋_GB2312" w:hAnsi="仿宋_GB2312" w:cs="仿宋_GB2312" w:eastAsia="仿宋_GB2312"/>
                <w:sz w:val="21"/>
              </w:rPr>
              <w:t>17.纯电动续航里程(km)：≥115</w:t>
            </w:r>
          </w:p>
          <w:p>
            <w:pPr>
              <w:pStyle w:val="null3"/>
              <w:spacing w:before="105" w:after="105"/>
              <w:jc w:val="left"/>
            </w:pPr>
            <w:r>
              <w:rPr>
                <w:rFonts w:ascii="仿宋_GB2312" w:hAnsi="仿宋_GB2312" w:cs="仿宋_GB2312" w:eastAsia="仿宋_GB2312"/>
                <w:sz w:val="21"/>
              </w:rPr>
              <w:t>18.电池类型：磷酸铁锂电池</w:t>
            </w:r>
          </w:p>
          <w:p>
            <w:pPr>
              <w:pStyle w:val="null3"/>
              <w:spacing w:before="105" w:after="105"/>
              <w:jc w:val="left"/>
            </w:pPr>
            <w:r>
              <w:rPr>
                <w:rFonts w:ascii="仿宋_GB2312" w:hAnsi="仿宋_GB2312" w:cs="仿宋_GB2312" w:eastAsia="仿宋_GB2312"/>
                <w:sz w:val="21"/>
              </w:rPr>
              <w:t>19.可开启全景天窗：配备</w:t>
            </w:r>
          </w:p>
          <w:p>
            <w:pPr>
              <w:pStyle w:val="null3"/>
              <w:spacing w:before="105" w:after="105"/>
              <w:jc w:val="left"/>
            </w:pPr>
            <w:r>
              <w:rPr>
                <w:rFonts w:ascii="仿宋_GB2312" w:hAnsi="仿宋_GB2312" w:cs="仿宋_GB2312" w:eastAsia="仿宋_GB2312"/>
                <w:sz w:val="21"/>
              </w:rPr>
              <w:t>20.360°泊车可视：配备</w:t>
            </w:r>
          </w:p>
          <w:p>
            <w:pPr>
              <w:pStyle w:val="null3"/>
              <w:spacing w:before="105" w:after="105"/>
              <w:jc w:val="left"/>
            </w:pPr>
            <w:r>
              <w:rPr>
                <w:rFonts w:ascii="仿宋_GB2312" w:hAnsi="仿宋_GB2312" w:cs="仿宋_GB2312" w:eastAsia="仿宋_GB2312"/>
                <w:sz w:val="21"/>
              </w:rPr>
              <w:t>21.前排多层隔音玻璃：配备</w:t>
            </w:r>
          </w:p>
          <w:p>
            <w:pPr>
              <w:pStyle w:val="null3"/>
              <w:spacing w:before="105" w:after="105"/>
              <w:jc w:val="left"/>
            </w:pPr>
            <w:r>
              <w:rPr>
                <w:rFonts w:ascii="仿宋_GB2312" w:hAnsi="仿宋_GB2312" w:cs="仿宋_GB2312" w:eastAsia="仿宋_GB2312"/>
                <w:sz w:val="21"/>
              </w:rPr>
              <w:t>22.全速自适应巡航系统/定速巡航：配备</w:t>
            </w:r>
          </w:p>
          <w:p>
            <w:pPr>
              <w:pStyle w:val="null3"/>
              <w:spacing w:before="105" w:after="105"/>
              <w:jc w:val="left"/>
            </w:pPr>
            <w:r>
              <w:rPr>
                <w:rFonts w:ascii="仿宋_GB2312" w:hAnsi="仿宋_GB2312" w:cs="仿宋_GB2312" w:eastAsia="仿宋_GB2312"/>
                <w:sz w:val="21"/>
              </w:rPr>
              <w:t>23.仿皮座椅：配备</w:t>
            </w:r>
          </w:p>
          <w:p>
            <w:pPr>
              <w:pStyle w:val="null3"/>
              <w:spacing w:before="105" w:after="105"/>
              <w:jc w:val="left"/>
            </w:pPr>
            <w:r>
              <w:rPr>
                <w:rFonts w:ascii="仿宋_GB2312" w:hAnsi="仿宋_GB2312" w:cs="仿宋_GB2312" w:eastAsia="仿宋_GB2312"/>
                <w:sz w:val="21"/>
              </w:rPr>
              <w:t>24.内置行车记录仪：配备</w:t>
            </w:r>
          </w:p>
          <w:p>
            <w:pPr>
              <w:pStyle w:val="null3"/>
              <w:spacing w:before="105" w:after="105"/>
              <w:jc w:val="left"/>
            </w:pPr>
            <w:r>
              <w:rPr>
                <w:rFonts w:ascii="仿宋_GB2312" w:hAnsi="仿宋_GB2312" w:cs="仿宋_GB2312" w:eastAsia="仿宋_GB2312"/>
                <w:sz w:val="21"/>
              </w:rPr>
              <w:t>25.全液晶仪表盘 ：配备</w:t>
            </w:r>
          </w:p>
          <w:p>
            <w:pPr>
              <w:pStyle w:val="null3"/>
              <w:spacing w:before="105" w:after="105"/>
              <w:jc w:val="left"/>
            </w:pPr>
            <w:r>
              <w:rPr>
                <w:rFonts w:ascii="仿宋_GB2312" w:hAnsi="仿宋_GB2312" w:cs="仿宋_GB2312" w:eastAsia="仿宋_GB2312"/>
                <w:sz w:val="21"/>
              </w:rPr>
              <w:t>26.整车质保：4年或10万公里</w:t>
            </w:r>
          </w:p>
          <w:p>
            <w:pPr>
              <w:pStyle w:val="null3"/>
              <w:spacing w:before="105" w:after="105"/>
              <w:jc w:val="left"/>
            </w:pPr>
            <w:r>
              <w:rPr>
                <w:rFonts w:ascii="仿宋_GB2312" w:hAnsi="仿宋_GB2312" w:cs="仿宋_GB2312" w:eastAsia="仿宋_GB2312"/>
                <w:sz w:val="21"/>
              </w:rPr>
              <w:t>27.其他要求：</w:t>
            </w:r>
          </w:p>
          <w:p>
            <w:pPr>
              <w:pStyle w:val="null3"/>
              <w:spacing w:before="105" w:after="105"/>
              <w:ind w:firstLine="131"/>
              <w:jc w:val="left"/>
            </w:pPr>
            <w:r>
              <w:rPr>
                <w:rFonts w:ascii="仿宋_GB2312" w:hAnsi="仿宋_GB2312" w:cs="仿宋_GB2312" w:eastAsia="仿宋_GB2312"/>
                <w:sz w:val="21"/>
              </w:rPr>
              <w:t>（1）本项目要求每车配置7KW充电桩1台，共9台。</w:t>
            </w:r>
          </w:p>
          <w:p>
            <w:pPr>
              <w:pStyle w:val="null3"/>
              <w:spacing w:before="105" w:after="105"/>
              <w:ind w:firstLine="120"/>
              <w:jc w:val="left"/>
            </w:pPr>
            <w:r>
              <w:rPr>
                <w:rFonts w:ascii="仿宋_GB2312" w:hAnsi="仿宋_GB2312" w:cs="仿宋_GB2312" w:eastAsia="仿宋_GB2312"/>
                <w:sz w:val="21"/>
              </w:rPr>
              <w:t>（2）成交供应商负责充电桩的安装、接电、培训等工作，接入电缆由使用单位提供。充电桩的质保期为安装并验收合格后起算2年。质保期内如果出现质量问题由成交供应商进行维修或更换。</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30日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绵竹市机关事务中心</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1、车辆全部交货并验收合格之后，成交供应商按照采购人要求提供国家正规税务发票 ，达到付款条件起15日内，据实情况说明为：采购人按照合同约定一次性支付全部货款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（1）验收标准以询价通知书技术参数及要求、响应文件和相关行业标准为准。 （2）本项目采购人将严格按照政府采购相关法律法规以及《财政部关于进一步加强政府采购需求和履约验收管理的指导意见》财库（2016）205 号的要求进行验收。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在货物质保期内、售后服务事项均由成交供应商负责。</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1、采购人违约责任 （1）采购人无正当理由拒收货物的，采购人应在10个工作日内偿付合同总价百分之五的违约金； （2）采购人逾期支付货款的，除应及时付足货款外，应向供应商偿付欠款总额万分之三/天的违约金；逾期付款超过30天的，供应商有权终止合同； （3）采购人偿付的违约金不足以弥补供应商损失的，还应在10个工作日内按供应商损失尚未弥补的部分，支付赔偿金给供应商。 2、供应商违约责任 （1）采购人与供应商签订采购合同时，采购人有权要求供应商提交与响应文件一致（检测报告、参数证明、证书、功能截图等相关证明材料）的原件，以便采购人复印存档，供应商应提供。 （2）供应商交付的货物到达采购人指定地点后，采购人有权进行试用或要求供应商进行重要功能展示，如质量明显不符合响应文件规定（包括且不限于配置低于响应文件规定、不能完成响应文件规定功能等），采购人有权将货物送交具有法定资格条件的质量技术监督机构进行检测；经检测，供应商交付的货物不符合响应文件规定，则视为供应商因货物质量违约，供应商应先向采购人支付合同总价的百分之五的违约金并支付检测费用，再在合同规定的交货时间内更换合格的货物给采购人，更换合格的货物送达后，采购人同样有权再次进行检测。如供应商没有在合同规定的交货时间内更换合格的货物给采购人，则视作供应商不能交付货物而违约，按本条本款下述第“（3）”项规定由供应商偿付违约赔偿金给采购人。 （3）供应商不能交付货物或逾期交付货物而违约的，除应及时交足货物外，应向采购人偿付逾期交货部分货款总额的万分之三/天的违约金；逾期交货超过15天，采购人有权终止本次采购合同，供应商则应在10个工作日内按合同总价的百分之五的款额向采购人偿付赔偿金，并须同时全额退还采购人已经付给供应商的货款及其利息。 （4）采购人有权将供应商货物送交具有法定资格条件的质量技术监督机构检测，如检测结果认定货物质量不符合投标文件规定标准的，则视为供应商没有按时交货而违约，供应商应先向采购人支付合同总价的百分之五的违约金，再支付检测费用，再在15天内无条件更换合格的货物，如逾期不能更换合格的货物，采购人有权终止本次采购合同。 （5）供应商保证本合同货物的权利无瑕疵，包括货物所有权及知识产权等权利无瑕疵。如任何第三方经法院（或仲裁机构）裁决有权对上述货物主张权利或国家机关依法对货物进行没收查处的，供应商除应向采购人返还已收款项外，还应另按合同总价的百分之五向采购人支付违约金并赔偿因此给采购人造成的一切损失。 （６）供应商偿付的违约金不足以弥补采购人损失的，还应按采购人损失尚未弥补的部分，支付赔偿金给采购人。</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询价报告为准。评审过程中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按照第五章“响应文件格式”，附件“具有健全财务会计制度的证明材料”要求的内容进行响应</w:t>
              <w:br/>
            </w:r>
          </w:p>
        </w:tc>
        <w:tc>
          <w:tcPr>
            <w:tcW w:type="dxa" w:w="1910"/>
          </w:tcPr>
          <w:p>
            <w:pPr>
              <w:pStyle w:val="null3"/>
              <w:jc w:val="left"/>
            </w:pPr>
            <w:r>
              <w:rPr>
                <w:rFonts w:ascii="仿宋_GB2312" w:hAnsi="仿宋_GB2312" w:cs="仿宋_GB2312" w:eastAsia="仿宋_GB2312"/>
              </w:rPr>
              <w:t>供应商应提交的相关证明材料,具有健全财务会计制度的证明材料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响应文件封面,产品技术参数响应表,其他资料.docx,服务应答表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评审委员会发现供应商还存在未响应询价通知书实质性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应当要求供应商作出必要的澄清、说明或者补正。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询价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评审结束后，询价小组成员复核、确认各自评审意见，汇总形成评审结果，对拟推荐为成交候选供应商的、报价最低的、响应文件被认定为无效的进行重点复核。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未被推荐为成交候选供应商的供应商不再递补为成交候选供应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评审结果经代理机构核对无误后，询价小组成员应当在询价报告中签字或加盖电子印章确认。询价报告签署前，询价小组成员可以对已评环节的评审意见进行修改调整，并在询价报告中进行记录。询价报告签署后，评审意见生效，除符合政府采购法律制度规定情形外，任何单位和个人不得擅自改变评审结果。询价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持不同意见的询价小组成员应当在询价报告上明确不同意见及理由，否则视同无意见。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小微企业（监狱企业、残疾人福利性单位视同小微企业）价格扣除按照《政府采购促进中小企业发展管理办法》财库[2020]46号文规定，未预留份额专门面向中小企业采购的采购项目，以及预留份额项目中的非预留部分采购包，对符合财库[2020]46 号文规定的小微企业报价给予20%的扣除，用扣除后的价格参与评审。</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审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优先产品认证证书.docx</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 xml:space="preserve"> 本项目授权询价小组在询价报告确定的成交候选供应商名单中按顺序直接确定1名成交供应商。采购人或者代理机构应当自成交供应商确定之日起2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详见附件：其他资料.docx</w:t>
      </w:r>
    </w:p>
    <w:p>
      <w:pPr>
        <w:pStyle w:val="null3"/>
        <w:ind w:firstLine="960"/>
        <w:jc w:val="left"/>
      </w:pPr>
      <w:r>
        <w:rPr>
          <w:rFonts w:ascii="仿宋_GB2312" w:hAnsi="仿宋_GB2312" w:cs="仿宋_GB2312" w:eastAsia="仿宋_GB2312"/>
        </w:rPr>
        <w:t>详见附件：优先产品认证证书.docx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