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2059FE">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color w:val="auto"/>
          <w:sz w:val="44"/>
          <w:szCs w:val="44"/>
          <w:lang w:val="en-US" w:eastAsia="zh-CN"/>
        </w:rPr>
      </w:pPr>
      <w:bookmarkStart w:id="0" w:name="_Toc29429"/>
      <w:bookmarkStart w:id="1" w:name="_Toc25325"/>
      <w:bookmarkStart w:id="2" w:name="_Toc3829"/>
      <w:bookmarkStart w:id="3" w:name="_Toc11717"/>
      <w:bookmarkStart w:id="4" w:name="_Toc18152"/>
      <w:bookmarkStart w:id="5" w:name="_Toc31729"/>
      <w:bookmarkStart w:id="6" w:name="_Toc6871"/>
      <w:bookmarkStart w:id="7" w:name="_Toc5421"/>
      <w:bookmarkStart w:id="8" w:name="_Toc17669"/>
      <w:bookmarkStart w:id="9" w:name="_Toc4061"/>
      <w:bookmarkStart w:id="10" w:name="_Toc15758"/>
      <w:bookmarkStart w:id="11" w:name="_Toc22773"/>
      <w:bookmarkStart w:id="12" w:name="_Toc11695"/>
      <w:bookmarkStart w:id="13" w:name="_Toc8432"/>
      <w:bookmarkStart w:id="14" w:name="_Toc17873"/>
      <w:bookmarkStart w:id="15" w:name="_Toc6441"/>
      <w:bookmarkStart w:id="16" w:name="_Toc12510"/>
      <w:bookmarkStart w:id="17" w:name="_Toc13510"/>
      <w:bookmarkStart w:id="18" w:name="_Toc23508"/>
      <w:bookmarkStart w:id="19" w:name="_Toc5945"/>
      <w:r>
        <w:rPr>
          <w:rFonts w:hint="eastAsia" w:ascii="方正小标宋简体" w:hAnsi="方正小标宋简体" w:eastAsia="方正小标宋简体" w:cs="方正小标宋简体"/>
          <w:color w:val="auto"/>
          <w:sz w:val="44"/>
          <w:szCs w:val="44"/>
          <w:u w:val="none"/>
          <w:lang w:val="en-US" w:eastAsia="zh-CN"/>
        </w:rPr>
        <w:t>绵竹汉旺</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rFonts w:hint="eastAsia" w:ascii="方正小标宋简体" w:hAnsi="方正小标宋简体" w:eastAsia="方正小标宋简体" w:cs="方正小标宋简体"/>
          <w:color w:val="auto"/>
          <w:sz w:val="44"/>
          <w:szCs w:val="44"/>
          <w:u w:val="none"/>
          <w:lang w:val="en-US" w:eastAsia="zh-CN"/>
        </w:rPr>
        <w:t>什邡新杰钢结构安装有限公司</w:t>
      </w:r>
      <w:r>
        <w:rPr>
          <w:rFonts w:hint="eastAsia" w:ascii="方正小标宋简体" w:hAnsi="方正小标宋简体" w:eastAsia="方正小标宋简体" w:cs="方正小标宋简体"/>
          <w:color w:val="auto"/>
          <w:sz w:val="44"/>
          <w:szCs w:val="44"/>
          <w:lang w:val="en-US" w:eastAsia="zh-CN"/>
        </w:rPr>
        <w:t>“1·30”</w:t>
      </w:r>
      <w:bookmarkEnd w:id="16"/>
      <w:bookmarkStart w:id="20" w:name="_Toc5875"/>
      <w:r>
        <w:rPr>
          <w:rFonts w:hint="eastAsia" w:ascii="方正小标宋简体" w:hAnsi="方正小标宋简体" w:eastAsia="方正小标宋简体" w:cs="方正小标宋简体"/>
          <w:color w:val="auto"/>
          <w:sz w:val="44"/>
          <w:szCs w:val="44"/>
          <w:lang w:val="en-US" w:eastAsia="zh-CN"/>
        </w:rPr>
        <w:t>一般</w:t>
      </w:r>
      <w:bookmarkEnd w:id="17"/>
      <w:bookmarkStart w:id="21" w:name="_Toc24881"/>
      <w:r>
        <w:rPr>
          <w:rFonts w:hint="eastAsia" w:ascii="方正小标宋简体" w:hAnsi="方正小标宋简体" w:eastAsia="方正小标宋简体" w:cs="方正小标宋简体"/>
          <w:color w:val="auto"/>
          <w:sz w:val="44"/>
          <w:szCs w:val="44"/>
          <w:lang w:val="en-US" w:eastAsia="zh-CN"/>
        </w:rPr>
        <w:t>高处坠落事故调查</w:t>
      </w:r>
      <w:bookmarkEnd w:id="20"/>
      <w:r>
        <w:rPr>
          <w:rFonts w:hint="eastAsia" w:ascii="方正小标宋简体" w:hAnsi="方正小标宋简体" w:eastAsia="方正小标宋简体" w:cs="方正小标宋简体"/>
          <w:color w:val="auto"/>
          <w:sz w:val="44"/>
          <w:szCs w:val="44"/>
          <w:lang w:val="en-US" w:eastAsia="zh-CN"/>
        </w:rPr>
        <w:t>报告</w:t>
      </w:r>
      <w:bookmarkEnd w:id="18"/>
      <w:bookmarkEnd w:id="19"/>
      <w:bookmarkEnd w:id="21"/>
    </w:p>
    <w:p w14:paraId="3EF196F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color w:val="auto"/>
          <w:sz w:val="32"/>
          <w:szCs w:val="32"/>
          <w:lang w:val="en-US" w:eastAsia="zh-CN"/>
        </w:rPr>
      </w:pPr>
    </w:p>
    <w:p w14:paraId="3C4392D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1DC0B5F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60946BC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75716F8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3D02845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3E20DF3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7559943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706F49C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52BF89B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06178C3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50A7F03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64848F2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03EC903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5C81D29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751D6E5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0BC690E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073B512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color w:val="auto"/>
          <w:sz w:val="44"/>
          <w:szCs w:val="44"/>
          <w:lang w:val="en-US" w:eastAsia="zh-CN"/>
        </w:rPr>
      </w:pPr>
    </w:p>
    <w:p w14:paraId="698C39FF">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Times New Roman" w:hAnsi="Times New Roman" w:eastAsia="楷体_GB2312" w:cs="Times New Roman"/>
          <w:color w:val="auto"/>
          <w:sz w:val="32"/>
          <w:szCs w:val="32"/>
          <w:lang w:val="en-US" w:eastAsia="zh-CN"/>
        </w:rPr>
      </w:pPr>
      <w:bookmarkStart w:id="22" w:name="_Toc7867"/>
      <w:bookmarkStart w:id="23" w:name="_Toc4778"/>
      <w:bookmarkStart w:id="24" w:name="_Toc5058"/>
      <w:bookmarkStart w:id="25" w:name="_Toc18813"/>
      <w:bookmarkStart w:id="26" w:name="_Toc27753"/>
      <w:bookmarkStart w:id="27" w:name="_Toc14496"/>
      <w:bookmarkStart w:id="28" w:name="_Toc18059"/>
      <w:bookmarkStart w:id="29" w:name="_Toc31504"/>
      <w:bookmarkStart w:id="30" w:name="_Toc21739"/>
      <w:bookmarkStart w:id="31" w:name="_Toc8057"/>
      <w:bookmarkStart w:id="32" w:name="_Toc22849"/>
      <w:r>
        <w:rPr>
          <w:rFonts w:hint="default" w:ascii="Times New Roman" w:hAnsi="Times New Roman" w:eastAsia="楷体_GB2312" w:cs="Times New Roman"/>
          <w:color w:val="auto"/>
          <w:sz w:val="32"/>
          <w:szCs w:val="32"/>
          <w:u w:val="none"/>
          <w:lang w:val="en-US" w:eastAsia="zh-CN"/>
        </w:rPr>
        <w:t>什邡新杰</w:t>
      </w:r>
      <w:r>
        <w:rPr>
          <w:rFonts w:hint="default" w:ascii="Times New Roman" w:hAnsi="Times New Roman" w:eastAsia="楷体_GB2312" w:cs="Times New Roman"/>
          <w:color w:val="auto"/>
          <w:sz w:val="32"/>
          <w:szCs w:val="32"/>
          <w:lang w:val="en-US" w:eastAsia="zh-CN"/>
        </w:rPr>
        <w:t>钢结构安装有限公司“1</w:t>
      </w:r>
      <w:r>
        <w:rPr>
          <w:rFonts w:hint="default" w:ascii="Times New Roman" w:hAnsi="Times New Roman" w:eastAsia="方正小标宋简体" w:cs="Times New Roman"/>
          <w:color w:val="auto"/>
          <w:sz w:val="32"/>
          <w:szCs w:val="32"/>
          <w:lang w:val="en-US" w:eastAsia="zh-CN"/>
        </w:rPr>
        <w:t>·</w:t>
      </w:r>
      <w:r>
        <w:rPr>
          <w:rFonts w:hint="default" w:ascii="Times New Roman" w:hAnsi="Times New Roman" w:eastAsia="楷体_GB2312" w:cs="Times New Roman"/>
          <w:color w:val="auto"/>
          <w:sz w:val="32"/>
          <w:szCs w:val="32"/>
          <w:lang w:val="en-US" w:eastAsia="zh-CN"/>
        </w:rPr>
        <w:t>30”</w:t>
      </w:r>
      <w:bookmarkEnd w:id="22"/>
      <w:bookmarkEnd w:id="23"/>
      <w:bookmarkEnd w:id="24"/>
      <w:bookmarkEnd w:id="25"/>
      <w:bookmarkEnd w:id="26"/>
      <w:bookmarkEnd w:id="27"/>
      <w:bookmarkEnd w:id="28"/>
      <w:bookmarkEnd w:id="29"/>
      <w:bookmarkEnd w:id="30"/>
      <w:bookmarkEnd w:id="31"/>
      <w:bookmarkEnd w:id="32"/>
    </w:p>
    <w:p w14:paraId="5D124BA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一般</w:t>
      </w:r>
      <w:r>
        <w:rPr>
          <w:rFonts w:hint="eastAsia" w:ascii="Times New Roman" w:hAnsi="Times New Roman" w:eastAsia="楷体_GB2312" w:cs="Times New Roman"/>
          <w:color w:val="auto"/>
          <w:sz w:val="32"/>
          <w:szCs w:val="32"/>
          <w:lang w:val="en-US" w:eastAsia="zh-CN"/>
        </w:rPr>
        <w:t>高处坠落</w:t>
      </w:r>
      <w:r>
        <w:rPr>
          <w:rFonts w:hint="default" w:ascii="Times New Roman" w:hAnsi="Times New Roman" w:eastAsia="楷体_GB2312" w:cs="Times New Roman"/>
          <w:color w:val="auto"/>
          <w:sz w:val="32"/>
          <w:szCs w:val="32"/>
          <w:lang w:val="en-US" w:eastAsia="zh-CN"/>
        </w:rPr>
        <w:t>事故联合调查组</w:t>
      </w:r>
    </w:p>
    <w:p w14:paraId="3948234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简体" w:hAnsi="方正仿宋简体" w:eastAsia="方正仿宋简体" w:cs="方正仿宋简体"/>
          <w:color w:val="auto"/>
          <w:sz w:val="44"/>
          <w:szCs w:val="44"/>
          <w:lang w:val="en-US" w:eastAsia="zh-CN"/>
        </w:rPr>
        <w:sectPr>
          <w:headerReference r:id="rId4" w:type="default"/>
          <w:footerReference r:id="rId5" w:type="default"/>
          <w:pgSz w:w="11906" w:h="16838"/>
          <w:pgMar w:top="1701" w:right="1417" w:bottom="1417" w:left="1417" w:header="851" w:footer="992" w:gutter="0"/>
          <w:pgNumType w:fmt="decimal"/>
          <w:cols w:space="425" w:num="1"/>
          <w:docGrid w:type="lines" w:linePitch="312" w:charSpace="0"/>
        </w:sectPr>
      </w:pPr>
      <w:r>
        <w:rPr>
          <w:rFonts w:hint="default" w:ascii="Times New Roman" w:hAnsi="Times New Roman" w:eastAsia="楷体_GB2312" w:cs="Times New Roman"/>
          <w:color w:val="auto"/>
          <w:sz w:val="32"/>
          <w:szCs w:val="32"/>
          <w:lang w:val="en-US" w:eastAsia="zh-CN"/>
        </w:rPr>
        <w:t>2024年</w:t>
      </w:r>
      <w:r>
        <w:rPr>
          <w:rFonts w:hint="eastAsia" w:ascii="Times New Roman" w:hAnsi="Times New Roman" w:eastAsia="楷体_GB2312" w:cs="Times New Roman"/>
          <w:color w:val="auto"/>
          <w:sz w:val="32"/>
          <w:szCs w:val="32"/>
          <w:lang w:val="en-US" w:eastAsia="zh-CN"/>
        </w:rPr>
        <w:t>5</w:t>
      </w:r>
      <w:r>
        <w:rPr>
          <w:rFonts w:hint="default" w:ascii="Times New Roman" w:hAnsi="Times New Roman" w:eastAsia="楷体_GB2312" w:cs="Times New Roman"/>
          <w:color w:val="auto"/>
          <w:sz w:val="32"/>
          <w:szCs w:val="32"/>
          <w:lang w:val="en-US" w:eastAsia="zh-CN"/>
        </w:rPr>
        <w:t>月</w:t>
      </w:r>
      <w:r>
        <w:rPr>
          <w:rFonts w:hint="eastAsia" w:ascii="Times New Roman" w:hAnsi="Times New Roman" w:eastAsia="楷体_GB2312" w:cs="Times New Roman"/>
          <w:color w:val="auto"/>
          <w:sz w:val="32"/>
          <w:szCs w:val="32"/>
          <w:lang w:val="en-US" w:eastAsia="zh-CN"/>
        </w:rPr>
        <w:t>15</w:t>
      </w:r>
      <w:r>
        <w:rPr>
          <w:rFonts w:hint="default" w:ascii="Times New Roman" w:hAnsi="Times New Roman" w:eastAsia="楷体_GB2312" w:cs="Times New Roman"/>
          <w:color w:val="auto"/>
          <w:sz w:val="32"/>
          <w:szCs w:val="32"/>
          <w:lang w:val="en-US" w:eastAsia="zh-CN"/>
        </w:rPr>
        <w:t>日</w:t>
      </w:r>
    </w:p>
    <w:p w14:paraId="6EC526F4">
      <w:pPr>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目  录</w:t>
      </w:r>
    </w:p>
    <w:p w14:paraId="31CC7D7C">
      <w:pPr>
        <w:rPr>
          <w:rFonts w:hint="eastAsia"/>
          <w:color w:val="auto"/>
        </w:rPr>
      </w:pPr>
    </w:p>
    <w:p w14:paraId="434C4213">
      <w:pPr>
        <w:rPr>
          <w:rFonts w:hint="eastAsia"/>
          <w:color w:val="auto"/>
        </w:rPr>
      </w:pPr>
      <w:r>
        <w:rPr>
          <w:rFonts w:hint="eastAsia" w:ascii="黑体" w:hAnsi="黑体" w:eastAsia="黑体" w:cs="黑体"/>
          <w:color w:val="auto"/>
          <w:sz w:val="20"/>
          <w:szCs w:val="20"/>
        </w:rPr>
        <w:t>一、事故基本情况</w:t>
      </w:r>
      <w:r>
        <w:rPr>
          <w:rFonts w:hint="eastAsia"/>
          <w:color w:val="auto"/>
        </w:rPr>
        <w:tab/>
      </w:r>
      <w:r>
        <w:rPr>
          <w:rFonts w:hint="eastAsia"/>
          <w:color w:val="auto"/>
          <w:lang w:val="en-US" w:eastAsia="zh-CN"/>
        </w:rPr>
        <w:t>..........................................................................................................................</w:t>
      </w:r>
      <w:r>
        <w:rPr>
          <w:rFonts w:hint="eastAsia"/>
          <w:color w:val="auto"/>
        </w:rPr>
        <w:t>2</w:t>
      </w:r>
    </w:p>
    <w:p w14:paraId="2B8328EB">
      <w:pPr>
        <w:rPr>
          <w:rFonts w:hint="eastAsia"/>
          <w:color w:val="auto"/>
        </w:rPr>
      </w:pPr>
      <w:r>
        <w:rPr>
          <w:rFonts w:hint="eastAsia" w:ascii="新宋体" w:hAnsi="新宋体" w:eastAsia="新宋体" w:cs="新宋体"/>
          <w:color w:val="auto"/>
        </w:rPr>
        <w:t>（一）事故发生单位</w:t>
      </w:r>
      <w:r>
        <w:rPr>
          <w:rFonts w:hint="eastAsia" w:ascii="新宋体" w:hAnsi="新宋体" w:eastAsia="新宋体" w:cs="新宋体"/>
          <w:color w:val="auto"/>
          <w:lang w:val="en-US" w:eastAsia="zh-CN"/>
        </w:rPr>
        <w:t>.</w:t>
      </w:r>
      <w:r>
        <w:rPr>
          <w:rFonts w:hint="eastAsia"/>
          <w:color w:val="auto"/>
          <w:lang w:val="en-US" w:eastAsia="zh-CN"/>
        </w:rPr>
        <w:t>....................................................................................................................</w:t>
      </w:r>
      <w:r>
        <w:rPr>
          <w:rFonts w:hint="eastAsia"/>
          <w:color w:val="auto"/>
        </w:rPr>
        <w:t>2</w:t>
      </w:r>
    </w:p>
    <w:p w14:paraId="7E35BF36">
      <w:pPr>
        <w:rPr>
          <w:rFonts w:hint="eastAsia"/>
          <w:color w:val="auto"/>
        </w:rPr>
      </w:pPr>
      <w:r>
        <w:rPr>
          <w:rFonts w:hint="eastAsia"/>
          <w:color w:val="auto"/>
        </w:rPr>
        <w:t>（二）其他涉事单位</w:t>
      </w:r>
      <w:r>
        <w:rPr>
          <w:rFonts w:hint="eastAsia"/>
          <w:color w:val="auto"/>
          <w:lang w:val="en-US" w:eastAsia="zh-CN"/>
        </w:rPr>
        <w:t>......................................................................................................................</w:t>
      </w:r>
      <w:r>
        <w:rPr>
          <w:rFonts w:hint="eastAsia"/>
          <w:color w:val="auto"/>
        </w:rPr>
        <w:t>3</w:t>
      </w:r>
    </w:p>
    <w:p w14:paraId="12000CC8">
      <w:pPr>
        <w:rPr>
          <w:rFonts w:hint="eastAsia"/>
          <w:color w:val="auto"/>
        </w:rPr>
      </w:pPr>
      <w:r>
        <w:rPr>
          <w:rFonts w:hint="eastAsia"/>
          <w:color w:val="auto"/>
        </w:rPr>
        <w:t>（三）事故经过</w:t>
      </w:r>
      <w:r>
        <w:rPr>
          <w:rFonts w:hint="eastAsia"/>
          <w:color w:val="auto"/>
          <w:lang w:val="en-US" w:eastAsia="zh-CN"/>
        </w:rPr>
        <w:t>..............................................................................................................................</w:t>
      </w:r>
      <w:r>
        <w:rPr>
          <w:rFonts w:hint="eastAsia"/>
          <w:color w:val="auto"/>
        </w:rPr>
        <w:t>4</w:t>
      </w:r>
    </w:p>
    <w:p w14:paraId="363EDFCB">
      <w:pPr>
        <w:rPr>
          <w:rFonts w:hint="eastAsia"/>
          <w:color w:val="auto"/>
        </w:rPr>
      </w:pPr>
      <w:r>
        <w:rPr>
          <w:rFonts w:hint="eastAsia"/>
          <w:color w:val="auto"/>
        </w:rPr>
        <w:t>（四）事故现场勘验情况</w:t>
      </w:r>
      <w:r>
        <w:rPr>
          <w:rFonts w:hint="eastAsia"/>
          <w:color w:val="auto"/>
          <w:lang w:val="en-US" w:eastAsia="zh-CN"/>
        </w:rPr>
        <w:t>..............................................................................................................</w:t>
      </w:r>
      <w:r>
        <w:rPr>
          <w:rFonts w:hint="eastAsia"/>
          <w:color w:val="auto"/>
        </w:rPr>
        <w:t>5</w:t>
      </w:r>
    </w:p>
    <w:p w14:paraId="41F278BF">
      <w:pPr>
        <w:rPr>
          <w:rFonts w:hint="eastAsia"/>
          <w:color w:val="auto"/>
        </w:rPr>
      </w:pPr>
      <w:r>
        <w:rPr>
          <w:rFonts w:hint="eastAsia"/>
          <w:color w:val="auto"/>
        </w:rPr>
        <w:t>（五）检测鉴定情况</w:t>
      </w:r>
      <w:r>
        <w:rPr>
          <w:rFonts w:hint="eastAsia"/>
          <w:color w:val="auto"/>
          <w:lang w:val="en-US" w:eastAsia="zh-CN"/>
        </w:rPr>
        <w:t>......................................................................................................................</w:t>
      </w:r>
      <w:r>
        <w:rPr>
          <w:rFonts w:hint="eastAsia"/>
          <w:color w:val="auto"/>
        </w:rPr>
        <w:t>7</w:t>
      </w:r>
    </w:p>
    <w:p w14:paraId="43FA336D">
      <w:pPr>
        <w:rPr>
          <w:rFonts w:hint="eastAsia"/>
          <w:color w:val="auto"/>
        </w:rPr>
      </w:pPr>
      <w:r>
        <w:rPr>
          <w:rFonts w:hint="eastAsia"/>
          <w:color w:val="auto"/>
        </w:rPr>
        <w:t>（六）人员伤亡直接经济损失情况</w:t>
      </w:r>
      <w:r>
        <w:rPr>
          <w:rFonts w:hint="eastAsia"/>
          <w:color w:val="auto"/>
          <w:lang w:val="en-US" w:eastAsia="zh-CN"/>
        </w:rPr>
        <w:t>...............................................................................................</w:t>
      </w:r>
      <w:r>
        <w:rPr>
          <w:rFonts w:hint="eastAsia"/>
          <w:color w:val="auto"/>
        </w:rPr>
        <w:t>9</w:t>
      </w:r>
    </w:p>
    <w:p w14:paraId="4FAE9831">
      <w:pPr>
        <w:rPr>
          <w:rFonts w:hint="eastAsia"/>
          <w:color w:val="auto"/>
        </w:rPr>
      </w:pPr>
      <w:r>
        <w:rPr>
          <w:rFonts w:hint="eastAsia" w:ascii="黑体" w:hAnsi="黑体" w:eastAsia="黑体" w:cs="黑体"/>
          <w:color w:val="auto"/>
          <w:sz w:val="20"/>
          <w:szCs w:val="20"/>
        </w:rPr>
        <w:t>二、事故应急处置及评估情况</w:t>
      </w:r>
      <w:r>
        <w:rPr>
          <w:rFonts w:hint="eastAsia"/>
          <w:color w:val="auto"/>
          <w:lang w:val="en-US" w:eastAsia="zh-CN"/>
        </w:rPr>
        <w:t>.......................................................................................................</w:t>
      </w:r>
      <w:r>
        <w:rPr>
          <w:rFonts w:hint="eastAsia"/>
          <w:color w:val="auto"/>
        </w:rPr>
        <w:t>10</w:t>
      </w:r>
    </w:p>
    <w:p w14:paraId="40BFB0A9">
      <w:pPr>
        <w:rPr>
          <w:rFonts w:hint="eastAsia"/>
          <w:color w:val="auto"/>
        </w:rPr>
      </w:pPr>
      <w:r>
        <w:rPr>
          <w:rFonts w:hint="eastAsia"/>
          <w:color w:val="auto"/>
        </w:rPr>
        <w:t>（一）事故现场应急处置情况</w:t>
      </w:r>
      <w:r>
        <w:rPr>
          <w:rFonts w:hint="eastAsia"/>
          <w:color w:val="auto"/>
          <w:lang w:val="en-US" w:eastAsia="zh-CN"/>
        </w:rPr>
        <w:t>.....................................................................................................</w:t>
      </w:r>
      <w:r>
        <w:rPr>
          <w:rFonts w:hint="eastAsia"/>
          <w:color w:val="auto"/>
        </w:rPr>
        <w:t>10</w:t>
      </w:r>
    </w:p>
    <w:p w14:paraId="623023FA">
      <w:pPr>
        <w:rPr>
          <w:rFonts w:hint="eastAsia"/>
          <w:color w:val="auto"/>
        </w:rPr>
      </w:pPr>
      <w:r>
        <w:rPr>
          <w:rFonts w:hint="eastAsia"/>
          <w:color w:val="auto"/>
        </w:rPr>
        <w:t>（二）事故应急处置评估</w:t>
      </w:r>
      <w:r>
        <w:rPr>
          <w:rFonts w:hint="eastAsia"/>
          <w:color w:val="auto"/>
          <w:lang w:val="en-US" w:eastAsia="zh-CN"/>
        </w:rPr>
        <w:t>.............................................................................................................</w:t>
      </w:r>
      <w:r>
        <w:rPr>
          <w:rFonts w:hint="eastAsia"/>
          <w:color w:val="auto"/>
        </w:rPr>
        <w:t>10</w:t>
      </w:r>
    </w:p>
    <w:p w14:paraId="60B80C8C">
      <w:pPr>
        <w:rPr>
          <w:rFonts w:hint="eastAsia"/>
          <w:color w:val="auto"/>
        </w:rPr>
      </w:pPr>
      <w:r>
        <w:rPr>
          <w:rFonts w:hint="eastAsia" w:ascii="黑体" w:hAnsi="黑体" w:eastAsia="黑体" w:cs="黑体"/>
          <w:color w:val="auto"/>
          <w:sz w:val="20"/>
          <w:szCs w:val="20"/>
        </w:rPr>
        <w:t>三、事故原因分析</w:t>
      </w:r>
      <w:r>
        <w:rPr>
          <w:rFonts w:hint="eastAsia"/>
          <w:color w:val="auto"/>
          <w:lang w:val="en-US" w:eastAsia="zh-CN"/>
        </w:rPr>
        <w:t>..........................................................................................................................</w:t>
      </w:r>
      <w:r>
        <w:rPr>
          <w:rFonts w:hint="eastAsia"/>
          <w:color w:val="auto"/>
        </w:rPr>
        <w:t>11</w:t>
      </w:r>
    </w:p>
    <w:p w14:paraId="7304A9AB">
      <w:pPr>
        <w:rPr>
          <w:rFonts w:hint="eastAsia"/>
          <w:color w:val="auto"/>
        </w:rPr>
      </w:pPr>
      <w:r>
        <w:rPr>
          <w:rFonts w:hint="eastAsia"/>
          <w:color w:val="auto"/>
        </w:rPr>
        <w:t>（一）直接原因</w:t>
      </w:r>
      <w:r>
        <w:rPr>
          <w:rFonts w:hint="eastAsia"/>
          <w:color w:val="auto"/>
          <w:lang w:val="en-US" w:eastAsia="zh-CN"/>
        </w:rPr>
        <w:t>.............................................................................................................................</w:t>
      </w:r>
      <w:r>
        <w:rPr>
          <w:rFonts w:hint="eastAsia"/>
          <w:color w:val="auto"/>
        </w:rPr>
        <w:t>11</w:t>
      </w:r>
    </w:p>
    <w:p w14:paraId="455FD5A0">
      <w:pPr>
        <w:rPr>
          <w:rFonts w:hint="eastAsia"/>
          <w:color w:val="auto"/>
        </w:rPr>
      </w:pPr>
      <w:r>
        <w:rPr>
          <w:rFonts w:hint="eastAsia"/>
          <w:color w:val="auto"/>
        </w:rPr>
        <w:t>（二）间接原因</w:t>
      </w:r>
      <w:r>
        <w:rPr>
          <w:rFonts w:hint="eastAsia"/>
          <w:color w:val="auto"/>
          <w:lang w:val="en-US" w:eastAsia="zh-CN"/>
        </w:rPr>
        <w:t>.............................................................................................................................</w:t>
      </w:r>
      <w:r>
        <w:rPr>
          <w:rFonts w:hint="eastAsia"/>
          <w:color w:val="auto"/>
        </w:rPr>
        <w:t>11</w:t>
      </w:r>
    </w:p>
    <w:p w14:paraId="3FB2C318">
      <w:pPr>
        <w:rPr>
          <w:rFonts w:hint="eastAsia"/>
          <w:color w:val="auto"/>
        </w:rPr>
      </w:pPr>
      <w:r>
        <w:rPr>
          <w:rFonts w:hint="eastAsia" w:ascii="黑体" w:hAnsi="黑体" w:eastAsia="黑体" w:cs="黑体"/>
          <w:color w:val="auto"/>
          <w:sz w:val="20"/>
          <w:szCs w:val="20"/>
        </w:rPr>
        <w:t>四、有关责任单位存在的主要问题</w:t>
      </w:r>
      <w:r>
        <w:rPr>
          <w:rFonts w:hint="eastAsia"/>
          <w:color w:val="auto"/>
          <w:lang w:val="en-US" w:eastAsia="zh-CN"/>
        </w:rPr>
        <w:t>................................................................................................</w:t>
      </w:r>
      <w:r>
        <w:rPr>
          <w:rFonts w:hint="eastAsia"/>
          <w:color w:val="auto"/>
        </w:rPr>
        <w:t>12</w:t>
      </w:r>
    </w:p>
    <w:p w14:paraId="1BAF9642">
      <w:pPr>
        <w:rPr>
          <w:rFonts w:hint="eastAsia"/>
          <w:color w:val="auto"/>
        </w:rPr>
      </w:pPr>
      <w:r>
        <w:rPr>
          <w:rFonts w:hint="eastAsia"/>
          <w:color w:val="auto"/>
        </w:rPr>
        <w:t>（一）事故发生单位和相关单位</w:t>
      </w:r>
      <w:r>
        <w:rPr>
          <w:rFonts w:hint="eastAsia"/>
          <w:color w:val="auto"/>
          <w:lang w:val="en-US" w:eastAsia="zh-CN"/>
        </w:rPr>
        <w:t>.................................................................................................</w:t>
      </w:r>
      <w:r>
        <w:rPr>
          <w:rFonts w:hint="eastAsia"/>
          <w:color w:val="auto"/>
        </w:rPr>
        <w:t>12</w:t>
      </w:r>
    </w:p>
    <w:p w14:paraId="76A8324D">
      <w:pPr>
        <w:rPr>
          <w:rFonts w:hint="eastAsia"/>
          <w:color w:val="auto"/>
        </w:rPr>
      </w:pPr>
      <w:r>
        <w:rPr>
          <w:rFonts w:hint="eastAsia"/>
          <w:color w:val="auto"/>
        </w:rPr>
        <w:t>（二）有关监管部门</w:t>
      </w:r>
      <w:r>
        <w:rPr>
          <w:rFonts w:hint="eastAsia"/>
          <w:color w:val="auto"/>
          <w:lang w:val="en-US" w:eastAsia="zh-CN"/>
        </w:rPr>
        <w:t>.....................................................................................................................</w:t>
      </w:r>
      <w:r>
        <w:rPr>
          <w:rFonts w:hint="eastAsia"/>
          <w:color w:val="auto"/>
        </w:rPr>
        <w:t>13</w:t>
      </w:r>
    </w:p>
    <w:p w14:paraId="57DAC60A">
      <w:pPr>
        <w:rPr>
          <w:rFonts w:hint="eastAsia"/>
          <w:color w:val="auto"/>
        </w:rPr>
      </w:pPr>
      <w:r>
        <w:rPr>
          <w:rFonts w:hint="eastAsia"/>
          <w:color w:val="auto"/>
        </w:rPr>
        <w:t>（三）地方党委政府</w:t>
      </w:r>
      <w:r>
        <w:rPr>
          <w:rFonts w:hint="eastAsia"/>
          <w:color w:val="auto"/>
          <w:lang w:val="en-US" w:eastAsia="zh-CN"/>
        </w:rPr>
        <w:t>.....................................................................................................................</w:t>
      </w:r>
      <w:r>
        <w:rPr>
          <w:rFonts w:hint="eastAsia"/>
          <w:color w:val="auto"/>
        </w:rPr>
        <w:t>13</w:t>
      </w:r>
    </w:p>
    <w:p w14:paraId="538301D9">
      <w:pPr>
        <w:rPr>
          <w:rFonts w:hint="eastAsia"/>
          <w:color w:val="auto"/>
        </w:rPr>
      </w:pPr>
      <w:r>
        <w:rPr>
          <w:rFonts w:hint="eastAsia" w:ascii="黑体" w:hAnsi="黑体" w:eastAsia="黑体" w:cs="黑体"/>
          <w:color w:val="auto"/>
          <w:sz w:val="20"/>
          <w:szCs w:val="20"/>
          <w:lang w:val="en-US" w:eastAsia="zh-CN"/>
        </w:rPr>
        <w:t>五</w:t>
      </w:r>
      <w:r>
        <w:rPr>
          <w:rFonts w:hint="eastAsia" w:ascii="黑体" w:hAnsi="黑体" w:eastAsia="黑体" w:cs="黑体"/>
          <w:color w:val="auto"/>
          <w:sz w:val="20"/>
          <w:szCs w:val="20"/>
        </w:rPr>
        <w:t>、责任划分及处理建议</w:t>
      </w:r>
      <w:r>
        <w:rPr>
          <w:rFonts w:hint="eastAsia"/>
          <w:color w:val="auto"/>
          <w:lang w:val="en-US" w:eastAsia="zh-CN"/>
        </w:rPr>
        <w:t>...............................................................................................................</w:t>
      </w:r>
      <w:r>
        <w:rPr>
          <w:rFonts w:hint="eastAsia"/>
          <w:color w:val="auto"/>
        </w:rPr>
        <w:t>14</w:t>
      </w:r>
    </w:p>
    <w:p w14:paraId="4E62321E">
      <w:pPr>
        <w:rPr>
          <w:rFonts w:hint="eastAsia"/>
          <w:color w:val="auto"/>
        </w:rPr>
      </w:pPr>
      <w:r>
        <w:rPr>
          <w:rFonts w:hint="eastAsia"/>
          <w:color w:val="auto"/>
        </w:rPr>
        <w:t>（一）建议移送司法机关处理的人员</w:t>
      </w:r>
      <w:r>
        <w:rPr>
          <w:rFonts w:hint="eastAsia"/>
          <w:color w:val="auto"/>
          <w:lang w:val="en-US" w:eastAsia="zh-CN"/>
        </w:rPr>
        <w:t>.........................................................................................</w:t>
      </w:r>
      <w:r>
        <w:rPr>
          <w:rFonts w:hint="eastAsia"/>
          <w:color w:val="auto"/>
        </w:rPr>
        <w:t>14</w:t>
      </w:r>
    </w:p>
    <w:p w14:paraId="58652B14">
      <w:pPr>
        <w:rPr>
          <w:rFonts w:hint="eastAsia"/>
          <w:color w:val="auto"/>
        </w:rPr>
      </w:pPr>
      <w:r>
        <w:rPr>
          <w:rFonts w:hint="eastAsia"/>
          <w:color w:val="auto"/>
        </w:rPr>
        <w:t>（二）建议给予行政处罚的人员</w:t>
      </w:r>
      <w:r>
        <w:rPr>
          <w:rFonts w:hint="eastAsia"/>
          <w:color w:val="auto"/>
          <w:lang w:val="en-US" w:eastAsia="zh-CN"/>
        </w:rPr>
        <w:t>.................................................................................................</w:t>
      </w:r>
      <w:r>
        <w:rPr>
          <w:rFonts w:hint="eastAsia"/>
          <w:color w:val="auto"/>
        </w:rPr>
        <w:t>15</w:t>
      </w:r>
    </w:p>
    <w:p w14:paraId="60266AB9">
      <w:pPr>
        <w:rPr>
          <w:rFonts w:hint="eastAsia"/>
          <w:color w:val="auto"/>
        </w:rPr>
      </w:pPr>
      <w:r>
        <w:rPr>
          <w:rFonts w:hint="eastAsia"/>
          <w:color w:val="auto"/>
        </w:rPr>
        <w:t>（三）对事故责任单位的行政处罚建议</w:t>
      </w:r>
      <w:r>
        <w:rPr>
          <w:rFonts w:hint="eastAsia"/>
          <w:color w:val="auto"/>
          <w:lang w:val="en-US" w:eastAsia="zh-CN"/>
        </w:rPr>
        <w:t>.....................................................................................</w:t>
      </w:r>
      <w:r>
        <w:rPr>
          <w:rFonts w:hint="eastAsia"/>
          <w:color w:val="auto"/>
        </w:rPr>
        <w:t>16</w:t>
      </w:r>
    </w:p>
    <w:p w14:paraId="656B605C">
      <w:pPr>
        <w:rPr>
          <w:rFonts w:hint="eastAsia"/>
          <w:color w:val="auto"/>
        </w:rPr>
      </w:pPr>
      <w:r>
        <w:rPr>
          <w:rFonts w:hint="eastAsia"/>
          <w:color w:val="auto"/>
        </w:rPr>
        <w:t>（四）其他问题处理建议</w:t>
      </w:r>
      <w:r>
        <w:rPr>
          <w:rFonts w:hint="eastAsia"/>
          <w:color w:val="auto"/>
          <w:lang w:val="en-US" w:eastAsia="zh-CN"/>
        </w:rPr>
        <w:t>.............................................................................................................</w:t>
      </w:r>
      <w:r>
        <w:rPr>
          <w:rFonts w:hint="eastAsia"/>
          <w:color w:val="auto"/>
        </w:rPr>
        <w:t>17</w:t>
      </w:r>
    </w:p>
    <w:p w14:paraId="37397BB5">
      <w:pPr>
        <w:rPr>
          <w:rFonts w:hint="eastAsia"/>
          <w:color w:val="auto"/>
        </w:rPr>
      </w:pPr>
      <w:r>
        <w:rPr>
          <w:rFonts w:hint="eastAsia" w:ascii="黑体" w:hAnsi="黑体" w:eastAsia="黑体" w:cs="黑体"/>
          <w:color w:val="auto"/>
          <w:sz w:val="20"/>
          <w:szCs w:val="20"/>
          <w:lang w:val="en-US" w:eastAsia="zh-CN"/>
        </w:rPr>
        <w:t>六</w:t>
      </w:r>
      <w:r>
        <w:rPr>
          <w:rFonts w:hint="eastAsia" w:ascii="黑体" w:hAnsi="黑体" w:eastAsia="黑体" w:cs="黑体"/>
          <w:color w:val="auto"/>
          <w:sz w:val="20"/>
          <w:szCs w:val="20"/>
        </w:rPr>
        <w:t>、事故防范和整改措施建议</w:t>
      </w:r>
      <w:r>
        <w:rPr>
          <w:rFonts w:hint="eastAsia"/>
          <w:color w:val="auto"/>
          <w:lang w:val="en-US" w:eastAsia="zh-CN"/>
        </w:rPr>
        <w:t>........................................................................................................</w:t>
      </w:r>
      <w:r>
        <w:rPr>
          <w:rFonts w:hint="eastAsia"/>
          <w:color w:val="auto"/>
        </w:rPr>
        <w:t>17</w:t>
      </w:r>
    </w:p>
    <w:p w14:paraId="42524284">
      <w:pPr>
        <w:rPr>
          <w:rFonts w:hint="eastAsia"/>
          <w:color w:val="auto"/>
        </w:rPr>
      </w:pPr>
      <w:r>
        <w:rPr>
          <w:rFonts w:hint="eastAsia"/>
          <w:color w:val="auto"/>
        </w:rPr>
        <w:t>（一）提高政治站位，树牢安全发展理念</w:t>
      </w:r>
      <w:r>
        <w:rPr>
          <w:rFonts w:hint="eastAsia"/>
          <w:color w:val="auto"/>
          <w:lang w:val="en-US" w:eastAsia="zh-CN"/>
        </w:rPr>
        <w:t>..................................................................................</w:t>
      </w:r>
      <w:r>
        <w:rPr>
          <w:rFonts w:hint="eastAsia"/>
          <w:color w:val="auto"/>
        </w:rPr>
        <w:t>18</w:t>
      </w:r>
    </w:p>
    <w:p w14:paraId="18A40EA5">
      <w:pPr>
        <w:rPr>
          <w:rFonts w:hint="eastAsia"/>
          <w:color w:val="auto"/>
        </w:rPr>
      </w:pPr>
      <w:r>
        <w:rPr>
          <w:rFonts w:hint="eastAsia"/>
          <w:color w:val="auto"/>
        </w:rPr>
        <w:t>（二）全面压实责任，切实消除监管盲区</w:t>
      </w:r>
      <w:r>
        <w:rPr>
          <w:rFonts w:hint="eastAsia"/>
          <w:color w:val="auto"/>
          <w:lang w:val="en-US" w:eastAsia="zh-CN"/>
        </w:rPr>
        <w:t>..................................................................................</w:t>
      </w:r>
      <w:r>
        <w:rPr>
          <w:rFonts w:hint="eastAsia"/>
          <w:color w:val="auto"/>
        </w:rPr>
        <w:t>18</w:t>
      </w:r>
    </w:p>
    <w:p w14:paraId="41A0375A">
      <w:pPr>
        <w:rPr>
          <w:rFonts w:hint="eastAsia"/>
          <w:color w:val="auto"/>
        </w:rPr>
      </w:pPr>
      <w:r>
        <w:rPr>
          <w:rFonts w:hint="eastAsia"/>
          <w:color w:val="auto"/>
        </w:rPr>
        <w:t>（三）强化风险管控，落实企业主体责任</w:t>
      </w:r>
      <w:r>
        <w:rPr>
          <w:rFonts w:hint="eastAsia"/>
          <w:color w:val="auto"/>
          <w:lang w:val="en-US" w:eastAsia="zh-CN"/>
        </w:rPr>
        <w:t>..................................................................................</w:t>
      </w:r>
      <w:r>
        <w:rPr>
          <w:rFonts w:hint="eastAsia"/>
          <w:color w:val="auto"/>
        </w:rPr>
        <w:t>19</w:t>
      </w:r>
    </w:p>
    <w:p w14:paraId="273EC5B6">
      <w:pPr>
        <w:rPr>
          <w:rFonts w:hint="default" w:ascii="Times New Roman" w:hAnsi="Times New Roman" w:eastAsia="方正仿宋简体" w:cs="Times New Roman"/>
          <w:color w:val="auto"/>
          <w:sz w:val="32"/>
          <w:szCs w:val="32"/>
          <w:lang w:val="en-US" w:eastAsia="zh-CN"/>
        </w:rPr>
        <w:sectPr>
          <w:footerReference r:id="rId6" w:type="default"/>
          <w:footnotePr>
            <w:numFmt w:val="decimal"/>
          </w:footnotePr>
          <w:pgSz w:w="11906" w:h="16838"/>
          <w:pgMar w:top="1701" w:right="1417" w:bottom="1417" w:left="1417" w:header="851" w:footer="992" w:gutter="0"/>
          <w:pgNumType w:fmt="decimal" w:start="1"/>
          <w:cols w:space="425" w:num="1"/>
          <w:docGrid w:type="lines" w:linePitch="312" w:charSpace="0"/>
        </w:sectPr>
      </w:pPr>
      <w:r>
        <w:rPr>
          <w:rFonts w:hint="eastAsia"/>
          <w:color w:val="auto"/>
        </w:rPr>
        <w:t>（四）加强宣传教育，提高安全生产意识</w:t>
      </w:r>
      <w:r>
        <w:rPr>
          <w:rFonts w:hint="eastAsia"/>
          <w:color w:val="auto"/>
          <w:lang w:val="en-US" w:eastAsia="zh-CN"/>
        </w:rPr>
        <w:t>..................................................................................</w:t>
      </w:r>
      <w:r>
        <w:rPr>
          <w:rFonts w:hint="eastAsia"/>
          <w:color w:val="auto"/>
        </w:rPr>
        <w:t>19</w:t>
      </w:r>
    </w:p>
    <w:p w14:paraId="454741D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color w:val="auto"/>
          <w:sz w:val="32"/>
          <w:szCs w:val="32"/>
          <w:lang w:val="en-US" w:eastAsia="zh-CN"/>
        </w:rPr>
      </w:pPr>
      <w:r>
        <w:rPr>
          <w:rFonts w:hint="default" w:ascii="Times New Roman" w:hAnsi="Times New Roman" w:eastAsia="方正仿宋简体" w:cs="Times New Roman"/>
          <w:color w:val="auto"/>
          <w:sz w:val="32"/>
          <w:szCs w:val="32"/>
          <w:lang w:val="en-US" w:eastAsia="zh-CN"/>
        </w:rPr>
        <w:t>2024年1月30日16时30分，什邡新杰钢结构安装有限公司</w:t>
      </w:r>
      <w:r>
        <w:rPr>
          <w:rFonts w:hint="eastAsia" w:ascii="Times New Roman" w:hAnsi="Times New Roman" w:eastAsia="方正仿宋简体" w:cs="Times New Roman"/>
          <w:color w:val="auto"/>
          <w:sz w:val="32"/>
          <w:szCs w:val="32"/>
          <w:lang w:val="en-US" w:eastAsia="zh-CN"/>
        </w:rPr>
        <w:t>作业人员在</w:t>
      </w:r>
      <w:r>
        <w:rPr>
          <w:rFonts w:hint="default" w:ascii="Times New Roman" w:hAnsi="Times New Roman" w:eastAsia="方正仿宋简体" w:cs="Times New Roman"/>
          <w:color w:val="auto"/>
          <w:sz w:val="32"/>
          <w:szCs w:val="32"/>
          <w:lang w:val="en-US" w:eastAsia="zh-CN"/>
        </w:rPr>
        <w:t>绵竹市汉旺镇沿新村4组四川绵竹市盘龙矿物质有限责任公司磷矿库钢结构雨棚建设项目</w:t>
      </w:r>
      <w:r>
        <w:rPr>
          <w:rFonts w:hint="eastAsia" w:ascii="Times New Roman" w:hAnsi="Times New Roman" w:eastAsia="方正仿宋简体" w:cs="Times New Roman"/>
          <w:color w:val="auto"/>
          <w:sz w:val="32"/>
          <w:szCs w:val="32"/>
          <w:lang w:val="en-US" w:eastAsia="zh-CN"/>
        </w:rPr>
        <w:t>施工时</w:t>
      </w:r>
      <w:r>
        <w:rPr>
          <w:rFonts w:hint="default" w:ascii="Times New Roman" w:hAnsi="Times New Roman" w:eastAsia="方正仿宋简体" w:cs="Times New Roman"/>
          <w:color w:val="auto"/>
          <w:sz w:val="32"/>
          <w:szCs w:val="32"/>
          <w:u w:val="none"/>
          <w:lang w:val="en-US" w:eastAsia="zh-CN"/>
        </w:rPr>
        <w:t>发生</w:t>
      </w:r>
      <w:r>
        <w:rPr>
          <w:rFonts w:hint="default" w:ascii="Times New Roman" w:hAnsi="Times New Roman" w:eastAsia="方正仿宋简体" w:cs="Times New Roman"/>
          <w:color w:val="auto"/>
          <w:sz w:val="32"/>
          <w:szCs w:val="32"/>
          <w:lang w:val="en-US" w:eastAsia="zh-CN"/>
        </w:rPr>
        <w:t>一起</w:t>
      </w:r>
      <w:r>
        <w:rPr>
          <w:rFonts w:hint="eastAsia" w:ascii="Times New Roman" w:hAnsi="Times New Roman" w:eastAsia="方正仿宋简体" w:cs="Times New Roman"/>
          <w:color w:val="auto"/>
          <w:sz w:val="32"/>
          <w:szCs w:val="32"/>
          <w:lang w:val="en-US" w:eastAsia="zh-CN"/>
        </w:rPr>
        <w:t>高处坠落</w:t>
      </w:r>
      <w:r>
        <w:rPr>
          <w:rFonts w:hint="default" w:ascii="Times New Roman" w:hAnsi="Times New Roman" w:eastAsia="方正仿宋简体" w:cs="Times New Roman"/>
          <w:color w:val="auto"/>
          <w:sz w:val="32"/>
          <w:szCs w:val="32"/>
          <w:lang w:val="en-US" w:eastAsia="zh-CN"/>
        </w:rPr>
        <w:t>事故，造成1人死亡，2人受伤，直接经济损失280万元。</w:t>
      </w:r>
    </w:p>
    <w:p w14:paraId="77D6149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color w:val="auto"/>
          <w:sz w:val="32"/>
          <w:szCs w:val="32"/>
          <w:lang w:val="en-US" w:eastAsia="zh-CN"/>
        </w:rPr>
      </w:pPr>
      <w:r>
        <w:rPr>
          <w:rFonts w:hint="default" w:ascii="Times New Roman" w:hAnsi="Times New Roman" w:eastAsia="方正仿宋简体" w:cs="Times New Roman"/>
          <w:color w:val="auto"/>
          <w:sz w:val="32"/>
          <w:szCs w:val="32"/>
          <w:lang w:val="en-US" w:eastAsia="zh-CN"/>
        </w:rPr>
        <w:t>事故发生后，省应急管理厅</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德阳</w:t>
      </w:r>
      <w:r>
        <w:rPr>
          <w:rFonts w:hint="eastAsia" w:ascii="Times New Roman" w:hAnsi="Times New Roman" w:eastAsia="方正仿宋简体" w:cs="Times New Roman"/>
          <w:color w:val="auto"/>
          <w:sz w:val="32"/>
          <w:szCs w:val="32"/>
          <w:lang w:val="en-US" w:eastAsia="zh-CN"/>
        </w:rPr>
        <w:t>市委、市政府和绵竹</w:t>
      </w:r>
      <w:r>
        <w:rPr>
          <w:rFonts w:hint="default" w:ascii="Times New Roman" w:hAnsi="Times New Roman" w:eastAsia="方正仿宋简体" w:cs="Times New Roman"/>
          <w:color w:val="auto"/>
          <w:sz w:val="32"/>
          <w:szCs w:val="32"/>
          <w:lang w:val="en-US" w:eastAsia="zh-CN"/>
        </w:rPr>
        <w:t>市委、市政府高度重视。省应急管理厅</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德阳市领导先后做出指示批示，要求妥善做好人员救护医治和善后工作，及时查明事故原因，认真总结事故教训，严肃追责问责，抓好安全隐患排查工作。</w:t>
      </w:r>
      <w:r>
        <w:rPr>
          <w:rFonts w:hint="eastAsia" w:ascii="Times New Roman" w:hAnsi="Times New Roman" w:eastAsia="方正仿宋简体" w:cs="Times New Roman"/>
          <w:color w:val="auto"/>
          <w:sz w:val="32"/>
          <w:szCs w:val="32"/>
          <w:lang w:val="en-US" w:eastAsia="zh-CN"/>
        </w:rPr>
        <w:t>事故发生后，</w:t>
      </w:r>
      <w:r>
        <w:rPr>
          <w:rFonts w:hint="default" w:ascii="Times New Roman" w:hAnsi="Times New Roman" w:eastAsia="方正仿宋简体" w:cs="Times New Roman"/>
          <w:color w:val="auto"/>
          <w:sz w:val="32"/>
          <w:szCs w:val="32"/>
          <w:lang w:val="en-US" w:eastAsia="zh-CN"/>
        </w:rPr>
        <w:t>德阳市应急管理局立即派出工作组赶赴现场，指导事故救援、事故调查和善后处置等工作</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绵竹市委、市政府主要领导、分管领导第一时间赶赴现场，督促指导事故应急处置工作，汉旺镇党委政府、公安、应急等有关部门立即赶赴现场组织开展救援处置、事故初步情况调查、现场勘验、善后处理等工作。</w:t>
      </w:r>
    </w:p>
    <w:p w14:paraId="398E9A8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color w:val="auto"/>
          <w:sz w:val="32"/>
          <w:szCs w:val="32"/>
          <w:lang w:val="en-US" w:eastAsia="zh-CN"/>
        </w:rPr>
      </w:pPr>
      <w:r>
        <w:rPr>
          <w:rFonts w:hint="default" w:ascii="Times New Roman" w:hAnsi="Times New Roman" w:eastAsia="方正仿宋简体" w:cs="Times New Roman"/>
          <w:color w:val="auto"/>
          <w:sz w:val="32"/>
          <w:szCs w:val="32"/>
          <w:lang w:val="en-US" w:eastAsia="zh-CN"/>
        </w:rPr>
        <w:t>根据《中华人民共和国安全生产法》《生产安全事故报告和调查处理条例》（国务院令第 493 号）等有关法律法规及《绵竹市人民政府常务会议议定事项通知》（十八届四十一次5号），经绵竹市人民政府授权，由市应急</w:t>
      </w:r>
      <w:r>
        <w:rPr>
          <w:rFonts w:hint="eastAsia" w:ascii="Times New Roman" w:hAnsi="Times New Roman" w:eastAsia="方正仿宋简体" w:cs="Times New Roman"/>
          <w:color w:val="auto"/>
          <w:sz w:val="32"/>
          <w:szCs w:val="32"/>
          <w:lang w:val="en-US" w:eastAsia="zh-CN"/>
        </w:rPr>
        <w:t>管理</w:t>
      </w:r>
      <w:r>
        <w:rPr>
          <w:rFonts w:hint="default" w:ascii="Times New Roman" w:hAnsi="Times New Roman" w:eastAsia="方正仿宋简体" w:cs="Times New Roman"/>
          <w:color w:val="auto"/>
          <w:sz w:val="32"/>
          <w:szCs w:val="32"/>
          <w:lang w:val="en-US" w:eastAsia="zh-CN"/>
        </w:rPr>
        <w:t>局牵头</w:t>
      </w:r>
      <w:r>
        <w:rPr>
          <w:rFonts w:hint="eastAsia" w:ascii="Times New Roman" w:hAnsi="Times New Roman" w:eastAsia="方正仿宋简体" w:cs="Times New Roman"/>
          <w:color w:val="auto"/>
          <w:sz w:val="32"/>
          <w:szCs w:val="32"/>
          <w:lang w:val="en-US" w:eastAsia="zh-CN"/>
        </w:rPr>
        <w:t>，成立了</w:t>
      </w:r>
      <w:r>
        <w:rPr>
          <w:rFonts w:hint="default" w:ascii="Times New Roman" w:hAnsi="Times New Roman" w:eastAsia="方正仿宋简体" w:cs="Times New Roman"/>
          <w:color w:val="auto"/>
          <w:sz w:val="32"/>
          <w:szCs w:val="32"/>
          <w:lang w:val="en-US" w:eastAsia="zh-CN"/>
        </w:rPr>
        <w:t>市公安局、</w:t>
      </w:r>
      <w:r>
        <w:rPr>
          <w:rFonts w:hint="eastAsia" w:ascii="Times New Roman" w:hAnsi="Times New Roman" w:eastAsia="方正仿宋简体" w:cs="Times New Roman"/>
          <w:color w:val="auto"/>
          <w:sz w:val="32"/>
          <w:szCs w:val="32"/>
          <w:lang w:val="en-US" w:eastAsia="zh-CN"/>
        </w:rPr>
        <w:t>市</w:t>
      </w:r>
      <w:r>
        <w:rPr>
          <w:rFonts w:hint="default" w:ascii="Times New Roman" w:hAnsi="Times New Roman" w:eastAsia="方正仿宋简体" w:cs="Times New Roman"/>
          <w:color w:val="auto"/>
          <w:sz w:val="32"/>
          <w:szCs w:val="32"/>
          <w:lang w:val="en-US" w:eastAsia="zh-CN"/>
        </w:rPr>
        <w:t>住建局、</w:t>
      </w:r>
      <w:r>
        <w:rPr>
          <w:rFonts w:hint="eastAsia" w:ascii="Times New Roman" w:hAnsi="Times New Roman" w:eastAsia="方正仿宋简体" w:cs="Times New Roman"/>
          <w:color w:val="auto"/>
          <w:sz w:val="32"/>
          <w:szCs w:val="32"/>
          <w:lang w:val="en-US" w:eastAsia="zh-CN"/>
        </w:rPr>
        <w:t>绵竹市</w:t>
      </w:r>
      <w:r>
        <w:rPr>
          <w:rFonts w:hint="default" w:ascii="Times New Roman" w:hAnsi="Times New Roman" w:eastAsia="方正仿宋简体" w:cs="Times New Roman"/>
          <w:color w:val="auto"/>
          <w:sz w:val="32"/>
          <w:szCs w:val="32"/>
          <w:lang w:val="en-US" w:eastAsia="zh-CN"/>
        </w:rPr>
        <w:t>总工会</w:t>
      </w:r>
      <w:r>
        <w:rPr>
          <w:rFonts w:hint="eastAsia" w:ascii="Times New Roman" w:hAnsi="Times New Roman" w:eastAsia="方正仿宋简体" w:cs="Times New Roman"/>
          <w:color w:val="auto"/>
          <w:sz w:val="32"/>
          <w:szCs w:val="32"/>
          <w:lang w:val="en-US" w:eastAsia="zh-CN"/>
        </w:rPr>
        <w:t>及</w:t>
      </w:r>
      <w:r>
        <w:rPr>
          <w:rFonts w:hint="default" w:ascii="Times New Roman" w:hAnsi="Times New Roman" w:eastAsia="方正仿宋简体" w:cs="Times New Roman"/>
          <w:color w:val="auto"/>
          <w:sz w:val="32"/>
          <w:szCs w:val="32"/>
          <w:lang w:val="en-US" w:eastAsia="zh-CN"/>
        </w:rPr>
        <w:t>邀请检察院派员、聘请专家组成的什邡新杰钢结构安装有限公司“1·30”一般</w:t>
      </w:r>
      <w:r>
        <w:rPr>
          <w:rFonts w:hint="eastAsia" w:ascii="Times New Roman" w:hAnsi="Times New Roman" w:eastAsia="方正仿宋简体" w:cs="Times New Roman"/>
          <w:color w:val="auto"/>
          <w:sz w:val="32"/>
          <w:szCs w:val="32"/>
          <w:lang w:val="en-US" w:eastAsia="zh-CN"/>
        </w:rPr>
        <w:t>高处坠落</w:t>
      </w:r>
      <w:r>
        <w:rPr>
          <w:rFonts w:hint="default" w:ascii="Times New Roman" w:hAnsi="Times New Roman" w:eastAsia="方正仿宋简体" w:cs="Times New Roman"/>
          <w:color w:val="auto"/>
          <w:sz w:val="32"/>
          <w:szCs w:val="32"/>
          <w:lang w:val="en-US" w:eastAsia="zh-CN"/>
        </w:rPr>
        <w:t>事故联合调查组（以下简称事故联合调查组</w:t>
      </w:r>
      <w:r>
        <w:rPr>
          <w:rFonts w:hint="default" w:ascii="Times New Roman" w:hAnsi="Times New Roman" w:eastAsia="方正仿宋简体" w:cs="Times New Roman"/>
          <w:color w:val="auto"/>
          <w:sz w:val="32"/>
          <w:szCs w:val="32"/>
          <w:u w:val="none"/>
          <w:lang w:val="en-US" w:eastAsia="zh-CN"/>
        </w:rPr>
        <w:t>）依法</w:t>
      </w:r>
      <w:r>
        <w:rPr>
          <w:rFonts w:hint="eastAsia" w:ascii="Times New Roman" w:hAnsi="Times New Roman" w:eastAsia="方正仿宋简体" w:cs="Times New Roman"/>
          <w:color w:val="auto"/>
          <w:sz w:val="32"/>
          <w:szCs w:val="32"/>
          <w:u w:val="none"/>
          <w:lang w:val="en-US" w:eastAsia="zh-CN"/>
        </w:rPr>
        <w:t>开展</w:t>
      </w:r>
      <w:r>
        <w:rPr>
          <w:rFonts w:hint="default" w:ascii="Times New Roman" w:hAnsi="Times New Roman" w:eastAsia="方正仿宋简体" w:cs="Times New Roman"/>
          <w:color w:val="auto"/>
          <w:sz w:val="32"/>
          <w:szCs w:val="32"/>
          <w:lang w:val="en-US" w:eastAsia="zh-CN"/>
        </w:rPr>
        <w:t>调查。德阳市安委会按相关规定对本次事故的调查处理进行挂牌督办。</w:t>
      </w:r>
    </w:p>
    <w:p w14:paraId="060F5A5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Times New Roman"/>
          <w:color w:val="auto"/>
          <w:sz w:val="32"/>
          <w:szCs w:val="32"/>
          <w:lang w:val="en-US" w:eastAsia="zh-CN"/>
        </w:rPr>
      </w:pPr>
      <w:r>
        <w:rPr>
          <w:rFonts w:hint="default" w:ascii="Times New Roman" w:hAnsi="Times New Roman" w:eastAsia="方正仿宋简体" w:cs="Times New Roman"/>
          <w:color w:val="auto"/>
          <w:sz w:val="32"/>
          <w:szCs w:val="32"/>
          <w:lang w:val="en-US" w:eastAsia="zh-CN"/>
        </w:rPr>
        <w:t>事故联合调查组按照“四不放过”和“科学严谨、依法依规、实事求是、注重实效”的原则，通过现场勘验、询问人员、查阅资料</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检测鉴定和综合分析等，查明了事故发生的经过和原因，认定了事故性质和责任，提出了对有关责任单位、责任人员的处理建议和事故防范及整改措施</w:t>
      </w:r>
      <w:r>
        <w:rPr>
          <w:rFonts w:hint="eastAsia" w:ascii="Times New Roman" w:hAnsi="Times New Roman" w:eastAsia="方正仿宋简体" w:cs="Times New Roman"/>
          <w:color w:val="auto"/>
          <w:sz w:val="32"/>
          <w:szCs w:val="32"/>
          <w:lang w:val="en-US" w:eastAsia="zh-CN"/>
        </w:rPr>
        <w:t>建议</w:t>
      </w:r>
      <w:r>
        <w:rPr>
          <w:rFonts w:hint="default" w:ascii="Times New Roman" w:hAnsi="Times New Roman" w:eastAsia="方正仿宋简体" w:cs="Times New Roman"/>
          <w:color w:val="auto"/>
          <w:sz w:val="32"/>
          <w:szCs w:val="32"/>
          <w:lang w:val="en-US" w:eastAsia="zh-CN"/>
        </w:rPr>
        <w:t>。现将有关情况报告如下</w:t>
      </w:r>
      <w:r>
        <w:rPr>
          <w:rFonts w:hint="eastAsia" w:ascii="Times New Roman" w:hAnsi="Times New Roman" w:eastAsia="方正仿宋简体" w:cs="Times New Roman"/>
          <w:color w:val="auto"/>
          <w:sz w:val="32"/>
          <w:szCs w:val="32"/>
          <w:lang w:val="en-US" w:eastAsia="zh-CN"/>
        </w:rPr>
        <w:t>：</w:t>
      </w:r>
    </w:p>
    <w:p w14:paraId="7CF460E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color w:val="auto"/>
          <w:sz w:val="32"/>
          <w:szCs w:val="32"/>
          <w:lang w:val="en-US" w:eastAsia="zh-CN"/>
        </w:rPr>
      </w:pPr>
      <w:r>
        <w:rPr>
          <w:rFonts w:hint="default" w:ascii="Times New Roman" w:hAnsi="Times New Roman" w:eastAsia="方正仿宋简体" w:cs="Times New Roman"/>
          <w:color w:val="auto"/>
          <w:sz w:val="32"/>
          <w:szCs w:val="32"/>
          <w:u w:val="none"/>
          <w:lang w:val="en-US" w:eastAsia="zh-CN"/>
        </w:rPr>
        <w:t>经调查认定，什邡新杰钢结构安装有限公司</w:t>
      </w:r>
      <w:r>
        <w:rPr>
          <w:rFonts w:hint="eastAsia" w:ascii="Times New Roman" w:hAnsi="Times New Roman" w:eastAsia="方正仿宋简体" w:cs="Times New Roman"/>
          <w:color w:val="auto"/>
          <w:sz w:val="32"/>
          <w:szCs w:val="32"/>
          <w:u w:val="none"/>
          <w:lang w:val="en-US" w:eastAsia="zh-CN"/>
        </w:rPr>
        <w:t>“1·30”</w:t>
      </w:r>
      <w:r>
        <w:rPr>
          <w:rFonts w:hint="default" w:ascii="Times New Roman" w:hAnsi="Times New Roman" w:eastAsia="方正仿宋简体" w:cs="Times New Roman"/>
          <w:color w:val="auto"/>
          <w:sz w:val="32"/>
          <w:szCs w:val="32"/>
          <w:u w:val="none"/>
          <w:lang w:val="en-US" w:eastAsia="zh-CN"/>
        </w:rPr>
        <w:t>一般</w:t>
      </w:r>
      <w:r>
        <w:rPr>
          <w:rFonts w:hint="eastAsia" w:ascii="Times New Roman" w:hAnsi="Times New Roman" w:eastAsia="方正仿宋简体" w:cs="Times New Roman"/>
          <w:color w:val="auto"/>
          <w:sz w:val="32"/>
          <w:szCs w:val="32"/>
          <w:u w:val="none"/>
          <w:lang w:val="en-US" w:eastAsia="zh-CN"/>
        </w:rPr>
        <w:t>高处坠落</w:t>
      </w:r>
      <w:r>
        <w:rPr>
          <w:rFonts w:hint="default" w:ascii="Times New Roman" w:hAnsi="Times New Roman" w:eastAsia="方正仿宋简体" w:cs="Times New Roman"/>
          <w:color w:val="auto"/>
          <w:sz w:val="32"/>
          <w:szCs w:val="32"/>
          <w:u w:val="none"/>
          <w:lang w:val="en-US" w:eastAsia="zh-CN"/>
        </w:rPr>
        <w:t>事故是一起因</w:t>
      </w:r>
      <w:r>
        <w:rPr>
          <w:rFonts w:hint="eastAsia" w:ascii="Times New Roman" w:hAnsi="Times New Roman" w:eastAsia="方正仿宋简体" w:cs="Times New Roman"/>
          <w:color w:val="auto"/>
          <w:sz w:val="32"/>
          <w:szCs w:val="32"/>
          <w:u w:val="none"/>
          <w:lang w:val="en-US" w:eastAsia="zh-CN"/>
        </w:rPr>
        <w:t>违法违规建设施工</w:t>
      </w:r>
      <w:r>
        <w:rPr>
          <w:rFonts w:hint="default" w:ascii="Times New Roman" w:hAnsi="Times New Roman" w:eastAsia="方正仿宋简体" w:cs="Times New Roman"/>
          <w:color w:val="auto"/>
          <w:sz w:val="32"/>
          <w:szCs w:val="32"/>
          <w:u w:val="none"/>
          <w:lang w:val="en-US" w:eastAsia="zh-CN"/>
        </w:rPr>
        <w:t>导致</w:t>
      </w:r>
      <w:r>
        <w:rPr>
          <w:rFonts w:hint="eastAsia" w:ascii="Times New Roman" w:hAnsi="Times New Roman" w:eastAsia="方正仿宋简体" w:cs="Times New Roman"/>
          <w:color w:val="auto"/>
          <w:sz w:val="32"/>
          <w:szCs w:val="32"/>
          <w:u w:val="none"/>
          <w:lang w:val="en-US" w:eastAsia="zh-CN"/>
        </w:rPr>
        <w:t>作业人员高处坠落</w:t>
      </w:r>
      <w:r>
        <w:rPr>
          <w:rFonts w:hint="default" w:ascii="Times New Roman" w:hAnsi="Times New Roman" w:eastAsia="方正仿宋简体" w:cs="Times New Roman"/>
          <w:color w:val="auto"/>
          <w:sz w:val="32"/>
          <w:szCs w:val="32"/>
          <w:u w:val="none"/>
          <w:lang w:val="en-US" w:eastAsia="zh-CN"/>
        </w:rPr>
        <w:t>造成的生产安全责任事故</w:t>
      </w:r>
      <w:r>
        <w:rPr>
          <w:rFonts w:hint="eastAsia" w:ascii="Times New Roman" w:hAnsi="Times New Roman" w:eastAsia="方正仿宋简体" w:cs="Times New Roman"/>
          <w:color w:val="auto"/>
          <w:sz w:val="32"/>
          <w:szCs w:val="32"/>
          <w:u w:val="none"/>
          <w:lang w:val="en-US" w:eastAsia="zh-CN"/>
        </w:rPr>
        <w:t>。</w:t>
      </w:r>
    </w:p>
    <w:p w14:paraId="5D96667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Times New Roman" w:hAnsi="Times New Roman" w:eastAsia="方正仿宋简体" w:cs="Times New Roman"/>
          <w:color w:val="auto"/>
          <w:sz w:val="32"/>
          <w:szCs w:val="32"/>
          <w:lang w:val="en-US" w:eastAsia="zh-CN"/>
        </w:rPr>
      </w:pPr>
      <w:bookmarkStart w:id="33" w:name="_Toc28335"/>
      <w:r>
        <w:rPr>
          <w:rFonts w:hint="eastAsia" w:ascii="黑体" w:hAnsi="黑体" w:eastAsia="黑体" w:cs="黑体"/>
          <w:color w:val="auto"/>
          <w:sz w:val="32"/>
          <w:szCs w:val="32"/>
          <w:lang w:val="en-US" w:eastAsia="zh-CN"/>
        </w:rPr>
        <w:t>一、事故基本情况</w:t>
      </w:r>
      <w:bookmarkEnd w:id="33"/>
    </w:p>
    <w:p w14:paraId="39CEACD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（一）事故发生单位</w:t>
      </w:r>
    </w:p>
    <w:p w14:paraId="51509D4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Times New Roman"/>
          <w:color w:val="auto"/>
          <w:sz w:val="32"/>
          <w:szCs w:val="32"/>
          <w:lang w:val="en-US" w:eastAsia="zh-CN"/>
        </w:rPr>
      </w:pPr>
      <w:r>
        <w:rPr>
          <w:rFonts w:hint="default" w:ascii="Times New Roman" w:hAnsi="Times New Roman" w:eastAsia="方正仿宋简体" w:cs="Times New Roman"/>
          <w:color w:val="auto"/>
          <w:sz w:val="32"/>
          <w:szCs w:val="32"/>
          <w:lang w:val="en-US" w:eastAsia="zh-CN"/>
        </w:rPr>
        <w:t>什</w:t>
      </w:r>
      <w:r>
        <w:rPr>
          <w:rFonts w:hint="default" w:ascii="Times New Roman" w:hAnsi="Times New Roman" w:eastAsia="方正仿宋简体" w:cs="Times New Roman"/>
          <w:color w:val="auto"/>
          <w:sz w:val="32"/>
          <w:szCs w:val="32"/>
          <w:u w:val="none"/>
          <w:lang w:val="en-US" w:eastAsia="zh-CN"/>
        </w:rPr>
        <w:t>邡新</w:t>
      </w:r>
      <w:r>
        <w:rPr>
          <w:rFonts w:hint="default" w:ascii="Times New Roman" w:hAnsi="Times New Roman" w:eastAsia="方正仿宋简体" w:cs="Times New Roman"/>
          <w:color w:val="auto"/>
          <w:sz w:val="32"/>
          <w:szCs w:val="32"/>
          <w:lang w:val="en-US" w:eastAsia="zh-CN"/>
        </w:rPr>
        <w:t>杰钢结构</w:t>
      </w:r>
      <w:r>
        <w:rPr>
          <w:rFonts w:hint="eastAsia" w:ascii="Times New Roman" w:hAnsi="Times New Roman" w:eastAsia="方正仿宋简体" w:cs="Times New Roman"/>
          <w:color w:val="auto"/>
          <w:sz w:val="32"/>
          <w:szCs w:val="32"/>
          <w:lang w:val="en-US" w:eastAsia="zh-CN"/>
        </w:rPr>
        <w:t>安装</w:t>
      </w:r>
      <w:r>
        <w:rPr>
          <w:rFonts w:hint="default" w:ascii="Times New Roman" w:hAnsi="Times New Roman" w:eastAsia="方正仿宋简体" w:cs="Times New Roman"/>
          <w:color w:val="auto"/>
          <w:sz w:val="32"/>
          <w:szCs w:val="32"/>
          <w:lang w:val="en-US" w:eastAsia="zh-CN"/>
        </w:rPr>
        <w:t>有限公司，统一社会信用代码：91510682MABNGA5P95，法定代表人</w:t>
      </w:r>
      <w:r>
        <w:rPr>
          <w:rFonts w:hint="eastAsia" w:ascii="Times New Roman" w:hAnsi="Times New Roman" w:eastAsia="方正仿宋简体" w:cs="Times New Roman"/>
          <w:color w:val="auto"/>
          <w:sz w:val="32"/>
          <w:szCs w:val="32"/>
          <w:lang w:val="en-US" w:eastAsia="zh-CN"/>
        </w:rPr>
        <w:t>：谢*兵</w:t>
      </w:r>
      <w:r>
        <w:rPr>
          <w:rFonts w:hint="default" w:ascii="Times New Roman" w:hAnsi="Times New Roman" w:eastAsia="方正仿宋简体" w:cs="Times New Roman"/>
          <w:color w:val="auto"/>
          <w:sz w:val="32"/>
          <w:szCs w:val="32"/>
          <w:lang w:val="en-US" w:eastAsia="zh-CN"/>
        </w:rPr>
        <w:t>，成立日期：</w:t>
      </w:r>
      <w:r>
        <w:rPr>
          <w:rFonts w:hint="eastAsia" w:ascii="Times New Roman" w:hAnsi="Times New Roman" w:eastAsia="方正仿宋简体" w:cs="Times New Roman"/>
          <w:color w:val="auto"/>
          <w:sz w:val="32"/>
          <w:szCs w:val="32"/>
          <w:lang w:val="en-US" w:eastAsia="zh-CN"/>
        </w:rPr>
        <w:t>2022年5月30日，</w:t>
      </w:r>
      <w:r>
        <w:rPr>
          <w:rFonts w:hint="default" w:ascii="Times New Roman" w:hAnsi="Times New Roman" w:eastAsia="方正仿宋简体" w:cs="Times New Roman"/>
          <w:color w:val="auto"/>
          <w:sz w:val="32"/>
          <w:szCs w:val="32"/>
          <w:lang w:val="en-US" w:eastAsia="zh-CN"/>
        </w:rPr>
        <w:t>注册资本：</w:t>
      </w:r>
      <w:r>
        <w:rPr>
          <w:rFonts w:hint="eastAsia" w:ascii="Times New Roman" w:hAnsi="Times New Roman" w:eastAsia="方正仿宋简体" w:cs="Times New Roman"/>
          <w:color w:val="auto"/>
          <w:sz w:val="32"/>
          <w:szCs w:val="32"/>
          <w:lang w:val="en-US" w:eastAsia="zh-CN"/>
        </w:rPr>
        <w:t>20万人民币</w:t>
      </w:r>
      <w:r>
        <w:rPr>
          <w:rFonts w:hint="default" w:ascii="Times New Roman" w:hAnsi="Times New Roman" w:eastAsia="方正仿宋简体" w:cs="Times New Roman"/>
          <w:color w:val="auto"/>
          <w:sz w:val="32"/>
          <w:szCs w:val="32"/>
          <w:lang w:val="en-US" w:eastAsia="zh-CN"/>
        </w:rPr>
        <w:t>，住所：四川省德阳市什邡市马祖镇东岳村13组</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经营范围</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许可项目</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施工专业作业；建设工程施工；住宅室内装饰装修。（依法须经批准的项目，经相关部门批准后方可开展经营活动，具体经营项目以相关部门批准文件或许可证件为准）一般项目：普通机械设备安装服务；金属结构销售。（除依法须经批准的项目外，凭营业执照依法自主开展经营活动）</w:t>
      </w:r>
      <w:r>
        <w:rPr>
          <w:rFonts w:hint="eastAsia" w:ascii="Times New Roman" w:hAnsi="Times New Roman" w:eastAsia="方正仿宋简体" w:cs="Times New Roman"/>
          <w:color w:val="auto"/>
          <w:sz w:val="32"/>
          <w:szCs w:val="32"/>
          <w:lang w:val="en-US" w:eastAsia="zh-CN"/>
        </w:rPr>
        <w:t>。</w:t>
      </w:r>
    </w:p>
    <w:p w14:paraId="4DE5A17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color w:val="auto"/>
          <w:sz w:val="32"/>
          <w:szCs w:val="32"/>
          <w:lang w:val="en-US" w:eastAsia="zh-CN"/>
        </w:rPr>
      </w:pPr>
      <w:r>
        <w:rPr>
          <w:rFonts w:hint="default" w:ascii="Times New Roman" w:hAnsi="Times New Roman" w:eastAsia="方正仿宋简体" w:cs="Times New Roman"/>
          <w:color w:val="auto"/>
          <w:sz w:val="32"/>
          <w:szCs w:val="32"/>
          <w:lang w:val="en-US" w:eastAsia="zh-CN"/>
        </w:rPr>
        <w:t>1.涉事项目情况。</w:t>
      </w:r>
      <w:r>
        <w:rPr>
          <w:rFonts w:hint="eastAsia" w:ascii="Times New Roman" w:hAnsi="Times New Roman" w:eastAsia="方正仿宋简体" w:cs="Times New Roman"/>
          <w:color w:val="auto"/>
          <w:sz w:val="32"/>
          <w:szCs w:val="32"/>
          <w:lang w:val="en-US" w:eastAsia="zh-CN"/>
        </w:rPr>
        <w:t>涉</w:t>
      </w:r>
      <w:r>
        <w:rPr>
          <w:rFonts w:hint="default" w:ascii="Times New Roman" w:hAnsi="Times New Roman" w:eastAsia="方正仿宋简体" w:cs="Times New Roman"/>
          <w:color w:val="auto"/>
          <w:sz w:val="32"/>
          <w:szCs w:val="32"/>
          <w:lang w:val="en-US" w:eastAsia="zh-CN"/>
        </w:rPr>
        <w:t>事项目</w:t>
      </w:r>
      <w:r>
        <w:rPr>
          <w:rFonts w:hint="eastAsia" w:ascii="Times New Roman" w:hAnsi="Times New Roman" w:eastAsia="方正仿宋简体" w:cs="Times New Roman"/>
          <w:color w:val="auto"/>
          <w:sz w:val="32"/>
          <w:szCs w:val="32"/>
          <w:lang w:val="en-US" w:eastAsia="zh-CN"/>
        </w:rPr>
        <w:t>为四川绵竹市盘龙矿物质有限责任公司磷矿库钢结构雨棚建设项目</w:t>
      </w:r>
      <w:r>
        <w:rPr>
          <w:rFonts w:hint="default" w:ascii="Times New Roman" w:hAnsi="Times New Roman" w:eastAsia="方正仿宋简体" w:cs="Times New Roman"/>
          <w:color w:val="auto"/>
          <w:sz w:val="32"/>
          <w:szCs w:val="32"/>
          <w:lang w:val="en-US" w:eastAsia="zh-CN"/>
        </w:rPr>
        <w:t>，地址：</w:t>
      </w:r>
      <w:r>
        <w:rPr>
          <w:rFonts w:hint="eastAsia" w:ascii="Times New Roman" w:hAnsi="Times New Roman" w:eastAsia="方正仿宋简体" w:cs="Times New Roman"/>
          <w:color w:val="auto"/>
          <w:sz w:val="32"/>
          <w:szCs w:val="32"/>
          <w:lang w:val="en-US" w:eastAsia="zh-CN"/>
        </w:rPr>
        <w:t>四川绵竹市汉旺镇沿新村4组，建设单位为四川绵竹市盘龙矿物质有限责任公司，用于磷石膏堆放，施工单位为什邡新杰钢结构安装有限公司，双方于2024年1月3日签订《磷矿库钢结构制作安装合同》。根据《磷矿库钢结构制作安装合同》约定，该项目包含磷矿库钢结构部分制作及安装，由什邡新杰钢结构安装有限公司负责提供一切辅材及耗材和负责安装（含工人工资及安全）</w:t>
      </w:r>
      <w:r>
        <w:rPr>
          <w:rFonts w:hint="default"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双方签订了《施工安全生产协议》，合同签订后开工建设</w:t>
      </w:r>
      <w:r>
        <w:rPr>
          <w:rFonts w:hint="default" w:ascii="Times New Roman" w:hAnsi="Times New Roman" w:eastAsia="方正仿宋简体" w:cs="Times New Roman"/>
          <w:color w:val="auto"/>
          <w:sz w:val="32"/>
          <w:szCs w:val="32"/>
          <w:lang w:val="en-US" w:eastAsia="zh-CN"/>
        </w:rPr>
        <w:t>。</w:t>
      </w:r>
    </w:p>
    <w:p w14:paraId="29D1C17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color w:val="auto"/>
          <w:sz w:val="32"/>
          <w:szCs w:val="32"/>
          <w:lang w:val="en-US" w:eastAsia="zh-CN"/>
        </w:rPr>
      </w:pPr>
      <w:r>
        <w:rPr>
          <w:rFonts w:hint="default" w:ascii="Times New Roman" w:hAnsi="Times New Roman" w:eastAsia="方正仿宋简体" w:cs="Times New Roman"/>
          <w:color w:val="auto"/>
          <w:sz w:val="32"/>
          <w:szCs w:val="32"/>
          <w:lang w:val="en-US" w:eastAsia="zh-CN"/>
        </w:rPr>
        <w:t>四川绵竹市盘龙矿物质有限责任公司磷矿库钢结构雨棚建设项目为搭建单层钢排架结构房屋。该房屋长 66</w:t>
      </w:r>
      <w:r>
        <w:rPr>
          <w:rFonts w:hint="eastAsia" w:ascii="Times New Roman" w:hAnsi="Times New Roman" w:eastAsia="方正仿宋简体" w:cs="Times New Roman"/>
          <w:color w:val="auto"/>
          <w:sz w:val="32"/>
          <w:szCs w:val="32"/>
          <w:lang w:val="en-US" w:eastAsia="zh-CN"/>
        </w:rPr>
        <w:t>米</w:t>
      </w:r>
      <w:r>
        <w:rPr>
          <w:rFonts w:hint="default" w:ascii="Times New Roman" w:hAnsi="Times New Roman" w:eastAsia="方正仿宋简体" w:cs="Times New Roman"/>
          <w:color w:val="auto"/>
          <w:sz w:val="32"/>
          <w:szCs w:val="32"/>
          <w:lang w:val="en-US" w:eastAsia="zh-CN"/>
        </w:rPr>
        <w:t>，宽约 35.5</w:t>
      </w:r>
      <w:r>
        <w:rPr>
          <w:rFonts w:hint="eastAsia" w:ascii="Times New Roman" w:hAnsi="Times New Roman" w:eastAsia="方正仿宋简体" w:cs="Times New Roman"/>
          <w:color w:val="auto"/>
          <w:sz w:val="32"/>
          <w:szCs w:val="32"/>
          <w:lang w:val="en-US" w:eastAsia="zh-CN"/>
        </w:rPr>
        <w:t>米</w:t>
      </w:r>
      <w:r>
        <w:rPr>
          <w:rFonts w:hint="default"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总</w:t>
      </w:r>
      <w:r>
        <w:rPr>
          <w:rFonts w:hint="default" w:ascii="Times New Roman" w:hAnsi="Times New Roman" w:eastAsia="方正仿宋简体" w:cs="Times New Roman"/>
          <w:color w:val="auto"/>
          <w:sz w:val="32"/>
          <w:szCs w:val="32"/>
          <w:lang w:val="en-US" w:eastAsia="zh-CN"/>
        </w:rPr>
        <w:t xml:space="preserve">高约 </w:t>
      </w:r>
      <w:r>
        <w:rPr>
          <w:rFonts w:hint="eastAsia" w:ascii="Times New Roman" w:hAnsi="Times New Roman" w:eastAsia="方正仿宋简体" w:cs="Times New Roman"/>
          <w:color w:val="auto"/>
          <w:sz w:val="32"/>
          <w:szCs w:val="32"/>
          <w:lang w:val="en-US" w:eastAsia="zh-CN"/>
        </w:rPr>
        <w:t>17.5米</w:t>
      </w:r>
      <w:r>
        <w:rPr>
          <w:rFonts w:hint="default" w:ascii="Times New Roman" w:hAnsi="Times New Roman" w:eastAsia="方正仿宋简体" w:cs="Times New Roman"/>
          <w:color w:val="auto"/>
          <w:sz w:val="32"/>
          <w:szCs w:val="32"/>
          <w:lang w:val="en-US" w:eastAsia="zh-CN"/>
        </w:rPr>
        <w:t>（混凝土墙体高</w:t>
      </w:r>
      <w:r>
        <w:rPr>
          <w:rFonts w:hint="eastAsia" w:ascii="Times New Roman" w:hAnsi="Times New Roman" w:eastAsia="方正仿宋简体" w:cs="Times New Roman"/>
          <w:color w:val="auto"/>
          <w:sz w:val="32"/>
          <w:szCs w:val="32"/>
          <w:lang w:val="en-US" w:eastAsia="zh-CN"/>
        </w:rPr>
        <w:t>9.5米，墙体以上钢柱高8米</w:t>
      </w:r>
      <w:r>
        <w:rPr>
          <w:rFonts w:hint="default" w:ascii="Times New Roman" w:hAnsi="Times New Roman" w:eastAsia="方正仿宋简体" w:cs="Times New Roman"/>
          <w:color w:val="auto"/>
          <w:sz w:val="32"/>
          <w:szCs w:val="32"/>
          <w:lang w:val="en-US" w:eastAsia="zh-CN"/>
        </w:rPr>
        <w:t>），总建筑面积约 2343.0</w:t>
      </w:r>
      <w:r>
        <w:rPr>
          <w:rFonts w:hint="eastAsia" w:ascii="Times New Roman" w:hAnsi="Times New Roman" w:eastAsia="方正仿宋简体" w:cs="Times New Roman"/>
          <w:color w:val="auto"/>
          <w:sz w:val="32"/>
          <w:szCs w:val="32"/>
          <w:lang w:val="en-US" w:eastAsia="zh-CN"/>
        </w:rPr>
        <w:t>平方米</w:t>
      </w:r>
      <w:r>
        <w:rPr>
          <w:rFonts w:hint="default" w:ascii="Times New Roman" w:hAnsi="Times New Roman" w:eastAsia="方正仿宋简体" w:cs="Times New Roman"/>
          <w:color w:val="auto"/>
          <w:sz w:val="32"/>
          <w:szCs w:val="32"/>
          <w:lang w:val="en-US" w:eastAsia="zh-CN"/>
        </w:rPr>
        <w:t>。根据建设单位工程预算该项目总投资200.6万元，其中：钢结构材料及安装96.6万元、建筑工程（含钢筋、砼、模板等材料）104万元。</w:t>
      </w:r>
      <w:r>
        <w:rPr>
          <w:rFonts w:hint="eastAsia" w:ascii="Times New Roman" w:hAnsi="Times New Roman" w:eastAsia="方正仿宋简体" w:cs="Times New Roman"/>
          <w:color w:val="auto"/>
          <w:sz w:val="32"/>
          <w:szCs w:val="32"/>
          <w:lang w:val="en-US" w:eastAsia="zh-CN"/>
        </w:rPr>
        <w:t>建设单位未依法办理建设项目施工许可，</w:t>
      </w:r>
      <w:r>
        <w:rPr>
          <w:rFonts w:hint="default" w:ascii="Times New Roman" w:hAnsi="Times New Roman" w:eastAsia="方正仿宋简体" w:cs="Times New Roman"/>
          <w:color w:val="auto"/>
          <w:sz w:val="32"/>
          <w:szCs w:val="32"/>
          <w:lang w:val="en-US" w:eastAsia="zh-CN"/>
        </w:rPr>
        <w:t>未</w:t>
      </w:r>
      <w:r>
        <w:rPr>
          <w:rFonts w:hint="eastAsia" w:ascii="Times New Roman" w:hAnsi="Times New Roman" w:eastAsia="方正仿宋简体" w:cs="Times New Roman"/>
          <w:color w:val="auto"/>
          <w:sz w:val="32"/>
          <w:szCs w:val="32"/>
          <w:lang w:val="en-US" w:eastAsia="zh-CN"/>
        </w:rPr>
        <w:t>委托有资质的设计单位</w:t>
      </w:r>
      <w:r>
        <w:rPr>
          <w:rFonts w:hint="default" w:ascii="Times New Roman" w:hAnsi="Times New Roman" w:eastAsia="方正仿宋简体" w:cs="Times New Roman"/>
          <w:color w:val="auto"/>
          <w:sz w:val="32"/>
          <w:szCs w:val="32"/>
          <w:lang w:val="en-US" w:eastAsia="zh-CN"/>
        </w:rPr>
        <w:t>依法对工程建设项目进行设计，未委托</w:t>
      </w:r>
      <w:r>
        <w:rPr>
          <w:rFonts w:hint="eastAsia" w:ascii="Times New Roman" w:hAnsi="Times New Roman" w:eastAsia="方正仿宋简体" w:cs="Times New Roman"/>
          <w:color w:val="auto"/>
          <w:sz w:val="32"/>
          <w:szCs w:val="32"/>
          <w:lang w:val="en-US" w:eastAsia="zh-CN"/>
        </w:rPr>
        <w:t>有资质的</w:t>
      </w:r>
      <w:r>
        <w:rPr>
          <w:rFonts w:hint="default" w:ascii="Times New Roman" w:hAnsi="Times New Roman" w:eastAsia="方正仿宋简体" w:cs="Times New Roman"/>
          <w:color w:val="auto"/>
          <w:sz w:val="32"/>
          <w:szCs w:val="32"/>
          <w:lang w:val="en-US" w:eastAsia="zh-CN"/>
        </w:rPr>
        <w:t>监理单位</w:t>
      </w:r>
      <w:r>
        <w:rPr>
          <w:rFonts w:hint="eastAsia" w:ascii="Times New Roman" w:hAnsi="Times New Roman" w:eastAsia="方正仿宋简体" w:cs="Times New Roman"/>
          <w:color w:val="auto"/>
          <w:sz w:val="32"/>
          <w:szCs w:val="32"/>
          <w:lang w:val="en-US" w:eastAsia="zh-CN"/>
        </w:rPr>
        <w:t>实施监理</w:t>
      </w:r>
      <w:r>
        <w:rPr>
          <w:rFonts w:hint="default" w:ascii="Times New Roman" w:hAnsi="Times New Roman" w:eastAsia="方正仿宋简体" w:cs="Times New Roman"/>
          <w:color w:val="auto"/>
          <w:sz w:val="32"/>
          <w:szCs w:val="32"/>
          <w:vertAlign w:val="superscript"/>
          <w:lang w:val="en-US" w:eastAsia="zh-CN"/>
        </w:rPr>
        <w:t>[</w:t>
      </w:r>
      <w:r>
        <w:rPr>
          <w:rFonts w:hint="default" w:ascii="Times New Roman" w:hAnsi="Times New Roman" w:eastAsia="方正仿宋简体" w:cs="Times New Roman"/>
          <w:color w:val="auto"/>
          <w:sz w:val="32"/>
          <w:szCs w:val="32"/>
          <w:vertAlign w:val="superscript"/>
          <w:lang w:val="en-US" w:eastAsia="zh-CN"/>
        </w:rPr>
        <w:footnoteReference w:id="0"/>
      </w:r>
      <w:r>
        <w:rPr>
          <w:rFonts w:hint="default" w:ascii="Times New Roman" w:hAnsi="Times New Roman" w:eastAsia="方正仿宋简体" w:cs="Times New Roman"/>
          <w:color w:val="auto"/>
          <w:sz w:val="32"/>
          <w:szCs w:val="32"/>
          <w:vertAlign w:val="superscript"/>
          <w:lang w:val="en-US" w:eastAsia="zh-CN"/>
        </w:rPr>
        <w:t>]</w:t>
      </w:r>
      <w:r>
        <w:rPr>
          <w:rFonts w:hint="eastAsia" w:ascii="Times New Roman" w:hAnsi="Times New Roman" w:eastAsia="方正仿宋简体" w:cs="Times New Roman"/>
          <w:color w:val="auto"/>
          <w:sz w:val="32"/>
          <w:szCs w:val="32"/>
          <w:lang w:val="en-US" w:eastAsia="zh-CN"/>
        </w:rPr>
        <w:t>。</w:t>
      </w:r>
    </w:p>
    <w:p w14:paraId="0621FC5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2.企业管理及生产、营收情况。法定代表人谢玉兵全额出资，任总经理，负责公司安全生产、生产经营等全面工作。该公司未设置安全生产管理机构和安全管理人员，安全生产管理制度缺失，未取得钢结构施工资质和安全生产许可证。该公司从业人员10人，均为临时聘用人员。</w:t>
      </w:r>
    </w:p>
    <w:p w14:paraId="768D8AD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（二）其他涉事单位</w:t>
      </w:r>
    </w:p>
    <w:p w14:paraId="6DE1032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四川绵竹市</w:t>
      </w:r>
      <w:r>
        <w:rPr>
          <w:rFonts w:hint="default" w:ascii="Times New Roman" w:hAnsi="Times New Roman" w:eastAsia="方正仿宋简体" w:cs="Times New Roman"/>
          <w:color w:val="auto"/>
          <w:sz w:val="32"/>
          <w:szCs w:val="32"/>
          <w:lang w:val="en-US" w:eastAsia="zh-CN"/>
        </w:rPr>
        <w:t>盘龙</w:t>
      </w:r>
      <w:r>
        <w:rPr>
          <w:rFonts w:hint="eastAsia" w:ascii="Times New Roman" w:hAnsi="Times New Roman" w:eastAsia="方正仿宋简体" w:cs="Times New Roman"/>
          <w:color w:val="auto"/>
          <w:sz w:val="32"/>
          <w:szCs w:val="32"/>
          <w:lang w:val="en-US" w:eastAsia="zh-CN"/>
        </w:rPr>
        <w:t>矿物质有限责任</w:t>
      </w:r>
      <w:r>
        <w:rPr>
          <w:rFonts w:hint="default" w:ascii="Times New Roman" w:hAnsi="Times New Roman" w:eastAsia="方正仿宋简体" w:cs="Times New Roman"/>
          <w:color w:val="auto"/>
          <w:sz w:val="32"/>
          <w:szCs w:val="32"/>
          <w:lang w:val="en-US" w:eastAsia="zh-CN"/>
        </w:rPr>
        <w:t>公司，统一社会信用代码：91510683762336213P，法定代表人</w:t>
      </w:r>
      <w:r>
        <w:rPr>
          <w:rFonts w:hint="eastAsia" w:ascii="Times New Roman" w:hAnsi="Times New Roman" w:eastAsia="方正仿宋简体" w:cs="Times New Roman"/>
          <w:color w:val="auto"/>
          <w:sz w:val="32"/>
          <w:szCs w:val="32"/>
          <w:lang w:val="en-US" w:eastAsia="zh-CN"/>
        </w:rPr>
        <w:t>：廖*彬</w:t>
      </w:r>
      <w:r>
        <w:rPr>
          <w:rFonts w:hint="default" w:ascii="Times New Roman" w:hAnsi="Times New Roman" w:eastAsia="方正仿宋简体" w:cs="Times New Roman"/>
          <w:color w:val="auto"/>
          <w:sz w:val="32"/>
          <w:szCs w:val="32"/>
          <w:lang w:val="en-US" w:eastAsia="zh-CN"/>
        </w:rPr>
        <w:t>，成立日期：</w:t>
      </w:r>
      <w:r>
        <w:rPr>
          <w:rFonts w:hint="eastAsia" w:ascii="Times New Roman" w:hAnsi="Times New Roman" w:eastAsia="方正仿宋简体" w:cs="Times New Roman"/>
          <w:color w:val="auto"/>
          <w:sz w:val="32"/>
          <w:szCs w:val="32"/>
          <w:lang w:val="en-US" w:eastAsia="zh-CN"/>
        </w:rPr>
        <w:t>2004年6月21日，</w:t>
      </w:r>
      <w:r>
        <w:rPr>
          <w:rFonts w:hint="default" w:ascii="Times New Roman" w:hAnsi="Times New Roman" w:eastAsia="方正仿宋简体" w:cs="Times New Roman"/>
          <w:color w:val="auto"/>
          <w:sz w:val="32"/>
          <w:szCs w:val="32"/>
          <w:lang w:val="en-US" w:eastAsia="zh-CN"/>
        </w:rPr>
        <w:t>注册资本：</w:t>
      </w:r>
      <w:r>
        <w:rPr>
          <w:rFonts w:hint="eastAsia" w:ascii="Times New Roman" w:hAnsi="Times New Roman" w:eastAsia="方正仿宋简体" w:cs="Times New Roman"/>
          <w:color w:val="auto"/>
          <w:sz w:val="32"/>
          <w:szCs w:val="32"/>
          <w:lang w:val="en-US" w:eastAsia="zh-CN"/>
        </w:rPr>
        <w:t>2500万人民币</w:t>
      </w:r>
      <w:r>
        <w:rPr>
          <w:rFonts w:hint="default" w:ascii="Times New Roman" w:hAnsi="Times New Roman" w:eastAsia="方正仿宋简体" w:cs="Times New Roman"/>
          <w:color w:val="auto"/>
          <w:sz w:val="32"/>
          <w:szCs w:val="32"/>
          <w:lang w:val="en-US" w:eastAsia="zh-CN"/>
        </w:rPr>
        <w:t>，住所：四川省绵竹市汉旺镇沿新村四组，经营范围：许可项目：饲料添加剂生产；危险化学品生产；肥料生产。（依法须经批准的项目，经相关部门批准后方可开展经营活动，具体经营项目以相关部门批准文件或许可证件为准）一般项目：石灰和石膏制造。（除依法须经批准的项目外，凭营业执照依法自主开展经营活动）。</w:t>
      </w:r>
    </w:p>
    <w:p w14:paraId="384CC33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《全国工业产品生产许可证》证书编号：（川）XK13-006-00251,产品名称：危险化学品无机产品（1.磷化合物：（1）湿法磷酸），发证日期：2022年6月17日，有效期至2027年6月16日，发证机关：四川省市场监督管理局。</w:t>
      </w:r>
    </w:p>
    <w:p w14:paraId="4C90D5E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安全生产许可证》编号：（川F）WH安许证字[2022]0018号，统一社会信用代码：91510683762336213P，许可范围：正磷酸10万吨/年、氟硅酸钠0.25万吨/年，发证日期：2022年9月5日，有效期2022年9月5日至2025年9月4日，发证机关：德阳市应急管理局。</w:t>
      </w:r>
    </w:p>
    <w:p w14:paraId="2B63778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1.企业管理及生产、营收情况。法定代表人、总经理廖永彬持股比例58%，常务副总经理尹万金持股比例42%。公司设总经理、常务副总经理、生产副总经理、营销副总经理。根据分工，廖*彬负责生产、安全环保、职业卫生等全面工作；刘*为生产副总经理兼设备部部长，分管生产部、设备部、负责生产、安全环保、项目建设等管理工作。公司下设生产部、设备部、质量部、人事行政部、财务部、技术部、HSE部。公司已建立公司安全生产管理制度，设置HSE部门负责日常安全生产管理工作。依据《四川绵竹市盘龙矿物质有限责任公司安全生产管理制度》设备部对项目安全管理负责，负责审查承包商安全资质、日常安全监管等工作</w:t>
      </w:r>
      <w:r>
        <w:rPr>
          <w:rStyle w:val="12"/>
          <w:rFonts w:hint="eastAsia" w:ascii="Times New Roman" w:hAnsi="Times New Roman" w:eastAsia="方正仿宋简体" w:cs="Times New Roman"/>
          <w:color w:val="auto"/>
          <w:sz w:val="32"/>
          <w:szCs w:val="32"/>
          <w:lang w:val="en-US" w:eastAsia="zh-CN"/>
        </w:rPr>
        <w:t>[</w:t>
      </w:r>
      <w:r>
        <w:rPr>
          <w:rStyle w:val="12"/>
          <w:rFonts w:hint="eastAsia" w:ascii="Times New Roman" w:hAnsi="Times New Roman" w:eastAsia="方正仿宋简体" w:cs="Times New Roman"/>
          <w:color w:val="auto"/>
          <w:sz w:val="32"/>
          <w:szCs w:val="32"/>
          <w:lang w:val="en-US" w:eastAsia="zh-CN"/>
        </w:rPr>
        <w:footnoteReference w:id="1"/>
      </w:r>
      <w:r>
        <w:rPr>
          <w:rStyle w:val="12"/>
          <w:rFonts w:hint="eastAsia"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。全公司共有从业人员286人。公司主要产品为饲料级磷酸氢钙、饲料级磷酸二氢钙。生产装置为一套15万t/a的饲料添加剂磷酸氢钙生产线，2万t/a饲料级磷酸二氢钙生产线。</w:t>
      </w:r>
    </w:p>
    <w:p w14:paraId="3798F38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（三）事故经过</w:t>
      </w:r>
    </w:p>
    <w:p w14:paraId="54D0640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Times New Roman"/>
          <w:color w:val="auto"/>
          <w:sz w:val="32"/>
          <w:szCs w:val="32"/>
          <w:lang w:val="en-US" w:eastAsia="zh-CN"/>
        </w:rPr>
      </w:pPr>
      <w:bookmarkStart w:id="34" w:name="_Toc30146"/>
      <w:bookmarkStart w:id="35" w:name="_Toc20268"/>
      <w:r>
        <w:rPr>
          <w:rFonts w:hint="eastAsia" w:ascii="Times New Roman" w:hAnsi="Times New Roman" w:eastAsia="方正仿宋简体" w:cs="Times New Roman"/>
          <w:color w:val="auto"/>
          <w:sz w:val="32"/>
          <w:szCs w:val="32"/>
          <w:u w:val="none"/>
          <w:lang w:val="en-US" w:eastAsia="zh-CN"/>
        </w:rPr>
        <w:t>2024年</w:t>
      </w:r>
      <w:r>
        <w:rPr>
          <w:rFonts w:hint="default" w:ascii="Times New Roman" w:hAnsi="Times New Roman" w:eastAsia="方正仿宋简体" w:cs="Times New Roman"/>
          <w:color w:val="auto"/>
          <w:sz w:val="32"/>
          <w:szCs w:val="32"/>
          <w:lang w:val="en-US" w:eastAsia="zh-CN"/>
        </w:rPr>
        <w:t>1月30日</w:t>
      </w:r>
      <w:r>
        <w:rPr>
          <w:rFonts w:hint="eastAsia" w:ascii="Times New Roman" w:hAnsi="Times New Roman" w:eastAsia="方正仿宋简体" w:cs="Times New Roman"/>
          <w:color w:val="auto"/>
          <w:sz w:val="32"/>
          <w:szCs w:val="32"/>
          <w:lang w:val="en-US" w:eastAsia="zh-CN"/>
        </w:rPr>
        <w:t>上午，什邡新杰钢结构安装有限公司对其承建的四川绵竹市盘龙矿物质有限责任公司磷矿库钢结构雨棚项目安排施工，公司从业人员</w:t>
      </w:r>
      <w:r>
        <w:rPr>
          <w:rFonts w:hint="default" w:ascii="Times New Roman" w:hAnsi="Times New Roman" w:eastAsia="方正仿宋简体" w:cs="Times New Roman"/>
          <w:color w:val="auto"/>
          <w:sz w:val="32"/>
          <w:szCs w:val="32"/>
          <w:lang w:val="en-US" w:eastAsia="zh-CN"/>
        </w:rPr>
        <w:t>罗</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志、李</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勇、洪</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跃、王</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富</w:t>
      </w:r>
      <w:r>
        <w:rPr>
          <w:rFonts w:hint="eastAsia" w:ascii="Times New Roman" w:hAnsi="Times New Roman" w:eastAsia="方正仿宋简体" w:cs="Times New Roman"/>
          <w:color w:val="auto"/>
          <w:sz w:val="32"/>
          <w:szCs w:val="32"/>
          <w:lang w:val="en-US" w:eastAsia="zh-CN"/>
        </w:rPr>
        <w:t>4人通过爬梯登上钢结构屋架，在屋</w:t>
      </w:r>
      <w:r>
        <w:rPr>
          <w:rFonts w:hint="default" w:ascii="Times New Roman" w:hAnsi="Times New Roman" w:eastAsia="方正仿宋简体" w:cs="Times New Roman"/>
          <w:color w:val="auto"/>
          <w:sz w:val="32"/>
          <w:szCs w:val="32"/>
          <w:lang w:val="en-US" w:eastAsia="zh-CN"/>
        </w:rPr>
        <w:t>架上</w:t>
      </w:r>
      <w:r>
        <w:rPr>
          <w:rFonts w:hint="eastAsia" w:ascii="Times New Roman" w:hAnsi="Times New Roman" w:eastAsia="方正仿宋简体" w:cs="Times New Roman"/>
          <w:color w:val="auto"/>
          <w:sz w:val="32"/>
          <w:szCs w:val="32"/>
          <w:lang w:val="en-US" w:eastAsia="zh-CN"/>
        </w:rPr>
        <w:t>对</w:t>
      </w:r>
      <w:r>
        <w:rPr>
          <w:rFonts w:hint="default" w:ascii="Times New Roman" w:hAnsi="Times New Roman" w:eastAsia="方正仿宋简体" w:cs="Times New Roman"/>
          <w:color w:val="auto"/>
          <w:sz w:val="32"/>
          <w:szCs w:val="32"/>
          <w:lang w:val="en-US" w:eastAsia="zh-CN"/>
        </w:rPr>
        <w:t>檩条</w:t>
      </w:r>
      <w:r>
        <w:rPr>
          <w:rFonts w:hint="eastAsia" w:ascii="Times New Roman" w:hAnsi="Times New Roman" w:eastAsia="方正仿宋简体" w:cs="Times New Roman"/>
          <w:color w:val="auto"/>
          <w:sz w:val="32"/>
          <w:szCs w:val="32"/>
          <w:lang w:val="en-US" w:eastAsia="zh-CN"/>
        </w:rPr>
        <w:t>进行</w:t>
      </w:r>
      <w:r>
        <w:rPr>
          <w:rFonts w:hint="default" w:ascii="Times New Roman" w:hAnsi="Times New Roman" w:eastAsia="方正仿宋简体" w:cs="Times New Roman"/>
          <w:color w:val="auto"/>
          <w:sz w:val="32"/>
          <w:szCs w:val="32"/>
          <w:lang w:val="en-US" w:eastAsia="zh-CN"/>
        </w:rPr>
        <w:t>焊接安装，</w:t>
      </w:r>
      <w:r>
        <w:rPr>
          <w:rFonts w:hint="eastAsia" w:ascii="Times New Roman" w:hAnsi="Times New Roman" w:eastAsia="方正仿宋简体" w:cs="Times New Roman"/>
          <w:color w:val="auto"/>
          <w:sz w:val="32"/>
          <w:szCs w:val="32"/>
          <w:lang w:val="en-US" w:eastAsia="zh-CN"/>
        </w:rPr>
        <w:t>待焊接的</w:t>
      </w:r>
      <w:r>
        <w:rPr>
          <w:rFonts w:hint="default" w:ascii="Times New Roman" w:hAnsi="Times New Roman" w:eastAsia="方正仿宋简体" w:cs="Times New Roman"/>
          <w:color w:val="auto"/>
          <w:sz w:val="32"/>
          <w:szCs w:val="32"/>
          <w:lang w:val="en-US" w:eastAsia="zh-CN"/>
        </w:rPr>
        <w:t>檩条</w:t>
      </w:r>
      <w:r>
        <w:rPr>
          <w:rFonts w:hint="eastAsia" w:ascii="Times New Roman" w:hAnsi="Times New Roman" w:eastAsia="方正仿宋简体" w:cs="Times New Roman"/>
          <w:color w:val="auto"/>
          <w:sz w:val="32"/>
          <w:szCs w:val="32"/>
          <w:lang w:val="en-US" w:eastAsia="zh-CN"/>
        </w:rPr>
        <w:t>由一辆</w:t>
      </w:r>
      <w:r>
        <w:rPr>
          <w:rFonts w:hint="default" w:ascii="Times New Roman" w:hAnsi="Times New Roman" w:eastAsia="方正仿宋简体" w:cs="Times New Roman"/>
          <w:color w:val="auto"/>
          <w:sz w:val="32"/>
          <w:szCs w:val="32"/>
          <w:lang w:val="en-US" w:eastAsia="zh-CN"/>
        </w:rPr>
        <w:t>吊车（45吨）</w:t>
      </w:r>
      <w:r>
        <w:rPr>
          <w:rFonts w:hint="eastAsia" w:ascii="Times New Roman" w:hAnsi="Times New Roman" w:eastAsia="方正仿宋简体" w:cs="Times New Roman"/>
          <w:color w:val="auto"/>
          <w:sz w:val="32"/>
          <w:szCs w:val="32"/>
          <w:lang w:val="en-US" w:eastAsia="zh-CN"/>
        </w:rPr>
        <w:t>从地面吊装至屋架。4人中</w:t>
      </w:r>
      <w:r>
        <w:rPr>
          <w:rFonts w:hint="default" w:ascii="Times New Roman" w:hAnsi="Times New Roman" w:eastAsia="方正仿宋简体" w:cs="Times New Roman"/>
          <w:color w:val="auto"/>
          <w:sz w:val="32"/>
          <w:szCs w:val="32"/>
          <w:lang w:val="en-US" w:eastAsia="zh-CN"/>
        </w:rPr>
        <w:t>罗</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志</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洪</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跃</w:t>
      </w:r>
      <w:r>
        <w:rPr>
          <w:rFonts w:hint="eastAsia" w:ascii="Times New Roman" w:hAnsi="Times New Roman" w:eastAsia="方正仿宋简体" w:cs="Times New Roman"/>
          <w:color w:val="auto"/>
          <w:sz w:val="32"/>
          <w:szCs w:val="32"/>
          <w:lang w:val="en-US" w:eastAsia="zh-CN"/>
        </w:rPr>
        <w:t>已取得高处作业、焊接与热切割作业特种作业操作证，</w:t>
      </w:r>
      <w:r>
        <w:rPr>
          <w:rFonts w:hint="default" w:ascii="Times New Roman" w:hAnsi="Times New Roman" w:eastAsia="方正仿宋简体" w:cs="Times New Roman"/>
          <w:color w:val="auto"/>
          <w:sz w:val="32"/>
          <w:szCs w:val="32"/>
          <w:lang w:val="en-US" w:eastAsia="zh-CN"/>
        </w:rPr>
        <w:t>李</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勇</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王</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富</w:t>
      </w:r>
      <w:r>
        <w:rPr>
          <w:rFonts w:hint="eastAsia" w:ascii="Times New Roman" w:hAnsi="Times New Roman" w:eastAsia="方正仿宋简体" w:cs="Times New Roman"/>
          <w:color w:val="auto"/>
          <w:sz w:val="32"/>
          <w:szCs w:val="32"/>
          <w:lang w:val="en-US" w:eastAsia="zh-CN"/>
        </w:rPr>
        <w:t>未取得高处作业、焊接与热切割作业特种作业操作证。</w:t>
      </w:r>
      <w:r>
        <w:rPr>
          <w:rFonts w:hint="default" w:ascii="Times New Roman" w:hAnsi="Times New Roman" w:eastAsia="方正仿宋简体" w:cs="Times New Roman"/>
          <w:color w:val="auto"/>
          <w:sz w:val="32"/>
          <w:szCs w:val="32"/>
          <w:lang w:val="en-US" w:eastAsia="zh-CN"/>
        </w:rPr>
        <w:t>16时30分</w:t>
      </w:r>
      <w:r>
        <w:rPr>
          <w:rFonts w:hint="eastAsia" w:ascii="Times New Roman" w:hAnsi="Times New Roman" w:eastAsia="方正仿宋简体" w:cs="Times New Roman"/>
          <w:color w:val="auto"/>
          <w:sz w:val="32"/>
          <w:szCs w:val="32"/>
          <w:lang w:val="en-US" w:eastAsia="zh-CN"/>
        </w:rPr>
        <w:t>4人在钢结构屋架上作业时（</w:t>
      </w:r>
      <w:r>
        <w:rPr>
          <w:rFonts w:hint="default" w:ascii="Times New Roman" w:hAnsi="Times New Roman" w:eastAsia="方正仿宋简体" w:cs="Times New Roman"/>
          <w:color w:val="auto"/>
          <w:sz w:val="32"/>
          <w:szCs w:val="32"/>
          <w:lang w:val="en-US" w:eastAsia="zh-CN"/>
        </w:rPr>
        <w:t>罗</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志</w:t>
      </w:r>
      <w:r>
        <w:rPr>
          <w:rFonts w:hint="eastAsia" w:ascii="Times New Roman" w:hAnsi="Times New Roman" w:eastAsia="方正仿宋简体" w:cs="Times New Roman"/>
          <w:color w:val="auto"/>
          <w:sz w:val="32"/>
          <w:szCs w:val="32"/>
          <w:lang w:val="en-US" w:eastAsia="zh-CN"/>
        </w:rPr>
        <w:t>位于第2柱屋架上，李*勇位于第3柱屋架上，洪*跃位于第4柱屋架上，</w:t>
      </w:r>
      <w:r>
        <w:rPr>
          <w:rFonts w:hint="default" w:ascii="Times New Roman" w:hAnsi="Times New Roman" w:eastAsia="方正仿宋简体" w:cs="Times New Roman"/>
          <w:color w:val="auto"/>
          <w:sz w:val="32"/>
          <w:szCs w:val="32"/>
          <w:lang w:val="en-US" w:eastAsia="zh-CN"/>
        </w:rPr>
        <w:t>王</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富</w:t>
      </w:r>
      <w:r>
        <w:rPr>
          <w:rFonts w:hint="eastAsia" w:ascii="Times New Roman" w:hAnsi="Times New Roman" w:eastAsia="方正仿宋简体" w:cs="Times New Roman"/>
          <w:color w:val="auto"/>
          <w:sz w:val="32"/>
          <w:szCs w:val="32"/>
          <w:lang w:val="en-US" w:eastAsia="zh-CN"/>
        </w:rPr>
        <w:t>位于第5柱屋架上），钢结构屋架及钢柱倾倒变形，</w:t>
      </w:r>
      <w:r>
        <w:rPr>
          <w:rFonts w:hint="default" w:ascii="Times New Roman" w:hAnsi="Times New Roman" w:eastAsia="方正仿宋简体" w:cs="Times New Roman"/>
          <w:color w:val="auto"/>
          <w:sz w:val="32"/>
          <w:szCs w:val="32"/>
          <w:lang w:val="en-US" w:eastAsia="zh-CN"/>
        </w:rPr>
        <w:t>罗</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志、李</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勇、王</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富</w:t>
      </w:r>
      <w:r>
        <w:rPr>
          <w:rFonts w:hint="eastAsia" w:ascii="Times New Roman" w:hAnsi="Times New Roman" w:eastAsia="方正仿宋简体" w:cs="Times New Roman"/>
          <w:color w:val="auto"/>
          <w:sz w:val="32"/>
          <w:szCs w:val="32"/>
          <w:lang w:val="en-US" w:eastAsia="zh-CN"/>
        </w:rPr>
        <w:t>3人</w:t>
      </w:r>
      <w:r>
        <w:rPr>
          <w:rFonts w:hint="default" w:ascii="Times New Roman" w:hAnsi="Times New Roman" w:eastAsia="方正仿宋简体" w:cs="Times New Roman"/>
          <w:color w:val="auto"/>
          <w:sz w:val="32"/>
          <w:szCs w:val="32"/>
          <w:lang w:val="en-US" w:eastAsia="zh-CN"/>
        </w:rPr>
        <w:t>从</w:t>
      </w:r>
      <w:r>
        <w:rPr>
          <w:rFonts w:hint="eastAsia" w:ascii="Times New Roman" w:hAnsi="Times New Roman" w:eastAsia="方正仿宋简体" w:cs="Times New Roman"/>
          <w:color w:val="auto"/>
          <w:sz w:val="32"/>
          <w:szCs w:val="32"/>
          <w:lang w:val="en-US" w:eastAsia="zh-CN"/>
        </w:rPr>
        <w:t>屋架</w:t>
      </w:r>
      <w:r>
        <w:rPr>
          <w:rFonts w:hint="default" w:ascii="Times New Roman" w:hAnsi="Times New Roman" w:eastAsia="方正仿宋简体" w:cs="Times New Roman"/>
          <w:color w:val="auto"/>
          <w:sz w:val="32"/>
          <w:szCs w:val="32"/>
          <w:lang w:val="en-US" w:eastAsia="zh-CN"/>
        </w:rPr>
        <w:t>坠落</w:t>
      </w:r>
      <w:r>
        <w:rPr>
          <w:rFonts w:hint="eastAsia" w:ascii="Times New Roman" w:hAnsi="Times New Roman" w:eastAsia="方正仿宋简体" w:cs="Times New Roman"/>
          <w:color w:val="auto"/>
          <w:sz w:val="32"/>
          <w:szCs w:val="32"/>
          <w:lang w:val="en-US" w:eastAsia="zh-CN"/>
        </w:rPr>
        <w:t>至地面，</w:t>
      </w:r>
      <w:r>
        <w:rPr>
          <w:rFonts w:hint="default" w:ascii="Times New Roman" w:hAnsi="Times New Roman" w:eastAsia="方正仿宋简体" w:cs="Times New Roman"/>
          <w:color w:val="auto"/>
          <w:sz w:val="32"/>
          <w:szCs w:val="32"/>
          <w:lang w:val="en-US" w:eastAsia="zh-CN"/>
        </w:rPr>
        <w:t>洪</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跃被困</w:t>
      </w:r>
      <w:r>
        <w:rPr>
          <w:rFonts w:hint="eastAsia" w:ascii="Times New Roman" w:hAnsi="Times New Roman" w:eastAsia="方正仿宋简体" w:cs="Times New Roman"/>
          <w:color w:val="auto"/>
          <w:sz w:val="32"/>
          <w:szCs w:val="32"/>
          <w:lang w:val="en-US" w:eastAsia="zh-CN"/>
        </w:rPr>
        <w:t>于变形的第</w:t>
      </w:r>
      <w:r>
        <w:rPr>
          <w:rFonts w:hint="default" w:ascii="Times New Roman" w:hAnsi="Times New Roman" w:eastAsia="方正仿宋简体" w:cs="Times New Roman"/>
          <w:color w:val="auto"/>
          <w:sz w:val="32"/>
          <w:szCs w:val="32"/>
          <w:lang w:val="en-US" w:eastAsia="zh-CN"/>
        </w:rPr>
        <w:t>4</w:t>
      </w:r>
      <w:r>
        <w:rPr>
          <w:rFonts w:hint="eastAsia" w:ascii="Times New Roman" w:hAnsi="Times New Roman" w:eastAsia="方正仿宋简体" w:cs="Times New Roman"/>
          <w:color w:val="auto"/>
          <w:sz w:val="32"/>
          <w:szCs w:val="32"/>
          <w:lang w:val="en-US" w:eastAsia="zh-CN"/>
        </w:rPr>
        <w:t>柱屋</w:t>
      </w:r>
      <w:r>
        <w:rPr>
          <w:rFonts w:hint="default" w:ascii="Times New Roman" w:hAnsi="Times New Roman" w:eastAsia="方正仿宋简体" w:cs="Times New Roman"/>
          <w:color w:val="auto"/>
          <w:sz w:val="32"/>
          <w:szCs w:val="32"/>
          <w:lang w:val="en-US" w:eastAsia="zh-CN"/>
        </w:rPr>
        <w:t>架上</w:t>
      </w:r>
      <w:r>
        <w:rPr>
          <w:rFonts w:hint="eastAsia" w:ascii="Times New Roman" w:hAnsi="Times New Roman" w:eastAsia="方正仿宋简体" w:cs="Times New Roman"/>
          <w:color w:val="auto"/>
          <w:sz w:val="32"/>
          <w:szCs w:val="32"/>
          <w:lang w:val="en-US" w:eastAsia="zh-CN"/>
        </w:rPr>
        <w:t>，经现场救援后未受伤，事故发生时4人均已佩戴安全带，但安全带卡扣均固定在屋架上，因屋架坠落至地面，安全带未起到保护作用。</w:t>
      </w:r>
      <w:bookmarkEnd w:id="34"/>
      <w:bookmarkEnd w:id="35"/>
      <w:r>
        <w:rPr>
          <w:rFonts w:hint="eastAsia" w:ascii="Times New Roman" w:hAnsi="Times New Roman" w:eastAsia="方正仿宋简体" w:cs="Times New Roman"/>
          <w:color w:val="auto"/>
          <w:sz w:val="32"/>
          <w:szCs w:val="32"/>
          <w:lang w:val="en-US" w:eastAsia="zh-CN"/>
        </w:rPr>
        <w:t>（详见图一）</w:t>
      </w:r>
    </w:p>
    <w:p w14:paraId="7347D48A">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center"/>
        <w:textAlignment w:val="auto"/>
        <w:rPr>
          <w:rFonts w:hint="default" w:ascii="Times New Roman" w:hAnsi="Times New Roman" w:eastAsia="方正仿宋简体" w:cs="Times New Roman"/>
          <w:color w:val="auto"/>
          <w:sz w:val="32"/>
          <w:szCs w:val="32"/>
          <w:lang w:val="en-US" w:eastAsia="zh-CN"/>
        </w:rPr>
      </w:pPr>
      <w:r>
        <w:rPr>
          <w:color w:val="auto"/>
        </w:rPr>
        <w:drawing>
          <wp:anchor distT="0" distB="0" distL="114300" distR="114300" simplePos="0" relativeHeight="251659264" behindDoc="0" locked="0" layoutInCell="1" allowOverlap="1">
            <wp:simplePos x="0" y="0"/>
            <wp:positionH relativeFrom="column">
              <wp:posOffset>93980</wp:posOffset>
            </wp:positionH>
            <wp:positionV relativeFrom="paragraph">
              <wp:posOffset>81280</wp:posOffset>
            </wp:positionV>
            <wp:extent cx="5759450" cy="2517140"/>
            <wp:effectExtent l="0" t="0" r="12700" b="16510"/>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759450" cy="2517140"/>
                    </a:xfrm>
                    <a:prstGeom prst="rect">
                      <a:avLst/>
                    </a:prstGeom>
                    <a:noFill/>
                    <a:ln>
                      <a:noFill/>
                    </a:ln>
                  </pic:spPr>
                </pic:pic>
              </a:graphicData>
            </a:graphic>
          </wp:anchor>
        </w:drawing>
      </w:r>
      <w:r>
        <w:rPr>
          <w:rFonts w:hint="eastAsia" w:asciiTheme="minorEastAsia" w:hAnsiTheme="minorEastAsia" w:cstheme="minorEastAsia"/>
          <w:color w:val="auto"/>
          <w:sz w:val="21"/>
          <w:szCs w:val="21"/>
          <w:lang w:val="en-US" w:eastAsia="zh-CN"/>
        </w:rPr>
        <w:t>图一 事故现场平面示意图</w:t>
      </w:r>
    </w:p>
    <w:p w14:paraId="52C84D3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（四）事故现场勘验情况</w:t>
      </w:r>
    </w:p>
    <w:p w14:paraId="22D0E12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1.</w:t>
      </w:r>
      <w:r>
        <w:rPr>
          <w:rFonts w:hint="default" w:ascii="Times New Roman" w:hAnsi="Times New Roman" w:eastAsia="方正仿宋简体" w:cs="Times New Roman"/>
          <w:color w:val="auto"/>
          <w:sz w:val="32"/>
          <w:szCs w:val="32"/>
          <w:lang w:val="en-US" w:eastAsia="zh-CN"/>
        </w:rPr>
        <w:t>磷矿库</w:t>
      </w:r>
      <w:r>
        <w:rPr>
          <w:rFonts w:hint="eastAsia" w:ascii="Times New Roman" w:hAnsi="Times New Roman" w:eastAsia="方正仿宋简体" w:cs="Times New Roman"/>
          <w:color w:val="auto"/>
          <w:sz w:val="32"/>
          <w:szCs w:val="32"/>
          <w:lang w:val="en-US" w:eastAsia="zh-CN"/>
        </w:rPr>
        <w:t>钢结构</w:t>
      </w:r>
      <w:r>
        <w:rPr>
          <w:rFonts w:hint="default" w:ascii="Times New Roman" w:hAnsi="Times New Roman" w:eastAsia="方正仿宋简体" w:cs="Times New Roman"/>
          <w:color w:val="auto"/>
          <w:sz w:val="32"/>
          <w:szCs w:val="32"/>
          <w:lang w:val="en-US" w:eastAsia="zh-CN"/>
        </w:rPr>
        <w:t>左右两侧各12钢柱，柱间距6</w:t>
      </w:r>
      <w:r>
        <w:rPr>
          <w:rFonts w:hint="eastAsia" w:ascii="Times New Roman" w:hAnsi="Times New Roman" w:eastAsia="方正仿宋简体" w:cs="Times New Roman"/>
          <w:color w:val="auto"/>
          <w:sz w:val="32"/>
          <w:szCs w:val="32"/>
          <w:lang w:val="en-US" w:eastAsia="zh-CN"/>
        </w:rPr>
        <w:t>米</w:t>
      </w:r>
      <w:r>
        <w:rPr>
          <w:rFonts w:hint="default" w:ascii="Times New Roman" w:hAnsi="Times New Roman" w:eastAsia="方正仿宋简体" w:cs="Times New Roman"/>
          <w:color w:val="auto"/>
          <w:sz w:val="32"/>
          <w:szCs w:val="32"/>
          <w:lang w:val="en-US" w:eastAsia="zh-CN"/>
        </w:rPr>
        <w:t>，对应两侧钢柱搭建</w:t>
      </w:r>
      <w:r>
        <w:rPr>
          <w:rFonts w:hint="eastAsia" w:ascii="Times New Roman" w:hAnsi="Times New Roman" w:eastAsia="方正仿宋简体" w:cs="Times New Roman"/>
          <w:color w:val="auto"/>
          <w:sz w:val="32"/>
          <w:szCs w:val="32"/>
          <w:lang w:val="en-US" w:eastAsia="zh-CN"/>
        </w:rPr>
        <w:t>屋</w:t>
      </w:r>
      <w:r>
        <w:rPr>
          <w:rFonts w:hint="default" w:ascii="Times New Roman" w:hAnsi="Times New Roman" w:eastAsia="方正仿宋简体" w:cs="Times New Roman"/>
          <w:color w:val="auto"/>
          <w:sz w:val="32"/>
          <w:szCs w:val="32"/>
          <w:lang w:val="en-US" w:eastAsia="zh-CN"/>
        </w:rPr>
        <w:t>架（其中右侧1-7柱剪力墙浇筑完成，8-12柱未浇筑，1柱</w:t>
      </w:r>
      <w:r>
        <w:rPr>
          <w:rFonts w:hint="eastAsia" w:ascii="Times New Roman" w:hAnsi="Times New Roman" w:eastAsia="方正仿宋简体" w:cs="Times New Roman"/>
          <w:color w:val="auto"/>
          <w:sz w:val="32"/>
          <w:szCs w:val="32"/>
          <w:lang w:val="en-US" w:eastAsia="zh-CN"/>
        </w:rPr>
        <w:t>屋</w:t>
      </w:r>
      <w:r>
        <w:rPr>
          <w:rFonts w:hint="default" w:ascii="Times New Roman" w:hAnsi="Times New Roman" w:eastAsia="方正仿宋简体" w:cs="Times New Roman"/>
          <w:color w:val="auto"/>
          <w:sz w:val="32"/>
          <w:szCs w:val="32"/>
          <w:lang w:val="en-US" w:eastAsia="zh-CN"/>
        </w:rPr>
        <w:t>架未搭建）。右侧3、左侧6柱倒塌至地面，右侧2、4、5、6立柱变形。2、3、5、6</w:t>
      </w:r>
      <w:r>
        <w:rPr>
          <w:rFonts w:hint="eastAsia" w:ascii="Times New Roman" w:hAnsi="Times New Roman" w:eastAsia="方正仿宋简体" w:cs="Times New Roman"/>
          <w:color w:val="auto"/>
          <w:sz w:val="32"/>
          <w:szCs w:val="32"/>
          <w:lang w:val="en-US" w:eastAsia="zh-CN"/>
        </w:rPr>
        <w:t>屋</w:t>
      </w:r>
      <w:r>
        <w:rPr>
          <w:rFonts w:hint="default" w:ascii="Times New Roman" w:hAnsi="Times New Roman" w:eastAsia="方正仿宋简体" w:cs="Times New Roman"/>
          <w:color w:val="auto"/>
          <w:sz w:val="32"/>
          <w:szCs w:val="32"/>
          <w:lang w:val="en-US" w:eastAsia="zh-CN"/>
        </w:rPr>
        <w:t>架坠落至地面，4、7</w:t>
      </w:r>
      <w:r>
        <w:rPr>
          <w:rFonts w:hint="eastAsia" w:ascii="Times New Roman" w:hAnsi="Times New Roman" w:eastAsia="方正仿宋简体" w:cs="Times New Roman"/>
          <w:color w:val="auto"/>
          <w:sz w:val="32"/>
          <w:szCs w:val="32"/>
          <w:lang w:val="en-US" w:eastAsia="zh-CN"/>
        </w:rPr>
        <w:t>屋</w:t>
      </w:r>
      <w:r>
        <w:rPr>
          <w:rFonts w:hint="default" w:ascii="Times New Roman" w:hAnsi="Times New Roman" w:eastAsia="方正仿宋简体" w:cs="Times New Roman"/>
          <w:color w:val="auto"/>
          <w:sz w:val="32"/>
          <w:szCs w:val="32"/>
          <w:lang w:val="en-US" w:eastAsia="zh-CN"/>
        </w:rPr>
        <w:t>架变形</w:t>
      </w:r>
      <w:r>
        <w:rPr>
          <w:rFonts w:hint="eastAsia" w:ascii="Times New Roman" w:hAnsi="Times New Roman" w:eastAsia="方正仿宋简体" w:cs="Times New Roman"/>
          <w:color w:val="auto"/>
          <w:sz w:val="32"/>
          <w:szCs w:val="32"/>
          <w:lang w:val="en-US" w:eastAsia="zh-CN"/>
        </w:rPr>
        <w:t>，多处檩条散落至地面。（详见图二、图三）</w:t>
      </w:r>
    </w:p>
    <w:p w14:paraId="16AEA4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仿宋简体" w:cs="Times New Roman"/>
          <w:color w:val="auto"/>
          <w:sz w:val="32"/>
          <w:szCs w:val="32"/>
          <w:lang w:val="en-US" w:eastAsia="zh-CN"/>
        </w:rPr>
      </w:pPr>
      <w:r>
        <w:rPr>
          <w:color w:val="auto"/>
        </w:rPr>
        <w:drawing>
          <wp:inline distT="0" distB="0" distL="114300" distR="114300">
            <wp:extent cx="5270500" cy="2214880"/>
            <wp:effectExtent l="0" t="0" r="635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0500" cy="2214880"/>
                    </a:xfrm>
                    <a:prstGeom prst="rect">
                      <a:avLst/>
                    </a:prstGeom>
                    <a:noFill/>
                    <a:ln>
                      <a:noFill/>
                    </a:ln>
                  </pic:spPr>
                </pic:pic>
              </a:graphicData>
            </a:graphic>
          </wp:inline>
        </w:drawing>
      </w:r>
    </w:p>
    <w:p w14:paraId="7CDC05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drawing>
          <wp:inline distT="0" distB="0" distL="114300" distR="114300">
            <wp:extent cx="5271135" cy="1318260"/>
            <wp:effectExtent l="0" t="0" r="5715"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1135" cy="1318260"/>
                    </a:xfrm>
                    <a:prstGeom prst="rect">
                      <a:avLst/>
                    </a:prstGeom>
                    <a:noFill/>
                    <a:ln>
                      <a:noFill/>
                    </a:ln>
                  </pic:spPr>
                </pic:pic>
              </a:graphicData>
            </a:graphic>
          </wp:inline>
        </w:drawing>
      </w:r>
    </w:p>
    <w:p w14:paraId="429C8F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图</w:t>
      </w:r>
      <w:r>
        <w:rPr>
          <w:rFonts w:hint="eastAsia" w:asciiTheme="minorEastAsia" w:hAnsiTheme="minorEastAsia" w:cstheme="minorEastAsia"/>
          <w:color w:val="auto"/>
          <w:sz w:val="21"/>
          <w:szCs w:val="21"/>
          <w:lang w:val="en-US" w:eastAsia="zh-CN"/>
        </w:rPr>
        <w:t>二</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cstheme="minorEastAsia"/>
          <w:color w:val="auto"/>
          <w:sz w:val="21"/>
          <w:szCs w:val="21"/>
          <w:lang w:val="en-US" w:eastAsia="zh-CN"/>
        </w:rPr>
        <w:t>屋架布置图、桁架断面</w:t>
      </w:r>
      <w:r>
        <w:rPr>
          <w:rFonts w:hint="eastAsia" w:asciiTheme="minorEastAsia" w:hAnsiTheme="minorEastAsia" w:eastAsiaTheme="minorEastAsia" w:cstheme="minorEastAsia"/>
          <w:color w:val="auto"/>
          <w:sz w:val="21"/>
          <w:szCs w:val="21"/>
          <w:lang w:val="en-US" w:eastAsia="zh-CN"/>
        </w:rPr>
        <w:t>图</w:t>
      </w:r>
    </w:p>
    <w:p w14:paraId="5DB16E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color w:val="auto"/>
        </w:rPr>
        <w:drawing>
          <wp:inline distT="0" distB="0" distL="114300" distR="114300">
            <wp:extent cx="4337050" cy="2228215"/>
            <wp:effectExtent l="0" t="0" r="6350"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4337050" cy="2228215"/>
                    </a:xfrm>
                    <a:prstGeom prst="rect">
                      <a:avLst/>
                    </a:prstGeom>
                    <a:noFill/>
                    <a:ln>
                      <a:noFill/>
                    </a:ln>
                  </pic:spPr>
                </pic:pic>
              </a:graphicData>
            </a:graphic>
          </wp:inline>
        </w:drawing>
      </w:r>
    </w:p>
    <w:p w14:paraId="340F8A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Theme="minorEastAsia"/>
          <w:color w:val="auto"/>
          <w:lang w:val="en-US" w:eastAsia="zh-CN"/>
        </w:rPr>
      </w:pPr>
      <w:r>
        <w:rPr>
          <w:rFonts w:hint="eastAsia"/>
          <w:color w:val="auto"/>
          <w:lang w:val="en-US" w:eastAsia="zh-CN"/>
        </w:rPr>
        <w:t>图三 事故现场视图</w:t>
      </w:r>
    </w:p>
    <w:p w14:paraId="0CD5906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2.</w:t>
      </w:r>
      <w:r>
        <w:rPr>
          <w:rFonts w:hint="default" w:ascii="Times New Roman" w:hAnsi="Times New Roman" w:eastAsia="方正仿宋简体" w:cs="Times New Roman"/>
          <w:color w:val="auto"/>
          <w:sz w:val="32"/>
          <w:szCs w:val="32"/>
          <w:lang w:val="en-US" w:eastAsia="zh-CN"/>
        </w:rPr>
        <w:t>钢柱柱顶有端板（规格</w:t>
      </w:r>
      <w:r>
        <w:rPr>
          <w:rFonts w:hint="eastAsia" w:ascii="Times New Roman" w:hAnsi="Times New Roman" w:eastAsia="方正仿宋简体" w:cs="Times New Roman"/>
          <w:color w:val="auto"/>
          <w:sz w:val="32"/>
          <w:szCs w:val="32"/>
          <w:lang w:val="en-US" w:eastAsia="zh-CN"/>
        </w:rPr>
        <w:t>400</w:t>
      </w:r>
      <w:r>
        <w:rPr>
          <w:rFonts w:hint="default" w:ascii="Arial" w:hAnsi="Arial" w:eastAsia="方正仿宋简体" w:cs="Arial"/>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400</w:t>
      </w:r>
      <w:r>
        <w:rPr>
          <w:rFonts w:hint="default" w:ascii="Arial" w:hAnsi="Arial" w:eastAsia="方正仿宋简体" w:cs="Arial"/>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16毫米</w:t>
      </w:r>
      <w:r>
        <w:rPr>
          <w:rFonts w:hint="default" w:ascii="Times New Roman" w:hAnsi="Times New Roman" w:eastAsia="方正仿宋简体" w:cs="Times New Roman"/>
          <w:color w:val="auto"/>
          <w:sz w:val="32"/>
          <w:szCs w:val="32"/>
          <w:lang w:val="en-US" w:eastAsia="zh-CN"/>
        </w:rPr>
        <w:t>），钢柱与屋架连接</w:t>
      </w:r>
      <w:r>
        <w:rPr>
          <w:rFonts w:hint="eastAsia" w:ascii="Times New Roman" w:hAnsi="Times New Roman" w:eastAsia="方正仿宋简体" w:cs="Times New Roman"/>
          <w:color w:val="auto"/>
          <w:sz w:val="32"/>
          <w:szCs w:val="32"/>
          <w:lang w:val="en-US" w:eastAsia="zh-CN"/>
        </w:rPr>
        <w:t>方式</w:t>
      </w:r>
      <w:r>
        <w:rPr>
          <w:rFonts w:hint="default" w:ascii="Times New Roman" w:hAnsi="Times New Roman" w:eastAsia="方正仿宋简体" w:cs="Times New Roman"/>
          <w:color w:val="auto"/>
          <w:sz w:val="32"/>
          <w:szCs w:val="32"/>
          <w:lang w:val="en-US" w:eastAsia="zh-CN"/>
        </w:rPr>
        <w:t>为饺接，钢柱柱底与预埋件焊缝不饱和，钢柱端板与桁架饺接，连接方式采用双面角焊缝，焊缝基本饱满，未见节点破坏现象。屋架上弦杆为空间桁件，下弦杆为Φ50</w:t>
      </w:r>
      <w:r>
        <w:rPr>
          <w:rFonts w:hint="default" w:ascii="Arial" w:hAnsi="Arial" w:eastAsia="方正仿宋简体" w:cs="Arial"/>
          <w:color w:val="auto"/>
          <w:sz w:val="32"/>
          <w:szCs w:val="32"/>
          <w:lang w:val="en-US" w:eastAsia="zh-CN"/>
        </w:rPr>
        <w:t>×</w:t>
      </w:r>
      <w:r>
        <w:rPr>
          <w:rFonts w:hint="default" w:ascii="Times New Roman" w:hAnsi="Times New Roman" w:eastAsia="方正仿宋简体" w:cs="Times New Roman"/>
          <w:color w:val="auto"/>
          <w:sz w:val="32"/>
          <w:szCs w:val="32"/>
          <w:lang w:val="en-US" w:eastAsia="zh-CN"/>
        </w:rPr>
        <w:t>3.5，腹杆为Φ50</w:t>
      </w:r>
      <w:r>
        <w:rPr>
          <w:rFonts w:hint="default" w:ascii="Arial" w:hAnsi="Arial" w:eastAsia="方正仿宋简体" w:cs="Arial"/>
          <w:color w:val="auto"/>
          <w:sz w:val="32"/>
          <w:szCs w:val="32"/>
          <w:lang w:val="en-US" w:eastAsia="zh-CN"/>
        </w:rPr>
        <w:t>×</w:t>
      </w:r>
      <w:r>
        <w:rPr>
          <w:rFonts w:hint="default" w:ascii="Times New Roman" w:hAnsi="Times New Roman" w:eastAsia="方正仿宋简体" w:cs="Times New Roman"/>
          <w:color w:val="auto"/>
          <w:sz w:val="32"/>
          <w:szCs w:val="32"/>
          <w:lang w:val="en-US" w:eastAsia="zh-CN"/>
        </w:rPr>
        <w:t>3.5，屋架端采用16</w:t>
      </w:r>
      <w:r>
        <w:rPr>
          <w:rFonts w:hint="eastAsia" w:ascii="Times New Roman" w:hAnsi="Times New Roman" w:eastAsia="方正仿宋简体" w:cs="Times New Roman"/>
          <w:color w:val="auto"/>
          <w:sz w:val="32"/>
          <w:szCs w:val="32"/>
          <w:lang w:val="en-US" w:eastAsia="zh-CN"/>
        </w:rPr>
        <w:t>毫米</w:t>
      </w:r>
      <w:r>
        <w:rPr>
          <w:rFonts w:hint="default" w:ascii="Times New Roman" w:hAnsi="Times New Roman" w:eastAsia="方正仿宋简体" w:cs="Times New Roman"/>
          <w:color w:val="auto"/>
          <w:sz w:val="32"/>
          <w:szCs w:val="32"/>
          <w:lang w:val="en-US" w:eastAsia="zh-CN"/>
        </w:rPr>
        <w:t>厚钢板连接，现场查看损坏的屋架主要是上弦杆扭曲，钢管与端板连接存在脱焊、焊缝撕裂现象。现场未设置屋面支撑系统和柱间支撑系统</w:t>
      </w:r>
      <w:r>
        <w:rPr>
          <w:rFonts w:hint="eastAsia" w:ascii="Times New Roman" w:hAnsi="Times New Roman" w:eastAsia="方正仿宋简体" w:cs="Times New Roman"/>
          <w:color w:val="auto"/>
          <w:sz w:val="32"/>
          <w:szCs w:val="32"/>
          <w:lang w:val="en-US" w:eastAsia="zh-CN"/>
        </w:rPr>
        <w:t>。</w:t>
      </w:r>
    </w:p>
    <w:p w14:paraId="6454C8B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color w:val="auto"/>
        </w:rPr>
      </w:pPr>
      <w:r>
        <w:rPr>
          <w:color w:val="auto"/>
        </w:rPr>
        <w:drawing>
          <wp:inline distT="0" distB="0" distL="114300" distR="114300">
            <wp:extent cx="2848610" cy="2602230"/>
            <wp:effectExtent l="0" t="0" r="8890" b="762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2848610" cy="2602230"/>
                    </a:xfrm>
                    <a:prstGeom prst="rect">
                      <a:avLst/>
                    </a:prstGeom>
                    <a:noFill/>
                    <a:ln>
                      <a:noFill/>
                    </a:ln>
                  </pic:spPr>
                </pic:pic>
              </a:graphicData>
            </a:graphic>
          </wp:inline>
        </w:drawing>
      </w:r>
      <w:r>
        <w:rPr>
          <w:color w:val="auto"/>
        </w:rPr>
        <w:drawing>
          <wp:inline distT="0" distB="0" distL="114300" distR="114300">
            <wp:extent cx="2604135" cy="2576830"/>
            <wp:effectExtent l="0" t="0" r="5715" b="139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2604135" cy="2576830"/>
                    </a:xfrm>
                    <a:prstGeom prst="rect">
                      <a:avLst/>
                    </a:prstGeom>
                    <a:noFill/>
                    <a:ln>
                      <a:noFill/>
                    </a:ln>
                  </pic:spPr>
                </pic:pic>
              </a:graphicData>
            </a:graphic>
          </wp:inline>
        </w:drawing>
      </w:r>
    </w:p>
    <w:p w14:paraId="3A2E71E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eastAsiaTheme="minorEastAsia"/>
          <w:color w:val="auto"/>
          <w:lang w:val="en-US" w:eastAsia="zh-CN"/>
        </w:rPr>
      </w:pPr>
      <w:r>
        <w:rPr>
          <w:rFonts w:hint="eastAsia"/>
          <w:color w:val="auto"/>
          <w:lang w:val="en-US" w:eastAsia="zh-CN"/>
        </w:rPr>
        <w:t>图四、图五 钢柱端板连接情况、柱底与预埋件连接情况</w:t>
      </w:r>
    </w:p>
    <w:p w14:paraId="5A71273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（五）检测鉴定情况</w:t>
      </w:r>
    </w:p>
    <w:p w14:paraId="2F6C18E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2月2日，事故联合调查组委托四川省禾力建设工程检测鉴定咨询有限公司对四川绵竹市盘龙矿物质有限责任公司磷矿库钢结构雨棚建设项目进行现场检测和构件分析专项鉴定。2024年3月21日出具检测鉴定报告，检测鉴定情况如下：</w:t>
      </w:r>
    </w:p>
    <w:p w14:paraId="30D0ED9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1.钢柱、屋架的桁架的钢管构件强度、延伸率能满足Q235钢材的力学性能。</w:t>
      </w:r>
    </w:p>
    <w:p w14:paraId="5BDC94C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2.钢柱现场测量规格为Φ257×3.5毫米，高度8.0米，间距6.0米。钢柱与混凝土柱顶预埋件焊接连接。钢柱柱顶设置有端板（规格400×400×16毫米），钢柱与屋架（桁架端板）连接为铰接，连接方式采用双面角焊缝，焊缝存在漏焊、</w:t>
      </w:r>
      <w:r>
        <w:rPr>
          <w:rFonts w:hint="default" w:ascii="Times New Roman" w:hAnsi="Times New Roman" w:eastAsia="方正仿宋简体" w:cs="Times New Roman"/>
          <w:color w:val="auto"/>
          <w:sz w:val="32"/>
          <w:szCs w:val="32"/>
          <w:lang w:val="en-US" w:eastAsia="zh-CN"/>
        </w:rPr>
        <w:t>夹渣、气孔、咬边等现象</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按照焊缝等级为二级进行外观检查</w:t>
      </w:r>
      <w:r>
        <w:rPr>
          <w:rFonts w:hint="eastAsia" w:ascii="Times New Roman" w:hAnsi="Times New Roman" w:eastAsia="方正仿宋简体" w:cs="Times New Roman"/>
          <w:color w:val="auto"/>
          <w:sz w:val="32"/>
          <w:szCs w:val="32"/>
          <w:lang w:val="en-US" w:eastAsia="zh-CN"/>
        </w:rPr>
        <w:t>，节点焊缝的外观质量不满足《钢结构工程施工质量验收标准》GB50205-2020中5.2.7表的要求。</w:t>
      </w:r>
      <w:r>
        <w:rPr>
          <w:rFonts w:hint="default" w:ascii="Times New Roman" w:hAnsi="Times New Roman" w:eastAsia="方正仿宋简体" w:cs="Times New Roman"/>
          <w:color w:val="auto"/>
          <w:sz w:val="32"/>
          <w:szCs w:val="32"/>
          <w:lang w:val="en-US" w:eastAsia="zh-CN"/>
        </w:rPr>
        <w:t>钢柱柱底与预埋件焊缝不饱满、个别焊缝塞有钢筋</w:t>
      </w:r>
      <w:r>
        <w:rPr>
          <w:rFonts w:hint="eastAsia" w:ascii="Times New Roman" w:hAnsi="Times New Roman" w:eastAsia="方正仿宋简体" w:cs="Times New Roman"/>
          <w:color w:val="auto"/>
          <w:sz w:val="32"/>
          <w:szCs w:val="32"/>
          <w:lang w:val="en-US" w:eastAsia="zh-CN"/>
        </w:rPr>
        <w:t>。已安装屋架的钢柱均存在倾斜现象，抽查的5交A轴的预埋件有松动现象。</w:t>
      </w:r>
    </w:p>
    <w:p w14:paraId="757F198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3.</w:t>
      </w:r>
      <w:r>
        <w:rPr>
          <w:rFonts w:hint="default" w:ascii="Times New Roman" w:hAnsi="Times New Roman" w:eastAsia="方正仿宋简体" w:cs="Times New Roman"/>
          <w:color w:val="auto"/>
          <w:sz w:val="32"/>
          <w:szCs w:val="32"/>
          <w:lang w:val="en-US" w:eastAsia="zh-CN"/>
        </w:rPr>
        <w:t>现场未见设置柱间支撑系统</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屋面支撑未见斜向拉条</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屋面跨中拉条已坠落</w:t>
      </w:r>
      <w:r>
        <w:rPr>
          <w:rFonts w:hint="eastAsia" w:ascii="Times New Roman" w:hAnsi="Times New Roman" w:eastAsia="方正仿宋简体" w:cs="Times New Roman"/>
          <w:color w:val="auto"/>
          <w:sz w:val="32"/>
          <w:szCs w:val="32"/>
          <w:lang w:val="en-US" w:eastAsia="zh-CN"/>
        </w:rPr>
        <w:t>。</w:t>
      </w:r>
    </w:p>
    <w:p w14:paraId="2E6D3A7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4.通过</w:t>
      </w:r>
      <w:r>
        <w:rPr>
          <w:rFonts w:hint="default" w:ascii="Times New Roman" w:hAnsi="Times New Roman" w:eastAsia="方正仿宋简体" w:cs="Times New Roman"/>
          <w:color w:val="auto"/>
          <w:sz w:val="32"/>
          <w:szCs w:val="32"/>
          <w:lang w:val="en-US" w:eastAsia="zh-CN"/>
        </w:rPr>
        <w:t>单榀排架作为模型计算，柱底与混凝土柱顶连接为刚接，柱顶与桁架连接为铰接。屋面桁架上弦为三角形空间桁架，下弦为钢管，桁架模型简化为双绞拱。上弦桁架弯矩16.5kN·m</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最大轴力16.7kN（压力），下弦拉杆轴力16.2kN（拉力），上弦桁架平面外计算长度18.0m，截面平面外回转半径iy=1.17×101mm。计算平面外桁架长细比为1500，</w:t>
      </w:r>
      <w:r>
        <w:rPr>
          <w:rFonts w:hint="eastAsia" w:ascii="Times New Roman" w:hAnsi="Times New Roman" w:eastAsia="方正仿宋简体" w:cs="Times New Roman"/>
          <w:color w:val="auto"/>
          <w:sz w:val="32"/>
          <w:szCs w:val="32"/>
          <w:lang w:val="en-US" w:eastAsia="zh-CN"/>
        </w:rPr>
        <w:t>已</w:t>
      </w:r>
      <w:r>
        <w:rPr>
          <w:rFonts w:hint="default" w:ascii="Times New Roman" w:hAnsi="Times New Roman" w:eastAsia="方正仿宋简体" w:cs="Times New Roman"/>
          <w:color w:val="auto"/>
          <w:sz w:val="32"/>
          <w:szCs w:val="32"/>
          <w:lang w:val="en-US" w:eastAsia="zh-CN"/>
        </w:rPr>
        <w:t>超过《门式刚架轻型房屋钢结构技术规范》（GB 51022-2015）3.4.2</w:t>
      </w:r>
      <w:r>
        <w:rPr>
          <w:rStyle w:val="12"/>
          <w:rFonts w:hint="default" w:ascii="Times New Roman" w:hAnsi="Times New Roman" w:eastAsia="方正仿宋简体" w:cs="Times New Roman"/>
          <w:color w:val="auto"/>
          <w:sz w:val="32"/>
          <w:szCs w:val="32"/>
          <w:lang w:val="en-US" w:eastAsia="zh-CN"/>
        </w:rPr>
        <w:t>[</w:t>
      </w:r>
      <w:r>
        <w:rPr>
          <w:rStyle w:val="12"/>
          <w:rFonts w:hint="default" w:ascii="Times New Roman" w:hAnsi="Times New Roman" w:eastAsia="方正仿宋简体" w:cs="Times New Roman"/>
          <w:color w:val="auto"/>
          <w:sz w:val="32"/>
          <w:szCs w:val="32"/>
          <w:lang w:val="en-US" w:eastAsia="zh-CN"/>
        </w:rPr>
        <w:footnoteReference w:id="2"/>
      </w:r>
      <w:r>
        <w:rPr>
          <w:rStyle w:val="12"/>
          <w:rFonts w:hint="default"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长细比180限值，在屋面檩条与作业人员荷载下屋架上弦发生平面外失稳导致结构破坏</w:t>
      </w:r>
      <w:r>
        <w:rPr>
          <w:rFonts w:hint="eastAsia" w:ascii="Times New Roman" w:hAnsi="Times New Roman" w:eastAsia="方正仿宋简体" w:cs="Times New Roman"/>
          <w:color w:val="auto"/>
          <w:sz w:val="32"/>
          <w:szCs w:val="32"/>
          <w:lang w:val="en-US" w:eastAsia="zh-CN"/>
        </w:rPr>
        <w:t>。</w:t>
      </w:r>
    </w:p>
    <w:p w14:paraId="1E3DECC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楷体简体" w:hAnsi="方正楷体简体" w:eastAsia="方正楷体简体" w:cs="方正楷体简体"/>
          <w:color w:val="auto"/>
          <w:sz w:val="32"/>
          <w:szCs w:val="32"/>
          <w:lang w:val="en-US" w:eastAsia="zh-CN"/>
        </w:rPr>
      </w:pPr>
      <w:r>
        <w:rPr>
          <w:rFonts w:hint="eastAsia" w:ascii="Times New Roman" w:hAnsi="Times New Roman" w:eastAsia="方正仿宋简体" w:cs="Times New Roman"/>
          <w:color w:val="auto"/>
          <w:sz w:val="32"/>
          <w:szCs w:val="32"/>
          <w:lang w:val="en-US" w:eastAsia="zh-CN"/>
        </w:rPr>
        <w:t>5.</w:t>
      </w:r>
      <w:r>
        <w:rPr>
          <w:rFonts w:hint="default" w:ascii="Times New Roman" w:hAnsi="Times New Roman" w:eastAsia="方正仿宋简体" w:cs="Times New Roman"/>
          <w:color w:val="auto"/>
          <w:sz w:val="32"/>
          <w:szCs w:val="32"/>
          <w:lang w:val="en-US" w:eastAsia="zh-CN"/>
        </w:rPr>
        <w:t>综合以上检测及验算分析结果，综合判定四川绵竹市盘龙矿物质有限责任公司磷矿库钢结构雨棚建设项目出现屋架</w:t>
      </w:r>
      <w:r>
        <w:rPr>
          <w:rFonts w:hint="eastAsia" w:ascii="Times New Roman" w:hAnsi="Times New Roman" w:eastAsia="方正仿宋简体" w:cs="Times New Roman"/>
          <w:color w:val="auto"/>
          <w:sz w:val="32"/>
          <w:szCs w:val="32"/>
          <w:lang w:val="en-US" w:eastAsia="zh-CN"/>
        </w:rPr>
        <w:t>垮塌</w:t>
      </w:r>
      <w:r>
        <w:rPr>
          <w:rFonts w:hint="default" w:ascii="Times New Roman" w:hAnsi="Times New Roman" w:eastAsia="方正仿宋简体" w:cs="Times New Roman"/>
          <w:color w:val="auto"/>
          <w:sz w:val="32"/>
          <w:szCs w:val="32"/>
          <w:lang w:val="en-US" w:eastAsia="zh-CN"/>
        </w:rPr>
        <w:t>坠落</w:t>
      </w:r>
      <w:r>
        <w:rPr>
          <w:rFonts w:hint="eastAsia" w:ascii="Times New Roman" w:hAnsi="Times New Roman" w:eastAsia="方正仿宋简体" w:cs="Times New Roman"/>
          <w:color w:val="auto"/>
          <w:sz w:val="32"/>
          <w:szCs w:val="32"/>
          <w:lang w:val="en-US" w:eastAsia="zh-CN"/>
        </w:rPr>
        <w:t>的</w:t>
      </w:r>
      <w:r>
        <w:rPr>
          <w:rFonts w:hint="default" w:ascii="Times New Roman" w:hAnsi="Times New Roman" w:eastAsia="方正仿宋简体" w:cs="Times New Roman"/>
          <w:color w:val="auto"/>
          <w:sz w:val="32"/>
          <w:szCs w:val="32"/>
          <w:u w:val="none"/>
          <w:lang w:val="en-US" w:eastAsia="zh-CN"/>
        </w:rPr>
        <w:t>原因为</w:t>
      </w:r>
      <w:r>
        <w:rPr>
          <w:rFonts w:hint="default" w:ascii="Times New Roman" w:hAnsi="Times New Roman" w:eastAsia="方正仿宋简体" w:cs="Times New Roman"/>
          <w:color w:val="auto"/>
          <w:sz w:val="32"/>
          <w:szCs w:val="32"/>
          <w:lang w:val="en-US" w:eastAsia="zh-CN"/>
        </w:rPr>
        <w:t>施工安装檩条时荷载产生桁架轴力，同时屋架上弦桁架设置的系杆、支撑设置不足导致桁架平面外计算长度过大，上弦平面外长细比超规范规定，桁架出现失稳</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桁架与下弦拉杆、钢柱柱脚与预埋件均存在焊缝不满足《钢结构工程施工质量验收标</w:t>
      </w:r>
    </w:p>
    <w:p w14:paraId="04C395E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方正仿宋简体" w:cs="Times New Roman"/>
          <w:color w:val="auto"/>
          <w:sz w:val="32"/>
          <w:szCs w:val="32"/>
          <w:lang w:val="en-US" w:eastAsia="zh-CN"/>
        </w:rPr>
      </w:pPr>
      <w:r>
        <w:rPr>
          <w:rFonts w:hint="default" w:ascii="Times New Roman" w:hAnsi="Times New Roman" w:eastAsia="方正仿宋简体" w:cs="Times New Roman"/>
          <w:color w:val="auto"/>
          <w:sz w:val="32"/>
          <w:szCs w:val="32"/>
          <w:lang w:val="en-US" w:eastAsia="zh-CN"/>
        </w:rPr>
        <w:t>准》GB50205-2020中5.2.7表的规定，桁架坠落时，焊缝强度不足导致节点破坏，钢柱和屋架出现坠落</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导致事故发生</w:t>
      </w:r>
      <w:r>
        <w:rPr>
          <w:rFonts w:hint="eastAsia" w:ascii="Times New Roman" w:hAnsi="Times New Roman" w:eastAsia="方正仿宋简体" w:cs="Times New Roman"/>
          <w:color w:val="auto"/>
          <w:sz w:val="32"/>
          <w:szCs w:val="32"/>
          <w:lang w:val="en-US" w:eastAsia="zh-CN"/>
        </w:rPr>
        <w:t>。</w:t>
      </w:r>
    </w:p>
    <w:p w14:paraId="749C9E1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简体" w:cs="Times New Roman"/>
          <w:color w:val="auto"/>
          <w:sz w:val="32"/>
          <w:szCs w:val="32"/>
          <w:lang w:val="en-US" w:eastAsia="zh-CN"/>
        </w:rPr>
      </w:pPr>
      <w:r>
        <w:rPr>
          <w:rFonts w:hint="eastAsia" w:ascii="宋体" w:hAnsi="宋体" w:eastAsia="宋体" w:cs="宋体"/>
          <w:color w:val="auto"/>
          <w:sz w:val="21"/>
          <w:szCs w:val="21"/>
          <w:lang w:val="en-US" w:eastAsia="zh-CN"/>
        </w:rPr>
        <w:drawing>
          <wp:anchor distT="0" distB="0" distL="114300" distR="114300" simplePos="0" relativeHeight="251662336" behindDoc="0" locked="0" layoutInCell="1" allowOverlap="1">
            <wp:simplePos x="0" y="0"/>
            <wp:positionH relativeFrom="column">
              <wp:posOffset>1174750</wp:posOffset>
            </wp:positionH>
            <wp:positionV relativeFrom="page">
              <wp:posOffset>7526655</wp:posOffset>
            </wp:positionV>
            <wp:extent cx="3051175" cy="993775"/>
            <wp:effectExtent l="0" t="0" r="15875" b="15875"/>
            <wp:wrapTopAndBottom/>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4"/>
                    <a:stretch>
                      <a:fillRect/>
                    </a:stretch>
                  </pic:blipFill>
                  <pic:spPr>
                    <a:xfrm>
                      <a:off x="0" y="0"/>
                      <a:ext cx="3051175" cy="993775"/>
                    </a:xfrm>
                    <a:prstGeom prst="rect">
                      <a:avLst/>
                    </a:prstGeom>
                    <a:noFill/>
                    <a:ln>
                      <a:noFill/>
                    </a:ln>
                  </pic:spPr>
                </pic:pic>
              </a:graphicData>
            </a:graphic>
          </wp:anchor>
        </w:drawing>
      </w:r>
      <w:r>
        <w:rPr>
          <w:rFonts w:hint="eastAsia" w:ascii="宋体" w:hAnsi="宋体" w:eastAsia="宋体" w:cs="宋体"/>
          <w:color w:val="auto"/>
          <w:sz w:val="21"/>
          <w:szCs w:val="21"/>
          <w:lang w:val="en-US" w:eastAsia="zh-CN"/>
        </w:rPr>
        <w:drawing>
          <wp:anchor distT="0" distB="0" distL="114300" distR="114300" simplePos="0" relativeHeight="251660288" behindDoc="0" locked="0" layoutInCell="1" allowOverlap="1">
            <wp:simplePos x="0" y="0"/>
            <wp:positionH relativeFrom="column">
              <wp:posOffset>1136015</wp:posOffset>
            </wp:positionH>
            <wp:positionV relativeFrom="page">
              <wp:posOffset>4526915</wp:posOffset>
            </wp:positionV>
            <wp:extent cx="3055620" cy="2982595"/>
            <wp:effectExtent l="0" t="0" r="11430" b="8255"/>
            <wp:wrapTopAndBottom/>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5"/>
                    <a:stretch>
                      <a:fillRect/>
                    </a:stretch>
                  </pic:blipFill>
                  <pic:spPr>
                    <a:xfrm>
                      <a:off x="0" y="0"/>
                      <a:ext cx="3055620" cy="2982595"/>
                    </a:xfrm>
                    <a:prstGeom prst="rect">
                      <a:avLst/>
                    </a:prstGeom>
                    <a:noFill/>
                    <a:ln>
                      <a:noFill/>
                    </a:ln>
                  </pic:spPr>
                </pic:pic>
              </a:graphicData>
            </a:graphic>
          </wp:anchor>
        </w:drawing>
      </w:r>
      <w:r>
        <w:rPr>
          <w:rFonts w:hint="eastAsia" w:ascii="宋体" w:hAnsi="宋体" w:eastAsia="宋体" w:cs="宋体"/>
          <w:color w:val="auto"/>
          <w:sz w:val="21"/>
          <w:szCs w:val="21"/>
          <w:lang w:val="en-US" w:eastAsia="zh-CN"/>
        </w:rPr>
        <w:drawing>
          <wp:anchor distT="0" distB="0" distL="114300" distR="114300" simplePos="0" relativeHeight="251661312" behindDoc="0" locked="0" layoutInCell="1" allowOverlap="1">
            <wp:simplePos x="0" y="0"/>
            <wp:positionH relativeFrom="column">
              <wp:posOffset>1130300</wp:posOffset>
            </wp:positionH>
            <wp:positionV relativeFrom="page">
              <wp:posOffset>1813560</wp:posOffset>
            </wp:positionV>
            <wp:extent cx="3148330" cy="2821940"/>
            <wp:effectExtent l="0" t="0" r="13970" b="16510"/>
            <wp:wrapTopAndBottom/>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6"/>
                    <a:stretch>
                      <a:fillRect/>
                    </a:stretch>
                  </pic:blipFill>
                  <pic:spPr>
                    <a:xfrm>
                      <a:off x="0" y="0"/>
                      <a:ext cx="3148330" cy="2821940"/>
                    </a:xfrm>
                    <a:prstGeom prst="rect">
                      <a:avLst/>
                    </a:prstGeom>
                    <a:noFill/>
                    <a:ln>
                      <a:noFill/>
                    </a:ln>
                  </pic:spPr>
                </pic:pic>
              </a:graphicData>
            </a:graphic>
          </wp:anchor>
        </w:drawing>
      </w:r>
      <w:r>
        <w:rPr>
          <w:rFonts w:hint="eastAsia" w:ascii="宋体" w:hAnsi="宋体" w:eastAsia="宋体" w:cs="宋体"/>
          <w:color w:val="auto"/>
          <w:sz w:val="21"/>
          <w:szCs w:val="21"/>
          <w:lang w:val="en-US" w:eastAsia="zh-CN"/>
        </w:rPr>
        <w:t>《钢结构工程施工质量验收标准》GB50205-2020 5.2.7焊接外观质量应符合表5.2.7-1和表5.2.7-2的</w:t>
      </w:r>
      <w:bookmarkStart w:id="36" w:name="_Toc26551"/>
      <w:bookmarkStart w:id="37" w:name="_Toc1948"/>
      <w:r>
        <w:rPr>
          <w:rFonts w:hint="eastAsia" w:ascii="宋体" w:hAnsi="宋体" w:eastAsia="宋体" w:cs="宋体"/>
          <w:color w:val="auto"/>
          <w:sz w:val="21"/>
          <w:szCs w:val="21"/>
          <w:lang w:val="en-US" w:eastAsia="zh-CN"/>
        </w:rPr>
        <w:t>规定</w:t>
      </w:r>
      <w:bookmarkEnd w:id="36"/>
      <w:bookmarkEnd w:id="37"/>
    </w:p>
    <w:p w14:paraId="4FA4A1D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default"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（六）</w:t>
      </w:r>
      <w:r>
        <w:rPr>
          <w:rFonts w:hint="default" w:ascii="方正楷体简体" w:hAnsi="方正楷体简体" w:eastAsia="方正楷体简体" w:cs="方正楷体简体"/>
          <w:color w:val="auto"/>
          <w:sz w:val="32"/>
          <w:szCs w:val="32"/>
          <w:lang w:val="en-US" w:eastAsia="zh-CN"/>
        </w:rPr>
        <w:t>人员伤亡直接经济损失情况</w:t>
      </w:r>
    </w:p>
    <w:p w14:paraId="2796B45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事故共造成1人死亡、2人受伤，直接经济损失为280万元人民币，死伤者情况详细见表1。</w:t>
      </w:r>
    </w:p>
    <w:p w14:paraId="3DFF562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color w:val="auto"/>
          <w:sz w:val="32"/>
          <w:szCs w:val="32"/>
          <w:lang w:val="en-US" w:eastAsia="zh-CN"/>
        </w:rPr>
      </w:pPr>
      <w:r>
        <w:rPr>
          <w:rFonts w:hint="eastAsia" w:ascii="黑体" w:hAnsi="黑体" w:eastAsia="黑体" w:cs="黑体"/>
          <w:color w:val="auto"/>
          <w:sz w:val="24"/>
          <w:szCs w:val="24"/>
          <w:lang w:val="en-US" w:eastAsia="zh-CN"/>
        </w:rPr>
        <w:t>表1：什邡新杰钢结构安装有限公司“1·30”一般高处坠落事故伤亡人员基本情况表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888"/>
        <w:gridCol w:w="712"/>
        <w:gridCol w:w="1100"/>
        <w:gridCol w:w="3550"/>
        <w:gridCol w:w="1350"/>
        <w:gridCol w:w="1000"/>
      </w:tblGrid>
      <w:tr w14:paraId="7D81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88" w:type="dxa"/>
            <w:vAlign w:val="center"/>
          </w:tcPr>
          <w:p w14:paraId="7FED706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序号</w:t>
            </w:r>
          </w:p>
        </w:tc>
        <w:tc>
          <w:tcPr>
            <w:tcW w:w="888" w:type="dxa"/>
            <w:vAlign w:val="center"/>
          </w:tcPr>
          <w:p w14:paraId="5724CF7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姓名</w:t>
            </w:r>
          </w:p>
        </w:tc>
        <w:tc>
          <w:tcPr>
            <w:tcW w:w="712" w:type="dxa"/>
            <w:vAlign w:val="center"/>
          </w:tcPr>
          <w:p w14:paraId="634281E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性别</w:t>
            </w:r>
          </w:p>
        </w:tc>
        <w:tc>
          <w:tcPr>
            <w:tcW w:w="1100" w:type="dxa"/>
            <w:vAlign w:val="center"/>
          </w:tcPr>
          <w:p w14:paraId="77853F0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年龄（岁）</w:t>
            </w:r>
          </w:p>
        </w:tc>
        <w:tc>
          <w:tcPr>
            <w:tcW w:w="3550" w:type="dxa"/>
            <w:vAlign w:val="center"/>
          </w:tcPr>
          <w:p w14:paraId="48A57E2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身份证号码/家庭住址</w:t>
            </w:r>
          </w:p>
        </w:tc>
        <w:tc>
          <w:tcPr>
            <w:tcW w:w="1350" w:type="dxa"/>
            <w:vAlign w:val="center"/>
          </w:tcPr>
          <w:p w14:paraId="25049A0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受伤害情况</w:t>
            </w:r>
          </w:p>
        </w:tc>
        <w:tc>
          <w:tcPr>
            <w:tcW w:w="1000" w:type="dxa"/>
            <w:vAlign w:val="center"/>
          </w:tcPr>
          <w:p w14:paraId="7A7EF40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备注</w:t>
            </w:r>
          </w:p>
        </w:tc>
      </w:tr>
      <w:tr w14:paraId="63206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4524A13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简体" w:cs="Times New Roman"/>
                <w:color w:val="auto"/>
                <w:sz w:val="21"/>
                <w:szCs w:val="21"/>
                <w:vertAlign w:val="baseline"/>
                <w:lang w:val="en-US" w:eastAsia="zh-CN"/>
              </w:rPr>
            </w:pPr>
            <w:r>
              <w:rPr>
                <w:rFonts w:hint="default" w:ascii="Times New Roman" w:hAnsi="Times New Roman" w:eastAsia="方正仿宋简体" w:cs="Times New Roman"/>
                <w:color w:val="auto"/>
                <w:sz w:val="21"/>
                <w:szCs w:val="21"/>
                <w:vertAlign w:val="baseline"/>
                <w:lang w:val="en-US" w:eastAsia="zh-CN"/>
              </w:rPr>
              <w:t>1</w:t>
            </w:r>
          </w:p>
        </w:tc>
        <w:tc>
          <w:tcPr>
            <w:tcW w:w="888" w:type="dxa"/>
            <w:vAlign w:val="center"/>
          </w:tcPr>
          <w:p w14:paraId="3FCEC30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简体" w:cs="Times New Roman"/>
                <w:color w:val="auto"/>
                <w:sz w:val="21"/>
                <w:szCs w:val="21"/>
                <w:vertAlign w:val="baseline"/>
                <w:lang w:val="en-US" w:eastAsia="zh-CN"/>
              </w:rPr>
            </w:pPr>
            <w:r>
              <w:rPr>
                <w:rFonts w:hint="default" w:ascii="Times New Roman" w:hAnsi="Times New Roman" w:eastAsia="方正仿宋简体" w:cs="Times New Roman"/>
                <w:color w:val="auto"/>
                <w:sz w:val="21"/>
                <w:szCs w:val="21"/>
                <w:lang w:val="en-US" w:eastAsia="zh-CN"/>
              </w:rPr>
              <w:t>罗</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21"/>
                <w:szCs w:val="21"/>
                <w:lang w:val="en-US" w:eastAsia="zh-CN"/>
              </w:rPr>
              <w:t>志</w:t>
            </w:r>
          </w:p>
        </w:tc>
        <w:tc>
          <w:tcPr>
            <w:tcW w:w="712" w:type="dxa"/>
            <w:vAlign w:val="center"/>
          </w:tcPr>
          <w:p w14:paraId="663F974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简体" w:cs="Times New Roman"/>
                <w:color w:val="auto"/>
                <w:sz w:val="21"/>
                <w:szCs w:val="21"/>
                <w:vertAlign w:val="baseline"/>
                <w:lang w:val="en-US" w:eastAsia="zh-CN"/>
              </w:rPr>
            </w:pPr>
            <w:r>
              <w:rPr>
                <w:rFonts w:hint="default" w:ascii="Times New Roman" w:hAnsi="Times New Roman" w:eastAsia="方正仿宋简体" w:cs="Times New Roman"/>
                <w:color w:val="auto"/>
                <w:sz w:val="21"/>
                <w:szCs w:val="21"/>
                <w:lang w:val="en-US" w:eastAsia="zh-CN"/>
              </w:rPr>
              <w:t>男</w:t>
            </w:r>
          </w:p>
        </w:tc>
        <w:tc>
          <w:tcPr>
            <w:tcW w:w="1100" w:type="dxa"/>
            <w:vAlign w:val="center"/>
          </w:tcPr>
          <w:p w14:paraId="67F5F8F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简体" w:cs="Times New Roman"/>
                <w:color w:val="auto"/>
                <w:sz w:val="21"/>
                <w:szCs w:val="21"/>
                <w:vertAlign w:val="baseline"/>
                <w:lang w:val="en-US" w:eastAsia="zh-CN"/>
              </w:rPr>
            </w:pPr>
            <w:r>
              <w:rPr>
                <w:rFonts w:hint="default" w:ascii="Times New Roman" w:hAnsi="Times New Roman" w:eastAsia="方正仿宋简体" w:cs="Times New Roman"/>
                <w:color w:val="auto"/>
                <w:sz w:val="21"/>
                <w:szCs w:val="21"/>
                <w:lang w:val="en-US" w:eastAsia="zh-CN"/>
              </w:rPr>
              <w:t>47</w:t>
            </w:r>
          </w:p>
        </w:tc>
        <w:tc>
          <w:tcPr>
            <w:tcW w:w="3550" w:type="dxa"/>
            <w:vAlign w:val="center"/>
          </w:tcPr>
          <w:p w14:paraId="6A1FFBB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简体" w:cs="Times New Roman"/>
                <w:color w:val="auto"/>
                <w:sz w:val="21"/>
                <w:szCs w:val="21"/>
                <w:vertAlign w:val="baseline"/>
                <w:lang w:val="en-US" w:eastAsia="zh-CN"/>
              </w:rPr>
            </w:pPr>
            <w:r>
              <w:rPr>
                <w:rFonts w:hint="default" w:ascii="Times New Roman" w:hAnsi="Times New Roman" w:eastAsia="方正仿宋简体" w:cs="Times New Roman"/>
                <w:color w:val="auto"/>
                <w:sz w:val="21"/>
                <w:szCs w:val="21"/>
                <w:lang w:val="en-US" w:eastAsia="zh-CN"/>
              </w:rPr>
              <w:t>510902</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21"/>
                <w:szCs w:val="21"/>
                <w:lang w:val="en-US" w:eastAsia="zh-CN"/>
              </w:rPr>
              <w:t>4878/绵竹市广济镇火烧埝社区1组24号</w:t>
            </w:r>
          </w:p>
        </w:tc>
        <w:tc>
          <w:tcPr>
            <w:tcW w:w="1350" w:type="dxa"/>
            <w:vAlign w:val="center"/>
          </w:tcPr>
          <w:p w14:paraId="1B5D6ED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简体" w:cs="Times New Roman"/>
                <w:color w:val="auto"/>
                <w:sz w:val="21"/>
                <w:szCs w:val="21"/>
                <w:vertAlign w:val="baseline"/>
                <w:lang w:val="en-US" w:eastAsia="zh-CN"/>
              </w:rPr>
            </w:pPr>
            <w:r>
              <w:rPr>
                <w:rFonts w:hint="default" w:ascii="Times New Roman" w:hAnsi="Times New Roman" w:eastAsia="方正仿宋简体" w:cs="Times New Roman"/>
                <w:color w:val="auto"/>
                <w:sz w:val="21"/>
                <w:szCs w:val="21"/>
                <w:lang w:val="en-US" w:eastAsia="zh-CN"/>
              </w:rPr>
              <w:t>受伤</w:t>
            </w:r>
          </w:p>
        </w:tc>
        <w:tc>
          <w:tcPr>
            <w:tcW w:w="1000" w:type="dxa"/>
            <w:vAlign w:val="center"/>
          </w:tcPr>
          <w:p w14:paraId="4DCA689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简体" w:cs="Times New Roman"/>
                <w:color w:val="auto"/>
                <w:sz w:val="21"/>
                <w:szCs w:val="21"/>
                <w:vertAlign w:val="baseline"/>
                <w:lang w:val="en-US" w:eastAsia="zh-CN"/>
              </w:rPr>
            </w:pPr>
            <w:r>
              <w:rPr>
                <w:rFonts w:hint="eastAsia" w:ascii="Times New Roman" w:hAnsi="Times New Roman" w:eastAsia="方正仿宋简体" w:cs="Times New Roman"/>
                <w:color w:val="auto"/>
                <w:sz w:val="21"/>
                <w:szCs w:val="21"/>
                <w:vertAlign w:val="baseline"/>
                <w:lang w:val="en-US" w:eastAsia="zh-CN"/>
              </w:rPr>
              <w:t>电焊工</w:t>
            </w:r>
          </w:p>
        </w:tc>
      </w:tr>
      <w:tr w14:paraId="6C86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3B63E1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简体" w:cs="Times New Roman"/>
                <w:color w:val="auto"/>
                <w:sz w:val="21"/>
                <w:szCs w:val="21"/>
                <w:vertAlign w:val="baseline"/>
                <w:lang w:val="en-US" w:eastAsia="zh-CN"/>
              </w:rPr>
            </w:pPr>
            <w:r>
              <w:rPr>
                <w:rFonts w:hint="default" w:ascii="Times New Roman" w:hAnsi="Times New Roman" w:eastAsia="方正仿宋简体" w:cs="Times New Roman"/>
                <w:color w:val="auto"/>
                <w:sz w:val="21"/>
                <w:szCs w:val="21"/>
                <w:vertAlign w:val="baseline"/>
                <w:lang w:val="en-US" w:eastAsia="zh-CN"/>
              </w:rPr>
              <w:t>2</w:t>
            </w:r>
          </w:p>
        </w:tc>
        <w:tc>
          <w:tcPr>
            <w:tcW w:w="888" w:type="dxa"/>
            <w:vAlign w:val="center"/>
          </w:tcPr>
          <w:p w14:paraId="22F9BBE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简体" w:cs="Times New Roman"/>
                <w:color w:val="auto"/>
                <w:sz w:val="21"/>
                <w:szCs w:val="21"/>
                <w:vertAlign w:val="baseline"/>
                <w:lang w:val="en-US" w:eastAsia="zh-CN"/>
              </w:rPr>
            </w:pPr>
            <w:r>
              <w:rPr>
                <w:rFonts w:hint="default" w:ascii="Times New Roman" w:hAnsi="Times New Roman" w:eastAsia="方正仿宋简体" w:cs="Times New Roman"/>
                <w:color w:val="auto"/>
                <w:sz w:val="21"/>
                <w:szCs w:val="21"/>
                <w:lang w:val="en-US" w:eastAsia="zh-CN"/>
              </w:rPr>
              <w:t>王</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21"/>
                <w:szCs w:val="21"/>
                <w:lang w:val="en-US" w:eastAsia="zh-CN"/>
              </w:rPr>
              <w:t>富</w:t>
            </w:r>
          </w:p>
        </w:tc>
        <w:tc>
          <w:tcPr>
            <w:tcW w:w="712" w:type="dxa"/>
            <w:vAlign w:val="center"/>
          </w:tcPr>
          <w:p w14:paraId="3BC884A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简体" w:cs="Times New Roman"/>
                <w:color w:val="auto"/>
                <w:sz w:val="21"/>
                <w:szCs w:val="21"/>
                <w:vertAlign w:val="baseline"/>
                <w:lang w:val="en-US" w:eastAsia="zh-CN"/>
              </w:rPr>
            </w:pPr>
            <w:r>
              <w:rPr>
                <w:rFonts w:hint="default" w:ascii="Times New Roman" w:hAnsi="Times New Roman" w:eastAsia="方正仿宋简体" w:cs="Times New Roman"/>
                <w:color w:val="auto"/>
                <w:sz w:val="21"/>
                <w:szCs w:val="21"/>
                <w:lang w:val="en-US" w:eastAsia="zh-CN"/>
              </w:rPr>
              <w:t>男</w:t>
            </w:r>
          </w:p>
        </w:tc>
        <w:tc>
          <w:tcPr>
            <w:tcW w:w="1100" w:type="dxa"/>
            <w:vAlign w:val="center"/>
          </w:tcPr>
          <w:p w14:paraId="59A838A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简体" w:cs="Times New Roman"/>
                <w:color w:val="auto"/>
                <w:sz w:val="21"/>
                <w:szCs w:val="21"/>
                <w:vertAlign w:val="baseline"/>
                <w:lang w:val="en-US" w:eastAsia="zh-CN"/>
              </w:rPr>
            </w:pPr>
            <w:r>
              <w:rPr>
                <w:rFonts w:hint="default" w:ascii="Times New Roman" w:hAnsi="Times New Roman" w:eastAsia="方正仿宋简体" w:cs="Times New Roman"/>
                <w:color w:val="auto"/>
                <w:sz w:val="21"/>
                <w:szCs w:val="21"/>
                <w:lang w:val="en-US" w:eastAsia="zh-CN"/>
              </w:rPr>
              <w:t>50</w:t>
            </w:r>
          </w:p>
        </w:tc>
        <w:tc>
          <w:tcPr>
            <w:tcW w:w="3550" w:type="dxa"/>
            <w:vAlign w:val="center"/>
          </w:tcPr>
          <w:p w14:paraId="052FA60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简体" w:cs="Times New Roman"/>
                <w:color w:val="auto"/>
                <w:sz w:val="21"/>
                <w:szCs w:val="21"/>
                <w:vertAlign w:val="baseline"/>
                <w:lang w:val="en-US" w:eastAsia="zh-CN"/>
              </w:rPr>
            </w:pPr>
            <w:r>
              <w:rPr>
                <w:rFonts w:hint="default" w:ascii="Times New Roman" w:hAnsi="Times New Roman" w:eastAsia="方正仿宋简体" w:cs="Times New Roman"/>
                <w:color w:val="auto"/>
                <w:sz w:val="21"/>
                <w:szCs w:val="21"/>
                <w:lang w:val="en-US" w:eastAsia="zh-CN"/>
              </w:rPr>
              <w:t>510625</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21"/>
                <w:szCs w:val="21"/>
                <w:lang w:val="en-US" w:eastAsia="zh-CN"/>
              </w:rPr>
              <w:t>3219/什邡市马祖镇深圳大道1号10栋2单元4楼1号</w:t>
            </w:r>
          </w:p>
        </w:tc>
        <w:tc>
          <w:tcPr>
            <w:tcW w:w="1350" w:type="dxa"/>
            <w:vAlign w:val="center"/>
          </w:tcPr>
          <w:p w14:paraId="6943778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简体" w:cs="Times New Roman"/>
                <w:color w:val="auto"/>
                <w:sz w:val="21"/>
                <w:szCs w:val="21"/>
                <w:vertAlign w:val="baseline"/>
                <w:lang w:val="en-US" w:eastAsia="zh-CN"/>
              </w:rPr>
            </w:pPr>
            <w:r>
              <w:rPr>
                <w:rFonts w:hint="default" w:ascii="Times New Roman" w:hAnsi="Times New Roman" w:eastAsia="方正仿宋简体" w:cs="Times New Roman"/>
                <w:color w:val="auto"/>
                <w:sz w:val="21"/>
                <w:szCs w:val="21"/>
                <w:lang w:val="en-US" w:eastAsia="zh-CN"/>
              </w:rPr>
              <w:t>受伤</w:t>
            </w:r>
          </w:p>
        </w:tc>
        <w:tc>
          <w:tcPr>
            <w:tcW w:w="1000" w:type="dxa"/>
            <w:vAlign w:val="center"/>
          </w:tcPr>
          <w:p w14:paraId="292BEC8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简体" w:cs="Times New Roman"/>
                <w:color w:val="auto"/>
                <w:sz w:val="21"/>
                <w:szCs w:val="21"/>
                <w:vertAlign w:val="baseline"/>
                <w:lang w:val="en-US" w:eastAsia="zh-CN"/>
              </w:rPr>
            </w:pPr>
            <w:r>
              <w:rPr>
                <w:rFonts w:hint="eastAsia" w:ascii="Times New Roman" w:hAnsi="Times New Roman" w:eastAsia="方正仿宋简体" w:cs="Times New Roman"/>
                <w:color w:val="auto"/>
                <w:sz w:val="21"/>
                <w:szCs w:val="21"/>
                <w:vertAlign w:val="baseline"/>
                <w:lang w:val="en-US" w:eastAsia="zh-CN"/>
              </w:rPr>
              <w:t>电焊工</w:t>
            </w:r>
          </w:p>
        </w:tc>
      </w:tr>
      <w:tr w14:paraId="1836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Align w:val="center"/>
          </w:tcPr>
          <w:p w14:paraId="7A758E7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简体" w:cs="Times New Roman"/>
                <w:color w:val="auto"/>
                <w:sz w:val="21"/>
                <w:szCs w:val="21"/>
                <w:vertAlign w:val="baseline"/>
                <w:lang w:val="en-US" w:eastAsia="zh-CN"/>
              </w:rPr>
            </w:pPr>
            <w:r>
              <w:rPr>
                <w:rFonts w:hint="default" w:ascii="Times New Roman" w:hAnsi="Times New Roman" w:eastAsia="方正仿宋简体" w:cs="Times New Roman"/>
                <w:color w:val="auto"/>
                <w:sz w:val="21"/>
                <w:szCs w:val="21"/>
                <w:vertAlign w:val="baseline"/>
                <w:lang w:val="en-US" w:eastAsia="zh-CN"/>
              </w:rPr>
              <w:t>3</w:t>
            </w:r>
          </w:p>
        </w:tc>
        <w:tc>
          <w:tcPr>
            <w:tcW w:w="888" w:type="dxa"/>
            <w:vAlign w:val="center"/>
          </w:tcPr>
          <w:p w14:paraId="3A087CB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简体" w:cs="Times New Roman"/>
                <w:color w:val="auto"/>
                <w:sz w:val="21"/>
                <w:szCs w:val="21"/>
                <w:vertAlign w:val="baseline"/>
                <w:lang w:val="en-US" w:eastAsia="zh-CN"/>
              </w:rPr>
            </w:pPr>
            <w:r>
              <w:rPr>
                <w:rFonts w:hint="default" w:ascii="Times New Roman" w:hAnsi="Times New Roman" w:eastAsia="方正仿宋简体" w:cs="Times New Roman"/>
                <w:color w:val="auto"/>
                <w:sz w:val="21"/>
                <w:szCs w:val="21"/>
                <w:lang w:val="en-US" w:eastAsia="zh-CN"/>
              </w:rPr>
              <w:t>李</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21"/>
                <w:szCs w:val="21"/>
                <w:lang w:val="en-US" w:eastAsia="zh-CN"/>
              </w:rPr>
              <w:t>勇</w:t>
            </w:r>
          </w:p>
        </w:tc>
        <w:tc>
          <w:tcPr>
            <w:tcW w:w="712" w:type="dxa"/>
            <w:vAlign w:val="center"/>
          </w:tcPr>
          <w:p w14:paraId="452DD43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简体" w:cs="Times New Roman"/>
                <w:color w:val="auto"/>
                <w:sz w:val="21"/>
                <w:szCs w:val="21"/>
                <w:vertAlign w:val="baseline"/>
                <w:lang w:val="en-US" w:eastAsia="zh-CN"/>
              </w:rPr>
            </w:pPr>
            <w:r>
              <w:rPr>
                <w:rFonts w:hint="default" w:ascii="Times New Roman" w:hAnsi="Times New Roman" w:eastAsia="方正仿宋简体" w:cs="Times New Roman"/>
                <w:color w:val="auto"/>
                <w:sz w:val="21"/>
                <w:szCs w:val="21"/>
                <w:lang w:val="en-US" w:eastAsia="zh-CN"/>
              </w:rPr>
              <w:t>男</w:t>
            </w:r>
          </w:p>
        </w:tc>
        <w:tc>
          <w:tcPr>
            <w:tcW w:w="1100" w:type="dxa"/>
            <w:vAlign w:val="center"/>
          </w:tcPr>
          <w:p w14:paraId="4324771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简体" w:cs="Times New Roman"/>
                <w:color w:val="auto"/>
                <w:sz w:val="21"/>
                <w:szCs w:val="21"/>
                <w:vertAlign w:val="baseline"/>
                <w:lang w:val="en-US" w:eastAsia="zh-CN"/>
              </w:rPr>
            </w:pPr>
            <w:r>
              <w:rPr>
                <w:rFonts w:hint="default" w:ascii="Times New Roman" w:hAnsi="Times New Roman" w:eastAsia="方正仿宋简体" w:cs="Times New Roman"/>
                <w:color w:val="auto"/>
                <w:sz w:val="21"/>
                <w:szCs w:val="21"/>
                <w:lang w:val="en-US" w:eastAsia="zh-CN"/>
              </w:rPr>
              <w:t>53</w:t>
            </w:r>
          </w:p>
        </w:tc>
        <w:tc>
          <w:tcPr>
            <w:tcW w:w="3550" w:type="dxa"/>
            <w:vAlign w:val="center"/>
          </w:tcPr>
          <w:p w14:paraId="2F01E779">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方正仿宋简体" w:cs="Times New Roman"/>
                <w:color w:val="auto"/>
                <w:sz w:val="21"/>
                <w:szCs w:val="21"/>
                <w:vertAlign w:val="baseline"/>
                <w:lang w:val="en-US" w:eastAsia="zh-CN"/>
              </w:rPr>
            </w:pPr>
            <w:r>
              <w:rPr>
                <w:rFonts w:hint="default" w:ascii="Times New Roman" w:hAnsi="Times New Roman" w:eastAsia="方正仿宋简体" w:cs="Times New Roman"/>
                <w:color w:val="auto"/>
                <w:sz w:val="21"/>
                <w:szCs w:val="21"/>
                <w:lang w:val="en-US" w:eastAsia="zh-CN"/>
              </w:rPr>
              <w:t>510625</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21"/>
                <w:szCs w:val="21"/>
                <w:lang w:val="en-US" w:eastAsia="zh-CN"/>
              </w:rPr>
              <w:t>3193/什邡市马祖镇复兴村2组29号</w:t>
            </w:r>
          </w:p>
        </w:tc>
        <w:tc>
          <w:tcPr>
            <w:tcW w:w="1350" w:type="dxa"/>
            <w:vAlign w:val="center"/>
          </w:tcPr>
          <w:p w14:paraId="4B5790F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简体" w:cs="Times New Roman"/>
                <w:color w:val="auto"/>
                <w:sz w:val="21"/>
                <w:szCs w:val="21"/>
                <w:vertAlign w:val="baseline"/>
                <w:lang w:val="en-US" w:eastAsia="zh-CN"/>
              </w:rPr>
            </w:pPr>
            <w:r>
              <w:rPr>
                <w:rFonts w:hint="default" w:ascii="Times New Roman" w:hAnsi="Times New Roman" w:eastAsia="方正仿宋简体" w:cs="Times New Roman"/>
                <w:color w:val="auto"/>
                <w:sz w:val="21"/>
                <w:szCs w:val="21"/>
                <w:vertAlign w:val="baseline"/>
                <w:lang w:val="en-US" w:eastAsia="zh-CN"/>
              </w:rPr>
              <w:t>死亡</w:t>
            </w:r>
          </w:p>
        </w:tc>
        <w:tc>
          <w:tcPr>
            <w:tcW w:w="1000" w:type="dxa"/>
            <w:vAlign w:val="center"/>
          </w:tcPr>
          <w:p w14:paraId="0199567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简体" w:cs="Times New Roman"/>
                <w:color w:val="auto"/>
                <w:sz w:val="21"/>
                <w:szCs w:val="21"/>
                <w:vertAlign w:val="baseline"/>
                <w:lang w:val="en-US" w:eastAsia="zh-CN"/>
              </w:rPr>
            </w:pPr>
            <w:r>
              <w:rPr>
                <w:rFonts w:hint="eastAsia" w:ascii="Times New Roman" w:hAnsi="Times New Roman" w:eastAsia="方正仿宋简体" w:cs="Times New Roman"/>
                <w:color w:val="auto"/>
                <w:sz w:val="21"/>
                <w:szCs w:val="21"/>
                <w:vertAlign w:val="baseline"/>
                <w:lang w:val="en-US" w:eastAsia="zh-CN"/>
              </w:rPr>
              <w:t>电焊工</w:t>
            </w:r>
          </w:p>
        </w:tc>
      </w:tr>
    </w:tbl>
    <w:p w14:paraId="110D81F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color w:val="auto"/>
          <w:sz w:val="32"/>
          <w:szCs w:val="32"/>
          <w:lang w:val="en-US" w:eastAsia="zh-CN"/>
        </w:rPr>
      </w:pPr>
      <w:bookmarkStart w:id="38" w:name="_Toc8209"/>
      <w:r>
        <w:rPr>
          <w:rFonts w:hint="eastAsia" w:ascii="黑体" w:hAnsi="黑体" w:eastAsia="黑体" w:cs="黑体"/>
          <w:color w:val="auto"/>
          <w:sz w:val="32"/>
          <w:szCs w:val="32"/>
          <w:lang w:val="en-US" w:eastAsia="zh-CN"/>
        </w:rPr>
        <w:t>二、事故应急处置及评估情况</w:t>
      </w:r>
      <w:bookmarkEnd w:id="38"/>
    </w:p>
    <w:p w14:paraId="036856C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（一）事故现场应急处置情况</w:t>
      </w:r>
    </w:p>
    <w:p w14:paraId="743DDB7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color w:val="auto"/>
          <w:sz w:val="32"/>
          <w:szCs w:val="32"/>
          <w:lang w:val="en-US" w:eastAsia="zh-CN"/>
        </w:rPr>
      </w:pPr>
      <w:r>
        <w:rPr>
          <w:rFonts w:hint="default" w:ascii="Times New Roman" w:hAnsi="Times New Roman" w:eastAsia="方正仿宋简体" w:cs="Times New Roman"/>
          <w:color w:val="auto"/>
          <w:sz w:val="32"/>
          <w:szCs w:val="32"/>
          <w:lang w:val="en-US" w:eastAsia="zh-CN"/>
        </w:rPr>
        <w:t>事故发生后，现场其他作业人员立即拨打120急救电话，</w:t>
      </w:r>
      <w:r>
        <w:rPr>
          <w:rFonts w:hint="eastAsia" w:ascii="Times New Roman" w:hAnsi="Times New Roman" w:eastAsia="方正仿宋简体" w:cs="Times New Roman"/>
          <w:color w:val="auto"/>
          <w:sz w:val="32"/>
          <w:szCs w:val="32"/>
          <w:lang w:val="en-US" w:eastAsia="zh-CN"/>
        </w:rPr>
        <w:t>救护</w:t>
      </w:r>
      <w:r>
        <w:rPr>
          <w:rFonts w:hint="default" w:ascii="Times New Roman" w:hAnsi="Times New Roman" w:eastAsia="方正仿宋简体" w:cs="Times New Roman"/>
          <w:color w:val="auto"/>
          <w:sz w:val="32"/>
          <w:szCs w:val="32"/>
          <w:lang w:val="en-US" w:eastAsia="zh-CN"/>
        </w:rPr>
        <w:t>医生赶赴现场</w:t>
      </w:r>
      <w:r>
        <w:rPr>
          <w:rFonts w:hint="eastAsia" w:ascii="Times New Roman" w:hAnsi="Times New Roman" w:eastAsia="方正仿宋简体" w:cs="Times New Roman"/>
          <w:color w:val="auto"/>
          <w:sz w:val="32"/>
          <w:szCs w:val="32"/>
          <w:lang w:val="en-US" w:eastAsia="zh-CN"/>
        </w:rPr>
        <w:t>后</w:t>
      </w:r>
      <w:r>
        <w:rPr>
          <w:rFonts w:hint="default"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什</w:t>
      </w:r>
      <w:r>
        <w:rPr>
          <w:rFonts w:hint="eastAsia" w:ascii="Times New Roman" w:hAnsi="Times New Roman" w:eastAsia="方正仿宋简体" w:cs="Times New Roman"/>
          <w:color w:val="auto"/>
          <w:sz w:val="32"/>
          <w:szCs w:val="32"/>
          <w:u w:val="none"/>
          <w:lang w:val="en-US" w:eastAsia="zh-CN"/>
        </w:rPr>
        <w:t>邡新</w:t>
      </w:r>
      <w:r>
        <w:rPr>
          <w:rFonts w:hint="eastAsia" w:ascii="Times New Roman" w:hAnsi="Times New Roman" w:eastAsia="方正仿宋简体" w:cs="Times New Roman"/>
          <w:color w:val="auto"/>
          <w:sz w:val="32"/>
          <w:szCs w:val="32"/>
          <w:lang w:val="en-US" w:eastAsia="zh-CN"/>
        </w:rPr>
        <w:t>杰钢结构安装有限</w:t>
      </w:r>
      <w:r>
        <w:rPr>
          <w:rFonts w:hint="default" w:ascii="Times New Roman" w:hAnsi="Times New Roman" w:eastAsia="方正仿宋简体" w:cs="Times New Roman"/>
          <w:color w:val="auto"/>
          <w:sz w:val="32"/>
          <w:szCs w:val="32"/>
          <w:lang w:val="en-US" w:eastAsia="zh-CN"/>
        </w:rPr>
        <w:t>公司通过吊车将</w:t>
      </w:r>
      <w:r>
        <w:rPr>
          <w:rFonts w:hint="eastAsia" w:ascii="Times New Roman" w:hAnsi="Times New Roman" w:eastAsia="方正仿宋简体" w:cs="Times New Roman"/>
          <w:color w:val="auto"/>
          <w:sz w:val="32"/>
          <w:szCs w:val="32"/>
          <w:lang w:val="en-US" w:eastAsia="zh-CN"/>
        </w:rPr>
        <w:t>坠落</w:t>
      </w:r>
      <w:r>
        <w:rPr>
          <w:rFonts w:hint="default" w:ascii="Times New Roman" w:hAnsi="Times New Roman" w:eastAsia="方正仿宋简体" w:cs="Times New Roman"/>
          <w:color w:val="auto"/>
          <w:sz w:val="32"/>
          <w:szCs w:val="32"/>
          <w:lang w:val="en-US" w:eastAsia="zh-CN"/>
        </w:rPr>
        <w:t>的</w:t>
      </w:r>
      <w:r>
        <w:rPr>
          <w:rFonts w:hint="eastAsia" w:ascii="Times New Roman" w:hAnsi="Times New Roman" w:eastAsia="方正仿宋简体" w:cs="Times New Roman"/>
          <w:color w:val="auto"/>
          <w:sz w:val="32"/>
          <w:szCs w:val="32"/>
          <w:lang w:val="en-US" w:eastAsia="zh-CN"/>
        </w:rPr>
        <w:t>3名作业</w:t>
      </w:r>
      <w:r>
        <w:rPr>
          <w:rFonts w:hint="default" w:ascii="Times New Roman" w:hAnsi="Times New Roman" w:eastAsia="方正仿宋简体" w:cs="Times New Roman"/>
          <w:color w:val="auto"/>
          <w:sz w:val="32"/>
          <w:szCs w:val="32"/>
          <w:lang w:val="en-US" w:eastAsia="zh-CN"/>
        </w:rPr>
        <w:t>人员吊出事故区域，送往绵竹市人民医院进行救治</w:t>
      </w:r>
      <w:r>
        <w:rPr>
          <w:rFonts w:hint="eastAsia" w:ascii="Times New Roman" w:hAnsi="Times New Roman" w:eastAsia="方正仿宋简体" w:cs="Times New Roman"/>
          <w:color w:val="auto"/>
          <w:sz w:val="32"/>
          <w:szCs w:val="32"/>
          <w:lang w:val="en-US" w:eastAsia="zh-CN"/>
        </w:rPr>
        <w:t>。其中</w:t>
      </w:r>
      <w:r>
        <w:rPr>
          <w:rFonts w:hint="default" w:ascii="Times New Roman" w:hAnsi="Times New Roman" w:eastAsia="方正仿宋简体" w:cs="Times New Roman"/>
          <w:color w:val="auto"/>
          <w:sz w:val="32"/>
          <w:szCs w:val="32"/>
          <w:lang w:val="en-US" w:eastAsia="zh-CN"/>
        </w:rPr>
        <w:t>李</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勇经绵竹市人民医院抢救</w:t>
      </w:r>
      <w:r>
        <w:rPr>
          <w:rFonts w:hint="eastAsia" w:ascii="Times New Roman" w:hAnsi="Times New Roman" w:eastAsia="方正仿宋简体" w:cs="Times New Roman"/>
          <w:color w:val="auto"/>
          <w:sz w:val="32"/>
          <w:szCs w:val="32"/>
          <w:lang w:val="en-US" w:eastAsia="zh-CN"/>
        </w:rPr>
        <w:t>后</w:t>
      </w:r>
      <w:r>
        <w:rPr>
          <w:rFonts w:hint="default" w:ascii="Times New Roman" w:hAnsi="Times New Roman" w:eastAsia="方正仿宋简体" w:cs="Times New Roman"/>
          <w:color w:val="auto"/>
          <w:sz w:val="32"/>
          <w:szCs w:val="32"/>
          <w:lang w:val="en-US" w:eastAsia="zh-CN"/>
        </w:rPr>
        <w:t>，于1月30日21时41分宣布死亡。</w:t>
      </w:r>
    </w:p>
    <w:p w14:paraId="3D8F385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接到事故报告后，德阳市委、市政府，绵竹市委、市政府高度重视，德阳市应急管理局立即派出工作组赶赴现场，指导事故救援、事故调查和善后处置等工作。绵竹市委、市政府主要领导、分管领导第一时间赶赴现场，督促指导事故应急处置工作，汉旺镇党委政府、公安、应急管理等有关部门立即赶赴现场组织开展事故救援处置、初步情况调查核实、现场勘验、善后处理等工作。2024年2月8</w:t>
      </w:r>
      <w:r>
        <w:rPr>
          <w:rFonts w:hint="default" w:ascii="Times New Roman" w:hAnsi="Times New Roman" w:eastAsia="方正仿宋简体" w:cs="Times New Roman"/>
          <w:color w:val="auto"/>
          <w:sz w:val="32"/>
          <w:szCs w:val="32"/>
          <w:lang w:val="en-US" w:eastAsia="zh-CN"/>
        </w:rPr>
        <w:t>日，善后工作基本完毕。</w:t>
      </w:r>
    </w:p>
    <w:p w14:paraId="31E7543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default"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（二）</w:t>
      </w:r>
      <w:r>
        <w:rPr>
          <w:rFonts w:hint="default" w:ascii="方正楷体简体" w:hAnsi="方正楷体简体" w:eastAsia="方正楷体简体" w:cs="方正楷体简体"/>
          <w:color w:val="auto"/>
          <w:sz w:val="32"/>
          <w:szCs w:val="32"/>
          <w:lang w:val="en-US" w:eastAsia="zh-CN"/>
        </w:rPr>
        <w:t>事故应急处置评估</w:t>
      </w:r>
    </w:p>
    <w:p w14:paraId="68A424B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color w:val="auto"/>
          <w:sz w:val="32"/>
          <w:szCs w:val="32"/>
          <w:lang w:val="en-US" w:eastAsia="zh-CN"/>
        </w:rPr>
      </w:pPr>
      <w:r>
        <w:rPr>
          <w:rFonts w:hint="default" w:ascii="Times New Roman" w:hAnsi="Times New Roman" w:eastAsia="方正仿宋简体" w:cs="Times New Roman"/>
          <w:color w:val="auto"/>
          <w:sz w:val="32"/>
          <w:szCs w:val="32"/>
          <w:lang w:val="en-US" w:eastAsia="zh-CN"/>
        </w:rPr>
        <w:t>在事故应急处置过程中，</w:t>
      </w:r>
      <w:r>
        <w:rPr>
          <w:rFonts w:hint="eastAsia" w:ascii="Times New Roman" w:hAnsi="Times New Roman" w:eastAsia="方正仿宋简体" w:cs="Times New Roman"/>
          <w:color w:val="auto"/>
          <w:sz w:val="32"/>
          <w:szCs w:val="32"/>
          <w:lang w:val="en-US" w:eastAsia="zh-CN"/>
        </w:rPr>
        <w:t>什</w:t>
      </w:r>
      <w:r>
        <w:rPr>
          <w:rFonts w:hint="eastAsia" w:ascii="Times New Roman" w:hAnsi="Times New Roman" w:eastAsia="方正仿宋简体" w:cs="Times New Roman"/>
          <w:color w:val="auto"/>
          <w:sz w:val="32"/>
          <w:szCs w:val="32"/>
          <w:u w:val="none"/>
          <w:lang w:val="en-US" w:eastAsia="zh-CN"/>
        </w:rPr>
        <w:t>邡新</w:t>
      </w:r>
      <w:r>
        <w:rPr>
          <w:rFonts w:hint="eastAsia" w:ascii="Times New Roman" w:hAnsi="Times New Roman" w:eastAsia="方正仿宋简体" w:cs="Times New Roman"/>
          <w:color w:val="auto"/>
          <w:sz w:val="32"/>
          <w:szCs w:val="32"/>
          <w:lang w:val="en-US" w:eastAsia="zh-CN"/>
        </w:rPr>
        <w:t>杰钢结构安装有限</w:t>
      </w:r>
      <w:r>
        <w:rPr>
          <w:rFonts w:hint="default" w:ascii="Times New Roman" w:hAnsi="Times New Roman" w:eastAsia="方正仿宋简体" w:cs="Times New Roman"/>
          <w:color w:val="auto"/>
          <w:sz w:val="32"/>
          <w:szCs w:val="32"/>
          <w:lang w:val="en-US" w:eastAsia="zh-CN"/>
        </w:rPr>
        <w:t>公司上报事故信息及时，医疗机构反应迅速，</w:t>
      </w:r>
      <w:r>
        <w:rPr>
          <w:rFonts w:hint="eastAsia" w:ascii="Times New Roman" w:hAnsi="Times New Roman" w:eastAsia="方正仿宋简体" w:cs="Times New Roman"/>
          <w:color w:val="auto"/>
          <w:sz w:val="32"/>
          <w:szCs w:val="32"/>
          <w:lang w:val="en-US" w:eastAsia="zh-CN"/>
        </w:rPr>
        <w:t>绵竹市委、市政府</w:t>
      </w:r>
      <w:r>
        <w:rPr>
          <w:rFonts w:hint="default" w:ascii="Times New Roman" w:hAnsi="Times New Roman" w:eastAsia="方正仿宋简体" w:cs="Times New Roman"/>
          <w:color w:val="auto"/>
          <w:sz w:val="32"/>
          <w:szCs w:val="32"/>
          <w:lang w:val="en-US" w:eastAsia="zh-CN"/>
        </w:rPr>
        <w:t>及时科学统筹指挥，多部门协调配合，现场救援及时有效，信息报送准确，善后工作有序，未造成事态扩大，应急处置得当。</w:t>
      </w:r>
    </w:p>
    <w:p w14:paraId="6A7F537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color w:val="auto"/>
          <w:sz w:val="32"/>
          <w:szCs w:val="32"/>
          <w:lang w:val="en-US" w:eastAsia="zh-CN"/>
        </w:rPr>
      </w:pPr>
      <w:bookmarkStart w:id="39" w:name="_Toc27195"/>
      <w:r>
        <w:rPr>
          <w:rFonts w:hint="eastAsia" w:ascii="黑体" w:hAnsi="黑体" w:eastAsia="黑体" w:cs="黑体"/>
          <w:color w:val="auto"/>
          <w:sz w:val="32"/>
          <w:szCs w:val="32"/>
          <w:lang w:val="en-US" w:eastAsia="zh-CN"/>
        </w:rPr>
        <w:t>三、事故原因分析</w:t>
      </w:r>
      <w:bookmarkEnd w:id="39"/>
    </w:p>
    <w:p w14:paraId="3820469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（一）直接原因</w:t>
      </w:r>
    </w:p>
    <w:p w14:paraId="02F7AE1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Times New Roman"/>
          <w:color w:val="auto"/>
          <w:sz w:val="32"/>
          <w:szCs w:val="32"/>
          <w:lang w:val="en-US" w:eastAsia="zh-CN"/>
        </w:rPr>
      </w:pPr>
      <w:bookmarkStart w:id="40" w:name="_Toc3343"/>
      <w:r>
        <w:rPr>
          <w:rFonts w:hint="eastAsia" w:ascii="Times New Roman" w:hAnsi="Times New Roman" w:eastAsia="方正仿宋简体" w:cs="Times New Roman"/>
          <w:color w:val="auto"/>
          <w:sz w:val="32"/>
          <w:szCs w:val="32"/>
          <w:lang w:val="en-US" w:eastAsia="zh-CN"/>
        </w:rPr>
        <w:t>1.人的不安全行为：在进行攀登和悬空作业时，作业人员在未固定、无防护的构件及安装中的管道上作业，不符合《建筑施工高处作业安全技术规范》5.1.9、5.2.3</w:t>
      </w:r>
      <w:r>
        <w:rPr>
          <w:rFonts w:hint="eastAsia" w:ascii="Times New Roman" w:hAnsi="Times New Roman" w:eastAsia="方正仿宋简体" w:cs="Times New Roman"/>
          <w:color w:val="auto"/>
          <w:sz w:val="32"/>
          <w:szCs w:val="32"/>
          <w:vertAlign w:val="superscript"/>
          <w:lang w:val="en-US" w:eastAsia="zh-CN"/>
        </w:rPr>
        <w:t>[</w:t>
      </w:r>
      <w:r>
        <w:rPr>
          <w:rFonts w:hint="eastAsia" w:ascii="Times New Roman" w:hAnsi="Times New Roman" w:eastAsia="方正仿宋简体" w:cs="Times New Roman"/>
          <w:color w:val="auto"/>
          <w:sz w:val="32"/>
          <w:szCs w:val="32"/>
          <w:vertAlign w:val="superscript"/>
          <w:lang w:val="en-US" w:eastAsia="zh-CN"/>
        </w:rPr>
        <w:footnoteReference w:id="3"/>
      </w:r>
      <w:r>
        <w:rPr>
          <w:rFonts w:hint="eastAsia" w:ascii="Times New Roman" w:hAnsi="Times New Roman" w:eastAsia="方正仿宋简体" w:cs="Times New Roman"/>
          <w:color w:val="auto"/>
          <w:sz w:val="32"/>
          <w:szCs w:val="32"/>
          <w:vertAlign w:val="superscript"/>
          <w:lang w:val="en-US" w:eastAsia="zh-CN"/>
        </w:rPr>
        <w:t xml:space="preserve">] </w:t>
      </w:r>
      <w:r>
        <w:rPr>
          <w:rFonts w:hint="eastAsia" w:ascii="Times New Roman" w:hAnsi="Times New Roman" w:eastAsia="方正仿宋简体" w:cs="Times New Roman"/>
          <w:color w:val="auto"/>
          <w:sz w:val="32"/>
          <w:szCs w:val="32"/>
          <w:lang w:val="en-US" w:eastAsia="zh-CN"/>
        </w:rPr>
        <w:t>的规定。</w:t>
      </w:r>
      <w:bookmarkEnd w:id="40"/>
      <w:bookmarkStart w:id="41" w:name="_Toc2905"/>
      <w:r>
        <w:rPr>
          <w:rFonts w:hint="eastAsia" w:ascii="Times New Roman" w:hAnsi="Times New Roman" w:eastAsia="方正仿宋简体" w:cs="Times New Roman"/>
          <w:color w:val="auto"/>
          <w:sz w:val="32"/>
          <w:szCs w:val="32"/>
          <w:lang w:val="en-US" w:eastAsia="zh-CN"/>
        </w:rPr>
        <w:t>安排不具备焊接与热切割作业特种作业资质的人员从事焊接安装作业。</w:t>
      </w:r>
    </w:p>
    <w:p w14:paraId="58A7D3D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2</w:t>
      </w:r>
      <w:r>
        <w:rPr>
          <w:rFonts w:hint="default" w:ascii="Times New Roman" w:hAnsi="Times New Roman" w:eastAsia="方正仿宋简体" w:cs="Times New Roman"/>
          <w:color w:val="auto"/>
          <w:sz w:val="32"/>
          <w:szCs w:val="32"/>
          <w:lang w:val="en-US" w:eastAsia="zh-CN"/>
        </w:rPr>
        <w:t>.物的不安全状态：檩条焊接安装施工时，载荷产生桁架轴力，屋架上弦桁架设置的系杆、支撑设置不足导致桁架平面外计算长度过大，上弦平面外长细比超范围规定，桁架出现失稳</w:t>
      </w:r>
      <w:bookmarkEnd w:id="41"/>
      <w:r>
        <w:rPr>
          <w:rFonts w:hint="default" w:ascii="Times New Roman" w:hAnsi="Times New Roman" w:eastAsia="方正仿宋简体" w:cs="Times New Roman"/>
          <w:color w:val="auto"/>
          <w:sz w:val="32"/>
          <w:szCs w:val="32"/>
          <w:lang w:val="en-US" w:eastAsia="zh-CN"/>
        </w:rPr>
        <w:t>；桁架与下弦拉杆，钢柱柱脚与预埋件均存在焊缝不符合《钢结构工程施工质量验收标准》GB50205-2020 5.2.7表的规定，桁架坠落时焊缝强度不足导致节点破坏。</w:t>
      </w:r>
    </w:p>
    <w:p w14:paraId="00B4D7D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（二）间接原因</w:t>
      </w:r>
    </w:p>
    <w:p w14:paraId="72828A0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Times New Roman"/>
          <w:color w:val="auto"/>
          <w:sz w:val="32"/>
          <w:szCs w:val="32"/>
          <w:lang w:val="en-US" w:eastAsia="zh-CN"/>
        </w:rPr>
      </w:pPr>
      <w:bookmarkStart w:id="42" w:name="_Toc13240"/>
      <w:r>
        <w:rPr>
          <w:rFonts w:hint="eastAsia" w:ascii="Times New Roman" w:hAnsi="Times New Roman" w:eastAsia="方正仿宋简体" w:cs="Times New Roman"/>
          <w:color w:val="auto"/>
          <w:sz w:val="32"/>
          <w:szCs w:val="32"/>
          <w:lang w:val="en-US" w:eastAsia="zh-CN"/>
        </w:rPr>
        <w:t>1.施工单位什邡新杰钢结构安装有限公司安全生产主体责任不落实，无钢结构施工资质和安全生产许可证承接工程项目；安排不具备相应特种作业资质的从业人员进行焊接安装作业；未建立健全安全生产责任制和安全生产管理制度；未构建安全风险分级管控和隐患排查治理双重预防机制；未落实国家强制性安全标准，未编制专项施工方案，无设计图施工；现场安全管理和隐患排查治理不落实，未在施工现场落实有效的安全防护措施。</w:t>
      </w:r>
      <w:bookmarkEnd w:id="42"/>
    </w:p>
    <w:p w14:paraId="008DDAE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Times New Roman"/>
          <w:color w:val="auto"/>
          <w:sz w:val="32"/>
          <w:szCs w:val="32"/>
          <w:lang w:val="en-US" w:eastAsia="zh-CN"/>
        </w:rPr>
      </w:pPr>
      <w:bookmarkStart w:id="43" w:name="_Toc4925"/>
      <w:r>
        <w:rPr>
          <w:rFonts w:hint="eastAsia" w:ascii="Times New Roman" w:hAnsi="Times New Roman" w:eastAsia="方正仿宋简体" w:cs="Times New Roman"/>
          <w:color w:val="auto"/>
          <w:sz w:val="32"/>
          <w:szCs w:val="32"/>
          <w:lang w:val="en-US" w:eastAsia="zh-CN"/>
        </w:rPr>
        <w:t>2.建设单位四川绵竹市盘龙矿物质有限责任公司未委托具有资质的设计单位进行设计并委托具有资质的审图机构进行审查；未对施工单位的相关资质进行审查，将建设项目发包给不具有资质的单位进行施工；未办理施工许可</w:t>
      </w:r>
      <w:bookmarkEnd w:id="43"/>
      <w:r>
        <w:rPr>
          <w:rFonts w:hint="eastAsia" w:ascii="Times New Roman" w:hAnsi="Times New Roman" w:eastAsia="方正仿宋简体" w:cs="Times New Roman"/>
          <w:color w:val="auto"/>
          <w:sz w:val="32"/>
          <w:szCs w:val="32"/>
          <w:lang w:val="en-US" w:eastAsia="zh-CN"/>
        </w:rPr>
        <w:t>；对建设项目安全督促检查不力，对施工单位存在的安全问题失察失管。</w:t>
      </w:r>
    </w:p>
    <w:p w14:paraId="12644E9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Times New Roman" w:hAnsi="Times New Roman" w:eastAsia="方正仿宋简体" w:cs="Times New Roman"/>
          <w:color w:val="auto"/>
          <w:sz w:val="32"/>
          <w:szCs w:val="32"/>
          <w:lang w:val="en-US" w:eastAsia="zh-CN"/>
        </w:rPr>
      </w:pPr>
      <w:bookmarkStart w:id="44" w:name="_Toc7162"/>
      <w:r>
        <w:rPr>
          <w:rFonts w:hint="default" w:ascii="黑体" w:hAnsi="黑体" w:eastAsia="黑体" w:cs="黑体"/>
          <w:color w:val="auto"/>
          <w:sz w:val="32"/>
          <w:szCs w:val="32"/>
          <w:lang w:val="en-US" w:eastAsia="zh-CN"/>
        </w:rPr>
        <w:t>四</w:t>
      </w:r>
      <w:r>
        <w:rPr>
          <w:rFonts w:hint="eastAsia" w:ascii="黑体" w:hAnsi="黑体" w:eastAsia="黑体" w:cs="黑体"/>
          <w:color w:val="auto"/>
          <w:sz w:val="32"/>
          <w:szCs w:val="32"/>
          <w:lang w:val="en-US" w:eastAsia="zh-CN"/>
        </w:rPr>
        <w:t>、</w:t>
      </w:r>
      <w:r>
        <w:rPr>
          <w:rFonts w:hint="default" w:ascii="黑体" w:hAnsi="黑体" w:eastAsia="黑体" w:cs="黑体"/>
          <w:color w:val="auto"/>
          <w:sz w:val="32"/>
          <w:szCs w:val="32"/>
          <w:lang w:val="en-US" w:eastAsia="zh-CN"/>
        </w:rPr>
        <w:t>有关责任单位存在的主要问题</w:t>
      </w:r>
      <w:bookmarkEnd w:id="44"/>
    </w:p>
    <w:p w14:paraId="39C0936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default"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（一）</w:t>
      </w:r>
      <w:r>
        <w:rPr>
          <w:rFonts w:hint="default" w:ascii="方正楷体简体" w:hAnsi="方正楷体简体" w:eastAsia="方正楷体简体" w:cs="方正楷体简体"/>
          <w:color w:val="auto"/>
          <w:sz w:val="32"/>
          <w:szCs w:val="32"/>
          <w:lang w:val="en-US" w:eastAsia="zh-CN"/>
        </w:rPr>
        <w:t>事故发生单位和相关单位</w:t>
      </w:r>
    </w:p>
    <w:p w14:paraId="6009A8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2"/>
        <w:rPr>
          <w:rFonts w:hint="eastAsia"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1.</w:t>
      </w:r>
      <w:r>
        <w:rPr>
          <w:rFonts w:hint="default" w:ascii="Times New Roman" w:hAnsi="Times New Roman" w:eastAsia="方正仿宋简体" w:cs="Times New Roman"/>
          <w:color w:val="auto"/>
          <w:sz w:val="32"/>
          <w:szCs w:val="32"/>
          <w:lang w:val="en-US" w:eastAsia="zh-CN"/>
        </w:rPr>
        <w:t>什</w:t>
      </w:r>
      <w:r>
        <w:rPr>
          <w:rFonts w:hint="default" w:ascii="Times New Roman" w:hAnsi="Times New Roman" w:eastAsia="方正仿宋简体" w:cs="Times New Roman"/>
          <w:color w:val="auto"/>
          <w:sz w:val="32"/>
          <w:szCs w:val="32"/>
          <w:u w:val="none"/>
          <w:lang w:val="en-US" w:eastAsia="zh-CN"/>
        </w:rPr>
        <w:t>邡新</w:t>
      </w:r>
      <w:r>
        <w:rPr>
          <w:rFonts w:hint="default" w:ascii="Times New Roman" w:hAnsi="Times New Roman" w:eastAsia="方正仿宋简体" w:cs="Times New Roman"/>
          <w:color w:val="auto"/>
          <w:sz w:val="32"/>
          <w:szCs w:val="32"/>
          <w:lang w:val="en-US" w:eastAsia="zh-CN"/>
        </w:rPr>
        <w:t>杰钢结构安装有限公司</w:t>
      </w:r>
    </w:p>
    <w:p w14:paraId="2D2E2A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color w:val="auto"/>
          <w:sz w:val="32"/>
          <w:szCs w:val="32"/>
          <w:lang w:val="en-US" w:eastAsia="zh-CN"/>
        </w:rPr>
      </w:pPr>
      <w:r>
        <w:rPr>
          <w:rFonts w:hint="default" w:ascii="Times New Roman" w:hAnsi="Times New Roman" w:eastAsia="方正仿宋简体" w:cs="Times New Roman"/>
          <w:color w:val="auto"/>
          <w:sz w:val="32"/>
          <w:szCs w:val="32"/>
          <w:lang w:val="en-US" w:eastAsia="zh-CN"/>
        </w:rPr>
        <w:t>安全生产主体责任不落实，未取得相应资质和安全生产许可证承接工程项目，安排不具备焊接与热切割作业特种作业资质的人员从事焊接安装作业，未建立健全安全生产责任制和安全生产管理制度</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未构建安全风险分级管控和隐患排查治理双重预防机制</w:t>
      </w:r>
      <w:r>
        <w:rPr>
          <w:rFonts w:hint="eastAsia" w:ascii="Times New Roman" w:hAnsi="Times New Roman" w:eastAsia="方正仿宋简体" w:cs="Times New Roman"/>
          <w:color w:val="auto"/>
          <w:sz w:val="32"/>
          <w:szCs w:val="32"/>
          <w:lang w:val="en-US" w:eastAsia="zh-CN"/>
        </w:rPr>
        <w:t>，</w:t>
      </w:r>
      <w:r>
        <w:rPr>
          <w:rFonts w:hint="default" w:ascii="Times New Roman" w:hAnsi="Times New Roman" w:eastAsia="方正仿宋简体" w:cs="Times New Roman"/>
          <w:color w:val="auto"/>
          <w:sz w:val="32"/>
          <w:szCs w:val="32"/>
          <w:lang w:val="en-US" w:eastAsia="zh-CN"/>
        </w:rPr>
        <w:t>未落实国家工程质量和安全技术标准，未编制专项施工方案，无设计图施工，</w:t>
      </w:r>
      <w:r>
        <w:rPr>
          <w:rFonts w:hint="eastAsia" w:ascii="Times New Roman" w:hAnsi="Times New Roman" w:eastAsia="方正仿宋简体" w:cs="Times New Roman"/>
          <w:color w:val="auto"/>
          <w:sz w:val="32"/>
          <w:szCs w:val="32"/>
          <w:lang w:val="en-US" w:eastAsia="zh-CN"/>
        </w:rPr>
        <w:t>现场安全管理和隐患排查治理不落实，</w:t>
      </w:r>
      <w:r>
        <w:rPr>
          <w:rFonts w:hint="default" w:ascii="Times New Roman" w:hAnsi="Times New Roman" w:eastAsia="方正仿宋简体" w:cs="Times New Roman"/>
          <w:color w:val="auto"/>
          <w:sz w:val="32"/>
          <w:szCs w:val="32"/>
          <w:lang w:val="en-US" w:eastAsia="zh-CN"/>
        </w:rPr>
        <w:t>未在施工现场落实有效的安全防护措施，公司主要负责人安全生产工作职责履职不到位。</w:t>
      </w:r>
      <w:r>
        <w:rPr>
          <w:rFonts w:hint="eastAsia" w:ascii="Times New Roman" w:hAnsi="Times New Roman" w:eastAsia="方正仿宋简体" w:cs="Times New Roman"/>
          <w:color w:val="auto"/>
          <w:sz w:val="32"/>
          <w:szCs w:val="32"/>
          <w:lang w:val="en-US" w:eastAsia="zh-CN"/>
        </w:rPr>
        <w:t>违反《中华人民共和国安全生产法》第四条</w:t>
      </w:r>
      <w:r>
        <w:rPr>
          <w:rStyle w:val="12"/>
          <w:rFonts w:hint="eastAsia" w:ascii="Times New Roman" w:hAnsi="Times New Roman" w:eastAsia="方正仿宋简体" w:cs="Times New Roman"/>
          <w:color w:val="auto"/>
          <w:sz w:val="32"/>
          <w:szCs w:val="32"/>
          <w:lang w:val="en-US" w:eastAsia="zh-CN"/>
        </w:rPr>
        <w:t>[</w:t>
      </w:r>
      <w:r>
        <w:rPr>
          <w:rStyle w:val="12"/>
          <w:rFonts w:hint="eastAsia" w:ascii="Times New Roman" w:hAnsi="Times New Roman" w:eastAsia="方正仿宋简体" w:cs="Times New Roman"/>
          <w:color w:val="auto"/>
          <w:sz w:val="32"/>
          <w:szCs w:val="32"/>
          <w:lang w:val="en-US" w:eastAsia="zh-CN"/>
        </w:rPr>
        <w:footnoteReference w:id="4"/>
      </w:r>
      <w:r>
        <w:rPr>
          <w:rStyle w:val="12"/>
          <w:rFonts w:hint="eastAsia"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、《建设工程安全生产管理条例》第二十条</w:t>
      </w:r>
      <w:r>
        <w:rPr>
          <w:rStyle w:val="12"/>
          <w:rFonts w:hint="eastAsia" w:ascii="Times New Roman" w:hAnsi="Times New Roman" w:eastAsia="方正仿宋简体" w:cs="Times New Roman"/>
          <w:color w:val="auto"/>
          <w:sz w:val="32"/>
          <w:szCs w:val="32"/>
          <w:lang w:val="en-US" w:eastAsia="zh-CN"/>
        </w:rPr>
        <w:t>[</w:t>
      </w:r>
      <w:r>
        <w:rPr>
          <w:rStyle w:val="12"/>
          <w:rFonts w:hint="eastAsia" w:ascii="Times New Roman" w:hAnsi="Times New Roman" w:eastAsia="方正仿宋简体" w:cs="Times New Roman"/>
          <w:color w:val="auto"/>
          <w:sz w:val="32"/>
          <w:szCs w:val="32"/>
          <w:lang w:val="en-US" w:eastAsia="zh-CN"/>
        </w:rPr>
        <w:footnoteReference w:id="5"/>
      </w:r>
      <w:r>
        <w:rPr>
          <w:rStyle w:val="12"/>
          <w:rFonts w:hint="eastAsia"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u w:val="none"/>
          <w:lang w:val="en-US" w:eastAsia="zh-CN"/>
        </w:rPr>
        <w:t>《危险性较大的部分分项工程安全管理规定》第十条</w:t>
      </w:r>
      <w:r>
        <w:rPr>
          <w:rStyle w:val="12"/>
          <w:rFonts w:hint="eastAsia" w:ascii="Times New Roman" w:hAnsi="Times New Roman" w:eastAsia="方正仿宋简体" w:cs="Times New Roman"/>
          <w:color w:val="auto"/>
          <w:sz w:val="32"/>
          <w:szCs w:val="32"/>
          <w:u w:val="none"/>
          <w:lang w:val="en-US" w:eastAsia="zh-CN"/>
        </w:rPr>
        <w:t>[</w:t>
      </w:r>
      <w:r>
        <w:rPr>
          <w:rStyle w:val="12"/>
          <w:rFonts w:hint="eastAsia" w:ascii="Times New Roman" w:hAnsi="Times New Roman" w:eastAsia="方正仿宋简体" w:cs="Times New Roman"/>
          <w:color w:val="auto"/>
          <w:sz w:val="32"/>
          <w:szCs w:val="32"/>
          <w:u w:val="none"/>
          <w:lang w:val="en-US" w:eastAsia="zh-CN"/>
        </w:rPr>
        <w:footnoteReference w:id="6"/>
      </w:r>
      <w:r>
        <w:rPr>
          <w:rStyle w:val="12"/>
          <w:rFonts w:hint="eastAsia" w:ascii="Times New Roman" w:hAnsi="Times New Roman" w:eastAsia="方正仿宋简体" w:cs="Times New Roman"/>
          <w:color w:val="auto"/>
          <w:sz w:val="32"/>
          <w:szCs w:val="32"/>
          <w:u w:val="none"/>
          <w:lang w:val="en-US" w:eastAsia="zh-CN"/>
        </w:rPr>
        <w:t>]</w:t>
      </w:r>
      <w:r>
        <w:rPr>
          <w:rFonts w:hint="eastAsia" w:ascii="Times New Roman" w:hAnsi="Times New Roman" w:eastAsia="方正仿宋简体" w:cs="Times New Roman"/>
          <w:color w:val="auto"/>
          <w:sz w:val="32"/>
          <w:szCs w:val="32"/>
          <w:u w:val="none"/>
          <w:lang w:val="en-US" w:eastAsia="zh-CN"/>
        </w:rPr>
        <w:t>《中华人民共和国安全生产法》第三十条</w:t>
      </w:r>
      <w:r>
        <w:rPr>
          <w:rStyle w:val="12"/>
          <w:rFonts w:hint="eastAsia" w:ascii="Times New Roman" w:hAnsi="Times New Roman" w:eastAsia="方正仿宋简体" w:cs="Times New Roman"/>
          <w:color w:val="auto"/>
          <w:sz w:val="32"/>
          <w:szCs w:val="32"/>
          <w:u w:val="none"/>
          <w:lang w:val="en-US" w:eastAsia="zh-CN"/>
        </w:rPr>
        <w:t>[</w:t>
      </w:r>
      <w:r>
        <w:rPr>
          <w:rStyle w:val="12"/>
          <w:rFonts w:hint="eastAsia" w:ascii="Times New Roman" w:hAnsi="Times New Roman" w:eastAsia="方正仿宋简体" w:cs="Times New Roman"/>
          <w:color w:val="auto"/>
          <w:sz w:val="32"/>
          <w:szCs w:val="32"/>
          <w:u w:val="none"/>
          <w:lang w:val="en-US" w:eastAsia="zh-CN"/>
        </w:rPr>
        <w:footnoteReference w:id="7"/>
      </w:r>
      <w:r>
        <w:rPr>
          <w:rStyle w:val="12"/>
          <w:rFonts w:hint="eastAsia" w:ascii="Times New Roman" w:hAnsi="Times New Roman" w:eastAsia="方正仿宋简体" w:cs="Times New Roman"/>
          <w:color w:val="auto"/>
          <w:sz w:val="32"/>
          <w:szCs w:val="32"/>
          <w:u w:val="none"/>
          <w:lang w:val="en-US" w:eastAsia="zh-CN"/>
        </w:rPr>
        <w:t>]</w:t>
      </w:r>
      <w:r>
        <w:rPr>
          <w:rFonts w:hint="eastAsia" w:ascii="Times New Roman" w:hAnsi="Times New Roman" w:eastAsia="方正仿宋简体" w:cs="Times New Roman"/>
          <w:color w:val="auto"/>
          <w:sz w:val="32"/>
          <w:szCs w:val="32"/>
          <w:u w:val="none"/>
          <w:lang w:val="en-US" w:eastAsia="zh-CN"/>
        </w:rPr>
        <w:t>、</w:t>
      </w:r>
      <w:r>
        <w:rPr>
          <w:rFonts w:hint="eastAsia" w:ascii="Times New Roman" w:hAnsi="Times New Roman" w:eastAsia="方正仿宋简体" w:cs="Times New Roman"/>
          <w:color w:val="auto"/>
          <w:sz w:val="32"/>
          <w:szCs w:val="32"/>
          <w:lang w:val="en-US" w:eastAsia="zh-CN"/>
        </w:rPr>
        <w:t>第二十一条</w:t>
      </w:r>
      <w:r>
        <w:rPr>
          <w:rStyle w:val="12"/>
          <w:rFonts w:hint="eastAsia" w:ascii="Times New Roman" w:hAnsi="Times New Roman" w:eastAsia="方正仿宋简体" w:cs="Times New Roman"/>
          <w:color w:val="auto"/>
          <w:sz w:val="32"/>
          <w:szCs w:val="32"/>
          <w:lang w:val="en-US" w:eastAsia="zh-CN"/>
        </w:rPr>
        <w:t>[</w:t>
      </w:r>
      <w:r>
        <w:rPr>
          <w:rStyle w:val="12"/>
          <w:rFonts w:hint="eastAsia" w:ascii="Times New Roman" w:hAnsi="Times New Roman" w:eastAsia="方正仿宋简体" w:cs="Times New Roman"/>
          <w:color w:val="auto"/>
          <w:sz w:val="32"/>
          <w:szCs w:val="32"/>
          <w:lang w:val="en-US" w:eastAsia="zh-CN"/>
        </w:rPr>
        <w:footnoteReference w:id="8"/>
      </w:r>
      <w:r>
        <w:rPr>
          <w:rStyle w:val="12"/>
          <w:rFonts w:hint="eastAsia"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规定。</w:t>
      </w:r>
    </w:p>
    <w:p w14:paraId="0277DFB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2"/>
        <w:rPr>
          <w:rFonts w:hint="eastAsia"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2.</w:t>
      </w:r>
      <w:r>
        <w:rPr>
          <w:rFonts w:hint="default" w:ascii="Times New Roman" w:hAnsi="Times New Roman" w:eastAsia="方正仿宋简体" w:cs="Times New Roman"/>
          <w:color w:val="auto"/>
          <w:sz w:val="32"/>
          <w:szCs w:val="32"/>
          <w:lang w:val="en-US" w:eastAsia="zh-CN"/>
        </w:rPr>
        <w:t>四川绵竹市盘龙矿物质有限责任公司</w:t>
      </w:r>
    </w:p>
    <w:p w14:paraId="5B79D3B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未严格履行建设单位主体责任，对本单位的磷矿库钢结构雨棚项目安全管理工作不到位，未委托具有资质的设计单位进行设计并委托具有资质的审图机构进行审查；未对施工单位的相关资质进行审查，将建设项目发包给不具有资质的单位进行施工；未依法办理建设项目施工许可；对建设项目安全督促检查不力，未在施工现场设置安全管理人员，公司主要负责人及该项目管理负责人安全生产工作职责履职不到位，对施工单位存在的安全问题失察失管。违反《中华人民共和国建筑法》第七条</w:t>
      </w:r>
      <w:r>
        <w:rPr>
          <w:rStyle w:val="12"/>
          <w:rFonts w:hint="eastAsia" w:ascii="Times New Roman" w:hAnsi="Times New Roman" w:eastAsia="方正仿宋简体" w:cs="Times New Roman"/>
          <w:color w:val="auto"/>
          <w:sz w:val="32"/>
          <w:szCs w:val="32"/>
          <w:lang w:val="en-US" w:eastAsia="zh-CN"/>
        </w:rPr>
        <w:t>[</w:t>
      </w:r>
      <w:r>
        <w:rPr>
          <w:rStyle w:val="12"/>
          <w:rFonts w:hint="eastAsia" w:ascii="Times New Roman" w:hAnsi="Times New Roman" w:eastAsia="方正仿宋简体" w:cs="Times New Roman"/>
          <w:color w:val="auto"/>
          <w:sz w:val="32"/>
          <w:szCs w:val="32"/>
          <w:lang w:val="en-US" w:eastAsia="zh-CN"/>
        </w:rPr>
        <w:footnoteReference w:id="9"/>
      </w:r>
      <w:r>
        <w:rPr>
          <w:rStyle w:val="12"/>
          <w:rFonts w:hint="eastAsia"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，《建设工程质量管理条例》</w:t>
      </w:r>
      <w:r>
        <w:rPr>
          <w:rFonts w:hint="eastAsia" w:ascii="Times New Roman" w:hAnsi="Times New Roman" w:eastAsia="方正仿宋简体" w:cs="Times New Roman"/>
          <w:color w:val="auto"/>
          <w:sz w:val="32"/>
          <w:szCs w:val="32"/>
          <w:u w:val="none"/>
          <w:lang w:val="en-US" w:eastAsia="zh-CN"/>
        </w:rPr>
        <w:t>第七条、第八条</w:t>
      </w:r>
      <w:r>
        <w:rPr>
          <w:rStyle w:val="12"/>
          <w:rFonts w:hint="eastAsia" w:ascii="Times New Roman" w:hAnsi="Times New Roman" w:eastAsia="方正仿宋简体" w:cs="Times New Roman"/>
          <w:color w:val="auto"/>
          <w:sz w:val="32"/>
          <w:szCs w:val="32"/>
          <w:u w:val="none"/>
          <w:lang w:val="en-US" w:eastAsia="zh-CN"/>
        </w:rPr>
        <w:t>[</w:t>
      </w:r>
      <w:r>
        <w:rPr>
          <w:rStyle w:val="12"/>
          <w:rFonts w:hint="eastAsia" w:ascii="Times New Roman" w:hAnsi="Times New Roman" w:eastAsia="方正仿宋简体" w:cs="Times New Roman"/>
          <w:color w:val="auto"/>
          <w:sz w:val="32"/>
          <w:szCs w:val="32"/>
          <w:u w:val="none"/>
          <w:lang w:val="en-US" w:eastAsia="zh-CN"/>
        </w:rPr>
        <w:footnoteReference w:id="10"/>
      </w:r>
      <w:r>
        <w:rPr>
          <w:rStyle w:val="12"/>
          <w:rFonts w:hint="eastAsia" w:ascii="Times New Roman" w:hAnsi="Times New Roman" w:eastAsia="方正仿宋简体" w:cs="Times New Roman"/>
          <w:color w:val="auto"/>
          <w:sz w:val="32"/>
          <w:szCs w:val="32"/>
          <w:u w:val="none"/>
          <w:lang w:val="en-US" w:eastAsia="zh-CN"/>
        </w:rPr>
        <w:t>]</w:t>
      </w:r>
      <w:r>
        <w:rPr>
          <w:rFonts w:hint="eastAsia" w:ascii="Times New Roman" w:hAnsi="Times New Roman" w:eastAsia="方正仿宋简体" w:cs="Times New Roman"/>
          <w:color w:val="auto"/>
          <w:sz w:val="32"/>
          <w:szCs w:val="32"/>
          <w:lang w:val="en-US" w:eastAsia="zh-CN"/>
        </w:rPr>
        <w:t>，《中华人民共和国安全生产法》第四条</w:t>
      </w:r>
      <w:r>
        <w:rPr>
          <w:rStyle w:val="12"/>
          <w:rFonts w:hint="eastAsia" w:ascii="Times New Roman" w:hAnsi="Times New Roman" w:eastAsia="方正仿宋简体" w:cs="Times New Roman"/>
          <w:color w:val="auto"/>
          <w:sz w:val="32"/>
          <w:szCs w:val="32"/>
          <w:lang w:val="en-US" w:eastAsia="zh-CN"/>
        </w:rPr>
        <w:t>[</w:t>
      </w:r>
      <w:r>
        <w:rPr>
          <w:rStyle w:val="12"/>
          <w:rFonts w:hint="eastAsia" w:ascii="Times New Roman" w:hAnsi="Times New Roman" w:eastAsia="方正仿宋简体" w:cs="Times New Roman"/>
          <w:color w:val="auto"/>
          <w:sz w:val="32"/>
          <w:szCs w:val="32"/>
          <w:lang w:val="en-US" w:eastAsia="zh-CN"/>
        </w:rPr>
        <w:footnoteReference w:id="11"/>
      </w:r>
      <w:r>
        <w:rPr>
          <w:rStyle w:val="12"/>
          <w:rFonts w:hint="eastAsia"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、第四十九条第一款</w:t>
      </w:r>
      <w:r>
        <w:rPr>
          <w:rStyle w:val="12"/>
          <w:rFonts w:hint="eastAsia" w:ascii="Times New Roman" w:hAnsi="Times New Roman" w:eastAsia="方正仿宋简体" w:cs="Times New Roman"/>
          <w:color w:val="auto"/>
          <w:sz w:val="32"/>
          <w:szCs w:val="32"/>
          <w:lang w:val="en-US" w:eastAsia="zh-CN"/>
        </w:rPr>
        <w:t>[</w:t>
      </w:r>
      <w:r>
        <w:rPr>
          <w:rStyle w:val="12"/>
          <w:rFonts w:hint="eastAsia" w:ascii="Times New Roman" w:hAnsi="Times New Roman" w:eastAsia="方正仿宋简体" w:cs="Times New Roman"/>
          <w:color w:val="auto"/>
          <w:sz w:val="32"/>
          <w:szCs w:val="32"/>
          <w:lang w:val="en-US" w:eastAsia="zh-CN"/>
        </w:rPr>
        <w:footnoteReference w:id="12"/>
      </w:r>
      <w:r>
        <w:rPr>
          <w:rStyle w:val="12"/>
          <w:rFonts w:hint="eastAsia"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，《中华人民共和国安全生产法》第二十一条、第二十六条</w:t>
      </w:r>
      <w:r>
        <w:rPr>
          <w:rStyle w:val="12"/>
          <w:rFonts w:hint="eastAsia" w:ascii="Times New Roman" w:hAnsi="Times New Roman" w:eastAsia="方正仿宋简体" w:cs="Times New Roman"/>
          <w:color w:val="auto"/>
          <w:sz w:val="32"/>
          <w:szCs w:val="32"/>
          <w:lang w:val="en-US" w:eastAsia="zh-CN"/>
        </w:rPr>
        <w:t>[</w:t>
      </w:r>
      <w:r>
        <w:rPr>
          <w:rStyle w:val="12"/>
          <w:rFonts w:hint="eastAsia" w:ascii="Times New Roman" w:hAnsi="Times New Roman" w:eastAsia="方正仿宋简体" w:cs="Times New Roman"/>
          <w:color w:val="auto"/>
          <w:sz w:val="32"/>
          <w:szCs w:val="32"/>
          <w:lang w:val="en-US" w:eastAsia="zh-CN"/>
        </w:rPr>
        <w:footnoteReference w:id="13"/>
      </w:r>
      <w:r>
        <w:rPr>
          <w:rStyle w:val="12"/>
          <w:rFonts w:hint="eastAsia"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规定。</w:t>
      </w:r>
    </w:p>
    <w:p w14:paraId="1C7C9B3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default"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（二）有关监管部门</w:t>
      </w:r>
    </w:p>
    <w:p w14:paraId="48D7C00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绵竹市住房和城乡建设局在建筑施工安全监管方面存在监管薄弱区域，统筹协调的层面与部门之间沟通对接不畅，联动不够，未充分形成监督执法合力。</w:t>
      </w:r>
    </w:p>
    <w:p w14:paraId="6A01F58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default"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（三）</w:t>
      </w:r>
      <w:r>
        <w:rPr>
          <w:rFonts w:hint="default" w:ascii="方正楷体简体" w:hAnsi="方正楷体简体" w:eastAsia="方正楷体简体" w:cs="方正楷体简体"/>
          <w:color w:val="auto"/>
          <w:sz w:val="32"/>
          <w:szCs w:val="32"/>
          <w:lang w:val="en-US" w:eastAsia="zh-CN"/>
        </w:rPr>
        <w:t xml:space="preserve">地方党委政府 </w:t>
      </w:r>
    </w:p>
    <w:p w14:paraId="00C842F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color w:val="auto"/>
          <w:sz w:val="32"/>
          <w:szCs w:val="32"/>
          <w:u w:val="none"/>
          <w:lang w:val="en-US" w:eastAsia="zh-CN"/>
        </w:rPr>
      </w:pPr>
      <w:r>
        <w:rPr>
          <w:rFonts w:hint="eastAsia" w:ascii="Times New Roman" w:hAnsi="Times New Roman" w:eastAsia="方正仿宋简体" w:cs="Times New Roman"/>
          <w:color w:val="auto"/>
          <w:sz w:val="32"/>
          <w:szCs w:val="32"/>
          <w:u w:val="none"/>
          <w:lang w:val="en-US" w:eastAsia="zh-CN"/>
        </w:rPr>
        <w:t>绵竹市汉旺镇人民政府落实安全生产属地监管责任不到位，在2023年安全大排查大整治、重大事故隐患专项排查整治2023行动、2024年元旦春节期间安全生产大检查等工作中对四川绵竹市盘龙矿物质有限责任公司开展3次安全生产监督检查，但未结合四川绵竹市盘龙矿物质有限责任公司厂区内建设项目实际，在推进建设施工领域安全生产主体责任落实工作上存在短板，安全监管工作深度不足</w:t>
      </w:r>
      <w:bookmarkStart w:id="45" w:name="_Toc15662"/>
      <w:r>
        <w:rPr>
          <w:rFonts w:hint="eastAsia" w:ascii="Times New Roman" w:hAnsi="Times New Roman" w:eastAsia="方正仿宋简体" w:cs="Times New Roman"/>
          <w:color w:val="auto"/>
          <w:sz w:val="32"/>
          <w:szCs w:val="32"/>
          <w:u w:val="none"/>
          <w:lang w:val="en-US" w:eastAsia="zh-CN"/>
        </w:rPr>
        <w:t>。</w:t>
      </w:r>
      <w:bookmarkEnd w:id="45"/>
    </w:p>
    <w:p w14:paraId="2D31C76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Times New Roman" w:hAnsi="Times New Roman" w:eastAsia="方正仿宋简体" w:cs="Times New Roman"/>
          <w:color w:val="auto"/>
          <w:sz w:val="32"/>
          <w:szCs w:val="32"/>
          <w:lang w:val="en-US" w:eastAsia="zh-CN"/>
        </w:rPr>
      </w:pPr>
      <w:bookmarkStart w:id="46" w:name="_Toc5238"/>
      <w:r>
        <w:rPr>
          <w:rFonts w:hint="eastAsia" w:ascii="黑体" w:hAnsi="黑体" w:eastAsia="黑体" w:cs="黑体"/>
          <w:color w:val="auto"/>
          <w:sz w:val="32"/>
          <w:szCs w:val="32"/>
          <w:lang w:val="en-US" w:eastAsia="zh-CN"/>
        </w:rPr>
        <w:t>五、责任划分及处理建议</w:t>
      </w:r>
      <w:bookmarkEnd w:id="46"/>
    </w:p>
    <w:p w14:paraId="1640D0F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default"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（一）建议移送司法机关处理的人员</w:t>
      </w:r>
    </w:p>
    <w:p w14:paraId="4561FD0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谢*兵，男，什</w:t>
      </w:r>
      <w:r>
        <w:rPr>
          <w:rFonts w:hint="eastAsia" w:ascii="Times New Roman" w:hAnsi="Times New Roman" w:eastAsia="方正仿宋简体" w:cs="Times New Roman"/>
          <w:color w:val="auto"/>
          <w:sz w:val="32"/>
          <w:szCs w:val="32"/>
          <w:u w:val="none"/>
          <w:lang w:val="en-US" w:eastAsia="zh-CN"/>
        </w:rPr>
        <w:t>邡新</w:t>
      </w:r>
      <w:r>
        <w:rPr>
          <w:rFonts w:hint="eastAsia" w:ascii="Times New Roman" w:hAnsi="Times New Roman" w:eastAsia="方正仿宋简体" w:cs="Times New Roman"/>
          <w:color w:val="auto"/>
          <w:sz w:val="32"/>
          <w:szCs w:val="32"/>
          <w:lang w:val="en-US" w:eastAsia="zh-CN"/>
        </w:rPr>
        <w:t>杰钢结构安装有限公司总经理、法定代表人，负责公司全面工作，未切实履行</w:t>
      </w:r>
      <w:r>
        <w:rPr>
          <w:rFonts w:hint="eastAsia" w:ascii="Times New Roman" w:hAnsi="Times New Roman" w:eastAsia="方正仿宋简体" w:cs="Times New Roman"/>
          <w:color w:val="auto"/>
          <w:sz w:val="32"/>
          <w:szCs w:val="32"/>
          <w:u w:val="none"/>
          <w:lang w:val="en-US" w:eastAsia="zh-CN"/>
        </w:rPr>
        <w:t>企业主要负责人安全生产工作职责，对本单位的安全生产工作管理不到位，未建立健全本单位安全生产责任制、安全生产规章制度和操作规程，未组织建立并落实安全风险分级管控和隐患排查治理双重预防工作机制，未及时消除本单位在生产经营过程中存在的安全隐患，在本单位承接项目时未依法检查本单位是否具备钢结构施工资质和安全生产许可证</w:t>
      </w:r>
      <w:r>
        <w:rPr>
          <w:rStyle w:val="12"/>
          <w:rFonts w:hint="eastAsia" w:ascii="Times New Roman" w:hAnsi="Times New Roman" w:eastAsia="方正仿宋简体" w:cs="Times New Roman"/>
          <w:color w:val="auto"/>
          <w:sz w:val="32"/>
          <w:szCs w:val="32"/>
          <w:u w:val="none"/>
          <w:lang w:val="en-US" w:eastAsia="zh-CN"/>
        </w:rPr>
        <w:t>[</w:t>
      </w:r>
      <w:r>
        <w:rPr>
          <w:rStyle w:val="12"/>
          <w:rFonts w:hint="eastAsia" w:ascii="Times New Roman" w:hAnsi="Times New Roman" w:eastAsia="方正仿宋简体" w:cs="Times New Roman"/>
          <w:color w:val="auto"/>
          <w:sz w:val="32"/>
          <w:szCs w:val="32"/>
          <w:u w:val="none"/>
          <w:lang w:val="en-US" w:eastAsia="zh-CN"/>
        </w:rPr>
        <w:footnoteReference w:id="14"/>
      </w:r>
      <w:r>
        <w:rPr>
          <w:rStyle w:val="12"/>
          <w:rFonts w:hint="eastAsia" w:ascii="Times New Roman" w:hAnsi="Times New Roman" w:eastAsia="方正仿宋简体" w:cs="Times New Roman"/>
          <w:color w:val="auto"/>
          <w:sz w:val="32"/>
          <w:szCs w:val="32"/>
          <w:u w:val="none"/>
          <w:lang w:val="en-US" w:eastAsia="zh-CN"/>
        </w:rPr>
        <w:t>]</w:t>
      </w:r>
      <w:r>
        <w:rPr>
          <w:rFonts w:hint="eastAsia" w:ascii="Times New Roman" w:hAnsi="Times New Roman" w:eastAsia="方正仿宋简体" w:cs="Times New Roman"/>
          <w:color w:val="auto"/>
          <w:sz w:val="32"/>
          <w:szCs w:val="32"/>
          <w:u w:val="none"/>
          <w:lang w:val="en-US" w:eastAsia="zh-CN"/>
        </w:rPr>
        <w:t>，无资质承接工程项目；安排未按照规定经专门的安全作业培训并取得相应资格的焊接与热切割特种作业人员上岗作业；项目建设时未组织本单位按照国家强制性安全标准进行建设，未组织编制本项目专项施工方案</w:t>
      </w:r>
      <w:r>
        <w:rPr>
          <w:rStyle w:val="12"/>
          <w:rFonts w:hint="eastAsia" w:ascii="Times New Roman" w:hAnsi="Times New Roman" w:eastAsia="方正仿宋简体" w:cs="Times New Roman"/>
          <w:color w:val="auto"/>
          <w:sz w:val="32"/>
          <w:szCs w:val="32"/>
          <w:u w:val="none"/>
          <w:lang w:val="en-US" w:eastAsia="zh-CN"/>
        </w:rPr>
        <w:t>[</w:t>
      </w:r>
      <w:r>
        <w:rPr>
          <w:rStyle w:val="12"/>
          <w:rFonts w:hint="eastAsia" w:ascii="Times New Roman" w:hAnsi="Times New Roman" w:eastAsia="方正仿宋简体" w:cs="Times New Roman"/>
          <w:color w:val="auto"/>
          <w:sz w:val="32"/>
          <w:szCs w:val="32"/>
          <w:u w:val="none"/>
          <w:lang w:val="en-US" w:eastAsia="zh-CN"/>
        </w:rPr>
        <w:footnoteReference w:id="15"/>
      </w:r>
      <w:r>
        <w:rPr>
          <w:rStyle w:val="12"/>
          <w:rFonts w:hint="eastAsia" w:ascii="Times New Roman" w:hAnsi="Times New Roman" w:eastAsia="方正仿宋简体" w:cs="Times New Roman"/>
          <w:color w:val="auto"/>
          <w:sz w:val="32"/>
          <w:szCs w:val="32"/>
          <w:u w:val="none"/>
          <w:lang w:val="en-US" w:eastAsia="zh-CN"/>
        </w:rPr>
        <w:t>]</w:t>
      </w:r>
      <w:r>
        <w:rPr>
          <w:rFonts w:hint="eastAsia" w:ascii="Times New Roman" w:hAnsi="Times New Roman" w:eastAsia="方正仿宋简体" w:cs="Times New Roman"/>
          <w:color w:val="auto"/>
          <w:sz w:val="32"/>
          <w:szCs w:val="32"/>
          <w:u w:val="none"/>
          <w:lang w:val="en-US" w:eastAsia="zh-CN"/>
        </w:rPr>
        <w:t>，未对在无设计图施工的隐患进行整治，也未组织和安排施工现场落实有效的安全防护措施，未及时发现并消除隐患。其行为违反</w:t>
      </w:r>
      <w:r>
        <w:rPr>
          <w:rFonts w:hint="default" w:ascii="Times New Roman" w:hAnsi="Times New Roman" w:eastAsia="方正仿宋简体" w:cs="Times New Roman"/>
          <w:color w:val="auto"/>
          <w:sz w:val="32"/>
          <w:szCs w:val="32"/>
          <w:u w:val="none"/>
          <w:lang w:val="en-US" w:eastAsia="zh-CN"/>
        </w:rPr>
        <w:t>《</w:t>
      </w:r>
      <w:r>
        <w:rPr>
          <w:rFonts w:hint="eastAsia" w:ascii="Times New Roman" w:hAnsi="Times New Roman" w:eastAsia="方正仿宋简体" w:cs="Times New Roman"/>
          <w:color w:val="auto"/>
          <w:sz w:val="32"/>
          <w:szCs w:val="32"/>
          <w:u w:val="none"/>
          <w:lang w:val="en-US" w:eastAsia="zh-CN"/>
        </w:rPr>
        <w:t>中华人民共和国</w:t>
      </w:r>
      <w:r>
        <w:rPr>
          <w:rFonts w:hint="default" w:ascii="Times New Roman" w:hAnsi="Times New Roman" w:eastAsia="方正仿宋简体" w:cs="Times New Roman"/>
          <w:color w:val="auto"/>
          <w:sz w:val="32"/>
          <w:szCs w:val="32"/>
          <w:u w:val="none"/>
          <w:lang w:val="en-US" w:eastAsia="zh-CN"/>
        </w:rPr>
        <w:t>安全生产法》第</w:t>
      </w:r>
      <w:r>
        <w:rPr>
          <w:rFonts w:hint="eastAsia" w:ascii="Times New Roman" w:hAnsi="Times New Roman" w:eastAsia="方正仿宋简体" w:cs="Times New Roman"/>
          <w:color w:val="auto"/>
          <w:sz w:val="32"/>
          <w:szCs w:val="32"/>
          <w:u w:val="none"/>
          <w:lang w:val="en-US" w:eastAsia="zh-CN"/>
        </w:rPr>
        <w:t>二十一</w:t>
      </w:r>
      <w:r>
        <w:rPr>
          <w:rFonts w:hint="default" w:ascii="Times New Roman" w:hAnsi="Times New Roman" w:eastAsia="方正仿宋简体" w:cs="Times New Roman"/>
          <w:color w:val="auto"/>
          <w:sz w:val="32"/>
          <w:szCs w:val="32"/>
          <w:u w:val="none"/>
          <w:lang w:val="en-US" w:eastAsia="zh-CN"/>
        </w:rPr>
        <w:t>条</w:t>
      </w:r>
      <w:r>
        <w:rPr>
          <w:rFonts w:hint="eastAsia" w:ascii="Times New Roman" w:hAnsi="Times New Roman" w:eastAsia="方正仿宋简体" w:cs="Times New Roman"/>
          <w:color w:val="auto"/>
          <w:sz w:val="32"/>
          <w:szCs w:val="32"/>
          <w:u w:val="none"/>
          <w:lang w:val="en-US" w:eastAsia="zh-CN"/>
        </w:rPr>
        <w:t>第一项、第二项、第五项</w:t>
      </w:r>
      <w:r>
        <w:rPr>
          <w:rStyle w:val="12"/>
          <w:rFonts w:hint="default" w:ascii="Times New Roman" w:hAnsi="Times New Roman" w:eastAsia="方正仿宋简体" w:cs="Times New Roman"/>
          <w:color w:val="auto"/>
          <w:sz w:val="32"/>
          <w:szCs w:val="32"/>
          <w:u w:val="none"/>
          <w:lang w:val="en-US" w:eastAsia="zh-CN"/>
        </w:rPr>
        <w:t>[</w:t>
      </w:r>
      <w:r>
        <w:rPr>
          <w:rStyle w:val="12"/>
          <w:rFonts w:hint="default" w:ascii="Times New Roman" w:hAnsi="Times New Roman" w:eastAsia="方正仿宋简体" w:cs="Times New Roman"/>
          <w:color w:val="auto"/>
          <w:sz w:val="32"/>
          <w:szCs w:val="32"/>
          <w:u w:val="none"/>
          <w:lang w:val="en-US" w:eastAsia="zh-CN"/>
        </w:rPr>
        <w:footnoteReference w:id="16"/>
      </w:r>
      <w:r>
        <w:rPr>
          <w:rStyle w:val="12"/>
          <w:rFonts w:hint="default" w:ascii="Times New Roman" w:hAnsi="Times New Roman" w:eastAsia="方正仿宋简体" w:cs="Times New Roman"/>
          <w:color w:val="auto"/>
          <w:sz w:val="32"/>
          <w:szCs w:val="32"/>
          <w:u w:val="none"/>
          <w:lang w:val="en-US" w:eastAsia="zh-CN"/>
        </w:rPr>
        <w:t>]</w:t>
      </w:r>
      <w:r>
        <w:rPr>
          <w:rFonts w:hint="eastAsia" w:ascii="Times New Roman" w:hAnsi="Times New Roman" w:eastAsia="方正仿宋简体" w:cs="Times New Roman"/>
          <w:color w:val="auto"/>
          <w:sz w:val="32"/>
          <w:szCs w:val="32"/>
          <w:u w:val="none"/>
          <w:lang w:val="en-US" w:eastAsia="zh-CN"/>
        </w:rPr>
        <w:t>的规定，应负本次事故的主要管理责任。</w:t>
      </w:r>
      <w:r>
        <w:rPr>
          <w:rFonts w:hint="eastAsia" w:ascii="Times New Roman" w:hAnsi="Times New Roman" w:eastAsia="方正仿宋简体" w:cs="Times New Roman"/>
          <w:color w:val="auto"/>
          <w:sz w:val="32"/>
          <w:szCs w:val="32"/>
          <w:lang w:val="en-US" w:eastAsia="zh-CN"/>
        </w:rPr>
        <w:t>根据《中华人民共和国刑法》第一百三十四条第二款：“强令他人违章冒险作业，或者明知存在重大事故隐患而不排除，仍冒险组织作业，因而发生重大伤亡事故或者造成其他严重后果的，处五年以下有期徒刑或者拘役；情节特别恶劣的，处五年以上有期徒刑。”建议依法追究刑事责任。</w:t>
      </w:r>
    </w:p>
    <w:p w14:paraId="4A28E84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Times New Roman" w:hAnsi="Times New Roman" w:eastAsia="方正仿宋简体" w:cs="Times New Roman"/>
          <w:color w:val="auto"/>
          <w:sz w:val="32"/>
          <w:szCs w:val="32"/>
          <w:u w:val="none"/>
          <w:lang w:val="en-US" w:eastAsia="zh-CN"/>
        </w:rPr>
      </w:pPr>
      <w:r>
        <w:rPr>
          <w:rFonts w:hint="eastAsia" w:ascii="方正楷体简体" w:hAnsi="方正楷体简体" w:eastAsia="方正楷体简体" w:cs="方正楷体简体"/>
          <w:color w:val="auto"/>
          <w:sz w:val="32"/>
          <w:szCs w:val="32"/>
          <w:lang w:val="en-US" w:eastAsia="zh-CN"/>
        </w:rPr>
        <w:t>（二）建议给予行政处罚的人员</w:t>
      </w:r>
    </w:p>
    <w:p w14:paraId="5EC1E9E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u w:val="none"/>
          <w:lang w:val="en-US" w:eastAsia="zh-CN"/>
        </w:rPr>
        <w:t>1.廖</w:t>
      </w:r>
      <w:r>
        <w:rPr>
          <w:rFonts w:hint="eastAsia"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u w:val="none"/>
          <w:lang w:val="en-US" w:eastAsia="zh-CN"/>
        </w:rPr>
        <w:t>彬</w:t>
      </w:r>
      <w:r>
        <w:rPr>
          <w:rFonts w:hint="default" w:ascii="Times New Roman" w:hAnsi="Times New Roman" w:eastAsia="方正仿宋简体" w:cs="Times New Roman"/>
          <w:color w:val="auto"/>
          <w:sz w:val="32"/>
          <w:szCs w:val="32"/>
          <w:u w:val="none"/>
          <w:lang w:val="en-US" w:eastAsia="zh-CN"/>
        </w:rPr>
        <w:t>，男，</w:t>
      </w:r>
      <w:r>
        <w:rPr>
          <w:rFonts w:hint="eastAsia" w:ascii="Times New Roman" w:hAnsi="Times New Roman" w:eastAsia="方正仿宋简体" w:cs="Times New Roman"/>
          <w:color w:val="auto"/>
          <w:sz w:val="32"/>
          <w:szCs w:val="32"/>
          <w:u w:val="none"/>
          <w:lang w:val="en-US" w:eastAsia="zh-CN"/>
        </w:rPr>
        <w:t>四川绵竹市盘龙矿物质有限责任公司总经理、法定代表人</w:t>
      </w:r>
      <w:r>
        <w:rPr>
          <w:rFonts w:hint="default" w:ascii="Times New Roman" w:hAnsi="Times New Roman" w:eastAsia="方正仿宋简体" w:cs="Times New Roman"/>
          <w:color w:val="auto"/>
          <w:sz w:val="32"/>
          <w:szCs w:val="32"/>
          <w:u w:val="none"/>
          <w:lang w:val="en-US" w:eastAsia="zh-CN"/>
        </w:rPr>
        <w:t>，</w:t>
      </w:r>
      <w:r>
        <w:rPr>
          <w:rFonts w:hint="eastAsia" w:ascii="Times New Roman" w:hAnsi="Times New Roman" w:eastAsia="方正仿宋简体" w:cs="Times New Roman"/>
          <w:color w:val="auto"/>
          <w:sz w:val="32"/>
          <w:szCs w:val="32"/>
          <w:u w:val="none"/>
          <w:lang w:val="en-US" w:eastAsia="zh-CN"/>
        </w:rPr>
        <w:t>负责公司全面工作，未切实履行生产经营单位主要负责人安全生产管理职责，组织实施本单位安全生产规章制度</w:t>
      </w:r>
      <w:r>
        <w:rPr>
          <w:rStyle w:val="12"/>
          <w:rFonts w:hint="eastAsia" w:ascii="Times New Roman" w:hAnsi="Times New Roman" w:eastAsia="方正仿宋简体" w:cs="Times New Roman"/>
          <w:color w:val="auto"/>
          <w:sz w:val="32"/>
          <w:szCs w:val="32"/>
          <w:u w:val="none"/>
          <w:lang w:val="en-US" w:eastAsia="zh-CN"/>
        </w:rPr>
        <w:t>[</w:t>
      </w:r>
      <w:r>
        <w:rPr>
          <w:rStyle w:val="12"/>
          <w:rFonts w:hint="eastAsia" w:ascii="Times New Roman" w:hAnsi="Times New Roman" w:eastAsia="方正仿宋简体" w:cs="Times New Roman"/>
          <w:color w:val="auto"/>
          <w:sz w:val="32"/>
          <w:szCs w:val="32"/>
          <w:u w:val="none"/>
          <w:lang w:val="en-US" w:eastAsia="zh-CN"/>
        </w:rPr>
        <w:footnoteReference w:id="17"/>
      </w:r>
      <w:r>
        <w:rPr>
          <w:rStyle w:val="12"/>
          <w:rFonts w:hint="eastAsia" w:ascii="Times New Roman" w:hAnsi="Times New Roman" w:eastAsia="方正仿宋简体" w:cs="Times New Roman"/>
          <w:color w:val="auto"/>
          <w:sz w:val="32"/>
          <w:szCs w:val="32"/>
          <w:u w:val="none"/>
          <w:lang w:val="en-US" w:eastAsia="zh-CN"/>
        </w:rPr>
        <w:t>]</w:t>
      </w:r>
      <w:r>
        <w:rPr>
          <w:rFonts w:hint="eastAsia" w:ascii="Times New Roman" w:hAnsi="Times New Roman" w:eastAsia="方正仿宋简体" w:cs="Times New Roman"/>
          <w:color w:val="auto"/>
          <w:sz w:val="32"/>
          <w:szCs w:val="32"/>
          <w:u w:val="none"/>
          <w:lang w:val="en-US" w:eastAsia="zh-CN"/>
        </w:rPr>
        <w:t>不到位，项目建设时未做好项目设计工作，对项目是否委托具有资质的设计单位进行设计并委托具有资质的审图机构进行审查管理工作不到位，未组织办理施工许可，未及时发现并消除隐患。其行为违反</w:t>
      </w:r>
      <w:r>
        <w:rPr>
          <w:rFonts w:hint="default" w:ascii="Times New Roman" w:hAnsi="Times New Roman" w:eastAsia="方正仿宋简体" w:cs="Times New Roman"/>
          <w:color w:val="auto"/>
          <w:sz w:val="32"/>
          <w:szCs w:val="32"/>
          <w:u w:val="none"/>
          <w:lang w:val="en-US" w:eastAsia="zh-CN"/>
        </w:rPr>
        <w:t>《</w:t>
      </w:r>
      <w:r>
        <w:rPr>
          <w:rFonts w:hint="eastAsia" w:ascii="Times New Roman" w:hAnsi="Times New Roman" w:eastAsia="方正仿宋简体" w:cs="Times New Roman"/>
          <w:color w:val="auto"/>
          <w:sz w:val="32"/>
          <w:szCs w:val="32"/>
          <w:u w:val="none"/>
          <w:lang w:val="en-US" w:eastAsia="zh-CN"/>
        </w:rPr>
        <w:t>中华人民共和国</w:t>
      </w:r>
      <w:r>
        <w:rPr>
          <w:rFonts w:hint="default" w:ascii="Times New Roman" w:hAnsi="Times New Roman" w:eastAsia="方正仿宋简体" w:cs="Times New Roman"/>
          <w:color w:val="auto"/>
          <w:sz w:val="32"/>
          <w:szCs w:val="32"/>
          <w:u w:val="none"/>
          <w:lang w:val="en-US" w:eastAsia="zh-CN"/>
        </w:rPr>
        <w:t>安全生产法》第</w:t>
      </w:r>
      <w:r>
        <w:rPr>
          <w:rFonts w:hint="eastAsia" w:ascii="Times New Roman" w:hAnsi="Times New Roman" w:eastAsia="方正仿宋简体" w:cs="Times New Roman"/>
          <w:color w:val="auto"/>
          <w:sz w:val="32"/>
          <w:szCs w:val="32"/>
          <w:u w:val="none"/>
          <w:lang w:val="en-US" w:eastAsia="zh-CN"/>
        </w:rPr>
        <w:t>二十一</w:t>
      </w:r>
      <w:r>
        <w:rPr>
          <w:rFonts w:hint="default" w:ascii="Times New Roman" w:hAnsi="Times New Roman" w:eastAsia="方正仿宋简体" w:cs="Times New Roman"/>
          <w:color w:val="auto"/>
          <w:sz w:val="32"/>
          <w:szCs w:val="32"/>
          <w:u w:val="none"/>
          <w:lang w:val="en-US" w:eastAsia="zh-CN"/>
        </w:rPr>
        <w:t>条</w:t>
      </w:r>
      <w:r>
        <w:rPr>
          <w:rFonts w:hint="eastAsia" w:ascii="Times New Roman" w:hAnsi="Times New Roman" w:eastAsia="方正仿宋简体" w:cs="Times New Roman"/>
          <w:color w:val="auto"/>
          <w:sz w:val="32"/>
          <w:szCs w:val="32"/>
          <w:u w:val="none"/>
          <w:lang w:val="en-US" w:eastAsia="zh-CN"/>
        </w:rPr>
        <w:t>第一项、第五项</w:t>
      </w:r>
      <w:r>
        <w:rPr>
          <w:rStyle w:val="12"/>
          <w:rFonts w:hint="default" w:ascii="Times New Roman" w:hAnsi="Times New Roman" w:eastAsia="方正仿宋简体" w:cs="Times New Roman"/>
          <w:color w:val="auto"/>
          <w:sz w:val="32"/>
          <w:szCs w:val="32"/>
          <w:u w:val="none"/>
          <w:lang w:val="en-US" w:eastAsia="zh-CN"/>
        </w:rPr>
        <w:t>[</w:t>
      </w:r>
      <w:r>
        <w:rPr>
          <w:rStyle w:val="12"/>
          <w:rFonts w:hint="default" w:ascii="Times New Roman" w:hAnsi="Times New Roman" w:eastAsia="方正仿宋简体" w:cs="Times New Roman"/>
          <w:color w:val="auto"/>
          <w:sz w:val="32"/>
          <w:szCs w:val="32"/>
          <w:u w:val="none"/>
          <w:lang w:val="en-US" w:eastAsia="zh-CN"/>
        </w:rPr>
        <w:footnoteReference w:id="18"/>
      </w:r>
      <w:r>
        <w:rPr>
          <w:rStyle w:val="12"/>
          <w:rFonts w:hint="default" w:ascii="Times New Roman" w:hAnsi="Times New Roman" w:eastAsia="方正仿宋简体" w:cs="Times New Roman"/>
          <w:color w:val="auto"/>
          <w:sz w:val="32"/>
          <w:szCs w:val="32"/>
          <w:u w:val="none"/>
          <w:lang w:val="en-US" w:eastAsia="zh-CN"/>
        </w:rPr>
        <w:t>]</w:t>
      </w:r>
      <w:r>
        <w:rPr>
          <w:rFonts w:hint="eastAsia" w:ascii="Times New Roman" w:hAnsi="Times New Roman" w:eastAsia="方正仿宋简体" w:cs="Times New Roman"/>
          <w:color w:val="auto"/>
          <w:sz w:val="32"/>
          <w:szCs w:val="32"/>
          <w:u w:val="none"/>
          <w:lang w:val="en-US" w:eastAsia="zh-CN"/>
        </w:rPr>
        <w:t>的规定，应负本次事故的重要管理责任。建议由绵竹市</w:t>
      </w:r>
      <w:r>
        <w:rPr>
          <w:rFonts w:hint="default" w:ascii="Times New Roman" w:hAnsi="Times New Roman" w:eastAsia="方正仿宋简体" w:cs="Times New Roman"/>
          <w:color w:val="auto"/>
          <w:sz w:val="32"/>
          <w:szCs w:val="32"/>
          <w:u w:val="none"/>
          <w:lang w:val="en-US" w:eastAsia="zh-CN"/>
        </w:rPr>
        <w:t>应急</w:t>
      </w:r>
      <w:r>
        <w:rPr>
          <w:rFonts w:hint="eastAsia" w:ascii="Times New Roman" w:hAnsi="Times New Roman" w:eastAsia="方正仿宋简体" w:cs="Times New Roman"/>
          <w:color w:val="auto"/>
          <w:sz w:val="32"/>
          <w:szCs w:val="32"/>
          <w:u w:val="none"/>
          <w:lang w:val="en-US" w:eastAsia="zh-CN"/>
        </w:rPr>
        <w:t>管理</w:t>
      </w:r>
      <w:r>
        <w:rPr>
          <w:rFonts w:hint="default" w:ascii="Times New Roman" w:hAnsi="Times New Roman" w:eastAsia="方正仿宋简体" w:cs="Times New Roman"/>
          <w:color w:val="auto"/>
          <w:sz w:val="32"/>
          <w:szCs w:val="32"/>
          <w:u w:val="none"/>
          <w:lang w:val="en-US" w:eastAsia="zh-CN"/>
        </w:rPr>
        <w:t>局</w:t>
      </w:r>
      <w:r>
        <w:rPr>
          <w:rFonts w:hint="eastAsia" w:ascii="Times New Roman" w:hAnsi="Times New Roman" w:eastAsia="方正仿宋简体" w:cs="Times New Roman"/>
          <w:color w:val="auto"/>
          <w:sz w:val="32"/>
          <w:szCs w:val="32"/>
          <w:u w:val="none"/>
          <w:lang w:val="en-US" w:eastAsia="zh-CN"/>
        </w:rPr>
        <w:t>依据</w:t>
      </w:r>
      <w:r>
        <w:rPr>
          <w:rFonts w:hint="default" w:ascii="Times New Roman" w:hAnsi="Times New Roman" w:eastAsia="方正仿宋简体" w:cs="Times New Roman"/>
          <w:color w:val="auto"/>
          <w:sz w:val="32"/>
          <w:szCs w:val="32"/>
          <w:u w:val="none"/>
          <w:lang w:val="en-US" w:eastAsia="zh-CN"/>
        </w:rPr>
        <w:t>《</w:t>
      </w:r>
      <w:r>
        <w:rPr>
          <w:rFonts w:hint="eastAsia" w:ascii="Times New Roman" w:hAnsi="Times New Roman" w:eastAsia="方正仿宋简体" w:cs="Times New Roman"/>
          <w:color w:val="auto"/>
          <w:sz w:val="32"/>
          <w:szCs w:val="32"/>
          <w:u w:val="none"/>
          <w:lang w:val="en-US" w:eastAsia="zh-CN"/>
        </w:rPr>
        <w:t>中华人民共和国</w:t>
      </w:r>
      <w:r>
        <w:rPr>
          <w:rFonts w:hint="default" w:ascii="Times New Roman" w:hAnsi="Times New Roman" w:eastAsia="方正仿宋简体" w:cs="Times New Roman"/>
          <w:color w:val="auto"/>
          <w:sz w:val="32"/>
          <w:szCs w:val="32"/>
          <w:u w:val="none"/>
          <w:lang w:val="en-US" w:eastAsia="zh-CN"/>
        </w:rPr>
        <w:t>安全生产法》第九十五条</w:t>
      </w:r>
      <w:r>
        <w:rPr>
          <w:rFonts w:hint="eastAsia" w:ascii="Times New Roman" w:hAnsi="Times New Roman" w:eastAsia="方正仿宋简体" w:cs="Times New Roman"/>
          <w:color w:val="auto"/>
          <w:sz w:val="32"/>
          <w:szCs w:val="32"/>
          <w:u w:val="none"/>
          <w:lang w:val="en-US" w:eastAsia="zh-CN"/>
        </w:rPr>
        <w:t>第一项</w:t>
      </w:r>
      <w:r>
        <w:rPr>
          <w:rStyle w:val="12"/>
          <w:rFonts w:hint="eastAsia" w:ascii="Times New Roman" w:hAnsi="Times New Roman" w:eastAsia="方正仿宋简体" w:cs="Times New Roman"/>
          <w:color w:val="auto"/>
          <w:sz w:val="32"/>
          <w:szCs w:val="32"/>
          <w:u w:val="none"/>
          <w:lang w:val="en-US" w:eastAsia="zh-CN"/>
        </w:rPr>
        <w:t>[</w:t>
      </w:r>
      <w:r>
        <w:rPr>
          <w:rStyle w:val="12"/>
          <w:rFonts w:hint="eastAsia" w:ascii="Times New Roman" w:hAnsi="Times New Roman" w:eastAsia="方正仿宋简体" w:cs="Times New Roman"/>
          <w:color w:val="auto"/>
          <w:sz w:val="32"/>
          <w:szCs w:val="32"/>
          <w:u w:val="none"/>
          <w:lang w:val="en-US" w:eastAsia="zh-CN"/>
        </w:rPr>
        <w:footnoteReference w:id="19"/>
      </w:r>
      <w:r>
        <w:rPr>
          <w:rStyle w:val="12"/>
          <w:rFonts w:hint="eastAsia" w:ascii="Times New Roman" w:hAnsi="Times New Roman" w:eastAsia="方正仿宋简体" w:cs="Times New Roman"/>
          <w:color w:val="auto"/>
          <w:sz w:val="32"/>
          <w:szCs w:val="32"/>
          <w:u w:val="none"/>
          <w:lang w:val="en-US" w:eastAsia="zh-CN"/>
        </w:rPr>
        <w:t>]</w:t>
      </w:r>
      <w:r>
        <w:rPr>
          <w:rFonts w:hint="eastAsia" w:ascii="Times New Roman" w:hAnsi="Times New Roman" w:eastAsia="方正仿宋简体" w:cs="Times New Roman"/>
          <w:color w:val="auto"/>
          <w:sz w:val="32"/>
          <w:szCs w:val="32"/>
          <w:u w:val="none"/>
          <w:lang w:val="en-US" w:eastAsia="zh-CN"/>
        </w:rPr>
        <w:t>的规定给予行政处罚</w:t>
      </w:r>
      <w:r>
        <w:rPr>
          <w:rFonts w:hint="default" w:ascii="Times New Roman" w:hAnsi="Times New Roman" w:eastAsia="方正仿宋简体" w:cs="Times New Roman"/>
          <w:color w:val="auto"/>
          <w:sz w:val="32"/>
          <w:szCs w:val="32"/>
          <w:lang w:val="en-US" w:eastAsia="zh-CN"/>
        </w:rPr>
        <w:t>。</w:t>
      </w:r>
    </w:p>
    <w:p w14:paraId="221C272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u w:val="none"/>
          <w:lang w:val="en-US" w:eastAsia="zh-CN"/>
        </w:rPr>
        <w:t>2.</w:t>
      </w:r>
      <w:r>
        <w:rPr>
          <w:rFonts w:hint="eastAsia" w:ascii="Times New Roman" w:hAnsi="Times New Roman" w:eastAsia="方正仿宋简体" w:cs="Times New Roman"/>
          <w:color w:val="auto"/>
          <w:sz w:val="32"/>
          <w:szCs w:val="32"/>
          <w:lang w:val="en-US" w:eastAsia="zh-CN"/>
        </w:rPr>
        <w:t>刘*，男，四川绵竹市盘龙矿物质有限责任公司副总经理兼设备部部长，负责本公司磷矿库钢结构雨棚建设项目建设管理，未履行项目安全管理和资质审查职责，未审查施工单位钢结构施工资质和安全生产许可证，未落实《四川绵竹市盘龙矿物质有限责任公司安全生产管理制度》</w:t>
      </w:r>
      <w:r>
        <w:rPr>
          <w:rStyle w:val="12"/>
          <w:rFonts w:hint="eastAsia" w:ascii="Times New Roman" w:hAnsi="Times New Roman" w:eastAsia="方正仿宋简体" w:cs="Times New Roman"/>
          <w:color w:val="auto"/>
          <w:sz w:val="32"/>
          <w:szCs w:val="32"/>
          <w:lang w:val="en-US" w:eastAsia="zh-CN"/>
        </w:rPr>
        <w:t>[</w:t>
      </w:r>
      <w:r>
        <w:rPr>
          <w:rStyle w:val="12"/>
          <w:rFonts w:hint="eastAsia" w:ascii="Times New Roman" w:hAnsi="Times New Roman" w:eastAsia="方正仿宋简体" w:cs="Times New Roman"/>
          <w:color w:val="auto"/>
          <w:sz w:val="32"/>
          <w:szCs w:val="32"/>
          <w:lang w:val="en-US" w:eastAsia="zh-CN"/>
        </w:rPr>
        <w:footnoteReference w:id="20"/>
      </w:r>
      <w:r>
        <w:rPr>
          <w:rStyle w:val="12"/>
          <w:rFonts w:hint="eastAsia"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规定，未对施工单位的相关资质组织进行审查，导致建设项目发包给不具有资质的单位进行施工，</w:t>
      </w:r>
      <w:r>
        <w:rPr>
          <w:rFonts w:hint="eastAsia" w:ascii="Times New Roman" w:hAnsi="Times New Roman" w:eastAsia="方正仿宋简体" w:cs="Times New Roman"/>
          <w:color w:val="auto"/>
          <w:sz w:val="32"/>
          <w:szCs w:val="32"/>
          <w:u w:val="none"/>
          <w:lang w:val="en-US" w:eastAsia="zh-CN"/>
        </w:rPr>
        <w:t>未及时发现并消除隐患</w:t>
      </w:r>
      <w:r>
        <w:rPr>
          <w:rFonts w:hint="eastAsia" w:ascii="Times New Roman" w:hAnsi="Times New Roman" w:eastAsia="方正仿宋简体" w:cs="Times New Roman"/>
          <w:color w:val="auto"/>
          <w:sz w:val="32"/>
          <w:szCs w:val="32"/>
          <w:lang w:val="en-US" w:eastAsia="zh-CN"/>
        </w:rPr>
        <w:t>。其行为违反</w:t>
      </w:r>
      <w:r>
        <w:rPr>
          <w:rFonts w:hint="default"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中华人民共和国</w:t>
      </w:r>
      <w:r>
        <w:rPr>
          <w:rFonts w:hint="default" w:ascii="Times New Roman" w:hAnsi="Times New Roman" w:eastAsia="方正仿宋简体" w:cs="Times New Roman"/>
          <w:color w:val="auto"/>
          <w:sz w:val="32"/>
          <w:szCs w:val="32"/>
          <w:lang w:val="en-US" w:eastAsia="zh-CN"/>
        </w:rPr>
        <w:t>安全生产法》</w:t>
      </w:r>
      <w:r>
        <w:rPr>
          <w:rFonts w:hint="eastAsia" w:ascii="Times New Roman" w:hAnsi="Times New Roman" w:eastAsia="方正仿宋简体" w:cs="Times New Roman"/>
          <w:color w:val="auto"/>
          <w:sz w:val="32"/>
          <w:szCs w:val="32"/>
          <w:lang w:val="en-US" w:eastAsia="zh-CN"/>
        </w:rPr>
        <w:t>第二十五条第一款第五项</w:t>
      </w:r>
      <w:r>
        <w:rPr>
          <w:rStyle w:val="12"/>
          <w:rFonts w:hint="eastAsia" w:ascii="Times New Roman" w:hAnsi="Times New Roman" w:eastAsia="方正仿宋简体" w:cs="Times New Roman"/>
          <w:color w:val="auto"/>
          <w:sz w:val="32"/>
          <w:szCs w:val="32"/>
          <w:lang w:val="en-US" w:eastAsia="zh-CN"/>
        </w:rPr>
        <w:t>[</w:t>
      </w:r>
      <w:r>
        <w:rPr>
          <w:rStyle w:val="12"/>
          <w:rFonts w:hint="eastAsia" w:ascii="Times New Roman" w:hAnsi="Times New Roman" w:eastAsia="方正仿宋简体" w:cs="Times New Roman"/>
          <w:color w:val="auto"/>
          <w:sz w:val="32"/>
          <w:szCs w:val="32"/>
          <w:lang w:val="en-US" w:eastAsia="zh-CN"/>
        </w:rPr>
        <w:footnoteReference w:id="21"/>
      </w:r>
      <w:r>
        <w:rPr>
          <w:rStyle w:val="12"/>
          <w:rFonts w:hint="eastAsia"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的规定，应负本次事故的一般管理责任。建议由绵竹市应急管理局依据</w:t>
      </w:r>
      <w:r>
        <w:rPr>
          <w:rFonts w:hint="default"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中华人民共和国</w:t>
      </w:r>
      <w:r>
        <w:rPr>
          <w:rFonts w:hint="default" w:ascii="Times New Roman" w:hAnsi="Times New Roman" w:eastAsia="方正仿宋简体" w:cs="Times New Roman"/>
          <w:color w:val="auto"/>
          <w:sz w:val="32"/>
          <w:szCs w:val="32"/>
          <w:lang w:val="en-US" w:eastAsia="zh-CN"/>
        </w:rPr>
        <w:t>安全生产法》第九十</w:t>
      </w:r>
      <w:r>
        <w:rPr>
          <w:rFonts w:hint="eastAsia" w:ascii="Times New Roman" w:hAnsi="Times New Roman" w:eastAsia="方正仿宋简体" w:cs="Times New Roman"/>
          <w:color w:val="auto"/>
          <w:sz w:val="32"/>
          <w:szCs w:val="32"/>
          <w:lang w:val="en-US" w:eastAsia="zh-CN"/>
        </w:rPr>
        <w:t>六</w:t>
      </w:r>
      <w:r>
        <w:rPr>
          <w:rFonts w:hint="default" w:ascii="Times New Roman" w:hAnsi="Times New Roman" w:eastAsia="方正仿宋简体" w:cs="Times New Roman"/>
          <w:color w:val="auto"/>
          <w:sz w:val="32"/>
          <w:szCs w:val="32"/>
          <w:lang w:val="en-US" w:eastAsia="zh-CN"/>
        </w:rPr>
        <w:t>条</w:t>
      </w:r>
      <w:r>
        <w:rPr>
          <w:rStyle w:val="12"/>
          <w:rFonts w:hint="default" w:ascii="Times New Roman" w:hAnsi="Times New Roman" w:eastAsia="方正仿宋简体" w:cs="Times New Roman"/>
          <w:color w:val="auto"/>
          <w:sz w:val="32"/>
          <w:szCs w:val="32"/>
          <w:lang w:val="en-US" w:eastAsia="zh-CN"/>
        </w:rPr>
        <w:t>[</w:t>
      </w:r>
      <w:r>
        <w:rPr>
          <w:rStyle w:val="12"/>
          <w:rFonts w:hint="default" w:ascii="Times New Roman" w:hAnsi="Times New Roman" w:eastAsia="方正仿宋简体" w:cs="Times New Roman"/>
          <w:color w:val="auto"/>
          <w:sz w:val="32"/>
          <w:szCs w:val="32"/>
          <w:lang w:val="en-US" w:eastAsia="zh-CN"/>
        </w:rPr>
        <w:footnoteReference w:id="22"/>
      </w:r>
      <w:r>
        <w:rPr>
          <w:rStyle w:val="12"/>
          <w:rFonts w:hint="default"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的规定给予行政处罚。</w:t>
      </w:r>
    </w:p>
    <w:p w14:paraId="1A71732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default"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（三）</w:t>
      </w:r>
      <w:r>
        <w:rPr>
          <w:rFonts w:hint="default" w:ascii="方正楷体简体" w:hAnsi="方正楷体简体" w:eastAsia="方正楷体简体" w:cs="方正楷体简体"/>
          <w:color w:val="auto"/>
          <w:sz w:val="32"/>
          <w:szCs w:val="32"/>
          <w:lang w:val="en-US" w:eastAsia="zh-CN"/>
        </w:rPr>
        <w:t>对事故责任单位的行政处罚建议</w:t>
      </w:r>
    </w:p>
    <w:p w14:paraId="294848C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2"/>
        <w:rPr>
          <w:rFonts w:hint="eastAsia" w:ascii="Times New Roman" w:hAnsi="Times New Roman" w:eastAsia="方正仿宋简体" w:cs="Times New Roman"/>
          <w:color w:val="auto"/>
          <w:sz w:val="32"/>
          <w:szCs w:val="32"/>
          <w:u w:val="none"/>
          <w:lang w:val="en-US" w:eastAsia="zh-CN"/>
        </w:rPr>
      </w:pPr>
      <w:r>
        <w:rPr>
          <w:rFonts w:hint="eastAsia" w:ascii="Times New Roman" w:hAnsi="Times New Roman" w:eastAsia="方正仿宋简体" w:cs="Times New Roman"/>
          <w:color w:val="auto"/>
          <w:sz w:val="32"/>
          <w:szCs w:val="32"/>
          <w:u w:val="none"/>
          <w:lang w:val="en-US" w:eastAsia="zh-CN"/>
        </w:rPr>
        <w:t>1.什邡</w:t>
      </w:r>
      <w:r>
        <w:rPr>
          <w:rFonts w:hint="default" w:ascii="Times New Roman" w:hAnsi="Times New Roman" w:eastAsia="方正仿宋简体" w:cs="Times New Roman"/>
          <w:color w:val="auto"/>
          <w:sz w:val="32"/>
          <w:szCs w:val="32"/>
          <w:u w:val="none"/>
          <w:lang w:val="en-US" w:eastAsia="zh-CN"/>
        </w:rPr>
        <w:t>新杰</w:t>
      </w:r>
      <w:r>
        <w:rPr>
          <w:rFonts w:hint="eastAsia" w:ascii="Times New Roman" w:hAnsi="Times New Roman" w:eastAsia="方正仿宋简体" w:cs="Times New Roman"/>
          <w:color w:val="auto"/>
          <w:sz w:val="32"/>
          <w:szCs w:val="32"/>
          <w:u w:val="none"/>
          <w:lang w:val="en-US" w:eastAsia="zh-CN"/>
        </w:rPr>
        <w:t>钢结构安装有限公司</w:t>
      </w:r>
    </w:p>
    <w:p w14:paraId="1B3E4A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2"/>
        <w:rPr>
          <w:rFonts w:hint="default" w:ascii="Times New Roman" w:hAnsi="Times New Roman" w:eastAsia="方正仿宋简体" w:cs="Times New Roman"/>
          <w:color w:val="auto"/>
          <w:sz w:val="32"/>
          <w:szCs w:val="32"/>
          <w:lang w:val="en-US" w:eastAsia="zh-CN"/>
        </w:rPr>
      </w:pPr>
      <w:bookmarkStart w:id="47" w:name="_Toc3353"/>
      <w:r>
        <w:rPr>
          <w:rFonts w:hint="eastAsia" w:ascii="Times New Roman" w:hAnsi="Times New Roman" w:eastAsia="方正仿宋简体" w:cs="Times New Roman"/>
          <w:color w:val="auto"/>
          <w:sz w:val="32"/>
          <w:szCs w:val="32"/>
          <w:lang w:val="en-US" w:eastAsia="zh-CN"/>
        </w:rPr>
        <w:t>未履行安全生产主体责任，违反《中华人民共和国安全生产法》第四条第一款</w:t>
      </w:r>
      <w:r>
        <w:rPr>
          <w:rStyle w:val="12"/>
          <w:rFonts w:hint="eastAsia" w:ascii="Times New Roman" w:hAnsi="Times New Roman" w:eastAsia="方正仿宋简体" w:cs="Times New Roman"/>
          <w:color w:val="auto"/>
          <w:sz w:val="32"/>
          <w:szCs w:val="32"/>
          <w:lang w:val="en-US" w:eastAsia="zh-CN"/>
        </w:rPr>
        <w:t>[</w:t>
      </w:r>
      <w:r>
        <w:rPr>
          <w:rStyle w:val="12"/>
          <w:rFonts w:hint="eastAsia" w:ascii="Times New Roman" w:hAnsi="Times New Roman" w:eastAsia="方正仿宋简体" w:cs="Times New Roman"/>
          <w:color w:val="auto"/>
          <w:sz w:val="32"/>
          <w:szCs w:val="32"/>
          <w:lang w:val="en-US" w:eastAsia="zh-CN"/>
        </w:rPr>
        <w:footnoteReference w:id="23"/>
      </w:r>
      <w:r>
        <w:rPr>
          <w:rStyle w:val="12"/>
          <w:rFonts w:hint="eastAsia"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的规定，对本次事故发生负有责任。</w:t>
      </w:r>
      <w:r>
        <w:rPr>
          <w:rFonts w:hint="default" w:ascii="Times New Roman" w:hAnsi="Times New Roman" w:eastAsia="方正仿宋简体" w:cs="Times New Roman"/>
          <w:color w:val="auto"/>
          <w:sz w:val="32"/>
          <w:szCs w:val="32"/>
          <w:lang w:val="en-US" w:eastAsia="zh-CN"/>
        </w:rPr>
        <w:t>建议由绵竹市应急管理局</w:t>
      </w:r>
      <w:r>
        <w:rPr>
          <w:rFonts w:hint="eastAsia" w:ascii="Times New Roman" w:hAnsi="Times New Roman" w:eastAsia="方正仿宋简体" w:cs="Times New Roman"/>
          <w:color w:val="auto"/>
          <w:sz w:val="32"/>
          <w:szCs w:val="32"/>
          <w:lang w:val="en-US" w:eastAsia="zh-CN"/>
        </w:rPr>
        <w:t>依据</w:t>
      </w:r>
      <w:r>
        <w:rPr>
          <w:rFonts w:hint="default"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中华人民共和国</w:t>
      </w:r>
      <w:r>
        <w:rPr>
          <w:rFonts w:hint="default" w:ascii="Times New Roman" w:hAnsi="Times New Roman" w:eastAsia="方正仿宋简体" w:cs="Times New Roman"/>
          <w:color w:val="auto"/>
          <w:sz w:val="32"/>
          <w:szCs w:val="32"/>
          <w:lang w:val="en-US" w:eastAsia="zh-CN"/>
        </w:rPr>
        <w:t>安全生产法》第一百一十四条</w:t>
      </w:r>
      <w:r>
        <w:rPr>
          <w:rFonts w:hint="eastAsia" w:ascii="Times New Roman" w:hAnsi="Times New Roman" w:eastAsia="方正仿宋简体" w:cs="Times New Roman"/>
          <w:color w:val="auto"/>
          <w:sz w:val="32"/>
          <w:szCs w:val="32"/>
          <w:lang w:val="en-US" w:eastAsia="zh-CN"/>
        </w:rPr>
        <w:t>第一项</w:t>
      </w:r>
      <w:r>
        <w:rPr>
          <w:rStyle w:val="12"/>
          <w:rFonts w:hint="default" w:ascii="Times New Roman" w:hAnsi="Times New Roman" w:eastAsia="方正仿宋简体" w:cs="Times New Roman"/>
          <w:color w:val="auto"/>
          <w:sz w:val="32"/>
          <w:szCs w:val="32"/>
          <w:lang w:val="en-US" w:eastAsia="zh-CN"/>
        </w:rPr>
        <w:t>[</w:t>
      </w:r>
      <w:r>
        <w:rPr>
          <w:rStyle w:val="12"/>
          <w:rFonts w:hint="default" w:ascii="Times New Roman" w:hAnsi="Times New Roman" w:eastAsia="方正仿宋简体" w:cs="Times New Roman"/>
          <w:color w:val="auto"/>
          <w:sz w:val="32"/>
          <w:szCs w:val="32"/>
          <w:lang w:val="en-US" w:eastAsia="zh-CN"/>
        </w:rPr>
        <w:footnoteReference w:id="24"/>
      </w:r>
      <w:r>
        <w:rPr>
          <w:rStyle w:val="12"/>
          <w:rFonts w:hint="default"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给予行政处罚。</w:t>
      </w:r>
      <w:bookmarkEnd w:id="47"/>
    </w:p>
    <w:p w14:paraId="24053F0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2"/>
        <w:rPr>
          <w:rFonts w:hint="eastAsia" w:ascii="Times New Roman" w:hAnsi="Times New Roman" w:eastAsia="方正仿宋简体" w:cs="Times New Roman"/>
          <w:color w:val="auto"/>
          <w:sz w:val="32"/>
          <w:szCs w:val="32"/>
          <w:u w:val="none"/>
          <w:lang w:val="en-US" w:eastAsia="zh-CN"/>
        </w:rPr>
      </w:pPr>
      <w:r>
        <w:rPr>
          <w:rFonts w:hint="eastAsia" w:ascii="Times New Roman" w:hAnsi="Times New Roman" w:eastAsia="方正仿宋简体" w:cs="Times New Roman"/>
          <w:color w:val="auto"/>
          <w:sz w:val="32"/>
          <w:szCs w:val="32"/>
          <w:u w:val="none"/>
          <w:lang w:val="en-US" w:eastAsia="zh-CN"/>
        </w:rPr>
        <w:t>2.四川绵竹市</w:t>
      </w:r>
      <w:r>
        <w:rPr>
          <w:rFonts w:hint="default" w:ascii="Times New Roman" w:hAnsi="Times New Roman" w:eastAsia="方正仿宋简体" w:cs="Times New Roman"/>
          <w:color w:val="auto"/>
          <w:sz w:val="32"/>
          <w:szCs w:val="32"/>
          <w:u w:val="none"/>
          <w:lang w:val="en-US" w:eastAsia="zh-CN"/>
        </w:rPr>
        <w:t>盘龙</w:t>
      </w:r>
      <w:r>
        <w:rPr>
          <w:rFonts w:hint="eastAsia" w:ascii="Times New Roman" w:hAnsi="Times New Roman" w:eastAsia="方正仿宋简体" w:cs="Times New Roman"/>
          <w:color w:val="auto"/>
          <w:sz w:val="32"/>
          <w:szCs w:val="32"/>
          <w:u w:val="none"/>
          <w:lang w:val="en-US" w:eastAsia="zh-CN"/>
        </w:rPr>
        <w:t>矿物质有限责任公司</w:t>
      </w:r>
    </w:p>
    <w:p w14:paraId="6AE4041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2"/>
        <w:rPr>
          <w:rFonts w:hint="default" w:ascii="Times New Roman" w:hAnsi="Times New Roman" w:eastAsia="方正仿宋简体" w:cs="Times New Roman"/>
          <w:color w:val="auto"/>
          <w:sz w:val="32"/>
          <w:szCs w:val="32"/>
          <w:lang w:val="en-US" w:eastAsia="zh-CN"/>
        </w:rPr>
      </w:pPr>
      <w:bookmarkStart w:id="48" w:name="_Toc2074"/>
      <w:r>
        <w:rPr>
          <w:rFonts w:hint="eastAsia" w:ascii="Times New Roman" w:hAnsi="Times New Roman" w:eastAsia="方正仿宋简体" w:cs="Times New Roman"/>
          <w:color w:val="auto"/>
          <w:sz w:val="32"/>
          <w:szCs w:val="32"/>
          <w:lang w:val="en-US" w:eastAsia="zh-CN"/>
        </w:rPr>
        <w:t>未履行安全生产主体责任，违反《中华人民共和国安全生产法》第四条第一款</w:t>
      </w:r>
      <w:r>
        <w:rPr>
          <w:rStyle w:val="12"/>
          <w:rFonts w:hint="eastAsia" w:ascii="Times New Roman" w:hAnsi="Times New Roman" w:eastAsia="方正仿宋简体" w:cs="Times New Roman"/>
          <w:color w:val="auto"/>
          <w:sz w:val="32"/>
          <w:szCs w:val="32"/>
          <w:lang w:val="en-US" w:eastAsia="zh-CN"/>
        </w:rPr>
        <w:t>[</w:t>
      </w:r>
      <w:r>
        <w:rPr>
          <w:rStyle w:val="12"/>
          <w:rFonts w:hint="eastAsia" w:ascii="Times New Roman" w:hAnsi="Times New Roman" w:eastAsia="方正仿宋简体" w:cs="Times New Roman"/>
          <w:color w:val="auto"/>
          <w:sz w:val="32"/>
          <w:szCs w:val="32"/>
          <w:lang w:val="en-US" w:eastAsia="zh-CN"/>
        </w:rPr>
        <w:footnoteReference w:id="25"/>
      </w:r>
      <w:r>
        <w:rPr>
          <w:rStyle w:val="12"/>
          <w:rFonts w:hint="eastAsia"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的规定，对本次事故发生负有责任。建议由绵竹市应急管理局依据</w:t>
      </w:r>
      <w:r>
        <w:rPr>
          <w:rFonts w:hint="default"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中华人民共和国</w:t>
      </w:r>
      <w:r>
        <w:rPr>
          <w:rFonts w:hint="default" w:ascii="Times New Roman" w:hAnsi="Times New Roman" w:eastAsia="方正仿宋简体" w:cs="Times New Roman"/>
          <w:color w:val="auto"/>
          <w:sz w:val="32"/>
          <w:szCs w:val="32"/>
          <w:lang w:val="en-US" w:eastAsia="zh-CN"/>
        </w:rPr>
        <w:t>安全生产法》第一百一十四条</w:t>
      </w:r>
      <w:r>
        <w:rPr>
          <w:rFonts w:hint="eastAsia" w:ascii="Times New Roman" w:hAnsi="Times New Roman" w:eastAsia="方正仿宋简体" w:cs="Times New Roman"/>
          <w:color w:val="auto"/>
          <w:sz w:val="32"/>
          <w:szCs w:val="32"/>
          <w:lang w:val="en-US" w:eastAsia="zh-CN"/>
        </w:rPr>
        <w:t>第一项</w:t>
      </w:r>
      <w:r>
        <w:rPr>
          <w:rStyle w:val="12"/>
          <w:rFonts w:hint="default" w:ascii="Times New Roman" w:hAnsi="Times New Roman" w:eastAsia="方正仿宋简体" w:cs="Times New Roman"/>
          <w:color w:val="auto"/>
          <w:sz w:val="32"/>
          <w:szCs w:val="32"/>
          <w:lang w:val="en-US" w:eastAsia="zh-CN"/>
        </w:rPr>
        <w:t>[</w:t>
      </w:r>
      <w:r>
        <w:rPr>
          <w:rStyle w:val="12"/>
          <w:rFonts w:hint="default" w:ascii="Times New Roman" w:hAnsi="Times New Roman" w:eastAsia="方正仿宋简体" w:cs="Times New Roman"/>
          <w:color w:val="auto"/>
          <w:sz w:val="32"/>
          <w:szCs w:val="32"/>
          <w:lang w:val="en-US" w:eastAsia="zh-CN"/>
        </w:rPr>
        <w:footnoteReference w:id="26"/>
      </w:r>
      <w:r>
        <w:rPr>
          <w:rStyle w:val="12"/>
          <w:rFonts w:hint="default" w:ascii="Times New Roman" w:hAnsi="Times New Roman" w:eastAsia="方正仿宋简体" w:cs="Times New Roman"/>
          <w:color w:val="auto"/>
          <w:sz w:val="32"/>
          <w:szCs w:val="32"/>
          <w:lang w:val="en-US" w:eastAsia="zh-CN"/>
        </w:rPr>
        <w:t>]</w:t>
      </w:r>
      <w:r>
        <w:rPr>
          <w:rFonts w:hint="eastAsia" w:ascii="Times New Roman" w:hAnsi="Times New Roman" w:eastAsia="方正仿宋简体" w:cs="Times New Roman"/>
          <w:color w:val="auto"/>
          <w:sz w:val="32"/>
          <w:szCs w:val="32"/>
          <w:lang w:val="en-US" w:eastAsia="zh-CN"/>
        </w:rPr>
        <w:t>给予行政处罚</w:t>
      </w:r>
      <w:bookmarkEnd w:id="48"/>
      <w:r>
        <w:rPr>
          <w:rFonts w:hint="eastAsia" w:ascii="Times New Roman" w:hAnsi="Times New Roman" w:eastAsia="方正仿宋简体" w:cs="Times New Roman"/>
          <w:color w:val="auto"/>
          <w:sz w:val="32"/>
          <w:szCs w:val="32"/>
          <w:lang w:val="en-US" w:eastAsia="zh-CN"/>
        </w:rPr>
        <w:t>。</w:t>
      </w:r>
    </w:p>
    <w:p w14:paraId="2A64EA3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（四）其他问题处理建议</w:t>
      </w:r>
    </w:p>
    <w:p w14:paraId="4816D91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color w:val="auto"/>
          <w:sz w:val="32"/>
          <w:szCs w:val="32"/>
          <w:lang w:val="en-US" w:eastAsia="zh-CN"/>
        </w:rPr>
      </w:pPr>
      <w:bookmarkStart w:id="49" w:name="_Toc381"/>
      <w:r>
        <w:rPr>
          <w:rFonts w:hint="default" w:ascii="Times New Roman" w:hAnsi="Times New Roman" w:eastAsia="方正仿宋简体" w:cs="Times New Roman"/>
          <w:color w:val="auto"/>
          <w:sz w:val="32"/>
          <w:szCs w:val="32"/>
          <w:lang w:val="en-US" w:eastAsia="zh-CN"/>
        </w:rPr>
        <w:t>1.建议对调查发现的绵竹市汉旺镇人民政府有关问题，由绵竹市安全生产委员会办公室在全市范围内对汉旺镇进行通报批评，并对汉旺镇党委政府主要负责人进行约谈，汉旺镇其他相关责任人员由汉旺镇党委政府根据相关规定进行处置，处置情况报绵竹市安全生产委员会办公室备案。</w:t>
      </w:r>
      <w:bookmarkEnd w:id="49"/>
    </w:p>
    <w:p w14:paraId="1B6C159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color w:val="auto"/>
          <w:sz w:val="32"/>
          <w:szCs w:val="32"/>
          <w:lang w:val="en-US" w:eastAsia="zh-CN"/>
        </w:rPr>
      </w:pPr>
      <w:r>
        <w:rPr>
          <w:rFonts w:hint="default" w:ascii="Times New Roman" w:hAnsi="Times New Roman" w:eastAsia="方正仿宋简体" w:cs="Times New Roman"/>
          <w:color w:val="auto"/>
          <w:sz w:val="32"/>
          <w:szCs w:val="32"/>
          <w:lang w:val="en-US" w:eastAsia="zh-CN"/>
        </w:rPr>
        <w:t>2.建议对调查发现的绵竹市住房和城乡建设局有关问题，由绵竹市安全生产委员会办公室在全市范围内对绵竹市住房和城乡建设局进行通报批评，并对</w:t>
      </w:r>
      <w:r>
        <w:rPr>
          <w:rFonts w:hint="eastAsia" w:ascii="Times New Roman" w:hAnsi="Times New Roman" w:eastAsia="方正仿宋简体" w:cs="Times New Roman"/>
          <w:color w:val="auto"/>
          <w:sz w:val="32"/>
          <w:szCs w:val="32"/>
          <w:lang w:val="en-US" w:eastAsia="zh-CN"/>
        </w:rPr>
        <w:t>有关责任人员</w:t>
      </w:r>
      <w:r>
        <w:rPr>
          <w:rFonts w:hint="default" w:ascii="Times New Roman" w:hAnsi="Times New Roman" w:eastAsia="方正仿宋简体" w:cs="Times New Roman"/>
          <w:color w:val="auto"/>
          <w:sz w:val="32"/>
          <w:szCs w:val="32"/>
          <w:lang w:val="en-US" w:eastAsia="zh-CN"/>
        </w:rPr>
        <w:t>进行约谈。</w:t>
      </w:r>
    </w:p>
    <w:p w14:paraId="594FC11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color w:val="auto"/>
          <w:sz w:val="32"/>
          <w:szCs w:val="32"/>
          <w:lang w:val="en-US" w:eastAsia="zh-CN"/>
        </w:rPr>
      </w:pPr>
      <w:bookmarkStart w:id="50" w:name="_Toc1672"/>
      <w:r>
        <w:rPr>
          <w:rFonts w:hint="eastAsia" w:ascii="黑体" w:hAnsi="黑体" w:eastAsia="黑体" w:cs="黑体"/>
          <w:color w:val="auto"/>
          <w:sz w:val="32"/>
          <w:szCs w:val="32"/>
          <w:lang w:val="en-US" w:eastAsia="zh-CN"/>
        </w:rPr>
        <w:t>六、事故防范和整改措施建议</w:t>
      </w:r>
      <w:bookmarkEnd w:id="50"/>
    </w:p>
    <w:p w14:paraId="741737A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本次事故影响严重、教训深刻，发人深思、令人警醒，充分暴露出企业主体责任不落实、安全防范措施落实不到位、动态风险防控机制措施不健全等突出问题。为认真汲取事故教训，举一反三，全面加强安全生产工作，遏制和防范类似事故的再发生，提出以下防范整改措施。</w:t>
      </w:r>
    </w:p>
    <w:p w14:paraId="7B64299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（一）提高政治站位，树牢安全发展理念</w:t>
      </w:r>
    </w:p>
    <w:p w14:paraId="17EEC5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绵竹市汉旺镇党委政府及市住建局等有关部门要深入学习和贯彻落实</w:t>
      </w:r>
      <w:bookmarkStart w:id="51" w:name="_GoBack"/>
      <w:bookmarkEnd w:id="51"/>
      <w:r>
        <w:rPr>
          <w:rFonts w:hint="eastAsia" w:ascii="Times New Roman" w:hAnsi="Times New Roman" w:eastAsia="方正仿宋简体" w:cs="Times New Roman"/>
          <w:color w:val="auto"/>
          <w:sz w:val="32"/>
          <w:szCs w:val="32"/>
          <w:lang w:val="en-US" w:eastAsia="zh-CN"/>
        </w:rPr>
        <w:t>习近平总书记关于安全生产工作的重要指示精神。认真贯彻中、省、市有关安全生产工作决策部署，牢固树立安全发展理念，始终坚持人民至上、生命至上，强化安全生产红线意识和底线思维，切实增强忧患意识和抓好安全生产工作的责任感和紧迫感，时刻绷紧安全生产这根弦，以高度的政治自觉和极端负责的态度抓紧抓实安全生产工作，切实承担起“促一方发展、保一方平安”的政治责任，坚决防范和有效遏制各类事故发生，为绵竹高质量发展营造安全良好的氛围。</w:t>
      </w:r>
    </w:p>
    <w:p w14:paraId="7DCCBA0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（二）全面压实责任，切实消除监管盲区</w:t>
      </w:r>
    </w:p>
    <w:p w14:paraId="7A53C8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绵竹市各镇（街道）和市住建局有关部门要深刻汲取事故教训，有关单位要制定事故专项整改方案，坚持问题导向、举一反三，严格落实“党政同责、一岗双责、失职追责”和“三管三必须”要求，全面压紧压实责任，以最严举措深化专项整治，全面防范化解风险。要强化对工程建筑施工领域的安全监管，严格履行项目开工、质量安全监督、工程备案等手续，加强工程建筑施工领域督查检查巡查力度，扎实开展安全生产专项整治，加强现场监督检查，严厉打击非法、违法行为，深化安全生产风险管控和事故隐患动态清零行动。对发现的突出问题和事故隐患及时督促企业彻底整改，重大隐患排除前或排除过程中无法保证安全的，依法依规采取强制手段，对未履行项目审批、备案等许可的，依法依规严肃处理，全面提升建设施工领域本质安全水平。</w:t>
      </w:r>
    </w:p>
    <w:p w14:paraId="1C2AB5C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（三）强化风险管控，落实企业主体责任</w:t>
      </w:r>
    </w:p>
    <w:p w14:paraId="6B46790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建设单位和施工单位要深刻吸取事故教训，严格落实安全生产主体责任。建设单位必须严格遵守国家基本建设相关法律法规规定和程序，严禁未取得施工许可证或者开工报告未经批准擅自施工，严禁将工程发包给不具有相应资质等级的单位和个人。要建立和落实全员安全生产责任制，进一步理清内设部门安全监管职责，细化岗位责任，及时修订并严格执行各项规章制度和安全操作规程，强化督查考核与落实。要持续对所有实施的新建、在建项目开展安全生产隐患排查治理，严格落实项目立项备案、开工许可、“三同时”等规定，加强对工程项目各相关方履行安全生产责任情况的监督检查，强化对派驻项目现场的管理人员的考核和监督，切实发挥施工现场管控作用，提升企业安全管理水平。施工单位必须保障本单位的安全生产条件，严禁未取得资质证书承揽工程，严禁对建筑安全事故隐患不采取措施行为，严禁无证上岗作业行为，杜绝“三违”行为，加强现场管理和隐患排查治理，确保生产安全。</w:t>
      </w:r>
    </w:p>
    <w:p w14:paraId="701A95F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lang w:val="en-US" w:eastAsia="zh-CN"/>
        </w:rPr>
        <w:t>（四）加强宣传教育，提高安全生产意识</w:t>
      </w:r>
    </w:p>
    <w:p w14:paraId="17E22D7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Times New Roman"/>
          <w:color w:val="auto"/>
          <w:sz w:val="32"/>
          <w:szCs w:val="32"/>
          <w:lang w:val="en-US" w:eastAsia="zh-CN"/>
        </w:rPr>
      </w:pPr>
      <w:r>
        <w:rPr>
          <w:rFonts w:hint="eastAsia" w:ascii="Times New Roman" w:hAnsi="Times New Roman" w:eastAsia="方正仿宋简体" w:cs="Times New Roman"/>
          <w:color w:val="auto"/>
          <w:sz w:val="32"/>
          <w:szCs w:val="32"/>
          <w:lang w:val="en-US" w:eastAsia="zh-CN"/>
        </w:rPr>
        <w:t>绵竹市各镇（街道）和市住建局等有关部门要深入开展安全生产宣传教育培训。将该事故纳入典型案例，制作安全生产警示教育宣传片，在全市范围内开展警示教育，做到“一企出事故、全市受警示”。聘请专家对重点行业领域，分类开展安全生产专项教育培训。充分利用互联网、新媒体、电视等多种载体，扎实开展安全宣传活动。积极推广重大事故隐患和安全生产违法行为举报奖励制度，鼓励社会公众、新闻媒体监督，努力提高全民安全生产意识。建设单位和施工单位要全员开展通报警示教育，加强《中华人民共和国安全生产法》《中华人民共和国建筑法》等法律法规学习培训，扎实组织开展“三级”安全教育培训，加强对本单位人员的风险防范意识、安全隐患治理、安全操作技能等专项培训教育，不断提升主要负责人、项目管理和安全管理人员的业务能力水平，进一步提高员工安全意识和安全操作技能。</w:t>
      </w:r>
    </w:p>
    <w:sectPr>
      <w:footnotePr>
        <w:numFmt w:val="decimal"/>
      </w:footnotePr>
      <w:pgSz w:w="11906" w:h="16838"/>
      <w:pgMar w:top="1701" w:right="1417" w:bottom="1417" w:left="141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015F13A-3091-4FCB-B345-5332D5D7E1D8}"/>
  </w:font>
  <w:font w:name="黑体">
    <w:panose1 w:val="02010609060101010101"/>
    <w:charset w:val="86"/>
    <w:family w:val="auto"/>
    <w:pitch w:val="default"/>
    <w:sig w:usb0="800002BF" w:usb1="38CF7CFA" w:usb2="00000016" w:usb3="00000000" w:csb0="00040001" w:csb1="00000000"/>
    <w:embedRegular r:id="rId2" w:fontKey="{B83CCBFB-C061-43C2-9AB9-4E72B2959EE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embedRegular r:id="rId3" w:fontKey="{938E19C8-39E4-4CFE-975D-F652A1558208}"/>
  </w:font>
  <w:font w:name="楷体">
    <w:panose1 w:val="02010609060101010101"/>
    <w:charset w:val="86"/>
    <w:family w:val="auto"/>
    <w:pitch w:val="default"/>
    <w:sig w:usb0="800002BF" w:usb1="38CF7CFA" w:usb2="00000016" w:usb3="00000000" w:csb0="00040001" w:csb1="00000000"/>
  </w:font>
  <w:font w:name="方正仿宋简体">
    <w:panose1 w:val="03000509000000000000"/>
    <w:charset w:val="86"/>
    <w:family w:val="auto"/>
    <w:pitch w:val="default"/>
    <w:sig w:usb0="00000001" w:usb1="080E0000" w:usb2="00000000" w:usb3="00000000" w:csb0="00040000" w:csb1="00000000"/>
    <w:embedRegular r:id="rId4" w:fontKey="{1F9740BC-5211-4C46-8C50-69BF36347AAA}"/>
  </w:font>
  <w:font w:name="新宋体">
    <w:panose1 w:val="02010609030101010101"/>
    <w:charset w:val="86"/>
    <w:family w:val="auto"/>
    <w:pitch w:val="default"/>
    <w:sig w:usb0="00000203" w:usb1="288F0000" w:usb2="00000006" w:usb3="00000000" w:csb0="00040001" w:csb1="00000000"/>
    <w:embedRegular r:id="rId5" w:fontKey="{8FE2E269-251E-4E0D-A0A0-3F22216C1559}"/>
  </w:font>
  <w:font w:name="方正楷体简体">
    <w:altName w:val="宋体"/>
    <w:panose1 w:val="02010601030101010101"/>
    <w:charset w:val="86"/>
    <w:family w:val="auto"/>
    <w:pitch w:val="default"/>
    <w:sig w:usb0="00000000" w:usb1="00000000" w:usb2="00000000" w:usb3="00000000" w:csb0="00040000" w:csb1="00000000"/>
    <w:embedRegular r:id="rId6" w:fontKey="{799982A9-456B-4210-BD86-018340AE01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FC6C7">
    <w:pPr>
      <w:pStyle w:val="4"/>
      <w:tabs>
        <w:tab w:val="right" w:pos="9072"/>
        <w:tab w:val="clear" w:pos="4153"/>
      </w:tabs>
      <w:rPr>
        <w:rFonts w:hint="default"/>
        <w:lang w:val="en-US"/>
      </w:rPr>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89B9B">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5149D8">
                          <w:pPr>
                            <w:pStyle w:val="4"/>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B5149D8">
                    <w:pPr>
                      <w:pStyle w:val="4"/>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54">
    <w:p>
      <w:r>
        <w:separator/>
      </w:r>
    </w:p>
  </w:footnote>
  <w:footnote w:type="continuationSeparator" w:id="55">
    <w:p>
      <w:r>
        <w:continuationSeparator/>
      </w:r>
    </w:p>
  </w:footnote>
  <w:footnote w:id="0">
    <w:p w14:paraId="3004E4E8">
      <w:pPr>
        <w:pStyle w:val="7"/>
        <w:snapToGrid w:val="0"/>
        <w:rPr>
          <w:rFonts w:hint="eastAsia" w:eastAsiaTheme="minorEastAsia"/>
          <w:lang w:eastAsia="zh-CN"/>
        </w:rPr>
      </w:pPr>
      <w:r>
        <w:rPr>
          <w:rFonts w:hint="eastAsia"/>
        </w:rPr>
        <w:t>[</w:t>
      </w:r>
      <w:r>
        <w:rPr>
          <w:rFonts w:hint="eastAsia"/>
        </w:rPr>
        <w:footnoteRef/>
      </w:r>
      <w:r>
        <w:rPr>
          <w:rFonts w:hint="eastAsia"/>
        </w:rPr>
        <w:t>] 《建设工程质量管理条例》第五条：从事建设工程活动，必须严格执行基本建设程序，坚持先勘察、后设计、再施工的原则。第十二条：实行监理的建设工程，建设单位应当委托具有相应资质等级的工程监理单位进行监理，也可以委托具有工程监理相应资质等级并与被监理工程的施工承包单位没有隶属关系或者其他利害关系的该工程的设计单位进行监理</w:t>
      </w:r>
      <w:r>
        <w:rPr>
          <w:rFonts w:hint="eastAsia"/>
          <w:lang w:eastAsia="zh-CN"/>
        </w:rPr>
        <w:t>。</w:t>
      </w:r>
    </w:p>
  </w:footnote>
  <w:footnote w:id="1">
    <w:p w14:paraId="080D4ABF">
      <w:pPr>
        <w:pStyle w:val="7"/>
        <w:snapToGrid w:val="0"/>
      </w:pPr>
      <w:r>
        <w:rPr>
          <w:rFonts w:hint="eastAsia"/>
        </w:rPr>
        <w:t>[</w:t>
      </w:r>
      <w:r>
        <w:rPr>
          <w:rFonts w:hint="eastAsia"/>
        </w:rPr>
        <w:footnoteRef/>
      </w:r>
      <w:r>
        <w:rPr>
          <w:rFonts w:hint="eastAsia"/>
        </w:rPr>
        <w:t>]《四川绵竹市盘龙矿</w:t>
      </w:r>
      <w:r>
        <w:rPr>
          <w:rFonts w:hint="eastAsia"/>
          <w:lang w:val="en-US" w:eastAsia="zh-CN"/>
        </w:rPr>
        <w:t>物质</w:t>
      </w:r>
      <w:r>
        <w:rPr>
          <w:rFonts w:hint="eastAsia"/>
        </w:rPr>
        <w:t>有限责任公司安全生产管理制度》（PLAQ-ZD-37承包商管理制度）四、职责（一）设备部对项目安全管理负责。负责合同签定，合同中要有安全条款和责任要求，协调，日常安全监管。（二）设备部负责审查承包商安全资质，签订施工安全协议，会同相关部门对施工人员进行入厂前的安全教育，作业证审批，监督检查，督查隐患整改。</w:t>
      </w:r>
    </w:p>
  </w:footnote>
  <w:footnote w:id="2">
    <w:p w14:paraId="532C5E6D">
      <w:pPr>
        <w:pStyle w:val="7"/>
        <w:snapToGrid w:val="0"/>
        <w:rPr>
          <w:rFonts w:hint="eastAsia" w:asciiTheme="minorEastAsia" w:hAnsiTheme="minorEastAsia" w:eastAsiaTheme="minorEastAsia" w:cstheme="minorEastAsia"/>
          <w:sz w:val="18"/>
          <w:szCs w:val="18"/>
          <w:lang w:val="en-US" w:eastAsia="zh-CN"/>
        </w:rPr>
      </w:pPr>
      <w:r>
        <w:rPr>
          <w:rStyle w:val="12"/>
          <w:rFonts w:hint="eastAsia" w:asciiTheme="minorEastAsia" w:hAnsiTheme="minorEastAsia" w:eastAsiaTheme="minorEastAsia" w:cstheme="minorEastAsia"/>
          <w:sz w:val="18"/>
          <w:szCs w:val="18"/>
          <w:vertAlign w:val="baseline"/>
        </w:rPr>
        <w:t>[</w:t>
      </w:r>
      <w:r>
        <w:rPr>
          <w:rStyle w:val="12"/>
          <w:rFonts w:hint="eastAsia" w:asciiTheme="minorEastAsia" w:hAnsiTheme="minorEastAsia" w:eastAsiaTheme="minorEastAsia" w:cstheme="minorEastAsia"/>
          <w:sz w:val="18"/>
          <w:szCs w:val="18"/>
          <w:vertAlign w:val="baseline"/>
        </w:rPr>
        <w:footnoteRef/>
      </w:r>
      <w:r>
        <w:rPr>
          <w:rStyle w:val="12"/>
          <w:rFonts w:hint="eastAsia" w:asciiTheme="minorEastAsia" w:hAnsiTheme="minorEastAsia" w:eastAsiaTheme="minorEastAsia" w:cstheme="minorEastAsia"/>
          <w:sz w:val="18"/>
          <w:szCs w:val="18"/>
          <w:vertAlign w:val="baseline"/>
        </w:rPr>
        <w:t>]</w:t>
      </w:r>
      <w:r>
        <w:rPr>
          <w:rFonts w:hint="eastAsia" w:asciiTheme="minorEastAsia" w:hAnsiTheme="minorEastAsia" w:eastAsiaTheme="minorEastAsia" w:cstheme="minorEastAsia"/>
          <w:sz w:val="18"/>
          <w:szCs w:val="18"/>
        </w:rPr>
        <w:t xml:space="preserve"> 《门式刚架轻型房屋钢结构技术规范》（GB 51022-2015）3.4.2</w:t>
      </w:r>
      <w:r>
        <w:rPr>
          <w:rFonts w:hint="eastAsia" w:asciiTheme="minorEastAsia" w:hAnsiTheme="minorEastAsia" w:eastAsiaTheme="minorEastAsia" w:cstheme="minorEastAsia"/>
          <w:sz w:val="18"/>
          <w:szCs w:val="18"/>
          <w:lang w:val="en-US" w:eastAsia="zh-CN"/>
        </w:rPr>
        <w:t xml:space="preserve"> -1受压构件的长细比不宜大于限值（主要构件180，其他构件及支撑220）。</w:t>
      </w:r>
    </w:p>
  </w:footnote>
  <w:footnote w:id="3">
    <w:p w14:paraId="0F87F0AA">
      <w:pPr>
        <w:pStyle w:val="7"/>
        <w:snapToGrid w:val="0"/>
      </w:pPr>
      <w:r>
        <w:rPr>
          <w:rStyle w:val="12"/>
          <w:rFonts w:hint="eastAsia" w:asciiTheme="minorEastAsia" w:hAnsiTheme="minorEastAsia" w:eastAsiaTheme="minorEastAsia" w:cstheme="minorEastAsia"/>
          <w:sz w:val="18"/>
          <w:szCs w:val="18"/>
          <w:vertAlign w:val="baseline"/>
        </w:rPr>
        <w:t>[</w:t>
      </w:r>
      <w:r>
        <w:rPr>
          <w:rStyle w:val="12"/>
          <w:rFonts w:hint="eastAsia" w:asciiTheme="minorEastAsia" w:hAnsiTheme="minorEastAsia" w:eastAsiaTheme="minorEastAsia" w:cstheme="minorEastAsia"/>
          <w:sz w:val="18"/>
          <w:szCs w:val="18"/>
          <w:vertAlign w:val="baseline"/>
        </w:rPr>
        <w:footnoteRef/>
      </w:r>
      <w:r>
        <w:rPr>
          <w:rStyle w:val="12"/>
          <w:rFonts w:hint="eastAsia" w:asciiTheme="minorEastAsia" w:hAnsiTheme="minorEastAsia" w:eastAsiaTheme="minorEastAsia" w:cstheme="minorEastAsia"/>
          <w:sz w:val="18"/>
          <w:szCs w:val="18"/>
          <w:vertAlign w:val="baseline"/>
        </w:rPr>
        <w:t xml:space="preserve">] </w:t>
      </w:r>
      <w:r>
        <w:rPr>
          <w:rFonts w:hint="eastAsia"/>
        </w:rPr>
        <w:t>《建筑施工高处作业安全技术规范》5.1.9当安装钢柱或钢结构时，应使用梯子或其他登高设施。当钢柱或钢结构接高时，应设置操作平台。当无电焊防风要求时，操作平台的防护栏杆高度不应小于1.2m；有电焊防风要求时，操作平台的防护栏杆高度不应小干1.8m。5.2.3 严禁在未固定、无防护的构件及安装中的管道上作业或通行。</w:t>
      </w:r>
    </w:p>
  </w:footnote>
  <w:footnote w:id="4">
    <w:p w14:paraId="49CF4A3E">
      <w:pPr>
        <w:pStyle w:val="7"/>
        <w:snapToGrid w:val="0"/>
        <w:rPr>
          <w:rFonts w:hint="eastAsia" w:asciiTheme="minorEastAsia" w:hAnsiTheme="minorEastAsia" w:eastAsiaTheme="minorEastAsia" w:cstheme="minorEastAsia"/>
          <w:sz w:val="18"/>
          <w:szCs w:val="18"/>
          <w:lang w:val="en-US" w:eastAsia="zh-CN"/>
        </w:rPr>
      </w:pPr>
      <w:r>
        <w:rPr>
          <w:rStyle w:val="12"/>
          <w:rFonts w:hint="eastAsia" w:asciiTheme="minorEastAsia" w:hAnsiTheme="minorEastAsia" w:eastAsiaTheme="minorEastAsia" w:cstheme="minorEastAsia"/>
          <w:sz w:val="18"/>
          <w:szCs w:val="18"/>
          <w:vertAlign w:val="baseline"/>
        </w:rPr>
        <w:t>[</w:t>
      </w:r>
      <w:r>
        <w:rPr>
          <w:rStyle w:val="12"/>
          <w:rFonts w:hint="eastAsia" w:asciiTheme="minorEastAsia" w:hAnsiTheme="minorEastAsia" w:eastAsiaTheme="minorEastAsia" w:cstheme="minorEastAsia"/>
          <w:sz w:val="18"/>
          <w:szCs w:val="18"/>
          <w:vertAlign w:val="baseline"/>
        </w:rPr>
        <w:footnoteRef/>
      </w:r>
      <w:r>
        <w:rPr>
          <w:rStyle w:val="12"/>
          <w:rFonts w:hint="eastAsia" w:asciiTheme="minorEastAsia" w:hAnsiTheme="minorEastAsia" w:eastAsiaTheme="minorEastAsia" w:cstheme="minorEastAsia"/>
          <w:sz w:val="18"/>
          <w:szCs w:val="18"/>
          <w:vertAlign w:val="baseline"/>
        </w:rPr>
        <w:t>]</w:t>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中华人民共和国安全生产法</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第四条</w:t>
      </w:r>
      <w:r>
        <w:rPr>
          <w:rFonts w:hint="eastAsia" w:asciiTheme="minorEastAsia" w:hAnsiTheme="minorEastAsia" w:cstheme="minorEastAsia"/>
          <w:sz w:val="18"/>
          <w:szCs w:val="18"/>
          <w:lang w:val="en-US" w:eastAsia="zh-CN"/>
        </w:rPr>
        <w:t>：</w:t>
      </w:r>
      <w:r>
        <w:rPr>
          <w:rFonts w:hint="eastAsia" w:asciiTheme="minorEastAsia" w:hAnsiTheme="minorEastAsia" w:eastAsiaTheme="minorEastAsia" w:cstheme="minorEastAsia"/>
          <w:sz w:val="18"/>
          <w:szCs w:val="18"/>
          <w:lang w:val="en-US" w:eastAsia="zh-CN"/>
        </w:rPr>
        <w:t>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footnote>
  <w:footnote w:id="5">
    <w:p w14:paraId="7448ADA8">
      <w:pPr>
        <w:pStyle w:val="7"/>
        <w:snapToGrid w:val="0"/>
        <w:rPr>
          <w:rFonts w:hint="eastAsia" w:asciiTheme="minorEastAsia" w:hAnsiTheme="minorEastAsia" w:eastAsiaTheme="minorEastAsia" w:cstheme="minorEastAsia"/>
          <w:sz w:val="18"/>
          <w:szCs w:val="18"/>
          <w:lang w:eastAsia="zh-CN"/>
        </w:rPr>
      </w:pPr>
      <w:r>
        <w:rPr>
          <w:rStyle w:val="12"/>
          <w:rFonts w:hint="eastAsia" w:asciiTheme="minorEastAsia" w:hAnsiTheme="minorEastAsia" w:eastAsiaTheme="minorEastAsia" w:cstheme="minorEastAsia"/>
          <w:sz w:val="18"/>
          <w:szCs w:val="18"/>
          <w:vertAlign w:val="baseline"/>
        </w:rPr>
        <w:t>[</w:t>
      </w:r>
      <w:r>
        <w:rPr>
          <w:rStyle w:val="12"/>
          <w:rFonts w:hint="eastAsia" w:asciiTheme="minorEastAsia" w:hAnsiTheme="minorEastAsia" w:eastAsiaTheme="minorEastAsia" w:cstheme="minorEastAsia"/>
          <w:sz w:val="18"/>
          <w:szCs w:val="18"/>
          <w:vertAlign w:val="baseline"/>
        </w:rPr>
        <w:footnoteRef/>
      </w:r>
      <w:r>
        <w:rPr>
          <w:rStyle w:val="12"/>
          <w:rFonts w:hint="eastAsia" w:asciiTheme="minorEastAsia" w:hAnsiTheme="minorEastAsia" w:eastAsiaTheme="minorEastAsia" w:cstheme="minorEastAsia"/>
          <w:sz w:val="18"/>
          <w:szCs w:val="18"/>
          <w:vertAlign w:val="baseline"/>
        </w:rPr>
        <w:t>]</w:t>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18"/>
          <w:szCs w:val="18"/>
          <w:lang w:eastAsia="zh-CN"/>
        </w:rPr>
        <w:t>《建设工程安全</w:t>
      </w:r>
      <w:r>
        <w:rPr>
          <w:rFonts w:hint="eastAsia" w:asciiTheme="minorEastAsia" w:hAnsiTheme="minorEastAsia" w:cstheme="minorEastAsia"/>
          <w:sz w:val="18"/>
          <w:szCs w:val="18"/>
          <w:lang w:val="en-US" w:eastAsia="zh-CN"/>
        </w:rPr>
        <w:t>生产</w:t>
      </w:r>
      <w:r>
        <w:rPr>
          <w:rFonts w:hint="eastAsia" w:asciiTheme="minorEastAsia" w:hAnsiTheme="minorEastAsia" w:eastAsiaTheme="minorEastAsia" w:cstheme="minorEastAsia"/>
          <w:sz w:val="18"/>
          <w:szCs w:val="18"/>
          <w:lang w:eastAsia="zh-CN"/>
        </w:rPr>
        <w:t>管理条例》</w:t>
      </w:r>
      <w:r>
        <w:rPr>
          <w:rFonts w:hint="eastAsia" w:asciiTheme="minorEastAsia" w:hAnsiTheme="minorEastAsia" w:eastAsiaTheme="minorEastAsia" w:cstheme="minorEastAsia"/>
          <w:sz w:val="18"/>
          <w:szCs w:val="18"/>
          <w:lang w:val="en-US" w:eastAsia="zh-CN"/>
        </w:rPr>
        <w:t>第二十条</w:t>
      </w:r>
      <w:r>
        <w:rPr>
          <w:rFonts w:hint="eastAsia" w:asciiTheme="minorEastAsia" w:hAnsiTheme="minorEastAsia" w:cstheme="minorEastAsia"/>
          <w:sz w:val="18"/>
          <w:szCs w:val="18"/>
          <w:lang w:val="en-US" w:eastAsia="zh-CN"/>
        </w:rPr>
        <w:t>：</w:t>
      </w:r>
      <w:r>
        <w:rPr>
          <w:rFonts w:hint="eastAsia" w:asciiTheme="minorEastAsia" w:hAnsiTheme="minorEastAsia" w:eastAsiaTheme="minorEastAsia" w:cstheme="minorEastAsia"/>
          <w:sz w:val="18"/>
          <w:szCs w:val="18"/>
          <w:lang w:val="en-US" w:eastAsia="zh-CN"/>
        </w:rPr>
        <w:t>施工单位从事建设工程的新建、扩建、改建和拆除等活动，应当具备国家规定的注册资本、专业技术人员、技术装备和安全生产条件，依法取得相应等级的资质证书，并在等级许可范围内承揽工程</w:t>
      </w:r>
      <w:r>
        <w:rPr>
          <w:rFonts w:hint="eastAsia" w:asciiTheme="minorEastAsia" w:hAnsiTheme="minorEastAsia" w:eastAsiaTheme="minorEastAsia" w:cstheme="minorEastAsia"/>
          <w:sz w:val="18"/>
          <w:szCs w:val="18"/>
          <w:lang w:eastAsia="zh-CN"/>
        </w:rPr>
        <w:t>。</w:t>
      </w:r>
    </w:p>
  </w:footnote>
  <w:footnote w:id="6">
    <w:p w14:paraId="7A0CE127">
      <w:pPr>
        <w:pStyle w:val="7"/>
        <w:snapToGrid w:val="0"/>
        <w:rPr>
          <w:rFonts w:hint="eastAsia" w:asciiTheme="minorEastAsia" w:hAnsiTheme="minorEastAsia" w:eastAsiaTheme="minorEastAsia" w:cstheme="minorEastAsia"/>
          <w:sz w:val="18"/>
          <w:szCs w:val="18"/>
          <w:lang w:eastAsia="zh-CN"/>
        </w:rPr>
      </w:pPr>
      <w:r>
        <w:rPr>
          <w:rStyle w:val="12"/>
          <w:rFonts w:hint="eastAsia" w:asciiTheme="minorEastAsia" w:hAnsiTheme="minorEastAsia" w:eastAsiaTheme="minorEastAsia" w:cstheme="minorEastAsia"/>
          <w:sz w:val="18"/>
          <w:szCs w:val="18"/>
          <w:vertAlign w:val="baseline"/>
        </w:rPr>
        <w:t>[</w:t>
      </w:r>
      <w:r>
        <w:rPr>
          <w:rStyle w:val="12"/>
          <w:rFonts w:hint="eastAsia" w:asciiTheme="minorEastAsia" w:hAnsiTheme="minorEastAsia" w:eastAsiaTheme="minorEastAsia" w:cstheme="minorEastAsia"/>
          <w:sz w:val="18"/>
          <w:szCs w:val="18"/>
          <w:vertAlign w:val="baseline"/>
        </w:rPr>
        <w:footnoteRef/>
      </w:r>
      <w:r>
        <w:rPr>
          <w:rStyle w:val="12"/>
          <w:rFonts w:hint="eastAsia" w:asciiTheme="minorEastAsia" w:hAnsiTheme="minorEastAsia" w:eastAsiaTheme="minorEastAsia" w:cstheme="minorEastAsia"/>
          <w:sz w:val="18"/>
          <w:szCs w:val="18"/>
          <w:vertAlign w:val="baseline"/>
        </w:rPr>
        <w:t>]</w:t>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18"/>
          <w:szCs w:val="18"/>
          <w:lang w:eastAsia="zh-CN"/>
        </w:rPr>
        <w:t>《危险性较大的部分分项工程安全管理规定》</w:t>
      </w:r>
      <w:r>
        <w:rPr>
          <w:rFonts w:hint="eastAsia" w:asciiTheme="minorEastAsia" w:hAnsiTheme="minorEastAsia" w:eastAsiaTheme="minorEastAsia" w:cstheme="minorEastAsia"/>
          <w:sz w:val="18"/>
          <w:szCs w:val="18"/>
          <w:lang w:val="en-US" w:eastAsia="zh-CN"/>
        </w:rPr>
        <w:t>第十条</w:t>
      </w:r>
      <w:r>
        <w:rPr>
          <w:rFonts w:hint="eastAsia" w:asciiTheme="minorEastAsia" w:hAnsiTheme="minorEastAsia" w:cstheme="minorEastAsia"/>
          <w:sz w:val="18"/>
          <w:szCs w:val="18"/>
          <w:lang w:val="en-US" w:eastAsia="zh-CN"/>
        </w:rPr>
        <w:t>：</w:t>
      </w:r>
      <w:r>
        <w:rPr>
          <w:rFonts w:hint="eastAsia" w:asciiTheme="minorEastAsia" w:hAnsiTheme="minorEastAsia" w:eastAsiaTheme="minorEastAsia" w:cstheme="minorEastAsia"/>
          <w:sz w:val="18"/>
          <w:szCs w:val="18"/>
          <w:lang w:eastAsia="zh-CN"/>
        </w:rPr>
        <w:t>施工单位应当在危大工程施工前组织工程技术人员编制专项施工方案。实行施工总承包的，专项施工方案应当由施工总承包单位组织编制。</w:t>
      </w:r>
    </w:p>
  </w:footnote>
  <w:footnote w:id="7">
    <w:p w14:paraId="396EA769">
      <w:pPr>
        <w:pStyle w:val="7"/>
        <w:snapToGrid w:val="0"/>
        <w:rPr>
          <w:rFonts w:hint="eastAsia" w:asciiTheme="minorEastAsia" w:hAnsiTheme="minorEastAsia" w:eastAsiaTheme="minorEastAsia" w:cstheme="minorEastAsia"/>
          <w:sz w:val="18"/>
          <w:szCs w:val="18"/>
          <w:lang w:val="en-US" w:eastAsia="zh-CN"/>
        </w:rPr>
      </w:pPr>
      <w:r>
        <w:rPr>
          <w:rStyle w:val="12"/>
          <w:rFonts w:hint="eastAsia" w:asciiTheme="minorEastAsia" w:hAnsiTheme="minorEastAsia" w:eastAsiaTheme="minorEastAsia" w:cstheme="minorEastAsia"/>
          <w:sz w:val="18"/>
          <w:szCs w:val="18"/>
        </w:rPr>
        <w:t>[</w:t>
      </w:r>
      <w:r>
        <w:rPr>
          <w:rStyle w:val="12"/>
          <w:rFonts w:hint="eastAsia" w:asciiTheme="minorEastAsia" w:hAnsiTheme="minorEastAsia" w:eastAsiaTheme="minorEastAsia" w:cstheme="minorEastAsia"/>
          <w:sz w:val="18"/>
          <w:szCs w:val="18"/>
          <w:vertAlign w:val="baseline"/>
        </w:rPr>
        <w:footnoteRef/>
      </w:r>
      <w:r>
        <w:rPr>
          <w:rStyle w:val="12"/>
          <w:rFonts w:hint="eastAsia" w:asciiTheme="minorEastAsia" w:hAnsiTheme="minorEastAsia" w:eastAsiaTheme="minorEastAsia" w:cstheme="minorEastAsia"/>
          <w:sz w:val="18"/>
          <w:szCs w:val="18"/>
          <w:vertAlign w:val="baseline"/>
        </w:rPr>
        <w:t>]</w:t>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中华人民共和国安全生产法</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第三十条</w:t>
      </w:r>
      <w:r>
        <w:rPr>
          <w:rFonts w:hint="eastAsia" w:asciiTheme="minorEastAsia" w:hAnsiTheme="minorEastAsia" w:cstheme="minorEastAsia"/>
          <w:sz w:val="18"/>
          <w:szCs w:val="18"/>
          <w:lang w:val="en-US" w:eastAsia="zh-CN"/>
        </w:rPr>
        <w:t>：</w:t>
      </w:r>
      <w:r>
        <w:rPr>
          <w:rFonts w:hint="eastAsia" w:asciiTheme="minorEastAsia" w:hAnsiTheme="minorEastAsia" w:eastAsiaTheme="minorEastAsia" w:cstheme="minorEastAsia"/>
          <w:sz w:val="18"/>
          <w:szCs w:val="18"/>
          <w:lang w:val="en-US" w:eastAsia="zh-CN"/>
        </w:rPr>
        <w:t>生产经营单位的特种作业人员必须按照国家有关规定经专门的安全作业培训，取得相应资格，方可上岗作业。</w:t>
      </w:r>
    </w:p>
  </w:footnote>
  <w:footnote w:id="8">
    <w:p w14:paraId="575AFDC8">
      <w:pPr>
        <w:pStyle w:val="7"/>
        <w:snapToGrid w:val="0"/>
        <w:rPr>
          <w:rFonts w:hint="eastAsia" w:asciiTheme="minorEastAsia" w:hAnsiTheme="minorEastAsia" w:eastAsiaTheme="minorEastAsia" w:cstheme="minorEastAsia"/>
          <w:sz w:val="18"/>
          <w:szCs w:val="18"/>
        </w:rPr>
      </w:pPr>
      <w:r>
        <w:rPr>
          <w:rStyle w:val="12"/>
          <w:rFonts w:hint="eastAsia" w:asciiTheme="minorEastAsia" w:hAnsiTheme="minorEastAsia" w:eastAsiaTheme="minorEastAsia" w:cstheme="minorEastAsia"/>
          <w:sz w:val="18"/>
          <w:szCs w:val="18"/>
          <w:vertAlign w:val="baseline"/>
        </w:rPr>
        <w:t>[</w:t>
      </w:r>
      <w:r>
        <w:rPr>
          <w:rStyle w:val="12"/>
          <w:rFonts w:hint="eastAsia" w:asciiTheme="minorEastAsia" w:hAnsiTheme="minorEastAsia" w:eastAsiaTheme="minorEastAsia" w:cstheme="minorEastAsia"/>
          <w:sz w:val="18"/>
          <w:szCs w:val="18"/>
          <w:vertAlign w:val="baseline"/>
        </w:rPr>
        <w:footnoteRef/>
      </w:r>
      <w:r>
        <w:rPr>
          <w:rStyle w:val="12"/>
          <w:rFonts w:hint="eastAsia" w:asciiTheme="minorEastAsia" w:hAnsiTheme="minorEastAsia" w:eastAsiaTheme="minorEastAsia" w:cstheme="minorEastAsia"/>
          <w:sz w:val="18"/>
          <w:szCs w:val="18"/>
          <w:vertAlign w:val="baseline"/>
        </w:rPr>
        <w:t>]</w:t>
      </w:r>
      <w:r>
        <w:rPr>
          <w:rFonts w:hint="eastAsia" w:asciiTheme="minorEastAsia" w:hAnsiTheme="minorEastAsia" w:eastAsiaTheme="minorEastAsia" w:cstheme="minorEastAsia"/>
          <w:sz w:val="18"/>
          <w:szCs w:val="18"/>
        </w:rPr>
        <w:t xml:space="preserve"> 《中华人民共和国安全生产法》第二十一条</w:t>
      </w:r>
      <w:r>
        <w:rPr>
          <w:rFonts w:hint="eastAsia" w:asciiTheme="minorEastAsia" w:hAnsiTheme="minorEastAsia" w:cstheme="minorEastAsia"/>
          <w:sz w:val="18"/>
          <w:szCs w:val="18"/>
          <w:lang w:eastAsia="zh-CN"/>
        </w:rPr>
        <w:t>：</w:t>
      </w:r>
      <w:r>
        <w:rPr>
          <w:rFonts w:hint="eastAsia" w:asciiTheme="minorEastAsia" w:hAnsiTheme="minorEastAsia" w:eastAsiaTheme="minorEastAsia" w:cstheme="minorEastAsia"/>
          <w:sz w:val="18"/>
          <w:szCs w:val="18"/>
        </w:rPr>
        <w:t>生产经营单位的主要负责人对本单位安全生产工作负有下列职责:（一）建立健全并落实本单位全员安全生产责任制，加强安全生产标准化建设；（二）组织制定并实施本单位安全生产规章制度和操作规程；（三）组织制定并实施本单位安全生产教育和培训计划；（四）保证本单位安全生产投入的有效实施；（五）组织建立并落实安全风险分级管控和隐患排查治理双重预防工作机制，督促、检查本单位的安全生产工作，及时消除生产安全事故隐患；（六）组织制定并实施本单位的生产安全事故应急救援预案；（七）及时、如实报告生产安全事故。</w:t>
      </w:r>
    </w:p>
  </w:footnote>
  <w:footnote w:id="9">
    <w:p w14:paraId="19036525">
      <w:pPr>
        <w:pStyle w:val="7"/>
        <w:snapToGrid w:val="0"/>
        <w:rPr>
          <w:sz w:val="18"/>
          <w:szCs w:val="18"/>
        </w:rPr>
      </w:pPr>
      <w:r>
        <w:rPr>
          <w:rStyle w:val="12"/>
          <w:vertAlign w:val="baseline"/>
        </w:rPr>
        <w:t>[</w:t>
      </w:r>
      <w:r>
        <w:rPr>
          <w:rStyle w:val="12"/>
          <w:vertAlign w:val="baseline"/>
        </w:rPr>
        <w:footnoteRef/>
      </w:r>
      <w:r>
        <w:rPr>
          <w:rStyle w:val="12"/>
          <w:vertAlign w:val="baseline"/>
        </w:rPr>
        <w:t>]</w:t>
      </w:r>
      <w:r>
        <w:t xml:space="preserve"> </w:t>
      </w:r>
      <w:r>
        <w:rPr>
          <w:rFonts w:hint="eastAsia"/>
          <w:sz w:val="18"/>
          <w:szCs w:val="18"/>
        </w:rPr>
        <w:t>《中华人民共和国建筑法》</w:t>
      </w:r>
      <w:r>
        <w:rPr>
          <w:rFonts w:hint="eastAsia"/>
          <w:sz w:val="18"/>
          <w:szCs w:val="18"/>
          <w:lang w:val="en-US" w:eastAsia="zh-CN"/>
        </w:rPr>
        <w:t>第七条：</w:t>
      </w:r>
      <w:r>
        <w:rPr>
          <w:rFonts w:hint="eastAsia"/>
          <w:sz w:val="18"/>
          <w:szCs w:val="18"/>
        </w:rPr>
        <w:t>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w:t>
      </w:r>
    </w:p>
  </w:footnote>
  <w:footnote w:id="10">
    <w:p w14:paraId="42D11126">
      <w:pPr>
        <w:pStyle w:val="7"/>
        <w:snapToGrid w:val="0"/>
        <w:rPr>
          <w:rFonts w:hint="eastAsia" w:eastAsiaTheme="minorEastAsia"/>
          <w:sz w:val="18"/>
          <w:szCs w:val="18"/>
          <w:lang w:eastAsia="zh-CN"/>
        </w:rPr>
      </w:pPr>
      <w:r>
        <w:rPr>
          <w:rStyle w:val="12"/>
          <w:sz w:val="18"/>
          <w:szCs w:val="18"/>
          <w:vertAlign w:val="baseline"/>
        </w:rPr>
        <w:t>[</w:t>
      </w:r>
      <w:r>
        <w:rPr>
          <w:rStyle w:val="12"/>
          <w:sz w:val="18"/>
          <w:szCs w:val="18"/>
          <w:vertAlign w:val="baseline"/>
        </w:rPr>
        <w:footnoteRef/>
      </w:r>
      <w:r>
        <w:rPr>
          <w:rStyle w:val="12"/>
          <w:sz w:val="18"/>
          <w:szCs w:val="18"/>
          <w:vertAlign w:val="baseline"/>
        </w:rPr>
        <w:t>]</w:t>
      </w:r>
      <w:r>
        <w:rPr>
          <w:sz w:val="18"/>
          <w:szCs w:val="18"/>
        </w:rPr>
        <w:t xml:space="preserve"> </w:t>
      </w:r>
      <w:r>
        <w:rPr>
          <w:rFonts w:hint="eastAsia"/>
          <w:sz w:val="18"/>
          <w:szCs w:val="18"/>
          <w:lang w:eastAsia="zh-CN"/>
        </w:rPr>
        <w:t>《</w:t>
      </w:r>
      <w:r>
        <w:rPr>
          <w:rFonts w:hint="eastAsia"/>
          <w:sz w:val="18"/>
          <w:szCs w:val="18"/>
        </w:rPr>
        <w:t>建设工程质量管理条例</w:t>
      </w:r>
      <w:r>
        <w:rPr>
          <w:rFonts w:hint="eastAsia"/>
          <w:sz w:val="18"/>
          <w:szCs w:val="18"/>
          <w:lang w:eastAsia="zh-CN"/>
        </w:rPr>
        <w:t>》第七条：建设单位应当将工程发包给具有相应资质等级的单位。建设单位不得将建设工程肢解发包。第八条：建设单位应当依法对工程建设项目的勘察、设计、施工、监理以及与工程建设有关的重要设备、材料等的采购进行招标。</w:t>
      </w:r>
    </w:p>
  </w:footnote>
  <w:footnote w:id="11">
    <w:p w14:paraId="59C54EE3">
      <w:pPr>
        <w:pStyle w:val="7"/>
        <w:snapToGrid w:val="0"/>
        <w:rPr>
          <w:rFonts w:hint="eastAsia" w:asciiTheme="minorEastAsia" w:hAnsiTheme="minorEastAsia" w:eastAsiaTheme="minorEastAsia" w:cstheme="minorEastAsia"/>
          <w:sz w:val="18"/>
          <w:szCs w:val="18"/>
          <w:lang w:eastAsia="zh-CN"/>
        </w:rPr>
      </w:pPr>
      <w:r>
        <w:rPr>
          <w:rStyle w:val="12"/>
          <w:rFonts w:hint="eastAsia" w:asciiTheme="minorEastAsia" w:hAnsiTheme="minorEastAsia" w:eastAsiaTheme="minorEastAsia" w:cstheme="minorEastAsia"/>
          <w:sz w:val="18"/>
          <w:szCs w:val="18"/>
          <w:vertAlign w:val="baseline"/>
        </w:rPr>
        <w:t>[</w:t>
      </w:r>
      <w:r>
        <w:rPr>
          <w:rStyle w:val="12"/>
          <w:rFonts w:hint="eastAsia" w:asciiTheme="minorEastAsia" w:hAnsiTheme="minorEastAsia" w:eastAsiaTheme="minorEastAsia" w:cstheme="minorEastAsia"/>
          <w:sz w:val="18"/>
          <w:szCs w:val="18"/>
          <w:vertAlign w:val="baseline"/>
        </w:rPr>
        <w:footnoteRef/>
      </w:r>
      <w:r>
        <w:rPr>
          <w:rStyle w:val="12"/>
          <w:rFonts w:hint="eastAsia" w:asciiTheme="minorEastAsia" w:hAnsiTheme="minorEastAsia" w:eastAsiaTheme="minorEastAsia" w:cstheme="minorEastAsia"/>
          <w:sz w:val="18"/>
          <w:szCs w:val="18"/>
          <w:vertAlign w:val="baseline"/>
        </w:rPr>
        <w:t>]</w:t>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中</w:t>
      </w:r>
      <w:r>
        <w:rPr>
          <w:rFonts w:hint="eastAsia" w:asciiTheme="minorEastAsia" w:hAnsiTheme="minorEastAsia" w:cstheme="minorEastAsia"/>
          <w:sz w:val="18"/>
          <w:szCs w:val="18"/>
          <w:lang w:val="en-US" w:eastAsia="zh-CN"/>
        </w:rPr>
        <w:t>华</w:t>
      </w:r>
      <w:r>
        <w:rPr>
          <w:rFonts w:hint="eastAsia" w:asciiTheme="minorEastAsia" w:hAnsiTheme="minorEastAsia" w:eastAsiaTheme="minorEastAsia" w:cstheme="minorEastAsia"/>
          <w:sz w:val="18"/>
          <w:szCs w:val="18"/>
          <w:lang w:val="en-US" w:eastAsia="zh-CN"/>
        </w:rPr>
        <w:t>人民共和国安全生产法</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第四条</w:t>
      </w:r>
      <w:r>
        <w:rPr>
          <w:rFonts w:hint="eastAsia" w:asciiTheme="minorEastAsia" w:hAnsiTheme="minorEastAsia" w:cstheme="minorEastAsia"/>
          <w:sz w:val="18"/>
          <w:szCs w:val="18"/>
          <w:lang w:val="en-US" w:eastAsia="zh-CN"/>
        </w:rPr>
        <w:t>：</w:t>
      </w:r>
      <w:r>
        <w:rPr>
          <w:rFonts w:hint="eastAsia" w:asciiTheme="minorEastAsia" w:hAnsiTheme="minorEastAsia" w:eastAsiaTheme="minorEastAsia" w:cstheme="minorEastAsia"/>
          <w:sz w:val="18"/>
          <w:szCs w:val="18"/>
          <w:lang w:eastAsia="zh-CN"/>
        </w:rPr>
        <w:t>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footnote>
  <w:footnote w:id="12">
    <w:p w14:paraId="1382059F">
      <w:pPr>
        <w:pStyle w:val="7"/>
        <w:snapToGrid w:val="0"/>
      </w:pPr>
      <w:r>
        <w:rPr>
          <w:rStyle w:val="12"/>
          <w:rFonts w:hint="eastAsia" w:asciiTheme="majorEastAsia" w:hAnsiTheme="majorEastAsia" w:eastAsiaTheme="majorEastAsia" w:cstheme="majorEastAsia"/>
          <w:vertAlign w:val="baseline"/>
        </w:rPr>
        <w:t>[</w:t>
      </w:r>
      <w:r>
        <w:rPr>
          <w:rStyle w:val="12"/>
          <w:rFonts w:hint="eastAsia" w:asciiTheme="majorEastAsia" w:hAnsiTheme="majorEastAsia" w:eastAsiaTheme="majorEastAsia" w:cstheme="majorEastAsia"/>
          <w:vertAlign w:val="baseline"/>
        </w:rPr>
        <w:footnoteRef/>
      </w:r>
      <w:r>
        <w:rPr>
          <w:rStyle w:val="12"/>
          <w:rFonts w:hint="eastAsia" w:asciiTheme="majorEastAsia" w:hAnsiTheme="majorEastAsia" w:eastAsiaTheme="majorEastAsia" w:cstheme="majorEastAsia"/>
          <w:vertAlign w:val="baseline"/>
        </w:rPr>
        <w:t>]</w:t>
      </w:r>
      <w:r>
        <w:t xml:space="preserve"> </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中</w:t>
      </w:r>
      <w:r>
        <w:rPr>
          <w:rFonts w:hint="eastAsia" w:asciiTheme="minorEastAsia" w:hAnsiTheme="minorEastAsia" w:cstheme="minorEastAsia"/>
          <w:sz w:val="18"/>
          <w:szCs w:val="18"/>
          <w:lang w:val="en-US" w:eastAsia="zh-CN"/>
        </w:rPr>
        <w:t>华</w:t>
      </w:r>
      <w:r>
        <w:rPr>
          <w:rFonts w:hint="eastAsia" w:asciiTheme="minorEastAsia" w:hAnsiTheme="minorEastAsia" w:eastAsiaTheme="minorEastAsia" w:cstheme="minorEastAsia"/>
          <w:sz w:val="18"/>
          <w:szCs w:val="18"/>
          <w:lang w:val="en-US" w:eastAsia="zh-CN"/>
        </w:rPr>
        <w:t>人民共和国安全生产法</w:t>
      </w:r>
      <w:r>
        <w:rPr>
          <w:rFonts w:hint="eastAsia" w:asciiTheme="minorEastAsia" w:hAnsiTheme="minorEastAsia" w:eastAsiaTheme="minorEastAsia" w:cstheme="minorEastAsia"/>
          <w:sz w:val="18"/>
          <w:szCs w:val="18"/>
          <w:lang w:eastAsia="zh-CN"/>
        </w:rPr>
        <w:t>》第</w:t>
      </w:r>
      <w:r>
        <w:rPr>
          <w:rFonts w:hint="eastAsia" w:asciiTheme="minorEastAsia" w:hAnsiTheme="minorEastAsia" w:cstheme="minorEastAsia"/>
          <w:sz w:val="18"/>
          <w:szCs w:val="18"/>
          <w:lang w:val="en-US" w:eastAsia="zh-CN"/>
        </w:rPr>
        <w:t>四</w:t>
      </w:r>
      <w:r>
        <w:rPr>
          <w:rFonts w:hint="eastAsia" w:asciiTheme="minorEastAsia" w:hAnsiTheme="minorEastAsia" w:eastAsiaTheme="minorEastAsia" w:cstheme="minorEastAsia"/>
          <w:sz w:val="18"/>
          <w:szCs w:val="18"/>
          <w:lang w:eastAsia="zh-CN"/>
        </w:rPr>
        <w:t>十</w:t>
      </w:r>
      <w:r>
        <w:rPr>
          <w:rFonts w:hint="eastAsia" w:asciiTheme="minorEastAsia" w:hAnsiTheme="minorEastAsia" w:cstheme="minorEastAsia"/>
          <w:sz w:val="18"/>
          <w:szCs w:val="18"/>
          <w:lang w:val="en-US" w:eastAsia="zh-CN"/>
        </w:rPr>
        <w:t>九</w:t>
      </w:r>
      <w:r>
        <w:rPr>
          <w:rFonts w:hint="eastAsia" w:asciiTheme="minorEastAsia" w:hAnsiTheme="minorEastAsia" w:eastAsiaTheme="minorEastAsia" w:cstheme="minorEastAsia"/>
          <w:sz w:val="18"/>
          <w:szCs w:val="18"/>
          <w:lang w:eastAsia="zh-CN"/>
        </w:rPr>
        <w:t>条</w:t>
      </w:r>
      <w:r>
        <w:rPr>
          <w:rFonts w:hint="eastAsia" w:asciiTheme="minorEastAsia" w:hAnsiTheme="minorEastAsia" w:cstheme="minorEastAsia"/>
          <w:sz w:val="18"/>
          <w:szCs w:val="18"/>
          <w:lang w:val="en-US" w:eastAsia="zh-CN"/>
        </w:rPr>
        <w:t>第一款</w:t>
      </w:r>
      <w:r>
        <w:rPr>
          <w:rFonts w:hint="eastAsia" w:asciiTheme="minorEastAsia" w:hAnsiTheme="minorEastAsia" w:cstheme="minorEastAsia"/>
          <w:sz w:val="18"/>
          <w:szCs w:val="18"/>
          <w:lang w:eastAsia="zh-CN"/>
        </w:rPr>
        <w:t>：生产经营单位不得将生产经营项目、场所、设备发包或者出租给不具备安全生产条件或者相应资质的单位或者个人。</w:t>
      </w:r>
    </w:p>
  </w:footnote>
  <w:footnote w:id="13">
    <w:p w14:paraId="25DF5376">
      <w:pPr>
        <w:pStyle w:val="7"/>
        <w:snapToGrid w:val="0"/>
        <w:rPr>
          <w:rFonts w:hint="eastAsia" w:asciiTheme="minorEastAsia" w:hAnsiTheme="minorEastAsia" w:eastAsiaTheme="minorEastAsia" w:cstheme="minorEastAsia"/>
          <w:sz w:val="18"/>
          <w:szCs w:val="18"/>
          <w:lang w:eastAsia="zh-CN"/>
        </w:rPr>
      </w:pPr>
      <w:r>
        <w:rPr>
          <w:rStyle w:val="12"/>
          <w:rFonts w:hint="eastAsia" w:asciiTheme="minorEastAsia" w:hAnsiTheme="minorEastAsia" w:eastAsiaTheme="minorEastAsia" w:cstheme="minorEastAsia"/>
          <w:sz w:val="18"/>
          <w:szCs w:val="18"/>
          <w:vertAlign w:val="baseline"/>
        </w:rPr>
        <w:t>[</w:t>
      </w:r>
      <w:r>
        <w:rPr>
          <w:rStyle w:val="12"/>
          <w:rFonts w:hint="eastAsia" w:asciiTheme="minorEastAsia" w:hAnsiTheme="minorEastAsia" w:eastAsiaTheme="minorEastAsia" w:cstheme="minorEastAsia"/>
          <w:sz w:val="18"/>
          <w:szCs w:val="18"/>
          <w:vertAlign w:val="baseline"/>
        </w:rPr>
        <w:footnoteRef/>
      </w:r>
      <w:r>
        <w:rPr>
          <w:rStyle w:val="12"/>
          <w:rFonts w:hint="eastAsia" w:asciiTheme="minorEastAsia" w:hAnsiTheme="minorEastAsia" w:eastAsiaTheme="minorEastAsia" w:cstheme="minorEastAsia"/>
          <w:sz w:val="18"/>
          <w:szCs w:val="18"/>
          <w:vertAlign w:val="baseline"/>
        </w:rPr>
        <w:t>]</w:t>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中</w:t>
      </w:r>
      <w:r>
        <w:rPr>
          <w:rFonts w:hint="eastAsia" w:asciiTheme="minorEastAsia" w:hAnsiTheme="minorEastAsia" w:cstheme="minorEastAsia"/>
          <w:sz w:val="18"/>
          <w:szCs w:val="18"/>
          <w:lang w:val="en-US" w:eastAsia="zh-CN"/>
        </w:rPr>
        <w:t>华</w:t>
      </w:r>
      <w:r>
        <w:rPr>
          <w:rFonts w:hint="eastAsia" w:asciiTheme="minorEastAsia" w:hAnsiTheme="minorEastAsia" w:eastAsiaTheme="minorEastAsia" w:cstheme="minorEastAsia"/>
          <w:sz w:val="18"/>
          <w:szCs w:val="18"/>
          <w:lang w:val="en-US" w:eastAsia="zh-CN"/>
        </w:rPr>
        <w:t>人民共和国安全生产法</w:t>
      </w:r>
      <w:r>
        <w:rPr>
          <w:rFonts w:hint="eastAsia" w:asciiTheme="minorEastAsia" w:hAnsiTheme="minorEastAsia" w:eastAsiaTheme="minorEastAsia" w:cstheme="minorEastAsia"/>
          <w:sz w:val="18"/>
          <w:szCs w:val="18"/>
          <w:lang w:eastAsia="zh-CN"/>
        </w:rPr>
        <w:t>》第二十一条</w:t>
      </w:r>
      <w:r>
        <w:rPr>
          <w:rFonts w:hint="eastAsia" w:asciiTheme="minorEastAsia" w:hAnsiTheme="minorEastAsia" w:cstheme="minorEastAsia"/>
          <w:sz w:val="18"/>
          <w:szCs w:val="18"/>
          <w:lang w:eastAsia="zh-CN"/>
        </w:rPr>
        <w:t>：</w:t>
      </w:r>
      <w:r>
        <w:rPr>
          <w:rFonts w:hint="eastAsia" w:asciiTheme="minorEastAsia" w:hAnsiTheme="minorEastAsia" w:eastAsiaTheme="minorEastAsia" w:cstheme="minorEastAsia"/>
          <w:sz w:val="18"/>
          <w:szCs w:val="18"/>
          <w:lang w:eastAsia="zh-CN"/>
        </w:rPr>
        <w:t>生产经营单位的主要负责人对本单位安全生产工作负有下列职责:（一）建立健全并落实本单位全员安全生产责任制，加强安全生产标准化建设；（二）组织制定并实施本单位安全生产规章制度和操作规程；（三）组织制定并实施本单位安全生产教育和培训计划；（四）保证本单位安全生产投入的有效实施；（五）组织建立并落实安全风险分级管控和隐患排查治理双重预防工作机制，督促、检查本单位的安全生产工作，及时消除生产安全事故隐患；（六）组织制定并实施本单位的生产安全事故应急救援预案；（七）及时、如实报告生产安全事故。</w:t>
      </w:r>
    </w:p>
    <w:p w14:paraId="11AA001E">
      <w:pPr>
        <w:pStyle w:val="7"/>
        <w:snapToGrid w:val="0"/>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第二十六条第一款生产经营单位的安全生产管理机构以及安全生产管理人员应当恪尽职守，依法履行职责。</w:t>
      </w:r>
    </w:p>
  </w:footnote>
  <w:footnote w:id="14">
    <w:p w14:paraId="592634ED">
      <w:pPr>
        <w:pStyle w:val="7"/>
        <w:snapToGrid w:val="0"/>
        <w:rPr>
          <w:rStyle w:val="12"/>
          <w:rFonts w:hint="eastAsia" w:ascii="Times New Roman" w:hAnsi="Times New Roman" w:eastAsia="宋体" w:cs="Times New Roman"/>
          <w:vertAlign w:val="baseline"/>
          <w:lang w:eastAsia="zh-CN"/>
        </w:rPr>
      </w:pPr>
      <w:r>
        <w:rPr>
          <w:rStyle w:val="12"/>
          <w:rFonts w:ascii="Times New Roman" w:hAnsi="Times New Roman" w:eastAsia="宋体" w:cs="Times New Roman"/>
          <w:vertAlign w:val="baseline"/>
        </w:rPr>
        <w:t>[</w:t>
      </w:r>
      <w:r>
        <w:rPr>
          <w:rStyle w:val="12"/>
          <w:rFonts w:ascii="Times New Roman" w:hAnsi="Times New Roman" w:eastAsia="宋体" w:cs="Times New Roman"/>
          <w:vertAlign w:val="baseline"/>
        </w:rPr>
        <w:footnoteRef/>
      </w:r>
      <w:r>
        <w:rPr>
          <w:rStyle w:val="12"/>
          <w:rFonts w:ascii="Times New Roman" w:hAnsi="Times New Roman" w:eastAsia="宋体" w:cs="Times New Roman"/>
          <w:vertAlign w:val="baseline"/>
        </w:rPr>
        <w:t xml:space="preserve">] </w:t>
      </w:r>
      <w:r>
        <w:rPr>
          <w:rStyle w:val="12"/>
          <w:rFonts w:hint="eastAsia" w:ascii="Times New Roman" w:hAnsi="Times New Roman" w:eastAsia="宋体" w:cs="Times New Roman"/>
          <w:vertAlign w:val="baseline"/>
        </w:rPr>
        <w:t xml:space="preserve"> 《住房和城乡建设部关于印发&lt;房屋市政工程生产安全重大事故隐患判定标准（2022版）&gt;的通知》</w:t>
      </w:r>
      <w:r>
        <w:rPr>
          <w:rFonts w:hint="eastAsia" w:ascii="Times New Roman" w:hAnsi="Times New Roman" w:eastAsia="宋体" w:cs="Times New Roman"/>
          <w:vertAlign w:val="baseline"/>
          <w:lang w:eastAsia="zh-CN"/>
        </w:rPr>
        <w:t>（建质规〔2022〕2号）第四条  施工安全管理有下列情形之一的，应判定为重大事故隐患：（一）建筑施工企业未取得安全生产许可证擅自从事建筑施工活动；</w:t>
      </w:r>
    </w:p>
  </w:footnote>
  <w:footnote w:id="15">
    <w:p w14:paraId="6A52E3EF">
      <w:pPr>
        <w:pStyle w:val="7"/>
        <w:snapToGrid w:val="0"/>
        <w:rPr>
          <w:rStyle w:val="12"/>
          <w:rFonts w:ascii="Times New Roman" w:hAnsi="Times New Roman" w:eastAsia="宋体" w:cs="Times New Roman"/>
          <w:vertAlign w:val="baseline"/>
        </w:rPr>
      </w:pPr>
      <w:r>
        <w:rPr>
          <w:rStyle w:val="12"/>
          <w:rFonts w:ascii="Times New Roman" w:hAnsi="Times New Roman" w:eastAsia="宋体" w:cs="Times New Roman"/>
          <w:vertAlign w:val="baseline"/>
        </w:rPr>
        <w:t>[</w:t>
      </w:r>
      <w:r>
        <w:rPr>
          <w:rStyle w:val="12"/>
          <w:rFonts w:ascii="Times New Roman" w:hAnsi="Times New Roman" w:eastAsia="宋体" w:cs="Times New Roman"/>
          <w:vertAlign w:val="baseline"/>
        </w:rPr>
        <w:footnoteRef/>
      </w:r>
      <w:r>
        <w:rPr>
          <w:rStyle w:val="12"/>
          <w:rFonts w:ascii="Times New Roman" w:hAnsi="Times New Roman" w:eastAsia="宋体" w:cs="Times New Roman"/>
          <w:vertAlign w:val="baseline"/>
        </w:rPr>
        <w:t xml:space="preserve">] </w:t>
      </w:r>
      <w:r>
        <w:rPr>
          <w:rFonts w:hint="eastAsia" w:ascii="Times New Roman" w:hAnsi="Times New Roman" w:eastAsia="宋体" w:cs="Times New Roman"/>
          <w:vertAlign w:val="baseline"/>
          <w:lang w:eastAsia="zh-CN"/>
        </w:rPr>
        <w:t>《</w:t>
      </w:r>
      <w:r>
        <w:rPr>
          <w:rStyle w:val="12"/>
          <w:rFonts w:hint="eastAsia" w:ascii="Times New Roman" w:hAnsi="Times New Roman" w:eastAsia="宋体" w:cs="Times New Roman"/>
          <w:vertAlign w:val="baseline"/>
        </w:rPr>
        <w:t>住房和城乡建设部关于印发</w:t>
      </w:r>
      <w:r>
        <w:rPr>
          <w:rFonts w:hint="default" w:ascii="Times New Roman" w:hAnsi="Times New Roman" w:eastAsia="宋体" w:cs="Times New Roman"/>
          <w:vertAlign w:val="baseline"/>
        </w:rPr>
        <w:t>&lt;</w:t>
      </w:r>
      <w:r>
        <w:rPr>
          <w:rStyle w:val="12"/>
          <w:rFonts w:hint="eastAsia" w:ascii="Times New Roman" w:hAnsi="Times New Roman" w:eastAsia="宋体" w:cs="Times New Roman"/>
          <w:vertAlign w:val="baseline"/>
        </w:rPr>
        <w:t>房屋市政工程生产安全重大事故隐患判定标准（2022版）</w:t>
      </w:r>
      <w:r>
        <w:rPr>
          <w:rFonts w:hint="default" w:ascii="Times New Roman" w:hAnsi="Times New Roman" w:eastAsia="宋体" w:cs="Times New Roman"/>
          <w:vertAlign w:val="baseline"/>
        </w:rPr>
        <w:t>&gt;</w:t>
      </w:r>
      <w:r>
        <w:rPr>
          <w:rStyle w:val="12"/>
          <w:rFonts w:hint="eastAsia" w:ascii="Times New Roman" w:hAnsi="Times New Roman" w:eastAsia="宋体" w:cs="Times New Roman"/>
          <w:vertAlign w:val="baseline"/>
        </w:rPr>
        <w:t>的通知》（建质规〔2022〕2号）第四条施工安全管理有下列情形之一的，应判定为重大事故隐患：（四）危险性较大的分部分项工程未编制、未审核专项施工方案，或未按规定组织专家对“超过一定规模的危险性较大的分部分项工程范围”的专项施工方案进行论证。</w:t>
      </w:r>
    </w:p>
  </w:footnote>
  <w:footnote w:id="16">
    <w:p w14:paraId="44141BE2">
      <w:pPr>
        <w:pStyle w:val="7"/>
        <w:snapToGrid w:val="0"/>
        <w:rPr>
          <w:rFonts w:hint="eastAsia" w:eastAsiaTheme="minorEastAsia"/>
          <w:lang w:val="en-US" w:eastAsia="zh-CN"/>
        </w:rPr>
      </w:pPr>
      <w:r>
        <w:rPr>
          <w:rStyle w:val="12"/>
          <w:vertAlign w:val="baseline"/>
        </w:rPr>
        <w:t>[</w:t>
      </w:r>
      <w:r>
        <w:rPr>
          <w:rStyle w:val="12"/>
          <w:vertAlign w:val="baseline"/>
        </w:rPr>
        <w:footnoteRef/>
      </w:r>
      <w:r>
        <w:rPr>
          <w:rStyle w:val="12"/>
          <w:vertAlign w:val="baseline"/>
        </w:rPr>
        <w:t>]</w:t>
      </w:r>
      <w:r>
        <w:t xml:space="preserve"> </w:t>
      </w:r>
      <w:r>
        <w:rPr>
          <w:rFonts w:hint="eastAsia"/>
        </w:rPr>
        <w:t>《中华人民共和国安全生产法》第二十一</w:t>
      </w:r>
      <w:r>
        <w:rPr>
          <w:rFonts w:hint="eastAsia"/>
          <w:lang w:val="en-US" w:eastAsia="zh-CN"/>
        </w:rPr>
        <w:t>条第一项、第二项、第五项：生产经营单位的主要负责人对本单位安全生产工作负有下列职责:（一）建立健全并落实本单位全员安全生产责任制，加强安全生产标准化建设；（二）组织制定并实施本单位安全生产规章制度和操作规程；（五）组织建立并落实安全风险分级管控和隐患排查治理双重预防工作机制，督促、检查本单位的安全生产工作，及时消除生产安全事故隐患；</w:t>
      </w:r>
    </w:p>
  </w:footnote>
  <w:footnote w:id="17">
    <w:p w14:paraId="7D80A971">
      <w:pPr>
        <w:pStyle w:val="7"/>
        <w:snapToGrid w:val="0"/>
      </w:pPr>
      <w:r>
        <w:rPr>
          <w:rStyle w:val="12"/>
          <w:vertAlign w:val="baseline"/>
        </w:rPr>
        <w:t>[</w:t>
      </w:r>
      <w:r>
        <w:rPr>
          <w:rStyle w:val="12"/>
          <w:vertAlign w:val="baseline"/>
        </w:rPr>
        <w:footnoteRef/>
      </w:r>
      <w:r>
        <w:rPr>
          <w:rStyle w:val="12"/>
          <w:vertAlign w:val="baseline"/>
        </w:rPr>
        <w:t>]</w:t>
      </w:r>
      <w:r>
        <w:t xml:space="preserve"> </w:t>
      </w:r>
      <w:r>
        <w:rPr>
          <w:rFonts w:hint="eastAsia"/>
        </w:rPr>
        <w:t>《四川绵竹市盘龙矿</w:t>
      </w:r>
      <w:r>
        <w:rPr>
          <w:rFonts w:hint="eastAsia"/>
          <w:lang w:val="en-US" w:eastAsia="zh-CN"/>
        </w:rPr>
        <w:t>物质</w:t>
      </w:r>
      <w:r>
        <w:rPr>
          <w:rFonts w:hint="eastAsia"/>
        </w:rPr>
        <w:t>有限责任公司安全生产管理制度》（PLAQ-ZD-37承包商管理制度）“四、职责（一）设备部对项目安全管理负责。负责合同签定，合同中要有安全条款和责任要求，协调，日常安全监管。（二）设备部负责审查承包商安全资质，签订施工安全协议，会同相关部门对施工人员进行入厂前的安全教育，作业证审批，监督检查，督查隐患整改。”</w:t>
      </w:r>
    </w:p>
  </w:footnote>
  <w:footnote w:id="18">
    <w:p w14:paraId="22C7D589">
      <w:pPr>
        <w:pStyle w:val="7"/>
        <w:snapToGrid w:val="0"/>
      </w:pPr>
      <w:r>
        <w:rPr>
          <w:rStyle w:val="12"/>
          <w:vertAlign w:val="baseline"/>
        </w:rPr>
        <w:t>[</w:t>
      </w:r>
      <w:r>
        <w:rPr>
          <w:rStyle w:val="12"/>
          <w:vertAlign w:val="baseline"/>
        </w:rPr>
        <w:footnoteRef/>
      </w:r>
      <w:r>
        <w:rPr>
          <w:rStyle w:val="12"/>
          <w:vertAlign w:val="baseline"/>
        </w:rPr>
        <w:t>]</w:t>
      </w:r>
      <w:r>
        <w:t xml:space="preserve"> </w:t>
      </w:r>
      <w:r>
        <w:rPr>
          <w:rFonts w:hint="eastAsia"/>
        </w:rPr>
        <w:t>《中华人民共和国安全生产法》第二十一条</w:t>
      </w:r>
      <w:r>
        <w:rPr>
          <w:rFonts w:hint="eastAsia"/>
          <w:lang w:val="en-US" w:eastAsia="zh-CN"/>
        </w:rPr>
        <w:t>第一项、第五项</w:t>
      </w:r>
      <w:r>
        <w:rPr>
          <w:rFonts w:hint="eastAsia"/>
        </w:rPr>
        <w:t>：生产经营单位的主要负责人对本单位安全生产工作负有下列职责:（一）建立健全并落实本单位全员安全生产责任制，加强安全生产标准化建设</w:t>
      </w:r>
      <w:r>
        <w:rPr>
          <w:rFonts w:hint="eastAsia"/>
          <w:lang w:eastAsia="zh-CN"/>
        </w:rPr>
        <w:t>；</w:t>
      </w:r>
      <w:r>
        <w:rPr>
          <w:rFonts w:hint="eastAsia"/>
        </w:rPr>
        <w:t>（五）组织建立并落实安全风险分级管控和隐患排查治理双重预防工作机制，督促、检查本单位的安全生产工作，及时消除生产安全事故隐患；</w:t>
      </w:r>
    </w:p>
  </w:footnote>
  <w:footnote w:id="19">
    <w:p w14:paraId="5F0FC60E">
      <w:pPr>
        <w:pStyle w:val="7"/>
        <w:snapToGrid w:val="0"/>
        <w:rPr>
          <w:rFonts w:hint="eastAsia" w:asciiTheme="minorEastAsia" w:hAnsiTheme="minorEastAsia" w:eastAsiaTheme="minorEastAsia" w:cstheme="minorEastAsia"/>
          <w:sz w:val="18"/>
          <w:szCs w:val="18"/>
        </w:rPr>
      </w:pPr>
      <w:r>
        <w:rPr>
          <w:rStyle w:val="12"/>
          <w:rFonts w:hint="eastAsia" w:asciiTheme="minorEastAsia" w:hAnsiTheme="minorEastAsia" w:eastAsiaTheme="minorEastAsia" w:cstheme="minorEastAsia"/>
          <w:sz w:val="18"/>
          <w:szCs w:val="18"/>
          <w:vertAlign w:val="baseline"/>
        </w:rPr>
        <w:t>[</w:t>
      </w:r>
      <w:r>
        <w:rPr>
          <w:rStyle w:val="12"/>
          <w:rFonts w:hint="eastAsia" w:asciiTheme="minorEastAsia" w:hAnsiTheme="minorEastAsia" w:eastAsiaTheme="minorEastAsia" w:cstheme="minorEastAsia"/>
          <w:sz w:val="18"/>
          <w:szCs w:val="18"/>
          <w:vertAlign w:val="baseline"/>
        </w:rPr>
        <w:footnoteRef/>
      </w:r>
      <w:r>
        <w:rPr>
          <w:rStyle w:val="12"/>
          <w:rFonts w:hint="eastAsia" w:asciiTheme="minorEastAsia" w:hAnsiTheme="minorEastAsia" w:eastAsiaTheme="minorEastAsia" w:cstheme="minorEastAsia"/>
          <w:sz w:val="18"/>
          <w:szCs w:val="18"/>
          <w:vertAlign w:val="baseline"/>
        </w:rPr>
        <w:t>]</w:t>
      </w:r>
      <w:r>
        <w:rPr>
          <w:rFonts w:hint="eastAsia" w:asciiTheme="minorEastAsia" w:hAnsiTheme="minorEastAsia" w:eastAsiaTheme="minorEastAsia" w:cstheme="minorEastAsia"/>
          <w:sz w:val="18"/>
          <w:szCs w:val="18"/>
        </w:rPr>
        <w:t xml:space="preserve"> 《中华人民共和国安全生产法》第九十五条第一项</w:t>
      </w:r>
      <w:r>
        <w:rPr>
          <w:rFonts w:hint="eastAsia" w:asciiTheme="minorEastAsia" w:hAnsiTheme="minorEastAsia" w:cstheme="minorEastAsia"/>
          <w:sz w:val="18"/>
          <w:szCs w:val="18"/>
          <w:lang w:eastAsia="zh-CN"/>
        </w:rPr>
        <w:t>：</w:t>
      </w:r>
      <w:r>
        <w:rPr>
          <w:rFonts w:hint="eastAsia" w:asciiTheme="minorEastAsia" w:hAnsiTheme="minorEastAsia" w:eastAsiaTheme="minorEastAsia" w:cstheme="minorEastAsia"/>
          <w:sz w:val="18"/>
          <w:szCs w:val="18"/>
        </w:rPr>
        <w:t>生产经营单位的主要负责人未履行本法规定的安全生产管理职责，导致发生生产安全事故的，由应急管理部门依照下列规定处以罚款:（一）发生一般事故的，处上一年年收入百分之四十的罚款；</w:t>
      </w:r>
    </w:p>
  </w:footnote>
  <w:footnote w:id="20">
    <w:p w14:paraId="61738CEB">
      <w:pPr>
        <w:pStyle w:val="7"/>
        <w:snapToGrid w:val="0"/>
      </w:pPr>
      <w:r>
        <w:rPr>
          <w:rStyle w:val="12"/>
          <w:vertAlign w:val="baseline"/>
        </w:rPr>
        <w:t>[</w:t>
      </w:r>
      <w:r>
        <w:rPr>
          <w:rStyle w:val="12"/>
          <w:vertAlign w:val="baseline"/>
        </w:rPr>
        <w:footnoteRef/>
      </w:r>
      <w:r>
        <w:rPr>
          <w:rStyle w:val="12"/>
          <w:vertAlign w:val="baseline"/>
        </w:rPr>
        <w:t>]</w:t>
      </w:r>
      <w:r>
        <w:t xml:space="preserve"> </w:t>
      </w:r>
      <w:r>
        <w:rPr>
          <w:rFonts w:hint="eastAsia"/>
        </w:rPr>
        <w:t>《四川绵竹市盘龙矿</w:t>
      </w:r>
      <w:r>
        <w:rPr>
          <w:rFonts w:hint="eastAsia"/>
          <w:lang w:val="en-US" w:eastAsia="zh-CN"/>
        </w:rPr>
        <w:t>物质</w:t>
      </w:r>
      <w:r>
        <w:rPr>
          <w:rFonts w:hint="eastAsia"/>
        </w:rPr>
        <w:t>有限责任公司安全生产管理制度》（PLAQ-ZD-37承包商管理制度）四、职责（一）设备部对项目安全管理负责。负责合同签定，合同中要有安全条款和责任要求，协调，日常安全监管。（二）设备部负责审查承包商安全资质，签订施工安全协议，会同相关部门对施工人员进行入厂前的安全教育，作业证审批，监督检查，督查隐患整改。</w:t>
      </w:r>
    </w:p>
  </w:footnote>
  <w:footnote w:id="21">
    <w:p w14:paraId="54FA59D9">
      <w:pPr>
        <w:pStyle w:val="7"/>
        <w:snapToGrid w:val="0"/>
      </w:pPr>
      <w:r>
        <w:rPr>
          <w:rStyle w:val="12"/>
          <w:vertAlign w:val="baseline"/>
        </w:rPr>
        <w:t>[</w:t>
      </w:r>
      <w:r>
        <w:rPr>
          <w:rStyle w:val="12"/>
          <w:vertAlign w:val="baseline"/>
        </w:rPr>
        <w:footnoteRef/>
      </w:r>
      <w:r>
        <w:rPr>
          <w:rStyle w:val="12"/>
          <w:vertAlign w:val="baseline"/>
        </w:rPr>
        <w:t>]</w:t>
      </w:r>
      <w:r>
        <w:t xml:space="preserve"> </w:t>
      </w:r>
      <w:r>
        <w:rPr>
          <w:rFonts w:hint="eastAsia"/>
          <w:lang w:eastAsia="zh-CN"/>
        </w:rPr>
        <w:t>《</w:t>
      </w:r>
      <w:r>
        <w:rPr>
          <w:rFonts w:hint="eastAsia"/>
          <w:lang w:val="en-US" w:eastAsia="zh-CN"/>
        </w:rPr>
        <w:t>中华人民共和国安全生产法</w:t>
      </w:r>
      <w:r>
        <w:rPr>
          <w:rFonts w:hint="eastAsia"/>
          <w:lang w:eastAsia="zh-CN"/>
        </w:rPr>
        <w:t>》</w:t>
      </w:r>
      <w:r>
        <w:rPr>
          <w:rFonts w:hint="eastAsia"/>
        </w:rPr>
        <w:t>第二十五条</w:t>
      </w:r>
      <w:r>
        <w:rPr>
          <w:rFonts w:hint="eastAsia"/>
          <w:lang w:val="en-US" w:eastAsia="zh-CN"/>
        </w:rPr>
        <w:t>第一款：</w:t>
      </w:r>
      <w:r>
        <w:rPr>
          <w:rFonts w:hint="eastAsia"/>
        </w:rPr>
        <w:t>生产经营单位的安全生产管理机构以及安全生产管理人员履行下列职责:（五）检查本单位的安全生产状况，及时排查生产安全事故隐患，提出改进安全生产管理的建议；（六）制止和纠正违章指挥、强令冒险作业、违反操作规程的行为；</w:t>
      </w:r>
    </w:p>
  </w:footnote>
  <w:footnote w:id="22">
    <w:p w14:paraId="4607677B">
      <w:pPr>
        <w:pStyle w:val="7"/>
        <w:snapToGrid w:val="0"/>
        <w:rPr>
          <w:rFonts w:hint="eastAsia" w:asciiTheme="minorEastAsia" w:hAnsiTheme="minorEastAsia" w:eastAsiaTheme="minorEastAsia" w:cstheme="minorEastAsia"/>
          <w:sz w:val="18"/>
          <w:szCs w:val="18"/>
          <w:lang w:val="en-US" w:eastAsia="zh-CN"/>
        </w:rPr>
      </w:pPr>
      <w:r>
        <w:rPr>
          <w:rStyle w:val="12"/>
          <w:rFonts w:hint="eastAsia" w:asciiTheme="minorEastAsia" w:hAnsiTheme="minorEastAsia" w:eastAsiaTheme="minorEastAsia" w:cstheme="minorEastAsia"/>
          <w:sz w:val="18"/>
          <w:szCs w:val="18"/>
          <w:vertAlign w:val="baseline"/>
        </w:rPr>
        <w:t>[</w:t>
      </w:r>
      <w:r>
        <w:rPr>
          <w:rStyle w:val="12"/>
          <w:rFonts w:hint="eastAsia" w:asciiTheme="minorEastAsia" w:hAnsiTheme="minorEastAsia" w:eastAsiaTheme="minorEastAsia" w:cstheme="minorEastAsia"/>
          <w:sz w:val="18"/>
          <w:szCs w:val="18"/>
          <w:vertAlign w:val="baseline"/>
        </w:rPr>
        <w:footnoteRef/>
      </w:r>
      <w:r>
        <w:rPr>
          <w:rStyle w:val="12"/>
          <w:rFonts w:hint="eastAsia" w:asciiTheme="minorEastAsia" w:hAnsiTheme="minorEastAsia" w:eastAsiaTheme="minorEastAsia" w:cstheme="minorEastAsia"/>
          <w:sz w:val="18"/>
          <w:szCs w:val="18"/>
          <w:vertAlign w:val="baseline"/>
        </w:rPr>
        <w:t>]</w:t>
      </w:r>
      <w:r>
        <w:rPr>
          <w:rFonts w:hint="eastAsia" w:asciiTheme="minorEastAsia" w:hAnsiTheme="minorEastAsia" w:eastAsiaTheme="minorEastAsia" w:cstheme="minorEastAsia"/>
          <w:sz w:val="18"/>
          <w:szCs w:val="18"/>
        </w:rPr>
        <w:t xml:space="preserve"> 《中华人民共和国安全生产法》第九十</w:t>
      </w:r>
      <w:r>
        <w:rPr>
          <w:rFonts w:hint="eastAsia" w:asciiTheme="minorEastAsia" w:hAnsiTheme="minorEastAsia" w:eastAsiaTheme="minorEastAsia" w:cstheme="minorEastAsia"/>
          <w:sz w:val="18"/>
          <w:szCs w:val="18"/>
          <w:lang w:val="en-US" w:eastAsia="zh-CN"/>
        </w:rPr>
        <w:t>六</w:t>
      </w:r>
      <w:r>
        <w:rPr>
          <w:rFonts w:hint="eastAsia" w:asciiTheme="minorEastAsia" w:hAnsiTheme="minorEastAsia" w:eastAsiaTheme="minorEastAsia" w:cstheme="minorEastAsia"/>
          <w:sz w:val="18"/>
          <w:szCs w:val="18"/>
        </w:rPr>
        <w:t>条</w:t>
      </w:r>
      <w:r>
        <w:rPr>
          <w:rFonts w:hint="eastAsia" w:asciiTheme="minorEastAsia" w:hAnsi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23">
    <w:p w14:paraId="6E03C99D">
      <w:pPr>
        <w:pStyle w:val="7"/>
        <w:snapToGrid w:val="0"/>
        <w:rPr>
          <w:rFonts w:hint="eastAsia" w:eastAsiaTheme="minorEastAsia"/>
          <w:lang w:eastAsia="zh-CN"/>
        </w:rPr>
      </w:pPr>
      <w:r>
        <w:rPr>
          <w:rStyle w:val="12"/>
          <w:vertAlign w:val="baseline"/>
        </w:rPr>
        <w:t>[</w:t>
      </w:r>
      <w:r>
        <w:rPr>
          <w:rStyle w:val="12"/>
          <w:vertAlign w:val="baseline"/>
        </w:rPr>
        <w:footnoteRef/>
      </w:r>
      <w:r>
        <w:rPr>
          <w:rStyle w:val="12"/>
          <w:vertAlign w:val="baseline"/>
        </w:rPr>
        <w:t>]</w:t>
      </w:r>
      <w:r>
        <w:t xml:space="preserve"> </w:t>
      </w:r>
      <w:r>
        <w:rPr>
          <w:rFonts w:hint="eastAsia"/>
          <w:lang w:eastAsia="zh-CN"/>
        </w:rPr>
        <w:t>《</w:t>
      </w:r>
      <w:r>
        <w:rPr>
          <w:rFonts w:hint="eastAsia"/>
          <w:lang w:val="en-US" w:eastAsia="zh-CN"/>
        </w:rPr>
        <w:t>中华人民共和国安全生产法</w:t>
      </w:r>
      <w:r>
        <w:rPr>
          <w:rFonts w:hint="eastAsia"/>
          <w:lang w:eastAsia="zh-CN"/>
        </w:rPr>
        <w:t>》</w:t>
      </w:r>
      <w:r>
        <w:rPr>
          <w:rFonts w:hint="eastAsia"/>
        </w:rPr>
        <w:t>第四条</w:t>
      </w:r>
      <w:r>
        <w:rPr>
          <w:rFonts w:hint="eastAsia"/>
          <w:lang w:val="en-US" w:eastAsia="zh-CN"/>
        </w:rPr>
        <w:t>第一款：</w:t>
      </w:r>
      <w:r>
        <w:rPr>
          <w:rFonts w:hint="eastAsia"/>
        </w:rPr>
        <w:t>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r>
        <w:rPr>
          <w:rFonts w:hint="eastAsia"/>
          <w:lang w:eastAsia="zh-CN"/>
        </w:rPr>
        <w:t>。</w:t>
      </w:r>
    </w:p>
  </w:footnote>
  <w:footnote w:id="24">
    <w:p w14:paraId="142F56E0">
      <w:pPr>
        <w:pStyle w:val="7"/>
        <w:snapToGrid w:val="0"/>
        <w:rPr>
          <w:rFonts w:hint="eastAsia" w:asciiTheme="minorEastAsia" w:hAnsiTheme="minorEastAsia" w:eastAsiaTheme="minorEastAsia" w:cstheme="minorEastAsia"/>
          <w:sz w:val="18"/>
          <w:szCs w:val="18"/>
        </w:rPr>
      </w:pPr>
      <w:r>
        <w:rPr>
          <w:rStyle w:val="12"/>
          <w:rFonts w:hint="eastAsia" w:asciiTheme="minorEastAsia" w:hAnsiTheme="minorEastAsia" w:eastAsiaTheme="minorEastAsia" w:cstheme="minorEastAsia"/>
          <w:sz w:val="18"/>
          <w:szCs w:val="18"/>
          <w:vertAlign w:val="baseline"/>
        </w:rPr>
        <w:t>[</w:t>
      </w:r>
      <w:r>
        <w:rPr>
          <w:rStyle w:val="12"/>
          <w:rFonts w:hint="eastAsia" w:asciiTheme="minorEastAsia" w:hAnsiTheme="minorEastAsia" w:eastAsiaTheme="minorEastAsia" w:cstheme="minorEastAsia"/>
          <w:sz w:val="18"/>
          <w:szCs w:val="18"/>
          <w:vertAlign w:val="baseline"/>
        </w:rPr>
        <w:footnoteRef/>
      </w:r>
      <w:r>
        <w:rPr>
          <w:rStyle w:val="12"/>
          <w:rFonts w:hint="eastAsia" w:asciiTheme="minorEastAsia" w:hAnsiTheme="minorEastAsia" w:eastAsiaTheme="minorEastAsia" w:cstheme="minorEastAsia"/>
          <w:sz w:val="18"/>
          <w:szCs w:val="18"/>
          <w:vertAlign w:val="baseline"/>
        </w:rPr>
        <w:t>]</w:t>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中华人民共和国安全生产法</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第一百一十四条第一项</w:t>
      </w:r>
      <w:r>
        <w:rPr>
          <w:rFonts w:hint="eastAsia" w:asciiTheme="minorEastAsia" w:hAnsiTheme="minorEastAsia" w:cstheme="minorEastAsia"/>
          <w:sz w:val="18"/>
          <w:szCs w:val="18"/>
          <w:lang w:val="en-US" w:eastAsia="zh-CN"/>
        </w:rPr>
        <w:t>：</w:t>
      </w:r>
      <w:r>
        <w:rPr>
          <w:rFonts w:hint="eastAsia" w:asciiTheme="minorEastAsia" w:hAnsiTheme="minorEastAsia" w:eastAsiaTheme="minorEastAsia" w:cstheme="minorEastAsia"/>
          <w:sz w:val="18"/>
          <w:szCs w:val="18"/>
        </w:rPr>
        <w:t>发生生产安全事故，对负有责任的生产经营单位除要求其依法承担相应的赔偿等责任外，由应急管理部门依照下列规定处以罚款:（一）发生一般事故的，处三十万元以上一百万元以下的罚款；</w:t>
      </w:r>
    </w:p>
  </w:footnote>
  <w:footnote w:id="25">
    <w:p w14:paraId="2E5C92E1">
      <w:pPr>
        <w:pStyle w:val="7"/>
        <w:snapToGrid w:val="0"/>
        <w:rPr>
          <w:rFonts w:hint="eastAsia" w:eastAsiaTheme="minorEastAsia"/>
          <w:lang w:eastAsia="zh-CN"/>
        </w:rPr>
      </w:pPr>
      <w:r>
        <w:rPr>
          <w:rStyle w:val="12"/>
          <w:vertAlign w:val="baseline"/>
        </w:rPr>
        <w:t>[</w:t>
      </w:r>
      <w:r>
        <w:rPr>
          <w:rStyle w:val="12"/>
          <w:vertAlign w:val="baseline"/>
        </w:rPr>
        <w:footnoteRef/>
      </w:r>
      <w:r>
        <w:rPr>
          <w:rStyle w:val="12"/>
          <w:vertAlign w:val="baseline"/>
        </w:rPr>
        <w:t>]</w:t>
      </w:r>
      <w:r>
        <w:t xml:space="preserve"> </w:t>
      </w:r>
      <w:r>
        <w:rPr>
          <w:rFonts w:hint="eastAsia"/>
          <w:lang w:eastAsia="zh-CN"/>
        </w:rPr>
        <w:t>《</w:t>
      </w:r>
      <w:r>
        <w:rPr>
          <w:rFonts w:hint="eastAsia"/>
          <w:lang w:val="en-US" w:eastAsia="zh-CN"/>
        </w:rPr>
        <w:t>中华人民共和国安全生产法</w:t>
      </w:r>
      <w:r>
        <w:rPr>
          <w:rFonts w:hint="eastAsia"/>
          <w:lang w:eastAsia="zh-CN"/>
        </w:rPr>
        <w:t>》</w:t>
      </w:r>
      <w:r>
        <w:rPr>
          <w:rFonts w:hint="eastAsia"/>
        </w:rPr>
        <w:t>第四条</w:t>
      </w:r>
      <w:r>
        <w:rPr>
          <w:rFonts w:hint="eastAsia"/>
          <w:lang w:val="en-US" w:eastAsia="zh-CN"/>
        </w:rPr>
        <w:t>第一款：</w:t>
      </w:r>
      <w:r>
        <w:rPr>
          <w:rFonts w:hint="eastAsia"/>
        </w:rPr>
        <w:t>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r>
        <w:rPr>
          <w:rFonts w:hint="eastAsia"/>
          <w:lang w:eastAsia="zh-CN"/>
        </w:rPr>
        <w:t>。</w:t>
      </w:r>
    </w:p>
  </w:footnote>
  <w:footnote w:id="26">
    <w:p w14:paraId="463C4287">
      <w:pPr>
        <w:pStyle w:val="7"/>
        <w:snapToGrid w:val="0"/>
        <w:rPr>
          <w:rFonts w:hint="eastAsia" w:eastAsiaTheme="minorEastAsia"/>
          <w:lang w:eastAsia="zh-CN"/>
        </w:rPr>
      </w:pPr>
      <w:r>
        <w:rPr>
          <w:rStyle w:val="12"/>
          <w:rFonts w:hint="eastAsia" w:asciiTheme="minorEastAsia" w:hAnsiTheme="minorEastAsia" w:eastAsiaTheme="minorEastAsia" w:cstheme="minorEastAsia"/>
          <w:vertAlign w:val="baseline"/>
        </w:rPr>
        <w:t>[</w:t>
      </w:r>
      <w:r>
        <w:rPr>
          <w:rStyle w:val="12"/>
          <w:rFonts w:hint="eastAsia" w:asciiTheme="minorEastAsia" w:hAnsiTheme="minorEastAsia" w:eastAsiaTheme="minorEastAsia" w:cstheme="minorEastAsia"/>
          <w:vertAlign w:val="baseline"/>
        </w:rPr>
        <w:footnoteRef/>
      </w:r>
      <w:r>
        <w:rPr>
          <w:rStyle w:val="12"/>
          <w:rFonts w:hint="eastAsia" w:asciiTheme="minorEastAsia" w:hAnsiTheme="minorEastAsia" w:eastAsiaTheme="minorEastAsia" w:cstheme="minorEastAsia"/>
          <w:vertAlign w:val="baseline"/>
        </w:rPr>
        <w:t>]</w:t>
      </w:r>
      <w:r>
        <w:t xml:space="preserve"> </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中</w:t>
      </w:r>
      <w:r>
        <w:rPr>
          <w:rFonts w:hint="eastAsia" w:asciiTheme="minorEastAsia" w:hAnsiTheme="minorEastAsia" w:cstheme="minorEastAsia"/>
          <w:sz w:val="18"/>
          <w:szCs w:val="18"/>
          <w:lang w:val="en-US" w:eastAsia="zh-CN"/>
        </w:rPr>
        <w:t>华</w:t>
      </w:r>
      <w:r>
        <w:rPr>
          <w:rFonts w:hint="eastAsia" w:asciiTheme="minorEastAsia" w:hAnsiTheme="minorEastAsia" w:eastAsiaTheme="minorEastAsia" w:cstheme="minorEastAsia"/>
          <w:sz w:val="18"/>
          <w:szCs w:val="18"/>
          <w:lang w:val="en-US" w:eastAsia="zh-CN"/>
        </w:rPr>
        <w:t>人民共和国安全生产法</w:t>
      </w:r>
      <w:r>
        <w:rPr>
          <w:rFonts w:hint="eastAsia" w:asciiTheme="minorEastAsia" w:hAnsiTheme="minorEastAsia" w:eastAsiaTheme="minorEastAsia" w:cstheme="minorEastAsia"/>
          <w:sz w:val="18"/>
          <w:szCs w:val="18"/>
          <w:lang w:eastAsia="zh-CN"/>
        </w:rPr>
        <w:t>》第一百一十四条</w:t>
      </w:r>
      <w:r>
        <w:rPr>
          <w:rFonts w:hint="eastAsia" w:asciiTheme="minorEastAsia" w:hAnsiTheme="minorEastAsia" w:eastAsiaTheme="minorEastAsia" w:cstheme="minorEastAsia"/>
          <w:sz w:val="18"/>
          <w:szCs w:val="18"/>
          <w:lang w:val="en-US" w:eastAsia="zh-CN"/>
        </w:rPr>
        <w:t>第一项</w:t>
      </w:r>
      <w:r>
        <w:rPr>
          <w:rFonts w:hint="eastAsia" w:asciiTheme="minorEastAsia" w:hAnsiTheme="minorEastAsia" w:cstheme="minorEastAsia"/>
          <w:sz w:val="18"/>
          <w:szCs w:val="18"/>
          <w:lang w:val="en-US" w:eastAsia="zh-CN"/>
        </w:rPr>
        <w:t>：</w:t>
      </w:r>
      <w:r>
        <w:rPr>
          <w:rFonts w:hint="eastAsia" w:asciiTheme="minorEastAsia" w:hAnsiTheme="minorEastAsia" w:eastAsiaTheme="minorEastAsia" w:cstheme="minorEastAsia"/>
          <w:sz w:val="18"/>
          <w:szCs w:val="18"/>
          <w:lang w:eastAsia="zh-CN"/>
        </w:rPr>
        <w:t>发生生产安全事故，对负有责任的生产经营单位除要求其依法承担相应的赔偿等责任外，由应急管理部门依照下列规定处以罚款:（一）发生一般事故的，处三十万元以上一百万元以下的罚款；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DDE4B">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54"/>
    <w:footnote w:id="5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5OGE0NTZlOTc5YTJlMGMxYTg1NDk5YzQ5MTVmNjcifQ=="/>
  </w:docVars>
  <w:rsids>
    <w:rsidRoot w:val="00172A27"/>
    <w:rsid w:val="00033B11"/>
    <w:rsid w:val="000F5645"/>
    <w:rsid w:val="00133387"/>
    <w:rsid w:val="001B1455"/>
    <w:rsid w:val="00281C6C"/>
    <w:rsid w:val="003D5DD9"/>
    <w:rsid w:val="00530680"/>
    <w:rsid w:val="005574FC"/>
    <w:rsid w:val="006911F9"/>
    <w:rsid w:val="006C5A11"/>
    <w:rsid w:val="006E6810"/>
    <w:rsid w:val="00704336"/>
    <w:rsid w:val="00814795"/>
    <w:rsid w:val="00975D66"/>
    <w:rsid w:val="00B20DF2"/>
    <w:rsid w:val="00C11035"/>
    <w:rsid w:val="00CC1B1A"/>
    <w:rsid w:val="00D23242"/>
    <w:rsid w:val="00E52F76"/>
    <w:rsid w:val="00E7456D"/>
    <w:rsid w:val="00EC0BC5"/>
    <w:rsid w:val="00EE0180"/>
    <w:rsid w:val="00F907CF"/>
    <w:rsid w:val="01042CD0"/>
    <w:rsid w:val="01055E23"/>
    <w:rsid w:val="01374E54"/>
    <w:rsid w:val="013B5370"/>
    <w:rsid w:val="01463C70"/>
    <w:rsid w:val="015B6D94"/>
    <w:rsid w:val="015C48BA"/>
    <w:rsid w:val="01611872"/>
    <w:rsid w:val="01797F8F"/>
    <w:rsid w:val="018C21A5"/>
    <w:rsid w:val="019B1886"/>
    <w:rsid w:val="019E354E"/>
    <w:rsid w:val="01A73D87"/>
    <w:rsid w:val="01BE5E5A"/>
    <w:rsid w:val="01C715DA"/>
    <w:rsid w:val="01D134FA"/>
    <w:rsid w:val="01D32DCE"/>
    <w:rsid w:val="01DA23AF"/>
    <w:rsid w:val="01E14527"/>
    <w:rsid w:val="01E41E45"/>
    <w:rsid w:val="01E943A0"/>
    <w:rsid w:val="01F3069B"/>
    <w:rsid w:val="01F400B3"/>
    <w:rsid w:val="01F409FB"/>
    <w:rsid w:val="01FB2325"/>
    <w:rsid w:val="02184FF1"/>
    <w:rsid w:val="023F66B6"/>
    <w:rsid w:val="024251D6"/>
    <w:rsid w:val="0256755B"/>
    <w:rsid w:val="025D4D8E"/>
    <w:rsid w:val="028B36A9"/>
    <w:rsid w:val="02CB01CA"/>
    <w:rsid w:val="02CE2B93"/>
    <w:rsid w:val="02E21075"/>
    <w:rsid w:val="02FE3F2A"/>
    <w:rsid w:val="03011BBD"/>
    <w:rsid w:val="030671D3"/>
    <w:rsid w:val="031A4A2D"/>
    <w:rsid w:val="0332621A"/>
    <w:rsid w:val="03465822"/>
    <w:rsid w:val="034A3564"/>
    <w:rsid w:val="035E0DBD"/>
    <w:rsid w:val="036A7762"/>
    <w:rsid w:val="038B058F"/>
    <w:rsid w:val="03A72764"/>
    <w:rsid w:val="03AC1B29"/>
    <w:rsid w:val="03AF786B"/>
    <w:rsid w:val="03B86720"/>
    <w:rsid w:val="03CB202D"/>
    <w:rsid w:val="03CF75C5"/>
    <w:rsid w:val="03D867F0"/>
    <w:rsid w:val="03EA7391"/>
    <w:rsid w:val="03F67248"/>
    <w:rsid w:val="041A1BF4"/>
    <w:rsid w:val="043A35D9"/>
    <w:rsid w:val="04406715"/>
    <w:rsid w:val="044E0DE0"/>
    <w:rsid w:val="045F6B9B"/>
    <w:rsid w:val="046046C1"/>
    <w:rsid w:val="046C750A"/>
    <w:rsid w:val="04812FB5"/>
    <w:rsid w:val="04866123"/>
    <w:rsid w:val="048906EB"/>
    <w:rsid w:val="049A0F5C"/>
    <w:rsid w:val="049E7284"/>
    <w:rsid w:val="04AB0032"/>
    <w:rsid w:val="04AE7B23"/>
    <w:rsid w:val="04BC30D8"/>
    <w:rsid w:val="04BD7D66"/>
    <w:rsid w:val="04C37705"/>
    <w:rsid w:val="04CC1D57"/>
    <w:rsid w:val="04E02FB3"/>
    <w:rsid w:val="04E91ED9"/>
    <w:rsid w:val="05093D4D"/>
    <w:rsid w:val="052E47BF"/>
    <w:rsid w:val="05341DD6"/>
    <w:rsid w:val="05614159"/>
    <w:rsid w:val="05634469"/>
    <w:rsid w:val="056927FC"/>
    <w:rsid w:val="05840ACD"/>
    <w:rsid w:val="0596483F"/>
    <w:rsid w:val="05C44D97"/>
    <w:rsid w:val="05C7623C"/>
    <w:rsid w:val="05ED5238"/>
    <w:rsid w:val="05F6364B"/>
    <w:rsid w:val="06186459"/>
    <w:rsid w:val="061E4834"/>
    <w:rsid w:val="062C6335"/>
    <w:rsid w:val="062E0F1B"/>
    <w:rsid w:val="06705232"/>
    <w:rsid w:val="069114AA"/>
    <w:rsid w:val="06BD404D"/>
    <w:rsid w:val="06CF26E9"/>
    <w:rsid w:val="06DA11F3"/>
    <w:rsid w:val="06E45A7E"/>
    <w:rsid w:val="06E61196"/>
    <w:rsid w:val="06E8731C"/>
    <w:rsid w:val="06FC42F7"/>
    <w:rsid w:val="070B6B66"/>
    <w:rsid w:val="07246A32"/>
    <w:rsid w:val="072B60E6"/>
    <w:rsid w:val="072D4D2F"/>
    <w:rsid w:val="07443772"/>
    <w:rsid w:val="077E37DC"/>
    <w:rsid w:val="07866B35"/>
    <w:rsid w:val="078678A3"/>
    <w:rsid w:val="07902610"/>
    <w:rsid w:val="079B438E"/>
    <w:rsid w:val="07A019A5"/>
    <w:rsid w:val="07A01A45"/>
    <w:rsid w:val="07A7622F"/>
    <w:rsid w:val="07D06EA7"/>
    <w:rsid w:val="07EF0236"/>
    <w:rsid w:val="07F27D26"/>
    <w:rsid w:val="081952B3"/>
    <w:rsid w:val="083676BA"/>
    <w:rsid w:val="08510EF1"/>
    <w:rsid w:val="0870581B"/>
    <w:rsid w:val="087D5842"/>
    <w:rsid w:val="088A38B4"/>
    <w:rsid w:val="088F318D"/>
    <w:rsid w:val="08CA6256"/>
    <w:rsid w:val="08D631A4"/>
    <w:rsid w:val="08DD2784"/>
    <w:rsid w:val="08DD388E"/>
    <w:rsid w:val="08DD4532"/>
    <w:rsid w:val="08E92ED7"/>
    <w:rsid w:val="08F71A98"/>
    <w:rsid w:val="09150170"/>
    <w:rsid w:val="091940E1"/>
    <w:rsid w:val="091A7535"/>
    <w:rsid w:val="092E1232"/>
    <w:rsid w:val="09306D58"/>
    <w:rsid w:val="096F2FE3"/>
    <w:rsid w:val="096F7756"/>
    <w:rsid w:val="09736C45"/>
    <w:rsid w:val="097A4477"/>
    <w:rsid w:val="09A45050"/>
    <w:rsid w:val="09AD2348"/>
    <w:rsid w:val="09C828C8"/>
    <w:rsid w:val="09C83435"/>
    <w:rsid w:val="09CE679B"/>
    <w:rsid w:val="09D5444C"/>
    <w:rsid w:val="09D65B51"/>
    <w:rsid w:val="09D73678"/>
    <w:rsid w:val="0A0315F9"/>
    <w:rsid w:val="0A054462"/>
    <w:rsid w:val="0A0B2180"/>
    <w:rsid w:val="0A0D7099"/>
    <w:rsid w:val="0A195A3E"/>
    <w:rsid w:val="0A264B9C"/>
    <w:rsid w:val="0A3221EC"/>
    <w:rsid w:val="0A44705D"/>
    <w:rsid w:val="0A4725AB"/>
    <w:rsid w:val="0A4A209B"/>
    <w:rsid w:val="0A5151D8"/>
    <w:rsid w:val="0A5847B8"/>
    <w:rsid w:val="0A5B74C4"/>
    <w:rsid w:val="0A5E16A3"/>
    <w:rsid w:val="0A680F12"/>
    <w:rsid w:val="0A71587A"/>
    <w:rsid w:val="0A791B72"/>
    <w:rsid w:val="0A7E1D45"/>
    <w:rsid w:val="0A7F7F97"/>
    <w:rsid w:val="0ABD1753"/>
    <w:rsid w:val="0ABF23BB"/>
    <w:rsid w:val="0AC97B7D"/>
    <w:rsid w:val="0ACA4C9D"/>
    <w:rsid w:val="0AEA12A8"/>
    <w:rsid w:val="0AF173D6"/>
    <w:rsid w:val="0AF53DB5"/>
    <w:rsid w:val="0AFE1054"/>
    <w:rsid w:val="0B04224A"/>
    <w:rsid w:val="0B0C7351"/>
    <w:rsid w:val="0B133673"/>
    <w:rsid w:val="0B2B77D7"/>
    <w:rsid w:val="0B2E376B"/>
    <w:rsid w:val="0B304DED"/>
    <w:rsid w:val="0B354AFA"/>
    <w:rsid w:val="0B3E14F3"/>
    <w:rsid w:val="0B5A4560"/>
    <w:rsid w:val="0B5C6AC0"/>
    <w:rsid w:val="0B5E35ED"/>
    <w:rsid w:val="0B5F50B3"/>
    <w:rsid w:val="0B8B64C8"/>
    <w:rsid w:val="0B9974E3"/>
    <w:rsid w:val="0B9F1F73"/>
    <w:rsid w:val="0BD334DF"/>
    <w:rsid w:val="0BDB744F"/>
    <w:rsid w:val="0BEF0928"/>
    <w:rsid w:val="0BF13075"/>
    <w:rsid w:val="0BFE6C9A"/>
    <w:rsid w:val="0C1464BD"/>
    <w:rsid w:val="0C4D19CF"/>
    <w:rsid w:val="0C4F1BEB"/>
    <w:rsid w:val="0C50326D"/>
    <w:rsid w:val="0C583DAB"/>
    <w:rsid w:val="0C6531BD"/>
    <w:rsid w:val="0C670690"/>
    <w:rsid w:val="0C6E2DA2"/>
    <w:rsid w:val="0C8A19DC"/>
    <w:rsid w:val="0C9B44E9"/>
    <w:rsid w:val="0CA40AC6"/>
    <w:rsid w:val="0CB47CA0"/>
    <w:rsid w:val="0CB56C09"/>
    <w:rsid w:val="0CBA3508"/>
    <w:rsid w:val="0CC31C91"/>
    <w:rsid w:val="0CE20369"/>
    <w:rsid w:val="0CE642FD"/>
    <w:rsid w:val="0CF32576"/>
    <w:rsid w:val="0CF84031"/>
    <w:rsid w:val="0D0B5B12"/>
    <w:rsid w:val="0D1B7FB6"/>
    <w:rsid w:val="0D244E26"/>
    <w:rsid w:val="0D2941EA"/>
    <w:rsid w:val="0D335069"/>
    <w:rsid w:val="0D3365D2"/>
    <w:rsid w:val="0D3D1A44"/>
    <w:rsid w:val="0D3D5EE8"/>
    <w:rsid w:val="0D4D0843"/>
    <w:rsid w:val="0D5031DE"/>
    <w:rsid w:val="0D522DB6"/>
    <w:rsid w:val="0D53541E"/>
    <w:rsid w:val="0D5F19BA"/>
    <w:rsid w:val="0D647245"/>
    <w:rsid w:val="0D7D1354"/>
    <w:rsid w:val="0D8238FA"/>
    <w:rsid w:val="0D8D29CB"/>
    <w:rsid w:val="0DC108C7"/>
    <w:rsid w:val="0DCE6B40"/>
    <w:rsid w:val="0DE10621"/>
    <w:rsid w:val="0E2B0AC2"/>
    <w:rsid w:val="0E39045D"/>
    <w:rsid w:val="0E462B7A"/>
    <w:rsid w:val="0E507674"/>
    <w:rsid w:val="0E5B1B74"/>
    <w:rsid w:val="0E645E04"/>
    <w:rsid w:val="0E7D78A0"/>
    <w:rsid w:val="0EA224A6"/>
    <w:rsid w:val="0ECA7307"/>
    <w:rsid w:val="0F1A64E0"/>
    <w:rsid w:val="0F3375A2"/>
    <w:rsid w:val="0F3453CB"/>
    <w:rsid w:val="0F6239E3"/>
    <w:rsid w:val="0F6B19D9"/>
    <w:rsid w:val="0F8E47D8"/>
    <w:rsid w:val="0FA45285"/>
    <w:rsid w:val="0FCC70AF"/>
    <w:rsid w:val="0FCF21E9"/>
    <w:rsid w:val="0FD70BD9"/>
    <w:rsid w:val="0FE7102C"/>
    <w:rsid w:val="0FF705D0"/>
    <w:rsid w:val="100019BA"/>
    <w:rsid w:val="10072452"/>
    <w:rsid w:val="100B2769"/>
    <w:rsid w:val="100E0229"/>
    <w:rsid w:val="10150A56"/>
    <w:rsid w:val="101747CE"/>
    <w:rsid w:val="10234F21"/>
    <w:rsid w:val="10466E61"/>
    <w:rsid w:val="105F7F23"/>
    <w:rsid w:val="10953945"/>
    <w:rsid w:val="10AB2ADB"/>
    <w:rsid w:val="10BA3678"/>
    <w:rsid w:val="10CD757B"/>
    <w:rsid w:val="10E13EA3"/>
    <w:rsid w:val="10FA443B"/>
    <w:rsid w:val="11097D6A"/>
    <w:rsid w:val="111F7DDE"/>
    <w:rsid w:val="112F78F5"/>
    <w:rsid w:val="11302747"/>
    <w:rsid w:val="113106E6"/>
    <w:rsid w:val="113814EF"/>
    <w:rsid w:val="113A4ED7"/>
    <w:rsid w:val="11406D4B"/>
    <w:rsid w:val="11427629"/>
    <w:rsid w:val="114F4123"/>
    <w:rsid w:val="11586E4C"/>
    <w:rsid w:val="119D27E7"/>
    <w:rsid w:val="11A2533F"/>
    <w:rsid w:val="11BB0584"/>
    <w:rsid w:val="11BC387F"/>
    <w:rsid w:val="11C049F1"/>
    <w:rsid w:val="11E06E41"/>
    <w:rsid w:val="11E579A3"/>
    <w:rsid w:val="120627E3"/>
    <w:rsid w:val="120D5E88"/>
    <w:rsid w:val="12435D4E"/>
    <w:rsid w:val="12505D75"/>
    <w:rsid w:val="125C6E10"/>
    <w:rsid w:val="127929E7"/>
    <w:rsid w:val="127A1E00"/>
    <w:rsid w:val="128F4AEF"/>
    <w:rsid w:val="12BB3B36"/>
    <w:rsid w:val="12C7222E"/>
    <w:rsid w:val="12D9220E"/>
    <w:rsid w:val="12FA4A4C"/>
    <w:rsid w:val="12FC7CAB"/>
    <w:rsid w:val="13056A4B"/>
    <w:rsid w:val="13326FB6"/>
    <w:rsid w:val="135E2728"/>
    <w:rsid w:val="13741F37"/>
    <w:rsid w:val="13777F73"/>
    <w:rsid w:val="137A57A0"/>
    <w:rsid w:val="137B1518"/>
    <w:rsid w:val="13833F28"/>
    <w:rsid w:val="13D12EE6"/>
    <w:rsid w:val="13D1738A"/>
    <w:rsid w:val="13E9022F"/>
    <w:rsid w:val="140453C0"/>
    <w:rsid w:val="14123C2A"/>
    <w:rsid w:val="142B4CEC"/>
    <w:rsid w:val="142E67D5"/>
    <w:rsid w:val="142F0749"/>
    <w:rsid w:val="144933C4"/>
    <w:rsid w:val="144A0774"/>
    <w:rsid w:val="14707F83"/>
    <w:rsid w:val="14733F9D"/>
    <w:rsid w:val="148F7029"/>
    <w:rsid w:val="14C8078D"/>
    <w:rsid w:val="14C842E9"/>
    <w:rsid w:val="14D3438D"/>
    <w:rsid w:val="14DE5C4E"/>
    <w:rsid w:val="14E82BDD"/>
    <w:rsid w:val="15091976"/>
    <w:rsid w:val="151C4634"/>
    <w:rsid w:val="152A4FA3"/>
    <w:rsid w:val="154A11A2"/>
    <w:rsid w:val="15604521"/>
    <w:rsid w:val="15617EB6"/>
    <w:rsid w:val="15695ACC"/>
    <w:rsid w:val="156C55BC"/>
    <w:rsid w:val="15787ABD"/>
    <w:rsid w:val="157E0D00"/>
    <w:rsid w:val="15802E15"/>
    <w:rsid w:val="15A46B04"/>
    <w:rsid w:val="15AC7766"/>
    <w:rsid w:val="15AF2903"/>
    <w:rsid w:val="15B97C5B"/>
    <w:rsid w:val="15CB3968"/>
    <w:rsid w:val="15E2587E"/>
    <w:rsid w:val="15FC22B4"/>
    <w:rsid w:val="160E21CF"/>
    <w:rsid w:val="161E0271"/>
    <w:rsid w:val="16201F02"/>
    <w:rsid w:val="163C4F8E"/>
    <w:rsid w:val="16467BBB"/>
    <w:rsid w:val="16491459"/>
    <w:rsid w:val="16772F40"/>
    <w:rsid w:val="16775FC6"/>
    <w:rsid w:val="168626AD"/>
    <w:rsid w:val="169B7A4A"/>
    <w:rsid w:val="169E17A5"/>
    <w:rsid w:val="16B20DAC"/>
    <w:rsid w:val="16ED4F3B"/>
    <w:rsid w:val="16F40429"/>
    <w:rsid w:val="16F413C5"/>
    <w:rsid w:val="170F61FF"/>
    <w:rsid w:val="177469AA"/>
    <w:rsid w:val="17814783"/>
    <w:rsid w:val="179B3F36"/>
    <w:rsid w:val="17BF5E77"/>
    <w:rsid w:val="17C3523B"/>
    <w:rsid w:val="17C55DE9"/>
    <w:rsid w:val="17E05A13"/>
    <w:rsid w:val="18047D2E"/>
    <w:rsid w:val="18055854"/>
    <w:rsid w:val="18146692"/>
    <w:rsid w:val="181D0DEF"/>
    <w:rsid w:val="18336FB7"/>
    <w:rsid w:val="183D3240"/>
    <w:rsid w:val="18495740"/>
    <w:rsid w:val="187F1162"/>
    <w:rsid w:val="18950986"/>
    <w:rsid w:val="18A220F1"/>
    <w:rsid w:val="18AB50EF"/>
    <w:rsid w:val="18C35B2C"/>
    <w:rsid w:val="18CD45C3"/>
    <w:rsid w:val="18E35B95"/>
    <w:rsid w:val="18F84792"/>
    <w:rsid w:val="191700AC"/>
    <w:rsid w:val="191E4E1F"/>
    <w:rsid w:val="19297320"/>
    <w:rsid w:val="192B3098"/>
    <w:rsid w:val="192F4936"/>
    <w:rsid w:val="19371A3D"/>
    <w:rsid w:val="194451E3"/>
    <w:rsid w:val="196038C1"/>
    <w:rsid w:val="196F11D7"/>
    <w:rsid w:val="197131A1"/>
    <w:rsid w:val="199D792A"/>
    <w:rsid w:val="19CE05F3"/>
    <w:rsid w:val="19EA2F53"/>
    <w:rsid w:val="19F16090"/>
    <w:rsid w:val="1A024581"/>
    <w:rsid w:val="1A3B730B"/>
    <w:rsid w:val="1A4563DB"/>
    <w:rsid w:val="1A4C59BC"/>
    <w:rsid w:val="1A8707A2"/>
    <w:rsid w:val="1A8769F4"/>
    <w:rsid w:val="1A8C400A"/>
    <w:rsid w:val="1A8E38DF"/>
    <w:rsid w:val="1ABD5F72"/>
    <w:rsid w:val="1ADD0464"/>
    <w:rsid w:val="1AF23E6D"/>
    <w:rsid w:val="1B1009CC"/>
    <w:rsid w:val="1B132A5A"/>
    <w:rsid w:val="1B2304CB"/>
    <w:rsid w:val="1B326960"/>
    <w:rsid w:val="1B3B1CB8"/>
    <w:rsid w:val="1B4B7786"/>
    <w:rsid w:val="1B5217DB"/>
    <w:rsid w:val="1B5A7C65"/>
    <w:rsid w:val="1B5C1C2F"/>
    <w:rsid w:val="1B7A2E85"/>
    <w:rsid w:val="1B811695"/>
    <w:rsid w:val="1B99078D"/>
    <w:rsid w:val="1B9E2247"/>
    <w:rsid w:val="1BC51582"/>
    <w:rsid w:val="1BCF0653"/>
    <w:rsid w:val="1BCF41AF"/>
    <w:rsid w:val="1BDD2D6F"/>
    <w:rsid w:val="1BE834C2"/>
    <w:rsid w:val="1BFC2ACA"/>
    <w:rsid w:val="1C0005BE"/>
    <w:rsid w:val="1C0E2F29"/>
    <w:rsid w:val="1C4050AC"/>
    <w:rsid w:val="1C4E1577"/>
    <w:rsid w:val="1C7F3E27"/>
    <w:rsid w:val="1C9F7AAB"/>
    <w:rsid w:val="1CA70C88"/>
    <w:rsid w:val="1CAE2016"/>
    <w:rsid w:val="1CB82E95"/>
    <w:rsid w:val="1CB87339"/>
    <w:rsid w:val="1CBE55B6"/>
    <w:rsid w:val="1CBF2475"/>
    <w:rsid w:val="1CC525BC"/>
    <w:rsid w:val="1CDF6673"/>
    <w:rsid w:val="1CE23593"/>
    <w:rsid w:val="1CE65C54"/>
    <w:rsid w:val="1CE974F2"/>
    <w:rsid w:val="1D2249DE"/>
    <w:rsid w:val="1D224F0A"/>
    <w:rsid w:val="1D28001A"/>
    <w:rsid w:val="1D322C47"/>
    <w:rsid w:val="1D4666F2"/>
    <w:rsid w:val="1D5F7214"/>
    <w:rsid w:val="1D752B34"/>
    <w:rsid w:val="1D8A3382"/>
    <w:rsid w:val="1D921D9A"/>
    <w:rsid w:val="1D9A47B6"/>
    <w:rsid w:val="1DEA038E"/>
    <w:rsid w:val="1DEA7DBD"/>
    <w:rsid w:val="1DEC54EC"/>
    <w:rsid w:val="1DF3687A"/>
    <w:rsid w:val="1DF93765"/>
    <w:rsid w:val="1E0740D4"/>
    <w:rsid w:val="1E0D6477"/>
    <w:rsid w:val="1E4B778C"/>
    <w:rsid w:val="1E6338CB"/>
    <w:rsid w:val="1E755AC7"/>
    <w:rsid w:val="1E766B63"/>
    <w:rsid w:val="1E783F01"/>
    <w:rsid w:val="1E7D3357"/>
    <w:rsid w:val="1EAE454F"/>
    <w:rsid w:val="1EB87CD4"/>
    <w:rsid w:val="1EC41FC5"/>
    <w:rsid w:val="1EE14925"/>
    <w:rsid w:val="1EEC5078"/>
    <w:rsid w:val="1EF04B68"/>
    <w:rsid w:val="1EFF2FFD"/>
    <w:rsid w:val="1EFF35A8"/>
    <w:rsid w:val="1F097579"/>
    <w:rsid w:val="1F1B770B"/>
    <w:rsid w:val="1F295423"/>
    <w:rsid w:val="1F4849A4"/>
    <w:rsid w:val="1F552C1D"/>
    <w:rsid w:val="1F572E39"/>
    <w:rsid w:val="1F57791E"/>
    <w:rsid w:val="1F7A6B27"/>
    <w:rsid w:val="1F7C464D"/>
    <w:rsid w:val="1F84701E"/>
    <w:rsid w:val="1F980F50"/>
    <w:rsid w:val="1F9D6372"/>
    <w:rsid w:val="1FAB0A8F"/>
    <w:rsid w:val="1FEB3581"/>
    <w:rsid w:val="1FF71F26"/>
    <w:rsid w:val="1FFE5062"/>
    <w:rsid w:val="200A1C59"/>
    <w:rsid w:val="200A4B94"/>
    <w:rsid w:val="20360CA0"/>
    <w:rsid w:val="204D5FEA"/>
    <w:rsid w:val="205253AE"/>
    <w:rsid w:val="206A6B9C"/>
    <w:rsid w:val="20766F7A"/>
    <w:rsid w:val="207E5971"/>
    <w:rsid w:val="208A4B48"/>
    <w:rsid w:val="20AB72FF"/>
    <w:rsid w:val="20D34741"/>
    <w:rsid w:val="20DB1848"/>
    <w:rsid w:val="20DD55C0"/>
    <w:rsid w:val="20E029BA"/>
    <w:rsid w:val="20FE3C6A"/>
    <w:rsid w:val="210112AE"/>
    <w:rsid w:val="21117B79"/>
    <w:rsid w:val="211B3642"/>
    <w:rsid w:val="212E3725"/>
    <w:rsid w:val="21355D53"/>
    <w:rsid w:val="214C67D7"/>
    <w:rsid w:val="21570ECE"/>
    <w:rsid w:val="215A451A"/>
    <w:rsid w:val="21662300"/>
    <w:rsid w:val="217575A6"/>
    <w:rsid w:val="217B1617"/>
    <w:rsid w:val="21B23644"/>
    <w:rsid w:val="21B445C8"/>
    <w:rsid w:val="21C1459A"/>
    <w:rsid w:val="21CF14FC"/>
    <w:rsid w:val="21D20555"/>
    <w:rsid w:val="21FE5C20"/>
    <w:rsid w:val="22075F89"/>
    <w:rsid w:val="220B7F0B"/>
    <w:rsid w:val="22163FA3"/>
    <w:rsid w:val="22194137"/>
    <w:rsid w:val="22244B28"/>
    <w:rsid w:val="22280ABD"/>
    <w:rsid w:val="222F34BF"/>
    <w:rsid w:val="224D407F"/>
    <w:rsid w:val="224E48BB"/>
    <w:rsid w:val="225E215B"/>
    <w:rsid w:val="227E248B"/>
    <w:rsid w:val="228026A7"/>
    <w:rsid w:val="229075DE"/>
    <w:rsid w:val="229840C2"/>
    <w:rsid w:val="22A055E4"/>
    <w:rsid w:val="22A62223"/>
    <w:rsid w:val="22B16A5C"/>
    <w:rsid w:val="22BA3F45"/>
    <w:rsid w:val="22C222F4"/>
    <w:rsid w:val="22D447A0"/>
    <w:rsid w:val="22E26EBD"/>
    <w:rsid w:val="22F17100"/>
    <w:rsid w:val="22FB35D9"/>
    <w:rsid w:val="230418DA"/>
    <w:rsid w:val="23294AEC"/>
    <w:rsid w:val="232A4FD6"/>
    <w:rsid w:val="23303366"/>
    <w:rsid w:val="2338088B"/>
    <w:rsid w:val="234436D4"/>
    <w:rsid w:val="234C2589"/>
    <w:rsid w:val="235139C0"/>
    <w:rsid w:val="23767606"/>
    <w:rsid w:val="239A7B8A"/>
    <w:rsid w:val="23A14683"/>
    <w:rsid w:val="23A423C5"/>
    <w:rsid w:val="23B02B18"/>
    <w:rsid w:val="23B24AE2"/>
    <w:rsid w:val="23C6233B"/>
    <w:rsid w:val="23F247E5"/>
    <w:rsid w:val="23F46CA2"/>
    <w:rsid w:val="23F624AC"/>
    <w:rsid w:val="24142D67"/>
    <w:rsid w:val="244F40DF"/>
    <w:rsid w:val="2453724D"/>
    <w:rsid w:val="2464279F"/>
    <w:rsid w:val="24691ACD"/>
    <w:rsid w:val="246C2EE2"/>
    <w:rsid w:val="247955FF"/>
    <w:rsid w:val="247A4956"/>
    <w:rsid w:val="247C0C4C"/>
    <w:rsid w:val="24883A94"/>
    <w:rsid w:val="248D10AB"/>
    <w:rsid w:val="24AB0CB9"/>
    <w:rsid w:val="24B2466D"/>
    <w:rsid w:val="24CE594B"/>
    <w:rsid w:val="24E32A79"/>
    <w:rsid w:val="24EC5DD1"/>
    <w:rsid w:val="24F42ED8"/>
    <w:rsid w:val="24FA6740"/>
    <w:rsid w:val="250B3205"/>
    <w:rsid w:val="250F1AC0"/>
    <w:rsid w:val="25154230"/>
    <w:rsid w:val="25184E18"/>
    <w:rsid w:val="25304849"/>
    <w:rsid w:val="2533755C"/>
    <w:rsid w:val="25382DC5"/>
    <w:rsid w:val="253B5464"/>
    <w:rsid w:val="25551BC9"/>
    <w:rsid w:val="256A4F48"/>
    <w:rsid w:val="257D111F"/>
    <w:rsid w:val="25B032A3"/>
    <w:rsid w:val="25B61F3B"/>
    <w:rsid w:val="25D7082F"/>
    <w:rsid w:val="25DC5E46"/>
    <w:rsid w:val="25E90563"/>
    <w:rsid w:val="25FC2044"/>
    <w:rsid w:val="26094761"/>
    <w:rsid w:val="260B672B"/>
    <w:rsid w:val="26220F43"/>
    <w:rsid w:val="262E295A"/>
    <w:rsid w:val="263A0DBE"/>
    <w:rsid w:val="263C0693"/>
    <w:rsid w:val="26473D8A"/>
    <w:rsid w:val="265754CC"/>
    <w:rsid w:val="265C6F87"/>
    <w:rsid w:val="267918E7"/>
    <w:rsid w:val="2685203A"/>
    <w:rsid w:val="269C3827"/>
    <w:rsid w:val="26AA1AA0"/>
    <w:rsid w:val="26BD1CBC"/>
    <w:rsid w:val="26DD00C8"/>
    <w:rsid w:val="26F10820"/>
    <w:rsid w:val="26FC6074"/>
    <w:rsid w:val="272B1E2A"/>
    <w:rsid w:val="273B3040"/>
    <w:rsid w:val="278D2A66"/>
    <w:rsid w:val="278F0C96"/>
    <w:rsid w:val="27A74232"/>
    <w:rsid w:val="27A961FC"/>
    <w:rsid w:val="27B626C7"/>
    <w:rsid w:val="27E67974"/>
    <w:rsid w:val="28014D31"/>
    <w:rsid w:val="281713B7"/>
    <w:rsid w:val="282560F4"/>
    <w:rsid w:val="282D666B"/>
    <w:rsid w:val="283006CB"/>
    <w:rsid w:val="28305FD5"/>
    <w:rsid w:val="283A50A6"/>
    <w:rsid w:val="2849319B"/>
    <w:rsid w:val="28520641"/>
    <w:rsid w:val="28537F15"/>
    <w:rsid w:val="285D2B42"/>
    <w:rsid w:val="286303FD"/>
    <w:rsid w:val="286D0FD7"/>
    <w:rsid w:val="286F11F3"/>
    <w:rsid w:val="288B76AF"/>
    <w:rsid w:val="288F4664"/>
    <w:rsid w:val="28931C2D"/>
    <w:rsid w:val="28AC0F06"/>
    <w:rsid w:val="28AD5D65"/>
    <w:rsid w:val="28AF1235"/>
    <w:rsid w:val="28B27332"/>
    <w:rsid w:val="28B409B4"/>
    <w:rsid w:val="28B5297E"/>
    <w:rsid w:val="28BE1833"/>
    <w:rsid w:val="28D56B7C"/>
    <w:rsid w:val="28DD5A8A"/>
    <w:rsid w:val="28EF5E90"/>
    <w:rsid w:val="28F039B6"/>
    <w:rsid w:val="29023E15"/>
    <w:rsid w:val="29253660"/>
    <w:rsid w:val="2953641F"/>
    <w:rsid w:val="29595735"/>
    <w:rsid w:val="295B52D4"/>
    <w:rsid w:val="29602488"/>
    <w:rsid w:val="296879F1"/>
    <w:rsid w:val="298505A2"/>
    <w:rsid w:val="298E48DC"/>
    <w:rsid w:val="299D2868"/>
    <w:rsid w:val="29BB5D72"/>
    <w:rsid w:val="29D503BB"/>
    <w:rsid w:val="29D61E3B"/>
    <w:rsid w:val="29DF0229"/>
    <w:rsid w:val="29DF199C"/>
    <w:rsid w:val="29E54108"/>
    <w:rsid w:val="29F85218"/>
    <w:rsid w:val="2A0B4F4C"/>
    <w:rsid w:val="2A15313D"/>
    <w:rsid w:val="2A1831C5"/>
    <w:rsid w:val="2A2A6D21"/>
    <w:rsid w:val="2A451994"/>
    <w:rsid w:val="2A5F2BA2"/>
    <w:rsid w:val="2A79128E"/>
    <w:rsid w:val="2A811143"/>
    <w:rsid w:val="2ABC4498"/>
    <w:rsid w:val="2ABE3D6C"/>
    <w:rsid w:val="2AD21A08"/>
    <w:rsid w:val="2ADE440E"/>
    <w:rsid w:val="2AF4778E"/>
    <w:rsid w:val="2B1C4F36"/>
    <w:rsid w:val="2B204A27"/>
    <w:rsid w:val="2B2A7653"/>
    <w:rsid w:val="2B367DA6"/>
    <w:rsid w:val="2B381D70"/>
    <w:rsid w:val="2B440C1F"/>
    <w:rsid w:val="2B522706"/>
    <w:rsid w:val="2B536BAA"/>
    <w:rsid w:val="2B604E23"/>
    <w:rsid w:val="2B620F25"/>
    <w:rsid w:val="2B634913"/>
    <w:rsid w:val="2B710DDE"/>
    <w:rsid w:val="2B9853AE"/>
    <w:rsid w:val="2BE315B0"/>
    <w:rsid w:val="2BEB6DE3"/>
    <w:rsid w:val="2BF81500"/>
    <w:rsid w:val="2C097269"/>
    <w:rsid w:val="2C0F23A5"/>
    <w:rsid w:val="2C1C6EAE"/>
    <w:rsid w:val="2C1F4E7D"/>
    <w:rsid w:val="2C363DD6"/>
    <w:rsid w:val="2C42277B"/>
    <w:rsid w:val="2C5B55EB"/>
    <w:rsid w:val="2C5F157F"/>
    <w:rsid w:val="2C672483"/>
    <w:rsid w:val="2C6D3C9C"/>
    <w:rsid w:val="2C7C7A3B"/>
    <w:rsid w:val="2CBA6082"/>
    <w:rsid w:val="2CBE2991"/>
    <w:rsid w:val="2CDA0C05"/>
    <w:rsid w:val="2CE11F94"/>
    <w:rsid w:val="2CF167F6"/>
    <w:rsid w:val="2CF577ED"/>
    <w:rsid w:val="2CFF2A90"/>
    <w:rsid w:val="2D085772"/>
    <w:rsid w:val="2D095047"/>
    <w:rsid w:val="2D2F71A3"/>
    <w:rsid w:val="2D41526F"/>
    <w:rsid w:val="2D5C5ABE"/>
    <w:rsid w:val="2D7E2119"/>
    <w:rsid w:val="2D834DF9"/>
    <w:rsid w:val="2DA271EE"/>
    <w:rsid w:val="2DB15E0A"/>
    <w:rsid w:val="2DBA5C97"/>
    <w:rsid w:val="2DBB1E1A"/>
    <w:rsid w:val="2DC919DD"/>
    <w:rsid w:val="2DD9710F"/>
    <w:rsid w:val="2E0A3708"/>
    <w:rsid w:val="2E156399"/>
    <w:rsid w:val="2E383E35"/>
    <w:rsid w:val="2E4479F6"/>
    <w:rsid w:val="2E6609A2"/>
    <w:rsid w:val="2E6E5AA9"/>
    <w:rsid w:val="2E975000"/>
    <w:rsid w:val="2E9A2581"/>
    <w:rsid w:val="2EA43279"/>
    <w:rsid w:val="2EC5014C"/>
    <w:rsid w:val="2ECA7064"/>
    <w:rsid w:val="2ECB4CA9"/>
    <w:rsid w:val="2ED55B28"/>
    <w:rsid w:val="2EDA313F"/>
    <w:rsid w:val="2EE432DD"/>
    <w:rsid w:val="2EEA15D4"/>
    <w:rsid w:val="2F004369"/>
    <w:rsid w:val="2F7E1D1C"/>
    <w:rsid w:val="2F846F45"/>
    <w:rsid w:val="2F8A246F"/>
    <w:rsid w:val="2F8D55A0"/>
    <w:rsid w:val="2F9B28BE"/>
    <w:rsid w:val="2FAA48BF"/>
    <w:rsid w:val="2FD302BA"/>
    <w:rsid w:val="2FDB4D1E"/>
    <w:rsid w:val="2FDE2F0B"/>
    <w:rsid w:val="2FDF3BB6"/>
    <w:rsid w:val="2FE14059"/>
    <w:rsid w:val="2FF63FA8"/>
    <w:rsid w:val="2FFD0E93"/>
    <w:rsid w:val="300B0F79"/>
    <w:rsid w:val="30405223"/>
    <w:rsid w:val="3040577F"/>
    <w:rsid w:val="304A7E50"/>
    <w:rsid w:val="308511BC"/>
    <w:rsid w:val="30A9101A"/>
    <w:rsid w:val="30AE4883"/>
    <w:rsid w:val="30BA4FD6"/>
    <w:rsid w:val="30C916BD"/>
    <w:rsid w:val="30D1366A"/>
    <w:rsid w:val="30E23991"/>
    <w:rsid w:val="30EB010A"/>
    <w:rsid w:val="30EE1923"/>
    <w:rsid w:val="30F027A5"/>
    <w:rsid w:val="30F11549"/>
    <w:rsid w:val="310166C1"/>
    <w:rsid w:val="31020C1B"/>
    <w:rsid w:val="31024677"/>
    <w:rsid w:val="31513584"/>
    <w:rsid w:val="3163741B"/>
    <w:rsid w:val="31644F41"/>
    <w:rsid w:val="319F3C0F"/>
    <w:rsid w:val="31C418C9"/>
    <w:rsid w:val="320372E2"/>
    <w:rsid w:val="32075FF9"/>
    <w:rsid w:val="320C360F"/>
    <w:rsid w:val="32285FAB"/>
    <w:rsid w:val="322C5619"/>
    <w:rsid w:val="3240150B"/>
    <w:rsid w:val="32630906"/>
    <w:rsid w:val="32642098"/>
    <w:rsid w:val="32670A3A"/>
    <w:rsid w:val="32706F49"/>
    <w:rsid w:val="328923B5"/>
    <w:rsid w:val="3291620A"/>
    <w:rsid w:val="32943604"/>
    <w:rsid w:val="32A01FA9"/>
    <w:rsid w:val="32B36180"/>
    <w:rsid w:val="32CE32F5"/>
    <w:rsid w:val="32DC56D7"/>
    <w:rsid w:val="32DF6F75"/>
    <w:rsid w:val="32F35A17"/>
    <w:rsid w:val="32F72511"/>
    <w:rsid w:val="32FF7915"/>
    <w:rsid w:val="33092244"/>
    <w:rsid w:val="33154F2C"/>
    <w:rsid w:val="33291F9F"/>
    <w:rsid w:val="333A23FE"/>
    <w:rsid w:val="334358FC"/>
    <w:rsid w:val="33446DD8"/>
    <w:rsid w:val="335A4557"/>
    <w:rsid w:val="335A484E"/>
    <w:rsid w:val="336B6A5B"/>
    <w:rsid w:val="338C1238"/>
    <w:rsid w:val="3390679E"/>
    <w:rsid w:val="33995376"/>
    <w:rsid w:val="33B2468A"/>
    <w:rsid w:val="33BE6549"/>
    <w:rsid w:val="33D44600"/>
    <w:rsid w:val="33D60378"/>
    <w:rsid w:val="33ED62FF"/>
    <w:rsid w:val="33F56325"/>
    <w:rsid w:val="33FB393B"/>
    <w:rsid w:val="34015F0C"/>
    <w:rsid w:val="341B4479"/>
    <w:rsid w:val="341B5D8B"/>
    <w:rsid w:val="342D5ABF"/>
    <w:rsid w:val="343D21A6"/>
    <w:rsid w:val="344B3C40"/>
    <w:rsid w:val="345179FF"/>
    <w:rsid w:val="34645984"/>
    <w:rsid w:val="346C4839"/>
    <w:rsid w:val="347D07F4"/>
    <w:rsid w:val="348576A9"/>
    <w:rsid w:val="34A43FD3"/>
    <w:rsid w:val="34AF2977"/>
    <w:rsid w:val="34BF0E0C"/>
    <w:rsid w:val="34F87313"/>
    <w:rsid w:val="34FE62B0"/>
    <w:rsid w:val="35047240"/>
    <w:rsid w:val="35131158"/>
    <w:rsid w:val="351E7707"/>
    <w:rsid w:val="35277C53"/>
    <w:rsid w:val="35335357"/>
    <w:rsid w:val="35337105"/>
    <w:rsid w:val="353A4937"/>
    <w:rsid w:val="354E03E2"/>
    <w:rsid w:val="355B1682"/>
    <w:rsid w:val="3569521C"/>
    <w:rsid w:val="357065AB"/>
    <w:rsid w:val="35747E49"/>
    <w:rsid w:val="3577128E"/>
    <w:rsid w:val="35787C50"/>
    <w:rsid w:val="357A11D7"/>
    <w:rsid w:val="35816089"/>
    <w:rsid w:val="3590495C"/>
    <w:rsid w:val="359A7184"/>
    <w:rsid w:val="35A85D44"/>
    <w:rsid w:val="35AD5109"/>
    <w:rsid w:val="35C44201"/>
    <w:rsid w:val="35CB1A33"/>
    <w:rsid w:val="35D24B6F"/>
    <w:rsid w:val="35D5640E"/>
    <w:rsid w:val="35E944E7"/>
    <w:rsid w:val="35F42D38"/>
    <w:rsid w:val="35F5085E"/>
    <w:rsid w:val="35FA737E"/>
    <w:rsid w:val="360B06F9"/>
    <w:rsid w:val="360E6C23"/>
    <w:rsid w:val="364B5F97"/>
    <w:rsid w:val="36511F38"/>
    <w:rsid w:val="365437D6"/>
    <w:rsid w:val="365B4B65"/>
    <w:rsid w:val="368135B1"/>
    <w:rsid w:val="3699743B"/>
    <w:rsid w:val="36A26FE9"/>
    <w:rsid w:val="36DC49F6"/>
    <w:rsid w:val="36EB3AB8"/>
    <w:rsid w:val="373B04F2"/>
    <w:rsid w:val="373E4E29"/>
    <w:rsid w:val="374177D6"/>
    <w:rsid w:val="37427AD3"/>
    <w:rsid w:val="37597C1A"/>
    <w:rsid w:val="37691EBB"/>
    <w:rsid w:val="376E6B1A"/>
    <w:rsid w:val="377C4D93"/>
    <w:rsid w:val="3784633D"/>
    <w:rsid w:val="37895702"/>
    <w:rsid w:val="37B02C8E"/>
    <w:rsid w:val="37B22EAA"/>
    <w:rsid w:val="37BD53AB"/>
    <w:rsid w:val="37C01F7F"/>
    <w:rsid w:val="37DD625C"/>
    <w:rsid w:val="38011FE5"/>
    <w:rsid w:val="38341B11"/>
    <w:rsid w:val="38397128"/>
    <w:rsid w:val="383D2808"/>
    <w:rsid w:val="3845346C"/>
    <w:rsid w:val="388B12FA"/>
    <w:rsid w:val="38A24CCD"/>
    <w:rsid w:val="38A81BB8"/>
    <w:rsid w:val="38BF587F"/>
    <w:rsid w:val="38CD7870"/>
    <w:rsid w:val="38DF7CCF"/>
    <w:rsid w:val="38E61DF8"/>
    <w:rsid w:val="38F6326A"/>
    <w:rsid w:val="38F82B3F"/>
    <w:rsid w:val="391F00CC"/>
    <w:rsid w:val="3929719C"/>
    <w:rsid w:val="393D67A4"/>
    <w:rsid w:val="393E72CB"/>
    <w:rsid w:val="395E75C2"/>
    <w:rsid w:val="396226AE"/>
    <w:rsid w:val="396E1053"/>
    <w:rsid w:val="39716767"/>
    <w:rsid w:val="397523E2"/>
    <w:rsid w:val="39842625"/>
    <w:rsid w:val="398443D3"/>
    <w:rsid w:val="398759F6"/>
    <w:rsid w:val="39881CFC"/>
    <w:rsid w:val="398B5761"/>
    <w:rsid w:val="3995213C"/>
    <w:rsid w:val="399C796E"/>
    <w:rsid w:val="39AB195F"/>
    <w:rsid w:val="39D13637"/>
    <w:rsid w:val="39E210F9"/>
    <w:rsid w:val="39E6508D"/>
    <w:rsid w:val="39EC3D26"/>
    <w:rsid w:val="39ED1F78"/>
    <w:rsid w:val="39F94DC1"/>
    <w:rsid w:val="39FC21BB"/>
    <w:rsid w:val="3A0B4AF4"/>
    <w:rsid w:val="3A0E1EEE"/>
    <w:rsid w:val="3A192D6D"/>
    <w:rsid w:val="3A2A4F7A"/>
    <w:rsid w:val="3A3D1634"/>
    <w:rsid w:val="3A474691"/>
    <w:rsid w:val="3A4B0BA1"/>
    <w:rsid w:val="3A55744D"/>
    <w:rsid w:val="3A730B5D"/>
    <w:rsid w:val="3A8F0916"/>
    <w:rsid w:val="3A922B1F"/>
    <w:rsid w:val="3A9248CD"/>
    <w:rsid w:val="3AC846B9"/>
    <w:rsid w:val="3ACA4067"/>
    <w:rsid w:val="3AD62A0C"/>
    <w:rsid w:val="3AF45588"/>
    <w:rsid w:val="3B007A89"/>
    <w:rsid w:val="3B0B70BB"/>
    <w:rsid w:val="3B2026D6"/>
    <w:rsid w:val="3B4B164C"/>
    <w:rsid w:val="3B58015B"/>
    <w:rsid w:val="3B5A188F"/>
    <w:rsid w:val="3B694496"/>
    <w:rsid w:val="3B6E0E96"/>
    <w:rsid w:val="3B6E70E8"/>
    <w:rsid w:val="3B702E61"/>
    <w:rsid w:val="3B820DE6"/>
    <w:rsid w:val="3B893F22"/>
    <w:rsid w:val="3B8B1A48"/>
    <w:rsid w:val="3B8D0188"/>
    <w:rsid w:val="3BB645EB"/>
    <w:rsid w:val="3BCD3EFF"/>
    <w:rsid w:val="3C187054"/>
    <w:rsid w:val="3C2974B3"/>
    <w:rsid w:val="3C50572A"/>
    <w:rsid w:val="3C636521"/>
    <w:rsid w:val="3C822F4C"/>
    <w:rsid w:val="3C9C6C1D"/>
    <w:rsid w:val="3CA7691C"/>
    <w:rsid w:val="3CBB635D"/>
    <w:rsid w:val="3CDD2778"/>
    <w:rsid w:val="3CDE512F"/>
    <w:rsid w:val="3CF76208"/>
    <w:rsid w:val="3D2263DC"/>
    <w:rsid w:val="3D2933EF"/>
    <w:rsid w:val="3D3A5077"/>
    <w:rsid w:val="3D3D3216"/>
    <w:rsid w:val="3D3D6D72"/>
    <w:rsid w:val="3D3F4D01"/>
    <w:rsid w:val="3D9B7F3D"/>
    <w:rsid w:val="3DAA779B"/>
    <w:rsid w:val="3DB80444"/>
    <w:rsid w:val="3DC70D32"/>
    <w:rsid w:val="3DCB0822"/>
    <w:rsid w:val="3DD27E02"/>
    <w:rsid w:val="3DE25B6C"/>
    <w:rsid w:val="3DE95124"/>
    <w:rsid w:val="3DEC0798"/>
    <w:rsid w:val="3DF00289"/>
    <w:rsid w:val="3DF15DAF"/>
    <w:rsid w:val="3DFE15A6"/>
    <w:rsid w:val="3E026E25"/>
    <w:rsid w:val="3E061C9C"/>
    <w:rsid w:val="3E2148E6"/>
    <w:rsid w:val="3E344619"/>
    <w:rsid w:val="3E497999"/>
    <w:rsid w:val="3E4B1963"/>
    <w:rsid w:val="3E761888"/>
    <w:rsid w:val="3E772758"/>
    <w:rsid w:val="3EB70DA6"/>
    <w:rsid w:val="3EDE6333"/>
    <w:rsid w:val="3EF82D74"/>
    <w:rsid w:val="3EF84B97"/>
    <w:rsid w:val="3F012022"/>
    <w:rsid w:val="3F074F48"/>
    <w:rsid w:val="3F125FDD"/>
    <w:rsid w:val="3F1E4982"/>
    <w:rsid w:val="3F214472"/>
    <w:rsid w:val="3F35130F"/>
    <w:rsid w:val="3F4F5483"/>
    <w:rsid w:val="3F553510"/>
    <w:rsid w:val="3F5B324F"/>
    <w:rsid w:val="3F5D194E"/>
    <w:rsid w:val="3F5E56C6"/>
    <w:rsid w:val="3F854A01"/>
    <w:rsid w:val="3FC7326B"/>
    <w:rsid w:val="3FD339BE"/>
    <w:rsid w:val="3FDD65EB"/>
    <w:rsid w:val="3FEC2CD2"/>
    <w:rsid w:val="3FF24DB5"/>
    <w:rsid w:val="3FFD0A3B"/>
    <w:rsid w:val="40064944"/>
    <w:rsid w:val="401F4E55"/>
    <w:rsid w:val="40202D3B"/>
    <w:rsid w:val="40213FA1"/>
    <w:rsid w:val="40216A50"/>
    <w:rsid w:val="402B10E0"/>
    <w:rsid w:val="402B4363"/>
    <w:rsid w:val="4030282F"/>
    <w:rsid w:val="40336737"/>
    <w:rsid w:val="4036510D"/>
    <w:rsid w:val="40374D3E"/>
    <w:rsid w:val="405C7E57"/>
    <w:rsid w:val="406B6741"/>
    <w:rsid w:val="407D24E7"/>
    <w:rsid w:val="40830A0E"/>
    <w:rsid w:val="40833636"/>
    <w:rsid w:val="40905B6B"/>
    <w:rsid w:val="4091324C"/>
    <w:rsid w:val="40A1586A"/>
    <w:rsid w:val="40AF442B"/>
    <w:rsid w:val="40BE59D7"/>
    <w:rsid w:val="40D20119"/>
    <w:rsid w:val="40DF6392"/>
    <w:rsid w:val="40E34A44"/>
    <w:rsid w:val="40E439A9"/>
    <w:rsid w:val="40F167F2"/>
    <w:rsid w:val="40F35407"/>
    <w:rsid w:val="40F81422"/>
    <w:rsid w:val="41126768"/>
    <w:rsid w:val="41230975"/>
    <w:rsid w:val="41285F8B"/>
    <w:rsid w:val="41326E0A"/>
    <w:rsid w:val="413B2A3E"/>
    <w:rsid w:val="413D1A79"/>
    <w:rsid w:val="41411795"/>
    <w:rsid w:val="4157061F"/>
    <w:rsid w:val="415E7F28"/>
    <w:rsid w:val="417329D1"/>
    <w:rsid w:val="417B430D"/>
    <w:rsid w:val="4185288F"/>
    <w:rsid w:val="41924434"/>
    <w:rsid w:val="41A039FB"/>
    <w:rsid w:val="41A2274A"/>
    <w:rsid w:val="41B17D2F"/>
    <w:rsid w:val="41D103D1"/>
    <w:rsid w:val="41F06AA9"/>
    <w:rsid w:val="41F1637D"/>
    <w:rsid w:val="41F93484"/>
    <w:rsid w:val="420C765B"/>
    <w:rsid w:val="42116A20"/>
    <w:rsid w:val="421F2EEA"/>
    <w:rsid w:val="422229DB"/>
    <w:rsid w:val="42272813"/>
    <w:rsid w:val="422E312E"/>
    <w:rsid w:val="423A46C4"/>
    <w:rsid w:val="4247037C"/>
    <w:rsid w:val="42546239"/>
    <w:rsid w:val="425F2C63"/>
    <w:rsid w:val="427174BE"/>
    <w:rsid w:val="428216CB"/>
    <w:rsid w:val="428C42F8"/>
    <w:rsid w:val="42975177"/>
    <w:rsid w:val="42AB6E74"/>
    <w:rsid w:val="42AD6748"/>
    <w:rsid w:val="42D75E5E"/>
    <w:rsid w:val="42E70446"/>
    <w:rsid w:val="42F26851"/>
    <w:rsid w:val="4339622E"/>
    <w:rsid w:val="433C614A"/>
    <w:rsid w:val="433E1A96"/>
    <w:rsid w:val="43525542"/>
    <w:rsid w:val="435819FE"/>
    <w:rsid w:val="43686B13"/>
    <w:rsid w:val="436C6CEB"/>
    <w:rsid w:val="43790D20"/>
    <w:rsid w:val="437B6846"/>
    <w:rsid w:val="438A6A89"/>
    <w:rsid w:val="438F25F8"/>
    <w:rsid w:val="43916689"/>
    <w:rsid w:val="439671DC"/>
    <w:rsid w:val="43A23303"/>
    <w:rsid w:val="43D146B8"/>
    <w:rsid w:val="43D62324"/>
    <w:rsid w:val="43DE2931"/>
    <w:rsid w:val="43E02B4D"/>
    <w:rsid w:val="43E3619A"/>
    <w:rsid w:val="43E910A4"/>
    <w:rsid w:val="43F62371"/>
    <w:rsid w:val="440465DA"/>
    <w:rsid w:val="44197E71"/>
    <w:rsid w:val="441F5424"/>
    <w:rsid w:val="442B201A"/>
    <w:rsid w:val="44366C11"/>
    <w:rsid w:val="4440539A"/>
    <w:rsid w:val="44485DB9"/>
    <w:rsid w:val="444A1D20"/>
    <w:rsid w:val="444B446B"/>
    <w:rsid w:val="44651F6F"/>
    <w:rsid w:val="446B68BB"/>
    <w:rsid w:val="4497145E"/>
    <w:rsid w:val="449B440E"/>
    <w:rsid w:val="449C4CC6"/>
    <w:rsid w:val="44C4695B"/>
    <w:rsid w:val="44CD4E80"/>
    <w:rsid w:val="44E243F9"/>
    <w:rsid w:val="4504461A"/>
    <w:rsid w:val="45085EB8"/>
    <w:rsid w:val="45140D01"/>
    <w:rsid w:val="454B1382"/>
    <w:rsid w:val="454D5FC1"/>
    <w:rsid w:val="45500C2E"/>
    <w:rsid w:val="456357E4"/>
    <w:rsid w:val="45765517"/>
    <w:rsid w:val="45912351"/>
    <w:rsid w:val="45B1654F"/>
    <w:rsid w:val="45C53DA9"/>
    <w:rsid w:val="45CC3389"/>
    <w:rsid w:val="45E5444B"/>
    <w:rsid w:val="461D1E37"/>
    <w:rsid w:val="4627019A"/>
    <w:rsid w:val="46436F6B"/>
    <w:rsid w:val="46476B46"/>
    <w:rsid w:val="466A453B"/>
    <w:rsid w:val="46733E7C"/>
    <w:rsid w:val="467D3578"/>
    <w:rsid w:val="468A1F3C"/>
    <w:rsid w:val="46964284"/>
    <w:rsid w:val="46F26E20"/>
    <w:rsid w:val="473A4323"/>
    <w:rsid w:val="473C0E73"/>
    <w:rsid w:val="473C62ED"/>
    <w:rsid w:val="47402328"/>
    <w:rsid w:val="47555600"/>
    <w:rsid w:val="475929A4"/>
    <w:rsid w:val="475E2707"/>
    <w:rsid w:val="47601FC8"/>
    <w:rsid w:val="476755E0"/>
    <w:rsid w:val="47745A86"/>
    <w:rsid w:val="47767A51"/>
    <w:rsid w:val="47794E4B"/>
    <w:rsid w:val="477A6E15"/>
    <w:rsid w:val="47855EE6"/>
    <w:rsid w:val="47863A0C"/>
    <w:rsid w:val="4786489B"/>
    <w:rsid w:val="478B57E1"/>
    <w:rsid w:val="478D6B48"/>
    <w:rsid w:val="478D7100"/>
    <w:rsid w:val="47BA5463"/>
    <w:rsid w:val="47BE31A6"/>
    <w:rsid w:val="47C13ED6"/>
    <w:rsid w:val="47D227AD"/>
    <w:rsid w:val="47EB56CC"/>
    <w:rsid w:val="47EF335F"/>
    <w:rsid w:val="48256D81"/>
    <w:rsid w:val="48304942"/>
    <w:rsid w:val="483B65A4"/>
    <w:rsid w:val="485D29BF"/>
    <w:rsid w:val="48684EBF"/>
    <w:rsid w:val="488937B4"/>
    <w:rsid w:val="489D100D"/>
    <w:rsid w:val="489E35F8"/>
    <w:rsid w:val="48AF0992"/>
    <w:rsid w:val="48B5627D"/>
    <w:rsid w:val="48B85E47"/>
    <w:rsid w:val="48D04F3E"/>
    <w:rsid w:val="48D80297"/>
    <w:rsid w:val="48D846F2"/>
    <w:rsid w:val="48DE5452"/>
    <w:rsid w:val="48FA020D"/>
    <w:rsid w:val="48FF75D2"/>
    <w:rsid w:val="49095523"/>
    <w:rsid w:val="49100905"/>
    <w:rsid w:val="49107A31"/>
    <w:rsid w:val="492C413F"/>
    <w:rsid w:val="492E7EB7"/>
    <w:rsid w:val="49325BF9"/>
    <w:rsid w:val="494A641D"/>
    <w:rsid w:val="49507E2D"/>
    <w:rsid w:val="495279EA"/>
    <w:rsid w:val="495C3E08"/>
    <w:rsid w:val="496120EC"/>
    <w:rsid w:val="497D499A"/>
    <w:rsid w:val="497F6965"/>
    <w:rsid w:val="49861AA1"/>
    <w:rsid w:val="498A4BFC"/>
    <w:rsid w:val="499200F0"/>
    <w:rsid w:val="49E54A1A"/>
    <w:rsid w:val="49EB5DA8"/>
    <w:rsid w:val="49F20EE5"/>
    <w:rsid w:val="49F70BF1"/>
    <w:rsid w:val="49FA5FEB"/>
    <w:rsid w:val="49FC00A0"/>
    <w:rsid w:val="4A053C29"/>
    <w:rsid w:val="4A0C644A"/>
    <w:rsid w:val="4A1946C3"/>
    <w:rsid w:val="4A4C79A5"/>
    <w:rsid w:val="4A764755"/>
    <w:rsid w:val="4A995804"/>
    <w:rsid w:val="4AAA2F17"/>
    <w:rsid w:val="4AAC7812"/>
    <w:rsid w:val="4ACE3700"/>
    <w:rsid w:val="4ADC3898"/>
    <w:rsid w:val="4ADD1B95"/>
    <w:rsid w:val="4AE15A17"/>
    <w:rsid w:val="4AE44CD1"/>
    <w:rsid w:val="4AE63D5D"/>
    <w:rsid w:val="4B182BCD"/>
    <w:rsid w:val="4B261185"/>
    <w:rsid w:val="4B4E2A92"/>
    <w:rsid w:val="4B645E12"/>
    <w:rsid w:val="4B773D97"/>
    <w:rsid w:val="4B7F2C4C"/>
    <w:rsid w:val="4B84176D"/>
    <w:rsid w:val="4B9F509C"/>
    <w:rsid w:val="4BAB1C93"/>
    <w:rsid w:val="4BE3142D"/>
    <w:rsid w:val="4BE60D16"/>
    <w:rsid w:val="4BF54CBC"/>
    <w:rsid w:val="4C0A4C0B"/>
    <w:rsid w:val="4C0A5D05"/>
    <w:rsid w:val="4C0D64AA"/>
    <w:rsid w:val="4C1854E0"/>
    <w:rsid w:val="4C4A0410"/>
    <w:rsid w:val="4C571739"/>
    <w:rsid w:val="4C577F97"/>
    <w:rsid w:val="4C675BBA"/>
    <w:rsid w:val="4C7622A1"/>
    <w:rsid w:val="4C881B47"/>
    <w:rsid w:val="4C92075D"/>
    <w:rsid w:val="4CAD1E9C"/>
    <w:rsid w:val="4CB66B41"/>
    <w:rsid w:val="4CC7512B"/>
    <w:rsid w:val="4CD314A1"/>
    <w:rsid w:val="4CF5766A"/>
    <w:rsid w:val="4D135D42"/>
    <w:rsid w:val="4D2944C5"/>
    <w:rsid w:val="4D6A2064"/>
    <w:rsid w:val="4D6D3930"/>
    <w:rsid w:val="4D7F0CE1"/>
    <w:rsid w:val="4D901140"/>
    <w:rsid w:val="4D9969C0"/>
    <w:rsid w:val="4DAD1CF2"/>
    <w:rsid w:val="4DAF0C21"/>
    <w:rsid w:val="4DB52955"/>
    <w:rsid w:val="4DDC6134"/>
    <w:rsid w:val="4E0929FA"/>
    <w:rsid w:val="4E165AE9"/>
    <w:rsid w:val="4E1C6E78"/>
    <w:rsid w:val="4E1E04FA"/>
    <w:rsid w:val="4E3715BC"/>
    <w:rsid w:val="4EA2737D"/>
    <w:rsid w:val="4EA8070C"/>
    <w:rsid w:val="4EB060A0"/>
    <w:rsid w:val="4EC06D51"/>
    <w:rsid w:val="4ED17C62"/>
    <w:rsid w:val="4ED84D30"/>
    <w:rsid w:val="4EEF00E8"/>
    <w:rsid w:val="4EEF59D9"/>
    <w:rsid w:val="4F2204BE"/>
    <w:rsid w:val="4F3747D9"/>
    <w:rsid w:val="4F4C72E9"/>
    <w:rsid w:val="4F561F16"/>
    <w:rsid w:val="4F6E7E6D"/>
    <w:rsid w:val="4F733140"/>
    <w:rsid w:val="4F762338"/>
    <w:rsid w:val="4F844CD5"/>
    <w:rsid w:val="4F8545A9"/>
    <w:rsid w:val="4FC155E1"/>
    <w:rsid w:val="4FDC066D"/>
    <w:rsid w:val="500943A3"/>
    <w:rsid w:val="50200A12"/>
    <w:rsid w:val="50231DB9"/>
    <w:rsid w:val="5023629C"/>
    <w:rsid w:val="50350E9F"/>
    <w:rsid w:val="50874A7C"/>
    <w:rsid w:val="508771FA"/>
    <w:rsid w:val="508C2093"/>
    <w:rsid w:val="509B0528"/>
    <w:rsid w:val="509E3B74"/>
    <w:rsid w:val="50AF42CE"/>
    <w:rsid w:val="50B84DE1"/>
    <w:rsid w:val="50D44D76"/>
    <w:rsid w:val="50D70E34"/>
    <w:rsid w:val="50E72A30"/>
    <w:rsid w:val="510A2FB8"/>
    <w:rsid w:val="512344D4"/>
    <w:rsid w:val="512823F2"/>
    <w:rsid w:val="514E10F6"/>
    <w:rsid w:val="51580237"/>
    <w:rsid w:val="516923D4"/>
    <w:rsid w:val="516A3A56"/>
    <w:rsid w:val="51916E82"/>
    <w:rsid w:val="51B11685"/>
    <w:rsid w:val="51B23B3C"/>
    <w:rsid w:val="51D05C23"/>
    <w:rsid w:val="51DF2696"/>
    <w:rsid w:val="51EC2B6C"/>
    <w:rsid w:val="51FE2459"/>
    <w:rsid w:val="52350508"/>
    <w:rsid w:val="52507EB6"/>
    <w:rsid w:val="525210BA"/>
    <w:rsid w:val="525F19A5"/>
    <w:rsid w:val="5270753D"/>
    <w:rsid w:val="527A0A17"/>
    <w:rsid w:val="528854A4"/>
    <w:rsid w:val="52927562"/>
    <w:rsid w:val="529D2271"/>
    <w:rsid w:val="529E1C09"/>
    <w:rsid w:val="52A64F62"/>
    <w:rsid w:val="52B551A5"/>
    <w:rsid w:val="52BA27BB"/>
    <w:rsid w:val="52C35B14"/>
    <w:rsid w:val="52E066C6"/>
    <w:rsid w:val="52FB3500"/>
    <w:rsid w:val="53206AC2"/>
    <w:rsid w:val="53292F0F"/>
    <w:rsid w:val="53346A12"/>
    <w:rsid w:val="536D1F1D"/>
    <w:rsid w:val="539002A8"/>
    <w:rsid w:val="53E47AF0"/>
    <w:rsid w:val="53E775E0"/>
    <w:rsid w:val="53F87A3F"/>
    <w:rsid w:val="53FE6CED"/>
    <w:rsid w:val="54232D0E"/>
    <w:rsid w:val="543071D9"/>
    <w:rsid w:val="54471BB2"/>
    <w:rsid w:val="54536FA9"/>
    <w:rsid w:val="545A6004"/>
    <w:rsid w:val="545D07AC"/>
    <w:rsid w:val="54612545"/>
    <w:rsid w:val="54A51975"/>
    <w:rsid w:val="54B25E40"/>
    <w:rsid w:val="54C17E31"/>
    <w:rsid w:val="54C40CEF"/>
    <w:rsid w:val="54CB6F02"/>
    <w:rsid w:val="54CE2EA2"/>
    <w:rsid w:val="54E53AFB"/>
    <w:rsid w:val="54F75590"/>
    <w:rsid w:val="54FE72D7"/>
    <w:rsid w:val="550A17D8"/>
    <w:rsid w:val="55410F72"/>
    <w:rsid w:val="55442ED5"/>
    <w:rsid w:val="55540CA5"/>
    <w:rsid w:val="55545149"/>
    <w:rsid w:val="55630EE8"/>
    <w:rsid w:val="55674B95"/>
    <w:rsid w:val="556F1F83"/>
    <w:rsid w:val="5589244C"/>
    <w:rsid w:val="55924C3D"/>
    <w:rsid w:val="55A34AEC"/>
    <w:rsid w:val="55C45E2B"/>
    <w:rsid w:val="55C53951"/>
    <w:rsid w:val="55C86384"/>
    <w:rsid w:val="55CC1183"/>
    <w:rsid w:val="55D2387C"/>
    <w:rsid w:val="55F15A89"/>
    <w:rsid w:val="55F1744D"/>
    <w:rsid w:val="55F933A8"/>
    <w:rsid w:val="560E06A4"/>
    <w:rsid w:val="56150435"/>
    <w:rsid w:val="561E15E9"/>
    <w:rsid w:val="563F1955"/>
    <w:rsid w:val="566969D2"/>
    <w:rsid w:val="566D64C3"/>
    <w:rsid w:val="566E3FE9"/>
    <w:rsid w:val="566E5D97"/>
    <w:rsid w:val="56775EDC"/>
    <w:rsid w:val="569577C7"/>
    <w:rsid w:val="56A87CBD"/>
    <w:rsid w:val="56B0015D"/>
    <w:rsid w:val="56B45E9F"/>
    <w:rsid w:val="56BF2307"/>
    <w:rsid w:val="56F417F8"/>
    <w:rsid w:val="57044B1F"/>
    <w:rsid w:val="57275A98"/>
    <w:rsid w:val="572823EA"/>
    <w:rsid w:val="57527466"/>
    <w:rsid w:val="575516E1"/>
    <w:rsid w:val="575B456D"/>
    <w:rsid w:val="57783371"/>
    <w:rsid w:val="57821FD3"/>
    <w:rsid w:val="578711E9"/>
    <w:rsid w:val="57931F59"/>
    <w:rsid w:val="57A852D8"/>
    <w:rsid w:val="57BB2B36"/>
    <w:rsid w:val="57D61E46"/>
    <w:rsid w:val="57DE32B5"/>
    <w:rsid w:val="57E9601D"/>
    <w:rsid w:val="57F16C7F"/>
    <w:rsid w:val="581A7F84"/>
    <w:rsid w:val="585B3040"/>
    <w:rsid w:val="585F62DF"/>
    <w:rsid w:val="586E207E"/>
    <w:rsid w:val="58917C52"/>
    <w:rsid w:val="58922210"/>
    <w:rsid w:val="58A957AC"/>
    <w:rsid w:val="58B02C22"/>
    <w:rsid w:val="58B64812"/>
    <w:rsid w:val="58B8154B"/>
    <w:rsid w:val="58B959EF"/>
    <w:rsid w:val="58C24338"/>
    <w:rsid w:val="58DF11CE"/>
    <w:rsid w:val="58DF4D2A"/>
    <w:rsid w:val="591075D9"/>
    <w:rsid w:val="59376DAF"/>
    <w:rsid w:val="59464DA9"/>
    <w:rsid w:val="596807B8"/>
    <w:rsid w:val="596A0A97"/>
    <w:rsid w:val="59A8393D"/>
    <w:rsid w:val="59A85A64"/>
    <w:rsid w:val="59B241EC"/>
    <w:rsid w:val="59D2488F"/>
    <w:rsid w:val="59D93E6F"/>
    <w:rsid w:val="59EC3BA2"/>
    <w:rsid w:val="5A096502"/>
    <w:rsid w:val="5A137381"/>
    <w:rsid w:val="5A33532D"/>
    <w:rsid w:val="5A490FF5"/>
    <w:rsid w:val="5A4968FF"/>
    <w:rsid w:val="5A662E54"/>
    <w:rsid w:val="5A6E0A5B"/>
    <w:rsid w:val="5A773B11"/>
    <w:rsid w:val="5A78064D"/>
    <w:rsid w:val="5A7A7400"/>
    <w:rsid w:val="5A804B51"/>
    <w:rsid w:val="5ACE32A8"/>
    <w:rsid w:val="5AE1122D"/>
    <w:rsid w:val="5AE96F8D"/>
    <w:rsid w:val="5AF251E8"/>
    <w:rsid w:val="5B12314B"/>
    <w:rsid w:val="5B5D7E1A"/>
    <w:rsid w:val="5B6065F6"/>
    <w:rsid w:val="5B776C8A"/>
    <w:rsid w:val="5B860DDB"/>
    <w:rsid w:val="5B8B1199"/>
    <w:rsid w:val="5BD2218D"/>
    <w:rsid w:val="5BF9258D"/>
    <w:rsid w:val="5BFC5BF3"/>
    <w:rsid w:val="5BFE196B"/>
    <w:rsid w:val="5BFE7BBD"/>
    <w:rsid w:val="5C0C4F9B"/>
    <w:rsid w:val="5C107BEC"/>
    <w:rsid w:val="5C1E494F"/>
    <w:rsid w:val="5C474329"/>
    <w:rsid w:val="5C4E644E"/>
    <w:rsid w:val="5C5477DD"/>
    <w:rsid w:val="5C7862B3"/>
    <w:rsid w:val="5C8207EE"/>
    <w:rsid w:val="5C9E4B0C"/>
    <w:rsid w:val="5CA051D4"/>
    <w:rsid w:val="5CB22E52"/>
    <w:rsid w:val="5CBF559E"/>
    <w:rsid w:val="5CCF1759"/>
    <w:rsid w:val="5CE272CD"/>
    <w:rsid w:val="5CFA0384"/>
    <w:rsid w:val="5CFA642A"/>
    <w:rsid w:val="5CFC20F3"/>
    <w:rsid w:val="5D10767A"/>
    <w:rsid w:val="5D177188"/>
    <w:rsid w:val="5D1C1431"/>
    <w:rsid w:val="5D292A17"/>
    <w:rsid w:val="5D2E44D2"/>
    <w:rsid w:val="5D3B2B11"/>
    <w:rsid w:val="5D3C274B"/>
    <w:rsid w:val="5D4B1B50"/>
    <w:rsid w:val="5D6C22BA"/>
    <w:rsid w:val="5D7C523D"/>
    <w:rsid w:val="5D8738F8"/>
    <w:rsid w:val="5D997B9D"/>
    <w:rsid w:val="5DA327CA"/>
    <w:rsid w:val="5DA36C6E"/>
    <w:rsid w:val="5DA8340D"/>
    <w:rsid w:val="5DBC388C"/>
    <w:rsid w:val="5DE27796"/>
    <w:rsid w:val="5DEA21A7"/>
    <w:rsid w:val="5DED58FB"/>
    <w:rsid w:val="5DEF1EB3"/>
    <w:rsid w:val="5E167440"/>
    <w:rsid w:val="5E192A8C"/>
    <w:rsid w:val="5E265E32"/>
    <w:rsid w:val="5E27164D"/>
    <w:rsid w:val="5E323B4E"/>
    <w:rsid w:val="5E337FF2"/>
    <w:rsid w:val="5E4662E1"/>
    <w:rsid w:val="5E6A778C"/>
    <w:rsid w:val="5E7009FF"/>
    <w:rsid w:val="5E8048B9"/>
    <w:rsid w:val="5E873E9A"/>
    <w:rsid w:val="5E916EEA"/>
    <w:rsid w:val="5EB56C59"/>
    <w:rsid w:val="5EB86749"/>
    <w:rsid w:val="5EEB6F2C"/>
    <w:rsid w:val="5F0C25F1"/>
    <w:rsid w:val="5F177DFA"/>
    <w:rsid w:val="5F225C97"/>
    <w:rsid w:val="5F3D09FC"/>
    <w:rsid w:val="5F513829"/>
    <w:rsid w:val="5F945E0D"/>
    <w:rsid w:val="5F956734"/>
    <w:rsid w:val="5FC058B5"/>
    <w:rsid w:val="5FC627A0"/>
    <w:rsid w:val="5FDE21DF"/>
    <w:rsid w:val="5FE35E22"/>
    <w:rsid w:val="5FF732A1"/>
    <w:rsid w:val="60200102"/>
    <w:rsid w:val="6028345A"/>
    <w:rsid w:val="60365B77"/>
    <w:rsid w:val="60445D95"/>
    <w:rsid w:val="604C7149"/>
    <w:rsid w:val="60522285"/>
    <w:rsid w:val="605D3104"/>
    <w:rsid w:val="60642861"/>
    <w:rsid w:val="60786190"/>
    <w:rsid w:val="60806DF2"/>
    <w:rsid w:val="60814AFA"/>
    <w:rsid w:val="60820DBC"/>
    <w:rsid w:val="608F34D9"/>
    <w:rsid w:val="60B57315"/>
    <w:rsid w:val="60CE5DB0"/>
    <w:rsid w:val="60E43D56"/>
    <w:rsid w:val="60F03F78"/>
    <w:rsid w:val="60F1326F"/>
    <w:rsid w:val="60F4333C"/>
    <w:rsid w:val="60F526EB"/>
    <w:rsid w:val="60FA4DF7"/>
    <w:rsid w:val="60FF41BB"/>
    <w:rsid w:val="61296C26"/>
    <w:rsid w:val="61315AFD"/>
    <w:rsid w:val="61467FEC"/>
    <w:rsid w:val="61477910"/>
    <w:rsid w:val="61880654"/>
    <w:rsid w:val="61937516"/>
    <w:rsid w:val="61980AD1"/>
    <w:rsid w:val="61A75784"/>
    <w:rsid w:val="61B377CE"/>
    <w:rsid w:val="61C6117D"/>
    <w:rsid w:val="61D564F8"/>
    <w:rsid w:val="61D7451D"/>
    <w:rsid w:val="61F367E5"/>
    <w:rsid w:val="62074A71"/>
    <w:rsid w:val="62347E94"/>
    <w:rsid w:val="623F2EE5"/>
    <w:rsid w:val="62560FCD"/>
    <w:rsid w:val="62586825"/>
    <w:rsid w:val="6267026A"/>
    <w:rsid w:val="62712E97"/>
    <w:rsid w:val="62913539"/>
    <w:rsid w:val="6299419B"/>
    <w:rsid w:val="62C34226"/>
    <w:rsid w:val="62CE653B"/>
    <w:rsid w:val="63002AF2"/>
    <w:rsid w:val="63041D6F"/>
    <w:rsid w:val="63164166"/>
    <w:rsid w:val="63180091"/>
    <w:rsid w:val="63204010"/>
    <w:rsid w:val="6320666B"/>
    <w:rsid w:val="63350368"/>
    <w:rsid w:val="63356A01"/>
    <w:rsid w:val="63506F50"/>
    <w:rsid w:val="63514973"/>
    <w:rsid w:val="638A3D1F"/>
    <w:rsid w:val="639323BB"/>
    <w:rsid w:val="639A641D"/>
    <w:rsid w:val="63A555BD"/>
    <w:rsid w:val="63D25BB7"/>
    <w:rsid w:val="63F7561D"/>
    <w:rsid w:val="64104E70"/>
    <w:rsid w:val="641A130C"/>
    <w:rsid w:val="641D3B93"/>
    <w:rsid w:val="643E324C"/>
    <w:rsid w:val="644840CB"/>
    <w:rsid w:val="6449399F"/>
    <w:rsid w:val="64607667"/>
    <w:rsid w:val="646F13AB"/>
    <w:rsid w:val="6470717E"/>
    <w:rsid w:val="649B41FB"/>
    <w:rsid w:val="64A318FC"/>
    <w:rsid w:val="64A5509C"/>
    <w:rsid w:val="64B4350F"/>
    <w:rsid w:val="64B654D9"/>
    <w:rsid w:val="64B74DAD"/>
    <w:rsid w:val="64BC398A"/>
    <w:rsid w:val="64E04304"/>
    <w:rsid w:val="65200BA4"/>
    <w:rsid w:val="65242442"/>
    <w:rsid w:val="653463FD"/>
    <w:rsid w:val="65363F24"/>
    <w:rsid w:val="65426D6C"/>
    <w:rsid w:val="654A79CF"/>
    <w:rsid w:val="654C56A4"/>
    <w:rsid w:val="655F0FBE"/>
    <w:rsid w:val="657038D9"/>
    <w:rsid w:val="65787DA6"/>
    <w:rsid w:val="65847385"/>
    <w:rsid w:val="65A610A9"/>
    <w:rsid w:val="65BE5D6D"/>
    <w:rsid w:val="65D5373C"/>
    <w:rsid w:val="65E16585"/>
    <w:rsid w:val="65E816C2"/>
    <w:rsid w:val="65F30067"/>
    <w:rsid w:val="65FE7137"/>
    <w:rsid w:val="66091638"/>
    <w:rsid w:val="661673E0"/>
    <w:rsid w:val="66195D1F"/>
    <w:rsid w:val="661F3314"/>
    <w:rsid w:val="66285F62"/>
    <w:rsid w:val="662F72F1"/>
    <w:rsid w:val="664F7993"/>
    <w:rsid w:val="666F593F"/>
    <w:rsid w:val="66854858"/>
    <w:rsid w:val="668E35D0"/>
    <w:rsid w:val="668F4233"/>
    <w:rsid w:val="669F2171"/>
    <w:rsid w:val="66AC6B93"/>
    <w:rsid w:val="66BB5028"/>
    <w:rsid w:val="66FC0F03"/>
    <w:rsid w:val="66FD24B7"/>
    <w:rsid w:val="67041FC6"/>
    <w:rsid w:val="670C5884"/>
    <w:rsid w:val="670D24CD"/>
    <w:rsid w:val="67114C48"/>
    <w:rsid w:val="673B46C1"/>
    <w:rsid w:val="674548F2"/>
    <w:rsid w:val="67713939"/>
    <w:rsid w:val="677610A8"/>
    <w:rsid w:val="6786252D"/>
    <w:rsid w:val="678B49FB"/>
    <w:rsid w:val="67900263"/>
    <w:rsid w:val="67941A60"/>
    <w:rsid w:val="679F4B15"/>
    <w:rsid w:val="67D619EE"/>
    <w:rsid w:val="67E1461B"/>
    <w:rsid w:val="67E73BFB"/>
    <w:rsid w:val="67ED11DA"/>
    <w:rsid w:val="67FF7197"/>
    <w:rsid w:val="680622D3"/>
    <w:rsid w:val="68103152"/>
    <w:rsid w:val="68150768"/>
    <w:rsid w:val="681C5653"/>
    <w:rsid w:val="684B23DC"/>
    <w:rsid w:val="684E3922"/>
    <w:rsid w:val="68611AF8"/>
    <w:rsid w:val="686774F5"/>
    <w:rsid w:val="686B482C"/>
    <w:rsid w:val="6874548F"/>
    <w:rsid w:val="68776D2D"/>
    <w:rsid w:val="68801740"/>
    <w:rsid w:val="688B4586"/>
    <w:rsid w:val="688D6550"/>
    <w:rsid w:val="68A65864"/>
    <w:rsid w:val="68AA4086"/>
    <w:rsid w:val="68ED3493"/>
    <w:rsid w:val="68F55EA4"/>
    <w:rsid w:val="69020CEC"/>
    <w:rsid w:val="690C3919"/>
    <w:rsid w:val="691F6933"/>
    <w:rsid w:val="692844CB"/>
    <w:rsid w:val="69733998"/>
    <w:rsid w:val="698E07D2"/>
    <w:rsid w:val="69951B60"/>
    <w:rsid w:val="69AE677E"/>
    <w:rsid w:val="69B144C0"/>
    <w:rsid w:val="69C42446"/>
    <w:rsid w:val="69D70508"/>
    <w:rsid w:val="69DA7573"/>
    <w:rsid w:val="69EA2D89"/>
    <w:rsid w:val="6A1231B1"/>
    <w:rsid w:val="6A147D50"/>
    <w:rsid w:val="6A2E78BF"/>
    <w:rsid w:val="6A364214"/>
    <w:rsid w:val="6A5D01A4"/>
    <w:rsid w:val="6A5E63F6"/>
    <w:rsid w:val="6A7458BF"/>
    <w:rsid w:val="6A7F45BF"/>
    <w:rsid w:val="6A7F636D"/>
    <w:rsid w:val="6A815C41"/>
    <w:rsid w:val="6A8676FB"/>
    <w:rsid w:val="6A995680"/>
    <w:rsid w:val="6ABE01B3"/>
    <w:rsid w:val="6ABF0B30"/>
    <w:rsid w:val="6AC51328"/>
    <w:rsid w:val="6AD761A9"/>
    <w:rsid w:val="6ADA17F5"/>
    <w:rsid w:val="6ADF6E0B"/>
    <w:rsid w:val="6AEF34F2"/>
    <w:rsid w:val="6AEF41BE"/>
    <w:rsid w:val="6B0074AE"/>
    <w:rsid w:val="6B1D6B58"/>
    <w:rsid w:val="6B2C02A3"/>
    <w:rsid w:val="6B655563"/>
    <w:rsid w:val="6B844148"/>
    <w:rsid w:val="6B8754D9"/>
    <w:rsid w:val="6B8E2D0B"/>
    <w:rsid w:val="6BA36666"/>
    <w:rsid w:val="6BAE515B"/>
    <w:rsid w:val="6BB32772"/>
    <w:rsid w:val="6BB35604"/>
    <w:rsid w:val="6BB73B26"/>
    <w:rsid w:val="6BBF1117"/>
    <w:rsid w:val="6BD34359"/>
    <w:rsid w:val="6BD6275D"/>
    <w:rsid w:val="6BE20961"/>
    <w:rsid w:val="6BEE02A6"/>
    <w:rsid w:val="6BEE5558"/>
    <w:rsid w:val="6C06507B"/>
    <w:rsid w:val="6C076538"/>
    <w:rsid w:val="6C0C3C30"/>
    <w:rsid w:val="6C0C59DE"/>
    <w:rsid w:val="6C206B33"/>
    <w:rsid w:val="6C326C85"/>
    <w:rsid w:val="6C367C7F"/>
    <w:rsid w:val="6C38092F"/>
    <w:rsid w:val="6C3D64DF"/>
    <w:rsid w:val="6C6677E4"/>
    <w:rsid w:val="6C6D0B73"/>
    <w:rsid w:val="6C700663"/>
    <w:rsid w:val="6C7C2F6E"/>
    <w:rsid w:val="6C845EBC"/>
    <w:rsid w:val="6CA4030D"/>
    <w:rsid w:val="6CA55F7A"/>
    <w:rsid w:val="6CA976D1"/>
    <w:rsid w:val="6CB5251A"/>
    <w:rsid w:val="6CC938CF"/>
    <w:rsid w:val="6CCA7D73"/>
    <w:rsid w:val="6CD01102"/>
    <w:rsid w:val="6D1E3C1B"/>
    <w:rsid w:val="6D2F4B66"/>
    <w:rsid w:val="6D3368F2"/>
    <w:rsid w:val="6D5351D5"/>
    <w:rsid w:val="6D540E01"/>
    <w:rsid w:val="6D7101EF"/>
    <w:rsid w:val="6D8C31AF"/>
    <w:rsid w:val="6DAB6C49"/>
    <w:rsid w:val="6DB620D7"/>
    <w:rsid w:val="6DC01176"/>
    <w:rsid w:val="6DD10C8D"/>
    <w:rsid w:val="6DDB1B0C"/>
    <w:rsid w:val="6DEB4675"/>
    <w:rsid w:val="6DFD060F"/>
    <w:rsid w:val="6E080427"/>
    <w:rsid w:val="6E0A57F5"/>
    <w:rsid w:val="6E100626"/>
    <w:rsid w:val="6E1E0B10"/>
    <w:rsid w:val="6E290AC9"/>
    <w:rsid w:val="6E292877"/>
    <w:rsid w:val="6E2D2EE1"/>
    <w:rsid w:val="6E3D6323"/>
    <w:rsid w:val="6E636A2B"/>
    <w:rsid w:val="6E7D2BC3"/>
    <w:rsid w:val="6E8A131C"/>
    <w:rsid w:val="6E8E5161"/>
    <w:rsid w:val="6EDD3662"/>
    <w:rsid w:val="6F0B363C"/>
    <w:rsid w:val="6F23376B"/>
    <w:rsid w:val="6F35031C"/>
    <w:rsid w:val="6F3516F0"/>
    <w:rsid w:val="6F3928B6"/>
    <w:rsid w:val="6F4831D1"/>
    <w:rsid w:val="6F484F7F"/>
    <w:rsid w:val="6F4867C4"/>
    <w:rsid w:val="6F54601A"/>
    <w:rsid w:val="6F5E5D3D"/>
    <w:rsid w:val="6F79782E"/>
    <w:rsid w:val="6F8A5598"/>
    <w:rsid w:val="6F8B1D1D"/>
    <w:rsid w:val="6F8D6E36"/>
    <w:rsid w:val="6F9208F0"/>
    <w:rsid w:val="6FA81EC2"/>
    <w:rsid w:val="6FD42CB7"/>
    <w:rsid w:val="6FDE7692"/>
    <w:rsid w:val="6FE0165C"/>
    <w:rsid w:val="6FFD045F"/>
    <w:rsid w:val="70096E76"/>
    <w:rsid w:val="7016394C"/>
    <w:rsid w:val="701C6DDB"/>
    <w:rsid w:val="702C60BD"/>
    <w:rsid w:val="703B0F88"/>
    <w:rsid w:val="703B1172"/>
    <w:rsid w:val="703F2826"/>
    <w:rsid w:val="70460985"/>
    <w:rsid w:val="7068100B"/>
    <w:rsid w:val="706E310B"/>
    <w:rsid w:val="70710506"/>
    <w:rsid w:val="708244C1"/>
    <w:rsid w:val="70840239"/>
    <w:rsid w:val="708E36E5"/>
    <w:rsid w:val="70A971E8"/>
    <w:rsid w:val="70CE5958"/>
    <w:rsid w:val="70DC1993"/>
    <w:rsid w:val="70E64A50"/>
    <w:rsid w:val="710C5CB2"/>
    <w:rsid w:val="71145A61"/>
    <w:rsid w:val="711C66C3"/>
    <w:rsid w:val="712B7D74"/>
    <w:rsid w:val="71416AF0"/>
    <w:rsid w:val="71630796"/>
    <w:rsid w:val="716A38D3"/>
    <w:rsid w:val="7174673B"/>
    <w:rsid w:val="71A172CE"/>
    <w:rsid w:val="71A62431"/>
    <w:rsid w:val="71BC7EA6"/>
    <w:rsid w:val="71C20639"/>
    <w:rsid w:val="71C905C1"/>
    <w:rsid w:val="71CA4371"/>
    <w:rsid w:val="71DB20DB"/>
    <w:rsid w:val="71E01DE7"/>
    <w:rsid w:val="71E847F7"/>
    <w:rsid w:val="71FE04BF"/>
    <w:rsid w:val="72133F6A"/>
    <w:rsid w:val="721671A2"/>
    <w:rsid w:val="721962FC"/>
    <w:rsid w:val="72361A07"/>
    <w:rsid w:val="72404633"/>
    <w:rsid w:val="724759C2"/>
    <w:rsid w:val="725102A3"/>
    <w:rsid w:val="725956F5"/>
    <w:rsid w:val="727B6991"/>
    <w:rsid w:val="728B1D53"/>
    <w:rsid w:val="72B1108D"/>
    <w:rsid w:val="72BB1F0C"/>
    <w:rsid w:val="72C62D8B"/>
    <w:rsid w:val="72E41463"/>
    <w:rsid w:val="72E97217"/>
    <w:rsid w:val="72EB459F"/>
    <w:rsid w:val="73010267"/>
    <w:rsid w:val="73023A69"/>
    <w:rsid w:val="731C6E4F"/>
    <w:rsid w:val="73451D79"/>
    <w:rsid w:val="734760B5"/>
    <w:rsid w:val="73530165"/>
    <w:rsid w:val="735536CD"/>
    <w:rsid w:val="735E1215"/>
    <w:rsid w:val="738C5213"/>
    <w:rsid w:val="738D133B"/>
    <w:rsid w:val="739500E1"/>
    <w:rsid w:val="73964909"/>
    <w:rsid w:val="73BA702E"/>
    <w:rsid w:val="73C60B68"/>
    <w:rsid w:val="73DF280F"/>
    <w:rsid w:val="73E57241"/>
    <w:rsid w:val="73FE0302"/>
    <w:rsid w:val="73FE47A6"/>
    <w:rsid w:val="741D0FD2"/>
    <w:rsid w:val="74235FBB"/>
    <w:rsid w:val="742A10F7"/>
    <w:rsid w:val="742E508B"/>
    <w:rsid w:val="7439758C"/>
    <w:rsid w:val="74415012"/>
    <w:rsid w:val="74583EB6"/>
    <w:rsid w:val="745904A1"/>
    <w:rsid w:val="745B7503"/>
    <w:rsid w:val="746C25C2"/>
    <w:rsid w:val="746F1200"/>
    <w:rsid w:val="747800B5"/>
    <w:rsid w:val="747D1B6F"/>
    <w:rsid w:val="74B3733F"/>
    <w:rsid w:val="74B86703"/>
    <w:rsid w:val="74BA3151"/>
    <w:rsid w:val="74BB61F3"/>
    <w:rsid w:val="74BD6101"/>
    <w:rsid w:val="74C50E20"/>
    <w:rsid w:val="74CA6436"/>
    <w:rsid w:val="74DF6386"/>
    <w:rsid w:val="74F636CF"/>
    <w:rsid w:val="74F71921"/>
    <w:rsid w:val="74FF2584"/>
    <w:rsid w:val="75024E2C"/>
    <w:rsid w:val="7509743E"/>
    <w:rsid w:val="750C0489"/>
    <w:rsid w:val="75363ACC"/>
    <w:rsid w:val="753D30AC"/>
    <w:rsid w:val="75510906"/>
    <w:rsid w:val="755B363A"/>
    <w:rsid w:val="755D2A42"/>
    <w:rsid w:val="7564688B"/>
    <w:rsid w:val="75650BFE"/>
    <w:rsid w:val="756845CD"/>
    <w:rsid w:val="756E0A55"/>
    <w:rsid w:val="758B02BC"/>
    <w:rsid w:val="758D4034"/>
    <w:rsid w:val="75C5557C"/>
    <w:rsid w:val="75CB690A"/>
    <w:rsid w:val="75D02172"/>
    <w:rsid w:val="75D27C98"/>
    <w:rsid w:val="75E407EB"/>
    <w:rsid w:val="75F45E61"/>
    <w:rsid w:val="75F93477"/>
    <w:rsid w:val="75FA4294"/>
    <w:rsid w:val="760065B4"/>
    <w:rsid w:val="761B567B"/>
    <w:rsid w:val="76397D18"/>
    <w:rsid w:val="764F12E9"/>
    <w:rsid w:val="76515061"/>
    <w:rsid w:val="76562678"/>
    <w:rsid w:val="76641C79"/>
    <w:rsid w:val="767E397C"/>
    <w:rsid w:val="767E4E4A"/>
    <w:rsid w:val="76A8185E"/>
    <w:rsid w:val="76AB5344"/>
    <w:rsid w:val="76AD7DBE"/>
    <w:rsid w:val="76AE4262"/>
    <w:rsid w:val="76B5398B"/>
    <w:rsid w:val="76C021E7"/>
    <w:rsid w:val="76D17F50"/>
    <w:rsid w:val="76E41A31"/>
    <w:rsid w:val="76EC08E6"/>
    <w:rsid w:val="76F105F2"/>
    <w:rsid w:val="76F53C3E"/>
    <w:rsid w:val="77106CCA"/>
    <w:rsid w:val="771A18F7"/>
    <w:rsid w:val="771B4AC2"/>
    <w:rsid w:val="773C40CC"/>
    <w:rsid w:val="774B594E"/>
    <w:rsid w:val="776763C1"/>
    <w:rsid w:val="776E749F"/>
    <w:rsid w:val="777059BB"/>
    <w:rsid w:val="779735EA"/>
    <w:rsid w:val="779F004E"/>
    <w:rsid w:val="77C33448"/>
    <w:rsid w:val="77DD5AE3"/>
    <w:rsid w:val="77ED700C"/>
    <w:rsid w:val="77F02658"/>
    <w:rsid w:val="77F147A2"/>
    <w:rsid w:val="780835EF"/>
    <w:rsid w:val="780A7E9C"/>
    <w:rsid w:val="78120820"/>
    <w:rsid w:val="78202F3D"/>
    <w:rsid w:val="7840713B"/>
    <w:rsid w:val="7850616F"/>
    <w:rsid w:val="78650950"/>
    <w:rsid w:val="786646C8"/>
    <w:rsid w:val="78686692"/>
    <w:rsid w:val="787C546C"/>
    <w:rsid w:val="787D038F"/>
    <w:rsid w:val="787E7C64"/>
    <w:rsid w:val="789B0816"/>
    <w:rsid w:val="78A91184"/>
    <w:rsid w:val="78B05879"/>
    <w:rsid w:val="78EB1288"/>
    <w:rsid w:val="7908627D"/>
    <w:rsid w:val="792C5912"/>
    <w:rsid w:val="793A002E"/>
    <w:rsid w:val="794D1B46"/>
    <w:rsid w:val="79582057"/>
    <w:rsid w:val="79711576"/>
    <w:rsid w:val="797775C4"/>
    <w:rsid w:val="798017B9"/>
    <w:rsid w:val="798918CA"/>
    <w:rsid w:val="79984D55"/>
    <w:rsid w:val="799A0ACD"/>
    <w:rsid w:val="79A47EF6"/>
    <w:rsid w:val="79AD6A52"/>
    <w:rsid w:val="79B8760A"/>
    <w:rsid w:val="79BD2A0E"/>
    <w:rsid w:val="79D20267"/>
    <w:rsid w:val="79EB30D7"/>
    <w:rsid w:val="79F33A06"/>
    <w:rsid w:val="79FD2445"/>
    <w:rsid w:val="7A0F3269"/>
    <w:rsid w:val="7A195510"/>
    <w:rsid w:val="7A1F0FD2"/>
    <w:rsid w:val="7A287E87"/>
    <w:rsid w:val="7A3C1B84"/>
    <w:rsid w:val="7A3E7591"/>
    <w:rsid w:val="7A462A03"/>
    <w:rsid w:val="7A4D7B26"/>
    <w:rsid w:val="7A5E7DB1"/>
    <w:rsid w:val="7A6730A5"/>
    <w:rsid w:val="7A6A4943"/>
    <w:rsid w:val="7A6F79D8"/>
    <w:rsid w:val="7A785AA5"/>
    <w:rsid w:val="7A97325F"/>
    <w:rsid w:val="7A981F8E"/>
    <w:rsid w:val="7AB12572"/>
    <w:rsid w:val="7ABE07EB"/>
    <w:rsid w:val="7AD5704D"/>
    <w:rsid w:val="7AE9470B"/>
    <w:rsid w:val="7AF9431A"/>
    <w:rsid w:val="7B160627"/>
    <w:rsid w:val="7B18614D"/>
    <w:rsid w:val="7B1B5C3E"/>
    <w:rsid w:val="7B494559"/>
    <w:rsid w:val="7B5573A2"/>
    <w:rsid w:val="7BA21EBB"/>
    <w:rsid w:val="7BA94FF8"/>
    <w:rsid w:val="7BB445FA"/>
    <w:rsid w:val="7BB75A6B"/>
    <w:rsid w:val="7BCB31C0"/>
    <w:rsid w:val="7BD52290"/>
    <w:rsid w:val="7BE44282"/>
    <w:rsid w:val="7BEE3352"/>
    <w:rsid w:val="7BFB565B"/>
    <w:rsid w:val="7C042B76"/>
    <w:rsid w:val="7C0E12FE"/>
    <w:rsid w:val="7C262AEC"/>
    <w:rsid w:val="7C2B3C5E"/>
    <w:rsid w:val="7C464F3C"/>
    <w:rsid w:val="7C4E5B9F"/>
    <w:rsid w:val="7C501917"/>
    <w:rsid w:val="7C504129"/>
    <w:rsid w:val="7C831CEC"/>
    <w:rsid w:val="7CB225D2"/>
    <w:rsid w:val="7CC06A9D"/>
    <w:rsid w:val="7CC1414C"/>
    <w:rsid w:val="7CC30DEF"/>
    <w:rsid w:val="7CD460A4"/>
    <w:rsid w:val="7CDD764F"/>
    <w:rsid w:val="7CE34539"/>
    <w:rsid w:val="7CF16F95"/>
    <w:rsid w:val="7CFE3A87"/>
    <w:rsid w:val="7D006E99"/>
    <w:rsid w:val="7D050953"/>
    <w:rsid w:val="7D0857B2"/>
    <w:rsid w:val="7D193EF8"/>
    <w:rsid w:val="7D292894"/>
    <w:rsid w:val="7D44147C"/>
    <w:rsid w:val="7D450D50"/>
    <w:rsid w:val="7D580A83"/>
    <w:rsid w:val="7D6C38BC"/>
    <w:rsid w:val="7D7C1B4F"/>
    <w:rsid w:val="7D7F24B4"/>
    <w:rsid w:val="7DA41F1A"/>
    <w:rsid w:val="7DA63EE4"/>
    <w:rsid w:val="7DAA32A9"/>
    <w:rsid w:val="7DAF5284"/>
    <w:rsid w:val="7DC4436B"/>
    <w:rsid w:val="7DCB6D3F"/>
    <w:rsid w:val="7DDC7906"/>
    <w:rsid w:val="7DF2712A"/>
    <w:rsid w:val="7E01736D"/>
    <w:rsid w:val="7E185397"/>
    <w:rsid w:val="7E1C41A7"/>
    <w:rsid w:val="7E2F281D"/>
    <w:rsid w:val="7E4B683A"/>
    <w:rsid w:val="7E611BB9"/>
    <w:rsid w:val="7E7A2C7B"/>
    <w:rsid w:val="7E81225C"/>
    <w:rsid w:val="7E8671C3"/>
    <w:rsid w:val="7E885398"/>
    <w:rsid w:val="7EA85A3A"/>
    <w:rsid w:val="7EAF0432"/>
    <w:rsid w:val="7EBC3294"/>
    <w:rsid w:val="7EC5039A"/>
    <w:rsid w:val="7EC81C39"/>
    <w:rsid w:val="7EE90C95"/>
    <w:rsid w:val="7F182BC0"/>
    <w:rsid w:val="7F315A30"/>
    <w:rsid w:val="7F3948E4"/>
    <w:rsid w:val="7F637BB3"/>
    <w:rsid w:val="7F651B7D"/>
    <w:rsid w:val="7F6C51E1"/>
    <w:rsid w:val="7F7273E8"/>
    <w:rsid w:val="7F74591C"/>
    <w:rsid w:val="7F78365F"/>
    <w:rsid w:val="7F8738A2"/>
    <w:rsid w:val="7F957552"/>
    <w:rsid w:val="7F9A1827"/>
    <w:rsid w:val="7FB40147"/>
    <w:rsid w:val="7FC543CA"/>
    <w:rsid w:val="7FD2355F"/>
    <w:rsid w:val="7FF30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2">
    <w:name w:val="annotation text"/>
    <w:basedOn w:val="1"/>
    <w:autoRedefine/>
    <w:qFormat/>
    <w:uiPriority w:val="0"/>
    <w:pPr>
      <w:jc w:val="left"/>
    </w:pPr>
  </w:style>
  <w:style w:type="paragraph" w:styleId="3">
    <w:name w:val="toc 3"/>
    <w:basedOn w:val="1"/>
    <w:next w:val="1"/>
    <w:autoRedefine/>
    <w:qFormat/>
    <w:uiPriority w:val="0"/>
    <w:pPr>
      <w:ind w:left="840" w:leftChars="400"/>
    </w:p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autoRedefine/>
    <w:qFormat/>
    <w:uiPriority w:val="0"/>
  </w:style>
  <w:style w:type="paragraph" w:styleId="7">
    <w:name w:val="footnote text"/>
    <w:basedOn w:val="1"/>
    <w:autoRedefine/>
    <w:qFormat/>
    <w:uiPriority w:val="0"/>
    <w:pPr>
      <w:snapToGrid w:val="0"/>
      <w:jc w:val="left"/>
    </w:pPr>
    <w:rPr>
      <w:sz w:val="18"/>
    </w:rPr>
  </w:style>
  <w:style w:type="paragraph" w:styleId="8">
    <w:name w:val="toc 2"/>
    <w:basedOn w:val="1"/>
    <w:next w:val="1"/>
    <w:autoRedefine/>
    <w:qFormat/>
    <w:uiPriority w:val="0"/>
    <w:pPr>
      <w:ind w:left="420" w:leftChars="200"/>
    </w:p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footnote reference"/>
    <w:basedOn w:val="11"/>
    <w:autoRedefine/>
    <w:qFormat/>
    <w:uiPriority w:val="0"/>
    <w:rPr>
      <w:vertAlign w:val="superscript"/>
    </w:rPr>
  </w:style>
  <w:style w:type="paragraph" w:customStyle="1" w:styleId="13">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4">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5">
    <w:name w:val="WPSOffice手动目录 3"/>
    <w:autoRedefine/>
    <w:qFormat/>
    <w:uiPriority w:val="0"/>
    <w:pPr>
      <w:ind w:leftChars="400"/>
    </w:pPr>
    <w:rPr>
      <w:rFonts w:asciiTheme="minorHAnsi" w:hAnsiTheme="minorHAnsi" w:eastAsiaTheme="minorEastAsia" w:cstheme="minorBidi"/>
      <w:sz w:val="20"/>
      <w:szCs w:val="20"/>
    </w:rPr>
  </w:style>
  <w:style w:type="paragraph" w:customStyle="1" w:styleId="16">
    <w:name w:val="公文主体"/>
    <w:basedOn w:val="1"/>
    <w:autoRedefine/>
    <w:qFormat/>
    <w:uiPriority w:val="0"/>
    <w:pPr>
      <w:spacing w:line="580" w:lineRule="exact"/>
      <w:ind w:firstLine="200" w:firstLineChars="200"/>
    </w:pPr>
    <w:rPr>
      <w:rFonts w:eastAsia="仿宋_GB2312"/>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9624</Words>
  <Characters>12955</Characters>
  <Lines>0</Lines>
  <Paragraphs>0</Paragraphs>
  <TotalTime>8</TotalTime>
  <ScaleCrop>false</ScaleCrop>
  <LinksUpToDate>false</LinksUpToDate>
  <CharactersWithSpaces>12973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2024-02-21T06:31:00Z</dcterms:created>
  <dc:creator>庄园</dc:creator>
  <cp:lastModifiedBy>曹杰</cp:lastModifiedBy>
  <cp:lastPrinted>2024-05-16T03:10:00Z</cp:lastPrinted>
  <dcterms:modified xsi:type="dcterms:W3CDTF">2025-06-23T09:59:08Z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5CCC30D2968C478BA701E282A4967401_11</vt:lpwstr>
  </property>
  <property fmtid="{D5CDD505-2E9C-101B-9397-08002B2CF9AE}" pid="4" name="KSOTemplateDocerSaveRecord">
    <vt:lpwstr>eyJoZGlkIjoiMTFjZTliMTRhNTdmMjU0OTY1OTQ0YmZjMzUyM2U5YTkiLCJ1c2VySWQiOiIxNjYwNzk2MDUyIn0=</vt:lpwstr>
  </property>
</Properties>
</file>