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E96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</w:rPr>
        <w:t>附件</w:t>
      </w:r>
      <w:r>
        <w:rPr>
          <w:rFonts w:hint="eastAsia" w:eastAsia="黑体" w:cs="黑体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</w:p>
    <w:p w14:paraId="6116E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 w14:paraId="4CC39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绵竹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市2025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</w:rPr>
        <w:t>年职业培训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竞争评比报名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</w:rPr>
        <w:t>申请书</w:t>
      </w:r>
    </w:p>
    <w:p w14:paraId="067C8B70">
      <w:pPr>
        <w:widowControl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</w:p>
    <w:p w14:paraId="2B0A6315">
      <w:pPr>
        <w:widowControl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绵竹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市就业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创业促进中心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：</w:t>
      </w:r>
    </w:p>
    <w:p w14:paraId="50FC6585">
      <w:pPr>
        <w:widowControl/>
        <w:ind w:firstLine="645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我单位于       年    月经人力资源社会保障部门认定为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德阳市职业培训承训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 xml:space="preserve">机构，具有       职业（工种）       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（等级）培训资质。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现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自愿申请参加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绵竹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市就业创业促进中心组织的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2025年职业培训竞争评比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，并保证提交资料真实有效，否则后果自负。</w:t>
      </w:r>
    </w:p>
    <w:p w14:paraId="25DF3DB7">
      <w:pPr>
        <w:widowControl/>
        <w:ind w:firstLine="645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</w:p>
    <w:p w14:paraId="7567F8B0">
      <w:pPr>
        <w:widowControl/>
        <w:ind w:firstLine="645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</w:p>
    <w:p w14:paraId="3D078198">
      <w:pPr>
        <w:widowControl/>
        <w:ind w:firstLine="645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 xml:space="preserve">            培训机构名称（公章）：                   </w:t>
      </w:r>
    </w:p>
    <w:p w14:paraId="7C4A7FE3">
      <w:pPr>
        <w:widowControl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 xml:space="preserve">                                 年    月   日</w:t>
      </w:r>
    </w:p>
    <w:p w14:paraId="70B0F522">
      <w:pPr>
        <w:widowControl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</w:p>
    <w:p w14:paraId="626B9C54">
      <w:pPr>
        <w:widowControl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</w:p>
    <w:p w14:paraId="5B1EC801">
      <w:pPr>
        <w:widowControl/>
        <w:spacing w:line="600" w:lineRule="exact"/>
        <w:jc w:val="left"/>
        <w:rPr>
          <w:rFonts w:hint="default" w:ascii="黑体" w:hAnsi="黑体" w:eastAsia="黑体" w:cs="黑体"/>
          <w:bCs/>
          <w:color w:val="auto"/>
          <w:spacing w:val="0"/>
          <w:kern w:val="0"/>
          <w:sz w:val="32"/>
          <w:szCs w:val="32"/>
          <w:u w:val="none"/>
        </w:rPr>
      </w:pPr>
    </w:p>
    <w:p w14:paraId="29CB0DE8">
      <w:pPr>
        <w:widowControl/>
        <w:spacing w:line="600" w:lineRule="exact"/>
        <w:jc w:val="left"/>
        <w:rPr>
          <w:rFonts w:hint="default" w:ascii="黑体" w:hAnsi="黑体" w:eastAsia="黑体" w:cs="黑体"/>
          <w:bCs/>
          <w:color w:val="auto"/>
          <w:spacing w:val="0"/>
          <w:kern w:val="0"/>
          <w:sz w:val="32"/>
          <w:szCs w:val="32"/>
          <w:u w:val="none"/>
        </w:rPr>
      </w:pPr>
    </w:p>
    <w:p w14:paraId="6639AFC4">
      <w:pPr>
        <w:widowControl/>
        <w:spacing w:line="600" w:lineRule="exact"/>
        <w:jc w:val="left"/>
        <w:rPr>
          <w:rFonts w:hint="default" w:ascii="黑体" w:hAnsi="黑体" w:eastAsia="黑体" w:cs="黑体"/>
          <w:bCs/>
          <w:color w:val="auto"/>
          <w:spacing w:val="0"/>
          <w:kern w:val="0"/>
          <w:sz w:val="32"/>
          <w:szCs w:val="32"/>
          <w:u w:val="none"/>
        </w:rPr>
        <w:sectPr>
          <w:pgSz w:w="11906" w:h="16838"/>
          <w:pgMar w:top="1701" w:right="1588" w:bottom="1701" w:left="1588" w:header="851" w:footer="1134" w:gutter="0"/>
          <w:pgNumType w:fmt="decimal"/>
          <w:cols w:space="720" w:num="1"/>
          <w:docGrid w:type="linesAndChars" w:linePitch="292" w:charSpace="-1963"/>
        </w:sectPr>
      </w:pPr>
    </w:p>
    <w:p w14:paraId="02CC6960">
      <w:pPr>
        <w:widowControl/>
        <w:spacing w:line="600" w:lineRule="exact"/>
        <w:jc w:val="left"/>
        <w:rPr>
          <w:rFonts w:hint="default" w:ascii="黑体" w:hAnsi="黑体" w:eastAsia="黑体" w:cs="黑体"/>
          <w:bCs/>
          <w:color w:val="auto"/>
          <w:spacing w:val="0"/>
          <w:kern w:val="0"/>
          <w:sz w:val="32"/>
          <w:szCs w:val="32"/>
          <w:u w:val="none"/>
        </w:rPr>
        <w:sectPr>
          <w:type w:val="continuous"/>
          <w:pgSz w:w="11906" w:h="16838"/>
          <w:pgMar w:top="1701" w:right="1588" w:bottom="1701" w:left="1588" w:header="851" w:footer="1134" w:gutter="0"/>
          <w:pgNumType w:fmt="decimal"/>
          <w:cols w:space="720" w:num="1"/>
          <w:docGrid w:type="linesAndChars" w:linePitch="292" w:charSpace="-1963"/>
        </w:sectPr>
      </w:pPr>
    </w:p>
    <w:p w14:paraId="478545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</w:rPr>
        <w:t>附件</w:t>
      </w:r>
      <w:r>
        <w:rPr>
          <w:rFonts w:hint="eastAsia" w:eastAsia="黑体" w:cs="黑体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2</w:t>
      </w:r>
    </w:p>
    <w:p w14:paraId="72950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pacing w:val="0"/>
          <w:kern w:val="0"/>
          <w:sz w:val="32"/>
          <w:szCs w:val="32"/>
          <w:u w:val="none"/>
        </w:rPr>
      </w:pPr>
    </w:p>
    <w:p w14:paraId="355EE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绵竹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2025年职业培训项目</w:t>
      </w:r>
    </w:p>
    <w:p w14:paraId="7297D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</w:rPr>
        <w:t>竞争评比书有关要求</w:t>
      </w:r>
    </w:p>
    <w:p w14:paraId="4485F1F7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</w:pPr>
    </w:p>
    <w:p w14:paraId="01E2C3A2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  <w:t>一、基本要求</w:t>
      </w:r>
    </w:p>
    <w:p w14:paraId="6E90C05A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竞争评比文件内容准确完整。对竞争评比项目的实施条件、实施思路、实施的保障措施等问题进行全面阐述。对有关问题的描述既要有广度，又要有深度。尤其应突出体现参评培训机构的办学条件、教学能力、办学业绩和曾经获得的荣誉，体现参评培训机构将如何实现和满足竞争评比部门提出的各种要求。证明文件、材料必须实事求是，所涉及的资料、数据必须真实有效。</w:t>
      </w:r>
    </w:p>
    <w:p w14:paraId="02068048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  <w:t>二、基本内容</w:t>
      </w:r>
    </w:p>
    <w:p w14:paraId="01F42C90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参评机构按下列顺序依次装订成册。</w:t>
      </w:r>
    </w:p>
    <w:p w14:paraId="199D08A1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（一）封面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整洁美观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；</w:t>
      </w:r>
    </w:p>
    <w:p w14:paraId="3B71B11B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（二）竞争评比书目录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逻辑顺序要科学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；</w:t>
      </w:r>
    </w:p>
    <w:p w14:paraId="4406AB89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（三）竞争评比申请表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清楚、明晰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；</w:t>
      </w:r>
    </w:p>
    <w:p w14:paraId="581EBE68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（四）参评单位简介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言简意赅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；</w:t>
      </w:r>
    </w:p>
    <w:p w14:paraId="61C0AA0A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（五）近期与用工企业签订的用工订单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合同证明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；</w:t>
      </w:r>
    </w:p>
    <w:p w14:paraId="7258F93B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（六）竞争评比单位组织培训实施方案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科学实用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；</w:t>
      </w:r>
    </w:p>
    <w:p w14:paraId="26F9761F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（七）参评单位有关培训的资信证明材料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准确真实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；</w:t>
      </w:r>
    </w:p>
    <w:p w14:paraId="3E3E5240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（八）其他事项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简明扼要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。</w:t>
      </w:r>
    </w:p>
    <w:p w14:paraId="47D925D7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  <w:t>三、基本格式</w:t>
      </w:r>
    </w:p>
    <w:p w14:paraId="072CE26A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u w:val="none"/>
        </w:rPr>
        <w:t>（一）总体要求</w:t>
      </w:r>
    </w:p>
    <w:p w14:paraId="7C913EED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所有竞争评比资料一律用A4纸打印，一式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份。分工种制作、密封并包装竞争评比书。</w:t>
      </w:r>
    </w:p>
    <w:p w14:paraId="027FEEA3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u w:val="none"/>
        </w:rPr>
        <w:t>（二）分项要求</w:t>
      </w:r>
    </w:p>
    <w:p w14:paraId="29CD25A1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  <w:t>1.封面要求</w:t>
      </w:r>
    </w:p>
    <w:p w14:paraId="26DB886B">
      <w:pPr>
        <w:spacing w:line="580" w:lineRule="exact"/>
        <w:ind w:firstLine="597" w:firstLineChars="192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（1）竞争评比名称：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绵竹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市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年职业培训竞争评比书（参评项目及工种）。</w:t>
      </w:r>
    </w:p>
    <w:p w14:paraId="7468F0CA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（2）参评单位名称：参评单位的规范全称（加盖公章）。</w:t>
      </w:r>
    </w:p>
    <w:p w14:paraId="42A8C1C8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  <w:t>2.目录要求</w:t>
      </w:r>
    </w:p>
    <w:p w14:paraId="60ADD0F6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参评单位竞争评比书中反映参评书内容构成的有关条目。</w:t>
      </w:r>
    </w:p>
    <w:p w14:paraId="74714FBC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  <w:t>3.申请表要求</w:t>
      </w:r>
    </w:p>
    <w:p w14:paraId="24A28875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按照《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绵竹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市职业培训竞争评比申请表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 xml:space="preserve">》有关条目要求填写。  </w:t>
      </w:r>
    </w:p>
    <w:p w14:paraId="7161E6C5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  <w:t>4.简介要求</w:t>
      </w:r>
    </w:p>
    <w:p w14:paraId="0D05DBC8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简要介绍本单位的性质、学校办学规模、办学条件（基础设施、实作条件等）、教学能力（师资等软实力）、就业安置渠道及能力、开展职业培训历史与业绩、已举办拟参评职业培训项目培训班的期数及培训人数、取得的荣誉等。</w:t>
      </w:r>
    </w:p>
    <w:p w14:paraId="300431A5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  <w:t>5.用工订单要求</w:t>
      </w:r>
    </w:p>
    <w:p w14:paraId="6637E7FC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提交近1年已经与用工企业签订的用工订单（附订单合同等证明材料）。</w:t>
      </w:r>
    </w:p>
    <w:p w14:paraId="647A1C45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  <w:t>6.实施方案要求</w:t>
      </w:r>
    </w:p>
    <w:p w14:paraId="1B7C3916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详细、全面介绍本单位将如何开展和实现竞争评比部门提出的各种要求，即说明本单位在实施职业培训项目中的招生办法、生源保证措施、培训质量保证措施、就业安置渠道、跟踪管理与维权服务措施、收费标准及办法。</w:t>
      </w:r>
    </w:p>
    <w:p w14:paraId="185AF273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  <w:t>7.资信证明材料要求</w:t>
      </w:r>
    </w:p>
    <w:p w14:paraId="54360C58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在竞争评比文件中涉及的有关需要证明的内容。包括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职业培训承训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机构资质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及拟竞争评比培训项目许可文件、营业执照、机构代码、法定代表人身份证复印件，主要办学条件、师资力量（从事拟竞争评比培训项目的任教教师资格证书复印件）、教学能力、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教学计划、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工作业绩、荣誉证书等。</w:t>
      </w:r>
    </w:p>
    <w:p w14:paraId="3EBB710F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u w:val="none"/>
        </w:rPr>
        <w:t>8.其他事项要求</w:t>
      </w:r>
    </w:p>
    <w:p w14:paraId="7C2A0E5F">
      <w:pPr>
        <w:widowControl/>
        <w:snapToGrid w:val="0"/>
        <w:spacing w:line="58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参评单位对参与职业培训项目竞争评比需要专门或特别说明的事项。</w:t>
      </w:r>
    </w:p>
    <w:p w14:paraId="36A6877F">
      <w:pPr>
        <w:spacing w:afterLines="50" w:line="360" w:lineRule="exact"/>
        <w:jc w:val="center"/>
        <w:rPr>
          <w:rFonts w:hint="eastAsia" w:ascii="方正小标宋简体" w:hAnsi="华文中宋" w:eastAsia="方正小标宋简体" w:cs="宋体"/>
          <w:bCs/>
          <w:color w:val="auto"/>
          <w:spacing w:val="0"/>
          <w:kern w:val="36"/>
          <w:sz w:val="36"/>
          <w:szCs w:val="36"/>
          <w:u w:val="none"/>
        </w:rPr>
      </w:pPr>
    </w:p>
    <w:p w14:paraId="0B82219B">
      <w:pPr>
        <w:spacing w:afterLines="50" w:line="360" w:lineRule="exact"/>
        <w:jc w:val="center"/>
        <w:rPr>
          <w:rFonts w:hint="eastAsia" w:ascii="方正小标宋简体" w:hAnsi="华文中宋" w:eastAsia="方正小标宋简体" w:cs="宋体"/>
          <w:bCs/>
          <w:color w:val="auto"/>
          <w:spacing w:val="0"/>
          <w:kern w:val="36"/>
          <w:sz w:val="36"/>
          <w:szCs w:val="36"/>
          <w:u w:val="none"/>
        </w:rPr>
      </w:pPr>
    </w:p>
    <w:p w14:paraId="7A4CA44A">
      <w:pPr>
        <w:spacing w:afterLines="50" w:line="360" w:lineRule="exact"/>
        <w:jc w:val="center"/>
        <w:rPr>
          <w:rFonts w:hint="eastAsia" w:ascii="方正小标宋简体" w:hAnsi="华文中宋" w:eastAsia="方正小标宋简体" w:cs="宋体"/>
          <w:bCs/>
          <w:color w:val="auto"/>
          <w:spacing w:val="0"/>
          <w:kern w:val="36"/>
          <w:sz w:val="36"/>
          <w:szCs w:val="36"/>
          <w:u w:val="none"/>
        </w:rPr>
      </w:pPr>
    </w:p>
    <w:p w14:paraId="547B4D18">
      <w:pPr>
        <w:spacing w:afterLines="50" w:line="360" w:lineRule="exact"/>
        <w:jc w:val="both"/>
        <w:rPr>
          <w:rFonts w:hint="eastAsia" w:ascii="黑体" w:hAnsi="黑体" w:eastAsia="黑体" w:cs="黑体"/>
          <w:bCs/>
          <w:color w:val="auto"/>
          <w:spacing w:val="0"/>
          <w:kern w:val="36"/>
          <w:sz w:val="32"/>
          <w:szCs w:val="32"/>
          <w:u w:val="none"/>
          <w:lang w:eastAsia="zh-CN"/>
        </w:rPr>
      </w:pPr>
    </w:p>
    <w:p w14:paraId="6159A496">
      <w:pPr>
        <w:spacing w:afterLines="50" w:line="360" w:lineRule="exact"/>
        <w:jc w:val="both"/>
        <w:rPr>
          <w:rFonts w:hint="eastAsia" w:ascii="黑体" w:hAnsi="黑体" w:eastAsia="黑体" w:cs="黑体"/>
          <w:bCs/>
          <w:color w:val="auto"/>
          <w:spacing w:val="0"/>
          <w:kern w:val="36"/>
          <w:sz w:val="32"/>
          <w:szCs w:val="32"/>
          <w:u w:val="none"/>
          <w:lang w:eastAsia="zh-CN"/>
        </w:rPr>
      </w:pPr>
    </w:p>
    <w:p w14:paraId="694B509C">
      <w:pPr>
        <w:spacing w:afterLines="50" w:line="360" w:lineRule="exact"/>
        <w:jc w:val="both"/>
        <w:rPr>
          <w:rFonts w:hint="eastAsia" w:ascii="黑体" w:hAnsi="黑体" w:eastAsia="黑体" w:cs="黑体"/>
          <w:bCs/>
          <w:color w:val="auto"/>
          <w:spacing w:val="0"/>
          <w:kern w:val="36"/>
          <w:sz w:val="32"/>
          <w:szCs w:val="32"/>
          <w:u w:val="none"/>
          <w:lang w:eastAsia="zh-CN"/>
        </w:rPr>
      </w:pPr>
    </w:p>
    <w:p w14:paraId="20AF4770">
      <w:pPr>
        <w:spacing w:afterLines="50" w:line="360" w:lineRule="exact"/>
        <w:jc w:val="both"/>
        <w:rPr>
          <w:rFonts w:hint="eastAsia" w:ascii="黑体" w:hAnsi="黑体" w:eastAsia="黑体" w:cs="黑体"/>
          <w:bCs/>
          <w:color w:val="auto"/>
          <w:spacing w:val="0"/>
          <w:kern w:val="36"/>
          <w:sz w:val="32"/>
          <w:szCs w:val="32"/>
          <w:u w:val="none"/>
          <w:lang w:eastAsia="zh-CN"/>
        </w:rPr>
      </w:pPr>
    </w:p>
    <w:p w14:paraId="537A9329">
      <w:pPr>
        <w:spacing w:afterLines="50" w:line="360" w:lineRule="exact"/>
        <w:jc w:val="both"/>
        <w:rPr>
          <w:rFonts w:hint="eastAsia" w:ascii="黑体" w:hAnsi="黑体" w:eastAsia="黑体" w:cs="黑体"/>
          <w:bCs/>
          <w:color w:val="auto"/>
          <w:spacing w:val="0"/>
          <w:kern w:val="36"/>
          <w:sz w:val="32"/>
          <w:szCs w:val="32"/>
          <w:u w:val="none"/>
          <w:lang w:eastAsia="zh-CN"/>
        </w:rPr>
        <w:sectPr>
          <w:pgSz w:w="11906" w:h="16838"/>
          <w:pgMar w:top="1701" w:right="1588" w:bottom="1701" w:left="1588" w:header="851" w:footer="1134" w:gutter="0"/>
          <w:pgNumType w:fmt="decimal"/>
          <w:cols w:space="720" w:num="1"/>
          <w:docGrid w:type="linesAndChars" w:linePitch="292" w:charSpace="-1963"/>
        </w:sectPr>
      </w:pPr>
    </w:p>
    <w:p w14:paraId="6F365124"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eastAsia="黑体" w:cs="黑体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</w:p>
    <w:p w14:paraId="79422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pacing w:val="0"/>
          <w:kern w:val="36"/>
          <w:sz w:val="32"/>
          <w:szCs w:val="32"/>
          <w:u w:val="none"/>
          <w:lang w:val="en-US" w:eastAsia="zh-CN"/>
        </w:rPr>
      </w:pPr>
    </w:p>
    <w:p w14:paraId="7630E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绵竹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市202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年市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职业培训竞争评比</w:t>
      </w:r>
    </w:p>
    <w:p w14:paraId="11D08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eastAsia="zh-CN"/>
        </w:rPr>
        <w:t>评估细则</w:t>
      </w:r>
    </w:p>
    <w:p w14:paraId="747DB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u w:val="none"/>
        </w:rPr>
      </w:pPr>
    </w:p>
    <w:p w14:paraId="43A71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宋体" w:eastAsia="仿宋_GB2312" w:cs="宋体"/>
          <w:color w:val="auto"/>
          <w:spacing w:val="0"/>
          <w:sz w:val="24"/>
          <w:u w:val="none"/>
        </w:rPr>
      </w:pPr>
      <w:r>
        <w:rPr>
          <w:rFonts w:hint="eastAsia" w:ascii="仿宋_GB2312" w:hAnsi="宋体" w:eastAsia="仿宋_GB2312" w:cs="宋体"/>
          <w:color w:val="auto"/>
          <w:spacing w:val="0"/>
          <w:sz w:val="24"/>
          <w:u w:val="none"/>
        </w:rPr>
        <w:t xml:space="preserve">职业（工种）： </w:t>
      </w:r>
    </w:p>
    <w:p w14:paraId="4A78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宋体" w:eastAsia="仿宋_GB2312" w:cs="宋体"/>
          <w:color w:val="auto"/>
          <w:spacing w:val="0"/>
          <w:sz w:val="24"/>
          <w:u w:val="none"/>
        </w:rPr>
      </w:pPr>
      <w:r>
        <w:rPr>
          <w:rFonts w:hint="eastAsia" w:ascii="仿宋_GB2312" w:hAnsi="宋体" w:eastAsia="仿宋_GB2312" w:cs="宋体"/>
          <w:color w:val="auto"/>
          <w:spacing w:val="0"/>
          <w:sz w:val="24"/>
          <w:u w:val="none"/>
        </w:rPr>
        <w:t xml:space="preserve">参评机构： </w:t>
      </w:r>
    </w:p>
    <w:tbl>
      <w:tblPr>
        <w:tblStyle w:val="2"/>
        <w:tblW w:w="88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121"/>
        <w:gridCol w:w="756"/>
        <w:gridCol w:w="722"/>
      </w:tblGrid>
      <w:tr w14:paraId="7483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F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u w:val="none"/>
              </w:rPr>
              <w:t>评估</w:t>
            </w:r>
          </w:p>
          <w:p w14:paraId="2AFE6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u w:val="none"/>
              </w:rPr>
              <w:t>项目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1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u w:val="none"/>
              </w:rPr>
              <w:t>评分标准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6DD2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u w:val="none"/>
              </w:rPr>
              <w:t>分值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25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u w:val="none"/>
              </w:rPr>
              <w:t>得分</w:t>
            </w:r>
          </w:p>
        </w:tc>
      </w:tr>
      <w:tr w14:paraId="08E4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1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  <w:t>培训场地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1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具备固定的培训场所，培训场所租赁期限不得少于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3年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，培训场所与培训规模相适应，能够同时满足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100人参训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D88C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  <w:t>9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3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1146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8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  <w:t>设备设施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F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设备数量、工位满足培训需要，至少保证每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2名学员有1个实训工位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9E1C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  <w:t>16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952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1D2F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6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1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实训设备具备一定的先进性，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多媒体教学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辅助设备齐全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7257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AE78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2D10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0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1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4.消防等安全设施设备齐全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843C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41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6F04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1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  <w:t>师资队伍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8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理论教师数达到每班1-2人，且具有中级及以上专业技术职称或职业资格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E8CF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  <w:t>12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7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746E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1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实训教师数达到每班1-2人，且具有中级及以上专业技术职称或高级及以上职业资格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7A12A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3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4AAA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F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  <w:t>培训质量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6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上年度就业技能培训结业学员培训合格率达到80%以上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E8F5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eastAsia="仿宋_GB2312"/>
                <w:color w:val="auto"/>
                <w:spacing w:val="0"/>
                <w:kern w:val="0"/>
                <w:sz w:val="24"/>
                <w:u w:val="none"/>
              </w:rPr>
              <w:t>11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2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747F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9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  <w:t>教学管理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5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8.制定有2025年政府补贴性培训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计划，大纲具体，操作性强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CECE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  <w:t>13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3F2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6B28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8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13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教材选用符合国家人社部的规定，教学管理机构健全、人员配备到位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19BD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054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10D8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E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F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0.教学过程中学员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CACA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5A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7218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5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  <w:t>生源组织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4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招生组织机构健全，招生渠道畅通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DAEB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  <w:r>
              <w:rPr>
                <w:rFonts w:eastAsia="仿宋_GB2312"/>
                <w:color w:val="auto"/>
                <w:spacing w:val="0"/>
                <w:sz w:val="24"/>
                <w:u w:val="none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F6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566C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4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  <w:t>就业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0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上年度培训结业取得职业资格证书（职业技能等级证书、专项职业能力证书等）学员6个月内的就业率达60%以上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DD6C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  <w:t>14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252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6D24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1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8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3.培训后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就业安置有明确的就业单位和渠道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713F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3E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040F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  <w:t>机构管理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6C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建立财务管理、教学管理、安全管理、培训档案管理、就业跟踪服务制度（缺1制度扣1分）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BDCA">
            <w:pPr>
              <w:keepNext w:val="0"/>
              <w:keepLines w:val="0"/>
              <w:pageBreakBefore w:val="0"/>
              <w:tabs>
                <w:tab w:val="left" w:pos="1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2" w:leftChars="-56" w:firstLine="116" w:firstLineChars="50"/>
              <w:jc w:val="center"/>
              <w:textAlignment w:val="auto"/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eastAsia="仿宋_GB2312"/>
                <w:color w:val="auto"/>
                <w:spacing w:val="0"/>
                <w:sz w:val="24"/>
                <w:u w:val="none"/>
              </w:rPr>
              <w:t>13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5F0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0EA1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B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8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是否开展市场培训需求调查，具备履约能力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FCC7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5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68D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0E0B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C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5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针对政府补贴性培训无违规收取学员费用问题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F450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5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728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0D07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53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已安装就业创业培训监管设备，实现培训过程全程录像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A8E1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5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7B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3B85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D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</w:rPr>
              <w:t>培训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u w:val="none"/>
                <w:lang w:eastAsia="zh-CN"/>
              </w:rPr>
              <w:t>管理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C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val="en-US" w:eastAsia="zh-CN"/>
              </w:rPr>
              <w:t>8.培训行为规范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，上年度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</w:rPr>
              <w:t>无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  <w:lang w:eastAsia="zh-CN"/>
              </w:rPr>
              <w:t>任何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sz w:val="24"/>
                <w:u w:val="none"/>
              </w:rPr>
              <w:t>投诉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D40D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  <w:r>
              <w:rPr>
                <w:rFonts w:eastAsia="仿宋_GB2312"/>
                <w:color w:val="auto"/>
                <w:spacing w:val="0"/>
                <w:sz w:val="24"/>
                <w:u w:val="none"/>
              </w:rPr>
              <w:t>10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F6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  <w:tr w14:paraId="7358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6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color w:val="auto"/>
                <w:spacing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u w:val="none"/>
              </w:rPr>
              <w:t>合计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A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AE52">
            <w:pPr>
              <w:keepNext w:val="0"/>
              <w:keepLines w:val="0"/>
              <w:pageBreakBefore w:val="0"/>
              <w:tabs>
                <w:tab w:val="left" w:pos="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pacing w:val="0"/>
                <w:sz w:val="24"/>
                <w:u w:val="none"/>
              </w:rPr>
            </w:pPr>
            <w:r>
              <w:rPr>
                <w:rFonts w:eastAsia="仿宋_GB2312"/>
                <w:color w:val="auto"/>
                <w:spacing w:val="0"/>
                <w:sz w:val="24"/>
                <w:u w:val="none"/>
              </w:rPr>
              <w:t>100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E1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sz w:val="24"/>
                <w:u w:val="none"/>
              </w:rPr>
            </w:pPr>
          </w:p>
        </w:tc>
      </w:tr>
    </w:tbl>
    <w:p w14:paraId="42F450B8">
      <w:pPr>
        <w:rPr>
          <w:rFonts w:hint="default" w:ascii="黑体" w:hAnsi="黑体" w:eastAsia="黑体" w:cs="黑体"/>
          <w:bCs/>
          <w:color w:val="auto"/>
          <w:spacing w:val="0"/>
          <w:kern w:val="0"/>
          <w:sz w:val="32"/>
          <w:szCs w:val="32"/>
          <w:u w:val="none"/>
        </w:rPr>
        <w:sectPr>
          <w:pgSz w:w="11906" w:h="16838"/>
          <w:pgMar w:top="1701" w:right="1588" w:bottom="1701" w:left="1588" w:header="851" w:footer="1134" w:gutter="0"/>
          <w:pgNumType w:fmt="decimal"/>
          <w:cols w:space="720" w:num="1"/>
          <w:docGrid w:type="linesAndChars" w:linePitch="292" w:charSpace="-1963"/>
        </w:sectPr>
      </w:pPr>
    </w:p>
    <w:p w14:paraId="59C058AF"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</w:rPr>
        <w:t>附件</w:t>
      </w:r>
      <w:r>
        <w:rPr>
          <w:rFonts w:hint="eastAsia" w:eastAsia="黑体" w:cs="黑体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4</w:t>
      </w:r>
    </w:p>
    <w:p w14:paraId="5A8F253A">
      <w:pPr>
        <w:widowControl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u w:val="none"/>
        </w:rPr>
      </w:pPr>
      <w:r>
        <w:rPr>
          <w:rFonts w:hint="eastAsia" w:eastAsia="方正小标宋简体" w:cs="Times New Roman"/>
          <w:color w:val="auto"/>
          <w:spacing w:val="0"/>
          <w:kern w:val="0"/>
          <w:sz w:val="44"/>
          <w:szCs w:val="44"/>
          <w:u w:val="none"/>
          <w:lang w:val="en-US" w:eastAsia="zh-CN"/>
        </w:rPr>
        <w:t>绵竹</w:t>
      </w:r>
      <w:r>
        <w:rPr>
          <w:rFonts w:hint="eastAsia" w:eastAsia="方正小标宋简体" w:cs="Times New Roman"/>
          <w:color w:val="auto"/>
          <w:spacing w:val="0"/>
          <w:kern w:val="0"/>
          <w:sz w:val="44"/>
          <w:szCs w:val="44"/>
          <w:u w:val="none"/>
          <w:lang w:eastAsia="zh-CN"/>
        </w:rPr>
        <w:t>市202</w:t>
      </w:r>
      <w:r>
        <w:rPr>
          <w:rFonts w:hint="eastAsia" w:eastAsia="方正小标宋简体" w:cs="Times New Roman"/>
          <w:color w:val="auto"/>
          <w:spacing w:val="0"/>
          <w:kern w:val="0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u w:val="none"/>
        </w:rPr>
        <w:t>年职业培训协议书</w:t>
      </w:r>
    </w:p>
    <w:p w14:paraId="6C91AB5A">
      <w:pPr>
        <w:widowControl/>
        <w:spacing w:line="360" w:lineRule="auto"/>
        <w:jc w:val="both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u w:val="none"/>
        </w:rPr>
      </w:pPr>
    </w:p>
    <w:p w14:paraId="04C0172F">
      <w:pPr>
        <w:widowControl/>
        <w:snapToGrid w:val="0"/>
        <w:spacing w:line="56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 xml:space="preserve">甲方：                      </w:t>
      </w:r>
    </w:p>
    <w:p w14:paraId="4CB532A3">
      <w:pPr>
        <w:widowControl/>
        <w:snapToGrid w:val="0"/>
        <w:spacing w:line="56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 xml:space="preserve">乙方：                      </w:t>
      </w:r>
    </w:p>
    <w:p w14:paraId="2D90E877">
      <w:pPr>
        <w:suppressAutoHyphens/>
        <w:snapToGrid w:val="0"/>
        <w:spacing w:line="56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为进一步发挥培训促就业的作用，提高劳动者素质，促进劳动者更高质量就业。根据德阳市财政局、德阳市人力资源和社会保障局关于印发《德阳市就业创业补助资金管理使用办法》的通知（德市财规〔2019〕3 号)规定，经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绵竹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市就业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创业促进中心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（以下简称“甲方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）组织评审，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（以下简称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乙方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）被确定为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202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年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绵竹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市职业培训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竞争评比既定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单位。为确保职业培训工作顺利开展，经双方协商，达成如下协议：</w:t>
      </w:r>
    </w:p>
    <w:p w14:paraId="7D126E9E">
      <w:pPr>
        <w:snapToGrid w:val="0"/>
        <w:spacing w:line="560" w:lineRule="exact"/>
        <w:ind w:firstLine="622" w:firstLineChars="200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  <w:t>一、总则</w:t>
      </w:r>
    </w:p>
    <w:p w14:paraId="0D33D728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甲乙双方共同围绕提高劳动者的职业技能，促使其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高质量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就业和充分就业开展培训，按照国家职业培训要求，坚持培训促进就业的办学宗旨，培训内容、培训方式及教学管理科学化、规范化，确保培训质效。</w:t>
      </w:r>
    </w:p>
    <w:p w14:paraId="12A4815A">
      <w:pPr>
        <w:snapToGrid w:val="0"/>
        <w:spacing w:line="560" w:lineRule="exact"/>
        <w:ind w:firstLine="622" w:firstLineChars="200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u w:val="none"/>
        </w:rPr>
        <w:t>二、双方职责</w:t>
      </w:r>
    </w:p>
    <w:p w14:paraId="2623E763">
      <w:pPr>
        <w:snapToGrid w:val="0"/>
        <w:spacing w:line="560" w:lineRule="exact"/>
        <w:ind w:firstLine="622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u w:val="none"/>
        </w:rPr>
        <w:t>甲方职责</w:t>
      </w:r>
    </w:p>
    <w:p w14:paraId="2BC3A140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监督、检查、评估乙方执行培训计划情况，并提供相关服务。若发现乙方组织的培训不符合规定要求，应及时提出书面整改意见，并视情况取消该班次培训、终止培训协议。</w:t>
      </w:r>
    </w:p>
    <w:p w14:paraId="0E10360F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采取各种方式广泛听取和收集学员意见，并及时向乙方通报，以便乙方及时改进工作。</w:t>
      </w:r>
    </w:p>
    <w:p w14:paraId="69E5C261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指导乙方进行学员培训、就业工作。</w:t>
      </w:r>
    </w:p>
    <w:p w14:paraId="542A7C6B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培训过程中开展不定期监督检查，督促提高培训质量。</w:t>
      </w:r>
    </w:p>
    <w:p w14:paraId="7ED431D0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审查乙方培训学员的培训资格、教学方案等办学资料。</w:t>
      </w:r>
    </w:p>
    <w:p w14:paraId="38A805D3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核定乙方培训补贴和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highlight w:val="none"/>
          <w:u w:val="none"/>
        </w:rPr>
        <w:t>职业技能鉴定补贴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标准和额度，并按规定程序核拨。</w:t>
      </w:r>
    </w:p>
    <w:p w14:paraId="00F34B4A">
      <w:pPr>
        <w:snapToGrid w:val="0"/>
        <w:spacing w:line="560" w:lineRule="exact"/>
        <w:ind w:firstLine="622" w:firstLineChars="200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0"/>
          <w:sz w:val="32"/>
          <w:szCs w:val="32"/>
          <w:u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0"/>
          <w:sz w:val="32"/>
          <w:szCs w:val="32"/>
          <w:u w:val="none"/>
        </w:rPr>
        <w:t>乙方职责</w:t>
      </w:r>
    </w:p>
    <w:p w14:paraId="311A5673">
      <w:pPr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按评选确定的专业（工种）和培训人数，积极组织动员符合培训条件的人员开展培训，并按教学大纲和教学计划组织教学工作。</w:t>
      </w:r>
    </w:p>
    <w:p w14:paraId="470B5903">
      <w:pPr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遵守国家职业技能培训及甲方的规定和要求，积极配合甲方及人力资源社会保障部门、财政部门开展的监督检查和评估工作。</w:t>
      </w:r>
    </w:p>
    <w:p w14:paraId="6174B8FF">
      <w:pPr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负责学员日常管理工作。按规定填写并及时提交学员开班、结业鉴定等培训情况的各类表格和数据。</w:t>
      </w:r>
    </w:p>
    <w:p w14:paraId="52633582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负责学员培训期间的安全。对学员开展消防等安全常识教育。若学员在培训期间发生安全事故由乙方全权负责。</w:t>
      </w:r>
    </w:p>
    <w:p w14:paraId="58A5C11E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负责组织学员参加职业技能鉴定或结业考核。为参训学员垫付职业培训费，协助学员缴纳职业技能鉴定费；按规定代为申请职业培训补贴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职业技能鉴定补贴。</w:t>
      </w:r>
    </w:p>
    <w:p w14:paraId="793FEA72">
      <w:pPr>
        <w:snapToGrid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不断拓展就业渠道，积极推荐培训人员就业。</w:t>
      </w:r>
    </w:p>
    <w:p w14:paraId="09C8735C">
      <w:pPr>
        <w:snapToGrid w:val="0"/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按规定使用职业培训实名制管理系统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“四川公共就业创业服务管理信息系统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V3.0”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，</w:t>
      </w: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保证培训过程在“四川省就业创业培训监管平台”全程监控下进行，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并按甲方要求上报信息，健全培训档案管理，及时以班为单位做好培训资料登记归档。</w:t>
      </w:r>
    </w:p>
    <w:p w14:paraId="6D791D84">
      <w:pPr>
        <w:snapToGrid w:val="0"/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u w:val="none"/>
        </w:rPr>
        <w:t>三、违约责任</w:t>
      </w:r>
    </w:p>
    <w:p w14:paraId="36EC690A">
      <w:pPr>
        <w:snapToGrid w:val="0"/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有下列情况之一的，甲方可单方解除本协议，由此造成的损失乙方自行负责：</w:t>
      </w:r>
    </w:p>
    <w:p w14:paraId="264A570A">
      <w:pPr>
        <w:snapToGrid w:val="0"/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乙方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将承担的培训任务委托、转包其它单位或个人的；</w:t>
      </w:r>
    </w:p>
    <w:p w14:paraId="1CEB6251">
      <w:pPr>
        <w:snapToGrid w:val="0"/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乙方弄虚作假、虚报冒领培训补贴资金的；</w:t>
      </w:r>
    </w:p>
    <w:p w14:paraId="3A492C18">
      <w:pPr>
        <w:snapToGrid w:val="0"/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乙方未按教学计划施教，擅自删减培训内容、缩短培训课时情节严重的；</w:t>
      </w:r>
    </w:p>
    <w:p w14:paraId="4FADC2F2">
      <w:pPr>
        <w:snapToGrid w:val="0"/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因乙方责任出现安全事故的；</w:t>
      </w:r>
    </w:p>
    <w:p w14:paraId="3CB9D270">
      <w:pPr>
        <w:snapToGrid w:val="0"/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color w:val="auto"/>
          <w:spacing w:val="0"/>
          <w:kern w:val="0"/>
          <w:sz w:val="32"/>
          <w:szCs w:val="32"/>
          <w:u w:val="none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u w:val="none"/>
        </w:rPr>
        <w:t>有其他违法违规行为的。</w:t>
      </w:r>
    </w:p>
    <w:p w14:paraId="274848B3">
      <w:pPr>
        <w:spacing w:line="600" w:lineRule="exact"/>
        <w:ind w:firstLine="622" w:firstLineChars="200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u w:val="none"/>
        </w:rPr>
        <w:t>四、附则</w:t>
      </w:r>
    </w:p>
    <w:p w14:paraId="34B8E925">
      <w:pPr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  <w:r>
        <w:rPr>
          <w:rFonts w:hint="eastAsia" w:eastAsia="仿宋_GB2312" w:cs="Times New Roman"/>
          <w:bCs/>
          <w:spacing w:val="0"/>
          <w:kern w:val="0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竞争评比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  <w:t>培训项目表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932"/>
        <w:gridCol w:w="1038"/>
        <w:gridCol w:w="1038"/>
        <w:gridCol w:w="1512"/>
        <w:gridCol w:w="1350"/>
      </w:tblGrid>
      <w:tr w14:paraId="1F9B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8B8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  <w:t>项目类别</w:t>
            </w: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14B3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  <w:t>培训职业        （工种）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55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  <w:t>培训  等级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02D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  <w:t>培训  人数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CB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  <w:t>培训课时</w:t>
            </w:r>
          </w:p>
        </w:tc>
      </w:tr>
      <w:tr w14:paraId="3CAC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C57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9C4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2F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74D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DF3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  <w:t>理论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CEE3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  <w:t>实</w:t>
            </w:r>
            <w:r>
              <w:rPr>
                <w:rFonts w:hint="eastAsia" w:eastAsia="仿宋_GB2312" w:cs="Times New Roman"/>
                <w:spacing w:val="0"/>
                <w:kern w:val="0"/>
                <w:sz w:val="24"/>
                <w:u w:val="none"/>
                <w:lang w:eastAsia="zh-CN"/>
              </w:rPr>
              <w:t>操</w:t>
            </w:r>
          </w:p>
        </w:tc>
      </w:tr>
      <w:tr w14:paraId="1244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1F11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0CEF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7436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2FC4E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585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412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</w:tr>
      <w:tr w14:paraId="11F8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3B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08FE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F1C2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3343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A95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A7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</w:tr>
      <w:tr w14:paraId="3623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ED81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8453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7B1F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78BA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8AD9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DA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</w:tr>
      <w:tr w14:paraId="58C7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DCB0">
            <w:pPr>
              <w:spacing w:line="240" w:lineRule="auto"/>
              <w:jc w:val="center"/>
              <w:rPr>
                <w:rFonts w:hint="eastAsia" w:eastAsia="仿宋_GB2312" w:cs="Times New Roman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1525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0048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FA82"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3BE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502B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</w:tr>
      <w:tr w14:paraId="08C1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6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9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BD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</w:tr>
      <w:tr w14:paraId="4D42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F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8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0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A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3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u w:val="none"/>
              </w:rPr>
            </w:pPr>
          </w:p>
        </w:tc>
      </w:tr>
    </w:tbl>
    <w:p w14:paraId="1B5A2C81">
      <w:pPr>
        <w:numPr>
          <w:ilvl w:val="0"/>
          <w:numId w:val="1"/>
        </w:numPr>
        <w:spacing w:line="600" w:lineRule="exact"/>
        <w:ind w:left="0" w:leftChars="0" w:firstLine="622" w:firstLineChars="200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  <w:t>本协议一式三份，甲方、乙方和</w:t>
      </w:r>
      <w:r>
        <w:rPr>
          <w:rFonts w:hint="eastAsia" w:eastAsia="仿宋_GB2312" w:cs="Times New Roman"/>
          <w:bCs/>
          <w:spacing w:val="0"/>
          <w:kern w:val="0"/>
          <w:sz w:val="32"/>
          <w:szCs w:val="32"/>
          <w:u w:val="none"/>
          <w:lang w:eastAsia="zh-CN"/>
        </w:rPr>
        <w:t>就业服务管理机构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  <w:t>各一份。协议自签署之日起生效，有效期自   年   月   日至   年  月   日。</w:t>
      </w:r>
    </w:p>
    <w:p w14:paraId="0B7F7217">
      <w:pPr>
        <w:numPr>
          <w:ilvl w:val="0"/>
          <w:numId w:val="0"/>
        </w:numPr>
        <w:spacing w:line="600" w:lineRule="exact"/>
        <w:ind w:leftChars="200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</w:p>
    <w:p w14:paraId="34E09C78">
      <w:pPr>
        <w:spacing w:line="560" w:lineRule="exact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  <w:t>甲方：             （盖章）    乙方：             （盖章）</w:t>
      </w:r>
    </w:p>
    <w:p w14:paraId="13D8A4AF">
      <w:pPr>
        <w:spacing w:line="560" w:lineRule="exact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</w:p>
    <w:p w14:paraId="0ACB70C8">
      <w:pPr>
        <w:spacing w:line="560" w:lineRule="exact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  <w:t>经办人（签章）：              经办人（签章）：</w:t>
      </w:r>
    </w:p>
    <w:p w14:paraId="7B0994E5">
      <w:pPr>
        <w:spacing w:line="560" w:lineRule="exact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  <w:t>联系电话：                    联系电话：</w:t>
      </w:r>
    </w:p>
    <w:p w14:paraId="5A45E4A0">
      <w:pPr>
        <w:spacing w:line="560" w:lineRule="exact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  <w:t>负责人（签字）：              负责人（签字）：</w:t>
      </w:r>
    </w:p>
    <w:p w14:paraId="2F8539F5">
      <w:pPr>
        <w:spacing w:line="560" w:lineRule="exact"/>
        <w:rPr>
          <w:rFonts w:hint="eastAsia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pacing w:val="0"/>
          <w:kern w:val="0"/>
          <w:sz w:val="32"/>
          <w:szCs w:val="32"/>
          <w:u w:val="none"/>
          <w:lang w:val="en-US" w:eastAsia="zh-CN"/>
        </w:rPr>
        <w:t xml:space="preserve"> </w:t>
      </w:r>
    </w:p>
    <w:p w14:paraId="255D7DC1">
      <w:pPr>
        <w:spacing w:line="560" w:lineRule="exact"/>
        <w:ind w:firstLine="933" w:firstLineChars="300"/>
        <w:rPr>
          <w:rFonts w:hint="default" w:ascii="Times New Roman" w:hAnsi="Times New Roman" w:cs="Times New Roman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  <w:t xml:space="preserve">年  月  日    </w:t>
      </w:r>
      <w:r>
        <w:rPr>
          <w:rFonts w:hint="eastAsia" w:eastAsia="仿宋_GB2312" w:cs="Times New Roman"/>
          <w:bCs/>
          <w:spacing w:val="0"/>
          <w:kern w:val="0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  <w:t>年  月  日</w:t>
      </w:r>
    </w:p>
    <w:p w14:paraId="5BA65377">
      <w:pPr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</w:p>
    <w:p w14:paraId="2848095A">
      <w:pPr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</w:p>
    <w:p w14:paraId="62D4B7C2">
      <w:pPr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</w:p>
    <w:p w14:paraId="01840B5B">
      <w:pPr>
        <w:spacing w:line="600" w:lineRule="exact"/>
        <w:ind w:firstLine="622" w:firstLineChars="200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u w:val="none"/>
        </w:rPr>
      </w:pPr>
    </w:p>
    <w:p w14:paraId="1BEF3A3C">
      <w:pPr>
        <w:spacing w:line="600" w:lineRule="exact"/>
        <w:rPr>
          <w:rFonts w:hint="eastAsia" w:ascii="黑体" w:hAnsi="黑体" w:eastAsia="黑体" w:cs="黑体"/>
          <w:bCs/>
          <w:spacing w:val="0"/>
          <w:kern w:val="0"/>
          <w:sz w:val="32"/>
          <w:szCs w:val="32"/>
          <w:u w:val="none"/>
          <w:lang w:eastAsia="zh-CN"/>
        </w:rPr>
      </w:pPr>
    </w:p>
    <w:p w14:paraId="68EB1572">
      <w:pPr>
        <w:spacing w:line="600" w:lineRule="exact"/>
        <w:rPr>
          <w:rFonts w:hint="eastAsia" w:ascii="黑体" w:hAnsi="黑体" w:eastAsia="黑体" w:cs="黑体"/>
          <w:bCs/>
          <w:spacing w:val="0"/>
          <w:kern w:val="0"/>
          <w:sz w:val="32"/>
          <w:szCs w:val="32"/>
          <w:u w:val="none"/>
          <w:lang w:eastAsia="zh-CN"/>
        </w:rPr>
      </w:pPr>
    </w:p>
    <w:p w14:paraId="3987B3E3">
      <w:pPr>
        <w:spacing w:line="600" w:lineRule="exact"/>
        <w:rPr>
          <w:rFonts w:hint="eastAsia" w:ascii="黑体" w:hAnsi="黑体" w:eastAsia="黑体" w:cs="黑体"/>
          <w:bCs/>
          <w:spacing w:val="0"/>
          <w:kern w:val="0"/>
          <w:sz w:val="32"/>
          <w:szCs w:val="32"/>
          <w:u w:val="none"/>
          <w:lang w:eastAsia="zh-CN"/>
        </w:rPr>
      </w:pPr>
    </w:p>
    <w:p w14:paraId="092A9697"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  <w:lang w:eastAsia="zh-CN"/>
        </w:rPr>
        <w:sectPr>
          <w:pgSz w:w="11906" w:h="16838"/>
          <w:pgMar w:top="1701" w:right="1588" w:bottom="1701" w:left="1588" w:header="851" w:footer="1134" w:gutter="0"/>
          <w:pgNumType w:fmt="decimal"/>
          <w:cols w:space="720" w:num="1"/>
          <w:docGrid w:type="linesAndChars" w:linePitch="292" w:charSpace="-1963"/>
        </w:sectPr>
      </w:pPr>
    </w:p>
    <w:p w14:paraId="49A8F29C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Cs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color w:val="auto"/>
          <w:spacing w:val="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eastAsia="黑体" w:cs="黑体"/>
          <w:bCs/>
          <w:color w:val="auto"/>
          <w:spacing w:val="0"/>
          <w:kern w:val="0"/>
          <w:sz w:val="32"/>
          <w:szCs w:val="32"/>
          <w:u w:val="none"/>
          <w:lang w:val="en-US" w:eastAsia="zh-CN"/>
        </w:rPr>
        <w:t>5</w:t>
      </w:r>
    </w:p>
    <w:p w14:paraId="324B9D7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u w:val="none"/>
          <w:lang w:val="en-US" w:eastAsia="zh-CN"/>
        </w:rPr>
        <w:t>绵竹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u w:val="none"/>
        </w:rPr>
        <w:t>市职业培训竞争评比申请表</w:t>
      </w:r>
    </w:p>
    <w:p w14:paraId="47CAB9B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填表日期：      年   月   日</w:t>
      </w:r>
    </w:p>
    <w:tbl>
      <w:tblPr>
        <w:tblStyle w:val="2"/>
        <w:tblW w:w="50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65"/>
        <w:gridCol w:w="1427"/>
        <w:gridCol w:w="1597"/>
        <w:gridCol w:w="168"/>
        <w:gridCol w:w="608"/>
        <w:gridCol w:w="260"/>
        <w:gridCol w:w="726"/>
        <w:gridCol w:w="55"/>
        <w:gridCol w:w="1191"/>
        <w:gridCol w:w="55"/>
        <w:gridCol w:w="889"/>
      </w:tblGrid>
      <w:tr w14:paraId="307B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职业培训机构概况</w:t>
            </w:r>
          </w:p>
        </w:tc>
      </w:tr>
      <w:tr w14:paraId="0AEE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3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F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0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4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5124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D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C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0158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8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30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A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3F51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公办学校代码或民办学校许可证号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颁证机关</w:t>
            </w:r>
          </w:p>
        </w:tc>
        <w:tc>
          <w:tcPr>
            <w:tcW w:w="230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D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2374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开户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7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账号</w:t>
            </w:r>
          </w:p>
        </w:tc>
        <w:tc>
          <w:tcPr>
            <w:tcW w:w="230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E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1AB9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E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9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2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F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03F7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31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培训机构承诺</w:t>
            </w:r>
          </w:p>
        </w:tc>
        <w:tc>
          <w:tcPr>
            <w:tcW w:w="451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3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5B3C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培训机构办学概况及培训工作业绩</w:t>
            </w:r>
          </w:p>
        </w:tc>
        <w:tc>
          <w:tcPr>
            <w:tcW w:w="406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A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6181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7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培训机构促进就业措施</w:t>
            </w:r>
          </w:p>
        </w:tc>
        <w:tc>
          <w:tcPr>
            <w:tcW w:w="406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D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236B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参评项目的主要条件</w:t>
            </w:r>
          </w:p>
        </w:tc>
      </w:tr>
      <w:tr w14:paraId="1C6A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项目 名称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9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230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5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64FC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 w14:paraId="0168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课程</w:t>
            </w:r>
          </w:p>
        </w:tc>
        <w:tc>
          <w:tcPr>
            <w:tcW w:w="406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0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B36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6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 w14:paraId="54CC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课时</w:t>
            </w:r>
          </w:p>
        </w:tc>
        <w:tc>
          <w:tcPr>
            <w:tcW w:w="406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7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2869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3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选用教材名称</w:t>
            </w:r>
          </w:p>
        </w:tc>
        <w:tc>
          <w:tcPr>
            <w:tcW w:w="406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7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46FB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培训机构条件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设施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  <w:p w14:paraId="67C0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间</w:t>
            </w:r>
          </w:p>
        </w:tc>
        <w:tc>
          <w:tcPr>
            <w:tcW w:w="45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实训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D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间</w:t>
            </w:r>
          </w:p>
        </w:tc>
      </w:tr>
      <w:tr w14:paraId="0642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F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C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7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平方</w:t>
            </w:r>
          </w:p>
        </w:tc>
        <w:tc>
          <w:tcPr>
            <w:tcW w:w="45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C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平方</w:t>
            </w:r>
          </w:p>
        </w:tc>
      </w:tr>
      <w:tr w14:paraId="6006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B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8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主要教学实训设备</w:t>
            </w: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2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工位</w:t>
            </w:r>
          </w:p>
        </w:tc>
      </w:tr>
      <w:tr w14:paraId="4AD1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4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8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D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5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C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F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D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58AD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1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9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C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2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8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140D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2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7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3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3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D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8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C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50FF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4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F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A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A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9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5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66FA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B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  <w:p w14:paraId="32BD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配备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1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文化</w:t>
            </w:r>
          </w:p>
          <w:p w14:paraId="67CA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程度</w:t>
            </w:r>
          </w:p>
        </w:tc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职称或职业资格</w:t>
            </w: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专职或兼职</w:t>
            </w:r>
          </w:p>
        </w:tc>
      </w:tr>
      <w:tr w14:paraId="1D8D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E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D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  <w:p w14:paraId="51DB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F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A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F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F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F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7BD0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9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3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6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E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5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F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D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5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7067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2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E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实习</w:t>
            </w:r>
          </w:p>
          <w:p w14:paraId="3629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3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6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2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F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5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6AA5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9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9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E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B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9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0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B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483B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5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0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A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  <w:p w14:paraId="169C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8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2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E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E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270B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0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A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B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6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B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3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2D8F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9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7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E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F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1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C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D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9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2FAA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45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highlight w:val="cyan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培训补贴预算</w:t>
            </w:r>
          </w:p>
        </w:tc>
        <w:tc>
          <w:tcPr>
            <w:tcW w:w="406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E1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1"/>
                <w:szCs w:val="21"/>
                <w:highlight w:val="cyan"/>
                <w:u w:val="none"/>
              </w:rPr>
            </w:pPr>
          </w:p>
        </w:tc>
      </w:tr>
    </w:tbl>
    <w:p w14:paraId="2C6967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5687B"/>
    <w:multiLevelType w:val="singleLevel"/>
    <w:tmpl w:val="9FF568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90924"/>
    <w:rsid w:val="42B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2025-03-03T08:08:00Z</dcterms:created>
  <dc:creator>王记小虾米粥 </dc:creator>
  <cp:lastModifiedBy>王记小虾米粥 </cp:lastModifiedBy>
  <dcterms:modified xsi:type="dcterms:W3CDTF">2025-03-03T08:08:39Z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A68CE299F82F48699EEBB1B4716522D9_11</vt:lpwstr>
  </property>
  <property fmtid="{D5CDD505-2E9C-101B-9397-08002B2CF9AE}" pid="4" name="KSOTemplateDocerSaveRecord">
    <vt:lpwstr>eyJoZGlkIjoiODRjMTQ5YmQzZWZjMWEyMWIyYTBkYTczNzdmOWM4NWEiLCJ1c2VySWQiOiI3NTkwMjE0MjkifQ==</vt:lpwstr>
  </property>
</Properties>
</file>