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381E">
      <w:pPr>
        <w:spacing w:line="360" w:lineRule="auto"/>
        <w:jc w:val="both"/>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附件3</w:t>
      </w:r>
    </w:p>
    <w:p w14:paraId="0472E056">
      <w:pPr>
        <w:spacing w:line="360" w:lineRule="auto"/>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绵竹市城市基础设施管理所</w:t>
      </w:r>
    </w:p>
    <w:p w14:paraId="4A09F5D4">
      <w:pPr>
        <w:spacing w:line="360" w:lineRule="auto"/>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2025年城区道路交通标识、标牌安装维修工程</w:t>
      </w:r>
    </w:p>
    <w:p w14:paraId="5FC282D6">
      <w:pPr>
        <w:spacing w:line="360" w:lineRule="auto"/>
        <w:jc w:val="center"/>
        <w:rPr>
          <w:rFonts w:hint="default" w:ascii="仿宋" w:hAnsi="仿宋" w:eastAsia="仿宋" w:cs="仿宋"/>
          <w:b/>
          <w:bCs/>
          <w:sz w:val="40"/>
          <w:szCs w:val="40"/>
          <w:lang w:val="en-US" w:eastAsia="zh-CN"/>
        </w:rPr>
      </w:pPr>
      <w:r>
        <w:rPr>
          <w:rFonts w:hint="eastAsia" w:ascii="仿宋" w:hAnsi="仿宋" w:eastAsia="仿宋" w:cs="仿宋"/>
          <w:b/>
          <w:bCs/>
          <w:sz w:val="40"/>
          <w:szCs w:val="40"/>
          <w:lang w:val="en-US" w:eastAsia="zh-CN"/>
        </w:rPr>
        <w:t>施工合同</w:t>
      </w:r>
    </w:p>
    <w:p w14:paraId="4A2B7E0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甲方（发包方）</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绵竹市城市基础设施管理所</w:t>
      </w:r>
    </w:p>
    <w:p w14:paraId="46610EF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sz w:val="30"/>
          <w:szCs w:val="30"/>
          <w:lang w:val="en-US" w:eastAsia="zh-CN"/>
        </w:rPr>
        <w:t>乙方（承包方）：</w:t>
      </w:r>
    </w:p>
    <w:p w14:paraId="1905FFF0">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为确保城市道路标识、标牌完整，</w:t>
      </w:r>
      <w:r>
        <w:rPr>
          <w:rFonts w:hint="eastAsia" w:ascii="仿宋" w:hAnsi="仿宋" w:eastAsia="仿宋" w:cs="仿宋"/>
          <w:sz w:val="30"/>
          <w:szCs w:val="30"/>
          <w:lang w:val="en-US" w:eastAsia="zh-CN"/>
        </w:rPr>
        <w:t>交通有序、安全，创造良好的交通环境。现对城区内破损、模糊不清等问题的标识、标牌进行维修更换并适当增设。为保障工程的质量、规范、安全，在平等、自愿、公平和诚信的原则下，经甲乙双方协商，就</w:t>
      </w:r>
      <w:r>
        <w:rPr>
          <w:rFonts w:hint="eastAsia" w:ascii="仿宋" w:hAnsi="仿宋" w:eastAsia="仿宋" w:cs="仿宋"/>
          <w:sz w:val="28"/>
          <w:szCs w:val="28"/>
          <w:lang w:eastAsia="zh-CN"/>
        </w:rPr>
        <w:t>2025年城区道路交通标识、标牌安装维修工程</w:t>
      </w:r>
      <w:r>
        <w:rPr>
          <w:rFonts w:hint="eastAsia" w:ascii="仿宋" w:hAnsi="仿宋" w:eastAsia="仿宋" w:cs="仿宋"/>
          <w:sz w:val="30"/>
          <w:szCs w:val="30"/>
          <w:lang w:val="en-US" w:eastAsia="zh-CN"/>
        </w:rPr>
        <w:t>施工签订本合同，希双方共同遵守。</w:t>
      </w:r>
    </w:p>
    <w:p w14:paraId="6DEC9E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一、项目概况</w:t>
      </w:r>
    </w:p>
    <w:p w14:paraId="639340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1.项目名称：</w:t>
      </w:r>
      <w:r>
        <w:rPr>
          <w:rFonts w:hint="eastAsia" w:ascii="仿宋" w:hAnsi="仿宋" w:eastAsia="仿宋" w:cs="仿宋"/>
          <w:sz w:val="28"/>
          <w:szCs w:val="28"/>
          <w:lang w:eastAsia="zh-CN"/>
        </w:rPr>
        <w:t>2025年城区道路交通标识、标牌安装维修工程</w:t>
      </w:r>
    </w:p>
    <w:p w14:paraId="1D2BB8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2.项目地点：甲方指定地点。</w:t>
      </w:r>
    </w:p>
    <w:p w14:paraId="70FC31B2">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3.施工内容：</w:t>
      </w:r>
    </w:p>
    <w:p w14:paraId="7FF3580E">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28"/>
          <w:szCs w:val="28"/>
          <w:lang w:eastAsia="zh-CN"/>
        </w:rPr>
      </w:pPr>
      <w:r>
        <w:rPr>
          <w:rFonts w:hint="eastAsia" w:ascii="仿宋" w:hAnsi="仿宋" w:eastAsia="仿宋" w:cs="仿宋"/>
          <w:b w:val="0"/>
          <w:bCs/>
          <w:sz w:val="30"/>
          <w:szCs w:val="30"/>
          <w:lang w:val="en-US" w:eastAsia="zh-CN"/>
        </w:rPr>
        <w:t>（1）对甲方指定区域、</w:t>
      </w:r>
      <w:r>
        <w:rPr>
          <w:rFonts w:hint="eastAsia" w:ascii="仿宋" w:hAnsi="仿宋" w:eastAsia="仿宋" w:cs="仿宋"/>
          <w:sz w:val="28"/>
          <w:szCs w:val="28"/>
        </w:rPr>
        <w:t>指定地点的道路交通</w:t>
      </w:r>
      <w:r>
        <w:rPr>
          <w:rFonts w:hint="eastAsia" w:ascii="仿宋" w:hAnsi="仿宋" w:eastAsia="仿宋" w:cs="仿宋"/>
          <w:sz w:val="28"/>
          <w:szCs w:val="28"/>
          <w:lang w:val="en-US" w:eastAsia="zh-CN"/>
        </w:rPr>
        <w:t>标识、</w:t>
      </w:r>
      <w:r>
        <w:rPr>
          <w:rFonts w:hint="eastAsia" w:ascii="仿宋" w:hAnsi="仿宋" w:eastAsia="仿宋" w:cs="仿宋"/>
          <w:sz w:val="28"/>
          <w:szCs w:val="28"/>
        </w:rPr>
        <w:t>标牌进行维修</w:t>
      </w:r>
      <w:r>
        <w:rPr>
          <w:rFonts w:hint="eastAsia" w:ascii="仿宋" w:hAnsi="仿宋" w:eastAsia="仿宋" w:cs="仿宋"/>
          <w:sz w:val="28"/>
          <w:szCs w:val="28"/>
          <w:lang w:eastAsia="zh-CN"/>
        </w:rPr>
        <w:t>、</w:t>
      </w:r>
      <w:r>
        <w:rPr>
          <w:rFonts w:hint="eastAsia" w:ascii="仿宋" w:hAnsi="仿宋" w:eastAsia="仿宋" w:cs="仿宋"/>
          <w:sz w:val="28"/>
          <w:szCs w:val="28"/>
        </w:rPr>
        <w:t>更换</w:t>
      </w:r>
      <w:r>
        <w:rPr>
          <w:rFonts w:hint="eastAsia" w:ascii="仿宋" w:hAnsi="仿宋" w:eastAsia="仿宋" w:cs="仿宋"/>
          <w:sz w:val="28"/>
          <w:szCs w:val="28"/>
          <w:lang w:eastAsia="zh-CN"/>
        </w:rPr>
        <w:t>；</w:t>
      </w:r>
    </w:p>
    <w:p w14:paraId="3D52FB52">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道路交通</w:t>
      </w:r>
      <w:r>
        <w:rPr>
          <w:rFonts w:hint="eastAsia" w:ascii="仿宋" w:hAnsi="仿宋" w:eastAsia="仿宋" w:cs="仿宋"/>
          <w:sz w:val="28"/>
          <w:szCs w:val="28"/>
          <w:lang w:val="en-US" w:eastAsia="zh-CN"/>
        </w:rPr>
        <w:t>标识、</w:t>
      </w:r>
      <w:r>
        <w:rPr>
          <w:rFonts w:hint="eastAsia" w:ascii="仿宋" w:hAnsi="仿宋" w:eastAsia="仿宋" w:cs="仿宋"/>
          <w:sz w:val="28"/>
          <w:szCs w:val="28"/>
        </w:rPr>
        <w:t>标牌</w:t>
      </w:r>
      <w:r>
        <w:rPr>
          <w:rFonts w:hint="eastAsia" w:ascii="仿宋" w:hAnsi="仿宋" w:eastAsia="仿宋" w:cs="仿宋"/>
          <w:sz w:val="28"/>
          <w:szCs w:val="28"/>
          <w:lang w:val="en-US" w:eastAsia="zh-CN"/>
        </w:rPr>
        <w:t>新增</w:t>
      </w:r>
      <w:r>
        <w:rPr>
          <w:rFonts w:hint="eastAsia" w:ascii="仿宋" w:hAnsi="仿宋" w:eastAsia="仿宋" w:cs="仿宋"/>
          <w:sz w:val="28"/>
          <w:szCs w:val="28"/>
        </w:rPr>
        <w:t>工作</w:t>
      </w:r>
      <w:r>
        <w:rPr>
          <w:rFonts w:hint="eastAsia" w:ascii="仿宋" w:hAnsi="仿宋" w:eastAsia="仿宋" w:cs="仿宋"/>
          <w:sz w:val="28"/>
          <w:szCs w:val="28"/>
          <w:lang w:eastAsia="zh-CN"/>
        </w:rPr>
        <w:t>；</w:t>
      </w:r>
    </w:p>
    <w:p w14:paraId="5A87ABD0">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3）甲方指定的其他相关工作</w:t>
      </w:r>
      <w:r>
        <w:rPr>
          <w:rFonts w:hint="eastAsia" w:ascii="仿宋" w:hAnsi="仿宋" w:eastAsia="仿宋" w:cs="仿宋"/>
          <w:b w:val="0"/>
          <w:bCs/>
          <w:sz w:val="30"/>
          <w:szCs w:val="30"/>
          <w:lang w:val="en-US" w:eastAsia="zh-CN"/>
        </w:rPr>
        <w:t>。</w:t>
      </w:r>
    </w:p>
    <w:p w14:paraId="0D5FDD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28"/>
          <w:szCs w:val="28"/>
          <w:lang w:eastAsia="zh-CN"/>
        </w:rPr>
      </w:pPr>
      <w:r>
        <w:rPr>
          <w:rFonts w:hint="eastAsia" w:ascii="仿宋" w:hAnsi="仿宋" w:eastAsia="仿宋" w:cs="仿宋"/>
          <w:b w:val="0"/>
          <w:bCs/>
          <w:sz w:val="30"/>
          <w:szCs w:val="30"/>
          <w:lang w:val="en-US" w:eastAsia="zh-CN"/>
        </w:rPr>
        <w:t>4.</w:t>
      </w:r>
      <w:r>
        <w:rPr>
          <w:rFonts w:hint="eastAsia" w:ascii="仿宋" w:hAnsi="仿宋" w:eastAsia="仿宋" w:cs="仿宋"/>
          <w:sz w:val="28"/>
          <w:szCs w:val="28"/>
          <w:lang w:val="en-US" w:eastAsia="zh-CN"/>
        </w:rPr>
        <w:t>合同期限</w:t>
      </w:r>
      <w:r>
        <w:rPr>
          <w:rFonts w:hint="eastAsia" w:ascii="仿宋" w:hAnsi="仿宋" w:eastAsia="仿宋" w:cs="仿宋"/>
          <w:sz w:val="28"/>
          <w:szCs w:val="28"/>
          <w:lang w:eastAsia="zh-CN"/>
        </w:rPr>
        <w:t>：</w:t>
      </w:r>
    </w:p>
    <w:p w14:paraId="78CB5C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sz w:val="28"/>
          <w:szCs w:val="28"/>
          <w:lang w:val="en-US" w:eastAsia="zh-CN"/>
        </w:rPr>
        <w:t>本合同从签订之日即2025年月日起至2026年月日止，合同限定时间一年，或乙方工程结算总费用超过25万元。</w:t>
      </w:r>
    </w:p>
    <w:p w14:paraId="528BAE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5.合同总价：本项目合同总价为25万元。</w:t>
      </w:r>
    </w:p>
    <w:p w14:paraId="2FC388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6.分部分项单价表：</w:t>
      </w:r>
    </w:p>
    <w:p w14:paraId="7A68CF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2025年城区道路交通标识、标牌安装维修工程</w:t>
      </w:r>
      <w:r>
        <w:rPr>
          <w:rFonts w:hint="eastAsia" w:ascii="仿宋" w:hAnsi="仿宋" w:eastAsia="仿宋" w:cs="仿宋"/>
          <w:sz w:val="28"/>
          <w:szCs w:val="28"/>
          <w:lang w:val="en-US" w:eastAsia="zh-CN"/>
        </w:rPr>
        <w:t>分部分项单价表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440"/>
        <w:gridCol w:w="2528"/>
        <w:gridCol w:w="1473"/>
      </w:tblGrid>
      <w:tr w14:paraId="0E63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14:paraId="5F77D1F4">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分部分</w:t>
            </w:r>
          </w:p>
          <w:p w14:paraId="60C1CA4E">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项名称</w:t>
            </w:r>
          </w:p>
        </w:tc>
        <w:tc>
          <w:tcPr>
            <w:tcW w:w="1724" w:type="pct"/>
            <w:vAlign w:val="center"/>
          </w:tcPr>
          <w:p w14:paraId="435C9934">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项目内容</w:t>
            </w:r>
          </w:p>
        </w:tc>
        <w:tc>
          <w:tcPr>
            <w:tcW w:w="1267" w:type="pct"/>
            <w:vAlign w:val="center"/>
          </w:tcPr>
          <w:p w14:paraId="2D6FFBE9">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规格尺寸</w:t>
            </w:r>
          </w:p>
          <w:p w14:paraId="3CF82431">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（mm）</w:t>
            </w:r>
          </w:p>
        </w:tc>
        <w:tc>
          <w:tcPr>
            <w:tcW w:w="738" w:type="pct"/>
            <w:vAlign w:val="center"/>
          </w:tcPr>
          <w:p w14:paraId="385E4439">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招标控制</w:t>
            </w:r>
          </w:p>
          <w:p w14:paraId="477C548D">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单价（元）</w:t>
            </w:r>
          </w:p>
        </w:tc>
      </w:tr>
      <w:tr w14:paraId="3B41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restart"/>
            <w:vAlign w:val="center"/>
          </w:tcPr>
          <w:p w14:paraId="3AADA691">
            <w:pPr>
              <w:bidi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挖填</w:t>
            </w:r>
          </w:p>
          <w:p w14:paraId="61BA441B">
            <w:pPr>
              <w:bidi w:val="0"/>
              <w:jc w:val="center"/>
              <w:rPr>
                <w:rFonts w:hint="default"/>
                <w:lang w:val="en-US" w:eastAsia="zh-CN"/>
              </w:rPr>
            </w:pPr>
            <w:r>
              <w:rPr>
                <w:rFonts w:hint="eastAsia" w:ascii="仿宋" w:hAnsi="仿宋" w:eastAsia="仿宋" w:cs="仿宋"/>
                <w:sz w:val="22"/>
                <w:szCs w:val="22"/>
                <w:lang w:val="en-US" w:eastAsia="zh-CN"/>
              </w:rPr>
              <w:t>基坑</w:t>
            </w:r>
          </w:p>
        </w:tc>
        <w:tc>
          <w:tcPr>
            <w:tcW w:w="1724" w:type="pct"/>
            <w:vMerge w:val="restart"/>
            <w:vAlign w:val="center"/>
          </w:tcPr>
          <w:p w14:paraId="3C3AE2C2">
            <w:pPr>
              <w:spacing w:line="640" w:lineRule="exact"/>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土方开挖、回填及余土外运</w:t>
            </w:r>
          </w:p>
        </w:tc>
        <w:tc>
          <w:tcPr>
            <w:tcW w:w="1267" w:type="pct"/>
            <w:vAlign w:val="center"/>
          </w:tcPr>
          <w:p w14:paraId="67F44F73">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600*600*600</w:t>
            </w:r>
          </w:p>
        </w:tc>
        <w:tc>
          <w:tcPr>
            <w:tcW w:w="738" w:type="pct"/>
            <w:vAlign w:val="center"/>
          </w:tcPr>
          <w:p w14:paraId="0CA372AF">
            <w:pPr>
              <w:spacing w:line="640" w:lineRule="exact"/>
              <w:jc w:val="center"/>
              <w:rPr>
                <w:rFonts w:hint="default" w:ascii="仿宋" w:hAnsi="仿宋" w:eastAsia="仿宋" w:cs="仿宋"/>
                <w:sz w:val="22"/>
                <w:szCs w:val="22"/>
                <w:vertAlign w:val="baseline"/>
                <w:lang w:val="en-US" w:eastAsia="zh-CN"/>
              </w:rPr>
            </w:pPr>
          </w:p>
        </w:tc>
      </w:tr>
      <w:tr w14:paraId="1566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15D4569F">
            <w:pPr>
              <w:spacing w:line="640" w:lineRule="exact"/>
              <w:jc w:val="center"/>
              <w:rPr>
                <w:rFonts w:hint="eastAsia" w:ascii="仿宋" w:hAnsi="仿宋" w:eastAsia="仿宋" w:cs="仿宋"/>
                <w:sz w:val="22"/>
                <w:szCs w:val="22"/>
                <w:vertAlign w:val="baseline"/>
                <w:lang w:val="en-US" w:eastAsia="zh-CN"/>
              </w:rPr>
            </w:pPr>
          </w:p>
        </w:tc>
        <w:tc>
          <w:tcPr>
            <w:tcW w:w="1724" w:type="pct"/>
            <w:vMerge w:val="continue"/>
            <w:vAlign w:val="center"/>
          </w:tcPr>
          <w:p w14:paraId="4D6D3AC4">
            <w:pPr>
              <w:spacing w:line="640" w:lineRule="exact"/>
              <w:jc w:val="center"/>
              <w:rPr>
                <w:rFonts w:hint="eastAsia" w:ascii="仿宋" w:hAnsi="仿宋" w:eastAsia="仿宋" w:cs="仿宋"/>
                <w:sz w:val="22"/>
                <w:szCs w:val="22"/>
                <w:vertAlign w:val="baseline"/>
                <w:lang w:val="en-US" w:eastAsia="zh-CN"/>
              </w:rPr>
            </w:pPr>
          </w:p>
        </w:tc>
        <w:tc>
          <w:tcPr>
            <w:tcW w:w="1267" w:type="pct"/>
            <w:vAlign w:val="center"/>
          </w:tcPr>
          <w:p w14:paraId="5E541717">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1000*1000*1200</w:t>
            </w:r>
          </w:p>
        </w:tc>
        <w:tc>
          <w:tcPr>
            <w:tcW w:w="738" w:type="pct"/>
            <w:vAlign w:val="center"/>
          </w:tcPr>
          <w:p w14:paraId="3427C8A3">
            <w:pPr>
              <w:spacing w:line="640" w:lineRule="exact"/>
              <w:jc w:val="center"/>
              <w:rPr>
                <w:rFonts w:hint="default" w:ascii="仿宋" w:hAnsi="仿宋" w:eastAsia="仿宋" w:cs="仿宋"/>
                <w:sz w:val="22"/>
                <w:szCs w:val="22"/>
                <w:vertAlign w:val="baseline"/>
                <w:lang w:val="en-US" w:eastAsia="zh-CN"/>
              </w:rPr>
            </w:pPr>
          </w:p>
        </w:tc>
      </w:tr>
      <w:tr w14:paraId="5821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0CAD8BC7">
            <w:pPr>
              <w:spacing w:line="640" w:lineRule="exact"/>
              <w:jc w:val="center"/>
              <w:rPr>
                <w:rFonts w:hint="eastAsia" w:ascii="仿宋" w:hAnsi="仿宋" w:eastAsia="仿宋" w:cs="仿宋"/>
                <w:sz w:val="22"/>
                <w:szCs w:val="22"/>
                <w:vertAlign w:val="baseline"/>
                <w:lang w:val="en-US" w:eastAsia="zh-CN"/>
              </w:rPr>
            </w:pPr>
          </w:p>
        </w:tc>
        <w:tc>
          <w:tcPr>
            <w:tcW w:w="1724" w:type="pct"/>
            <w:vMerge w:val="continue"/>
            <w:vAlign w:val="center"/>
          </w:tcPr>
          <w:p w14:paraId="00B3C8CF">
            <w:pPr>
              <w:spacing w:line="640" w:lineRule="exact"/>
              <w:jc w:val="center"/>
              <w:rPr>
                <w:rFonts w:hint="eastAsia" w:ascii="仿宋" w:hAnsi="仿宋" w:eastAsia="仿宋" w:cs="仿宋"/>
                <w:sz w:val="22"/>
                <w:szCs w:val="22"/>
                <w:vertAlign w:val="baseline"/>
                <w:lang w:val="en-US" w:eastAsia="zh-CN"/>
              </w:rPr>
            </w:pPr>
          </w:p>
        </w:tc>
        <w:tc>
          <w:tcPr>
            <w:tcW w:w="1267" w:type="pct"/>
            <w:vAlign w:val="center"/>
          </w:tcPr>
          <w:p w14:paraId="7C839DBD">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2500*2500*2500</w:t>
            </w:r>
          </w:p>
        </w:tc>
        <w:tc>
          <w:tcPr>
            <w:tcW w:w="738" w:type="pct"/>
            <w:vAlign w:val="center"/>
          </w:tcPr>
          <w:p w14:paraId="35829102">
            <w:pPr>
              <w:spacing w:line="640" w:lineRule="exact"/>
              <w:jc w:val="center"/>
              <w:rPr>
                <w:rFonts w:hint="default" w:ascii="仿宋" w:hAnsi="仿宋" w:eastAsia="仿宋" w:cs="仿宋"/>
                <w:sz w:val="22"/>
                <w:szCs w:val="22"/>
                <w:vertAlign w:val="baseline"/>
                <w:lang w:val="en-US" w:eastAsia="zh-CN"/>
              </w:rPr>
            </w:pPr>
          </w:p>
        </w:tc>
      </w:tr>
      <w:tr w14:paraId="791D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restart"/>
            <w:vAlign w:val="center"/>
          </w:tcPr>
          <w:p w14:paraId="275C6DC5">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混凝土基础浇筑</w:t>
            </w:r>
          </w:p>
        </w:tc>
        <w:tc>
          <w:tcPr>
            <w:tcW w:w="1724" w:type="pct"/>
            <w:vMerge w:val="restart"/>
            <w:vAlign w:val="center"/>
          </w:tcPr>
          <w:p w14:paraId="0B56FB57">
            <w:pPr>
              <w:numPr>
                <w:ilvl w:val="0"/>
                <w:numId w:val="0"/>
              </w:num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1.混凝土强度等级:C25商品混凝土</w:t>
            </w:r>
          </w:p>
          <w:p w14:paraId="5C495A7D">
            <w:pPr>
              <w:numPr>
                <w:ilvl w:val="0"/>
                <w:numId w:val="0"/>
              </w:num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2.混凝土模板安装、拆除</w:t>
            </w:r>
          </w:p>
          <w:p w14:paraId="0148386D">
            <w:pPr>
              <w:numPr>
                <w:ilvl w:val="0"/>
                <w:numId w:val="0"/>
              </w:num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3.钢筋预制安装</w:t>
            </w:r>
          </w:p>
        </w:tc>
        <w:tc>
          <w:tcPr>
            <w:tcW w:w="1267" w:type="pct"/>
            <w:vAlign w:val="center"/>
          </w:tcPr>
          <w:p w14:paraId="22241309">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600*600*600</w:t>
            </w:r>
          </w:p>
        </w:tc>
        <w:tc>
          <w:tcPr>
            <w:tcW w:w="738" w:type="pct"/>
            <w:vAlign w:val="center"/>
          </w:tcPr>
          <w:p w14:paraId="517FA4B4">
            <w:pPr>
              <w:spacing w:line="640" w:lineRule="exact"/>
              <w:jc w:val="center"/>
              <w:rPr>
                <w:rFonts w:hint="default" w:ascii="仿宋" w:hAnsi="仿宋" w:eastAsia="仿宋" w:cs="仿宋"/>
                <w:sz w:val="22"/>
                <w:szCs w:val="22"/>
                <w:vertAlign w:val="baseline"/>
                <w:lang w:val="en-US" w:eastAsia="zh-CN"/>
              </w:rPr>
            </w:pPr>
          </w:p>
        </w:tc>
      </w:tr>
      <w:tr w14:paraId="7CDD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4C7D24BC">
            <w:pPr>
              <w:spacing w:line="640" w:lineRule="exact"/>
              <w:jc w:val="center"/>
              <w:rPr>
                <w:rFonts w:hint="eastAsia" w:ascii="仿宋" w:hAnsi="仿宋" w:eastAsia="仿宋" w:cs="仿宋"/>
                <w:sz w:val="22"/>
                <w:szCs w:val="22"/>
                <w:vertAlign w:val="baseline"/>
                <w:lang w:val="en-US" w:eastAsia="zh-CN"/>
              </w:rPr>
            </w:pPr>
          </w:p>
        </w:tc>
        <w:tc>
          <w:tcPr>
            <w:tcW w:w="1724" w:type="pct"/>
            <w:vMerge w:val="continue"/>
            <w:vAlign w:val="center"/>
          </w:tcPr>
          <w:p w14:paraId="768FAB18">
            <w:pPr>
              <w:spacing w:line="640" w:lineRule="exact"/>
              <w:jc w:val="center"/>
              <w:rPr>
                <w:rFonts w:hint="eastAsia" w:ascii="仿宋" w:hAnsi="仿宋" w:eastAsia="仿宋" w:cs="仿宋"/>
                <w:sz w:val="22"/>
                <w:szCs w:val="22"/>
                <w:vertAlign w:val="baseline"/>
                <w:lang w:val="en-US" w:eastAsia="zh-CN"/>
              </w:rPr>
            </w:pPr>
          </w:p>
        </w:tc>
        <w:tc>
          <w:tcPr>
            <w:tcW w:w="1267" w:type="pct"/>
            <w:vAlign w:val="center"/>
          </w:tcPr>
          <w:p w14:paraId="25AC0E9E">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000*1000*1200</w:t>
            </w:r>
          </w:p>
        </w:tc>
        <w:tc>
          <w:tcPr>
            <w:tcW w:w="738" w:type="pct"/>
            <w:vAlign w:val="center"/>
          </w:tcPr>
          <w:p w14:paraId="79F7267A">
            <w:pPr>
              <w:spacing w:line="640" w:lineRule="exact"/>
              <w:jc w:val="center"/>
              <w:rPr>
                <w:rFonts w:hint="default" w:ascii="仿宋" w:hAnsi="仿宋" w:eastAsia="仿宋" w:cs="仿宋"/>
                <w:sz w:val="22"/>
                <w:szCs w:val="22"/>
                <w:vertAlign w:val="baseline"/>
                <w:lang w:val="en-US" w:eastAsia="zh-CN"/>
              </w:rPr>
            </w:pPr>
          </w:p>
        </w:tc>
      </w:tr>
      <w:tr w14:paraId="2968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1731F9A0">
            <w:pPr>
              <w:spacing w:line="640" w:lineRule="exact"/>
              <w:jc w:val="center"/>
              <w:rPr>
                <w:rFonts w:hint="eastAsia" w:ascii="仿宋" w:hAnsi="仿宋" w:eastAsia="仿宋" w:cs="仿宋"/>
                <w:sz w:val="22"/>
                <w:szCs w:val="22"/>
                <w:vertAlign w:val="baseline"/>
                <w:lang w:val="en-US" w:eastAsia="zh-CN"/>
              </w:rPr>
            </w:pPr>
          </w:p>
        </w:tc>
        <w:tc>
          <w:tcPr>
            <w:tcW w:w="1724" w:type="pct"/>
            <w:vMerge w:val="continue"/>
            <w:vAlign w:val="center"/>
          </w:tcPr>
          <w:p w14:paraId="2C10E0B5">
            <w:pPr>
              <w:spacing w:line="640" w:lineRule="exact"/>
              <w:jc w:val="center"/>
              <w:rPr>
                <w:rFonts w:hint="eastAsia" w:ascii="仿宋" w:hAnsi="仿宋" w:eastAsia="仿宋" w:cs="仿宋"/>
                <w:sz w:val="22"/>
                <w:szCs w:val="22"/>
                <w:vertAlign w:val="baseline"/>
                <w:lang w:val="en-US" w:eastAsia="zh-CN"/>
              </w:rPr>
            </w:pPr>
          </w:p>
        </w:tc>
        <w:tc>
          <w:tcPr>
            <w:tcW w:w="1267" w:type="pct"/>
            <w:vAlign w:val="center"/>
          </w:tcPr>
          <w:p w14:paraId="52460BBC">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2500*2500*2500</w:t>
            </w:r>
          </w:p>
        </w:tc>
        <w:tc>
          <w:tcPr>
            <w:tcW w:w="738" w:type="pct"/>
            <w:vAlign w:val="center"/>
          </w:tcPr>
          <w:p w14:paraId="1DAA4ACA">
            <w:pPr>
              <w:spacing w:line="640" w:lineRule="exact"/>
              <w:jc w:val="center"/>
              <w:rPr>
                <w:rFonts w:hint="default" w:ascii="仿宋" w:hAnsi="仿宋" w:eastAsia="仿宋" w:cs="仿宋"/>
                <w:sz w:val="22"/>
                <w:szCs w:val="22"/>
                <w:vertAlign w:val="baseline"/>
                <w:lang w:val="en-US" w:eastAsia="zh-CN"/>
              </w:rPr>
            </w:pPr>
          </w:p>
        </w:tc>
      </w:tr>
      <w:tr w14:paraId="7736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restart"/>
            <w:vAlign w:val="center"/>
          </w:tcPr>
          <w:p w14:paraId="6E4A5F00">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单柱式标杆</w:t>
            </w:r>
          </w:p>
        </w:tc>
        <w:tc>
          <w:tcPr>
            <w:tcW w:w="1724" w:type="pct"/>
            <w:vMerge w:val="restart"/>
            <w:vAlign w:val="center"/>
          </w:tcPr>
          <w:p w14:paraId="5C64B696">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单柱标志杆（热浸镀锌无缝钢管）</w:t>
            </w:r>
          </w:p>
        </w:tc>
        <w:tc>
          <w:tcPr>
            <w:tcW w:w="1267" w:type="pct"/>
            <w:vAlign w:val="center"/>
          </w:tcPr>
          <w:p w14:paraId="4307F1E9">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Φ89X6.0X2550</w:t>
            </w:r>
          </w:p>
        </w:tc>
        <w:tc>
          <w:tcPr>
            <w:tcW w:w="738" w:type="pct"/>
            <w:vAlign w:val="center"/>
          </w:tcPr>
          <w:p w14:paraId="4D296ECD">
            <w:pPr>
              <w:spacing w:line="640" w:lineRule="exact"/>
              <w:jc w:val="center"/>
              <w:rPr>
                <w:rFonts w:hint="default" w:ascii="仿宋" w:hAnsi="仿宋" w:eastAsia="仿宋" w:cs="仿宋"/>
                <w:sz w:val="22"/>
                <w:szCs w:val="22"/>
                <w:vertAlign w:val="baseline"/>
                <w:lang w:val="en-US" w:eastAsia="zh-CN"/>
              </w:rPr>
            </w:pPr>
          </w:p>
        </w:tc>
      </w:tr>
      <w:tr w14:paraId="66B7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65C2098E">
            <w:pPr>
              <w:spacing w:line="640" w:lineRule="exact"/>
              <w:jc w:val="center"/>
              <w:rPr>
                <w:rFonts w:hint="eastAsia" w:ascii="仿宋" w:hAnsi="仿宋" w:eastAsia="仿宋" w:cs="仿宋"/>
                <w:sz w:val="22"/>
                <w:szCs w:val="22"/>
                <w:vertAlign w:val="baseline"/>
                <w:lang w:val="en-US" w:eastAsia="zh-CN"/>
              </w:rPr>
            </w:pPr>
          </w:p>
        </w:tc>
        <w:tc>
          <w:tcPr>
            <w:tcW w:w="1724" w:type="pct"/>
            <w:vMerge w:val="continue"/>
            <w:vAlign w:val="center"/>
          </w:tcPr>
          <w:p w14:paraId="48A93E26">
            <w:pPr>
              <w:spacing w:line="640" w:lineRule="exact"/>
              <w:jc w:val="center"/>
              <w:rPr>
                <w:rFonts w:hint="eastAsia" w:ascii="仿宋" w:hAnsi="仿宋" w:eastAsia="仿宋" w:cs="仿宋"/>
                <w:sz w:val="22"/>
                <w:szCs w:val="22"/>
                <w:vertAlign w:val="baseline"/>
                <w:lang w:val="en-US" w:eastAsia="zh-CN"/>
              </w:rPr>
            </w:pPr>
          </w:p>
        </w:tc>
        <w:tc>
          <w:tcPr>
            <w:tcW w:w="1267" w:type="pct"/>
            <w:vAlign w:val="center"/>
          </w:tcPr>
          <w:p w14:paraId="152CBBCC">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Φ89X4.0X2950</w:t>
            </w:r>
          </w:p>
        </w:tc>
        <w:tc>
          <w:tcPr>
            <w:tcW w:w="738" w:type="pct"/>
            <w:vAlign w:val="center"/>
          </w:tcPr>
          <w:p w14:paraId="61762891">
            <w:pPr>
              <w:spacing w:line="640" w:lineRule="exact"/>
              <w:jc w:val="center"/>
              <w:rPr>
                <w:rFonts w:hint="default" w:ascii="仿宋" w:hAnsi="仿宋" w:eastAsia="仿宋" w:cs="仿宋"/>
                <w:sz w:val="22"/>
                <w:szCs w:val="22"/>
                <w:vertAlign w:val="baseline"/>
                <w:lang w:val="en-US" w:eastAsia="zh-CN"/>
              </w:rPr>
            </w:pPr>
          </w:p>
        </w:tc>
      </w:tr>
      <w:tr w14:paraId="0BAB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restart"/>
            <w:vAlign w:val="center"/>
          </w:tcPr>
          <w:p w14:paraId="6E18779F">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悬臂式三F杆</w:t>
            </w:r>
          </w:p>
        </w:tc>
        <w:tc>
          <w:tcPr>
            <w:tcW w:w="1724" w:type="pct"/>
            <w:vMerge w:val="restart"/>
            <w:vAlign w:val="center"/>
          </w:tcPr>
          <w:p w14:paraId="2BC3F90F">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F杆标志杆（热浸镀锌无缝钢管）</w:t>
            </w:r>
          </w:p>
        </w:tc>
        <w:tc>
          <w:tcPr>
            <w:tcW w:w="1267" w:type="pct"/>
            <w:vAlign w:val="center"/>
          </w:tcPr>
          <w:p w14:paraId="25BDE25B">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Φ377*17*8200+F横杆Φ168*11*5322*3根+Φ168*11*757*3根</w:t>
            </w:r>
          </w:p>
        </w:tc>
        <w:tc>
          <w:tcPr>
            <w:tcW w:w="738" w:type="pct"/>
            <w:vAlign w:val="center"/>
          </w:tcPr>
          <w:p w14:paraId="4EBA8F05">
            <w:pPr>
              <w:spacing w:line="640" w:lineRule="exact"/>
              <w:jc w:val="center"/>
              <w:rPr>
                <w:rFonts w:hint="default" w:ascii="仿宋" w:hAnsi="仿宋" w:eastAsia="仿宋" w:cs="仿宋"/>
                <w:sz w:val="22"/>
                <w:szCs w:val="22"/>
                <w:vertAlign w:val="baseline"/>
                <w:lang w:val="en-US" w:eastAsia="zh-CN"/>
              </w:rPr>
            </w:pPr>
          </w:p>
        </w:tc>
      </w:tr>
      <w:tr w14:paraId="6C19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14549AEB">
            <w:pPr>
              <w:spacing w:line="240" w:lineRule="auto"/>
              <w:jc w:val="center"/>
              <w:rPr>
                <w:rFonts w:hint="eastAsia" w:ascii="仿宋" w:hAnsi="仿宋" w:eastAsia="仿宋" w:cs="仿宋"/>
                <w:sz w:val="22"/>
                <w:szCs w:val="22"/>
                <w:vertAlign w:val="baseline"/>
                <w:lang w:val="en-US" w:eastAsia="zh-CN"/>
              </w:rPr>
            </w:pPr>
          </w:p>
        </w:tc>
        <w:tc>
          <w:tcPr>
            <w:tcW w:w="1724" w:type="pct"/>
            <w:vMerge w:val="continue"/>
            <w:vAlign w:val="center"/>
          </w:tcPr>
          <w:p w14:paraId="779A014A">
            <w:pPr>
              <w:spacing w:line="240" w:lineRule="auto"/>
              <w:jc w:val="center"/>
              <w:rPr>
                <w:rFonts w:hint="eastAsia" w:ascii="仿宋" w:hAnsi="仿宋" w:eastAsia="仿宋" w:cs="仿宋"/>
                <w:sz w:val="22"/>
                <w:szCs w:val="22"/>
                <w:vertAlign w:val="baseline"/>
                <w:lang w:val="en-US" w:eastAsia="zh-CN"/>
              </w:rPr>
            </w:pPr>
          </w:p>
        </w:tc>
        <w:tc>
          <w:tcPr>
            <w:tcW w:w="1267" w:type="pct"/>
            <w:vAlign w:val="center"/>
          </w:tcPr>
          <w:p w14:paraId="2C11C192">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Φ377*17*8200+F横杆Φ168*11*3322*3根+Φ168*11*757*3根</w:t>
            </w:r>
          </w:p>
        </w:tc>
        <w:tc>
          <w:tcPr>
            <w:tcW w:w="738" w:type="pct"/>
            <w:vAlign w:val="center"/>
          </w:tcPr>
          <w:p w14:paraId="287EE7EF">
            <w:pPr>
              <w:spacing w:line="640" w:lineRule="exact"/>
              <w:jc w:val="center"/>
              <w:rPr>
                <w:rFonts w:hint="default" w:ascii="仿宋" w:hAnsi="仿宋" w:eastAsia="仿宋" w:cs="仿宋"/>
                <w:sz w:val="22"/>
                <w:szCs w:val="22"/>
                <w:vertAlign w:val="baseline"/>
                <w:lang w:val="en-US" w:eastAsia="zh-CN"/>
              </w:rPr>
            </w:pPr>
          </w:p>
        </w:tc>
      </w:tr>
      <w:tr w14:paraId="0AA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restart"/>
            <w:vAlign w:val="center"/>
          </w:tcPr>
          <w:p w14:paraId="7475070A">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标志牌</w:t>
            </w:r>
          </w:p>
        </w:tc>
        <w:tc>
          <w:tcPr>
            <w:tcW w:w="1724" w:type="pct"/>
            <w:vMerge w:val="restart"/>
            <w:vAlign w:val="center"/>
          </w:tcPr>
          <w:p w14:paraId="7643C151">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LF2-M铝标志牌（含贴反光膜）</w:t>
            </w:r>
          </w:p>
        </w:tc>
        <w:tc>
          <w:tcPr>
            <w:tcW w:w="1267" w:type="pct"/>
            <w:vAlign w:val="center"/>
          </w:tcPr>
          <w:p w14:paraId="04F63555">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ф600*2</w:t>
            </w:r>
          </w:p>
        </w:tc>
        <w:tc>
          <w:tcPr>
            <w:tcW w:w="738" w:type="pct"/>
            <w:vAlign w:val="center"/>
          </w:tcPr>
          <w:p w14:paraId="39BD110E">
            <w:pPr>
              <w:spacing w:line="640" w:lineRule="exact"/>
              <w:jc w:val="center"/>
              <w:rPr>
                <w:rFonts w:hint="default" w:ascii="仿宋" w:hAnsi="仿宋" w:eastAsia="仿宋" w:cs="仿宋"/>
                <w:sz w:val="22"/>
                <w:szCs w:val="22"/>
                <w:vertAlign w:val="baseline"/>
                <w:lang w:val="en-US" w:eastAsia="zh-CN"/>
              </w:rPr>
            </w:pPr>
          </w:p>
        </w:tc>
      </w:tr>
      <w:tr w14:paraId="01D3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5C86425F">
            <w:pPr>
              <w:spacing w:line="240" w:lineRule="auto"/>
              <w:jc w:val="center"/>
              <w:rPr>
                <w:rFonts w:hint="eastAsia" w:ascii="仿宋" w:hAnsi="仿宋" w:eastAsia="仿宋" w:cs="仿宋"/>
                <w:sz w:val="22"/>
                <w:szCs w:val="22"/>
                <w:vertAlign w:val="baseline"/>
                <w:lang w:val="en-US" w:eastAsia="zh-CN"/>
              </w:rPr>
            </w:pPr>
          </w:p>
        </w:tc>
        <w:tc>
          <w:tcPr>
            <w:tcW w:w="1724" w:type="pct"/>
            <w:vMerge w:val="continue"/>
            <w:vAlign w:val="center"/>
          </w:tcPr>
          <w:p w14:paraId="29BCECBB">
            <w:pPr>
              <w:spacing w:line="240" w:lineRule="auto"/>
              <w:jc w:val="center"/>
              <w:rPr>
                <w:rFonts w:hint="eastAsia" w:ascii="仿宋" w:hAnsi="仿宋" w:eastAsia="仿宋" w:cs="仿宋"/>
                <w:sz w:val="22"/>
                <w:szCs w:val="22"/>
                <w:vertAlign w:val="baseline"/>
                <w:lang w:val="en-US" w:eastAsia="zh-CN"/>
              </w:rPr>
            </w:pPr>
          </w:p>
        </w:tc>
        <w:tc>
          <w:tcPr>
            <w:tcW w:w="1267" w:type="pct"/>
            <w:vAlign w:val="center"/>
          </w:tcPr>
          <w:p w14:paraId="14DD8CB4">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800*800*2</w:t>
            </w:r>
          </w:p>
        </w:tc>
        <w:tc>
          <w:tcPr>
            <w:tcW w:w="738" w:type="pct"/>
            <w:vAlign w:val="center"/>
          </w:tcPr>
          <w:p w14:paraId="32F76C3A">
            <w:pPr>
              <w:spacing w:line="640" w:lineRule="exact"/>
              <w:jc w:val="center"/>
              <w:rPr>
                <w:rFonts w:hint="default" w:ascii="仿宋" w:hAnsi="仿宋" w:eastAsia="仿宋" w:cs="仿宋"/>
                <w:sz w:val="22"/>
                <w:szCs w:val="22"/>
                <w:vertAlign w:val="baseline"/>
                <w:lang w:val="en-US" w:eastAsia="zh-CN"/>
              </w:rPr>
            </w:pPr>
          </w:p>
        </w:tc>
      </w:tr>
      <w:tr w14:paraId="5216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3348A310">
            <w:pPr>
              <w:spacing w:line="240" w:lineRule="auto"/>
              <w:jc w:val="center"/>
              <w:rPr>
                <w:rFonts w:hint="eastAsia" w:ascii="仿宋" w:hAnsi="仿宋" w:eastAsia="仿宋" w:cs="仿宋"/>
                <w:sz w:val="22"/>
                <w:szCs w:val="22"/>
                <w:vertAlign w:val="baseline"/>
                <w:lang w:val="en-US" w:eastAsia="zh-CN"/>
              </w:rPr>
            </w:pPr>
          </w:p>
        </w:tc>
        <w:tc>
          <w:tcPr>
            <w:tcW w:w="1724" w:type="pct"/>
            <w:vMerge w:val="continue"/>
            <w:vAlign w:val="center"/>
          </w:tcPr>
          <w:p w14:paraId="377E264F">
            <w:pPr>
              <w:spacing w:line="240" w:lineRule="auto"/>
              <w:jc w:val="center"/>
              <w:rPr>
                <w:rFonts w:hint="eastAsia" w:ascii="仿宋" w:hAnsi="仿宋" w:eastAsia="仿宋" w:cs="仿宋"/>
                <w:sz w:val="22"/>
                <w:szCs w:val="22"/>
                <w:vertAlign w:val="baseline"/>
                <w:lang w:val="en-US" w:eastAsia="zh-CN"/>
              </w:rPr>
            </w:pPr>
          </w:p>
        </w:tc>
        <w:tc>
          <w:tcPr>
            <w:tcW w:w="1267" w:type="pct"/>
            <w:vAlign w:val="center"/>
          </w:tcPr>
          <w:p w14:paraId="2B48CD8D">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5000*3000*2</w:t>
            </w:r>
          </w:p>
        </w:tc>
        <w:tc>
          <w:tcPr>
            <w:tcW w:w="738" w:type="pct"/>
            <w:vAlign w:val="center"/>
          </w:tcPr>
          <w:p w14:paraId="103C5183">
            <w:pPr>
              <w:spacing w:line="640" w:lineRule="exact"/>
              <w:jc w:val="center"/>
              <w:rPr>
                <w:rFonts w:hint="default" w:ascii="仿宋" w:hAnsi="仿宋" w:eastAsia="仿宋" w:cs="仿宋"/>
                <w:sz w:val="22"/>
                <w:szCs w:val="22"/>
                <w:vertAlign w:val="baseline"/>
                <w:lang w:val="en-US" w:eastAsia="zh-CN"/>
              </w:rPr>
            </w:pPr>
          </w:p>
        </w:tc>
      </w:tr>
      <w:tr w14:paraId="0E5F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Merge w:val="continue"/>
            <w:vAlign w:val="center"/>
          </w:tcPr>
          <w:p w14:paraId="19DCEBAF">
            <w:pPr>
              <w:spacing w:line="240" w:lineRule="auto"/>
              <w:jc w:val="center"/>
              <w:rPr>
                <w:rFonts w:hint="eastAsia" w:ascii="仿宋" w:hAnsi="仿宋" w:eastAsia="仿宋" w:cs="仿宋"/>
                <w:sz w:val="22"/>
                <w:szCs w:val="22"/>
                <w:vertAlign w:val="baseline"/>
                <w:lang w:val="en-US" w:eastAsia="zh-CN"/>
              </w:rPr>
            </w:pPr>
          </w:p>
        </w:tc>
        <w:tc>
          <w:tcPr>
            <w:tcW w:w="1724" w:type="pct"/>
            <w:vMerge w:val="continue"/>
            <w:vAlign w:val="center"/>
          </w:tcPr>
          <w:p w14:paraId="49A3B3F9">
            <w:pPr>
              <w:spacing w:line="240" w:lineRule="auto"/>
              <w:jc w:val="center"/>
              <w:rPr>
                <w:rFonts w:hint="eastAsia" w:ascii="仿宋" w:hAnsi="仿宋" w:eastAsia="仿宋" w:cs="仿宋"/>
                <w:sz w:val="22"/>
                <w:szCs w:val="22"/>
                <w:vertAlign w:val="baseline"/>
                <w:lang w:val="en-US" w:eastAsia="zh-CN"/>
              </w:rPr>
            </w:pPr>
          </w:p>
        </w:tc>
        <w:tc>
          <w:tcPr>
            <w:tcW w:w="1267" w:type="pct"/>
            <w:vAlign w:val="center"/>
          </w:tcPr>
          <w:p w14:paraId="79B9271D">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3000*2000*2</w:t>
            </w:r>
          </w:p>
        </w:tc>
        <w:tc>
          <w:tcPr>
            <w:tcW w:w="738" w:type="pct"/>
            <w:vAlign w:val="center"/>
          </w:tcPr>
          <w:p w14:paraId="053C528B">
            <w:pPr>
              <w:spacing w:line="640" w:lineRule="exact"/>
              <w:jc w:val="center"/>
              <w:rPr>
                <w:rFonts w:hint="default" w:ascii="仿宋" w:hAnsi="仿宋" w:eastAsia="仿宋" w:cs="仿宋"/>
                <w:sz w:val="22"/>
                <w:szCs w:val="22"/>
                <w:vertAlign w:val="baseline"/>
                <w:lang w:val="en-US" w:eastAsia="zh-CN"/>
              </w:rPr>
            </w:pPr>
          </w:p>
        </w:tc>
      </w:tr>
      <w:tr w14:paraId="7375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14:paraId="16AA6FEA">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反光膜</w:t>
            </w:r>
          </w:p>
        </w:tc>
        <w:tc>
          <w:tcPr>
            <w:tcW w:w="1724" w:type="pct"/>
            <w:vAlign w:val="center"/>
          </w:tcPr>
          <w:p w14:paraId="64E12DC3">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类别Ⅳ类及以上</w:t>
            </w:r>
          </w:p>
        </w:tc>
        <w:tc>
          <w:tcPr>
            <w:tcW w:w="1267" w:type="pct"/>
            <w:vAlign w:val="center"/>
          </w:tcPr>
          <w:p w14:paraId="667063E3">
            <w:pPr>
              <w:spacing w:line="240" w:lineRule="auto"/>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1000*1000</w:t>
            </w:r>
          </w:p>
        </w:tc>
        <w:tc>
          <w:tcPr>
            <w:tcW w:w="738" w:type="pct"/>
            <w:vAlign w:val="center"/>
          </w:tcPr>
          <w:p w14:paraId="20D60085">
            <w:pPr>
              <w:spacing w:line="640" w:lineRule="exact"/>
              <w:jc w:val="center"/>
              <w:rPr>
                <w:rFonts w:hint="default" w:ascii="仿宋" w:hAnsi="仿宋" w:eastAsia="仿宋" w:cs="仿宋"/>
                <w:sz w:val="22"/>
                <w:szCs w:val="22"/>
                <w:vertAlign w:val="baseline"/>
                <w:lang w:val="en-US" w:eastAsia="zh-CN"/>
              </w:rPr>
            </w:pPr>
          </w:p>
        </w:tc>
      </w:tr>
    </w:tbl>
    <w:p w14:paraId="1B9920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7.项目结算方式及项目结算价：</w:t>
      </w:r>
    </w:p>
    <w:p w14:paraId="47A3B25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乙方在项目合同期限结束后，根据合同期限内实际完成的工作内容及工程量，按合同内容和四川省市政工程清单计价规范由编制结算资料，工程分部分项单价表包含的分部分项内容</w:t>
      </w:r>
      <w:r>
        <w:rPr>
          <w:rFonts w:hint="eastAsia" w:ascii="仿宋" w:hAnsi="仿宋" w:eastAsia="仿宋" w:cs="仿宋"/>
          <w:color w:val="000000"/>
          <w:sz w:val="30"/>
          <w:szCs w:val="30"/>
          <w:lang w:val="en-US" w:eastAsia="zh-CN"/>
        </w:rPr>
        <w:t>按合同单价进行结算。其他工程内容，根据</w:t>
      </w:r>
      <w:r>
        <w:rPr>
          <w:rFonts w:hint="eastAsia" w:ascii="仿宋" w:hAnsi="仿宋" w:eastAsia="仿宋" w:cs="仿宋"/>
          <w:sz w:val="28"/>
          <w:szCs w:val="28"/>
          <w:lang w:val="en-US" w:eastAsia="zh-CN"/>
        </w:rPr>
        <w:t>现场签证，并</w:t>
      </w:r>
      <w:r>
        <w:rPr>
          <w:rFonts w:hint="eastAsia" w:ascii="仿宋" w:hAnsi="仿宋" w:eastAsia="仿宋" w:cs="仿宋"/>
          <w:sz w:val="28"/>
          <w:szCs w:val="28"/>
        </w:rPr>
        <w:t>按照现行计价规范编制结算</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w:t>
      </w:r>
    </w:p>
    <w:p w14:paraId="124DA17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乙方完成结算资料编制后，将资料交由甲方进行审核，甲方审核确认签字后。将结算资料送由甲方指定的第三方审核机构进行结算审核工作，最终结算价以第三方审核机构审核的结果为准。</w:t>
      </w:r>
    </w:p>
    <w:p w14:paraId="2E12E0E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8.付款方式：乙方按最终审核结果的金额向甲方出具等额有效增值税发票及相关请款资料，甲方在收到发票和资料后20个工作日内一次性支付所有工程款。</w:t>
      </w:r>
    </w:p>
    <w:p w14:paraId="524989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二、响应时间及要求</w:t>
      </w:r>
    </w:p>
    <w:p w14:paraId="3C3391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根据项目实际情况，对影响交通通行、有安全隐患相关工作内容，乙方自接到甲方通知后需1个小时内到现场进行相关处置工作。</w:t>
      </w:r>
    </w:p>
    <w:p w14:paraId="587D4C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三、质量和安全</w:t>
      </w:r>
    </w:p>
    <w:p w14:paraId="0A8C2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28"/>
          <w:szCs w:val="28"/>
        </w:rPr>
      </w:pPr>
      <w:r>
        <w:rPr>
          <w:rFonts w:hint="eastAsia" w:ascii="仿宋" w:hAnsi="仿宋" w:eastAsia="仿宋" w:cs="仿宋"/>
          <w:b w:val="0"/>
          <w:bCs/>
          <w:sz w:val="30"/>
          <w:szCs w:val="30"/>
          <w:lang w:val="en-US" w:eastAsia="zh-CN"/>
        </w:rPr>
        <w:t>1.乙方按照甲方要求，道路交通标识、标牌大小、形状、设置应</w:t>
      </w:r>
      <w:r>
        <w:rPr>
          <w:rFonts w:hint="eastAsia" w:ascii="仿宋" w:hAnsi="仿宋" w:eastAsia="仿宋" w:cs="仿宋"/>
          <w:sz w:val="28"/>
          <w:szCs w:val="28"/>
        </w:rPr>
        <w:t>严格按照《道路交通标志和标线—第2部分：道路交通标志</w:t>
      </w:r>
      <w:r>
        <w:rPr>
          <w:rFonts w:hint="eastAsia" w:ascii="仿宋" w:hAnsi="仿宋" w:eastAsia="仿宋" w:cs="仿宋"/>
          <w:sz w:val="28"/>
          <w:szCs w:val="28"/>
          <w:lang w:eastAsia="zh-CN"/>
        </w:rPr>
        <w:t>》</w:t>
      </w:r>
      <w:r>
        <w:rPr>
          <w:rFonts w:hint="eastAsia" w:ascii="仿宋" w:hAnsi="仿宋" w:eastAsia="仿宋" w:cs="仿宋"/>
          <w:sz w:val="28"/>
          <w:szCs w:val="28"/>
        </w:rPr>
        <w:t>（GB 5768.2-2022）</w:t>
      </w:r>
      <w:r>
        <w:rPr>
          <w:rFonts w:hint="eastAsia" w:ascii="仿宋" w:hAnsi="仿宋" w:eastAsia="仿宋" w:cs="仿宋"/>
          <w:sz w:val="28"/>
          <w:szCs w:val="28"/>
          <w:lang w:val="en-US" w:eastAsia="zh-CN"/>
        </w:rPr>
        <w:t>中相关</w:t>
      </w:r>
      <w:r>
        <w:rPr>
          <w:rFonts w:hint="eastAsia" w:ascii="仿宋" w:hAnsi="仿宋" w:eastAsia="仿宋" w:cs="仿宋"/>
          <w:sz w:val="28"/>
          <w:szCs w:val="28"/>
        </w:rPr>
        <w:t>规范要求进行</w:t>
      </w:r>
      <w:r>
        <w:rPr>
          <w:rFonts w:hint="eastAsia" w:ascii="仿宋" w:hAnsi="仿宋" w:eastAsia="仿宋" w:cs="仿宋"/>
          <w:sz w:val="28"/>
          <w:szCs w:val="28"/>
          <w:lang w:val="en-US" w:eastAsia="zh-CN"/>
        </w:rPr>
        <w:t>施工</w:t>
      </w:r>
      <w:r>
        <w:rPr>
          <w:rFonts w:hint="eastAsia" w:ascii="仿宋" w:hAnsi="仿宋" w:eastAsia="仿宋" w:cs="仿宋"/>
          <w:sz w:val="28"/>
          <w:szCs w:val="28"/>
        </w:rPr>
        <w:t>，工程质量达到合格。</w:t>
      </w:r>
    </w:p>
    <w:p w14:paraId="6F247F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2.项目施工安装的标牌各材料必须符合《道路交通标志板及支撑件》（GB/T 23827-2021）《道路交通反光膜》（GB/T 18833-2012）中的相关规定要求。</w:t>
      </w:r>
    </w:p>
    <w:p w14:paraId="3CD470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3.乙方应按照相关法律法规、安全规范组织施工，施工过程中因乙方安全责任履行不到位导致的安全事故由乙方自行负责。</w:t>
      </w:r>
    </w:p>
    <w:p w14:paraId="3C4C7A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3.乙方在施工过程中还应当遵守甲方和</w:t>
      </w:r>
      <w:r>
        <w:rPr>
          <w:rFonts w:hint="eastAsia" w:ascii="仿宋" w:hAnsi="仿宋" w:eastAsia="仿宋" w:cs="仿宋"/>
          <w:sz w:val="28"/>
          <w:szCs w:val="28"/>
          <w:lang w:val="en-US" w:eastAsia="zh-CN"/>
        </w:rPr>
        <w:t>交管部门等</w:t>
      </w:r>
      <w:r>
        <w:rPr>
          <w:rFonts w:hint="eastAsia" w:ascii="仿宋" w:hAnsi="仿宋" w:eastAsia="仿宋" w:cs="仿宋"/>
          <w:b w:val="0"/>
          <w:bCs/>
          <w:sz w:val="30"/>
          <w:szCs w:val="30"/>
          <w:lang w:val="en-US" w:eastAsia="zh-CN"/>
        </w:rPr>
        <w:t>的其他各项安全要求及其它相关制度，如有违反，甲方和交管部门等将根据相关规定对乙方进行处罚。</w:t>
      </w:r>
    </w:p>
    <w:p w14:paraId="2E7C52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四、验收和质量保证</w:t>
      </w:r>
    </w:p>
    <w:p w14:paraId="46386B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1.阶段工作完成后，乙方应申请甲方验收，甲方应在5个工作日内予以验收。乙方在项目合同期限到期或施工工程量快要达到合同总价后，乙方可向甲方申请项目整体竣工验收。</w:t>
      </w:r>
    </w:p>
    <w:p w14:paraId="1CA4C7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2.在验收过程中如发现的瑕疵或问题，乙方应组织整改或返工，整改（返工）不增加费用。</w:t>
      </w:r>
    </w:p>
    <w:p w14:paraId="58ECCA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双方对项目的验收，不能免除乙方提交合格工程的责任。项目验收合格后，如发现属于乙方施工质量问题的事项，乙方应免费维修并承担赔偿责任。如乙方拒不整改，甲方可以从乙方任何应付款项中扣除相应款项。</w:t>
      </w:r>
    </w:p>
    <w:p w14:paraId="7A3994DE">
      <w:pPr>
        <w:spacing w:line="240" w:lineRule="auto"/>
        <w:ind w:firstLine="600" w:firstLineChars="200"/>
        <w:jc w:val="left"/>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4.本项目</w:t>
      </w:r>
      <w:r>
        <w:rPr>
          <w:rFonts w:hint="eastAsia" w:ascii="仿宋" w:hAnsi="仿宋" w:eastAsia="仿宋" w:cs="仿宋"/>
          <w:sz w:val="28"/>
          <w:szCs w:val="28"/>
        </w:rPr>
        <w:t>施工质量</w:t>
      </w:r>
      <w:r>
        <w:rPr>
          <w:rFonts w:hint="eastAsia" w:ascii="仿宋" w:hAnsi="仿宋" w:eastAsia="仿宋" w:cs="仿宋"/>
          <w:sz w:val="28"/>
          <w:szCs w:val="28"/>
          <w:lang w:val="en-US" w:eastAsia="zh-CN"/>
        </w:rPr>
        <w:t>保证</w:t>
      </w:r>
      <w:r>
        <w:rPr>
          <w:rFonts w:hint="eastAsia" w:ascii="仿宋" w:hAnsi="仿宋" w:eastAsia="仿宋" w:cs="仿宋"/>
          <w:sz w:val="28"/>
          <w:szCs w:val="28"/>
        </w:rPr>
        <w:t>期</w:t>
      </w:r>
      <w:r>
        <w:rPr>
          <w:rFonts w:hint="eastAsia" w:ascii="仿宋" w:hAnsi="仿宋" w:eastAsia="仿宋" w:cs="仿宋"/>
          <w:sz w:val="28"/>
          <w:szCs w:val="28"/>
          <w:lang w:val="en-US" w:eastAsia="zh-CN"/>
        </w:rPr>
        <w:t>为</w:t>
      </w:r>
      <w:r>
        <w:rPr>
          <w:rFonts w:hint="eastAsia" w:ascii="仿宋" w:hAnsi="仿宋" w:eastAsia="仿宋" w:cs="仿宋"/>
          <w:sz w:val="28"/>
          <w:szCs w:val="28"/>
        </w:rPr>
        <w:t>一年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从</w:t>
      </w:r>
      <w:r>
        <w:rPr>
          <w:rFonts w:hint="eastAsia" w:ascii="仿宋" w:hAnsi="仿宋" w:eastAsia="仿宋" w:cs="仿宋"/>
          <w:sz w:val="28"/>
          <w:szCs w:val="28"/>
        </w:rPr>
        <w:t>竣工验收合格之日起</w:t>
      </w:r>
      <w:r>
        <w:rPr>
          <w:rFonts w:hint="eastAsia" w:ascii="仿宋" w:hAnsi="仿宋" w:eastAsia="仿宋" w:cs="仿宋"/>
          <w:sz w:val="28"/>
          <w:szCs w:val="28"/>
          <w:lang w:val="en-US" w:eastAsia="zh-CN"/>
        </w:rPr>
        <w:t>计算</w:t>
      </w:r>
      <w:r>
        <w:rPr>
          <w:rFonts w:hint="eastAsia" w:ascii="仿宋" w:hAnsi="仿宋" w:eastAsia="仿宋" w:cs="仿宋"/>
          <w:sz w:val="28"/>
          <w:szCs w:val="28"/>
        </w:rPr>
        <w:t>。</w:t>
      </w:r>
    </w:p>
    <w:p w14:paraId="22F3C7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五、甲、乙双方权利义务</w:t>
      </w:r>
    </w:p>
    <w:p w14:paraId="36A92F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甲方根据实际情况制定工作计划，安排乙方标牌、标识安装或其他相关任务。乙方在接到相关工作任务后安排施工人员及时施工，按期完成施工任务。如乙方出现2次未按响应要求完成任务的，甲方有权单方面解除合同，并要求乙方承担违约责任。</w:t>
      </w:r>
    </w:p>
    <w:p w14:paraId="5AC09F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2.乙方在进行施工任务时，甲方应现场监督。</w:t>
      </w:r>
    </w:p>
    <w:p w14:paraId="12D8C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3.乙方合同期限结束后准确、及时的提供结算资料，甲方在收到乙方结算资料后5个工作日内完成相关确认签字工作，并及时将结算资料送往第三方进行结算审核。</w:t>
      </w:r>
    </w:p>
    <w:p w14:paraId="039621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4.结算审核完成后，甲方应及时通知乙方，乙方确认审核结果后，出具税务发票，甲方收到乙方出具有效税务发票后20个工作日内支付工程款。</w:t>
      </w:r>
    </w:p>
    <w:p w14:paraId="395903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5.乙方应无条件遵守甲方提出的合理工程要求，乙方拒不履行的，甲方有权单方面解除合同。</w:t>
      </w:r>
    </w:p>
    <w:p w14:paraId="353EC2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6.如有其它未尽事宜，双方协商签订补充协议。如补充协议与主合同相违背，按照主合同实行。</w:t>
      </w:r>
    </w:p>
    <w:p w14:paraId="3FE6BB94">
      <w:pPr>
        <w:pStyle w:val="6"/>
        <w:keepNext w:val="0"/>
        <w:keepLines w:val="0"/>
        <w:pageBreakBefore w:val="0"/>
        <w:widowControl w:val="0"/>
        <w:kinsoku/>
        <w:wordWrap/>
        <w:overflowPunct/>
        <w:topLinePunct w:val="0"/>
        <w:autoSpaceDE/>
        <w:autoSpaceDN/>
        <w:bidi w:val="0"/>
        <w:adjustRightInd/>
        <w:snapToGrid/>
        <w:spacing w:line="240" w:lineRule="auto"/>
        <w:ind w:firstLine="548" w:firstLineChars="182"/>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、违约责任</w:t>
      </w:r>
    </w:p>
    <w:p w14:paraId="067B3BE9">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.甲乙双方严格履行合同，若一方违约，违约方应向守约方支付10000.00元（大写：壹万元整）违约金。如造成损失的还应承担造成损失的全额赔偿责任。</w:t>
      </w:r>
    </w:p>
    <w:p w14:paraId="2995D61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2.甲方若延迟支付费用，延迟部分应按银行同期有效利率向乙方支付违约金。</w:t>
      </w:r>
    </w:p>
    <w:p w14:paraId="6A58DDE4">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3、甲方因政策调整，本单位职能职责发生变化时，甲乙双方结清已实施项目款项后，合同自行终止，甲方不承担违约责任。</w:t>
      </w:r>
    </w:p>
    <w:p w14:paraId="0569A5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七</w:t>
      </w:r>
      <w:bookmarkStart w:id="0" w:name="_GoBack"/>
      <w:bookmarkEnd w:id="0"/>
      <w:r>
        <w:rPr>
          <w:rFonts w:hint="eastAsia" w:ascii="仿宋" w:hAnsi="仿宋" w:eastAsia="仿宋" w:cs="仿宋"/>
          <w:b/>
          <w:bCs w:val="0"/>
          <w:sz w:val="30"/>
          <w:szCs w:val="30"/>
          <w:lang w:val="en-US" w:eastAsia="zh-CN"/>
        </w:rPr>
        <w:t>、争议及仲裁</w:t>
      </w:r>
    </w:p>
    <w:p w14:paraId="0A8F9D2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双方应对出现的各种争议、问题通过友好协商解决；</w:t>
      </w:r>
      <w:r>
        <w:rPr>
          <w:rFonts w:hint="eastAsia" w:ascii="仿宋" w:hAnsi="仿宋" w:eastAsia="仿宋" w:cs="仿宋"/>
          <w:sz w:val="30"/>
          <w:szCs w:val="30"/>
          <w:lang w:val="en-US" w:eastAsia="zh-CN"/>
        </w:rPr>
        <w:t>协商不成的，由当事人依法向绵竹市人民法院提起诉讼。</w:t>
      </w:r>
    </w:p>
    <w:p w14:paraId="1841A3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七、本合同一式肆份，甲、乙双方各执贰份，双方签字生效，合同履行完毕自动失效。</w:t>
      </w:r>
    </w:p>
    <w:p w14:paraId="68FD5A2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甲方（盖章）：                 乙方（盖章）：</w:t>
      </w:r>
    </w:p>
    <w:p w14:paraId="5509790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地址：                        地址：</w:t>
      </w:r>
    </w:p>
    <w:p w14:paraId="6FC99DC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                   法定代表人：</w:t>
      </w:r>
    </w:p>
    <w:p w14:paraId="35C0ECB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（委托人）：                  （委托人）：</w:t>
      </w:r>
    </w:p>
    <w:p w14:paraId="6AA63E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 联系电话：                    联系电话：</w:t>
      </w:r>
    </w:p>
    <w:p w14:paraId="65C6F5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0"/>
          <w:szCs w:val="30"/>
          <w:lang w:val="en-US" w:eastAsia="zh-CN"/>
        </w:rPr>
      </w:pPr>
    </w:p>
    <w:p w14:paraId="3026D24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年   月   日                     年    月   日</w:t>
      </w:r>
    </w:p>
    <w:p w14:paraId="44F2273D">
      <w:pPr>
        <w:jc w:val="both"/>
        <w:rPr>
          <w:rFonts w:hint="default" w:ascii="仿宋" w:hAnsi="仿宋" w:eastAsia="仿宋" w:cs="仿宋"/>
          <w:b/>
          <w:bCs/>
          <w:sz w:val="30"/>
          <w:szCs w:val="30"/>
          <w:lang w:val="en-US" w:eastAsia="zh-CN"/>
        </w:rPr>
      </w:pPr>
    </w:p>
    <w:p w14:paraId="2B549CFB"/>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mE5ZTNhN2QxYzI0Zjg3ZmZjZWU3YzQwYWE0YmYifQ=="/>
  </w:docVars>
  <w:rsids>
    <w:rsidRoot w:val="316D69BF"/>
    <w:rsid w:val="0659797F"/>
    <w:rsid w:val="066A43EE"/>
    <w:rsid w:val="0F1E409C"/>
    <w:rsid w:val="11DA4F24"/>
    <w:rsid w:val="14101B47"/>
    <w:rsid w:val="1CF332CC"/>
    <w:rsid w:val="1FF94282"/>
    <w:rsid w:val="27E32C5B"/>
    <w:rsid w:val="316D69BF"/>
    <w:rsid w:val="33C23804"/>
    <w:rsid w:val="34145011"/>
    <w:rsid w:val="3605366F"/>
    <w:rsid w:val="506D7093"/>
    <w:rsid w:val="54287C3C"/>
    <w:rsid w:val="548D7323"/>
    <w:rsid w:val="589669B2"/>
    <w:rsid w:val="59D14E0E"/>
    <w:rsid w:val="5C29427C"/>
    <w:rsid w:val="5C932E03"/>
    <w:rsid w:val="6AF84145"/>
    <w:rsid w:val="7FC1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24"/>
      <w:szCs w:val="24"/>
      <w:u w:val="none"/>
    </w:rPr>
  </w:style>
  <w:style w:type="paragraph" w:customStyle="1" w:styleId="6">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2138</Words>
  <Characters>2449</Characters>
  <Lines>0</Lines>
  <Paragraphs>0</Paragraphs>
  <TotalTime>3</TotalTime>
  <ScaleCrop>false</ScaleCrop>
  <LinksUpToDate>false</LinksUpToDate>
  <CharactersWithSpaces>2584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2020-03-17T03:32:00Z</dcterms:created>
  <dc:creator>冯超</dc:creator>
  <cp:lastModifiedBy>两棵树丶</cp:lastModifiedBy>
  <cp:lastPrinted>2025-01-15T03:22:00Z</cp:lastPrinted>
  <dcterms:modified xsi:type="dcterms:W3CDTF">2025-02-28T07:00:11Z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4B1A37E072AD4CBD8A3D2EFD92ABD370</vt:lpwstr>
  </property>
  <property fmtid="{D5CDD505-2E9C-101B-9397-08002B2CF9AE}" pid="4" name="KSOTemplateDocerSaveRecord">
    <vt:lpwstr>eyJoZGlkIjoiYzFlMTNjNjkxOTAxNGY3ODEwNDE1MWQwYzYyYjA2MjYiLCJ1c2VySWQiOiIyOTMyMTY2In0=</vt:lpwstr>
  </property>
</Properties>
</file>