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drawings/drawing1.xml" ContentType="application/vnd.openxmlformats-officedocument.drawingml.chartshapes+xml"/>
  <Override PartName="/word/drawings/drawing2.xml" ContentType="application/vnd.openxmlformats-officedocument.drawingml.chartshapes+xml"/>
  <Override PartName="/word/drawings/drawing3.xml" ContentType="application/vnd.openxmlformats-officedocument.drawingml.chartshapes+xml"/>
  <Override PartName="/word/drawings/drawing4.xml" ContentType="application/vnd.openxmlformats-officedocument.drawingml.chartshapes+xml"/>
  <Override PartName="/word/drawings/drawing5.xml" ContentType="application/vnd.openxmlformats-officedocument.drawingml.chartshapes+xml"/>
  <Override PartName="/word/drawings/drawing6.xml" ContentType="application/vnd.openxmlformats-officedocument.drawingml.chartshapes+xml"/>
  <Override PartName="/word/drawings/drawing7.xml" ContentType="application/vnd.openxmlformats-officedocument.drawingml.chartshap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sz w:val="72"/>
          <w:szCs w:val="72"/>
        </w:rPr>
      </w:pPr>
      <w:bookmarkStart w:id="0" w:name="_Toc15378441"/>
      <w:bookmarkStart w:id="1" w:name="_Toc15377193"/>
      <w:bookmarkStart w:id="2" w:name="_Toc15396597"/>
      <w:bookmarkStart w:id="3" w:name="_Toc15377425"/>
      <w:bookmarkStart w:id="4" w:name="_Toc15396475"/>
      <w:bookmarkStart w:id="5" w:name="_Toc15306267"/>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spacing w:line="600" w:lineRule="exact"/>
        <w:jc w:val="center"/>
        <w:outlineLvl w:val="0"/>
        <w:rPr>
          <w:rFonts w:ascii="方正小标宋简体" w:hAnsi="宋体" w:eastAsia="方正小标宋简体"/>
          <w:sz w:val="72"/>
          <w:szCs w:val="72"/>
        </w:rPr>
      </w:pPr>
    </w:p>
    <w:p>
      <w:pPr>
        <w:adjustRightInd w:val="0"/>
        <w:snapToGrid w:val="0"/>
        <w:spacing w:line="360" w:lineRule="auto"/>
        <w:jc w:val="center"/>
        <w:outlineLvl w:val="0"/>
        <w:rPr>
          <w:rFonts w:ascii="黑体" w:hAnsi="黑体" w:eastAsia="黑体" w:cs="方正小标宋简体"/>
          <w:sz w:val="72"/>
          <w:szCs w:val="72"/>
        </w:rPr>
      </w:pPr>
      <w:r>
        <w:rPr>
          <w:rFonts w:hint="eastAsia" w:ascii="黑体" w:hAnsi="黑体" w:eastAsia="黑体" w:cs="方正小标宋简体"/>
          <w:sz w:val="72"/>
          <w:szCs w:val="72"/>
        </w:rPr>
        <w:t>2021年度</w:t>
      </w:r>
      <w:bookmarkEnd w:id="0"/>
      <w:bookmarkEnd w:id="1"/>
      <w:bookmarkEnd w:id="2"/>
      <w:bookmarkEnd w:id="3"/>
      <w:bookmarkEnd w:id="4"/>
    </w:p>
    <w:p>
      <w:pPr>
        <w:pStyle w:val="2"/>
        <w:spacing w:before="93"/>
      </w:pPr>
    </w:p>
    <w:p>
      <w:pPr>
        <w:pStyle w:val="2"/>
        <w:spacing w:before="93"/>
      </w:pPr>
    </w:p>
    <w:p>
      <w:pPr>
        <w:pStyle w:val="2"/>
        <w:spacing w:before="93"/>
      </w:pPr>
    </w:p>
    <w:bookmarkEnd w:id="5"/>
    <w:p>
      <w:pPr>
        <w:adjustRightInd w:val="0"/>
        <w:snapToGrid w:val="0"/>
        <w:spacing w:line="360" w:lineRule="auto"/>
        <w:jc w:val="center"/>
        <w:outlineLvl w:val="0"/>
        <w:rPr>
          <w:rFonts w:ascii="黑体" w:hAnsi="黑体" w:eastAsia="黑体"/>
          <w:color w:val="000000"/>
          <w:sz w:val="52"/>
          <w:szCs w:val="52"/>
        </w:rPr>
      </w:pPr>
      <w:r>
        <w:rPr>
          <w:rFonts w:hint="eastAsia" w:ascii="黑体" w:hAnsi="黑体" w:eastAsia="黑体"/>
          <w:color w:val="000000"/>
          <w:sz w:val="52"/>
          <w:szCs w:val="52"/>
        </w:rPr>
        <w:t>四川省绵竹市住房和城乡建设局</w:t>
      </w: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r>
        <w:rPr>
          <w:rFonts w:hint="eastAsia" w:ascii="黑体" w:hAnsi="黑体" w:eastAsia="黑体"/>
          <w:sz w:val="48"/>
          <w:szCs w:val="48"/>
        </w:rPr>
        <w:t>部门决算</w:t>
      </w: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widowControl/>
        <w:jc w:val="center"/>
        <w:rPr>
          <w:rFonts w:ascii="黑体" w:hAnsi="黑体" w:eastAsia="黑体"/>
          <w:sz w:val="48"/>
          <w:szCs w:val="48"/>
        </w:rPr>
      </w:pPr>
    </w:p>
    <w:p>
      <w:pPr>
        <w:pStyle w:val="2"/>
        <w:spacing w:before="93"/>
      </w:pPr>
    </w:p>
    <w:p>
      <w:pPr>
        <w:widowControl/>
        <w:jc w:val="center"/>
        <w:rPr>
          <w:rFonts w:ascii="黑体" w:hAnsi="黑体" w:eastAsia="黑体"/>
          <w:sz w:val="48"/>
          <w:szCs w:val="48"/>
        </w:rPr>
      </w:pPr>
    </w:p>
    <w:p>
      <w:pPr>
        <w:widowControl/>
        <w:jc w:val="center"/>
        <w:rPr>
          <w:rFonts w:ascii="黑体" w:hAnsi="黑体" w:eastAsia="黑体"/>
          <w:sz w:val="48"/>
          <w:szCs w:val="48"/>
        </w:rPr>
      </w:pPr>
      <w:r>
        <w:rPr>
          <w:rFonts w:hint="eastAsia" w:ascii="黑体" w:hAnsi="黑体" w:eastAsia="黑体"/>
          <w:sz w:val="48"/>
          <w:szCs w:val="48"/>
        </w:rPr>
        <w:t>目录</w:t>
      </w:r>
    </w:p>
    <w:p>
      <w:pPr>
        <w:widowControl/>
        <w:jc w:val="center"/>
        <w:rPr>
          <w:rFonts w:ascii="黑体" w:hAnsi="黑体" w:eastAsia="黑体" w:cstheme="minorBidi"/>
          <w:sz w:val="28"/>
          <w:szCs w:val="28"/>
        </w:rPr>
      </w:pPr>
    </w:p>
    <w:p>
      <w:pPr>
        <w:pStyle w:val="10"/>
      </w:pPr>
      <w:r>
        <w:rPr>
          <w:rFonts w:hint="eastAsia"/>
        </w:rPr>
        <w:t>公开时间：2022年</w:t>
      </w:r>
      <w:r>
        <w:t>9</w:t>
      </w:r>
      <w:r>
        <w:rPr>
          <w:rFonts w:hint="eastAsia"/>
        </w:rPr>
        <w:t>月</w:t>
      </w:r>
      <w:r>
        <w:t>23</w:t>
      </w:r>
      <w:r>
        <w:rPr>
          <w:rFonts w:hint="eastAsia"/>
        </w:rPr>
        <w:t>日</w:t>
      </w:r>
    </w:p>
    <w:p/>
    <w:p>
      <w:pPr>
        <w:pStyle w:val="10"/>
        <w:adjustRightInd w:val="0"/>
        <w:snapToGrid w:val="0"/>
        <w:spacing w:before="0" w:line="780" w:lineRule="exact"/>
        <w:jc w:val="left"/>
        <w:rPr>
          <w:rFonts w:ascii="Times New Roman" w:hAnsi="Times New Roman" w:eastAsia="宋体"/>
          <w:sz w:val="24"/>
          <w:szCs w:val="24"/>
        </w:rPr>
      </w:pPr>
      <w:r>
        <w:rPr>
          <w:rFonts w:hint="eastAsia"/>
          <w:sz w:val="24"/>
        </w:rPr>
        <w:t>第一部分</w:t>
      </w:r>
      <w:r>
        <w:rPr>
          <w:sz w:val="24"/>
        </w:rPr>
        <w:t xml:space="preserve"> </w:t>
      </w:r>
      <w:r>
        <w:rPr>
          <w:rFonts w:hint="eastAsia"/>
          <w:sz w:val="24"/>
        </w:rPr>
        <w:t>部门概况</w:t>
      </w:r>
      <w:r>
        <w:rPr>
          <w:rFonts w:ascii="Times New Roman" w:hAnsi="Times New Roman" w:eastAsia="宋体"/>
          <w:sz w:val="24"/>
          <w:szCs w:val="24"/>
        </w:rPr>
        <w:t>…………………………………………………………………..1</w:t>
      </w:r>
    </w:p>
    <w:p>
      <w:pPr>
        <w:pStyle w:val="11"/>
        <w:adjustRightInd w:val="0"/>
        <w:snapToGrid w:val="0"/>
        <w:spacing w:line="780" w:lineRule="exact"/>
        <w:jc w:val="left"/>
        <w:rPr>
          <w:rFonts w:ascii="仿宋" w:hAnsi="仿宋" w:eastAsia="仿宋"/>
          <w:sz w:val="24"/>
        </w:rPr>
      </w:pPr>
      <w:r>
        <w:rPr>
          <w:rFonts w:hint="eastAsia"/>
          <w:sz w:val="24"/>
        </w:rPr>
        <w:t>一、基本职能及主要工作</w:t>
      </w:r>
      <w:r>
        <w:rPr>
          <w:sz w:val="24"/>
        </w:rPr>
        <w:t>………………………………………………………..1</w:t>
      </w:r>
    </w:p>
    <w:p>
      <w:pPr>
        <w:pStyle w:val="11"/>
        <w:adjustRightInd w:val="0"/>
        <w:snapToGrid w:val="0"/>
        <w:spacing w:line="780" w:lineRule="exact"/>
        <w:jc w:val="left"/>
        <w:rPr>
          <w:rFonts w:ascii="仿宋" w:hAnsi="仿宋" w:eastAsia="仿宋" w:cstheme="minorBidi"/>
          <w:sz w:val="24"/>
        </w:rPr>
      </w:pPr>
      <w:r>
        <w:rPr>
          <w:rFonts w:hint="eastAsia"/>
          <w:sz w:val="24"/>
        </w:rPr>
        <w:t>二、机构设置</w:t>
      </w:r>
      <w:r>
        <w:rPr>
          <w:sz w:val="24"/>
        </w:rPr>
        <w:t>………………….………………………………………………….5</w:t>
      </w:r>
    </w:p>
    <w:p>
      <w:pPr>
        <w:pStyle w:val="10"/>
        <w:adjustRightInd w:val="0"/>
        <w:snapToGrid w:val="0"/>
        <w:spacing w:before="0" w:line="780" w:lineRule="exact"/>
        <w:jc w:val="left"/>
        <w:rPr>
          <w:sz w:val="24"/>
          <w:szCs w:val="24"/>
        </w:rPr>
      </w:pPr>
      <w:r>
        <w:rPr>
          <w:rFonts w:hint="eastAsia"/>
          <w:sz w:val="24"/>
        </w:rPr>
        <w:t>第二部分 2021年度部门决算情况说明</w:t>
      </w:r>
      <w:r>
        <w:rPr>
          <w:rFonts w:ascii="Times New Roman" w:hAnsi="Times New Roman" w:eastAsia="宋体"/>
          <w:sz w:val="24"/>
          <w:szCs w:val="24"/>
        </w:rPr>
        <w:t>…………………………………………….6</w:t>
      </w:r>
    </w:p>
    <w:p>
      <w:pPr>
        <w:pStyle w:val="11"/>
        <w:adjustRightInd w:val="0"/>
        <w:snapToGrid w:val="0"/>
        <w:spacing w:line="780" w:lineRule="exact"/>
        <w:jc w:val="left"/>
        <w:rPr>
          <w:rFonts w:ascii="仿宋" w:hAnsi="仿宋" w:eastAsia="仿宋" w:cstheme="minorBidi"/>
          <w:sz w:val="24"/>
        </w:rPr>
      </w:pPr>
      <w:r>
        <w:rPr>
          <w:rFonts w:hint="eastAsia"/>
          <w:sz w:val="24"/>
        </w:rPr>
        <w:t>一、收入支出决算总体情况说明</w:t>
      </w:r>
      <w:r>
        <w:rPr>
          <w:sz w:val="24"/>
        </w:rPr>
        <w:t>………………………………………………..6</w:t>
      </w:r>
    </w:p>
    <w:p>
      <w:pPr>
        <w:pStyle w:val="11"/>
        <w:adjustRightInd w:val="0"/>
        <w:snapToGrid w:val="0"/>
        <w:spacing w:line="780" w:lineRule="exact"/>
        <w:jc w:val="left"/>
        <w:rPr>
          <w:rFonts w:ascii="仿宋" w:hAnsi="仿宋" w:eastAsia="仿宋" w:cstheme="minorBidi"/>
          <w:sz w:val="24"/>
        </w:rPr>
      </w:pPr>
      <w:r>
        <w:rPr>
          <w:rFonts w:hint="eastAsia"/>
          <w:sz w:val="24"/>
        </w:rPr>
        <w:t>二、收入决算情况说明</w:t>
      </w:r>
      <w:r>
        <w:rPr>
          <w:sz w:val="24"/>
        </w:rPr>
        <w:t>…………………………………………………………..6</w:t>
      </w:r>
    </w:p>
    <w:p>
      <w:pPr>
        <w:pStyle w:val="11"/>
        <w:adjustRightInd w:val="0"/>
        <w:snapToGrid w:val="0"/>
        <w:spacing w:line="780" w:lineRule="exact"/>
        <w:jc w:val="left"/>
        <w:rPr>
          <w:rFonts w:ascii="仿宋" w:hAnsi="仿宋" w:eastAsia="仿宋" w:cstheme="minorBidi"/>
          <w:sz w:val="24"/>
        </w:rPr>
      </w:pPr>
      <w:r>
        <w:rPr>
          <w:rFonts w:hint="eastAsia"/>
          <w:sz w:val="24"/>
        </w:rPr>
        <w:t>三、支出决算情况说明</w:t>
      </w:r>
      <w:r>
        <w:rPr>
          <w:sz w:val="24"/>
        </w:rPr>
        <w:t>…………………………………………………………..7</w:t>
      </w:r>
    </w:p>
    <w:p>
      <w:pPr>
        <w:pStyle w:val="11"/>
        <w:adjustRightInd w:val="0"/>
        <w:snapToGrid w:val="0"/>
        <w:spacing w:line="780" w:lineRule="exact"/>
        <w:jc w:val="left"/>
        <w:rPr>
          <w:rFonts w:ascii="仿宋" w:hAnsi="仿宋" w:eastAsia="仿宋" w:cstheme="minorBidi"/>
          <w:sz w:val="24"/>
        </w:rPr>
      </w:pPr>
      <w:r>
        <w:rPr>
          <w:rFonts w:hint="eastAsia"/>
          <w:sz w:val="24"/>
        </w:rPr>
        <w:t>四、财政拨款收入支出决算总体情况说明</w:t>
      </w:r>
      <w:r>
        <w:rPr>
          <w:sz w:val="24"/>
        </w:rPr>
        <w:t>……………………………………..7</w:t>
      </w:r>
    </w:p>
    <w:p>
      <w:pPr>
        <w:pStyle w:val="11"/>
        <w:adjustRightInd w:val="0"/>
        <w:snapToGrid w:val="0"/>
        <w:spacing w:line="780" w:lineRule="exact"/>
        <w:jc w:val="left"/>
        <w:rPr>
          <w:rFonts w:ascii="仿宋" w:hAnsi="仿宋" w:eastAsia="仿宋" w:cstheme="minorBidi"/>
          <w:sz w:val="24"/>
        </w:rPr>
      </w:pPr>
      <w:r>
        <w:rPr>
          <w:rFonts w:hint="eastAsia"/>
          <w:sz w:val="24"/>
        </w:rPr>
        <w:t>五、一般公共预算财政拨款支出决算情况说明</w:t>
      </w:r>
      <w:r>
        <w:rPr>
          <w:sz w:val="24"/>
        </w:rPr>
        <w:t>……………………………….8</w:t>
      </w:r>
    </w:p>
    <w:p>
      <w:pPr>
        <w:pStyle w:val="11"/>
        <w:adjustRightInd w:val="0"/>
        <w:snapToGrid w:val="0"/>
        <w:spacing w:line="780" w:lineRule="exact"/>
        <w:jc w:val="left"/>
        <w:rPr>
          <w:rFonts w:ascii="仿宋" w:hAnsi="仿宋" w:eastAsia="仿宋" w:cstheme="minorBidi"/>
          <w:sz w:val="24"/>
        </w:rPr>
      </w:pPr>
      <w:r>
        <w:rPr>
          <w:rFonts w:hint="eastAsia"/>
          <w:sz w:val="24"/>
        </w:rPr>
        <w:t>六、一般公共预算财政拨款基本支出决算情况说明</w:t>
      </w:r>
      <w:r>
        <w:rPr>
          <w:sz w:val="24"/>
        </w:rPr>
        <w:t>………………………….11</w:t>
      </w:r>
    </w:p>
    <w:p>
      <w:pPr>
        <w:pStyle w:val="11"/>
        <w:adjustRightInd w:val="0"/>
        <w:snapToGrid w:val="0"/>
        <w:spacing w:line="780" w:lineRule="exact"/>
        <w:jc w:val="left"/>
        <w:rPr>
          <w:rFonts w:ascii="仿宋" w:hAnsi="仿宋" w:eastAsia="仿宋" w:cstheme="minorBidi"/>
          <w:sz w:val="24"/>
        </w:rPr>
      </w:pPr>
      <w:r>
        <w:rPr>
          <w:rFonts w:hint="eastAsia"/>
          <w:sz w:val="24"/>
        </w:rPr>
        <w:t>七、“三公”经费财政拨款支出决算情况说明</w:t>
      </w:r>
      <w:r>
        <w:rPr>
          <w:sz w:val="24"/>
        </w:rPr>
        <w:t>………………………………..12</w:t>
      </w:r>
    </w:p>
    <w:p>
      <w:pPr>
        <w:pStyle w:val="11"/>
        <w:adjustRightInd w:val="0"/>
        <w:snapToGrid w:val="0"/>
        <w:spacing w:line="780" w:lineRule="exact"/>
        <w:jc w:val="left"/>
        <w:rPr>
          <w:rFonts w:ascii="仿宋" w:hAnsi="仿宋" w:eastAsia="仿宋" w:cstheme="minorBidi"/>
          <w:sz w:val="24"/>
        </w:rPr>
      </w:pPr>
      <w:r>
        <w:rPr>
          <w:rFonts w:hint="eastAsia"/>
          <w:sz w:val="24"/>
        </w:rPr>
        <w:t>八、政府性基金预算支出决算情况说明</w:t>
      </w:r>
      <w:r>
        <w:rPr>
          <w:sz w:val="24"/>
        </w:rPr>
        <w:t>………………………………………13</w:t>
      </w:r>
    </w:p>
    <w:p>
      <w:pPr>
        <w:pStyle w:val="11"/>
        <w:adjustRightInd w:val="0"/>
        <w:snapToGrid w:val="0"/>
        <w:spacing w:line="780" w:lineRule="exact"/>
        <w:ind w:leftChars="0"/>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九、国有资本经营预算支出决算情况说明</w:t>
      </w:r>
      <w:r>
        <w:rPr>
          <w:sz w:val="24"/>
        </w:rPr>
        <w:t>……………………………………</w:t>
      </w:r>
      <w:r>
        <w:rPr>
          <w:rFonts w:asciiTheme="minorEastAsia" w:hAnsiTheme="minorEastAsia" w:eastAsiaTheme="minorEastAsia" w:cstheme="minorEastAsia"/>
          <w:sz w:val="24"/>
        </w:rPr>
        <w:t>14</w:t>
      </w:r>
    </w:p>
    <w:p>
      <w:pPr>
        <w:adjustRightInd w:val="0"/>
        <w:snapToGrid w:val="0"/>
        <w:spacing w:line="780" w:lineRule="exact"/>
        <w:ind w:firstLine="420" w:firstLineChars="175"/>
        <w:jc w:val="left"/>
        <w:rPr>
          <w:rFonts w:asciiTheme="minorEastAsia" w:hAnsiTheme="minorEastAsia" w:eastAsiaTheme="minorEastAsia" w:cstheme="minorEastAsia"/>
          <w:sz w:val="24"/>
        </w:rPr>
      </w:pPr>
      <w:r>
        <w:rPr>
          <w:rStyle w:val="16"/>
          <w:rFonts w:hint="eastAsia" w:asciiTheme="minorEastAsia" w:hAnsiTheme="minorEastAsia" w:eastAsiaTheme="minorEastAsia" w:cstheme="minorEastAsia"/>
          <w:color w:val="auto"/>
          <w:sz w:val="24"/>
          <w:u w:val="none"/>
        </w:rPr>
        <w:t>十、</w:t>
      </w:r>
      <w:r>
        <w:rPr>
          <w:rFonts w:hint="eastAsia" w:asciiTheme="minorEastAsia" w:hAnsiTheme="minorEastAsia" w:eastAsiaTheme="minorEastAsia" w:cstheme="minorEastAsia"/>
          <w:sz w:val="24"/>
        </w:rPr>
        <w:t>其他重要事项的情况说明</w:t>
      </w:r>
      <w:r>
        <w:rPr>
          <w:rFonts w:hint="eastAsia"/>
          <w:sz w:val="24"/>
        </w:rPr>
        <w:tab/>
      </w:r>
      <w:r>
        <w:rPr>
          <w:sz w:val="24"/>
        </w:rPr>
        <w:t>……………………………………………...14</w:t>
      </w:r>
    </w:p>
    <w:p>
      <w:pPr>
        <w:pStyle w:val="10"/>
        <w:adjustRightInd w:val="0"/>
        <w:snapToGrid w:val="0"/>
        <w:spacing w:before="0" w:line="78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ascii="Times New Roman" w:hAnsi="Times New Roman" w:eastAsia="宋体"/>
          <w:sz w:val="24"/>
          <w:szCs w:val="24"/>
        </w:rPr>
        <w:t>…………………………………………………………………16</w:t>
      </w:r>
    </w:p>
    <w:p>
      <w:pPr>
        <w:pStyle w:val="10"/>
        <w:adjustRightInd w:val="0"/>
        <w:snapToGrid w:val="0"/>
        <w:spacing w:before="0" w:line="780" w:lineRule="exact"/>
        <w:jc w:val="left"/>
        <w:rPr>
          <w:rFonts w:cstheme="minorBidi"/>
          <w:sz w:val="24"/>
          <w:szCs w:val="24"/>
        </w:rPr>
      </w:pPr>
      <w:r>
        <w:rPr>
          <w:rFonts w:hint="eastAsia"/>
          <w:sz w:val="24"/>
        </w:rPr>
        <w:t>第四部分</w:t>
      </w:r>
      <w:r>
        <w:rPr>
          <w:sz w:val="24"/>
        </w:rPr>
        <w:t xml:space="preserve"> </w:t>
      </w:r>
      <w:r>
        <w:rPr>
          <w:rFonts w:hint="eastAsia"/>
          <w:sz w:val="24"/>
        </w:rPr>
        <w:t>附件</w:t>
      </w:r>
      <w:r>
        <w:rPr>
          <w:rFonts w:ascii="Times New Roman" w:hAnsi="Times New Roman" w:eastAsia="宋体"/>
          <w:sz w:val="24"/>
          <w:szCs w:val="24"/>
        </w:rPr>
        <w:t>……………………………………………………………………....20</w:t>
      </w:r>
    </w:p>
    <w:p>
      <w:pPr>
        <w:pStyle w:val="10"/>
        <w:adjustRightInd w:val="0"/>
        <w:snapToGrid w:val="0"/>
        <w:spacing w:before="0" w:line="780" w:lineRule="exact"/>
        <w:jc w:val="left"/>
        <w:rPr>
          <w:rFonts w:cstheme="minorBidi"/>
          <w:sz w:val="24"/>
          <w:szCs w:val="24"/>
        </w:rPr>
      </w:pPr>
      <w:r>
        <w:rPr>
          <w:rFonts w:hint="eastAsia"/>
          <w:sz w:val="24"/>
        </w:rPr>
        <w:t>第五部分</w:t>
      </w:r>
      <w:r>
        <w:rPr>
          <w:sz w:val="24"/>
        </w:rPr>
        <w:t xml:space="preserve"> </w:t>
      </w:r>
      <w:r>
        <w:rPr>
          <w:rFonts w:hint="eastAsia"/>
          <w:sz w:val="24"/>
        </w:rPr>
        <w:t>附表</w:t>
      </w:r>
      <w:r>
        <w:rPr>
          <w:rFonts w:ascii="Times New Roman" w:hAnsi="Times New Roman" w:eastAsia="宋体"/>
          <w:sz w:val="24"/>
          <w:szCs w:val="24"/>
        </w:rPr>
        <w:t>……………………………………………………………………</w:t>
      </w:r>
      <w:r>
        <w:rPr>
          <w:sz w:val="24"/>
        </w:rPr>
        <w:t>.343</w:t>
      </w:r>
    </w:p>
    <w:p>
      <w:pPr>
        <w:pStyle w:val="11"/>
        <w:adjustRightInd w:val="0"/>
        <w:snapToGrid w:val="0"/>
        <w:spacing w:line="780" w:lineRule="exact"/>
        <w:jc w:val="left"/>
        <w:rPr>
          <w:rFonts w:ascii="仿宋" w:hAnsi="仿宋" w:eastAsia="仿宋" w:cstheme="minorBidi"/>
          <w:sz w:val="24"/>
        </w:rPr>
      </w:pPr>
      <w:r>
        <w:rPr>
          <w:rFonts w:hint="eastAsia" w:ascii="仿宋" w:hAnsi="仿宋" w:eastAsia="仿宋"/>
          <w:sz w:val="24"/>
        </w:rPr>
        <w:t>一、</w:t>
      </w:r>
      <w:r>
        <w:rPr>
          <w:rFonts w:hint="eastAsia"/>
          <w:sz w:val="24"/>
        </w:rPr>
        <w:t>收入支出决算总表</w:t>
      </w:r>
    </w:p>
    <w:p>
      <w:pPr>
        <w:pStyle w:val="11"/>
        <w:adjustRightInd w:val="0"/>
        <w:snapToGrid w:val="0"/>
        <w:spacing w:line="7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二、收入决算表</w:t>
      </w:r>
    </w:p>
    <w:p>
      <w:pPr>
        <w:pStyle w:val="11"/>
        <w:adjustRightInd w:val="0"/>
        <w:snapToGrid w:val="0"/>
        <w:spacing w:line="7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三、支出决算表</w:t>
      </w:r>
    </w:p>
    <w:p>
      <w:pPr>
        <w:pStyle w:val="11"/>
        <w:adjustRightInd w:val="0"/>
        <w:snapToGrid w:val="0"/>
        <w:spacing w:line="7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四、财政拨款收入支出决算总表</w:t>
      </w:r>
    </w:p>
    <w:p>
      <w:pPr>
        <w:pStyle w:val="11"/>
        <w:adjustRightInd w:val="0"/>
        <w:snapToGrid w:val="0"/>
        <w:spacing w:line="7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五、财政拨款支出决算明细表</w:t>
      </w:r>
    </w:p>
    <w:p>
      <w:pPr>
        <w:pStyle w:val="11"/>
        <w:adjustRightInd w:val="0"/>
        <w:snapToGrid w:val="0"/>
        <w:spacing w:line="7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六、一般公共预算财政拨款支出决算表</w:t>
      </w:r>
    </w:p>
    <w:p>
      <w:pPr>
        <w:pStyle w:val="11"/>
        <w:adjustRightInd w:val="0"/>
        <w:snapToGrid w:val="0"/>
        <w:spacing w:line="7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七、一般公共预算财政拨款支出决算明细表</w:t>
      </w:r>
    </w:p>
    <w:p>
      <w:pPr>
        <w:pStyle w:val="11"/>
        <w:adjustRightInd w:val="0"/>
        <w:snapToGrid w:val="0"/>
        <w:spacing w:line="7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八、一般公共预算财政拨款基本支出决算表</w:t>
      </w:r>
    </w:p>
    <w:p>
      <w:pPr>
        <w:pStyle w:val="11"/>
        <w:adjustRightInd w:val="0"/>
        <w:snapToGrid w:val="0"/>
        <w:spacing w:line="7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九、一般公共预算财政拨款项目支出决算表</w:t>
      </w:r>
    </w:p>
    <w:p>
      <w:pPr>
        <w:pStyle w:val="11"/>
        <w:adjustRightInd w:val="0"/>
        <w:snapToGrid w:val="0"/>
        <w:spacing w:line="7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十、一般公共预算财政拨款“三公”经费支出决算表</w:t>
      </w:r>
    </w:p>
    <w:p>
      <w:pPr>
        <w:pStyle w:val="11"/>
        <w:adjustRightInd w:val="0"/>
        <w:snapToGrid w:val="0"/>
        <w:spacing w:line="7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十一、政府性基金预算财政拨款收入支出决算表</w:t>
      </w:r>
    </w:p>
    <w:p>
      <w:pPr>
        <w:pStyle w:val="11"/>
        <w:adjustRightInd w:val="0"/>
        <w:snapToGrid w:val="0"/>
        <w:spacing w:line="7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十二、政府性基金预算财政拨款“三公”经费支出决算表</w:t>
      </w:r>
    </w:p>
    <w:p>
      <w:pPr>
        <w:pStyle w:val="11"/>
        <w:adjustRightInd w:val="0"/>
        <w:snapToGrid w:val="0"/>
        <w:spacing w:line="7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十三、国有资本经营预算财政拨款收入支出决算表</w:t>
      </w:r>
    </w:p>
    <w:p>
      <w:pPr>
        <w:pStyle w:val="11"/>
        <w:adjustRightInd w:val="0"/>
        <w:snapToGrid w:val="0"/>
        <w:spacing w:line="780" w:lineRule="exact"/>
        <w:jc w:val="left"/>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十四、国有资本经营预算财政拨款支出决算表</w:t>
      </w:r>
    </w:p>
    <w:p>
      <w:pPr>
        <w:widowControl/>
        <w:spacing w:line="440" w:lineRule="exact"/>
        <w:jc w:val="left"/>
        <w:rPr>
          <w:rFonts w:ascii="仿宋" w:hAnsi="仿宋" w:eastAsia="仿宋"/>
          <w:b/>
          <w:sz w:val="24"/>
        </w:rPr>
      </w:pPr>
      <w:bookmarkStart w:id="6" w:name="_Toc15377196"/>
      <w:bookmarkStart w:id="7" w:name="_Toc15396599"/>
      <w:r>
        <w:rPr>
          <w:rFonts w:ascii="仿宋" w:hAnsi="仿宋" w:eastAsia="仿宋"/>
          <w:b/>
          <w:sz w:val="24"/>
        </w:rPr>
        <w:br w:type="page"/>
      </w:r>
    </w:p>
    <w:p>
      <w:pPr>
        <w:widowControl/>
        <w:spacing w:line="440" w:lineRule="exact"/>
        <w:jc w:val="left"/>
        <w:rPr>
          <w:rFonts w:ascii="仿宋" w:hAnsi="仿宋" w:eastAsia="仿宋"/>
          <w:b/>
          <w:sz w:val="24"/>
        </w:rPr>
        <w:sectPr>
          <w:headerReference r:id="rId3" w:type="default"/>
          <w:pgSz w:w="11906" w:h="16838"/>
          <w:pgMar w:top="1440" w:right="1800" w:bottom="1440" w:left="1800" w:header="851" w:footer="992" w:gutter="0"/>
          <w:pgNumType w:start="1"/>
          <w:cols w:space="425" w:num="1"/>
          <w:titlePg/>
          <w:docGrid w:type="lines" w:linePitch="312" w:charSpace="0"/>
        </w:sectPr>
      </w:pPr>
    </w:p>
    <w:p>
      <w:pPr>
        <w:pStyle w:val="3"/>
        <w:jc w:val="center"/>
        <w:rPr>
          <w:rStyle w:val="25"/>
          <w:rFonts w:ascii="黑体" w:hAnsi="黑体" w:eastAsia="黑体"/>
          <w:b/>
          <w:bCs w:val="0"/>
        </w:rPr>
      </w:pPr>
      <w:r>
        <w:rPr>
          <w:rFonts w:hint="eastAsia" w:ascii="黑体" w:hAnsi="黑体" w:eastAsia="黑体"/>
          <w:b w:val="0"/>
        </w:rPr>
        <w:t xml:space="preserve">第一部分 </w:t>
      </w:r>
      <w:r>
        <w:rPr>
          <w:rStyle w:val="25"/>
          <w:rFonts w:hint="eastAsia" w:ascii="黑体" w:hAnsi="黑体" w:eastAsia="黑体"/>
          <w:b w:val="0"/>
          <w:bCs w:val="0"/>
        </w:rPr>
        <w:t>部门概况</w:t>
      </w:r>
      <w:bookmarkEnd w:id="6"/>
      <w:bookmarkEnd w:id="7"/>
    </w:p>
    <w:p>
      <w:pPr>
        <w:pStyle w:val="4"/>
        <w:ind w:firstLine="640" w:firstLineChars="200"/>
        <w:rPr>
          <w:rStyle w:val="26"/>
          <w:rFonts w:ascii="仿宋" w:hAnsi="仿宋" w:eastAsia="仿宋"/>
          <w:b w:val="0"/>
          <w:bCs w:val="0"/>
        </w:rPr>
      </w:pPr>
      <w:bookmarkStart w:id="8" w:name="_Toc15396600"/>
      <w:bookmarkStart w:id="9" w:name="_Toc15377197"/>
      <w:r>
        <w:rPr>
          <w:rFonts w:hint="eastAsia" w:ascii="黑体" w:hAnsi="黑体" w:eastAsia="黑体"/>
          <w:b w:val="0"/>
        </w:rPr>
        <w:t>一、基</w:t>
      </w:r>
      <w:r>
        <w:rPr>
          <w:rStyle w:val="26"/>
          <w:rFonts w:hint="eastAsia" w:ascii="黑体" w:hAnsi="黑体" w:eastAsia="黑体"/>
          <w:b w:val="0"/>
          <w:bCs w:val="0"/>
        </w:rPr>
        <w:t>本职能及主要工作</w:t>
      </w:r>
      <w:bookmarkEnd w:id="8"/>
      <w:bookmarkEnd w:id="9"/>
    </w:p>
    <w:p>
      <w:pPr>
        <w:pStyle w:val="2"/>
        <w:adjustRightInd w:val="0"/>
        <w:snapToGrid w:val="0"/>
        <w:spacing w:before="93" w:line="600" w:lineRule="exact"/>
        <w:ind w:firstLine="672" w:firstLineChars="210"/>
        <w:outlineLvl w:val="2"/>
        <w:rPr>
          <w:rFonts w:ascii="仿宋" w:hAnsi="仿宋" w:eastAsia="仿宋"/>
          <w:bCs/>
          <w:sz w:val="32"/>
          <w:szCs w:val="32"/>
        </w:rPr>
      </w:pPr>
      <w:bookmarkStart w:id="10" w:name="_Toc15377198"/>
      <w:bookmarkStart w:id="11" w:name="_Toc15378445"/>
      <w:r>
        <w:rPr>
          <w:rFonts w:hint="eastAsia" w:ascii="仿宋" w:hAnsi="仿宋" w:eastAsia="仿宋"/>
          <w:bCs/>
          <w:sz w:val="32"/>
          <w:szCs w:val="32"/>
        </w:rPr>
        <w:t>（一）主要职能。</w:t>
      </w:r>
      <w:bookmarkEnd w:id="10"/>
      <w:bookmarkEnd w:id="11"/>
    </w:p>
    <w:p>
      <w:pPr>
        <w:pStyle w:val="2"/>
        <w:adjustRightInd w:val="0"/>
        <w:snapToGrid w:val="0"/>
        <w:spacing w:before="93" w:line="560" w:lineRule="exact"/>
        <w:ind w:firstLine="672" w:firstLineChars="210"/>
        <w:rPr>
          <w:rFonts w:hAnsi="仿宋" w:cs="仿宋"/>
          <w:bCs/>
          <w:color w:val="000000"/>
          <w:sz w:val="32"/>
          <w:szCs w:val="32"/>
        </w:rPr>
      </w:pPr>
      <w:r>
        <w:rPr>
          <w:rFonts w:hint="eastAsia" w:hAnsi="仿宋" w:cs="仿宋"/>
          <w:bCs/>
          <w:color w:val="000000"/>
          <w:sz w:val="32"/>
          <w:szCs w:val="32"/>
        </w:rPr>
        <w:t>（1）贯彻执行国家、四川省、德阳市、绵竹市住房和城乡建设、防震减灾的</w:t>
      </w:r>
      <w:r>
        <w:rPr>
          <w:rFonts w:hint="eastAsia" w:hAnsi="仿宋" w:cs="仿宋"/>
          <w:bCs/>
          <w:color w:val="000000"/>
          <w:sz w:val="32"/>
          <w:szCs w:val="32"/>
          <w:lang w:eastAsia="zh-CN"/>
        </w:rPr>
        <w:t>法律法规</w:t>
      </w:r>
      <w:r>
        <w:rPr>
          <w:rFonts w:hint="eastAsia" w:hAnsi="仿宋" w:cs="仿宋"/>
          <w:bCs/>
          <w:color w:val="000000"/>
          <w:sz w:val="32"/>
          <w:szCs w:val="32"/>
        </w:rPr>
        <w:t>、规章和政策；制定全市住房保障、工程建设、城市建设、村镇建设、建筑业、房地产业、勘察设计咨询业、市政公用事业、城市节约用水、防震减灾的行政规范性文件并进行监督管理；拟定相关发展战略、中长期规划并指导实施；负责依法行政、行政效能等工作。</w:t>
      </w:r>
    </w:p>
    <w:p>
      <w:pPr>
        <w:pStyle w:val="2"/>
        <w:adjustRightInd w:val="0"/>
        <w:snapToGrid w:val="0"/>
        <w:spacing w:before="93" w:line="560" w:lineRule="exact"/>
        <w:ind w:firstLine="672" w:firstLineChars="210"/>
        <w:rPr>
          <w:rFonts w:hAnsi="仿宋" w:cs="仿宋"/>
          <w:bCs/>
          <w:color w:val="000000"/>
          <w:sz w:val="32"/>
          <w:szCs w:val="32"/>
        </w:rPr>
      </w:pPr>
      <w:r>
        <w:rPr>
          <w:rFonts w:hint="eastAsia" w:hAnsi="仿宋" w:cs="仿宋"/>
          <w:bCs/>
          <w:color w:val="000000"/>
          <w:sz w:val="32"/>
          <w:szCs w:val="32"/>
        </w:rPr>
        <w:t>（2）负责推进住房制度改革，保障城镇中低收入家庭住房；拟定全市住房及住房保障相关政策并指导实施，完善保障性住房制度；会同有关部门做好国家、省、市、县保障性住房资金安排并监督实施；编制全市住房和保障性住房发展规划和年度计划并监督实施。</w:t>
      </w:r>
    </w:p>
    <w:p>
      <w:pPr>
        <w:pStyle w:val="2"/>
        <w:adjustRightInd w:val="0"/>
        <w:snapToGrid w:val="0"/>
        <w:spacing w:before="93" w:line="560" w:lineRule="exact"/>
        <w:ind w:firstLine="672" w:firstLineChars="210"/>
        <w:rPr>
          <w:rFonts w:hAnsi="仿宋" w:cs="仿宋"/>
          <w:bCs/>
          <w:color w:val="000000"/>
          <w:sz w:val="32"/>
          <w:szCs w:val="32"/>
        </w:rPr>
      </w:pPr>
      <w:r>
        <w:rPr>
          <w:rFonts w:hint="eastAsia" w:hAnsi="仿宋" w:cs="仿宋"/>
          <w:bCs/>
          <w:color w:val="000000"/>
          <w:sz w:val="32"/>
          <w:szCs w:val="32"/>
        </w:rPr>
        <w:t>（3）主管全市房地产业和房地产市场；贯彻执行国家、省、市房地产市场监督管理政策；拟定房地产业的行业发展规划和产业政策；指导和监督管理房地产开发、房屋交易、房屋租赁、房屋面积测绘、危房鉴定、既有建筑安全、白蚁防治、房地产估价与经纪管理、物业管理工作；组织实施国有土地上房屋征收与补偿工作；负责住宅专项维修资金的监督管理；参与指导城镇土地使用权有偿转让和开发利用工作；负责住房建设统计。</w:t>
      </w:r>
    </w:p>
    <w:p>
      <w:pPr>
        <w:pStyle w:val="2"/>
        <w:adjustRightInd w:val="0"/>
        <w:snapToGrid w:val="0"/>
        <w:spacing w:before="93" w:line="560" w:lineRule="exact"/>
        <w:ind w:firstLine="672" w:firstLineChars="210"/>
        <w:rPr>
          <w:rFonts w:hAnsi="仿宋" w:cs="仿宋"/>
          <w:bCs/>
          <w:color w:val="000000"/>
          <w:sz w:val="32"/>
          <w:szCs w:val="32"/>
        </w:rPr>
      </w:pPr>
      <w:r>
        <w:rPr>
          <w:rFonts w:hint="eastAsia" w:hAnsi="仿宋" w:cs="仿宋"/>
          <w:bCs/>
          <w:color w:val="000000"/>
          <w:sz w:val="32"/>
          <w:szCs w:val="32"/>
        </w:rPr>
        <w:t>（4）主管全市建筑业和建筑市场，规范市场各方主体行为；指导和监督管理全市建筑活动；制定工程建设、工程施工、工程监理、工程质量、工程造价、工程招标投标、工程质量检测、工程安全生产、职业健康等规章制度并监督执行；组织或参与工程重大质量、安全事故的调查处理；负责建筑业企业及从业人员的资质、资格管理。</w:t>
      </w:r>
    </w:p>
    <w:p>
      <w:pPr>
        <w:pStyle w:val="2"/>
        <w:adjustRightInd w:val="0"/>
        <w:snapToGrid w:val="0"/>
        <w:spacing w:before="93" w:line="560" w:lineRule="exact"/>
        <w:ind w:firstLine="672" w:firstLineChars="210"/>
        <w:rPr>
          <w:rFonts w:hAnsi="仿宋" w:cs="仿宋"/>
          <w:bCs/>
          <w:color w:val="000000"/>
          <w:sz w:val="32"/>
          <w:szCs w:val="32"/>
        </w:rPr>
      </w:pPr>
      <w:r>
        <w:rPr>
          <w:rFonts w:hint="eastAsia" w:hAnsi="仿宋" w:cs="仿宋"/>
          <w:bCs/>
          <w:color w:val="000000"/>
          <w:sz w:val="32"/>
          <w:szCs w:val="32"/>
        </w:rPr>
        <w:t>（5）监督管理建设工程勘察、设计、市政工程测量活动。对有特殊要求和涉及公共利益、公众安全、工程建设强制性标准的建设项目的建设工程勘察、设计质量进行监督检查；负责房屋建筑和市政基础设施建设项目的初步设计审查及建设工程消防设计审查备案验收；监督建筑工程施工图审查，监管建设工程抗震设防、防雷装置设计等施工图审查；负责施工图审查机构的监督管理；拟定工程勘察设计咨询业的发展战略、中长期规划、产业和技术政策、规章制度并指导实施。</w:t>
      </w:r>
    </w:p>
    <w:p>
      <w:pPr>
        <w:pStyle w:val="2"/>
        <w:adjustRightInd w:val="0"/>
        <w:snapToGrid w:val="0"/>
        <w:spacing w:before="93" w:line="560" w:lineRule="exact"/>
        <w:ind w:firstLine="672" w:firstLineChars="210"/>
        <w:rPr>
          <w:rFonts w:hAnsi="仿宋" w:cs="仿宋"/>
          <w:bCs/>
          <w:color w:val="000000"/>
          <w:sz w:val="32"/>
          <w:szCs w:val="32"/>
        </w:rPr>
      </w:pPr>
      <w:r>
        <w:rPr>
          <w:rFonts w:hint="eastAsia" w:hAnsi="仿宋" w:cs="仿宋"/>
          <w:bCs/>
          <w:color w:val="000000"/>
          <w:sz w:val="32"/>
          <w:szCs w:val="32"/>
        </w:rPr>
        <w:t>（6）贯彻国家、省、市建筑节能、城镇减排政策；规划和拟定全市建筑节能政策并监督实施；负责重点科技项目研究成果转化推广使用；推进墙体材料革新；负责散装水泥推广使用。</w:t>
      </w:r>
    </w:p>
    <w:p>
      <w:pPr>
        <w:pStyle w:val="2"/>
        <w:adjustRightInd w:val="0"/>
        <w:snapToGrid w:val="0"/>
        <w:spacing w:before="93" w:line="560" w:lineRule="exact"/>
        <w:ind w:firstLine="672" w:firstLineChars="210"/>
        <w:rPr>
          <w:rFonts w:hAnsi="仿宋" w:cs="仿宋"/>
          <w:bCs/>
          <w:color w:val="000000"/>
          <w:sz w:val="32"/>
          <w:szCs w:val="32"/>
        </w:rPr>
      </w:pPr>
      <w:r>
        <w:rPr>
          <w:rFonts w:hint="eastAsia" w:hAnsi="仿宋" w:cs="仿宋"/>
          <w:bCs/>
          <w:color w:val="000000"/>
          <w:sz w:val="32"/>
          <w:szCs w:val="32"/>
        </w:rPr>
        <w:t>（7）组织实施和贯彻执行工程建设国家标准、全国统一定额、行业标准定额、地方标准定额、建设项目可行性研究评价方法、经济参数、建设标准和工程造价；监督各类工程建设标准定额的实施和工程造价计价；负责工程造价信息的收集。</w:t>
      </w:r>
    </w:p>
    <w:p>
      <w:pPr>
        <w:pStyle w:val="2"/>
        <w:adjustRightInd w:val="0"/>
        <w:snapToGrid w:val="0"/>
        <w:spacing w:before="93" w:line="560" w:lineRule="exact"/>
        <w:ind w:firstLine="672" w:firstLineChars="210"/>
        <w:rPr>
          <w:rFonts w:hAnsi="仿宋" w:cs="仿宋"/>
          <w:bCs/>
          <w:color w:val="000000"/>
          <w:sz w:val="32"/>
          <w:szCs w:val="32"/>
        </w:rPr>
      </w:pPr>
      <w:r>
        <w:rPr>
          <w:rFonts w:hint="eastAsia" w:hAnsi="仿宋" w:cs="仿宋"/>
          <w:bCs/>
          <w:color w:val="000000"/>
          <w:sz w:val="32"/>
          <w:szCs w:val="32"/>
        </w:rPr>
        <w:t>（8）拟定城镇建设的政策并指导实施；负责市政基础设施和公用服务设施建设计划统筹、建设推进工作；负责组织开展对城市供水、城镇污水处理企业运行考核评估工作；负责城镇燃气经营企业经营许可的审查；负责城镇建设档案管理。</w:t>
      </w:r>
    </w:p>
    <w:p>
      <w:pPr>
        <w:pStyle w:val="2"/>
        <w:adjustRightInd w:val="0"/>
        <w:snapToGrid w:val="0"/>
        <w:spacing w:before="93" w:line="560" w:lineRule="exact"/>
        <w:ind w:firstLine="672" w:firstLineChars="210"/>
        <w:rPr>
          <w:rFonts w:hAnsi="仿宋" w:cs="仿宋"/>
          <w:bCs/>
          <w:color w:val="000000"/>
          <w:sz w:val="32"/>
          <w:szCs w:val="32"/>
        </w:rPr>
      </w:pPr>
      <w:r>
        <w:rPr>
          <w:rFonts w:hint="eastAsia" w:hAnsi="仿宋" w:cs="仿宋"/>
          <w:bCs/>
          <w:color w:val="000000"/>
          <w:sz w:val="32"/>
          <w:szCs w:val="32"/>
        </w:rPr>
        <w:t>（9）负责全市城镇房屋建筑、城镇燃气、城市供水、城镇污水处理等市政公用设施建设及日常运行、城镇污水处理设施配套管网建设的监督管理。</w:t>
      </w:r>
    </w:p>
    <w:p>
      <w:pPr>
        <w:pStyle w:val="2"/>
        <w:adjustRightInd w:val="0"/>
        <w:snapToGrid w:val="0"/>
        <w:spacing w:before="93" w:line="560" w:lineRule="exact"/>
        <w:ind w:firstLine="672" w:firstLineChars="210"/>
        <w:rPr>
          <w:rFonts w:hAnsi="仿宋" w:cs="仿宋"/>
          <w:bCs/>
          <w:color w:val="000000"/>
          <w:sz w:val="32"/>
          <w:szCs w:val="32"/>
        </w:rPr>
      </w:pPr>
      <w:r>
        <w:rPr>
          <w:rFonts w:hint="eastAsia" w:hAnsi="仿宋" w:cs="仿宋"/>
          <w:bCs/>
          <w:color w:val="000000"/>
          <w:sz w:val="32"/>
          <w:szCs w:val="32"/>
        </w:rPr>
        <w:t>（10）负责拟定建设领域生态环境保护中长期规划；落实建设领域国家生态环境保护法律法规；指导和监督管理在建房屋和市政基础设施工程施工扬尘治理和噪声污染防治；指导和监督建成城镇生活污水处理设施达标运行；加强城镇生活污水处理设施建设和城市建成区黑臭水体治理。</w:t>
      </w:r>
    </w:p>
    <w:p>
      <w:pPr>
        <w:pStyle w:val="2"/>
        <w:adjustRightInd w:val="0"/>
        <w:snapToGrid w:val="0"/>
        <w:spacing w:before="93" w:line="560" w:lineRule="exact"/>
        <w:ind w:firstLine="672" w:firstLineChars="210"/>
        <w:rPr>
          <w:rFonts w:hAnsi="仿宋" w:cs="仿宋"/>
          <w:bCs/>
          <w:color w:val="000000"/>
          <w:sz w:val="32"/>
          <w:szCs w:val="32"/>
        </w:rPr>
      </w:pPr>
      <w:r>
        <w:rPr>
          <w:rFonts w:hint="eastAsia" w:hAnsi="仿宋" w:cs="仿宋"/>
          <w:bCs/>
          <w:color w:val="000000"/>
          <w:sz w:val="32"/>
          <w:szCs w:val="32"/>
        </w:rPr>
        <w:t>（11）负责拟定全市村庄和小城镇建设政策并指导实施；指导农村住房建设管理和危房改造；指导小城镇人居生态环境的改善工作；负责特殊村镇申报工作；配合相关部门完成历史文化名镇、名村的相关报批工作；指导和组织各类村镇建设试点工作；指导受灾村镇及国家、省大型重点建设项目地区村镇迁建、重建的建设管理。</w:t>
      </w:r>
    </w:p>
    <w:p>
      <w:pPr>
        <w:pStyle w:val="2"/>
        <w:adjustRightInd w:val="0"/>
        <w:snapToGrid w:val="0"/>
        <w:spacing w:before="93" w:line="560" w:lineRule="exact"/>
        <w:ind w:firstLine="672" w:firstLineChars="210"/>
        <w:rPr>
          <w:rFonts w:hAnsi="仿宋" w:cs="仿宋"/>
          <w:bCs/>
          <w:color w:val="000000"/>
          <w:sz w:val="32"/>
          <w:szCs w:val="32"/>
        </w:rPr>
      </w:pPr>
      <w:r>
        <w:rPr>
          <w:rFonts w:hint="eastAsia" w:hAnsi="仿宋" w:cs="仿宋"/>
          <w:bCs/>
          <w:color w:val="000000"/>
          <w:sz w:val="32"/>
          <w:szCs w:val="32"/>
        </w:rPr>
        <w:t>（12）制定建设行业人才培养和教育发展规划并组织实施；指导建设行业科技人才队伍建设、</w:t>
      </w:r>
      <w:r>
        <w:rPr>
          <w:rFonts w:hint="eastAsia" w:hAnsi="仿宋" w:cs="仿宋"/>
          <w:bCs/>
          <w:color w:val="000000"/>
          <w:sz w:val="32"/>
          <w:szCs w:val="32"/>
          <w:lang w:eastAsia="zh-CN"/>
        </w:rPr>
        <w:t>专</w:t>
      </w:r>
      <w:r>
        <w:rPr>
          <w:rFonts w:hint="eastAsia" w:hAnsi="仿宋" w:cs="仿宋"/>
          <w:bCs/>
          <w:color w:val="000000"/>
          <w:sz w:val="32"/>
          <w:szCs w:val="32"/>
        </w:rPr>
        <w:t>业技术职务初审和执业资格管理；负责住房和城乡建设系统的信访工作，督查督办重大信访案件；指导行业协会工作。</w:t>
      </w:r>
    </w:p>
    <w:p>
      <w:pPr>
        <w:pStyle w:val="2"/>
        <w:adjustRightInd w:val="0"/>
        <w:snapToGrid w:val="0"/>
        <w:spacing w:before="93" w:line="560" w:lineRule="exact"/>
        <w:ind w:firstLine="672" w:firstLineChars="210"/>
        <w:rPr>
          <w:rFonts w:hAnsi="仿宋" w:cs="仿宋"/>
          <w:bCs/>
          <w:color w:val="000000"/>
          <w:sz w:val="32"/>
          <w:szCs w:val="32"/>
        </w:rPr>
      </w:pPr>
      <w:r>
        <w:rPr>
          <w:rFonts w:hint="eastAsia" w:hAnsi="仿宋" w:cs="仿宋"/>
          <w:bCs/>
          <w:color w:val="000000"/>
          <w:sz w:val="32"/>
          <w:szCs w:val="32"/>
        </w:rPr>
        <w:t>（13）参与拟订本行政区域内防震减灾事业中长期发展规划，编制防震减灾工作年度计划并组织实施；参与地震灾害损失评估，参与制定地震灾区的重建规划；依法监督管理建设工程抗震设防要求和地震安全性评价工作；负责本行政区域内地震烈度和抗震设防标准实施；开展防震减灾宣传教育工作，普及防震减灾知识。</w:t>
      </w:r>
    </w:p>
    <w:p>
      <w:pPr>
        <w:pStyle w:val="2"/>
        <w:adjustRightInd w:val="0"/>
        <w:snapToGrid w:val="0"/>
        <w:spacing w:before="93" w:line="560" w:lineRule="exact"/>
        <w:ind w:firstLine="672" w:firstLineChars="210"/>
        <w:rPr>
          <w:rFonts w:hAnsi="仿宋" w:cs="仿宋"/>
          <w:bCs/>
          <w:color w:val="000000"/>
          <w:sz w:val="32"/>
          <w:szCs w:val="32"/>
        </w:rPr>
      </w:pPr>
      <w:r>
        <w:rPr>
          <w:rFonts w:hint="eastAsia" w:hAnsi="仿宋" w:cs="仿宋"/>
          <w:bCs/>
          <w:color w:val="000000"/>
          <w:sz w:val="32"/>
          <w:szCs w:val="32"/>
        </w:rPr>
        <w:t>（14）承担本部门职责范围内的安全生产和职业健康、生态环境保护、社会信用体系建设和审批服务便民化等工作。</w:t>
      </w:r>
    </w:p>
    <w:p>
      <w:pPr>
        <w:pStyle w:val="2"/>
        <w:adjustRightInd w:val="0"/>
        <w:snapToGrid w:val="0"/>
        <w:spacing w:before="93" w:line="600" w:lineRule="exact"/>
        <w:ind w:firstLine="672" w:firstLineChars="210"/>
        <w:outlineLvl w:val="2"/>
        <w:rPr>
          <w:rFonts w:ascii="仿宋" w:hAnsi="仿宋" w:eastAsia="仿宋"/>
          <w:bCs/>
          <w:sz w:val="32"/>
          <w:szCs w:val="32"/>
        </w:rPr>
      </w:pPr>
      <w:bookmarkStart w:id="12" w:name="_Toc15378446"/>
      <w:bookmarkStart w:id="13" w:name="_Toc15377199"/>
      <w:r>
        <w:rPr>
          <w:rFonts w:hint="eastAsia" w:ascii="仿宋" w:hAnsi="仿宋" w:eastAsia="仿宋"/>
          <w:bCs/>
          <w:sz w:val="32"/>
          <w:szCs w:val="32"/>
        </w:rPr>
        <w:t>（二）</w:t>
      </w:r>
      <w:r>
        <w:rPr>
          <w:rFonts w:ascii="仿宋" w:hAnsi="仿宋" w:eastAsia="仿宋"/>
          <w:bCs/>
          <w:sz w:val="32"/>
          <w:szCs w:val="32"/>
        </w:rPr>
        <w:t>20</w:t>
      </w:r>
      <w:r>
        <w:rPr>
          <w:rFonts w:hint="eastAsia" w:ascii="仿宋" w:hAnsi="仿宋" w:eastAsia="仿宋"/>
          <w:bCs/>
          <w:sz w:val="32"/>
          <w:szCs w:val="32"/>
        </w:rPr>
        <w:t>21年重点工作完成情况。</w:t>
      </w:r>
      <w:bookmarkEnd w:id="12"/>
      <w:bookmarkEnd w:id="13"/>
    </w:p>
    <w:p>
      <w:pPr>
        <w:pStyle w:val="12"/>
        <w:widowControl/>
        <w:spacing w:beforeAutospacing="0" w:afterAutospacing="0" w:line="550" w:lineRule="exact"/>
        <w:ind w:firstLine="640" w:firstLineChars="200"/>
        <w:jc w:val="both"/>
        <w:rPr>
          <w:rFonts w:ascii="仿宋_GB2312" w:hAnsi="仿宋" w:eastAsia="仿宋_GB2312" w:cs="仿宋"/>
          <w:color w:val="000000"/>
          <w:kern w:val="2"/>
          <w:sz w:val="32"/>
          <w:szCs w:val="32"/>
        </w:rPr>
      </w:pPr>
      <w:r>
        <w:rPr>
          <w:rFonts w:hint="eastAsia" w:ascii="楷体" w:hAnsi="楷体" w:eastAsia="楷体" w:cs="方正仿宋_GBK"/>
          <w:bCs/>
          <w:sz w:val="32"/>
          <w:szCs w:val="32"/>
        </w:rPr>
        <w:t>1、</w:t>
      </w:r>
      <w:r>
        <w:rPr>
          <w:rFonts w:hint="eastAsia" w:ascii="楷体" w:hAnsi="楷体" w:eastAsia="楷体" w:cs="方正仿宋_GBK"/>
          <w:bCs/>
          <w:kern w:val="2"/>
          <w:sz w:val="32"/>
          <w:szCs w:val="32"/>
        </w:rPr>
        <w:t>基础建设稳步推进。</w:t>
      </w:r>
      <w:r>
        <w:rPr>
          <w:rFonts w:hint="eastAsia" w:ascii="仿宋_GB2312" w:hAnsi="仿宋" w:eastAsia="仿宋_GB2312" w:cs="仿宋"/>
          <w:color w:val="000000"/>
          <w:kern w:val="2"/>
          <w:sz w:val="32"/>
          <w:szCs w:val="32"/>
        </w:rPr>
        <w:t>完工市政道路2条，顺利推进6个项目前期工作；绵竹市城镇污水处理设施配套管网BOT项目（二期）持续推进，老城区雨污分流管网改造工作快速推进；仟坤水街、碧桂园等9个综合体建设项目完成建设投资18.28亿元；孝德镇、汉旺镇完成省级百强中心镇候选入库。</w:t>
      </w:r>
    </w:p>
    <w:p>
      <w:pPr>
        <w:spacing w:line="550" w:lineRule="exact"/>
        <w:ind w:firstLine="640" w:firstLineChars="200"/>
        <w:rPr>
          <w:rFonts w:ascii="仿宋_GB2312" w:hAnsi="仿宋" w:eastAsia="仿宋_GB2312" w:cs="仿宋"/>
          <w:color w:val="000000"/>
          <w:sz w:val="32"/>
          <w:szCs w:val="32"/>
        </w:rPr>
      </w:pPr>
      <w:r>
        <w:rPr>
          <w:rFonts w:hint="eastAsia" w:ascii="楷体" w:hAnsi="楷体" w:eastAsia="楷体" w:cs="方正仿宋_GBK"/>
          <w:bCs/>
          <w:kern w:val="0"/>
          <w:sz w:val="32"/>
          <w:szCs w:val="32"/>
        </w:rPr>
        <w:t>2、产业经济保持增长。</w:t>
      </w:r>
      <w:r>
        <w:rPr>
          <w:rFonts w:hint="eastAsia" w:ascii="仿宋_GB2312" w:hAnsi="仿宋" w:eastAsia="仿宋_GB2312" w:cs="仿宋"/>
          <w:color w:val="000000"/>
          <w:sz w:val="32"/>
          <w:szCs w:val="32"/>
        </w:rPr>
        <w:t>房地产第一季度单位从业人员工资总额同比增速41%，圆满完成从业人员工资 “开门红”任务；销售商品房25.3万平方米，同比增长99.2%，圆满完成商品房销售“开门红”任务；上半年累计销售商品房45.59万平方米，同比增长71.4%。建筑业一季度完成总产值8.33亿元，同比增长34.5%，在德阳市各县市区排名第二，圆满完成 “开门红”任务。</w:t>
      </w:r>
    </w:p>
    <w:p>
      <w:pPr>
        <w:pStyle w:val="12"/>
        <w:widowControl/>
        <w:spacing w:beforeAutospacing="0" w:afterAutospacing="0" w:line="550" w:lineRule="exact"/>
        <w:ind w:firstLine="640" w:firstLineChars="200"/>
        <w:jc w:val="both"/>
        <w:rPr>
          <w:rFonts w:ascii="方正仿宋简体" w:hAnsi="方正仿宋简体" w:eastAsia="方正仿宋简体" w:cs="方正仿宋简体"/>
          <w:color w:val="000000"/>
          <w:kern w:val="2"/>
          <w:sz w:val="32"/>
          <w:szCs w:val="32"/>
        </w:rPr>
      </w:pPr>
      <w:r>
        <w:rPr>
          <w:rFonts w:hint="eastAsia" w:ascii="楷体" w:hAnsi="楷体" w:eastAsia="楷体" w:cs="方正仿宋_GBK"/>
          <w:bCs/>
          <w:sz w:val="32"/>
          <w:szCs w:val="32"/>
        </w:rPr>
        <w:t>3、住房保障不断完善。</w:t>
      </w:r>
      <w:r>
        <w:rPr>
          <w:rFonts w:hint="eastAsia" w:ascii="仿宋_GB2312" w:hAnsi="仿宋" w:eastAsia="仿宋_GB2312" w:cs="仿宋"/>
          <w:color w:val="000000"/>
          <w:kern w:val="2"/>
          <w:sz w:val="32"/>
          <w:szCs w:val="32"/>
        </w:rPr>
        <w:t>完成10906栋城市房屋建筑安全隐患专项排查，发现隐患房屋42栋，采取应急防控处置34栋（搬离），拆除整治1栋，剩余7幢已采取预防措施正加紧整治；城东城中村安置房完成20%总工程量；教师新村老旧小区改造基本完工，全市老旧小区改造大面积铺开；全市公租房总量增至5200套，公租房保障能力进一步提升；实施农房抗震设防改造94户；完成102246户农村房屋安全隐患排查，整治C/D级房屋397户。</w:t>
      </w:r>
    </w:p>
    <w:p>
      <w:pPr>
        <w:pStyle w:val="12"/>
        <w:widowControl/>
        <w:spacing w:before="0" w:beforeAutospacing="0" w:after="0" w:afterAutospacing="0" w:line="550" w:lineRule="exact"/>
        <w:ind w:firstLine="640" w:firstLineChars="200"/>
        <w:jc w:val="both"/>
        <w:rPr>
          <w:rFonts w:ascii="仿宋_GB2312" w:hAnsi="仿宋" w:eastAsia="仿宋_GB2312" w:cs="仿宋"/>
          <w:color w:val="000000"/>
          <w:kern w:val="2"/>
          <w:sz w:val="32"/>
          <w:szCs w:val="32"/>
        </w:rPr>
      </w:pPr>
      <w:r>
        <w:rPr>
          <w:rFonts w:hint="eastAsia" w:ascii="楷体" w:hAnsi="楷体" w:eastAsia="楷体" w:cs="方正仿宋_GBK"/>
          <w:bCs/>
          <w:sz w:val="32"/>
          <w:szCs w:val="32"/>
        </w:rPr>
        <w:t>4、环境整治成果巩固。</w:t>
      </w:r>
      <w:r>
        <w:rPr>
          <w:rFonts w:hint="eastAsia" w:ascii="仿宋_GB2312" w:hAnsi="仿宋" w:eastAsia="仿宋_GB2312" w:cs="仿宋"/>
          <w:color w:val="000000"/>
          <w:kern w:val="2"/>
          <w:sz w:val="32"/>
          <w:szCs w:val="32"/>
        </w:rPr>
        <w:t>17座城镇生活污水处理厂（站）运转有序，城市生活污水处理率96.5%，镇乡生活污水处理率74.3%，各厂（站）达标排放率100%；日均产生的26吨污泥，得到妥善处置；深入开展“蓝天行动”，施工扬尘问题得到切实治理；全市6家商砼企业基本完成绿色商砼站建设，其中3家完成验收工作。</w:t>
      </w:r>
    </w:p>
    <w:p>
      <w:pPr>
        <w:pStyle w:val="4"/>
        <w:ind w:firstLine="640" w:firstLineChars="200"/>
        <w:rPr>
          <w:rStyle w:val="26"/>
          <w:b w:val="0"/>
          <w:bCs w:val="0"/>
        </w:rPr>
      </w:pPr>
      <w:bookmarkStart w:id="14" w:name="_Toc15377200"/>
      <w:bookmarkStart w:id="15" w:name="_Toc15396601"/>
      <w:r>
        <w:rPr>
          <w:rFonts w:hint="eastAsia" w:ascii="黑体" w:eastAsia="黑体"/>
          <w:b w:val="0"/>
        </w:rPr>
        <w:t>二、</w:t>
      </w:r>
      <w:r>
        <w:rPr>
          <w:rFonts w:hint="eastAsia" w:ascii="黑体" w:hAnsi="黑体" w:eastAsia="黑体"/>
          <w:b w:val="0"/>
        </w:rPr>
        <w:t>机</w:t>
      </w:r>
      <w:r>
        <w:rPr>
          <w:rStyle w:val="26"/>
          <w:rFonts w:hint="eastAsia" w:ascii="黑体" w:hAnsi="黑体" w:eastAsia="黑体"/>
          <w:b w:val="0"/>
          <w:bCs w:val="0"/>
        </w:rPr>
        <w:t>构设置</w:t>
      </w:r>
      <w:bookmarkEnd w:id="14"/>
      <w:bookmarkEnd w:id="15"/>
    </w:p>
    <w:p>
      <w:pPr>
        <w:ind w:firstLine="800" w:firstLineChars="250"/>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绵竹市住房和城乡建设局为一级预算单位，</w:t>
      </w:r>
      <w:r>
        <w:rPr>
          <w:rFonts w:hint="eastAsia" w:ascii="仿宋_GB2312" w:hAnsi="仿宋" w:eastAsia="仿宋_GB2312"/>
          <w:kern w:val="0"/>
          <w:sz w:val="32"/>
          <w:szCs w:val="32"/>
        </w:rPr>
        <w:t>属行政单位，</w:t>
      </w:r>
      <w:r>
        <w:rPr>
          <w:rFonts w:hint="eastAsia" w:ascii="仿宋" w:hAnsi="仿宋" w:eastAsia="仿宋"/>
          <w:sz w:val="32"/>
          <w:szCs w:val="32"/>
        </w:rPr>
        <w:t>下属二级单位</w:t>
      </w:r>
      <w:r>
        <w:rPr>
          <w:rFonts w:ascii="仿宋" w:hAnsi="仿宋" w:eastAsia="仿宋"/>
          <w:sz w:val="32"/>
          <w:szCs w:val="32"/>
        </w:rPr>
        <w:t>10</w:t>
      </w:r>
      <w:r>
        <w:rPr>
          <w:rFonts w:hint="eastAsia" w:ascii="仿宋" w:hAnsi="仿宋" w:eastAsia="仿宋"/>
          <w:sz w:val="32"/>
          <w:szCs w:val="32"/>
        </w:rPr>
        <w:t>个，其中参照公务员法管理的事业单位</w:t>
      </w:r>
      <w:r>
        <w:rPr>
          <w:rFonts w:ascii="仿宋" w:hAnsi="仿宋" w:eastAsia="仿宋"/>
          <w:bCs/>
          <w:sz w:val="32"/>
          <w:szCs w:val="32"/>
        </w:rPr>
        <w:t>1</w:t>
      </w:r>
      <w:r>
        <w:rPr>
          <w:rFonts w:hint="eastAsia" w:ascii="仿宋" w:hAnsi="仿宋" w:eastAsia="仿宋"/>
          <w:sz w:val="32"/>
          <w:szCs w:val="32"/>
        </w:rPr>
        <w:t>个，其他事业单位</w:t>
      </w:r>
      <w:r>
        <w:rPr>
          <w:rFonts w:ascii="仿宋" w:hAnsi="仿宋" w:eastAsia="仿宋"/>
          <w:sz w:val="32"/>
          <w:szCs w:val="32"/>
        </w:rPr>
        <w:t>9</w:t>
      </w:r>
      <w:r>
        <w:rPr>
          <w:rFonts w:hint="eastAsia" w:ascii="仿宋" w:hAnsi="仿宋" w:eastAsia="仿宋"/>
          <w:sz w:val="32"/>
          <w:szCs w:val="32"/>
        </w:rPr>
        <w:t>个，无二级预算单位，</w:t>
      </w:r>
      <w:r>
        <w:rPr>
          <w:rFonts w:hint="eastAsia" w:ascii="仿宋_GB2312" w:hAnsi="仿宋" w:eastAsia="仿宋_GB2312"/>
          <w:sz w:val="32"/>
          <w:szCs w:val="32"/>
        </w:rPr>
        <w:t>统一纳入局机关预算管理，</w:t>
      </w:r>
      <w:r>
        <w:rPr>
          <w:rFonts w:hint="eastAsia" w:ascii="仿宋" w:hAnsi="仿宋" w:eastAsia="仿宋"/>
          <w:sz w:val="32"/>
          <w:szCs w:val="32"/>
        </w:rPr>
        <w:t>统一纳入2021年度部门决算编制范围。</w:t>
      </w:r>
    </w:p>
    <w:p>
      <w:pPr>
        <w:widowControl/>
        <w:jc w:val="left"/>
        <w:rPr>
          <w:rFonts w:ascii="仿宋" w:hAnsi="仿宋" w:eastAsia="仿宋"/>
          <w:kern w:val="0"/>
          <w:sz w:val="32"/>
          <w:szCs w:val="32"/>
        </w:rPr>
      </w:pPr>
      <w:r>
        <w:rPr>
          <w:rFonts w:ascii="仿宋" w:hAnsi="仿宋" w:eastAsia="仿宋"/>
          <w:sz w:val="32"/>
          <w:szCs w:val="32"/>
        </w:rPr>
        <w:br w:type="page"/>
      </w:r>
    </w:p>
    <w:p>
      <w:pPr>
        <w:pStyle w:val="3"/>
        <w:ind w:right="440"/>
        <w:jc w:val="center"/>
        <w:rPr>
          <w:rStyle w:val="25"/>
          <w:rFonts w:ascii="黑体" w:hAnsi="黑体" w:eastAsia="黑体"/>
          <w:b w:val="0"/>
          <w:bCs/>
        </w:rPr>
      </w:pPr>
      <w:bookmarkStart w:id="16" w:name="_Toc15396602"/>
      <w:bookmarkStart w:id="17" w:name="_Toc15377204"/>
      <w:r>
        <w:rPr>
          <w:rFonts w:hint="eastAsia" w:ascii="黑体" w:hAnsi="黑体" w:eastAsia="黑体"/>
          <w:b w:val="0"/>
        </w:rPr>
        <w:t>第二部分 2021年度</w:t>
      </w:r>
      <w:r>
        <w:rPr>
          <w:rStyle w:val="25"/>
          <w:rFonts w:hint="eastAsia" w:ascii="黑体" w:hAnsi="黑体" w:eastAsia="黑体"/>
          <w:b w:val="0"/>
          <w:bCs/>
        </w:rPr>
        <w:t>部门决算情况说明</w:t>
      </w:r>
      <w:bookmarkEnd w:id="16"/>
      <w:bookmarkEnd w:id="17"/>
    </w:p>
    <w:p/>
    <w:p>
      <w:pPr>
        <w:pStyle w:val="24"/>
        <w:numPr>
          <w:ilvl w:val="0"/>
          <w:numId w:val="1"/>
        </w:numPr>
        <w:spacing w:line="600" w:lineRule="exact"/>
        <w:ind w:firstLineChars="0"/>
        <w:outlineLvl w:val="1"/>
        <w:rPr>
          <w:rStyle w:val="26"/>
          <w:rFonts w:ascii="黑体" w:hAnsi="黑体" w:eastAsia="黑体"/>
          <w:b w:val="0"/>
        </w:rPr>
      </w:pPr>
      <w:bookmarkStart w:id="18" w:name="_Toc15377205"/>
      <w:bookmarkStart w:id="19" w:name="_Toc15396603"/>
      <w:r>
        <w:rPr>
          <w:rFonts w:hint="eastAsia" w:ascii="黑体" w:hAnsi="黑体" w:eastAsia="黑体"/>
          <w:sz w:val="32"/>
          <w:szCs w:val="32"/>
        </w:rPr>
        <w:t>收</w:t>
      </w:r>
      <w:r>
        <w:rPr>
          <w:rStyle w:val="26"/>
          <w:rFonts w:hint="eastAsia" w:ascii="黑体" w:hAnsi="黑体" w:eastAsia="黑体"/>
          <w:b w:val="0"/>
        </w:rPr>
        <w:t>入支出决算总体情况说明</w:t>
      </w:r>
      <w:bookmarkEnd w:id="18"/>
      <w:bookmarkEnd w:id="19"/>
    </w:p>
    <w:p>
      <w:pPr>
        <w:spacing w:line="550" w:lineRule="exact"/>
        <w:ind w:firstLine="640" w:firstLineChars="200"/>
        <w:rPr>
          <w:rFonts w:ascii="仿宋_GB2312" w:hAnsi="仿宋" w:eastAsia="仿宋_GB2312"/>
          <w:sz w:val="32"/>
          <w:szCs w:val="32"/>
        </w:rPr>
      </w:pPr>
      <w:r>
        <w:rPr>
          <w:rFonts w:hint="eastAsia" w:ascii="仿宋" w:hAnsi="仿宋" w:eastAsia="仿宋"/>
          <w:sz w:val="32"/>
          <w:szCs w:val="32"/>
        </w:rPr>
        <w:t>2021年度收、支总计</w:t>
      </w:r>
      <w:r>
        <w:rPr>
          <w:rFonts w:ascii="仿宋" w:hAnsi="仿宋" w:eastAsia="仿宋"/>
          <w:sz w:val="32"/>
          <w:szCs w:val="32"/>
        </w:rPr>
        <w:t>46543.44</w:t>
      </w:r>
      <w:r>
        <w:rPr>
          <w:rFonts w:hint="eastAsia" w:ascii="仿宋" w:hAnsi="仿宋" w:eastAsia="仿宋"/>
          <w:sz w:val="32"/>
          <w:szCs w:val="32"/>
        </w:rPr>
        <w:t>万元。与2020年相比，</w:t>
      </w:r>
      <w:r>
        <w:rPr>
          <w:rFonts w:hint="eastAsia" w:ascii="仿宋_GB2312" w:hAnsi="仿宋" w:eastAsia="仿宋_GB2312" w:cs="仿宋"/>
          <w:color w:val="000000"/>
          <w:sz w:val="32"/>
          <w:szCs w:val="32"/>
        </w:rPr>
        <w:t>与2020年相比，本年收入增加3105.99万元，增长7.67%，主要是因为老旧小区改造全面推开、第六水厂建设推进，相应预算安排增加；支出增加9720.96万元，增长26.4%，主要是因为老旧小区、棚户区改造和第六水厂建设推进，相应支出增加。</w:t>
      </w:r>
    </w:p>
    <w:p>
      <w:pPr>
        <w:spacing w:line="600" w:lineRule="exact"/>
        <w:ind w:firstLine="640" w:firstLineChars="200"/>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59264" behindDoc="0" locked="0" layoutInCell="1" allowOverlap="1">
            <wp:simplePos x="0" y="0"/>
            <wp:positionH relativeFrom="column">
              <wp:posOffset>238125</wp:posOffset>
            </wp:positionH>
            <wp:positionV relativeFrom="paragraph">
              <wp:posOffset>620395</wp:posOffset>
            </wp:positionV>
            <wp:extent cx="4781550" cy="2190750"/>
            <wp:effectExtent l="0" t="0" r="0" b="0"/>
            <wp:wrapSquare wrapText="bothSides"/>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r>
        <w:rPr>
          <w:rFonts w:hint="eastAsia" w:ascii="仿宋" w:hAnsi="仿宋" w:eastAsia="仿宋"/>
          <w:sz w:val="32"/>
          <w:szCs w:val="32"/>
        </w:rPr>
        <w:t>（图</w:t>
      </w:r>
      <w:r>
        <w:rPr>
          <w:rFonts w:ascii="仿宋" w:hAnsi="仿宋" w:eastAsia="仿宋"/>
          <w:sz w:val="32"/>
          <w:szCs w:val="32"/>
        </w:rPr>
        <w:t>1</w:t>
      </w:r>
      <w:r>
        <w:rPr>
          <w:rFonts w:hint="eastAsia" w:ascii="仿宋" w:hAnsi="仿宋" w:eastAsia="仿宋"/>
          <w:sz w:val="32"/>
          <w:szCs w:val="32"/>
        </w:rPr>
        <w:t>：收、支决算总计变动情况图）</w:t>
      </w:r>
    </w:p>
    <w:p>
      <w:pPr>
        <w:pStyle w:val="2"/>
        <w:spacing w:before="93"/>
      </w:pPr>
    </w:p>
    <w:p>
      <w:pPr>
        <w:pStyle w:val="24"/>
        <w:numPr>
          <w:ilvl w:val="0"/>
          <w:numId w:val="1"/>
        </w:numPr>
        <w:spacing w:line="600" w:lineRule="exact"/>
        <w:ind w:firstLineChars="0"/>
        <w:outlineLvl w:val="1"/>
        <w:rPr>
          <w:rStyle w:val="26"/>
          <w:rFonts w:ascii="黑体" w:hAnsi="黑体" w:eastAsia="黑体"/>
          <w:b w:val="0"/>
        </w:rPr>
      </w:pPr>
      <w:bookmarkStart w:id="20" w:name="_Toc15377206"/>
      <w:bookmarkStart w:id="21" w:name="_Toc15396604"/>
      <w:r>
        <w:rPr>
          <w:rFonts w:hint="eastAsia" w:ascii="黑体" w:hAnsi="黑体" w:eastAsia="黑体"/>
          <w:sz w:val="32"/>
          <w:szCs w:val="32"/>
        </w:rPr>
        <w:t>收</w:t>
      </w:r>
      <w:r>
        <w:rPr>
          <w:rStyle w:val="26"/>
          <w:rFonts w:hint="eastAsia" w:ascii="黑体" w:hAnsi="黑体" w:eastAsia="黑体"/>
          <w:b w:val="0"/>
        </w:rPr>
        <w:t>入决算情况说明</w:t>
      </w:r>
      <w:bookmarkEnd w:id="20"/>
      <w:bookmarkEnd w:id="21"/>
    </w:p>
    <w:p>
      <w:pPr>
        <w:spacing w:line="600" w:lineRule="exact"/>
        <w:ind w:firstLine="640" w:firstLineChars="200"/>
        <w:outlineLvl w:val="1"/>
        <w:rPr>
          <w:rFonts w:ascii="仿宋" w:hAnsi="仿宋" w:eastAsia="仿宋"/>
          <w:sz w:val="32"/>
          <w:szCs w:val="32"/>
        </w:rPr>
      </w:pPr>
      <w:bookmarkStart w:id="22" w:name="_Toc114738607"/>
      <w:r>
        <w:rPr>
          <w:rFonts w:ascii="仿宋" w:hAnsi="仿宋" w:eastAsia="仿宋"/>
          <w:sz w:val="32"/>
          <w:szCs w:val="32"/>
        </w:rPr>
        <w:t>20</w:t>
      </w:r>
      <w:r>
        <w:rPr>
          <w:rFonts w:hint="eastAsia" w:ascii="仿宋" w:hAnsi="仿宋" w:eastAsia="仿宋"/>
          <w:sz w:val="32"/>
          <w:szCs w:val="32"/>
        </w:rPr>
        <w:t>21年本年收入合计</w:t>
      </w:r>
      <w:r>
        <w:rPr>
          <w:rFonts w:ascii="仿宋" w:hAnsi="仿宋" w:eastAsia="仿宋"/>
          <w:sz w:val="32"/>
          <w:szCs w:val="32"/>
        </w:rPr>
        <w:t>43594.47</w:t>
      </w:r>
      <w:r>
        <w:rPr>
          <w:rFonts w:hint="eastAsia" w:ascii="仿宋" w:hAnsi="仿宋" w:eastAsia="仿宋"/>
          <w:sz w:val="32"/>
          <w:szCs w:val="32"/>
        </w:rPr>
        <w:t>万元，其中：一般公共预算财政拨款收入</w:t>
      </w:r>
      <w:r>
        <w:rPr>
          <w:rFonts w:ascii="仿宋" w:hAnsi="仿宋" w:eastAsia="仿宋"/>
          <w:sz w:val="32"/>
          <w:szCs w:val="32"/>
        </w:rPr>
        <w:t>22555.14</w:t>
      </w:r>
      <w:r>
        <w:rPr>
          <w:rFonts w:hint="eastAsia" w:ascii="仿宋" w:hAnsi="仿宋" w:eastAsia="仿宋"/>
          <w:sz w:val="32"/>
          <w:szCs w:val="32"/>
        </w:rPr>
        <w:t>万元，占</w:t>
      </w:r>
      <w:r>
        <w:rPr>
          <w:rFonts w:ascii="仿宋" w:hAnsi="仿宋" w:eastAsia="仿宋"/>
          <w:sz w:val="32"/>
          <w:szCs w:val="32"/>
        </w:rPr>
        <w:t>51.74%</w:t>
      </w:r>
      <w:r>
        <w:rPr>
          <w:rFonts w:hint="eastAsia" w:ascii="仿宋" w:hAnsi="仿宋" w:eastAsia="仿宋"/>
          <w:sz w:val="32"/>
          <w:szCs w:val="32"/>
        </w:rPr>
        <w:t>；政府性基金预算财政拨款收入</w:t>
      </w:r>
      <w:r>
        <w:rPr>
          <w:rFonts w:ascii="仿宋" w:hAnsi="仿宋" w:eastAsia="仿宋"/>
          <w:sz w:val="32"/>
          <w:szCs w:val="32"/>
        </w:rPr>
        <w:t>21039.33</w:t>
      </w:r>
      <w:r>
        <w:rPr>
          <w:rFonts w:hint="eastAsia" w:ascii="仿宋" w:hAnsi="仿宋" w:eastAsia="仿宋"/>
          <w:sz w:val="32"/>
          <w:szCs w:val="32"/>
        </w:rPr>
        <w:t>万元，占</w:t>
      </w:r>
      <w:r>
        <w:rPr>
          <w:rFonts w:ascii="仿宋" w:hAnsi="仿宋" w:eastAsia="仿宋"/>
          <w:sz w:val="32"/>
          <w:szCs w:val="32"/>
        </w:rPr>
        <w:t>48.26%</w:t>
      </w:r>
      <w:r>
        <w:rPr>
          <w:rFonts w:hint="eastAsia" w:ascii="仿宋" w:hAnsi="仿宋" w:eastAsia="仿宋"/>
          <w:sz w:val="32"/>
          <w:szCs w:val="32"/>
        </w:rPr>
        <w:t>；国有资本经营预算财政拨款收入</w:t>
      </w:r>
      <w:r>
        <w:rPr>
          <w:rFonts w:ascii="仿宋" w:hAnsi="仿宋" w:eastAsia="仿宋"/>
          <w:sz w:val="32"/>
          <w:szCs w:val="32"/>
        </w:rPr>
        <w:t>0</w:t>
      </w:r>
      <w:r>
        <w:rPr>
          <w:rFonts w:hint="eastAsia" w:ascii="仿宋" w:hAnsi="仿宋" w:eastAsia="仿宋"/>
          <w:sz w:val="32"/>
          <w:szCs w:val="32"/>
        </w:rPr>
        <w:t>万元；上级补助收入</w:t>
      </w:r>
      <w:r>
        <w:rPr>
          <w:rFonts w:ascii="仿宋" w:hAnsi="仿宋" w:eastAsia="仿宋"/>
          <w:sz w:val="32"/>
          <w:szCs w:val="32"/>
        </w:rPr>
        <w:t>0</w:t>
      </w:r>
      <w:r>
        <w:rPr>
          <w:rFonts w:hint="eastAsia" w:ascii="仿宋" w:hAnsi="仿宋" w:eastAsia="仿宋"/>
          <w:sz w:val="32"/>
          <w:szCs w:val="32"/>
        </w:rPr>
        <w:t>万元；事业收入</w:t>
      </w:r>
      <w:r>
        <w:rPr>
          <w:rFonts w:ascii="仿宋" w:hAnsi="仿宋" w:eastAsia="仿宋"/>
          <w:sz w:val="32"/>
          <w:szCs w:val="32"/>
        </w:rPr>
        <w:t>0</w:t>
      </w:r>
      <w:r>
        <w:rPr>
          <w:rFonts w:hint="eastAsia" w:ascii="仿宋" w:hAnsi="仿宋" w:eastAsia="仿宋"/>
          <w:sz w:val="32"/>
          <w:szCs w:val="32"/>
        </w:rPr>
        <w:t>万元；经营收入</w:t>
      </w:r>
      <w:r>
        <w:rPr>
          <w:rFonts w:ascii="仿宋" w:hAnsi="仿宋" w:eastAsia="仿宋"/>
          <w:sz w:val="32"/>
          <w:szCs w:val="32"/>
        </w:rPr>
        <w:t>0</w:t>
      </w:r>
      <w:r>
        <w:rPr>
          <w:rFonts w:hint="eastAsia" w:ascii="仿宋" w:hAnsi="仿宋" w:eastAsia="仿宋"/>
          <w:sz w:val="32"/>
          <w:szCs w:val="32"/>
        </w:rPr>
        <w:t>万元；附属单位上缴收入</w:t>
      </w:r>
      <w:r>
        <w:rPr>
          <w:rFonts w:ascii="仿宋" w:hAnsi="仿宋" w:eastAsia="仿宋"/>
          <w:sz w:val="32"/>
          <w:szCs w:val="32"/>
        </w:rPr>
        <w:t>0</w:t>
      </w:r>
      <w:r>
        <w:rPr>
          <w:rFonts w:hint="eastAsia" w:ascii="仿宋" w:hAnsi="仿宋" w:eastAsia="仿宋"/>
          <w:sz w:val="32"/>
          <w:szCs w:val="32"/>
        </w:rPr>
        <w:t>万元；其他收入</w:t>
      </w:r>
      <w:r>
        <w:rPr>
          <w:rFonts w:ascii="仿宋" w:hAnsi="仿宋" w:eastAsia="仿宋"/>
          <w:sz w:val="32"/>
          <w:szCs w:val="32"/>
        </w:rPr>
        <w:t>0</w:t>
      </w:r>
      <w:r>
        <w:rPr>
          <w:rFonts w:hint="eastAsia" w:ascii="仿宋" w:hAnsi="仿宋" w:eastAsia="仿宋"/>
          <w:sz w:val="32"/>
          <w:szCs w:val="32"/>
        </w:rPr>
        <w:t>万元。</w:t>
      </w:r>
      <w:bookmarkEnd w:id="22"/>
    </w:p>
    <w:p>
      <w:pPr>
        <w:spacing w:line="600" w:lineRule="exact"/>
        <w:ind w:firstLine="640" w:firstLineChars="200"/>
        <w:rPr>
          <w:rFonts w:ascii="仿宋" w:hAnsi="仿宋" w:eastAsia="仿宋"/>
          <w:sz w:val="32"/>
          <w:szCs w:val="32"/>
        </w:rPr>
      </w:pPr>
      <w:r>
        <w:rPr>
          <w:rFonts w:ascii="仿宋_GB2312" w:eastAsia="仿宋_GB2312"/>
          <w:color w:val="FF0000"/>
          <w:sz w:val="32"/>
          <w:szCs w:val="32"/>
        </w:rPr>
        <w:drawing>
          <wp:anchor distT="0" distB="0" distL="114300" distR="114300" simplePos="0" relativeHeight="251660288" behindDoc="0" locked="0" layoutInCell="1" allowOverlap="1">
            <wp:simplePos x="0" y="0"/>
            <wp:positionH relativeFrom="column">
              <wp:posOffset>114300</wp:posOffset>
            </wp:positionH>
            <wp:positionV relativeFrom="paragraph">
              <wp:posOffset>609600</wp:posOffset>
            </wp:positionV>
            <wp:extent cx="4848225" cy="2009775"/>
            <wp:effectExtent l="0" t="0" r="9525" b="9525"/>
            <wp:wrapSquare wrapText="bothSides"/>
            <wp:docPr id="5"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hint="eastAsia" w:ascii="仿宋" w:hAnsi="仿宋" w:eastAsia="仿宋"/>
          <w:sz w:val="32"/>
          <w:szCs w:val="32"/>
        </w:rPr>
        <w:t>（图2：收入决算结构图）</w:t>
      </w:r>
    </w:p>
    <w:p>
      <w:pPr>
        <w:pStyle w:val="2"/>
        <w:spacing w:before="93"/>
      </w:pPr>
    </w:p>
    <w:p>
      <w:pPr>
        <w:pStyle w:val="24"/>
        <w:numPr>
          <w:ilvl w:val="0"/>
          <w:numId w:val="1"/>
        </w:numPr>
        <w:spacing w:line="600" w:lineRule="exact"/>
        <w:ind w:firstLineChars="0"/>
        <w:outlineLvl w:val="1"/>
        <w:rPr>
          <w:rStyle w:val="26"/>
          <w:rFonts w:ascii="黑体" w:hAnsi="黑体" w:eastAsia="黑体"/>
          <w:b w:val="0"/>
        </w:rPr>
      </w:pPr>
      <w:bookmarkStart w:id="23" w:name="_Toc15396605"/>
      <w:bookmarkStart w:id="24" w:name="_Toc114738608"/>
      <w:bookmarkStart w:id="25" w:name="_Toc15377207"/>
      <w:r>
        <w:rPr>
          <w:rFonts w:hint="eastAsia" w:ascii="黑体" w:hAnsi="黑体" w:eastAsia="黑体"/>
          <w:sz w:val="32"/>
          <w:szCs w:val="32"/>
        </w:rPr>
        <w:t>支</w:t>
      </w:r>
      <w:r>
        <w:rPr>
          <w:rStyle w:val="26"/>
          <w:rFonts w:hint="eastAsia" w:ascii="黑体" w:hAnsi="黑体" w:eastAsia="黑体"/>
          <w:b w:val="0"/>
        </w:rPr>
        <w:t>出决算情况说明</w:t>
      </w:r>
      <w:bookmarkEnd w:id="23"/>
      <w:bookmarkEnd w:id="24"/>
      <w:bookmarkEnd w:id="25"/>
    </w:p>
    <w:p>
      <w:pPr>
        <w:spacing w:line="600" w:lineRule="exact"/>
        <w:ind w:firstLine="640" w:firstLineChars="200"/>
        <w:outlineLvl w:val="1"/>
        <w:rPr>
          <w:rFonts w:ascii="仿宋" w:hAnsi="仿宋" w:eastAsia="仿宋"/>
          <w:sz w:val="32"/>
          <w:szCs w:val="32"/>
        </w:rPr>
      </w:pPr>
      <w:bookmarkStart w:id="26" w:name="_Toc114738609"/>
      <w:r>
        <w:rPr>
          <w:rFonts w:ascii="仿宋" w:hAnsi="仿宋" w:eastAsia="仿宋"/>
          <w:sz w:val="32"/>
          <w:szCs w:val="32"/>
        </w:rPr>
        <w:t>20</w:t>
      </w:r>
      <w:r>
        <w:rPr>
          <w:rFonts w:hint="eastAsia" w:ascii="仿宋" w:hAnsi="仿宋" w:eastAsia="仿宋"/>
          <w:sz w:val="32"/>
          <w:szCs w:val="32"/>
        </w:rPr>
        <w:t>21年本年支出合计</w:t>
      </w:r>
      <w:r>
        <w:rPr>
          <w:rFonts w:ascii="仿宋" w:hAnsi="仿宋" w:eastAsia="仿宋"/>
          <w:sz w:val="32"/>
          <w:szCs w:val="32"/>
        </w:rPr>
        <w:t>46543.44</w:t>
      </w:r>
      <w:r>
        <w:rPr>
          <w:rFonts w:hint="eastAsia" w:ascii="仿宋" w:hAnsi="仿宋" w:eastAsia="仿宋"/>
          <w:sz w:val="32"/>
          <w:szCs w:val="32"/>
        </w:rPr>
        <w:t>万元，其中：</w:t>
      </w:r>
      <w:r>
        <w:rPr>
          <w:rFonts w:hint="eastAsia" w:ascii="仿宋_GB2312" w:hAnsi="仿宋" w:eastAsia="仿宋_GB2312"/>
          <w:sz w:val="32"/>
          <w:szCs w:val="32"/>
        </w:rPr>
        <w:t>其中：基本支出969.8</w:t>
      </w:r>
      <w:r>
        <w:rPr>
          <w:rFonts w:ascii="仿宋_GB2312" w:hAnsi="仿宋" w:eastAsia="仿宋_GB2312"/>
          <w:sz w:val="32"/>
          <w:szCs w:val="32"/>
        </w:rPr>
        <w:t>4</w:t>
      </w:r>
      <w:r>
        <w:rPr>
          <w:rFonts w:hint="eastAsia" w:ascii="仿宋_GB2312" w:hAnsi="仿宋" w:eastAsia="仿宋_GB2312"/>
          <w:sz w:val="32"/>
          <w:szCs w:val="32"/>
        </w:rPr>
        <w:t>万元，占2.08%；项目支出45573.</w:t>
      </w:r>
      <w:r>
        <w:rPr>
          <w:rFonts w:ascii="仿宋_GB2312" w:hAnsi="仿宋" w:eastAsia="仿宋_GB2312"/>
          <w:sz w:val="32"/>
          <w:szCs w:val="32"/>
        </w:rPr>
        <w:t>60</w:t>
      </w:r>
      <w:r>
        <w:rPr>
          <w:rFonts w:hint="eastAsia" w:ascii="仿宋_GB2312" w:hAnsi="仿宋" w:eastAsia="仿宋_GB2312"/>
          <w:sz w:val="32"/>
          <w:szCs w:val="32"/>
        </w:rPr>
        <w:t>万元，占97.92%</w:t>
      </w:r>
      <w:r>
        <w:rPr>
          <w:rFonts w:hint="eastAsia" w:ascii="仿宋" w:hAnsi="仿宋" w:eastAsia="仿宋"/>
          <w:sz w:val="32"/>
          <w:szCs w:val="32"/>
        </w:rPr>
        <w:t>；上缴上级支出</w:t>
      </w:r>
      <w:r>
        <w:rPr>
          <w:rFonts w:ascii="仿宋" w:hAnsi="仿宋" w:eastAsia="仿宋"/>
          <w:sz w:val="32"/>
          <w:szCs w:val="32"/>
        </w:rPr>
        <w:t>0</w:t>
      </w:r>
      <w:r>
        <w:rPr>
          <w:rFonts w:hint="eastAsia" w:ascii="仿宋" w:hAnsi="仿宋" w:eastAsia="仿宋"/>
          <w:sz w:val="32"/>
          <w:szCs w:val="32"/>
        </w:rPr>
        <w:t>万元，经营支出0万元，对附属单位补助支出</w:t>
      </w:r>
      <w:r>
        <w:rPr>
          <w:rFonts w:ascii="仿宋" w:hAnsi="仿宋" w:eastAsia="仿宋"/>
          <w:sz w:val="32"/>
          <w:szCs w:val="32"/>
        </w:rPr>
        <w:t>0</w:t>
      </w:r>
      <w:r>
        <w:rPr>
          <w:rFonts w:hint="eastAsia" w:ascii="仿宋" w:hAnsi="仿宋" w:eastAsia="仿宋"/>
          <w:sz w:val="32"/>
          <w:szCs w:val="32"/>
        </w:rPr>
        <w:t>万元。</w:t>
      </w:r>
      <w:bookmarkEnd w:id="26"/>
    </w:p>
    <w:p>
      <w:pPr>
        <w:spacing w:line="600" w:lineRule="exact"/>
        <w:ind w:firstLine="640" w:firstLineChars="200"/>
        <w:rPr>
          <w:rFonts w:ascii="仿宋" w:hAnsi="仿宋" w:eastAsia="仿宋"/>
          <w:sz w:val="32"/>
          <w:szCs w:val="32"/>
        </w:rPr>
      </w:pPr>
      <w:r>
        <w:rPr>
          <w:rFonts w:hint="eastAsia" w:ascii="仿宋_GB2312" w:eastAsia="仿宋_GB2312"/>
          <w:color w:val="FF0000"/>
          <w:sz w:val="32"/>
          <w:szCs w:val="32"/>
        </w:rPr>
        <w:drawing>
          <wp:anchor distT="0" distB="0" distL="114300" distR="114300" simplePos="0" relativeHeight="251661312" behindDoc="0" locked="0" layoutInCell="1" allowOverlap="1">
            <wp:simplePos x="0" y="0"/>
            <wp:positionH relativeFrom="column">
              <wp:posOffset>285750</wp:posOffset>
            </wp:positionH>
            <wp:positionV relativeFrom="paragraph">
              <wp:posOffset>525780</wp:posOffset>
            </wp:positionV>
            <wp:extent cx="4810125" cy="1809750"/>
            <wp:effectExtent l="0" t="0" r="9525" b="0"/>
            <wp:wrapSquare wrapText="bothSides"/>
            <wp:docPr id="4"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sz w:val="32"/>
          <w:szCs w:val="32"/>
        </w:rPr>
        <w:t>（图3：支出决算结构图）</w:t>
      </w:r>
    </w:p>
    <w:p>
      <w:pPr>
        <w:spacing w:line="600" w:lineRule="exact"/>
        <w:ind w:firstLine="640" w:firstLineChars="200"/>
        <w:outlineLvl w:val="1"/>
        <w:rPr>
          <w:rStyle w:val="26"/>
          <w:rFonts w:ascii="黑体" w:hAnsi="黑体" w:eastAsia="黑体"/>
          <w:b w:val="0"/>
        </w:rPr>
      </w:pPr>
      <w:bookmarkStart w:id="27" w:name="_Toc15377208"/>
      <w:bookmarkStart w:id="28" w:name="_Toc114738610"/>
      <w:bookmarkStart w:id="29" w:name="_Toc15396606"/>
      <w:r>
        <w:rPr>
          <w:rFonts w:hint="eastAsia" w:ascii="黑体" w:hAnsi="黑体" w:eastAsia="黑体"/>
          <w:sz w:val="32"/>
          <w:szCs w:val="32"/>
        </w:rPr>
        <w:t>四、财</w:t>
      </w:r>
      <w:r>
        <w:rPr>
          <w:rStyle w:val="26"/>
          <w:rFonts w:hint="eastAsia" w:ascii="黑体" w:hAnsi="黑体" w:eastAsia="黑体"/>
          <w:b w:val="0"/>
        </w:rPr>
        <w:t>政拨款收入支出决算总体情况说明</w:t>
      </w:r>
      <w:bookmarkEnd w:id="27"/>
      <w:bookmarkEnd w:id="28"/>
      <w:bookmarkEnd w:id="29"/>
    </w:p>
    <w:p>
      <w:pPr>
        <w:spacing w:line="550" w:lineRule="exact"/>
        <w:ind w:firstLine="640" w:firstLineChars="200"/>
        <w:rPr>
          <w:rFonts w:ascii="仿宋_GB2312" w:hAnsi="仿宋" w:eastAsia="仿宋_GB2312"/>
          <w:sz w:val="32"/>
          <w:szCs w:val="32"/>
        </w:rPr>
      </w:pPr>
      <w:r>
        <w:rPr>
          <w:rFonts w:ascii="仿宋" w:hAnsi="仿宋" w:eastAsia="仿宋"/>
          <w:sz w:val="32"/>
          <w:szCs w:val="32"/>
        </w:rPr>
        <w:t>20</w:t>
      </w:r>
      <w:r>
        <w:rPr>
          <w:rFonts w:hint="eastAsia" w:ascii="仿宋" w:hAnsi="仿宋" w:eastAsia="仿宋"/>
          <w:sz w:val="32"/>
          <w:szCs w:val="32"/>
        </w:rPr>
        <w:t>21年财政拨款收、支总计</w:t>
      </w:r>
      <w:r>
        <w:rPr>
          <w:rFonts w:ascii="仿宋" w:hAnsi="仿宋" w:eastAsia="仿宋"/>
          <w:sz w:val="32"/>
          <w:szCs w:val="32"/>
        </w:rPr>
        <w:t>46543.44</w:t>
      </w:r>
      <w:r>
        <w:rPr>
          <w:rFonts w:hint="eastAsia" w:ascii="仿宋" w:hAnsi="仿宋" w:eastAsia="仿宋"/>
          <w:sz w:val="32"/>
          <w:szCs w:val="32"/>
        </w:rPr>
        <w:t>万元。与2020年相比，</w:t>
      </w:r>
      <w:r>
        <w:rPr>
          <w:rFonts w:hint="eastAsia" w:ascii="仿宋_GB2312" w:hAnsi="仿宋" w:eastAsia="仿宋_GB2312" w:cs="仿宋"/>
          <w:color w:val="000000"/>
          <w:sz w:val="32"/>
          <w:szCs w:val="32"/>
        </w:rPr>
        <w:t>与2020年相比，本年收入增加3105.99万元，增长7.67%，主要是因为老旧小区改造全面推开、第六水厂建设推进，相应预算安排增加；支出增加9720.96万元，增长26.4%，主要是因为老旧小区、棚户区改造和第六水厂建设推进，相应支出增加。</w:t>
      </w:r>
    </w:p>
    <w:p>
      <w:pPr>
        <w:spacing w:line="600" w:lineRule="exact"/>
        <w:ind w:firstLine="640" w:firstLineChars="200"/>
        <w:rPr>
          <w:rFonts w:ascii="仿宋" w:hAnsi="仿宋" w:eastAsia="仿宋"/>
          <w:sz w:val="32"/>
          <w:szCs w:val="32"/>
        </w:rPr>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4384" behindDoc="0" locked="0" layoutInCell="1" allowOverlap="1">
            <wp:simplePos x="0" y="0"/>
            <wp:positionH relativeFrom="column">
              <wp:posOffset>189865</wp:posOffset>
            </wp:positionH>
            <wp:positionV relativeFrom="paragraph">
              <wp:posOffset>635000</wp:posOffset>
            </wp:positionV>
            <wp:extent cx="4848225" cy="1895475"/>
            <wp:effectExtent l="0" t="0" r="9525" b="9525"/>
            <wp:wrapSquare wrapText="bothSides"/>
            <wp:docPr id="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hint="eastAsia" w:ascii="仿宋" w:hAnsi="仿宋" w:eastAsia="仿宋"/>
          <w:sz w:val="32"/>
          <w:szCs w:val="32"/>
        </w:rPr>
        <w:t>（图4：财政拨款收、支决算总计变动情况）</w:t>
      </w:r>
    </w:p>
    <w:p>
      <w:pPr>
        <w:spacing w:line="600" w:lineRule="exact"/>
        <w:ind w:firstLine="640" w:firstLineChars="200"/>
        <w:outlineLvl w:val="1"/>
        <w:rPr>
          <w:rStyle w:val="26"/>
          <w:rFonts w:ascii="黑体" w:hAnsi="黑体" w:eastAsia="黑体"/>
          <w:b w:val="0"/>
        </w:rPr>
      </w:pPr>
      <w:bookmarkStart w:id="30" w:name="_Toc15396607"/>
      <w:bookmarkStart w:id="31" w:name="_Toc15377209"/>
      <w:r>
        <w:rPr>
          <w:rFonts w:hint="eastAsia" w:ascii="黑体" w:hAnsi="黑体" w:eastAsia="黑体"/>
          <w:sz w:val="32"/>
          <w:szCs w:val="32"/>
        </w:rPr>
        <w:t>五、</w:t>
      </w:r>
      <w:r>
        <w:rPr>
          <w:rFonts w:hint="eastAsia" w:ascii="黑体" w:hAnsi="黑体" w:eastAsia="黑体"/>
          <w:b/>
          <w:sz w:val="32"/>
          <w:szCs w:val="32"/>
        </w:rPr>
        <w:t>一</w:t>
      </w:r>
      <w:r>
        <w:rPr>
          <w:rStyle w:val="26"/>
          <w:rFonts w:hint="eastAsia" w:ascii="黑体" w:hAnsi="黑体" w:eastAsia="黑体"/>
          <w:b w:val="0"/>
        </w:rPr>
        <w:t>般公共预算财政拨款支出决算情况说明</w:t>
      </w:r>
      <w:bookmarkEnd w:id="30"/>
      <w:bookmarkEnd w:id="31"/>
    </w:p>
    <w:p>
      <w:pPr>
        <w:spacing w:line="600" w:lineRule="exact"/>
        <w:ind w:firstLine="642" w:firstLineChars="200"/>
        <w:outlineLvl w:val="2"/>
        <w:rPr>
          <w:rFonts w:ascii="仿宋" w:hAnsi="仿宋" w:eastAsia="仿宋"/>
          <w:b/>
          <w:sz w:val="32"/>
          <w:szCs w:val="32"/>
        </w:rPr>
      </w:pPr>
      <w:bookmarkStart w:id="32" w:name="_Toc15377210"/>
      <w:r>
        <w:rPr>
          <w:rFonts w:hint="eastAsia" w:ascii="仿宋" w:hAnsi="仿宋" w:eastAsia="仿宋"/>
          <w:b/>
          <w:sz w:val="32"/>
          <w:szCs w:val="32"/>
        </w:rPr>
        <w:t>（一）一般公共预算财政拨款支出决算总体情况</w:t>
      </w:r>
      <w:bookmarkEnd w:id="32"/>
    </w:p>
    <w:p>
      <w:pPr>
        <w:spacing w:line="600" w:lineRule="exact"/>
        <w:ind w:firstLine="640" w:firstLineChars="20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ascii="仿宋" w:hAnsi="仿宋" w:eastAsia="仿宋"/>
          <w:sz w:val="32"/>
          <w:szCs w:val="32"/>
        </w:rPr>
        <w:t>25504.11</w:t>
      </w:r>
      <w:r>
        <w:rPr>
          <w:rFonts w:hint="eastAsia" w:ascii="仿宋" w:hAnsi="仿宋" w:eastAsia="仿宋"/>
          <w:sz w:val="32"/>
          <w:szCs w:val="32"/>
        </w:rPr>
        <w:t>万元，占本年支出合计的</w:t>
      </w:r>
      <w:r>
        <w:rPr>
          <w:rFonts w:ascii="仿宋" w:hAnsi="仿宋" w:eastAsia="仿宋"/>
          <w:sz w:val="32"/>
          <w:szCs w:val="32"/>
        </w:rPr>
        <w:t>54.8%</w:t>
      </w:r>
      <w:r>
        <w:rPr>
          <w:rFonts w:hint="eastAsia" w:ascii="仿宋" w:hAnsi="仿宋" w:eastAsia="仿宋"/>
          <w:sz w:val="32"/>
          <w:szCs w:val="32"/>
        </w:rPr>
        <w:t>。</w:t>
      </w:r>
      <w:r>
        <w:rPr>
          <w:rFonts w:hint="eastAsia" w:ascii="仿宋_GB2312" w:hAnsi="仿宋" w:eastAsia="仿宋_GB2312"/>
          <w:kern w:val="0"/>
          <w:sz w:val="32"/>
          <w:szCs w:val="32"/>
        </w:rPr>
        <w:t>比2020年增加10406.15万元，增长68.92%，主要是老旧小区改造推动。</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（图5：一般公共预算财政拨款支出决算变动情况）</w:t>
      </w:r>
    </w:p>
    <w:p>
      <w:pPr>
        <w:pStyle w:val="2"/>
        <w:spacing w:before="93"/>
      </w:pPr>
      <w:r>
        <w:rPr>
          <w:rFonts w:hint="eastAsia" w:ascii="仿宋" w:hAnsi="仿宋" w:eastAsia="仿宋"/>
          <w:color w:val="000000" w:themeColor="text1"/>
          <w:sz w:val="32"/>
          <w:szCs w:val="32"/>
          <w14:textFill>
            <w14:solidFill>
              <w14:schemeClr w14:val="tx1"/>
            </w14:solidFill>
          </w14:textFill>
        </w:rPr>
        <w:drawing>
          <wp:anchor distT="0" distB="0" distL="114300" distR="114300" simplePos="0" relativeHeight="251662336" behindDoc="0" locked="0" layoutInCell="1" allowOverlap="1">
            <wp:simplePos x="0" y="0"/>
            <wp:positionH relativeFrom="column">
              <wp:posOffset>190500</wp:posOffset>
            </wp:positionH>
            <wp:positionV relativeFrom="paragraph">
              <wp:posOffset>139065</wp:posOffset>
            </wp:positionV>
            <wp:extent cx="4655820" cy="1876425"/>
            <wp:effectExtent l="0" t="0" r="11430" b="9525"/>
            <wp:wrapSquare wrapText="bothSides"/>
            <wp:docPr id="12" name="图表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
        <w:spacing w:before="93"/>
      </w:pPr>
    </w:p>
    <w:p>
      <w:pPr>
        <w:pStyle w:val="2"/>
        <w:spacing w:before="93"/>
      </w:pPr>
    </w:p>
    <w:p>
      <w:pPr>
        <w:pStyle w:val="2"/>
        <w:spacing w:before="93"/>
      </w:pPr>
    </w:p>
    <w:p>
      <w:pPr>
        <w:spacing w:line="600" w:lineRule="exact"/>
        <w:outlineLvl w:val="2"/>
        <w:rPr>
          <w:rFonts w:ascii="仿宋" w:hAnsi="仿宋" w:eastAsia="仿宋"/>
          <w:b/>
          <w:sz w:val="32"/>
          <w:szCs w:val="32"/>
        </w:rPr>
      </w:pPr>
      <w:bookmarkStart w:id="33" w:name="_Toc15377211"/>
    </w:p>
    <w:p>
      <w:pPr>
        <w:spacing w:line="600" w:lineRule="exact"/>
        <w:ind w:firstLine="642" w:firstLineChars="200"/>
        <w:outlineLvl w:val="2"/>
        <w:rPr>
          <w:rFonts w:ascii="仿宋" w:hAnsi="仿宋" w:eastAsia="仿宋"/>
          <w:b/>
          <w:sz w:val="32"/>
          <w:szCs w:val="32"/>
        </w:rPr>
      </w:pPr>
      <w:r>
        <w:rPr>
          <w:rFonts w:hint="eastAsia" w:ascii="仿宋" w:hAnsi="仿宋" w:eastAsia="仿宋"/>
          <w:b/>
          <w:sz w:val="32"/>
          <w:szCs w:val="32"/>
        </w:rPr>
        <w:t>（二）一般公共预算财政拨款支出决算结构情况</w:t>
      </w:r>
      <w:bookmarkEnd w:id="3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21年一般公共预算财政拨款支出</w:t>
      </w:r>
      <w:r>
        <w:rPr>
          <w:rFonts w:ascii="仿宋" w:hAnsi="仿宋" w:eastAsia="仿宋"/>
          <w:sz w:val="32"/>
          <w:szCs w:val="32"/>
        </w:rPr>
        <w:t>25504.11</w:t>
      </w:r>
      <w:r>
        <w:rPr>
          <w:rFonts w:hint="eastAsia" w:ascii="仿宋" w:hAnsi="仿宋" w:eastAsia="仿宋"/>
          <w:sz w:val="32"/>
          <w:szCs w:val="32"/>
        </w:rPr>
        <w:t>万元，主要用于以下方面</w:t>
      </w:r>
      <w:r>
        <w:rPr>
          <w:rFonts w:hint="eastAsia" w:ascii="仿宋" w:hAnsi="仿宋" w:eastAsia="仿宋"/>
          <w:sz w:val="32"/>
          <w:szCs w:val="32"/>
          <w:lang w:eastAsia="zh-CN"/>
        </w:rPr>
        <w:t>：</w:t>
      </w:r>
      <w:r>
        <w:rPr>
          <w:rFonts w:hint="eastAsia" w:ascii="仿宋" w:hAnsi="仿宋" w:eastAsia="仿宋"/>
          <w:sz w:val="32"/>
          <w:szCs w:val="32"/>
        </w:rPr>
        <w:t>教育支出</w:t>
      </w:r>
      <w:r>
        <w:rPr>
          <w:rFonts w:ascii="仿宋" w:hAnsi="仿宋" w:eastAsia="仿宋"/>
          <w:sz w:val="32"/>
          <w:szCs w:val="32"/>
        </w:rPr>
        <w:t>20.35</w:t>
      </w:r>
      <w:r>
        <w:rPr>
          <w:rFonts w:hint="eastAsia" w:ascii="仿宋" w:hAnsi="仿宋" w:eastAsia="仿宋"/>
          <w:sz w:val="32"/>
          <w:szCs w:val="32"/>
        </w:rPr>
        <w:t>万元，占</w:t>
      </w:r>
      <w:r>
        <w:rPr>
          <w:rFonts w:ascii="仿宋" w:hAnsi="仿宋" w:eastAsia="仿宋"/>
          <w:sz w:val="32"/>
          <w:szCs w:val="32"/>
        </w:rPr>
        <w:t>0.08%</w:t>
      </w:r>
      <w:r>
        <w:rPr>
          <w:rFonts w:hint="eastAsia" w:ascii="仿宋" w:hAnsi="仿宋" w:eastAsia="仿宋"/>
          <w:sz w:val="32"/>
          <w:szCs w:val="32"/>
        </w:rPr>
        <w:t>；社会保障和就业支出</w:t>
      </w:r>
      <w:r>
        <w:rPr>
          <w:rFonts w:ascii="仿宋" w:hAnsi="仿宋" w:eastAsia="仿宋"/>
          <w:sz w:val="32"/>
          <w:szCs w:val="32"/>
        </w:rPr>
        <w:t>152.01</w:t>
      </w:r>
      <w:r>
        <w:rPr>
          <w:rFonts w:hint="eastAsia" w:ascii="仿宋" w:hAnsi="仿宋" w:eastAsia="仿宋"/>
          <w:sz w:val="32"/>
          <w:szCs w:val="32"/>
        </w:rPr>
        <w:t>万元，占</w:t>
      </w:r>
      <w:r>
        <w:rPr>
          <w:rFonts w:ascii="仿宋" w:hAnsi="仿宋" w:eastAsia="仿宋"/>
          <w:sz w:val="32"/>
          <w:szCs w:val="32"/>
        </w:rPr>
        <w:t>0.6%</w:t>
      </w:r>
      <w:r>
        <w:rPr>
          <w:rFonts w:hint="eastAsia" w:ascii="仿宋" w:hAnsi="仿宋" w:eastAsia="仿宋"/>
          <w:sz w:val="32"/>
          <w:szCs w:val="32"/>
        </w:rPr>
        <w:t>；卫生健康支出</w:t>
      </w:r>
      <w:r>
        <w:rPr>
          <w:rFonts w:ascii="仿宋" w:hAnsi="仿宋" w:eastAsia="仿宋"/>
          <w:sz w:val="32"/>
          <w:szCs w:val="32"/>
        </w:rPr>
        <w:t>25.55</w:t>
      </w:r>
      <w:r>
        <w:rPr>
          <w:rFonts w:hint="eastAsia" w:ascii="仿宋" w:hAnsi="仿宋" w:eastAsia="仿宋"/>
          <w:sz w:val="32"/>
          <w:szCs w:val="32"/>
        </w:rPr>
        <w:t>万元，占</w:t>
      </w:r>
      <w:r>
        <w:rPr>
          <w:rFonts w:ascii="仿宋" w:hAnsi="仿宋" w:eastAsia="仿宋"/>
          <w:sz w:val="32"/>
          <w:szCs w:val="32"/>
        </w:rPr>
        <w:t>0.1%</w:t>
      </w:r>
      <w:r>
        <w:rPr>
          <w:rFonts w:hint="eastAsia" w:ascii="仿宋" w:hAnsi="仿宋" w:eastAsia="仿宋"/>
          <w:sz w:val="32"/>
          <w:szCs w:val="32"/>
        </w:rPr>
        <w:t>；节能环保支出3</w:t>
      </w:r>
      <w:r>
        <w:rPr>
          <w:rFonts w:ascii="仿宋" w:hAnsi="仿宋" w:eastAsia="仿宋"/>
          <w:sz w:val="32"/>
          <w:szCs w:val="32"/>
        </w:rPr>
        <w:t>102.54</w:t>
      </w:r>
      <w:r>
        <w:rPr>
          <w:rFonts w:hint="eastAsia" w:ascii="仿宋" w:hAnsi="仿宋" w:eastAsia="仿宋"/>
          <w:sz w:val="32"/>
          <w:szCs w:val="32"/>
        </w:rPr>
        <w:t>万元，占1</w:t>
      </w:r>
      <w:r>
        <w:rPr>
          <w:rFonts w:ascii="仿宋" w:hAnsi="仿宋" w:eastAsia="仿宋"/>
          <w:sz w:val="32"/>
          <w:szCs w:val="32"/>
        </w:rPr>
        <w:t>2.16%</w:t>
      </w:r>
      <w:r>
        <w:rPr>
          <w:rFonts w:hint="eastAsia" w:ascii="仿宋" w:hAnsi="仿宋" w:eastAsia="仿宋"/>
          <w:sz w:val="32"/>
          <w:szCs w:val="32"/>
        </w:rPr>
        <w:t>；城乡社区支出1</w:t>
      </w:r>
      <w:r>
        <w:rPr>
          <w:rFonts w:ascii="仿宋" w:hAnsi="仿宋" w:eastAsia="仿宋"/>
          <w:sz w:val="32"/>
          <w:szCs w:val="32"/>
        </w:rPr>
        <w:t>2225.81</w:t>
      </w:r>
      <w:r>
        <w:rPr>
          <w:rFonts w:hint="eastAsia" w:ascii="仿宋" w:hAnsi="仿宋" w:eastAsia="仿宋"/>
          <w:sz w:val="32"/>
          <w:szCs w:val="32"/>
        </w:rPr>
        <w:t>，占4</w:t>
      </w:r>
      <w:r>
        <w:rPr>
          <w:rFonts w:ascii="仿宋" w:hAnsi="仿宋" w:eastAsia="仿宋"/>
          <w:sz w:val="32"/>
          <w:szCs w:val="32"/>
        </w:rPr>
        <w:t>7.93%</w:t>
      </w:r>
      <w:r>
        <w:rPr>
          <w:rFonts w:hint="eastAsia" w:ascii="仿宋" w:hAnsi="仿宋" w:eastAsia="仿宋"/>
          <w:sz w:val="32"/>
          <w:szCs w:val="32"/>
        </w:rPr>
        <w:t>；农林水支出9</w:t>
      </w:r>
      <w:r>
        <w:rPr>
          <w:rFonts w:ascii="仿宋" w:hAnsi="仿宋" w:eastAsia="仿宋"/>
          <w:sz w:val="32"/>
          <w:szCs w:val="32"/>
        </w:rPr>
        <w:t>8.73</w:t>
      </w:r>
      <w:r>
        <w:rPr>
          <w:rFonts w:hint="eastAsia" w:ascii="仿宋" w:hAnsi="仿宋" w:eastAsia="仿宋"/>
          <w:sz w:val="32"/>
          <w:szCs w:val="32"/>
        </w:rPr>
        <w:t>万元，占0</w:t>
      </w:r>
      <w:r>
        <w:rPr>
          <w:rFonts w:ascii="仿宋" w:hAnsi="仿宋" w:eastAsia="仿宋"/>
          <w:sz w:val="32"/>
          <w:szCs w:val="32"/>
        </w:rPr>
        <w:t>.39%</w:t>
      </w:r>
      <w:r>
        <w:rPr>
          <w:rFonts w:hint="eastAsia" w:ascii="仿宋" w:hAnsi="仿宋" w:eastAsia="仿宋"/>
          <w:sz w:val="32"/>
          <w:szCs w:val="32"/>
        </w:rPr>
        <w:t>；住房保障支出</w:t>
      </w:r>
      <w:r>
        <w:rPr>
          <w:rFonts w:ascii="仿宋" w:hAnsi="仿宋" w:eastAsia="仿宋"/>
          <w:sz w:val="32"/>
          <w:szCs w:val="32"/>
        </w:rPr>
        <w:t>9879.12</w:t>
      </w:r>
      <w:r>
        <w:rPr>
          <w:rFonts w:hint="eastAsia" w:ascii="仿宋" w:hAnsi="仿宋" w:eastAsia="仿宋"/>
          <w:sz w:val="32"/>
          <w:szCs w:val="32"/>
        </w:rPr>
        <w:t>万元，占</w:t>
      </w:r>
      <w:r>
        <w:rPr>
          <w:rFonts w:ascii="仿宋" w:hAnsi="仿宋" w:eastAsia="仿宋"/>
          <w:sz w:val="32"/>
          <w:szCs w:val="32"/>
        </w:rPr>
        <w:t>38.74%</w:t>
      </w:r>
      <w:r>
        <w:rPr>
          <w:rFonts w:hint="eastAsia" w:ascii="仿宋" w:hAnsi="仿宋" w:eastAsia="仿宋"/>
          <w:sz w:val="32"/>
          <w:szCs w:val="32"/>
        </w:rPr>
        <w:t>。</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（图6：一般公共预算财政拨款支出决算结构）</w:t>
      </w:r>
    </w:p>
    <w:p>
      <w:pPr>
        <w:pStyle w:val="2"/>
        <w:spacing w:before="93"/>
      </w:pPr>
      <w:r>
        <w:rPr>
          <w:rFonts w:hint="eastAsia" w:ascii="仿宋" w:hAnsi="仿宋" w:eastAsia="仿宋"/>
          <w:color w:val="000000"/>
          <w:szCs w:val="30"/>
        </w:rPr>
        <w:drawing>
          <wp:anchor distT="0" distB="0" distL="114300" distR="114300" simplePos="0" relativeHeight="251663360" behindDoc="0" locked="0" layoutInCell="1" allowOverlap="1">
            <wp:simplePos x="0" y="0"/>
            <wp:positionH relativeFrom="column">
              <wp:posOffset>-635</wp:posOffset>
            </wp:positionH>
            <wp:positionV relativeFrom="paragraph">
              <wp:posOffset>457200</wp:posOffset>
            </wp:positionV>
            <wp:extent cx="5229225" cy="3181350"/>
            <wp:effectExtent l="0" t="0" r="9525" b="0"/>
            <wp:wrapSquare wrapText="bothSides"/>
            <wp:docPr id="14" name="图表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pPr>
        <w:pStyle w:val="2"/>
        <w:spacing w:before="93"/>
      </w:pPr>
    </w:p>
    <w:p>
      <w:pPr>
        <w:spacing w:line="600" w:lineRule="exact"/>
        <w:ind w:firstLine="642" w:firstLineChars="200"/>
        <w:outlineLvl w:val="2"/>
        <w:rPr>
          <w:rFonts w:ascii="仿宋" w:hAnsi="仿宋" w:eastAsia="仿宋"/>
          <w:b/>
          <w:sz w:val="32"/>
          <w:szCs w:val="32"/>
        </w:rPr>
      </w:pPr>
      <w:bookmarkStart w:id="34" w:name="_Toc15377212"/>
      <w:r>
        <w:rPr>
          <w:rFonts w:hint="eastAsia" w:ascii="仿宋" w:hAnsi="仿宋" w:eastAsia="仿宋"/>
          <w:b/>
          <w:sz w:val="32"/>
          <w:szCs w:val="32"/>
        </w:rPr>
        <w:t>（三）一般公共预算财政拨款支出决算具体情况</w:t>
      </w:r>
      <w:bookmarkEnd w:id="34"/>
    </w:p>
    <w:p>
      <w:pPr>
        <w:spacing w:line="600" w:lineRule="exact"/>
        <w:ind w:firstLine="640" w:firstLineChars="200"/>
        <w:outlineLvl w:val="2"/>
        <w:rPr>
          <w:rFonts w:ascii="仿宋_GB2312" w:hAnsi="仿宋" w:eastAsia="仿宋_GB2312"/>
          <w:color w:val="000000" w:themeColor="text1"/>
          <w:sz w:val="32"/>
          <w:szCs w:val="32"/>
          <w14:textFill>
            <w14:solidFill>
              <w14:schemeClr w14:val="tx1"/>
            </w14:solidFill>
          </w14:textFill>
        </w:rPr>
      </w:pPr>
      <w:bookmarkStart w:id="35" w:name="_Toc15377444"/>
      <w:bookmarkStart w:id="36" w:name="_Toc15377213"/>
      <w:bookmarkStart w:id="37" w:name="_Toc15378460"/>
      <w:r>
        <w:rPr>
          <w:rFonts w:hint="eastAsia" w:ascii="仿宋_GB2312" w:hAnsi="仿宋" w:eastAsia="仿宋_GB2312"/>
          <w:color w:val="000000" w:themeColor="text1"/>
          <w:sz w:val="32"/>
          <w:szCs w:val="32"/>
          <w14:textFill>
            <w14:solidFill>
              <w14:schemeClr w14:val="tx1"/>
            </w14:solidFill>
          </w14:textFill>
        </w:rPr>
        <w:t>2021年一般公共预算支出决算数为</w:t>
      </w:r>
      <w:r>
        <w:rPr>
          <w:rFonts w:ascii="仿宋_GB2312" w:hAnsi="仿宋" w:eastAsia="仿宋_GB2312"/>
          <w:color w:val="000000" w:themeColor="text1"/>
          <w:sz w:val="32"/>
          <w:szCs w:val="32"/>
          <w14:textFill>
            <w14:solidFill>
              <w14:schemeClr w14:val="tx1"/>
            </w14:solidFill>
          </w14:textFill>
        </w:rPr>
        <w:t>25504.11</w:t>
      </w:r>
      <w:r>
        <w:rPr>
          <w:rFonts w:hint="eastAsia" w:ascii="仿宋_GB2312" w:hAnsi="仿宋" w:eastAsia="仿宋_GB2312"/>
          <w:color w:val="000000" w:themeColor="text1"/>
          <w:sz w:val="32"/>
          <w:szCs w:val="32"/>
          <w14:textFill>
            <w14:solidFill>
              <w14:schemeClr w14:val="tx1"/>
            </w14:solidFill>
          </w14:textFill>
        </w:rPr>
        <w:t>万元，完成预算</w:t>
      </w:r>
      <w:r>
        <w:rPr>
          <w:rFonts w:ascii="仿宋_GB2312" w:hAnsi="仿宋" w:eastAsia="仿宋_GB2312"/>
          <w:color w:val="000000" w:themeColor="text1"/>
          <w:sz w:val="32"/>
          <w:szCs w:val="32"/>
          <w14:textFill>
            <w14:solidFill>
              <w14:schemeClr w14:val="tx1"/>
            </w14:solidFill>
          </w14:textFill>
        </w:rPr>
        <w:t>100%</w:t>
      </w:r>
      <w:r>
        <w:rPr>
          <w:rFonts w:hint="eastAsia" w:ascii="仿宋_GB2312" w:hAnsi="仿宋" w:eastAsia="仿宋_GB2312"/>
          <w:color w:val="000000" w:themeColor="text1"/>
          <w:sz w:val="32"/>
          <w:szCs w:val="32"/>
          <w14:textFill>
            <w14:solidFill>
              <w14:schemeClr w14:val="tx1"/>
            </w14:solidFill>
          </w14:textFill>
        </w:rPr>
        <w:t>。其中：</w:t>
      </w:r>
      <w:bookmarkEnd w:id="35"/>
      <w:bookmarkEnd w:id="36"/>
      <w:bookmarkEnd w:id="37"/>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教育支出</w:t>
      </w:r>
      <w:r>
        <w:rPr>
          <w:rFonts w:hint="eastAsia" w:ascii="仿宋_GB2312" w:hAnsi="仿宋" w:eastAsia="仿宋_GB2312"/>
          <w:color w:val="000000" w:themeColor="text1"/>
          <w:sz w:val="32"/>
          <w:szCs w:val="32"/>
          <w:lang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支出决算为</w:t>
      </w:r>
      <w:r>
        <w:rPr>
          <w:rFonts w:ascii="仿宋_GB2312" w:hAnsi="仿宋" w:eastAsia="仿宋_GB2312"/>
          <w:color w:val="000000" w:themeColor="text1"/>
          <w:sz w:val="32"/>
          <w:szCs w:val="32"/>
          <w14:textFill>
            <w14:solidFill>
              <w14:schemeClr w14:val="tx1"/>
            </w14:solidFill>
          </w14:textFill>
        </w:rPr>
        <w:t>20.35</w:t>
      </w:r>
      <w:r>
        <w:rPr>
          <w:rFonts w:hint="eastAsia" w:ascii="仿宋_GB2312" w:hAnsi="仿宋" w:eastAsia="仿宋_GB2312"/>
          <w:color w:val="000000" w:themeColor="text1"/>
          <w:sz w:val="32"/>
          <w:szCs w:val="32"/>
          <w14:textFill>
            <w14:solidFill>
              <w14:schemeClr w14:val="tx1"/>
            </w14:solidFill>
          </w14:textFill>
        </w:rPr>
        <w:t>万元，完成预算100</w:t>
      </w:r>
      <w:r>
        <w:rPr>
          <w:rFonts w:ascii="仿宋_GB2312" w:hAnsi="仿宋" w:eastAsia="仿宋_GB2312"/>
          <w:color w:val="000000" w:themeColor="text1"/>
          <w:sz w:val="32"/>
          <w:szCs w:val="32"/>
          <w14:textFill>
            <w14:solidFill>
              <w14:schemeClr w14:val="tx1"/>
            </w14:solidFill>
          </w14:textFill>
        </w:rPr>
        <w:t>.0%</w:t>
      </w:r>
      <w:r>
        <w:rPr>
          <w:rFonts w:hint="eastAsia" w:ascii="仿宋_GB2312" w:hAnsi="仿宋" w:eastAsia="仿宋_GB2312"/>
          <w:color w:val="000000" w:themeColor="text1"/>
          <w:sz w:val="32"/>
          <w:szCs w:val="32"/>
          <w14:textFill>
            <w14:solidFill>
              <w14:schemeClr w14:val="tx1"/>
            </w14:solidFill>
          </w14:textFill>
        </w:rPr>
        <w:t>，其中：教育费附加安排的支出</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其他教育费附加安排的支出2</w:t>
      </w:r>
      <w:r>
        <w:rPr>
          <w:rFonts w:ascii="仿宋_GB2312" w:hAnsi="仿宋" w:eastAsia="仿宋_GB2312"/>
          <w:color w:val="000000" w:themeColor="text1"/>
          <w:sz w:val="32"/>
          <w:szCs w:val="32"/>
          <w14:textFill>
            <w14:solidFill>
              <w14:schemeClr w14:val="tx1"/>
            </w14:solidFill>
          </w14:textFill>
        </w:rPr>
        <w:t>0.35</w:t>
      </w:r>
      <w:r>
        <w:rPr>
          <w:rFonts w:hint="eastAsia" w:ascii="仿宋_GB2312" w:hAnsi="仿宋" w:eastAsia="仿宋_GB2312"/>
          <w:color w:val="000000" w:themeColor="text1"/>
          <w:sz w:val="32"/>
          <w:szCs w:val="32"/>
          <w14:textFill>
            <w14:solidFill>
              <w14:schemeClr w14:val="tx1"/>
            </w14:solidFill>
          </w14:textFill>
        </w:rPr>
        <w:t>万元。</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社会保障和就业支出</w:t>
      </w:r>
      <w:r>
        <w:rPr>
          <w:rFonts w:hint="eastAsia" w:ascii="仿宋_GB2312" w:hAnsi="仿宋" w:eastAsia="仿宋_GB2312"/>
          <w:color w:val="000000" w:themeColor="text1"/>
          <w:sz w:val="32"/>
          <w:szCs w:val="32"/>
          <w:lang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支出决算为</w:t>
      </w:r>
      <w:r>
        <w:rPr>
          <w:rFonts w:ascii="仿宋_GB2312" w:hAnsi="仿宋" w:eastAsia="仿宋_GB2312"/>
          <w:color w:val="000000" w:themeColor="text1"/>
          <w:sz w:val="32"/>
          <w:szCs w:val="32"/>
          <w14:textFill>
            <w14:solidFill>
              <w14:schemeClr w14:val="tx1"/>
            </w14:solidFill>
          </w14:textFill>
        </w:rPr>
        <w:t>152.01</w:t>
      </w:r>
      <w:r>
        <w:rPr>
          <w:rFonts w:hint="eastAsia" w:ascii="仿宋_GB2312" w:hAnsi="仿宋" w:eastAsia="仿宋_GB2312"/>
          <w:color w:val="000000" w:themeColor="text1"/>
          <w:sz w:val="32"/>
          <w:szCs w:val="32"/>
          <w14:textFill>
            <w14:solidFill>
              <w14:schemeClr w14:val="tx1"/>
            </w14:solidFill>
          </w14:textFill>
        </w:rPr>
        <w:t>万元，完成预算100</w:t>
      </w:r>
      <w:r>
        <w:rPr>
          <w:rFonts w:ascii="仿宋_GB2312" w:hAnsi="仿宋" w:eastAsia="仿宋_GB2312"/>
          <w:color w:val="000000" w:themeColor="text1"/>
          <w:sz w:val="32"/>
          <w:szCs w:val="32"/>
          <w14:textFill>
            <w14:solidFill>
              <w14:schemeClr w14:val="tx1"/>
            </w14:solidFill>
          </w14:textFill>
        </w:rPr>
        <w:t>.0%</w:t>
      </w:r>
      <w:r>
        <w:rPr>
          <w:rFonts w:hint="eastAsia" w:ascii="仿宋_GB2312" w:hAnsi="仿宋" w:eastAsia="仿宋_GB2312"/>
          <w:color w:val="000000" w:themeColor="text1"/>
          <w:sz w:val="32"/>
          <w:szCs w:val="32"/>
          <w14:textFill>
            <w14:solidFill>
              <w14:schemeClr w14:val="tx1"/>
            </w14:solidFill>
          </w14:textFill>
        </w:rPr>
        <w:t>，其中：行政事业单位养老支出</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机关事业单位基本养老保险缴费支出</w:t>
      </w:r>
      <w:r>
        <w:rPr>
          <w:rFonts w:ascii="仿宋_GB2312" w:hAnsi="仿宋" w:eastAsia="仿宋_GB2312"/>
          <w:color w:val="000000" w:themeColor="text1"/>
          <w:sz w:val="32"/>
          <w:szCs w:val="32"/>
          <w14:textFill>
            <w14:solidFill>
              <w14:schemeClr w14:val="tx1"/>
            </w14:solidFill>
          </w14:textFill>
        </w:rPr>
        <w:t>57.5</w:t>
      </w:r>
      <w:r>
        <w:rPr>
          <w:rFonts w:hint="eastAsia" w:ascii="仿宋_GB2312" w:hAnsi="仿宋" w:eastAsia="仿宋_GB2312"/>
          <w:color w:val="000000" w:themeColor="text1"/>
          <w:sz w:val="32"/>
          <w:szCs w:val="32"/>
          <w14:textFill>
            <w14:solidFill>
              <w14:schemeClr w14:val="tx1"/>
            </w14:solidFill>
          </w14:textFill>
        </w:rPr>
        <w:t>万元，机关事业单位职业年金缴费支出</w:t>
      </w:r>
      <w:r>
        <w:rPr>
          <w:rFonts w:ascii="仿宋_GB2312" w:hAnsi="仿宋" w:eastAsia="仿宋_GB2312"/>
          <w:color w:val="000000" w:themeColor="text1"/>
          <w:sz w:val="32"/>
          <w:szCs w:val="32"/>
          <w14:textFill>
            <w14:solidFill>
              <w14:schemeClr w14:val="tx1"/>
            </w14:solidFill>
          </w14:textFill>
        </w:rPr>
        <w:t>27.98</w:t>
      </w:r>
      <w:r>
        <w:rPr>
          <w:rFonts w:hint="eastAsia" w:ascii="仿宋_GB2312" w:hAnsi="仿宋" w:eastAsia="仿宋_GB2312"/>
          <w:color w:val="000000" w:themeColor="text1"/>
          <w:sz w:val="32"/>
          <w:szCs w:val="32"/>
          <w14:textFill>
            <w14:solidFill>
              <w14:schemeClr w14:val="tx1"/>
            </w14:solidFill>
          </w14:textFill>
        </w:rPr>
        <w:t>万元，  其他行政事业单位养老支出</w:t>
      </w:r>
      <w:r>
        <w:rPr>
          <w:rFonts w:ascii="仿宋_GB2312" w:hAnsi="仿宋" w:eastAsia="仿宋_GB2312"/>
          <w:color w:val="000000" w:themeColor="text1"/>
          <w:sz w:val="32"/>
          <w:szCs w:val="32"/>
          <w14:textFill>
            <w14:solidFill>
              <w14:schemeClr w14:val="tx1"/>
            </w14:solidFill>
          </w14:textFill>
        </w:rPr>
        <w:t>65.15</w:t>
      </w:r>
      <w:r>
        <w:rPr>
          <w:rFonts w:hint="eastAsia" w:ascii="仿宋_GB2312" w:hAnsi="仿宋" w:eastAsia="仿宋_GB2312"/>
          <w:color w:val="000000" w:themeColor="text1"/>
          <w:sz w:val="32"/>
          <w:szCs w:val="32"/>
          <w14:textFill>
            <w14:solidFill>
              <w14:schemeClr w14:val="tx1"/>
            </w14:solidFill>
          </w14:textFill>
        </w:rPr>
        <w:t>万元；其他社会保障和就业支出</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其他社会保障和就业支出</w:t>
      </w:r>
      <w:r>
        <w:rPr>
          <w:rFonts w:ascii="仿宋_GB2312" w:hAnsi="仿宋" w:eastAsia="仿宋_GB2312"/>
          <w:color w:val="000000" w:themeColor="text1"/>
          <w:sz w:val="32"/>
          <w:szCs w:val="32"/>
          <w14:textFill>
            <w14:solidFill>
              <w14:schemeClr w14:val="tx1"/>
            </w14:solidFill>
          </w14:textFill>
        </w:rPr>
        <w:t>1.38</w:t>
      </w:r>
      <w:r>
        <w:rPr>
          <w:rFonts w:hint="eastAsia" w:ascii="仿宋_GB2312" w:hAnsi="仿宋" w:eastAsia="仿宋_GB2312"/>
          <w:color w:val="000000" w:themeColor="text1"/>
          <w:sz w:val="32"/>
          <w:szCs w:val="32"/>
          <w14:textFill>
            <w14:solidFill>
              <w14:schemeClr w14:val="tx1"/>
            </w14:solidFill>
          </w14:textFill>
        </w:rPr>
        <w:t>万元。</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卫生健康支出</w:t>
      </w:r>
      <w:r>
        <w:rPr>
          <w:rFonts w:hint="eastAsia" w:ascii="仿宋_GB2312" w:hAnsi="仿宋" w:eastAsia="仿宋_GB2312"/>
          <w:color w:val="000000" w:themeColor="text1"/>
          <w:sz w:val="32"/>
          <w:szCs w:val="32"/>
          <w:lang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支出决算为</w:t>
      </w:r>
      <w:r>
        <w:rPr>
          <w:rFonts w:ascii="仿宋_GB2312" w:hAnsi="仿宋" w:eastAsia="仿宋_GB2312"/>
          <w:color w:val="000000" w:themeColor="text1"/>
          <w:sz w:val="32"/>
          <w:szCs w:val="32"/>
          <w14:textFill>
            <w14:solidFill>
              <w14:schemeClr w14:val="tx1"/>
            </w14:solidFill>
          </w14:textFill>
        </w:rPr>
        <w:t>25.55</w:t>
      </w:r>
      <w:r>
        <w:rPr>
          <w:rFonts w:hint="eastAsia" w:ascii="仿宋_GB2312" w:hAnsi="仿宋" w:eastAsia="仿宋_GB2312"/>
          <w:color w:val="000000" w:themeColor="text1"/>
          <w:sz w:val="32"/>
          <w:szCs w:val="32"/>
          <w14:textFill>
            <w14:solidFill>
              <w14:schemeClr w14:val="tx1"/>
            </w14:solidFill>
          </w14:textFill>
        </w:rPr>
        <w:t>万元，完成预算100</w:t>
      </w:r>
      <w:r>
        <w:rPr>
          <w:rFonts w:ascii="仿宋_GB2312" w:hAnsi="仿宋" w:eastAsia="仿宋_GB2312"/>
          <w:color w:val="000000" w:themeColor="text1"/>
          <w:sz w:val="32"/>
          <w:szCs w:val="32"/>
          <w14:textFill>
            <w14:solidFill>
              <w14:schemeClr w14:val="tx1"/>
            </w14:solidFill>
          </w14:textFill>
        </w:rPr>
        <w:t>.0%</w:t>
      </w:r>
      <w:r>
        <w:rPr>
          <w:rFonts w:hint="eastAsia" w:ascii="仿宋_GB2312" w:hAnsi="仿宋" w:eastAsia="仿宋_GB2312"/>
          <w:color w:val="000000" w:themeColor="text1"/>
          <w:sz w:val="32"/>
          <w:szCs w:val="32"/>
          <w14:textFill>
            <w14:solidFill>
              <w14:schemeClr w14:val="tx1"/>
            </w14:solidFill>
          </w14:textFill>
        </w:rPr>
        <w:t>，其中：行政事业单位医疗</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行政单位医疗</w:t>
      </w:r>
      <w:r>
        <w:rPr>
          <w:rFonts w:ascii="仿宋_GB2312" w:hAnsi="仿宋" w:eastAsia="仿宋_GB2312"/>
          <w:color w:val="000000" w:themeColor="text1"/>
          <w:sz w:val="32"/>
          <w:szCs w:val="32"/>
          <w14:textFill>
            <w14:solidFill>
              <w14:schemeClr w14:val="tx1"/>
            </w14:solidFill>
          </w14:textFill>
        </w:rPr>
        <w:t>12.47</w:t>
      </w:r>
      <w:r>
        <w:rPr>
          <w:rFonts w:hint="eastAsia" w:ascii="仿宋_GB2312" w:hAnsi="仿宋" w:eastAsia="仿宋_GB2312"/>
          <w:color w:val="000000" w:themeColor="text1"/>
          <w:sz w:val="32"/>
          <w:szCs w:val="32"/>
          <w14:textFill>
            <w14:solidFill>
              <w14:schemeClr w14:val="tx1"/>
            </w14:solidFill>
          </w14:textFill>
        </w:rPr>
        <w:t>万元，事业单位医疗</w:t>
      </w:r>
      <w:r>
        <w:rPr>
          <w:rFonts w:ascii="仿宋_GB2312" w:hAnsi="仿宋" w:eastAsia="仿宋_GB2312"/>
          <w:color w:val="000000" w:themeColor="text1"/>
          <w:sz w:val="32"/>
          <w:szCs w:val="32"/>
          <w14:textFill>
            <w14:solidFill>
              <w14:schemeClr w14:val="tx1"/>
            </w14:solidFill>
          </w14:textFill>
        </w:rPr>
        <w:t>13.08</w:t>
      </w:r>
      <w:r>
        <w:rPr>
          <w:rFonts w:hint="eastAsia" w:ascii="仿宋_GB2312" w:hAnsi="仿宋" w:eastAsia="仿宋_GB2312"/>
          <w:color w:val="000000" w:themeColor="text1"/>
          <w:sz w:val="32"/>
          <w:szCs w:val="32"/>
          <w14:textFill>
            <w14:solidFill>
              <w14:schemeClr w14:val="tx1"/>
            </w14:solidFill>
          </w14:textFill>
        </w:rPr>
        <w:t>万元。</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节能环保支出</w:t>
      </w:r>
      <w:r>
        <w:rPr>
          <w:rFonts w:hint="eastAsia" w:ascii="仿宋_GB2312" w:hAnsi="仿宋" w:eastAsia="仿宋_GB2312"/>
          <w:color w:val="000000" w:themeColor="text1"/>
          <w:sz w:val="32"/>
          <w:szCs w:val="32"/>
          <w:lang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支出决算为</w:t>
      </w:r>
      <w:r>
        <w:rPr>
          <w:rFonts w:ascii="仿宋_GB2312" w:hAnsi="仿宋" w:eastAsia="仿宋_GB2312"/>
          <w:color w:val="000000" w:themeColor="text1"/>
          <w:sz w:val="32"/>
          <w:szCs w:val="32"/>
          <w14:textFill>
            <w14:solidFill>
              <w14:schemeClr w14:val="tx1"/>
            </w14:solidFill>
          </w14:textFill>
        </w:rPr>
        <w:t>3102.54</w:t>
      </w:r>
      <w:r>
        <w:rPr>
          <w:rFonts w:hint="eastAsia" w:ascii="仿宋_GB2312" w:hAnsi="仿宋" w:eastAsia="仿宋_GB2312"/>
          <w:color w:val="000000" w:themeColor="text1"/>
          <w:sz w:val="32"/>
          <w:szCs w:val="32"/>
          <w14:textFill>
            <w14:solidFill>
              <w14:schemeClr w14:val="tx1"/>
            </w14:solidFill>
          </w14:textFill>
        </w:rPr>
        <w:t>万元，完成预算100</w:t>
      </w:r>
      <w:r>
        <w:rPr>
          <w:rFonts w:ascii="仿宋_GB2312" w:hAnsi="仿宋" w:eastAsia="仿宋_GB2312"/>
          <w:color w:val="000000" w:themeColor="text1"/>
          <w:sz w:val="32"/>
          <w:szCs w:val="32"/>
          <w14:textFill>
            <w14:solidFill>
              <w14:schemeClr w14:val="tx1"/>
            </w14:solidFill>
          </w14:textFill>
        </w:rPr>
        <w:t>.0%</w:t>
      </w:r>
      <w:r>
        <w:rPr>
          <w:rFonts w:hint="eastAsia" w:ascii="仿宋_GB2312" w:hAnsi="仿宋" w:eastAsia="仿宋_GB2312"/>
          <w:color w:val="000000" w:themeColor="text1"/>
          <w:sz w:val="32"/>
          <w:szCs w:val="32"/>
          <w14:textFill>
            <w14:solidFill>
              <w14:schemeClr w14:val="tx1"/>
            </w14:solidFill>
          </w14:textFill>
        </w:rPr>
        <w:t>，其中：污染防治</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水体</w:t>
      </w:r>
      <w:r>
        <w:rPr>
          <w:rFonts w:ascii="仿宋_GB2312" w:hAnsi="仿宋" w:eastAsia="仿宋_GB2312"/>
          <w:color w:val="000000" w:themeColor="text1"/>
          <w:sz w:val="32"/>
          <w:szCs w:val="32"/>
          <w14:textFill>
            <w14:solidFill>
              <w14:schemeClr w14:val="tx1"/>
            </w14:solidFill>
          </w14:textFill>
        </w:rPr>
        <w:t>3102.54</w:t>
      </w:r>
      <w:r>
        <w:rPr>
          <w:rFonts w:hint="eastAsia" w:ascii="仿宋_GB2312" w:hAnsi="仿宋" w:eastAsia="仿宋_GB2312"/>
          <w:color w:val="000000" w:themeColor="text1"/>
          <w:sz w:val="32"/>
          <w:szCs w:val="32"/>
          <w14:textFill>
            <w14:solidFill>
              <w14:schemeClr w14:val="tx1"/>
            </w14:solidFill>
          </w14:textFill>
        </w:rPr>
        <w:t>万元。</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城乡社区支出</w:t>
      </w:r>
      <w:r>
        <w:rPr>
          <w:rFonts w:hint="eastAsia" w:ascii="仿宋_GB2312" w:hAnsi="仿宋" w:eastAsia="仿宋_GB2312"/>
          <w:color w:val="000000" w:themeColor="text1"/>
          <w:sz w:val="32"/>
          <w:szCs w:val="32"/>
          <w:lang w:eastAsia="zh-CN"/>
          <w14:textFill>
            <w14:solidFill>
              <w14:schemeClr w14:val="tx1"/>
            </w14:solidFill>
          </w14:textFill>
        </w:rPr>
        <w:t>：</w:t>
      </w:r>
      <w:r>
        <w:rPr>
          <w:rFonts w:ascii="仿宋_GB2312" w:hAnsi="仿宋" w:eastAsia="仿宋_GB2312"/>
          <w:color w:val="000000" w:themeColor="text1"/>
          <w:sz w:val="32"/>
          <w:szCs w:val="32"/>
          <w14:textFill>
            <w14:solidFill>
              <w14:schemeClr w14:val="tx1"/>
            </w14:solidFill>
          </w14:textFill>
        </w:rPr>
        <w:t xml:space="preserve"> </w:t>
      </w:r>
      <w:r>
        <w:rPr>
          <w:rFonts w:hint="eastAsia" w:ascii="仿宋_GB2312" w:hAnsi="仿宋" w:eastAsia="仿宋_GB2312"/>
          <w:color w:val="000000" w:themeColor="text1"/>
          <w:sz w:val="32"/>
          <w:szCs w:val="32"/>
          <w14:textFill>
            <w14:solidFill>
              <w14:schemeClr w14:val="tx1"/>
            </w14:solidFill>
          </w14:textFill>
        </w:rPr>
        <w:t>支出决算为</w:t>
      </w:r>
      <w:r>
        <w:rPr>
          <w:rFonts w:ascii="仿宋_GB2312" w:hAnsi="仿宋" w:eastAsia="仿宋_GB2312"/>
          <w:color w:val="000000" w:themeColor="text1"/>
          <w:sz w:val="32"/>
          <w:szCs w:val="32"/>
          <w14:textFill>
            <w14:solidFill>
              <w14:schemeClr w14:val="tx1"/>
            </w14:solidFill>
          </w14:textFill>
        </w:rPr>
        <w:t>12225.81</w:t>
      </w:r>
      <w:r>
        <w:rPr>
          <w:rFonts w:hint="eastAsia" w:ascii="仿宋_GB2312" w:hAnsi="仿宋" w:eastAsia="仿宋_GB2312"/>
          <w:color w:val="000000" w:themeColor="text1"/>
          <w:sz w:val="32"/>
          <w:szCs w:val="32"/>
          <w14:textFill>
            <w14:solidFill>
              <w14:schemeClr w14:val="tx1"/>
            </w14:solidFill>
          </w14:textFill>
        </w:rPr>
        <w:t>万元，完成预算</w:t>
      </w:r>
      <w:r>
        <w:rPr>
          <w:rFonts w:ascii="仿宋_GB2312" w:hAnsi="仿宋" w:eastAsia="仿宋_GB2312"/>
          <w:color w:val="000000" w:themeColor="text1"/>
          <w:sz w:val="32"/>
          <w:szCs w:val="32"/>
          <w14:textFill>
            <w14:solidFill>
              <w14:schemeClr w14:val="tx1"/>
            </w14:solidFill>
          </w14:textFill>
        </w:rPr>
        <w:t>100%</w:t>
      </w:r>
      <w:r>
        <w:rPr>
          <w:rFonts w:hint="eastAsia" w:ascii="仿宋_GB2312" w:hAnsi="仿宋" w:eastAsia="仿宋_GB2312"/>
          <w:color w:val="000000" w:themeColor="text1"/>
          <w:sz w:val="32"/>
          <w:szCs w:val="32"/>
          <w14:textFill>
            <w14:solidFill>
              <w14:schemeClr w14:val="tx1"/>
            </w14:solidFill>
          </w14:textFill>
        </w:rPr>
        <w:t>，其中：城乡社区管理事务</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行政运行</w:t>
      </w:r>
      <w:r>
        <w:rPr>
          <w:rFonts w:ascii="仿宋_GB2312" w:hAnsi="仿宋" w:eastAsia="仿宋_GB2312"/>
          <w:color w:val="000000" w:themeColor="text1"/>
          <w:sz w:val="32"/>
          <w:szCs w:val="32"/>
          <w14:textFill>
            <w14:solidFill>
              <w14:schemeClr w14:val="tx1"/>
            </w14:solidFill>
          </w14:textFill>
        </w:rPr>
        <w:t>715.69</w:t>
      </w:r>
      <w:r>
        <w:rPr>
          <w:rFonts w:hint="eastAsia" w:ascii="仿宋_GB2312" w:hAnsi="仿宋" w:eastAsia="仿宋_GB2312"/>
          <w:color w:val="000000" w:themeColor="text1"/>
          <w:sz w:val="32"/>
          <w:szCs w:val="32"/>
          <w14:textFill>
            <w14:solidFill>
              <w14:schemeClr w14:val="tx1"/>
            </w14:solidFill>
          </w14:textFill>
        </w:rPr>
        <w:t>万元，一般行政管理事务</w:t>
      </w:r>
      <w:r>
        <w:rPr>
          <w:rFonts w:ascii="仿宋_GB2312" w:hAnsi="仿宋" w:eastAsia="仿宋_GB2312"/>
          <w:color w:val="000000" w:themeColor="text1"/>
          <w:sz w:val="32"/>
          <w:szCs w:val="32"/>
          <w14:textFill>
            <w14:solidFill>
              <w14:schemeClr w14:val="tx1"/>
            </w14:solidFill>
          </w14:textFill>
        </w:rPr>
        <w:t>509.45</w:t>
      </w:r>
      <w:r>
        <w:rPr>
          <w:rFonts w:hint="eastAsia" w:ascii="仿宋_GB2312" w:hAnsi="仿宋" w:eastAsia="仿宋_GB2312"/>
          <w:color w:val="000000" w:themeColor="text1"/>
          <w:sz w:val="32"/>
          <w:szCs w:val="32"/>
          <w14:textFill>
            <w14:solidFill>
              <w14:schemeClr w14:val="tx1"/>
            </w14:solidFill>
          </w14:textFill>
        </w:rPr>
        <w:t>万元，工程建设管理</w:t>
      </w:r>
      <w:r>
        <w:rPr>
          <w:rFonts w:ascii="仿宋_GB2312" w:hAnsi="仿宋" w:eastAsia="仿宋_GB2312"/>
          <w:color w:val="000000" w:themeColor="text1"/>
          <w:sz w:val="32"/>
          <w:szCs w:val="32"/>
          <w14:textFill>
            <w14:solidFill>
              <w14:schemeClr w14:val="tx1"/>
            </w14:solidFill>
          </w14:textFill>
        </w:rPr>
        <w:t>41.3</w:t>
      </w:r>
      <w:r>
        <w:rPr>
          <w:rFonts w:hint="eastAsia" w:ascii="仿宋_GB2312" w:hAnsi="仿宋" w:eastAsia="仿宋_GB2312"/>
          <w:color w:val="000000" w:themeColor="text1"/>
          <w:sz w:val="32"/>
          <w:szCs w:val="32"/>
          <w14:textFill>
            <w14:solidFill>
              <w14:schemeClr w14:val="tx1"/>
            </w14:solidFill>
          </w14:textFill>
        </w:rPr>
        <w:t>万元；城乡社区公共设施</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小城镇基础设施建设2</w:t>
      </w:r>
      <w:r>
        <w:rPr>
          <w:rFonts w:ascii="仿宋_GB2312" w:hAnsi="仿宋" w:eastAsia="仿宋_GB2312"/>
          <w:color w:val="000000" w:themeColor="text1"/>
          <w:sz w:val="32"/>
          <w:szCs w:val="32"/>
          <w14:textFill>
            <w14:solidFill>
              <w14:schemeClr w14:val="tx1"/>
            </w14:solidFill>
          </w14:textFill>
        </w:rPr>
        <w:t>6.75</w:t>
      </w:r>
      <w:r>
        <w:rPr>
          <w:rFonts w:hint="eastAsia" w:ascii="仿宋_GB2312" w:hAnsi="仿宋" w:eastAsia="仿宋_GB2312"/>
          <w:color w:val="000000" w:themeColor="text1"/>
          <w:sz w:val="32"/>
          <w:szCs w:val="32"/>
          <w14:textFill>
            <w14:solidFill>
              <w14:schemeClr w14:val="tx1"/>
            </w14:solidFill>
          </w14:textFill>
        </w:rPr>
        <w:t>万元，其他城乡社区公共设施</w:t>
      </w:r>
      <w:r>
        <w:rPr>
          <w:rFonts w:ascii="仿宋_GB2312" w:hAnsi="仿宋" w:eastAsia="仿宋_GB2312"/>
          <w:color w:val="000000" w:themeColor="text1"/>
          <w:sz w:val="32"/>
          <w:szCs w:val="32"/>
          <w14:textFill>
            <w14:solidFill>
              <w14:schemeClr w14:val="tx1"/>
            </w14:solidFill>
          </w14:textFill>
        </w:rPr>
        <w:t>10113.53</w:t>
      </w:r>
      <w:r>
        <w:rPr>
          <w:rFonts w:hint="eastAsia" w:ascii="仿宋_GB2312" w:hAnsi="仿宋" w:eastAsia="仿宋_GB2312"/>
          <w:color w:val="000000" w:themeColor="text1"/>
          <w:sz w:val="32"/>
          <w:szCs w:val="32"/>
          <w14:textFill>
            <w14:solidFill>
              <w14:schemeClr w14:val="tx1"/>
            </w14:solidFill>
          </w14:textFill>
        </w:rPr>
        <w:t>万元；城乡社区环境卫生</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城乡社区环境卫生73.69万元；其他城乡社区支出</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其他城乡社区支出</w:t>
      </w:r>
      <w:r>
        <w:rPr>
          <w:rFonts w:ascii="仿宋_GB2312" w:hAnsi="仿宋" w:eastAsia="仿宋_GB2312"/>
          <w:color w:val="000000" w:themeColor="text1"/>
          <w:sz w:val="32"/>
          <w:szCs w:val="32"/>
          <w14:textFill>
            <w14:solidFill>
              <w14:schemeClr w14:val="tx1"/>
            </w14:solidFill>
          </w14:textFill>
        </w:rPr>
        <w:t>745.4</w:t>
      </w:r>
      <w:r>
        <w:rPr>
          <w:rFonts w:hint="eastAsia" w:ascii="仿宋_GB2312" w:hAnsi="仿宋" w:eastAsia="仿宋_GB2312"/>
          <w:color w:val="000000" w:themeColor="text1"/>
          <w:sz w:val="32"/>
          <w:szCs w:val="32"/>
          <w14:textFill>
            <w14:solidFill>
              <w14:schemeClr w14:val="tx1"/>
            </w14:solidFill>
          </w14:textFill>
        </w:rPr>
        <w:t>万元。</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6.</w:t>
      </w:r>
      <w:r>
        <w:rPr>
          <w:rFonts w:hint="eastAsia" w:ascii="仿宋_GB2312" w:hAnsi="仿宋" w:eastAsia="仿宋_GB2312"/>
          <w:color w:val="000000" w:themeColor="text1"/>
          <w:sz w:val="32"/>
          <w:szCs w:val="32"/>
          <w14:textFill>
            <w14:solidFill>
              <w14:schemeClr w14:val="tx1"/>
            </w14:solidFill>
          </w14:textFill>
        </w:rPr>
        <w:t>农林水支出：支出决算为</w:t>
      </w:r>
      <w:r>
        <w:rPr>
          <w:rFonts w:ascii="仿宋_GB2312" w:hAnsi="仿宋" w:eastAsia="仿宋_GB2312"/>
          <w:color w:val="000000" w:themeColor="text1"/>
          <w:sz w:val="32"/>
          <w:szCs w:val="32"/>
          <w14:textFill>
            <w14:solidFill>
              <w14:schemeClr w14:val="tx1"/>
            </w14:solidFill>
          </w14:textFill>
        </w:rPr>
        <w:t>98.73</w:t>
      </w:r>
      <w:r>
        <w:rPr>
          <w:rFonts w:hint="eastAsia" w:ascii="仿宋_GB2312" w:hAnsi="仿宋" w:eastAsia="仿宋_GB2312"/>
          <w:color w:val="000000" w:themeColor="text1"/>
          <w:sz w:val="32"/>
          <w:szCs w:val="32"/>
          <w14:textFill>
            <w14:solidFill>
              <w14:schemeClr w14:val="tx1"/>
            </w14:solidFill>
          </w14:textFill>
        </w:rPr>
        <w:t>万元，完成预算1</w:t>
      </w:r>
      <w:r>
        <w:rPr>
          <w:rFonts w:ascii="仿宋_GB2312" w:hAnsi="仿宋" w:eastAsia="仿宋_GB2312"/>
          <w:color w:val="000000" w:themeColor="text1"/>
          <w:sz w:val="32"/>
          <w:szCs w:val="32"/>
          <w14:textFill>
            <w14:solidFill>
              <w14:schemeClr w14:val="tx1"/>
            </w14:solidFill>
          </w14:textFill>
        </w:rPr>
        <w:t>00.0</w:t>
      </w:r>
      <w:r>
        <w:rPr>
          <w:rFonts w:hint="eastAsia" w:ascii="仿宋_GB2312" w:hAnsi="仿宋" w:eastAsia="仿宋_GB2312"/>
          <w:color w:val="000000" w:themeColor="text1"/>
          <w:sz w:val="32"/>
          <w:szCs w:val="32"/>
          <w14:textFill>
            <w14:solidFill>
              <w14:schemeClr w14:val="tx1"/>
            </w14:solidFill>
          </w14:textFill>
        </w:rPr>
        <w:t>%，其中：水利</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水资源节约管理与保护</w:t>
      </w:r>
      <w:r>
        <w:rPr>
          <w:rFonts w:ascii="仿宋_GB2312" w:hAnsi="仿宋" w:eastAsia="仿宋_GB2312"/>
          <w:color w:val="000000" w:themeColor="text1"/>
          <w:sz w:val="32"/>
          <w:szCs w:val="32"/>
          <w14:textFill>
            <w14:solidFill>
              <w14:schemeClr w14:val="tx1"/>
            </w14:solidFill>
          </w14:textFill>
        </w:rPr>
        <w:t>98.73</w:t>
      </w:r>
      <w:r>
        <w:rPr>
          <w:rFonts w:hint="eastAsia" w:ascii="仿宋_GB2312" w:hAnsi="仿宋" w:eastAsia="仿宋_GB2312"/>
          <w:color w:val="000000" w:themeColor="text1"/>
          <w:sz w:val="32"/>
          <w:szCs w:val="32"/>
          <w14:textFill>
            <w14:solidFill>
              <w14:schemeClr w14:val="tx1"/>
            </w14:solidFill>
          </w14:textFill>
        </w:rPr>
        <w:t>万元。</w:t>
      </w:r>
    </w:p>
    <w:p>
      <w:pPr>
        <w:pStyle w:val="2"/>
        <w:spacing w:before="93"/>
      </w:pP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7.</w:t>
      </w:r>
      <w:r>
        <w:rPr>
          <w:rFonts w:hint="eastAsia" w:ascii="仿宋_GB2312" w:hAnsi="仿宋" w:eastAsia="仿宋_GB2312"/>
          <w:color w:val="000000" w:themeColor="text1"/>
          <w:sz w:val="32"/>
          <w:szCs w:val="32"/>
          <w14:textFill>
            <w14:solidFill>
              <w14:schemeClr w14:val="tx1"/>
            </w14:solidFill>
          </w14:textFill>
        </w:rPr>
        <w:t>住房保障支出</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支出决算为</w:t>
      </w:r>
      <w:r>
        <w:rPr>
          <w:rFonts w:ascii="仿宋_GB2312" w:hAnsi="仿宋" w:eastAsia="仿宋_GB2312"/>
          <w:color w:val="000000" w:themeColor="text1"/>
          <w:sz w:val="32"/>
          <w:szCs w:val="32"/>
          <w14:textFill>
            <w14:solidFill>
              <w14:schemeClr w14:val="tx1"/>
            </w14:solidFill>
          </w14:textFill>
        </w:rPr>
        <w:t>9879.12</w:t>
      </w:r>
      <w:r>
        <w:rPr>
          <w:rFonts w:hint="eastAsia" w:ascii="仿宋_GB2312" w:hAnsi="仿宋" w:eastAsia="仿宋_GB2312"/>
          <w:color w:val="000000" w:themeColor="text1"/>
          <w:sz w:val="32"/>
          <w:szCs w:val="32"/>
          <w14:textFill>
            <w14:solidFill>
              <w14:schemeClr w14:val="tx1"/>
            </w14:solidFill>
          </w14:textFill>
        </w:rPr>
        <w:t>万元，完成预算</w:t>
      </w:r>
      <w:r>
        <w:rPr>
          <w:rFonts w:ascii="仿宋_GB2312" w:hAnsi="仿宋" w:eastAsia="仿宋_GB2312"/>
          <w:color w:val="000000" w:themeColor="text1"/>
          <w:sz w:val="32"/>
          <w:szCs w:val="32"/>
          <w14:textFill>
            <w14:solidFill>
              <w14:schemeClr w14:val="tx1"/>
            </w14:solidFill>
          </w14:textFill>
        </w:rPr>
        <w:t>100%</w:t>
      </w:r>
      <w:r>
        <w:rPr>
          <w:rFonts w:hint="eastAsia" w:ascii="仿宋_GB2312" w:hAnsi="仿宋" w:eastAsia="仿宋_GB2312"/>
          <w:color w:val="000000" w:themeColor="text1"/>
          <w:sz w:val="32"/>
          <w:szCs w:val="32"/>
          <w14:textFill>
            <w14:solidFill>
              <w14:schemeClr w14:val="tx1"/>
            </w14:solidFill>
          </w14:textFill>
        </w:rPr>
        <w:t>，其中：保障性安居工程支出-棚户区改造</w:t>
      </w:r>
      <w:r>
        <w:rPr>
          <w:rFonts w:ascii="仿宋_GB2312" w:hAnsi="仿宋" w:eastAsia="仿宋_GB2312"/>
          <w:color w:val="000000" w:themeColor="text1"/>
          <w:sz w:val="32"/>
          <w:szCs w:val="32"/>
          <w14:textFill>
            <w14:solidFill>
              <w14:schemeClr w14:val="tx1"/>
            </w14:solidFill>
          </w14:textFill>
        </w:rPr>
        <w:t>2553.87</w:t>
      </w:r>
      <w:r>
        <w:rPr>
          <w:rFonts w:hint="eastAsia" w:ascii="仿宋_GB2312" w:hAnsi="仿宋" w:eastAsia="仿宋_GB2312"/>
          <w:color w:val="000000" w:themeColor="text1"/>
          <w:sz w:val="32"/>
          <w:szCs w:val="32"/>
          <w14:textFill>
            <w14:solidFill>
              <w14:schemeClr w14:val="tx1"/>
            </w14:solidFill>
          </w14:textFill>
        </w:rPr>
        <w:t>万元，农村危房改造1</w:t>
      </w:r>
      <w:r>
        <w:rPr>
          <w:rFonts w:ascii="仿宋_GB2312" w:hAnsi="仿宋" w:eastAsia="仿宋_GB2312"/>
          <w:color w:val="000000" w:themeColor="text1"/>
          <w:sz w:val="32"/>
          <w:szCs w:val="32"/>
          <w14:textFill>
            <w14:solidFill>
              <w14:schemeClr w14:val="tx1"/>
            </w14:solidFill>
          </w14:textFill>
        </w:rPr>
        <w:t>61.69</w:t>
      </w:r>
      <w:r>
        <w:rPr>
          <w:rFonts w:hint="eastAsia" w:ascii="仿宋_GB2312" w:hAnsi="仿宋" w:eastAsia="仿宋_GB2312"/>
          <w:color w:val="000000" w:themeColor="text1"/>
          <w:sz w:val="32"/>
          <w:szCs w:val="32"/>
          <w14:textFill>
            <w14:solidFill>
              <w14:schemeClr w14:val="tx1"/>
            </w14:solidFill>
          </w14:textFill>
        </w:rPr>
        <w:t>万元，公共租赁住房</w:t>
      </w:r>
      <w:r>
        <w:rPr>
          <w:rFonts w:ascii="仿宋_GB2312" w:hAnsi="仿宋" w:eastAsia="仿宋_GB2312"/>
          <w:color w:val="000000" w:themeColor="text1"/>
          <w:sz w:val="32"/>
          <w:szCs w:val="32"/>
          <w14:textFill>
            <w14:solidFill>
              <w14:schemeClr w14:val="tx1"/>
            </w14:solidFill>
          </w14:textFill>
        </w:rPr>
        <w:t>147.88</w:t>
      </w:r>
      <w:r>
        <w:rPr>
          <w:rFonts w:hint="eastAsia" w:ascii="仿宋_GB2312" w:hAnsi="仿宋" w:eastAsia="仿宋_GB2312"/>
          <w:color w:val="000000" w:themeColor="text1"/>
          <w:sz w:val="32"/>
          <w:szCs w:val="32"/>
          <w14:textFill>
            <w14:solidFill>
              <w14:schemeClr w14:val="tx1"/>
            </w14:solidFill>
          </w14:textFill>
        </w:rPr>
        <w:t>万元，保障性住房租金补贴</w:t>
      </w:r>
      <w:r>
        <w:rPr>
          <w:rFonts w:ascii="仿宋_GB2312" w:hAnsi="仿宋" w:eastAsia="仿宋_GB2312"/>
          <w:color w:val="000000" w:themeColor="text1"/>
          <w:sz w:val="32"/>
          <w:szCs w:val="32"/>
          <w14:textFill>
            <w14:solidFill>
              <w14:schemeClr w14:val="tx1"/>
            </w14:solidFill>
          </w14:textFill>
        </w:rPr>
        <w:t>7.49</w:t>
      </w:r>
      <w:r>
        <w:rPr>
          <w:rFonts w:hint="eastAsia" w:ascii="仿宋_GB2312" w:hAnsi="仿宋" w:eastAsia="仿宋_GB2312"/>
          <w:color w:val="000000" w:themeColor="text1"/>
          <w:sz w:val="32"/>
          <w:szCs w:val="32"/>
          <w14:textFill>
            <w14:solidFill>
              <w14:schemeClr w14:val="tx1"/>
            </w14:solidFill>
          </w14:textFill>
        </w:rPr>
        <w:t>万元，老旧小区改造6</w:t>
      </w:r>
      <w:r>
        <w:rPr>
          <w:rFonts w:ascii="仿宋_GB2312" w:hAnsi="仿宋" w:eastAsia="仿宋_GB2312"/>
          <w:color w:val="000000" w:themeColor="text1"/>
          <w:sz w:val="32"/>
          <w:szCs w:val="32"/>
          <w14:textFill>
            <w14:solidFill>
              <w14:schemeClr w14:val="tx1"/>
            </w14:solidFill>
          </w14:textFill>
        </w:rPr>
        <w:t>774.83</w:t>
      </w:r>
      <w:r>
        <w:rPr>
          <w:rFonts w:hint="eastAsia" w:ascii="仿宋_GB2312" w:hAnsi="仿宋" w:eastAsia="仿宋_GB2312"/>
          <w:color w:val="000000" w:themeColor="text1"/>
          <w:sz w:val="32"/>
          <w:szCs w:val="32"/>
          <w14:textFill>
            <w14:solidFill>
              <w14:schemeClr w14:val="tx1"/>
            </w14:solidFill>
          </w14:textFill>
        </w:rPr>
        <w:t>万元，其他保障性安居工程支出</w:t>
      </w:r>
      <w:r>
        <w:rPr>
          <w:rFonts w:ascii="仿宋_GB2312" w:hAnsi="仿宋" w:eastAsia="仿宋_GB2312"/>
          <w:color w:val="000000" w:themeColor="text1"/>
          <w:sz w:val="32"/>
          <w:szCs w:val="32"/>
          <w14:textFill>
            <w14:solidFill>
              <w14:schemeClr w14:val="tx1"/>
            </w14:solidFill>
          </w14:textFill>
        </w:rPr>
        <w:t>156.77</w:t>
      </w:r>
      <w:r>
        <w:rPr>
          <w:rFonts w:hint="eastAsia" w:ascii="仿宋_GB2312" w:hAnsi="仿宋" w:eastAsia="仿宋_GB2312"/>
          <w:color w:val="000000" w:themeColor="text1"/>
          <w:sz w:val="32"/>
          <w:szCs w:val="32"/>
          <w14:textFill>
            <w14:solidFill>
              <w14:schemeClr w14:val="tx1"/>
            </w14:solidFill>
          </w14:textFill>
        </w:rPr>
        <w:t>万元；住房改革支出</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住房公积金</w:t>
      </w:r>
      <w:r>
        <w:rPr>
          <w:rFonts w:ascii="仿宋_GB2312" w:hAnsi="仿宋" w:eastAsia="仿宋_GB2312"/>
          <w:color w:val="000000" w:themeColor="text1"/>
          <w:sz w:val="32"/>
          <w:szCs w:val="32"/>
          <w14:textFill>
            <w14:solidFill>
              <w14:schemeClr w14:val="tx1"/>
            </w14:solidFill>
          </w14:textFill>
        </w:rPr>
        <w:t>76.59</w:t>
      </w:r>
      <w:r>
        <w:rPr>
          <w:rFonts w:hint="eastAsia" w:ascii="仿宋_GB2312" w:hAnsi="仿宋" w:eastAsia="仿宋_GB2312"/>
          <w:color w:val="000000" w:themeColor="text1"/>
          <w:sz w:val="32"/>
          <w:szCs w:val="32"/>
          <w14:textFill>
            <w14:solidFill>
              <w14:schemeClr w14:val="tx1"/>
            </w14:solidFill>
          </w14:textFill>
        </w:rPr>
        <w:t>万元。</w:t>
      </w:r>
    </w:p>
    <w:p>
      <w:pPr>
        <w:tabs>
          <w:tab w:val="right" w:pos="8306"/>
        </w:tabs>
        <w:spacing w:line="600" w:lineRule="exact"/>
        <w:ind w:firstLine="640"/>
        <w:outlineLvl w:val="1"/>
        <w:rPr>
          <w:rStyle w:val="26"/>
        </w:rPr>
      </w:pPr>
      <w:bookmarkStart w:id="38" w:name="_Toc15377214"/>
      <w:bookmarkStart w:id="39" w:name="_Toc15396608"/>
      <w:r>
        <w:rPr>
          <w:rFonts w:hint="eastAsia" w:ascii="黑体" w:eastAsia="黑体"/>
          <w:sz w:val="32"/>
          <w:szCs w:val="32"/>
        </w:rPr>
        <w:t>六</w:t>
      </w:r>
      <w:r>
        <w:rPr>
          <w:rFonts w:hint="eastAsia" w:ascii="黑体" w:eastAsia="黑体"/>
          <w:b/>
          <w:sz w:val="32"/>
          <w:szCs w:val="32"/>
        </w:rPr>
        <w:t>、</w:t>
      </w:r>
      <w:r>
        <w:rPr>
          <w:rFonts w:hint="eastAsia" w:ascii="黑体" w:hAnsi="黑体" w:eastAsia="黑体"/>
          <w:b/>
          <w:sz w:val="32"/>
          <w:szCs w:val="32"/>
        </w:rPr>
        <w:t>一</w:t>
      </w:r>
      <w:r>
        <w:rPr>
          <w:rStyle w:val="26"/>
          <w:rFonts w:hint="eastAsia" w:ascii="黑体" w:hAnsi="黑体" w:eastAsia="黑体"/>
          <w:b w:val="0"/>
        </w:rPr>
        <w:t>般公共预算财政拨款基本支出决算情况说明</w:t>
      </w:r>
      <w:bookmarkEnd w:id="38"/>
      <w:bookmarkEnd w:id="39"/>
      <w:r>
        <w:rPr>
          <w:rStyle w:val="26"/>
          <w:rFonts w:ascii="黑体" w:hAnsi="黑体" w:eastAsia="黑体"/>
          <w:b w:val="0"/>
        </w:rPr>
        <w:tab/>
      </w:r>
    </w:p>
    <w:p>
      <w:pPr>
        <w:spacing w:line="600" w:lineRule="exact"/>
        <w:ind w:firstLine="645"/>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21年一般公共预算财政拨款基本支出</w:t>
      </w:r>
      <w:r>
        <w:rPr>
          <w:rFonts w:ascii="仿宋" w:hAnsi="仿宋" w:eastAsia="仿宋"/>
          <w:sz w:val="32"/>
          <w:szCs w:val="32"/>
        </w:rPr>
        <w:t>969.84</w:t>
      </w:r>
      <w:r>
        <w:rPr>
          <w:rFonts w:hint="eastAsia" w:ascii="仿宋" w:hAnsi="仿宋" w:eastAsia="仿宋"/>
          <w:sz w:val="32"/>
          <w:szCs w:val="32"/>
        </w:rPr>
        <w:t>万元，其中：</w:t>
      </w:r>
    </w:p>
    <w:p>
      <w:pPr>
        <w:spacing w:line="600" w:lineRule="exact"/>
        <w:ind w:firstLine="64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861.28</w:t>
      </w:r>
      <w:r>
        <w:rPr>
          <w:rFonts w:hint="eastAsia" w:ascii="仿宋" w:hAnsi="仿宋" w:eastAsia="仿宋"/>
          <w:sz w:val="32"/>
          <w:szCs w:val="32"/>
        </w:rPr>
        <w:t>万元，主要包括：基本工资2</w:t>
      </w:r>
      <w:r>
        <w:rPr>
          <w:rFonts w:ascii="仿宋" w:hAnsi="仿宋" w:eastAsia="仿宋"/>
          <w:sz w:val="32"/>
          <w:szCs w:val="32"/>
        </w:rPr>
        <w:t>13.68</w:t>
      </w:r>
      <w:r>
        <w:rPr>
          <w:rFonts w:hint="eastAsia" w:ascii="仿宋" w:hAnsi="仿宋" w:eastAsia="仿宋"/>
          <w:sz w:val="32"/>
          <w:szCs w:val="32"/>
        </w:rPr>
        <w:t>万元、津贴补贴2</w:t>
      </w:r>
      <w:r>
        <w:rPr>
          <w:rFonts w:ascii="仿宋" w:hAnsi="仿宋" w:eastAsia="仿宋"/>
          <w:sz w:val="32"/>
          <w:szCs w:val="32"/>
        </w:rPr>
        <w:t>71.12</w:t>
      </w:r>
      <w:r>
        <w:rPr>
          <w:rFonts w:hint="eastAsia" w:ascii="仿宋" w:hAnsi="仿宋" w:eastAsia="仿宋"/>
          <w:sz w:val="32"/>
          <w:szCs w:val="32"/>
        </w:rPr>
        <w:t>万元、奖金7</w:t>
      </w:r>
      <w:r>
        <w:rPr>
          <w:rFonts w:ascii="仿宋" w:hAnsi="仿宋" w:eastAsia="仿宋"/>
          <w:sz w:val="32"/>
          <w:szCs w:val="32"/>
        </w:rPr>
        <w:t>.31</w:t>
      </w:r>
      <w:r>
        <w:rPr>
          <w:rFonts w:hint="eastAsia" w:ascii="仿宋" w:hAnsi="仿宋" w:eastAsia="仿宋"/>
          <w:sz w:val="32"/>
          <w:szCs w:val="32"/>
        </w:rPr>
        <w:t>万元、绩效工资7</w:t>
      </w:r>
      <w:r>
        <w:rPr>
          <w:rFonts w:ascii="仿宋" w:hAnsi="仿宋" w:eastAsia="仿宋"/>
          <w:sz w:val="32"/>
          <w:szCs w:val="32"/>
        </w:rPr>
        <w:t>3.41</w:t>
      </w:r>
      <w:r>
        <w:rPr>
          <w:rFonts w:hint="eastAsia" w:ascii="仿宋" w:hAnsi="仿宋" w:eastAsia="仿宋"/>
          <w:sz w:val="32"/>
          <w:szCs w:val="32"/>
        </w:rPr>
        <w:t>万元、机关事业单位基本养老保险缴费5</w:t>
      </w:r>
      <w:r>
        <w:rPr>
          <w:rFonts w:ascii="仿宋" w:hAnsi="仿宋" w:eastAsia="仿宋"/>
          <w:sz w:val="32"/>
          <w:szCs w:val="32"/>
        </w:rPr>
        <w:t>7.5</w:t>
      </w:r>
      <w:r>
        <w:rPr>
          <w:rFonts w:hint="eastAsia" w:ascii="仿宋" w:hAnsi="仿宋" w:eastAsia="仿宋"/>
          <w:sz w:val="32"/>
          <w:szCs w:val="32"/>
        </w:rPr>
        <w:t>万元、职业年金缴费2</w:t>
      </w:r>
      <w:r>
        <w:rPr>
          <w:rFonts w:ascii="仿宋" w:hAnsi="仿宋" w:eastAsia="仿宋"/>
          <w:sz w:val="32"/>
          <w:szCs w:val="32"/>
        </w:rPr>
        <w:t>7.98</w:t>
      </w:r>
      <w:r>
        <w:rPr>
          <w:rFonts w:hint="eastAsia" w:ascii="仿宋" w:hAnsi="仿宋" w:eastAsia="仿宋"/>
          <w:sz w:val="32"/>
          <w:szCs w:val="32"/>
        </w:rPr>
        <w:t>万元、</w:t>
      </w:r>
      <w:r>
        <w:rPr>
          <w:rFonts w:hint="eastAsia" w:ascii="仿宋" w:hAnsi="仿宋" w:eastAsia="仿宋"/>
          <w:color w:val="000000"/>
          <w:sz w:val="32"/>
          <w:szCs w:val="32"/>
        </w:rPr>
        <w:t>职工基本医疗保险缴费</w:t>
      </w:r>
      <w:r>
        <w:rPr>
          <w:rFonts w:ascii="仿宋" w:hAnsi="仿宋" w:eastAsia="仿宋"/>
          <w:color w:val="000000"/>
          <w:sz w:val="32"/>
          <w:szCs w:val="32"/>
        </w:rPr>
        <w:t>25.55</w:t>
      </w:r>
      <w:r>
        <w:rPr>
          <w:rFonts w:hint="eastAsia" w:ascii="仿宋" w:hAnsi="仿宋" w:eastAsia="仿宋"/>
          <w:color w:val="000000"/>
          <w:sz w:val="32"/>
          <w:szCs w:val="32"/>
        </w:rPr>
        <w:t>万元、</w:t>
      </w:r>
      <w:r>
        <w:rPr>
          <w:rFonts w:hint="eastAsia" w:ascii="仿宋" w:hAnsi="仿宋" w:eastAsia="仿宋"/>
          <w:sz w:val="32"/>
          <w:szCs w:val="32"/>
        </w:rPr>
        <w:t>其他社会保障缴费1</w:t>
      </w:r>
      <w:r>
        <w:rPr>
          <w:rFonts w:ascii="仿宋" w:hAnsi="仿宋" w:eastAsia="仿宋"/>
          <w:sz w:val="32"/>
          <w:szCs w:val="32"/>
        </w:rPr>
        <w:t>.38</w:t>
      </w:r>
      <w:r>
        <w:rPr>
          <w:rFonts w:hint="eastAsia" w:ascii="仿宋" w:hAnsi="仿宋" w:eastAsia="仿宋"/>
          <w:sz w:val="32"/>
          <w:szCs w:val="32"/>
        </w:rPr>
        <w:t>万元、其他工资福利支出3</w:t>
      </w:r>
      <w:r>
        <w:rPr>
          <w:rFonts w:ascii="仿宋" w:hAnsi="仿宋" w:eastAsia="仿宋"/>
          <w:sz w:val="32"/>
          <w:szCs w:val="32"/>
        </w:rPr>
        <w:t>9.81</w:t>
      </w:r>
      <w:r>
        <w:rPr>
          <w:rFonts w:hint="eastAsia" w:ascii="仿宋" w:hAnsi="仿宋" w:eastAsia="仿宋"/>
          <w:sz w:val="32"/>
          <w:szCs w:val="32"/>
        </w:rPr>
        <w:t>万元、生活补助6</w:t>
      </w:r>
      <w:r>
        <w:rPr>
          <w:rFonts w:ascii="仿宋" w:hAnsi="仿宋" w:eastAsia="仿宋"/>
          <w:sz w:val="32"/>
          <w:szCs w:val="32"/>
        </w:rPr>
        <w:t>4</w:t>
      </w:r>
      <w:r>
        <w:rPr>
          <w:rFonts w:hint="eastAsia" w:ascii="仿宋" w:hAnsi="仿宋" w:eastAsia="仿宋"/>
          <w:sz w:val="32"/>
          <w:szCs w:val="32"/>
        </w:rPr>
        <w:t>万元、医疗费1</w:t>
      </w:r>
      <w:r>
        <w:rPr>
          <w:rFonts w:ascii="仿宋" w:hAnsi="仿宋" w:eastAsia="仿宋"/>
          <w:sz w:val="32"/>
          <w:szCs w:val="32"/>
        </w:rPr>
        <w:t>.6</w:t>
      </w:r>
      <w:r>
        <w:rPr>
          <w:rFonts w:hint="eastAsia" w:ascii="仿宋" w:hAnsi="仿宋" w:eastAsia="仿宋"/>
          <w:sz w:val="32"/>
          <w:szCs w:val="32"/>
        </w:rPr>
        <w:t>万元、</w:t>
      </w:r>
      <w:r>
        <w:rPr>
          <w:rFonts w:hint="eastAsia" w:ascii="仿宋" w:hAnsi="仿宋" w:eastAsia="仿宋"/>
          <w:color w:val="000000"/>
          <w:sz w:val="32"/>
          <w:szCs w:val="32"/>
        </w:rPr>
        <w:t>医疗费补助</w:t>
      </w:r>
      <w:r>
        <w:rPr>
          <w:rFonts w:ascii="仿宋" w:hAnsi="仿宋" w:eastAsia="仿宋"/>
          <w:color w:val="000000"/>
          <w:sz w:val="32"/>
          <w:szCs w:val="32"/>
        </w:rPr>
        <w:t>1.15</w:t>
      </w:r>
      <w:r>
        <w:rPr>
          <w:rFonts w:hint="eastAsia" w:ascii="仿宋" w:hAnsi="仿宋" w:eastAsia="仿宋"/>
          <w:color w:val="000000"/>
          <w:sz w:val="32"/>
          <w:szCs w:val="32"/>
        </w:rPr>
        <w:t>万元、</w:t>
      </w:r>
      <w:r>
        <w:rPr>
          <w:rFonts w:hint="eastAsia" w:ascii="仿宋" w:hAnsi="仿宋" w:eastAsia="仿宋"/>
          <w:sz w:val="32"/>
          <w:szCs w:val="32"/>
        </w:rPr>
        <w:t>奖励金0</w:t>
      </w:r>
      <w:r>
        <w:rPr>
          <w:rFonts w:ascii="仿宋" w:hAnsi="仿宋" w:eastAsia="仿宋"/>
          <w:sz w:val="32"/>
          <w:szCs w:val="32"/>
        </w:rPr>
        <w:t>.21</w:t>
      </w:r>
      <w:r>
        <w:rPr>
          <w:rFonts w:hint="eastAsia" w:ascii="仿宋" w:hAnsi="仿宋" w:eastAsia="仿宋"/>
          <w:sz w:val="32"/>
          <w:szCs w:val="32"/>
        </w:rPr>
        <w:t>万元、住房公积金7</w:t>
      </w:r>
      <w:r>
        <w:rPr>
          <w:rFonts w:ascii="仿宋" w:hAnsi="仿宋" w:eastAsia="仿宋"/>
          <w:sz w:val="32"/>
          <w:szCs w:val="32"/>
        </w:rPr>
        <w:t>6.59</w:t>
      </w:r>
      <w:r>
        <w:rPr>
          <w:rFonts w:hint="eastAsia" w:ascii="仿宋" w:hAnsi="仿宋" w:eastAsia="仿宋"/>
          <w:sz w:val="32"/>
          <w:szCs w:val="32"/>
        </w:rPr>
        <w:t>万元等。</w:t>
      </w:r>
      <w:r>
        <w:rPr>
          <w:rFonts w:ascii="仿宋" w:hAnsi="仿宋" w:eastAsia="仿宋"/>
          <w:sz w:val="32"/>
          <w:szCs w:val="32"/>
        </w:rPr>
        <w:br w:type="textWrapping"/>
      </w:r>
      <w:r>
        <w:rPr>
          <w:rFonts w:hint="eastAsia" w:ascii="仿宋" w:hAnsi="仿宋" w:eastAsia="仿宋"/>
          <w:sz w:val="32"/>
          <w:szCs w:val="32"/>
        </w:rPr>
        <w:t>　　公用经费</w:t>
      </w:r>
      <w:r>
        <w:rPr>
          <w:rFonts w:ascii="仿宋" w:hAnsi="仿宋" w:eastAsia="仿宋"/>
          <w:sz w:val="32"/>
          <w:szCs w:val="32"/>
        </w:rPr>
        <w:t>108.56</w:t>
      </w:r>
      <w:r>
        <w:rPr>
          <w:rFonts w:hint="eastAsia" w:ascii="仿宋" w:hAnsi="仿宋" w:eastAsia="仿宋"/>
          <w:sz w:val="32"/>
          <w:szCs w:val="32"/>
        </w:rPr>
        <w:t>万元，主要包括：办公费1</w:t>
      </w:r>
      <w:r>
        <w:rPr>
          <w:rFonts w:ascii="仿宋" w:hAnsi="仿宋" w:eastAsia="仿宋"/>
          <w:sz w:val="32"/>
          <w:szCs w:val="32"/>
        </w:rPr>
        <w:t>4.99</w:t>
      </w:r>
      <w:r>
        <w:rPr>
          <w:rFonts w:hint="eastAsia" w:ascii="仿宋" w:hAnsi="仿宋" w:eastAsia="仿宋"/>
          <w:sz w:val="32"/>
          <w:szCs w:val="32"/>
        </w:rPr>
        <w:t>万元、手续费0</w:t>
      </w:r>
      <w:r>
        <w:rPr>
          <w:rFonts w:ascii="仿宋" w:hAnsi="仿宋" w:eastAsia="仿宋"/>
          <w:sz w:val="32"/>
          <w:szCs w:val="32"/>
        </w:rPr>
        <w:t>.02</w:t>
      </w:r>
      <w:r>
        <w:rPr>
          <w:rFonts w:hint="eastAsia" w:ascii="仿宋" w:hAnsi="仿宋" w:eastAsia="仿宋"/>
          <w:sz w:val="32"/>
          <w:szCs w:val="32"/>
        </w:rPr>
        <w:t>万元、水费0</w:t>
      </w:r>
      <w:r>
        <w:rPr>
          <w:rFonts w:ascii="仿宋" w:hAnsi="仿宋" w:eastAsia="仿宋"/>
          <w:sz w:val="32"/>
          <w:szCs w:val="32"/>
        </w:rPr>
        <w:t>.69</w:t>
      </w:r>
      <w:r>
        <w:rPr>
          <w:rFonts w:hint="eastAsia" w:ascii="仿宋" w:hAnsi="仿宋" w:eastAsia="仿宋"/>
          <w:sz w:val="32"/>
          <w:szCs w:val="32"/>
        </w:rPr>
        <w:t>万元、电费5</w:t>
      </w:r>
      <w:r>
        <w:rPr>
          <w:rFonts w:ascii="仿宋" w:hAnsi="仿宋" w:eastAsia="仿宋"/>
          <w:sz w:val="32"/>
          <w:szCs w:val="32"/>
        </w:rPr>
        <w:t>.54</w:t>
      </w:r>
      <w:r>
        <w:rPr>
          <w:rFonts w:hint="eastAsia" w:ascii="仿宋" w:hAnsi="仿宋" w:eastAsia="仿宋"/>
          <w:sz w:val="32"/>
          <w:szCs w:val="32"/>
        </w:rPr>
        <w:t>万元、邮电费9</w:t>
      </w:r>
      <w:r>
        <w:rPr>
          <w:rFonts w:ascii="仿宋" w:hAnsi="仿宋" w:eastAsia="仿宋"/>
          <w:sz w:val="32"/>
          <w:szCs w:val="32"/>
        </w:rPr>
        <w:t>.15</w:t>
      </w:r>
      <w:r>
        <w:rPr>
          <w:rFonts w:hint="eastAsia" w:ascii="仿宋" w:hAnsi="仿宋" w:eastAsia="仿宋"/>
          <w:sz w:val="32"/>
          <w:szCs w:val="32"/>
        </w:rPr>
        <w:t>万元、物业管理费6</w:t>
      </w:r>
      <w:r>
        <w:rPr>
          <w:rFonts w:ascii="仿宋" w:hAnsi="仿宋" w:eastAsia="仿宋"/>
          <w:sz w:val="32"/>
          <w:szCs w:val="32"/>
        </w:rPr>
        <w:t>.18</w:t>
      </w:r>
      <w:r>
        <w:rPr>
          <w:rFonts w:hint="eastAsia" w:ascii="仿宋" w:hAnsi="仿宋" w:eastAsia="仿宋"/>
          <w:sz w:val="32"/>
          <w:szCs w:val="32"/>
        </w:rPr>
        <w:t>万元、差旅费3</w:t>
      </w:r>
      <w:r>
        <w:rPr>
          <w:rFonts w:ascii="仿宋" w:hAnsi="仿宋" w:eastAsia="仿宋"/>
          <w:sz w:val="32"/>
          <w:szCs w:val="32"/>
        </w:rPr>
        <w:t>1.26</w:t>
      </w:r>
      <w:r>
        <w:rPr>
          <w:rFonts w:hint="eastAsia" w:ascii="仿宋" w:hAnsi="仿宋" w:eastAsia="仿宋"/>
          <w:sz w:val="32"/>
          <w:szCs w:val="32"/>
        </w:rPr>
        <w:t>万元、维修（护）费1</w:t>
      </w:r>
      <w:r>
        <w:rPr>
          <w:rFonts w:ascii="仿宋" w:hAnsi="仿宋" w:eastAsia="仿宋"/>
          <w:sz w:val="32"/>
          <w:szCs w:val="32"/>
        </w:rPr>
        <w:t>.82</w:t>
      </w:r>
      <w:r>
        <w:rPr>
          <w:rFonts w:hint="eastAsia" w:ascii="仿宋" w:hAnsi="仿宋" w:eastAsia="仿宋"/>
          <w:sz w:val="32"/>
          <w:szCs w:val="32"/>
        </w:rPr>
        <w:t>万元、培训费0</w:t>
      </w:r>
      <w:r>
        <w:rPr>
          <w:rFonts w:ascii="仿宋" w:hAnsi="仿宋" w:eastAsia="仿宋"/>
          <w:sz w:val="32"/>
          <w:szCs w:val="32"/>
        </w:rPr>
        <w:t>.2</w:t>
      </w:r>
      <w:r>
        <w:rPr>
          <w:rFonts w:hint="eastAsia" w:ascii="仿宋" w:hAnsi="仿宋" w:eastAsia="仿宋"/>
          <w:sz w:val="32"/>
          <w:szCs w:val="32"/>
        </w:rPr>
        <w:t>万元、公务接待费0</w:t>
      </w:r>
      <w:r>
        <w:rPr>
          <w:rFonts w:ascii="仿宋" w:hAnsi="仿宋" w:eastAsia="仿宋"/>
          <w:sz w:val="32"/>
          <w:szCs w:val="32"/>
        </w:rPr>
        <w:t>.56</w:t>
      </w:r>
      <w:r>
        <w:rPr>
          <w:rFonts w:hint="eastAsia" w:ascii="仿宋" w:hAnsi="仿宋" w:eastAsia="仿宋"/>
          <w:sz w:val="32"/>
          <w:szCs w:val="32"/>
        </w:rPr>
        <w:t>万元、劳务费3</w:t>
      </w:r>
      <w:r>
        <w:rPr>
          <w:rFonts w:ascii="仿宋" w:hAnsi="仿宋" w:eastAsia="仿宋"/>
          <w:sz w:val="32"/>
          <w:szCs w:val="32"/>
        </w:rPr>
        <w:t>.66</w:t>
      </w:r>
      <w:r>
        <w:rPr>
          <w:rFonts w:hint="eastAsia" w:ascii="仿宋" w:hAnsi="仿宋" w:eastAsia="仿宋"/>
          <w:sz w:val="32"/>
          <w:szCs w:val="32"/>
        </w:rPr>
        <w:t>万元、福利费4</w:t>
      </w:r>
      <w:r>
        <w:rPr>
          <w:rFonts w:ascii="仿宋" w:hAnsi="仿宋" w:eastAsia="仿宋"/>
          <w:sz w:val="32"/>
          <w:szCs w:val="32"/>
        </w:rPr>
        <w:t>.11</w:t>
      </w:r>
      <w:r>
        <w:rPr>
          <w:rFonts w:hint="eastAsia" w:ascii="仿宋" w:hAnsi="仿宋" w:eastAsia="仿宋"/>
          <w:sz w:val="32"/>
          <w:szCs w:val="32"/>
        </w:rPr>
        <w:t>万元、公务用车运行维护费5万元、其他交通费1</w:t>
      </w:r>
      <w:r>
        <w:rPr>
          <w:rFonts w:ascii="仿宋" w:hAnsi="仿宋" w:eastAsia="仿宋"/>
          <w:sz w:val="32"/>
          <w:szCs w:val="32"/>
        </w:rPr>
        <w:t>7.45</w:t>
      </w:r>
      <w:r>
        <w:rPr>
          <w:rFonts w:hint="eastAsia" w:ascii="仿宋" w:hAnsi="仿宋" w:eastAsia="仿宋"/>
          <w:sz w:val="32"/>
          <w:szCs w:val="32"/>
        </w:rPr>
        <w:t>万元、其他商品和服务支出7</w:t>
      </w:r>
      <w:r>
        <w:rPr>
          <w:rFonts w:ascii="仿宋" w:hAnsi="仿宋" w:eastAsia="仿宋"/>
          <w:sz w:val="32"/>
          <w:szCs w:val="32"/>
        </w:rPr>
        <w:t>.84</w:t>
      </w:r>
      <w:r>
        <w:rPr>
          <w:rFonts w:hint="eastAsia" w:ascii="仿宋" w:hAnsi="仿宋" w:eastAsia="仿宋"/>
          <w:sz w:val="32"/>
          <w:szCs w:val="32"/>
        </w:rPr>
        <w:t>万元、办公设备购置0</w:t>
      </w:r>
      <w:r>
        <w:rPr>
          <w:rFonts w:ascii="仿宋" w:hAnsi="仿宋" w:eastAsia="仿宋"/>
          <w:sz w:val="32"/>
          <w:szCs w:val="32"/>
        </w:rPr>
        <w:t>.11</w:t>
      </w:r>
      <w:r>
        <w:rPr>
          <w:rFonts w:hint="eastAsia" w:ascii="仿宋" w:hAnsi="仿宋" w:eastAsia="仿宋"/>
          <w:sz w:val="32"/>
          <w:szCs w:val="32"/>
        </w:rPr>
        <w:t>万元等。</w:t>
      </w:r>
    </w:p>
    <w:p>
      <w:pPr>
        <w:spacing w:line="600" w:lineRule="exact"/>
        <w:ind w:firstLine="640"/>
        <w:outlineLvl w:val="1"/>
        <w:rPr>
          <w:rStyle w:val="26"/>
          <w:rFonts w:ascii="黑体" w:hAnsi="黑体" w:eastAsia="黑体"/>
          <w:b w:val="0"/>
        </w:rPr>
      </w:pPr>
      <w:bookmarkStart w:id="40" w:name="_Toc15396609"/>
      <w:bookmarkStart w:id="41" w:name="_Toc15377215"/>
      <w:r>
        <w:rPr>
          <w:rFonts w:hint="eastAsia" w:ascii="黑体" w:eastAsia="黑体"/>
          <w:sz w:val="32"/>
          <w:szCs w:val="32"/>
        </w:rPr>
        <w:t>七、</w:t>
      </w:r>
      <w:r>
        <w:rPr>
          <w:rStyle w:val="26"/>
          <w:rFonts w:hint="eastAsia" w:ascii="黑体" w:hAnsi="黑体" w:eastAsia="黑体"/>
        </w:rPr>
        <w:t>“</w:t>
      </w:r>
      <w:r>
        <w:rPr>
          <w:rStyle w:val="26"/>
          <w:rFonts w:hint="eastAsia" w:ascii="黑体" w:hAnsi="黑体" w:eastAsia="黑体"/>
          <w:b w:val="0"/>
        </w:rPr>
        <w:t>三公”经费财政拨款支出决算情况说明</w:t>
      </w:r>
      <w:bookmarkEnd w:id="40"/>
      <w:bookmarkEnd w:id="41"/>
    </w:p>
    <w:p>
      <w:pPr>
        <w:spacing w:line="600" w:lineRule="exact"/>
        <w:ind w:firstLine="640"/>
        <w:outlineLvl w:val="2"/>
        <w:rPr>
          <w:rFonts w:ascii="仿宋" w:hAnsi="仿宋" w:eastAsia="仿宋"/>
          <w:b/>
          <w:sz w:val="32"/>
          <w:szCs w:val="32"/>
        </w:rPr>
      </w:pPr>
      <w:bookmarkStart w:id="42" w:name="_Toc15377216"/>
      <w:r>
        <w:rPr>
          <w:rFonts w:hint="eastAsia" w:ascii="仿宋" w:hAnsi="仿宋" w:eastAsia="仿宋"/>
          <w:b/>
          <w:sz w:val="32"/>
          <w:szCs w:val="32"/>
        </w:rPr>
        <w:t>（一）“三公”经费财政拨款支出决算总体情况说明</w:t>
      </w:r>
      <w:bookmarkEnd w:id="42"/>
    </w:p>
    <w:p>
      <w:pPr>
        <w:spacing w:line="600" w:lineRule="exact"/>
        <w:ind w:firstLine="640"/>
        <w:rPr>
          <w:rFonts w:ascii="仿宋" w:hAnsi="仿宋" w:eastAsia="仿宋"/>
          <w:b/>
          <w:sz w:val="32"/>
          <w:szCs w:val="32"/>
        </w:rPr>
      </w:pPr>
      <w:r>
        <w:rPr>
          <w:rFonts w:ascii="仿宋" w:hAnsi="仿宋" w:eastAsia="仿宋"/>
          <w:sz w:val="32"/>
          <w:szCs w:val="32"/>
        </w:rPr>
        <w:t>20</w:t>
      </w:r>
      <w:r>
        <w:rPr>
          <w:rFonts w:hint="eastAsia" w:ascii="仿宋" w:hAnsi="仿宋" w:eastAsia="仿宋"/>
          <w:sz w:val="32"/>
          <w:szCs w:val="32"/>
        </w:rPr>
        <w:t>21年“三公”经费财政拨款支出决算为</w:t>
      </w:r>
      <w:r>
        <w:rPr>
          <w:rFonts w:ascii="仿宋" w:hAnsi="仿宋" w:eastAsia="仿宋"/>
          <w:sz w:val="32"/>
          <w:szCs w:val="32"/>
        </w:rPr>
        <w:t>5.89</w:t>
      </w:r>
      <w:r>
        <w:rPr>
          <w:rFonts w:hint="eastAsia" w:ascii="仿宋" w:hAnsi="仿宋" w:eastAsia="仿宋"/>
          <w:sz w:val="32"/>
          <w:szCs w:val="32"/>
        </w:rPr>
        <w:t>万元，完成预算</w:t>
      </w:r>
      <w:r>
        <w:rPr>
          <w:rFonts w:ascii="仿宋" w:hAnsi="仿宋" w:eastAsia="仿宋"/>
          <w:sz w:val="32"/>
          <w:szCs w:val="32"/>
        </w:rPr>
        <w:t>100%</w:t>
      </w:r>
      <w:r>
        <w:rPr>
          <w:rFonts w:hint="eastAsia" w:ascii="仿宋" w:hAnsi="仿宋" w:eastAsia="仿宋"/>
          <w:sz w:val="32"/>
          <w:szCs w:val="32"/>
        </w:rPr>
        <w:t>。</w:t>
      </w:r>
    </w:p>
    <w:p>
      <w:pPr>
        <w:spacing w:line="600" w:lineRule="exact"/>
        <w:ind w:firstLine="640"/>
        <w:outlineLvl w:val="2"/>
        <w:rPr>
          <w:rFonts w:ascii="仿宋" w:hAnsi="仿宋" w:eastAsia="仿宋"/>
          <w:b/>
          <w:sz w:val="32"/>
          <w:szCs w:val="32"/>
        </w:rPr>
      </w:pPr>
      <w:bookmarkStart w:id="43" w:name="_Toc15377217"/>
      <w:r>
        <w:rPr>
          <w:rFonts w:hint="eastAsia" w:ascii="仿宋" w:hAnsi="仿宋" w:eastAsia="仿宋"/>
          <w:b/>
          <w:sz w:val="32"/>
          <w:szCs w:val="32"/>
        </w:rPr>
        <w:t>（二）“三公”经费财政拨款支出决算具体情况说明</w:t>
      </w:r>
      <w:bookmarkEnd w:id="43"/>
    </w:p>
    <w:p>
      <w:pPr>
        <w:spacing w:line="600" w:lineRule="exact"/>
        <w:ind w:firstLine="640"/>
        <w:rPr>
          <w:rFonts w:ascii="仿宋" w:hAnsi="仿宋" w:eastAsia="仿宋"/>
          <w:sz w:val="32"/>
          <w:szCs w:val="32"/>
        </w:rPr>
      </w:pPr>
      <w:r>
        <w:rPr>
          <w:rFonts w:ascii="仿宋" w:hAnsi="仿宋" w:eastAsia="仿宋"/>
          <w:sz w:val="32"/>
          <w:szCs w:val="32"/>
        </w:rPr>
        <w:t>20</w:t>
      </w:r>
      <w:r>
        <w:rPr>
          <w:rFonts w:hint="eastAsia" w:ascii="仿宋" w:hAnsi="仿宋" w:eastAsia="仿宋"/>
          <w:sz w:val="32"/>
          <w:szCs w:val="32"/>
        </w:rPr>
        <w:t>21年“三公”经费财政拨款支出决算中，因公出国（境）费支出决算</w:t>
      </w:r>
      <w:r>
        <w:rPr>
          <w:rFonts w:ascii="仿宋" w:hAnsi="仿宋" w:eastAsia="仿宋"/>
          <w:sz w:val="32"/>
          <w:szCs w:val="32"/>
        </w:rPr>
        <w:t>0</w:t>
      </w:r>
      <w:r>
        <w:rPr>
          <w:rFonts w:hint="eastAsia" w:ascii="仿宋" w:hAnsi="仿宋" w:eastAsia="仿宋"/>
          <w:sz w:val="32"/>
          <w:szCs w:val="32"/>
        </w:rPr>
        <w:t>万元；公务用车购置及运行维护费支出决算</w:t>
      </w:r>
      <w:r>
        <w:rPr>
          <w:rFonts w:ascii="仿宋" w:hAnsi="仿宋" w:eastAsia="仿宋"/>
          <w:sz w:val="32"/>
          <w:szCs w:val="32"/>
        </w:rPr>
        <w:t>5</w:t>
      </w:r>
      <w:r>
        <w:rPr>
          <w:rFonts w:hint="eastAsia" w:ascii="仿宋" w:hAnsi="仿宋" w:eastAsia="仿宋"/>
          <w:sz w:val="32"/>
          <w:szCs w:val="32"/>
        </w:rPr>
        <w:t>万元，占</w:t>
      </w:r>
      <w:r>
        <w:rPr>
          <w:rFonts w:ascii="仿宋" w:hAnsi="仿宋" w:eastAsia="仿宋"/>
          <w:sz w:val="32"/>
          <w:szCs w:val="32"/>
        </w:rPr>
        <w:t>84.89%</w:t>
      </w:r>
      <w:r>
        <w:rPr>
          <w:rFonts w:hint="eastAsia" w:ascii="仿宋" w:hAnsi="仿宋" w:eastAsia="仿宋"/>
          <w:sz w:val="32"/>
          <w:szCs w:val="32"/>
        </w:rPr>
        <w:t>；公务接待费支出决算</w:t>
      </w:r>
      <w:r>
        <w:rPr>
          <w:rFonts w:ascii="仿宋" w:hAnsi="仿宋" w:eastAsia="仿宋"/>
          <w:sz w:val="32"/>
          <w:szCs w:val="32"/>
        </w:rPr>
        <w:t>0.89</w:t>
      </w:r>
      <w:r>
        <w:rPr>
          <w:rFonts w:hint="eastAsia" w:ascii="仿宋" w:hAnsi="仿宋" w:eastAsia="仿宋"/>
          <w:sz w:val="32"/>
          <w:szCs w:val="32"/>
        </w:rPr>
        <w:t>万元，占</w:t>
      </w:r>
      <w:r>
        <w:rPr>
          <w:rFonts w:ascii="仿宋" w:hAnsi="仿宋" w:eastAsia="仿宋"/>
          <w:sz w:val="32"/>
          <w:szCs w:val="32"/>
        </w:rPr>
        <w:t>15.11%</w:t>
      </w:r>
      <w:r>
        <w:rPr>
          <w:rFonts w:hint="eastAsia" w:ascii="仿宋" w:hAnsi="仿宋" w:eastAsia="仿宋"/>
          <w:sz w:val="32"/>
          <w:szCs w:val="32"/>
        </w:rPr>
        <w:t>。具体情况如下：</w:t>
      </w:r>
    </w:p>
    <w:p>
      <w:pPr>
        <w:spacing w:line="600" w:lineRule="exact"/>
        <w:ind w:firstLine="640"/>
        <w:rPr>
          <w:rFonts w:ascii="仿宋" w:hAnsi="仿宋" w:eastAsia="仿宋"/>
          <w:sz w:val="32"/>
          <w:szCs w:val="32"/>
        </w:rPr>
      </w:pPr>
      <w:r>
        <w:rPr>
          <w:rFonts w:hint="eastAsia" w:ascii="仿宋" w:hAnsi="仿宋" w:eastAsia="仿宋"/>
          <w:color w:val="000000"/>
          <w:sz w:val="32"/>
          <w:szCs w:val="32"/>
        </w:rPr>
        <w:drawing>
          <wp:anchor distT="0" distB="0" distL="114300" distR="114300" simplePos="0" relativeHeight="251665408" behindDoc="0" locked="0" layoutInCell="1" allowOverlap="1">
            <wp:simplePos x="0" y="0"/>
            <wp:positionH relativeFrom="column">
              <wp:posOffset>0</wp:posOffset>
            </wp:positionH>
            <wp:positionV relativeFrom="paragraph">
              <wp:posOffset>590550</wp:posOffset>
            </wp:positionV>
            <wp:extent cx="5372100" cy="2266950"/>
            <wp:effectExtent l="0" t="0" r="0" b="0"/>
            <wp:wrapSquare wrapText="bothSides"/>
            <wp:docPr id="1" name="图表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仿宋" w:hAnsi="仿宋" w:eastAsia="仿宋"/>
          <w:sz w:val="32"/>
          <w:szCs w:val="32"/>
        </w:rPr>
        <w:t>（图7：“三公”经费财政拨款支出结构）</w:t>
      </w:r>
    </w:p>
    <w:p>
      <w:pPr>
        <w:pStyle w:val="2"/>
        <w:spacing w:before="93"/>
      </w:pPr>
    </w:p>
    <w:p>
      <w:pPr>
        <w:spacing w:line="600" w:lineRule="exact"/>
        <w:ind w:firstLine="64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因公出国（境）经费支出</w:t>
      </w:r>
      <w:r>
        <w:rPr>
          <w:rFonts w:ascii="仿宋_GB2312" w:eastAsia="仿宋_GB2312"/>
          <w:sz w:val="32"/>
          <w:szCs w:val="32"/>
        </w:rPr>
        <w:t>0</w:t>
      </w:r>
      <w:r>
        <w:rPr>
          <w:rFonts w:hint="eastAsia" w:ascii="仿宋_GB2312" w:eastAsia="仿宋_GB2312"/>
          <w:sz w:val="32"/>
          <w:szCs w:val="32"/>
        </w:rPr>
        <w:t>万元</w:t>
      </w:r>
      <w:r>
        <w:rPr>
          <w:rStyle w:val="15"/>
          <w:rFonts w:hint="eastAsia" w:ascii="仿宋" w:hAnsi="仿宋" w:eastAsia="仿宋"/>
          <w:b w:val="0"/>
          <w:bCs/>
          <w:sz w:val="32"/>
          <w:szCs w:val="32"/>
        </w:rPr>
        <w:t>。</w:t>
      </w:r>
      <w:r>
        <w:rPr>
          <w:rFonts w:hint="eastAsia" w:ascii="仿宋_GB2312" w:eastAsia="仿宋_GB2312"/>
          <w:sz w:val="32"/>
          <w:szCs w:val="32"/>
        </w:rPr>
        <w:t>全年安排因公出国（境）团组</w:t>
      </w:r>
      <w:r>
        <w:rPr>
          <w:rFonts w:ascii="仿宋_GB2312" w:eastAsia="仿宋_GB2312"/>
          <w:sz w:val="32"/>
          <w:szCs w:val="32"/>
        </w:rPr>
        <w:t>0</w:t>
      </w:r>
      <w:r>
        <w:rPr>
          <w:rFonts w:hint="eastAsia" w:ascii="仿宋_GB2312" w:eastAsia="仿宋_GB2312"/>
          <w:sz w:val="32"/>
          <w:szCs w:val="32"/>
        </w:rPr>
        <w:t>次，出国（境）</w:t>
      </w:r>
      <w:r>
        <w:rPr>
          <w:rFonts w:ascii="仿宋_GB2312" w:eastAsia="仿宋_GB2312"/>
          <w:sz w:val="32"/>
          <w:szCs w:val="32"/>
        </w:rPr>
        <w:t>0</w:t>
      </w:r>
      <w:r>
        <w:rPr>
          <w:rFonts w:hint="eastAsia" w:ascii="仿宋_GB2312" w:eastAsia="仿宋_GB2312"/>
          <w:sz w:val="32"/>
          <w:szCs w:val="32"/>
        </w:rPr>
        <w:t>人，因公出国（境）支出决算比</w:t>
      </w:r>
      <w:r>
        <w:rPr>
          <w:rFonts w:ascii="仿宋_GB2312" w:eastAsia="仿宋_GB2312"/>
          <w:sz w:val="32"/>
          <w:szCs w:val="32"/>
        </w:rPr>
        <w:t>20</w:t>
      </w:r>
      <w:r>
        <w:rPr>
          <w:rFonts w:hint="eastAsia" w:ascii="仿宋_GB2312" w:eastAsia="仿宋_GB2312"/>
          <w:sz w:val="32"/>
          <w:szCs w:val="32"/>
        </w:rPr>
        <w:t>20年持平。</w:t>
      </w:r>
    </w:p>
    <w:p>
      <w:pPr>
        <w:spacing w:line="600" w:lineRule="exact"/>
        <w:ind w:firstLine="640"/>
        <w:rPr>
          <w:rFonts w:ascii="仿宋_GB2312" w:eastAsia="仿宋_GB2312"/>
          <w:b/>
          <w:sz w:val="32"/>
          <w:szCs w:val="32"/>
        </w:rPr>
      </w:pPr>
      <w:r>
        <w:rPr>
          <w:rFonts w:ascii="仿宋_GB2312" w:eastAsia="仿宋_GB2312"/>
          <w:b/>
          <w:sz w:val="32"/>
          <w:szCs w:val="32"/>
        </w:rPr>
        <w:t>2.</w:t>
      </w:r>
      <w:r>
        <w:rPr>
          <w:rFonts w:hint="eastAsia" w:ascii="仿宋_GB2312" w:eastAsia="仿宋_GB2312"/>
          <w:b/>
          <w:sz w:val="32"/>
          <w:szCs w:val="32"/>
        </w:rPr>
        <w:t>公务用车购置及运行维护费支出</w:t>
      </w:r>
      <w:r>
        <w:rPr>
          <w:rFonts w:ascii="仿宋_GB2312" w:eastAsia="仿宋_GB2312"/>
          <w:sz w:val="32"/>
          <w:szCs w:val="32"/>
        </w:rPr>
        <w:t>5</w:t>
      </w:r>
      <w:r>
        <w:rPr>
          <w:rFonts w:hint="eastAsia" w:ascii="仿宋_GB2312" w:eastAsia="仿宋_GB2312"/>
          <w:sz w:val="32"/>
          <w:szCs w:val="32"/>
        </w:rPr>
        <w:t>万元</w:t>
      </w:r>
      <w:r>
        <w:rPr>
          <w:rFonts w:hint="eastAsia" w:ascii="仿宋_GB2312" w:eastAsia="仿宋_GB2312"/>
          <w:sz w:val="32"/>
          <w:szCs w:val="32"/>
          <w:lang w:eastAsia="zh-CN"/>
        </w:rPr>
        <w:t>，</w:t>
      </w:r>
      <w:r>
        <w:rPr>
          <w:rStyle w:val="15"/>
          <w:rFonts w:hint="eastAsia" w:ascii="仿宋" w:hAnsi="仿宋" w:eastAsia="仿宋"/>
          <w:b w:val="0"/>
          <w:bCs/>
          <w:sz w:val="32"/>
          <w:szCs w:val="32"/>
        </w:rPr>
        <w:t>完成预算</w:t>
      </w:r>
      <w:r>
        <w:rPr>
          <w:rStyle w:val="15"/>
          <w:rFonts w:ascii="仿宋" w:hAnsi="仿宋" w:eastAsia="仿宋"/>
          <w:b w:val="0"/>
          <w:bCs/>
          <w:sz w:val="32"/>
          <w:szCs w:val="32"/>
        </w:rPr>
        <w:t>100%</w:t>
      </w:r>
      <w:r>
        <w:rPr>
          <w:rStyle w:val="15"/>
          <w:rFonts w:hint="eastAsia" w:ascii="仿宋" w:hAnsi="仿宋" w:eastAsia="仿宋"/>
          <w:b w:val="0"/>
          <w:bCs/>
          <w:sz w:val="32"/>
          <w:szCs w:val="32"/>
        </w:rPr>
        <w:t>。</w:t>
      </w:r>
      <w:r>
        <w:rPr>
          <w:rFonts w:hint="eastAsia" w:ascii="仿宋_GB2312" w:eastAsia="仿宋_GB2312"/>
          <w:sz w:val="32"/>
          <w:szCs w:val="32"/>
        </w:rPr>
        <w:t>公务用车购置及运行维护费支出决算与</w:t>
      </w:r>
      <w:r>
        <w:rPr>
          <w:rFonts w:ascii="仿宋_GB2312" w:eastAsia="仿宋_GB2312"/>
          <w:sz w:val="32"/>
          <w:szCs w:val="32"/>
        </w:rPr>
        <w:t>20</w:t>
      </w:r>
      <w:r>
        <w:rPr>
          <w:rFonts w:hint="eastAsia" w:ascii="仿宋_GB2312" w:eastAsia="仿宋_GB2312"/>
          <w:sz w:val="32"/>
          <w:szCs w:val="32"/>
        </w:rPr>
        <w:t>20年持平。</w:t>
      </w:r>
    </w:p>
    <w:p>
      <w:pPr>
        <w:spacing w:line="600" w:lineRule="exact"/>
        <w:ind w:firstLine="640" w:firstLineChars="200"/>
        <w:rPr>
          <w:rFonts w:ascii="仿宋_GB2312" w:eastAsia="仿宋_GB2312"/>
          <w:b/>
          <w:sz w:val="32"/>
          <w:szCs w:val="32"/>
        </w:rPr>
      </w:pPr>
      <w:r>
        <w:rPr>
          <w:rFonts w:hint="eastAsia" w:ascii="仿宋_GB2312" w:eastAsia="仿宋_GB2312"/>
          <w:sz w:val="32"/>
          <w:szCs w:val="32"/>
        </w:rPr>
        <w:t>其中：</w:t>
      </w:r>
      <w:r>
        <w:rPr>
          <w:rFonts w:hint="eastAsia" w:ascii="仿宋_GB2312" w:eastAsia="仿宋_GB2312"/>
          <w:b/>
          <w:sz w:val="32"/>
          <w:szCs w:val="32"/>
        </w:rPr>
        <w:t>公务用车购置支出</w:t>
      </w:r>
      <w:r>
        <w:rPr>
          <w:rFonts w:ascii="仿宋_GB2312" w:eastAsia="仿宋_GB2312"/>
          <w:sz w:val="32"/>
          <w:szCs w:val="32"/>
        </w:rPr>
        <w:t>0</w:t>
      </w:r>
      <w:r>
        <w:rPr>
          <w:rFonts w:hint="eastAsia" w:ascii="仿宋_GB2312" w:eastAsia="仿宋_GB2312"/>
          <w:sz w:val="32"/>
          <w:szCs w:val="32"/>
        </w:rPr>
        <w:t>万元。</w:t>
      </w:r>
    </w:p>
    <w:p>
      <w:pPr>
        <w:spacing w:line="600" w:lineRule="exact"/>
        <w:ind w:firstLine="640"/>
        <w:rPr>
          <w:rFonts w:ascii="仿宋_GB2312" w:eastAsia="仿宋_GB2312"/>
          <w:color w:val="000000"/>
          <w:sz w:val="32"/>
          <w:szCs w:val="32"/>
        </w:rPr>
      </w:pPr>
      <w:r>
        <w:rPr>
          <w:rFonts w:hint="eastAsia" w:ascii="仿宋_GB2312" w:eastAsia="仿宋_GB2312"/>
          <w:b/>
          <w:sz w:val="32"/>
          <w:szCs w:val="32"/>
        </w:rPr>
        <w:t>公务用车运行维护费支出</w:t>
      </w:r>
      <w:r>
        <w:rPr>
          <w:rFonts w:ascii="仿宋_GB2312" w:eastAsia="仿宋_GB2312"/>
          <w:sz w:val="32"/>
          <w:szCs w:val="32"/>
        </w:rPr>
        <w:t>5</w:t>
      </w:r>
      <w:r>
        <w:rPr>
          <w:rFonts w:hint="eastAsia" w:ascii="仿宋_GB2312" w:eastAsia="仿宋_GB2312"/>
          <w:sz w:val="32"/>
          <w:szCs w:val="32"/>
        </w:rPr>
        <w:t>万元。</w:t>
      </w:r>
      <w:r>
        <w:rPr>
          <w:rFonts w:hint="eastAsia" w:ascii="仿宋_GB2312" w:eastAsia="仿宋_GB2312"/>
          <w:color w:val="000000"/>
          <w:sz w:val="32"/>
          <w:szCs w:val="32"/>
        </w:rPr>
        <w:t>主要用于质安站进行建筑工程质量安全监督检查和房产交易中心现场勘察等所需的公务用车燃料费、维修费、过路过桥费、保险费等支出。</w:t>
      </w:r>
    </w:p>
    <w:p>
      <w:pPr>
        <w:spacing w:line="600" w:lineRule="exact"/>
        <w:ind w:firstLine="64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公务接待费支出</w:t>
      </w:r>
      <w:r>
        <w:rPr>
          <w:rFonts w:ascii="仿宋_GB2312" w:eastAsia="仿宋_GB2312"/>
          <w:sz w:val="32"/>
          <w:szCs w:val="32"/>
        </w:rPr>
        <w:t>0.89</w:t>
      </w:r>
      <w:r>
        <w:rPr>
          <w:rFonts w:hint="eastAsia" w:ascii="仿宋_GB2312" w:eastAsia="仿宋_GB2312"/>
          <w:sz w:val="32"/>
          <w:szCs w:val="32"/>
        </w:rPr>
        <w:t>万元，</w:t>
      </w:r>
      <w:r>
        <w:rPr>
          <w:rStyle w:val="15"/>
          <w:rFonts w:hint="eastAsia" w:ascii="仿宋" w:hAnsi="仿宋" w:eastAsia="仿宋"/>
          <w:b w:val="0"/>
          <w:bCs/>
          <w:sz w:val="32"/>
          <w:szCs w:val="32"/>
        </w:rPr>
        <w:t>完成预算</w:t>
      </w:r>
      <w:r>
        <w:rPr>
          <w:rStyle w:val="15"/>
          <w:rFonts w:ascii="仿宋" w:hAnsi="仿宋" w:eastAsia="仿宋"/>
          <w:b w:val="0"/>
          <w:bCs/>
          <w:sz w:val="32"/>
          <w:szCs w:val="32"/>
        </w:rPr>
        <w:t>100%</w:t>
      </w:r>
      <w:r>
        <w:rPr>
          <w:rStyle w:val="15"/>
          <w:rFonts w:hint="eastAsia" w:ascii="仿宋" w:hAnsi="仿宋" w:eastAsia="仿宋"/>
          <w:b w:val="0"/>
          <w:bCs/>
          <w:sz w:val="32"/>
          <w:szCs w:val="32"/>
        </w:rPr>
        <w:t>。</w:t>
      </w:r>
      <w:r>
        <w:rPr>
          <w:rFonts w:hint="eastAsia" w:ascii="仿宋_GB2312" w:eastAsia="仿宋_GB2312"/>
          <w:sz w:val="32"/>
          <w:szCs w:val="32"/>
        </w:rPr>
        <w:t>公务接待费支出决算比</w:t>
      </w:r>
      <w:r>
        <w:rPr>
          <w:rFonts w:ascii="仿宋_GB2312" w:eastAsia="仿宋_GB2312"/>
          <w:sz w:val="32"/>
          <w:szCs w:val="32"/>
        </w:rPr>
        <w:t>20</w:t>
      </w:r>
      <w:r>
        <w:rPr>
          <w:rFonts w:hint="eastAsia" w:ascii="仿宋_GB2312" w:eastAsia="仿宋_GB2312"/>
          <w:sz w:val="32"/>
          <w:szCs w:val="32"/>
        </w:rPr>
        <w:t>20年减少</w:t>
      </w:r>
      <w:r>
        <w:rPr>
          <w:rFonts w:ascii="仿宋_GB2312" w:eastAsia="仿宋_GB2312"/>
          <w:sz w:val="32"/>
          <w:szCs w:val="32"/>
        </w:rPr>
        <w:t>0.06</w:t>
      </w:r>
      <w:r>
        <w:rPr>
          <w:rFonts w:hint="eastAsia" w:ascii="仿宋_GB2312" w:eastAsia="仿宋_GB2312"/>
          <w:sz w:val="32"/>
          <w:szCs w:val="32"/>
        </w:rPr>
        <w:t>万元，下降</w:t>
      </w:r>
      <w:r>
        <w:rPr>
          <w:rFonts w:ascii="仿宋_GB2312" w:eastAsia="仿宋_GB2312"/>
          <w:sz w:val="32"/>
          <w:szCs w:val="32"/>
        </w:rPr>
        <w:t>6.31%</w:t>
      </w:r>
      <w:r>
        <w:rPr>
          <w:rFonts w:hint="eastAsia" w:ascii="仿宋_GB2312" w:eastAsia="仿宋_GB2312"/>
          <w:sz w:val="32"/>
          <w:szCs w:val="32"/>
        </w:rPr>
        <w:t>。主要原因是疫情持续、</w:t>
      </w:r>
      <w:r>
        <w:rPr>
          <w:rFonts w:hint="eastAsia" w:ascii="仿宋_GB2312" w:hAnsi="仿宋" w:eastAsia="仿宋_GB2312"/>
          <w:sz w:val="32"/>
          <w:szCs w:val="32"/>
        </w:rPr>
        <w:t>接待减少，相应支出减少。</w:t>
      </w:r>
      <w:r>
        <w:rPr>
          <w:rFonts w:hint="eastAsia" w:ascii="仿宋_GB2312" w:eastAsia="仿宋_GB2312"/>
          <w:sz w:val="32"/>
          <w:szCs w:val="32"/>
        </w:rPr>
        <w:t>其中：</w:t>
      </w:r>
    </w:p>
    <w:p>
      <w:pPr>
        <w:spacing w:line="600" w:lineRule="exact"/>
        <w:ind w:firstLine="640"/>
        <w:rPr>
          <w:rFonts w:ascii="仿宋_GB2312" w:eastAsia="仿宋_GB2312"/>
          <w:sz w:val="32"/>
          <w:szCs w:val="32"/>
        </w:rPr>
      </w:pPr>
      <w:r>
        <w:rPr>
          <w:rFonts w:hint="eastAsia" w:ascii="仿宋" w:hAnsi="仿宋" w:eastAsia="仿宋"/>
          <w:b/>
          <w:sz w:val="32"/>
          <w:szCs w:val="32"/>
        </w:rPr>
        <w:t>国内公务接待支出</w:t>
      </w:r>
      <w:r>
        <w:rPr>
          <w:rFonts w:ascii="仿宋" w:hAnsi="仿宋" w:eastAsia="仿宋"/>
          <w:sz w:val="32"/>
          <w:szCs w:val="32"/>
        </w:rPr>
        <w:t>0.89</w:t>
      </w:r>
      <w:r>
        <w:rPr>
          <w:rFonts w:hint="eastAsia" w:ascii="仿宋_GB2312" w:eastAsia="仿宋_GB2312"/>
          <w:sz w:val="32"/>
          <w:szCs w:val="32"/>
        </w:rPr>
        <w:t>万元，</w:t>
      </w:r>
      <w:r>
        <w:rPr>
          <w:rFonts w:hint="eastAsia" w:ascii="仿宋_GB2312" w:eastAsia="仿宋_GB2312"/>
          <w:color w:val="000000"/>
          <w:sz w:val="32"/>
          <w:szCs w:val="32"/>
        </w:rPr>
        <w:t>主要用于相关股室执行公务、开展业务活动开支的交通费、住宿费、用餐费等。</w:t>
      </w:r>
      <w:r>
        <w:rPr>
          <w:rFonts w:hint="eastAsia" w:ascii="仿宋_GB2312" w:eastAsia="仿宋_GB2312"/>
          <w:sz w:val="32"/>
          <w:szCs w:val="32"/>
        </w:rPr>
        <w:t>国内公务接待</w:t>
      </w:r>
      <w:r>
        <w:rPr>
          <w:rFonts w:ascii="仿宋_GB2312" w:eastAsia="仿宋_GB2312"/>
          <w:sz w:val="32"/>
          <w:szCs w:val="32"/>
        </w:rPr>
        <w:t>8</w:t>
      </w:r>
      <w:r>
        <w:rPr>
          <w:rFonts w:hint="eastAsia" w:ascii="仿宋_GB2312" w:eastAsia="仿宋_GB2312"/>
          <w:sz w:val="32"/>
          <w:szCs w:val="32"/>
        </w:rPr>
        <w:t>批次，</w:t>
      </w:r>
      <w:r>
        <w:rPr>
          <w:rFonts w:ascii="仿宋_GB2312" w:eastAsia="仿宋_GB2312"/>
          <w:sz w:val="32"/>
          <w:szCs w:val="32"/>
        </w:rPr>
        <w:t>73</w:t>
      </w:r>
      <w:r>
        <w:rPr>
          <w:rFonts w:hint="eastAsia" w:ascii="仿宋_GB2312" w:eastAsia="仿宋_GB2312"/>
          <w:sz w:val="32"/>
          <w:szCs w:val="32"/>
        </w:rPr>
        <w:t>人次（不包括陪同人员），共计支出</w:t>
      </w:r>
      <w:r>
        <w:rPr>
          <w:rFonts w:ascii="仿宋_GB2312" w:eastAsia="仿宋_GB2312"/>
          <w:sz w:val="32"/>
          <w:szCs w:val="32"/>
        </w:rPr>
        <w:t>0.89</w:t>
      </w:r>
      <w:r>
        <w:rPr>
          <w:rFonts w:hint="eastAsia" w:ascii="仿宋_GB2312" w:eastAsia="仿宋_GB2312"/>
          <w:sz w:val="32"/>
          <w:szCs w:val="32"/>
        </w:rPr>
        <w:t>万元，具体内容包括：接待德阳建筑起重机械设备安全专项检查</w:t>
      </w:r>
      <w:r>
        <w:rPr>
          <w:rFonts w:ascii="仿宋_GB2312" w:eastAsia="仿宋_GB2312"/>
          <w:sz w:val="32"/>
          <w:szCs w:val="32"/>
        </w:rPr>
        <w:t>0.06</w:t>
      </w:r>
      <w:r>
        <w:rPr>
          <w:rFonts w:hint="eastAsia" w:ascii="仿宋_GB2312" w:eastAsia="仿宋_GB2312"/>
          <w:sz w:val="32"/>
          <w:szCs w:val="32"/>
        </w:rPr>
        <w:t>万元，接待德阳根治欠薪工作专项检查0</w:t>
      </w:r>
      <w:r>
        <w:rPr>
          <w:rFonts w:ascii="仿宋_GB2312" w:eastAsia="仿宋_GB2312"/>
          <w:sz w:val="32"/>
          <w:szCs w:val="32"/>
        </w:rPr>
        <w:t>.05</w:t>
      </w:r>
      <w:r>
        <w:rPr>
          <w:rFonts w:hint="eastAsia" w:ascii="仿宋_GB2312" w:eastAsia="仿宋_GB2312"/>
          <w:sz w:val="32"/>
          <w:szCs w:val="32"/>
        </w:rPr>
        <w:t>万元，接待省住建厅及甘孜州国资委、住建局来绵调研传统村落0</w:t>
      </w:r>
      <w:r>
        <w:rPr>
          <w:rFonts w:ascii="仿宋_GB2312" w:eastAsia="仿宋_GB2312"/>
          <w:sz w:val="32"/>
          <w:szCs w:val="32"/>
        </w:rPr>
        <w:t>.33</w:t>
      </w:r>
      <w:r>
        <w:rPr>
          <w:rFonts w:hint="eastAsia" w:ascii="仿宋_GB2312" w:eastAsia="仿宋_GB2312"/>
          <w:sz w:val="32"/>
          <w:szCs w:val="32"/>
        </w:rPr>
        <w:t>万元，接待德阳城建档案馆指导城建档案管理建设0</w:t>
      </w:r>
      <w:r>
        <w:rPr>
          <w:rFonts w:ascii="仿宋_GB2312" w:eastAsia="仿宋_GB2312"/>
          <w:sz w:val="32"/>
          <w:szCs w:val="32"/>
        </w:rPr>
        <w:t>.06</w:t>
      </w:r>
      <w:r>
        <w:rPr>
          <w:rFonts w:hint="eastAsia" w:ascii="仿宋_GB2312" w:eastAsia="仿宋_GB2312"/>
          <w:sz w:val="32"/>
          <w:szCs w:val="32"/>
        </w:rPr>
        <w:t>万元，接待德阳住建局调查双斌农业信访案件0</w:t>
      </w:r>
      <w:r>
        <w:rPr>
          <w:rFonts w:ascii="仿宋_GB2312" w:eastAsia="仿宋_GB2312"/>
          <w:sz w:val="32"/>
          <w:szCs w:val="32"/>
        </w:rPr>
        <w:t>.06</w:t>
      </w:r>
      <w:r>
        <w:rPr>
          <w:rFonts w:hint="eastAsia" w:ascii="仿宋_GB2312" w:eastAsia="仿宋_GB2312"/>
          <w:sz w:val="32"/>
          <w:szCs w:val="32"/>
        </w:rPr>
        <w:t>万元；旧城改造和新区开发指挥部接待陕西天和照明审查城北湿地公园光亮工程设计方案2批次共0</w:t>
      </w:r>
      <w:r>
        <w:rPr>
          <w:rFonts w:ascii="仿宋_GB2312" w:eastAsia="仿宋_GB2312"/>
          <w:sz w:val="32"/>
          <w:szCs w:val="32"/>
        </w:rPr>
        <w:t>.21</w:t>
      </w:r>
      <w:r>
        <w:rPr>
          <w:rFonts w:hint="eastAsia" w:ascii="仿宋_GB2312" w:eastAsia="仿宋_GB2312"/>
          <w:sz w:val="32"/>
          <w:szCs w:val="32"/>
        </w:rPr>
        <w:t>万元，接待中铁十六局、信达证券来绵0</w:t>
      </w:r>
      <w:r>
        <w:rPr>
          <w:rFonts w:ascii="仿宋_GB2312" w:eastAsia="仿宋_GB2312"/>
          <w:sz w:val="32"/>
          <w:szCs w:val="32"/>
        </w:rPr>
        <w:t>.12</w:t>
      </w:r>
      <w:r>
        <w:rPr>
          <w:rFonts w:hint="eastAsia" w:ascii="仿宋_GB2312" w:eastAsia="仿宋_GB2312"/>
          <w:sz w:val="32"/>
          <w:szCs w:val="32"/>
        </w:rPr>
        <w:t>万元。</w:t>
      </w:r>
    </w:p>
    <w:p>
      <w:pPr>
        <w:spacing w:line="600" w:lineRule="exact"/>
        <w:ind w:firstLine="642" w:firstLineChars="200"/>
        <w:rPr>
          <w:rFonts w:ascii="黑体" w:eastAsia="黑体"/>
          <w:sz w:val="32"/>
          <w:szCs w:val="32"/>
        </w:rPr>
      </w:pPr>
      <w:r>
        <w:rPr>
          <w:rFonts w:hint="eastAsia" w:ascii="仿宋" w:hAnsi="仿宋" w:eastAsia="仿宋"/>
          <w:b/>
          <w:sz w:val="32"/>
          <w:szCs w:val="32"/>
        </w:rPr>
        <w:t>外事接待支出</w:t>
      </w:r>
      <w:r>
        <w:rPr>
          <w:rFonts w:ascii="仿宋" w:hAnsi="仿宋" w:eastAsia="仿宋"/>
          <w:sz w:val="32"/>
          <w:szCs w:val="32"/>
        </w:rPr>
        <w:t>0</w:t>
      </w:r>
      <w:r>
        <w:rPr>
          <w:rFonts w:hint="eastAsia" w:ascii="仿宋_GB2312" w:eastAsia="仿宋_GB2312"/>
          <w:sz w:val="32"/>
          <w:szCs w:val="32"/>
        </w:rPr>
        <w:t>万元，外事接待</w:t>
      </w:r>
      <w:r>
        <w:rPr>
          <w:rFonts w:ascii="仿宋_GB2312" w:eastAsia="仿宋_GB2312"/>
          <w:sz w:val="32"/>
          <w:szCs w:val="32"/>
        </w:rPr>
        <w:t>0</w:t>
      </w:r>
      <w:r>
        <w:rPr>
          <w:rFonts w:hint="eastAsia" w:ascii="仿宋_GB2312" w:eastAsia="仿宋_GB2312"/>
          <w:sz w:val="32"/>
          <w:szCs w:val="32"/>
        </w:rPr>
        <w:t>批次，</w:t>
      </w:r>
      <w:r>
        <w:rPr>
          <w:rFonts w:ascii="仿宋_GB2312" w:eastAsia="仿宋_GB2312"/>
          <w:sz w:val="32"/>
          <w:szCs w:val="32"/>
        </w:rPr>
        <w:t>0</w:t>
      </w:r>
      <w:r>
        <w:rPr>
          <w:rFonts w:hint="eastAsia" w:ascii="仿宋_GB2312" w:eastAsia="仿宋_GB2312"/>
          <w:sz w:val="32"/>
          <w:szCs w:val="32"/>
        </w:rPr>
        <w:t>人，共计支出</w:t>
      </w:r>
      <w:r>
        <w:rPr>
          <w:rFonts w:ascii="仿宋_GB2312" w:eastAsia="仿宋_GB2312"/>
          <w:sz w:val="32"/>
          <w:szCs w:val="32"/>
        </w:rPr>
        <w:t>0</w:t>
      </w:r>
      <w:r>
        <w:rPr>
          <w:rFonts w:hint="eastAsia" w:ascii="仿宋_GB2312" w:eastAsia="仿宋_GB2312"/>
          <w:sz w:val="32"/>
          <w:szCs w:val="32"/>
        </w:rPr>
        <w:t>万元。</w:t>
      </w:r>
      <w:bookmarkStart w:id="44" w:name="_Toc15396610"/>
      <w:bookmarkStart w:id="45" w:name="_Toc15377218"/>
    </w:p>
    <w:p>
      <w:pPr>
        <w:spacing w:line="600" w:lineRule="exact"/>
        <w:ind w:firstLine="640"/>
        <w:outlineLvl w:val="1"/>
        <w:rPr>
          <w:rStyle w:val="26"/>
          <w:rFonts w:ascii="黑体" w:hAnsi="黑体" w:eastAsia="黑体"/>
        </w:rPr>
      </w:pPr>
      <w:r>
        <w:rPr>
          <w:rFonts w:hint="eastAsia" w:ascii="黑体" w:eastAsia="黑体"/>
          <w:sz w:val="32"/>
          <w:szCs w:val="32"/>
        </w:rPr>
        <w:t>八、</w:t>
      </w:r>
      <w:r>
        <w:rPr>
          <w:rStyle w:val="26"/>
          <w:rFonts w:hint="eastAsia" w:ascii="黑体" w:hAnsi="黑体" w:eastAsia="黑体"/>
          <w:b w:val="0"/>
        </w:rPr>
        <w:t>政府性基金预算支出决算情况说明</w:t>
      </w:r>
      <w:bookmarkEnd w:id="44"/>
      <w:bookmarkEnd w:id="45"/>
    </w:p>
    <w:p>
      <w:pPr>
        <w:spacing w:line="600" w:lineRule="exact"/>
        <w:ind w:firstLine="64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21年政府性基金预算财政拨款支出</w:t>
      </w:r>
      <w:r>
        <w:rPr>
          <w:rFonts w:ascii="仿宋_GB2312" w:eastAsia="仿宋_GB2312"/>
          <w:sz w:val="32"/>
          <w:szCs w:val="32"/>
        </w:rPr>
        <w:t>21039.33</w:t>
      </w:r>
      <w:r>
        <w:rPr>
          <w:rFonts w:hint="eastAsia" w:ascii="仿宋_GB2312" w:eastAsia="仿宋_GB2312"/>
          <w:sz w:val="32"/>
          <w:szCs w:val="32"/>
        </w:rPr>
        <w:t>万元。</w:t>
      </w:r>
    </w:p>
    <w:p>
      <w:pPr>
        <w:spacing w:line="600" w:lineRule="exact"/>
        <w:ind w:firstLine="640"/>
        <w:rPr>
          <w:rFonts w:ascii="仿宋_GB2312" w:eastAsia="仿宋_GB2312"/>
          <w:sz w:val="32"/>
          <w:szCs w:val="32"/>
        </w:rPr>
      </w:pPr>
    </w:p>
    <w:p>
      <w:pPr>
        <w:numPr>
          <w:ilvl w:val="0"/>
          <w:numId w:val="2"/>
        </w:numPr>
        <w:spacing w:line="600" w:lineRule="exact"/>
        <w:ind w:firstLine="640"/>
        <w:outlineLvl w:val="1"/>
        <w:rPr>
          <w:rStyle w:val="26"/>
          <w:rFonts w:ascii="黑体" w:hAnsi="黑体" w:eastAsia="黑体"/>
          <w:b w:val="0"/>
        </w:rPr>
      </w:pPr>
      <w:bookmarkStart w:id="46" w:name="_Toc15377219"/>
      <w:bookmarkStart w:id="47" w:name="_Toc15396611"/>
      <w:r>
        <w:rPr>
          <w:rStyle w:val="26"/>
          <w:rFonts w:hint="eastAsia" w:ascii="黑体" w:hAnsi="黑体" w:eastAsia="黑体"/>
          <w:b w:val="0"/>
        </w:rPr>
        <w:t>国有资本经营预算支出决算情况说明</w:t>
      </w:r>
      <w:bookmarkEnd w:id="46"/>
      <w:bookmarkEnd w:id="47"/>
    </w:p>
    <w:p>
      <w:pPr>
        <w:spacing w:line="600" w:lineRule="exact"/>
        <w:ind w:firstLine="640"/>
        <w:rPr>
          <w:rFonts w:ascii="方正小标宋简体" w:hAnsi="方正小标宋简体" w:eastAsia="方正小标宋简体" w:cs="方正小标宋简体"/>
          <w:sz w:val="44"/>
          <w:szCs w:val="44"/>
        </w:rPr>
      </w:pPr>
      <w:r>
        <w:rPr>
          <w:rFonts w:ascii="仿宋_GB2312" w:eastAsia="仿宋_GB2312"/>
          <w:sz w:val="32"/>
          <w:szCs w:val="32"/>
        </w:rPr>
        <w:t>20</w:t>
      </w:r>
      <w:r>
        <w:rPr>
          <w:rFonts w:hint="eastAsia" w:ascii="仿宋_GB2312" w:eastAsia="仿宋_GB2312"/>
          <w:sz w:val="32"/>
          <w:szCs w:val="32"/>
        </w:rPr>
        <w:t>21年国有资本经营预算财政拨款支出</w:t>
      </w:r>
      <w:r>
        <w:rPr>
          <w:rFonts w:ascii="仿宋_GB2312" w:eastAsia="仿宋_GB2312"/>
          <w:sz w:val="32"/>
          <w:szCs w:val="32"/>
        </w:rPr>
        <w:t>0</w:t>
      </w:r>
      <w:r>
        <w:rPr>
          <w:rFonts w:hint="eastAsia" w:ascii="仿宋_GB2312" w:eastAsia="仿宋_GB2312"/>
          <w:sz w:val="32"/>
          <w:szCs w:val="32"/>
        </w:rPr>
        <w:t>万元。</w:t>
      </w:r>
    </w:p>
    <w:p>
      <w:pPr>
        <w:numPr>
          <w:ilvl w:val="0"/>
          <w:numId w:val="2"/>
        </w:numPr>
        <w:spacing w:line="600" w:lineRule="exact"/>
        <w:ind w:firstLine="640"/>
        <w:outlineLvl w:val="1"/>
        <w:rPr>
          <w:rStyle w:val="26"/>
          <w:rFonts w:ascii="黑体" w:hAnsi="黑体" w:eastAsia="黑体"/>
          <w:b w:val="0"/>
        </w:rPr>
      </w:pPr>
      <w:bookmarkStart w:id="48" w:name="_Toc15396612"/>
      <w:bookmarkStart w:id="49" w:name="_Toc15377221"/>
      <w:r>
        <w:rPr>
          <w:rStyle w:val="26"/>
          <w:rFonts w:hint="eastAsia" w:ascii="黑体" w:hAnsi="黑体" w:eastAsia="黑体"/>
          <w:b w:val="0"/>
        </w:rPr>
        <w:t>其他重要事项的情况说明</w:t>
      </w:r>
      <w:bookmarkEnd w:id="48"/>
      <w:bookmarkEnd w:id="49"/>
    </w:p>
    <w:p>
      <w:pPr>
        <w:spacing w:line="600" w:lineRule="exact"/>
        <w:ind w:firstLine="642" w:firstLineChars="200"/>
        <w:outlineLvl w:val="2"/>
        <w:rPr>
          <w:rFonts w:ascii="仿宋" w:hAnsi="仿宋" w:eastAsia="仿宋"/>
          <w:sz w:val="32"/>
          <w:szCs w:val="32"/>
        </w:rPr>
      </w:pPr>
      <w:bookmarkStart w:id="50" w:name="_Toc15377222"/>
      <w:r>
        <w:rPr>
          <w:rFonts w:hint="eastAsia" w:ascii="仿宋" w:hAnsi="仿宋" w:eastAsia="仿宋"/>
          <w:b/>
          <w:sz w:val="32"/>
          <w:szCs w:val="32"/>
        </w:rPr>
        <w:t>（一）机关运行经费支出情况</w:t>
      </w:r>
      <w:bookmarkEnd w:id="50"/>
    </w:p>
    <w:p>
      <w:pPr>
        <w:spacing w:line="600" w:lineRule="exact"/>
        <w:ind w:firstLine="640" w:firstLineChars="200"/>
        <w:rPr>
          <w:rFonts w:ascii="仿宋_GB2312" w:eastAsia="仿宋_GB2312"/>
          <w:color w:val="000000" w:themeColor="text1"/>
          <w:sz w:val="32"/>
          <w:szCs w:val="32"/>
          <w14:textFill>
            <w14:solidFill>
              <w14:schemeClr w14:val="tx1"/>
            </w14:solidFill>
          </w14:textFill>
        </w:rPr>
      </w:pPr>
      <w:r>
        <w:rPr>
          <w:rFonts w:ascii="仿宋_GB2312" w:eastAsia="仿宋_GB2312"/>
          <w:sz w:val="32"/>
          <w:szCs w:val="32"/>
        </w:rPr>
        <w:t>20</w:t>
      </w:r>
      <w:r>
        <w:rPr>
          <w:rFonts w:hint="eastAsia" w:ascii="仿宋_GB2312" w:eastAsia="仿宋_GB2312"/>
          <w:sz w:val="32"/>
          <w:szCs w:val="32"/>
        </w:rPr>
        <w:t>21年，绵竹市住房和城乡建设局机关运行经费支出</w:t>
      </w:r>
      <w:r>
        <w:rPr>
          <w:rFonts w:ascii="仿宋_GB2312" w:eastAsia="仿宋_GB2312"/>
          <w:sz w:val="32"/>
          <w:szCs w:val="32"/>
        </w:rPr>
        <w:t>108.56</w:t>
      </w:r>
      <w:r>
        <w:rPr>
          <w:rFonts w:hint="eastAsia" w:ascii="仿宋_GB2312" w:eastAsia="仿宋_GB2312"/>
          <w:sz w:val="32"/>
          <w:szCs w:val="32"/>
        </w:rPr>
        <w:t>万元，比</w:t>
      </w:r>
      <w:r>
        <w:rPr>
          <w:rFonts w:ascii="仿宋_GB2312" w:eastAsia="仿宋_GB2312"/>
          <w:sz w:val="32"/>
          <w:szCs w:val="32"/>
        </w:rPr>
        <w:t>20</w:t>
      </w:r>
      <w:r>
        <w:rPr>
          <w:rFonts w:hint="eastAsia" w:ascii="仿宋_GB2312" w:eastAsia="仿宋_GB2312"/>
          <w:sz w:val="32"/>
          <w:szCs w:val="32"/>
        </w:rPr>
        <w:t>20年减少</w:t>
      </w:r>
      <w:r>
        <w:rPr>
          <w:rFonts w:ascii="仿宋_GB2312" w:eastAsia="仿宋_GB2312"/>
          <w:sz w:val="32"/>
          <w:szCs w:val="32"/>
        </w:rPr>
        <w:t>7.35</w:t>
      </w:r>
      <w:r>
        <w:rPr>
          <w:rFonts w:hint="eastAsia" w:ascii="仿宋_GB2312" w:eastAsia="仿宋_GB2312"/>
          <w:sz w:val="32"/>
          <w:szCs w:val="32"/>
        </w:rPr>
        <w:t>万元，下降</w:t>
      </w:r>
      <w:r>
        <w:rPr>
          <w:rFonts w:ascii="仿宋_GB2312" w:eastAsia="仿宋_GB2312"/>
          <w:sz w:val="32"/>
          <w:szCs w:val="32"/>
        </w:rPr>
        <w:t>6.34%</w:t>
      </w:r>
      <w:r>
        <w:rPr>
          <w:rFonts w:hint="eastAsia" w:ascii="仿宋_GB2312" w:eastAsia="仿宋_GB2312"/>
          <w:sz w:val="32"/>
          <w:szCs w:val="32"/>
        </w:rPr>
        <w:t>（或与</w:t>
      </w:r>
      <w:r>
        <w:rPr>
          <w:rFonts w:ascii="仿宋_GB2312" w:eastAsia="仿宋_GB2312"/>
          <w:sz w:val="32"/>
          <w:szCs w:val="32"/>
        </w:rPr>
        <w:t>20</w:t>
      </w:r>
      <w:r>
        <w:rPr>
          <w:rFonts w:hint="eastAsia" w:ascii="仿宋_GB2312" w:eastAsia="仿宋_GB2312"/>
          <w:sz w:val="32"/>
          <w:szCs w:val="32"/>
        </w:rPr>
        <w:t>20年决算数持平）。</w:t>
      </w:r>
      <w:r>
        <w:rPr>
          <w:rFonts w:hint="eastAsia" w:ascii="仿宋_GB2312" w:eastAsia="仿宋_GB2312"/>
          <w:color w:val="000000" w:themeColor="text1"/>
          <w:sz w:val="32"/>
          <w:szCs w:val="32"/>
          <w14:textFill>
            <w14:solidFill>
              <w14:schemeClr w14:val="tx1"/>
            </w14:solidFill>
          </w14:textFill>
        </w:rPr>
        <w:t>主要原因是人员变动及经费压减导致相关支出变化。</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1" w:name="_Toc15377223"/>
      <w:r>
        <w:rPr>
          <w:rFonts w:hint="eastAsia" w:ascii="仿宋" w:hAnsi="仿宋" w:eastAsia="仿宋"/>
          <w:b/>
          <w:sz w:val="32"/>
          <w:szCs w:val="32"/>
        </w:rPr>
        <w:t>（二）政府采购支出情况</w:t>
      </w:r>
      <w:bookmarkEnd w:id="51"/>
    </w:p>
    <w:p>
      <w:pPr>
        <w:spacing w:line="60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21年，绵竹市住房和城乡建设局政府采购支出总额</w:t>
      </w:r>
      <w:r>
        <w:rPr>
          <w:rFonts w:ascii="仿宋_GB2312" w:eastAsia="仿宋_GB2312"/>
          <w:sz w:val="32"/>
          <w:szCs w:val="32"/>
        </w:rPr>
        <w:t>1768.61</w:t>
      </w:r>
      <w:r>
        <w:rPr>
          <w:rFonts w:hint="eastAsia" w:ascii="仿宋_GB2312" w:eastAsia="仿宋_GB2312"/>
          <w:sz w:val="32"/>
          <w:szCs w:val="32"/>
        </w:rPr>
        <w:t>万元，其中：政府采购货物支出</w:t>
      </w:r>
      <w:r>
        <w:rPr>
          <w:rFonts w:ascii="仿宋_GB2312" w:eastAsia="仿宋_GB2312"/>
          <w:sz w:val="32"/>
          <w:szCs w:val="32"/>
        </w:rPr>
        <w:t>48.08</w:t>
      </w:r>
      <w:r>
        <w:rPr>
          <w:rFonts w:hint="eastAsia" w:ascii="仿宋_GB2312" w:eastAsia="仿宋_GB2312"/>
          <w:sz w:val="32"/>
          <w:szCs w:val="32"/>
        </w:rPr>
        <w:t>万元、政府采购工程支出</w:t>
      </w:r>
      <w:r>
        <w:rPr>
          <w:rFonts w:ascii="仿宋_GB2312" w:eastAsia="仿宋_GB2312"/>
          <w:sz w:val="32"/>
          <w:szCs w:val="32"/>
        </w:rPr>
        <w:t>1559.75</w:t>
      </w:r>
      <w:r>
        <w:rPr>
          <w:rFonts w:hint="eastAsia" w:ascii="仿宋_GB2312" w:eastAsia="仿宋_GB2312"/>
          <w:sz w:val="32"/>
          <w:szCs w:val="32"/>
        </w:rPr>
        <w:t>万元、政府采购服务支出</w:t>
      </w:r>
      <w:r>
        <w:rPr>
          <w:rFonts w:ascii="仿宋_GB2312" w:eastAsia="仿宋_GB2312"/>
          <w:sz w:val="32"/>
          <w:szCs w:val="32"/>
        </w:rPr>
        <w:t>160.78</w:t>
      </w:r>
      <w:r>
        <w:rPr>
          <w:rFonts w:hint="eastAsia" w:ascii="仿宋_GB2312" w:eastAsia="仿宋_GB2312"/>
          <w:sz w:val="32"/>
          <w:szCs w:val="32"/>
        </w:rPr>
        <w:t>万元。</w:t>
      </w:r>
      <w:r>
        <w:rPr>
          <w:rFonts w:hint="eastAsia" w:ascii="仿宋_GB2312" w:eastAsia="仿宋_GB2312"/>
          <w:color w:val="000000"/>
          <w:sz w:val="32"/>
          <w:szCs w:val="32"/>
        </w:rPr>
        <w:t>主要用于日常办公设备购置、白蚁防治、B</w:t>
      </w:r>
      <w:r>
        <w:rPr>
          <w:rFonts w:ascii="仿宋_GB2312" w:eastAsia="仿宋_GB2312"/>
          <w:color w:val="000000"/>
          <w:sz w:val="32"/>
          <w:szCs w:val="32"/>
        </w:rPr>
        <w:t>OT</w:t>
      </w:r>
      <w:r>
        <w:rPr>
          <w:rFonts w:hint="eastAsia" w:ascii="仿宋_GB2312" w:eastAsia="仿宋_GB2312"/>
          <w:color w:val="000000"/>
          <w:sz w:val="32"/>
          <w:szCs w:val="32"/>
        </w:rPr>
        <w:t>项目跟踪审计、老旧小区和棚户区改造、财政票据软件服务、2</w:t>
      </w:r>
      <w:r>
        <w:rPr>
          <w:rFonts w:ascii="仿宋_GB2312" w:eastAsia="仿宋_GB2312"/>
          <w:color w:val="000000"/>
          <w:sz w:val="32"/>
          <w:szCs w:val="32"/>
        </w:rPr>
        <w:t>021</w:t>
      </w:r>
      <w:r>
        <w:rPr>
          <w:rFonts w:hint="eastAsia" w:ascii="仿宋_GB2312" w:eastAsia="仿宋_GB2312"/>
          <w:color w:val="000000"/>
          <w:sz w:val="32"/>
          <w:szCs w:val="32"/>
        </w:rPr>
        <w:t>年小街小巷改造等工作</w:t>
      </w:r>
      <w:r>
        <w:rPr>
          <w:rFonts w:hint="eastAsia" w:ascii="仿宋_GB2312" w:eastAsia="仿宋_GB2312"/>
          <w:sz w:val="32"/>
          <w:szCs w:val="32"/>
        </w:rPr>
        <w:t>。授予中小企业合同金额</w:t>
      </w:r>
      <w:r>
        <w:rPr>
          <w:rFonts w:ascii="仿宋_GB2312" w:eastAsia="仿宋_GB2312"/>
          <w:sz w:val="32"/>
          <w:szCs w:val="32"/>
        </w:rPr>
        <w:t>1768.61</w:t>
      </w:r>
      <w:r>
        <w:rPr>
          <w:rFonts w:hint="eastAsia" w:ascii="仿宋_GB2312" w:eastAsia="仿宋_GB2312"/>
          <w:sz w:val="32"/>
          <w:szCs w:val="32"/>
        </w:rPr>
        <w:t>万元，占政府采购支出总额的</w:t>
      </w:r>
      <w:r>
        <w:rPr>
          <w:rFonts w:ascii="仿宋_GB2312" w:eastAsia="仿宋_GB2312"/>
          <w:sz w:val="32"/>
          <w:szCs w:val="32"/>
        </w:rPr>
        <w:t>100%</w:t>
      </w:r>
      <w:r>
        <w:rPr>
          <w:rFonts w:hint="eastAsia" w:ascii="仿宋_GB2312" w:eastAsia="仿宋_GB2312"/>
          <w:sz w:val="32"/>
          <w:szCs w:val="32"/>
        </w:rPr>
        <w:t>。</w:t>
      </w:r>
    </w:p>
    <w:p>
      <w:pPr>
        <w:autoSpaceDE w:val="0"/>
        <w:autoSpaceDN w:val="0"/>
        <w:adjustRightInd w:val="0"/>
        <w:spacing w:line="600" w:lineRule="exact"/>
        <w:ind w:firstLine="642" w:firstLineChars="200"/>
        <w:jc w:val="left"/>
        <w:outlineLvl w:val="2"/>
        <w:rPr>
          <w:rFonts w:ascii="仿宋" w:hAnsi="仿宋" w:eastAsia="仿宋"/>
          <w:b/>
          <w:sz w:val="32"/>
          <w:szCs w:val="32"/>
        </w:rPr>
      </w:pPr>
      <w:bookmarkStart w:id="52" w:name="_Toc15377224"/>
      <w:r>
        <w:rPr>
          <w:rFonts w:hint="eastAsia" w:ascii="仿宋" w:hAnsi="仿宋" w:eastAsia="仿宋"/>
          <w:b/>
          <w:sz w:val="32"/>
          <w:szCs w:val="32"/>
        </w:rPr>
        <w:t>（三）国有资产占有使用情况</w:t>
      </w:r>
      <w:bookmarkEnd w:id="52"/>
    </w:p>
    <w:p>
      <w:pPr>
        <w:autoSpaceDE w:val="0"/>
        <w:autoSpaceDN w:val="0"/>
        <w:adjustRightInd w:val="0"/>
        <w:spacing w:line="600" w:lineRule="exact"/>
        <w:ind w:firstLine="640" w:firstLineChars="200"/>
        <w:jc w:val="left"/>
        <w:rPr>
          <w:rFonts w:ascii="仿宋" w:hAnsi="仿宋" w:eastAsia="仿宋"/>
          <w:b/>
          <w:color w:val="FF0000"/>
          <w:sz w:val="32"/>
          <w:szCs w:val="32"/>
        </w:rPr>
      </w:pPr>
      <w:r>
        <w:rPr>
          <w:rFonts w:hint="eastAsia" w:ascii="仿宋_GB2312" w:eastAsia="仿宋_GB2312"/>
          <w:sz w:val="32"/>
          <w:szCs w:val="32"/>
        </w:rPr>
        <w:t>截至</w:t>
      </w:r>
      <w:r>
        <w:rPr>
          <w:rFonts w:ascii="仿宋_GB2312" w:eastAsia="仿宋_GB2312"/>
          <w:sz w:val="32"/>
          <w:szCs w:val="32"/>
        </w:rPr>
        <w:t>20</w:t>
      </w:r>
      <w:r>
        <w:rPr>
          <w:rFonts w:hint="eastAsia" w:ascii="仿宋_GB2312" w:eastAsia="仿宋_GB2312"/>
          <w:sz w:val="32"/>
          <w:szCs w:val="32"/>
        </w:rPr>
        <w:t>21年</w:t>
      </w:r>
      <w:r>
        <w:rPr>
          <w:rFonts w:ascii="仿宋_GB2312" w:eastAsia="仿宋_GB2312"/>
          <w:sz w:val="32"/>
          <w:szCs w:val="32"/>
        </w:rPr>
        <w:t>12</w:t>
      </w:r>
      <w:r>
        <w:rPr>
          <w:rFonts w:hint="eastAsia" w:ascii="仿宋_GB2312" w:eastAsia="仿宋_GB2312"/>
          <w:sz w:val="32"/>
          <w:szCs w:val="32"/>
        </w:rPr>
        <w:t>月</w:t>
      </w:r>
      <w:r>
        <w:rPr>
          <w:rFonts w:ascii="仿宋_GB2312" w:eastAsia="仿宋_GB2312"/>
          <w:sz w:val="32"/>
          <w:szCs w:val="32"/>
        </w:rPr>
        <w:t>31</w:t>
      </w:r>
      <w:r>
        <w:rPr>
          <w:rFonts w:hint="eastAsia" w:ascii="仿宋_GB2312" w:eastAsia="仿宋_GB2312"/>
          <w:sz w:val="32"/>
          <w:szCs w:val="32"/>
        </w:rPr>
        <w:t>日，</w:t>
      </w:r>
      <w:r>
        <w:rPr>
          <w:rFonts w:hint="eastAsia" w:ascii="仿宋_GB2312" w:eastAsia="仿宋_GB2312"/>
          <w:color w:val="000000"/>
          <w:sz w:val="32"/>
          <w:szCs w:val="32"/>
        </w:rPr>
        <w:t>绵竹市住房和城乡建设局共有车辆</w:t>
      </w:r>
      <w:r>
        <w:rPr>
          <w:rFonts w:ascii="仿宋_GB2312" w:eastAsia="仿宋_GB2312"/>
          <w:color w:val="000000"/>
          <w:sz w:val="32"/>
          <w:szCs w:val="32"/>
        </w:rPr>
        <w:t>2</w:t>
      </w:r>
      <w:r>
        <w:rPr>
          <w:rFonts w:hint="eastAsia" w:ascii="仿宋_GB2312" w:eastAsia="仿宋_GB2312"/>
          <w:color w:val="000000"/>
          <w:sz w:val="32"/>
          <w:szCs w:val="32"/>
        </w:rPr>
        <w:t>辆，其中：副部（省）级及以上领导用车</w:t>
      </w:r>
      <w:r>
        <w:rPr>
          <w:rFonts w:ascii="仿宋_GB2312" w:eastAsia="仿宋_GB2312"/>
          <w:color w:val="000000"/>
          <w:sz w:val="32"/>
          <w:szCs w:val="32"/>
        </w:rPr>
        <w:t>0</w:t>
      </w:r>
      <w:r>
        <w:rPr>
          <w:rFonts w:hint="eastAsia" w:ascii="仿宋_GB2312" w:eastAsia="仿宋_GB2312"/>
          <w:color w:val="000000"/>
          <w:sz w:val="32"/>
          <w:szCs w:val="32"/>
        </w:rPr>
        <w:t>辆、主要领导干部用车</w:t>
      </w:r>
      <w:r>
        <w:rPr>
          <w:rFonts w:ascii="仿宋_GB2312" w:eastAsia="仿宋_GB2312"/>
          <w:color w:val="000000"/>
          <w:sz w:val="32"/>
          <w:szCs w:val="32"/>
        </w:rPr>
        <w:t>0</w:t>
      </w:r>
      <w:r>
        <w:rPr>
          <w:rFonts w:hint="eastAsia" w:ascii="仿宋_GB2312" w:eastAsia="仿宋_GB2312"/>
          <w:color w:val="000000"/>
          <w:sz w:val="32"/>
          <w:szCs w:val="32"/>
        </w:rPr>
        <w:t>辆、机要通信用车</w:t>
      </w:r>
      <w:r>
        <w:rPr>
          <w:rFonts w:ascii="仿宋_GB2312" w:eastAsia="仿宋_GB2312"/>
          <w:color w:val="000000"/>
          <w:sz w:val="32"/>
          <w:szCs w:val="32"/>
        </w:rPr>
        <w:t>0</w:t>
      </w:r>
      <w:r>
        <w:rPr>
          <w:rFonts w:hint="eastAsia" w:ascii="仿宋_GB2312" w:eastAsia="仿宋_GB2312"/>
          <w:color w:val="000000"/>
          <w:sz w:val="32"/>
          <w:szCs w:val="32"/>
        </w:rPr>
        <w:t>辆、应急保障用车</w:t>
      </w:r>
      <w:r>
        <w:rPr>
          <w:rFonts w:ascii="仿宋_GB2312" w:eastAsia="仿宋_GB2312"/>
          <w:color w:val="000000"/>
          <w:sz w:val="32"/>
          <w:szCs w:val="32"/>
        </w:rPr>
        <w:t>2</w:t>
      </w:r>
      <w:r>
        <w:rPr>
          <w:rFonts w:hint="eastAsia" w:ascii="仿宋_GB2312" w:eastAsia="仿宋_GB2312"/>
          <w:color w:val="000000"/>
          <w:sz w:val="32"/>
          <w:szCs w:val="32"/>
        </w:rPr>
        <w:t>辆、执法执勤用车</w:t>
      </w:r>
      <w:r>
        <w:rPr>
          <w:rFonts w:ascii="仿宋_GB2312" w:eastAsia="仿宋_GB2312"/>
          <w:color w:val="000000"/>
          <w:sz w:val="32"/>
          <w:szCs w:val="32"/>
        </w:rPr>
        <w:t>0</w:t>
      </w:r>
      <w:r>
        <w:rPr>
          <w:rFonts w:hint="eastAsia" w:ascii="仿宋_GB2312" w:eastAsia="仿宋_GB2312"/>
          <w:color w:val="000000"/>
          <w:sz w:val="32"/>
          <w:szCs w:val="32"/>
        </w:rPr>
        <w:t>辆、特种专业技术用车</w:t>
      </w:r>
      <w:r>
        <w:rPr>
          <w:rFonts w:ascii="仿宋_GB2312" w:eastAsia="仿宋_GB2312"/>
          <w:color w:val="000000"/>
          <w:sz w:val="32"/>
          <w:szCs w:val="32"/>
        </w:rPr>
        <w:t>0</w:t>
      </w:r>
      <w:r>
        <w:rPr>
          <w:rFonts w:hint="eastAsia" w:ascii="仿宋_GB2312" w:eastAsia="仿宋_GB2312"/>
          <w:color w:val="000000"/>
          <w:sz w:val="32"/>
          <w:szCs w:val="32"/>
        </w:rPr>
        <w:t>辆、离退休干部用车</w:t>
      </w:r>
      <w:r>
        <w:rPr>
          <w:rFonts w:ascii="仿宋_GB2312" w:eastAsia="仿宋_GB2312"/>
          <w:color w:val="000000"/>
          <w:sz w:val="32"/>
          <w:szCs w:val="32"/>
        </w:rPr>
        <w:t>0</w:t>
      </w:r>
      <w:r>
        <w:rPr>
          <w:rFonts w:hint="eastAsia" w:ascii="仿宋_GB2312" w:eastAsia="仿宋_GB2312"/>
          <w:color w:val="000000"/>
          <w:sz w:val="32"/>
          <w:szCs w:val="32"/>
        </w:rPr>
        <w:t>辆、其他用车</w:t>
      </w:r>
      <w:r>
        <w:rPr>
          <w:rFonts w:ascii="仿宋_GB2312" w:eastAsia="仿宋_GB2312"/>
          <w:color w:val="000000"/>
          <w:sz w:val="32"/>
          <w:szCs w:val="32"/>
        </w:rPr>
        <w:t>0</w:t>
      </w:r>
      <w:r>
        <w:rPr>
          <w:rFonts w:hint="eastAsia" w:ascii="仿宋_GB2312" w:eastAsia="仿宋_GB2312"/>
          <w:color w:val="000000"/>
          <w:sz w:val="32"/>
          <w:szCs w:val="32"/>
        </w:rPr>
        <w:t>辆。</w:t>
      </w:r>
      <w:r>
        <w:rPr>
          <w:rFonts w:hint="eastAsia" w:ascii="仿宋_GB2312" w:eastAsia="仿宋_GB2312"/>
          <w:color w:val="000000" w:themeColor="text1"/>
          <w:sz w:val="32"/>
          <w:szCs w:val="32"/>
          <w14:textFill>
            <w14:solidFill>
              <w14:schemeClr w14:val="tx1"/>
            </w14:solidFill>
          </w14:textFill>
        </w:rPr>
        <w:t>单价</w:t>
      </w:r>
      <w:r>
        <w:rPr>
          <w:rFonts w:ascii="仿宋_GB2312" w:eastAsia="仿宋_GB2312"/>
          <w:color w:val="000000" w:themeColor="text1"/>
          <w:sz w:val="32"/>
          <w:szCs w:val="32"/>
          <w14:textFill>
            <w14:solidFill>
              <w14:schemeClr w14:val="tx1"/>
            </w14:solidFill>
          </w14:textFill>
        </w:rPr>
        <w:t>50</w:t>
      </w:r>
      <w:r>
        <w:rPr>
          <w:rFonts w:hint="eastAsia" w:ascii="仿宋_GB2312" w:eastAsia="仿宋_GB2312"/>
          <w:color w:val="000000" w:themeColor="text1"/>
          <w:sz w:val="32"/>
          <w:szCs w:val="32"/>
          <w14:textFill>
            <w14:solidFill>
              <w14:schemeClr w14:val="tx1"/>
            </w14:solidFill>
          </w14:textFill>
        </w:rPr>
        <w:t>万元以上通用设备0台（套），单价</w:t>
      </w:r>
      <w:r>
        <w:rPr>
          <w:rFonts w:ascii="仿宋_GB2312" w:eastAsia="仿宋_GB2312"/>
          <w:color w:val="000000" w:themeColor="text1"/>
          <w:sz w:val="32"/>
          <w:szCs w:val="32"/>
          <w14:textFill>
            <w14:solidFill>
              <w14:schemeClr w14:val="tx1"/>
            </w14:solidFill>
          </w14:textFill>
        </w:rPr>
        <w:t>100</w:t>
      </w:r>
      <w:r>
        <w:rPr>
          <w:rFonts w:hint="eastAsia" w:ascii="仿宋_GB2312" w:eastAsia="仿宋_GB2312"/>
          <w:color w:val="000000"/>
          <w:sz w:val="32"/>
          <w:szCs w:val="32"/>
        </w:rPr>
        <w:t>万元以上专用设备0台（套）。</w:t>
      </w:r>
    </w:p>
    <w:p>
      <w:pPr>
        <w:autoSpaceDE w:val="0"/>
        <w:autoSpaceDN w:val="0"/>
        <w:adjustRightInd w:val="0"/>
        <w:spacing w:line="600" w:lineRule="exact"/>
        <w:ind w:firstLine="642" w:firstLineChars="200"/>
        <w:jc w:val="left"/>
        <w:outlineLvl w:val="2"/>
        <w:rPr>
          <w:rFonts w:ascii="仿宋" w:hAnsi="仿宋" w:eastAsia="仿宋"/>
          <w:b/>
          <w:sz w:val="32"/>
          <w:szCs w:val="32"/>
        </w:rPr>
      </w:pPr>
      <w:r>
        <w:rPr>
          <w:rFonts w:hint="eastAsia" w:ascii="仿宋" w:hAnsi="仿宋" w:eastAsia="仿宋"/>
          <w:b/>
          <w:sz w:val="32"/>
          <w:szCs w:val="32"/>
        </w:rPr>
        <w:t>（四）预算绩效管理情况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根据预算绩效管理要求，本部门在2021年度预算编制阶段，组织对城市生活污水处理运行费、P</w:t>
      </w:r>
      <w:r>
        <w:rPr>
          <w:rFonts w:ascii="仿宋_GB2312" w:hAnsi="仿宋_GB2312" w:eastAsia="仿宋_GB2312" w:cs="仿宋_GB2312"/>
          <w:sz w:val="32"/>
          <w:szCs w:val="32"/>
        </w:rPr>
        <w:t>PP</w:t>
      </w:r>
      <w:r>
        <w:rPr>
          <w:rFonts w:hint="eastAsia" w:ascii="仿宋_GB2312" w:hAnsi="仿宋_GB2312" w:eastAsia="仿宋_GB2312" w:cs="仿宋_GB2312"/>
          <w:sz w:val="32"/>
          <w:szCs w:val="32"/>
        </w:rPr>
        <w:t>可行性缺口补助、危旧棚户区改造、老旧小区（仁泽片区）配套基础</w:t>
      </w:r>
      <w:r>
        <w:rPr>
          <w:rFonts w:hint="eastAsia" w:ascii="仿宋_GB2312" w:hAnsi="仿宋_GB2312" w:eastAsia="仿宋_GB2312" w:cs="仿宋_GB2312"/>
          <w:sz w:val="32"/>
          <w:szCs w:val="32"/>
          <w:lang w:eastAsia="zh-CN"/>
        </w:rPr>
        <w:t>设施</w:t>
      </w:r>
      <w:r>
        <w:rPr>
          <w:rFonts w:hint="eastAsia" w:ascii="仿宋_GB2312" w:hAnsi="仿宋_GB2312" w:eastAsia="仿宋_GB2312" w:cs="仿宋_GB2312"/>
          <w:sz w:val="32"/>
          <w:szCs w:val="32"/>
        </w:rPr>
        <w:t>改造、城东城中村安置房基础设施配套建设等</w:t>
      </w:r>
      <w:r>
        <w:rPr>
          <w:rFonts w:ascii="仿宋_GB2312" w:hAnsi="仿宋_GB2312" w:eastAsia="仿宋_GB2312" w:cs="仿宋_GB2312"/>
          <w:sz w:val="32"/>
          <w:szCs w:val="32"/>
        </w:rPr>
        <w:t>11</w:t>
      </w:r>
      <w:r>
        <w:rPr>
          <w:rFonts w:hint="eastAsia" w:ascii="仿宋_GB2312" w:hAnsi="仿宋_GB2312" w:eastAsia="仿宋_GB2312" w:cs="仿宋_GB2312"/>
          <w:sz w:val="32"/>
          <w:szCs w:val="32"/>
        </w:rPr>
        <w:t>个项目开展了预算事前绩效评估，对</w:t>
      </w:r>
      <w:r>
        <w:rPr>
          <w:rFonts w:ascii="仿宋_GB2312" w:hAnsi="仿宋_GB2312" w:eastAsia="仿宋_GB2312" w:cs="仿宋_GB2312"/>
          <w:sz w:val="32"/>
          <w:szCs w:val="32"/>
        </w:rPr>
        <w:t>74</w:t>
      </w:r>
      <w:r>
        <w:rPr>
          <w:rFonts w:hint="eastAsia" w:ascii="仿宋_GB2312" w:hAnsi="仿宋_GB2312" w:eastAsia="仿宋_GB2312" w:cs="仿宋_GB2312"/>
          <w:sz w:val="32"/>
          <w:szCs w:val="32"/>
        </w:rPr>
        <w:t>个项目编制了绩效目标，预算执行过程中，选取所有项目开展绩效监控，年终执行完毕后，对所有项目开展了绩效自评。同时，本部门对2021年部门整体开展绩效自评，《2021年部门整体绩效评价报告》、2021年项目绩效评价报告及绩效目标自评表见附件（第四部分）。</w:t>
      </w:r>
    </w:p>
    <w:p>
      <w:pPr>
        <w:widowControl/>
        <w:jc w:val="left"/>
        <w:rPr>
          <w:rFonts w:ascii="仿宋_GB2312" w:eastAsia="仿宋_GB2312"/>
          <w:b/>
          <w:sz w:val="32"/>
          <w:szCs w:val="32"/>
        </w:rPr>
      </w:pPr>
      <w:r>
        <w:rPr>
          <w:rFonts w:ascii="仿宋_GB2312" w:eastAsia="仿宋_GB2312"/>
          <w:b/>
          <w:sz w:val="32"/>
          <w:szCs w:val="32"/>
        </w:rPr>
        <w:br w:type="page"/>
      </w:r>
    </w:p>
    <w:p>
      <w:pPr>
        <w:numPr>
          <w:ilvl w:val="0"/>
          <w:numId w:val="3"/>
        </w:numPr>
        <w:spacing w:line="600" w:lineRule="exact"/>
        <w:ind w:firstLine="660" w:firstLineChars="150"/>
        <w:jc w:val="center"/>
        <w:outlineLvl w:val="0"/>
        <w:rPr>
          <w:rStyle w:val="25"/>
          <w:rFonts w:ascii="黑体" w:hAnsi="黑体" w:eastAsia="黑体"/>
          <w:b w:val="0"/>
        </w:rPr>
      </w:pPr>
      <w:bookmarkStart w:id="53" w:name="_Toc15377225"/>
      <w:bookmarkStart w:id="54" w:name="_Toc15396613"/>
      <w:r>
        <w:rPr>
          <w:rFonts w:hint="eastAsia" w:ascii="黑体" w:hAnsi="黑体" w:eastAsia="黑体"/>
          <w:sz w:val="44"/>
          <w:szCs w:val="44"/>
        </w:rPr>
        <w:t>名</w:t>
      </w:r>
      <w:r>
        <w:rPr>
          <w:rStyle w:val="25"/>
          <w:rFonts w:hint="eastAsia" w:ascii="黑体" w:hAnsi="黑体" w:eastAsia="黑体"/>
          <w:b w:val="0"/>
        </w:rPr>
        <w:t>词解释</w:t>
      </w:r>
      <w:bookmarkEnd w:id="53"/>
      <w:bookmarkEnd w:id="54"/>
    </w:p>
    <w:p>
      <w:pPr>
        <w:spacing w:line="600" w:lineRule="exact"/>
        <w:jc w:val="left"/>
        <w:rPr>
          <w:rFonts w:ascii="宋体"/>
          <w:b/>
          <w:sz w:val="44"/>
          <w:szCs w:val="44"/>
        </w:rPr>
      </w:pPr>
    </w:p>
    <w:p>
      <w:pPr>
        <w:pStyle w:val="23"/>
        <w:spacing w:line="560" w:lineRule="exact"/>
        <w:ind w:firstLine="640" w:firstLineChars="200"/>
        <w:rPr>
          <w:rFonts w:ascii="仿宋_GB2312" w:eastAsia="仿宋_GB2312"/>
          <w:sz w:val="32"/>
          <w:szCs w:val="32"/>
        </w:rPr>
      </w:pPr>
      <w:bookmarkStart w:id="55" w:name="_Toc15396614"/>
      <w:bookmarkStart w:id="56" w:name="_Toc15377226"/>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事业收入：指事业单位开展专业业务活动及辅助活动取得的收入。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经营收入：指事业单位在专业业务活动及其辅助活动之外开展非独立核算经营活动取得的收入。</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其他收入：指单位取得的除上述收入以外的各项收入。</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年初结转和结余：指以前年度尚未完成、结转到本年按有关规定继续使用的资金。</w:t>
      </w:r>
      <w:r>
        <w:rPr>
          <w:rFonts w:ascii="仿宋_GB2312" w:eastAsia="仿宋_GB2312"/>
          <w:sz w:val="32"/>
          <w:szCs w:val="32"/>
        </w:rPr>
        <w:t xml:space="preserve"> </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结余分配：指事业单位按照事业单位会计制度的规定从非财政补助结余中分配的事业基金和职工福利基金等。</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、年末结转和结余：指单位按有关规定结转到下年或以后年度继续使用的资金。</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9</w:t>
      </w:r>
      <w:r>
        <w:rPr>
          <w:rFonts w:ascii="仿宋_GB2312" w:eastAsia="仿宋_GB2312"/>
          <w:sz w:val="32"/>
          <w:szCs w:val="32"/>
        </w:rPr>
        <w:t>.</w:t>
      </w:r>
      <w:r>
        <w:rPr>
          <w:rFonts w:hint="eastAsia" w:ascii="仿宋_GB2312" w:eastAsia="仿宋_GB2312"/>
          <w:sz w:val="32"/>
          <w:szCs w:val="32"/>
        </w:rPr>
        <w:t>教育支出-教育费附加安排的支出</w:t>
      </w:r>
      <w:r>
        <w:rPr>
          <w:rFonts w:hint="eastAsia" w:ascii="仿宋_GB2312" w:eastAsia="仿宋_GB2312"/>
          <w:sz w:val="32"/>
          <w:szCs w:val="32"/>
          <w:lang w:eastAsia="zh-CN"/>
        </w:rPr>
        <w:t>－</w:t>
      </w:r>
      <w:r>
        <w:rPr>
          <w:rFonts w:hint="eastAsia" w:ascii="仿宋_GB2312" w:eastAsia="仿宋_GB2312"/>
          <w:sz w:val="32"/>
          <w:szCs w:val="32"/>
        </w:rPr>
        <w:t>其他教育费附加安排的支出：指其他用教育费附加安排项目的支出。</w:t>
      </w:r>
    </w:p>
    <w:p>
      <w:pPr>
        <w:ind w:firstLine="640" w:firstLineChars="200"/>
        <w:rPr>
          <w:rFonts w:ascii="仿宋_GB2312" w:hAnsi="仿宋" w:eastAsia="仿宋_GB2312"/>
          <w:color w:val="000000" w:themeColor="text1"/>
          <w:sz w:val="32"/>
          <w:szCs w:val="32"/>
          <w14:textFill>
            <w14:solidFill>
              <w14:schemeClr w14:val="tx1"/>
            </w14:solidFill>
          </w14:textFill>
        </w:rPr>
      </w:pPr>
      <w:r>
        <w:rPr>
          <w:rFonts w:ascii="仿宋_GB2312" w:hAnsi="仿宋" w:eastAsia="仿宋_GB2312"/>
          <w:color w:val="000000" w:themeColor="text1"/>
          <w:sz w:val="32"/>
          <w:szCs w:val="32"/>
          <w14:textFill>
            <w14:solidFill>
              <w14:schemeClr w14:val="tx1"/>
            </w14:solidFill>
          </w14:textFill>
        </w:rPr>
        <w:t>10.</w:t>
      </w:r>
      <w:r>
        <w:rPr>
          <w:rFonts w:hint="eastAsia" w:ascii="仿宋_GB2312" w:hAnsi="仿宋" w:eastAsia="仿宋_GB2312"/>
          <w:color w:val="000000" w:themeColor="text1"/>
          <w:sz w:val="32"/>
          <w:szCs w:val="32"/>
          <w14:textFill>
            <w14:solidFill>
              <w14:schemeClr w14:val="tx1"/>
            </w14:solidFill>
          </w14:textFill>
        </w:rPr>
        <w:t>社会保障和就业支出</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行政事业单位养老支出</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机关事业单位基本养老保险缴费支出：</w:t>
      </w:r>
      <w:r>
        <w:rPr>
          <w:rFonts w:hint="eastAsia" w:ascii="仿宋_GB2312" w:eastAsia="仿宋_GB2312"/>
          <w:sz w:val="32"/>
          <w:szCs w:val="32"/>
        </w:rPr>
        <w:t>指用于机关事业单位实施养老保险制度由单位缴纳的基本养老保险费支出，</w:t>
      </w:r>
      <w:r>
        <w:rPr>
          <w:rFonts w:hint="eastAsia" w:ascii="仿宋_GB2312" w:hAnsi="仿宋" w:eastAsia="仿宋_GB2312"/>
          <w:color w:val="000000" w:themeColor="text1"/>
          <w:sz w:val="32"/>
          <w:szCs w:val="32"/>
          <w14:textFill>
            <w14:solidFill>
              <w14:schemeClr w14:val="tx1"/>
            </w14:solidFill>
          </w14:textFill>
        </w:rPr>
        <w:t>机关事业单位职业年金缴费支出：</w:t>
      </w:r>
      <w:r>
        <w:rPr>
          <w:rFonts w:hint="eastAsia" w:ascii="仿宋_GB2312" w:eastAsia="仿宋_GB2312"/>
          <w:sz w:val="32"/>
          <w:szCs w:val="32"/>
        </w:rPr>
        <w:t>指用于机关事业单位实施养老保险制度由单位实际缴纳的职业年金支出，</w:t>
      </w:r>
      <w:r>
        <w:rPr>
          <w:rFonts w:hint="eastAsia" w:ascii="仿宋_GB2312" w:hAnsi="仿宋" w:eastAsia="仿宋_GB2312"/>
          <w:color w:val="000000" w:themeColor="text1"/>
          <w:sz w:val="32"/>
          <w:szCs w:val="32"/>
          <w14:textFill>
            <w14:solidFill>
              <w14:schemeClr w14:val="tx1"/>
            </w14:solidFill>
          </w14:textFill>
        </w:rPr>
        <w:t>其他行政事业单位养老支出：指其他用于行政事业单位养老方面的支出；其他社会保障和就业支出</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其他社会保障和就业支出：指其他用于社会保障和就业方面的支出。</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w:t>
      </w:r>
      <w:r>
        <w:rPr>
          <w:rFonts w:ascii="仿宋_GB2312" w:hAnsi="仿宋" w:eastAsia="仿宋_GB2312"/>
          <w:color w:val="000000" w:themeColor="text1"/>
          <w:sz w:val="32"/>
          <w:szCs w:val="32"/>
          <w14:textFill>
            <w14:solidFill>
              <w14:schemeClr w14:val="tx1"/>
            </w14:solidFill>
          </w14:textFill>
        </w:rPr>
        <w:t>1.</w:t>
      </w:r>
      <w:r>
        <w:rPr>
          <w:rFonts w:hint="eastAsia" w:ascii="仿宋_GB2312" w:hAnsi="仿宋" w:eastAsia="仿宋_GB2312"/>
          <w:color w:val="000000" w:themeColor="text1"/>
          <w:sz w:val="32"/>
          <w:szCs w:val="32"/>
          <w14:textFill>
            <w14:solidFill>
              <w14:schemeClr w14:val="tx1"/>
            </w14:solidFill>
          </w14:textFill>
        </w:rPr>
        <w:t>卫生健康支出</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行政事业单位医疗</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行政单位医疗：</w:t>
      </w:r>
      <w:r>
        <w:rPr>
          <w:rFonts w:hint="eastAsia" w:ascii="仿宋_GB2312" w:eastAsia="仿宋_GB2312"/>
          <w:sz w:val="32"/>
          <w:szCs w:val="32"/>
        </w:rPr>
        <w:t>指用于单位行政人员基本医疗保险缴费，</w:t>
      </w:r>
      <w:r>
        <w:rPr>
          <w:rFonts w:hint="eastAsia" w:ascii="仿宋_GB2312" w:hAnsi="仿宋" w:eastAsia="仿宋_GB2312"/>
          <w:color w:val="000000" w:themeColor="text1"/>
          <w:sz w:val="32"/>
          <w:szCs w:val="32"/>
          <w14:textFill>
            <w14:solidFill>
              <w14:schemeClr w14:val="tx1"/>
            </w14:solidFill>
          </w14:textFill>
        </w:rPr>
        <w:t>事业单位医疗：</w:t>
      </w:r>
      <w:r>
        <w:rPr>
          <w:rFonts w:hint="eastAsia" w:ascii="仿宋_GB2312" w:eastAsia="仿宋_GB2312"/>
          <w:sz w:val="32"/>
          <w:szCs w:val="32"/>
        </w:rPr>
        <w:t>指用于单位事业人员基本医疗保险缴费</w:t>
      </w:r>
      <w:r>
        <w:rPr>
          <w:rFonts w:hint="eastAsia" w:ascii="仿宋_GB2312" w:hAnsi="仿宋" w:eastAsia="仿宋_GB2312"/>
          <w:color w:val="000000" w:themeColor="text1"/>
          <w:sz w:val="32"/>
          <w:szCs w:val="32"/>
          <w14:textFill>
            <w14:solidFill>
              <w14:schemeClr w14:val="tx1"/>
            </w14:solidFill>
          </w14:textFill>
        </w:rPr>
        <w:t>。</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w:t>
      </w:r>
      <w:r>
        <w:rPr>
          <w:rFonts w:ascii="仿宋_GB2312" w:hAnsi="仿宋" w:eastAsia="仿宋_GB2312"/>
          <w:color w:val="000000" w:themeColor="text1"/>
          <w:sz w:val="32"/>
          <w:szCs w:val="32"/>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节能环保支出</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污染防治</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水体：指政府在排水、污水处理、水污染防治、湖库生态环境保护、水源地保护、国土江河综合整治、河流治理与保护、地下水修复与保护等方面的支出。</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w:t>
      </w:r>
      <w:r>
        <w:rPr>
          <w:rFonts w:ascii="仿宋_GB2312" w:hAnsi="仿宋" w:eastAsia="仿宋_GB2312"/>
          <w:color w:val="000000" w:themeColor="text1"/>
          <w:sz w:val="32"/>
          <w:szCs w:val="32"/>
          <w14:textFill>
            <w14:solidFill>
              <w14:schemeClr w14:val="tx1"/>
            </w14:solidFill>
          </w14:textFill>
        </w:rPr>
        <w:t>3.</w:t>
      </w:r>
      <w:r>
        <w:rPr>
          <w:rFonts w:hint="eastAsia" w:ascii="仿宋_GB2312" w:hAnsi="仿宋" w:eastAsia="仿宋_GB2312"/>
          <w:color w:val="000000" w:themeColor="text1"/>
          <w:sz w:val="32"/>
          <w:szCs w:val="32"/>
          <w14:textFill>
            <w14:solidFill>
              <w14:schemeClr w14:val="tx1"/>
            </w14:solidFill>
          </w14:textFill>
        </w:rPr>
        <w:t>城乡社区支出</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城乡社区管理事务</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行政运行：指行政单位（包括实行公务员管理的事业单位）的基本支出，一般行政管理事务</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指行政单位（包括实行公务员管理的事业单位）未单独设置项级科目的其他项目支出，工程建设管理：反映调控建设市场运行、拟定建设市场法规、实施建筑工程质量、安全、工程勘察设计监管等方面的支出。城乡社区公共设施</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小城镇基础设施建设：反映用于小城镇路、气、水、电等基础建设方面的支出，其他城乡社区公共设施支出：反映其他用于城乡社区公共设施方面的支出；城乡社区环境卫生</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城乡社区环境卫生：指城乡社区道路清扫、垃圾清运与处理、公厕建设与维护、园林绿化等方面的支出；其他城乡社区支出</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其他城乡社区支出：指其他用于城乡社区方面的支出。</w:t>
      </w:r>
    </w:p>
    <w:p>
      <w:pPr>
        <w:spacing w:line="600" w:lineRule="exact"/>
        <w:ind w:firstLine="640" w:firstLineChars="200"/>
        <w:rPr>
          <w:rFonts w:ascii="仿宋_GB2312" w:hAnsi="仿宋" w:eastAsia="仿宋_GB2312"/>
          <w:color w:val="000000" w:themeColor="text1"/>
          <w:sz w:val="32"/>
          <w:szCs w:val="32"/>
          <w14:textFill>
            <w14:solidFill>
              <w14:schemeClr w14:val="tx1"/>
            </w14:solidFill>
          </w14:textFill>
        </w:rPr>
      </w:pPr>
      <w:r>
        <w:rPr>
          <w:rFonts w:hint="eastAsia" w:ascii="仿宋_GB2312" w:hAnsi="仿宋" w:eastAsia="仿宋_GB2312"/>
          <w:color w:val="000000" w:themeColor="text1"/>
          <w:sz w:val="32"/>
          <w:szCs w:val="32"/>
          <w14:textFill>
            <w14:solidFill>
              <w14:schemeClr w14:val="tx1"/>
            </w14:solidFill>
          </w14:textFill>
        </w:rPr>
        <w:t>1</w:t>
      </w:r>
      <w:r>
        <w:rPr>
          <w:rFonts w:ascii="仿宋_GB2312" w:hAnsi="仿宋" w:eastAsia="仿宋_GB2312"/>
          <w:color w:val="000000" w:themeColor="text1"/>
          <w:sz w:val="32"/>
          <w:szCs w:val="32"/>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农林水支出</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水利</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水资源节约管理与保护：反映水资源节约、监管、配置、调度、保护和基础管理工作的支出。</w:t>
      </w:r>
    </w:p>
    <w:p>
      <w:pPr>
        <w:ind w:firstLine="640" w:firstLineChars="200"/>
        <w:rPr>
          <w:rFonts w:ascii="仿宋_GB2312" w:eastAsia="仿宋_GB2312"/>
          <w:sz w:val="32"/>
          <w:szCs w:val="32"/>
        </w:rPr>
      </w:pPr>
      <w:r>
        <w:rPr>
          <w:rFonts w:hint="eastAsia" w:ascii="仿宋_GB2312" w:hAnsi="仿宋" w:eastAsia="仿宋_GB2312"/>
          <w:color w:val="000000" w:themeColor="text1"/>
          <w:sz w:val="32"/>
          <w:szCs w:val="32"/>
          <w14:textFill>
            <w14:solidFill>
              <w14:schemeClr w14:val="tx1"/>
            </w14:solidFill>
          </w14:textFill>
        </w:rPr>
        <w:t>1</w:t>
      </w:r>
      <w:r>
        <w:rPr>
          <w:rFonts w:ascii="仿宋_GB2312" w:hAnsi="仿宋" w:eastAsia="仿宋_GB2312"/>
          <w:color w:val="000000" w:themeColor="text1"/>
          <w:sz w:val="32"/>
          <w:szCs w:val="32"/>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住房保障支出-保障性安居工程支出-棚户区改造：指用于棚户区改造方面的支出，农村危房改造：反映用于农村危房改造方面的支出，公共租赁住房：指用于新建、改建、购买、租赁、维护和管理公共租赁住房支出，保障性住房租金补贴：反映各级政府向低收入住房保障家庭发放的住房租赁补贴支出，老旧小区改造：反映用于老旧小区改造方面的支出，其他保障性安居工程支出：指其他用于保障性住房方面的支出；住房改革支出</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住房公积金：指</w:t>
      </w:r>
      <w:r>
        <w:rPr>
          <w:rFonts w:hint="eastAsia" w:ascii="仿宋_GB2312" w:eastAsia="仿宋_GB2312"/>
          <w:sz w:val="32"/>
          <w:szCs w:val="32"/>
        </w:rPr>
        <w:t>用于单位按人力资源和社会保障部、财政部规定的基本工资和津补贴意见规定比例为职工缴纳的住房公积金。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6.</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7.</w:t>
      </w:r>
      <w:r>
        <w:rPr>
          <w:rFonts w:hint="eastAsia" w:ascii="仿宋_GB2312" w:eastAsia="仿宋_GB2312"/>
          <w:color w:val="000000"/>
          <w:sz w:val="32"/>
          <w:szCs w:val="32"/>
        </w:rPr>
        <w:t>项目支出：指在基本支出之外为完成特定行政任务和事业发展目标所发生的支出。</w:t>
      </w:r>
      <w:r>
        <w:rPr>
          <w:rFonts w:ascii="仿宋_GB2312" w:eastAsia="仿宋_GB2312"/>
          <w:color w:val="000000"/>
          <w:sz w:val="32"/>
          <w:szCs w:val="32"/>
        </w:rPr>
        <w:t xml:space="preserve"> </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1</w:t>
      </w:r>
      <w:r>
        <w:rPr>
          <w:rFonts w:ascii="仿宋_GB2312" w:eastAsia="仿宋_GB2312"/>
          <w:color w:val="000000"/>
          <w:sz w:val="32"/>
          <w:szCs w:val="32"/>
        </w:rPr>
        <w:t>8.</w:t>
      </w:r>
      <w:r>
        <w:rPr>
          <w:rFonts w:hint="eastAsia" w:ascii="仿宋_GB2312" w:eastAsia="仿宋_GB2312"/>
          <w:color w:val="000000"/>
          <w:sz w:val="32"/>
          <w:szCs w:val="32"/>
        </w:rPr>
        <w:t>经营支出：指事业单位在专业业务活动及其辅助活动之外开展非独立核算经营活动发生的支出。</w:t>
      </w:r>
    </w:p>
    <w:p>
      <w:pPr>
        <w:pStyle w:val="23"/>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9.</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3"/>
        <w:spacing w:line="560" w:lineRule="exact"/>
        <w:ind w:firstLine="640" w:firstLineChars="200"/>
        <w:rPr>
          <w:rFonts w:ascii="仿宋_GB2312" w:eastAsia="仿宋_GB2312"/>
          <w:sz w:val="32"/>
          <w:szCs w:val="32"/>
        </w:rPr>
      </w:pPr>
      <w:r>
        <w:rPr>
          <w:rFonts w:ascii="仿宋_GB2312" w:eastAsia="仿宋_GB2312"/>
          <w:sz w:val="32"/>
          <w:szCs w:val="32"/>
        </w:rPr>
        <w:t>20.</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Style w:val="25"/>
          <w:rFonts w:ascii="黑体" w:hAnsi="黑体" w:eastAsia="黑体"/>
          <w:b w:val="0"/>
        </w:rPr>
      </w:pPr>
      <w:r>
        <w:rPr>
          <w:rFonts w:ascii="宋体"/>
          <w:b/>
          <w:color w:val="000000"/>
          <w:sz w:val="44"/>
          <w:szCs w:val="44"/>
        </w:rPr>
        <w:br w:type="page"/>
      </w:r>
      <w:r>
        <w:rPr>
          <w:rFonts w:hint="eastAsia" w:ascii="黑体" w:hAnsi="黑体" w:eastAsia="黑体"/>
          <w:sz w:val="44"/>
          <w:szCs w:val="44"/>
        </w:rPr>
        <w:t>第</w:t>
      </w:r>
      <w:r>
        <w:rPr>
          <w:rStyle w:val="25"/>
          <w:rFonts w:hint="eastAsia" w:ascii="黑体" w:hAnsi="黑体" w:eastAsia="黑体"/>
          <w:b w:val="0"/>
        </w:rPr>
        <w:t>四部分 附件</w:t>
      </w:r>
      <w:bookmarkEnd w:id="55"/>
    </w:p>
    <w:p>
      <w:pPr>
        <w:spacing w:line="572" w:lineRule="exact"/>
        <w:jc w:val="left"/>
        <w:outlineLvl w:val="0"/>
        <w:rPr>
          <w:rFonts w:ascii="方正小标宋简体" w:hAnsi="方正小标宋简体" w:eastAsia="方正小标宋简体" w:cs="方正小标宋简体"/>
          <w:sz w:val="44"/>
          <w:szCs w:val="44"/>
        </w:rPr>
      </w:pPr>
      <w:bookmarkStart w:id="57" w:name="_Toc114738629"/>
      <w:r>
        <w:rPr>
          <w:rFonts w:hint="eastAsia" w:ascii="黑体" w:hAnsi="黑体" w:eastAsia="黑体" w:cs="黑体"/>
          <w:sz w:val="32"/>
          <w:szCs w:val="32"/>
        </w:rPr>
        <w:t>附件</w:t>
      </w:r>
      <w:bookmarkEnd w:id="57"/>
    </w:p>
    <w:p>
      <w:pPr>
        <w:widowControl/>
        <w:spacing w:line="540" w:lineRule="exact"/>
        <w:jc w:val="center"/>
        <w:rPr>
          <w:rFonts w:ascii="宋体" w:hAnsi="宋体"/>
          <w:b/>
          <w:sz w:val="44"/>
          <w:szCs w:val="44"/>
          <w:shd w:val="clear" w:color="auto" w:fill="FFFFFF"/>
        </w:rPr>
      </w:pPr>
      <w:r>
        <w:rPr>
          <w:rFonts w:hint="eastAsia" w:ascii="宋体" w:hAnsi="宋体"/>
          <w:b/>
          <w:sz w:val="44"/>
          <w:szCs w:val="44"/>
          <w:shd w:val="clear" w:color="auto" w:fill="FFFFFF"/>
        </w:rPr>
        <w:t>绵竹市住房和城乡建设局</w:t>
      </w:r>
    </w:p>
    <w:p>
      <w:pPr>
        <w:widowControl/>
        <w:spacing w:line="540" w:lineRule="exact"/>
        <w:jc w:val="center"/>
        <w:rPr>
          <w:rFonts w:ascii="仿宋_GB2312" w:hAnsi="宋体" w:eastAsia="仿宋_GB2312"/>
          <w:sz w:val="32"/>
          <w:szCs w:val="32"/>
          <w:shd w:val="clear" w:color="auto" w:fill="FFFFFF"/>
        </w:rPr>
      </w:pPr>
      <w:r>
        <w:rPr>
          <w:rFonts w:hint="eastAsia" w:ascii="宋体" w:hAnsi="宋体"/>
          <w:b/>
          <w:sz w:val="44"/>
          <w:szCs w:val="44"/>
          <w:shd w:val="clear" w:color="auto" w:fill="FFFFFF"/>
        </w:rPr>
        <w:t>202</w:t>
      </w:r>
      <w:r>
        <w:rPr>
          <w:rFonts w:ascii="宋体" w:hAnsi="宋体"/>
          <w:b/>
          <w:sz w:val="44"/>
          <w:szCs w:val="44"/>
          <w:shd w:val="clear" w:color="auto" w:fill="FFFFFF"/>
        </w:rPr>
        <w:t>1</w:t>
      </w:r>
      <w:r>
        <w:rPr>
          <w:rFonts w:hint="eastAsia" w:ascii="宋体" w:hAnsi="宋体"/>
          <w:b/>
          <w:sz w:val="44"/>
          <w:szCs w:val="44"/>
          <w:shd w:val="clear" w:color="auto" w:fill="FFFFFF"/>
        </w:rPr>
        <w:t>年部门整体预算支出绩效报告</w:t>
      </w:r>
    </w:p>
    <w:p>
      <w:pPr>
        <w:widowControl/>
        <w:adjustRightInd w:val="0"/>
        <w:snapToGrid w:val="0"/>
        <w:spacing w:line="540" w:lineRule="exact"/>
        <w:ind w:firstLine="720"/>
        <w:jc w:val="left"/>
        <w:rPr>
          <w:rFonts w:ascii="黑体" w:hAnsi="宋体" w:eastAsia="黑体" w:cs="宋体"/>
          <w:color w:val="000000"/>
          <w:kern w:val="0"/>
          <w:sz w:val="24"/>
          <w:szCs w:val="32"/>
          <w:shd w:val="clear" w:color="auto" w:fill="FFFFFF"/>
        </w:rPr>
      </w:pPr>
    </w:p>
    <w:p>
      <w:pPr>
        <w:widowControl/>
        <w:adjustRightInd w:val="0"/>
        <w:snapToGrid w:val="0"/>
        <w:spacing w:line="540" w:lineRule="exact"/>
        <w:ind w:firstLine="720"/>
        <w:jc w:val="left"/>
        <w:rPr>
          <w:rFonts w:ascii="黑体" w:hAnsi="宋体" w:eastAsia="黑体" w:cs="宋体"/>
          <w:color w:val="000000"/>
          <w:kern w:val="0"/>
          <w:sz w:val="32"/>
          <w:szCs w:val="32"/>
          <w:shd w:val="clear" w:color="auto" w:fill="FFFFFF"/>
          <w:lang w:val="zh-CN"/>
        </w:rPr>
      </w:pPr>
      <w:r>
        <w:rPr>
          <w:rFonts w:hint="eastAsia" w:ascii="黑体" w:hAnsi="宋体" w:eastAsia="黑体" w:cs="宋体"/>
          <w:color w:val="000000"/>
          <w:kern w:val="0"/>
          <w:sz w:val="32"/>
          <w:szCs w:val="32"/>
          <w:shd w:val="clear" w:color="auto" w:fill="FFFFFF"/>
        </w:rPr>
        <w:t>一、</w:t>
      </w:r>
      <w:r>
        <w:rPr>
          <w:rFonts w:hint="eastAsia" w:ascii="黑体" w:hAnsi="宋体" w:eastAsia="黑体" w:cs="宋体"/>
          <w:color w:val="000000"/>
          <w:kern w:val="0"/>
          <w:sz w:val="32"/>
          <w:szCs w:val="32"/>
          <w:shd w:val="clear" w:color="auto" w:fill="FFFFFF"/>
          <w:lang w:val="zh-CN"/>
        </w:rPr>
        <w:t>部门（单位）概况</w:t>
      </w:r>
    </w:p>
    <w:p>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（一）机构组成。</w:t>
      </w:r>
    </w:p>
    <w:p>
      <w:pPr>
        <w:widowControl/>
        <w:adjustRightInd w:val="0"/>
        <w:snapToGrid w:val="0"/>
        <w:spacing w:line="56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绵竹市住房和城乡建设局为一级预算单位，</w:t>
      </w:r>
      <w:r>
        <w:rPr>
          <w:rFonts w:hint="eastAsia" w:ascii="仿宋_GB2312" w:hAnsi="仿宋" w:eastAsia="仿宋_GB2312"/>
          <w:kern w:val="0"/>
          <w:sz w:val="32"/>
          <w:szCs w:val="32"/>
        </w:rPr>
        <w:t>属行政单位，内设办公室、城市建设管理股、村镇建设管理股、建筑业管理股、住房和房地产管理股、安全和法规股、勘察设计和防震减灾股、财务审计股，下属单位</w:t>
      </w:r>
      <w:r>
        <w:rPr>
          <w:rFonts w:hint="eastAsia" w:ascii="仿宋_GB2312" w:hAnsi="仿宋" w:eastAsia="仿宋_GB2312"/>
          <w:sz w:val="32"/>
          <w:szCs w:val="32"/>
        </w:rPr>
        <w:t>绵竹市建设监察大队、绵竹市市政工程建设管理站、绵竹市房屋安全鉴定中心、绵竹市国有土地上房屋征收与补偿中心、绵竹市建设工程质量安全监督站、绵竹市城镇住房保障管理所、绵竹市住房资金管理中心、绵竹市房地产交易中心等，纳入局机关统一预算管理。</w:t>
      </w:r>
    </w:p>
    <w:p>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（二）机构职能。</w:t>
      </w:r>
    </w:p>
    <w:p>
      <w:pPr>
        <w:adjustRightInd w:val="0"/>
        <w:snapToGrid w:val="0"/>
        <w:spacing w:before="93" w:beforeLines="30" w:line="560" w:lineRule="exact"/>
        <w:ind w:firstLine="672" w:firstLineChars="210"/>
        <w:rPr>
          <w:rFonts w:ascii="仿宋_GB2312" w:hAnsi="仿宋" w:eastAsia="仿宋_GB2312"/>
          <w:sz w:val="32"/>
          <w:szCs w:val="32"/>
        </w:rPr>
      </w:pPr>
      <w:r>
        <w:rPr>
          <w:rFonts w:hint="eastAsia" w:ascii="仿宋_GB2312" w:hAnsi="仿宋" w:eastAsia="仿宋_GB2312"/>
          <w:sz w:val="32"/>
          <w:szCs w:val="32"/>
        </w:rPr>
        <w:t>1、贯彻执行国家、四川省、德阳市、绵竹市住房和城乡建设、防震减灾的</w:t>
      </w:r>
      <w:r>
        <w:rPr>
          <w:rFonts w:hint="eastAsia" w:ascii="仿宋_GB2312" w:hAnsi="仿宋" w:eastAsia="仿宋_GB2312"/>
          <w:sz w:val="32"/>
          <w:szCs w:val="32"/>
          <w:lang w:eastAsia="zh-CN"/>
        </w:rPr>
        <w:t>法律法规</w:t>
      </w:r>
      <w:r>
        <w:rPr>
          <w:rFonts w:hint="eastAsia" w:ascii="仿宋_GB2312" w:hAnsi="仿宋" w:eastAsia="仿宋_GB2312"/>
          <w:sz w:val="32"/>
          <w:szCs w:val="32"/>
        </w:rPr>
        <w:t>、规章和政策；制定全市住房保障、工程建设、城市建设、村镇建设、建筑业、房地产业、勘察设计咨询业、市政公用事业、城市节约用水、防震减灾的行政规范性文件并进行监督管理；拟定相关发展战略、中长期规划并指导实施；负责依法行政、行政效能等工作。</w:t>
      </w:r>
    </w:p>
    <w:p>
      <w:pPr>
        <w:adjustRightInd w:val="0"/>
        <w:snapToGrid w:val="0"/>
        <w:spacing w:before="93" w:beforeLines="30" w:line="560" w:lineRule="exact"/>
        <w:ind w:firstLine="672" w:firstLineChars="210"/>
        <w:rPr>
          <w:rFonts w:ascii="仿宋_GB2312" w:hAnsi="仿宋" w:eastAsia="仿宋_GB2312"/>
          <w:sz w:val="32"/>
          <w:szCs w:val="32"/>
        </w:rPr>
      </w:pPr>
      <w:r>
        <w:rPr>
          <w:rFonts w:hint="eastAsia" w:ascii="仿宋_GB2312" w:hAnsi="仿宋" w:eastAsia="仿宋_GB2312"/>
          <w:sz w:val="32"/>
          <w:szCs w:val="32"/>
        </w:rPr>
        <w:t>2、负责推进住房制度改革，保障城镇中低收入家庭住房；拟定全市住房及住房保障相关政策并指导实施，完善保障性住房制度；会同有关部门做好国家、省、市、县保障性住房资金安排并监督实施；编制全市住房和保障性住房发展规划和年度计划并监督实施。</w:t>
      </w:r>
    </w:p>
    <w:p>
      <w:pPr>
        <w:adjustRightInd w:val="0"/>
        <w:snapToGrid w:val="0"/>
        <w:spacing w:before="93" w:beforeLines="30" w:line="560" w:lineRule="exact"/>
        <w:ind w:firstLine="672" w:firstLineChars="210"/>
        <w:rPr>
          <w:rFonts w:ascii="仿宋_GB2312" w:hAnsi="仿宋" w:eastAsia="仿宋_GB2312"/>
          <w:sz w:val="32"/>
          <w:szCs w:val="32"/>
        </w:rPr>
      </w:pPr>
      <w:r>
        <w:rPr>
          <w:rFonts w:hint="eastAsia" w:ascii="仿宋_GB2312" w:hAnsi="仿宋" w:eastAsia="仿宋_GB2312"/>
          <w:sz w:val="32"/>
          <w:szCs w:val="32"/>
        </w:rPr>
        <w:t>3、主管全市房地产业和房地产市场；贯彻执行国家、省、市房地产市场监督管理政策；拟定房地产业的行业发展规划和产业政策；指导和监督管理房地产开发、房屋交易、房屋租赁、房屋面积测绘、危房鉴定、既有建筑安全、白蚁防治、房地产估价与经纪管理、物业管理工作；组织实施国有土地上房屋征收与补偿工作；负责住宅专项维修资金的监督管理；参与指导城镇土地使用权有偿转让和开发利用工作；负责住房建设统计。</w:t>
      </w:r>
    </w:p>
    <w:p>
      <w:pPr>
        <w:adjustRightInd w:val="0"/>
        <w:snapToGrid w:val="0"/>
        <w:spacing w:before="93" w:beforeLines="30" w:line="560" w:lineRule="exact"/>
        <w:ind w:firstLine="672" w:firstLineChars="210"/>
        <w:rPr>
          <w:rFonts w:ascii="仿宋_GB2312" w:hAnsi="仿宋" w:eastAsia="仿宋_GB2312"/>
          <w:sz w:val="32"/>
          <w:szCs w:val="32"/>
        </w:rPr>
      </w:pPr>
      <w:r>
        <w:rPr>
          <w:rFonts w:hint="eastAsia" w:ascii="仿宋_GB2312" w:hAnsi="仿宋" w:eastAsia="仿宋_GB2312"/>
          <w:sz w:val="32"/>
          <w:szCs w:val="32"/>
        </w:rPr>
        <w:t>4、主管全市建筑业和建筑市场，规范市场各方主体行为；指导和监督管理全市建筑活动；制定工程建设、工程施工、工程监理、工程质量、工程造价、工程招标投标、工程质量检测、工程安全生产、职业健康等规章制度并监督执行；组织或参与工程重大质量、安全事故的调查处理；负责建筑业企业及从业人员的资质、资格管理。</w:t>
      </w:r>
    </w:p>
    <w:p>
      <w:pPr>
        <w:adjustRightInd w:val="0"/>
        <w:snapToGrid w:val="0"/>
        <w:spacing w:before="93" w:beforeLines="30" w:line="560" w:lineRule="exact"/>
        <w:ind w:firstLine="672" w:firstLineChars="210"/>
        <w:rPr>
          <w:rFonts w:ascii="仿宋_GB2312" w:hAnsi="仿宋" w:eastAsia="仿宋_GB2312"/>
          <w:sz w:val="32"/>
          <w:szCs w:val="32"/>
        </w:rPr>
      </w:pPr>
      <w:r>
        <w:rPr>
          <w:rFonts w:hint="eastAsia" w:ascii="仿宋_GB2312" w:hAnsi="仿宋" w:eastAsia="仿宋_GB2312"/>
          <w:sz w:val="32"/>
          <w:szCs w:val="32"/>
        </w:rPr>
        <w:t>5、监督管理建设工程勘察、设计、市政工程测量活动。对有特殊要求和涉及公共利益、公众安全、工程建设强制性标准的建设项目的建设工程勘察、设计质量进行监督检查；负责房屋建筑和市政基础设施建设项目的初步设计审查及建设工程消防设计审查备案验收；监督建筑工程施工图审查，监管建设工程抗震设防、防雷装置设计等施工图审查；负责施工图审查机构的监督管理；拟定工程勘察设计咨询业的发展战略、中长期规划、产业和技术政策、规章制度并指导实施。</w:t>
      </w:r>
    </w:p>
    <w:p>
      <w:pPr>
        <w:adjustRightInd w:val="0"/>
        <w:snapToGrid w:val="0"/>
        <w:spacing w:before="93" w:beforeLines="30" w:line="560" w:lineRule="exact"/>
        <w:ind w:firstLine="672" w:firstLineChars="210"/>
        <w:rPr>
          <w:rFonts w:ascii="仿宋_GB2312" w:hAnsi="仿宋" w:eastAsia="仿宋_GB2312"/>
          <w:sz w:val="32"/>
          <w:szCs w:val="32"/>
        </w:rPr>
      </w:pPr>
      <w:r>
        <w:rPr>
          <w:rFonts w:hint="eastAsia" w:ascii="仿宋_GB2312" w:hAnsi="仿宋" w:eastAsia="仿宋_GB2312"/>
          <w:sz w:val="32"/>
          <w:szCs w:val="32"/>
        </w:rPr>
        <w:t>6、贯彻国家、省、市建筑节能、城镇减排政策；规划和拟定全市建筑节能政策并监督实施；负责重点科技项目研究成果转化推广使用；推进墙体材料革新；负责散装水泥推广使用。</w:t>
      </w:r>
    </w:p>
    <w:p>
      <w:pPr>
        <w:adjustRightInd w:val="0"/>
        <w:snapToGrid w:val="0"/>
        <w:spacing w:before="93" w:beforeLines="30" w:line="560" w:lineRule="exact"/>
        <w:ind w:firstLine="672" w:firstLineChars="210"/>
        <w:rPr>
          <w:rFonts w:ascii="仿宋_GB2312" w:hAnsi="仿宋" w:eastAsia="仿宋_GB2312"/>
          <w:sz w:val="32"/>
          <w:szCs w:val="32"/>
        </w:rPr>
      </w:pPr>
      <w:r>
        <w:rPr>
          <w:rFonts w:hint="eastAsia" w:ascii="仿宋_GB2312" w:hAnsi="仿宋" w:eastAsia="仿宋_GB2312"/>
          <w:sz w:val="32"/>
          <w:szCs w:val="32"/>
        </w:rPr>
        <w:t>7、组织实施和贯彻执行工程建设国家标准、全国统一定额、行业标准定额、地方标准定额、建设项目可行性研究评价方法、经济参数、建设标准和工程造价；监督各类工程建设标准定额的实施和工程造价计价；负责工程造价信息的收集。</w:t>
      </w:r>
    </w:p>
    <w:p>
      <w:pPr>
        <w:adjustRightInd w:val="0"/>
        <w:snapToGrid w:val="0"/>
        <w:spacing w:before="93" w:beforeLines="30" w:line="560" w:lineRule="exact"/>
        <w:ind w:firstLine="672" w:firstLineChars="210"/>
        <w:rPr>
          <w:rFonts w:ascii="仿宋_GB2312" w:hAnsi="仿宋" w:eastAsia="仿宋_GB2312"/>
          <w:sz w:val="32"/>
          <w:szCs w:val="32"/>
        </w:rPr>
      </w:pPr>
      <w:r>
        <w:rPr>
          <w:rFonts w:hint="eastAsia" w:ascii="仿宋_GB2312" w:hAnsi="仿宋" w:eastAsia="仿宋_GB2312"/>
          <w:sz w:val="32"/>
          <w:szCs w:val="32"/>
        </w:rPr>
        <w:t>8、拟定城镇建设的政策并指导实施；负责市政基础设施和公用服务设施建设计划统筹、建设推进工作；负责组织开展对城市供水、城镇污水处理企业运行考核评估工作；负责城镇燃气经营企业经营许可的审查；负责城镇建设档案管理。</w:t>
      </w:r>
    </w:p>
    <w:p>
      <w:pPr>
        <w:adjustRightInd w:val="0"/>
        <w:snapToGrid w:val="0"/>
        <w:spacing w:before="93" w:beforeLines="30" w:line="560" w:lineRule="exact"/>
        <w:ind w:firstLine="672" w:firstLineChars="210"/>
        <w:rPr>
          <w:rFonts w:ascii="仿宋_GB2312" w:hAnsi="仿宋" w:eastAsia="仿宋_GB2312"/>
          <w:sz w:val="32"/>
          <w:szCs w:val="32"/>
        </w:rPr>
      </w:pPr>
      <w:r>
        <w:rPr>
          <w:rFonts w:hint="eastAsia" w:ascii="仿宋_GB2312" w:hAnsi="仿宋" w:eastAsia="仿宋_GB2312"/>
          <w:sz w:val="32"/>
          <w:szCs w:val="32"/>
        </w:rPr>
        <w:t>9、负责全市城镇房屋建筑、城镇燃气、城市供水、城镇污水处理等市政公用设施建设及日常运行、城镇污水处理设施配套管网建设的监督管理。</w:t>
      </w:r>
    </w:p>
    <w:p>
      <w:pPr>
        <w:adjustRightInd w:val="0"/>
        <w:snapToGrid w:val="0"/>
        <w:spacing w:before="93" w:beforeLines="30" w:line="560" w:lineRule="exact"/>
        <w:ind w:firstLine="672" w:firstLineChars="210"/>
        <w:rPr>
          <w:rFonts w:ascii="仿宋_GB2312" w:hAnsi="仿宋" w:eastAsia="仿宋_GB2312"/>
          <w:sz w:val="32"/>
          <w:szCs w:val="32"/>
        </w:rPr>
      </w:pPr>
      <w:r>
        <w:rPr>
          <w:rFonts w:hint="eastAsia" w:ascii="仿宋_GB2312" w:hAnsi="仿宋" w:eastAsia="仿宋_GB2312"/>
          <w:sz w:val="32"/>
          <w:szCs w:val="32"/>
        </w:rPr>
        <w:t>10、负责拟定建设领域生态环境保护中长期规划；落实建设领域国家生态环境保护法律法规；指导和监督管理在建房屋和市政基础设施工程施工扬尘治理和噪声污染防治；指导和监督建成城镇生活污水处理设施达标运行；加强城镇生活污水处理设施建设和城市建成区黑臭水体治理。</w:t>
      </w:r>
    </w:p>
    <w:p>
      <w:pPr>
        <w:adjustRightInd w:val="0"/>
        <w:snapToGrid w:val="0"/>
        <w:spacing w:before="93" w:beforeLines="30" w:line="560" w:lineRule="exact"/>
        <w:ind w:firstLine="672" w:firstLineChars="210"/>
        <w:rPr>
          <w:rFonts w:ascii="仿宋_GB2312" w:hAnsi="仿宋" w:eastAsia="仿宋_GB2312"/>
          <w:sz w:val="32"/>
          <w:szCs w:val="32"/>
        </w:rPr>
      </w:pPr>
      <w:r>
        <w:rPr>
          <w:rFonts w:hint="eastAsia" w:ascii="仿宋_GB2312" w:hAnsi="仿宋" w:eastAsia="仿宋_GB2312"/>
          <w:sz w:val="32"/>
          <w:szCs w:val="32"/>
        </w:rPr>
        <w:t>11、负责拟定全市村庄和小城镇建设政策并指导实施；指导农村住房建设管理和危房改造；指导小城镇人居生态环境的改善工作；负责特殊村镇申报工作；配合相关部门完成历史文化名镇、名村的相关报批工作；指导和组织各类村镇建设试点工作；指导受灾村镇及国家、省大型重点建设项目地区村镇迁建、重建的建设管理。</w:t>
      </w:r>
    </w:p>
    <w:p>
      <w:pPr>
        <w:adjustRightInd w:val="0"/>
        <w:snapToGrid w:val="0"/>
        <w:spacing w:before="93" w:beforeLines="30" w:line="560" w:lineRule="exact"/>
        <w:ind w:firstLine="672" w:firstLineChars="210"/>
        <w:rPr>
          <w:rFonts w:ascii="仿宋_GB2312" w:hAnsi="仿宋" w:eastAsia="仿宋_GB2312"/>
          <w:sz w:val="32"/>
          <w:szCs w:val="32"/>
        </w:rPr>
      </w:pPr>
      <w:r>
        <w:rPr>
          <w:rFonts w:hint="eastAsia" w:ascii="仿宋_GB2312" w:hAnsi="仿宋" w:eastAsia="仿宋_GB2312"/>
          <w:sz w:val="32"/>
          <w:szCs w:val="32"/>
        </w:rPr>
        <w:t>12、制定建设行业人才培养和教育发展规划并组织实施；指导建设行业科技人才队伍建设、</w:t>
      </w:r>
      <w:r>
        <w:rPr>
          <w:rFonts w:hint="eastAsia" w:ascii="仿宋_GB2312" w:hAnsi="仿宋" w:eastAsia="仿宋_GB2312"/>
          <w:sz w:val="32"/>
          <w:szCs w:val="32"/>
          <w:lang w:eastAsia="zh-CN"/>
        </w:rPr>
        <w:t>专</w:t>
      </w:r>
      <w:r>
        <w:rPr>
          <w:rFonts w:hint="eastAsia" w:ascii="仿宋_GB2312" w:hAnsi="仿宋" w:eastAsia="仿宋_GB2312"/>
          <w:sz w:val="32"/>
          <w:szCs w:val="32"/>
        </w:rPr>
        <w:t>业技术职务初审和执业资格管理；负责住房和城乡建设系统的信访工作，督查督办重大信访案件；指导行业协会工作。</w:t>
      </w:r>
    </w:p>
    <w:p>
      <w:pPr>
        <w:adjustRightInd w:val="0"/>
        <w:snapToGrid w:val="0"/>
        <w:spacing w:before="93" w:beforeLines="30" w:line="560" w:lineRule="exact"/>
        <w:ind w:firstLine="672" w:firstLineChars="210"/>
        <w:rPr>
          <w:rFonts w:ascii="仿宋_GB2312" w:hAnsi="仿宋" w:eastAsia="仿宋_GB2312"/>
          <w:sz w:val="32"/>
          <w:szCs w:val="32"/>
        </w:rPr>
      </w:pPr>
      <w:r>
        <w:rPr>
          <w:rFonts w:hint="eastAsia" w:ascii="仿宋_GB2312" w:hAnsi="仿宋" w:eastAsia="仿宋_GB2312"/>
          <w:sz w:val="32"/>
          <w:szCs w:val="32"/>
        </w:rPr>
        <w:t>13、参与拟订本行政区域内防震减灾事业中长期发展规划，编制防震减灾工作年度计划并组织实施；参与地震灾害损失评估，参与制定地震灾区的重建规划；依法监督管理建设工程抗震设防要求和地震安全性评价工作；负责本行政区域内地震烈度和抗震设防标准实施；开展防震减灾宣传教育工作，普及防震减灾知识。</w:t>
      </w:r>
    </w:p>
    <w:p>
      <w:pPr>
        <w:adjustRightInd w:val="0"/>
        <w:snapToGrid w:val="0"/>
        <w:spacing w:before="93" w:beforeLines="30" w:line="560" w:lineRule="exact"/>
        <w:ind w:firstLine="672" w:firstLineChars="210"/>
        <w:rPr>
          <w:rFonts w:ascii="仿宋_GB2312" w:hAnsi="仿宋" w:eastAsia="仿宋_GB2312"/>
          <w:sz w:val="32"/>
          <w:szCs w:val="32"/>
        </w:rPr>
      </w:pPr>
      <w:r>
        <w:rPr>
          <w:rFonts w:hint="eastAsia" w:ascii="仿宋_GB2312" w:hAnsi="仿宋" w:eastAsia="仿宋_GB2312"/>
          <w:sz w:val="32"/>
          <w:szCs w:val="32"/>
        </w:rPr>
        <w:t>14、承担本部门职责范围内的安全生产和职业健康、生态环境保护、社会信用体系建设和审批服务便民化等工作。</w:t>
      </w:r>
    </w:p>
    <w:p>
      <w:pPr>
        <w:adjustRightInd w:val="0"/>
        <w:snapToGrid w:val="0"/>
        <w:spacing w:before="93" w:beforeLines="30" w:line="560" w:lineRule="exact"/>
        <w:ind w:firstLine="672" w:firstLineChars="210"/>
        <w:rPr>
          <w:rFonts w:ascii="仿宋_GB2312" w:hAnsi="仿宋" w:eastAsia="仿宋_GB2312"/>
          <w:sz w:val="32"/>
          <w:szCs w:val="32"/>
        </w:rPr>
      </w:pPr>
      <w:r>
        <w:rPr>
          <w:rFonts w:hint="eastAsia" w:ascii="仿宋_GB2312" w:hAnsi="仿宋" w:eastAsia="仿宋_GB2312"/>
          <w:sz w:val="32"/>
          <w:szCs w:val="32"/>
        </w:rPr>
        <w:t>15、按照本部门权责清单履行相关职责。</w:t>
      </w:r>
    </w:p>
    <w:p>
      <w:pPr>
        <w:adjustRightInd w:val="0"/>
        <w:snapToGrid w:val="0"/>
        <w:spacing w:before="93" w:beforeLines="30" w:line="560" w:lineRule="exact"/>
        <w:ind w:firstLine="672" w:firstLineChars="210"/>
        <w:rPr>
          <w:rFonts w:ascii="仿宋_GB2312" w:hAnsi="仿宋" w:eastAsia="仿宋_GB2312"/>
          <w:sz w:val="32"/>
          <w:szCs w:val="32"/>
        </w:rPr>
      </w:pPr>
      <w:r>
        <w:rPr>
          <w:rFonts w:hint="eastAsia" w:ascii="仿宋_GB2312" w:hAnsi="仿宋" w:eastAsia="仿宋_GB2312"/>
          <w:sz w:val="32"/>
          <w:szCs w:val="32"/>
        </w:rPr>
        <w:t>16、完成市委和市政府交办的其他任务。</w:t>
      </w:r>
    </w:p>
    <w:p>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（三）人员概况。</w:t>
      </w:r>
    </w:p>
    <w:p>
      <w:pPr>
        <w:snapToGrid w:val="0"/>
        <w:spacing w:line="550" w:lineRule="exact"/>
        <w:ind w:firstLine="640" w:firstLineChars="200"/>
        <w:rPr>
          <w:rFonts w:ascii="仿宋_GB2312" w:hAnsi="仿宋" w:eastAsia="仿宋_GB2312"/>
          <w:sz w:val="32"/>
          <w:szCs w:val="32"/>
        </w:rPr>
      </w:pPr>
      <w:r>
        <w:rPr>
          <w:rFonts w:hint="eastAsia" w:ascii="仿宋_GB2312" w:hAnsi="仿宋" w:eastAsia="仿宋_GB2312"/>
          <w:sz w:val="32"/>
          <w:szCs w:val="32"/>
        </w:rPr>
        <w:t>2021年末单位实有人员59人，其中行政人员18人，行政工勤人员7人，全额拨款事业人员28人，差额拨款事业人员6人</w:t>
      </w:r>
      <w:r>
        <w:rPr>
          <w:rFonts w:hint="eastAsia" w:ascii="仿宋_GB2312" w:hAnsi="仿宋" w:eastAsia="仿宋_GB2312" w:cs="仿宋"/>
          <w:bCs/>
          <w:color w:val="000000"/>
          <w:sz w:val="32"/>
          <w:szCs w:val="32"/>
        </w:rPr>
        <w:t>。</w:t>
      </w:r>
    </w:p>
    <w:p>
      <w:pPr>
        <w:widowControl/>
        <w:adjustRightInd w:val="0"/>
        <w:snapToGrid w:val="0"/>
        <w:spacing w:line="540" w:lineRule="exact"/>
        <w:ind w:firstLine="720"/>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二、部门财政资金收支情况</w:t>
      </w:r>
    </w:p>
    <w:p>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（一）部门财政资金收入情况。</w:t>
      </w:r>
    </w:p>
    <w:p>
      <w:pPr>
        <w:widowControl/>
        <w:adjustRightInd w:val="0"/>
        <w:snapToGrid w:val="0"/>
        <w:spacing w:line="540" w:lineRule="exact"/>
        <w:ind w:firstLine="720"/>
        <w:jc w:val="left"/>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2021年绵竹市住房和城乡建设局本年收入调整预算总额为43594.47万元，其中：一般公共预算财政拨款收入22555.14万元，政府性基金预算财政拨款收入21039.33万元；年初结转2948.97万元，其中：一般公共预算财政拨款结转2948.97万元。</w:t>
      </w:r>
    </w:p>
    <w:p>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（二）部门财政资金支出情况。</w:t>
      </w:r>
    </w:p>
    <w:p>
      <w:pPr>
        <w:spacing w:line="550" w:lineRule="exact"/>
        <w:ind w:firstLine="640" w:firstLineChars="200"/>
        <w:rPr>
          <w:rFonts w:ascii="仿宋_GB2312" w:hAnsi="仿宋" w:eastAsia="仿宋_GB2312"/>
          <w:sz w:val="32"/>
          <w:szCs w:val="32"/>
        </w:rPr>
      </w:pPr>
      <w:r>
        <w:rPr>
          <w:rFonts w:hint="eastAsia" w:ascii="仿宋_GB2312" w:hAnsi="仿宋" w:eastAsia="仿宋_GB2312" w:cs="仿宋"/>
          <w:color w:val="000000"/>
          <w:sz w:val="32"/>
          <w:szCs w:val="32"/>
        </w:rPr>
        <w:t>2</w:t>
      </w:r>
      <w:r>
        <w:rPr>
          <w:rFonts w:ascii="仿宋_GB2312" w:hAnsi="仿宋" w:eastAsia="仿宋_GB2312" w:cs="仿宋"/>
          <w:color w:val="000000"/>
          <w:sz w:val="32"/>
          <w:szCs w:val="32"/>
        </w:rPr>
        <w:t>021</w:t>
      </w:r>
      <w:r>
        <w:rPr>
          <w:rFonts w:hint="eastAsia" w:ascii="仿宋_GB2312" w:hAnsi="仿宋" w:eastAsia="仿宋_GB2312" w:cs="仿宋"/>
          <w:color w:val="000000"/>
          <w:sz w:val="32"/>
          <w:szCs w:val="32"/>
        </w:rPr>
        <w:t>年绵竹市住房和城乡建设局支出调整预算46543.44万元，其中：教育支出20.35万元，</w:t>
      </w:r>
      <w:r>
        <w:rPr>
          <w:rFonts w:hint="eastAsia" w:ascii="仿宋_GB2312" w:hAnsi="仿宋" w:eastAsia="仿宋_GB2312" w:cs="仿宋"/>
          <w:color w:val="000000"/>
          <w:kern w:val="0"/>
          <w:sz w:val="32"/>
          <w:szCs w:val="32"/>
        </w:rPr>
        <w:t>社会保障和就业支出152.01万元，卫生健康支出25.55万元，节能环保支出3102.54万元，城乡社区支出20565.14万元，农林水支出98.73万元，住房保障支出9879.12万元，其他支出12700万元。</w:t>
      </w:r>
    </w:p>
    <w:p>
      <w:pPr>
        <w:widowControl/>
        <w:adjustRightInd w:val="0"/>
        <w:snapToGrid w:val="0"/>
        <w:spacing w:line="540" w:lineRule="exact"/>
        <w:ind w:firstLine="720"/>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三、部门财政支出管理情况</w:t>
      </w:r>
    </w:p>
    <w:p>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（一）预算编制情况。</w:t>
      </w:r>
    </w:p>
    <w:p>
      <w:pPr>
        <w:widowControl/>
        <w:adjustRightInd w:val="0"/>
        <w:snapToGrid w:val="0"/>
        <w:spacing w:line="540" w:lineRule="exact"/>
        <w:ind w:firstLine="720"/>
        <w:jc w:val="left"/>
        <w:rPr>
          <w:rFonts w:ascii="仿宋_GB2312" w:hAnsi="仿宋"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1</w:t>
      </w:r>
      <w:r>
        <w:rPr>
          <w:rFonts w:hint="eastAsia" w:ascii="仿宋_GB2312" w:hAnsi="仿宋" w:eastAsia="仿宋_GB2312"/>
          <w:sz w:val="32"/>
          <w:szCs w:val="32"/>
        </w:rPr>
        <w:t>年依据我局履职要求和各部门、各下属单位年度工作计划，认真征求统计相应的经费需求，参考以前年度年初预算编审、预算执行中期评估和支出绩效评价成果、资产占有和使用情况等因素，按照省、市财政部门的要求，在下达控制数内按时完成部门预算草案的编制工作，努力做到各项收入、支出预算的编制完整、准确、规范，确保不重不漏，无部门预算以外保留的其他收支项目。</w:t>
      </w:r>
    </w:p>
    <w:p>
      <w:pPr>
        <w:widowControl/>
        <w:adjustRightInd w:val="0"/>
        <w:snapToGrid w:val="0"/>
        <w:spacing w:line="540" w:lineRule="exact"/>
        <w:ind w:firstLine="720"/>
        <w:jc w:val="left"/>
        <w:rPr>
          <w:rFonts w:ascii="仿宋_GB2312" w:hAnsi="仿宋" w:eastAsia="仿宋_GB2312"/>
          <w:sz w:val="32"/>
          <w:szCs w:val="32"/>
        </w:rPr>
      </w:pPr>
      <w:r>
        <w:rPr>
          <w:rFonts w:hint="eastAsia" w:ascii="仿宋_GB2312" w:hAnsi="仿宋" w:eastAsia="仿宋_GB2312"/>
          <w:sz w:val="32"/>
          <w:szCs w:val="32"/>
        </w:rPr>
        <w:t>细化预算支出，及时更新完善基础信息数据库，人员经费按标准、日常公用经费按定额、专项支出按项目分别编制，项目支出细化到具体的经济内容。认真编制政府采购预算，做到应编尽编，确保了政府采购预算的完整。按要求单独编制“三公”经费预算及编报说明。　</w:t>
      </w:r>
    </w:p>
    <w:p>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（二）执行管理情况。</w:t>
      </w:r>
    </w:p>
    <w:p>
      <w:pPr>
        <w:widowControl/>
        <w:adjustRightInd w:val="0"/>
        <w:snapToGrid w:val="0"/>
        <w:spacing w:line="540" w:lineRule="exact"/>
        <w:ind w:firstLine="720"/>
        <w:jc w:val="left"/>
        <w:rPr>
          <w:rFonts w:ascii="仿宋_GB2312" w:hAnsi="仿宋"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1</w:t>
      </w:r>
      <w:r>
        <w:rPr>
          <w:rFonts w:hint="eastAsia" w:ascii="仿宋_GB2312" w:hAnsi="仿宋" w:eastAsia="仿宋_GB2312"/>
          <w:sz w:val="32"/>
          <w:szCs w:val="32"/>
        </w:rPr>
        <w:t>年我局继续加强预算执行管理，严格执行批复预算，按照收支平衡的原则，合理安排各项资金，根据执行进度对基本支出按照月度均衡原则、项目支出按实际需要及时申请用款计划，确保足额支出安排，无超预算支出。保证了部门的正常运行和日常工作任务的顺利开展。</w:t>
      </w:r>
    </w:p>
    <w:p>
      <w:pPr>
        <w:widowControl/>
        <w:adjustRightInd w:val="0"/>
        <w:snapToGrid w:val="0"/>
        <w:spacing w:line="540" w:lineRule="exact"/>
        <w:ind w:firstLine="720"/>
        <w:jc w:val="left"/>
        <w:rPr>
          <w:rFonts w:ascii="仿宋_GB2312" w:hAnsi="仿宋" w:eastAsia="仿宋_GB2312"/>
          <w:sz w:val="32"/>
          <w:szCs w:val="32"/>
        </w:rPr>
      </w:pPr>
      <w:r>
        <w:rPr>
          <w:rFonts w:hint="eastAsia" w:ascii="仿宋_GB2312" w:hAnsi="仿宋" w:eastAsia="仿宋_GB2312"/>
          <w:sz w:val="32"/>
          <w:szCs w:val="32"/>
        </w:rPr>
        <w:t>加强支出绩效管理，对纳入部门预算批复管理的项目经费，在年度执行中，随时跟踪了解每一项目的进展情况，及时申请用款计划，保证各项款项及时支付，提高了资金使用效率，全年预算执行率均达到目标要求。</w:t>
      </w:r>
    </w:p>
    <w:p>
      <w:pPr>
        <w:widowControl/>
        <w:adjustRightInd w:val="0"/>
        <w:snapToGrid w:val="0"/>
        <w:spacing w:line="540" w:lineRule="exact"/>
        <w:ind w:firstLine="720"/>
        <w:jc w:val="left"/>
        <w:rPr>
          <w:rFonts w:ascii="仿宋_GB2312" w:hAnsi="仿宋" w:eastAsia="仿宋_GB2312"/>
          <w:sz w:val="32"/>
          <w:szCs w:val="32"/>
        </w:rPr>
      </w:pPr>
      <w:r>
        <w:rPr>
          <w:rFonts w:hint="eastAsia" w:ascii="仿宋_GB2312" w:hAnsi="仿宋" w:eastAsia="仿宋_GB2312"/>
          <w:sz w:val="32"/>
          <w:szCs w:val="32"/>
        </w:rPr>
        <w:t>为认真贯彻中央八项规定、省委省政府十项规定及《党政机关厉行节约反对浪费条例》，继续加强“三公”经费和会议费、培训费管理，使“三公”经费支出、会议费支出、培训费支出得到有效控制，厉行节约工作取得明显成效。全年无公务用车购置费用，公务用车运行维护费支出5万元，公务接待费支出</w:t>
      </w:r>
      <w:r>
        <w:rPr>
          <w:rFonts w:ascii="仿宋_GB2312" w:hAnsi="仿宋" w:eastAsia="仿宋_GB2312"/>
          <w:sz w:val="32"/>
          <w:szCs w:val="32"/>
        </w:rPr>
        <w:t>0.89</w:t>
      </w:r>
      <w:r>
        <w:rPr>
          <w:rFonts w:hint="eastAsia" w:ascii="仿宋_GB2312" w:hAnsi="仿宋" w:eastAsia="仿宋_GB2312"/>
          <w:sz w:val="32"/>
          <w:szCs w:val="32"/>
        </w:rPr>
        <w:t>万元，无因公出国（境）费用支出，三公经费共计支出</w:t>
      </w:r>
      <w:r>
        <w:rPr>
          <w:rFonts w:ascii="仿宋_GB2312" w:hAnsi="仿宋" w:eastAsia="仿宋_GB2312"/>
          <w:sz w:val="32"/>
          <w:szCs w:val="32"/>
        </w:rPr>
        <w:t>5.89</w:t>
      </w:r>
      <w:r>
        <w:rPr>
          <w:rFonts w:hint="eastAsia" w:ascii="仿宋_GB2312" w:hAnsi="仿宋" w:eastAsia="仿宋_GB2312"/>
          <w:sz w:val="32"/>
          <w:szCs w:val="32"/>
        </w:rPr>
        <w:t>万元。</w:t>
      </w:r>
    </w:p>
    <w:p>
      <w:pPr>
        <w:widowControl/>
        <w:adjustRightInd w:val="0"/>
        <w:snapToGrid w:val="0"/>
        <w:spacing w:line="540" w:lineRule="exact"/>
        <w:ind w:firstLine="720"/>
        <w:jc w:val="left"/>
        <w:rPr>
          <w:rFonts w:ascii="仿宋_GB2312" w:hAnsi="仿宋" w:eastAsia="仿宋_GB2312"/>
          <w:sz w:val="32"/>
          <w:szCs w:val="32"/>
        </w:rPr>
      </w:pPr>
      <w:r>
        <w:rPr>
          <w:rFonts w:hint="eastAsia" w:ascii="仿宋_GB2312" w:hAnsi="仿宋" w:eastAsia="仿宋_GB2312"/>
          <w:sz w:val="32"/>
          <w:szCs w:val="32"/>
        </w:rPr>
        <w:t>（三）综合管理情况。</w:t>
      </w:r>
    </w:p>
    <w:p>
      <w:pPr>
        <w:widowControl/>
        <w:adjustRightInd w:val="0"/>
        <w:snapToGrid w:val="0"/>
        <w:spacing w:line="540" w:lineRule="exact"/>
        <w:ind w:firstLine="720"/>
        <w:jc w:val="left"/>
        <w:rPr>
          <w:rFonts w:ascii="仿宋_GB2312" w:hAnsi="仿宋" w:eastAsia="仿宋_GB2312"/>
          <w:sz w:val="32"/>
          <w:szCs w:val="32"/>
        </w:rPr>
      </w:pPr>
      <w:r>
        <w:rPr>
          <w:rFonts w:ascii="仿宋_GB2312" w:hAnsi="仿宋" w:eastAsia="仿宋_GB2312"/>
          <w:sz w:val="32"/>
          <w:szCs w:val="32"/>
        </w:rPr>
        <w:t>加强非税收入征收和管理，做到应收尽收，严格执行收支两条线管理，无截留、挪用、坐收坐支等违规行为</w:t>
      </w:r>
      <w:r>
        <w:rPr>
          <w:rFonts w:hint="eastAsia" w:ascii="仿宋_GB2312" w:hAnsi="仿宋" w:eastAsia="仿宋_GB2312"/>
          <w:sz w:val="32"/>
          <w:szCs w:val="32"/>
        </w:rPr>
        <w:t>，所有非税收入</w:t>
      </w:r>
      <w:r>
        <w:rPr>
          <w:rFonts w:ascii="仿宋_GB2312" w:hAnsi="仿宋" w:eastAsia="仿宋_GB2312"/>
          <w:sz w:val="32"/>
          <w:szCs w:val="32"/>
        </w:rPr>
        <w:t>按照规定及时、足额</w:t>
      </w:r>
      <w:r>
        <w:rPr>
          <w:rFonts w:hint="eastAsia" w:ascii="仿宋_GB2312" w:hAnsi="仿宋" w:eastAsia="仿宋_GB2312"/>
          <w:sz w:val="32"/>
          <w:szCs w:val="32"/>
        </w:rPr>
        <w:t>缴入财政非税专户。</w:t>
      </w:r>
    </w:p>
    <w:p>
      <w:pPr>
        <w:widowControl/>
        <w:adjustRightInd w:val="0"/>
        <w:snapToGrid w:val="0"/>
        <w:spacing w:line="540" w:lineRule="exact"/>
        <w:ind w:firstLine="720"/>
        <w:jc w:val="left"/>
        <w:rPr>
          <w:rFonts w:ascii="仿宋_GB2312" w:hAnsi="仿宋" w:eastAsia="仿宋_GB2312"/>
          <w:sz w:val="32"/>
          <w:szCs w:val="32"/>
        </w:rPr>
      </w:pPr>
      <w:r>
        <w:rPr>
          <w:rFonts w:ascii="仿宋_GB2312" w:hAnsi="仿宋" w:eastAsia="仿宋_GB2312"/>
          <w:sz w:val="32"/>
          <w:szCs w:val="32"/>
        </w:rPr>
        <w:t>加强政府采购管理，严格执行政府采购制度，扩大政府采购范围和规模，规范采购程序，确保政府采购公开、透明。</w:t>
      </w:r>
    </w:p>
    <w:p>
      <w:pPr>
        <w:widowControl/>
        <w:adjustRightInd w:val="0"/>
        <w:snapToGrid w:val="0"/>
        <w:spacing w:line="540" w:lineRule="exact"/>
        <w:ind w:firstLine="720"/>
        <w:jc w:val="left"/>
        <w:rPr>
          <w:rFonts w:ascii="仿宋_GB2312" w:hAnsi="仿宋" w:eastAsia="仿宋_GB2312"/>
          <w:sz w:val="32"/>
          <w:szCs w:val="32"/>
        </w:rPr>
      </w:pPr>
      <w:r>
        <w:rPr>
          <w:rFonts w:hint="eastAsia" w:ascii="仿宋_GB2312" w:hAnsi="仿宋" w:eastAsia="仿宋_GB2312"/>
          <w:sz w:val="32"/>
          <w:szCs w:val="32"/>
        </w:rPr>
        <w:t>加强国有资产管理，定期进行国有资产清理核查工作，把单位占有、使用的国有资产全部按规定录入资产信息管理系统。</w:t>
      </w:r>
    </w:p>
    <w:p>
      <w:pPr>
        <w:widowControl/>
        <w:adjustRightInd w:val="0"/>
        <w:snapToGrid w:val="0"/>
        <w:spacing w:line="540" w:lineRule="exact"/>
        <w:ind w:firstLine="720"/>
        <w:jc w:val="left"/>
        <w:rPr>
          <w:rFonts w:ascii="仿宋_GB2312" w:hAnsi="仿宋" w:eastAsia="仿宋_GB2312"/>
          <w:sz w:val="32"/>
          <w:szCs w:val="32"/>
        </w:rPr>
      </w:pPr>
      <w:r>
        <w:rPr>
          <w:rFonts w:hint="eastAsia" w:ascii="仿宋_GB2312" w:hAnsi="仿宋" w:eastAsia="仿宋_GB2312"/>
          <w:sz w:val="32"/>
          <w:szCs w:val="32"/>
        </w:rPr>
        <w:t>加强信息公开工作。除涉密信息外，对单位预算、决算、部门支出绩效自评报告及其他按要求应公开的信息均按市财政部门要求进行公开。</w:t>
      </w:r>
    </w:p>
    <w:p>
      <w:pPr>
        <w:widowControl/>
        <w:adjustRightInd w:val="0"/>
        <w:snapToGrid w:val="0"/>
        <w:spacing w:line="540" w:lineRule="exact"/>
        <w:ind w:firstLine="720"/>
        <w:jc w:val="left"/>
        <w:rPr>
          <w:rFonts w:ascii="仿宋_GB2312" w:hAnsi="仿宋" w:eastAsia="仿宋_GB2312"/>
          <w:sz w:val="32"/>
          <w:szCs w:val="32"/>
        </w:rPr>
      </w:pPr>
      <w:r>
        <w:rPr>
          <w:rFonts w:hint="eastAsia" w:ascii="仿宋_GB2312" w:hAnsi="仿宋" w:eastAsia="仿宋_GB2312"/>
          <w:sz w:val="32"/>
          <w:szCs w:val="32"/>
        </w:rPr>
        <w:t>依法接受财政监督，按时保质报送相关自查自纠报告、各类报表，对上级部门反馈的整改要求及时制定措施，加以改正。</w:t>
      </w:r>
    </w:p>
    <w:p>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（四）整体绩效。</w:t>
      </w:r>
    </w:p>
    <w:p>
      <w:pPr>
        <w:widowControl/>
        <w:adjustRightInd w:val="0"/>
        <w:snapToGrid w:val="0"/>
        <w:spacing w:line="540" w:lineRule="exact"/>
        <w:ind w:firstLine="720"/>
        <w:jc w:val="left"/>
        <w:rPr>
          <w:rFonts w:ascii="仿宋_GB2312" w:hAnsi="仿宋"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1</w:t>
      </w:r>
      <w:r>
        <w:rPr>
          <w:rFonts w:hint="eastAsia" w:ascii="仿宋_GB2312" w:hAnsi="仿宋" w:eastAsia="仿宋_GB2312"/>
          <w:sz w:val="32"/>
          <w:szCs w:val="32"/>
        </w:rPr>
        <w:t>年，我局认真落实上级财政政策，狠抓增收节支，优化支出结构，深化管理改革，各项支出保障了机关及下属单位的正常运转，完成专项工作任务，实现了财政事业发展阶段目标，为推动全市经济社会发展做出了贡献。</w:t>
      </w:r>
      <w:r>
        <w:rPr>
          <w:rFonts w:hint="eastAsia" w:ascii="仿宋_GB2312" w:hAnsi="仿宋" w:eastAsia="仿宋_GB2312"/>
          <w:sz w:val="32"/>
          <w:szCs w:val="32"/>
        </w:rPr>
        <w:br w:type="textWrapping"/>
      </w:r>
      <w:r>
        <w:rPr>
          <w:rFonts w:hint="eastAsia" w:ascii="仿宋_GB2312" w:hAnsi="仿宋" w:eastAsia="仿宋_GB2312"/>
          <w:sz w:val="32"/>
          <w:szCs w:val="32"/>
        </w:rPr>
        <w:t xml:space="preserve">    </w:t>
      </w:r>
      <w:r>
        <w:rPr>
          <w:rFonts w:ascii="仿宋_GB2312" w:hAnsi="仿宋" w:eastAsia="仿宋_GB2312"/>
          <w:sz w:val="32"/>
          <w:szCs w:val="32"/>
        </w:rPr>
        <w:t>依照国家法规政策，认真履行各项财政监管职能，对本级和上级财政部门安排下达的财政资金实行全程监督，做到依法理财、科学理财、规范理财。</w:t>
      </w:r>
    </w:p>
    <w:p>
      <w:pPr>
        <w:widowControl/>
        <w:adjustRightInd w:val="0"/>
        <w:snapToGrid w:val="0"/>
        <w:spacing w:line="540" w:lineRule="exact"/>
        <w:ind w:firstLine="720"/>
        <w:jc w:val="left"/>
        <w:rPr>
          <w:rFonts w:ascii="仿宋_GB2312" w:hAnsi="仿宋" w:eastAsia="仿宋_GB2312"/>
          <w:sz w:val="32"/>
          <w:szCs w:val="32"/>
        </w:rPr>
      </w:pPr>
      <w:r>
        <w:rPr>
          <w:rFonts w:ascii="仿宋_GB2312" w:hAnsi="仿宋" w:eastAsia="仿宋_GB2312"/>
          <w:sz w:val="32"/>
          <w:szCs w:val="32"/>
        </w:rPr>
        <w:t>在项目资金监管上，严把项目申报关</w:t>
      </w:r>
      <w:r>
        <w:rPr>
          <w:rFonts w:hint="eastAsia" w:ascii="仿宋_GB2312" w:hAnsi="仿宋" w:eastAsia="仿宋_GB2312"/>
          <w:sz w:val="32"/>
          <w:szCs w:val="32"/>
        </w:rPr>
        <w:t>，确保</w:t>
      </w:r>
      <w:r>
        <w:rPr>
          <w:rFonts w:ascii="仿宋_GB2312" w:hAnsi="仿宋" w:eastAsia="仿宋_GB2312"/>
          <w:sz w:val="32"/>
          <w:szCs w:val="32"/>
        </w:rPr>
        <w:t>项目申报的真实性、可行性</w:t>
      </w:r>
      <w:r>
        <w:rPr>
          <w:rFonts w:hint="eastAsia" w:ascii="仿宋_GB2312" w:hAnsi="仿宋" w:eastAsia="仿宋_GB2312"/>
          <w:sz w:val="32"/>
          <w:szCs w:val="32"/>
        </w:rPr>
        <w:t>；</w:t>
      </w:r>
      <w:r>
        <w:rPr>
          <w:rFonts w:ascii="仿宋_GB2312" w:hAnsi="仿宋" w:eastAsia="仿宋_GB2312"/>
          <w:sz w:val="32"/>
          <w:szCs w:val="32"/>
        </w:rPr>
        <w:t>跟踪项目实施</w:t>
      </w:r>
      <w:r>
        <w:rPr>
          <w:rFonts w:hint="eastAsia" w:ascii="仿宋_GB2312" w:hAnsi="仿宋" w:eastAsia="仿宋_GB2312"/>
          <w:sz w:val="32"/>
          <w:szCs w:val="32"/>
        </w:rPr>
        <w:t>，</w:t>
      </w:r>
      <w:r>
        <w:rPr>
          <w:rFonts w:ascii="仿宋_GB2312" w:hAnsi="仿宋" w:eastAsia="仿宋_GB2312"/>
          <w:sz w:val="32"/>
          <w:szCs w:val="32"/>
        </w:rPr>
        <w:t>与相关部门一道实地检查项目的开工建设和进展情况，定期或不定期做好汇报，按照上级财政要求，做好项目支出审核和资金拨付工作。及时评估验收，强化绩效评价制度，建立财政资金追踪问效体系，堵塞漏洞，杜绝腐败。做好项目评估验收和档案管理工作，提出项目运转和维护管理建议等。</w:t>
      </w:r>
    </w:p>
    <w:p>
      <w:pPr>
        <w:widowControl/>
        <w:adjustRightInd w:val="0"/>
        <w:snapToGrid w:val="0"/>
        <w:spacing w:line="540" w:lineRule="exact"/>
        <w:ind w:firstLine="720"/>
        <w:jc w:val="left"/>
        <w:rPr>
          <w:rFonts w:ascii="黑体" w:hAnsi="宋体" w:eastAsia="黑体" w:cs="宋体"/>
          <w:color w:val="000000"/>
          <w:kern w:val="0"/>
          <w:sz w:val="32"/>
          <w:szCs w:val="32"/>
          <w:shd w:val="clear" w:color="auto" w:fill="FFFFFF"/>
        </w:rPr>
      </w:pPr>
      <w:r>
        <w:rPr>
          <w:rFonts w:hint="eastAsia" w:ascii="黑体" w:hAnsi="宋体" w:eastAsia="黑体" w:cs="宋体"/>
          <w:color w:val="000000"/>
          <w:kern w:val="0"/>
          <w:sz w:val="32"/>
          <w:szCs w:val="32"/>
          <w:shd w:val="clear" w:color="auto" w:fill="FFFFFF"/>
        </w:rPr>
        <w:t>四、评价结论及建议</w:t>
      </w:r>
    </w:p>
    <w:p>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（一）评价结论。</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202</w:t>
      </w:r>
      <w:r>
        <w:rPr>
          <w:rFonts w:ascii="仿宋_GB2312" w:hAnsi="仿宋" w:eastAsia="仿宋_GB2312"/>
          <w:sz w:val="32"/>
          <w:szCs w:val="32"/>
        </w:rPr>
        <w:t>1</w:t>
      </w:r>
      <w:r>
        <w:rPr>
          <w:rFonts w:hint="eastAsia" w:ascii="仿宋_GB2312" w:hAnsi="仿宋" w:eastAsia="仿宋_GB2312"/>
          <w:sz w:val="32"/>
          <w:szCs w:val="32"/>
        </w:rPr>
        <w:t>年我局认真做好年度财政资金的预算编制工作，按照政府采购目录及采购限额标准编制政府采购预算，做到应编尽编。在资金使用和</w:t>
      </w:r>
      <w:r>
        <w:rPr>
          <w:rFonts w:hint="eastAsia" w:ascii="仿宋_GB2312" w:hAnsi="仿宋" w:eastAsia="仿宋_GB2312"/>
          <w:sz w:val="32"/>
          <w:szCs w:val="32"/>
          <w:lang w:eastAsia="zh-CN"/>
        </w:rPr>
        <w:t>管理方面</w:t>
      </w:r>
      <w:r>
        <w:rPr>
          <w:rFonts w:hint="eastAsia" w:ascii="仿宋_GB2312" w:hAnsi="仿宋" w:eastAsia="仿宋_GB2312"/>
          <w:sz w:val="32"/>
          <w:szCs w:val="32"/>
        </w:rPr>
        <w:t>，进一步强化资金统筹，优化资金结构，明确开支范围，细化资金用途，以有限的资金保证机关的正常运转。资金收支管理及会计核算较规范，能够按照相关会计制度和财务管理办法进行核算。认真落实积极财政政策，优化支出结构，深化管理改革，圆满完成各项目标任务。大部分预算项目相关指标与预期目标基本契合，绩效目标运行清晰，达到预期的经济和社会效益，有力地推动了各项工作的顺利开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通过自评，我局部门支出绩效评价得分95分。</w:t>
      </w:r>
    </w:p>
    <w:p>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（二）存在问题。</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上级专项资金追加预算较大，部分项目因多方面因素推动较慢，导致预算执行进度偏慢。</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由于近年财政改革力度大，工作量逐渐增大，对财务人员提出更高的要求，需要不断深入系统学习绩效考核知识，进一步增强绩效管理理念，科学制定项目目标绩效。</w:t>
      </w:r>
    </w:p>
    <w:p>
      <w:pPr>
        <w:widowControl/>
        <w:adjustRightInd w:val="0"/>
        <w:snapToGrid w:val="0"/>
        <w:spacing w:line="540" w:lineRule="exact"/>
        <w:ind w:firstLine="720"/>
        <w:jc w:val="left"/>
        <w:rPr>
          <w:rFonts w:ascii="仿宋_GB2312" w:hAnsi="宋体" w:eastAsia="仿宋_GB2312" w:cs="宋体"/>
          <w:color w:val="000000"/>
          <w:kern w:val="0"/>
          <w:sz w:val="32"/>
          <w:szCs w:val="32"/>
          <w:shd w:val="clear" w:color="auto" w:fill="FFFFFF"/>
          <w:lang w:val="zh-CN"/>
        </w:rPr>
      </w:pPr>
      <w:r>
        <w:rPr>
          <w:rFonts w:hint="eastAsia" w:ascii="仿宋_GB2312" w:hAnsi="宋体" w:eastAsia="仿宋_GB2312" w:cs="宋体"/>
          <w:color w:val="000000"/>
          <w:kern w:val="0"/>
          <w:sz w:val="32"/>
          <w:szCs w:val="32"/>
          <w:shd w:val="clear" w:color="auto" w:fill="FFFFFF"/>
          <w:lang w:val="zh-CN"/>
        </w:rPr>
        <w:t>（三）改进建议。</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通过对202</w:t>
      </w:r>
      <w:r>
        <w:rPr>
          <w:rFonts w:ascii="仿宋_GB2312" w:hAnsi="仿宋" w:eastAsia="仿宋_GB2312"/>
          <w:sz w:val="32"/>
          <w:szCs w:val="32"/>
        </w:rPr>
        <w:t>1</w:t>
      </w:r>
      <w:r>
        <w:rPr>
          <w:rFonts w:hint="eastAsia" w:ascii="仿宋_GB2312" w:hAnsi="仿宋" w:eastAsia="仿宋_GB2312"/>
          <w:sz w:val="32"/>
          <w:szCs w:val="32"/>
        </w:rPr>
        <w:t>年度部门整体支出绩效自评，我们认识到，绩效管理不只是财政支出方面，而应更加注重产出及效率，这样有利于我们强化支出的责任，提高财政资金的使用效益，更好地促进我们履行职责。</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一是要科学合理地编制部门预算，预算要结合本部门的事业发展计划、职责和任务测算，要确保部门预算编制真实、准确、完整，切合单位实际。</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二是要强化绩效管理考核，围绕绩效考核目标任务，层层分解落实，明确责任领导和责任单位及责任人，强化责任意识，使每位同志对自己的目标任务了然于胸，从而增强工作的主动性和积极性，使考核目标中</w:t>
      </w:r>
      <w:r>
        <w:rPr>
          <w:rFonts w:hint="eastAsia" w:ascii="仿宋_GB2312" w:hAnsi="仿宋" w:eastAsia="仿宋_GB2312"/>
          <w:sz w:val="32"/>
          <w:szCs w:val="32"/>
          <w:lang w:eastAsia="zh-CN"/>
        </w:rPr>
        <w:t>涉及的</w:t>
      </w:r>
      <w:r>
        <w:rPr>
          <w:rFonts w:hint="eastAsia" w:ascii="仿宋_GB2312" w:hAnsi="仿宋" w:eastAsia="仿宋_GB2312"/>
          <w:sz w:val="32"/>
          <w:szCs w:val="32"/>
        </w:rPr>
        <w:t>每一项任务都落到了实处，同时建立并执行考核目标执行情况跟踪检查制度，责任追究制度，使单位在合理使用资金，有效控制支出的情况下，确保各项绩效考核指标保质保量完成。</w:t>
      </w:r>
    </w:p>
    <w:p>
      <w:pPr>
        <w:spacing w:line="560" w:lineRule="exact"/>
        <w:ind w:firstLine="640" w:firstLineChars="200"/>
        <w:rPr>
          <w:rFonts w:ascii="仿宋_GB2312" w:hAnsi="仿宋" w:eastAsia="仿宋_GB2312"/>
          <w:sz w:val="32"/>
          <w:szCs w:val="32"/>
        </w:rPr>
      </w:pPr>
    </w:p>
    <w:tbl>
      <w:tblPr>
        <w:tblStyle w:val="13"/>
        <w:tblpPr w:leftFromText="180" w:rightFromText="180" w:vertAnchor="text" w:horzAnchor="page" w:tblpXSpec="center" w:tblpY="-1439"/>
        <w:tblW w:w="11538" w:type="dxa"/>
        <w:tblInd w:w="0" w:type="dxa"/>
        <w:tblLayout w:type="autofit"/>
        <w:tblCellMar>
          <w:top w:w="0" w:type="dxa"/>
          <w:left w:w="108" w:type="dxa"/>
          <w:bottom w:w="0" w:type="dxa"/>
          <w:right w:w="108" w:type="dxa"/>
        </w:tblCellMar>
      </w:tblPr>
      <w:tblGrid>
        <w:gridCol w:w="599"/>
        <w:gridCol w:w="1516"/>
        <w:gridCol w:w="120"/>
        <w:gridCol w:w="116"/>
        <w:gridCol w:w="3002"/>
        <w:gridCol w:w="1016"/>
        <w:gridCol w:w="1072"/>
        <w:gridCol w:w="951"/>
        <w:gridCol w:w="1016"/>
        <w:gridCol w:w="1065"/>
        <w:gridCol w:w="1065"/>
      </w:tblGrid>
      <w:tr>
        <w:tblPrEx>
          <w:tblCellMar>
            <w:top w:w="0" w:type="dxa"/>
            <w:left w:w="108" w:type="dxa"/>
            <w:bottom w:w="0" w:type="dxa"/>
            <w:right w:w="108" w:type="dxa"/>
          </w:tblCellMar>
        </w:tblPrEx>
        <w:trPr>
          <w:trHeight w:val="405" w:hRule="atLeast"/>
        </w:trPr>
        <w:tc>
          <w:tcPr>
            <w:tcW w:w="11538" w:type="dxa"/>
            <w:gridSpan w:val="11"/>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p>
          <w:p>
            <w:pPr>
              <w:widowControl/>
              <w:jc w:val="center"/>
              <w:rPr>
                <w:rFonts w:ascii="宋体" w:hAnsi="宋体" w:cs="宋体"/>
                <w:b/>
                <w:bCs/>
                <w:kern w:val="0"/>
                <w:sz w:val="32"/>
                <w:szCs w:val="32"/>
              </w:rPr>
            </w:pPr>
            <w:r>
              <w:rPr>
                <w:rFonts w:hint="eastAsia" w:ascii="宋体" w:hAnsi="宋体" w:cs="宋体"/>
                <w:b/>
                <w:bCs/>
                <w:kern w:val="0"/>
                <w:sz w:val="32"/>
                <w:szCs w:val="32"/>
              </w:rPr>
              <w:t>部门整体支出绩效目标自评表</w:t>
            </w:r>
          </w:p>
        </w:tc>
      </w:tr>
      <w:tr>
        <w:tblPrEx>
          <w:tblCellMar>
            <w:top w:w="0" w:type="dxa"/>
            <w:left w:w="108" w:type="dxa"/>
            <w:bottom w:w="0" w:type="dxa"/>
            <w:right w:w="108" w:type="dxa"/>
          </w:tblCellMar>
        </w:tblPrEx>
        <w:trPr>
          <w:trHeight w:val="285" w:hRule="atLeast"/>
        </w:trPr>
        <w:tc>
          <w:tcPr>
            <w:tcW w:w="11538" w:type="dxa"/>
            <w:gridSpan w:val="11"/>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90" w:hRule="atLeast"/>
        </w:trPr>
        <w:tc>
          <w:tcPr>
            <w:tcW w:w="599" w:type="dxa"/>
            <w:tcBorders>
              <w:top w:val="nil"/>
              <w:left w:val="nil"/>
              <w:bottom w:val="nil"/>
              <w:right w:val="nil"/>
            </w:tcBorders>
            <w:shd w:val="clear" w:color="auto" w:fill="auto"/>
            <w:noWrap/>
            <w:vAlign w:val="center"/>
          </w:tcPr>
          <w:p>
            <w:pPr>
              <w:widowControl/>
              <w:jc w:val="center"/>
              <w:rPr>
                <w:rFonts w:ascii="宋体" w:hAnsi="宋体" w:cs="宋体"/>
                <w:kern w:val="0"/>
                <w:sz w:val="24"/>
              </w:rPr>
            </w:pPr>
          </w:p>
        </w:tc>
        <w:tc>
          <w:tcPr>
            <w:tcW w:w="1516"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236" w:type="dxa"/>
            <w:gridSpan w:val="2"/>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3002"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1016"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1072"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951"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1016"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1065"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c>
          <w:tcPr>
            <w:tcW w:w="1065"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85" w:hRule="atLeast"/>
        </w:trPr>
        <w:tc>
          <w:tcPr>
            <w:tcW w:w="223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部门名称</w:t>
            </w:r>
          </w:p>
        </w:tc>
        <w:tc>
          <w:tcPr>
            <w:tcW w:w="9303" w:type="dxa"/>
            <w:gridSpan w:val="8"/>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285" w:hRule="atLeast"/>
        </w:trPr>
        <w:tc>
          <w:tcPr>
            <w:tcW w:w="59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年度</w:t>
            </w:r>
            <w:r>
              <w:rPr>
                <w:rFonts w:hint="eastAsia" w:ascii="宋体" w:hAnsi="宋体" w:cs="宋体"/>
                <w:kern w:val="0"/>
                <w:sz w:val="22"/>
                <w:szCs w:val="22"/>
              </w:rPr>
              <w:br w:type="textWrapping"/>
            </w:r>
            <w:r>
              <w:rPr>
                <w:rFonts w:hint="eastAsia" w:ascii="宋体" w:hAnsi="宋体" w:cs="宋体"/>
                <w:kern w:val="0"/>
                <w:sz w:val="22"/>
                <w:szCs w:val="22"/>
              </w:rPr>
              <w:t>主要</w:t>
            </w:r>
            <w:r>
              <w:rPr>
                <w:rFonts w:hint="eastAsia" w:ascii="宋体" w:hAnsi="宋体" w:cs="宋体"/>
                <w:kern w:val="0"/>
                <w:sz w:val="22"/>
                <w:szCs w:val="22"/>
              </w:rPr>
              <w:br w:type="textWrapping"/>
            </w:r>
            <w:r>
              <w:rPr>
                <w:rFonts w:hint="eastAsia" w:ascii="宋体" w:hAnsi="宋体" w:cs="宋体"/>
                <w:kern w:val="0"/>
                <w:sz w:val="22"/>
                <w:szCs w:val="22"/>
              </w:rPr>
              <w:t>任务</w:t>
            </w:r>
          </w:p>
        </w:tc>
        <w:tc>
          <w:tcPr>
            <w:tcW w:w="1636" w:type="dxa"/>
            <w:gridSpan w:val="2"/>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任务名称</w:t>
            </w:r>
          </w:p>
        </w:tc>
        <w:tc>
          <w:tcPr>
            <w:tcW w:w="3118" w:type="dxa"/>
            <w:gridSpan w:val="2"/>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主要内容</w:t>
            </w:r>
          </w:p>
        </w:tc>
        <w:tc>
          <w:tcPr>
            <w:tcW w:w="303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预算金额（万元）</w:t>
            </w:r>
          </w:p>
        </w:tc>
        <w:tc>
          <w:tcPr>
            <w:tcW w:w="3146" w:type="dxa"/>
            <w:gridSpan w:val="3"/>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实际执行（万元）</w:t>
            </w:r>
          </w:p>
        </w:tc>
      </w:tr>
      <w:tr>
        <w:tblPrEx>
          <w:tblCellMar>
            <w:top w:w="0" w:type="dxa"/>
            <w:left w:w="108" w:type="dxa"/>
            <w:bottom w:w="0" w:type="dxa"/>
            <w:right w:w="108" w:type="dxa"/>
          </w:tblCellMar>
        </w:tblPrEx>
        <w:trPr>
          <w:trHeight w:val="270" w:hRule="atLeast"/>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636"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2"/>
                <w:szCs w:val="22"/>
              </w:rPr>
            </w:pPr>
          </w:p>
        </w:tc>
        <w:tc>
          <w:tcPr>
            <w:tcW w:w="3118" w:type="dxa"/>
            <w:gridSpan w:val="2"/>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总额</w:t>
            </w:r>
          </w:p>
        </w:tc>
        <w:tc>
          <w:tcPr>
            <w:tcW w:w="107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财政拨款</w:t>
            </w:r>
          </w:p>
        </w:tc>
        <w:tc>
          <w:tcPr>
            <w:tcW w:w="951"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其他资金</w:t>
            </w:r>
          </w:p>
        </w:tc>
        <w:tc>
          <w:tcPr>
            <w:tcW w:w="101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总额</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财政拨款</w:t>
            </w:r>
          </w:p>
        </w:tc>
        <w:tc>
          <w:tcPr>
            <w:tcW w:w="106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2"/>
                <w:szCs w:val="22"/>
              </w:rPr>
            </w:pPr>
            <w:r>
              <w:rPr>
                <w:rFonts w:hint="eastAsia" w:ascii="宋体" w:hAnsi="宋体" w:cs="宋体"/>
                <w:kern w:val="0"/>
                <w:sz w:val="22"/>
                <w:szCs w:val="22"/>
              </w:rPr>
              <w:t>其他资金</w:t>
            </w:r>
          </w:p>
        </w:tc>
      </w:tr>
      <w:tr>
        <w:tblPrEx>
          <w:tblCellMar>
            <w:top w:w="0" w:type="dxa"/>
            <w:left w:w="108" w:type="dxa"/>
            <w:bottom w:w="0" w:type="dxa"/>
            <w:right w:w="108" w:type="dxa"/>
          </w:tblCellMar>
        </w:tblPrEx>
        <w:trPr>
          <w:trHeight w:val="3150" w:hRule="atLeast"/>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6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保障性住房工作</w:t>
            </w:r>
          </w:p>
        </w:tc>
        <w:tc>
          <w:tcPr>
            <w:tcW w:w="3118"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推进绵竹市危旧房棚户区改造项目、绵竹市老旧小区配套基础设施改造项目（五路口社区教师新村小区、仁泽片区、瑞祥片区、迎祥片区、南轩片区项目）；推进办理民主巷、茶盘街安置房不动产权证书；保障棚改办办公相关经费、经济适用住房上市交易工作经费；保障城区公租房和城区棚改安置房后期维护管理、公租房小区和城区棚改安置房物业服务与管理费用补贴；推动人才公寓建设和安置房维修工作</w:t>
            </w:r>
          </w:p>
        </w:tc>
        <w:tc>
          <w:tcPr>
            <w:tcW w:w="101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5609.69 </w:t>
            </w:r>
          </w:p>
        </w:tc>
        <w:tc>
          <w:tcPr>
            <w:tcW w:w="10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4410.69 </w:t>
            </w:r>
          </w:p>
        </w:tc>
        <w:tc>
          <w:tcPr>
            <w:tcW w:w="9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1199.00 </w:t>
            </w:r>
          </w:p>
        </w:tc>
        <w:tc>
          <w:tcPr>
            <w:tcW w:w="10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17802.53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16603.53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1199.00 </w:t>
            </w:r>
          </w:p>
        </w:tc>
      </w:tr>
      <w:tr>
        <w:tblPrEx>
          <w:tblCellMar>
            <w:top w:w="0" w:type="dxa"/>
            <w:left w:w="108" w:type="dxa"/>
            <w:bottom w:w="0" w:type="dxa"/>
            <w:right w:w="108" w:type="dxa"/>
          </w:tblCellMar>
        </w:tblPrEx>
        <w:trPr>
          <w:trHeight w:val="1590" w:hRule="atLeast"/>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6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市政设施建设</w:t>
            </w:r>
          </w:p>
        </w:tc>
        <w:tc>
          <w:tcPr>
            <w:tcW w:w="3118"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完成城东城中村安置房基础设施配套项目</w:t>
            </w:r>
            <w:r>
              <w:rPr>
                <w:rFonts w:hint="eastAsia" w:ascii="宋体" w:hAnsi="宋体" w:cs="宋体"/>
                <w:kern w:val="0"/>
                <w:sz w:val="20"/>
                <w:szCs w:val="20"/>
                <w:lang w:eastAsia="zh-CN"/>
              </w:rPr>
              <w:t>（</w:t>
            </w:r>
            <w:r>
              <w:rPr>
                <w:rFonts w:hint="eastAsia" w:ascii="宋体" w:hAnsi="宋体" w:cs="宋体"/>
                <w:kern w:val="0"/>
                <w:sz w:val="20"/>
                <w:szCs w:val="20"/>
              </w:rPr>
              <w:t>张家港路)和2021年小街小巷道路建设；完成淮安路（东段）新建工程和淮安路（西段）新建工程；完成武进路、创泽路二期建设</w:t>
            </w:r>
          </w:p>
        </w:tc>
        <w:tc>
          <w:tcPr>
            <w:tcW w:w="101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1456.63 </w:t>
            </w:r>
          </w:p>
        </w:tc>
        <w:tc>
          <w:tcPr>
            <w:tcW w:w="10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705.63 </w:t>
            </w:r>
          </w:p>
        </w:tc>
        <w:tc>
          <w:tcPr>
            <w:tcW w:w="9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751.00 </w:t>
            </w:r>
          </w:p>
        </w:tc>
        <w:tc>
          <w:tcPr>
            <w:tcW w:w="10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4194.05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3443.05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751.00 </w:t>
            </w:r>
          </w:p>
        </w:tc>
      </w:tr>
      <w:tr>
        <w:tblPrEx>
          <w:tblCellMar>
            <w:top w:w="0" w:type="dxa"/>
            <w:left w:w="108" w:type="dxa"/>
            <w:bottom w:w="0" w:type="dxa"/>
            <w:right w:w="108" w:type="dxa"/>
          </w:tblCellMar>
        </w:tblPrEx>
        <w:trPr>
          <w:trHeight w:val="416" w:hRule="atLeast"/>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6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城镇供排水工作</w:t>
            </w:r>
          </w:p>
        </w:tc>
        <w:tc>
          <w:tcPr>
            <w:tcW w:w="3118"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完成10个镇乡污水处理厂三通一平征地拆迁青苗补偿、汉旺小城镇基础设施建设及6个已建成污水处理厂整改、玫瑰园污水、孝德镇老城区三级污水管网完善工程；城市截污干管及清土路</w:t>
            </w:r>
            <w:r>
              <w:rPr>
                <w:rFonts w:hint="eastAsia" w:ascii="宋体" w:hAnsi="宋体" w:cs="宋体"/>
                <w:kern w:val="0"/>
                <w:sz w:val="20"/>
                <w:szCs w:val="20"/>
                <w:lang w:eastAsia="zh-CN"/>
              </w:rPr>
              <w:t>截污干管</w:t>
            </w:r>
            <w:r>
              <w:rPr>
                <w:rFonts w:hint="eastAsia" w:ascii="宋体" w:hAnsi="宋体" w:cs="宋体"/>
                <w:kern w:val="0"/>
                <w:sz w:val="20"/>
                <w:szCs w:val="20"/>
              </w:rPr>
              <w:t>运维、城市生活污水处理运行及城镇污水处理设施配套管网BOT项目跟踪审计咨询项目；完成年度城市饮用水消耗保护及水源一级保护区生态苗木管理项目；完成玫瑰园供水项目；完成PPP项目可行性补助；“十二五”污水管网城区延伸段污水干管建设项目。</w:t>
            </w:r>
          </w:p>
        </w:tc>
        <w:tc>
          <w:tcPr>
            <w:tcW w:w="101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14460.63 </w:t>
            </w:r>
          </w:p>
        </w:tc>
        <w:tc>
          <w:tcPr>
            <w:tcW w:w="10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14035.63 </w:t>
            </w:r>
          </w:p>
        </w:tc>
        <w:tc>
          <w:tcPr>
            <w:tcW w:w="9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425.00 </w:t>
            </w:r>
          </w:p>
        </w:tc>
        <w:tc>
          <w:tcPr>
            <w:tcW w:w="10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22915.11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22490.11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425.00 </w:t>
            </w:r>
          </w:p>
        </w:tc>
      </w:tr>
      <w:tr>
        <w:tblPrEx>
          <w:tblCellMar>
            <w:top w:w="0" w:type="dxa"/>
            <w:left w:w="108" w:type="dxa"/>
            <w:bottom w:w="0" w:type="dxa"/>
            <w:right w:w="108" w:type="dxa"/>
          </w:tblCellMar>
        </w:tblPrEx>
        <w:trPr>
          <w:trHeight w:val="720" w:hRule="atLeast"/>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6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工程档案整理录入数字化加工服务工作</w:t>
            </w:r>
          </w:p>
        </w:tc>
        <w:tc>
          <w:tcPr>
            <w:tcW w:w="3118" w:type="dxa"/>
            <w:gridSpan w:val="2"/>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工程档案整理录入数字化加工服务劳务及设备采购、系统服务及添置设备。</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14.20 </w:t>
            </w:r>
          </w:p>
        </w:tc>
        <w:tc>
          <w:tcPr>
            <w:tcW w:w="107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14.20 </w:t>
            </w:r>
          </w:p>
        </w:tc>
        <w:tc>
          <w:tcPr>
            <w:tcW w:w="95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0.00 </w:t>
            </w:r>
          </w:p>
        </w:tc>
        <w:tc>
          <w:tcPr>
            <w:tcW w:w="101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14.19 </w:t>
            </w:r>
          </w:p>
        </w:tc>
        <w:tc>
          <w:tcPr>
            <w:tcW w:w="106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14.19 </w:t>
            </w:r>
          </w:p>
        </w:tc>
        <w:tc>
          <w:tcPr>
            <w:tcW w:w="106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1200" w:hRule="atLeast"/>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6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建设工程质量、消防、燃气安全工作</w:t>
            </w:r>
          </w:p>
        </w:tc>
        <w:tc>
          <w:tcPr>
            <w:tcW w:w="3118" w:type="dxa"/>
            <w:gridSpan w:val="2"/>
            <w:tcBorders>
              <w:top w:val="single" w:color="auto" w:sz="4" w:space="0"/>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完成年度聘请建设工程质量安全监督检查专家和建设工程原材料、构配件监督抽测检测，建设工程消防设计审查、政策宣传，燃气安全检查指导专家劳务费。</w:t>
            </w:r>
          </w:p>
        </w:tc>
        <w:tc>
          <w:tcPr>
            <w:tcW w:w="101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19.00 </w:t>
            </w:r>
          </w:p>
        </w:tc>
        <w:tc>
          <w:tcPr>
            <w:tcW w:w="1072"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19.00 </w:t>
            </w:r>
          </w:p>
        </w:tc>
        <w:tc>
          <w:tcPr>
            <w:tcW w:w="951"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0.00 </w:t>
            </w:r>
          </w:p>
        </w:tc>
        <w:tc>
          <w:tcPr>
            <w:tcW w:w="1016"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18.23 </w:t>
            </w:r>
          </w:p>
        </w:tc>
        <w:tc>
          <w:tcPr>
            <w:tcW w:w="106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18.23 </w:t>
            </w:r>
          </w:p>
        </w:tc>
        <w:tc>
          <w:tcPr>
            <w:tcW w:w="1065" w:type="dxa"/>
            <w:tcBorders>
              <w:top w:val="single" w:color="auto" w:sz="4" w:space="0"/>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70" w:hRule="atLeast"/>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6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商品房购房补贴</w:t>
            </w:r>
          </w:p>
        </w:tc>
        <w:tc>
          <w:tcPr>
            <w:tcW w:w="3118"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2020年批次商品房购房补贴。</w:t>
            </w:r>
          </w:p>
        </w:tc>
        <w:tc>
          <w:tcPr>
            <w:tcW w:w="101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73.00 </w:t>
            </w:r>
          </w:p>
        </w:tc>
        <w:tc>
          <w:tcPr>
            <w:tcW w:w="10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73.00 </w:t>
            </w:r>
          </w:p>
        </w:tc>
        <w:tc>
          <w:tcPr>
            <w:tcW w:w="9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0.00 </w:t>
            </w:r>
          </w:p>
        </w:tc>
        <w:tc>
          <w:tcPr>
            <w:tcW w:w="10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72.83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72.83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75" w:hRule="atLeast"/>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6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白蚁防治工作</w:t>
            </w:r>
          </w:p>
        </w:tc>
        <w:tc>
          <w:tcPr>
            <w:tcW w:w="3118"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完成合同内已采购白蚁防治工作</w:t>
            </w:r>
          </w:p>
        </w:tc>
        <w:tc>
          <w:tcPr>
            <w:tcW w:w="101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10.00 </w:t>
            </w:r>
          </w:p>
        </w:tc>
        <w:tc>
          <w:tcPr>
            <w:tcW w:w="10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10.00 </w:t>
            </w:r>
          </w:p>
        </w:tc>
        <w:tc>
          <w:tcPr>
            <w:tcW w:w="9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0.00 </w:t>
            </w:r>
          </w:p>
        </w:tc>
        <w:tc>
          <w:tcPr>
            <w:tcW w:w="10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39.99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39.99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420" w:hRule="atLeast"/>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6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城区危房排危</w:t>
            </w:r>
          </w:p>
        </w:tc>
        <w:tc>
          <w:tcPr>
            <w:tcW w:w="3118"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lang w:eastAsia="zh-CN"/>
              </w:rPr>
              <w:t>完成</w:t>
            </w:r>
            <w:r>
              <w:rPr>
                <w:rFonts w:hint="eastAsia" w:ascii="宋体" w:hAnsi="宋体" w:cs="宋体"/>
                <w:kern w:val="0"/>
                <w:sz w:val="20"/>
                <w:szCs w:val="20"/>
              </w:rPr>
              <w:t>年度内城区危房排危处置工作</w:t>
            </w:r>
          </w:p>
        </w:tc>
        <w:tc>
          <w:tcPr>
            <w:tcW w:w="101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50.00 </w:t>
            </w:r>
          </w:p>
        </w:tc>
        <w:tc>
          <w:tcPr>
            <w:tcW w:w="10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50.00 </w:t>
            </w:r>
          </w:p>
        </w:tc>
        <w:tc>
          <w:tcPr>
            <w:tcW w:w="9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0.00 </w:t>
            </w:r>
          </w:p>
        </w:tc>
        <w:tc>
          <w:tcPr>
            <w:tcW w:w="10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65.00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65.00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85" w:hRule="atLeast"/>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63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房改房维修基金计息</w:t>
            </w:r>
          </w:p>
        </w:tc>
        <w:tc>
          <w:tcPr>
            <w:tcW w:w="3118"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完成年度内房改房维修基金计息</w:t>
            </w:r>
          </w:p>
        </w:tc>
        <w:tc>
          <w:tcPr>
            <w:tcW w:w="101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37.26 </w:t>
            </w:r>
          </w:p>
        </w:tc>
        <w:tc>
          <w:tcPr>
            <w:tcW w:w="10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37.26 </w:t>
            </w:r>
          </w:p>
        </w:tc>
        <w:tc>
          <w:tcPr>
            <w:tcW w:w="9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0.00 </w:t>
            </w:r>
          </w:p>
        </w:tc>
        <w:tc>
          <w:tcPr>
            <w:tcW w:w="10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37.26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37.26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480" w:hRule="atLeast"/>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63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旧城改造和新区开发</w:t>
            </w:r>
          </w:p>
        </w:tc>
        <w:tc>
          <w:tcPr>
            <w:tcW w:w="3118"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保障旧城改造和新区开发会战指挥部工作经费</w:t>
            </w:r>
          </w:p>
        </w:tc>
        <w:tc>
          <w:tcPr>
            <w:tcW w:w="101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40.00 </w:t>
            </w:r>
          </w:p>
        </w:tc>
        <w:tc>
          <w:tcPr>
            <w:tcW w:w="10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40.00 </w:t>
            </w:r>
          </w:p>
        </w:tc>
        <w:tc>
          <w:tcPr>
            <w:tcW w:w="9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0.00 </w:t>
            </w:r>
          </w:p>
        </w:tc>
        <w:tc>
          <w:tcPr>
            <w:tcW w:w="10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40.00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40.00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480" w:hRule="atLeast"/>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63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房产交易中心工作</w:t>
            </w:r>
          </w:p>
        </w:tc>
        <w:tc>
          <w:tcPr>
            <w:tcW w:w="3118"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保障房地产交易中心人员劳务及办公经费</w:t>
            </w:r>
          </w:p>
        </w:tc>
        <w:tc>
          <w:tcPr>
            <w:tcW w:w="101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52.52 </w:t>
            </w:r>
          </w:p>
        </w:tc>
        <w:tc>
          <w:tcPr>
            <w:tcW w:w="10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52.52 </w:t>
            </w:r>
          </w:p>
        </w:tc>
        <w:tc>
          <w:tcPr>
            <w:tcW w:w="9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0.00 </w:t>
            </w:r>
          </w:p>
        </w:tc>
        <w:tc>
          <w:tcPr>
            <w:tcW w:w="10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50.43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50.43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720" w:hRule="atLeast"/>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63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改制单位人员经费</w:t>
            </w:r>
          </w:p>
        </w:tc>
        <w:tc>
          <w:tcPr>
            <w:tcW w:w="3118" w:type="dxa"/>
            <w:gridSpan w:val="2"/>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保障年度内原市政工程公司人员及房地产开发公司退休人员经费，确保社会稳定。</w:t>
            </w:r>
          </w:p>
        </w:tc>
        <w:tc>
          <w:tcPr>
            <w:tcW w:w="101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77.80 </w:t>
            </w:r>
          </w:p>
        </w:tc>
        <w:tc>
          <w:tcPr>
            <w:tcW w:w="10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77.80 </w:t>
            </w:r>
          </w:p>
        </w:tc>
        <w:tc>
          <w:tcPr>
            <w:tcW w:w="9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0.00 </w:t>
            </w:r>
          </w:p>
        </w:tc>
        <w:tc>
          <w:tcPr>
            <w:tcW w:w="10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70.54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70.54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10" w:hRule="atLeast"/>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63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差额单位人员经费</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保障资金中心人员经费</w:t>
            </w:r>
          </w:p>
        </w:tc>
        <w:tc>
          <w:tcPr>
            <w:tcW w:w="10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105.04 </w:t>
            </w:r>
          </w:p>
        </w:tc>
        <w:tc>
          <w:tcPr>
            <w:tcW w:w="10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105.04 </w:t>
            </w:r>
          </w:p>
        </w:tc>
        <w:tc>
          <w:tcPr>
            <w:tcW w:w="9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0.00 </w:t>
            </w:r>
          </w:p>
        </w:tc>
        <w:tc>
          <w:tcPr>
            <w:tcW w:w="10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105.04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105.04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480" w:hRule="atLeast"/>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636"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财政票据软件服务费</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保障性住房租金和维修资金票据电子化</w:t>
            </w:r>
          </w:p>
        </w:tc>
        <w:tc>
          <w:tcPr>
            <w:tcW w:w="10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61.00 </w:t>
            </w:r>
          </w:p>
        </w:tc>
        <w:tc>
          <w:tcPr>
            <w:tcW w:w="10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61.00 </w:t>
            </w:r>
          </w:p>
        </w:tc>
        <w:tc>
          <w:tcPr>
            <w:tcW w:w="9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0.00 </w:t>
            </w:r>
          </w:p>
        </w:tc>
        <w:tc>
          <w:tcPr>
            <w:tcW w:w="10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46.80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46.80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780" w:hRule="atLeast"/>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6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绵竹市新宇房地产开发有限公司土地退还款</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完成绵竹市新宇房地产开发有限公司土地退还款</w:t>
            </w:r>
          </w:p>
        </w:tc>
        <w:tc>
          <w:tcPr>
            <w:tcW w:w="10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81.60 </w:t>
            </w:r>
          </w:p>
        </w:tc>
        <w:tc>
          <w:tcPr>
            <w:tcW w:w="10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81.60 </w:t>
            </w:r>
          </w:p>
        </w:tc>
        <w:tc>
          <w:tcPr>
            <w:tcW w:w="9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0.00 </w:t>
            </w:r>
          </w:p>
        </w:tc>
        <w:tc>
          <w:tcPr>
            <w:tcW w:w="10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81.60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81.60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705" w:hRule="atLeast"/>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6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建筑业和房地产统计人员加班补助</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完成建筑业和房地产统计人员加班补助</w:t>
            </w:r>
          </w:p>
        </w:tc>
        <w:tc>
          <w:tcPr>
            <w:tcW w:w="10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20.00 </w:t>
            </w:r>
          </w:p>
        </w:tc>
        <w:tc>
          <w:tcPr>
            <w:tcW w:w="10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20.00 </w:t>
            </w:r>
          </w:p>
        </w:tc>
        <w:tc>
          <w:tcPr>
            <w:tcW w:w="9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0.00 </w:t>
            </w:r>
          </w:p>
        </w:tc>
        <w:tc>
          <w:tcPr>
            <w:tcW w:w="10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20.00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20.00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1305" w:hRule="atLeast"/>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16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基本支出</w:t>
            </w:r>
          </w:p>
        </w:tc>
        <w:tc>
          <w:tcPr>
            <w:tcW w:w="3118"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是用于保障住建局机关、下属事业单位等机构正常运转的日常支出，包括基本工资、津贴补贴等人员经费以及办公费、印刷费、水电费、办公设备购置等日常公用经费</w:t>
            </w:r>
          </w:p>
        </w:tc>
        <w:tc>
          <w:tcPr>
            <w:tcW w:w="10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856.02 </w:t>
            </w:r>
          </w:p>
        </w:tc>
        <w:tc>
          <w:tcPr>
            <w:tcW w:w="10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856.02 </w:t>
            </w:r>
          </w:p>
        </w:tc>
        <w:tc>
          <w:tcPr>
            <w:tcW w:w="9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0.00 </w:t>
            </w:r>
          </w:p>
        </w:tc>
        <w:tc>
          <w:tcPr>
            <w:tcW w:w="10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969.84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969.84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285" w:hRule="atLeast"/>
        </w:trPr>
        <w:tc>
          <w:tcPr>
            <w:tcW w:w="59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2"/>
                <w:szCs w:val="22"/>
              </w:rPr>
            </w:pPr>
          </w:p>
        </w:tc>
        <w:tc>
          <w:tcPr>
            <w:tcW w:w="4754" w:type="dxa"/>
            <w:gridSpan w:val="4"/>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金额合计</w:t>
            </w:r>
          </w:p>
        </w:tc>
        <w:tc>
          <w:tcPr>
            <w:tcW w:w="1016" w:type="dxa"/>
            <w:tcBorders>
              <w:top w:val="nil"/>
              <w:left w:val="single" w:color="auto" w:sz="4" w:space="0"/>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23024.39 </w:t>
            </w:r>
          </w:p>
        </w:tc>
        <w:tc>
          <w:tcPr>
            <w:tcW w:w="1072"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20649.39 </w:t>
            </w:r>
          </w:p>
        </w:tc>
        <w:tc>
          <w:tcPr>
            <w:tcW w:w="951"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2375.00 </w:t>
            </w:r>
          </w:p>
        </w:tc>
        <w:tc>
          <w:tcPr>
            <w:tcW w:w="1016"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kern w:val="0"/>
                <w:sz w:val="20"/>
                <w:szCs w:val="20"/>
              </w:rPr>
            </w:pPr>
            <w:r>
              <w:rPr>
                <w:rFonts w:hint="eastAsia" w:ascii="宋体" w:hAnsi="宋体" w:cs="宋体"/>
                <w:kern w:val="0"/>
                <w:sz w:val="20"/>
                <w:szCs w:val="20"/>
              </w:rPr>
              <w:t xml:space="preserve">46543.44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44168.44 </w:t>
            </w:r>
          </w:p>
        </w:tc>
        <w:tc>
          <w:tcPr>
            <w:tcW w:w="1065" w:type="dxa"/>
            <w:tcBorders>
              <w:top w:val="nil"/>
              <w:left w:val="nil"/>
              <w:bottom w:val="single" w:color="auto" w:sz="4" w:space="0"/>
              <w:right w:val="single" w:color="auto" w:sz="4" w:space="0"/>
            </w:tcBorders>
            <w:shd w:val="clear" w:color="auto" w:fill="auto"/>
            <w:noWrap/>
            <w:vAlign w:val="center"/>
          </w:tcPr>
          <w:p>
            <w:pPr>
              <w:widowControl/>
              <w:jc w:val="right"/>
              <w:rPr>
                <w:rFonts w:ascii="宋体" w:hAnsi="宋体" w:cs="宋体"/>
                <w:color w:val="000000"/>
                <w:kern w:val="0"/>
                <w:sz w:val="20"/>
                <w:szCs w:val="20"/>
              </w:rPr>
            </w:pPr>
            <w:r>
              <w:rPr>
                <w:rFonts w:hint="eastAsia" w:ascii="宋体" w:hAnsi="宋体" w:cs="宋体"/>
                <w:color w:val="000000"/>
                <w:kern w:val="0"/>
                <w:sz w:val="20"/>
                <w:szCs w:val="20"/>
              </w:rPr>
              <w:t xml:space="preserve">2375.00 </w:t>
            </w:r>
          </w:p>
        </w:tc>
      </w:tr>
      <w:tr>
        <w:tblPrEx>
          <w:tblCellMar>
            <w:top w:w="0" w:type="dxa"/>
            <w:left w:w="108" w:type="dxa"/>
            <w:bottom w:w="0" w:type="dxa"/>
            <w:right w:w="108" w:type="dxa"/>
          </w:tblCellMar>
        </w:tblPrEx>
        <w:trPr>
          <w:trHeight w:val="285" w:hRule="atLeast"/>
        </w:trPr>
        <w:tc>
          <w:tcPr>
            <w:tcW w:w="599"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w:t>
            </w:r>
          </w:p>
        </w:tc>
        <w:tc>
          <w:tcPr>
            <w:tcW w:w="5770" w:type="dxa"/>
            <w:gridSpan w:val="5"/>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5169" w:type="dxa"/>
            <w:gridSpan w:val="5"/>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2385" w:hRule="atLeast"/>
        </w:trPr>
        <w:tc>
          <w:tcPr>
            <w:tcW w:w="59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年度</w:t>
            </w:r>
            <w:r>
              <w:rPr>
                <w:rFonts w:hint="eastAsia" w:ascii="宋体" w:hAnsi="宋体" w:cs="宋体"/>
                <w:kern w:val="0"/>
                <w:sz w:val="22"/>
                <w:szCs w:val="22"/>
              </w:rPr>
              <w:br w:type="textWrapping"/>
            </w:r>
            <w:r>
              <w:rPr>
                <w:rFonts w:hint="eastAsia" w:ascii="宋体" w:hAnsi="宋体" w:cs="宋体"/>
                <w:kern w:val="0"/>
                <w:sz w:val="22"/>
                <w:szCs w:val="22"/>
              </w:rPr>
              <w:t>总体</w:t>
            </w:r>
            <w:r>
              <w:rPr>
                <w:rFonts w:hint="eastAsia" w:ascii="宋体" w:hAnsi="宋体" w:cs="宋体"/>
                <w:kern w:val="0"/>
                <w:sz w:val="22"/>
                <w:szCs w:val="22"/>
              </w:rPr>
              <w:br w:type="textWrapping"/>
            </w:r>
            <w:r>
              <w:rPr>
                <w:rFonts w:hint="eastAsia" w:ascii="宋体" w:hAnsi="宋体" w:cs="宋体"/>
                <w:kern w:val="0"/>
                <w:sz w:val="22"/>
                <w:szCs w:val="22"/>
              </w:rPr>
              <w:t>目标</w:t>
            </w:r>
          </w:p>
        </w:tc>
        <w:tc>
          <w:tcPr>
            <w:tcW w:w="5770" w:type="dxa"/>
            <w:gridSpan w:val="5"/>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聚焦成渝地区双城经济圈建设、成德眉资同城化发展国省战略，坚持以国家级新型城镇化示范建设为抓手，大力实施城市设施更新行动、城市品质提升行动、城市安居行动、城市生态保护行动、城镇提能行动、产业集群培育行动，高标准推进城市配套建设、高效率实施公共设施建设、高品质实施安居项目建设、高质量推进建筑、房地产业发展、高效能推进综合治理、高水平推进村镇建设，通过不断完善基础设施、公共服务设施、文化体育设施等加快推动城市建设。</w:t>
            </w:r>
          </w:p>
        </w:tc>
        <w:tc>
          <w:tcPr>
            <w:tcW w:w="5169"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聚焦成渝地区双城经济圈建设、成德眉资同城化发展国省战略，坚持以国家级新型城镇化示范建设为抓手，大力实施城市设施更新行动、城市品质提升行动、城市安居行动、城市生态保护行动、城镇提能行动、产业集群培育行动，高标准推进城市配套建设、高效率实施公共设施建设、高品质实施安居项目建设、高质量推进建筑、房地产业发展、高效能推进综合治理、高水平推进村镇建设，通过不断完善基础设施、公共服务设施、文化体育设施等加快推动城市建设。</w:t>
            </w:r>
          </w:p>
        </w:tc>
      </w:tr>
      <w:tr>
        <w:tblPrEx>
          <w:tblCellMar>
            <w:top w:w="0" w:type="dxa"/>
            <w:left w:w="108" w:type="dxa"/>
            <w:bottom w:w="0" w:type="dxa"/>
            <w:right w:w="108" w:type="dxa"/>
          </w:tblCellMar>
        </w:tblPrEx>
        <w:trPr>
          <w:trHeight w:val="885" w:hRule="atLeast"/>
        </w:trPr>
        <w:tc>
          <w:tcPr>
            <w:tcW w:w="599"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2"/>
                <w:szCs w:val="22"/>
              </w:rPr>
            </w:pPr>
            <w:r>
              <w:rPr>
                <w:rFonts w:hint="eastAsia" w:ascii="宋体" w:hAnsi="宋体" w:cs="宋体"/>
                <w:kern w:val="0"/>
                <w:sz w:val="22"/>
                <w:szCs w:val="22"/>
              </w:rPr>
              <w:t>年</w:t>
            </w:r>
            <w:r>
              <w:rPr>
                <w:rFonts w:hint="eastAsia" w:ascii="宋体" w:hAnsi="宋体" w:cs="宋体"/>
                <w:kern w:val="0"/>
                <w:sz w:val="22"/>
                <w:szCs w:val="22"/>
              </w:rPr>
              <w:br w:type="textWrapping"/>
            </w:r>
            <w:r>
              <w:rPr>
                <w:rFonts w:hint="eastAsia" w:ascii="宋体" w:hAnsi="宋体" w:cs="宋体"/>
                <w:kern w:val="0"/>
                <w:sz w:val="22"/>
                <w:szCs w:val="22"/>
              </w:rPr>
              <w:t>度</w:t>
            </w:r>
            <w:r>
              <w:rPr>
                <w:rFonts w:hint="eastAsia" w:ascii="宋体" w:hAnsi="宋体" w:cs="宋体"/>
                <w:kern w:val="0"/>
                <w:sz w:val="22"/>
                <w:szCs w:val="22"/>
              </w:rPr>
              <w:br w:type="textWrapping"/>
            </w:r>
            <w:r>
              <w:rPr>
                <w:rFonts w:hint="eastAsia" w:ascii="宋体" w:hAnsi="宋体" w:cs="宋体"/>
                <w:kern w:val="0"/>
                <w:sz w:val="22"/>
                <w:szCs w:val="22"/>
              </w:rPr>
              <w:t>绩</w:t>
            </w:r>
            <w:r>
              <w:rPr>
                <w:rFonts w:hint="eastAsia" w:ascii="宋体" w:hAnsi="宋体" w:cs="宋体"/>
                <w:kern w:val="0"/>
                <w:sz w:val="22"/>
                <w:szCs w:val="22"/>
              </w:rPr>
              <w:br w:type="textWrapping"/>
            </w:r>
            <w:r>
              <w:rPr>
                <w:rFonts w:hint="eastAsia" w:ascii="宋体" w:hAnsi="宋体" w:cs="宋体"/>
                <w:kern w:val="0"/>
                <w:sz w:val="22"/>
                <w:szCs w:val="22"/>
              </w:rPr>
              <w:t>效</w:t>
            </w:r>
            <w:r>
              <w:rPr>
                <w:rFonts w:hint="eastAsia" w:ascii="宋体" w:hAnsi="宋体" w:cs="宋体"/>
                <w:kern w:val="0"/>
                <w:sz w:val="22"/>
                <w:szCs w:val="22"/>
              </w:rPr>
              <w:br w:type="textWrapping"/>
            </w:r>
            <w:r>
              <w:rPr>
                <w:rFonts w:hint="eastAsia" w:ascii="宋体" w:hAnsi="宋体" w:cs="宋体"/>
                <w:kern w:val="0"/>
                <w:sz w:val="22"/>
                <w:szCs w:val="22"/>
              </w:rPr>
              <w:t>指</w:t>
            </w:r>
            <w:r>
              <w:rPr>
                <w:rFonts w:hint="eastAsia" w:ascii="宋体" w:hAnsi="宋体" w:cs="宋体"/>
                <w:kern w:val="0"/>
                <w:sz w:val="22"/>
                <w:szCs w:val="22"/>
              </w:rPr>
              <w:br w:type="textWrapping"/>
            </w:r>
            <w:r>
              <w:rPr>
                <w:rFonts w:hint="eastAsia" w:ascii="宋体" w:hAnsi="宋体" w:cs="宋体"/>
                <w:kern w:val="0"/>
                <w:sz w:val="22"/>
                <w:szCs w:val="22"/>
              </w:rPr>
              <w:t>标</w:t>
            </w:r>
          </w:p>
        </w:tc>
        <w:tc>
          <w:tcPr>
            <w:tcW w:w="151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323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预期指标值（包含数字及文字描述）</w:t>
            </w:r>
          </w:p>
        </w:tc>
        <w:tc>
          <w:tcPr>
            <w:tcW w:w="21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实际完成指标值（包含数字及文字描述）</w:t>
            </w:r>
          </w:p>
        </w:tc>
      </w:tr>
      <w:tr>
        <w:tblPrEx>
          <w:tblCellMar>
            <w:top w:w="0" w:type="dxa"/>
            <w:left w:w="108" w:type="dxa"/>
            <w:bottom w:w="0" w:type="dxa"/>
            <w:right w:w="108" w:type="dxa"/>
          </w:tblCellMar>
        </w:tblPrEx>
        <w:trPr>
          <w:trHeight w:val="285" w:hRule="atLeast"/>
        </w:trPr>
        <w:tc>
          <w:tcPr>
            <w:tcW w:w="5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516"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完成指标</w:t>
            </w:r>
          </w:p>
        </w:tc>
        <w:tc>
          <w:tcPr>
            <w:tcW w:w="3238" w:type="dxa"/>
            <w:gridSpan w:val="3"/>
            <w:vMerge w:val="restart"/>
            <w:tcBorders>
              <w:top w:val="single" w:color="auto" w:sz="4" w:space="0"/>
              <w:left w:val="single" w:color="auto" w:sz="4" w:space="0"/>
              <w:bottom w:val="single" w:color="000000"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保障性住房工作</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≥5609.69万元</w:t>
            </w:r>
          </w:p>
        </w:tc>
        <w:tc>
          <w:tcPr>
            <w:tcW w:w="213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17802.53万元</w:t>
            </w:r>
          </w:p>
        </w:tc>
      </w:tr>
      <w:tr>
        <w:tblPrEx>
          <w:tblCellMar>
            <w:top w:w="0" w:type="dxa"/>
            <w:left w:w="108" w:type="dxa"/>
            <w:bottom w:w="0" w:type="dxa"/>
            <w:right w:w="108" w:type="dxa"/>
          </w:tblCellMar>
        </w:tblPrEx>
        <w:trPr>
          <w:trHeight w:val="285" w:hRule="atLeast"/>
        </w:trPr>
        <w:tc>
          <w:tcPr>
            <w:tcW w:w="5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238"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完成市政道路建设</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≥4条</w:t>
            </w:r>
          </w:p>
        </w:tc>
        <w:tc>
          <w:tcPr>
            <w:tcW w:w="21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5条</w:t>
            </w:r>
          </w:p>
        </w:tc>
      </w:tr>
      <w:tr>
        <w:tblPrEx>
          <w:tblCellMar>
            <w:top w:w="0" w:type="dxa"/>
            <w:left w:w="108" w:type="dxa"/>
            <w:bottom w:w="0" w:type="dxa"/>
            <w:right w:w="108" w:type="dxa"/>
          </w:tblCellMar>
        </w:tblPrEx>
        <w:trPr>
          <w:trHeight w:val="285" w:hRule="atLeast"/>
        </w:trPr>
        <w:tc>
          <w:tcPr>
            <w:tcW w:w="5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238"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城镇供排水工作</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≥14460.63万元</w:t>
            </w:r>
          </w:p>
        </w:tc>
        <w:tc>
          <w:tcPr>
            <w:tcW w:w="21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22915.11万元</w:t>
            </w:r>
          </w:p>
        </w:tc>
      </w:tr>
      <w:tr>
        <w:tblPrEx>
          <w:tblCellMar>
            <w:top w:w="0" w:type="dxa"/>
            <w:left w:w="108" w:type="dxa"/>
            <w:bottom w:w="0" w:type="dxa"/>
            <w:right w:w="108" w:type="dxa"/>
          </w:tblCellMar>
        </w:tblPrEx>
        <w:trPr>
          <w:trHeight w:val="465" w:hRule="atLeast"/>
        </w:trPr>
        <w:tc>
          <w:tcPr>
            <w:tcW w:w="5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238"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工程档案整理录入数字化加工服务工作</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≤14.2万元</w:t>
            </w:r>
          </w:p>
        </w:tc>
        <w:tc>
          <w:tcPr>
            <w:tcW w:w="21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14.19万元</w:t>
            </w:r>
          </w:p>
        </w:tc>
      </w:tr>
      <w:tr>
        <w:tblPrEx>
          <w:tblCellMar>
            <w:top w:w="0" w:type="dxa"/>
            <w:left w:w="108" w:type="dxa"/>
            <w:bottom w:w="0" w:type="dxa"/>
            <w:right w:w="108" w:type="dxa"/>
          </w:tblCellMar>
        </w:tblPrEx>
        <w:trPr>
          <w:trHeight w:val="555" w:hRule="atLeast"/>
        </w:trPr>
        <w:tc>
          <w:tcPr>
            <w:tcW w:w="5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238"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建设工程质量、消防、燃气安全工作</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≥65个</w:t>
            </w:r>
          </w:p>
        </w:tc>
        <w:tc>
          <w:tcPr>
            <w:tcW w:w="21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78个</w:t>
            </w:r>
          </w:p>
        </w:tc>
      </w:tr>
      <w:tr>
        <w:tblPrEx>
          <w:tblCellMar>
            <w:top w:w="0" w:type="dxa"/>
            <w:left w:w="108" w:type="dxa"/>
            <w:bottom w:w="0" w:type="dxa"/>
            <w:right w:w="108" w:type="dxa"/>
          </w:tblCellMar>
        </w:tblPrEx>
        <w:trPr>
          <w:trHeight w:val="285" w:hRule="atLeast"/>
        </w:trPr>
        <w:tc>
          <w:tcPr>
            <w:tcW w:w="5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238"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商品房购房补贴</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≥85户</w:t>
            </w:r>
          </w:p>
        </w:tc>
        <w:tc>
          <w:tcPr>
            <w:tcW w:w="21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补贴134户</w:t>
            </w:r>
          </w:p>
        </w:tc>
      </w:tr>
      <w:tr>
        <w:tblPrEx>
          <w:tblCellMar>
            <w:top w:w="0" w:type="dxa"/>
            <w:left w:w="108" w:type="dxa"/>
            <w:bottom w:w="0" w:type="dxa"/>
            <w:right w:w="108" w:type="dxa"/>
          </w:tblCellMar>
        </w:tblPrEx>
        <w:trPr>
          <w:trHeight w:val="285" w:hRule="atLeast"/>
        </w:trPr>
        <w:tc>
          <w:tcPr>
            <w:tcW w:w="5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238"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白蚁防治工作</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≥70个</w:t>
            </w:r>
          </w:p>
        </w:tc>
        <w:tc>
          <w:tcPr>
            <w:tcW w:w="21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81个</w:t>
            </w:r>
          </w:p>
        </w:tc>
      </w:tr>
      <w:tr>
        <w:tblPrEx>
          <w:tblCellMar>
            <w:top w:w="0" w:type="dxa"/>
            <w:left w:w="108" w:type="dxa"/>
            <w:bottom w:w="0" w:type="dxa"/>
            <w:right w:w="108" w:type="dxa"/>
          </w:tblCellMar>
        </w:tblPrEx>
        <w:trPr>
          <w:trHeight w:val="495" w:hRule="atLeast"/>
        </w:trPr>
        <w:tc>
          <w:tcPr>
            <w:tcW w:w="5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238"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城区危房排危日常监管</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≥57栋</w:t>
            </w:r>
          </w:p>
        </w:tc>
        <w:tc>
          <w:tcPr>
            <w:tcW w:w="21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57栋</w:t>
            </w:r>
          </w:p>
        </w:tc>
      </w:tr>
      <w:tr>
        <w:tblPrEx>
          <w:tblCellMar>
            <w:top w:w="0" w:type="dxa"/>
            <w:left w:w="108" w:type="dxa"/>
            <w:bottom w:w="0" w:type="dxa"/>
            <w:right w:w="108" w:type="dxa"/>
          </w:tblCellMar>
        </w:tblPrEx>
        <w:trPr>
          <w:trHeight w:val="285" w:hRule="atLeast"/>
        </w:trPr>
        <w:tc>
          <w:tcPr>
            <w:tcW w:w="5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238"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08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房改房维修基金计息</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≥37.26万元</w:t>
            </w:r>
          </w:p>
        </w:tc>
        <w:tc>
          <w:tcPr>
            <w:tcW w:w="21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37.26万元</w:t>
            </w:r>
          </w:p>
        </w:tc>
      </w:tr>
      <w:tr>
        <w:tblPrEx>
          <w:tblCellMar>
            <w:top w:w="0" w:type="dxa"/>
            <w:left w:w="108" w:type="dxa"/>
            <w:bottom w:w="0" w:type="dxa"/>
            <w:right w:w="108" w:type="dxa"/>
          </w:tblCellMar>
        </w:tblPrEx>
        <w:trPr>
          <w:trHeight w:val="285" w:hRule="atLeast"/>
        </w:trPr>
        <w:tc>
          <w:tcPr>
            <w:tcW w:w="5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238"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08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旧城改造和新区开发</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≤40万元</w:t>
            </w:r>
          </w:p>
        </w:tc>
        <w:tc>
          <w:tcPr>
            <w:tcW w:w="21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40万元</w:t>
            </w:r>
          </w:p>
        </w:tc>
      </w:tr>
      <w:tr>
        <w:tblPrEx>
          <w:tblCellMar>
            <w:top w:w="0" w:type="dxa"/>
            <w:left w:w="108" w:type="dxa"/>
            <w:bottom w:w="0" w:type="dxa"/>
            <w:right w:w="108" w:type="dxa"/>
          </w:tblCellMar>
        </w:tblPrEx>
        <w:trPr>
          <w:trHeight w:val="495" w:hRule="atLeast"/>
        </w:trPr>
        <w:tc>
          <w:tcPr>
            <w:tcW w:w="5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238"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08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房产交易中心工作人员</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11人</w:t>
            </w:r>
          </w:p>
        </w:tc>
        <w:tc>
          <w:tcPr>
            <w:tcW w:w="21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11人</w:t>
            </w:r>
          </w:p>
        </w:tc>
      </w:tr>
      <w:tr>
        <w:tblPrEx>
          <w:tblCellMar>
            <w:top w:w="0" w:type="dxa"/>
            <w:left w:w="108" w:type="dxa"/>
            <w:bottom w:w="0" w:type="dxa"/>
            <w:right w:w="108" w:type="dxa"/>
          </w:tblCellMar>
        </w:tblPrEx>
        <w:trPr>
          <w:trHeight w:val="435" w:hRule="atLeast"/>
        </w:trPr>
        <w:tc>
          <w:tcPr>
            <w:tcW w:w="5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238"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08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确保改制单位人员稳定</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≤77.8万元</w:t>
            </w:r>
          </w:p>
        </w:tc>
        <w:tc>
          <w:tcPr>
            <w:tcW w:w="21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70.54万元</w:t>
            </w:r>
          </w:p>
        </w:tc>
      </w:tr>
      <w:tr>
        <w:tblPrEx>
          <w:tblCellMar>
            <w:top w:w="0" w:type="dxa"/>
            <w:left w:w="108" w:type="dxa"/>
            <w:bottom w:w="0" w:type="dxa"/>
            <w:right w:w="108" w:type="dxa"/>
          </w:tblCellMar>
        </w:tblPrEx>
        <w:trPr>
          <w:trHeight w:val="285" w:hRule="atLeast"/>
        </w:trPr>
        <w:tc>
          <w:tcPr>
            <w:tcW w:w="5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238"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差额单位人员经费</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6人</w:t>
            </w:r>
          </w:p>
        </w:tc>
        <w:tc>
          <w:tcPr>
            <w:tcW w:w="21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6人</w:t>
            </w:r>
          </w:p>
        </w:tc>
      </w:tr>
      <w:tr>
        <w:tblPrEx>
          <w:tblCellMar>
            <w:top w:w="0" w:type="dxa"/>
            <w:left w:w="108" w:type="dxa"/>
            <w:bottom w:w="0" w:type="dxa"/>
            <w:right w:w="108" w:type="dxa"/>
          </w:tblCellMar>
        </w:tblPrEx>
        <w:trPr>
          <w:trHeight w:val="285" w:hRule="atLeast"/>
        </w:trPr>
        <w:tc>
          <w:tcPr>
            <w:tcW w:w="5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238"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088"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财政票据软件服务费</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2套</w:t>
            </w:r>
          </w:p>
        </w:tc>
        <w:tc>
          <w:tcPr>
            <w:tcW w:w="21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2套</w:t>
            </w:r>
          </w:p>
        </w:tc>
      </w:tr>
      <w:tr>
        <w:tblPrEx>
          <w:tblCellMar>
            <w:top w:w="0" w:type="dxa"/>
            <w:left w:w="108" w:type="dxa"/>
            <w:bottom w:w="0" w:type="dxa"/>
            <w:right w:w="108" w:type="dxa"/>
          </w:tblCellMar>
        </w:tblPrEx>
        <w:trPr>
          <w:trHeight w:val="495" w:hRule="atLeast"/>
        </w:trPr>
        <w:tc>
          <w:tcPr>
            <w:tcW w:w="5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238"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绵竹市新宇房地产开发有限公司土地退还款</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≤81.6万元</w:t>
            </w:r>
          </w:p>
        </w:tc>
        <w:tc>
          <w:tcPr>
            <w:tcW w:w="21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81.6万元</w:t>
            </w:r>
          </w:p>
        </w:tc>
      </w:tr>
      <w:tr>
        <w:tblPrEx>
          <w:tblCellMar>
            <w:top w:w="0" w:type="dxa"/>
            <w:left w:w="108" w:type="dxa"/>
            <w:bottom w:w="0" w:type="dxa"/>
            <w:right w:w="108" w:type="dxa"/>
          </w:tblCellMar>
        </w:tblPrEx>
        <w:trPr>
          <w:trHeight w:val="435" w:hRule="atLeast"/>
        </w:trPr>
        <w:tc>
          <w:tcPr>
            <w:tcW w:w="5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238"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建筑业和房地产统计人员加班补助</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≤20万元</w:t>
            </w:r>
          </w:p>
        </w:tc>
        <w:tc>
          <w:tcPr>
            <w:tcW w:w="21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20万元</w:t>
            </w:r>
          </w:p>
        </w:tc>
      </w:tr>
      <w:tr>
        <w:tblPrEx>
          <w:tblCellMar>
            <w:top w:w="0" w:type="dxa"/>
            <w:left w:w="108" w:type="dxa"/>
            <w:bottom w:w="0" w:type="dxa"/>
            <w:right w:w="108" w:type="dxa"/>
          </w:tblCellMar>
        </w:tblPrEx>
        <w:trPr>
          <w:trHeight w:val="285" w:hRule="atLeast"/>
        </w:trPr>
        <w:tc>
          <w:tcPr>
            <w:tcW w:w="5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238"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jc w:val="left"/>
              <w:rPr>
                <w:rFonts w:ascii="宋体" w:hAnsi="宋体" w:cs="宋体"/>
                <w:kern w:val="0"/>
                <w:sz w:val="20"/>
                <w:szCs w:val="20"/>
              </w:rPr>
            </w:pPr>
          </w:p>
        </w:tc>
        <w:tc>
          <w:tcPr>
            <w:tcW w:w="2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人员经费保障</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在编58人，临聘8人</w:t>
            </w:r>
          </w:p>
        </w:tc>
        <w:tc>
          <w:tcPr>
            <w:tcW w:w="21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在编59人，临聘8人</w:t>
            </w:r>
          </w:p>
        </w:tc>
      </w:tr>
      <w:tr>
        <w:tblPrEx>
          <w:tblCellMar>
            <w:top w:w="0" w:type="dxa"/>
            <w:left w:w="108" w:type="dxa"/>
            <w:bottom w:w="0" w:type="dxa"/>
            <w:right w:w="108" w:type="dxa"/>
          </w:tblCellMar>
        </w:tblPrEx>
        <w:trPr>
          <w:trHeight w:val="270" w:hRule="atLeast"/>
        </w:trPr>
        <w:tc>
          <w:tcPr>
            <w:tcW w:w="5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23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完成质量</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≥98%</w:t>
            </w:r>
          </w:p>
        </w:tc>
        <w:tc>
          <w:tcPr>
            <w:tcW w:w="213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99%</w:t>
            </w:r>
          </w:p>
        </w:tc>
      </w:tr>
      <w:tr>
        <w:tblPrEx>
          <w:tblCellMar>
            <w:top w:w="0" w:type="dxa"/>
            <w:left w:w="108" w:type="dxa"/>
            <w:bottom w:w="0" w:type="dxa"/>
            <w:right w:w="108" w:type="dxa"/>
          </w:tblCellMar>
        </w:tblPrEx>
        <w:trPr>
          <w:trHeight w:val="270" w:hRule="atLeast"/>
        </w:trPr>
        <w:tc>
          <w:tcPr>
            <w:tcW w:w="5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23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w:t>
            </w:r>
          </w:p>
        </w:tc>
        <w:tc>
          <w:tcPr>
            <w:tcW w:w="21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w:t>
            </w:r>
          </w:p>
        </w:tc>
      </w:tr>
      <w:tr>
        <w:tblPrEx>
          <w:tblCellMar>
            <w:top w:w="0" w:type="dxa"/>
            <w:left w:w="108" w:type="dxa"/>
            <w:bottom w:w="0" w:type="dxa"/>
            <w:right w:w="108" w:type="dxa"/>
          </w:tblCellMar>
        </w:tblPrEx>
        <w:trPr>
          <w:trHeight w:val="285" w:hRule="atLeast"/>
        </w:trPr>
        <w:tc>
          <w:tcPr>
            <w:tcW w:w="5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51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323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预算控制内完成</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≤23024.39万元</w:t>
            </w:r>
          </w:p>
        </w:tc>
        <w:tc>
          <w:tcPr>
            <w:tcW w:w="213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调整预算46543.44万元</w:t>
            </w:r>
          </w:p>
        </w:tc>
      </w:tr>
      <w:tr>
        <w:tblPrEx>
          <w:tblCellMar>
            <w:top w:w="0" w:type="dxa"/>
            <w:left w:w="108" w:type="dxa"/>
            <w:bottom w:w="0" w:type="dxa"/>
            <w:right w:w="108" w:type="dxa"/>
          </w:tblCellMar>
        </w:tblPrEx>
        <w:trPr>
          <w:trHeight w:val="420" w:hRule="atLeast"/>
        </w:trPr>
        <w:tc>
          <w:tcPr>
            <w:tcW w:w="5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323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周期</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1年</w:t>
            </w:r>
          </w:p>
        </w:tc>
        <w:tc>
          <w:tcPr>
            <w:tcW w:w="213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1年</w:t>
            </w:r>
          </w:p>
        </w:tc>
      </w:tr>
      <w:tr>
        <w:tblPrEx>
          <w:tblCellMar>
            <w:top w:w="0" w:type="dxa"/>
            <w:left w:w="108" w:type="dxa"/>
            <w:bottom w:w="0" w:type="dxa"/>
            <w:right w:w="108" w:type="dxa"/>
          </w:tblCellMar>
        </w:tblPrEx>
        <w:trPr>
          <w:trHeight w:val="465" w:hRule="atLeast"/>
        </w:trPr>
        <w:tc>
          <w:tcPr>
            <w:tcW w:w="59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2"/>
                <w:szCs w:val="22"/>
              </w:rPr>
            </w:pPr>
          </w:p>
        </w:tc>
        <w:tc>
          <w:tcPr>
            <w:tcW w:w="151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323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0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人民群众满意度</w:t>
            </w:r>
          </w:p>
        </w:tc>
        <w:tc>
          <w:tcPr>
            <w:tcW w:w="196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≥95%</w:t>
            </w:r>
          </w:p>
        </w:tc>
        <w:tc>
          <w:tcPr>
            <w:tcW w:w="2130"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98%</w:t>
            </w:r>
          </w:p>
        </w:tc>
      </w:tr>
    </w:tbl>
    <w:p>
      <w:pPr>
        <w:widowControl/>
        <w:adjustRightInd w:val="0"/>
        <w:snapToGrid w:val="0"/>
        <w:spacing w:line="572" w:lineRule="exact"/>
        <w:ind w:firstLine="480" w:firstLineChars="200"/>
        <w:contextualSpacing/>
        <w:jc w:val="left"/>
        <w:rPr>
          <w:rFonts w:ascii="黑体" w:hAnsi="宋体" w:eastAsia="黑体" w:cs="宋体"/>
          <w:kern w:val="0"/>
          <w:sz w:val="24"/>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spacing w:line="580" w:lineRule="exact"/>
        <w:jc w:val="center"/>
        <w:rPr>
          <w:rFonts w:ascii="方正小标宋简体" w:hAnsi="宋体" w:eastAsia="方正小标宋简体"/>
          <w:kern w:val="0"/>
          <w:sz w:val="44"/>
          <w:szCs w:val="44"/>
        </w:rPr>
      </w:pPr>
      <w:r>
        <w:rPr>
          <w:rFonts w:hint="eastAsia" w:ascii="微软雅黑" w:hAnsi="微软雅黑" w:eastAsia="微软雅黑" w:cs="微软雅黑"/>
          <w:kern w:val="0"/>
          <w:sz w:val="44"/>
          <w:szCs w:val="44"/>
        </w:rPr>
        <w:t>项目支出绩效自评报告</w:t>
      </w:r>
    </w:p>
    <w:p>
      <w:pPr>
        <w:spacing w:line="580" w:lineRule="exact"/>
        <w:jc w:val="center"/>
        <w:rPr>
          <w:rFonts w:ascii="仿宋" w:hAnsi="仿宋" w:eastAsia="仿宋" w:cs="仿宋"/>
          <w:bCs/>
          <w:sz w:val="32"/>
          <w:szCs w:val="32"/>
        </w:rPr>
      </w:pPr>
      <w:r>
        <w:rPr>
          <w:rFonts w:hint="eastAsia" w:ascii="仿宋" w:hAnsi="仿宋" w:eastAsia="仿宋" w:cs="仿宋"/>
          <w:bCs/>
          <w:sz w:val="32"/>
          <w:szCs w:val="32"/>
        </w:rPr>
        <w:t>（老旧小区改造项目）</w:t>
      </w:r>
    </w:p>
    <w:p>
      <w:pPr>
        <w:spacing w:line="580" w:lineRule="exact"/>
        <w:rPr>
          <w:rFonts w:hint="eastAsia" w:ascii="宋体" w:hAnsi="??"/>
          <w:sz w:val="32"/>
          <w:szCs w:val="32"/>
        </w:rPr>
      </w:pPr>
    </w:p>
    <w:p>
      <w:pPr>
        <w:adjustRightInd w:val="0"/>
        <w:snapToGrid w:val="0"/>
        <w:spacing w:line="58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80" w:lineRule="exact"/>
        <w:ind w:firstLine="720"/>
        <w:rPr>
          <w:rFonts w:ascii="黑体" w:hAnsi="宋体" w:eastAsia="黑体"/>
          <w:sz w:val="32"/>
          <w:szCs w:val="32"/>
          <w:lang w:val="zh-CN"/>
        </w:rPr>
      </w:pPr>
      <w:r>
        <w:rPr>
          <w:rFonts w:hint="eastAsia" w:ascii="仿宋" w:hAnsi="仿宋" w:eastAsia="仿宋" w:cs="仿宋"/>
          <w:b/>
          <w:bCs/>
          <w:sz w:val="32"/>
          <w:szCs w:val="32"/>
        </w:rPr>
        <w:t>（一）项目基本情况。</w:t>
      </w:r>
    </w:p>
    <w:p>
      <w:pPr>
        <w:adjustRightInd w:val="0"/>
        <w:snapToGrid w:val="0"/>
        <w:spacing w:line="580" w:lineRule="exact"/>
        <w:ind w:firstLine="642" w:firstLineChars="200"/>
        <w:rPr>
          <w:rFonts w:ascii="仿宋" w:hAnsi="仿宋" w:eastAsia="仿宋" w:cs="仿宋"/>
          <w:b/>
          <w:bCs/>
          <w:sz w:val="32"/>
          <w:szCs w:val="32"/>
        </w:rPr>
      </w:pPr>
      <w:r>
        <w:rPr>
          <w:rFonts w:hint="eastAsia" w:ascii="楷体_GB2312" w:hAnsi="宋体" w:eastAsia="楷体_GB2312"/>
          <w:b/>
          <w:sz w:val="32"/>
          <w:szCs w:val="32"/>
        </w:rPr>
        <w:t xml:space="preserve"> </w:t>
      </w:r>
      <w:r>
        <w:rPr>
          <w:rFonts w:hint="eastAsia" w:ascii="仿宋" w:hAnsi="仿宋" w:eastAsia="仿宋" w:cs="仿宋"/>
          <w:bCs/>
          <w:sz w:val="32"/>
          <w:szCs w:val="32"/>
        </w:rPr>
        <w:t>1、项目名称：绵竹市老旧小区</w:t>
      </w:r>
      <w:r>
        <w:rPr>
          <w:rFonts w:hint="eastAsia" w:ascii="仿宋" w:hAnsi="仿宋" w:eastAsia="仿宋" w:cs="仿宋"/>
          <w:bCs/>
          <w:sz w:val="32"/>
          <w:szCs w:val="32"/>
          <w:lang w:eastAsia="zh-CN"/>
        </w:rPr>
        <w:t>（</w:t>
      </w:r>
      <w:r>
        <w:rPr>
          <w:rFonts w:hint="eastAsia" w:ascii="仿宋" w:hAnsi="仿宋" w:eastAsia="仿宋" w:cs="仿宋"/>
          <w:bCs/>
          <w:sz w:val="32"/>
          <w:szCs w:val="32"/>
        </w:rPr>
        <w:t>天河片区）配套基础设施改造项目、绵竹市老旧小区（迎祥片区）配套基础设施改造项目、绵竹市老旧小区（南轩片区）配套基础设施改造项目。</w:t>
      </w:r>
    </w:p>
    <w:p>
      <w:pPr>
        <w:adjustRightInd w:val="0"/>
        <w:snapToGrid w:val="0"/>
        <w:spacing w:line="58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2、项目业主：绵竹市国有土地上房屋征收与补偿中心</w:t>
      </w:r>
    </w:p>
    <w:p>
      <w:pPr>
        <w:adjustRightInd w:val="0"/>
        <w:snapToGrid w:val="0"/>
        <w:spacing w:line="58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3、建设地点：绵竹市紫岩街道、绵竹市瑞祥路西北侧、绵竹市南京大道南侧。</w:t>
      </w:r>
    </w:p>
    <w:p>
      <w:pPr>
        <w:adjustRightInd w:val="0"/>
        <w:snapToGrid w:val="0"/>
        <w:spacing w:line="580" w:lineRule="exact"/>
        <w:ind w:firstLine="640" w:firstLineChars="200"/>
        <w:rPr>
          <w:rFonts w:ascii="仿宋" w:hAnsi="仿宋" w:eastAsia="仿宋" w:cs="仿宋"/>
          <w:b/>
          <w:bCs/>
          <w:sz w:val="32"/>
          <w:szCs w:val="32"/>
        </w:rPr>
      </w:pPr>
      <w:r>
        <w:rPr>
          <w:rFonts w:hint="eastAsia" w:ascii="仿宋" w:hAnsi="仿宋" w:eastAsia="仿宋" w:cs="仿宋"/>
          <w:bCs/>
          <w:sz w:val="32"/>
          <w:szCs w:val="32"/>
        </w:rPr>
        <w:t>4、建设内容和规模：改造天河片区周边配套道路及小区内道路70050平方米（含雨污水管网），绿化2570平方米、停车位、公共活动场地、无障碍设施、围墙、出入口改造及水、电、气 、通讯、照明、安防等其他配套设施设备。</w:t>
      </w:r>
    </w:p>
    <w:p>
      <w:pPr>
        <w:adjustRightInd w:val="0"/>
        <w:snapToGrid w:val="0"/>
        <w:spacing w:line="580" w:lineRule="exact"/>
        <w:ind w:firstLine="640"/>
        <w:rPr>
          <w:rFonts w:ascii="仿宋" w:hAnsi="仿宋" w:eastAsia="仿宋" w:cs="仿宋"/>
          <w:bCs/>
          <w:sz w:val="32"/>
          <w:szCs w:val="32"/>
        </w:rPr>
      </w:pPr>
      <w:r>
        <w:rPr>
          <w:rFonts w:hint="eastAsia" w:ascii="仿宋" w:hAnsi="仿宋" w:eastAsia="仿宋" w:cs="仿宋"/>
          <w:bCs/>
          <w:sz w:val="32"/>
          <w:szCs w:val="32"/>
        </w:rPr>
        <w:t>改造迎祥片区周边配套道路及小区内道路32710平方米（含雨污水管网），绿化8260平方米、停车位、公共活动场所、无障碍设施、围墙、出入口改造及水、电、气、通讯、照明、安防等其他配套设施设备。</w:t>
      </w:r>
    </w:p>
    <w:p>
      <w:pPr>
        <w:adjustRightInd w:val="0"/>
        <w:snapToGrid w:val="0"/>
        <w:spacing w:line="580" w:lineRule="exact"/>
        <w:ind w:firstLine="640"/>
        <w:rPr>
          <w:rFonts w:ascii="仿宋" w:hAnsi="仿宋" w:eastAsia="仿宋" w:cs="仿宋"/>
          <w:bCs/>
          <w:sz w:val="32"/>
          <w:szCs w:val="32"/>
        </w:rPr>
      </w:pPr>
      <w:r>
        <w:rPr>
          <w:rFonts w:hint="eastAsia" w:ascii="仿宋" w:hAnsi="仿宋" w:eastAsia="仿宋" w:cs="仿宋"/>
          <w:bCs/>
          <w:sz w:val="32"/>
          <w:szCs w:val="32"/>
        </w:rPr>
        <w:t>改造南轩片区周边配套道路及小区内道路72800平方米（含雨污水管网），绿化5500平方米、停车位、公共活动场所、无障碍设施、围墙、出入口改造及水、电、气、通讯、照明、安防等其他配套设施设备。</w:t>
      </w:r>
    </w:p>
    <w:p>
      <w:pPr>
        <w:ind w:firstLine="640" w:firstLineChars="200"/>
        <w:rPr>
          <w:rFonts w:ascii="仿宋" w:hAnsi="仿宋" w:eastAsia="仿宋" w:cs="仿宋"/>
          <w:bCs/>
          <w:sz w:val="32"/>
          <w:szCs w:val="32"/>
        </w:rPr>
      </w:pPr>
      <w:r>
        <w:rPr>
          <w:rFonts w:hint="eastAsia" w:ascii="仿宋" w:hAnsi="仿宋" w:eastAsia="仿宋" w:cs="仿宋"/>
          <w:bCs/>
          <w:sz w:val="32"/>
          <w:szCs w:val="32"/>
        </w:rPr>
        <w:t xml:space="preserve">5、资金来源：财政资金 </w:t>
      </w:r>
    </w:p>
    <w:p>
      <w:pPr>
        <w:adjustRightInd w:val="0"/>
        <w:snapToGrid w:val="0"/>
        <w:spacing w:line="580" w:lineRule="exact"/>
        <w:ind w:left="420" w:left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80" w:lineRule="exact"/>
        <w:ind w:firstLine="640" w:firstLineChars="200"/>
        <w:rPr>
          <w:rFonts w:ascii="仿宋" w:hAnsi="仿宋" w:eastAsia="仿宋" w:cs="仿宋"/>
          <w:bCs/>
          <w:sz w:val="32"/>
          <w:szCs w:val="32"/>
        </w:rPr>
      </w:pPr>
      <w:r>
        <w:rPr>
          <w:rFonts w:hint="eastAsia" w:ascii="仿宋" w:hAnsi="仿宋" w:eastAsia="仿宋" w:cs="仿宋"/>
          <w:bCs/>
          <w:sz w:val="32"/>
          <w:szCs w:val="32"/>
        </w:rPr>
        <w:t>该项目包括绵竹市老旧小区</w:t>
      </w:r>
      <w:r>
        <w:rPr>
          <w:rFonts w:hint="eastAsia" w:ascii="仿宋" w:hAnsi="仿宋" w:eastAsia="仿宋" w:cs="仿宋"/>
          <w:bCs/>
          <w:sz w:val="32"/>
          <w:szCs w:val="32"/>
          <w:lang w:eastAsia="zh-CN"/>
        </w:rPr>
        <w:t>（</w:t>
      </w:r>
      <w:r>
        <w:rPr>
          <w:rFonts w:hint="eastAsia" w:ascii="仿宋" w:hAnsi="仿宋" w:eastAsia="仿宋" w:cs="仿宋"/>
          <w:bCs/>
          <w:sz w:val="32"/>
          <w:szCs w:val="32"/>
        </w:rPr>
        <w:t>天河片区）配套基础设施改造项目、绵竹市老旧小区（迎祥片区）配套基础设施改造项目、绵竹市老旧小区（南轩片区）配套基础设施改造项目。</w:t>
      </w:r>
    </w:p>
    <w:p>
      <w:pPr>
        <w:adjustRightInd w:val="0"/>
        <w:snapToGrid w:val="0"/>
        <w:spacing w:line="560" w:lineRule="exact"/>
        <w:rPr>
          <w:rFonts w:ascii="仿宋" w:hAnsi="仿宋" w:eastAsia="仿宋" w:cs="仿宋"/>
          <w:bCs/>
          <w:sz w:val="32"/>
          <w:szCs w:val="32"/>
        </w:rPr>
      </w:pPr>
      <w:r>
        <w:rPr>
          <w:rFonts w:hint="eastAsia" w:ascii="仿宋" w:hAnsi="仿宋" w:eastAsia="仿宋" w:cs="仿宋"/>
          <w:bCs/>
          <w:sz w:val="32"/>
          <w:szCs w:val="32"/>
        </w:rPr>
        <w:t>计划2022年12月全部完工。</w:t>
      </w:r>
      <w:r>
        <w:rPr>
          <w:rFonts w:hint="eastAsia" w:ascii="仿宋" w:hAnsi="仿宋" w:eastAsia="仿宋" w:cs="仿宋"/>
          <w:sz w:val="32"/>
          <w:szCs w:val="32"/>
        </w:rPr>
        <w:t>老</w:t>
      </w:r>
      <w:r>
        <w:rPr>
          <w:rFonts w:hint="eastAsia" w:ascii="仿宋" w:hAnsi="仿宋" w:eastAsia="仿宋" w:cs="仿宋"/>
          <w:bCs/>
          <w:sz w:val="32"/>
          <w:szCs w:val="32"/>
        </w:rPr>
        <w:t>旧小区改造项目的申报</w:t>
      </w:r>
      <w:r>
        <w:rPr>
          <w:rFonts w:hint="eastAsia" w:ascii="仿宋" w:hAnsi="仿宋" w:eastAsia="仿宋" w:cs="仿宋"/>
          <w:bCs/>
          <w:sz w:val="32"/>
          <w:szCs w:val="32"/>
          <w:lang w:val="zh-CN"/>
        </w:rPr>
        <w:t>内容</w:t>
      </w:r>
      <w:r>
        <w:rPr>
          <w:rFonts w:hint="eastAsia" w:ascii="仿宋" w:hAnsi="仿宋" w:eastAsia="仿宋" w:cs="仿宋"/>
          <w:bCs/>
          <w:sz w:val="32"/>
          <w:szCs w:val="32"/>
        </w:rPr>
        <w:t>与</w:t>
      </w:r>
      <w:r>
        <w:rPr>
          <w:rFonts w:hint="eastAsia" w:ascii="仿宋" w:hAnsi="仿宋" w:eastAsia="仿宋" w:cs="仿宋"/>
          <w:bCs/>
          <w:sz w:val="32"/>
          <w:szCs w:val="32"/>
          <w:lang w:val="zh-CN"/>
        </w:rPr>
        <w:t>具体实施内容</w:t>
      </w:r>
      <w:r>
        <w:rPr>
          <w:rFonts w:hint="eastAsia" w:ascii="仿宋" w:hAnsi="仿宋" w:eastAsia="仿宋" w:cs="仿宋"/>
          <w:bCs/>
          <w:sz w:val="32"/>
          <w:szCs w:val="32"/>
        </w:rPr>
        <w:t>一致</w:t>
      </w:r>
      <w:r>
        <w:rPr>
          <w:rFonts w:hint="eastAsia" w:ascii="仿宋" w:hAnsi="仿宋" w:eastAsia="仿宋" w:cs="仿宋"/>
          <w:bCs/>
          <w:sz w:val="32"/>
          <w:szCs w:val="32"/>
          <w:lang w:val="zh-CN"/>
        </w:rPr>
        <w:t>，申报目标合理可行</w:t>
      </w:r>
      <w:r>
        <w:rPr>
          <w:rFonts w:hint="eastAsia" w:ascii="仿宋" w:hAnsi="仿宋" w:eastAsia="仿宋" w:cs="仿宋"/>
          <w:bCs/>
          <w:sz w:val="32"/>
          <w:szCs w:val="32"/>
        </w:rPr>
        <w:t>且已纳入老旧小区改造计划。</w:t>
      </w:r>
    </w:p>
    <w:p>
      <w:pPr>
        <w:adjustRightInd w:val="0"/>
        <w:snapToGrid w:val="0"/>
        <w:spacing w:line="560" w:lineRule="exact"/>
        <w:ind w:left="420" w:leftChars="20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80" w:lineRule="exact"/>
        <w:ind w:firstLine="720"/>
        <w:rPr>
          <w:rFonts w:ascii="楷体_GB2312" w:hAnsi="宋体" w:eastAsia="楷体_GB2312"/>
          <w:b/>
          <w:sz w:val="32"/>
          <w:szCs w:val="32"/>
        </w:rPr>
      </w:pPr>
      <w:r>
        <w:rPr>
          <w:rFonts w:hint="eastAsia" w:ascii="仿宋" w:hAnsi="仿宋" w:eastAsia="仿宋" w:cs="仿宋"/>
          <w:sz w:val="32"/>
          <w:szCs w:val="32"/>
          <w:lang w:val="zh-CN"/>
        </w:rPr>
        <w:t>由我局开展财政资金使用情况自评并撰写部门预算支出绩效报告，按规范格式按时提交自评报告。</w:t>
      </w:r>
    </w:p>
    <w:p>
      <w:pPr>
        <w:numPr>
          <w:ilvl w:val="0"/>
          <w:numId w:val="4"/>
        </w:num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项目资金申报及使用情况</w:t>
      </w:r>
    </w:p>
    <w:p>
      <w:pPr>
        <w:adjustRightInd w:val="0"/>
        <w:snapToGrid w:val="0"/>
        <w:spacing w:line="580" w:lineRule="exact"/>
        <w:ind w:left="720"/>
        <w:rPr>
          <w:rFonts w:ascii="黑体" w:hAnsi="宋体" w:eastAsia="黑体"/>
          <w:sz w:val="32"/>
          <w:szCs w:val="32"/>
        </w:rPr>
      </w:pPr>
      <w:r>
        <w:rPr>
          <w:rFonts w:hint="eastAsia" w:ascii="楷体_GB2312" w:hAnsi="宋体" w:eastAsia="楷体_GB2312"/>
          <w:b/>
          <w:sz w:val="32"/>
          <w:szCs w:val="32"/>
        </w:rPr>
        <w:t>（一）项目资金申报及批复情况。</w:t>
      </w:r>
    </w:p>
    <w:p>
      <w:pPr>
        <w:adjustRightInd w:val="0"/>
        <w:snapToGrid w:val="0"/>
        <w:spacing w:line="580" w:lineRule="exact"/>
        <w:ind w:firstLine="660"/>
        <w:rPr>
          <w:rFonts w:ascii="仿宋" w:hAnsi="仿宋" w:eastAsia="仿宋" w:cs="仿宋"/>
          <w:sz w:val="32"/>
          <w:szCs w:val="32"/>
        </w:rPr>
      </w:pPr>
      <w:r>
        <w:rPr>
          <w:rFonts w:hint="eastAsia" w:ascii="仿宋" w:hAnsi="仿宋" w:eastAsia="仿宋" w:cs="仿宋"/>
          <w:sz w:val="32"/>
          <w:szCs w:val="32"/>
        </w:rPr>
        <w:t>项目经市发改局《关于绵竹市老旧小区天河片区配套基础设施改造</w:t>
      </w:r>
      <w:r>
        <w:rPr>
          <w:rFonts w:hint="eastAsia" w:ascii="仿宋" w:hAnsi="仿宋" w:eastAsia="仿宋" w:cs="仿宋"/>
          <w:sz w:val="32"/>
          <w:szCs w:val="32"/>
          <w:lang w:eastAsia="zh-CN"/>
        </w:rPr>
        <w:t>项目</w:t>
      </w:r>
      <w:r>
        <w:rPr>
          <w:rFonts w:hint="eastAsia" w:ascii="仿宋" w:hAnsi="仿宋" w:eastAsia="仿宋" w:cs="仿宋"/>
          <w:sz w:val="32"/>
          <w:szCs w:val="32"/>
        </w:rPr>
        <w:t>建议书的批复》（竹发改建</w:t>
      </w:r>
      <w:r>
        <w:rPr>
          <w:rFonts w:hint="eastAsia" w:ascii="仿宋" w:hAnsi="仿宋" w:eastAsia="仿宋" w:cs="仿宋"/>
          <w:sz w:val="32"/>
          <w:szCs w:val="32"/>
          <w:lang w:eastAsia="zh-CN"/>
        </w:rPr>
        <w:t>〔</w:t>
      </w:r>
      <w:r>
        <w:rPr>
          <w:rFonts w:hint="eastAsia" w:ascii="仿宋" w:hAnsi="仿宋" w:eastAsia="仿宋" w:cs="仿宋"/>
          <w:sz w:val="32"/>
          <w:szCs w:val="32"/>
        </w:rPr>
        <w:t>2022</w:t>
      </w:r>
      <w:r>
        <w:rPr>
          <w:rFonts w:hint="eastAsia" w:ascii="仿宋" w:hAnsi="仿宋" w:eastAsia="仿宋" w:cs="仿宋"/>
          <w:sz w:val="32"/>
          <w:szCs w:val="32"/>
          <w:lang w:eastAsia="zh-CN"/>
        </w:rPr>
        <w:t>〕</w:t>
      </w:r>
      <w:r>
        <w:rPr>
          <w:rFonts w:hint="eastAsia" w:ascii="仿宋" w:hAnsi="仿宋" w:eastAsia="仿宋" w:cs="仿宋"/>
          <w:sz w:val="32"/>
          <w:szCs w:val="32"/>
        </w:rPr>
        <w:t>4号</w:t>
      </w:r>
      <w:r>
        <w:rPr>
          <w:rFonts w:hint="eastAsia" w:ascii="仿宋" w:hAnsi="仿宋" w:eastAsia="仿宋" w:cs="仿宋"/>
          <w:sz w:val="32"/>
          <w:szCs w:val="32"/>
          <w:lang w:eastAsia="zh-CN"/>
        </w:rPr>
        <w:t>）</w:t>
      </w:r>
      <w:r>
        <w:rPr>
          <w:rFonts w:hint="eastAsia" w:ascii="仿宋" w:hAnsi="仿宋" w:eastAsia="仿宋" w:cs="仿宋"/>
          <w:sz w:val="32"/>
          <w:szCs w:val="32"/>
        </w:rPr>
        <w:t>《关于绵竹市老旧小区迎祥片区配套基础设施改造</w:t>
      </w:r>
      <w:r>
        <w:rPr>
          <w:rFonts w:hint="eastAsia" w:ascii="仿宋" w:hAnsi="仿宋" w:eastAsia="仿宋" w:cs="仿宋"/>
          <w:sz w:val="32"/>
          <w:szCs w:val="32"/>
          <w:lang w:eastAsia="zh-CN"/>
        </w:rPr>
        <w:t>项目</w:t>
      </w:r>
      <w:r>
        <w:rPr>
          <w:rFonts w:hint="eastAsia" w:ascii="仿宋" w:hAnsi="仿宋" w:eastAsia="仿宋" w:cs="仿宋"/>
          <w:sz w:val="32"/>
          <w:szCs w:val="32"/>
        </w:rPr>
        <w:t>建议书的批复》</w:t>
      </w:r>
      <w:r>
        <w:rPr>
          <w:rFonts w:hint="eastAsia" w:ascii="仿宋" w:hAnsi="仿宋" w:eastAsia="仿宋" w:cs="仿宋"/>
          <w:sz w:val="32"/>
          <w:szCs w:val="32"/>
          <w:lang w:eastAsia="zh-CN"/>
        </w:rPr>
        <w:t>（</w:t>
      </w:r>
      <w:r>
        <w:rPr>
          <w:rFonts w:hint="eastAsia" w:ascii="仿宋" w:hAnsi="仿宋" w:eastAsia="仿宋" w:cs="仿宋"/>
          <w:sz w:val="32"/>
          <w:szCs w:val="32"/>
        </w:rPr>
        <w:t>竹发改建</w:t>
      </w:r>
      <w:r>
        <w:rPr>
          <w:rFonts w:hint="eastAsia" w:ascii="仿宋" w:hAnsi="仿宋" w:eastAsia="仿宋" w:cs="仿宋"/>
          <w:sz w:val="32"/>
          <w:szCs w:val="32"/>
          <w:lang w:eastAsia="zh-CN"/>
        </w:rPr>
        <w:t>〔</w:t>
      </w:r>
      <w:r>
        <w:rPr>
          <w:rFonts w:hint="eastAsia" w:ascii="仿宋" w:hAnsi="仿宋" w:eastAsia="仿宋" w:cs="仿宋"/>
          <w:sz w:val="32"/>
          <w:szCs w:val="32"/>
        </w:rPr>
        <w:t>2022</w:t>
      </w:r>
      <w:r>
        <w:rPr>
          <w:rFonts w:hint="eastAsia" w:ascii="仿宋" w:hAnsi="仿宋" w:eastAsia="仿宋" w:cs="仿宋"/>
          <w:sz w:val="32"/>
          <w:szCs w:val="32"/>
          <w:lang w:eastAsia="zh-CN"/>
        </w:rPr>
        <w:t>〕</w:t>
      </w:r>
      <w:r>
        <w:rPr>
          <w:rFonts w:hint="eastAsia" w:ascii="仿宋" w:hAnsi="仿宋" w:eastAsia="仿宋" w:cs="仿宋"/>
          <w:sz w:val="32"/>
          <w:szCs w:val="32"/>
        </w:rPr>
        <w:t>3号</w:t>
      </w:r>
      <w:r>
        <w:rPr>
          <w:rFonts w:hint="eastAsia" w:ascii="仿宋" w:hAnsi="仿宋" w:eastAsia="仿宋" w:cs="仿宋"/>
          <w:sz w:val="32"/>
          <w:szCs w:val="32"/>
          <w:lang w:eastAsia="zh-CN"/>
        </w:rPr>
        <w:t>）</w:t>
      </w:r>
      <w:r>
        <w:rPr>
          <w:rFonts w:hint="eastAsia" w:ascii="仿宋" w:hAnsi="仿宋" w:eastAsia="仿宋" w:cs="仿宋"/>
          <w:sz w:val="32"/>
          <w:szCs w:val="32"/>
        </w:rPr>
        <w:t>《关于绵竹市老旧小区南轩片区配套基础设施改造</w:t>
      </w:r>
      <w:r>
        <w:rPr>
          <w:rFonts w:hint="eastAsia" w:ascii="仿宋" w:hAnsi="仿宋" w:eastAsia="仿宋" w:cs="仿宋"/>
          <w:sz w:val="32"/>
          <w:szCs w:val="32"/>
          <w:lang w:eastAsia="zh-CN"/>
        </w:rPr>
        <w:t>项目</w:t>
      </w:r>
      <w:r>
        <w:rPr>
          <w:rFonts w:hint="eastAsia" w:ascii="仿宋" w:hAnsi="仿宋" w:eastAsia="仿宋" w:cs="仿宋"/>
          <w:sz w:val="32"/>
          <w:szCs w:val="32"/>
        </w:rPr>
        <w:t>建议书的批复》</w:t>
      </w:r>
      <w:r>
        <w:rPr>
          <w:rFonts w:hint="eastAsia" w:ascii="仿宋" w:hAnsi="仿宋" w:eastAsia="仿宋" w:cs="仿宋"/>
          <w:sz w:val="32"/>
          <w:szCs w:val="32"/>
          <w:lang w:eastAsia="zh-CN"/>
        </w:rPr>
        <w:t>（</w:t>
      </w:r>
      <w:r>
        <w:rPr>
          <w:rFonts w:hint="eastAsia" w:ascii="仿宋" w:hAnsi="仿宋" w:eastAsia="仿宋" w:cs="仿宋"/>
          <w:sz w:val="32"/>
          <w:szCs w:val="32"/>
        </w:rPr>
        <w:t>竹发改建</w:t>
      </w:r>
      <w:r>
        <w:rPr>
          <w:rFonts w:hint="eastAsia" w:ascii="仿宋" w:hAnsi="仿宋" w:eastAsia="仿宋" w:cs="仿宋"/>
          <w:sz w:val="32"/>
          <w:szCs w:val="32"/>
          <w:lang w:eastAsia="zh-CN"/>
        </w:rPr>
        <w:t>〔</w:t>
      </w:r>
      <w:r>
        <w:rPr>
          <w:rFonts w:hint="eastAsia" w:ascii="仿宋" w:hAnsi="仿宋" w:eastAsia="仿宋" w:cs="仿宋"/>
          <w:sz w:val="32"/>
          <w:szCs w:val="32"/>
        </w:rPr>
        <w:t>2022</w:t>
      </w:r>
      <w:r>
        <w:rPr>
          <w:rFonts w:hint="eastAsia" w:ascii="仿宋" w:hAnsi="仿宋" w:eastAsia="仿宋" w:cs="仿宋"/>
          <w:sz w:val="32"/>
          <w:szCs w:val="32"/>
          <w:lang w:eastAsia="zh-CN"/>
        </w:rPr>
        <w:t>〕</w:t>
      </w:r>
      <w:r>
        <w:rPr>
          <w:rFonts w:ascii="仿宋" w:hAnsi="仿宋" w:eastAsia="仿宋" w:cs="仿宋"/>
          <w:sz w:val="32"/>
          <w:szCs w:val="32"/>
        </w:rPr>
        <w:t>2</w:t>
      </w:r>
      <w:r>
        <w:rPr>
          <w:rFonts w:hint="eastAsia" w:ascii="仿宋" w:hAnsi="仿宋" w:eastAsia="仿宋" w:cs="仿宋"/>
          <w:sz w:val="32"/>
          <w:szCs w:val="32"/>
        </w:rPr>
        <w:t>号</w:t>
      </w:r>
      <w:r>
        <w:rPr>
          <w:rFonts w:hint="eastAsia" w:ascii="仿宋" w:hAnsi="仿宋" w:eastAsia="仿宋" w:cs="仿宋"/>
          <w:sz w:val="32"/>
          <w:szCs w:val="32"/>
          <w:lang w:eastAsia="zh-CN"/>
        </w:rPr>
        <w:t>）</w:t>
      </w:r>
      <w:r>
        <w:rPr>
          <w:rFonts w:hint="eastAsia" w:ascii="仿宋" w:hAnsi="仿宋" w:eastAsia="仿宋" w:cs="仿宋"/>
          <w:sz w:val="32"/>
          <w:szCs w:val="32"/>
        </w:rPr>
        <w:t>《关于绵竹市老旧小区（天河片区）配套基础设施改造项目投资概算的批复》（竹发改审</w:t>
      </w:r>
      <w:r>
        <w:rPr>
          <w:rFonts w:hint="eastAsia" w:ascii="仿宋" w:hAnsi="仿宋" w:eastAsia="仿宋" w:cs="仿宋"/>
          <w:sz w:val="32"/>
          <w:szCs w:val="32"/>
          <w:lang w:eastAsia="zh-CN"/>
        </w:rPr>
        <w:t>〔</w:t>
      </w:r>
      <w:r>
        <w:rPr>
          <w:rFonts w:hint="eastAsia" w:ascii="仿宋" w:hAnsi="仿宋" w:eastAsia="仿宋" w:cs="仿宋"/>
          <w:sz w:val="32"/>
          <w:szCs w:val="32"/>
        </w:rPr>
        <w:t>2022</w:t>
      </w:r>
      <w:r>
        <w:rPr>
          <w:rFonts w:hint="eastAsia" w:ascii="仿宋" w:hAnsi="仿宋" w:eastAsia="仿宋" w:cs="仿宋"/>
          <w:sz w:val="32"/>
          <w:szCs w:val="32"/>
          <w:lang w:eastAsia="zh-CN"/>
        </w:rPr>
        <w:t>〕</w:t>
      </w:r>
      <w:r>
        <w:rPr>
          <w:rFonts w:hint="eastAsia" w:ascii="仿宋" w:hAnsi="仿宋" w:eastAsia="仿宋" w:cs="仿宋"/>
          <w:sz w:val="32"/>
          <w:szCs w:val="32"/>
        </w:rPr>
        <w:t>74号</w:t>
      </w:r>
      <w:r>
        <w:rPr>
          <w:rFonts w:hint="eastAsia" w:ascii="仿宋" w:hAnsi="仿宋" w:eastAsia="仿宋" w:cs="仿宋"/>
          <w:sz w:val="32"/>
          <w:szCs w:val="32"/>
          <w:lang w:eastAsia="zh-CN"/>
        </w:rPr>
        <w:t>）</w:t>
      </w:r>
      <w:r>
        <w:rPr>
          <w:rFonts w:hint="eastAsia" w:ascii="仿宋" w:hAnsi="仿宋" w:eastAsia="仿宋" w:cs="仿宋"/>
          <w:sz w:val="32"/>
          <w:szCs w:val="32"/>
        </w:rPr>
        <w:t>批复立项，投资概算金额为2858.64万元，资金来源为财政资金。</w:t>
      </w:r>
    </w:p>
    <w:p>
      <w:pPr>
        <w:adjustRightInd w:val="0"/>
        <w:snapToGrid w:val="0"/>
        <w:spacing w:line="580" w:lineRule="exact"/>
        <w:ind w:firstLine="660"/>
        <w:rPr>
          <w:rFonts w:ascii="仿宋" w:hAnsi="仿宋" w:eastAsia="仿宋" w:cs="仿宋"/>
          <w:sz w:val="32"/>
          <w:szCs w:val="32"/>
        </w:rPr>
      </w:pPr>
      <w:r>
        <w:rPr>
          <w:rFonts w:hint="eastAsia" w:ascii="楷体_GB2312" w:hAnsi="宋体" w:eastAsia="楷体_GB2312"/>
          <w:b/>
          <w:sz w:val="32"/>
          <w:szCs w:val="32"/>
          <w:lang w:val="zh-CN"/>
        </w:rPr>
        <w:t>（二）资金计划、到位及使用情况。</w:t>
      </w:r>
    </w:p>
    <w:p>
      <w:pPr>
        <w:adjustRightInd w:val="0"/>
        <w:snapToGrid w:val="0"/>
        <w:spacing w:line="580" w:lineRule="exact"/>
        <w:ind w:firstLine="640" w:firstLineChars="200"/>
        <w:rPr>
          <w:rFonts w:ascii="仿宋" w:hAnsi="仿宋" w:eastAsia="仿宋" w:cs="仿宋"/>
          <w:sz w:val="32"/>
          <w:szCs w:val="32"/>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．资金计划及到位。</w:t>
      </w:r>
      <w:r>
        <w:rPr>
          <w:rFonts w:hint="eastAsia" w:ascii="仿宋" w:hAnsi="仿宋" w:eastAsia="仿宋" w:cs="仿宋"/>
          <w:sz w:val="32"/>
          <w:szCs w:val="32"/>
        </w:rPr>
        <w:t>根据川财综（2020）35号追加下达2021年省级财政城镇保障性安居工程补助资金661万元，根据市政府公文处理笺（B2021-857），根据川财综（2020）34号追加下达2021年中央财政城镇保障性安居工程补助资金1583万元，根据川财综</w:t>
      </w:r>
      <w:r>
        <w:rPr>
          <w:rFonts w:hint="eastAsia" w:ascii="仿宋" w:hAnsi="仿宋" w:eastAsia="仿宋" w:cs="仿宋"/>
          <w:sz w:val="32"/>
          <w:szCs w:val="32"/>
          <w:lang w:eastAsia="zh-CN"/>
        </w:rPr>
        <w:t>〔</w:t>
      </w:r>
      <w:r>
        <w:rPr>
          <w:rFonts w:hint="eastAsia" w:ascii="仿宋" w:hAnsi="仿宋" w:eastAsia="仿宋" w:cs="仿宋"/>
          <w:sz w:val="32"/>
          <w:szCs w:val="32"/>
        </w:rPr>
        <w:t>2021</w:t>
      </w:r>
      <w:r>
        <w:rPr>
          <w:rFonts w:hint="eastAsia" w:ascii="仿宋" w:hAnsi="仿宋" w:eastAsia="仿宋" w:cs="仿宋"/>
          <w:sz w:val="32"/>
          <w:szCs w:val="32"/>
          <w:lang w:eastAsia="zh-CN"/>
        </w:rPr>
        <w:t>〕</w:t>
      </w:r>
      <w:r>
        <w:rPr>
          <w:rFonts w:hint="eastAsia" w:ascii="仿宋" w:hAnsi="仿宋" w:eastAsia="仿宋" w:cs="仿宋"/>
          <w:sz w:val="32"/>
          <w:szCs w:val="32"/>
        </w:rPr>
        <w:t>3号下达2021年省级财政城镇保障性安居工程补助资金82万元。实际到位资金为2326万元。</w:t>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sz w:val="32"/>
          <w:szCs w:val="32"/>
          <w:lang w:val="zh-CN"/>
        </w:rPr>
        <w:t>该项目资金预算指标为省级财政城镇保障性安居工程补助资金和</w:t>
      </w:r>
      <w:r>
        <w:rPr>
          <w:rFonts w:hint="eastAsia" w:ascii="仿宋" w:hAnsi="仿宋" w:eastAsia="仿宋" w:cs="仿宋"/>
          <w:sz w:val="32"/>
          <w:szCs w:val="32"/>
        </w:rPr>
        <w:t>中央财政城镇保</w:t>
      </w:r>
      <w:r>
        <w:rPr>
          <w:rFonts w:hint="eastAsia" w:ascii="仿宋" w:hAnsi="仿宋" w:eastAsia="仿宋" w:cs="仿宋"/>
          <w:sz w:val="32"/>
          <w:szCs w:val="32"/>
          <w:lang w:eastAsia="zh-CN"/>
        </w:rPr>
        <w:t>障性</w:t>
      </w:r>
      <w:r>
        <w:rPr>
          <w:rFonts w:hint="eastAsia" w:ascii="仿宋" w:hAnsi="仿宋" w:eastAsia="仿宋" w:cs="仿宋"/>
          <w:sz w:val="32"/>
          <w:szCs w:val="32"/>
        </w:rPr>
        <w:t>安居工程补助资金，以上资金指标全部及时到位，资金到位率100%，</w:t>
      </w:r>
      <w:r>
        <w:rPr>
          <w:rFonts w:hint="eastAsia" w:ascii="仿宋" w:hAnsi="仿宋" w:eastAsia="仿宋" w:cs="仿宋"/>
          <w:sz w:val="32"/>
          <w:szCs w:val="32"/>
          <w:lang w:val="zh-CN"/>
        </w:rPr>
        <w:t>到位及时性</w:t>
      </w:r>
      <w:r>
        <w:rPr>
          <w:rFonts w:hint="eastAsia" w:ascii="仿宋" w:hAnsi="仿宋" w:eastAsia="仿宋" w:cs="仿宋"/>
          <w:sz w:val="32"/>
          <w:szCs w:val="32"/>
        </w:rPr>
        <w:t>100%，拨付率100%。</w:t>
      </w:r>
    </w:p>
    <w:p>
      <w:pPr>
        <w:adjustRightInd w:val="0"/>
        <w:snapToGrid w:val="0"/>
        <w:spacing w:line="580" w:lineRule="exact"/>
        <w:ind w:firstLine="720"/>
        <w:rPr>
          <w:rFonts w:ascii="楷体_GB2312" w:hAnsi="宋体" w:eastAsia="楷体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．资金使用。</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绵竹市老旧小区改造项目安排</w:t>
      </w:r>
      <w:r>
        <w:rPr>
          <w:rFonts w:hint="eastAsia" w:ascii="仿宋" w:hAnsi="仿宋" w:eastAsia="仿宋" w:cs="仿宋"/>
          <w:sz w:val="32"/>
          <w:szCs w:val="32"/>
          <w:lang w:val="zh-CN"/>
        </w:rPr>
        <w:t>省级财政城镇保障性安居工程补助资金共计</w:t>
      </w:r>
      <w:r>
        <w:rPr>
          <w:rFonts w:hint="eastAsia" w:ascii="仿宋" w:hAnsi="仿宋" w:eastAsia="仿宋" w:cs="仿宋"/>
          <w:sz w:val="32"/>
          <w:szCs w:val="32"/>
        </w:rPr>
        <w:t>743万元，现已拨付743万元。安排中央财政城镇保障性安居工程补助资金1583万元，现已支付2326万元，</w:t>
      </w:r>
      <w:r>
        <w:rPr>
          <w:rFonts w:hint="eastAsia" w:ascii="仿宋" w:hAnsi="仿宋" w:eastAsia="仿宋" w:cs="仿宋"/>
          <w:sz w:val="32"/>
          <w:szCs w:val="32"/>
          <w:lang w:val="zh-CN"/>
        </w:rPr>
        <w:t>以上资金预算、使用符合资金管理办法等相关规定，资金支付范围、支付标准、支付进度合规合法、与预算相符。</w:t>
      </w:r>
    </w:p>
    <w:p>
      <w:pPr>
        <w:adjustRightInd w:val="0"/>
        <w:snapToGrid w:val="0"/>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lang w:val="zh-CN"/>
        </w:rPr>
        <w:t>三、项目实施及管理情况</w:t>
      </w:r>
    </w:p>
    <w:p>
      <w:pPr>
        <w:adjustRightInd w:val="0"/>
        <w:snapToGrid w:val="0"/>
        <w:spacing w:line="560" w:lineRule="exact"/>
        <w:ind w:firstLine="720"/>
        <w:rPr>
          <w:rFonts w:ascii="仿宋" w:hAnsi="仿宋" w:eastAsia="仿宋" w:cs="仿宋"/>
          <w:b/>
          <w:sz w:val="32"/>
          <w:szCs w:val="32"/>
          <w:lang w:val="zh-CN"/>
        </w:rPr>
      </w:pPr>
      <w:r>
        <w:rPr>
          <w:rFonts w:hint="eastAsia" w:ascii="仿宋" w:hAnsi="仿宋" w:eastAsia="仿宋" w:cs="仿宋"/>
          <w:sz w:val="32"/>
          <w:szCs w:val="32"/>
          <w:lang w:val="zh-CN"/>
        </w:rPr>
        <w:t>该项目由</w:t>
      </w:r>
      <w:r>
        <w:rPr>
          <w:rFonts w:hint="eastAsia" w:ascii="仿宋" w:hAnsi="仿宋" w:eastAsia="仿宋" w:cs="仿宋"/>
          <w:sz w:val="32"/>
          <w:szCs w:val="32"/>
        </w:rPr>
        <w:t>绵竹市住房和城乡建设局下属单位绵竹市住保所、绵竹市国有土地上房屋征收与补偿中心和绵竹市剑南街道</w:t>
      </w:r>
      <w:r>
        <w:rPr>
          <w:rFonts w:hint="eastAsia" w:ascii="仿宋" w:hAnsi="仿宋" w:eastAsia="仿宋" w:cs="仿宋"/>
          <w:sz w:val="32"/>
          <w:szCs w:val="32"/>
          <w:lang w:val="zh-CN"/>
        </w:rPr>
        <w:t>作为项目实施单位，每日安排专人对该项目建设情况进行监督，定期对该项目进行安全检查。</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黑体"/>
          <w:sz w:val="32"/>
          <w:szCs w:val="32"/>
        </w:rPr>
        <w:t xml:space="preserve"> </w:t>
      </w: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80" w:lineRule="exact"/>
        <w:ind w:firstLine="720"/>
        <w:rPr>
          <w:rFonts w:ascii="仿宋" w:hAnsi="仿宋" w:eastAsia="仿宋" w:cs="仿宋"/>
          <w:sz w:val="32"/>
          <w:szCs w:val="32"/>
        </w:rPr>
      </w:pPr>
      <w:r>
        <w:rPr>
          <w:rFonts w:hint="eastAsia" w:ascii="仿宋" w:hAnsi="仿宋" w:eastAsia="仿宋" w:cs="仿宋"/>
          <w:sz w:val="32"/>
          <w:szCs w:val="32"/>
        </w:rPr>
        <w:t>该项目对绵竹市老旧小区（瑞祥片区、迎祥片区、南轩片区）的道路、供排水管道，供电、供气、停车位、绿化，路灯、安防、托儿所、幼儿园、社区日间照料中心及其他配套设施设备和公共服务设施。目前按照合同约定，正有序进行改造，已完成工程量的70%。</w:t>
      </w:r>
    </w:p>
    <w:p>
      <w:pPr>
        <w:adjustRightInd w:val="0"/>
        <w:snapToGrid w:val="0"/>
        <w:spacing w:line="560" w:lineRule="exact"/>
        <w:ind w:firstLine="642" w:firstLineChars="200"/>
        <w:rPr>
          <w:rFonts w:ascii="仿宋_GB2312" w:hAnsi="宋体" w:eastAsia="仿宋_GB2312"/>
          <w:sz w:val="32"/>
          <w:szCs w:val="32"/>
        </w:rPr>
      </w:pPr>
      <w:r>
        <w:rPr>
          <w:rFonts w:hint="eastAsia" w:ascii="楷体_GB2312" w:hAnsi="宋体" w:eastAsia="楷体_GB2312"/>
          <w:b/>
          <w:sz w:val="32"/>
          <w:szCs w:val="32"/>
          <w:lang w:val="zh-CN"/>
        </w:rPr>
        <w:t>（二</w:t>
      </w:r>
      <w:r>
        <w:rPr>
          <w:rFonts w:ascii="楷体_GB2312" w:hAnsi="宋体" w:eastAsia="楷体_GB2312"/>
          <w:b/>
          <w:sz w:val="32"/>
          <w:szCs w:val="32"/>
          <w:lang w:val="zh-CN"/>
        </w:rPr>
        <w:t>)</w:t>
      </w:r>
      <w:r>
        <w:rPr>
          <w:rFonts w:hint="eastAsia" w:ascii="楷体_GB2312" w:hAnsi="宋体" w:eastAsia="楷体_GB2312"/>
          <w:b/>
          <w:sz w:val="32"/>
          <w:szCs w:val="32"/>
          <w:lang w:val="zh-CN"/>
        </w:rPr>
        <w:t>项目效益情况。</w:t>
      </w:r>
    </w:p>
    <w:p>
      <w:pPr>
        <w:adjustRightInd w:val="0"/>
        <w:snapToGrid w:val="0"/>
        <w:spacing w:line="580" w:lineRule="exact"/>
        <w:ind w:firstLine="720"/>
        <w:rPr>
          <w:rFonts w:ascii="仿宋" w:hAnsi="仿宋" w:eastAsia="仿宋" w:cs="仿宋"/>
          <w:sz w:val="32"/>
          <w:szCs w:val="32"/>
          <w:lang w:val="zh-CN"/>
        </w:rPr>
      </w:pPr>
      <w:r>
        <w:rPr>
          <w:rFonts w:hint="eastAsia" w:ascii="仿宋" w:hAnsi="仿宋" w:eastAsia="仿宋" w:cs="仿宋"/>
          <w:sz w:val="32"/>
          <w:szCs w:val="32"/>
          <w:lang w:val="zh-CN"/>
        </w:rPr>
        <w:t>经济效益：该项目建成后，将拉动投资和消费，有利于进一步推动当地的建设，吸引投资推动绵竹市经济增长，新增众多的就业机会，从而解决部分市民的就业问题。同时，在施工过程中，将投入较大的施工力量，由此间接带动了就业岗位的增加。项目建设所需建筑材料的购买，又给相关行业增加了收益。因此项目的建设总体来说对当地居民的收入影响是正面的。</w:t>
      </w:r>
    </w:p>
    <w:p>
      <w:pPr>
        <w:adjustRightInd w:val="0"/>
        <w:snapToGrid w:val="0"/>
        <w:spacing w:line="580" w:lineRule="exact"/>
        <w:ind w:firstLine="720"/>
        <w:rPr>
          <w:rFonts w:ascii="仿宋" w:hAnsi="仿宋" w:eastAsia="仿宋" w:cs="仿宋"/>
          <w:sz w:val="32"/>
          <w:szCs w:val="32"/>
          <w:lang w:val="zh-CN"/>
        </w:rPr>
      </w:pPr>
      <w:r>
        <w:rPr>
          <w:rFonts w:hint="eastAsia" w:ascii="仿宋" w:hAnsi="仿宋" w:eastAsia="仿宋" w:cs="仿宋"/>
          <w:sz w:val="32"/>
          <w:szCs w:val="32"/>
          <w:lang w:val="zh-CN"/>
        </w:rPr>
        <w:t>社会效益：该项目的建设实施将提高和改善居民的居住水平和生活环境质量，促进生活配套等各方面设施的完善。注重以人为本，生态优化，综合效益和社会文明的融合，在满足交通、消防等市政设施的同时，提高地块的利用率，扩大绿化面积，营造人与自然的和谐环境，建设风格与城市周围景观相协调发展，给市民创造了一个良好的工作环境和生活空间。项目的建设对所在地区居民生活水平和生活质量的影响是正面的，社会效益是显著的。</w:t>
      </w:r>
    </w:p>
    <w:p>
      <w:pPr>
        <w:adjustRightInd w:val="0"/>
        <w:snapToGrid w:val="0"/>
        <w:spacing w:line="580" w:lineRule="exact"/>
        <w:ind w:firstLine="720"/>
        <w:rPr>
          <w:rFonts w:ascii="仿宋" w:hAnsi="仿宋" w:eastAsia="仿宋" w:cs="仿宋"/>
          <w:sz w:val="32"/>
          <w:szCs w:val="32"/>
          <w:lang w:val="zh-CN"/>
        </w:rPr>
      </w:pPr>
      <w:r>
        <w:rPr>
          <w:rFonts w:hint="eastAsia" w:ascii="仿宋" w:hAnsi="仿宋" w:eastAsia="仿宋" w:cs="仿宋"/>
          <w:sz w:val="32"/>
          <w:szCs w:val="32"/>
          <w:lang w:val="zh-CN"/>
        </w:rPr>
        <w:t>生态效益和可持续效益：项目建成后，可以改善项目区的整体形象，改善居民的居住环境和配套设施。项目投入使用后作为城中村改造区域，将大大提高居民的生活水平。项目的顺利建设对绵竹市政府而言，可以增加当地相应的税收，从而提高财政收入；项目的建设为绵竹市完成其城镇化建设的目标提供了有力的支撑，因此，带来的生态效益与可持续效益是明显的。</w:t>
      </w:r>
    </w:p>
    <w:p>
      <w:pPr>
        <w:adjustRightInd w:val="0"/>
        <w:snapToGrid w:val="0"/>
        <w:spacing w:line="580" w:lineRule="exact"/>
        <w:ind w:firstLine="720"/>
        <w:rPr>
          <w:rFonts w:ascii="仿宋" w:hAnsi="仿宋" w:eastAsia="仿宋" w:cs="仿宋"/>
          <w:sz w:val="32"/>
          <w:szCs w:val="32"/>
          <w:lang w:val="zh-CN"/>
        </w:rPr>
      </w:pPr>
      <w:r>
        <w:rPr>
          <w:rFonts w:hint="eastAsia" w:ascii="仿宋" w:hAnsi="仿宋" w:eastAsia="仿宋" w:cs="仿宋"/>
          <w:sz w:val="32"/>
          <w:szCs w:val="32"/>
          <w:lang w:val="zh-CN"/>
        </w:rPr>
        <w:t>服务对象满意度：该项目的建设对当地人民群众利益不会造成负面影响，反之，由于改善了居住条件和生活环境，为人民群众创造了健康的生活环境，提升人民幸福感，提高群众满意度是明显的。</w:t>
      </w:r>
    </w:p>
    <w:p>
      <w:pPr>
        <w:adjustRightInd w:val="0"/>
        <w:snapToGrid w:val="0"/>
        <w:spacing w:line="58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80" w:lineRule="exact"/>
        <w:ind w:firstLine="642" w:firstLineChars="200"/>
        <w:rPr>
          <w:rFonts w:ascii="黑体" w:hAnsi="宋体" w:eastAsia="黑体"/>
          <w:sz w:val="32"/>
          <w:szCs w:val="32"/>
        </w:rPr>
      </w:pPr>
      <w:r>
        <w:rPr>
          <w:rFonts w:hint="eastAsia" w:ascii="楷体_GB2312" w:hAnsi="宋体" w:eastAsia="楷体_GB2312"/>
          <w:b/>
          <w:sz w:val="32"/>
          <w:szCs w:val="32"/>
        </w:rPr>
        <w:t>（一）评价结论。</w:t>
      </w:r>
    </w:p>
    <w:p>
      <w:pPr>
        <w:adjustRightInd w:val="0"/>
        <w:snapToGrid w:val="0"/>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实际完成率、完成及时率均达到或超过绩效目标，质量达标率良好，产出成本可控，项目管理工作规范，社会效益良好，项目可持续性强。评价级别为“优”。</w:t>
      </w:r>
    </w:p>
    <w:p>
      <w:pPr>
        <w:adjustRightInd w:val="0"/>
        <w:snapToGrid w:val="0"/>
        <w:spacing w:line="58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仿宋_GB2312" w:hAnsi="宋体" w:eastAsia="仿宋_GB2312"/>
          <w:sz w:val="32"/>
          <w:szCs w:val="32"/>
          <w:lang w:val="zh-CN"/>
        </w:rPr>
        <w:t>无</w:t>
      </w:r>
    </w:p>
    <w:p>
      <w:pPr>
        <w:adjustRightInd w:val="0"/>
        <w:snapToGrid w:val="0"/>
        <w:spacing w:line="58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（三）相关建议。</w:t>
      </w: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tbl>
      <w:tblPr>
        <w:tblStyle w:val="13"/>
        <w:tblpPr w:leftFromText="180" w:rightFromText="180" w:vertAnchor="text" w:horzAnchor="margin" w:tblpXSpec="center" w:tblpY="-1349"/>
        <w:tblW w:w="10598" w:type="dxa"/>
        <w:tblInd w:w="0" w:type="dxa"/>
        <w:tblLayout w:type="autofit"/>
        <w:tblCellMar>
          <w:top w:w="0" w:type="dxa"/>
          <w:left w:w="108" w:type="dxa"/>
          <w:bottom w:w="0" w:type="dxa"/>
          <w:right w:w="108" w:type="dxa"/>
        </w:tblCellMar>
      </w:tblPr>
      <w:tblGrid>
        <w:gridCol w:w="1080"/>
        <w:gridCol w:w="1140"/>
        <w:gridCol w:w="740"/>
        <w:gridCol w:w="2251"/>
        <w:gridCol w:w="2389"/>
        <w:gridCol w:w="2998"/>
      </w:tblGrid>
      <w:tr>
        <w:tblPrEx>
          <w:tblCellMar>
            <w:top w:w="0" w:type="dxa"/>
            <w:left w:w="108" w:type="dxa"/>
            <w:bottom w:w="0" w:type="dxa"/>
            <w:right w:w="108" w:type="dxa"/>
          </w:tblCellMar>
        </w:tblPrEx>
        <w:trPr>
          <w:trHeight w:val="405" w:hRule="atLeast"/>
        </w:trPr>
        <w:tc>
          <w:tcPr>
            <w:tcW w:w="10598"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p>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trPr>
        <w:tc>
          <w:tcPr>
            <w:tcW w:w="10598" w:type="dxa"/>
            <w:gridSpan w:val="6"/>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600" w:hRule="atLeast"/>
        </w:trPr>
        <w:tc>
          <w:tcPr>
            <w:tcW w:w="29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项目名称</w:t>
            </w:r>
          </w:p>
        </w:tc>
        <w:tc>
          <w:tcPr>
            <w:tcW w:w="763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老旧小区改造项目</w:t>
            </w:r>
          </w:p>
        </w:tc>
      </w:tr>
      <w:tr>
        <w:tblPrEx>
          <w:tblCellMar>
            <w:top w:w="0" w:type="dxa"/>
            <w:left w:w="108" w:type="dxa"/>
            <w:bottom w:w="0" w:type="dxa"/>
            <w:right w:w="108" w:type="dxa"/>
          </w:tblCellMar>
        </w:tblPrEx>
        <w:trPr>
          <w:trHeight w:val="540" w:hRule="atLeast"/>
        </w:trPr>
        <w:tc>
          <w:tcPr>
            <w:tcW w:w="29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预算单位</w:t>
            </w:r>
          </w:p>
        </w:tc>
        <w:tc>
          <w:tcPr>
            <w:tcW w:w="763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762"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预算</w:t>
            </w:r>
            <w:r>
              <w:rPr>
                <w:rFonts w:hint="eastAsia" w:ascii="宋体" w:hAnsi="宋体" w:cs="宋体"/>
                <w:kern w:val="0"/>
                <w:sz w:val="24"/>
              </w:rPr>
              <w:br w:type="textWrapping"/>
            </w:r>
            <w:r>
              <w:rPr>
                <w:rFonts w:hint="eastAsia" w:ascii="宋体" w:hAnsi="宋体" w:cs="宋体"/>
                <w:kern w:val="0"/>
                <w:sz w:val="24"/>
              </w:rPr>
              <w:t>执行</w:t>
            </w:r>
            <w:r>
              <w:rPr>
                <w:rFonts w:hint="eastAsia" w:ascii="宋体" w:hAnsi="宋体" w:cs="宋体"/>
                <w:kern w:val="0"/>
                <w:sz w:val="24"/>
              </w:rPr>
              <w:br w:type="textWrapping"/>
            </w:r>
            <w:r>
              <w:rPr>
                <w:rFonts w:hint="eastAsia" w:ascii="宋体" w:hAnsi="宋体" w:cs="宋体"/>
                <w:kern w:val="0"/>
                <w:sz w:val="24"/>
              </w:rPr>
              <w:t>情况</w:t>
            </w:r>
            <w:r>
              <w:rPr>
                <w:rFonts w:hint="eastAsia" w:ascii="宋体" w:hAnsi="宋体" w:cs="宋体"/>
                <w:kern w:val="0"/>
                <w:sz w:val="24"/>
              </w:rPr>
              <w:br w:type="textWrapping"/>
            </w:r>
            <w:r>
              <w:rPr>
                <w:rFonts w:hint="eastAsia" w:ascii="宋体" w:hAnsi="宋体" w:cs="宋体"/>
                <w:kern w:val="0"/>
                <w:sz w:val="16"/>
                <w:szCs w:val="16"/>
              </w:rPr>
              <w:t>（万元）</w:t>
            </w:r>
          </w:p>
        </w:tc>
        <w:tc>
          <w:tcPr>
            <w:tcW w:w="18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4"/>
              </w:rPr>
            </w:pPr>
            <w:r>
              <w:rPr>
                <w:rFonts w:hint="eastAsia" w:ascii="宋体" w:hAnsi="宋体" w:cs="宋体"/>
                <w:kern w:val="0"/>
                <w:sz w:val="24"/>
              </w:rPr>
              <w:t xml:space="preserve"> 预算数：</w:t>
            </w:r>
          </w:p>
        </w:tc>
        <w:tc>
          <w:tcPr>
            <w:tcW w:w="225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2326万元</w:t>
            </w:r>
          </w:p>
        </w:tc>
        <w:tc>
          <w:tcPr>
            <w:tcW w:w="23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执行数：</w:t>
            </w:r>
          </w:p>
        </w:tc>
        <w:tc>
          <w:tcPr>
            <w:tcW w:w="2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2326万元</w:t>
            </w:r>
          </w:p>
        </w:tc>
      </w:tr>
      <w:tr>
        <w:tblPrEx>
          <w:tblCellMar>
            <w:top w:w="0" w:type="dxa"/>
            <w:left w:w="108" w:type="dxa"/>
            <w:bottom w:w="0" w:type="dxa"/>
            <w:right w:w="108" w:type="dxa"/>
          </w:tblCellMar>
        </w:tblPrEx>
        <w:trPr>
          <w:trHeight w:val="78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8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其中：财政拨款</w:t>
            </w:r>
          </w:p>
        </w:tc>
        <w:tc>
          <w:tcPr>
            <w:tcW w:w="225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2326万元</w:t>
            </w:r>
          </w:p>
        </w:tc>
        <w:tc>
          <w:tcPr>
            <w:tcW w:w="2389"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其中：财政拨款</w:t>
            </w:r>
          </w:p>
        </w:tc>
        <w:tc>
          <w:tcPr>
            <w:tcW w:w="2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2326万元</w:t>
            </w:r>
          </w:p>
        </w:tc>
      </w:tr>
      <w:tr>
        <w:tblPrEx>
          <w:tblCellMar>
            <w:top w:w="0" w:type="dxa"/>
            <w:left w:w="108" w:type="dxa"/>
            <w:bottom w:w="0" w:type="dxa"/>
            <w:right w:w="108" w:type="dxa"/>
          </w:tblCellMar>
        </w:tblPrEx>
        <w:trPr>
          <w:trHeight w:val="46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8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2"/>
                <w:szCs w:val="22"/>
              </w:rPr>
            </w:pPr>
            <w:r>
              <w:rPr>
                <w:rFonts w:hint="eastAsia" w:ascii="宋体" w:hAnsi="宋体" w:cs="宋体"/>
                <w:kern w:val="0"/>
                <w:sz w:val="22"/>
                <w:szCs w:val="22"/>
              </w:rPr>
              <w:t>其他资金</w:t>
            </w:r>
          </w:p>
        </w:tc>
        <w:tc>
          <w:tcPr>
            <w:tcW w:w="2251"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389"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299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w:t>
            </w:r>
            <w:r>
              <w:rPr>
                <w:rFonts w:hint="eastAsia" w:ascii="宋体" w:hAnsi="宋体" w:cs="宋体"/>
                <w:kern w:val="0"/>
                <w:sz w:val="24"/>
              </w:rPr>
              <w:br w:type="textWrapping"/>
            </w:r>
            <w:r>
              <w:rPr>
                <w:rFonts w:hint="eastAsia" w:ascii="宋体" w:hAnsi="宋体" w:cs="宋体"/>
                <w:kern w:val="0"/>
                <w:sz w:val="24"/>
              </w:rPr>
              <w:t>目标</w:t>
            </w:r>
            <w:r>
              <w:rPr>
                <w:rFonts w:hint="eastAsia" w:ascii="宋体" w:hAnsi="宋体" w:cs="宋体"/>
                <w:kern w:val="0"/>
                <w:sz w:val="24"/>
              </w:rPr>
              <w:br w:type="textWrapping"/>
            </w:r>
            <w:r>
              <w:rPr>
                <w:rFonts w:hint="eastAsia" w:ascii="宋体" w:hAnsi="宋体" w:cs="宋体"/>
                <w:kern w:val="0"/>
                <w:sz w:val="24"/>
              </w:rPr>
              <w:t>完成</w:t>
            </w:r>
            <w:r>
              <w:rPr>
                <w:rFonts w:hint="eastAsia" w:ascii="宋体" w:hAnsi="宋体" w:cs="宋体"/>
                <w:kern w:val="0"/>
                <w:sz w:val="24"/>
              </w:rPr>
              <w:br w:type="textWrapping"/>
            </w:r>
            <w:r>
              <w:rPr>
                <w:rFonts w:hint="eastAsia" w:ascii="宋体" w:hAnsi="宋体" w:cs="宋体"/>
                <w:kern w:val="0"/>
                <w:sz w:val="24"/>
              </w:rPr>
              <w:t>情况</w:t>
            </w:r>
          </w:p>
        </w:tc>
        <w:tc>
          <w:tcPr>
            <w:tcW w:w="4131"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预期目标</w:t>
            </w:r>
          </w:p>
        </w:tc>
        <w:tc>
          <w:tcPr>
            <w:tcW w:w="53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实际完成目标</w:t>
            </w:r>
          </w:p>
        </w:tc>
      </w:tr>
      <w:tr>
        <w:tblPrEx>
          <w:tblCellMar>
            <w:top w:w="0" w:type="dxa"/>
            <w:left w:w="108" w:type="dxa"/>
            <w:bottom w:w="0" w:type="dxa"/>
            <w:right w:w="108" w:type="dxa"/>
          </w:tblCellMar>
        </w:tblPrEx>
        <w:trPr>
          <w:trHeight w:val="1515"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4131"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改造天河片区、迎祥片区、南轩片区周边配套道路及小区内道路、绿化、停车位、公共活动场地、无障碍设施、围墙、出入口改造及水、电、气 、通讯、照明、安防等其他配套设施设备。</w:t>
            </w:r>
          </w:p>
        </w:tc>
        <w:tc>
          <w:tcPr>
            <w:tcW w:w="538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已完成天河片区、迎祥片区、南轩片区的测绘摸底、方案编制、设计服务等前期工作，工程施工已全面开展。</w:t>
            </w:r>
          </w:p>
        </w:tc>
      </w:tr>
      <w:tr>
        <w:tblPrEx>
          <w:tblCellMar>
            <w:top w:w="0" w:type="dxa"/>
            <w:left w:w="108" w:type="dxa"/>
            <w:bottom w:w="0" w:type="dxa"/>
            <w:right w:w="108" w:type="dxa"/>
          </w:tblCellMar>
        </w:tblPrEx>
        <w:trPr>
          <w:trHeight w:val="570" w:hRule="atLeast"/>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年度</w:t>
            </w:r>
            <w:r>
              <w:rPr>
                <w:rFonts w:hint="eastAsia" w:ascii="宋体" w:hAnsi="宋体" w:cs="宋体"/>
                <w:kern w:val="0"/>
                <w:sz w:val="24"/>
              </w:rPr>
              <w:br w:type="textWrapping"/>
            </w:r>
            <w:r>
              <w:rPr>
                <w:rFonts w:hint="eastAsia" w:ascii="宋体" w:hAnsi="宋体" w:cs="宋体"/>
                <w:kern w:val="0"/>
                <w:sz w:val="24"/>
              </w:rPr>
              <w:t>绩效</w:t>
            </w:r>
            <w:r>
              <w:rPr>
                <w:rFonts w:hint="eastAsia" w:ascii="宋体" w:hAnsi="宋体" w:cs="宋体"/>
                <w:kern w:val="0"/>
                <w:sz w:val="24"/>
              </w:rPr>
              <w:br w:type="textWrapping"/>
            </w:r>
            <w:r>
              <w:rPr>
                <w:rFonts w:hint="eastAsia" w:ascii="宋体" w:hAnsi="宋体" w:cs="宋体"/>
                <w:kern w:val="0"/>
                <w:sz w:val="24"/>
              </w:rPr>
              <w:t>指标</w:t>
            </w:r>
            <w:r>
              <w:rPr>
                <w:rFonts w:hint="eastAsia" w:ascii="宋体" w:hAnsi="宋体" w:cs="宋体"/>
                <w:kern w:val="0"/>
                <w:sz w:val="24"/>
              </w:rPr>
              <w:br w:type="textWrapping"/>
            </w:r>
            <w:r>
              <w:rPr>
                <w:rFonts w:hint="eastAsia" w:ascii="宋体" w:hAnsi="宋体" w:cs="宋体"/>
                <w:kern w:val="0"/>
                <w:sz w:val="24"/>
              </w:rPr>
              <w:t>完成</w:t>
            </w:r>
            <w:r>
              <w:rPr>
                <w:rFonts w:hint="eastAsia" w:ascii="宋体" w:hAnsi="宋体" w:cs="宋体"/>
                <w:kern w:val="0"/>
                <w:sz w:val="24"/>
              </w:rPr>
              <w:br w:type="textWrapping"/>
            </w:r>
            <w:r>
              <w:rPr>
                <w:rFonts w:hint="eastAsia" w:ascii="宋体" w:hAnsi="宋体" w:cs="宋体"/>
                <w:kern w:val="0"/>
                <w:sz w:val="24"/>
              </w:rPr>
              <w:t>情况</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一级指标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二级指标</w:t>
            </w:r>
          </w:p>
        </w:tc>
        <w:tc>
          <w:tcPr>
            <w:tcW w:w="22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23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预期指标值（包含数字及文字描述）</w:t>
            </w:r>
          </w:p>
        </w:tc>
        <w:tc>
          <w:tcPr>
            <w:tcW w:w="2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实际完成指标值（包含数字及文字描述）</w:t>
            </w:r>
          </w:p>
        </w:tc>
      </w:tr>
      <w:tr>
        <w:tblPrEx>
          <w:tblCellMar>
            <w:top w:w="0" w:type="dxa"/>
            <w:left w:w="108" w:type="dxa"/>
            <w:bottom w:w="0" w:type="dxa"/>
            <w:right w:w="108" w:type="dxa"/>
          </w:tblCellMar>
        </w:tblPrEx>
        <w:trPr>
          <w:trHeight w:val="96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项目完成指标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质量指标</w:t>
            </w:r>
          </w:p>
        </w:tc>
        <w:tc>
          <w:tcPr>
            <w:tcW w:w="22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按照《建设工程质量管理条例》及合同执行</w:t>
            </w:r>
          </w:p>
        </w:tc>
        <w:tc>
          <w:tcPr>
            <w:tcW w:w="23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质量达标率良好，产出成本可控</w:t>
            </w:r>
          </w:p>
        </w:tc>
        <w:tc>
          <w:tcPr>
            <w:tcW w:w="2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质量达标率良好，产出成本可控</w:t>
            </w:r>
          </w:p>
        </w:tc>
      </w:tr>
      <w:tr>
        <w:tblPrEx>
          <w:tblCellMar>
            <w:top w:w="0" w:type="dxa"/>
            <w:left w:w="108" w:type="dxa"/>
            <w:bottom w:w="0" w:type="dxa"/>
            <w:right w:w="108" w:type="dxa"/>
          </w:tblCellMar>
        </w:tblPrEx>
        <w:trPr>
          <w:trHeight w:val="78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时效指标</w:t>
            </w:r>
          </w:p>
        </w:tc>
        <w:tc>
          <w:tcPr>
            <w:tcW w:w="22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23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2022年8月竣工</w:t>
            </w:r>
          </w:p>
        </w:tc>
        <w:tc>
          <w:tcPr>
            <w:tcW w:w="2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预计2022年8月竣工</w:t>
            </w:r>
          </w:p>
        </w:tc>
      </w:tr>
      <w:tr>
        <w:tblPrEx>
          <w:tblCellMar>
            <w:top w:w="0" w:type="dxa"/>
            <w:left w:w="108" w:type="dxa"/>
            <w:bottom w:w="0" w:type="dxa"/>
            <w:right w:w="108" w:type="dxa"/>
          </w:tblCellMar>
        </w:tblPrEx>
        <w:trPr>
          <w:trHeight w:val="840"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成本指标</w:t>
            </w:r>
          </w:p>
        </w:tc>
        <w:tc>
          <w:tcPr>
            <w:tcW w:w="22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根据合同内容及施工进度支付相关费用</w:t>
            </w:r>
          </w:p>
        </w:tc>
        <w:tc>
          <w:tcPr>
            <w:tcW w:w="23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≤2326万元</w:t>
            </w:r>
          </w:p>
        </w:tc>
        <w:tc>
          <w:tcPr>
            <w:tcW w:w="2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共计支付资金2326万元</w:t>
            </w:r>
          </w:p>
        </w:tc>
      </w:tr>
      <w:tr>
        <w:tblPrEx>
          <w:tblCellMar>
            <w:top w:w="0" w:type="dxa"/>
            <w:left w:w="108" w:type="dxa"/>
            <w:bottom w:w="0" w:type="dxa"/>
            <w:right w:w="108" w:type="dxa"/>
          </w:tblCellMar>
        </w:tblPrEx>
        <w:trPr>
          <w:trHeight w:val="2262"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项目效果指标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经济效益</w:t>
            </w:r>
            <w:r>
              <w:rPr>
                <w:rFonts w:hint="eastAsia" w:ascii="宋体" w:hAnsi="宋体" w:cs="宋体"/>
                <w:kern w:val="0"/>
                <w:sz w:val="24"/>
              </w:rPr>
              <w:br w:type="textWrapping"/>
            </w:r>
            <w:r>
              <w:rPr>
                <w:rFonts w:hint="eastAsia" w:ascii="宋体" w:hAnsi="宋体" w:cs="宋体"/>
                <w:kern w:val="0"/>
                <w:sz w:val="24"/>
              </w:rPr>
              <w:t>指标</w:t>
            </w:r>
          </w:p>
        </w:tc>
        <w:tc>
          <w:tcPr>
            <w:tcW w:w="22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该项目建成后，将拉动投资和消费，有利于进一步推动当地的建设，吸引投资推动绵竹市经济增长，新增众多的就业机会，从而解决部分市民的就业问题。</w:t>
            </w:r>
          </w:p>
        </w:tc>
        <w:tc>
          <w:tcPr>
            <w:tcW w:w="23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c>
          <w:tcPr>
            <w:tcW w:w="2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1519"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社会效益</w:t>
            </w:r>
            <w:r>
              <w:rPr>
                <w:rFonts w:hint="eastAsia" w:ascii="宋体" w:hAnsi="宋体" w:cs="宋体"/>
                <w:kern w:val="0"/>
                <w:sz w:val="24"/>
              </w:rPr>
              <w:br w:type="textWrapping"/>
            </w:r>
            <w:r>
              <w:rPr>
                <w:rFonts w:hint="eastAsia" w:ascii="宋体" w:hAnsi="宋体" w:cs="宋体"/>
                <w:kern w:val="0"/>
                <w:sz w:val="24"/>
              </w:rPr>
              <w:t>指标</w:t>
            </w:r>
          </w:p>
        </w:tc>
        <w:tc>
          <w:tcPr>
            <w:tcW w:w="22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该项目的建设实施将提高和改善居民的居住水平和生活环境质量，促进生活配套等各方面设施的完善。</w:t>
            </w:r>
          </w:p>
        </w:tc>
        <w:tc>
          <w:tcPr>
            <w:tcW w:w="23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c>
          <w:tcPr>
            <w:tcW w:w="2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1039" w:hRule="atLeast"/>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4"/>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w:t>
            </w:r>
            <w:r>
              <w:rPr>
                <w:rFonts w:hint="eastAsia" w:ascii="宋体" w:hAnsi="宋体" w:cs="宋体"/>
                <w:kern w:val="0"/>
                <w:sz w:val="24"/>
              </w:rPr>
              <w:br w:type="textWrapping"/>
            </w:r>
            <w:r>
              <w:rPr>
                <w:rFonts w:hint="eastAsia" w:ascii="宋体" w:hAnsi="宋体" w:cs="宋体"/>
                <w:kern w:val="0"/>
                <w:sz w:val="24"/>
              </w:rPr>
              <w:t>指标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满意度指标</w:t>
            </w:r>
          </w:p>
        </w:tc>
        <w:tc>
          <w:tcPr>
            <w:tcW w:w="225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满意度</w:t>
            </w:r>
          </w:p>
        </w:tc>
        <w:tc>
          <w:tcPr>
            <w:tcW w:w="23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99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spacing w:line="580" w:lineRule="exact"/>
        <w:jc w:val="center"/>
        <w:rPr>
          <w:rFonts w:ascii="方正小标宋简体" w:hAnsi="宋体" w:eastAsia="方正小标宋简体"/>
          <w:kern w:val="0"/>
          <w:sz w:val="44"/>
          <w:szCs w:val="44"/>
        </w:rPr>
      </w:pPr>
      <w:r>
        <w:rPr>
          <w:rFonts w:hint="eastAsia" w:ascii="微软雅黑" w:hAnsi="微软雅黑" w:eastAsia="微软雅黑" w:cs="微软雅黑"/>
          <w:kern w:val="0"/>
          <w:sz w:val="44"/>
          <w:szCs w:val="44"/>
        </w:rPr>
        <w:t>项目支出绩效自评报告</w:t>
      </w:r>
    </w:p>
    <w:p>
      <w:pPr>
        <w:spacing w:line="580" w:lineRule="exact"/>
        <w:jc w:val="center"/>
        <w:rPr>
          <w:rFonts w:ascii="仿宋" w:hAnsi="仿宋" w:eastAsia="仿宋" w:cs="仿宋"/>
          <w:sz w:val="32"/>
          <w:szCs w:val="32"/>
        </w:rPr>
      </w:pPr>
      <w:r>
        <w:rPr>
          <w:rFonts w:hint="eastAsia" w:ascii="仿宋" w:hAnsi="仿宋" w:eastAsia="仿宋" w:cs="仿宋"/>
          <w:sz w:val="32"/>
          <w:szCs w:val="32"/>
        </w:rPr>
        <w:t>（2019年城市棚户区改造项目）</w:t>
      </w:r>
    </w:p>
    <w:p>
      <w:pPr>
        <w:spacing w:line="560" w:lineRule="exact"/>
        <w:rPr>
          <w:rFonts w:hint="eastAsia" w:ascii="宋体" w:hAnsi="??"/>
          <w:sz w:val="32"/>
          <w:szCs w:val="32"/>
        </w:rPr>
      </w:pPr>
      <w:r>
        <w:rPr>
          <w:rFonts w:hint="eastAsia" w:ascii="宋体" w:hAnsi="??"/>
          <w:sz w:val="32"/>
          <w:szCs w:val="32"/>
        </w:rPr>
        <w:t xml:space="preserve">      </w:t>
      </w:r>
    </w:p>
    <w:p>
      <w:pPr>
        <w:ind w:firstLine="640" w:firstLineChars="200"/>
        <w:rPr>
          <w:rFonts w:ascii="黑体" w:hAnsi="黑体" w:eastAsia="黑体"/>
          <w:sz w:val="32"/>
          <w:szCs w:val="32"/>
          <w:lang w:val="zh-CN"/>
        </w:rPr>
      </w:pPr>
      <w:r>
        <w:rPr>
          <w:rFonts w:hint="eastAsia" w:ascii="黑体" w:hAnsi="黑体" w:eastAsia="黑体"/>
          <w:sz w:val="32"/>
          <w:szCs w:val="32"/>
          <w:lang w:val="zh-CN"/>
        </w:rPr>
        <w:t>一、 项目概况</w:t>
      </w:r>
    </w:p>
    <w:p>
      <w:pPr>
        <w:adjustRightInd w:val="0"/>
        <w:snapToGrid w:val="0"/>
        <w:spacing w:line="580" w:lineRule="exact"/>
        <w:rPr>
          <w:rFonts w:ascii="黑体" w:hAnsi="宋体" w:eastAsia="黑体"/>
          <w:sz w:val="32"/>
          <w:szCs w:val="32"/>
        </w:rPr>
      </w:pPr>
      <w:r>
        <w:rPr>
          <w:rFonts w:hint="eastAsia" w:ascii="黑体" w:hAnsi="宋体" w:eastAsia="黑体"/>
          <w:sz w:val="32"/>
          <w:szCs w:val="32"/>
        </w:rPr>
        <w:t xml:space="preserve">  </w:t>
      </w:r>
      <w:r>
        <w:rPr>
          <w:rFonts w:hint="eastAsia" w:ascii="仿宋" w:hAnsi="仿宋" w:eastAsia="仿宋" w:cs="仿宋"/>
          <w:b/>
          <w:bCs/>
          <w:sz w:val="32"/>
          <w:szCs w:val="32"/>
        </w:rPr>
        <w:t xml:space="preserve">  （一）项目基本情况。</w:t>
      </w:r>
    </w:p>
    <w:p>
      <w:pPr>
        <w:numPr>
          <w:ilvl w:val="0"/>
          <w:numId w:val="5"/>
        </w:numPr>
        <w:adjustRightInd w:val="0"/>
        <w:snapToGrid w:val="0"/>
        <w:spacing w:line="580" w:lineRule="exact"/>
        <w:ind w:firstLine="720"/>
        <w:rPr>
          <w:rFonts w:ascii="仿宋" w:hAnsi="仿宋" w:eastAsia="仿宋" w:cs="仿宋"/>
          <w:sz w:val="32"/>
          <w:szCs w:val="32"/>
        </w:rPr>
      </w:pPr>
      <w:r>
        <w:rPr>
          <w:rFonts w:hint="eastAsia" w:ascii="仿宋" w:hAnsi="仿宋" w:eastAsia="仿宋" w:cs="仿宋"/>
          <w:sz w:val="32"/>
          <w:szCs w:val="32"/>
        </w:rPr>
        <w:t>项目名称：绵竹市2019城市棚户区改造项目</w:t>
      </w:r>
    </w:p>
    <w:p>
      <w:pPr>
        <w:numPr>
          <w:ilvl w:val="0"/>
          <w:numId w:val="5"/>
        </w:numPr>
        <w:adjustRightInd w:val="0"/>
        <w:snapToGrid w:val="0"/>
        <w:spacing w:line="580" w:lineRule="exact"/>
        <w:ind w:firstLine="720"/>
        <w:rPr>
          <w:rFonts w:ascii="仿宋" w:hAnsi="仿宋" w:eastAsia="仿宋" w:cs="仿宋"/>
          <w:sz w:val="32"/>
          <w:szCs w:val="32"/>
        </w:rPr>
      </w:pPr>
      <w:r>
        <w:rPr>
          <w:rFonts w:hint="eastAsia" w:ascii="仿宋" w:hAnsi="仿宋" w:eastAsia="仿宋" w:cs="仿宋"/>
          <w:sz w:val="32"/>
          <w:szCs w:val="32"/>
        </w:rPr>
        <w:t>项目业主：绵竹市金申投资集团有限公司</w:t>
      </w:r>
    </w:p>
    <w:p>
      <w:pPr>
        <w:numPr>
          <w:ilvl w:val="0"/>
          <w:numId w:val="5"/>
        </w:numPr>
        <w:adjustRightInd w:val="0"/>
        <w:snapToGrid w:val="0"/>
        <w:spacing w:line="580" w:lineRule="exact"/>
        <w:ind w:firstLine="720"/>
        <w:rPr>
          <w:rFonts w:ascii="仿宋" w:hAnsi="仿宋" w:eastAsia="仿宋" w:cs="仿宋"/>
          <w:sz w:val="32"/>
          <w:szCs w:val="32"/>
        </w:rPr>
      </w:pPr>
      <w:r>
        <w:rPr>
          <w:rFonts w:hint="eastAsia" w:ascii="仿宋" w:hAnsi="仿宋" w:eastAsia="仿宋" w:cs="仿宋"/>
          <w:sz w:val="32"/>
          <w:szCs w:val="32"/>
        </w:rPr>
        <w:t>建设地点：绵竹市剑南镇、东北镇。</w:t>
      </w:r>
    </w:p>
    <w:p>
      <w:pPr>
        <w:numPr>
          <w:ilvl w:val="0"/>
          <w:numId w:val="5"/>
        </w:numPr>
        <w:adjustRightInd w:val="0"/>
        <w:snapToGrid w:val="0"/>
        <w:spacing w:line="580" w:lineRule="exact"/>
        <w:ind w:firstLine="720"/>
        <w:rPr>
          <w:rFonts w:ascii="仿宋" w:hAnsi="仿宋" w:eastAsia="仿宋" w:cs="仿宋"/>
          <w:sz w:val="32"/>
          <w:szCs w:val="32"/>
        </w:rPr>
      </w:pPr>
      <w:r>
        <w:rPr>
          <w:rFonts w:hint="eastAsia" w:ascii="仿宋" w:hAnsi="仿宋" w:eastAsia="仿宋" w:cs="仿宋"/>
          <w:sz w:val="32"/>
          <w:szCs w:val="32"/>
        </w:rPr>
        <w:t>建设内容和规模：绵竹市2019城市棚户区改造项目主要包括代家巷片区160户、城东片区城中村337户，合计497户，项目总拆迁棚户区房屋面积48321.50平方米。项目共新建95542.98平方米安置房，包括新建住宅面积71284.30平方米，配套商业10235.00平方米，配套公共建筑3433.65平方米，地下建筑10590.00平方米，配套建设小区内部道路、景观绿化、室外停车场等。</w:t>
      </w:r>
    </w:p>
    <w:p>
      <w:pPr>
        <w:numPr>
          <w:ilvl w:val="0"/>
          <w:numId w:val="5"/>
        </w:numPr>
        <w:adjustRightInd w:val="0"/>
        <w:snapToGrid w:val="0"/>
        <w:spacing w:line="580" w:lineRule="exact"/>
        <w:ind w:firstLine="720"/>
        <w:rPr>
          <w:rFonts w:ascii="楷体_GB2312" w:hAnsi="宋体" w:eastAsia="楷体_GB2312"/>
          <w:bCs/>
          <w:sz w:val="32"/>
          <w:szCs w:val="32"/>
        </w:rPr>
      </w:pPr>
      <w:r>
        <w:rPr>
          <w:rFonts w:hint="eastAsia" w:ascii="仿宋" w:hAnsi="仿宋" w:eastAsia="仿宋" w:cs="仿宋"/>
          <w:sz w:val="32"/>
          <w:szCs w:val="32"/>
        </w:rPr>
        <w:t>资金来源：财政资金及自筹。</w:t>
      </w:r>
    </w:p>
    <w:p>
      <w:pPr>
        <w:adjustRightInd w:val="0"/>
        <w:snapToGrid w:val="0"/>
        <w:spacing w:line="580" w:lineRule="exact"/>
        <w:ind w:left="720"/>
        <w:rPr>
          <w:rFonts w:ascii="楷体_GB2312" w:hAnsi="宋体" w:eastAsia="楷体_GB2312"/>
          <w:bCs/>
          <w:sz w:val="32"/>
          <w:szCs w:val="32"/>
        </w:rPr>
      </w:pPr>
      <w:r>
        <w:rPr>
          <w:rFonts w:hint="eastAsia" w:ascii="楷体_GB2312" w:hAnsi="宋体" w:eastAsia="楷体_GB2312"/>
          <w:b/>
          <w:sz w:val="32"/>
          <w:szCs w:val="32"/>
          <w:lang w:val="zh-CN"/>
        </w:rPr>
        <w:t>（一）项目绩效目标。</w:t>
      </w:r>
    </w:p>
    <w:p>
      <w:pPr>
        <w:adjustRightInd w:val="0"/>
        <w:snapToGrid w:val="0"/>
        <w:spacing w:line="580" w:lineRule="exact"/>
        <w:ind w:firstLine="720"/>
        <w:rPr>
          <w:rFonts w:ascii="仿宋" w:hAnsi="仿宋" w:eastAsia="仿宋" w:cs="仿宋"/>
          <w:sz w:val="32"/>
          <w:szCs w:val="32"/>
        </w:rPr>
      </w:pPr>
      <w:r>
        <w:rPr>
          <w:rFonts w:hint="eastAsia" w:ascii="仿宋" w:hAnsi="仿宋" w:eastAsia="仿宋" w:cs="仿宋"/>
          <w:sz w:val="32"/>
          <w:szCs w:val="32"/>
        </w:rPr>
        <w:t>该项目包括绵竹市城东城中村安置房建设项目和绵竹市代家巷危旧房棚户区安置房建设项目。绵竹市城东城中村安置房建设项目计划2021年底完成总工程量的40%，绵竹市代家巷危旧房棚户区安置房建设项目计划完成前期工作。2019年城市棚户区改造项目的申报</w:t>
      </w:r>
      <w:r>
        <w:rPr>
          <w:rFonts w:hint="eastAsia" w:ascii="仿宋" w:hAnsi="仿宋" w:eastAsia="仿宋" w:cs="仿宋"/>
          <w:sz w:val="32"/>
          <w:szCs w:val="32"/>
          <w:lang w:val="zh-CN"/>
        </w:rPr>
        <w:t>内容</w:t>
      </w:r>
      <w:r>
        <w:rPr>
          <w:rFonts w:hint="eastAsia" w:ascii="仿宋" w:hAnsi="仿宋" w:eastAsia="仿宋" w:cs="仿宋"/>
          <w:sz w:val="32"/>
          <w:szCs w:val="32"/>
        </w:rPr>
        <w:t>与</w:t>
      </w:r>
      <w:r>
        <w:rPr>
          <w:rFonts w:hint="eastAsia" w:ascii="仿宋" w:hAnsi="仿宋" w:eastAsia="仿宋" w:cs="仿宋"/>
          <w:sz w:val="32"/>
          <w:szCs w:val="32"/>
          <w:lang w:val="zh-CN"/>
        </w:rPr>
        <w:t>具体实施内容</w:t>
      </w:r>
      <w:r>
        <w:rPr>
          <w:rFonts w:hint="eastAsia" w:ascii="仿宋" w:hAnsi="仿宋" w:eastAsia="仿宋" w:cs="仿宋"/>
          <w:sz w:val="32"/>
          <w:szCs w:val="32"/>
        </w:rPr>
        <w:t>一致</w:t>
      </w:r>
      <w:r>
        <w:rPr>
          <w:rFonts w:hint="eastAsia" w:ascii="仿宋" w:hAnsi="仿宋" w:eastAsia="仿宋" w:cs="仿宋"/>
          <w:sz w:val="32"/>
          <w:szCs w:val="32"/>
          <w:lang w:val="zh-CN"/>
        </w:rPr>
        <w:t>，申报目标合理可行</w:t>
      </w:r>
      <w:r>
        <w:rPr>
          <w:rFonts w:hint="eastAsia" w:ascii="仿宋" w:hAnsi="仿宋" w:eastAsia="仿宋" w:cs="仿宋"/>
          <w:sz w:val="32"/>
          <w:szCs w:val="32"/>
        </w:rPr>
        <w:t>且已纳入2019年城市棚户区改造计划。</w:t>
      </w:r>
    </w:p>
    <w:p>
      <w:pPr>
        <w:adjustRightInd w:val="0"/>
        <w:snapToGrid w:val="0"/>
        <w:spacing w:line="58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（二）项目自评步骤及方法。</w:t>
      </w:r>
    </w:p>
    <w:p>
      <w:pPr>
        <w:adjustRightInd w:val="0"/>
        <w:snapToGrid w:val="0"/>
        <w:spacing w:line="580" w:lineRule="exact"/>
        <w:ind w:firstLine="720"/>
        <w:rPr>
          <w:rFonts w:ascii="楷体_GB2312" w:hAnsi="宋体" w:eastAsia="楷体_GB2312"/>
          <w:b/>
          <w:sz w:val="32"/>
          <w:szCs w:val="32"/>
          <w:lang w:val="zh-CN"/>
        </w:rPr>
      </w:pPr>
      <w:r>
        <w:rPr>
          <w:rFonts w:hint="eastAsia" w:ascii="仿宋" w:hAnsi="仿宋" w:eastAsia="仿宋" w:cs="仿宋"/>
          <w:sz w:val="32"/>
          <w:szCs w:val="32"/>
          <w:lang w:val="zh-CN"/>
        </w:rPr>
        <w:t>由我局开展财政资金使用情况自评并撰写部门预算支出绩效报告，按规范格式按时提交自评报告。</w:t>
      </w:r>
    </w:p>
    <w:p>
      <w:pPr>
        <w:ind w:firstLine="640" w:firstLineChars="200"/>
        <w:rPr>
          <w:rFonts w:ascii="黑体" w:hAnsi="黑体" w:eastAsia="黑体"/>
          <w:sz w:val="32"/>
          <w:szCs w:val="32"/>
          <w:lang w:val="zh-CN"/>
        </w:rPr>
      </w:pPr>
      <w:r>
        <w:rPr>
          <w:rFonts w:hint="eastAsia" w:ascii="黑体" w:hAnsi="黑体" w:eastAsia="黑体"/>
          <w:sz w:val="32"/>
          <w:szCs w:val="32"/>
          <w:lang w:val="zh-CN"/>
        </w:rPr>
        <w:t>二、项目资金申报及使用情况</w:t>
      </w:r>
    </w:p>
    <w:p>
      <w:pPr>
        <w:adjustRightInd w:val="0"/>
        <w:snapToGrid w:val="0"/>
        <w:spacing w:line="580" w:lineRule="exact"/>
        <w:ind w:firstLine="642" w:firstLineChars="200"/>
        <w:rPr>
          <w:rFonts w:ascii="仿宋_GB2312" w:hAnsi="宋体" w:eastAsia="仿宋_GB2312"/>
          <w:b/>
          <w:bCs/>
          <w:sz w:val="32"/>
          <w:szCs w:val="32"/>
        </w:rPr>
      </w:pPr>
      <w:r>
        <w:rPr>
          <w:rFonts w:hint="eastAsia" w:ascii="仿宋_GB2312" w:hAnsi="宋体" w:eastAsia="仿宋_GB2312"/>
          <w:b/>
          <w:bCs/>
          <w:sz w:val="32"/>
          <w:szCs w:val="32"/>
        </w:rPr>
        <w:t>（一）项目资金申报及批复情况</w:t>
      </w:r>
    </w:p>
    <w:p>
      <w:pPr>
        <w:adjustRightInd w:val="0"/>
        <w:snapToGrid w:val="0"/>
        <w:spacing w:line="580" w:lineRule="exact"/>
        <w:ind w:firstLine="720"/>
        <w:rPr>
          <w:rFonts w:ascii="仿宋" w:hAnsi="仿宋" w:eastAsia="仿宋" w:cs="仿宋"/>
          <w:sz w:val="32"/>
          <w:szCs w:val="32"/>
        </w:rPr>
      </w:pPr>
      <w:r>
        <w:rPr>
          <w:rFonts w:hint="eastAsia" w:ascii="仿宋" w:hAnsi="仿宋" w:eastAsia="仿宋" w:cs="仿宋"/>
          <w:sz w:val="32"/>
          <w:szCs w:val="32"/>
        </w:rPr>
        <w:t>项目经市发改局《关于绵竹市2019年城市棚户区改造项目可行性研究报告（代项目建议书的批复)》（竹发改审</w:t>
      </w:r>
      <w:r>
        <w:rPr>
          <w:rFonts w:hint="eastAsia" w:ascii="仿宋" w:hAnsi="仿宋" w:eastAsia="仿宋" w:cs="仿宋"/>
          <w:sz w:val="32"/>
          <w:szCs w:val="32"/>
          <w:lang w:eastAsia="zh-CN"/>
        </w:rPr>
        <w:t>〔</w:t>
      </w:r>
      <w:r>
        <w:rPr>
          <w:rFonts w:hint="eastAsia" w:ascii="仿宋" w:hAnsi="仿宋" w:eastAsia="仿宋" w:cs="仿宋"/>
          <w:sz w:val="32"/>
          <w:szCs w:val="32"/>
        </w:rPr>
        <w:t>2019</w:t>
      </w:r>
      <w:r>
        <w:rPr>
          <w:rFonts w:hint="eastAsia" w:ascii="仿宋" w:hAnsi="仿宋" w:eastAsia="仿宋" w:cs="仿宋"/>
          <w:sz w:val="32"/>
          <w:szCs w:val="32"/>
          <w:lang w:eastAsia="zh-CN"/>
        </w:rPr>
        <w:t>〕</w:t>
      </w:r>
      <w:r>
        <w:rPr>
          <w:rFonts w:hint="eastAsia" w:ascii="仿宋" w:hAnsi="仿宋" w:eastAsia="仿宋" w:cs="仿宋"/>
          <w:sz w:val="32"/>
          <w:szCs w:val="32"/>
        </w:rPr>
        <w:t>23号</w:t>
      </w:r>
      <w:r>
        <w:rPr>
          <w:rFonts w:hint="eastAsia" w:ascii="仿宋" w:hAnsi="仿宋" w:eastAsia="仿宋" w:cs="仿宋"/>
          <w:sz w:val="32"/>
          <w:szCs w:val="32"/>
          <w:lang w:eastAsia="zh-CN"/>
        </w:rPr>
        <w:t>）</w:t>
      </w:r>
      <w:r>
        <w:rPr>
          <w:rFonts w:hint="eastAsia" w:ascii="仿宋" w:hAnsi="仿宋" w:eastAsia="仿宋" w:cs="仿宋"/>
          <w:sz w:val="32"/>
          <w:szCs w:val="32"/>
        </w:rPr>
        <w:t>《关于绵竹市城东片区城中村安置房建设项目初步设计及投资概算的批复》（竹发改审</w:t>
      </w:r>
      <w:r>
        <w:rPr>
          <w:rFonts w:hint="eastAsia" w:ascii="仿宋" w:hAnsi="仿宋" w:eastAsia="仿宋" w:cs="仿宋"/>
          <w:sz w:val="32"/>
          <w:szCs w:val="32"/>
          <w:lang w:eastAsia="zh-CN"/>
        </w:rPr>
        <w:t>〔</w:t>
      </w:r>
      <w:r>
        <w:rPr>
          <w:rFonts w:hint="eastAsia" w:ascii="仿宋" w:hAnsi="仿宋" w:eastAsia="仿宋" w:cs="仿宋"/>
          <w:sz w:val="32"/>
          <w:szCs w:val="32"/>
        </w:rPr>
        <w:t>2020</w:t>
      </w:r>
      <w:r>
        <w:rPr>
          <w:rFonts w:hint="eastAsia" w:ascii="仿宋" w:hAnsi="仿宋" w:eastAsia="仿宋" w:cs="仿宋"/>
          <w:sz w:val="32"/>
          <w:szCs w:val="32"/>
          <w:lang w:eastAsia="zh-CN"/>
        </w:rPr>
        <w:t>〕</w:t>
      </w:r>
      <w:r>
        <w:rPr>
          <w:rFonts w:hint="eastAsia" w:ascii="仿宋" w:hAnsi="仿宋" w:eastAsia="仿宋" w:cs="仿宋"/>
          <w:sz w:val="32"/>
          <w:szCs w:val="32"/>
        </w:rPr>
        <w:t>2号</w:t>
      </w:r>
      <w:r>
        <w:rPr>
          <w:rFonts w:hint="eastAsia" w:ascii="仿宋" w:hAnsi="仿宋" w:eastAsia="仿宋" w:cs="仿宋"/>
          <w:sz w:val="32"/>
          <w:szCs w:val="32"/>
          <w:lang w:eastAsia="zh-CN"/>
        </w:rPr>
        <w:t>）</w:t>
      </w:r>
      <w:r>
        <w:rPr>
          <w:rFonts w:hint="eastAsia" w:ascii="仿宋" w:hAnsi="仿宋" w:eastAsia="仿宋" w:cs="仿宋"/>
          <w:sz w:val="32"/>
          <w:szCs w:val="32"/>
        </w:rPr>
        <w:t>批复立项，投资概算金额为8922.09万元，资金来源为本级财政资金。经发改局《关于绵竹市代家巷危旧房棚户区安置房项目投资概算的批复》（竹发改审</w:t>
      </w:r>
      <w:r>
        <w:rPr>
          <w:rFonts w:hint="eastAsia" w:ascii="仿宋" w:hAnsi="仿宋" w:eastAsia="仿宋" w:cs="仿宋"/>
          <w:sz w:val="32"/>
          <w:szCs w:val="32"/>
          <w:lang w:eastAsia="zh-CN"/>
        </w:rPr>
        <w:t>〔</w:t>
      </w:r>
      <w:r>
        <w:rPr>
          <w:rFonts w:hint="eastAsia" w:ascii="仿宋" w:hAnsi="仿宋" w:eastAsia="仿宋" w:cs="仿宋"/>
          <w:sz w:val="32"/>
          <w:szCs w:val="32"/>
        </w:rPr>
        <w:t>2021</w:t>
      </w:r>
      <w:r>
        <w:rPr>
          <w:rFonts w:hint="eastAsia" w:ascii="仿宋" w:hAnsi="仿宋" w:eastAsia="仿宋" w:cs="仿宋"/>
          <w:sz w:val="32"/>
          <w:szCs w:val="32"/>
          <w:lang w:eastAsia="zh-CN"/>
        </w:rPr>
        <w:t>〕</w:t>
      </w:r>
      <w:r>
        <w:rPr>
          <w:rFonts w:hint="eastAsia" w:ascii="仿宋" w:hAnsi="仿宋" w:eastAsia="仿宋" w:cs="仿宋"/>
          <w:sz w:val="32"/>
          <w:szCs w:val="32"/>
        </w:rPr>
        <w:t>122号</w:t>
      </w:r>
      <w:r>
        <w:rPr>
          <w:rFonts w:hint="eastAsia" w:ascii="仿宋" w:hAnsi="仿宋" w:eastAsia="仿宋" w:cs="仿宋"/>
          <w:sz w:val="32"/>
          <w:szCs w:val="32"/>
          <w:lang w:eastAsia="zh-CN"/>
        </w:rPr>
        <w:t>）</w:t>
      </w:r>
      <w:r>
        <w:rPr>
          <w:rFonts w:hint="eastAsia" w:ascii="仿宋" w:hAnsi="仿宋" w:eastAsia="仿宋" w:cs="仿宋"/>
          <w:sz w:val="32"/>
          <w:szCs w:val="32"/>
        </w:rPr>
        <w:t>，投资概算金额为28004.073万元，资金来源为本级财政资金。</w:t>
      </w:r>
    </w:p>
    <w:p>
      <w:pPr>
        <w:adjustRightInd w:val="0"/>
        <w:snapToGrid w:val="0"/>
        <w:spacing w:line="58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80" w:lineRule="exact"/>
        <w:ind w:firstLine="720"/>
        <w:rPr>
          <w:rFonts w:ascii="仿宋" w:hAnsi="仿宋" w:eastAsia="仿宋" w:cs="仿宋"/>
          <w:sz w:val="32"/>
          <w:szCs w:val="32"/>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．资金计划及到位。该</w:t>
      </w:r>
      <w:r>
        <w:rPr>
          <w:rFonts w:hint="eastAsia" w:ascii="仿宋" w:hAnsi="仿宋" w:eastAsia="仿宋" w:cs="仿宋"/>
          <w:sz w:val="32"/>
          <w:szCs w:val="32"/>
          <w:lang w:val="zh-CN"/>
        </w:rPr>
        <w:t>项目</w:t>
      </w:r>
      <w:r>
        <w:rPr>
          <w:rFonts w:hint="eastAsia" w:ascii="仿宋" w:hAnsi="仿宋" w:eastAsia="仿宋" w:cs="仿宋"/>
          <w:sz w:val="32"/>
          <w:szCs w:val="32"/>
        </w:rPr>
        <w:t>根据川财综（2020）34号文件下达2021年中央财政城镇保障性安居工程补助资金3万元，根据川财综</w:t>
      </w:r>
      <w:r>
        <w:rPr>
          <w:rFonts w:hint="eastAsia" w:ascii="仿宋" w:hAnsi="仿宋" w:eastAsia="仿宋" w:cs="仿宋"/>
          <w:sz w:val="32"/>
          <w:szCs w:val="32"/>
          <w:lang w:eastAsia="zh-CN"/>
        </w:rPr>
        <w:t>〔</w:t>
      </w:r>
      <w:r>
        <w:rPr>
          <w:rFonts w:hint="eastAsia" w:ascii="仿宋" w:hAnsi="仿宋" w:eastAsia="仿宋" w:cs="仿宋"/>
          <w:sz w:val="32"/>
          <w:szCs w:val="32"/>
        </w:rPr>
        <w:t>2021</w:t>
      </w:r>
      <w:r>
        <w:rPr>
          <w:rFonts w:hint="eastAsia" w:ascii="仿宋" w:hAnsi="仿宋" w:eastAsia="仿宋" w:cs="仿宋"/>
          <w:sz w:val="32"/>
          <w:szCs w:val="32"/>
          <w:lang w:eastAsia="zh-CN"/>
        </w:rPr>
        <w:t>〕</w:t>
      </w:r>
      <w:r>
        <w:rPr>
          <w:rFonts w:hint="eastAsia" w:ascii="仿宋" w:hAnsi="仿宋" w:eastAsia="仿宋" w:cs="仿宋"/>
          <w:sz w:val="32"/>
          <w:szCs w:val="32"/>
        </w:rPr>
        <w:t>3号文件下达2021年省级财政城镇保障性安居工程补助资金3万元，根据川财综（2020）35号文件下达2021年省级财政城镇保障性安居工程补助资金1万元，根据年初住建（2021）31号下达960万元，根据德市财综</w:t>
      </w:r>
      <w:r>
        <w:rPr>
          <w:rFonts w:hint="eastAsia" w:ascii="仿宋" w:hAnsi="仿宋" w:eastAsia="仿宋" w:cs="仿宋"/>
          <w:sz w:val="32"/>
          <w:szCs w:val="32"/>
          <w:lang w:eastAsia="zh-CN"/>
        </w:rPr>
        <w:t>〔</w:t>
      </w:r>
      <w:r>
        <w:rPr>
          <w:rFonts w:hint="eastAsia" w:ascii="仿宋" w:hAnsi="仿宋" w:eastAsia="仿宋" w:cs="仿宋"/>
          <w:sz w:val="32"/>
          <w:szCs w:val="32"/>
        </w:rPr>
        <w:t>2021</w:t>
      </w:r>
      <w:r>
        <w:rPr>
          <w:rFonts w:hint="eastAsia" w:ascii="仿宋" w:hAnsi="仿宋" w:eastAsia="仿宋" w:cs="仿宋"/>
          <w:sz w:val="32"/>
          <w:szCs w:val="32"/>
          <w:lang w:eastAsia="zh-CN"/>
        </w:rPr>
        <w:t>〕</w:t>
      </w:r>
      <w:r>
        <w:rPr>
          <w:rFonts w:hint="eastAsia" w:ascii="仿宋" w:hAnsi="仿宋" w:eastAsia="仿宋" w:cs="仿宋"/>
          <w:sz w:val="32"/>
          <w:szCs w:val="32"/>
        </w:rPr>
        <w:t>04号文件下达公积金增值收益用于保障性安居工程建设补充资金35万元（因年底不能完全形成支出，按竹财资环减（2021）54号-4号文件指标追减1.75万元结转至下年使用。）下达市住建局2021年第二批专项债券资金5100万元。实际到位资金共计6102万元。</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该项目资金预算指标为中央财政城镇保障性安居工程补助资金、省级财政城镇保障性安居工程补助资金、专项债券资金和地方财政资金，</w:t>
      </w:r>
      <w:r>
        <w:rPr>
          <w:rFonts w:hint="eastAsia" w:ascii="仿宋" w:hAnsi="仿宋" w:eastAsia="仿宋" w:cs="仿宋"/>
          <w:sz w:val="32"/>
          <w:szCs w:val="32"/>
        </w:rPr>
        <w:t>以上资金指标全部及时到位，资金到位率100%，</w:t>
      </w:r>
      <w:r>
        <w:rPr>
          <w:rFonts w:hint="eastAsia" w:ascii="仿宋" w:hAnsi="仿宋" w:eastAsia="仿宋" w:cs="仿宋"/>
          <w:sz w:val="32"/>
          <w:szCs w:val="32"/>
          <w:lang w:val="zh-CN"/>
        </w:rPr>
        <w:t>到位及时性</w:t>
      </w:r>
      <w:r>
        <w:rPr>
          <w:rFonts w:hint="eastAsia" w:ascii="仿宋" w:hAnsi="仿宋" w:eastAsia="仿宋" w:cs="仿宋"/>
          <w:sz w:val="32"/>
          <w:szCs w:val="32"/>
        </w:rPr>
        <w:t>100%，拨付率100%。</w:t>
      </w:r>
    </w:p>
    <w:p>
      <w:pPr>
        <w:adjustRightInd w:val="0"/>
        <w:snapToGrid w:val="0"/>
        <w:spacing w:line="580" w:lineRule="exact"/>
        <w:ind w:firstLine="720"/>
        <w:rPr>
          <w:rFonts w:ascii="仿宋" w:hAnsi="仿宋" w:eastAsia="仿宋" w:cs="仿宋"/>
          <w:sz w:val="32"/>
          <w:szCs w:val="32"/>
          <w:lang w:val="zh-CN"/>
        </w:rPr>
      </w:pPr>
      <w:r>
        <w:rPr>
          <w:rFonts w:hint="eastAsia" w:ascii="仿宋" w:hAnsi="仿宋" w:eastAsia="仿宋" w:cs="仿宋"/>
          <w:sz w:val="32"/>
          <w:szCs w:val="32"/>
          <w:lang w:val="zh-CN"/>
        </w:rPr>
        <w:t>2．资金使用。</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2019年城市棚户区改造项目安排中央财政城镇保障性安居工程补助资金3万元，现已支付3万元。安排</w:t>
      </w:r>
      <w:r>
        <w:rPr>
          <w:rFonts w:hint="eastAsia" w:ascii="仿宋" w:hAnsi="仿宋" w:eastAsia="仿宋" w:cs="仿宋"/>
          <w:sz w:val="32"/>
          <w:szCs w:val="32"/>
          <w:lang w:val="zh-CN"/>
        </w:rPr>
        <w:t>省级财政城镇保障性安居工程补助资金共计</w:t>
      </w:r>
      <w:r>
        <w:rPr>
          <w:rFonts w:hint="eastAsia" w:ascii="仿宋" w:hAnsi="仿宋" w:eastAsia="仿宋" w:cs="仿宋"/>
          <w:sz w:val="32"/>
          <w:szCs w:val="32"/>
        </w:rPr>
        <w:t>4万元，现已支付4万元。安排专项债券资金5100万元，现已支付5100万元，安排地方财政资金995万元，现已支付993.25万。</w:t>
      </w:r>
      <w:r>
        <w:rPr>
          <w:rFonts w:hint="eastAsia" w:ascii="仿宋" w:hAnsi="仿宋" w:eastAsia="仿宋" w:cs="仿宋"/>
          <w:sz w:val="32"/>
          <w:szCs w:val="32"/>
          <w:lang w:val="zh-CN"/>
        </w:rPr>
        <w:t>以上资金预算、使用符合资金管理办法等相关规定，资金支付范围、支付标准、支付进度合规合法、与预算相符。</w:t>
      </w:r>
    </w:p>
    <w:p>
      <w:pPr>
        <w:adjustRightInd w:val="0"/>
        <w:snapToGrid w:val="0"/>
        <w:spacing w:line="580" w:lineRule="exact"/>
        <w:ind w:firstLine="720"/>
        <w:rPr>
          <w:rFonts w:ascii="仿宋" w:hAnsi="仿宋" w:eastAsia="仿宋" w:cs="仿宋"/>
          <w:b/>
          <w:sz w:val="32"/>
          <w:szCs w:val="32"/>
          <w:lang w:val="zh-CN"/>
        </w:rPr>
      </w:pPr>
      <w:r>
        <w:rPr>
          <w:rFonts w:hint="eastAsia" w:ascii="仿宋" w:hAnsi="仿宋" w:eastAsia="仿宋" w:cs="仿宋"/>
          <w:b/>
          <w:sz w:val="32"/>
          <w:szCs w:val="32"/>
          <w:lang w:val="zh-CN"/>
        </w:rPr>
        <w:t>（三）项目财务管理情况。</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ind w:firstLine="640" w:firstLineChars="200"/>
        <w:rPr>
          <w:rFonts w:ascii="黑体" w:hAnsi="黑体" w:eastAsia="黑体"/>
          <w:sz w:val="32"/>
          <w:szCs w:val="32"/>
          <w:lang w:val="zh-CN"/>
        </w:rPr>
      </w:pPr>
      <w:r>
        <w:rPr>
          <w:rFonts w:hint="eastAsia" w:ascii="黑体" w:hAnsi="黑体" w:eastAsia="黑体"/>
          <w:sz w:val="32"/>
          <w:szCs w:val="32"/>
          <w:lang w:val="zh-CN"/>
        </w:rPr>
        <w:t>三、项目实施及管理情况</w:t>
      </w:r>
    </w:p>
    <w:p>
      <w:pPr>
        <w:adjustRightInd w:val="0"/>
        <w:snapToGrid w:val="0"/>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该项目由绵竹市金申投资集团有限公司作为项目实施单位，每日安排专人对该项目建设情况进行监督，定期对该项目进行安全检查。</w:t>
      </w:r>
    </w:p>
    <w:p>
      <w:pPr>
        <w:adjustRightInd w:val="0"/>
        <w:snapToGrid w:val="0"/>
        <w:spacing w:line="58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80" w:lineRule="exact"/>
        <w:ind w:firstLine="720"/>
        <w:rPr>
          <w:rFonts w:ascii="仿宋" w:hAnsi="仿宋" w:eastAsia="仿宋" w:cs="仿宋"/>
          <w:sz w:val="32"/>
          <w:szCs w:val="32"/>
        </w:rPr>
      </w:pPr>
      <w:r>
        <w:rPr>
          <w:rFonts w:hint="eastAsia" w:ascii="仿宋" w:hAnsi="仿宋" w:eastAsia="仿宋" w:cs="仿宋"/>
          <w:sz w:val="32"/>
          <w:szCs w:val="32"/>
        </w:rPr>
        <w:t>绵竹市城东城中村安置房建设项目正按施工合同约定有序施工，完成工程量的40%；绵竹市代家巷危旧房棚户区安置房建设项目，正在开展设计图的审计工作；施工单位已按要求完成三通一平，办理施工许可，已完成基坑支护工程中的支护桩50根。</w:t>
      </w:r>
    </w:p>
    <w:p>
      <w:pPr>
        <w:adjustRightInd w:val="0"/>
        <w:snapToGrid w:val="0"/>
        <w:spacing w:line="560" w:lineRule="exact"/>
        <w:ind w:firstLine="642" w:firstLineChars="200"/>
        <w:rPr>
          <w:rFonts w:ascii="仿宋" w:hAnsi="仿宋" w:eastAsia="仿宋" w:cs="仿宋"/>
          <w:sz w:val="32"/>
          <w:szCs w:val="32"/>
        </w:rPr>
      </w:pPr>
      <w:r>
        <w:rPr>
          <w:rFonts w:hint="eastAsia" w:ascii="仿宋" w:hAnsi="仿宋" w:eastAsia="仿宋" w:cs="仿宋"/>
          <w:b/>
          <w:sz w:val="32"/>
          <w:szCs w:val="32"/>
          <w:lang w:val="zh-CN"/>
        </w:rPr>
        <w:t>（二）项目效益情况。</w:t>
      </w:r>
    </w:p>
    <w:p>
      <w:pPr>
        <w:adjustRightInd w:val="0"/>
        <w:snapToGrid w:val="0"/>
        <w:spacing w:line="580" w:lineRule="exact"/>
        <w:ind w:firstLine="720"/>
        <w:rPr>
          <w:rFonts w:ascii="仿宋" w:hAnsi="仿宋" w:eastAsia="仿宋" w:cs="仿宋"/>
          <w:sz w:val="32"/>
          <w:szCs w:val="32"/>
          <w:lang w:val="zh-CN"/>
        </w:rPr>
      </w:pPr>
      <w:r>
        <w:rPr>
          <w:rFonts w:hint="eastAsia" w:ascii="仿宋" w:hAnsi="仿宋" w:eastAsia="仿宋" w:cs="仿宋"/>
          <w:sz w:val="32"/>
          <w:szCs w:val="32"/>
          <w:lang w:val="zh-CN"/>
        </w:rPr>
        <w:t>经济效益：该项目建成后，将拉动投资和消费，有利于进一步推动当地的建设，吸引投资推动绵竹市经济增长，新增众多的就业机会，从而解决部分市民的就业问题。同时，在施工过程中，将投入较大的施工力量，由此间接带动了就业岗位的增加。项目建设所需建筑材料的购买，又给相关行业增加了收益。因此项目的建设总体来说对当地居民的收入影响是正面的。</w:t>
      </w:r>
    </w:p>
    <w:p>
      <w:pPr>
        <w:adjustRightInd w:val="0"/>
        <w:snapToGrid w:val="0"/>
        <w:spacing w:line="580" w:lineRule="exact"/>
        <w:ind w:firstLine="720"/>
        <w:rPr>
          <w:rFonts w:ascii="仿宋" w:hAnsi="仿宋" w:eastAsia="仿宋" w:cs="仿宋"/>
          <w:sz w:val="32"/>
          <w:szCs w:val="32"/>
          <w:lang w:val="zh-CN"/>
        </w:rPr>
      </w:pPr>
      <w:r>
        <w:rPr>
          <w:rFonts w:hint="eastAsia" w:ascii="仿宋" w:hAnsi="仿宋" w:eastAsia="仿宋" w:cs="仿宋"/>
          <w:sz w:val="32"/>
          <w:szCs w:val="32"/>
          <w:lang w:val="zh-CN"/>
        </w:rPr>
        <w:t>社会效益：该项目的建设实施将提高和改善居民的居住水平和生活环境质量，促进生活配套等各方面设施的完善。注重以人为本，生态优化，综合效益和社会文明的融合，在满足交通、消防等市政设施的同时，提高地块的利用率，扩大绿化面积，营造人与自然的和谐环境，建设风格与城市周围景观相协调发展，给市民创造了一个良好的工作环境和生活空间。项目的建设对所在地区居民生活水平和生活质量的影响是正面的，社会效益是显著的。</w:t>
      </w:r>
    </w:p>
    <w:p>
      <w:pPr>
        <w:adjustRightInd w:val="0"/>
        <w:snapToGrid w:val="0"/>
        <w:spacing w:line="580" w:lineRule="exact"/>
        <w:ind w:firstLine="720"/>
        <w:rPr>
          <w:rFonts w:ascii="仿宋" w:hAnsi="仿宋" w:eastAsia="仿宋" w:cs="仿宋"/>
          <w:sz w:val="32"/>
          <w:szCs w:val="32"/>
          <w:lang w:val="zh-CN"/>
        </w:rPr>
      </w:pPr>
      <w:r>
        <w:rPr>
          <w:rFonts w:hint="eastAsia" w:ascii="仿宋" w:hAnsi="仿宋" w:eastAsia="仿宋" w:cs="仿宋"/>
          <w:sz w:val="32"/>
          <w:szCs w:val="32"/>
          <w:lang w:val="zh-CN"/>
        </w:rPr>
        <w:t>生态效益和可持续效益：项目建成后，可以改善项目区的整体形象，改善居民的居住环境和配套设施。项目投入使用后作为城中村改造区域，将大大提高居民的生活水平。项目的顺利建设对绵竹市政府而言，可以增加当地相应的税收，从而提高财政收入；项目的建设为绵竹市完成其城镇化建设的目标提供了有力的支撑，因此，带来的生态效益与可持续效益是明显的。</w:t>
      </w:r>
    </w:p>
    <w:p>
      <w:pPr>
        <w:adjustRightInd w:val="0"/>
        <w:snapToGrid w:val="0"/>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服务对象满意度：该项目的建设对当地人民群众利益不会造成负面影响，反之，由于改善了居住条件和生活环境，为人民群众创造了健康的生活环境，提升人民幸福感，提高群众满意度是明显的。</w:t>
      </w:r>
    </w:p>
    <w:p>
      <w:pPr>
        <w:adjustRightInd w:val="0"/>
        <w:snapToGrid w:val="0"/>
        <w:spacing w:line="580" w:lineRule="exact"/>
        <w:ind w:left="64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80" w:lineRule="exact"/>
        <w:ind w:left="720"/>
        <w:rPr>
          <w:rFonts w:ascii="楷体_GB2312" w:hAnsi="宋体" w:eastAsia="楷体_GB2312"/>
          <w:b/>
          <w:sz w:val="32"/>
          <w:szCs w:val="32"/>
          <w:lang w:val="zh-CN"/>
        </w:rPr>
      </w:pPr>
      <w:r>
        <w:rPr>
          <w:rFonts w:hint="eastAsia" w:ascii="黑体" w:hAnsi="宋体" w:eastAsia="黑体"/>
          <w:sz w:val="32"/>
          <w:szCs w:val="32"/>
        </w:rPr>
        <w:t>（</w:t>
      </w:r>
      <w:r>
        <w:rPr>
          <w:rFonts w:hint="eastAsia" w:ascii="楷体_GB2312" w:hAnsi="宋体" w:eastAsia="楷体_GB2312"/>
          <w:b/>
          <w:sz w:val="32"/>
          <w:szCs w:val="32"/>
          <w:lang w:val="zh-CN"/>
        </w:rPr>
        <w:t>一）评价结论。</w:t>
      </w:r>
    </w:p>
    <w:p>
      <w:pPr>
        <w:adjustRightInd w:val="0"/>
        <w:snapToGrid w:val="0"/>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实际完成率、完成及时率均达到或超过绩效目标，质量达标率良好，产出成本可控，项目管理工作规范，社会效益良好，项目可持续性强。评价级别为“优”。</w:t>
      </w:r>
    </w:p>
    <w:p>
      <w:pPr>
        <w:adjustRightInd w:val="0"/>
        <w:snapToGrid w:val="0"/>
        <w:spacing w:line="58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仿宋_GB2312" w:hAnsi="宋体" w:eastAsia="仿宋_GB2312"/>
          <w:sz w:val="32"/>
          <w:szCs w:val="32"/>
          <w:lang w:val="zh-CN"/>
        </w:rPr>
        <w:t>无</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tbl>
      <w:tblPr>
        <w:tblStyle w:val="13"/>
        <w:tblW w:w="10714" w:type="dxa"/>
        <w:jc w:val="center"/>
        <w:tblLayout w:type="autofit"/>
        <w:tblCellMar>
          <w:top w:w="0" w:type="dxa"/>
          <w:left w:w="108" w:type="dxa"/>
          <w:bottom w:w="0" w:type="dxa"/>
          <w:right w:w="108" w:type="dxa"/>
        </w:tblCellMar>
      </w:tblPr>
      <w:tblGrid>
        <w:gridCol w:w="576"/>
        <w:gridCol w:w="396"/>
        <w:gridCol w:w="1234"/>
        <w:gridCol w:w="3699"/>
        <w:gridCol w:w="2257"/>
        <w:gridCol w:w="2552"/>
      </w:tblGrid>
      <w:tr>
        <w:tblPrEx>
          <w:tblCellMar>
            <w:top w:w="0" w:type="dxa"/>
            <w:left w:w="108" w:type="dxa"/>
            <w:bottom w:w="0" w:type="dxa"/>
            <w:right w:w="108" w:type="dxa"/>
          </w:tblCellMar>
        </w:tblPrEx>
        <w:trPr>
          <w:trHeight w:val="405" w:hRule="atLeast"/>
          <w:jc w:val="center"/>
        </w:trPr>
        <w:tc>
          <w:tcPr>
            <w:tcW w:w="10714"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10714" w:type="dxa"/>
            <w:gridSpan w:val="6"/>
            <w:tcBorders>
              <w:top w:val="nil"/>
              <w:left w:val="nil"/>
              <w:bottom w:val="nil"/>
              <w:right w:val="nil"/>
            </w:tcBorders>
            <w:shd w:val="clear" w:color="auto" w:fill="auto"/>
            <w:vAlign w:val="center"/>
          </w:tcPr>
          <w:p>
            <w:pPr>
              <w:widowControl/>
              <w:jc w:val="cente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330" w:hRule="atLeast"/>
          <w:jc w:val="center"/>
        </w:trPr>
        <w:tc>
          <w:tcPr>
            <w:tcW w:w="22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项目名称</w:t>
            </w:r>
          </w:p>
        </w:tc>
        <w:tc>
          <w:tcPr>
            <w:tcW w:w="85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2019年城市棚户区改造项目</w:t>
            </w:r>
          </w:p>
        </w:tc>
      </w:tr>
      <w:tr>
        <w:tblPrEx>
          <w:tblCellMar>
            <w:top w:w="0" w:type="dxa"/>
            <w:left w:w="108" w:type="dxa"/>
            <w:bottom w:w="0" w:type="dxa"/>
            <w:right w:w="108" w:type="dxa"/>
          </w:tblCellMar>
        </w:tblPrEx>
        <w:trPr>
          <w:trHeight w:val="419" w:hRule="atLeast"/>
          <w:jc w:val="center"/>
        </w:trPr>
        <w:tc>
          <w:tcPr>
            <w:tcW w:w="220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预算单位</w:t>
            </w:r>
          </w:p>
        </w:tc>
        <w:tc>
          <w:tcPr>
            <w:tcW w:w="850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绵竹市国有土地上房屋征收与补偿中心</w:t>
            </w:r>
          </w:p>
        </w:tc>
      </w:tr>
      <w:tr>
        <w:tblPrEx>
          <w:tblCellMar>
            <w:top w:w="0" w:type="dxa"/>
            <w:left w:w="108" w:type="dxa"/>
            <w:bottom w:w="0" w:type="dxa"/>
            <w:right w:w="108" w:type="dxa"/>
          </w:tblCellMar>
        </w:tblPrEx>
        <w:trPr>
          <w:trHeight w:val="427" w:hRule="atLeast"/>
          <w:jc w:val="center"/>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预算</w:t>
            </w:r>
            <w:r>
              <w:rPr>
                <w:rFonts w:hint="eastAsia" w:ascii="宋体" w:hAnsi="宋体" w:cs="宋体"/>
                <w:kern w:val="0"/>
                <w:sz w:val="18"/>
                <w:szCs w:val="18"/>
              </w:rPr>
              <w:br w:type="textWrapping"/>
            </w:r>
            <w:r>
              <w:rPr>
                <w:rFonts w:hint="eastAsia" w:ascii="宋体" w:hAnsi="宋体" w:cs="宋体"/>
                <w:kern w:val="0"/>
                <w:sz w:val="18"/>
                <w:szCs w:val="18"/>
              </w:rPr>
              <w:t>执行</w:t>
            </w:r>
            <w:r>
              <w:rPr>
                <w:rFonts w:hint="eastAsia" w:ascii="宋体" w:hAnsi="宋体" w:cs="宋体"/>
                <w:kern w:val="0"/>
                <w:sz w:val="18"/>
                <w:szCs w:val="18"/>
              </w:rPr>
              <w:br w:type="textWrapping"/>
            </w:r>
            <w:r>
              <w:rPr>
                <w:rFonts w:hint="eastAsia" w:ascii="宋体" w:hAnsi="宋体" w:cs="宋体"/>
                <w:kern w:val="0"/>
                <w:sz w:val="18"/>
                <w:szCs w:val="18"/>
              </w:rPr>
              <w:t>情况</w:t>
            </w:r>
            <w:r>
              <w:rPr>
                <w:rFonts w:hint="eastAsia" w:ascii="宋体" w:hAnsi="宋体" w:cs="宋体"/>
                <w:kern w:val="0"/>
                <w:sz w:val="18"/>
                <w:szCs w:val="18"/>
              </w:rPr>
              <w:br w:type="textWrapping"/>
            </w:r>
            <w:r>
              <w:rPr>
                <w:rFonts w:hint="eastAsia" w:ascii="宋体" w:hAnsi="宋体" w:cs="宋体"/>
                <w:kern w:val="0"/>
                <w:sz w:val="18"/>
                <w:szCs w:val="18"/>
              </w:rPr>
              <w:t>（万元）</w:t>
            </w:r>
          </w:p>
        </w:tc>
        <w:tc>
          <w:tcPr>
            <w:tcW w:w="16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 xml:space="preserve"> 预算数：</w:t>
            </w:r>
          </w:p>
        </w:tc>
        <w:tc>
          <w:tcPr>
            <w:tcW w:w="369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6102万元</w:t>
            </w:r>
          </w:p>
        </w:tc>
        <w:tc>
          <w:tcPr>
            <w:tcW w:w="22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6100.25万元</w:t>
            </w:r>
          </w:p>
        </w:tc>
      </w:tr>
      <w:tr>
        <w:tblPrEx>
          <w:tblCellMar>
            <w:top w:w="0" w:type="dxa"/>
            <w:left w:w="108" w:type="dxa"/>
            <w:bottom w:w="0" w:type="dxa"/>
            <w:right w:w="108" w:type="dxa"/>
          </w:tblCellMar>
        </w:tblPrEx>
        <w:trPr>
          <w:trHeight w:val="419"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其中：财政拨款</w:t>
            </w:r>
          </w:p>
        </w:tc>
        <w:tc>
          <w:tcPr>
            <w:tcW w:w="369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6102万元</w:t>
            </w:r>
          </w:p>
        </w:tc>
        <w:tc>
          <w:tcPr>
            <w:tcW w:w="2257"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6100.25万元</w:t>
            </w:r>
          </w:p>
        </w:tc>
      </w:tr>
      <w:tr>
        <w:tblPrEx>
          <w:tblCellMar>
            <w:top w:w="0" w:type="dxa"/>
            <w:left w:w="108" w:type="dxa"/>
            <w:bottom w:w="0" w:type="dxa"/>
            <w:right w:w="108" w:type="dxa"/>
          </w:tblCellMar>
        </w:tblPrEx>
        <w:trPr>
          <w:trHeight w:val="584"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6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8"/>
                <w:szCs w:val="18"/>
              </w:rPr>
            </w:pPr>
            <w:r>
              <w:rPr>
                <w:rFonts w:hint="eastAsia" w:ascii="宋体" w:hAnsi="宋体" w:cs="宋体"/>
                <w:kern w:val="0"/>
                <w:sz w:val="18"/>
                <w:szCs w:val="18"/>
              </w:rPr>
              <w:t>其他资金</w:t>
            </w:r>
          </w:p>
        </w:tc>
        <w:tc>
          <w:tcPr>
            <w:tcW w:w="369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57"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5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17" w:hRule="atLeast"/>
          <w:jc w:val="center"/>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r>
              <w:rPr>
                <w:rFonts w:hint="eastAsia" w:ascii="宋体" w:hAnsi="宋体" w:cs="宋体"/>
                <w:kern w:val="0"/>
                <w:sz w:val="18"/>
                <w:szCs w:val="18"/>
              </w:rPr>
              <w:br w:type="textWrapping"/>
            </w:r>
            <w:r>
              <w:rPr>
                <w:rFonts w:hint="eastAsia" w:ascii="宋体" w:hAnsi="宋体" w:cs="宋体"/>
                <w:kern w:val="0"/>
                <w:sz w:val="18"/>
                <w:szCs w:val="18"/>
              </w:rPr>
              <w:t>目标</w:t>
            </w:r>
            <w:r>
              <w:rPr>
                <w:rFonts w:hint="eastAsia" w:ascii="宋体" w:hAnsi="宋体" w:cs="宋体"/>
                <w:kern w:val="0"/>
                <w:sz w:val="18"/>
                <w:szCs w:val="18"/>
              </w:rPr>
              <w:br w:type="textWrapping"/>
            </w:r>
            <w:r>
              <w:rPr>
                <w:rFonts w:hint="eastAsia" w:ascii="宋体" w:hAnsi="宋体" w:cs="宋体"/>
                <w:kern w:val="0"/>
                <w:sz w:val="18"/>
                <w:szCs w:val="18"/>
              </w:rPr>
              <w:t>完成</w:t>
            </w:r>
            <w:r>
              <w:rPr>
                <w:rFonts w:hint="eastAsia" w:ascii="宋体" w:hAnsi="宋体" w:cs="宋体"/>
                <w:kern w:val="0"/>
                <w:sz w:val="18"/>
                <w:szCs w:val="18"/>
              </w:rPr>
              <w:br w:type="textWrapping"/>
            </w:r>
            <w:r>
              <w:rPr>
                <w:rFonts w:hint="eastAsia" w:ascii="宋体" w:hAnsi="宋体" w:cs="宋体"/>
                <w:kern w:val="0"/>
                <w:sz w:val="18"/>
                <w:szCs w:val="18"/>
              </w:rPr>
              <w:t>情况</w:t>
            </w:r>
          </w:p>
        </w:tc>
        <w:tc>
          <w:tcPr>
            <w:tcW w:w="53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预期目标</w:t>
            </w:r>
          </w:p>
        </w:tc>
        <w:tc>
          <w:tcPr>
            <w:tcW w:w="480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实际完成目标</w:t>
            </w:r>
          </w:p>
        </w:tc>
      </w:tr>
      <w:tr>
        <w:tblPrEx>
          <w:tblCellMar>
            <w:top w:w="0" w:type="dxa"/>
            <w:left w:w="108" w:type="dxa"/>
            <w:bottom w:w="0" w:type="dxa"/>
            <w:right w:w="108" w:type="dxa"/>
          </w:tblCellMar>
        </w:tblPrEx>
        <w:trPr>
          <w:trHeight w:val="1105"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532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18"/>
                <w:szCs w:val="18"/>
              </w:rPr>
            </w:pPr>
            <w:r>
              <w:rPr>
                <w:rFonts w:hint="eastAsia" w:ascii="宋体" w:hAnsi="宋体" w:cs="宋体"/>
                <w:kern w:val="0"/>
                <w:sz w:val="18"/>
                <w:szCs w:val="18"/>
              </w:rPr>
              <w:t>开工实施安置房建设（代家巷320套、城东城中村326套）绵竹市城东城中村安置房建设项目计划2021年底完成总工程量的40%，绵竹市代家巷危旧房棚户区安置房建设项目计划完成前期工作。</w:t>
            </w:r>
          </w:p>
        </w:tc>
        <w:tc>
          <w:tcPr>
            <w:tcW w:w="480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代家巷已完成前期工作，城东城中村已完成总工程量的40%，2021年共支付资金6100.25万元。</w:t>
            </w:r>
          </w:p>
        </w:tc>
      </w:tr>
      <w:tr>
        <w:tblPrEx>
          <w:tblCellMar>
            <w:top w:w="0" w:type="dxa"/>
            <w:left w:w="108" w:type="dxa"/>
            <w:bottom w:w="0" w:type="dxa"/>
            <w:right w:w="108" w:type="dxa"/>
          </w:tblCellMar>
        </w:tblPrEx>
        <w:trPr>
          <w:trHeight w:val="1015" w:hRule="atLeast"/>
          <w:jc w:val="center"/>
        </w:trPr>
        <w:tc>
          <w:tcPr>
            <w:tcW w:w="5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年度</w:t>
            </w:r>
            <w:r>
              <w:rPr>
                <w:rFonts w:hint="eastAsia" w:ascii="宋体" w:hAnsi="宋体" w:cs="宋体"/>
                <w:kern w:val="0"/>
                <w:sz w:val="18"/>
                <w:szCs w:val="18"/>
              </w:rPr>
              <w:br w:type="textWrapping"/>
            </w:r>
            <w:r>
              <w:rPr>
                <w:rFonts w:hint="eastAsia" w:ascii="宋体" w:hAnsi="宋体" w:cs="宋体"/>
                <w:kern w:val="0"/>
                <w:sz w:val="18"/>
                <w:szCs w:val="18"/>
              </w:rPr>
              <w:t>绩效</w:t>
            </w:r>
            <w:r>
              <w:rPr>
                <w:rFonts w:hint="eastAsia" w:ascii="宋体" w:hAnsi="宋体" w:cs="宋体"/>
                <w:kern w:val="0"/>
                <w:sz w:val="18"/>
                <w:szCs w:val="18"/>
              </w:rPr>
              <w:br w:type="textWrapping"/>
            </w:r>
            <w:r>
              <w:rPr>
                <w:rFonts w:hint="eastAsia" w:ascii="宋体" w:hAnsi="宋体" w:cs="宋体"/>
                <w:kern w:val="0"/>
                <w:sz w:val="18"/>
                <w:szCs w:val="18"/>
              </w:rPr>
              <w:t>指标</w:t>
            </w:r>
            <w:r>
              <w:rPr>
                <w:rFonts w:hint="eastAsia" w:ascii="宋体" w:hAnsi="宋体" w:cs="宋体"/>
                <w:kern w:val="0"/>
                <w:sz w:val="18"/>
                <w:szCs w:val="18"/>
              </w:rPr>
              <w:br w:type="textWrapping"/>
            </w:r>
            <w:r>
              <w:rPr>
                <w:rFonts w:hint="eastAsia" w:ascii="宋体" w:hAnsi="宋体" w:cs="宋体"/>
                <w:kern w:val="0"/>
                <w:sz w:val="18"/>
                <w:szCs w:val="18"/>
              </w:rPr>
              <w:t>完成</w:t>
            </w:r>
            <w:r>
              <w:rPr>
                <w:rFonts w:hint="eastAsia" w:ascii="宋体" w:hAnsi="宋体" w:cs="宋体"/>
                <w:kern w:val="0"/>
                <w:sz w:val="18"/>
                <w:szCs w:val="18"/>
              </w:rPr>
              <w:br w:type="textWrapping"/>
            </w:r>
            <w:r>
              <w:rPr>
                <w:rFonts w:hint="eastAsia" w:ascii="宋体" w:hAnsi="宋体" w:cs="宋体"/>
                <w:kern w:val="0"/>
                <w:sz w:val="18"/>
                <w:szCs w:val="18"/>
              </w:rPr>
              <w:t>情况</w:t>
            </w: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一级指标</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二级指标</w:t>
            </w:r>
          </w:p>
        </w:tc>
        <w:tc>
          <w:tcPr>
            <w:tcW w:w="36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三级指标</w:t>
            </w:r>
          </w:p>
        </w:tc>
        <w:tc>
          <w:tcPr>
            <w:tcW w:w="22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预期指标值（包含数字及文字描述）</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实际完成指标值（包含数字及文字描述）</w:t>
            </w:r>
          </w:p>
        </w:tc>
      </w:tr>
      <w:tr>
        <w:tblPrEx>
          <w:tblCellMar>
            <w:top w:w="0" w:type="dxa"/>
            <w:left w:w="108" w:type="dxa"/>
            <w:bottom w:w="0" w:type="dxa"/>
            <w:right w:w="108" w:type="dxa"/>
          </w:tblCellMar>
        </w:tblPrEx>
        <w:trPr>
          <w:trHeight w:val="750"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项目完成指标</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数量指标</w:t>
            </w:r>
          </w:p>
        </w:tc>
        <w:tc>
          <w:tcPr>
            <w:tcW w:w="369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开工实施安置房建设（代家巷320套、城东城中村326套）</w:t>
            </w:r>
          </w:p>
        </w:tc>
        <w:tc>
          <w:tcPr>
            <w:tcW w:w="2257" w:type="dxa"/>
            <w:tcBorders>
              <w:top w:val="nil"/>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w:t>
            </w:r>
          </w:p>
        </w:tc>
        <w:tc>
          <w:tcPr>
            <w:tcW w:w="2552"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代家巷已完成前期工作，城东城中村已完成总工程量的40%</w:t>
            </w:r>
          </w:p>
        </w:tc>
      </w:tr>
      <w:tr>
        <w:tblPrEx>
          <w:tblCellMar>
            <w:top w:w="0" w:type="dxa"/>
            <w:left w:w="108" w:type="dxa"/>
            <w:bottom w:w="0" w:type="dxa"/>
            <w:right w:w="108" w:type="dxa"/>
          </w:tblCellMar>
        </w:tblPrEx>
        <w:trPr>
          <w:trHeight w:val="700"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质量指标</w:t>
            </w:r>
          </w:p>
        </w:tc>
        <w:tc>
          <w:tcPr>
            <w:tcW w:w="369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按照《建设工程质量管理条例》及合同执行</w:t>
            </w:r>
          </w:p>
        </w:tc>
        <w:tc>
          <w:tcPr>
            <w:tcW w:w="22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质量达标率良好，产出成本可控</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质量达标率良好，产出成本可控</w:t>
            </w:r>
          </w:p>
        </w:tc>
      </w:tr>
      <w:tr>
        <w:tblPrEx>
          <w:tblCellMar>
            <w:top w:w="0" w:type="dxa"/>
            <w:left w:w="108" w:type="dxa"/>
            <w:bottom w:w="0" w:type="dxa"/>
            <w:right w:w="108" w:type="dxa"/>
          </w:tblCellMar>
        </w:tblPrEx>
        <w:trPr>
          <w:trHeight w:val="838"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时效指标</w:t>
            </w:r>
          </w:p>
        </w:tc>
        <w:tc>
          <w:tcPr>
            <w:tcW w:w="369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225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代家巷：2024年12月30日竣工，城东城中村：2024年4月10日竣工</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代家巷：2024年12月30日竣工，城东城中村：2024年4月10日竣工</w:t>
            </w:r>
          </w:p>
        </w:tc>
      </w:tr>
      <w:tr>
        <w:tblPrEx>
          <w:tblCellMar>
            <w:top w:w="0" w:type="dxa"/>
            <w:left w:w="108" w:type="dxa"/>
            <w:bottom w:w="0" w:type="dxa"/>
            <w:right w:w="108" w:type="dxa"/>
          </w:tblCellMar>
        </w:tblPrEx>
        <w:trPr>
          <w:trHeight w:val="680"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成本指标</w:t>
            </w:r>
          </w:p>
        </w:tc>
        <w:tc>
          <w:tcPr>
            <w:tcW w:w="369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根据合同内容及施工进度支付相关费用</w:t>
            </w:r>
          </w:p>
        </w:tc>
        <w:tc>
          <w:tcPr>
            <w:tcW w:w="22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2021年共计支付6102万元前期费用及进度款</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共计支付资金6100.25万元</w:t>
            </w:r>
          </w:p>
        </w:tc>
      </w:tr>
      <w:tr>
        <w:tblPrEx>
          <w:tblCellMar>
            <w:top w:w="0" w:type="dxa"/>
            <w:left w:w="108" w:type="dxa"/>
            <w:bottom w:w="0" w:type="dxa"/>
            <w:right w:w="108" w:type="dxa"/>
          </w:tblCellMar>
        </w:tblPrEx>
        <w:trPr>
          <w:trHeight w:val="1202"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9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项目效果指标</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经济效益</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369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该项目建成后，将拉动投资和消费，有利于进一步推动当地的建设，吸引投资推动绵竹市经济增长，新增众多的就业机会，从而解决部分市民的就业问题。</w:t>
            </w:r>
          </w:p>
        </w:tc>
        <w:tc>
          <w:tcPr>
            <w:tcW w:w="22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966"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9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社会效益</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369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该项目的建设实施将提高和改善居民的居住水平和生活环境质量，促进生活配套等各方面设施的完善。</w:t>
            </w:r>
          </w:p>
        </w:tc>
        <w:tc>
          <w:tcPr>
            <w:tcW w:w="22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≧90</w:t>
            </w:r>
          </w:p>
        </w:tc>
      </w:tr>
      <w:tr>
        <w:tblPrEx>
          <w:tblCellMar>
            <w:top w:w="0" w:type="dxa"/>
            <w:left w:w="108" w:type="dxa"/>
            <w:bottom w:w="0" w:type="dxa"/>
            <w:right w:w="108" w:type="dxa"/>
          </w:tblCellMar>
        </w:tblPrEx>
        <w:trPr>
          <w:trHeight w:val="976" w:hRule="atLeast"/>
          <w:jc w:val="center"/>
        </w:trPr>
        <w:tc>
          <w:tcPr>
            <w:tcW w:w="5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8"/>
                <w:szCs w:val="18"/>
              </w:rPr>
            </w:pPr>
          </w:p>
        </w:tc>
        <w:tc>
          <w:tcPr>
            <w:tcW w:w="39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w:t>
            </w:r>
            <w:r>
              <w:rPr>
                <w:rFonts w:hint="eastAsia" w:ascii="宋体" w:hAnsi="宋体" w:cs="宋体"/>
                <w:kern w:val="0"/>
                <w:sz w:val="18"/>
                <w:szCs w:val="18"/>
              </w:rPr>
              <w:br w:type="textWrapping"/>
            </w:r>
            <w:r>
              <w:rPr>
                <w:rFonts w:hint="eastAsia" w:ascii="宋体" w:hAnsi="宋体" w:cs="宋体"/>
                <w:kern w:val="0"/>
                <w:sz w:val="18"/>
                <w:szCs w:val="18"/>
              </w:rPr>
              <w:t>指标</w:t>
            </w:r>
          </w:p>
        </w:tc>
        <w:tc>
          <w:tcPr>
            <w:tcW w:w="12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8"/>
                <w:szCs w:val="18"/>
              </w:rPr>
            </w:pPr>
            <w:r>
              <w:rPr>
                <w:rFonts w:hint="eastAsia" w:ascii="宋体" w:hAnsi="宋体" w:cs="宋体"/>
                <w:kern w:val="0"/>
                <w:sz w:val="18"/>
                <w:szCs w:val="18"/>
              </w:rPr>
              <w:t>满意度指标</w:t>
            </w:r>
          </w:p>
        </w:tc>
        <w:tc>
          <w:tcPr>
            <w:tcW w:w="369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满意度</w:t>
            </w:r>
          </w:p>
        </w:tc>
        <w:tc>
          <w:tcPr>
            <w:tcW w:w="225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spacing w:line="580" w:lineRule="exact"/>
        <w:jc w:val="center"/>
        <w:rPr>
          <w:rFonts w:ascii="方正小标宋简体" w:hAnsi="宋体" w:eastAsia="方正小标宋简体"/>
          <w:kern w:val="0"/>
          <w:sz w:val="44"/>
          <w:szCs w:val="44"/>
        </w:rPr>
      </w:pPr>
      <w:r>
        <w:rPr>
          <w:rFonts w:hint="eastAsia" w:ascii="微软雅黑" w:hAnsi="微软雅黑" w:eastAsia="微软雅黑" w:cs="微软雅黑"/>
          <w:kern w:val="0"/>
          <w:sz w:val="44"/>
          <w:szCs w:val="44"/>
        </w:rPr>
        <w:t>项目支出绩效自评报告</w:t>
      </w:r>
    </w:p>
    <w:p>
      <w:pPr>
        <w:spacing w:line="580" w:lineRule="exact"/>
        <w:jc w:val="center"/>
        <w:rPr>
          <w:rFonts w:ascii="方正小标宋简体" w:hAnsi="宋体" w:eastAsia="方正小标宋简体"/>
          <w:kern w:val="0"/>
          <w:sz w:val="44"/>
          <w:szCs w:val="44"/>
        </w:rPr>
      </w:pPr>
      <w:r>
        <w:rPr>
          <w:rFonts w:ascii="仿宋" w:hAnsi="仿宋" w:eastAsia="仿宋" w:cs="仿宋"/>
          <w:sz w:val="32"/>
          <w:szCs w:val="32"/>
        </w:rPr>
        <w:t>（</w:t>
      </w:r>
      <w:r>
        <w:rPr>
          <w:rFonts w:hint="eastAsia" w:ascii="仿宋" w:hAnsi="仿宋" w:eastAsia="仿宋" w:cs="仿宋"/>
          <w:sz w:val="32"/>
          <w:szCs w:val="32"/>
        </w:rPr>
        <w:t>2018年危旧房棚户区改造项目</w:t>
      </w:r>
      <w:r>
        <w:rPr>
          <w:rFonts w:ascii="仿宋" w:hAnsi="仿宋" w:eastAsia="仿宋" w:cs="仿宋"/>
          <w:sz w:val="32"/>
          <w:szCs w:val="32"/>
        </w:rPr>
        <w:t>）</w:t>
      </w:r>
    </w:p>
    <w:p>
      <w:pPr>
        <w:spacing w:line="580" w:lineRule="exact"/>
        <w:rPr>
          <w:rFonts w:hint="eastAsia" w:ascii="宋体" w:hAnsi="??"/>
          <w:sz w:val="32"/>
          <w:szCs w:val="32"/>
        </w:rPr>
      </w:pPr>
    </w:p>
    <w:p>
      <w:pPr>
        <w:adjustRightInd w:val="0"/>
        <w:snapToGrid w:val="0"/>
        <w:spacing w:line="64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40" w:lineRule="exact"/>
        <w:ind w:firstLine="642" w:firstLineChars="200"/>
        <w:rPr>
          <w:rFonts w:ascii="楷体_GB2312" w:hAnsi="宋体" w:eastAsia="楷体_GB2312"/>
          <w:b/>
          <w:sz w:val="32"/>
          <w:szCs w:val="32"/>
        </w:rPr>
      </w:pPr>
      <w:r>
        <w:rPr>
          <w:rFonts w:hint="eastAsia" w:ascii="楷体_GB2312" w:hAnsi="宋体" w:eastAsia="楷体_GB2312"/>
          <w:b/>
          <w:sz w:val="32"/>
          <w:szCs w:val="32"/>
          <w:lang w:val="zh-CN"/>
        </w:rPr>
        <w:t>（一）项目基本情况。</w:t>
      </w:r>
    </w:p>
    <w:p>
      <w:pPr>
        <w:adjustRightInd w:val="0"/>
        <w:snapToGrid w:val="0"/>
        <w:spacing w:line="640" w:lineRule="exact"/>
        <w:ind w:firstLine="720"/>
        <w:rPr>
          <w:rFonts w:ascii="仿宋" w:hAnsi="仿宋" w:eastAsia="仿宋" w:cs="仿宋"/>
          <w:sz w:val="32"/>
          <w:szCs w:val="32"/>
        </w:rPr>
      </w:pPr>
      <w:r>
        <w:rPr>
          <w:rFonts w:hint="eastAsia" w:ascii="楷体_GB2312" w:hAnsi="宋体" w:eastAsia="楷体_GB2312"/>
          <w:bCs/>
          <w:sz w:val="32"/>
          <w:szCs w:val="32"/>
        </w:rPr>
        <w:t xml:space="preserve"> </w:t>
      </w:r>
      <w:r>
        <w:rPr>
          <w:rFonts w:hint="eastAsia" w:ascii="仿宋" w:hAnsi="仿宋" w:eastAsia="仿宋" w:cs="仿宋"/>
          <w:sz w:val="32"/>
          <w:szCs w:val="32"/>
        </w:rPr>
        <w:t>2017年12月27日，市委副书记、市长邹远骏在市政府第二会议室主持召开了市政府十八届二十二次常务会议。会议研究了政府购买棚改服务实施城市危旧房棚户区改造项目相关事宜，会议议定：一、根据《德阳市人民政府办公室关于印发</w:t>
      </w:r>
      <w:r>
        <w:rPr>
          <w:rFonts w:hint="eastAsia" w:ascii="仿宋" w:hAnsi="仿宋" w:eastAsia="仿宋" w:cs="仿宋"/>
          <w:sz w:val="32"/>
          <w:szCs w:val="32"/>
          <w:lang w:eastAsia="zh-CN"/>
        </w:rPr>
        <w:t>〈</w:t>
      </w:r>
      <w:r>
        <w:rPr>
          <w:rFonts w:hint="eastAsia" w:ascii="仿宋" w:hAnsi="仿宋" w:eastAsia="仿宋" w:cs="仿宋"/>
          <w:sz w:val="32"/>
          <w:szCs w:val="32"/>
        </w:rPr>
        <w:t>德阳市政府购买棚户区改造服务管理办法</w:t>
      </w:r>
      <w:r>
        <w:rPr>
          <w:rFonts w:hint="eastAsia" w:ascii="仿宋" w:hAnsi="仿宋" w:eastAsia="仿宋" w:cs="仿宋"/>
          <w:sz w:val="32"/>
          <w:szCs w:val="32"/>
          <w:lang w:eastAsia="zh-CN"/>
        </w:rPr>
        <w:t>〉</w:t>
      </w:r>
      <w:r>
        <w:rPr>
          <w:rFonts w:hint="eastAsia" w:ascii="仿宋" w:hAnsi="仿宋" w:eastAsia="仿宋" w:cs="仿宋"/>
          <w:sz w:val="32"/>
          <w:szCs w:val="32"/>
        </w:rPr>
        <w:t>的通知》（德办发</w:t>
      </w:r>
      <w:r>
        <w:rPr>
          <w:rFonts w:hint="eastAsia" w:ascii="仿宋" w:hAnsi="仿宋" w:eastAsia="仿宋" w:cs="仿宋"/>
          <w:sz w:val="32"/>
          <w:szCs w:val="32"/>
          <w:lang w:eastAsia="zh-CN"/>
        </w:rPr>
        <w:t>〔</w:t>
      </w:r>
      <w:r>
        <w:rPr>
          <w:rFonts w:hint="eastAsia" w:ascii="仿宋" w:hAnsi="仿宋" w:eastAsia="仿宋" w:cs="仿宋"/>
          <w:sz w:val="32"/>
          <w:szCs w:val="32"/>
        </w:rPr>
        <w:t>2017</w:t>
      </w:r>
      <w:r>
        <w:rPr>
          <w:rFonts w:hint="eastAsia" w:ascii="仿宋" w:hAnsi="仿宋" w:eastAsia="仿宋" w:cs="仿宋"/>
          <w:sz w:val="32"/>
          <w:szCs w:val="32"/>
          <w:lang w:eastAsia="zh-CN"/>
        </w:rPr>
        <w:t>〕</w:t>
      </w:r>
      <w:r>
        <w:rPr>
          <w:rFonts w:hint="eastAsia" w:ascii="仿宋" w:hAnsi="仿宋" w:eastAsia="仿宋" w:cs="仿宋"/>
          <w:sz w:val="32"/>
          <w:szCs w:val="32"/>
        </w:rPr>
        <w:t>67号）文件要求和国家政策性银行关于棚户区改造专项贷款承接主体的相关要求，金申公司符合单一来源采购的条件。原则同意市棚改协调工作领导小组办公室《关于政府购买棚改服务实施城市危旧房棚户区改造项目有关事项的请示》（竹棚改办</w:t>
      </w:r>
      <w:r>
        <w:rPr>
          <w:rFonts w:hint="eastAsia" w:ascii="仿宋" w:hAnsi="仿宋" w:eastAsia="仿宋" w:cs="仿宋"/>
          <w:sz w:val="32"/>
          <w:szCs w:val="32"/>
          <w:lang w:eastAsia="zh-CN"/>
        </w:rPr>
        <w:t>〔</w:t>
      </w:r>
      <w:r>
        <w:rPr>
          <w:rFonts w:hint="eastAsia" w:ascii="仿宋" w:hAnsi="仿宋" w:eastAsia="仿宋" w:cs="仿宋"/>
          <w:sz w:val="32"/>
          <w:szCs w:val="32"/>
        </w:rPr>
        <w:t>2017</w:t>
      </w:r>
      <w:r>
        <w:rPr>
          <w:rFonts w:hint="eastAsia" w:ascii="仿宋" w:hAnsi="仿宋" w:eastAsia="仿宋" w:cs="仿宋"/>
          <w:sz w:val="32"/>
          <w:szCs w:val="32"/>
          <w:lang w:eastAsia="zh-CN"/>
        </w:rPr>
        <w:t>〕</w:t>
      </w:r>
      <w:r>
        <w:rPr>
          <w:rFonts w:hint="eastAsia" w:ascii="仿宋" w:hAnsi="仿宋" w:eastAsia="仿宋" w:cs="仿宋"/>
          <w:sz w:val="32"/>
          <w:szCs w:val="32"/>
        </w:rPr>
        <w:t>2号），由市住建局负责，相关部门配合，进一步完善后按程序办理，并报市委常委会议和市人大常委会议审定。二、由市住建局负责，积极探索采用以政府为主导、市场化运作的方式推进城市危旧房棚户区改造。</w:t>
      </w:r>
    </w:p>
    <w:p>
      <w:pPr>
        <w:adjustRightInd w:val="0"/>
        <w:snapToGrid w:val="0"/>
        <w:spacing w:line="640" w:lineRule="exact"/>
        <w:ind w:firstLine="720"/>
        <w:rPr>
          <w:rFonts w:ascii="仿宋" w:hAnsi="仿宋" w:eastAsia="仿宋" w:cs="仿宋"/>
          <w:sz w:val="32"/>
          <w:szCs w:val="32"/>
        </w:rPr>
      </w:pPr>
      <w:r>
        <w:rPr>
          <w:rFonts w:hint="eastAsia" w:ascii="仿宋" w:hAnsi="仿宋" w:eastAsia="仿宋" w:cs="仿宋"/>
          <w:sz w:val="32"/>
          <w:szCs w:val="32"/>
        </w:rPr>
        <w:t>绵竹市2018年危旧房棚户区改造项目经市政府常务会议议定事项通知（十八届二十二次）11号同意通过政府购买服务的方式实施。</w:t>
      </w:r>
    </w:p>
    <w:p>
      <w:pPr>
        <w:adjustRightInd w:val="0"/>
        <w:snapToGrid w:val="0"/>
        <w:spacing w:line="6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40" w:lineRule="exact"/>
        <w:ind w:firstLine="720"/>
        <w:rPr>
          <w:rFonts w:ascii="仿宋" w:hAnsi="仿宋" w:eastAsia="仿宋" w:cs="仿宋"/>
          <w:sz w:val="32"/>
          <w:szCs w:val="32"/>
        </w:rPr>
      </w:pPr>
      <w:r>
        <w:rPr>
          <w:rFonts w:hint="eastAsia" w:ascii="仿宋" w:hAnsi="仿宋" w:eastAsia="仿宋" w:cs="仿宋"/>
          <w:sz w:val="32"/>
          <w:szCs w:val="32"/>
        </w:rPr>
        <w:t>该项目资金用于绵竹市政府购买2018年危旧房棚户区改造服务项目，项目编号：5106832018000050，具体为新市镇花园三期城中村改造、桂园路片区危旧房棚户区改造、川润公司职工宿舍危旧房改造和城市危房改造4个项目。服务项目的建设内容为：绵竹市政府购买2018年危旧房棚户区改造服务采购项目的棚户区改造，包括各棚户区改造地点的拆迁安置补偿、安置房购买、土地上市等。具体为：1、棚户区拆迁 本项目拟改造棚户区子项目4个，地块占地面积合计559.6亩，共计改造户数848户，改造面积103134.25平方米。最终以实际改造完成的为准。2、项目建设总投资：39376.87万元。3、服务期限17年。其中，建设期2年，采购资金支付期限不超过20年。按照本项目发改局立项批复确定的总投资和4.9%的年利率，市住建局支付的采购资金总额为61470万元，其中服务费158万元，项目改造费61312万元。政府分年支付服务费，每年项目采购资金以实际发生额为准，本项目改造费用最终以审计部门审计金额为准。2018年危旧房棚户区改造项目的申报</w:t>
      </w:r>
      <w:r>
        <w:rPr>
          <w:rFonts w:hint="eastAsia" w:ascii="仿宋" w:hAnsi="仿宋" w:eastAsia="仿宋" w:cs="仿宋"/>
          <w:sz w:val="32"/>
          <w:szCs w:val="32"/>
          <w:lang w:val="zh-CN"/>
        </w:rPr>
        <w:t>内容</w:t>
      </w:r>
      <w:r>
        <w:rPr>
          <w:rFonts w:hint="eastAsia" w:ascii="仿宋" w:hAnsi="仿宋" w:eastAsia="仿宋" w:cs="仿宋"/>
          <w:sz w:val="32"/>
          <w:szCs w:val="32"/>
        </w:rPr>
        <w:t>与</w:t>
      </w:r>
      <w:r>
        <w:rPr>
          <w:rFonts w:hint="eastAsia" w:ascii="仿宋" w:hAnsi="仿宋" w:eastAsia="仿宋" w:cs="仿宋"/>
          <w:sz w:val="32"/>
          <w:szCs w:val="32"/>
          <w:lang w:val="zh-CN"/>
        </w:rPr>
        <w:t>具体实施内容</w:t>
      </w:r>
      <w:r>
        <w:rPr>
          <w:rFonts w:hint="eastAsia" w:ascii="仿宋" w:hAnsi="仿宋" w:eastAsia="仿宋" w:cs="仿宋"/>
          <w:sz w:val="32"/>
          <w:szCs w:val="32"/>
        </w:rPr>
        <w:t>一致</w:t>
      </w:r>
      <w:r>
        <w:rPr>
          <w:rFonts w:hint="eastAsia" w:ascii="仿宋" w:hAnsi="仿宋" w:eastAsia="仿宋" w:cs="仿宋"/>
          <w:sz w:val="32"/>
          <w:szCs w:val="32"/>
          <w:lang w:val="zh-CN"/>
        </w:rPr>
        <w:t>，申报目标合理可行</w:t>
      </w:r>
      <w:r>
        <w:rPr>
          <w:rFonts w:hint="eastAsia" w:ascii="仿宋" w:hAnsi="仿宋" w:eastAsia="仿宋" w:cs="仿宋"/>
          <w:sz w:val="32"/>
          <w:szCs w:val="32"/>
        </w:rPr>
        <w:t>且已纳入2018年危旧房棚户区改造计划。</w:t>
      </w:r>
    </w:p>
    <w:p>
      <w:pPr>
        <w:pStyle w:val="24"/>
        <w:numPr>
          <w:ilvl w:val="0"/>
          <w:numId w:val="6"/>
        </w:numPr>
        <w:adjustRightInd w:val="0"/>
        <w:snapToGrid w:val="0"/>
        <w:spacing w:line="640" w:lineRule="exact"/>
        <w:ind w:firstLineChars="0"/>
        <w:rPr>
          <w:rFonts w:ascii="楷体_GB2312" w:hAnsi="宋体" w:eastAsia="楷体_GB2312"/>
          <w:b/>
          <w:sz w:val="32"/>
          <w:szCs w:val="32"/>
          <w:lang w:val="zh-CN"/>
        </w:rPr>
      </w:pPr>
      <w:r>
        <w:rPr>
          <w:rFonts w:hint="eastAsia" w:ascii="楷体_GB2312" w:hAnsi="宋体" w:eastAsia="楷体_GB2312"/>
          <w:b/>
          <w:sz w:val="32"/>
          <w:szCs w:val="32"/>
          <w:lang w:val="zh-CN"/>
        </w:rPr>
        <w:t>项目自评步骤及方法。</w:t>
      </w:r>
    </w:p>
    <w:p>
      <w:pPr>
        <w:adjustRightInd w:val="0"/>
        <w:snapToGrid w:val="0"/>
        <w:spacing w:line="640" w:lineRule="exact"/>
        <w:ind w:firstLine="720"/>
        <w:rPr>
          <w:rFonts w:ascii="仿宋" w:hAnsi="仿宋" w:eastAsia="仿宋" w:cs="仿宋"/>
          <w:sz w:val="32"/>
          <w:szCs w:val="32"/>
          <w:lang w:val="zh-CN"/>
        </w:rPr>
      </w:pPr>
      <w:r>
        <w:rPr>
          <w:rFonts w:hint="eastAsia" w:ascii="仿宋" w:hAnsi="仿宋" w:eastAsia="仿宋" w:cs="仿宋"/>
          <w:sz w:val="32"/>
          <w:szCs w:val="32"/>
          <w:lang w:val="zh-CN"/>
        </w:rPr>
        <w:t>由我局开展财政资金使用情况自评并撰写部门预算支出绩效报告，按规范格式按时提交自评报告。</w:t>
      </w:r>
    </w:p>
    <w:p>
      <w:pPr>
        <w:adjustRightInd w:val="0"/>
        <w:snapToGrid w:val="0"/>
        <w:spacing w:line="640" w:lineRule="exact"/>
        <w:ind w:firstLine="640" w:firstLineChars="200"/>
        <w:rPr>
          <w:rFonts w:ascii="仿宋_GB2312" w:hAnsi="宋体" w:eastAsia="仿宋_GB2312"/>
          <w:sz w:val="32"/>
          <w:szCs w:val="32"/>
        </w:rPr>
      </w:pPr>
      <w:r>
        <w:rPr>
          <w:rFonts w:hint="eastAsia" w:ascii="黑体" w:hAnsi="宋体" w:eastAsia="黑体"/>
          <w:sz w:val="32"/>
          <w:szCs w:val="32"/>
        </w:rPr>
        <w:t>二、项目实施及使用情况</w:t>
      </w:r>
    </w:p>
    <w:p>
      <w:pPr>
        <w:adjustRightInd w:val="0"/>
        <w:snapToGrid w:val="0"/>
        <w:spacing w:line="640" w:lineRule="exact"/>
        <w:ind w:firstLine="642" w:firstLineChars="200"/>
        <w:rPr>
          <w:rFonts w:ascii="楷体_GB2312" w:hAnsi="宋体" w:eastAsia="楷体_GB2312"/>
          <w:b/>
          <w:sz w:val="32"/>
          <w:szCs w:val="32"/>
        </w:rPr>
      </w:pPr>
      <w:r>
        <w:rPr>
          <w:rFonts w:hint="eastAsia" w:ascii="楷体_GB2312" w:hAnsi="宋体" w:eastAsia="楷体_GB2312"/>
          <w:b/>
          <w:sz w:val="32"/>
          <w:szCs w:val="32"/>
        </w:rPr>
        <w:t>（一）项目资金申报及使用情况。</w:t>
      </w:r>
    </w:p>
    <w:p>
      <w:pPr>
        <w:adjustRightInd w:val="0"/>
        <w:snapToGrid w:val="0"/>
        <w:spacing w:line="640" w:lineRule="exact"/>
        <w:ind w:left="480"/>
        <w:rPr>
          <w:rFonts w:ascii="仿宋" w:hAnsi="仿宋" w:eastAsia="仿宋" w:cs="仿宋"/>
          <w:sz w:val="32"/>
          <w:szCs w:val="32"/>
        </w:rPr>
      </w:pPr>
      <w:r>
        <w:rPr>
          <w:rFonts w:hint="eastAsia" w:ascii="楷体_GB2312" w:hAnsi="宋体" w:eastAsia="楷体_GB2312"/>
          <w:b/>
          <w:sz w:val="32"/>
          <w:szCs w:val="32"/>
        </w:rPr>
        <w:t xml:space="preserve">  </w:t>
      </w:r>
      <w:r>
        <w:rPr>
          <w:rFonts w:hint="eastAsia" w:ascii="仿宋" w:hAnsi="仿宋" w:eastAsia="仿宋" w:cs="仿宋"/>
          <w:sz w:val="32"/>
          <w:szCs w:val="32"/>
        </w:rPr>
        <w:t>年初正式指标下达，资金文号：年初住建</w:t>
      </w:r>
      <w:r>
        <w:rPr>
          <w:rFonts w:hint="eastAsia" w:ascii="仿宋" w:hAnsi="仿宋" w:eastAsia="仿宋" w:cs="仿宋"/>
          <w:sz w:val="32"/>
          <w:szCs w:val="32"/>
          <w:lang w:eastAsia="zh-CN"/>
        </w:rPr>
        <w:t>（</w:t>
      </w:r>
      <w:r>
        <w:rPr>
          <w:rFonts w:hint="eastAsia" w:ascii="仿宋" w:hAnsi="仿宋" w:eastAsia="仿宋" w:cs="仿宋"/>
          <w:sz w:val="32"/>
          <w:szCs w:val="32"/>
        </w:rPr>
        <w:t>2021)31号用于2018年危旧房棚户区改造服务项目。</w:t>
      </w:r>
    </w:p>
    <w:p>
      <w:pPr>
        <w:adjustRightInd w:val="0"/>
        <w:snapToGrid w:val="0"/>
        <w:spacing w:line="6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40" w:lineRule="exact"/>
        <w:ind w:firstLine="720"/>
        <w:rPr>
          <w:rFonts w:ascii="仿宋" w:hAnsi="仿宋" w:eastAsia="仿宋" w:cs="仿宋"/>
          <w:sz w:val="32"/>
          <w:szCs w:val="32"/>
          <w:lang w:val="zh-CN"/>
        </w:rPr>
      </w:pPr>
      <w:r>
        <w:rPr>
          <w:rFonts w:hint="eastAsia" w:ascii="仿宋" w:hAnsi="仿宋" w:eastAsia="仿宋" w:cs="仿宋"/>
          <w:sz w:val="32"/>
          <w:szCs w:val="32"/>
          <w:lang w:val="zh-CN"/>
        </w:rPr>
        <w:t>1．资金计划及到位。该项目资金预算指标为地方财政资金，</w:t>
      </w:r>
      <w:r>
        <w:rPr>
          <w:rFonts w:hint="eastAsia" w:ascii="仿宋" w:hAnsi="仿宋" w:eastAsia="仿宋" w:cs="仿宋"/>
          <w:sz w:val="32"/>
          <w:szCs w:val="32"/>
        </w:rPr>
        <w:t>资金指标已及时到位，资金到位率100%，</w:t>
      </w:r>
      <w:r>
        <w:rPr>
          <w:rFonts w:hint="eastAsia" w:ascii="仿宋" w:hAnsi="仿宋" w:eastAsia="仿宋" w:cs="仿宋"/>
          <w:sz w:val="32"/>
          <w:szCs w:val="32"/>
          <w:lang w:val="zh-CN"/>
        </w:rPr>
        <w:t>到位及时性</w:t>
      </w:r>
      <w:r>
        <w:rPr>
          <w:rFonts w:hint="eastAsia" w:ascii="仿宋" w:hAnsi="仿宋" w:eastAsia="仿宋" w:cs="仿宋"/>
          <w:sz w:val="32"/>
          <w:szCs w:val="32"/>
        </w:rPr>
        <w:t>100%，拨付率100%。</w:t>
      </w:r>
    </w:p>
    <w:p>
      <w:pPr>
        <w:adjustRightInd w:val="0"/>
        <w:snapToGrid w:val="0"/>
        <w:spacing w:line="640" w:lineRule="exact"/>
        <w:ind w:firstLine="720"/>
        <w:rPr>
          <w:rFonts w:ascii="仿宋" w:hAnsi="仿宋" w:eastAsia="仿宋" w:cs="仿宋"/>
          <w:sz w:val="32"/>
          <w:szCs w:val="32"/>
          <w:lang w:val="zh-CN"/>
        </w:rPr>
      </w:pPr>
      <w:r>
        <w:rPr>
          <w:rFonts w:hint="eastAsia" w:ascii="仿宋" w:hAnsi="仿宋" w:eastAsia="仿宋" w:cs="仿宋"/>
          <w:sz w:val="32"/>
          <w:szCs w:val="32"/>
          <w:lang w:val="zh-CN"/>
        </w:rPr>
        <w:t>2．资金使用。</w:t>
      </w:r>
    </w:p>
    <w:p>
      <w:pPr>
        <w:adjustRightInd w:val="0"/>
        <w:snapToGrid w:val="0"/>
        <w:spacing w:line="640" w:lineRule="exact"/>
        <w:ind w:firstLine="720"/>
        <w:rPr>
          <w:rFonts w:ascii="仿宋" w:hAnsi="仿宋" w:eastAsia="仿宋" w:cs="仿宋"/>
          <w:sz w:val="32"/>
          <w:szCs w:val="32"/>
          <w:lang w:val="zh-CN"/>
        </w:rPr>
      </w:pPr>
      <w:r>
        <w:rPr>
          <w:rFonts w:hint="eastAsia" w:ascii="仿宋" w:hAnsi="仿宋" w:eastAsia="仿宋" w:cs="仿宋"/>
          <w:sz w:val="32"/>
          <w:szCs w:val="32"/>
        </w:rPr>
        <w:t>2018年危旧房棚户区改造项目安排地方资金2900万。现已拨付2900万元。该笔资金的支付范围、支付标准、支付进度、支付依据等均合规合法，未发现其他相关问题。</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40" w:lineRule="exact"/>
        <w:ind w:firstLine="720"/>
        <w:rPr>
          <w:rFonts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640" w:lineRule="exact"/>
        <w:ind w:firstLine="720"/>
        <w:rPr>
          <w:rFonts w:ascii="黑体" w:hAnsi="宋体" w:eastAsia="黑体"/>
          <w:sz w:val="32"/>
          <w:szCs w:val="32"/>
          <w:lang w:val="zh-CN"/>
        </w:rPr>
      </w:pPr>
      <w:r>
        <w:rPr>
          <w:rFonts w:hint="eastAsia" w:ascii="黑体" w:hAnsi="宋体" w:eastAsia="黑体"/>
          <w:sz w:val="32"/>
          <w:szCs w:val="32"/>
          <w:lang w:val="zh-CN"/>
        </w:rPr>
        <w:t>三、项目实施及管理情况</w:t>
      </w:r>
    </w:p>
    <w:p>
      <w:pPr>
        <w:adjustRightInd w:val="0"/>
        <w:snapToGrid w:val="0"/>
        <w:spacing w:line="640" w:lineRule="exact"/>
        <w:ind w:firstLine="720"/>
        <w:rPr>
          <w:rFonts w:ascii="仿宋" w:hAnsi="仿宋" w:eastAsia="仿宋" w:cs="仿宋"/>
          <w:sz w:val="32"/>
          <w:szCs w:val="32"/>
          <w:lang w:val="zh-CN"/>
        </w:rPr>
      </w:pPr>
      <w:r>
        <w:rPr>
          <w:rFonts w:hint="eastAsia" w:ascii="仿宋" w:hAnsi="仿宋" w:eastAsia="仿宋" w:cs="仿宋"/>
          <w:sz w:val="32"/>
          <w:szCs w:val="32"/>
          <w:lang w:val="zh-CN"/>
        </w:rPr>
        <w:t>该项目由绵竹市金申投资集团有限公司作为项目实施单位，定期对该项目进行各项检查。</w:t>
      </w:r>
    </w:p>
    <w:p>
      <w:pPr>
        <w:adjustRightInd w:val="0"/>
        <w:snapToGrid w:val="0"/>
        <w:spacing w:line="64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40" w:lineRule="exact"/>
        <w:ind w:firstLine="720"/>
        <w:rPr>
          <w:rFonts w:ascii="仿宋" w:hAnsi="仿宋" w:eastAsia="仿宋" w:cs="仿宋"/>
          <w:sz w:val="32"/>
          <w:szCs w:val="32"/>
        </w:rPr>
      </w:pPr>
      <w:r>
        <w:rPr>
          <w:rFonts w:hint="eastAsia" w:ascii="仿宋" w:hAnsi="仿宋" w:eastAsia="仿宋" w:cs="仿宋"/>
          <w:sz w:val="32"/>
          <w:szCs w:val="32"/>
        </w:rPr>
        <w:t>已完成2018年至2021年的政府采购资金支付。</w:t>
      </w:r>
    </w:p>
    <w:p>
      <w:pPr>
        <w:adjustRightInd w:val="0"/>
        <w:snapToGrid w:val="0"/>
        <w:spacing w:line="640" w:lineRule="exact"/>
        <w:ind w:firstLine="642" w:firstLineChars="200"/>
        <w:rPr>
          <w:rFonts w:ascii="仿宋_GB2312" w:hAnsi="宋体" w:eastAsia="仿宋_GB2312"/>
          <w:sz w:val="32"/>
          <w:szCs w:val="32"/>
        </w:rPr>
      </w:pPr>
      <w:r>
        <w:rPr>
          <w:rFonts w:hint="eastAsia" w:ascii="楷体_GB2312" w:hAnsi="宋体" w:eastAsia="楷体_GB2312"/>
          <w:b/>
          <w:sz w:val="32"/>
          <w:szCs w:val="32"/>
          <w:lang w:val="zh-CN"/>
        </w:rPr>
        <w:t>（二）项目效益情况。</w:t>
      </w:r>
    </w:p>
    <w:p>
      <w:pPr>
        <w:adjustRightInd w:val="0"/>
        <w:snapToGrid w:val="0"/>
        <w:spacing w:line="640" w:lineRule="exact"/>
        <w:ind w:firstLine="720"/>
        <w:rPr>
          <w:rFonts w:ascii="仿宋" w:hAnsi="仿宋" w:eastAsia="仿宋" w:cs="仿宋"/>
          <w:sz w:val="32"/>
          <w:szCs w:val="32"/>
          <w:lang w:val="zh-CN"/>
        </w:rPr>
      </w:pPr>
      <w:r>
        <w:rPr>
          <w:rFonts w:hint="eastAsia" w:ascii="仿宋" w:hAnsi="仿宋" w:eastAsia="仿宋" w:cs="仿宋"/>
          <w:sz w:val="32"/>
          <w:szCs w:val="32"/>
          <w:lang w:val="zh-CN"/>
        </w:rPr>
        <w:t>经济效益：该项目建成后，将拉动投资和消费，有利于进一步推动当地的建设，吸引投资推动绵竹市经济增长，新增众多的就业机会，从而解决部分市民的就业问题。同时，在施工过程中，将投入较大的施工力量，由此间接带动了就业岗位的增加。项目建设所需建筑材料的购买，又给相关行业增加了收益。因此项目的建设总体来说对当地居民的收入影响是正面的。</w:t>
      </w:r>
    </w:p>
    <w:p>
      <w:pPr>
        <w:adjustRightInd w:val="0"/>
        <w:snapToGrid w:val="0"/>
        <w:spacing w:line="640" w:lineRule="exact"/>
        <w:ind w:firstLine="720"/>
        <w:rPr>
          <w:rFonts w:ascii="仿宋" w:hAnsi="仿宋" w:eastAsia="仿宋" w:cs="仿宋"/>
          <w:sz w:val="32"/>
          <w:szCs w:val="32"/>
          <w:lang w:val="zh-CN"/>
        </w:rPr>
      </w:pPr>
      <w:r>
        <w:rPr>
          <w:rFonts w:hint="eastAsia" w:ascii="仿宋" w:hAnsi="仿宋" w:eastAsia="仿宋" w:cs="仿宋"/>
          <w:sz w:val="32"/>
          <w:szCs w:val="32"/>
          <w:lang w:val="zh-CN"/>
        </w:rPr>
        <w:t>社会效益：该项目的建设实施将提高和改善居民的居住水平和生活环境质量，促进生活配套等各方面设施的完善。注重以人为本，生态优化，综合效益和社会文明的融合，在满足交通、消防等市政设施的同时，提高地块的利用率，扩大绿化面积，营造人与自然的和谐环境，建设风格与城市周围景观相协调发展，给市民创造了一个良好的工作环境和生活空间。项目的建设对所在地区居民生活水平和生活质量的影响是正面的，社会效益是显著的。</w:t>
      </w:r>
    </w:p>
    <w:p>
      <w:pPr>
        <w:adjustRightInd w:val="0"/>
        <w:snapToGrid w:val="0"/>
        <w:spacing w:line="640" w:lineRule="exact"/>
        <w:ind w:firstLine="720"/>
        <w:rPr>
          <w:rFonts w:ascii="仿宋" w:hAnsi="仿宋" w:eastAsia="仿宋" w:cs="仿宋"/>
          <w:sz w:val="32"/>
          <w:szCs w:val="32"/>
          <w:lang w:val="zh-CN"/>
        </w:rPr>
      </w:pPr>
      <w:r>
        <w:rPr>
          <w:rFonts w:hint="eastAsia" w:ascii="仿宋" w:hAnsi="仿宋" w:eastAsia="仿宋" w:cs="仿宋"/>
          <w:sz w:val="32"/>
          <w:szCs w:val="32"/>
          <w:lang w:val="zh-CN"/>
        </w:rPr>
        <w:t>生态效益和可持续效益：项目建成后，可以改善项目区的整体形象，改善居民的居住环境和配套设施。项目投入使用后作为城中村改造区域，将大大提高居民的生活水平。项目的顺利建设对绵竹市政府而言，可以增加当地相应的税收，从而提高财政收入；项目的建设为绵竹市完成其城镇化建设的目标提供了有力的支撑，因此，带来的生态效益与可持续效益是明显的。</w:t>
      </w:r>
    </w:p>
    <w:p>
      <w:pPr>
        <w:adjustRightInd w:val="0"/>
        <w:snapToGrid w:val="0"/>
        <w:spacing w:line="640" w:lineRule="exact"/>
        <w:ind w:firstLine="720"/>
        <w:rPr>
          <w:rFonts w:ascii="仿宋" w:hAnsi="仿宋" w:eastAsia="仿宋" w:cs="仿宋"/>
          <w:sz w:val="32"/>
          <w:szCs w:val="32"/>
          <w:lang w:val="zh-CN"/>
        </w:rPr>
      </w:pPr>
      <w:r>
        <w:rPr>
          <w:rFonts w:hint="eastAsia" w:ascii="仿宋" w:hAnsi="仿宋" w:eastAsia="仿宋" w:cs="仿宋"/>
          <w:sz w:val="32"/>
          <w:szCs w:val="32"/>
          <w:lang w:val="zh-CN"/>
        </w:rPr>
        <w:t>服务对象满意度：该项目的建设对当地人民群众利益不会造成负面影响，反之，由于改善了居住条件和生活环境，为人民群众创造了健康的生活环境，提升人民幸福感，提高群众满意度是明显的。</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五、问题及建议</w:t>
      </w:r>
    </w:p>
    <w:p>
      <w:pPr>
        <w:numPr>
          <w:ilvl w:val="0"/>
          <w:numId w:val="7"/>
        </w:numPr>
        <w:adjustRightInd w:val="0"/>
        <w:snapToGrid w:val="0"/>
        <w:spacing w:line="640" w:lineRule="exact"/>
        <w:rPr>
          <w:rFonts w:ascii="楷体_GB2312" w:hAnsi="宋体" w:eastAsia="楷体_GB2312"/>
          <w:b/>
          <w:sz w:val="32"/>
          <w:szCs w:val="32"/>
        </w:rPr>
      </w:pPr>
      <w:r>
        <w:rPr>
          <w:rFonts w:hint="eastAsia" w:ascii="楷体_GB2312" w:hAnsi="宋体" w:eastAsia="楷体_GB2312"/>
          <w:b/>
          <w:sz w:val="32"/>
          <w:szCs w:val="32"/>
        </w:rPr>
        <w:t>评价结论。</w:t>
      </w:r>
    </w:p>
    <w:p>
      <w:pPr>
        <w:adjustRightInd w:val="0"/>
        <w:snapToGrid w:val="0"/>
        <w:spacing w:line="6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实际完成率、完成及时率均达到或超过绩效目标，质量达标率良好，产出成本可控，项目管理工作规范，社会效益良好，项目可持续性强。评价级别为“优”。</w:t>
      </w:r>
    </w:p>
    <w:p>
      <w:pPr>
        <w:adjustRightInd w:val="0"/>
        <w:snapToGrid w:val="0"/>
        <w:spacing w:line="6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仿宋_GB2312" w:hAnsi="宋体" w:eastAsia="仿宋_GB2312"/>
          <w:sz w:val="32"/>
          <w:szCs w:val="32"/>
          <w:lang w:val="zh-CN"/>
        </w:rPr>
        <w:t>无</w:t>
      </w:r>
    </w:p>
    <w:p>
      <w:pPr>
        <w:adjustRightInd w:val="0"/>
        <w:snapToGrid w:val="0"/>
        <w:spacing w:line="6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tbl>
      <w:tblPr>
        <w:tblStyle w:val="13"/>
        <w:tblW w:w="10819" w:type="dxa"/>
        <w:jc w:val="center"/>
        <w:tblLayout w:type="autofit"/>
        <w:tblCellMar>
          <w:top w:w="0" w:type="dxa"/>
          <w:left w:w="108" w:type="dxa"/>
          <w:bottom w:w="0" w:type="dxa"/>
          <w:right w:w="108" w:type="dxa"/>
        </w:tblCellMar>
      </w:tblPr>
      <w:tblGrid>
        <w:gridCol w:w="831"/>
        <w:gridCol w:w="971"/>
        <w:gridCol w:w="731"/>
        <w:gridCol w:w="2940"/>
        <w:gridCol w:w="2821"/>
        <w:gridCol w:w="2525"/>
      </w:tblGrid>
      <w:tr>
        <w:tblPrEx>
          <w:tblCellMar>
            <w:top w:w="0" w:type="dxa"/>
            <w:left w:w="108" w:type="dxa"/>
            <w:bottom w:w="0" w:type="dxa"/>
            <w:right w:w="108" w:type="dxa"/>
          </w:tblCellMar>
        </w:tblPrEx>
        <w:trPr>
          <w:trHeight w:val="405" w:hRule="atLeast"/>
          <w:jc w:val="center"/>
        </w:trPr>
        <w:tc>
          <w:tcPr>
            <w:tcW w:w="10819"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10819" w:type="dxa"/>
            <w:gridSpan w:val="6"/>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330" w:hRule="atLeast"/>
          <w:jc w:val="center"/>
        </w:trPr>
        <w:tc>
          <w:tcPr>
            <w:tcW w:w="25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828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绵竹市2018年危旧房棚户区改造项目</w:t>
            </w:r>
          </w:p>
        </w:tc>
      </w:tr>
      <w:tr>
        <w:tblPrEx>
          <w:tblCellMar>
            <w:top w:w="0" w:type="dxa"/>
            <w:left w:w="108" w:type="dxa"/>
            <w:bottom w:w="0" w:type="dxa"/>
            <w:right w:w="108" w:type="dxa"/>
          </w:tblCellMar>
        </w:tblPrEx>
        <w:trPr>
          <w:trHeight w:val="407" w:hRule="atLeast"/>
          <w:jc w:val="center"/>
        </w:trPr>
        <w:tc>
          <w:tcPr>
            <w:tcW w:w="253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828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570" w:hRule="atLeast"/>
          <w:jc w:val="center"/>
        </w:trPr>
        <w:tc>
          <w:tcPr>
            <w:tcW w:w="8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17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94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2900万元</w:t>
            </w:r>
          </w:p>
        </w:tc>
        <w:tc>
          <w:tcPr>
            <w:tcW w:w="28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执行数：</w:t>
            </w: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2900万元</w:t>
            </w:r>
          </w:p>
        </w:tc>
      </w:tr>
      <w:tr>
        <w:tblPrEx>
          <w:tblCellMar>
            <w:top w:w="0" w:type="dxa"/>
            <w:left w:w="108" w:type="dxa"/>
            <w:bottom w:w="0" w:type="dxa"/>
            <w:right w:w="108" w:type="dxa"/>
          </w:tblCellMar>
        </w:tblPrEx>
        <w:trPr>
          <w:trHeight w:val="564" w:hRule="atLeast"/>
          <w:jc w:val="center"/>
        </w:trPr>
        <w:tc>
          <w:tcPr>
            <w:tcW w:w="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94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2900万元</w:t>
            </w:r>
          </w:p>
        </w:tc>
        <w:tc>
          <w:tcPr>
            <w:tcW w:w="2821"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其中：财政拨款</w:t>
            </w: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2900万元</w:t>
            </w:r>
          </w:p>
        </w:tc>
      </w:tr>
      <w:tr>
        <w:tblPrEx>
          <w:tblCellMar>
            <w:top w:w="0" w:type="dxa"/>
            <w:left w:w="108" w:type="dxa"/>
            <w:bottom w:w="0" w:type="dxa"/>
            <w:right w:w="108" w:type="dxa"/>
          </w:tblCellMar>
        </w:tblPrEx>
        <w:trPr>
          <w:trHeight w:val="462" w:hRule="atLeast"/>
          <w:jc w:val="center"/>
        </w:trPr>
        <w:tc>
          <w:tcPr>
            <w:tcW w:w="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94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82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252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jc w:val="center"/>
        </w:trPr>
        <w:tc>
          <w:tcPr>
            <w:tcW w:w="8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64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534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004" w:hRule="atLeast"/>
          <w:jc w:val="center"/>
        </w:trPr>
        <w:tc>
          <w:tcPr>
            <w:tcW w:w="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64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推进2018年危旧房棚户区改造项目实施</w:t>
            </w:r>
          </w:p>
        </w:tc>
        <w:tc>
          <w:tcPr>
            <w:tcW w:w="534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已推进2018年危旧房棚户区改造项目实施</w:t>
            </w:r>
          </w:p>
        </w:tc>
      </w:tr>
      <w:tr>
        <w:tblPrEx>
          <w:tblCellMar>
            <w:top w:w="0" w:type="dxa"/>
            <w:left w:w="108" w:type="dxa"/>
            <w:bottom w:w="0" w:type="dxa"/>
            <w:right w:w="108" w:type="dxa"/>
          </w:tblCellMar>
        </w:tblPrEx>
        <w:trPr>
          <w:trHeight w:val="480" w:hRule="atLeast"/>
          <w:jc w:val="center"/>
        </w:trPr>
        <w:tc>
          <w:tcPr>
            <w:tcW w:w="83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8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1335" w:hRule="atLeast"/>
          <w:jc w:val="center"/>
        </w:trPr>
        <w:tc>
          <w:tcPr>
            <w:tcW w:w="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1"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9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支付金申公司2018年棚户区改造项目（桂园路改造、新市花园三期安置房建设、城市危房改造）购买棚改服务</w:t>
            </w:r>
          </w:p>
        </w:tc>
        <w:tc>
          <w:tcPr>
            <w:tcW w:w="28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支付2021年棚改服务费     2900万元</w:t>
            </w: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已支付2021年棚改服务费         2900万元</w:t>
            </w:r>
          </w:p>
        </w:tc>
      </w:tr>
      <w:tr>
        <w:tblPrEx>
          <w:tblCellMar>
            <w:top w:w="0" w:type="dxa"/>
            <w:left w:w="108" w:type="dxa"/>
            <w:bottom w:w="0" w:type="dxa"/>
            <w:right w:w="108" w:type="dxa"/>
          </w:tblCellMar>
        </w:tblPrEx>
        <w:trPr>
          <w:trHeight w:val="628" w:hRule="atLeast"/>
          <w:jc w:val="center"/>
        </w:trPr>
        <w:tc>
          <w:tcPr>
            <w:tcW w:w="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按照《建设工程质量管理条例》及合同执行</w:t>
            </w:r>
          </w:p>
        </w:tc>
        <w:tc>
          <w:tcPr>
            <w:tcW w:w="28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质量达标率良好，产出成本可控</w:t>
            </w: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质量达标率良好，产出成本可控</w:t>
            </w:r>
          </w:p>
        </w:tc>
      </w:tr>
      <w:tr>
        <w:tblPrEx>
          <w:tblCellMar>
            <w:top w:w="0" w:type="dxa"/>
            <w:left w:w="108" w:type="dxa"/>
            <w:bottom w:w="0" w:type="dxa"/>
            <w:right w:w="108" w:type="dxa"/>
          </w:tblCellMar>
        </w:tblPrEx>
        <w:trPr>
          <w:trHeight w:val="425" w:hRule="atLeast"/>
          <w:jc w:val="center"/>
        </w:trPr>
        <w:tc>
          <w:tcPr>
            <w:tcW w:w="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9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28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共分17年支付服务费用</w:t>
            </w: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已支付2018年至2021年服务费用</w:t>
            </w:r>
          </w:p>
        </w:tc>
      </w:tr>
      <w:tr>
        <w:tblPrEx>
          <w:tblCellMar>
            <w:top w:w="0" w:type="dxa"/>
            <w:left w:w="108" w:type="dxa"/>
            <w:bottom w:w="0" w:type="dxa"/>
            <w:right w:w="108" w:type="dxa"/>
          </w:tblCellMar>
        </w:tblPrEx>
        <w:trPr>
          <w:trHeight w:val="362" w:hRule="atLeast"/>
          <w:jc w:val="center"/>
        </w:trPr>
        <w:tc>
          <w:tcPr>
            <w:tcW w:w="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9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2021年棚改服务费</w:t>
            </w:r>
          </w:p>
        </w:tc>
        <w:tc>
          <w:tcPr>
            <w:tcW w:w="28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≤2900万元</w:t>
            </w: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已支付2900万元</w:t>
            </w:r>
          </w:p>
        </w:tc>
      </w:tr>
      <w:tr>
        <w:tblPrEx>
          <w:tblCellMar>
            <w:top w:w="0" w:type="dxa"/>
            <w:left w:w="108" w:type="dxa"/>
            <w:bottom w:w="0" w:type="dxa"/>
            <w:right w:w="108" w:type="dxa"/>
          </w:tblCellMar>
        </w:tblPrEx>
        <w:trPr>
          <w:trHeight w:val="1755" w:hRule="atLeast"/>
          <w:jc w:val="center"/>
        </w:trPr>
        <w:tc>
          <w:tcPr>
            <w:tcW w:w="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9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该项目建成后，将拉动投资和消费，有利于进一步推动当地的建设，吸引投资推动绵竹市经济增长，新增众多的就业机会，从而解决部分市民的就业问题。</w:t>
            </w:r>
          </w:p>
        </w:tc>
        <w:tc>
          <w:tcPr>
            <w:tcW w:w="28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1290" w:hRule="atLeast"/>
          <w:jc w:val="center"/>
        </w:trPr>
        <w:tc>
          <w:tcPr>
            <w:tcW w:w="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9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该项目的建设实施将提高和改善居民的居住水平和生活环境质量，促进生活配套等各方面设施的完善。</w:t>
            </w:r>
          </w:p>
        </w:tc>
        <w:tc>
          <w:tcPr>
            <w:tcW w:w="28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1039" w:hRule="atLeast"/>
          <w:jc w:val="center"/>
        </w:trPr>
        <w:tc>
          <w:tcPr>
            <w:tcW w:w="83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73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9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满意度</w:t>
            </w:r>
          </w:p>
        </w:tc>
        <w:tc>
          <w:tcPr>
            <w:tcW w:w="28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5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rPr>
      </w:pPr>
    </w:p>
    <w:p>
      <w:pPr>
        <w:spacing w:line="580" w:lineRule="exact"/>
        <w:jc w:val="center"/>
        <w:rPr>
          <w:rFonts w:ascii="方正小标宋简体" w:hAnsi="宋体" w:eastAsia="方正小标宋简体"/>
          <w:kern w:val="0"/>
          <w:sz w:val="44"/>
          <w:szCs w:val="44"/>
        </w:rPr>
      </w:pPr>
      <w:r>
        <w:rPr>
          <w:rFonts w:hint="eastAsia" w:ascii="微软雅黑" w:hAnsi="微软雅黑" w:eastAsia="微软雅黑" w:cs="微软雅黑"/>
          <w:kern w:val="0"/>
          <w:sz w:val="44"/>
          <w:szCs w:val="44"/>
        </w:rPr>
        <w:t>项目支出绩效自评报告</w:t>
      </w:r>
    </w:p>
    <w:p>
      <w:pPr>
        <w:spacing w:line="580" w:lineRule="exact"/>
        <w:jc w:val="center"/>
        <w:rPr>
          <w:rFonts w:ascii="仿宋" w:hAnsi="仿宋" w:eastAsia="仿宋" w:cs="仿宋"/>
          <w:sz w:val="32"/>
          <w:szCs w:val="32"/>
          <w:lang w:val="zh-CN"/>
        </w:rPr>
      </w:pPr>
      <w:r>
        <w:rPr>
          <w:rFonts w:hint="eastAsia" w:ascii="仿宋" w:hAnsi="仿宋" w:eastAsia="仿宋" w:cs="仿宋"/>
          <w:sz w:val="32"/>
          <w:szCs w:val="32"/>
          <w:lang w:val="zh-CN"/>
        </w:rPr>
        <w:t>（绵竹市老旧小区（瑞祥片区）改造项目）</w:t>
      </w:r>
    </w:p>
    <w:p>
      <w:pPr>
        <w:spacing w:line="580" w:lineRule="exact"/>
        <w:jc w:val="center"/>
        <w:rPr>
          <w:rFonts w:ascii="方正小标宋简体" w:hAnsi="宋体" w:eastAsia="方正小标宋简体"/>
          <w:kern w:val="0"/>
          <w:sz w:val="44"/>
          <w:szCs w:val="44"/>
        </w:rPr>
      </w:pPr>
    </w:p>
    <w:p>
      <w:pPr>
        <w:ind w:firstLine="640" w:firstLineChars="200"/>
        <w:rPr>
          <w:rFonts w:ascii="黑体" w:hAnsi="黑体" w:eastAsia="黑体"/>
          <w:sz w:val="32"/>
          <w:szCs w:val="32"/>
          <w:lang w:val="zh-CN"/>
        </w:rPr>
      </w:pPr>
      <w:r>
        <w:rPr>
          <w:rFonts w:hint="eastAsia" w:ascii="黑体" w:hAnsi="黑体" w:eastAsia="黑体"/>
          <w:sz w:val="32"/>
          <w:szCs w:val="32"/>
          <w:lang w:val="zh-CN"/>
        </w:rPr>
        <w:t>一、项目概况</w:t>
      </w:r>
    </w:p>
    <w:p>
      <w:pPr>
        <w:adjustRightInd w:val="0"/>
        <w:snapToGrid w:val="0"/>
        <w:spacing w:line="580" w:lineRule="exact"/>
        <w:rPr>
          <w:rFonts w:ascii="黑体" w:hAnsi="宋体" w:eastAsia="黑体"/>
          <w:sz w:val="32"/>
          <w:szCs w:val="32"/>
        </w:rPr>
      </w:pPr>
      <w:r>
        <w:rPr>
          <w:rFonts w:hint="eastAsia" w:ascii="黑体" w:hAnsi="宋体" w:eastAsia="黑体"/>
          <w:sz w:val="32"/>
          <w:szCs w:val="32"/>
        </w:rPr>
        <w:t xml:space="preserve">  </w:t>
      </w:r>
      <w:r>
        <w:rPr>
          <w:rFonts w:hint="eastAsia" w:ascii="方正仿宋_GB18030" w:hAnsi="方正仿宋_GB18030" w:eastAsia="方正仿宋_GB18030" w:cs="方正仿宋_GB18030"/>
          <w:b/>
          <w:bCs/>
          <w:sz w:val="32"/>
          <w:szCs w:val="32"/>
        </w:rPr>
        <w:t xml:space="preserve"> </w:t>
      </w:r>
      <w:r>
        <w:rPr>
          <w:rFonts w:hint="eastAsia" w:ascii="方正仿宋_GB18030" w:hAnsi="方正仿宋_GB18030" w:eastAsia="方正仿宋_GB18030" w:cs="方正仿宋_GB18030"/>
          <w:b/>
          <w:bCs/>
          <w:sz w:val="32"/>
          <w:szCs w:val="32"/>
          <w:lang w:eastAsia="zh-CN"/>
        </w:rPr>
        <w:t>（</w:t>
      </w:r>
      <w:r>
        <w:rPr>
          <w:rFonts w:hint="eastAsia" w:ascii="楷体_GB2312" w:hAnsi="宋体" w:eastAsia="楷体_GB2312"/>
          <w:b/>
          <w:sz w:val="32"/>
          <w:szCs w:val="32"/>
          <w:lang w:val="zh-CN"/>
        </w:rPr>
        <w:t>一）项目基本情况。</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1、</w:t>
      </w:r>
      <w:r>
        <w:rPr>
          <w:rFonts w:hint="eastAsia" w:ascii="仿宋" w:hAnsi="仿宋" w:eastAsia="仿宋" w:cs="仿宋"/>
          <w:sz w:val="32"/>
          <w:szCs w:val="32"/>
          <w:lang w:val="zh-CN"/>
        </w:rPr>
        <w:t>项目名称：绵竹市老旧小区（瑞祥片区）改造项目。</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2、项目业主：绵竹市金申投资集团有限公司。</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3、建设地点：绵竹市大东街北侧。</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4、建设内容：改造瑞祥片区道路、供排水管道，供电、供气、停车位、绿化，路灯、安防、托儿所、幼儿园、社区日间照料中心及其他配套设施设备和公共服务设施。</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5、资金来源：财政资金。</w:t>
      </w:r>
    </w:p>
    <w:p>
      <w:pPr>
        <w:adjustRightInd w:val="0"/>
        <w:snapToGrid w:val="0"/>
        <w:spacing w:line="580" w:lineRule="exact"/>
        <w:ind w:firstLine="321" w:firstLineChars="1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60" w:lineRule="exact"/>
        <w:ind w:firstLine="640" w:firstLineChars="200"/>
        <w:rPr>
          <w:rFonts w:ascii="仿宋" w:hAnsi="仿宋" w:eastAsia="仿宋" w:cs="仿宋"/>
          <w:sz w:val="32"/>
          <w:szCs w:val="32"/>
        </w:rPr>
      </w:pPr>
      <w:r>
        <w:rPr>
          <w:rFonts w:hint="eastAsia" w:ascii="仿宋" w:hAnsi="仿宋" w:eastAsia="仿宋" w:cs="仿宋"/>
          <w:sz w:val="32"/>
          <w:szCs w:val="32"/>
        </w:rPr>
        <w:t>该项目前期工作已完成，正在做施工招标工作，计划2023年6月完工。绵竹市老旧小区（瑞祥片区）改造项目的申报</w:t>
      </w:r>
      <w:r>
        <w:rPr>
          <w:rFonts w:hint="eastAsia" w:ascii="仿宋" w:hAnsi="仿宋" w:eastAsia="仿宋" w:cs="仿宋"/>
          <w:sz w:val="32"/>
          <w:szCs w:val="32"/>
          <w:lang w:val="zh-CN"/>
        </w:rPr>
        <w:t>内容</w:t>
      </w:r>
      <w:r>
        <w:rPr>
          <w:rFonts w:hint="eastAsia" w:ascii="仿宋" w:hAnsi="仿宋" w:eastAsia="仿宋" w:cs="仿宋"/>
          <w:sz w:val="32"/>
          <w:szCs w:val="32"/>
        </w:rPr>
        <w:t>与</w:t>
      </w:r>
      <w:r>
        <w:rPr>
          <w:rFonts w:hint="eastAsia" w:ascii="仿宋" w:hAnsi="仿宋" w:eastAsia="仿宋" w:cs="仿宋"/>
          <w:sz w:val="32"/>
          <w:szCs w:val="32"/>
          <w:lang w:val="zh-CN"/>
        </w:rPr>
        <w:t>具体实施内容</w:t>
      </w:r>
      <w:r>
        <w:rPr>
          <w:rFonts w:hint="eastAsia" w:ascii="仿宋" w:hAnsi="仿宋" w:eastAsia="仿宋" w:cs="仿宋"/>
          <w:sz w:val="32"/>
          <w:szCs w:val="32"/>
        </w:rPr>
        <w:t>一致</w:t>
      </w:r>
      <w:r>
        <w:rPr>
          <w:rFonts w:hint="eastAsia" w:ascii="仿宋" w:hAnsi="仿宋" w:eastAsia="仿宋" w:cs="仿宋"/>
          <w:sz w:val="32"/>
          <w:szCs w:val="32"/>
          <w:lang w:val="zh-CN"/>
        </w:rPr>
        <w:t>，申报目标合理可行</w:t>
      </w:r>
      <w:r>
        <w:rPr>
          <w:rFonts w:hint="eastAsia" w:ascii="仿宋" w:hAnsi="仿宋" w:eastAsia="仿宋" w:cs="仿宋"/>
          <w:sz w:val="32"/>
          <w:szCs w:val="32"/>
        </w:rPr>
        <w:t>且已纳入老旧小区改造计划。</w:t>
      </w:r>
    </w:p>
    <w:p>
      <w:pPr>
        <w:adjustRightInd w:val="0"/>
        <w:snapToGrid w:val="0"/>
        <w:spacing w:line="560" w:lineRule="exact"/>
        <w:ind w:firstLine="321" w:firstLineChars="10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80" w:lineRule="exact"/>
        <w:ind w:firstLine="720"/>
        <w:rPr>
          <w:rFonts w:ascii="黑体" w:hAnsi="宋体" w:eastAsia="黑体"/>
          <w:sz w:val="32"/>
          <w:szCs w:val="32"/>
        </w:rPr>
      </w:pPr>
      <w:r>
        <w:rPr>
          <w:rFonts w:hint="eastAsia" w:ascii="仿宋" w:hAnsi="仿宋" w:eastAsia="仿宋" w:cs="仿宋"/>
          <w:sz w:val="32"/>
          <w:szCs w:val="32"/>
          <w:lang w:val="zh-CN"/>
        </w:rPr>
        <w:t>由我局开展财政资金使用情况自评并撰写部门预算支出绩效报告，按规范格式按时提交自评报告。</w:t>
      </w:r>
    </w:p>
    <w:p>
      <w:pPr>
        <w:ind w:firstLine="640" w:firstLineChars="200"/>
        <w:rPr>
          <w:rFonts w:ascii="黑体" w:hAnsi="黑体" w:eastAsia="黑体"/>
          <w:sz w:val="32"/>
          <w:szCs w:val="32"/>
          <w:lang w:val="zh-CN"/>
        </w:rPr>
      </w:pPr>
      <w:r>
        <w:rPr>
          <w:rFonts w:hint="eastAsia" w:ascii="黑体" w:hAnsi="黑体" w:eastAsia="黑体"/>
          <w:sz w:val="32"/>
          <w:szCs w:val="32"/>
          <w:lang w:val="zh-CN"/>
        </w:rPr>
        <w:t>二、项目资金申报及使用情况</w:t>
      </w:r>
    </w:p>
    <w:p>
      <w:pPr>
        <w:ind w:firstLine="642" w:firstLineChars="200"/>
        <w:rPr>
          <w:rFonts w:ascii="黑体" w:hAnsi="黑体" w:eastAsia="黑体"/>
          <w:sz w:val="32"/>
          <w:szCs w:val="32"/>
          <w:lang w:val="zh-CN"/>
        </w:rPr>
      </w:pPr>
      <w:r>
        <w:rPr>
          <w:rFonts w:hint="eastAsia" w:ascii="楷体_GB2312" w:hAnsi="宋体" w:eastAsia="楷体_GB2312"/>
          <w:b/>
          <w:sz w:val="32"/>
          <w:szCs w:val="32"/>
        </w:rPr>
        <w:t>（一）项目资金申报及批复情况。</w:t>
      </w:r>
    </w:p>
    <w:p>
      <w:pPr>
        <w:adjustRightInd w:val="0"/>
        <w:snapToGrid w:val="0"/>
        <w:spacing w:line="560" w:lineRule="exact"/>
        <w:ind w:firstLine="640" w:firstLineChars="200"/>
        <w:rPr>
          <w:rFonts w:ascii="仿宋" w:hAnsi="仿宋" w:eastAsia="仿宋" w:cs="仿宋"/>
          <w:b/>
          <w:sz w:val="32"/>
          <w:szCs w:val="32"/>
        </w:rPr>
      </w:pPr>
      <w:r>
        <w:rPr>
          <w:rFonts w:hint="eastAsia" w:ascii="仿宋" w:hAnsi="仿宋" w:eastAsia="仿宋" w:cs="仿宋"/>
          <w:sz w:val="32"/>
          <w:szCs w:val="32"/>
        </w:rPr>
        <w:t>项目经市发改局《关于绵竹市老旧小区瑞祥片区配套基础设施改造</w:t>
      </w:r>
      <w:r>
        <w:rPr>
          <w:rFonts w:hint="eastAsia" w:ascii="仿宋" w:hAnsi="仿宋" w:eastAsia="仿宋" w:cs="仿宋"/>
          <w:sz w:val="32"/>
          <w:szCs w:val="32"/>
          <w:lang w:eastAsia="zh-CN"/>
        </w:rPr>
        <w:t>项目</w:t>
      </w:r>
      <w:r>
        <w:rPr>
          <w:rFonts w:hint="eastAsia" w:ascii="仿宋" w:hAnsi="仿宋" w:eastAsia="仿宋" w:cs="仿宋"/>
          <w:sz w:val="32"/>
          <w:szCs w:val="32"/>
        </w:rPr>
        <w:t>建议书的批复》，（竹发改建</w:t>
      </w:r>
      <w:r>
        <w:rPr>
          <w:rFonts w:hint="eastAsia" w:ascii="仿宋" w:hAnsi="仿宋" w:eastAsia="仿宋" w:cs="仿宋"/>
          <w:sz w:val="32"/>
          <w:szCs w:val="32"/>
          <w:lang w:eastAsia="zh-CN"/>
        </w:rPr>
        <w:t>〔</w:t>
      </w:r>
      <w:r>
        <w:rPr>
          <w:rFonts w:hint="eastAsia" w:ascii="仿宋" w:hAnsi="仿宋" w:eastAsia="仿宋" w:cs="仿宋"/>
          <w:sz w:val="32"/>
          <w:szCs w:val="32"/>
        </w:rPr>
        <w:t>2020</w:t>
      </w:r>
      <w:r>
        <w:rPr>
          <w:rFonts w:hint="eastAsia" w:ascii="仿宋" w:hAnsi="仿宋" w:eastAsia="仿宋" w:cs="仿宋"/>
          <w:sz w:val="32"/>
          <w:szCs w:val="32"/>
          <w:lang w:eastAsia="zh-CN"/>
        </w:rPr>
        <w:t>〕</w:t>
      </w:r>
      <w:r>
        <w:rPr>
          <w:rFonts w:hint="eastAsia" w:ascii="仿宋" w:hAnsi="仿宋" w:eastAsia="仿宋" w:cs="仿宋"/>
          <w:sz w:val="32"/>
          <w:szCs w:val="32"/>
        </w:rPr>
        <w:t>109号）经市发改局《关于绵竹市老旧小区（瑞祥片区）改造项目（一期）投资概算的批复》（竹发改审</w:t>
      </w:r>
      <w:r>
        <w:rPr>
          <w:rFonts w:hint="eastAsia" w:ascii="仿宋" w:hAnsi="仿宋" w:eastAsia="仿宋" w:cs="仿宋"/>
          <w:sz w:val="32"/>
          <w:szCs w:val="32"/>
          <w:lang w:eastAsia="zh-CN"/>
        </w:rPr>
        <w:t>〔</w:t>
      </w:r>
      <w:r>
        <w:rPr>
          <w:rFonts w:hint="eastAsia" w:ascii="仿宋" w:hAnsi="仿宋" w:eastAsia="仿宋" w:cs="仿宋"/>
          <w:sz w:val="32"/>
          <w:szCs w:val="32"/>
        </w:rPr>
        <w:t>2002</w:t>
      </w:r>
      <w:r>
        <w:rPr>
          <w:rFonts w:hint="eastAsia" w:ascii="仿宋" w:hAnsi="仿宋" w:eastAsia="仿宋" w:cs="仿宋"/>
          <w:sz w:val="32"/>
          <w:szCs w:val="32"/>
          <w:lang w:eastAsia="zh-CN"/>
        </w:rPr>
        <w:t>〕</w:t>
      </w:r>
      <w:r>
        <w:rPr>
          <w:rFonts w:hint="eastAsia" w:ascii="仿宋" w:hAnsi="仿宋" w:eastAsia="仿宋" w:cs="仿宋"/>
          <w:sz w:val="32"/>
          <w:szCs w:val="32"/>
        </w:rPr>
        <w:t>54号</w:t>
      </w:r>
      <w:r>
        <w:rPr>
          <w:rFonts w:hint="eastAsia" w:ascii="仿宋" w:hAnsi="仿宋" w:eastAsia="仿宋" w:cs="仿宋"/>
          <w:sz w:val="32"/>
          <w:szCs w:val="32"/>
          <w:lang w:eastAsia="zh-CN"/>
        </w:rPr>
        <w:t>）</w:t>
      </w:r>
      <w:r>
        <w:rPr>
          <w:rFonts w:hint="eastAsia" w:ascii="仿宋" w:hAnsi="仿宋" w:eastAsia="仿宋" w:cs="仿宋"/>
          <w:sz w:val="32"/>
          <w:szCs w:val="32"/>
        </w:rPr>
        <w:t>概算投资金额为7114.74万元，资金来源为财政资金。</w:t>
      </w:r>
    </w:p>
    <w:p>
      <w:pPr>
        <w:adjustRightInd w:val="0"/>
        <w:snapToGrid w:val="0"/>
        <w:spacing w:line="580" w:lineRule="exact"/>
        <w:ind w:firstLine="720"/>
        <w:rPr>
          <w:rFonts w:ascii="楷体_GB2312" w:hAnsi="宋体" w:eastAsia="楷体_GB2312"/>
          <w:b/>
          <w:sz w:val="32"/>
          <w:szCs w:val="32"/>
          <w:lang w:val="zh-CN"/>
        </w:rPr>
      </w:pPr>
      <w:r>
        <w:rPr>
          <w:rFonts w:ascii="仿宋_GB2312" w:hAnsi="宋体" w:eastAsia="仿宋_GB2312"/>
          <w:sz w:val="32"/>
          <w:szCs w:val="32"/>
          <w:lang w:val="zh-CN"/>
        </w:rPr>
        <w:tab/>
      </w:r>
      <w:r>
        <w:rPr>
          <w:rFonts w:hint="eastAsia" w:ascii="楷体_GB2312" w:hAnsi="宋体" w:eastAsia="楷体_GB2312"/>
          <w:b/>
          <w:sz w:val="32"/>
          <w:szCs w:val="32"/>
          <w:lang w:val="zh-CN"/>
        </w:rPr>
        <w:t>（二）资金计划、到位及使用情况。</w:t>
      </w:r>
    </w:p>
    <w:p>
      <w:pPr>
        <w:adjustRightInd w:val="0"/>
        <w:snapToGrid w:val="0"/>
        <w:spacing w:line="560" w:lineRule="exact"/>
        <w:ind w:firstLine="640" w:firstLineChars="200"/>
        <w:rPr>
          <w:rFonts w:ascii="仿宋" w:hAnsi="仿宋" w:eastAsia="仿宋" w:cs="仿宋"/>
          <w:b/>
          <w:sz w:val="32"/>
          <w:szCs w:val="32"/>
        </w:rPr>
      </w:pPr>
      <w:r>
        <w:rPr>
          <w:rFonts w:hint="eastAsia" w:ascii="仿宋" w:hAnsi="仿宋" w:eastAsia="仿宋" w:cs="仿宋"/>
          <w:sz w:val="32"/>
          <w:szCs w:val="32"/>
          <w:lang w:val="zh-CN"/>
        </w:rPr>
        <w:t>1．资金计划及到位。</w:t>
      </w:r>
      <w:r>
        <w:rPr>
          <w:rFonts w:hint="eastAsia" w:ascii="仿宋" w:hAnsi="仿宋" w:eastAsia="仿宋" w:cs="仿宋"/>
          <w:sz w:val="32"/>
          <w:szCs w:val="32"/>
        </w:rPr>
        <w:t>下达2021年保障性安居工程（第二批）中央基建投资预算5080万元，年底按竹财资环减（2021）54号-4文件追减资金3580万元，结转至下年。</w:t>
      </w:r>
    </w:p>
    <w:p>
      <w:pPr>
        <w:adjustRightInd w:val="0"/>
        <w:snapToGrid w:val="0"/>
        <w:spacing w:line="560" w:lineRule="exact"/>
        <w:ind w:firstLine="720"/>
        <w:rPr>
          <w:rFonts w:ascii="仿宋" w:hAnsi="仿宋" w:eastAsia="仿宋" w:cs="仿宋"/>
          <w:sz w:val="32"/>
          <w:szCs w:val="32"/>
        </w:rPr>
      </w:pPr>
      <w:r>
        <w:rPr>
          <w:rFonts w:hint="eastAsia" w:ascii="仿宋" w:hAnsi="仿宋" w:eastAsia="仿宋" w:cs="仿宋"/>
          <w:sz w:val="32"/>
          <w:szCs w:val="32"/>
          <w:lang w:val="zh-CN"/>
        </w:rPr>
        <w:t>该项目资金预算指标为中央预算内投资补助资金。</w:t>
      </w:r>
      <w:r>
        <w:rPr>
          <w:rFonts w:hint="eastAsia" w:ascii="仿宋" w:hAnsi="仿宋" w:eastAsia="仿宋" w:cs="仿宋"/>
          <w:sz w:val="32"/>
          <w:szCs w:val="32"/>
        </w:rPr>
        <w:t>资金指标全部及时到位，资金到位率100%，</w:t>
      </w:r>
      <w:r>
        <w:rPr>
          <w:rFonts w:hint="eastAsia" w:ascii="仿宋" w:hAnsi="仿宋" w:eastAsia="仿宋" w:cs="仿宋"/>
          <w:sz w:val="32"/>
          <w:szCs w:val="32"/>
          <w:lang w:val="zh-CN"/>
        </w:rPr>
        <w:t>到位及时性</w:t>
      </w:r>
      <w:r>
        <w:rPr>
          <w:rFonts w:hint="eastAsia" w:ascii="仿宋" w:hAnsi="仿宋" w:eastAsia="仿宋" w:cs="仿宋"/>
          <w:sz w:val="32"/>
          <w:szCs w:val="32"/>
        </w:rPr>
        <w:t>100%，拨付率100%。</w:t>
      </w:r>
    </w:p>
    <w:p>
      <w:pPr>
        <w:adjustRightInd w:val="0"/>
        <w:snapToGrid w:val="0"/>
        <w:spacing w:line="580" w:lineRule="exact"/>
        <w:ind w:firstLine="720"/>
        <w:rPr>
          <w:rFonts w:ascii="仿宋" w:hAnsi="仿宋" w:eastAsia="仿宋" w:cs="仿宋"/>
          <w:sz w:val="32"/>
          <w:szCs w:val="32"/>
          <w:lang w:val="zh-CN"/>
        </w:rPr>
      </w:pPr>
      <w:r>
        <w:rPr>
          <w:rFonts w:hint="eastAsia" w:ascii="仿宋" w:hAnsi="仿宋" w:eastAsia="仿宋" w:cs="仿宋"/>
          <w:sz w:val="32"/>
          <w:szCs w:val="32"/>
          <w:lang w:val="zh-CN"/>
        </w:rPr>
        <w:t>2．资金使用。</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资金预算指标</w:t>
      </w:r>
      <w:r>
        <w:rPr>
          <w:rFonts w:hint="eastAsia" w:ascii="仿宋" w:hAnsi="仿宋" w:eastAsia="仿宋" w:cs="仿宋"/>
          <w:sz w:val="32"/>
          <w:szCs w:val="32"/>
        </w:rPr>
        <w:t>5080万元，费用支付具体情况、</w:t>
      </w:r>
      <w:r>
        <w:rPr>
          <w:rFonts w:hint="eastAsia" w:ascii="仿宋" w:hAnsi="仿宋" w:eastAsia="仿宋" w:cs="仿宋"/>
          <w:sz w:val="32"/>
          <w:szCs w:val="32"/>
          <w:lang w:val="zh-CN"/>
        </w:rPr>
        <w:t>资金开支范围、标准及支付进度</w:t>
      </w:r>
      <w:r>
        <w:rPr>
          <w:rFonts w:hint="eastAsia" w:ascii="仿宋" w:hAnsi="仿宋" w:eastAsia="仿宋" w:cs="仿宋"/>
          <w:sz w:val="32"/>
          <w:szCs w:val="32"/>
        </w:rPr>
        <w:t>，已使用1500万元用于该项目建设费的支付，支付标准及依据合规合法，资金支付与预算完全相符</w:t>
      </w:r>
      <w:r>
        <w:rPr>
          <w:rFonts w:hint="eastAsia" w:ascii="仿宋" w:hAnsi="仿宋" w:eastAsia="仿宋" w:cs="仿宋"/>
          <w:sz w:val="32"/>
          <w:szCs w:val="32"/>
          <w:lang w:val="zh-CN"/>
        </w:rPr>
        <w:t>。</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580" w:lineRule="exact"/>
        <w:ind w:firstLine="720"/>
        <w:rPr>
          <w:rFonts w:ascii="黑体" w:hAnsi="宋体" w:eastAsia="黑体"/>
          <w:sz w:val="32"/>
          <w:szCs w:val="32"/>
          <w:lang w:val="zh-CN"/>
        </w:rPr>
      </w:pPr>
      <w:r>
        <w:rPr>
          <w:rFonts w:hint="eastAsia" w:ascii="黑体" w:hAnsi="宋体" w:eastAsia="黑体"/>
          <w:sz w:val="32"/>
          <w:szCs w:val="32"/>
          <w:lang w:val="zh-CN"/>
        </w:rPr>
        <w:t>三、项目实施及管理情况。</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该项目由绵竹市金申投资集团有限公司作为项目实施单位，每日安排专人对该项目建设情况进行监督，定期对该项目进行安全检查。</w:t>
      </w:r>
    </w:p>
    <w:p>
      <w:pPr>
        <w:adjustRightInd w:val="0"/>
        <w:snapToGrid w:val="0"/>
        <w:spacing w:line="580" w:lineRule="exact"/>
        <w:ind w:firstLine="640" w:firstLineChars="200"/>
        <w:rPr>
          <w:rFonts w:ascii="黑体" w:hAnsi="宋体" w:eastAsia="黑体"/>
          <w:sz w:val="32"/>
          <w:szCs w:val="32"/>
          <w:lang w:val="zh-CN"/>
        </w:rPr>
      </w:pPr>
      <w:r>
        <w:rPr>
          <w:rFonts w:hint="eastAsia" w:ascii="黑体" w:hAnsi="宋体" w:eastAsia="黑体"/>
          <w:sz w:val="32"/>
          <w:szCs w:val="32"/>
          <w:lang w:val="zh-CN"/>
        </w:rPr>
        <w:t>四、项目绩效情况。</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60" w:lineRule="exact"/>
        <w:ind w:firstLine="960" w:firstLineChars="300"/>
        <w:rPr>
          <w:rFonts w:ascii="仿宋" w:hAnsi="仿宋" w:eastAsia="仿宋" w:cs="仿宋"/>
          <w:sz w:val="32"/>
          <w:szCs w:val="32"/>
        </w:rPr>
      </w:pPr>
      <w:r>
        <w:rPr>
          <w:rFonts w:hint="eastAsia" w:ascii="仿宋" w:hAnsi="仿宋" w:eastAsia="仿宋" w:cs="仿宋"/>
          <w:bCs/>
          <w:sz w:val="32"/>
          <w:szCs w:val="32"/>
          <w:lang w:val="zh-CN"/>
        </w:rPr>
        <w:t>已完成项目前期（立项、可研、概算、财评）批复，正在进行施工挂网招标工作。</w:t>
      </w:r>
    </w:p>
    <w:p>
      <w:pPr>
        <w:adjustRightInd w:val="0"/>
        <w:snapToGrid w:val="0"/>
        <w:spacing w:line="560" w:lineRule="exact"/>
        <w:ind w:firstLine="642" w:firstLineChars="200"/>
        <w:rPr>
          <w:rFonts w:ascii="仿宋_GB2312" w:hAnsi="宋体" w:eastAsia="仿宋_GB2312"/>
          <w:sz w:val="32"/>
          <w:szCs w:val="32"/>
        </w:rPr>
      </w:pPr>
      <w:r>
        <w:rPr>
          <w:rFonts w:hint="eastAsia" w:ascii="楷体_GB2312" w:hAnsi="宋体" w:eastAsia="楷体_GB2312"/>
          <w:b/>
          <w:sz w:val="32"/>
          <w:szCs w:val="32"/>
          <w:lang w:val="zh-CN"/>
        </w:rPr>
        <w:t>（二）项目效益情况。</w:t>
      </w:r>
    </w:p>
    <w:p>
      <w:pPr>
        <w:adjustRightInd w:val="0"/>
        <w:snapToGrid w:val="0"/>
        <w:spacing w:line="580" w:lineRule="exact"/>
        <w:ind w:firstLine="720"/>
        <w:rPr>
          <w:rFonts w:ascii="仿宋" w:hAnsi="仿宋" w:eastAsia="仿宋" w:cs="仿宋"/>
          <w:sz w:val="32"/>
          <w:szCs w:val="32"/>
          <w:lang w:val="zh-CN"/>
        </w:rPr>
      </w:pPr>
      <w:r>
        <w:rPr>
          <w:rFonts w:hint="eastAsia" w:ascii="仿宋" w:hAnsi="仿宋" w:eastAsia="仿宋" w:cs="仿宋"/>
          <w:sz w:val="32"/>
          <w:szCs w:val="32"/>
          <w:lang w:val="zh-CN"/>
        </w:rPr>
        <w:t>经济效益：该项目建成后，将拉动投资和消费，有利于进一步推动当地的建设，吸引投资推动绵竹市经济增长，新增众多的就业机会，从而解决部分市民的就业问题。同时，在施工过程中，将投入较大的施工力量，由此间接带动了就业岗位的增加。项目建设所需建筑材料的购买，又给相关行业增加了收益。因此项目的建设总体来说对当地居民的收入影响是正面的。</w:t>
      </w:r>
    </w:p>
    <w:p>
      <w:pPr>
        <w:adjustRightInd w:val="0"/>
        <w:snapToGrid w:val="0"/>
        <w:spacing w:line="580" w:lineRule="exact"/>
        <w:ind w:firstLine="720"/>
        <w:rPr>
          <w:rFonts w:ascii="仿宋" w:hAnsi="仿宋" w:eastAsia="仿宋" w:cs="仿宋"/>
          <w:sz w:val="32"/>
          <w:szCs w:val="32"/>
          <w:lang w:val="zh-CN"/>
        </w:rPr>
      </w:pPr>
      <w:r>
        <w:rPr>
          <w:rFonts w:hint="eastAsia" w:ascii="仿宋" w:hAnsi="仿宋" w:eastAsia="仿宋" w:cs="仿宋"/>
          <w:sz w:val="32"/>
          <w:szCs w:val="32"/>
          <w:lang w:val="zh-CN"/>
        </w:rPr>
        <w:t>社会效益：该项目的建设实施将提高和改善居民的居住水平和生活环境质量，促进生活配套等各方面设施的完善。注重以人为本，生态优化，综合效益和社会文明的融合，在满足交通、消防等市政设施的同时，提高地块的利用率，扩大绿化面积，营造人与自然的和谐环境，建设风格与城市周围景观相协调发展，给市民创造了一个良好的工作环境和生活空间。项目的建设对所在地区居民生活水平和生活质量的影响是正面的，社会效益是显著的。</w:t>
      </w:r>
    </w:p>
    <w:p>
      <w:pPr>
        <w:adjustRightInd w:val="0"/>
        <w:snapToGrid w:val="0"/>
        <w:spacing w:line="580" w:lineRule="exact"/>
        <w:ind w:firstLine="720"/>
        <w:rPr>
          <w:rFonts w:ascii="仿宋" w:hAnsi="仿宋" w:eastAsia="仿宋" w:cs="仿宋"/>
          <w:sz w:val="32"/>
          <w:szCs w:val="32"/>
          <w:lang w:val="zh-CN"/>
        </w:rPr>
      </w:pPr>
      <w:r>
        <w:rPr>
          <w:rFonts w:hint="eastAsia" w:ascii="仿宋" w:hAnsi="仿宋" w:eastAsia="仿宋" w:cs="仿宋"/>
          <w:sz w:val="32"/>
          <w:szCs w:val="32"/>
          <w:lang w:val="zh-CN"/>
        </w:rPr>
        <w:t>生态效益和可持续效益：项目建成后，可以改善项目区的整体形象，改善居民的居住环境和配套设施。项目投入使用后作为城中村改造区域，将大大提高居民的生活水平。项目的顺利建设对绵竹市政府而言，可以增加当地相应的税收，从而提高财政收入；项目的建设为绵竹市完成其城镇化建设的目标提供了有力的支撑，因此，带来的生态效益与可持续效益是明显的。</w:t>
      </w:r>
    </w:p>
    <w:p>
      <w:pPr>
        <w:adjustRightInd w:val="0"/>
        <w:snapToGrid w:val="0"/>
        <w:spacing w:line="580" w:lineRule="exact"/>
        <w:ind w:firstLine="720"/>
        <w:rPr>
          <w:rFonts w:ascii="仿宋" w:hAnsi="仿宋" w:eastAsia="仿宋" w:cs="仿宋"/>
          <w:sz w:val="32"/>
          <w:szCs w:val="32"/>
          <w:lang w:val="zh-CN"/>
        </w:rPr>
      </w:pPr>
      <w:r>
        <w:rPr>
          <w:rFonts w:hint="eastAsia" w:ascii="仿宋" w:hAnsi="仿宋" w:eastAsia="仿宋" w:cs="仿宋"/>
          <w:sz w:val="32"/>
          <w:szCs w:val="32"/>
          <w:lang w:val="zh-CN"/>
        </w:rPr>
        <w:t>服务对象满意度：该项目的建设对当地人民群众利益不会造成负面影响，反之，由于改善了居住条件和生活环境，为人民群众创造了健康的生活环境，提升人民幸福感，提高群众满意度是明显的。</w:t>
      </w:r>
    </w:p>
    <w:p>
      <w:pPr>
        <w:adjustRightInd w:val="0"/>
        <w:snapToGrid w:val="0"/>
        <w:spacing w:line="580" w:lineRule="exact"/>
        <w:ind w:firstLine="640" w:firstLineChars="200"/>
        <w:rPr>
          <w:rFonts w:ascii="黑体" w:hAnsi="宋体" w:eastAsia="黑体"/>
          <w:sz w:val="32"/>
          <w:szCs w:val="32"/>
          <w:lang w:val="zh-CN"/>
        </w:rPr>
      </w:pPr>
      <w:r>
        <w:rPr>
          <w:rFonts w:hint="eastAsia" w:ascii="黑体" w:hAnsi="宋体" w:eastAsia="黑体"/>
          <w:sz w:val="32"/>
          <w:szCs w:val="32"/>
          <w:lang w:val="zh-CN"/>
        </w:rPr>
        <w:t>五、问题及建议</w:t>
      </w:r>
    </w:p>
    <w:p>
      <w:pPr>
        <w:adjustRightInd w:val="0"/>
        <w:snapToGrid w:val="0"/>
        <w:spacing w:line="580" w:lineRule="exact"/>
        <w:ind w:firstLine="642" w:firstLineChars="200"/>
        <w:rPr>
          <w:rFonts w:ascii="楷体_GB2312" w:hAnsi="宋体" w:eastAsia="楷体_GB2312"/>
          <w:b/>
          <w:sz w:val="32"/>
          <w:szCs w:val="32"/>
        </w:rPr>
      </w:pPr>
      <w:r>
        <w:rPr>
          <w:rFonts w:hint="eastAsia" w:ascii="楷体_GB2312" w:hAnsi="宋体" w:eastAsia="楷体_GB2312"/>
          <w:b/>
          <w:sz w:val="32"/>
          <w:szCs w:val="32"/>
        </w:rPr>
        <w:t>（一）评价结论。</w:t>
      </w:r>
    </w:p>
    <w:p>
      <w:pPr>
        <w:adjustRightInd w:val="0"/>
        <w:snapToGrid w:val="0"/>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实际完成率、完成及时率均达到或超过绩效目标，质量达标率良好，产出成本可控，项目管理工作规范，社会效益良好，项目可持续性强。评价级别为“优”。</w:t>
      </w:r>
    </w:p>
    <w:p>
      <w:pPr>
        <w:adjustRightInd w:val="0"/>
        <w:snapToGrid w:val="0"/>
        <w:spacing w:line="58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仿宋_GB2312" w:hAnsi="宋体" w:eastAsia="仿宋_GB2312"/>
          <w:sz w:val="32"/>
          <w:szCs w:val="32"/>
          <w:lang w:val="zh-CN"/>
        </w:rPr>
        <w:t>无</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tbl>
      <w:tblPr>
        <w:tblStyle w:val="13"/>
        <w:tblW w:w="11066" w:type="dxa"/>
        <w:jc w:val="center"/>
        <w:tblLayout w:type="autofit"/>
        <w:tblCellMar>
          <w:top w:w="0" w:type="dxa"/>
          <w:left w:w="108" w:type="dxa"/>
          <w:bottom w:w="0" w:type="dxa"/>
          <w:right w:w="108" w:type="dxa"/>
        </w:tblCellMar>
      </w:tblPr>
      <w:tblGrid>
        <w:gridCol w:w="616"/>
        <w:gridCol w:w="1112"/>
        <w:gridCol w:w="728"/>
        <w:gridCol w:w="2610"/>
        <w:gridCol w:w="2572"/>
        <w:gridCol w:w="3428"/>
      </w:tblGrid>
      <w:tr>
        <w:tblPrEx>
          <w:tblCellMar>
            <w:top w:w="0" w:type="dxa"/>
            <w:left w:w="108" w:type="dxa"/>
            <w:bottom w:w="0" w:type="dxa"/>
            <w:right w:w="108" w:type="dxa"/>
          </w:tblCellMar>
        </w:tblPrEx>
        <w:trPr>
          <w:trHeight w:val="405" w:hRule="atLeast"/>
          <w:jc w:val="center"/>
        </w:trPr>
        <w:tc>
          <w:tcPr>
            <w:tcW w:w="11066"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11066" w:type="dxa"/>
            <w:gridSpan w:val="6"/>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472" w:hRule="atLeast"/>
          <w:jc w:val="center"/>
        </w:trPr>
        <w:tc>
          <w:tcPr>
            <w:tcW w:w="24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86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绵竹市老旧小区（瑞祥片区）改造项目</w:t>
            </w:r>
          </w:p>
        </w:tc>
      </w:tr>
      <w:tr>
        <w:tblPrEx>
          <w:tblCellMar>
            <w:top w:w="0" w:type="dxa"/>
            <w:left w:w="108" w:type="dxa"/>
            <w:bottom w:w="0" w:type="dxa"/>
            <w:right w:w="108" w:type="dxa"/>
          </w:tblCellMar>
        </w:tblPrEx>
        <w:trPr>
          <w:trHeight w:val="540" w:hRule="atLeast"/>
          <w:jc w:val="center"/>
        </w:trPr>
        <w:tc>
          <w:tcPr>
            <w:tcW w:w="245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861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570" w:hRule="atLeast"/>
          <w:jc w:val="center"/>
        </w:trPr>
        <w:tc>
          <w:tcPr>
            <w:tcW w:w="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6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5080万元</w:t>
            </w:r>
          </w:p>
        </w:tc>
        <w:tc>
          <w:tcPr>
            <w:tcW w:w="2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执行数：</w:t>
            </w:r>
          </w:p>
        </w:tc>
        <w:tc>
          <w:tcPr>
            <w:tcW w:w="3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1500万元</w:t>
            </w:r>
          </w:p>
        </w:tc>
      </w:tr>
      <w:tr>
        <w:tblPrEx>
          <w:tblCellMar>
            <w:top w:w="0" w:type="dxa"/>
            <w:left w:w="108" w:type="dxa"/>
            <w:bottom w:w="0" w:type="dxa"/>
            <w:right w:w="108" w:type="dxa"/>
          </w:tblCellMar>
        </w:tblPrEx>
        <w:trPr>
          <w:trHeight w:val="564"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6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5080万元</w:t>
            </w:r>
          </w:p>
        </w:tc>
        <w:tc>
          <w:tcPr>
            <w:tcW w:w="2572"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其中：财政拨款</w:t>
            </w:r>
          </w:p>
        </w:tc>
        <w:tc>
          <w:tcPr>
            <w:tcW w:w="3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1500万元</w:t>
            </w:r>
          </w:p>
        </w:tc>
      </w:tr>
      <w:tr>
        <w:tblPrEx>
          <w:tblCellMar>
            <w:top w:w="0" w:type="dxa"/>
            <w:left w:w="108" w:type="dxa"/>
            <w:bottom w:w="0" w:type="dxa"/>
            <w:right w:w="108" w:type="dxa"/>
          </w:tblCellMar>
        </w:tblPrEx>
        <w:trPr>
          <w:trHeight w:val="462"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61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572"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342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jc w:val="center"/>
        </w:trPr>
        <w:tc>
          <w:tcPr>
            <w:tcW w:w="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45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6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91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5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推进绵竹市老旧小区（瑞祥片区）改造项目</w:t>
            </w:r>
          </w:p>
        </w:tc>
        <w:tc>
          <w:tcPr>
            <w:tcW w:w="60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工程已开工</w:t>
            </w:r>
          </w:p>
        </w:tc>
      </w:tr>
      <w:tr>
        <w:tblPrEx>
          <w:tblCellMar>
            <w:top w:w="0" w:type="dxa"/>
            <w:left w:w="108" w:type="dxa"/>
            <w:bottom w:w="0" w:type="dxa"/>
            <w:right w:w="108" w:type="dxa"/>
          </w:tblCellMar>
        </w:tblPrEx>
        <w:trPr>
          <w:trHeight w:val="480" w:hRule="atLeast"/>
          <w:jc w:val="center"/>
        </w:trPr>
        <w:tc>
          <w:tcPr>
            <w:tcW w:w="61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7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6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3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69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1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7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61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按照《建设工程质量管理条例》及合同执行</w:t>
            </w:r>
          </w:p>
        </w:tc>
        <w:tc>
          <w:tcPr>
            <w:tcW w:w="2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质量达标率良好，产出成本可控</w:t>
            </w:r>
          </w:p>
        </w:tc>
        <w:tc>
          <w:tcPr>
            <w:tcW w:w="3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质量达标率良好，产出成本可控</w:t>
            </w:r>
          </w:p>
        </w:tc>
      </w:tr>
      <w:tr>
        <w:tblPrEx>
          <w:tblCellMar>
            <w:top w:w="0" w:type="dxa"/>
            <w:left w:w="108" w:type="dxa"/>
            <w:bottom w:w="0" w:type="dxa"/>
            <w:right w:w="108" w:type="dxa"/>
          </w:tblCellMar>
        </w:tblPrEx>
        <w:trPr>
          <w:trHeight w:val="615"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7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6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2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计划2023年6月完工</w:t>
            </w:r>
          </w:p>
        </w:tc>
        <w:tc>
          <w:tcPr>
            <w:tcW w:w="3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工程已开工，计划2023年6月完工</w:t>
            </w:r>
          </w:p>
        </w:tc>
      </w:tr>
      <w:tr>
        <w:tblPrEx>
          <w:tblCellMar>
            <w:top w:w="0" w:type="dxa"/>
            <w:left w:w="108" w:type="dxa"/>
            <w:bottom w:w="0" w:type="dxa"/>
            <w:right w:w="108" w:type="dxa"/>
          </w:tblCellMar>
        </w:tblPrEx>
        <w:trPr>
          <w:trHeight w:val="84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1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7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6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支付绵竹市老旧小区（瑞祥片区）改造项目工程进度款</w:t>
            </w:r>
          </w:p>
        </w:tc>
        <w:tc>
          <w:tcPr>
            <w:tcW w:w="2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≤5080万元</w:t>
            </w:r>
          </w:p>
        </w:tc>
        <w:tc>
          <w:tcPr>
            <w:tcW w:w="3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已支付绵竹市老旧小区（瑞祥片区）改造项目工程进度款1500万元</w:t>
            </w:r>
          </w:p>
        </w:tc>
      </w:tr>
      <w:tr>
        <w:tblPrEx>
          <w:tblCellMar>
            <w:top w:w="0" w:type="dxa"/>
            <w:left w:w="108" w:type="dxa"/>
            <w:bottom w:w="0" w:type="dxa"/>
            <w:right w:w="108" w:type="dxa"/>
          </w:tblCellMar>
        </w:tblPrEx>
        <w:trPr>
          <w:trHeight w:val="162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12"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7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6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该项目建成后，将拉动投资和消费，有利于进一步推动当地的建设，吸引投资推动绵竹市经济增长，新增众多的就业机会，从而解决部分市民的就业问题。</w:t>
            </w:r>
          </w:p>
        </w:tc>
        <w:tc>
          <w:tcPr>
            <w:tcW w:w="2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3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114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12"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7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6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该项目的建设实施将提高和改善居民的居住水平和生活环境质量，促进生活配套等各方面设施的完善。</w:t>
            </w:r>
          </w:p>
        </w:tc>
        <w:tc>
          <w:tcPr>
            <w:tcW w:w="2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3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780" w:hRule="atLeast"/>
          <w:jc w:val="center"/>
        </w:trPr>
        <w:tc>
          <w:tcPr>
            <w:tcW w:w="61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1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7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61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满意度</w:t>
            </w:r>
          </w:p>
        </w:tc>
        <w:tc>
          <w:tcPr>
            <w:tcW w:w="257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34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10"/>
          <w:szCs w:val="10"/>
          <w:shd w:val="clear" w:color="auto" w:fill="FFFFFF"/>
        </w:rPr>
      </w:pPr>
    </w:p>
    <w:p>
      <w:pPr>
        <w:spacing w:line="580" w:lineRule="exact"/>
        <w:jc w:val="center"/>
        <w:rPr>
          <w:rFonts w:ascii="方正小标宋简体" w:hAnsi="宋体" w:eastAsia="方正小标宋简体"/>
          <w:kern w:val="0"/>
          <w:sz w:val="36"/>
          <w:szCs w:val="36"/>
        </w:rPr>
      </w:pPr>
      <w:r>
        <w:rPr>
          <w:rFonts w:hint="eastAsia" w:ascii="微软雅黑" w:hAnsi="微软雅黑" w:eastAsia="微软雅黑" w:cs="微软雅黑"/>
          <w:kern w:val="0"/>
          <w:sz w:val="36"/>
          <w:szCs w:val="36"/>
        </w:rPr>
        <w:t>项目支出绩效自评报告</w:t>
      </w:r>
    </w:p>
    <w:p>
      <w:pPr>
        <w:spacing w:line="580" w:lineRule="exact"/>
        <w:jc w:val="center"/>
        <w:rPr>
          <w:rFonts w:ascii="仿宋" w:hAnsi="仿宋" w:eastAsia="仿宋" w:cs="仿宋"/>
          <w:sz w:val="32"/>
          <w:szCs w:val="32"/>
        </w:rPr>
      </w:pPr>
      <w:r>
        <w:rPr>
          <w:rFonts w:hint="eastAsia" w:ascii="仿宋" w:hAnsi="仿宋" w:eastAsia="仿宋" w:cs="仿宋"/>
          <w:sz w:val="32"/>
          <w:szCs w:val="32"/>
        </w:rPr>
        <w:t>（市棚改办办公经费）</w:t>
      </w:r>
    </w:p>
    <w:p>
      <w:pPr>
        <w:spacing w:line="580" w:lineRule="exact"/>
        <w:jc w:val="center"/>
        <w:rPr>
          <w:rFonts w:ascii="方正小标宋简体" w:hAnsi="宋体" w:eastAsia="方正小标宋简体"/>
          <w:kern w:val="0"/>
          <w:sz w:val="44"/>
          <w:szCs w:val="44"/>
        </w:rPr>
      </w:pPr>
    </w:p>
    <w:p>
      <w:pPr>
        <w:numPr>
          <w:ilvl w:val="0"/>
          <w:numId w:val="8"/>
        </w:numPr>
        <w:adjustRightInd w:val="0"/>
        <w:snapToGrid w:val="0"/>
        <w:spacing w:line="520" w:lineRule="exact"/>
        <w:ind w:firstLine="720"/>
        <w:rPr>
          <w:rFonts w:ascii="黑体" w:hAnsi="宋体" w:eastAsia="黑体"/>
          <w:sz w:val="32"/>
          <w:szCs w:val="32"/>
          <w:lang w:val="zh-CN"/>
        </w:rPr>
      </w:pPr>
      <w:r>
        <w:rPr>
          <w:rFonts w:hint="eastAsia" w:ascii="黑体" w:hAnsi="宋体" w:eastAsia="黑体"/>
          <w:sz w:val="32"/>
          <w:szCs w:val="32"/>
          <w:lang w:val="zh-CN"/>
        </w:rPr>
        <w:t>项目概况</w:t>
      </w:r>
    </w:p>
    <w:p>
      <w:pPr>
        <w:adjustRightInd w:val="0"/>
        <w:snapToGrid w:val="0"/>
        <w:spacing w:line="520" w:lineRule="exact"/>
        <w:ind w:firstLine="640" w:firstLineChars="200"/>
        <w:rPr>
          <w:rFonts w:ascii="黑体" w:hAnsi="宋体" w:eastAsia="黑体"/>
          <w:sz w:val="32"/>
          <w:szCs w:val="32"/>
          <w:lang w:val="zh-CN"/>
        </w:rPr>
      </w:pPr>
      <w:r>
        <w:rPr>
          <w:rFonts w:hint="eastAsia" w:ascii="黑体" w:hAnsi="宋体" w:eastAsia="黑体"/>
          <w:sz w:val="32"/>
          <w:szCs w:val="32"/>
          <w:lang w:val="zh-CN"/>
        </w:rPr>
        <w:t>（一）</w:t>
      </w:r>
      <w:r>
        <w:rPr>
          <w:rFonts w:hint="eastAsia" w:ascii="楷体_GB2312" w:hAnsi="宋体" w:eastAsia="楷体_GB2312"/>
          <w:b/>
          <w:sz w:val="32"/>
          <w:szCs w:val="32"/>
          <w:lang w:val="zh-CN"/>
        </w:rPr>
        <w:t>项目基本情况。</w:t>
      </w:r>
    </w:p>
    <w:p>
      <w:pPr>
        <w:adjustRightInd w:val="0"/>
        <w:snapToGrid w:val="0"/>
        <w:spacing w:line="520" w:lineRule="exact"/>
        <w:ind w:firstLine="640" w:firstLineChars="200"/>
        <w:rPr>
          <w:rFonts w:ascii="仿宋" w:hAnsi="仿宋" w:eastAsia="仿宋" w:cs="仿宋"/>
          <w:sz w:val="32"/>
          <w:szCs w:val="32"/>
        </w:rPr>
      </w:pPr>
      <w:r>
        <w:rPr>
          <w:rFonts w:hint="eastAsia" w:ascii="楷体_GB2312" w:hAnsi="宋体" w:eastAsia="楷体_GB2312"/>
          <w:bCs/>
          <w:sz w:val="32"/>
          <w:szCs w:val="32"/>
        </w:rPr>
        <w:t xml:space="preserve"> </w:t>
      </w:r>
      <w:r>
        <w:rPr>
          <w:rFonts w:hint="eastAsia" w:ascii="仿宋" w:hAnsi="仿宋" w:eastAsia="仿宋" w:cs="仿宋"/>
          <w:sz w:val="32"/>
          <w:szCs w:val="32"/>
        </w:rPr>
        <w:t xml:space="preserve"> 根据竹市委</w:t>
      </w:r>
      <w:r>
        <w:rPr>
          <w:rFonts w:hint="eastAsia" w:ascii="仿宋" w:hAnsi="仿宋" w:eastAsia="仿宋" w:cs="仿宋"/>
          <w:sz w:val="32"/>
          <w:szCs w:val="32"/>
          <w:lang w:eastAsia="zh-CN"/>
        </w:rPr>
        <w:t>〔</w:t>
      </w:r>
      <w:r>
        <w:rPr>
          <w:rFonts w:hint="eastAsia" w:ascii="仿宋" w:hAnsi="仿宋" w:eastAsia="仿宋" w:cs="仿宋"/>
          <w:sz w:val="32"/>
          <w:szCs w:val="32"/>
        </w:rPr>
        <w:t>2014</w:t>
      </w:r>
      <w:r>
        <w:rPr>
          <w:rFonts w:hint="eastAsia" w:ascii="仿宋" w:hAnsi="仿宋" w:eastAsia="仿宋" w:cs="仿宋"/>
          <w:sz w:val="32"/>
          <w:szCs w:val="32"/>
          <w:lang w:eastAsia="zh-CN"/>
        </w:rPr>
        <w:t>〕</w:t>
      </w:r>
      <w:r>
        <w:rPr>
          <w:rFonts w:hint="eastAsia" w:ascii="仿宋" w:hAnsi="仿宋" w:eastAsia="仿宋" w:cs="仿宋"/>
          <w:sz w:val="32"/>
          <w:szCs w:val="32"/>
        </w:rPr>
        <w:t>39号文件，为切实推进全市危旧房棚户区改造工作，经研究，决定成立绵竹市危旧房棚户区协调工作领导小组。领导小组下设办公室和9个工作组。</w:t>
      </w:r>
    </w:p>
    <w:p>
      <w:pPr>
        <w:adjustRightInd w:val="0"/>
        <w:snapToGrid w:val="0"/>
        <w:spacing w:line="520" w:lineRule="exact"/>
        <w:ind w:left="64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该项目主要维持棚改办日常工作开展，资金全部用于该项目办公室经费支付。市棚改办办公经费项目的申报内容与具体实施内容相符，申报目标总体合理。</w:t>
      </w:r>
    </w:p>
    <w:p>
      <w:pPr>
        <w:adjustRightInd w:val="0"/>
        <w:snapToGrid w:val="0"/>
        <w:spacing w:line="520" w:lineRule="exact"/>
        <w:ind w:left="64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20" w:lineRule="exact"/>
        <w:ind w:firstLine="720"/>
        <w:rPr>
          <w:rFonts w:ascii="楷体_GB2312" w:hAnsi="宋体" w:eastAsia="楷体_GB2312"/>
          <w:b/>
          <w:sz w:val="32"/>
          <w:szCs w:val="32"/>
          <w:lang w:val="zh-CN"/>
        </w:rPr>
      </w:pPr>
      <w:r>
        <w:rPr>
          <w:rFonts w:hint="eastAsia" w:ascii="仿宋" w:hAnsi="仿宋" w:eastAsia="仿宋" w:cs="仿宋"/>
          <w:sz w:val="32"/>
          <w:szCs w:val="32"/>
          <w:lang w:val="zh-CN"/>
        </w:rPr>
        <w:t>由我局开展财政资金使用情况自评并撰写部门预算支出绩效报告，按规范格式按时提交自评报告。</w:t>
      </w:r>
    </w:p>
    <w:p>
      <w:pPr>
        <w:adjustRightInd w:val="0"/>
        <w:snapToGrid w:val="0"/>
        <w:spacing w:line="520" w:lineRule="exact"/>
        <w:ind w:firstLine="960" w:firstLineChars="30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20" w:lineRule="exact"/>
        <w:ind w:firstLine="720"/>
        <w:rPr>
          <w:rFonts w:ascii="楷体_GB2312" w:hAnsi="宋体" w:eastAsia="楷体_GB2312"/>
          <w:b/>
          <w:sz w:val="32"/>
          <w:szCs w:val="32"/>
          <w:lang w:val="zh-CN"/>
        </w:rPr>
      </w:pPr>
      <w:r>
        <w:rPr>
          <w:rFonts w:ascii="仿宋_GB2312" w:hAnsi="宋体" w:eastAsia="仿宋_GB2312"/>
          <w:sz w:val="32"/>
          <w:szCs w:val="32"/>
          <w:lang w:val="zh-CN"/>
        </w:rPr>
        <w:tab/>
      </w:r>
      <w:r>
        <w:rPr>
          <w:rFonts w:hint="eastAsia" w:ascii="楷体_GB2312" w:hAnsi="宋体" w:eastAsia="楷体_GB2312"/>
          <w:b/>
          <w:sz w:val="32"/>
          <w:szCs w:val="32"/>
          <w:lang w:val="zh-CN"/>
        </w:rPr>
        <w:t>（一）项目资金申报</w:t>
      </w:r>
      <w:r>
        <w:rPr>
          <w:rFonts w:hint="eastAsia" w:ascii="宋体" w:hAnsi="宋体" w:cs="宋体"/>
          <w:b/>
          <w:sz w:val="32"/>
          <w:szCs w:val="32"/>
          <w:lang w:val="zh-CN"/>
        </w:rPr>
        <w:t>、</w:t>
      </w:r>
      <w:r>
        <w:rPr>
          <w:rFonts w:hint="eastAsia" w:ascii="楷体_GB2312" w:hAnsi="宋体" w:eastAsia="楷体_GB2312"/>
          <w:b/>
          <w:sz w:val="32"/>
          <w:szCs w:val="32"/>
          <w:lang w:val="zh-CN"/>
        </w:rPr>
        <w:t>批复情况。</w:t>
      </w:r>
    </w:p>
    <w:p>
      <w:pPr>
        <w:adjustRightInd w:val="0"/>
        <w:snapToGrid w:val="0"/>
        <w:spacing w:line="520" w:lineRule="exact"/>
        <w:ind w:firstLine="720"/>
        <w:rPr>
          <w:rFonts w:ascii="仿宋" w:hAnsi="仿宋" w:eastAsia="仿宋" w:cs="仿宋"/>
          <w:bCs/>
          <w:sz w:val="32"/>
          <w:szCs w:val="32"/>
        </w:rPr>
      </w:pPr>
      <w:r>
        <w:rPr>
          <w:rFonts w:hint="eastAsia" w:ascii="仿宋" w:hAnsi="仿宋" w:eastAsia="仿宋" w:cs="仿宋"/>
          <w:bCs/>
          <w:sz w:val="32"/>
          <w:szCs w:val="32"/>
          <w:lang w:val="zh-CN"/>
        </w:rPr>
        <w:t>根据资金文号：年初住建（</w:t>
      </w:r>
      <w:r>
        <w:rPr>
          <w:rFonts w:hint="eastAsia" w:ascii="仿宋" w:hAnsi="仿宋" w:eastAsia="仿宋" w:cs="仿宋"/>
          <w:bCs/>
          <w:sz w:val="32"/>
          <w:szCs w:val="32"/>
        </w:rPr>
        <w:t>2021）10号</w:t>
      </w:r>
      <w:r>
        <w:rPr>
          <w:rFonts w:hint="eastAsia" w:ascii="仿宋" w:hAnsi="仿宋" w:eastAsia="仿宋" w:cs="仿宋"/>
          <w:bCs/>
          <w:sz w:val="32"/>
          <w:szCs w:val="32"/>
          <w:lang w:eastAsia="zh-CN"/>
        </w:rPr>
        <w:t>，</w:t>
      </w:r>
      <w:r>
        <w:rPr>
          <w:rFonts w:hint="eastAsia" w:ascii="仿宋" w:hAnsi="仿宋" w:eastAsia="仿宋" w:cs="仿宋"/>
          <w:bCs/>
          <w:sz w:val="32"/>
          <w:szCs w:val="32"/>
        </w:rPr>
        <w:t>年初正式指标下达资金20万元，用于市棚改办办公经费。因年底不能完全形成支出，按竹财资环减（2021）55号-5文件追减平预算2313.15元。</w:t>
      </w:r>
    </w:p>
    <w:p>
      <w:pPr>
        <w:adjustRightInd w:val="0"/>
        <w:snapToGrid w:val="0"/>
        <w:spacing w:line="520" w:lineRule="exact"/>
        <w:ind w:firstLine="642" w:firstLineChars="200"/>
        <w:rPr>
          <w:rFonts w:ascii="楷体_GB2312" w:hAnsi="宋体" w:eastAsia="楷体_GB2312"/>
          <w:b/>
          <w:bCs/>
          <w:sz w:val="32"/>
          <w:szCs w:val="32"/>
          <w:lang w:val="zh-CN"/>
        </w:rPr>
      </w:pPr>
      <w:r>
        <w:rPr>
          <w:rFonts w:hint="eastAsia" w:ascii="楷体_GB2312" w:hAnsi="宋体" w:eastAsia="楷体_GB2312"/>
          <w:b/>
          <w:sz w:val="32"/>
          <w:szCs w:val="32"/>
          <w:lang w:val="zh-CN"/>
        </w:rPr>
        <w:t>（二）资金</w:t>
      </w:r>
      <w:r>
        <w:rPr>
          <w:rFonts w:hint="eastAsia" w:ascii="宋体" w:hAnsi="宋体" w:cs="宋体"/>
          <w:b/>
          <w:sz w:val="32"/>
          <w:szCs w:val="32"/>
          <w:lang w:val="zh-CN"/>
        </w:rPr>
        <w:t>计划、到位及</w:t>
      </w:r>
      <w:r>
        <w:rPr>
          <w:rFonts w:hint="eastAsia" w:ascii="___WRD_EMBED_SUB_46" w:hAnsi="___WRD_EMBED_SUB_46" w:eastAsia="___WRD_EMBED_SUB_46" w:cs="___WRD_EMBED_SUB_46"/>
          <w:b/>
          <w:sz w:val="32"/>
          <w:szCs w:val="32"/>
          <w:lang w:val="zh-CN"/>
        </w:rPr>
        <w:t>使用</w:t>
      </w:r>
      <w:r>
        <w:rPr>
          <w:rFonts w:hint="eastAsia" w:ascii="楷体_GB2312" w:hAnsi="宋体" w:eastAsia="楷体_GB2312"/>
          <w:b/>
          <w:bCs/>
          <w:sz w:val="32"/>
          <w:szCs w:val="32"/>
          <w:lang w:val="zh-CN"/>
        </w:rPr>
        <w:t>情况。</w:t>
      </w:r>
    </w:p>
    <w:p>
      <w:pPr>
        <w:adjustRightInd w:val="0"/>
        <w:snapToGrid w:val="0"/>
        <w:spacing w:line="520" w:lineRule="exact"/>
        <w:ind w:firstLine="720"/>
        <w:rPr>
          <w:rFonts w:ascii="仿宋_GB2312" w:hAnsi="宋体" w:eastAsia="仿宋_GB2312"/>
          <w:sz w:val="32"/>
          <w:szCs w:val="32"/>
          <w:lang w:val="zh-CN"/>
        </w:rPr>
      </w:pPr>
      <w:r>
        <w:rPr>
          <w:rFonts w:hint="eastAsia" w:ascii="仿宋" w:hAnsi="仿宋" w:eastAsia="仿宋" w:cs="仿宋"/>
          <w:sz w:val="32"/>
          <w:szCs w:val="32"/>
          <w:lang w:val="zh-CN"/>
        </w:rPr>
        <w:t>1．资金计划及到位。该项目资金预算指标为地方财政资金</w:t>
      </w:r>
      <w:r>
        <w:rPr>
          <w:rFonts w:hint="eastAsia" w:ascii="仿宋" w:hAnsi="仿宋" w:eastAsia="仿宋" w:cs="仿宋"/>
          <w:sz w:val="32"/>
          <w:szCs w:val="32"/>
        </w:rPr>
        <w:t>，资金指标及时到位，资金到位率100%，</w:t>
      </w:r>
      <w:r>
        <w:rPr>
          <w:rFonts w:hint="eastAsia" w:ascii="仿宋" w:hAnsi="仿宋" w:eastAsia="仿宋" w:cs="仿宋"/>
          <w:sz w:val="32"/>
          <w:szCs w:val="32"/>
          <w:lang w:val="zh-CN"/>
        </w:rPr>
        <w:t>到位及时性</w:t>
      </w:r>
      <w:r>
        <w:rPr>
          <w:rFonts w:hint="eastAsia" w:ascii="仿宋" w:hAnsi="仿宋" w:eastAsia="仿宋" w:cs="仿宋"/>
          <w:sz w:val="32"/>
          <w:szCs w:val="32"/>
        </w:rPr>
        <w:t>100%，拨付率100%。</w:t>
      </w:r>
    </w:p>
    <w:p>
      <w:pPr>
        <w:adjustRightInd w:val="0"/>
        <w:snapToGrid w:val="0"/>
        <w:spacing w:line="520" w:lineRule="exact"/>
        <w:ind w:firstLine="720"/>
        <w:rPr>
          <w:rFonts w:ascii="仿宋" w:hAnsi="仿宋" w:eastAsia="仿宋" w:cs="仿宋"/>
          <w:sz w:val="32"/>
          <w:szCs w:val="32"/>
          <w:lang w:val="zh-CN"/>
        </w:rPr>
      </w:pPr>
      <w:r>
        <w:rPr>
          <w:rFonts w:ascii="仿宋" w:hAnsi="仿宋" w:eastAsia="仿宋" w:cs="仿宋"/>
          <w:sz w:val="32"/>
          <w:szCs w:val="32"/>
          <w:lang w:val="zh-CN"/>
        </w:rPr>
        <w:t>2</w:t>
      </w:r>
      <w:r>
        <w:rPr>
          <w:rFonts w:hint="eastAsia" w:ascii="仿宋" w:hAnsi="仿宋" w:eastAsia="仿宋" w:cs="仿宋"/>
          <w:sz w:val="32"/>
          <w:szCs w:val="32"/>
          <w:lang w:val="zh-CN"/>
        </w:rPr>
        <w:t>．资金使用。</w:t>
      </w:r>
    </w:p>
    <w:p>
      <w:pPr>
        <w:adjustRightInd w:val="0"/>
        <w:snapToGrid w:val="0"/>
        <w:spacing w:line="52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截至</w:t>
      </w:r>
      <w:r>
        <w:rPr>
          <w:rFonts w:hint="eastAsia" w:ascii="仿宋" w:hAnsi="仿宋" w:eastAsia="仿宋" w:cs="仿宋"/>
          <w:sz w:val="32"/>
          <w:szCs w:val="32"/>
        </w:rPr>
        <w:t>2021年12月底</w:t>
      </w:r>
      <w:r>
        <w:rPr>
          <w:rFonts w:hint="eastAsia" w:ascii="仿宋" w:hAnsi="仿宋" w:eastAsia="仿宋" w:cs="仿宋"/>
          <w:sz w:val="32"/>
          <w:szCs w:val="32"/>
          <w:lang w:val="zh-CN"/>
        </w:rPr>
        <w:t>预算指标</w:t>
      </w:r>
      <w:r>
        <w:rPr>
          <w:rFonts w:hint="eastAsia" w:ascii="仿宋" w:hAnsi="仿宋" w:eastAsia="仿宋" w:cs="仿宋"/>
          <w:sz w:val="32"/>
          <w:szCs w:val="32"/>
        </w:rPr>
        <w:t>20万元，因不能形成完全支出，资金追减平预算费用2313.53元。支付具体情况、</w:t>
      </w:r>
      <w:r>
        <w:rPr>
          <w:rFonts w:hint="eastAsia" w:ascii="仿宋" w:hAnsi="仿宋" w:eastAsia="仿宋" w:cs="仿宋"/>
          <w:sz w:val="32"/>
          <w:szCs w:val="32"/>
          <w:lang w:val="zh-CN"/>
        </w:rPr>
        <w:t>资金开支范围、标准及支付进度</w:t>
      </w:r>
      <w:r>
        <w:rPr>
          <w:rFonts w:hint="eastAsia" w:ascii="仿宋" w:hAnsi="仿宋" w:eastAsia="仿宋" w:cs="仿宋"/>
          <w:sz w:val="32"/>
          <w:szCs w:val="32"/>
        </w:rPr>
        <w:t>，全部用于该项目办公的支付，支付标准及依据合规合法，资金支付与预算完全相符</w:t>
      </w:r>
      <w:r>
        <w:rPr>
          <w:rFonts w:hint="eastAsia" w:ascii="仿宋" w:hAnsi="仿宋" w:eastAsia="仿宋" w:cs="仿宋"/>
          <w:sz w:val="32"/>
          <w:szCs w:val="32"/>
          <w:lang w:val="zh-CN"/>
        </w:rPr>
        <w:t>。</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20" w:lineRule="exact"/>
        <w:ind w:firstLine="720"/>
        <w:rPr>
          <w:rFonts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520" w:lineRule="exact"/>
        <w:ind w:firstLine="720"/>
        <w:rPr>
          <w:rFonts w:ascii="黑体" w:hAnsi="宋体" w:eastAsia="黑体"/>
          <w:sz w:val="32"/>
          <w:szCs w:val="32"/>
          <w:lang w:val="zh-CN"/>
        </w:rPr>
      </w:pPr>
      <w:r>
        <w:rPr>
          <w:rFonts w:hint="eastAsia" w:ascii="黑体" w:hAnsi="宋体" w:eastAsia="黑体"/>
          <w:sz w:val="32"/>
          <w:szCs w:val="32"/>
          <w:lang w:val="zh-CN"/>
        </w:rPr>
        <w:t>三、项目实施及管理情况</w:t>
      </w:r>
    </w:p>
    <w:p>
      <w:pPr>
        <w:adjustRightInd w:val="0"/>
        <w:snapToGrid w:val="0"/>
        <w:spacing w:line="520" w:lineRule="exact"/>
        <w:ind w:firstLine="720"/>
        <w:rPr>
          <w:rFonts w:ascii="仿宋" w:hAnsi="仿宋" w:eastAsia="仿宋" w:cs="仿宋"/>
          <w:sz w:val="32"/>
          <w:szCs w:val="32"/>
          <w:lang w:val="zh-CN"/>
        </w:rPr>
      </w:pPr>
      <w:r>
        <w:rPr>
          <w:rFonts w:hint="eastAsia" w:ascii="仿宋" w:hAnsi="仿宋" w:eastAsia="仿宋" w:cs="仿宋"/>
          <w:sz w:val="32"/>
          <w:szCs w:val="32"/>
          <w:lang w:val="zh-CN"/>
        </w:rPr>
        <w:t>该项目由市棚改办作为项目实施单位，该项目经费严格执行财务制度规范。</w:t>
      </w:r>
    </w:p>
    <w:p>
      <w:pPr>
        <w:adjustRightInd w:val="0"/>
        <w:snapToGrid w:val="0"/>
        <w:spacing w:line="52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20" w:lineRule="exact"/>
        <w:ind w:firstLine="720"/>
        <w:rPr>
          <w:rFonts w:ascii="仿宋" w:hAnsi="仿宋" w:eastAsia="仿宋" w:cs="仿宋"/>
          <w:sz w:val="32"/>
          <w:szCs w:val="32"/>
          <w:lang w:val="zh-CN"/>
        </w:rPr>
      </w:pPr>
      <w:r>
        <w:rPr>
          <w:rFonts w:hint="eastAsia" w:ascii="仿宋" w:hAnsi="仿宋" w:eastAsia="仿宋" w:cs="仿宋"/>
          <w:sz w:val="32"/>
          <w:szCs w:val="32"/>
          <w:lang w:val="zh-CN"/>
        </w:rPr>
        <w:t>截至</w:t>
      </w:r>
      <w:r>
        <w:rPr>
          <w:rFonts w:hint="eastAsia" w:ascii="仿宋" w:hAnsi="仿宋" w:eastAsia="仿宋" w:cs="仿宋"/>
          <w:sz w:val="32"/>
          <w:szCs w:val="32"/>
        </w:rPr>
        <w:t>2021年</w:t>
      </w:r>
      <w:r>
        <w:rPr>
          <w:rFonts w:hint="eastAsia" w:ascii="仿宋" w:hAnsi="仿宋" w:eastAsia="仿宋" w:cs="仿宋"/>
          <w:sz w:val="32"/>
          <w:szCs w:val="32"/>
          <w:lang w:val="zh-CN"/>
        </w:rPr>
        <w:t>12月底，已完成绩效目标。</w:t>
      </w:r>
    </w:p>
    <w:p>
      <w:pPr>
        <w:adjustRightInd w:val="0"/>
        <w:snapToGrid w:val="0"/>
        <w:spacing w:line="520" w:lineRule="exact"/>
        <w:ind w:firstLine="642" w:firstLineChars="200"/>
        <w:rPr>
          <w:rFonts w:ascii="仿宋_GB2312" w:hAnsi="宋体" w:eastAsia="仿宋_GB2312"/>
          <w:b/>
          <w:sz w:val="32"/>
          <w:szCs w:val="32"/>
        </w:rPr>
      </w:pPr>
      <w:r>
        <w:rPr>
          <w:rFonts w:hint="eastAsia" w:ascii="楷体_GB2312" w:hAnsi="宋体" w:eastAsia="楷体_GB2312"/>
          <w:b/>
          <w:sz w:val="32"/>
          <w:szCs w:val="32"/>
          <w:lang w:val="zh-CN"/>
        </w:rPr>
        <w:t>（二）项目效益情况。</w:t>
      </w:r>
    </w:p>
    <w:p>
      <w:pPr>
        <w:adjustRightInd w:val="0"/>
        <w:snapToGrid w:val="0"/>
        <w:spacing w:line="520" w:lineRule="exact"/>
        <w:ind w:firstLine="720"/>
        <w:rPr>
          <w:rFonts w:ascii="仿宋_GB2312" w:hAnsi="宋体" w:eastAsia="仿宋_GB2312"/>
          <w:sz w:val="32"/>
          <w:szCs w:val="32"/>
          <w:lang w:val="zh-CN"/>
        </w:rPr>
      </w:pPr>
      <w:r>
        <w:rPr>
          <w:rFonts w:hint="eastAsia" w:ascii="仿宋" w:hAnsi="仿宋" w:eastAsia="仿宋" w:cs="仿宋"/>
          <w:sz w:val="32"/>
          <w:szCs w:val="32"/>
          <w:lang w:val="zh-CN"/>
        </w:rPr>
        <w:t>项目主要维持棚改办的</w:t>
      </w:r>
      <w:r>
        <w:rPr>
          <w:rFonts w:hint="eastAsia" w:ascii="仿宋" w:hAnsi="仿宋" w:eastAsia="仿宋" w:cs="仿宋"/>
          <w:sz w:val="32"/>
          <w:szCs w:val="32"/>
        </w:rPr>
        <w:t>日常工作开展</w:t>
      </w:r>
      <w:r>
        <w:rPr>
          <w:rFonts w:hint="eastAsia" w:ascii="仿宋_GB2312" w:hAnsi="宋体" w:eastAsia="仿宋_GB2312"/>
          <w:sz w:val="32"/>
          <w:szCs w:val="32"/>
          <w:lang w:val="zh-CN"/>
        </w:rPr>
        <w:t>。</w:t>
      </w:r>
    </w:p>
    <w:p>
      <w:pPr>
        <w:adjustRightInd w:val="0"/>
        <w:snapToGrid w:val="0"/>
        <w:spacing w:line="52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20" w:lineRule="exact"/>
        <w:ind w:firstLine="642" w:firstLineChars="200"/>
        <w:rPr>
          <w:rFonts w:ascii="楷体_GB2312" w:hAnsi="宋体" w:eastAsia="楷体_GB2312"/>
          <w:b/>
          <w:sz w:val="32"/>
          <w:szCs w:val="32"/>
        </w:rPr>
      </w:pPr>
      <w:r>
        <w:rPr>
          <w:rFonts w:hint="eastAsia" w:ascii="楷体_GB2312" w:hAnsi="宋体" w:eastAsia="楷体_GB2312"/>
          <w:b/>
          <w:sz w:val="32"/>
          <w:szCs w:val="32"/>
        </w:rPr>
        <w:t>（一）评价结论。</w:t>
      </w:r>
    </w:p>
    <w:p>
      <w:pPr>
        <w:adjustRightInd w:val="0"/>
        <w:snapToGrid w:val="0"/>
        <w:spacing w:line="520" w:lineRule="exact"/>
        <w:ind w:firstLine="640" w:firstLineChars="200"/>
        <w:rPr>
          <w:rFonts w:ascii="黑体" w:hAnsi="宋体" w:eastAsia="黑体"/>
          <w:sz w:val="32"/>
          <w:szCs w:val="32"/>
        </w:rPr>
      </w:pPr>
      <w:r>
        <w:rPr>
          <w:rFonts w:hint="eastAsia" w:ascii="仿宋" w:hAnsi="仿宋" w:eastAsia="仿宋" w:cs="仿宋"/>
          <w:sz w:val="32"/>
          <w:szCs w:val="32"/>
          <w:lang w:val="zh-CN"/>
        </w:rPr>
        <w:t>实际完成率、完成及时率均达到或超过绩效目标，质量达标率良好，产出成本可控，项目管理工作规范，社会效益良好，项目可持续性强。评价级别为“优”。</w:t>
      </w:r>
    </w:p>
    <w:p>
      <w:pPr>
        <w:adjustRightInd w:val="0"/>
        <w:snapToGrid w:val="0"/>
        <w:spacing w:line="520" w:lineRule="exact"/>
        <w:ind w:firstLine="963" w:firstLineChars="30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仿宋_GB2312" w:hAnsi="宋体" w:eastAsia="仿宋_GB2312"/>
          <w:sz w:val="32"/>
          <w:szCs w:val="32"/>
          <w:lang w:val="zh-CN"/>
        </w:rPr>
        <w:t>无</w:t>
      </w:r>
    </w:p>
    <w:p>
      <w:pPr>
        <w:adjustRightInd w:val="0"/>
        <w:snapToGrid w:val="0"/>
        <w:spacing w:line="520" w:lineRule="exact"/>
        <w:ind w:firstLine="1044" w:firstLineChars="325"/>
        <w:rPr>
          <w:rFonts w:ascii="楷体_GB2312" w:hAnsi="宋体" w:eastAsia="楷体_GB2312"/>
          <w:b/>
          <w:sz w:val="32"/>
          <w:szCs w:val="32"/>
          <w:lang w:val="zh-CN"/>
        </w:rPr>
      </w:pPr>
      <w:r>
        <w:rPr>
          <w:rFonts w:hint="eastAsia" w:ascii="楷体_GB2312" w:hAnsi="宋体" w:eastAsia="楷体_GB2312"/>
          <w:b/>
          <w:sz w:val="32"/>
          <w:szCs w:val="32"/>
          <w:lang w:val="zh-CN"/>
        </w:rPr>
        <w:t>（三）相关建议。</w:t>
      </w: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rPr>
      </w:pPr>
    </w:p>
    <w:tbl>
      <w:tblPr>
        <w:tblStyle w:val="13"/>
        <w:tblW w:w="9360" w:type="dxa"/>
        <w:jc w:val="center"/>
        <w:tblLayout w:type="autofit"/>
        <w:tblCellMar>
          <w:top w:w="0" w:type="dxa"/>
          <w:left w:w="108" w:type="dxa"/>
          <w:bottom w:w="0" w:type="dxa"/>
          <w:right w:w="108" w:type="dxa"/>
        </w:tblCellMar>
      </w:tblPr>
      <w:tblGrid>
        <w:gridCol w:w="1080"/>
        <w:gridCol w:w="940"/>
        <w:gridCol w:w="620"/>
        <w:gridCol w:w="1780"/>
        <w:gridCol w:w="2200"/>
        <w:gridCol w:w="2740"/>
      </w:tblGrid>
      <w:tr>
        <w:tblPrEx>
          <w:tblCellMar>
            <w:top w:w="0" w:type="dxa"/>
            <w:left w:w="108" w:type="dxa"/>
            <w:bottom w:w="0" w:type="dxa"/>
            <w:right w:w="108" w:type="dxa"/>
          </w:tblCellMar>
        </w:tblPrEx>
        <w:trPr>
          <w:trHeight w:val="405" w:hRule="atLeast"/>
          <w:jc w:val="center"/>
        </w:trPr>
        <w:tc>
          <w:tcPr>
            <w:tcW w:w="9360"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360" w:type="dxa"/>
            <w:gridSpan w:val="6"/>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600" w:hRule="atLeast"/>
          <w:jc w:val="center"/>
        </w:trPr>
        <w:tc>
          <w:tcPr>
            <w:tcW w:w="2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7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市棚改办办公经费</w:t>
            </w:r>
          </w:p>
        </w:tc>
      </w:tr>
      <w:tr>
        <w:tblPrEx>
          <w:tblCellMar>
            <w:top w:w="0" w:type="dxa"/>
            <w:left w:w="108" w:type="dxa"/>
            <w:bottom w:w="0" w:type="dxa"/>
            <w:right w:w="108" w:type="dxa"/>
          </w:tblCellMar>
        </w:tblPrEx>
        <w:trPr>
          <w:trHeight w:val="540" w:hRule="atLeast"/>
          <w:jc w:val="center"/>
        </w:trPr>
        <w:tc>
          <w:tcPr>
            <w:tcW w:w="26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7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762"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78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20万元</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执行数：</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19.77万元</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78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20万元</w:t>
            </w:r>
          </w:p>
        </w:tc>
        <w:tc>
          <w:tcPr>
            <w:tcW w:w="22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其中：财政拨款</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19.77万元</w:t>
            </w:r>
          </w:p>
        </w:tc>
      </w:tr>
      <w:tr>
        <w:tblPrEx>
          <w:tblCellMar>
            <w:top w:w="0" w:type="dxa"/>
            <w:left w:w="108" w:type="dxa"/>
            <w:bottom w:w="0" w:type="dxa"/>
            <w:right w:w="108" w:type="dxa"/>
          </w:tblCellMar>
        </w:tblPrEx>
        <w:trPr>
          <w:trHeight w:val="462"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78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27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334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9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99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34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维持棚改办日常工作开展，资金全部   用于该项目办公室经费支付</w:t>
            </w:r>
          </w:p>
        </w:tc>
        <w:tc>
          <w:tcPr>
            <w:tcW w:w="49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维持棚改办日常工作开展，资金全部                                        用于该项目办公室经费支付</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78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保障棚改2021年任务完成</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78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确保项目顺利推动</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78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完成时间</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8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市棚改办办公经费</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≤20万元</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已支付19.77万元</w:t>
            </w:r>
          </w:p>
        </w:tc>
      </w:tr>
      <w:tr>
        <w:tblPrEx>
          <w:tblCellMar>
            <w:top w:w="0" w:type="dxa"/>
            <w:left w:w="108" w:type="dxa"/>
            <w:bottom w:w="0" w:type="dxa"/>
            <w:right w:w="108" w:type="dxa"/>
          </w:tblCellMar>
        </w:tblPrEx>
        <w:trPr>
          <w:trHeight w:val="103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6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满意度</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spacing w:line="580" w:lineRule="exact"/>
        <w:jc w:val="center"/>
        <w:rPr>
          <w:rFonts w:ascii="方正小标宋简体" w:hAnsi="宋体" w:eastAsia="方正小标宋简体"/>
          <w:kern w:val="0"/>
          <w:sz w:val="44"/>
          <w:szCs w:val="44"/>
        </w:rPr>
      </w:pPr>
      <w:r>
        <w:rPr>
          <w:rFonts w:hint="eastAsia" w:ascii="微软雅黑" w:hAnsi="微软雅黑" w:eastAsia="微软雅黑" w:cs="微软雅黑"/>
          <w:kern w:val="0"/>
          <w:sz w:val="44"/>
          <w:szCs w:val="44"/>
        </w:rPr>
        <w:t>项目支出绩效自评报告</w:t>
      </w:r>
    </w:p>
    <w:p>
      <w:pPr>
        <w:spacing w:line="580" w:lineRule="exact"/>
        <w:jc w:val="center"/>
        <w:rPr>
          <w:rFonts w:ascii="方正小标宋简体" w:hAnsi="宋体" w:eastAsia="方正小标宋简体"/>
          <w:kern w:val="0"/>
          <w:sz w:val="44"/>
          <w:szCs w:val="44"/>
        </w:rPr>
      </w:pPr>
      <w:r>
        <w:rPr>
          <w:rFonts w:hint="eastAsia" w:ascii="仿宋" w:hAnsi="仿宋" w:eastAsia="仿宋" w:cs="仿宋"/>
          <w:sz w:val="32"/>
          <w:szCs w:val="32"/>
        </w:rPr>
        <w:t>（办理民主巷、茶盘街安置房不动产权证书）</w:t>
      </w:r>
    </w:p>
    <w:p>
      <w:pPr>
        <w:spacing w:line="580" w:lineRule="exact"/>
        <w:jc w:val="center"/>
        <w:rPr>
          <w:rFonts w:ascii="方正小标宋简体" w:hAnsi="宋体" w:eastAsia="方正小标宋简体"/>
          <w:kern w:val="0"/>
          <w:sz w:val="44"/>
          <w:szCs w:val="44"/>
        </w:rPr>
      </w:pPr>
    </w:p>
    <w:p>
      <w:pPr>
        <w:adjustRightInd w:val="0"/>
        <w:snapToGrid w:val="0"/>
        <w:spacing w:line="64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40" w:lineRule="exact"/>
        <w:ind w:firstLine="642" w:firstLineChars="200"/>
        <w:rPr>
          <w:rFonts w:ascii="楷体_GB2312" w:hAnsi="宋体" w:eastAsia="楷体_GB2312"/>
          <w:b/>
          <w:sz w:val="32"/>
          <w:szCs w:val="32"/>
        </w:rPr>
      </w:pPr>
      <w:r>
        <w:rPr>
          <w:rFonts w:hint="eastAsia" w:ascii="楷体_GB2312" w:hAnsi="宋体" w:eastAsia="楷体_GB2312"/>
          <w:b/>
          <w:sz w:val="32"/>
          <w:szCs w:val="32"/>
          <w:lang w:val="zh-CN"/>
        </w:rPr>
        <w:t>（一）项目基本情况。</w:t>
      </w:r>
    </w:p>
    <w:p>
      <w:pPr>
        <w:adjustRightInd w:val="0"/>
        <w:snapToGrid w:val="0"/>
        <w:spacing w:line="640" w:lineRule="exact"/>
        <w:ind w:firstLine="640" w:firstLineChars="200"/>
        <w:rPr>
          <w:rFonts w:ascii="楷体_GB2312" w:hAnsi="宋体" w:eastAsia="楷体_GB2312"/>
          <w:b/>
          <w:sz w:val="32"/>
          <w:szCs w:val="32"/>
        </w:rPr>
      </w:pPr>
      <w:r>
        <w:rPr>
          <w:rFonts w:hint="eastAsia" w:ascii="仿宋" w:hAnsi="仿宋" w:eastAsia="仿宋" w:cs="仿宋"/>
          <w:sz w:val="32"/>
          <w:szCs w:val="32"/>
        </w:rPr>
        <w:t>根据竹建</w:t>
      </w:r>
      <w:r>
        <w:rPr>
          <w:rFonts w:hint="eastAsia" w:ascii="仿宋" w:hAnsi="仿宋" w:eastAsia="仿宋" w:cs="仿宋"/>
          <w:sz w:val="32"/>
          <w:szCs w:val="32"/>
          <w:lang w:eastAsia="zh-CN"/>
        </w:rPr>
        <w:t>〔</w:t>
      </w:r>
      <w:r>
        <w:rPr>
          <w:rFonts w:hint="eastAsia" w:ascii="仿宋" w:hAnsi="仿宋" w:eastAsia="仿宋" w:cs="仿宋"/>
          <w:sz w:val="32"/>
          <w:szCs w:val="32"/>
        </w:rPr>
        <w:t>2018</w:t>
      </w:r>
      <w:r>
        <w:rPr>
          <w:rFonts w:hint="eastAsia" w:ascii="仿宋" w:hAnsi="仿宋" w:eastAsia="仿宋" w:cs="仿宋"/>
          <w:sz w:val="32"/>
          <w:szCs w:val="32"/>
          <w:lang w:eastAsia="zh-CN"/>
        </w:rPr>
        <w:t>〕</w:t>
      </w:r>
      <w:r>
        <w:rPr>
          <w:rFonts w:hint="eastAsia" w:ascii="仿宋" w:hAnsi="仿宋" w:eastAsia="仿宋" w:cs="仿宋"/>
          <w:sz w:val="32"/>
          <w:szCs w:val="32"/>
        </w:rPr>
        <w:t>120号文件</w:t>
      </w:r>
      <w:r>
        <w:rPr>
          <w:rFonts w:hint="eastAsia" w:ascii="仿宋" w:hAnsi="仿宋" w:eastAsia="仿宋" w:cs="仿宋"/>
          <w:sz w:val="32"/>
          <w:szCs w:val="32"/>
          <w:lang w:eastAsia="zh-CN"/>
        </w:rPr>
        <w:t>（</w:t>
      </w:r>
      <w:r>
        <w:rPr>
          <w:rFonts w:hint="eastAsia" w:ascii="仿宋" w:hAnsi="仿宋" w:eastAsia="仿宋" w:cs="仿宋"/>
          <w:sz w:val="32"/>
          <w:szCs w:val="32"/>
        </w:rPr>
        <w:t>关于再次请求解决安置房办证税费资金的请示）市政府于2018年4月28日召开协调会，已安排住建局牵头分两步解决：一是马上就条件较为具备的茶盘街安置房及金陵和园进行资料清理及相关资金核算后申报；二是对剩下几宗进行资料清理，具备办证条件后申报（公文处理编号：B2018-346）。</w:t>
      </w:r>
    </w:p>
    <w:p>
      <w:pPr>
        <w:adjustRightInd w:val="0"/>
        <w:snapToGrid w:val="0"/>
        <w:spacing w:line="640" w:lineRule="exact"/>
        <w:ind w:firstLine="642" w:firstLineChars="200"/>
        <w:rPr>
          <w:rFonts w:ascii="黑体" w:hAnsi="宋体" w:eastAsia="黑体"/>
          <w:sz w:val="32"/>
          <w:szCs w:val="32"/>
        </w:rPr>
      </w:pPr>
      <w:r>
        <w:rPr>
          <w:rFonts w:hint="eastAsia" w:ascii="楷体_GB2312" w:hAnsi="宋体" w:eastAsia="楷体_GB2312"/>
          <w:b/>
          <w:sz w:val="32"/>
          <w:szCs w:val="32"/>
          <w:lang w:val="zh-CN"/>
        </w:rPr>
        <w:t>（二）项目绩效目标</w:t>
      </w:r>
      <w:r>
        <w:rPr>
          <w:rFonts w:hint="eastAsia" w:ascii="黑体" w:hAnsi="宋体" w:eastAsia="黑体"/>
          <w:sz w:val="32"/>
          <w:szCs w:val="32"/>
        </w:rPr>
        <w:t xml:space="preserve">   </w:t>
      </w:r>
    </w:p>
    <w:p>
      <w:pPr>
        <w:adjustRightInd w:val="0"/>
        <w:snapToGrid w:val="0"/>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民主巷、茶盘街安置房不动产权证书项目共需为291户茶盘街安置房和民主巷安置房（金陵和园）返迁业主办理不动产权证书。民主巷、茶盘街安置房不动产权证书项目的申报内容与具体实施内容相符，申报目标总体合理。</w:t>
      </w:r>
    </w:p>
    <w:p>
      <w:pPr>
        <w:numPr>
          <w:ilvl w:val="0"/>
          <w:numId w:val="9"/>
        </w:numPr>
        <w:adjustRightInd w:val="0"/>
        <w:snapToGrid w:val="0"/>
        <w:spacing w:line="640" w:lineRule="exact"/>
        <w:ind w:firstLine="642" w:firstLineChars="200"/>
        <w:rPr>
          <w:rFonts w:ascii="楷体_GB2312" w:hAnsi="宋体" w:eastAsia="楷体_GB2312"/>
          <w:b/>
          <w:sz w:val="32"/>
          <w:szCs w:val="32"/>
        </w:rPr>
      </w:pPr>
      <w:r>
        <w:rPr>
          <w:rFonts w:hint="eastAsia" w:ascii="楷体_GB2312" w:hAnsi="宋体" w:eastAsia="楷体_GB2312"/>
          <w:b/>
          <w:sz w:val="32"/>
          <w:szCs w:val="32"/>
        </w:rPr>
        <w:t>项目自评</w:t>
      </w:r>
      <w:r>
        <w:rPr>
          <w:rFonts w:hint="eastAsia" w:ascii="宋体" w:hAnsi="宋体" w:cs="宋体"/>
          <w:b/>
          <w:sz w:val="32"/>
          <w:szCs w:val="32"/>
          <w:lang w:val="zh-CN"/>
        </w:rPr>
        <w:t>步骤及方法</w:t>
      </w:r>
      <w:r>
        <w:rPr>
          <w:rFonts w:hint="eastAsia" w:ascii="___WRD_EMBED_SUB_46" w:hAnsi="___WRD_EMBED_SUB_46" w:eastAsia="___WRD_EMBED_SUB_46" w:cs="___WRD_EMBED_SUB_46"/>
          <w:b/>
          <w:sz w:val="32"/>
          <w:szCs w:val="32"/>
          <w:lang w:val="zh-CN"/>
        </w:rPr>
        <w:t>。</w:t>
      </w:r>
    </w:p>
    <w:p>
      <w:pPr>
        <w:adjustRightInd w:val="0"/>
        <w:snapToGrid w:val="0"/>
        <w:spacing w:line="640" w:lineRule="exact"/>
        <w:ind w:firstLine="720"/>
        <w:rPr>
          <w:rFonts w:ascii="楷体_GB2312" w:hAnsi="宋体" w:eastAsia="楷体_GB2312"/>
          <w:b/>
          <w:sz w:val="32"/>
          <w:szCs w:val="32"/>
        </w:rPr>
      </w:pPr>
      <w:r>
        <w:rPr>
          <w:rFonts w:hint="eastAsia" w:ascii="楷体_GB2312" w:hAnsi="宋体" w:eastAsia="楷体_GB2312"/>
          <w:b/>
          <w:sz w:val="32"/>
          <w:szCs w:val="32"/>
        </w:rPr>
        <w:t xml:space="preserve"> </w:t>
      </w:r>
      <w:r>
        <w:rPr>
          <w:rFonts w:hint="eastAsia" w:ascii="仿宋" w:hAnsi="仿宋" w:eastAsia="仿宋" w:cs="仿宋"/>
          <w:sz w:val="32"/>
          <w:szCs w:val="32"/>
          <w:lang w:val="zh-CN"/>
        </w:rPr>
        <w:t>由我局开展财政资金使用情况自评并撰写部门预算支出绩效报告，按规范格式按时提交自评报告。</w:t>
      </w:r>
    </w:p>
    <w:p>
      <w:pPr>
        <w:adjustRightInd w:val="0"/>
        <w:snapToGrid w:val="0"/>
        <w:spacing w:line="640" w:lineRule="exact"/>
        <w:rPr>
          <w:rFonts w:ascii="楷体_GB2312" w:hAnsi="宋体" w:eastAsia="楷体_GB2312"/>
          <w:b/>
          <w:sz w:val="32"/>
          <w:szCs w:val="32"/>
        </w:rPr>
      </w:pPr>
      <w:r>
        <w:rPr>
          <w:rFonts w:hint="eastAsia" w:ascii="楷体_GB2312" w:hAnsi="宋体" w:eastAsia="楷体_GB2312"/>
          <w:b/>
          <w:sz w:val="32"/>
          <w:szCs w:val="32"/>
        </w:rPr>
        <w:t xml:space="preserve">  </w:t>
      </w:r>
      <w:r>
        <w:rPr>
          <w:rFonts w:hint="eastAsia" w:ascii="黑体" w:hAnsi="宋体" w:eastAsia="黑体"/>
          <w:sz w:val="32"/>
          <w:szCs w:val="32"/>
        </w:rPr>
        <w:t xml:space="preserve">  二、项目资金申报及使用情况</w:t>
      </w:r>
    </w:p>
    <w:p>
      <w:pPr>
        <w:adjustRightInd w:val="0"/>
        <w:snapToGrid w:val="0"/>
        <w:spacing w:line="6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（一）项目资</w:t>
      </w:r>
      <w:r>
        <w:rPr>
          <w:rFonts w:hint="eastAsia" w:ascii="宋体" w:hAnsi="宋体" w:cs="宋体"/>
          <w:b/>
          <w:sz w:val="32"/>
          <w:szCs w:val="32"/>
          <w:lang w:val="zh-CN"/>
        </w:rPr>
        <w:t>金申报及批复</w:t>
      </w:r>
      <w:r>
        <w:rPr>
          <w:rFonts w:hint="eastAsia" w:ascii="楷体_GB2312" w:hAnsi="宋体" w:eastAsia="楷体_GB2312"/>
          <w:b/>
          <w:sz w:val="32"/>
          <w:szCs w:val="32"/>
          <w:lang w:val="zh-CN"/>
        </w:rPr>
        <w:t>情况。</w:t>
      </w:r>
    </w:p>
    <w:p>
      <w:pPr>
        <w:adjustRightInd w:val="0"/>
        <w:snapToGrid w:val="0"/>
        <w:spacing w:line="640" w:lineRule="exact"/>
        <w:ind w:firstLine="720"/>
        <w:rPr>
          <w:rFonts w:ascii="仿宋" w:hAnsi="仿宋" w:eastAsia="仿宋" w:cs="仿宋"/>
          <w:sz w:val="32"/>
          <w:szCs w:val="32"/>
        </w:rPr>
      </w:pPr>
      <w:r>
        <w:rPr>
          <w:rFonts w:hint="eastAsia" w:ascii="仿宋" w:hAnsi="仿宋" w:eastAsia="仿宋" w:cs="仿宋"/>
          <w:bCs/>
          <w:sz w:val="32"/>
          <w:szCs w:val="32"/>
          <w:lang w:val="zh-CN"/>
        </w:rPr>
        <w:t>根据资金文号：年初住建（</w:t>
      </w:r>
      <w:r>
        <w:rPr>
          <w:rFonts w:hint="eastAsia" w:ascii="仿宋" w:hAnsi="仿宋" w:eastAsia="仿宋" w:cs="仿宋"/>
          <w:bCs/>
          <w:sz w:val="32"/>
          <w:szCs w:val="32"/>
        </w:rPr>
        <w:t>2021）30号</w:t>
      </w:r>
      <w:r>
        <w:rPr>
          <w:rFonts w:hint="eastAsia" w:ascii="仿宋" w:hAnsi="仿宋" w:eastAsia="仿宋" w:cs="仿宋"/>
          <w:bCs/>
          <w:sz w:val="32"/>
          <w:szCs w:val="32"/>
          <w:lang w:eastAsia="zh-CN"/>
        </w:rPr>
        <w:t>，</w:t>
      </w:r>
      <w:r>
        <w:rPr>
          <w:rFonts w:hint="eastAsia" w:ascii="仿宋" w:hAnsi="仿宋" w:eastAsia="仿宋" w:cs="仿宋"/>
          <w:bCs/>
          <w:sz w:val="32"/>
          <w:szCs w:val="32"/>
        </w:rPr>
        <w:t>年初正式指标下达</w:t>
      </w:r>
      <w:r>
        <w:rPr>
          <w:rFonts w:hint="eastAsia" w:ascii="仿宋" w:hAnsi="仿宋" w:eastAsia="仿宋" w:cs="仿宋"/>
          <w:sz w:val="32"/>
          <w:szCs w:val="32"/>
        </w:rPr>
        <w:t>资金100万元，用于民主巷、茶盘街安置房不动产权证书项目。因年底不能完全形成支出，按竹财资环减（2021）35号文件指标追减50万元，按竹财资环减（2021）55号-5号文件指标追减5190.13元</w:t>
      </w:r>
    </w:p>
    <w:p>
      <w:pPr>
        <w:adjustRightInd w:val="0"/>
        <w:snapToGrid w:val="0"/>
        <w:spacing w:line="640" w:lineRule="exact"/>
        <w:ind w:firstLine="642" w:firstLineChars="200"/>
        <w:rPr>
          <w:rFonts w:ascii="宋体" w:hAnsi="宋体" w:cs="宋体"/>
          <w:b/>
          <w:sz w:val="32"/>
          <w:szCs w:val="32"/>
          <w:lang w:val="zh-CN"/>
        </w:rPr>
      </w:pPr>
      <w:r>
        <w:rPr>
          <w:rFonts w:hint="eastAsia" w:ascii="楷体_GB2312" w:hAnsi="宋体" w:eastAsia="楷体_GB2312"/>
          <w:b/>
          <w:bCs/>
          <w:sz w:val="32"/>
          <w:szCs w:val="32"/>
          <w:lang w:val="zh-CN"/>
        </w:rPr>
        <w:t>（二）资</w:t>
      </w:r>
      <w:r>
        <w:rPr>
          <w:rFonts w:hint="eastAsia" w:ascii="宋体" w:hAnsi="宋体" w:cs="宋体"/>
          <w:b/>
          <w:sz w:val="32"/>
          <w:szCs w:val="32"/>
          <w:lang w:val="zh-CN"/>
        </w:rPr>
        <w:t>金计划、到位及使用情况。</w:t>
      </w:r>
    </w:p>
    <w:p>
      <w:pPr>
        <w:adjustRightInd w:val="0"/>
        <w:snapToGrid w:val="0"/>
        <w:spacing w:line="640" w:lineRule="exact"/>
        <w:ind w:firstLine="720"/>
        <w:rPr>
          <w:rFonts w:ascii="仿宋" w:hAnsi="仿宋" w:eastAsia="仿宋" w:cs="仿宋"/>
          <w:sz w:val="32"/>
          <w:szCs w:val="32"/>
        </w:rPr>
      </w:pPr>
      <w:r>
        <w:rPr>
          <w:rFonts w:hint="eastAsia" w:ascii="仿宋" w:hAnsi="仿宋" w:eastAsia="仿宋" w:cs="仿宋"/>
          <w:sz w:val="32"/>
          <w:szCs w:val="32"/>
          <w:lang w:val="zh-CN"/>
        </w:rPr>
        <w:t>1．资金计划及到位。该项目资金预算指标为地方财政资金</w:t>
      </w:r>
      <w:r>
        <w:rPr>
          <w:rFonts w:hint="eastAsia" w:ascii="仿宋" w:hAnsi="仿宋" w:eastAsia="仿宋" w:cs="仿宋"/>
          <w:sz w:val="32"/>
          <w:szCs w:val="32"/>
        </w:rPr>
        <w:t>，资金指标及时到位，资金到位率100%，</w:t>
      </w:r>
      <w:r>
        <w:rPr>
          <w:rFonts w:hint="eastAsia" w:ascii="仿宋" w:hAnsi="仿宋" w:eastAsia="仿宋" w:cs="仿宋"/>
          <w:sz w:val="32"/>
          <w:szCs w:val="32"/>
          <w:lang w:val="zh-CN"/>
        </w:rPr>
        <w:t>到位及时性</w:t>
      </w:r>
      <w:r>
        <w:rPr>
          <w:rFonts w:hint="eastAsia" w:ascii="仿宋" w:hAnsi="仿宋" w:eastAsia="仿宋" w:cs="仿宋"/>
          <w:sz w:val="32"/>
          <w:szCs w:val="32"/>
        </w:rPr>
        <w:t>100%。</w:t>
      </w:r>
    </w:p>
    <w:p>
      <w:pPr>
        <w:adjustRightInd w:val="0"/>
        <w:snapToGrid w:val="0"/>
        <w:spacing w:line="640" w:lineRule="exact"/>
        <w:ind w:firstLine="640" w:firstLineChars="200"/>
        <w:rPr>
          <w:rFonts w:ascii="楷体_GB2312" w:hAnsi="宋体" w:eastAsia="仿宋"/>
          <w:b/>
          <w:sz w:val="32"/>
          <w:szCs w:val="32"/>
          <w:lang w:val="zh-CN"/>
        </w:rPr>
      </w:pPr>
      <w:r>
        <w:rPr>
          <w:rFonts w:ascii="仿宋" w:hAnsi="仿宋" w:eastAsia="仿宋" w:cs="仿宋"/>
          <w:sz w:val="32"/>
          <w:szCs w:val="32"/>
          <w:lang w:val="zh-CN"/>
        </w:rPr>
        <w:t>2</w:t>
      </w:r>
      <w:r>
        <w:rPr>
          <w:rFonts w:hint="eastAsia" w:ascii="仿宋" w:hAnsi="仿宋" w:eastAsia="仿宋" w:cs="仿宋"/>
          <w:sz w:val="32"/>
          <w:szCs w:val="32"/>
          <w:lang w:val="zh-CN"/>
        </w:rPr>
        <w:t>．资金使用。</w:t>
      </w:r>
      <w:r>
        <w:rPr>
          <w:rFonts w:hint="eastAsia" w:ascii="仿宋" w:hAnsi="仿宋" w:eastAsia="仿宋" w:cs="仿宋"/>
          <w:sz w:val="32"/>
          <w:szCs w:val="32"/>
        </w:rPr>
        <w:t>该项目主要用于给茶盘街安置房和民主巷安置房（金陵和园）返迁业主办理不动产权证书，截至2021年底已为265户返迁业主办理好了不动产权证书。支付具体情况、资金开支范围、标准及支付进度，全部用于该项目办证的支付，支付标准及依据合规合法。</w:t>
      </w:r>
    </w:p>
    <w:p>
      <w:pPr>
        <w:adjustRightInd w:val="0"/>
        <w:snapToGrid w:val="0"/>
        <w:spacing w:line="640" w:lineRule="exact"/>
        <w:ind w:firstLine="640" w:firstLineChars="200"/>
        <w:rPr>
          <w:rFonts w:ascii="仿宋" w:hAnsi="仿宋" w:eastAsia="仿宋" w:cs="仿宋"/>
          <w:bCs/>
          <w:sz w:val="32"/>
          <w:szCs w:val="32"/>
          <w:lang w:val="zh-CN"/>
        </w:rPr>
      </w:pPr>
      <w:r>
        <w:rPr>
          <w:rFonts w:hint="eastAsia" w:ascii="仿宋" w:hAnsi="仿宋" w:eastAsia="仿宋" w:cs="仿宋"/>
          <w:bCs/>
          <w:sz w:val="32"/>
          <w:szCs w:val="32"/>
          <w:lang w:val="zh-CN"/>
        </w:rPr>
        <w:t>该项目依照法律、行政法规和国家财政行政主管部门的规定建立财务、会计制度；严格执行财务管理制度、财务处理及时、会计核算规范。</w:t>
      </w:r>
    </w:p>
    <w:p>
      <w:pPr>
        <w:adjustRightInd w:val="0"/>
        <w:snapToGrid w:val="0"/>
        <w:spacing w:line="640" w:lineRule="exact"/>
        <w:ind w:firstLine="720"/>
        <w:rPr>
          <w:rFonts w:ascii="黑体" w:hAnsi="宋体" w:eastAsia="黑体"/>
          <w:sz w:val="32"/>
          <w:szCs w:val="32"/>
          <w:lang w:val="zh-CN"/>
        </w:rPr>
      </w:pPr>
      <w:r>
        <w:rPr>
          <w:rFonts w:hint="eastAsia" w:ascii="黑体" w:hAnsi="宋体" w:eastAsia="黑体"/>
          <w:sz w:val="32"/>
          <w:szCs w:val="32"/>
          <w:lang w:val="zh-CN"/>
        </w:rPr>
        <w:t>三、项目实施及管理情况</w:t>
      </w:r>
    </w:p>
    <w:p>
      <w:pPr>
        <w:adjustRightInd w:val="0"/>
        <w:snapToGrid w:val="0"/>
        <w:spacing w:line="640" w:lineRule="exact"/>
        <w:ind w:firstLine="640" w:firstLineChars="200"/>
        <w:rPr>
          <w:rFonts w:ascii="仿宋" w:hAnsi="仿宋" w:eastAsia="仿宋" w:cs="仿宋"/>
          <w:bCs/>
          <w:sz w:val="32"/>
          <w:szCs w:val="32"/>
          <w:lang w:val="zh-CN"/>
        </w:rPr>
      </w:pPr>
      <w:r>
        <w:rPr>
          <w:rFonts w:hint="eastAsia" w:ascii="仿宋" w:hAnsi="仿宋" w:eastAsia="仿宋" w:cs="仿宋"/>
          <w:bCs/>
          <w:sz w:val="32"/>
          <w:szCs w:val="32"/>
          <w:lang w:val="zh-CN"/>
        </w:rPr>
        <w:t>该项目由绵竹市市政工程建设管理站作为项目实施单位，分时间段对该项目办证情况进行督促。</w:t>
      </w:r>
    </w:p>
    <w:p>
      <w:pPr>
        <w:adjustRightInd w:val="0"/>
        <w:snapToGrid w:val="0"/>
        <w:spacing w:line="64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截至2021年12月底已通过不动产登记中心给两个安置房片区办理“不动产权证书”265户，其中茶盘街安置房营业用房产权证正在办理中。</w:t>
      </w:r>
    </w:p>
    <w:p>
      <w:pPr>
        <w:adjustRightInd w:val="0"/>
        <w:snapToGrid w:val="0"/>
        <w:spacing w:line="640" w:lineRule="exact"/>
        <w:ind w:firstLine="642" w:firstLineChars="200"/>
        <w:rPr>
          <w:rFonts w:ascii="仿宋_GB2312" w:hAnsi="宋体" w:eastAsia="仿宋_GB2312"/>
          <w:sz w:val="32"/>
          <w:szCs w:val="32"/>
        </w:rPr>
      </w:pPr>
      <w:r>
        <w:rPr>
          <w:rFonts w:hint="eastAsia" w:ascii="楷体_GB2312" w:hAnsi="宋体" w:eastAsia="楷体_GB2312"/>
          <w:b/>
          <w:sz w:val="32"/>
          <w:szCs w:val="32"/>
          <w:lang w:val="zh-CN"/>
        </w:rPr>
        <w:t>（二）项目效益情况。</w:t>
      </w:r>
    </w:p>
    <w:p>
      <w:pPr>
        <w:spacing w:line="640" w:lineRule="exact"/>
        <w:ind w:firstLine="640" w:firstLineChars="200"/>
        <w:rPr>
          <w:rFonts w:ascii="仿宋" w:hAnsi="仿宋" w:eastAsia="仿宋" w:cs="仿宋"/>
          <w:sz w:val="32"/>
          <w:szCs w:val="32"/>
        </w:rPr>
      </w:pPr>
      <w:r>
        <w:rPr>
          <w:rFonts w:hint="eastAsia" w:ascii="仿宋" w:hAnsi="仿宋" w:eastAsia="仿宋" w:cs="仿宋"/>
          <w:sz w:val="32"/>
          <w:szCs w:val="32"/>
        </w:rPr>
        <w:t>该项目的实施提升人民幸福感，提高群众满意度是明显的。</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五、问题及建议</w:t>
      </w:r>
    </w:p>
    <w:p>
      <w:pPr>
        <w:adjustRightInd w:val="0"/>
        <w:snapToGrid w:val="0"/>
        <w:spacing w:line="640" w:lineRule="exact"/>
        <w:ind w:firstLine="720"/>
        <w:rPr>
          <w:rFonts w:ascii="楷体_GB2312" w:hAnsi="宋体" w:eastAsia="楷体_GB2312"/>
          <w:b/>
          <w:sz w:val="32"/>
          <w:szCs w:val="32"/>
        </w:rPr>
      </w:pPr>
      <w:r>
        <w:rPr>
          <w:rFonts w:hint="eastAsia" w:ascii="楷体_GB2312" w:hAnsi="宋体" w:eastAsia="楷体_GB2312"/>
          <w:b/>
          <w:sz w:val="32"/>
          <w:szCs w:val="32"/>
        </w:rPr>
        <w:t>（一）评价结论</w:t>
      </w:r>
    </w:p>
    <w:p>
      <w:pPr>
        <w:adjustRightInd w:val="0"/>
        <w:snapToGrid w:val="0"/>
        <w:spacing w:line="640" w:lineRule="exact"/>
        <w:ind w:firstLine="640" w:firstLineChars="200"/>
        <w:rPr>
          <w:rFonts w:ascii="黑体" w:hAnsi="宋体" w:eastAsia="黑体"/>
          <w:sz w:val="32"/>
          <w:szCs w:val="32"/>
        </w:rPr>
      </w:pPr>
      <w:r>
        <w:rPr>
          <w:rFonts w:hint="eastAsia" w:ascii="仿宋" w:hAnsi="仿宋" w:eastAsia="仿宋" w:cs="仿宋"/>
          <w:sz w:val="32"/>
          <w:szCs w:val="32"/>
          <w:lang w:val="zh-CN"/>
        </w:rPr>
        <w:t>实际完成率、完成及时率均达到或超过绩效目标，质量达标率良好，产出成本可控，项目管理工作规范，社会效益良好，项目可持续性强。评价级别为“优”。</w:t>
      </w:r>
    </w:p>
    <w:p>
      <w:pPr>
        <w:adjustRightInd w:val="0"/>
        <w:snapToGrid w:val="0"/>
        <w:spacing w:line="6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仿宋_GB2312" w:hAnsi="宋体" w:eastAsia="仿宋_GB2312"/>
          <w:sz w:val="32"/>
          <w:szCs w:val="32"/>
          <w:lang w:val="zh-CN"/>
        </w:rPr>
        <w:t>无</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tbl>
      <w:tblPr>
        <w:tblStyle w:val="13"/>
        <w:tblW w:w="10489" w:type="dxa"/>
        <w:jc w:val="center"/>
        <w:tblLayout w:type="autofit"/>
        <w:tblCellMar>
          <w:top w:w="0" w:type="dxa"/>
          <w:left w:w="108" w:type="dxa"/>
          <w:bottom w:w="0" w:type="dxa"/>
          <w:right w:w="108" w:type="dxa"/>
        </w:tblCellMar>
      </w:tblPr>
      <w:tblGrid>
        <w:gridCol w:w="1080"/>
        <w:gridCol w:w="1140"/>
        <w:gridCol w:w="740"/>
        <w:gridCol w:w="1780"/>
        <w:gridCol w:w="2860"/>
        <w:gridCol w:w="2889"/>
      </w:tblGrid>
      <w:tr>
        <w:tblPrEx>
          <w:tblCellMar>
            <w:top w:w="0" w:type="dxa"/>
            <w:left w:w="108" w:type="dxa"/>
            <w:bottom w:w="0" w:type="dxa"/>
            <w:right w:w="108" w:type="dxa"/>
          </w:tblCellMar>
        </w:tblPrEx>
        <w:trPr>
          <w:trHeight w:val="405" w:hRule="atLeast"/>
          <w:jc w:val="center"/>
        </w:trPr>
        <w:tc>
          <w:tcPr>
            <w:tcW w:w="10489"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10489" w:type="dxa"/>
            <w:gridSpan w:val="6"/>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600" w:hRule="atLeast"/>
          <w:jc w:val="center"/>
        </w:trPr>
        <w:tc>
          <w:tcPr>
            <w:tcW w:w="29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752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办理民主巷、茶盘街安置房不动产权证书</w:t>
            </w:r>
          </w:p>
        </w:tc>
      </w:tr>
      <w:tr>
        <w:tblPrEx>
          <w:tblCellMar>
            <w:top w:w="0" w:type="dxa"/>
            <w:left w:w="108" w:type="dxa"/>
            <w:bottom w:w="0" w:type="dxa"/>
            <w:right w:w="108" w:type="dxa"/>
          </w:tblCellMar>
        </w:tblPrEx>
        <w:trPr>
          <w:trHeight w:val="540" w:hRule="atLeast"/>
          <w:jc w:val="center"/>
        </w:trPr>
        <w:tc>
          <w:tcPr>
            <w:tcW w:w="29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752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46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18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78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100万元</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执行数：</w:t>
            </w:r>
          </w:p>
        </w:tc>
        <w:tc>
          <w:tcPr>
            <w:tcW w:w="2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49.48万元</w:t>
            </w:r>
          </w:p>
        </w:tc>
      </w:tr>
      <w:tr>
        <w:tblPrEx>
          <w:tblCellMar>
            <w:top w:w="0" w:type="dxa"/>
            <w:left w:w="108" w:type="dxa"/>
            <w:bottom w:w="0" w:type="dxa"/>
            <w:right w:w="108" w:type="dxa"/>
          </w:tblCellMar>
        </w:tblPrEx>
        <w:trPr>
          <w:trHeight w:val="64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8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78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100万元</w:t>
            </w:r>
          </w:p>
        </w:tc>
        <w:tc>
          <w:tcPr>
            <w:tcW w:w="28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其中：财政拨款</w:t>
            </w:r>
          </w:p>
        </w:tc>
        <w:tc>
          <w:tcPr>
            <w:tcW w:w="2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49.48万元</w:t>
            </w:r>
          </w:p>
        </w:tc>
      </w:tr>
      <w:tr>
        <w:tblPrEx>
          <w:tblCellMar>
            <w:top w:w="0" w:type="dxa"/>
            <w:left w:w="108" w:type="dxa"/>
            <w:bottom w:w="0" w:type="dxa"/>
            <w:right w:w="108" w:type="dxa"/>
          </w:tblCellMar>
        </w:tblPrEx>
        <w:trPr>
          <w:trHeight w:val="462"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8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78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8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288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36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574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96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6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完成民主巷、茶盘街安置房不动产权证书办证工作</w:t>
            </w:r>
          </w:p>
        </w:tc>
        <w:tc>
          <w:tcPr>
            <w:tcW w:w="574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已通过不动产登记中心给两个安置房片区办理“不动产权证书”265户，其中茶盘街安置房营业用房产权证正在办理中。</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139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78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办理茶盘街、民主巷安置房小区不动产权证书（约300户）</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办理茶盘街、民主巷安置房小区不动产权证书（约280户）</w:t>
            </w:r>
          </w:p>
        </w:tc>
        <w:tc>
          <w:tcPr>
            <w:tcW w:w="288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已办理茶盘街、民主巷安置房小区不动产权证书265户</w:t>
            </w:r>
          </w:p>
        </w:tc>
      </w:tr>
      <w:tr>
        <w:tblPrEx>
          <w:tblCellMar>
            <w:top w:w="0" w:type="dxa"/>
            <w:left w:w="108" w:type="dxa"/>
            <w:bottom w:w="0" w:type="dxa"/>
            <w:right w:w="108" w:type="dxa"/>
          </w:tblCellMar>
        </w:tblPrEx>
        <w:trPr>
          <w:trHeight w:val="106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78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完成时间</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预计2022年底完成为两个片区所有业主办理不动产权证书的工作</w:t>
            </w:r>
          </w:p>
        </w:tc>
        <w:tc>
          <w:tcPr>
            <w:tcW w:w="2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截至2021年12月底已通过不动产登记中心给两个安置房片区办理“不动产权证书”265户，其中茶盘街安置房营业用房产权证正在办理中。</w:t>
            </w:r>
          </w:p>
        </w:tc>
      </w:tr>
      <w:tr>
        <w:tblPrEx>
          <w:tblCellMar>
            <w:top w:w="0" w:type="dxa"/>
            <w:left w:w="108" w:type="dxa"/>
            <w:bottom w:w="0" w:type="dxa"/>
            <w:right w:w="108" w:type="dxa"/>
          </w:tblCellMar>
        </w:tblPrEx>
        <w:trPr>
          <w:trHeight w:val="8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支付茶盘街、民主巷安置房小区不动产权办证费用</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≤100万元</w:t>
            </w:r>
          </w:p>
        </w:tc>
        <w:tc>
          <w:tcPr>
            <w:tcW w:w="2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已支付49.48万元</w:t>
            </w:r>
          </w:p>
        </w:tc>
      </w:tr>
      <w:tr>
        <w:tblPrEx>
          <w:tblCellMar>
            <w:top w:w="0" w:type="dxa"/>
            <w:left w:w="108" w:type="dxa"/>
            <w:bottom w:w="0" w:type="dxa"/>
            <w:right w:w="108" w:type="dxa"/>
          </w:tblCellMar>
        </w:tblPrEx>
        <w:trPr>
          <w:trHeight w:val="126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该项目的实施提升人民幸福感，提高群众满意度是明显的。</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c>
          <w:tcPr>
            <w:tcW w:w="2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安置户满意度</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spacing w:line="580" w:lineRule="exact"/>
        <w:jc w:val="center"/>
        <w:rPr>
          <w:rFonts w:ascii="方正小标宋简体" w:hAnsi="宋体" w:eastAsia="方正小标宋简体"/>
          <w:kern w:val="0"/>
          <w:sz w:val="44"/>
          <w:szCs w:val="44"/>
        </w:rPr>
      </w:pPr>
      <w:r>
        <w:rPr>
          <w:rFonts w:hint="eastAsia" w:ascii="微软雅黑" w:hAnsi="微软雅黑" w:eastAsia="微软雅黑" w:cs="微软雅黑"/>
          <w:kern w:val="0"/>
          <w:sz w:val="44"/>
          <w:szCs w:val="44"/>
        </w:rPr>
        <w:t>项目支出绩效自评报告</w:t>
      </w:r>
    </w:p>
    <w:p>
      <w:pPr>
        <w:spacing w:line="580" w:lineRule="exact"/>
        <w:jc w:val="center"/>
        <w:rPr>
          <w:rFonts w:ascii="仿宋" w:hAnsi="仿宋" w:eastAsia="仿宋" w:cs="宋体"/>
          <w:sz w:val="32"/>
          <w:szCs w:val="32"/>
          <w:lang w:val="zh-CN"/>
        </w:rPr>
      </w:pPr>
      <w:r>
        <w:rPr>
          <w:rFonts w:hint="eastAsia" w:ascii="仿宋" w:hAnsi="仿宋" w:eastAsia="仿宋" w:cs="宋体"/>
          <w:sz w:val="32"/>
          <w:szCs w:val="32"/>
          <w:lang w:val="zh-CN"/>
        </w:rPr>
        <w:t>（金陵和园、茶盘街安置房小区零星维修）</w:t>
      </w:r>
    </w:p>
    <w:p>
      <w:pPr>
        <w:spacing w:line="580" w:lineRule="exact"/>
        <w:ind w:firstLine="640"/>
        <w:jc w:val="center"/>
        <w:rPr>
          <w:rFonts w:hint="eastAsia" w:ascii="宋体" w:hAnsi="??"/>
          <w:sz w:val="32"/>
          <w:szCs w:val="32"/>
        </w:rPr>
      </w:pPr>
    </w:p>
    <w:p>
      <w:pPr>
        <w:adjustRightInd w:val="0"/>
        <w:snapToGrid w:val="0"/>
        <w:spacing w:line="580" w:lineRule="exact"/>
        <w:ind w:firstLine="640" w:firstLineChars="200"/>
        <w:rPr>
          <w:rFonts w:ascii="黑体" w:hAnsi="宋体" w:eastAsia="黑体"/>
          <w:sz w:val="32"/>
          <w:szCs w:val="32"/>
        </w:rPr>
      </w:pPr>
      <w:r>
        <w:rPr>
          <w:rFonts w:hint="eastAsia" w:ascii="黑体" w:hAnsi="宋体" w:eastAsia="黑体"/>
          <w:sz w:val="32"/>
          <w:szCs w:val="32"/>
        </w:rPr>
        <w:t>一、项目概况</w:t>
      </w:r>
    </w:p>
    <w:p>
      <w:pPr>
        <w:adjustRightInd w:val="0"/>
        <w:snapToGrid w:val="0"/>
        <w:spacing w:line="580" w:lineRule="exact"/>
        <w:ind w:firstLine="642" w:firstLineChars="200"/>
        <w:rPr>
          <w:rFonts w:ascii="楷体_GB2312" w:hAnsi="宋体" w:eastAsia="楷体_GB2312"/>
          <w:b/>
          <w:sz w:val="32"/>
          <w:szCs w:val="32"/>
        </w:rPr>
      </w:pPr>
      <w:r>
        <w:rPr>
          <w:rFonts w:hint="eastAsia" w:ascii="楷体_GB2312" w:hAnsi="宋体" w:eastAsia="楷体_GB2312"/>
          <w:b/>
          <w:sz w:val="32"/>
          <w:szCs w:val="32"/>
        </w:rPr>
        <w:t>（一）项目基本情况</w:t>
      </w:r>
    </w:p>
    <w:p>
      <w:pPr>
        <w:adjustRightInd w:val="0"/>
        <w:snapToGrid w:val="0"/>
        <w:spacing w:line="580" w:lineRule="exact"/>
        <w:ind w:firstLine="640" w:firstLineChars="200"/>
        <w:rPr>
          <w:rFonts w:ascii="仿宋" w:hAnsi="仿宋" w:eastAsia="仿宋" w:cs="方正仿宋简体"/>
          <w:sz w:val="32"/>
          <w:szCs w:val="32"/>
          <w:lang w:val="zh-CN"/>
        </w:rPr>
      </w:pPr>
      <w:r>
        <w:rPr>
          <w:rFonts w:hint="eastAsia" w:ascii="仿宋" w:hAnsi="仿宋" w:eastAsia="仿宋" w:cs="方正仿宋简体"/>
          <w:sz w:val="32"/>
          <w:szCs w:val="32"/>
          <w:lang w:val="zh-CN"/>
        </w:rPr>
        <w:t>该项目</w:t>
      </w:r>
      <w:r>
        <w:rPr>
          <w:rFonts w:hint="eastAsia" w:ascii="仿宋" w:hAnsi="仿宋" w:eastAsia="仿宋" w:cs="宋体"/>
          <w:sz w:val="32"/>
          <w:szCs w:val="32"/>
          <w:lang w:val="zh-CN"/>
        </w:rPr>
        <w:t>按照绵竹市住</w:t>
      </w:r>
      <w:r>
        <w:rPr>
          <w:rFonts w:hint="eastAsia" w:ascii="仿宋" w:hAnsi="仿宋" w:eastAsia="仿宋" w:cs="___WRD_EMBED_SUB_326"/>
          <w:sz w:val="32"/>
          <w:szCs w:val="32"/>
          <w:lang w:val="zh-CN"/>
        </w:rPr>
        <w:t>房和</w:t>
      </w:r>
      <w:r>
        <w:rPr>
          <w:rFonts w:hint="eastAsia" w:ascii="仿宋" w:hAnsi="仿宋" w:eastAsia="仿宋" w:cs="宋体"/>
          <w:sz w:val="32"/>
          <w:szCs w:val="32"/>
          <w:lang w:val="zh-CN"/>
        </w:rPr>
        <w:t>城乡建设局关于《绵竹市保障性</w:t>
      </w:r>
      <w:r>
        <w:rPr>
          <w:rFonts w:hint="eastAsia" w:ascii="仿宋" w:hAnsi="仿宋" w:eastAsia="仿宋" w:cs="___WRD_EMBED_SUB_326"/>
          <w:sz w:val="32"/>
          <w:szCs w:val="32"/>
          <w:lang w:val="zh-CN"/>
        </w:rPr>
        <w:t>安</w:t>
      </w:r>
      <w:r>
        <w:rPr>
          <w:rFonts w:hint="eastAsia" w:ascii="仿宋" w:hAnsi="仿宋" w:eastAsia="仿宋" w:cs="宋体"/>
          <w:sz w:val="32"/>
          <w:szCs w:val="32"/>
          <w:lang w:val="zh-CN"/>
        </w:rPr>
        <w:t>居工程零星维修管</w:t>
      </w:r>
      <w:r>
        <w:rPr>
          <w:rFonts w:hint="eastAsia" w:ascii="仿宋" w:hAnsi="仿宋" w:eastAsia="仿宋" w:cs="___WRD_EMBED_SUB_326"/>
          <w:sz w:val="32"/>
          <w:szCs w:val="32"/>
          <w:lang w:val="zh-CN"/>
        </w:rPr>
        <w:t>理</w:t>
      </w:r>
      <w:r>
        <w:rPr>
          <w:rFonts w:hint="eastAsia" w:ascii="仿宋" w:hAnsi="仿宋" w:eastAsia="仿宋" w:cs="宋体"/>
          <w:sz w:val="32"/>
          <w:szCs w:val="32"/>
          <w:lang w:val="zh-CN"/>
        </w:rPr>
        <w:t>暂行</w:t>
      </w:r>
      <w:r>
        <w:rPr>
          <w:rFonts w:hint="eastAsia" w:ascii="仿宋" w:hAnsi="仿宋" w:eastAsia="仿宋" w:cs="___WRD_EMBED_SUB_326"/>
          <w:sz w:val="32"/>
          <w:szCs w:val="32"/>
          <w:lang w:val="zh-CN"/>
        </w:rPr>
        <w:t>办</w:t>
      </w:r>
      <w:r>
        <w:rPr>
          <w:rFonts w:hint="eastAsia" w:ascii="仿宋" w:hAnsi="仿宋" w:eastAsia="仿宋" w:cs="宋体"/>
          <w:sz w:val="32"/>
          <w:szCs w:val="32"/>
          <w:lang w:val="zh-CN"/>
        </w:rPr>
        <w:t>法</w:t>
      </w:r>
      <w:r>
        <w:rPr>
          <w:rFonts w:hint="eastAsia" w:ascii="仿宋" w:hAnsi="仿宋" w:eastAsia="仿宋" w:cs="___WRD_EMBED_SUB_326"/>
          <w:sz w:val="32"/>
          <w:szCs w:val="32"/>
          <w:lang w:val="zh-CN"/>
        </w:rPr>
        <w:t>的通</w:t>
      </w:r>
      <w:r>
        <w:rPr>
          <w:rFonts w:hint="eastAsia" w:ascii="仿宋" w:hAnsi="仿宋" w:eastAsia="仿宋" w:cs="宋体"/>
          <w:sz w:val="32"/>
          <w:szCs w:val="32"/>
          <w:lang w:val="zh-CN"/>
        </w:rPr>
        <w:t>知》（竹建〔</w:t>
      </w:r>
      <w:r>
        <w:rPr>
          <w:rFonts w:hint="eastAsia" w:ascii="仿宋" w:hAnsi="仿宋" w:eastAsia="仿宋" w:cs="方正仿宋简体"/>
          <w:sz w:val="32"/>
          <w:szCs w:val="32"/>
          <w:lang w:val="zh-CN"/>
        </w:rPr>
        <w:t>2018</w:t>
      </w:r>
      <w:r>
        <w:rPr>
          <w:rFonts w:hint="eastAsia" w:ascii="仿宋" w:hAnsi="仿宋" w:eastAsia="仿宋" w:cs="宋体"/>
          <w:sz w:val="32"/>
          <w:szCs w:val="32"/>
          <w:lang w:val="zh-CN"/>
        </w:rPr>
        <w:t>〕</w:t>
      </w:r>
      <w:r>
        <w:rPr>
          <w:rFonts w:hint="eastAsia" w:ascii="仿宋" w:hAnsi="仿宋" w:eastAsia="仿宋" w:cs="方正仿宋简体"/>
          <w:sz w:val="32"/>
          <w:szCs w:val="32"/>
          <w:lang w:val="zh-CN"/>
        </w:rPr>
        <w:t>305</w:t>
      </w:r>
      <w:r>
        <w:rPr>
          <w:rFonts w:hint="eastAsia" w:ascii="仿宋" w:hAnsi="仿宋" w:eastAsia="仿宋" w:cs="宋体"/>
          <w:sz w:val="32"/>
          <w:szCs w:val="32"/>
          <w:lang w:val="zh-CN"/>
        </w:rPr>
        <w:t>号</w:t>
      </w:r>
      <w:r>
        <w:rPr>
          <w:rFonts w:ascii="仿宋" w:hAnsi="仿宋" w:eastAsia="仿宋" w:cs="宋体"/>
          <w:sz w:val="32"/>
          <w:szCs w:val="32"/>
          <w:lang w:val="zh-CN"/>
        </w:rPr>
        <w:t>)</w:t>
      </w:r>
      <w:r>
        <w:rPr>
          <w:rFonts w:hint="eastAsia" w:ascii="仿宋" w:hAnsi="仿宋" w:eastAsia="仿宋" w:cs="宋体"/>
          <w:sz w:val="32"/>
          <w:szCs w:val="32"/>
          <w:lang w:val="zh-CN"/>
        </w:rPr>
        <w:t>遵照执行</w:t>
      </w:r>
      <w:r>
        <w:rPr>
          <w:rFonts w:hint="eastAsia" w:ascii="仿宋" w:hAnsi="仿宋" w:eastAsia="仿宋" w:cs="___WRD_EMBED_SUB_326"/>
          <w:sz w:val="32"/>
          <w:szCs w:val="32"/>
          <w:lang w:val="zh-CN"/>
        </w:rPr>
        <w:t>。</w:t>
      </w:r>
    </w:p>
    <w:p>
      <w:pPr>
        <w:adjustRightInd w:val="0"/>
        <w:snapToGrid w:val="0"/>
        <w:spacing w:line="580" w:lineRule="exact"/>
        <w:ind w:firstLine="642" w:firstLineChars="200"/>
        <w:rPr>
          <w:rFonts w:ascii="楷体_GB2312" w:hAnsi="宋体" w:eastAsia="楷体_GB2312"/>
          <w:b/>
          <w:sz w:val="32"/>
          <w:szCs w:val="32"/>
        </w:rPr>
      </w:pPr>
      <w:r>
        <w:rPr>
          <w:rFonts w:hint="eastAsia" w:ascii="楷体_GB2312" w:hAnsi="宋体" w:eastAsia="楷体_GB2312"/>
          <w:b/>
          <w:sz w:val="32"/>
          <w:szCs w:val="32"/>
        </w:rPr>
        <w:t>（二）项目绩效目标。</w:t>
      </w:r>
    </w:p>
    <w:p>
      <w:pPr>
        <w:adjustRightInd w:val="0"/>
        <w:snapToGrid w:val="0"/>
        <w:spacing w:line="580" w:lineRule="exact"/>
        <w:rPr>
          <w:rFonts w:ascii="仿宋" w:hAnsi="仿宋" w:eastAsia="仿宋" w:cs="宋体"/>
          <w:sz w:val="32"/>
          <w:szCs w:val="32"/>
          <w:lang w:val="zh-CN"/>
        </w:rPr>
      </w:pPr>
      <w:r>
        <w:rPr>
          <w:rFonts w:hint="eastAsia" w:ascii="楷体_GB2312" w:hAnsi="宋体" w:eastAsia="楷体_GB2312"/>
          <w:b/>
          <w:sz w:val="32"/>
          <w:szCs w:val="32"/>
        </w:rPr>
        <w:t xml:space="preserve">   </w:t>
      </w:r>
      <w:r>
        <w:rPr>
          <w:rFonts w:hint="eastAsia" w:ascii="仿宋" w:hAnsi="仿宋" w:eastAsia="仿宋" w:cs="宋体"/>
          <w:sz w:val="32"/>
          <w:szCs w:val="32"/>
          <w:lang w:val="zh-CN"/>
        </w:rPr>
        <w:t>金陵和园、茶盘街安置房小区零星维修项目包括2个小区，其中金陵和园有住宅426套，建筑总面积约 36338.95平方米；茶盘街安置房小区有住宅108套，建筑总面积约 8830.56平方米，该项目主要对安置房小区进行零星维修。金陵和园、茶盘街安置房小区零星维修项目的申报内容与具体实施内容相符，申报目标总体合理。</w:t>
      </w:r>
    </w:p>
    <w:p>
      <w:pPr>
        <w:adjustRightInd w:val="0"/>
        <w:snapToGrid w:val="0"/>
        <w:spacing w:line="580" w:lineRule="exact"/>
        <w:ind w:firstLine="642" w:firstLineChars="200"/>
        <w:rPr>
          <w:rFonts w:ascii="楷体_GB2312" w:hAnsi="宋体" w:eastAsia="楷体_GB2312"/>
          <w:b/>
          <w:sz w:val="32"/>
          <w:szCs w:val="32"/>
        </w:rPr>
      </w:pPr>
      <w:r>
        <w:rPr>
          <w:rFonts w:hint="eastAsia" w:ascii="楷体_GB2312" w:hAnsi="宋体" w:eastAsia="楷体_GB2312"/>
          <w:b/>
          <w:sz w:val="32"/>
          <w:szCs w:val="32"/>
        </w:rPr>
        <w:t>（三）项目自评步骤及方法。</w:t>
      </w:r>
    </w:p>
    <w:p>
      <w:pPr>
        <w:adjustRightInd w:val="0"/>
        <w:snapToGrid w:val="0"/>
        <w:spacing w:line="580" w:lineRule="exact"/>
        <w:ind w:firstLine="720"/>
        <w:rPr>
          <w:rFonts w:ascii="方正仿宋简体" w:hAnsi="方正仿宋简体" w:eastAsia="方正仿宋简体" w:cs="方正仿宋简体"/>
          <w:b/>
          <w:bCs/>
          <w:sz w:val="32"/>
          <w:szCs w:val="32"/>
        </w:rPr>
      </w:pPr>
      <w:r>
        <w:rPr>
          <w:rFonts w:hint="eastAsia" w:ascii="仿宋" w:hAnsi="仿宋" w:eastAsia="仿宋" w:cs="仿宋"/>
          <w:sz w:val="32"/>
          <w:szCs w:val="32"/>
          <w:lang w:val="zh-CN"/>
        </w:rPr>
        <w:t>由我局开展财政资金使用情况自评并撰写部门预算支出绩效报告，按规范格式按时提交自评报告。</w:t>
      </w:r>
    </w:p>
    <w:p>
      <w:pPr>
        <w:adjustRightInd w:val="0"/>
        <w:snapToGrid w:val="0"/>
        <w:spacing w:line="580" w:lineRule="exact"/>
        <w:ind w:firstLine="640" w:firstLineChars="20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80" w:lineRule="exact"/>
        <w:ind w:left="320"/>
        <w:rPr>
          <w:rFonts w:ascii="楷体_GB2312" w:hAnsi="宋体" w:eastAsia="楷体_GB2312"/>
          <w:b/>
          <w:sz w:val="32"/>
          <w:szCs w:val="32"/>
          <w:lang w:val="zh-CN"/>
        </w:rPr>
      </w:pPr>
      <w:r>
        <w:rPr>
          <w:rFonts w:hint="eastAsia" w:ascii="楷体_GB2312" w:hAnsi="宋体" w:eastAsia="楷体_GB2312"/>
          <w:b/>
          <w:sz w:val="32"/>
          <w:szCs w:val="32"/>
        </w:rPr>
        <w:t xml:space="preserve">   （一）</w:t>
      </w:r>
      <w:r>
        <w:rPr>
          <w:rFonts w:hint="eastAsia" w:ascii="楷体_GB2312" w:hAnsi="宋体" w:eastAsia="楷体_GB2312"/>
          <w:b/>
          <w:sz w:val="32"/>
          <w:szCs w:val="32"/>
          <w:lang w:val="zh-CN"/>
        </w:rPr>
        <w:t>项目资金申报及批复情况。</w:t>
      </w:r>
    </w:p>
    <w:p>
      <w:pPr>
        <w:adjustRightInd w:val="0"/>
        <w:snapToGrid w:val="0"/>
        <w:spacing w:line="580" w:lineRule="exact"/>
        <w:ind w:firstLine="640" w:firstLineChars="200"/>
        <w:rPr>
          <w:rFonts w:ascii="仿宋" w:hAnsi="仿宋" w:eastAsia="仿宋" w:cs="宋体"/>
          <w:sz w:val="32"/>
          <w:szCs w:val="32"/>
          <w:lang w:val="zh-CN"/>
        </w:rPr>
      </w:pPr>
      <w:r>
        <w:rPr>
          <w:rFonts w:hint="eastAsia" w:ascii="仿宋" w:hAnsi="仿宋" w:eastAsia="仿宋" w:cs="宋体"/>
          <w:sz w:val="32"/>
          <w:szCs w:val="32"/>
          <w:lang w:val="zh-CN"/>
        </w:rPr>
        <w:t>根据资金文号：年初住建（2021）12号，年初正式指标下达资金15万元，用于金陵和园、茶盘街安置房小区零星维修项目。因年底不能完全形成支出，按竹财资环减（2021）55号-5号文件指标追减880.07元。</w:t>
      </w:r>
    </w:p>
    <w:p>
      <w:pPr>
        <w:adjustRightInd w:val="0"/>
        <w:snapToGrid w:val="0"/>
        <w:spacing w:line="58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80" w:lineRule="exact"/>
        <w:ind w:firstLine="720"/>
        <w:rPr>
          <w:rFonts w:ascii="仿宋" w:hAnsi="仿宋" w:eastAsia="仿宋" w:cs="宋体"/>
          <w:sz w:val="32"/>
          <w:szCs w:val="32"/>
          <w:lang w:val="zh-CN"/>
        </w:rPr>
      </w:pPr>
      <w:r>
        <w:rPr>
          <w:rFonts w:ascii="仿宋" w:hAnsi="仿宋" w:eastAsia="仿宋" w:cs="宋体"/>
          <w:sz w:val="32"/>
          <w:szCs w:val="32"/>
          <w:lang w:val="zh-CN"/>
        </w:rPr>
        <w:t>1</w:t>
      </w:r>
      <w:r>
        <w:rPr>
          <w:rFonts w:hint="eastAsia" w:ascii="仿宋" w:hAnsi="仿宋" w:eastAsia="仿宋" w:cs="宋体"/>
          <w:sz w:val="32"/>
          <w:szCs w:val="32"/>
          <w:lang w:val="zh-CN"/>
        </w:rPr>
        <w:t>、资金计划及到位。该项目资金预算指标全部为其他保障性安居工程支出资金，资金预算指标及时到位，到位率100%到位及时性100%。</w:t>
      </w:r>
    </w:p>
    <w:p>
      <w:pPr>
        <w:adjustRightInd w:val="0"/>
        <w:snapToGrid w:val="0"/>
        <w:spacing w:line="560" w:lineRule="exact"/>
        <w:ind w:firstLine="640" w:firstLineChars="200"/>
        <w:rPr>
          <w:rFonts w:ascii="仿宋" w:hAnsi="仿宋" w:eastAsia="仿宋" w:cs="宋体"/>
          <w:sz w:val="32"/>
          <w:szCs w:val="32"/>
          <w:lang w:val="zh-CN"/>
        </w:rPr>
      </w:pPr>
      <w:r>
        <w:rPr>
          <w:rFonts w:ascii="仿宋" w:hAnsi="仿宋" w:eastAsia="仿宋" w:cs="宋体"/>
          <w:sz w:val="32"/>
          <w:szCs w:val="32"/>
          <w:lang w:val="zh-CN"/>
        </w:rPr>
        <w:t>2</w:t>
      </w:r>
      <w:r>
        <w:rPr>
          <w:rFonts w:hint="eastAsia" w:ascii="仿宋" w:hAnsi="仿宋" w:eastAsia="仿宋" w:cs="宋体"/>
          <w:sz w:val="32"/>
          <w:szCs w:val="32"/>
          <w:lang w:val="zh-CN"/>
        </w:rPr>
        <w:t>、资金使用。 金陵和园、茶盘街安置房小区零星维修项目的资金全部用于该项目维修费用的支付，支付标准及依据合规合法。</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60" w:lineRule="exact"/>
        <w:ind w:firstLine="720"/>
        <w:rPr>
          <w:rFonts w:ascii="仿宋" w:hAnsi="仿宋" w:eastAsia="仿宋" w:cs="宋体"/>
          <w:sz w:val="32"/>
          <w:szCs w:val="32"/>
          <w:lang w:val="zh-CN"/>
        </w:rPr>
      </w:pPr>
      <w:r>
        <w:rPr>
          <w:rFonts w:hint="eastAsia" w:ascii="仿宋" w:hAnsi="仿宋" w:eastAsia="仿宋" w:cs="宋体"/>
          <w:sz w:val="32"/>
          <w:szCs w:val="32"/>
          <w:lang w:val="zh-CN"/>
        </w:rPr>
        <w:t>项目实施单位财务管理制度健全，严格执行财务管理制度，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三、项目组织实施情况。</w:t>
      </w:r>
    </w:p>
    <w:p>
      <w:pPr>
        <w:adjustRightInd w:val="0"/>
        <w:snapToGrid w:val="0"/>
        <w:spacing w:line="560" w:lineRule="exact"/>
        <w:ind w:firstLine="720"/>
        <w:rPr>
          <w:rFonts w:ascii="仿宋_GB2312" w:hAnsi="宋体" w:eastAsia="仿宋_GB2312"/>
          <w:sz w:val="32"/>
          <w:szCs w:val="32"/>
          <w:lang w:val="zh-CN"/>
        </w:rPr>
      </w:pPr>
      <w:r>
        <w:rPr>
          <w:rFonts w:hint="eastAsia" w:ascii="仿宋" w:hAnsi="仿宋" w:eastAsia="仿宋" w:cs="宋体"/>
          <w:sz w:val="32"/>
          <w:szCs w:val="32"/>
          <w:lang w:val="zh-CN"/>
        </w:rPr>
        <w:t xml:space="preserve">该项目由绵竹市国有土地上房屋征地与补偿中心作为项目实施单位，每月组织针对该项目开展安全例会。每次维修由征收中心、监理、物业、施工、业主一起进行验收后，分年度对施工企业的工作响应、工作态度等进行满意度测评。 </w:t>
      </w:r>
      <w:r>
        <w:rPr>
          <w:rFonts w:hint="eastAsia" w:ascii="方正仿宋简体" w:hAnsi="方正仿宋简体" w:eastAsia="方正仿宋简体" w:cs="方正仿宋简体"/>
          <w:sz w:val="32"/>
          <w:szCs w:val="32"/>
        </w:rPr>
        <w:t xml:space="preserve">          </w:t>
      </w:r>
      <w:r>
        <w:rPr>
          <w:rFonts w:hint="eastAsia" w:ascii="仿宋_GB2312" w:hAnsi="宋体" w:eastAsia="仿宋_GB2312"/>
          <w:sz w:val="32"/>
          <w:szCs w:val="32"/>
        </w:rPr>
        <w:t xml:space="preserve">    </w:t>
      </w:r>
    </w:p>
    <w:p>
      <w:pPr>
        <w:adjustRightInd w:val="0"/>
        <w:snapToGrid w:val="0"/>
        <w:spacing w:line="580" w:lineRule="exact"/>
        <w:ind w:firstLine="720"/>
        <w:rPr>
          <w:rFonts w:ascii="仿宋_GB2312" w:hAnsi="宋体" w:eastAsia="仿宋_GB2312"/>
          <w:b/>
          <w:bCs/>
          <w:sz w:val="32"/>
          <w:szCs w:val="32"/>
          <w:lang w:val="zh-CN"/>
        </w:rPr>
      </w:pPr>
      <w:r>
        <w:rPr>
          <w:rFonts w:hint="eastAsia" w:ascii="黑体" w:hAnsi="宋体" w:eastAsia="黑体"/>
          <w:sz w:val="32"/>
          <w:szCs w:val="32"/>
        </w:rPr>
        <w:t>四、项目绩效情况</w:t>
      </w:r>
    </w:p>
    <w:p>
      <w:pPr>
        <w:adjustRightInd w:val="0"/>
        <w:snapToGrid w:val="0"/>
        <w:spacing w:line="58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60" w:lineRule="exact"/>
        <w:ind w:firstLine="720"/>
        <w:rPr>
          <w:rFonts w:ascii="仿宋" w:hAnsi="仿宋" w:eastAsia="仿宋" w:cs="宋体"/>
          <w:sz w:val="32"/>
          <w:szCs w:val="32"/>
          <w:lang w:val="zh-CN"/>
        </w:rPr>
      </w:pPr>
      <w:r>
        <w:rPr>
          <w:rFonts w:hint="eastAsia" w:ascii="仿宋" w:hAnsi="仿宋" w:eastAsia="仿宋" w:cs="宋体"/>
          <w:sz w:val="32"/>
          <w:szCs w:val="32"/>
          <w:lang w:val="zh-CN"/>
        </w:rPr>
        <w:t>该项目绩效总目标为对施工企业的工作响应、工作态度等进行满意度测评。截至2021年12月底，已完成项目绩效总目标。</w:t>
      </w:r>
    </w:p>
    <w:p>
      <w:pPr>
        <w:adjustRightInd w:val="0"/>
        <w:snapToGrid w:val="0"/>
        <w:spacing w:line="58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60" w:lineRule="exact"/>
        <w:ind w:firstLine="720"/>
        <w:rPr>
          <w:lang w:val="zh-CN"/>
        </w:rPr>
      </w:pPr>
      <w:r>
        <w:rPr>
          <w:rFonts w:hint="eastAsia" w:ascii="仿宋" w:hAnsi="仿宋" w:eastAsia="仿宋" w:cs="宋体"/>
          <w:sz w:val="32"/>
          <w:szCs w:val="32"/>
          <w:lang w:val="zh-CN"/>
        </w:rPr>
        <w:t>该项目的实施将提高和改善该两个小区居民的居住水平和生活环境质量，促进生活配套等各方面设施的完善。注重以人为本，生态优化，综合效益和社会文明的融合，给市民创造了一个良好的工作环境和生活空间。项目的实施对所在小区居民生活水平和生活质量的影响是正面的，为人民群众创造了健康的生活环境，提升人民幸福感，提高群众满意度是明显的。</w:t>
      </w:r>
    </w:p>
    <w:p>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五、问题及建议</w:t>
      </w:r>
    </w:p>
    <w:p>
      <w:pPr>
        <w:adjustRightInd w:val="0"/>
        <w:snapToGrid w:val="0"/>
        <w:spacing w:line="58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60" w:lineRule="exact"/>
        <w:ind w:firstLine="720"/>
        <w:rPr>
          <w:rFonts w:ascii="仿宋" w:hAnsi="仿宋" w:eastAsia="仿宋" w:cs="宋体"/>
          <w:sz w:val="32"/>
          <w:szCs w:val="32"/>
          <w:lang w:val="zh-CN"/>
        </w:rPr>
      </w:pPr>
      <w:r>
        <w:rPr>
          <w:rFonts w:hint="eastAsia" w:ascii="仿宋" w:hAnsi="仿宋" w:eastAsia="仿宋" w:cs="宋体"/>
          <w:sz w:val="32"/>
          <w:szCs w:val="32"/>
          <w:lang w:val="zh-CN"/>
        </w:rPr>
        <w:t>实际完成率、完成及时率均达到或超过绩效目标，质量达标率良好，产出成本可控，项目管理工作规范，社会效益良好，项目可持续性强。评价级别为“优”。</w:t>
      </w:r>
    </w:p>
    <w:p>
      <w:pPr>
        <w:adjustRightInd w:val="0"/>
        <w:snapToGrid w:val="0"/>
        <w:spacing w:line="58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仿宋_GB2312" w:hAnsi="宋体" w:eastAsia="仿宋_GB2312"/>
          <w:sz w:val="32"/>
          <w:szCs w:val="32"/>
          <w:lang w:val="zh-CN"/>
        </w:rPr>
        <w:t>无</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tbl>
      <w:tblPr>
        <w:tblStyle w:val="13"/>
        <w:tblW w:w="10439" w:type="dxa"/>
        <w:jc w:val="center"/>
        <w:tblLayout w:type="autofit"/>
        <w:tblCellMar>
          <w:top w:w="0" w:type="dxa"/>
          <w:left w:w="108" w:type="dxa"/>
          <w:bottom w:w="0" w:type="dxa"/>
          <w:right w:w="108" w:type="dxa"/>
        </w:tblCellMar>
      </w:tblPr>
      <w:tblGrid>
        <w:gridCol w:w="1080"/>
        <w:gridCol w:w="1140"/>
        <w:gridCol w:w="740"/>
        <w:gridCol w:w="2500"/>
        <w:gridCol w:w="2860"/>
        <w:gridCol w:w="2119"/>
      </w:tblGrid>
      <w:tr>
        <w:tblPrEx>
          <w:tblCellMar>
            <w:top w:w="0" w:type="dxa"/>
            <w:left w:w="108" w:type="dxa"/>
            <w:bottom w:w="0" w:type="dxa"/>
            <w:right w:w="108" w:type="dxa"/>
          </w:tblCellMar>
        </w:tblPrEx>
        <w:trPr>
          <w:trHeight w:val="405" w:hRule="atLeast"/>
          <w:jc w:val="center"/>
        </w:trPr>
        <w:tc>
          <w:tcPr>
            <w:tcW w:w="10439"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10439" w:type="dxa"/>
            <w:gridSpan w:val="6"/>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330" w:hRule="atLeast"/>
          <w:jc w:val="center"/>
        </w:trPr>
        <w:tc>
          <w:tcPr>
            <w:tcW w:w="29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74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金陵和园和茶盘街零星维修</w:t>
            </w:r>
          </w:p>
        </w:tc>
      </w:tr>
      <w:tr>
        <w:tblPrEx>
          <w:tblCellMar>
            <w:top w:w="0" w:type="dxa"/>
            <w:left w:w="108" w:type="dxa"/>
            <w:bottom w:w="0" w:type="dxa"/>
            <w:right w:w="108" w:type="dxa"/>
          </w:tblCellMar>
        </w:tblPrEx>
        <w:trPr>
          <w:trHeight w:val="407" w:hRule="atLeast"/>
          <w:jc w:val="center"/>
        </w:trPr>
        <w:tc>
          <w:tcPr>
            <w:tcW w:w="29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747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18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50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15万元</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执行数：</w:t>
            </w:r>
          </w:p>
        </w:tc>
        <w:tc>
          <w:tcPr>
            <w:tcW w:w="2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14.91万元</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8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50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15万元</w:t>
            </w:r>
          </w:p>
        </w:tc>
        <w:tc>
          <w:tcPr>
            <w:tcW w:w="28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其中：财政拨款</w:t>
            </w:r>
          </w:p>
        </w:tc>
        <w:tc>
          <w:tcPr>
            <w:tcW w:w="2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14.91万元</w:t>
            </w:r>
          </w:p>
        </w:tc>
      </w:tr>
      <w:tr>
        <w:tblPrEx>
          <w:tblCellMar>
            <w:top w:w="0" w:type="dxa"/>
            <w:left w:w="108" w:type="dxa"/>
            <w:bottom w:w="0" w:type="dxa"/>
            <w:right w:w="108" w:type="dxa"/>
          </w:tblCellMar>
        </w:tblPrEx>
        <w:trPr>
          <w:trHeight w:val="462"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8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50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8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211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38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9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9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38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用于民主巷、茶盘街安置房小区房屋等公共设施设备零星维修</w:t>
            </w:r>
          </w:p>
        </w:tc>
        <w:tc>
          <w:tcPr>
            <w:tcW w:w="497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用于民主巷、茶盘街安置房小区房屋等公共设施设备零星维修</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229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金陵和园、茶盘街安置房小区零星维修项目包括2个小区，其中金陵和园有住宅426套，建筑总面积约 36338.95平方米；茶盘街安置房小区有住宅108套，建筑总面积约 8830.56平方米，该项目主要对安置房小区进行零星维修。</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完成民主巷、茶盘街安置房小区道路、绿化及房屋的维护维修。</w:t>
            </w:r>
          </w:p>
        </w:tc>
        <w:tc>
          <w:tcPr>
            <w:tcW w:w="2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已完成2021年所有报修的工程</w:t>
            </w:r>
          </w:p>
        </w:tc>
      </w:tr>
      <w:tr>
        <w:tblPrEx>
          <w:tblCellMar>
            <w:top w:w="0" w:type="dxa"/>
            <w:left w:w="108" w:type="dxa"/>
            <w:bottom w:w="0" w:type="dxa"/>
            <w:right w:w="108" w:type="dxa"/>
          </w:tblCellMar>
        </w:tblPrEx>
        <w:trPr>
          <w:trHeight w:val="102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按照《建设工程质量管理条例》执行，施工质量达到合格要求</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按照《建设工程质量管理条例》执行，施工质量达到合格要求</w:t>
            </w:r>
          </w:p>
        </w:tc>
        <w:tc>
          <w:tcPr>
            <w:tcW w:w="2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合格率≧95</w:t>
            </w:r>
          </w:p>
        </w:tc>
      </w:tr>
      <w:tr>
        <w:tblPrEx>
          <w:tblCellMar>
            <w:top w:w="0" w:type="dxa"/>
            <w:left w:w="108" w:type="dxa"/>
            <w:bottom w:w="0" w:type="dxa"/>
            <w:right w:w="108" w:type="dxa"/>
          </w:tblCellMar>
        </w:tblPrEx>
        <w:trPr>
          <w:trHeight w:val="5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50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完成时间</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完成2021年零星维修工程</w:t>
            </w:r>
          </w:p>
        </w:tc>
        <w:tc>
          <w:tcPr>
            <w:tcW w:w="2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完成2021年零星维修工程</w:t>
            </w:r>
          </w:p>
        </w:tc>
      </w:tr>
      <w:tr>
        <w:tblPrEx>
          <w:tblCellMar>
            <w:top w:w="0" w:type="dxa"/>
            <w:left w:w="108" w:type="dxa"/>
            <w:bottom w:w="0" w:type="dxa"/>
            <w:right w:w="108" w:type="dxa"/>
          </w:tblCellMar>
        </w:tblPrEx>
        <w:trPr>
          <w:trHeight w:val="75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支付金陵和园和茶盘街零星维修项目维修费</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≤15万元</w:t>
            </w:r>
          </w:p>
        </w:tc>
        <w:tc>
          <w:tcPr>
            <w:tcW w:w="2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已支付14.91万元</w:t>
            </w:r>
          </w:p>
        </w:tc>
      </w:tr>
      <w:tr>
        <w:tblPrEx>
          <w:tblCellMar>
            <w:top w:w="0" w:type="dxa"/>
            <w:left w:w="108" w:type="dxa"/>
            <w:bottom w:w="0" w:type="dxa"/>
            <w:right w:w="108" w:type="dxa"/>
          </w:tblCellMar>
        </w:tblPrEx>
        <w:trPr>
          <w:trHeight w:val="11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该项目的实施提升人民幸福感，提高群众满意度是明显的。</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c>
          <w:tcPr>
            <w:tcW w:w="2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r>
      <w:tr>
        <w:tblPrEx>
          <w:tblCellMar>
            <w:top w:w="0" w:type="dxa"/>
            <w:left w:w="108" w:type="dxa"/>
            <w:bottom w:w="0" w:type="dxa"/>
            <w:right w:w="108" w:type="dxa"/>
          </w:tblCellMar>
        </w:tblPrEx>
        <w:trPr>
          <w:trHeight w:val="73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安置户满意度</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rPr>
      </w:pPr>
    </w:p>
    <w:p>
      <w:pPr>
        <w:spacing w:line="580" w:lineRule="exact"/>
        <w:jc w:val="center"/>
        <w:rPr>
          <w:rFonts w:ascii="仿宋_GB2312" w:hAnsi="宋体"/>
          <w:kern w:val="0"/>
          <w:sz w:val="28"/>
          <w:szCs w:val="21"/>
        </w:rPr>
      </w:pPr>
      <w:r>
        <w:rPr>
          <w:rFonts w:hint="eastAsia" w:ascii="微软雅黑" w:hAnsi="微软雅黑" w:eastAsia="微软雅黑" w:cs="微软雅黑"/>
          <w:kern w:val="0"/>
          <w:sz w:val="44"/>
          <w:szCs w:val="44"/>
        </w:rPr>
        <w:t>项目支出绩效自评报告</w:t>
      </w:r>
    </w:p>
    <w:p>
      <w:pPr>
        <w:spacing w:line="580" w:lineRule="exact"/>
        <w:jc w:val="center"/>
        <w:rPr>
          <w:rFonts w:ascii="方正小标宋简体" w:hAnsi="宋体" w:eastAsia="方正小标宋简体"/>
          <w:kern w:val="0"/>
          <w:sz w:val="44"/>
          <w:szCs w:val="44"/>
        </w:rPr>
      </w:pPr>
      <w:r>
        <w:rPr>
          <w:rFonts w:hint="eastAsia" w:ascii="仿宋" w:hAnsi="仿宋" w:eastAsia="仿宋" w:cs="仿宋"/>
          <w:sz w:val="32"/>
          <w:szCs w:val="32"/>
          <w:lang w:val="zh-CN"/>
        </w:rPr>
        <w:t>（安置房维修维护及管理）</w:t>
      </w:r>
    </w:p>
    <w:p>
      <w:pPr>
        <w:spacing w:line="580" w:lineRule="exact"/>
        <w:ind w:firstLine="640"/>
        <w:jc w:val="center"/>
        <w:rPr>
          <w:rFonts w:hint="eastAsia" w:ascii="宋体" w:hAnsi="??"/>
          <w:sz w:val="32"/>
          <w:szCs w:val="32"/>
        </w:rPr>
      </w:pPr>
    </w:p>
    <w:p>
      <w:pPr>
        <w:adjustRightInd w:val="0"/>
        <w:snapToGrid w:val="0"/>
        <w:spacing w:line="580" w:lineRule="exact"/>
        <w:ind w:firstLine="640" w:firstLineChars="200"/>
        <w:rPr>
          <w:rFonts w:ascii="黑体" w:hAnsi="宋体" w:eastAsia="黑体"/>
          <w:sz w:val="32"/>
          <w:szCs w:val="32"/>
          <w:lang w:val="zh-CN"/>
        </w:rPr>
      </w:pPr>
      <w:r>
        <w:rPr>
          <w:rFonts w:hint="eastAsia" w:ascii="黑体" w:hAnsi="宋体" w:eastAsia="黑体"/>
          <w:sz w:val="32"/>
          <w:szCs w:val="32"/>
          <w:lang w:val="zh-CN"/>
        </w:rPr>
        <w:t>一、项目概况</w:t>
      </w:r>
    </w:p>
    <w:p>
      <w:pPr>
        <w:adjustRightInd w:val="0"/>
        <w:snapToGrid w:val="0"/>
        <w:spacing w:line="580" w:lineRule="exact"/>
        <w:ind w:firstLine="642" w:firstLineChars="200"/>
        <w:rPr>
          <w:rFonts w:ascii="黑体" w:hAnsi="宋体" w:eastAsia="黑体"/>
          <w:sz w:val="32"/>
          <w:szCs w:val="32"/>
          <w:lang w:val="zh-CN"/>
        </w:rPr>
      </w:pPr>
      <w:r>
        <w:rPr>
          <w:rFonts w:hint="eastAsia" w:ascii="楷体_GB2312" w:hAnsi="宋体" w:eastAsia="楷体_GB2312"/>
          <w:b/>
          <w:sz w:val="32"/>
          <w:szCs w:val="32"/>
        </w:rPr>
        <w:t>（一）项目基本情况。</w:t>
      </w:r>
    </w:p>
    <w:p>
      <w:pPr>
        <w:spacing w:line="580" w:lineRule="exact"/>
        <w:ind w:firstLine="660"/>
        <w:jc w:val="center"/>
        <w:rPr>
          <w:rFonts w:ascii="仿宋" w:hAnsi="仿宋" w:eastAsia="仿宋" w:cs="仿宋"/>
          <w:sz w:val="32"/>
          <w:szCs w:val="32"/>
          <w:lang w:val="zh-CN"/>
        </w:rPr>
      </w:pPr>
      <w:r>
        <w:rPr>
          <w:rFonts w:hint="eastAsia" w:ascii="仿宋" w:hAnsi="仿宋" w:eastAsia="仿宋" w:cs="仿宋"/>
          <w:sz w:val="32"/>
          <w:szCs w:val="32"/>
          <w:lang w:val="zh-CN"/>
        </w:rPr>
        <w:t>该项目按照竹建〔2021〕44号文件《绵竹市住房和城乡建设局关于再次请求解决安置房办证税费资金的请示》执行，市政府办理结果：所需经费已列入财政年度预算安排，建议</w:t>
      </w:r>
    </w:p>
    <w:p>
      <w:pPr>
        <w:spacing w:line="580" w:lineRule="exact"/>
        <w:rPr>
          <w:rFonts w:ascii="仿宋" w:hAnsi="仿宋" w:eastAsia="仿宋" w:cs="仿宋"/>
          <w:sz w:val="32"/>
          <w:szCs w:val="32"/>
          <w:lang w:val="zh-CN"/>
        </w:rPr>
      </w:pPr>
      <w:r>
        <w:rPr>
          <w:rFonts w:hint="eastAsia" w:ascii="仿宋" w:hAnsi="仿宋" w:eastAsia="仿宋" w:cs="仿宋"/>
          <w:sz w:val="32"/>
          <w:szCs w:val="32"/>
          <w:lang w:val="zh-CN"/>
        </w:rPr>
        <w:t>同意。处理编号（B2021-136号）。</w:t>
      </w:r>
    </w:p>
    <w:p>
      <w:pPr>
        <w:spacing w:line="580" w:lineRule="exact"/>
        <w:ind w:firstLine="642" w:firstLineChars="200"/>
        <w:rPr>
          <w:rFonts w:ascii="楷体_GB2312" w:hAnsi="宋体" w:eastAsia="楷体_GB2312"/>
          <w:b/>
          <w:sz w:val="32"/>
          <w:szCs w:val="32"/>
        </w:rPr>
      </w:pPr>
      <w:r>
        <w:rPr>
          <w:rFonts w:hint="eastAsia" w:ascii="楷体_GB2312" w:hAnsi="宋体" w:eastAsia="楷体_GB2312"/>
          <w:b/>
          <w:sz w:val="32"/>
          <w:szCs w:val="32"/>
        </w:rPr>
        <w:t>（二）项目绩效目标。</w:t>
      </w:r>
    </w:p>
    <w:p>
      <w:pPr>
        <w:adjustRightInd w:val="0"/>
        <w:snapToGrid w:val="0"/>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安置房维修维护及管理项目包含剑南街道、紫岩街道、新市镇、孝德镇的28小区，共有住宅10996套，建筑总面积约 1007406.58平方米，该项目主要对安置房小区进行零星维修。安置房维修维护及管理项目的申报内容与具体实施内容相符，申报目标总体合理。</w:t>
      </w:r>
    </w:p>
    <w:p>
      <w:pPr>
        <w:adjustRightInd w:val="0"/>
        <w:snapToGrid w:val="0"/>
        <w:spacing w:line="580" w:lineRule="exact"/>
        <w:ind w:left="481"/>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由我局开展财政资金使用情况自评并撰写部门预算支出绩效报告，按规范格式按时提交自评报告。</w:t>
      </w:r>
    </w:p>
    <w:p>
      <w:pPr>
        <w:adjustRightInd w:val="0"/>
        <w:snapToGrid w:val="0"/>
        <w:spacing w:line="580" w:lineRule="exact"/>
        <w:ind w:firstLine="640" w:firstLineChars="200"/>
        <w:rPr>
          <w:rFonts w:ascii="黑体" w:hAnsi="宋体" w:eastAsia="黑体"/>
          <w:sz w:val="32"/>
          <w:szCs w:val="32"/>
          <w:lang w:val="zh-CN"/>
        </w:rPr>
      </w:pPr>
      <w:r>
        <w:rPr>
          <w:rFonts w:hint="eastAsia" w:ascii="黑体" w:hAnsi="宋体" w:eastAsia="黑体"/>
          <w:sz w:val="32"/>
          <w:szCs w:val="32"/>
          <w:lang w:val="zh-CN"/>
        </w:rPr>
        <w:t>二、项目资金申报及使用情况</w:t>
      </w:r>
    </w:p>
    <w:p>
      <w:pPr>
        <w:adjustRightInd w:val="0"/>
        <w:snapToGrid w:val="0"/>
        <w:spacing w:line="580" w:lineRule="exact"/>
        <w:ind w:left="481"/>
        <w:rPr>
          <w:rFonts w:ascii="楷体_GB2312" w:hAnsi="宋体" w:eastAsia="楷体_GB2312"/>
          <w:b/>
          <w:sz w:val="32"/>
          <w:szCs w:val="32"/>
        </w:rPr>
      </w:pPr>
      <w:r>
        <w:rPr>
          <w:rFonts w:hint="eastAsia" w:ascii="楷体_GB2312" w:hAnsi="宋体" w:eastAsia="楷体_GB2312"/>
          <w:b/>
          <w:sz w:val="32"/>
          <w:szCs w:val="32"/>
        </w:rPr>
        <w:t>（一）项目资金申报及批复情况。</w:t>
      </w:r>
    </w:p>
    <w:p>
      <w:pPr>
        <w:adjustRightInd w:val="0"/>
        <w:snapToGrid w:val="0"/>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根据资金文号：年初住建（2021）48号，年初正式指标下达资金839.89万元，用于安置房维修维护及管理项目，因年底不能完全形成支出，按竹财资环减（2021）55号-5号文件指标追减3000.00元。</w:t>
      </w:r>
    </w:p>
    <w:p>
      <w:pPr>
        <w:adjustRightInd w:val="0"/>
        <w:snapToGrid w:val="0"/>
        <w:spacing w:line="580" w:lineRule="exact"/>
        <w:ind w:firstLine="642" w:firstLineChars="200"/>
        <w:rPr>
          <w:rFonts w:ascii="仿宋" w:hAnsi="仿宋" w:eastAsia="仿宋" w:cs="仿宋"/>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80" w:lineRule="exact"/>
        <w:ind w:firstLine="640" w:firstLineChars="200"/>
        <w:rPr>
          <w:rFonts w:ascii="仿宋" w:hAnsi="仿宋" w:eastAsia="仿宋" w:cs="仿宋"/>
          <w:sz w:val="32"/>
          <w:szCs w:val="32"/>
          <w:lang w:val="zh-CN"/>
        </w:rPr>
      </w:pPr>
      <w:r>
        <w:rPr>
          <w:rFonts w:ascii="仿宋" w:hAnsi="仿宋" w:eastAsia="仿宋" w:cs="仿宋"/>
          <w:sz w:val="32"/>
          <w:szCs w:val="32"/>
          <w:lang w:val="zh-CN"/>
        </w:rPr>
        <w:t>1</w:t>
      </w:r>
      <w:r>
        <w:rPr>
          <w:rFonts w:hint="eastAsia" w:ascii="仿宋" w:hAnsi="仿宋" w:eastAsia="仿宋" w:cs="仿宋"/>
          <w:sz w:val="32"/>
          <w:szCs w:val="32"/>
          <w:lang w:val="zh-CN"/>
        </w:rPr>
        <w:t>．资金计划及到位。该项目资金预算指标全部为基金预算资金，年初指标在2021年3月到位，以上资金预算指标全部及时到位，到位率100%。</w:t>
      </w:r>
    </w:p>
    <w:p>
      <w:pPr>
        <w:adjustRightInd w:val="0"/>
        <w:snapToGrid w:val="0"/>
        <w:spacing w:line="580" w:lineRule="exact"/>
        <w:ind w:firstLine="640" w:firstLineChars="200"/>
        <w:rPr>
          <w:rFonts w:ascii="仿宋" w:hAnsi="仿宋" w:eastAsia="仿宋" w:cs="仿宋"/>
          <w:sz w:val="32"/>
          <w:szCs w:val="32"/>
          <w:lang w:val="zh-CN"/>
        </w:rPr>
      </w:pPr>
      <w:r>
        <w:rPr>
          <w:rFonts w:ascii="仿宋" w:hAnsi="仿宋" w:eastAsia="仿宋" w:cs="仿宋"/>
          <w:sz w:val="32"/>
          <w:szCs w:val="32"/>
          <w:lang w:val="zh-CN"/>
        </w:rPr>
        <w:t>2</w:t>
      </w:r>
      <w:r>
        <w:rPr>
          <w:rFonts w:hint="eastAsia" w:ascii="仿宋" w:hAnsi="仿宋" w:eastAsia="仿宋" w:cs="仿宋"/>
          <w:sz w:val="32"/>
          <w:szCs w:val="32"/>
          <w:lang w:val="zh-CN"/>
        </w:rPr>
        <w:t>．资金使用。</w:t>
      </w:r>
    </w:p>
    <w:p>
      <w:pPr>
        <w:adjustRightInd w:val="0"/>
        <w:snapToGrid w:val="0"/>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截至2021年12月底合计资金预算指标839.89万元，现已支付839.59万元，费用支付具体情况、资金开支范围、标准及支付进度，全部用于该项目维修费用的支付，支付标准及依据合规合法，资金支付与预算完全相符。</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580" w:lineRule="exact"/>
        <w:ind w:firstLine="640" w:firstLineChars="200"/>
        <w:rPr>
          <w:rFonts w:ascii="黑体" w:hAnsi="宋体" w:eastAsia="黑体"/>
          <w:sz w:val="32"/>
          <w:szCs w:val="32"/>
          <w:lang w:val="zh-CN"/>
        </w:rPr>
      </w:pPr>
      <w:r>
        <w:rPr>
          <w:rFonts w:hint="eastAsia" w:ascii="黑体" w:hAnsi="宋体" w:eastAsia="黑体"/>
          <w:sz w:val="32"/>
          <w:szCs w:val="32"/>
          <w:lang w:val="zh-CN"/>
        </w:rPr>
        <w:t>三、项目实施及管理情况</w:t>
      </w:r>
    </w:p>
    <w:p>
      <w:pPr>
        <w:adjustRightInd w:val="0"/>
        <w:snapToGrid w:val="0"/>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该项目由绵竹市国有土地上房屋征地与补偿中心作为项目实施单位，每月组织针对该项目开展安全例会。每次维修由征收中心、监理、物业、施工、业主一起进行验收后，分年度对施工企业的工作响应、工作态度等进行满意度测评。</w:t>
      </w:r>
    </w:p>
    <w:p>
      <w:pPr>
        <w:adjustRightInd w:val="0"/>
        <w:snapToGrid w:val="0"/>
        <w:spacing w:line="580" w:lineRule="exact"/>
        <w:ind w:firstLine="640" w:firstLineChars="200"/>
        <w:rPr>
          <w:rFonts w:ascii="黑体" w:hAnsi="宋体" w:eastAsia="黑体"/>
          <w:sz w:val="32"/>
          <w:szCs w:val="32"/>
          <w:lang w:val="zh-CN"/>
        </w:rPr>
      </w:pPr>
      <w:r>
        <w:rPr>
          <w:rFonts w:hint="eastAsia" w:ascii="黑体" w:hAnsi="宋体" w:eastAsia="黑体"/>
          <w:sz w:val="32"/>
          <w:szCs w:val="32"/>
          <w:lang w:val="zh-CN"/>
        </w:rPr>
        <w:t>四、项目绩效情况</w:t>
      </w:r>
      <w:r>
        <w:rPr>
          <w:rFonts w:hint="eastAsia" w:ascii="黑体" w:hAnsi="宋体" w:eastAsia="黑体"/>
          <w:sz w:val="32"/>
          <w:szCs w:val="32"/>
          <w:lang w:val="zh-CN"/>
        </w:rPr>
        <w:tab/>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该项目绩效总目标为对施工企业的工作响应、工作态度等进行满意度测评。截至2021年12月底，已完成项目绩效总目标。</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该项目的实施将提高和改善该安置房小区居民的居住水平和生活环境质量，促进生活配套等各方面设施的完善。注重以人为本，生态优化，综合效益和社会文明的融合，给市民创造了一个良好的工作环境和生活空间。项目的实施对所在小区居民生活水平和生活质量的影响是正面的，为人民群众创造了健康的生活环境，提升人民幸福感，提高群众满意度是明显的。</w:t>
      </w:r>
    </w:p>
    <w:p>
      <w:pPr>
        <w:adjustRightInd w:val="0"/>
        <w:snapToGrid w:val="0"/>
        <w:spacing w:line="580" w:lineRule="exact"/>
        <w:ind w:firstLine="640" w:firstLineChars="200"/>
        <w:rPr>
          <w:rFonts w:ascii="黑体" w:hAnsi="宋体" w:eastAsia="黑体"/>
          <w:sz w:val="32"/>
          <w:szCs w:val="32"/>
          <w:lang w:val="zh-CN"/>
        </w:rPr>
      </w:pPr>
      <w:r>
        <w:rPr>
          <w:rFonts w:hint="eastAsia" w:ascii="黑体" w:hAnsi="宋体" w:eastAsia="黑体"/>
          <w:sz w:val="32"/>
          <w:szCs w:val="32"/>
          <w:lang w:val="zh-CN"/>
        </w:rPr>
        <w:t>五、评价结论及建议</w:t>
      </w:r>
    </w:p>
    <w:p>
      <w:pPr>
        <w:adjustRightInd w:val="0"/>
        <w:snapToGrid w:val="0"/>
        <w:spacing w:line="580" w:lineRule="exact"/>
        <w:ind w:firstLine="642" w:firstLineChars="200"/>
        <w:rPr>
          <w:rFonts w:ascii="黑体" w:hAnsi="宋体" w:eastAsia="黑体"/>
          <w:sz w:val="32"/>
          <w:szCs w:val="32"/>
          <w:lang w:val="zh-CN"/>
        </w:rPr>
      </w:pPr>
      <w:r>
        <w:rPr>
          <w:rFonts w:hint="eastAsia" w:ascii="楷体_GB2312" w:hAnsi="宋体" w:eastAsia="楷体_GB2312"/>
          <w:b/>
          <w:sz w:val="32"/>
          <w:szCs w:val="32"/>
          <w:lang w:val="zh-CN"/>
        </w:rPr>
        <w:t>（一）评价结论。</w:t>
      </w:r>
    </w:p>
    <w:p>
      <w:pPr>
        <w:adjustRightInd w:val="0"/>
        <w:snapToGrid w:val="0"/>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实际完成率、完成及时率均达到或超过绩效目标，质量达标率良好，产出成本可控，项目管理工作规范，社会效益良好，项目可持续性强。评价级别为“优”。</w:t>
      </w:r>
    </w:p>
    <w:p>
      <w:pPr>
        <w:adjustRightInd w:val="0"/>
        <w:snapToGrid w:val="0"/>
        <w:spacing w:line="58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仿宋_GB2312" w:hAnsi="宋体" w:eastAsia="仿宋_GB2312"/>
          <w:sz w:val="32"/>
          <w:szCs w:val="32"/>
          <w:lang w:val="zh-CN"/>
        </w:rPr>
        <w:t>无</w:t>
      </w:r>
    </w:p>
    <w:p>
      <w:pPr>
        <w:adjustRightInd w:val="0"/>
        <w:snapToGrid w:val="0"/>
        <w:spacing w:line="58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tbl>
      <w:tblPr>
        <w:tblStyle w:val="13"/>
        <w:tblW w:w="10269" w:type="dxa"/>
        <w:jc w:val="center"/>
        <w:tblLayout w:type="autofit"/>
        <w:tblCellMar>
          <w:top w:w="0" w:type="dxa"/>
          <w:left w:w="108" w:type="dxa"/>
          <w:bottom w:w="0" w:type="dxa"/>
          <w:right w:w="108" w:type="dxa"/>
        </w:tblCellMar>
      </w:tblPr>
      <w:tblGrid>
        <w:gridCol w:w="1080"/>
        <w:gridCol w:w="1140"/>
        <w:gridCol w:w="640"/>
        <w:gridCol w:w="2080"/>
        <w:gridCol w:w="2860"/>
        <w:gridCol w:w="2469"/>
      </w:tblGrid>
      <w:tr>
        <w:tblPrEx>
          <w:tblCellMar>
            <w:top w:w="0" w:type="dxa"/>
            <w:left w:w="108" w:type="dxa"/>
            <w:bottom w:w="0" w:type="dxa"/>
            <w:right w:w="108" w:type="dxa"/>
          </w:tblCellMar>
        </w:tblPrEx>
        <w:trPr>
          <w:trHeight w:val="405" w:hRule="atLeast"/>
          <w:jc w:val="center"/>
        </w:trPr>
        <w:tc>
          <w:tcPr>
            <w:tcW w:w="10269"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10269" w:type="dxa"/>
            <w:gridSpan w:val="6"/>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405" w:hRule="atLeast"/>
          <w:jc w:val="center"/>
        </w:trPr>
        <w:tc>
          <w:tcPr>
            <w:tcW w:w="28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740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安置房维修维护及管理</w:t>
            </w:r>
          </w:p>
        </w:tc>
      </w:tr>
      <w:tr>
        <w:tblPrEx>
          <w:tblCellMar>
            <w:top w:w="0" w:type="dxa"/>
            <w:left w:w="108" w:type="dxa"/>
            <w:bottom w:w="0" w:type="dxa"/>
            <w:right w:w="108" w:type="dxa"/>
          </w:tblCellMar>
        </w:tblPrEx>
        <w:trPr>
          <w:trHeight w:val="480" w:hRule="atLeast"/>
          <w:jc w:val="center"/>
        </w:trPr>
        <w:tc>
          <w:tcPr>
            <w:tcW w:w="28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740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412"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1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08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839.89万元</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执行数：</w:t>
            </w:r>
          </w:p>
        </w:tc>
        <w:tc>
          <w:tcPr>
            <w:tcW w:w="24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839.59万元</w:t>
            </w:r>
          </w:p>
        </w:tc>
      </w:tr>
      <w:tr>
        <w:tblPrEx>
          <w:tblCellMar>
            <w:top w:w="0" w:type="dxa"/>
            <w:left w:w="108" w:type="dxa"/>
            <w:bottom w:w="0" w:type="dxa"/>
            <w:right w:w="108" w:type="dxa"/>
          </w:tblCellMar>
        </w:tblPrEx>
        <w:trPr>
          <w:trHeight w:val="448"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08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839.89万元</w:t>
            </w:r>
          </w:p>
        </w:tc>
        <w:tc>
          <w:tcPr>
            <w:tcW w:w="28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其中：财政拨款</w:t>
            </w:r>
          </w:p>
        </w:tc>
        <w:tc>
          <w:tcPr>
            <w:tcW w:w="24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839.59万元</w:t>
            </w:r>
          </w:p>
        </w:tc>
      </w:tr>
      <w:tr>
        <w:tblPrEx>
          <w:tblCellMar>
            <w:top w:w="0" w:type="dxa"/>
            <w:left w:w="108" w:type="dxa"/>
            <w:bottom w:w="0" w:type="dxa"/>
            <w:right w:w="108" w:type="dxa"/>
          </w:tblCellMar>
        </w:tblPrEx>
        <w:trPr>
          <w:trHeight w:val="397"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08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8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246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33"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38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532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76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8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对安置房小区进行零星维修</w:t>
            </w:r>
          </w:p>
        </w:tc>
        <w:tc>
          <w:tcPr>
            <w:tcW w:w="532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对安置房小区进行零星维修</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4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225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安置房维修维护及管理项目包含剑南街道、紫岩街道、新市镇、孝德镇的28小区，共有住宅10996套，建筑总面积约 1007406.58平方米，该项目主要对安置房小区进行零星维修。</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安置房维修维护及管理项目包含剑南街道、紫岩街道、新市镇、孝德镇的28小区，共有住宅10996套，建筑总面积约 1007406.58平方米，该项目主要对安置房小区进行零星维修。</w:t>
            </w:r>
          </w:p>
        </w:tc>
        <w:tc>
          <w:tcPr>
            <w:tcW w:w="24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已完成2021年所有报修的工程</w:t>
            </w:r>
          </w:p>
        </w:tc>
      </w:tr>
      <w:tr>
        <w:tblPrEx>
          <w:tblCellMar>
            <w:top w:w="0" w:type="dxa"/>
            <w:left w:w="108" w:type="dxa"/>
            <w:bottom w:w="0" w:type="dxa"/>
            <w:right w:w="108" w:type="dxa"/>
          </w:tblCellMar>
        </w:tblPrEx>
        <w:trPr>
          <w:trHeight w:val="94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按照《建设工程质量管理条例》执行，施工质量达到合格要求</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按照《建设工程质量管理条例》执行，施工质量达到合格要求</w:t>
            </w:r>
          </w:p>
        </w:tc>
        <w:tc>
          <w:tcPr>
            <w:tcW w:w="24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合格率≧95</w:t>
            </w:r>
          </w:p>
        </w:tc>
      </w:tr>
      <w:tr>
        <w:tblPrEx>
          <w:tblCellMar>
            <w:top w:w="0" w:type="dxa"/>
            <w:left w:w="108" w:type="dxa"/>
            <w:bottom w:w="0" w:type="dxa"/>
            <w:right w:w="108" w:type="dxa"/>
          </w:tblCellMar>
        </w:tblPrEx>
        <w:trPr>
          <w:trHeight w:val="58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08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完成时间</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完成2021年零星维修工程</w:t>
            </w:r>
          </w:p>
        </w:tc>
        <w:tc>
          <w:tcPr>
            <w:tcW w:w="24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完成2021年零星维修工程</w:t>
            </w:r>
          </w:p>
        </w:tc>
      </w:tr>
      <w:tr>
        <w:tblPrEx>
          <w:tblCellMar>
            <w:top w:w="0" w:type="dxa"/>
            <w:left w:w="108" w:type="dxa"/>
            <w:bottom w:w="0" w:type="dxa"/>
            <w:right w:w="108" w:type="dxa"/>
          </w:tblCellMar>
        </w:tblPrEx>
        <w:trPr>
          <w:trHeight w:val="91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支付金陵和园和茶盘街零星维修项目维修费</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≤839.89万元</w:t>
            </w:r>
          </w:p>
        </w:tc>
        <w:tc>
          <w:tcPr>
            <w:tcW w:w="24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已支付839.59万元</w:t>
            </w:r>
          </w:p>
        </w:tc>
      </w:tr>
      <w:tr>
        <w:tblPrEx>
          <w:tblCellMar>
            <w:top w:w="0" w:type="dxa"/>
            <w:left w:w="108" w:type="dxa"/>
            <w:bottom w:w="0" w:type="dxa"/>
            <w:right w:w="108" w:type="dxa"/>
          </w:tblCellMar>
        </w:tblPrEx>
        <w:trPr>
          <w:trHeight w:val="118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该项目的实施提升人民幸福感，提高群众满意度是明显的。</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c>
          <w:tcPr>
            <w:tcW w:w="24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r>
      <w:tr>
        <w:tblPrEx>
          <w:tblCellMar>
            <w:top w:w="0" w:type="dxa"/>
            <w:left w:w="108" w:type="dxa"/>
            <w:bottom w:w="0" w:type="dxa"/>
            <w:right w:w="108" w:type="dxa"/>
          </w:tblCellMar>
        </w:tblPrEx>
        <w:trPr>
          <w:trHeight w:val="79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安置户满意度</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4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lang w:val="zh-CN"/>
        </w:rPr>
      </w:pPr>
    </w:p>
    <w:p>
      <w:pPr>
        <w:spacing w:line="580" w:lineRule="exact"/>
        <w:jc w:val="center"/>
        <w:rPr>
          <w:rFonts w:ascii="仿宋_GB2312" w:hAnsi="宋体"/>
          <w:kern w:val="0"/>
          <w:sz w:val="28"/>
          <w:szCs w:val="21"/>
        </w:rPr>
      </w:pPr>
      <w:r>
        <w:rPr>
          <w:rFonts w:hint="eastAsia" w:ascii="微软雅黑" w:hAnsi="微软雅黑" w:eastAsia="微软雅黑" w:cs="微软雅黑"/>
          <w:kern w:val="0"/>
          <w:sz w:val="44"/>
          <w:szCs w:val="44"/>
        </w:rPr>
        <w:t>项目支出绩效自评报告</w:t>
      </w:r>
    </w:p>
    <w:p>
      <w:pPr>
        <w:spacing w:line="580" w:lineRule="exact"/>
        <w:jc w:val="center"/>
        <w:rPr>
          <w:rFonts w:ascii="仿宋" w:hAnsi="仿宋" w:eastAsia="仿宋" w:cs="仿宋"/>
          <w:sz w:val="32"/>
          <w:szCs w:val="32"/>
        </w:rPr>
      </w:pPr>
      <w:r>
        <w:rPr>
          <w:rFonts w:hint="eastAsia" w:ascii="仿宋" w:hAnsi="仿宋" w:eastAsia="仿宋" w:cs="仿宋"/>
          <w:sz w:val="32"/>
          <w:szCs w:val="32"/>
        </w:rPr>
        <w:t>（金陵和园空置房源物业管理服务费）</w:t>
      </w:r>
    </w:p>
    <w:p>
      <w:pPr>
        <w:spacing w:line="580" w:lineRule="exact"/>
        <w:ind w:firstLine="640"/>
        <w:jc w:val="center"/>
        <w:rPr>
          <w:rFonts w:hint="eastAsia" w:ascii="宋体" w:hAnsi="??"/>
          <w:sz w:val="32"/>
          <w:szCs w:val="32"/>
        </w:rPr>
      </w:pPr>
    </w:p>
    <w:p>
      <w:pPr>
        <w:adjustRightInd w:val="0"/>
        <w:snapToGrid w:val="0"/>
        <w:spacing w:line="520" w:lineRule="exact"/>
        <w:ind w:firstLine="642" w:firstLineChars="200"/>
        <w:rPr>
          <w:rFonts w:hint="eastAsia" w:ascii="宋体" w:hAnsi="??"/>
          <w:b/>
          <w:bCs/>
          <w:sz w:val="32"/>
          <w:szCs w:val="32"/>
        </w:rPr>
      </w:pPr>
      <w:r>
        <w:rPr>
          <w:rFonts w:hint="eastAsia" w:ascii="宋体" w:hAnsi="??"/>
          <w:b/>
          <w:bCs/>
          <w:sz w:val="32"/>
          <w:szCs w:val="32"/>
        </w:rPr>
        <w:t>一、项目概况</w:t>
      </w:r>
    </w:p>
    <w:p>
      <w:pPr>
        <w:adjustRightInd w:val="0"/>
        <w:snapToGrid w:val="0"/>
        <w:spacing w:line="520" w:lineRule="exact"/>
        <w:ind w:left="640"/>
        <w:rPr>
          <w:rFonts w:ascii="方正仿宋_GB18030" w:hAnsi="方正仿宋_GB18030" w:eastAsia="方正仿宋_GB18030" w:cs="方正仿宋_GB18030"/>
          <w:bCs/>
          <w:sz w:val="32"/>
          <w:szCs w:val="32"/>
        </w:rPr>
      </w:pPr>
      <w:r>
        <w:rPr>
          <w:rFonts w:hint="eastAsia" w:ascii="方正仿宋_GB18030" w:hAnsi="方正仿宋_GB18030" w:eastAsia="方正仿宋_GB18030" w:cs="方正仿宋_GB18030"/>
          <w:bCs/>
          <w:sz w:val="32"/>
          <w:szCs w:val="32"/>
        </w:rPr>
        <w:t>（一）项目基本情况。</w:t>
      </w:r>
    </w:p>
    <w:p>
      <w:pPr>
        <w:adjustRightInd w:val="0"/>
        <w:snapToGrid w:val="0"/>
        <w:spacing w:line="520" w:lineRule="exact"/>
        <w:ind w:left="640"/>
        <w:rPr>
          <w:rFonts w:ascii="方正仿宋_GB18030" w:hAnsi="方正仿宋_GB18030" w:eastAsia="方正仿宋_GB18030" w:cs="方正仿宋_GB18030"/>
          <w:b/>
          <w:bCs/>
          <w:sz w:val="32"/>
          <w:szCs w:val="32"/>
        </w:rPr>
      </w:pPr>
      <w:r>
        <w:rPr>
          <w:rFonts w:hint="eastAsia" w:ascii="仿宋" w:hAnsi="仿宋" w:eastAsia="仿宋" w:cs="仿宋"/>
          <w:sz w:val="32"/>
          <w:szCs w:val="32"/>
        </w:rPr>
        <w:t>该项目属2021</w:t>
      </w:r>
      <w:r>
        <w:rPr>
          <w:rFonts w:hint="eastAsia" w:ascii="仿宋" w:hAnsi="仿宋" w:eastAsia="仿宋" w:cs="仿宋"/>
          <w:sz w:val="32"/>
          <w:szCs w:val="32"/>
          <w:lang w:eastAsia="zh-CN"/>
        </w:rPr>
        <w:t>—</w:t>
      </w:r>
      <w:r>
        <w:rPr>
          <w:rFonts w:hint="eastAsia" w:ascii="仿宋" w:hAnsi="仿宋" w:eastAsia="仿宋" w:cs="仿宋"/>
          <w:sz w:val="32"/>
          <w:szCs w:val="32"/>
        </w:rPr>
        <w:t>2023年市级部门预算经常性项目民生类。</w:t>
      </w:r>
    </w:p>
    <w:p>
      <w:pPr>
        <w:adjustRightInd w:val="0"/>
        <w:snapToGrid w:val="0"/>
        <w:spacing w:line="520" w:lineRule="exact"/>
        <w:ind w:left="641"/>
        <w:rPr>
          <w:rFonts w:ascii="方正仿宋_GB18030" w:hAnsi="方正仿宋_GB18030" w:eastAsia="方正仿宋_GB18030" w:cs="方正仿宋_GB18030"/>
          <w:bCs/>
          <w:sz w:val="32"/>
          <w:szCs w:val="32"/>
        </w:rPr>
      </w:pPr>
      <w:r>
        <w:rPr>
          <w:rFonts w:hint="eastAsia" w:ascii="方正仿宋_GB18030" w:hAnsi="方正仿宋_GB18030" w:eastAsia="方正仿宋_GB18030" w:cs="方正仿宋_GB18030"/>
          <w:bCs/>
          <w:sz w:val="32"/>
          <w:szCs w:val="32"/>
        </w:rPr>
        <w:t>（二）项目绩效目标。</w:t>
      </w:r>
    </w:p>
    <w:p>
      <w:pPr>
        <w:adjustRightInd w:val="0"/>
        <w:snapToGrid w:val="0"/>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金陵和园空置房源有253套，总建筑面积22074.85㎡，聘请绵竹市仟坤物业管理公司对其进行日常管理。金陵和园空置房源物业管理服务费项目的申报内容与具体实施内容相符，申报目标总体合理。</w:t>
      </w:r>
    </w:p>
    <w:p>
      <w:pPr>
        <w:adjustRightInd w:val="0"/>
        <w:snapToGrid w:val="0"/>
        <w:spacing w:line="520" w:lineRule="exact"/>
        <w:ind w:left="640"/>
        <w:rPr>
          <w:rFonts w:ascii="方正仿宋_GB18030" w:hAnsi="方正仿宋_GB18030" w:eastAsia="方正仿宋_GB18030" w:cs="方正仿宋_GB18030"/>
          <w:bCs/>
          <w:sz w:val="32"/>
          <w:szCs w:val="32"/>
        </w:rPr>
      </w:pPr>
      <w:r>
        <w:rPr>
          <w:rFonts w:hint="eastAsia" w:ascii="方正仿宋_GB18030" w:hAnsi="方正仿宋_GB18030" w:eastAsia="方正仿宋_GB18030" w:cs="方正仿宋_GB18030"/>
          <w:bCs/>
          <w:sz w:val="32"/>
          <w:szCs w:val="32"/>
        </w:rPr>
        <w:t>（三）项目自评步骤及方法。</w:t>
      </w:r>
    </w:p>
    <w:p>
      <w:pPr>
        <w:adjustRightInd w:val="0"/>
        <w:snapToGrid w:val="0"/>
        <w:spacing w:line="520" w:lineRule="exact"/>
        <w:ind w:firstLine="720"/>
        <w:rPr>
          <w:rFonts w:ascii="仿宋" w:hAnsi="仿宋" w:eastAsia="仿宋" w:cs="仿宋"/>
          <w:b/>
          <w:bCs/>
          <w:sz w:val="32"/>
          <w:szCs w:val="32"/>
        </w:rPr>
      </w:pPr>
      <w:r>
        <w:rPr>
          <w:rFonts w:hint="eastAsia" w:ascii="仿宋" w:hAnsi="仿宋" w:eastAsia="仿宋" w:cs="仿宋"/>
          <w:sz w:val="32"/>
          <w:szCs w:val="32"/>
          <w:lang w:val="zh-CN"/>
        </w:rPr>
        <w:t>由我局开展财政资金使用情况自评并撰写部门预算支出绩效报告，按规范格式按时提交自评报告。</w:t>
      </w:r>
    </w:p>
    <w:p>
      <w:pPr>
        <w:adjustRightInd w:val="0"/>
        <w:snapToGrid w:val="0"/>
        <w:spacing w:line="520" w:lineRule="exact"/>
        <w:rPr>
          <w:rFonts w:ascii="仿宋" w:hAnsi="仿宋" w:eastAsia="仿宋" w:cs="仿宋"/>
          <w:b/>
          <w:bCs/>
          <w:sz w:val="32"/>
          <w:szCs w:val="32"/>
        </w:rPr>
      </w:pPr>
      <w:r>
        <w:rPr>
          <w:rFonts w:hint="eastAsia" w:ascii="仿宋" w:hAnsi="仿宋" w:eastAsia="仿宋" w:cs="仿宋"/>
          <w:b/>
          <w:bCs/>
          <w:sz w:val="32"/>
          <w:szCs w:val="32"/>
        </w:rPr>
        <w:t xml:space="preserve">  </w:t>
      </w:r>
      <w:r>
        <w:rPr>
          <w:rFonts w:hint="eastAsia" w:ascii="宋体" w:hAnsi="??"/>
          <w:sz w:val="32"/>
          <w:szCs w:val="32"/>
        </w:rPr>
        <w:t xml:space="preserve"> </w:t>
      </w:r>
      <w:r>
        <w:rPr>
          <w:rFonts w:hint="eastAsia" w:ascii="宋体" w:hAnsi="??"/>
          <w:b/>
          <w:bCs/>
          <w:sz w:val="32"/>
          <w:szCs w:val="32"/>
        </w:rPr>
        <w:t xml:space="preserve">  二、项目资金申报及使用情况</w:t>
      </w:r>
    </w:p>
    <w:p>
      <w:pPr>
        <w:adjustRightInd w:val="0"/>
        <w:snapToGrid w:val="0"/>
        <w:spacing w:line="52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2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 xml:space="preserve">根据资金文号：年初住建（2021）11号，年初正式指标下达资金8万元，因年底不能完全形成支出，按竹财资环减（2021）55号-5号文件指标追减1016.64元，按竹财资环减（2021）35号文件指标追减9000.00元。 </w:t>
      </w:r>
    </w:p>
    <w:p>
      <w:pPr>
        <w:adjustRightInd w:val="0"/>
        <w:snapToGrid w:val="0"/>
        <w:spacing w:line="520" w:lineRule="exact"/>
        <w:rPr>
          <w:rFonts w:ascii="楷体_GB2312" w:hAnsi="宋体" w:eastAsia="楷体_GB2312"/>
          <w:b/>
          <w:sz w:val="32"/>
          <w:szCs w:val="32"/>
          <w:lang w:val="zh-CN"/>
        </w:rPr>
      </w:pPr>
      <w:r>
        <w:rPr>
          <w:rFonts w:ascii="仿宋_GB2312" w:hAnsi="宋体" w:eastAsia="仿宋_GB2312"/>
          <w:sz w:val="32"/>
          <w:szCs w:val="32"/>
          <w:lang w:val="zh-CN"/>
        </w:rPr>
        <w:tab/>
      </w:r>
      <w:r>
        <w:rPr>
          <w:rFonts w:hint="eastAsia" w:ascii="楷体_GB2312" w:hAnsi="宋体" w:eastAsia="楷体_GB2312"/>
          <w:b/>
          <w:sz w:val="32"/>
          <w:szCs w:val="32"/>
          <w:lang w:val="zh-CN"/>
        </w:rPr>
        <w:t>（二）资金计划、到位及使用情况。</w:t>
      </w:r>
    </w:p>
    <w:p>
      <w:pPr>
        <w:adjustRightInd w:val="0"/>
        <w:snapToGrid w:val="0"/>
        <w:spacing w:line="520" w:lineRule="exact"/>
        <w:ind w:firstLine="720"/>
        <w:rPr>
          <w:rFonts w:ascii="方正仿宋简体" w:hAnsi="方正仿宋简体" w:eastAsia="方正仿宋简体" w:cs="方正仿宋简体"/>
          <w:sz w:val="32"/>
          <w:szCs w:val="32"/>
          <w:lang w:val="zh-CN"/>
        </w:rPr>
      </w:pPr>
      <w:r>
        <w:rPr>
          <w:rFonts w:ascii="仿宋" w:hAnsi="仿宋" w:eastAsia="仿宋" w:cs="仿宋"/>
          <w:sz w:val="32"/>
          <w:szCs w:val="32"/>
          <w:lang w:val="zh-CN"/>
        </w:rPr>
        <w:t>1</w:t>
      </w:r>
      <w:r>
        <w:rPr>
          <w:rFonts w:hint="eastAsia" w:ascii="仿宋" w:hAnsi="仿宋" w:eastAsia="仿宋" w:cs="仿宋"/>
          <w:sz w:val="32"/>
          <w:szCs w:val="32"/>
          <w:lang w:val="zh-CN"/>
        </w:rPr>
        <w:t>．资金计划及到位。该项目资金预算指标为办公经费，年初指标在2021年3月到位，以上资金预算指标全部及时到位，到位率100%。</w:t>
      </w:r>
    </w:p>
    <w:p>
      <w:pPr>
        <w:adjustRightInd w:val="0"/>
        <w:snapToGrid w:val="0"/>
        <w:spacing w:line="520" w:lineRule="exact"/>
        <w:ind w:firstLine="720"/>
        <w:rPr>
          <w:rFonts w:ascii="仿宋" w:hAnsi="仿宋" w:eastAsia="仿宋" w:cs="仿宋"/>
          <w:sz w:val="32"/>
          <w:szCs w:val="32"/>
          <w:lang w:val="zh-CN"/>
        </w:rPr>
      </w:pPr>
      <w:r>
        <w:rPr>
          <w:rFonts w:ascii="仿宋" w:hAnsi="仿宋" w:eastAsia="仿宋" w:cs="仿宋"/>
          <w:sz w:val="32"/>
          <w:szCs w:val="32"/>
          <w:lang w:val="zh-CN"/>
        </w:rPr>
        <w:t>2</w:t>
      </w:r>
      <w:r>
        <w:rPr>
          <w:rFonts w:hint="eastAsia" w:ascii="仿宋" w:hAnsi="仿宋" w:eastAsia="仿宋" w:cs="仿宋"/>
          <w:sz w:val="32"/>
          <w:szCs w:val="32"/>
          <w:lang w:val="zh-CN"/>
        </w:rPr>
        <w:t>．资金使用。</w:t>
      </w:r>
    </w:p>
    <w:p>
      <w:pPr>
        <w:adjustRightInd w:val="0"/>
        <w:snapToGrid w:val="0"/>
        <w:spacing w:line="520" w:lineRule="exact"/>
        <w:ind w:firstLine="720"/>
        <w:rPr>
          <w:rFonts w:ascii="仿宋" w:hAnsi="仿宋" w:eastAsia="仿宋" w:cs="仿宋"/>
          <w:sz w:val="32"/>
          <w:szCs w:val="32"/>
          <w:lang w:val="zh-CN"/>
        </w:rPr>
      </w:pPr>
      <w:r>
        <w:rPr>
          <w:rFonts w:hint="eastAsia" w:ascii="仿宋" w:hAnsi="仿宋" w:eastAsia="仿宋" w:cs="仿宋"/>
          <w:sz w:val="32"/>
          <w:szCs w:val="32"/>
          <w:lang w:val="zh-CN"/>
        </w:rPr>
        <w:t>截至2021年底金陵和园空置房源物业管理服务费共使用69983.60元，费用支付具体情况、资金开支范围、标准及支付进度，全部用于该项目办公经费的支付，支付标准及依据合规合法，资金支付与预算完全相符。</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20" w:lineRule="exact"/>
        <w:ind w:firstLine="720"/>
        <w:rPr>
          <w:rFonts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520" w:lineRule="exact"/>
        <w:ind w:firstLine="720"/>
        <w:rPr>
          <w:rFonts w:ascii="黑体" w:hAnsi="宋体" w:eastAsia="黑体"/>
          <w:sz w:val="32"/>
          <w:szCs w:val="32"/>
          <w:lang w:val="zh-CN"/>
        </w:rPr>
      </w:pPr>
      <w:r>
        <w:rPr>
          <w:rFonts w:hint="eastAsia" w:ascii="黑体" w:hAnsi="宋体" w:eastAsia="黑体"/>
          <w:sz w:val="32"/>
          <w:szCs w:val="32"/>
          <w:lang w:val="zh-CN"/>
        </w:rPr>
        <w:t>三、项目实施及管理情况</w:t>
      </w:r>
    </w:p>
    <w:p>
      <w:pPr>
        <w:adjustRightInd w:val="0"/>
        <w:snapToGrid w:val="0"/>
        <w:spacing w:line="520" w:lineRule="exact"/>
        <w:ind w:firstLine="720"/>
        <w:rPr>
          <w:rFonts w:ascii="仿宋" w:hAnsi="仿宋" w:eastAsia="仿宋" w:cs="仿宋"/>
          <w:sz w:val="32"/>
          <w:szCs w:val="32"/>
          <w:lang w:val="zh-CN"/>
        </w:rPr>
      </w:pPr>
      <w:r>
        <w:rPr>
          <w:rFonts w:hint="eastAsia" w:ascii="仿宋" w:hAnsi="仿宋" w:eastAsia="仿宋" w:cs="仿宋"/>
          <w:sz w:val="32"/>
          <w:szCs w:val="32"/>
          <w:lang w:val="zh-CN"/>
        </w:rPr>
        <w:t>该项目由绵竹市国有土地上房屋征收与补偿中心作为项目实施单位，定期对该项目进行安全检查。</w:t>
      </w:r>
    </w:p>
    <w:p>
      <w:pPr>
        <w:adjustRightInd w:val="0"/>
        <w:snapToGrid w:val="0"/>
        <w:spacing w:line="52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20" w:lineRule="exact"/>
        <w:ind w:firstLine="720"/>
        <w:rPr>
          <w:rFonts w:ascii="仿宋" w:hAnsi="仿宋" w:eastAsia="仿宋" w:cs="仿宋"/>
          <w:sz w:val="32"/>
          <w:szCs w:val="32"/>
          <w:lang w:val="zh-CN"/>
        </w:rPr>
      </w:pPr>
      <w:r>
        <w:rPr>
          <w:rFonts w:hint="eastAsia" w:ascii="仿宋" w:hAnsi="仿宋" w:eastAsia="仿宋" w:cs="仿宋"/>
          <w:sz w:val="32"/>
          <w:szCs w:val="32"/>
          <w:lang w:val="zh-CN"/>
        </w:rPr>
        <w:t>截至2021年12月底，已完成绩效目标。</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20" w:lineRule="exact"/>
        <w:ind w:firstLine="720"/>
        <w:rPr>
          <w:rFonts w:ascii="仿宋" w:hAnsi="仿宋" w:eastAsia="仿宋" w:cs="仿宋"/>
          <w:sz w:val="32"/>
          <w:szCs w:val="32"/>
          <w:lang w:val="zh-CN"/>
        </w:rPr>
      </w:pPr>
      <w:r>
        <w:rPr>
          <w:rFonts w:hint="eastAsia" w:ascii="仿宋" w:hAnsi="仿宋" w:eastAsia="仿宋" w:cs="仿宋"/>
          <w:sz w:val="32"/>
          <w:szCs w:val="32"/>
          <w:lang w:val="zh-CN"/>
        </w:rPr>
        <w:t>该项目的实施使空置房源得到有效管理。</w:t>
      </w:r>
    </w:p>
    <w:p>
      <w:pPr>
        <w:adjustRightInd w:val="0"/>
        <w:snapToGrid w:val="0"/>
        <w:spacing w:line="520" w:lineRule="exact"/>
        <w:ind w:firstLine="640" w:firstLineChars="200"/>
        <w:rPr>
          <w:rFonts w:ascii="黑体" w:hAnsi="宋体" w:eastAsia="黑体"/>
          <w:sz w:val="32"/>
          <w:szCs w:val="32"/>
        </w:rPr>
      </w:pPr>
      <w:r>
        <w:rPr>
          <w:rFonts w:hint="eastAsia" w:ascii="黑体" w:hAnsi="宋体" w:eastAsia="黑体"/>
          <w:sz w:val="32"/>
          <w:szCs w:val="32"/>
        </w:rPr>
        <w:t>五、问题及建议</w:t>
      </w:r>
    </w:p>
    <w:p>
      <w:pPr>
        <w:adjustRightInd w:val="0"/>
        <w:snapToGrid w:val="0"/>
        <w:spacing w:line="520" w:lineRule="exact"/>
        <w:ind w:firstLine="642" w:firstLineChars="200"/>
        <w:rPr>
          <w:rFonts w:ascii="楷体_GB2312" w:hAnsi="宋体" w:eastAsia="楷体_GB2312"/>
          <w:b/>
          <w:sz w:val="32"/>
          <w:szCs w:val="32"/>
        </w:rPr>
      </w:pPr>
      <w:r>
        <w:rPr>
          <w:rFonts w:hint="eastAsia" w:ascii="楷体_GB2312" w:hAnsi="宋体" w:eastAsia="楷体_GB2312"/>
          <w:b/>
          <w:sz w:val="32"/>
          <w:szCs w:val="32"/>
        </w:rPr>
        <w:t>（一）评价结论。</w:t>
      </w:r>
    </w:p>
    <w:p>
      <w:pPr>
        <w:adjustRightInd w:val="0"/>
        <w:snapToGrid w:val="0"/>
        <w:spacing w:line="520" w:lineRule="exact"/>
        <w:ind w:firstLine="720"/>
        <w:rPr>
          <w:rFonts w:ascii="仿宋" w:hAnsi="仿宋" w:eastAsia="仿宋" w:cs="仿宋"/>
          <w:sz w:val="32"/>
          <w:szCs w:val="32"/>
          <w:lang w:val="zh-CN"/>
        </w:rPr>
      </w:pPr>
      <w:r>
        <w:rPr>
          <w:rFonts w:hint="eastAsia" w:ascii="仿宋" w:hAnsi="仿宋" w:eastAsia="仿宋" w:cs="仿宋"/>
          <w:sz w:val="32"/>
          <w:szCs w:val="32"/>
          <w:lang w:val="zh-CN"/>
        </w:rPr>
        <w:t>实际完成率、完成及时率均达到或超过绩效目标，质量达标率良好，产出成本可控，项目管理工作规范，社会效益良好，项目可持续性强。评价级别为“优”。</w:t>
      </w:r>
    </w:p>
    <w:p>
      <w:pPr>
        <w:adjustRightInd w:val="0"/>
        <w:snapToGrid w:val="0"/>
        <w:spacing w:line="52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仿宋_GB2312" w:hAnsi="宋体" w:eastAsia="仿宋_GB2312"/>
          <w:sz w:val="32"/>
          <w:szCs w:val="32"/>
          <w:lang w:val="zh-CN"/>
        </w:rPr>
        <w:t>无</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tbl>
      <w:tblPr>
        <w:tblStyle w:val="13"/>
        <w:tblW w:w="9548" w:type="dxa"/>
        <w:jc w:val="center"/>
        <w:tblLayout w:type="autofit"/>
        <w:tblCellMar>
          <w:top w:w="0" w:type="dxa"/>
          <w:left w:w="108" w:type="dxa"/>
          <w:bottom w:w="0" w:type="dxa"/>
          <w:right w:w="108" w:type="dxa"/>
        </w:tblCellMar>
      </w:tblPr>
      <w:tblGrid>
        <w:gridCol w:w="751"/>
        <w:gridCol w:w="969"/>
        <w:gridCol w:w="1182"/>
        <w:gridCol w:w="1757"/>
        <w:gridCol w:w="2824"/>
        <w:gridCol w:w="2065"/>
      </w:tblGrid>
      <w:tr>
        <w:tblPrEx>
          <w:tblCellMar>
            <w:top w:w="0" w:type="dxa"/>
            <w:left w:w="108" w:type="dxa"/>
            <w:bottom w:w="0" w:type="dxa"/>
            <w:right w:w="108" w:type="dxa"/>
          </w:tblCellMar>
        </w:tblPrEx>
        <w:trPr>
          <w:trHeight w:val="405" w:hRule="atLeast"/>
          <w:jc w:val="center"/>
        </w:trPr>
        <w:tc>
          <w:tcPr>
            <w:tcW w:w="9548"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548" w:type="dxa"/>
            <w:gridSpan w:val="6"/>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435" w:hRule="atLeast"/>
          <w:jc w:val="center"/>
        </w:trPr>
        <w:tc>
          <w:tcPr>
            <w:tcW w:w="29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64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金陵和园空置房源物业管理费</w:t>
            </w:r>
          </w:p>
        </w:tc>
      </w:tr>
      <w:tr>
        <w:tblPrEx>
          <w:tblCellMar>
            <w:top w:w="0" w:type="dxa"/>
            <w:left w:w="108" w:type="dxa"/>
            <w:bottom w:w="0" w:type="dxa"/>
            <w:right w:w="108" w:type="dxa"/>
          </w:tblCellMar>
        </w:tblPrEx>
        <w:trPr>
          <w:trHeight w:val="435" w:hRule="atLeast"/>
          <w:jc w:val="center"/>
        </w:trPr>
        <w:tc>
          <w:tcPr>
            <w:tcW w:w="290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646"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330" w:hRule="atLeast"/>
          <w:jc w:val="center"/>
        </w:trPr>
        <w:tc>
          <w:tcPr>
            <w:tcW w:w="7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15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75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8万元</w:t>
            </w:r>
          </w:p>
        </w:tc>
        <w:tc>
          <w:tcPr>
            <w:tcW w:w="28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执行数：</w:t>
            </w:r>
          </w:p>
        </w:tc>
        <w:tc>
          <w:tcPr>
            <w:tcW w:w="2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6.99万元</w:t>
            </w:r>
          </w:p>
        </w:tc>
      </w:tr>
      <w:tr>
        <w:tblPrEx>
          <w:tblCellMar>
            <w:top w:w="0" w:type="dxa"/>
            <w:left w:w="108" w:type="dxa"/>
            <w:bottom w:w="0" w:type="dxa"/>
            <w:right w:w="108" w:type="dxa"/>
          </w:tblCellMar>
        </w:tblPrEx>
        <w:trPr>
          <w:trHeight w:val="450" w:hRule="atLeast"/>
          <w:jc w:val="center"/>
        </w:trPr>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51"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75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8万元</w:t>
            </w:r>
          </w:p>
        </w:tc>
        <w:tc>
          <w:tcPr>
            <w:tcW w:w="2824"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其中：财政拨款</w:t>
            </w:r>
          </w:p>
        </w:tc>
        <w:tc>
          <w:tcPr>
            <w:tcW w:w="2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6.99万元</w:t>
            </w:r>
          </w:p>
        </w:tc>
      </w:tr>
      <w:tr>
        <w:tblPrEx>
          <w:tblCellMar>
            <w:top w:w="0" w:type="dxa"/>
            <w:left w:w="108" w:type="dxa"/>
            <w:bottom w:w="0" w:type="dxa"/>
            <w:right w:w="108" w:type="dxa"/>
          </w:tblCellMar>
        </w:tblPrEx>
        <w:trPr>
          <w:trHeight w:val="623" w:hRule="atLeast"/>
          <w:jc w:val="center"/>
        </w:trPr>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51"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75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82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206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7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3908"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88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735" w:hRule="atLeast"/>
          <w:jc w:val="center"/>
        </w:trPr>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908"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用于支付民主巷安置房小区空置房源物业服务费</w:t>
            </w:r>
          </w:p>
        </w:tc>
        <w:tc>
          <w:tcPr>
            <w:tcW w:w="488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用于支付民主巷安置房小区空置房源物业服务费</w:t>
            </w:r>
          </w:p>
        </w:tc>
      </w:tr>
      <w:tr>
        <w:tblPrEx>
          <w:tblCellMar>
            <w:top w:w="0" w:type="dxa"/>
            <w:left w:w="108" w:type="dxa"/>
            <w:bottom w:w="0" w:type="dxa"/>
            <w:right w:w="108" w:type="dxa"/>
          </w:tblCellMar>
        </w:tblPrEx>
        <w:trPr>
          <w:trHeight w:val="645" w:hRule="atLeast"/>
          <w:jc w:val="center"/>
        </w:trPr>
        <w:tc>
          <w:tcPr>
            <w:tcW w:w="75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1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7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8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1785" w:hRule="atLeast"/>
          <w:jc w:val="center"/>
        </w:trPr>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69"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1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757" w:type="dxa"/>
            <w:tcBorders>
              <w:top w:val="single" w:color="auto" w:sz="4" w:space="0"/>
              <w:left w:val="nil"/>
              <w:bottom w:val="single" w:color="auto" w:sz="4" w:space="0"/>
              <w:right w:val="single" w:color="auto" w:sz="4" w:space="0"/>
            </w:tcBorders>
            <w:shd w:val="clear" w:color="auto" w:fill="auto"/>
          </w:tcPr>
          <w:p>
            <w:pPr>
              <w:widowControl/>
              <w:jc w:val="center"/>
              <w:rPr>
                <w:rFonts w:ascii="宋体" w:hAnsi="宋体" w:cs="宋体"/>
                <w:kern w:val="0"/>
                <w:sz w:val="20"/>
                <w:szCs w:val="20"/>
              </w:rPr>
            </w:pPr>
            <w:r>
              <w:rPr>
                <w:rFonts w:hint="eastAsia" w:ascii="宋体" w:hAnsi="宋体" w:cs="宋体"/>
                <w:kern w:val="0"/>
                <w:sz w:val="20"/>
                <w:szCs w:val="20"/>
              </w:rPr>
              <w:t>负责金陵和园剩余房源物业管理安保服务人员</w:t>
            </w:r>
            <w:r>
              <w:rPr>
                <w:rFonts w:hint="eastAsia" w:ascii="宋体" w:hAnsi="宋体" w:cs="宋体"/>
                <w:kern w:val="0"/>
                <w:sz w:val="20"/>
                <w:szCs w:val="20"/>
              </w:rPr>
              <w:br w:type="textWrapping"/>
            </w:r>
            <w:r>
              <w:rPr>
                <w:rFonts w:hint="eastAsia" w:ascii="宋体" w:hAnsi="宋体" w:cs="宋体"/>
                <w:kern w:val="0"/>
                <w:sz w:val="20"/>
                <w:szCs w:val="20"/>
              </w:rPr>
              <w:t>负责清洁卫生保洁工作人员</w:t>
            </w:r>
            <w:r>
              <w:rPr>
                <w:rFonts w:hint="eastAsia" w:ascii="宋体" w:hAnsi="宋体" w:cs="宋体"/>
                <w:kern w:val="0"/>
                <w:sz w:val="20"/>
                <w:szCs w:val="20"/>
              </w:rPr>
              <w:br w:type="textWrapping"/>
            </w:r>
            <w:r>
              <w:rPr>
                <w:rFonts w:hint="eastAsia" w:ascii="宋体" w:hAnsi="宋体" w:cs="宋体"/>
                <w:kern w:val="0"/>
                <w:sz w:val="20"/>
                <w:szCs w:val="20"/>
              </w:rPr>
              <w:t>负责小区现场全面管理工作人员</w:t>
            </w:r>
          </w:p>
        </w:tc>
        <w:tc>
          <w:tcPr>
            <w:tcW w:w="28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金陵和园空置房源有253套，总建筑面积22074.85㎡，聘请绵竹市仟坤物业管理公司对其进行日常管理。</w:t>
            </w:r>
          </w:p>
        </w:tc>
        <w:tc>
          <w:tcPr>
            <w:tcW w:w="2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金陵和园空置房源有253套，总建筑面积22074.85㎡，聘请绵竹市仟坤物业管理公司对其进行日常管理。</w:t>
            </w:r>
          </w:p>
        </w:tc>
      </w:tr>
      <w:tr>
        <w:tblPrEx>
          <w:tblCellMar>
            <w:top w:w="0" w:type="dxa"/>
            <w:left w:w="108" w:type="dxa"/>
            <w:bottom w:w="0" w:type="dxa"/>
            <w:right w:w="108" w:type="dxa"/>
          </w:tblCellMar>
        </w:tblPrEx>
        <w:trPr>
          <w:trHeight w:val="885" w:hRule="atLeast"/>
          <w:jc w:val="center"/>
        </w:trPr>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75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按合同约定，完成物管管理</w:t>
            </w:r>
          </w:p>
        </w:tc>
        <w:tc>
          <w:tcPr>
            <w:tcW w:w="28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按合同约定，完成物管管理</w:t>
            </w:r>
          </w:p>
        </w:tc>
        <w:tc>
          <w:tcPr>
            <w:tcW w:w="2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已按合同约定，完成物管管理</w:t>
            </w:r>
          </w:p>
        </w:tc>
      </w:tr>
      <w:tr>
        <w:tblPrEx>
          <w:tblCellMar>
            <w:top w:w="0" w:type="dxa"/>
            <w:left w:w="108" w:type="dxa"/>
            <w:bottom w:w="0" w:type="dxa"/>
            <w:right w:w="108" w:type="dxa"/>
          </w:tblCellMar>
        </w:tblPrEx>
        <w:trPr>
          <w:trHeight w:val="795" w:hRule="atLeast"/>
          <w:jc w:val="center"/>
        </w:trPr>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757"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完成时间</w:t>
            </w:r>
          </w:p>
        </w:tc>
        <w:tc>
          <w:tcPr>
            <w:tcW w:w="28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已完成2021年民主巷安置房小区空置房源物业服务</w:t>
            </w:r>
          </w:p>
        </w:tc>
        <w:tc>
          <w:tcPr>
            <w:tcW w:w="2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已完成2021年民主巷安置房小区空置房源物业服务</w:t>
            </w:r>
          </w:p>
        </w:tc>
      </w:tr>
      <w:tr>
        <w:tblPrEx>
          <w:tblCellMar>
            <w:top w:w="0" w:type="dxa"/>
            <w:left w:w="108" w:type="dxa"/>
            <w:bottom w:w="0" w:type="dxa"/>
            <w:right w:w="108" w:type="dxa"/>
          </w:tblCellMar>
        </w:tblPrEx>
        <w:trPr>
          <w:trHeight w:val="870" w:hRule="atLeast"/>
          <w:jc w:val="center"/>
        </w:trPr>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6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1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7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支付金陵和园和茶盘街零星维修项目维修费</w:t>
            </w:r>
          </w:p>
        </w:tc>
        <w:tc>
          <w:tcPr>
            <w:tcW w:w="28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≤8万元</w:t>
            </w:r>
          </w:p>
        </w:tc>
        <w:tc>
          <w:tcPr>
            <w:tcW w:w="2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已支付6.99万元</w:t>
            </w:r>
          </w:p>
        </w:tc>
      </w:tr>
      <w:tr>
        <w:tblPrEx>
          <w:tblCellMar>
            <w:top w:w="0" w:type="dxa"/>
            <w:left w:w="108" w:type="dxa"/>
            <w:bottom w:w="0" w:type="dxa"/>
            <w:right w:w="108" w:type="dxa"/>
          </w:tblCellMar>
        </w:tblPrEx>
        <w:trPr>
          <w:trHeight w:val="1380" w:hRule="atLeast"/>
          <w:jc w:val="center"/>
        </w:trPr>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1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7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保证安置房小区房屋安全、环境整洁</w:t>
            </w:r>
          </w:p>
        </w:tc>
        <w:tc>
          <w:tcPr>
            <w:tcW w:w="28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c>
          <w:tcPr>
            <w:tcW w:w="2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r>
      <w:tr>
        <w:tblPrEx>
          <w:tblCellMar>
            <w:top w:w="0" w:type="dxa"/>
            <w:left w:w="108" w:type="dxa"/>
            <w:bottom w:w="0" w:type="dxa"/>
            <w:right w:w="108" w:type="dxa"/>
          </w:tblCellMar>
        </w:tblPrEx>
        <w:trPr>
          <w:trHeight w:val="1039" w:hRule="atLeast"/>
          <w:jc w:val="center"/>
        </w:trPr>
        <w:tc>
          <w:tcPr>
            <w:tcW w:w="7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6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1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75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安置户满意度</w:t>
            </w:r>
          </w:p>
        </w:tc>
        <w:tc>
          <w:tcPr>
            <w:tcW w:w="28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06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spacing w:line="580" w:lineRule="exact"/>
        <w:jc w:val="center"/>
        <w:rPr>
          <w:rFonts w:ascii="方正小标宋简体" w:hAnsi="宋体" w:eastAsia="方正小标宋简体"/>
          <w:kern w:val="0"/>
          <w:sz w:val="44"/>
          <w:szCs w:val="44"/>
        </w:rPr>
      </w:pPr>
      <w:r>
        <w:rPr>
          <w:rFonts w:hint="eastAsia" w:ascii="微软雅黑" w:hAnsi="微软雅黑" w:eastAsia="微软雅黑" w:cs="微软雅黑"/>
          <w:kern w:val="0"/>
          <w:sz w:val="44"/>
          <w:szCs w:val="44"/>
        </w:rPr>
        <w:t>项目支出绩效自评报告</w:t>
      </w:r>
    </w:p>
    <w:p>
      <w:pPr>
        <w:spacing w:line="580" w:lineRule="exact"/>
        <w:jc w:val="center"/>
        <w:rPr>
          <w:rFonts w:ascii="方正小标宋简体" w:hAnsi="宋体" w:eastAsia="方正小标宋简体"/>
          <w:kern w:val="0"/>
          <w:sz w:val="44"/>
          <w:szCs w:val="44"/>
        </w:rPr>
      </w:pPr>
      <w:r>
        <w:rPr>
          <w:rFonts w:hint="eastAsia" w:ascii="仿宋" w:hAnsi="仿宋" w:eastAsia="仿宋" w:cs="仿宋"/>
          <w:sz w:val="32"/>
          <w:szCs w:val="32"/>
        </w:rPr>
        <w:t>（绵竹市危旧房棚户区改造）</w:t>
      </w:r>
    </w:p>
    <w:p>
      <w:pPr>
        <w:spacing w:line="560" w:lineRule="exact"/>
        <w:rPr>
          <w:rFonts w:hint="eastAsia" w:ascii="宋体" w:hAnsi="??"/>
          <w:sz w:val="32"/>
          <w:szCs w:val="32"/>
        </w:rPr>
      </w:pPr>
    </w:p>
    <w:p>
      <w:pPr>
        <w:adjustRightInd w:val="0"/>
        <w:snapToGrid w:val="0"/>
        <w:spacing w:line="58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80" w:lineRule="exact"/>
        <w:ind w:left="641"/>
        <w:rPr>
          <w:rFonts w:ascii="楷体_GB2312" w:hAnsi="宋体" w:eastAsia="楷体_GB2312"/>
          <w:b/>
          <w:sz w:val="32"/>
          <w:szCs w:val="32"/>
        </w:rPr>
      </w:pPr>
      <w:r>
        <w:rPr>
          <w:rFonts w:hint="eastAsia" w:ascii="仿宋" w:hAnsi="仿宋" w:eastAsia="仿宋" w:cs="仿宋"/>
          <w:sz w:val="32"/>
          <w:szCs w:val="32"/>
        </w:rPr>
        <w:t>1、项目名称：绵竹市危旧房棚户区改造项目。</w:t>
      </w:r>
    </w:p>
    <w:p>
      <w:pPr>
        <w:adjustRightInd w:val="0"/>
        <w:snapToGrid w:val="0"/>
        <w:spacing w:line="580" w:lineRule="exact"/>
        <w:ind w:left="641"/>
        <w:rPr>
          <w:rFonts w:ascii="楷体_GB2312" w:hAnsi="宋体" w:eastAsia="楷体_GB2312"/>
          <w:b/>
          <w:sz w:val="32"/>
          <w:szCs w:val="32"/>
        </w:rPr>
      </w:pPr>
      <w:r>
        <w:rPr>
          <w:rFonts w:hint="eastAsia" w:ascii="仿宋" w:hAnsi="仿宋" w:eastAsia="仿宋" w:cs="仿宋"/>
          <w:sz w:val="32"/>
          <w:szCs w:val="32"/>
        </w:rPr>
        <w:t>2、建设地址：代家巷片区和小南街片区</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3、建设内容及规模：拟新建总建筑面积72682.2平方米，其中：住宅61603.8平方米，配套商业5556.1平方米，公共配套及地下车库5522.3平方米。围墙、绿化、天然气、供电、有线电视、通讯、监控、供水、排水等基础设施配套工程。</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rPr>
        <w:t>4、资金来源：公司和地方政府自筹20198.72万元及申请国家开发银行中长期贷款40000万元。</w:t>
      </w:r>
    </w:p>
    <w:p>
      <w:pPr>
        <w:adjustRightInd w:val="0"/>
        <w:snapToGrid w:val="0"/>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80" w:lineRule="exact"/>
        <w:ind w:firstLine="640" w:firstLineChars="200"/>
        <w:rPr>
          <w:rFonts w:ascii="楷体_GB2312" w:hAnsi="宋体" w:eastAsia="楷体_GB2312"/>
          <w:b/>
          <w:sz w:val="32"/>
          <w:szCs w:val="32"/>
          <w:lang w:val="zh-CN"/>
        </w:rPr>
      </w:pPr>
      <w:r>
        <w:rPr>
          <w:rFonts w:hint="eastAsia" w:ascii="仿宋" w:hAnsi="仿宋" w:eastAsia="仿宋" w:cs="仿宋"/>
          <w:sz w:val="32"/>
          <w:szCs w:val="32"/>
        </w:rPr>
        <w:t>2014年12月31日四川省城乡建设投资有限责任公司、绵竹市人民政府、绵竹市金申投资集团有限公司签订了绵竹市危旧房棚户区改造项目国开行专项贷款资金使用三方协议，按照国家开发银行股份有限公司核定的贷款额度，四川省城乡建设投资有限责任公司作为借款人与贷款人就绵竹市危旧房棚户区改造项目融资人民币40000万元，并分别签订中长期借款合同及过桥借款合同。该项目资金用于绵竹市危旧房棚户区改造项目国开行贷款利息的偿还，绵竹市危旧房棚户区改造项目的申报内容与具体实施内容一致，申报目标合理可行且已纳入绵竹市危旧房棚户区改造计划。</w:t>
      </w:r>
    </w:p>
    <w:p>
      <w:pPr>
        <w:adjustRightInd w:val="0"/>
        <w:snapToGrid w:val="0"/>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80" w:lineRule="exact"/>
        <w:ind w:firstLine="720"/>
        <w:rPr>
          <w:rFonts w:ascii="仿宋_GB2312" w:hAnsi="宋体" w:eastAsia="仿宋_GB2312"/>
          <w:sz w:val="32"/>
          <w:szCs w:val="32"/>
        </w:rPr>
      </w:pPr>
      <w:r>
        <w:rPr>
          <w:rFonts w:hint="eastAsia" w:ascii="仿宋" w:hAnsi="仿宋" w:eastAsia="仿宋" w:cs="仿宋"/>
          <w:sz w:val="32"/>
          <w:szCs w:val="32"/>
          <w:lang w:val="zh-CN"/>
        </w:rPr>
        <w:t>由我局开展财政资金使用情况自评并撰写部门预算支出绩效报告，按规范格式按时提交自评报告。</w:t>
      </w:r>
    </w:p>
    <w:p>
      <w:pPr>
        <w:adjustRightInd w:val="0"/>
        <w:snapToGrid w:val="0"/>
        <w:spacing w:line="580" w:lineRule="exact"/>
        <w:ind w:firstLine="720"/>
        <w:rPr>
          <w:rFonts w:ascii="黑体" w:hAnsi="宋体" w:eastAsia="黑体"/>
          <w:sz w:val="32"/>
          <w:szCs w:val="32"/>
          <w:lang w:val="zh-CN"/>
        </w:rPr>
      </w:pPr>
      <w:r>
        <w:rPr>
          <w:rFonts w:hint="eastAsia" w:ascii="黑体" w:hAnsi="宋体" w:eastAsia="黑体"/>
          <w:sz w:val="32"/>
          <w:szCs w:val="32"/>
          <w:lang w:val="zh-CN"/>
        </w:rPr>
        <w:t>二、项目实施及使用情况</w:t>
      </w:r>
    </w:p>
    <w:p>
      <w:pPr>
        <w:adjustRightInd w:val="0"/>
        <w:snapToGrid w:val="0"/>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（一）项目资金申报及使用情况。</w:t>
      </w:r>
    </w:p>
    <w:p>
      <w:pPr>
        <w:adjustRightInd w:val="0"/>
        <w:snapToGrid w:val="0"/>
        <w:spacing w:line="560" w:lineRule="exact"/>
        <w:ind w:firstLine="642" w:firstLineChars="200"/>
        <w:rPr>
          <w:rFonts w:ascii="仿宋" w:hAnsi="仿宋" w:eastAsia="仿宋" w:cs="仿宋"/>
          <w:sz w:val="32"/>
          <w:szCs w:val="32"/>
        </w:rPr>
      </w:pPr>
      <w:r>
        <w:rPr>
          <w:rFonts w:hint="eastAsia" w:ascii="楷体_GB2312" w:hAnsi="宋体" w:eastAsia="楷体_GB2312"/>
          <w:b/>
          <w:sz w:val="32"/>
          <w:szCs w:val="32"/>
        </w:rPr>
        <w:t xml:space="preserve"> </w:t>
      </w:r>
      <w:r>
        <w:rPr>
          <w:rFonts w:hint="eastAsia" w:ascii="仿宋" w:hAnsi="仿宋" w:eastAsia="仿宋" w:cs="仿宋"/>
          <w:sz w:val="32"/>
          <w:szCs w:val="32"/>
        </w:rPr>
        <w:t>根据德市财综</w:t>
      </w:r>
      <w:r>
        <w:rPr>
          <w:rFonts w:hint="eastAsia" w:ascii="仿宋" w:hAnsi="仿宋" w:eastAsia="仿宋" w:cs="仿宋"/>
          <w:sz w:val="32"/>
          <w:szCs w:val="32"/>
          <w:lang w:eastAsia="zh-CN"/>
        </w:rPr>
        <w:t>〔</w:t>
      </w:r>
      <w:r>
        <w:rPr>
          <w:rFonts w:hint="eastAsia" w:ascii="仿宋" w:hAnsi="仿宋" w:eastAsia="仿宋" w:cs="仿宋"/>
          <w:sz w:val="32"/>
          <w:szCs w:val="32"/>
        </w:rPr>
        <w:t>2021</w:t>
      </w:r>
      <w:r>
        <w:rPr>
          <w:rFonts w:hint="eastAsia" w:ascii="仿宋" w:hAnsi="仿宋" w:eastAsia="仿宋" w:cs="仿宋"/>
          <w:sz w:val="32"/>
          <w:szCs w:val="32"/>
          <w:lang w:eastAsia="zh-CN"/>
        </w:rPr>
        <w:t>〕</w:t>
      </w:r>
      <w:r>
        <w:rPr>
          <w:rFonts w:ascii="仿宋" w:hAnsi="仿宋" w:eastAsia="仿宋" w:cs="仿宋"/>
          <w:sz w:val="32"/>
          <w:szCs w:val="32"/>
        </w:rPr>
        <w:t>04</w:t>
      </w:r>
      <w:r>
        <w:rPr>
          <w:rFonts w:hint="eastAsia" w:ascii="仿宋" w:hAnsi="仿宋" w:eastAsia="仿宋" w:cs="仿宋"/>
          <w:sz w:val="32"/>
          <w:szCs w:val="32"/>
        </w:rPr>
        <w:t>号下达公积金增值收益用于保障性安居工程建设补充资金500万元用于棚户区改造（文件总资金1868万元）其中465万元用于绵竹市危旧房棚户区改造项目。</w:t>
      </w:r>
    </w:p>
    <w:p>
      <w:pPr>
        <w:adjustRightInd w:val="0"/>
        <w:snapToGrid w:val="0"/>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60" w:lineRule="exact"/>
        <w:ind w:firstLine="720"/>
        <w:rPr>
          <w:rFonts w:ascii="仿宋" w:hAnsi="仿宋" w:eastAsia="仿宋" w:cs="仿宋"/>
          <w:sz w:val="32"/>
          <w:szCs w:val="32"/>
          <w:lang w:val="zh-CN"/>
        </w:rPr>
      </w:pPr>
      <w:r>
        <w:rPr>
          <w:rFonts w:hint="eastAsia" w:ascii="仿宋" w:hAnsi="仿宋" w:eastAsia="仿宋" w:cs="仿宋"/>
          <w:sz w:val="32"/>
          <w:szCs w:val="32"/>
          <w:lang w:val="zh-CN"/>
        </w:rPr>
        <w:t>1．资金计划及到位。该项目资金预算指标为地方财政资金，</w:t>
      </w:r>
      <w:r>
        <w:rPr>
          <w:rFonts w:hint="eastAsia" w:ascii="仿宋" w:hAnsi="仿宋" w:eastAsia="仿宋" w:cs="仿宋"/>
          <w:sz w:val="32"/>
          <w:szCs w:val="32"/>
        </w:rPr>
        <w:t>资金指标已及时到位，资金到位率100%，</w:t>
      </w:r>
      <w:r>
        <w:rPr>
          <w:rFonts w:hint="eastAsia" w:ascii="仿宋" w:hAnsi="仿宋" w:eastAsia="仿宋" w:cs="仿宋"/>
          <w:sz w:val="32"/>
          <w:szCs w:val="32"/>
          <w:lang w:val="zh-CN"/>
        </w:rPr>
        <w:t>到位及时性</w:t>
      </w:r>
      <w:r>
        <w:rPr>
          <w:rFonts w:hint="eastAsia" w:ascii="仿宋" w:hAnsi="仿宋" w:eastAsia="仿宋" w:cs="仿宋"/>
          <w:sz w:val="32"/>
          <w:szCs w:val="32"/>
        </w:rPr>
        <w:t>100%，拨付率100%。</w:t>
      </w:r>
    </w:p>
    <w:p>
      <w:pPr>
        <w:adjustRightInd w:val="0"/>
        <w:snapToGrid w:val="0"/>
        <w:spacing w:line="580" w:lineRule="exact"/>
        <w:ind w:firstLine="720"/>
        <w:rPr>
          <w:rFonts w:ascii="仿宋" w:hAnsi="仿宋" w:eastAsia="仿宋" w:cs="仿宋"/>
          <w:sz w:val="32"/>
          <w:szCs w:val="32"/>
          <w:lang w:val="zh-CN"/>
        </w:rPr>
      </w:pPr>
      <w:r>
        <w:rPr>
          <w:rFonts w:hint="eastAsia" w:ascii="仿宋" w:hAnsi="仿宋" w:eastAsia="仿宋" w:cs="仿宋"/>
          <w:sz w:val="32"/>
          <w:szCs w:val="32"/>
          <w:lang w:val="zh-CN"/>
        </w:rPr>
        <w:t>2．资金使用。</w:t>
      </w:r>
    </w:p>
    <w:p>
      <w:pPr>
        <w:adjustRightInd w:val="0"/>
        <w:snapToGrid w:val="0"/>
        <w:spacing w:line="580" w:lineRule="exact"/>
        <w:ind w:firstLine="720"/>
        <w:rPr>
          <w:rFonts w:ascii="仿宋" w:hAnsi="仿宋" w:eastAsia="仿宋" w:cs="仿宋"/>
          <w:sz w:val="32"/>
          <w:szCs w:val="32"/>
          <w:lang w:val="zh-CN"/>
        </w:rPr>
      </w:pPr>
      <w:r>
        <w:rPr>
          <w:rFonts w:hint="eastAsia" w:ascii="仿宋" w:hAnsi="仿宋" w:eastAsia="仿宋" w:cs="仿宋"/>
          <w:sz w:val="32"/>
          <w:szCs w:val="32"/>
        </w:rPr>
        <w:t>绵竹市危旧房棚户区改造项目安排地方资金465万元。现已拨付465万元。该笔资金的支付范围、支付标准、支付进度、支付依据等均合规合法，未发现其他相关问题。</w:t>
      </w:r>
    </w:p>
    <w:p>
      <w:pPr>
        <w:adjustRightInd w:val="0"/>
        <w:snapToGrid w:val="0"/>
        <w:spacing w:line="580" w:lineRule="exact"/>
        <w:ind w:firstLine="720"/>
        <w:rPr>
          <w:rFonts w:ascii="仿宋" w:hAnsi="仿宋" w:eastAsia="仿宋" w:cs="仿宋"/>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6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该项目依照法律、行政法规和国家财政行政主管部门的规定建立财务、会计制度；严格执行财务管理制度、财务处理及时、会计核算规范。</w:t>
      </w:r>
    </w:p>
    <w:p>
      <w:pPr>
        <w:adjustRightInd w:val="0"/>
        <w:snapToGrid w:val="0"/>
        <w:spacing w:line="580" w:lineRule="exact"/>
        <w:ind w:firstLine="720"/>
        <w:rPr>
          <w:rFonts w:ascii="黑体" w:hAnsi="宋体" w:eastAsia="黑体"/>
          <w:sz w:val="32"/>
          <w:szCs w:val="32"/>
          <w:lang w:val="zh-CN"/>
        </w:rPr>
      </w:pPr>
      <w:r>
        <w:rPr>
          <w:rFonts w:hint="eastAsia" w:ascii="黑体" w:hAnsi="宋体" w:eastAsia="黑体"/>
          <w:sz w:val="32"/>
          <w:szCs w:val="32"/>
          <w:lang w:val="zh-CN"/>
        </w:rPr>
        <w:t>三、项目实施及管理情况</w:t>
      </w:r>
    </w:p>
    <w:p>
      <w:pPr>
        <w:adjustRightInd w:val="0"/>
        <w:snapToGrid w:val="0"/>
        <w:spacing w:line="580" w:lineRule="exact"/>
        <w:ind w:firstLine="640" w:firstLineChars="200"/>
        <w:rPr>
          <w:rFonts w:ascii="仿宋" w:hAnsi="仿宋" w:eastAsia="仿宋" w:cs="仿宋"/>
          <w:sz w:val="32"/>
          <w:szCs w:val="32"/>
        </w:rPr>
      </w:pPr>
      <w:r>
        <w:rPr>
          <w:rFonts w:hint="eastAsia" w:ascii="仿宋" w:hAnsi="仿宋" w:eastAsia="仿宋" w:cs="仿宋"/>
          <w:sz w:val="32"/>
          <w:szCs w:val="32"/>
          <w:lang w:val="zh-CN"/>
        </w:rPr>
        <w:t>此项目由绵竹市金申投资集团有限公司负责绵竹市危旧房棚户区改造项目的具体实施和建设资金的使用，由绵竹市人民政府负责对绵竹市金申投资集团有限公司及绵竹市人民政府、绵竹市金申投资集团有限公司共同确定的项目业主使用贷款资金进行监管，并对绵竹市金申投资集团有限公司、绵竹市人民政府共同确定的项目业主的违法、违约后果承担连带责任。</w:t>
      </w:r>
    </w:p>
    <w:p>
      <w:pPr>
        <w:adjustRightInd w:val="0"/>
        <w:snapToGrid w:val="0"/>
        <w:spacing w:line="58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80" w:lineRule="exact"/>
        <w:ind w:firstLine="720"/>
        <w:rPr>
          <w:rFonts w:ascii="仿宋" w:hAnsi="仿宋" w:eastAsia="仿宋" w:cs="仿宋"/>
          <w:sz w:val="32"/>
          <w:szCs w:val="32"/>
        </w:rPr>
      </w:pPr>
      <w:r>
        <w:rPr>
          <w:rFonts w:hint="eastAsia" w:ascii="仿宋" w:hAnsi="仿宋" w:eastAsia="仿宋" w:cs="仿宋"/>
          <w:sz w:val="32"/>
          <w:szCs w:val="32"/>
        </w:rPr>
        <w:t>已完成2017年至2021年的国开行专项贷款资金的偿还。</w:t>
      </w:r>
    </w:p>
    <w:p>
      <w:pPr>
        <w:adjustRightInd w:val="0"/>
        <w:snapToGrid w:val="0"/>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80" w:lineRule="exact"/>
        <w:ind w:firstLine="720"/>
        <w:rPr>
          <w:rFonts w:ascii="仿宋" w:hAnsi="仿宋" w:eastAsia="仿宋" w:cs="仿宋"/>
          <w:sz w:val="32"/>
          <w:szCs w:val="32"/>
          <w:lang w:val="zh-CN"/>
        </w:rPr>
      </w:pPr>
      <w:r>
        <w:rPr>
          <w:rFonts w:hint="eastAsia" w:ascii="仿宋" w:hAnsi="仿宋" w:eastAsia="仿宋" w:cs="仿宋"/>
          <w:sz w:val="32"/>
          <w:szCs w:val="32"/>
          <w:lang w:val="zh-CN"/>
        </w:rPr>
        <w:t>经济效益：该项目建成后，将拉动投资和消费，有利于进一步推动当地的建设，吸引投资推动绵竹市经济增长，新增众多的就业机会，从而解决部分市民的就业问题。同时，在施工过程中，将投入较大的施工力量，由此间接带动了就业岗位的增加。项目建设所需建筑材料的购买，又给相关行业增加了收益。因此项目的建设总体来说对当地居民的收入影响是正面的。</w:t>
      </w:r>
    </w:p>
    <w:p>
      <w:pPr>
        <w:adjustRightInd w:val="0"/>
        <w:snapToGrid w:val="0"/>
        <w:spacing w:line="580" w:lineRule="exact"/>
        <w:ind w:firstLine="720"/>
        <w:rPr>
          <w:rFonts w:ascii="仿宋" w:hAnsi="仿宋" w:eastAsia="仿宋" w:cs="仿宋"/>
          <w:sz w:val="32"/>
          <w:szCs w:val="32"/>
          <w:lang w:val="zh-CN"/>
        </w:rPr>
      </w:pPr>
      <w:r>
        <w:rPr>
          <w:rFonts w:hint="eastAsia" w:ascii="仿宋" w:hAnsi="仿宋" w:eastAsia="仿宋" w:cs="仿宋"/>
          <w:sz w:val="32"/>
          <w:szCs w:val="32"/>
          <w:lang w:val="zh-CN"/>
        </w:rPr>
        <w:t>社会效益：该项目的建设实施将提高和改善居民的居住水平和生活环境质量，促进生活配套等各方面设施的完善。注重以人为本，生态优化，综合效益和社会文明的融合，在满足交通、消防等市政设施的同时，提高地块的利用率，扩大绿化面积，营造人与自然的和谐环境，建设风格与城市周围景观相协调发展，给市民创造了一个良好的工作环境和生活空间。项目的建设对所在地区居民生活水平和生活质量的影响是正面的，社会效益是显著的。</w:t>
      </w:r>
    </w:p>
    <w:p>
      <w:pPr>
        <w:adjustRightInd w:val="0"/>
        <w:snapToGrid w:val="0"/>
        <w:spacing w:line="580" w:lineRule="exact"/>
        <w:ind w:firstLine="720"/>
        <w:rPr>
          <w:rFonts w:ascii="仿宋" w:hAnsi="仿宋" w:eastAsia="仿宋" w:cs="仿宋"/>
          <w:sz w:val="32"/>
          <w:szCs w:val="32"/>
          <w:lang w:val="zh-CN"/>
        </w:rPr>
      </w:pPr>
      <w:r>
        <w:rPr>
          <w:rFonts w:hint="eastAsia" w:ascii="仿宋" w:hAnsi="仿宋" w:eastAsia="仿宋" w:cs="仿宋"/>
          <w:sz w:val="32"/>
          <w:szCs w:val="32"/>
          <w:lang w:val="zh-CN"/>
        </w:rPr>
        <w:t>生态效益和可持续效益：项目建成后，可以改善项目区的整体形象，改善居民的居住环境和配套设施。项目投入使用后作为城中村改造区域，将大大提高居民的生活水平。项目的顺利建设对绵竹市政府而言，可以增加当地相应的税收，从而提高财政收入；项目的建设为绵竹市完成其城镇化建设的目标提供了有力的支撑，因此，带来的生态效益与可持续效益是明显的。</w:t>
      </w:r>
    </w:p>
    <w:p>
      <w:pPr>
        <w:adjustRightInd w:val="0"/>
        <w:snapToGrid w:val="0"/>
        <w:spacing w:line="580" w:lineRule="exact"/>
        <w:ind w:firstLine="720"/>
        <w:rPr>
          <w:rFonts w:ascii="仿宋" w:hAnsi="仿宋" w:eastAsia="仿宋" w:cs="仿宋"/>
          <w:sz w:val="32"/>
          <w:szCs w:val="32"/>
          <w:lang w:val="zh-CN"/>
        </w:rPr>
      </w:pPr>
      <w:r>
        <w:rPr>
          <w:rFonts w:hint="eastAsia" w:ascii="仿宋" w:hAnsi="仿宋" w:eastAsia="仿宋" w:cs="仿宋"/>
          <w:sz w:val="32"/>
          <w:szCs w:val="32"/>
          <w:lang w:val="zh-CN"/>
        </w:rPr>
        <w:t>服务对象满意度：该项目的建设对当地人民群众利益不会造成负面影响，反之，由于改善了居住条件和生活环境，为人民群众创造了健康的生活环境，提升人民幸福感，提高群众满意度是明显的。</w:t>
      </w:r>
    </w:p>
    <w:p>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五、问题及建议</w:t>
      </w:r>
    </w:p>
    <w:p>
      <w:pPr>
        <w:adjustRightInd w:val="0"/>
        <w:snapToGrid w:val="0"/>
        <w:spacing w:line="580" w:lineRule="exact"/>
        <w:ind w:left="80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8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实际完成率、完成及时率均达到或超过绩效目标，质量达标率良好，产出成本可控，项目管理工作规范，社会效益良好，项目可持续性强。评价级别为“优”。</w:t>
      </w:r>
    </w:p>
    <w:p>
      <w:pPr>
        <w:adjustRightInd w:val="0"/>
        <w:snapToGrid w:val="0"/>
        <w:spacing w:line="58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仿宋_GB2312" w:hAnsi="宋体" w:eastAsia="仿宋_GB2312"/>
          <w:sz w:val="32"/>
          <w:szCs w:val="32"/>
          <w:lang w:val="zh-CN"/>
        </w:rPr>
        <w:t>无</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10479" w:type="dxa"/>
        <w:jc w:val="center"/>
        <w:tblLayout w:type="autofit"/>
        <w:tblCellMar>
          <w:top w:w="0" w:type="dxa"/>
          <w:left w:w="108" w:type="dxa"/>
          <w:bottom w:w="0" w:type="dxa"/>
          <w:right w:w="108" w:type="dxa"/>
        </w:tblCellMar>
      </w:tblPr>
      <w:tblGrid>
        <w:gridCol w:w="1080"/>
        <w:gridCol w:w="980"/>
        <w:gridCol w:w="640"/>
        <w:gridCol w:w="2640"/>
        <w:gridCol w:w="2780"/>
        <w:gridCol w:w="2359"/>
      </w:tblGrid>
      <w:tr>
        <w:tblPrEx>
          <w:tblCellMar>
            <w:top w:w="0" w:type="dxa"/>
            <w:left w:w="108" w:type="dxa"/>
            <w:bottom w:w="0" w:type="dxa"/>
            <w:right w:w="108" w:type="dxa"/>
          </w:tblCellMar>
        </w:tblPrEx>
        <w:trPr>
          <w:trHeight w:val="405" w:hRule="atLeast"/>
          <w:jc w:val="center"/>
        </w:trPr>
        <w:tc>
          <w:tcPr>
            <w:tcW w:w="10479"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10479" w:type="dxa"/>
            <w:gridSpan w:val="6"/>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360" w:hRule="atLeast"/>
          <w:jc w:val="center"/>
        </w:trPr>
        <w:tc>
          <w:tcPr>
            <w:tcW w:w="27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7779"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绵竹市危旧房棚户区改造项目</w:t>
            </w:r>
          </w:p>
        </w:tc>
      </w:tr>
      <w:tr>
        <w:tblPrEx>
          <w:tblCellMar>
            <w:top w:w="0" w:type="dxa"/>
            <w:left w:w="108" w:type="dxa"/>
            <w:bottom w:w="0" w:type="dxa"/>
            <w:right w:w="108" w:type="dxa"/>
          </w:tblCellMar>
        </w:tblPrEx>
        <w:trPr>
          <w:trHeight w:val="420" w:hRule="atLeast"/>
          <w:jc w:val="center"/>
        </w:trPr>
        <w:tc>
          <w:tcPr>
            <w:tcW w:w="27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7779"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383"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64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465万元</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执行数：</w:t>
            </w:r>
          </w:p>
        </w:tc>
        <w:tc>
          <w:tcPr>
            <w:tcW w:w="2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465万元</w:t>
            </w:r>
          </w:p>
        </w:tc>
      </w:tr>
      <w:tr>
        <w:tblPrEx>
          <w:tblCellMar>
            <w:top w:w="0" w:type="dxa"/>
            <w:left w:w="108" w:type="dxa"/>
            <w:bottom w:w="0" w:type="dxa"/>
            <w:right w:w="108" w:type="dxa"/>
          </w:tblCellMar>
        </w:tblPrEx>
        <w:trPr>
          <w:trHeight w:val="417"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64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465万元</w:t>
            </w:r>
          </w:p>
        </w:tc>
        <w:tc>
          <w:tcPr>
            <w:tcW w:w="27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其中：财政拨款</w:t>
            </w:r>
          </w:p>
        </w:tc>
        <w:tc>
          <w:tcPr>
            <w:tcW w:w="2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465万元</w:t>
            </w:r>
          </w:p>
        </w:tc>
      </w:tr>
      <w:tr>
        <w:tblPrEx>
          <w:tblCellMar>
            <w:top w:w="0" w:type="dxa"/>
            <w:left w:w="108" w:type="dxa"/>
            <w:bottom w:w="0" w:type="dxa"/>
            <w:right w:w="108" w:type="dxa"/>
          </w:tblCellMar>
        </w:tblPrEx>
        <w:trPr>
          <w:trHeight w:val="462"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64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7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23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26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51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73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26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该项目资金用于绵竹市危旧房棚户区改造项目国开行贷款利息的偿还。</w:t>
            </w:r>
          </w:p>
        </w:tc>
        <w:tc>
          <w:tcPr>
            <w:tcW w:w="513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该项目资金用于绵竹市危旧房棚户区改造                                  项目国开行贷款利息的偿还。</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237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危旧房棚户区改造项目国开行专项贷款资金使用三方协议，按照国家开发银行股份有限公司核定的贷款额度，四川省城乡建设投资有限责任公司作为借款人与贷款人就绵竹市危旧房棚户区改造项目融资人民币40000万元，分期还款。</w:t>
            </w:r>
          </w:p>
        </w:tc>
        <w:tc>
          <w:tcPr>
            <w:tcW w:w="2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绵竹市危旧房棚户区改造项目国开行专项贷款资金使用三方协议，按照国家开发银行股份有限公司核定的贷款额度，四川省城乡建设投资有限责任公司作为借款人与贷款人就绵竹市危旧房棚户区改造项目融资人民币40000万元，分期还款。</w:t>
            </w:r>
          </w:p>
        </w:tc>
        <w:tc>
          <w:tcPr>
            <w:tcW w:w="235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已完成2017年至2021年的国开行专项贷款资金的偿还。</w:t>
            </w:r>
          </w:p>
        </w:tc>
      </w:tr>
      <w:tr>
        <w:tblPrEx>
          <w:tblCellMar>
            <w:top w:w="0" w:type="dxa"/>
            <w:left w:w="108" w:type="dxa"/>
            <w:bottom w:w="0" w:type="dxa"/>
            <w:right w:w="108" w:type="dxa"/>
          </w:tblCellMar>
        </w:tblPrEx>
        <w:trPr>
          <w:trHeight w:val="70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64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完成时间</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计划2030完成国开行专项贷款资金的偿还。</w:t>
            </w:r>
          </w:p>
        </w:tc>
        <w:tc>
          <w:tcPr>
            <w:tcW w:w="2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已完成2017年至2021年的国开行专项贷款资金的偿还。</w:t>
            </w:r>
          </w:p>
        </w:tc>
      </w:tr>
      <w:tr>
        <w:tblPrEx>
          <w:tblCellMar>
            <w:top w:w="0" w:type="dxa"/>
            <w:left w:w="108" w:type="dxa"/>
            <w:bottom w:w="0" w:type="dxa"/>
            <w:right w:w="108" w:type="dxa"/>
          </w:tblCellMar>
        </w:tblPrEx>
        <w:trPr>
          <w:trHeight w:val="76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6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支付金陵和园和茶盘街零星维修项目维修费</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≤465万元</w:t>
            </w:r>
          </w:p>
        </w:tc>
        <w:tc>
          <w:tcPr>
            <w:tcW w:w="2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已支付465万元</w:t>
            </w:r>
          </w:p>
        </w:tc>
      </w:tr>
      <w:tr>
        <w:tblPrEx>
          <w:tblCellMar>
            <w:top w:w="0" w:type="dxa"/>
            <w:left w:w="108" w:type="dxa"/>
            <w:bottom w:w="0" w:type="dxa"/>
            <w:right w:w="108" w:type="dxa"/>
          </w:tblCellMar>
        </w:tblPrEx>
        <w:trPr>
          <w:trHeight w:val="165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6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该项目建成后，将拉动投资和消费，有利于进一步推动当地的建设，吸引投资推动绵竹市经济增长，新增众多的就业机会，从而解决部分市民的就业问题。</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112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6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该项目的建设实施将提高和改善居民的居住水平和生活环境质量，促进生活配套等各方面设施的完善。</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75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64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安置户满意度</w:t>
            </w:r>
          </w:p>
        </w:tc>
        <w:tc>
          <w:tcPr>
            <w:tcW w:w="2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3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spacing w:line="580" w:lineRule="exact"/>
        <w:jc w:val="center"/>
        <w:rPr>
          <w:rFonts w:ascii="仿宋_GB2312" w:hAnsi="宋体"/>
          <w:kern w:val="0"/>
          <w:sz w:val="28"/>
          <w:szCs w:val="21"/>
        </w:rPr>
      </w:pPr>
      <w:r>
        <w:rPr>
          <w:rFonts w:hint="eastAsia" w:ascii="微软雅黑" w:hAnsi="微软雅黑" w:eastAsia="微软雅黑" w:cs="微软雅黑"/>
          <w:kern w:val="0"/>
          <w:sz w:val="44"/>
          <w:szCs w:val="44"/>
        </w:rPr>
        <w:t>项目支出绩效自评报告</w:t>
      </w:r>
    </w:p>
    <w:p>
      <w:pPr>
        <w:spacing w:line="580" w:lineRule="exact"/>
        <w:jc w:val="center"/>
        <w:rPr>
          <w:rFonts w:ascii="仿宋" w:hAnsi="仿宋" w:eastAsia="仿宋" w:cs="仿宋"/>
          <w:sz w:val="32"/>
          <w:szCs w:val="32"/>
        </w:rPr>
      </w:pPr>
      <w:r>
        <w:rPr>
          <w:rFonts w:hint="eastAsia" w:ascii="仿宋" w:hAnsi="仿宋" w:eastAsia="仿宋" w:cs="仿宋"/>
          <w:sz w:val="32"/>
          <w:szCs w:val="32"/>
        </w:rPr>
        <w:t>（绵竹市人才公寓建设）</w:t>
      </w:r>
    </w:p>
    <w:p>
      <w:pPr>
        <w:spacing w:line="580" w:lineRule="exact"/>
        <w:ind w:firstLine="640"/>
        <w:jc w:val="center"/>
        <w:rPr>
          <w:rFonts w:hint="eastAsia" w:ascii="宋体" w:hAnsi="??"/>
          <w:sz w:val="32"/>
          <w:szCs w:val="32"/>
        </w:rPr>
      </w:pPr>
    </w:p>
    <w:p>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一、项目概况</w:t>
      </w:r>
    </w:p>
    <w:p>
      <w:pPr>
        <w:adjustRightInd w:val="0"/>
        <w:snapToGrid w:val="0"/>
        <w:spacing w:line="540" w:lineRule="exact"/>
        <w:ind w:firstLine="642" w:firstLineChars="200"/>
        <w:rPr>
          <w:rFonts w:cs="方正仿宋_GB18030" w:asciiTheme="minorEastAsia" w:hAnsiTheme="minorEastAsia" w:eastAsiaTheme="minorEastAsia"/>
          <w:b/>
          <w:bCs/>
          <w:sz w:val="32"/>
          <w:szCs w:val="32"/>
        </w:rPr>
      </w:pPr>
      <w:r>
        <w:rPr>
          <w:rFonts w:hint="eastAsia" w:cs="宋体" w:asciiTheme="minorEastAsia" w:hAnsiTheme="minorEastAsia" w:eastAsiaTheme="minorEastAsia"/>
          <w:b/>
          <w:bCs/>
          <w:sz w:val="32"/>
          <w:szCs w:val="32"/>
        </w:rPr>
        <w:t>（一）</w:t>
      </w:r>
      <w:r>
        <w:rPr>
          <w:rFonts w:hint="eastAsia" w:cs="方正仿宋_GB18030" w:asciiTheme="minorEastAsia" w:hAnsiTheme="minorEastAsia" w:eastAsiaTheme="minorEastAsia"/>
          <w:b/>
          <w:bCs/>
          <w:sz w:val="32"/>
          <w:szCs w:val="32"/>
        </w:rPr>
        <w:t>项目基本情况。</w:t>
      </w:r>
    </w:p>
    <w:p>
      <w:pPr>
        <w:adjustRightInd w:val="0"/>
        <w:snapToGrid w:val="0"/>
        <w:spacing w:line="540" w:lineRule="exact"/>
        <w:ind w:firstLine="642" w:firstLineChars="200"/>
        <w:rPr>
          <w:rFonts w:ascii="仿宋" w:hAnsi="仿宋" w:eastAsia="仿宋" w:cs="仿宋"/>
          <w:sz w:val="32"/>
          <w:szCs w:val="32"/>
        </w:rPr>
      </w:pPr>
      <w:r>
        <w:rPr>
          <w:rFonts w:hint="eastAsia" w:ascii="方正仿宋_GB18030" w:hAnsi="方正仿宋_GB18030" w:eastAsia="方正仿宋_GB18030" w:cs="方正仿宋_GB18030"/>
          <w:b/>
          <w:bCs/>
          <w:sz w:val="32"/>
          <w:szCs w:val="32"/>
        </w:rPr>
        <w:t xml:space="preserve"> </w:t>
      </w:r>
      <w:r>
        <w:rPr>
          <w:rFonts w:hint="eastAsia" w:ascii="仿宋" w:hAnsi="仿宋" w:eastAsia="仿宋" w:cs="仿宋"/>
          <w:sz w:val="32"/>
          <w:szCs w:val="32"/>
        </w:rPr>
        <w:t>该项目按照竹建</w:t>
      </w:r>
      <w:r>
        <w:rPr>
          <w:rFonts w:hint="eastAsia" w:ascii="仿宋" w:hAnsi="仿宋" w:eastAsia="仿宋" w:cs="仿宋"/>
          <w:sz w:val="32"/>
          <w:szCs w:val="32"/>
          <w:lang w:eastAsia="zh-CN"/>
        </w:rPr>
        <w:t>〔</w:t>
      </w:r>
      <w:r>
        <w:rPr>
          <w:rFonts w:hint="eastAsia" w:ascii="仿宋" w:hAnsi="仿宋" w:eastAsia="仿宋" w:cs="仿宋"/>
          <w:sz w:val="32"/>
          <w:szCs w:val="32"/>
        </w:rPr>
        <w:t>2019</w:t>
      </w:r>
      <w:r>
        <w:rPr>
          <w:rFonts w:hint="eastAsia" w:ascii="仿宋" w:hAnsi="仿宋" w:eastAsia="仿宋" w:cs="仿宋"/>
          <w:sz w:val="32"/>
          <w:szCs w:val="32"/>
          <w:lang w:eastAsia="zh-CN"/>
        </w:rPr>
        <w:t>〕</w:t>
      </w:r>
      <w:r>
        <w:rPr>
          <w:rFonts w:hint="eastAsia" w:ascii="仿宋" w:hAnsi="仿宋" w:eastAsia="仿宋" w:cs="仿宋"/>
          <w:sz w:val="32"/>
          <w:szCs w:val="32"/>
        </w:rPr>
        <w:t>240号文件《绵竹市住房和城乡建设局关于绵竹市人才公寓建设相关事项的请示》执行（拟将绵竹市金陵和园1号楼和12号楼单独划出作为人才公寓，共有住宅48套，其中90㎡36套，70㎡12套。人才公寓装修约需资金170.5682万元，建议由金申公司安排资金，分三年逐年支付完毕。建议由市住保所制定《绵竹市人才公寓使用管理实施细则》，将绵竹市人才公寓纳入住房保障管理体系，实施统一管理。）2019年11月5日市委副书记、市长李栋在市政府第二会议室召开了市政府十八届四十九次常务会议。会议议定：（一）原则同意《绵竹市住房和城乡建设局关于绵竹市人才公寓相关事项的请示》（竹建</w:t>
      </w:r>
      <w:r>
        <w:rPr>
          <w:rFonts w:hint="eastAsia" w:ascii="仿宋" w:hAnsi="仿宋" w:eastAsia="仿宋" w:cs="仿宋"/>
          <w:sz w:val="32"/>
          <w:szCs w:val="32"/>
          <w:lang w:eastAsia="zh-CN"/>
        </w:rPr>
        <w:t>〔</w:t>
      </w:r>
      <w:r>
        <w:rPr>
          <w:rFonts w:hint="eastAsia" w:ascii="仿宋" w:hAnsi="仿宋" w:eastAsia="仿宋" w:cs="仿宋"/>
          <w:sz w:val="32"/>
          <w:szCs w:val="32"/>
        </w:rPr>
        <w:t>2019</w:t>
      </w:r>
      <w:r>
        <w:rPr>
          <w:rFonts w:hint="eastAsia" w:ascii="仿宋" w:hAnsi="仿宋" w:eastAsia="仿宋" w:cs="仿宋"/>
          <w:sz w:val="32"/>
          <w:szCs w:val="32"/>
          <w:lang w:eastAsia="zh-CN"/>
        </w:rPr>
        <w:t>〕</w:t>
      </w:r>
      <w:r>
        <w:rPr>
          <w:rFonts w:hint="eastAsia" w:ascii="仿宋" w:hAnsi="仿宋" w:eastAsia="仿宋" w:cs="仿宋"/>
          <w:sz w:val="32"/>
          <w:szCs w:val="32"/>
        </w:rPr>
        <w:t>240号），按程序报市委常委会审议。（二）由市住建局负责，市级相关部门配合，按程序组织实施，确保完成全年目标任务。</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按照《关于增加绵竹市人才公寓建设工程项目资金的请示》</w:t>
      </w:r>
      <w:r>
        <w:rPr>
          <w:rFonts w:hint="eastAsia" w:ascii="仿宋" w:hAnsi="仿宋" w:eastAsia="仿宋" w:cs="仿宋"/>
          <w:sz w:val="32"/>
          <w:szCs w:val="32"/>
          <w:lang w:eastAsia="zh-CN"/>
        </w:rPr>
        <w:t>（</w:t>
      </w:r>
      <w:r>
        <w:rPr>
          <w:rFonts w:hint="eastAsia" w:ascii="仿宋" w:hAnsi="仿宋" w:eastAsia="仿宋" w:cs="仿宋"/>
          <w:sz w:val="32"/>
          <w:szCs w:val="32"/>
        </w:rPr>
        <w:t>竹建</w:t>
      </w:r>
      <w:r>
        <w:rPr>
          <w:rFonts w:hint="eastAsia" w:ascii="仿宋" w:hAnsi="仿宋" w:eastAsia="仿宋" w:cs="仿宋"/>
          <w:sz w:val="32"/>
          <w:szCs w:val="32"/>
          <w:lang w:eastAsia="zh-CN"/>
        </w:rPr>
        <w:t>〔</w:t>
      </w:r>
      <w:r>
        <w:rPr>
          <w:rFonts w:hint="eastAsia" w:ascii="仿宋" w:hAnsi="仿宋" w:eastAsia="仿宋" w:cs="仿宋"/>
          <w:sz w:val="32"/>
          <w:szCs w:val="32"/>
        </w:rPr>
        <w:t>2020</w:t>
      </w:r>
      <w:r>
        <w:rPr>
          <w:rFonts w:hint="eastAsia" w:ascii="仿宋" w:hAnsi="仿宋" w:eastAsia="仿宋" w:cs="仿宋"/>
          <w:sz w:val="32"/>
          <w:szCs w:val="32"/>
          <w:lang w:eastAsia="zh-CN"/>
        </w:rPr>
        <w:t>〕</w:t>
      </w:r>
      <w:r>
        <w:rPr>
          <w:rFonts w:hint="eastAsia" w:ascii="仿宋" w:hAnsi="仿宋" w:eastAsia="仿宋" w:cs="仿宋"/>
          <w:sz w:val="32"/>
          <w:szCs w:val="32"/>
        </w:rPr>
        <w:t>337号</w:t>
      </w:r>
      <w:r>
        <w:rPr>
          <w:rFonts w:hint="eastAsia" w:ascii="仿宋" w:hAnsi="仿宋" w:eastAsia="仿宋" w:cs="仿宋"/>
          <w:sz w:val="32"/>
          <w:szCs w:val="32"/>
          <w:lang w:eastAsia="zh-CN"/>
        </w:rPr>
        <w:t>）</w:t>
      </w:r>
      <w:r>
        <w:rPr>
          <w:rFonts w:hint="eastAsia" w:ascii="仿宋" w:hAnsi="仿宋" w:eastAsia="仿宋" w:cs="仿宋"/>
          <w:sz w:val="32"/>
          <w:szCs w:val="32"/>
        </w:rPr>
        <w:t>执行（调整原装修方案，其中90㎡户型增加拆除工程，新增窗帘、电线、开关、插座、灶台、热水器、花洒、坐便器等设备，70㎡户型新增餐桌椅等设施设备</w:t>
      </w:r>
      <w:r>
        <w:rPr>
          <w:rFonts w:hint="eastAsia" w:ascii="仿宋" w:hAnsi="仿宋" w:eastAsia="仿宋" w:cs="仿宋"/>
          <w:sz w:val="32"/>
          <w:szCs w:val="32"/>
          <w:lang w:eastAsia="zh-CN"/>
        </w:rPr>
        <w:t>）</w:t>
      </w:r>
      <w:r>
        <w:rPr>
          <w:rFonts w:hint="eastAsia" w:ascii="仿宋" w:hAnsi="仿宋" w:eastAsia="仿宋" w:cs="仿宋"/>
          <w:sz w:val="32"/>
          <w:szCs w:val="32"/>
        </w:rPr>
        <w:t>，建议由金申公司负责对剩余48套住房进行升级装修。经测算需增加费用约1171682.04元，调整后，装修总金额约为2877364.04元。建议完工后装修费用通过结算审计后，由市财政统一安排，逐年纳入财政预算，并支付给市金申公司。2021年2月23日下午，市委副书记、代理市长耿垣合在市政府第二会议室主持召开市政府十八届七十七次常务会议，会议议定：原则同意《绵竹市住房和城乡建设局关于增加绵竹市人才公寓建设工程项目资金的请示》（竹建</w:t>
      </w:r>
      <w:r>
        <w:rPr>
          <w:rFonts w:hint="eastAsia" w:ascii="仿宋" w:hAnsi="仿宋" w:eastAsia="仿宋" w:cs="仿宋"/>
          <w:sz w:val="32"/>
          <w:szCs w:val="32"/>
          <w:lang w:eastAsia="zh-CN"/>
        </w:rPr>
        <w:t>〔</w:t>
      </w:r>
      <w:r>
        <w:rPr>
          <w:rFonts w:hint="eastAsia" w:ascii="仿宋" w:hAnsi="仿宋" w:eastAsia="仿宋" w:cs="仿宋"/>
          <w:sz w:val="32"/>
          <w:szCs w:val="32"/>
        </w:rPr>
        <w:t>2020</w:t>
      </w:r>
      <w:r>
        <w:rPr>
          <w:rFonts w:hint="eastAsia" w:ascii="仿宋" w:hAnsi="仿宋" w:eastAsia="仿宋" w:cs="仿宋"/>
          <w:sz w:val="32"/>
          <w:szCs w:val="32"/>
          <w:lang w:eastAsia="zh-CN"/>
        </w:rPr>
        <w:t>〕</w:t>
      </w:r>
      <w:r>
        <w:rPr>
          <w:rFonts w:hint="eastAsia" w:ascii="仿宋" w:hAnsi="仿宋" w:eastAsia="仿宋" w:cs="仿宋"/>
          <w:sz w:val="32"/>
          <w:szCs w:val="32"/>
        </w:rPr>
        <w:t>337号</w:t>
      </w:r>
      <w:r>
        <w:rPr>
          <w:rFonts w:hint="eastAsia" w:ascii="仿宋" w:hAnsi="仿宋" w:eastAsia="仿宋" w:cs="仿宋"/>
          <w:sz w:val="32"/>
          <w:szCs w:val="32"/>
          <w:lang w:eastAsia="zh-CN"/>
        </w:rPr>
        <w:t>）</w:t>
      </w:r>
      <w:r>
        <w:rPr>
          <w:rFonts w:hint="eastAsia" w:ascii="仿宋" w:hAnsi="仿宋" w:eastAsia="仿宋" w:cs="仿宋"/>
          <w:sz w:val="32"/>
          <w:szCs w:val="32"/>
        </w:rPr>
        <w:t>，由市住建局、财政局负责，按程序办理。</w:t>
      </w:r>
    </w:p>
    <w:p>
      <w:pPr>
        <w:adjustRightInd w:val="0"/>
        <w:snapToGrid w:val="0"/>
        <w:spacing w:line="540" w:lineRule="exact"/>
        <w:ind w:firstLine="642" w:firstLineChars="200"/>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（二）项目绩效目标。</w:t>
      </w:r>
    </w:p>
    <w:p>
      <w:pPr>
        <w:adjustRightInd w:val="0"/>
        <w:snapToGri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截至2021年底，人才公寓的装修已完成，2021年已支付人才公寓项目资金97万元。绵竹市人才公寓建设项目的申报内容与具体实施内容相符，申报目标总体合理。</w:t>
      </w:r>
    </w:p>
    <w:p>
      <w:pPr>
        <w:adjustRightInd w:val="0"/>
        <w:snapToGrid w:val="0"/>
        <w:spacing w:line="540" w:lineRule="exact"/>
        <w:ind w:firstLine="642" w:firstLineChars="200"/>
        <w:rPr>
          <w:rFonts w:cs="宋体" w:asciiTheme="minorEastAsia" w:hAnsiTheme="minorEastAsia" w:eastAsiaTheme="minorEastAsia"/>
          <w:b/>
          <w:bCs/>
          <w:sz w:val="32"/>
          <w:szCs w:val="32"/>
        </w:rPr>
      </w:pPr>
      <w:r>
        <w:rPr>
          <w:rFonts w:hint="eastAsia" w:cs="宋体" w:asciiTheme="minorEastAsia" w:hAnsiTheme="minorEastAsia" w:eastAsiaTheme="minorEastAsia"/>
          <w:b/>
          <w:bCs/>
          <w:sz w:val="32"/>
          <w:szCs w:val="32"/>
        </w:rPr>
        <w:t>（三）项目自评步骤及方法。</w:t>
      </w:r>
    </w:p>
    <w:p>
      <w:pPr>
        <w:adjustRightInd w:val="0"/>
        <w:snapToGrid w:val="0"/>
        <w:spacing w:line="540" w:lineRule="exact"/>
        <w:ind w:firstLine="720"/>
        <w:rPr>
          <w:rFonts w:ascii="仿宋" w:hAnsi="仿宋" w:eastAsia="仿宋" w:cs="仿宋"/>
          <w:b/>
          <w:bCs/>
          <w:sz w:val="32"/>
          <w:szCs w:val="32"/>
        </w:rPr>
      </w:pPr>
      <w:r>
        <w:rPr>
          <w:rFonts w:hint="eastAsia" w:ascii="仿宋" w:hAnsi="仿宋" w:eastAsia="仿宋" w:cs="仿宋"/>
          <w:sz w:val="32"/>
          <w:szCs w:val="32"/>
          <w:lang w:val="zh-CN"/>
        </w:rPr>
        <w:t>由我局开展财政资金使用情况自评并撰写部门预算支出绩效报告，按规范格式按时提交自评报告。</w:t>
      </w:r>
    </w:p>
    <w:p>
      <w:pPr>
        <w:adjustRightInd w:val="0"/>
        <w:snapToGrid w:val="0"/>
        <w:spacing w:line="540" w:lineRule="exact"/>
        <w:rPr>
          <w:rFonts w:ascii="仿宋" w:hAnsi="仿宋" w:eastAsia="仿宋" w:cs="仿宋"/>
          <w:b/>
          <w:bCs/>
          <w:sz w:val="32"/>
          <w:szCs w:val="32"/>
        </w:rPr>
      </w:pPr>
      <w:r>
        <w:rPr>
          <w:rFonts w:hint="eastAsia" w:ascii="仿宋" w:hAnsi="仿宋" w:eastAsia="仿宋" w:cs="仿宋"/>
          <w:b/>
          <w:bCs/>
          <w:sz w:val="32"/>
          <w:szCs w:val="32"/>
        </w:rPr>
        <w:t xml:space="preserve">  </w:t>
      </w:r>
      <w:r>
        <w:rPr>
          <w:rFonts w:hint="eastAsia" w:ascii="宋体" w:hAnsi="??"/>
          <w:sz w:val="32"/>
          <w:szCs w:val="32"/>
        </w:rPr>
        <w:t xml:space="preserve"> </w:t>
      </w:r>
      <w:r>
        <w:rPr>
          <w:rFonts w:hint="eastAsia" w:ascii="宋体" w:hAnsi="??"/>
          <w:b/>
          <w:bCs/>
          <w:sz w:val="32"/>
          <w:szCs w:val="32"/>
        </w:rPr>
        <w:t xml:space="preserve">  二、项目资金申报及使用情况</w:t>
      </w:r>
    </w:p>
    <w:p>
      <w:pPr>
        <w:adjustRightInd w:val="0"/>
        <w:snapToGrid w:val="0"/>
        <w:spacing w:line="5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根据资金文号：年初住建（2021）29号，年初正式指标下达资金97万元，用于绵竹市人才公寓建设项目。</w:t>
      </w:r>
    </w:p>
    <w:p>
      <w:pPr>
        <w:adjustRightInd w:val="0"/>
        <w:snapToGrid w:val="0"/>
        <w:spacing w:line="540" w:lineRule="exact"/>
        <w:ind w:firstLine="642" w:firstLineChars="200"/>
        <w:rPr>
          <w:rFonts w:ascii="仿宋" w:hAnsi="仿宋" w:eastAsia="仿宋" w:cs="仿宋"/>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40" w:lineRule="exact"/>
        <w:ind w:firstLine="640" w:firstLineChars="200"/>
        <w:rPr>
          <w:rFonts w:ascii="仿宋" w:hAnsi="仿宋" w:eastAsia="仿宋" w:cs="仿宋"/>
          <w:sz w:val="32"/>
          <w:szCs w:val="32"/>
          <w:lang w:val="zh-CN"/>
        </w:rPr>
      </w:pPr>
      <w:r>
        <w:rPr>
          <w:rFonts w:ascii="仿宋" w:hAnsi="仿宋" w:eastAsia="仿宋" w:cs="仿宋"/>
          <w:sz w:val="32"/>
          <w:szCs w:val="32"/>
          <w:lang w:val="zh-CN"/>
        </w:rPr>
        <w:t>1</w:t>
      </w:r>
      <w:r>
        <w:rPr>
          <w:rFonts w:hint="eastAsia" w:ascii="仿宋" w:hAnsi="仿宋" w:eastAsia="仿宋" w:cs="仿宋"/>
          <w:sz w:val="32"/>
          <w:szCs w:val="32"/>
          <w:lang w:val="zh-CN"/>
        </w:rPr>
        <w:t>．资金计划及到位。该项目资金预算指标为大型修缮类，资金预算指标全部及时到位，到位率100%。</w:t>
      </w:r>
    </w:p>
    <w:p>
      <w:pPr>
        <w:adjustRightInd w:val="0"/>
        <w:snapToGrid w:val="0"/>
        <w:spacing w:line="540" w:lineRule="exact"/>
        <w:ind w:firstLine="640" w:firstLineChars="200"/>
        <w:rPr>
          <w:rFonts w:ascii="仿宋" w:hAnsi="仿宋" w:eastAsia="仿宋" w:cs="仿宋"/>
          <w:sz w:val="32"/>
          <w:szCs w:val="32"/>
          <w:lang w:val="zh-CN"/>
        </w:rPr>
      </w:pPr>
      <w:r>
        <w:rPr>
          <w:rFonts w:ascii="仿宋" w:hAnsi="仿宋" w:eastAsia="仿宋" w:cs="仿宋"/>
          <w:sz w:val="32"/>
          <w:szCs w:val="32"/>
          <w:lang w:val="zh-CN"/>
        </w:rPr>
        <w:t>2</w:t>
      </w:r>
      <w:r>
        <w:rPr>
          <w:rFonts w:hint="eastAsia" w:ascii="仿宋" w:hAnsi="仿宋" w:eastAsia="仿宋" w:cs="仿宋"/>
          <w:sz w:val="32"/>
          <w:szCs w:val="32"/>
          <w:lang w:val="zh-CN"/>
        </w:rPr>
        <w:t>．资金使用。</w:t>
      </w:r>
    </w:p>
    <w:p>
      <w:pPr>
        <w:adjustRightInd w:val="0"/>
        <w:snapToGri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截至2021年底绵竹市人才公寓建设项目已支付资金97万元。费用支付具体情况、资金开支范围、标准及支付进度，全部用于该项目办公经费的支付，支付标准及依据合规合法，资金支付与预算完全相符。</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540" w:lineRule="exact"/>
        <w:ind w:firstLine="720"/>
        <w:rPr>
          <w:rFonts w:ascii="黑体" w:hAnsi="宋体" w:eastAsia="黑体"/>
          <w:sz w:val="32"/>
          <w:szCs w:val="32"/>
          <w:lang w:val="zh-CN"/>
        </w:rPr>
      </w:pPr>
      <w:r>
        <w:rPr>
          <w:rFonts w:hint="eastAsia" w:ascii="黑体" w:hAnsi="宋体" w:eastAsia="黑体"/>
          <w:sz w:val="32"/>
          <w:szCs w:val="32"/>
          <w:lang w:val="zh-CN"/>
        </w:rPr>
        <w:t>三、项目实施及管理情况</w:t>
      </w:r>
    </w:p>
    <w:p>
      <w:pPr>
        <w:adjustRightInd w:val="0"/>
        <w:snapToGri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该项目由绵竹市金申集团投资有限公司作为项目实施单位，定期对该项目进行安全检查。</w:t>
      </w:r>
    </w:p>
    <w:p>
      <w:pPr>
        <w:adjustRightInd w:val="0"/>
        <w:snapToGrid w:val="0"/>
        <w:spacing w:line="54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截至2021年12月底，已完成绩效目标。</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项目的实施能为绵竹引进人才提供住房保障，让更多的优秀的年轻人能留在绵竹，促进绵竹的发展。</w:t>
      </w:r>
    </w:p>
    <w:p>
      <w:pPr>
        <w:adjustRightInd w:val="0"/>
        <w:snapToGrid w:val="0"/>
        <w:spacing w:line="540" w:lineRule="exact"/>
        <w:ind w:firstLine="640" w:firstLineChars="200"/>
        <w:rPr>
          <w:rFonts w:ascii="黑体" w:hAnsi="宋体" w:eastAsia="黑体"/>
          <w:sz w:val="32"/>
          <w:szCs w:val="32"/>
        </w:rPr>
      </w:pPr>
      <w:r>
        <w:rPr>
          <w:rFonts w:hint="eastAsia" w:ascii="黑体" w:hAnsi="宋体" w:eastAsia="黑体"/>
          <w:sz w:val="32"/>
          <w:szCs w:val="32"/>
        </w:rPr>
        <w:t>五、问题及建议</w:t>
      </w:r>
    </w:p>
    <w:p>
      <w:pPr>
        <w:adjustRightInd w:val="0"/>
        <w:snapToGrid w:val="0"/>
        <w:spacing w:line="540" w:lineRule="exact"/>
        <w:ind w:firstLine="642" w:firstLineChars="200"/>
        <w:rPr>
          <w:rFonts w:ascii="楷体_GB2312" w:hAnsi="宋体" w:eastAsia="楷体_GB2312"/>
          <w:b/>
          <w:sz w:val="32"/>
          <w:szCs w:val="32"/>
        </w:rPr>
      </w:pPr>
      <w:r>
        <w:rPr>
          <w:rFonts w:hint="eastAsia" w:ascii="楷体_GB2312" w:hAnsi="宋体" w:eastAsia="楷体_GB2312"/>
          <w:b/>
          <w:sz w:val="32"/>
          <w:szCs w:val="32"/>
        </w:rPr>
        <w:t>（一）评价结论。</w:t>
      </w:r>
    </w:p>
    <w:p>
      <w:pPr>
        <w:adjustRightInd w:val="0"/>
        <w:snapToGrid w:val="0"/>
        <w:spacing w:line="5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实际完成率、完成及时率均达到或超过绩效目标，质量达标率良好，产出成本可控，项目管理工作规范，社会效益良好，项目可持续性强。评价级别为“优”。</w:t>
      </w:r>
    </w:p>
    <w:p>
      <w:pPr>
        <w:adjustRightInd w:val="0"/>
        <w:snapToGrid w:val="0"/>
        <w:spacing w:line="5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仿宋_GB2312" w:hAnsi="宋体" w:eastAsia="仿宋_GB2312"/>
          <w:sz w:val="32"/>
          <w:szCs w:val="32"/>
          <w:lang w:val="zh-CN"/>
        </w:rPr>
        <w:t>无</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614" w:type="dxa"/>
        <w:jc w:val="center"/>
        <w:tblLayout w:type="autofit"/>
        <w:tblCellMar>
          <w:top w:w="0" w:type="dxa"/>
          <w:left w:w="108" w:type="dxa"/>
          <w:bottom w:w="0" w:type="dxa"/>
          <w:right w:w="108" w:type="dxa"/>
        </w:tblCellMar>
      </w:tblPr>
      <w:tblGrid>
        <w:gridCol w:w="1080"/>
        <w:gridCol w:w="1000"/>
        <w:gridCol w:w="640"/>
        <w:gridCol w:w="1780"/>
        <w:gridCol w:w="2860"/>
        <w:gridCol w:w="2254"/>
      </w:tblGrid>
      <w:tr>
        <w:tblPrEx>
          <w:tblCellMar>
            <w:top w:w="0" w:type="dxa"/>
            <w:left w:w="108" w:type="dxa"/>
            <w:bottom w:w="0" w:type="dxa"/>
            <w:right w:w="108" w:type="dxa"/>
          </w:tblCellMar>
        </w:tblPrEx>
        <w:trPr>
          <w:trHeight w:val="405" w:hRule="atLeast"/>
          <w:jc w:val="center"/>
        </w:trPr>
        <w:tc>
          <w:tcPr>
            <w:tcW w:w="9614" w:type="dxa"/>
            <w:gridSpan w:val="6"/>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614" w:type="dxa"/>
            <w:gridSpan w:val="6"/>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360" w:hRule="atLeast"/>
          <w:jc w:val="center"/>
        </w:trPr>
        <w:tc>
          <w:tcPr>
            <w:tcW w:w="27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8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绵竹市人才公寓建设项目</w:t>
            </w:r>
          </w:p>
        </w:tc>
      </w:tr>
      <w:tr>
        <w:tblPrEx>
          <w:tblCellMar>
            <w:top w:w="0" w:type="dxa"/>
            <w:left w:w="108" w:type="dxa"/>
            <w:bottom w:w="0" w:type="dxa"/>
            <w:right w:w="108" w:type="dxa"/>
          </w:tblCellMar>
        </w:tblPrEx>
        <w:trPr>
          <w:trHeight w:val="420" w:hRule="atLeast"/>
          <w:jc w:val="center"/>
        </w:trPr>
        <w:tc>
          <w:tcPr>
            <w:tcW w:w="27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89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49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1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78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97万元</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执行数：</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97万元</w:t>
            </w:r>
          </w:p>
        </w:tc>
      </w:tr>
      <w:tr>
        <w:tblPrEx>
          <w:tblCellMar>
            <w:top w:w="0" w:type="dxa"/>
            <w:left w:w="108" w:type="dxa"/>
            <w:bottom w:w="0" w:type="dxa"/>
            <w:right w:w="108" w:type="dxa"/>
          </w:tblCellMar>
        </w:tblPrEx>
        <w:trPr>
          <w:trHeight w:val="5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78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97万元</w:t>
            </w:r>
          </w:p>
        </w:tc>
        <w:tc>
          <w:tcPr>
            <w:tcW w:w="28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其中：财政拨款</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97万元</w:t>
            </w:r>
          </w:p>
        </w:tc>
      </w:tr>
      <w:tr>
        <w:tblPrEx>
          <w:tblCellMar>
            <w:top w:w="0" w:type="dxa"/>
            <w:left w:w="108" w:type="dxa"/>
            <w:bottom w:w="0" w:type="dxa"/>
            <w:right w:w="108" w:type="dxa"/>
          </w:tblCellMar>
        </w:tblPrEx>
        <w:trPr>
          <w:trHeight w:val="462"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78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8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225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9"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342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511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942"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42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完成人才公寓的装修工作</w:t>
            </w:r>
          </w:p>
        </w:tc>
        <w:tc>
          <w:tcPr>
            <w:tcW w:w="511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已完成人才公寓的装修工作，已投入使用。</w:t>
            </w:r>
          </w:p>
        </w:tc>
      </w:tr>
      <w:tr>
        <w:tblPrEx>
          <w:tblCellMar>
            <w:top w:w="0" w:type="dxa"/>
            <w:left w:w="108" w:type="dxa"/>
            <w:bottom w:w="0" w:type="dxa"/>
            <w:right w:w="108" w:type="dxa"/>
          </w:tblCellMar>
        </w:tblPrEx>
        <w:trPr>
          <w:trHeight w:val="60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85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42套人才公寓住房装修</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42套人才公寓住房装修</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942"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780"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完成时间</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2021年底</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94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支付2021年绵竹市人才公寓建设项目费用</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≤97万元</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已支付97万元</w:t>
            </w:r>
          </w:p>
        </w:tc>
      </w:tr>
      <w:tr>
        <w:tblPrEx>
          <w:tblCellMar>
            <w:top w:w="0" w:type="dxa"/>
            <w:left w:w="108" w:type="dxa"/>
            <w:bottom w:w="0" w:type="dxa"/>
            <w:right w:w="108" w:type="dxa"/>
          </w:tblCellMar>
        </w:tblPrEx>
        <w:trPr>
          <w:trHeight w:val="105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引进人才，促进我市发展</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91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7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安置户满意度</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2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ind w:firstLine="883"/>
        <w:jc w:val="center"/>
        <w:rPr>
          <w:rFonts w:ascii="黑体" w:hAnsi="黑体" w:eastAsia="黑体"/>
          <w:sz w:val="32"/>
          <w:szCs w:val="32"/>
        </w:rPr>
      </w:pPr>
      <w:r>
        <w:rPr>
          <w:rFonts w:hint="eastAsia" w:ascii="黑体" w:hAnsi="黑体" w:eastAsia="黑体"/>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 xml:space="preserve">      （城建档案数字化管理）</w:t>
      </w:r>
    </w:p>
    <w:p>
      <w:pPr>
        <w:spacing w:line="580" w:lineRule="exact"/>
        <w:ind w:firstLine="640"/>
        <w:jc w:val="center"/>
        <w:rPr>
          <w:rFonts w:hint="eastAsia" w:ascii="宋体" w:hAnsi="??"/>
          <w:sz w:val="32"/>
          <w:szCs w:val="32"/>
        </w:rPr>
      </w:pPr>
    </w:p>
    <w:p>
      <w:pPr>
        <w:adjustRightInd w:val="0"/>
        <w:snapToGrid w:val="0"/>
        <w:spacing w:line="58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80" w:lineRule="exact"/>
        <w:ind w:firstLine="720"/>
        <w:rPr>
          <w:rFonts w:ascii="仿宋" w:hAnsi="仿宋" w:eastAsia="仿宋"/>
          <w:color w:val="000000"/>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仿宋" w:hAnsi="仿宋" w:eastAsia="仿宋"/>
          <w:color w:val="000000"/>
          <w:sz w:val="32"/>
          <w:szCs w:val="32"/>
          <w:lang w:val="zh-CN"/>
        </w:rPr>
        <w:t>项目实施依据：德阳市档案局关于加强和改进新形势下档案工作实施意见 （德市档发〔2018〕17 号）：“（二）加快档案馆馆藏数字化进程。进一步加强各级档案馆馆藏档案数字化工作，到 2020 年，全市档案馆馆藏档案全部完成</w:t>
      </w:r>
    </w:p>
    <w:p>
      <w:pPr>
        <w:adjustRightInd w:val="0"/>
        <w:snapToGrid w:val="0"/>
        <w:spacing w:line="580" w:lineRule="exact"/>
        <w:rPr>
          <w:rFonts w:ascii="仿宋" w:hAnsi="仿宋" w:eastAsia="仿宋"/>
          <w:color w:val="000000"/>
          <w:sz w:val="32"/>
          <w:szCs w:val="32"/>
          <w:lang w:val="zh-CN"/>
        </w:rPr>
      </w:pPr>
      <w:r>
        <w:rPr>
          <w:rFonts w:hint="eastAsia" w:ascii="仿宋" w:hAnsi="仿宋" w:eastAsia="仿宋"/>
          <w:color w:val="000000"/>
          <w:sz w:val="32"/>
          <w:szCs w:val="32"/>
          <w:lang w:val="zh-CN"/>
        </w:rPr>
        <w:t>数字化，数字化率达到 100%。全市各级档案馆基本建成数字档案馆。”</w:t>
      </w:r>
    </w:p>
    <w:p>
      <w:pPr>
        <w:adjustRightInd w:val="0"/>
        <w:snapToGrid w:val="0"/>
        <w:spacing w:line="58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．项目立项、资金申报的依据：绵竹市人民政府关于《绵竹市住房和城乡建设局关于将建设工程档案数字化工作经费纳入2019年度财政预算的请示》（竹建﹝2018﹞415号）的批示。</w:t>
      </w:r>
    </w:p>
    <w:p>
      <w:pPr>
        <w:adjustRightInd w:val="0"/>
        <w:snapToGrid w:val="0"/>
        <w:spacing w:line="58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．2021年通过财政直接支付安排资金14.2万元，主要用于城建档案数字化管理。</w:t>
      </w:r>
    </w:p>
    <w:p>
      <w:pPr>
        <w:adjustRightInd w:val="0"/>
        <w:snapToGrid w:val="0"/>
        <w:spacing w:line="580" w:lineRule="exact"/>
        <w:ind w:firstLine="480" w:firstLineChars="150"/>
        <w:rPr>
          <w:rFonts w:ascii="仿宋_GB2312" w:hAnsi="宋体" w:eastAsia="仿宋_GB2312"/>
          <w:sz w:val="32"/>
          <w:szCs w:val="32"/>
          <w:lang w:val="zh-CN"/>
        </w:rPr>
      </w:pPr>
      <w:r>
        <w:rPr>
          <w:rFonts w:ascii="仿宋_GB2312" w:hAnsi="宋体" w:eastAsia="仿宋_GB2312"/>
          <w:sz w:val="32"/>
          <w:szCs w:val="32"/>
          <w:lang w:val="zh-CN"/>
        </w:rPr>
        <w:t xml:space="preserve"> 4</w:t>
      </w:r>
      <w:r>
        <w:rPr>
          <w:rFonts w:hint="eastAsia" w:ascii="仿宋_GB2312" w:hAnsi="宋体" w:eastAsia="仿宋_GB2312"/>
          <w:sz w:val="32"/>
          <w:szCs w:val="32"/>
          <w:lang w:val="zh-CN"/>
        </w:rPr>
        <w:t>．资金分配的原则：主要以采购服务为主，购买配套的相关设施设备。</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8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．项目主要内容：工程档案整理录入数字化加工服务采购、系统维护费、UPS不间断电源等相关辅助设备。</w:t>
      </w:r>
    </w:p>
    <w:p>
      <w:pPr>
        <w:adjustRightInd w:val="0"/>
        <w:snapToGrid w:val="0"/>
        <w:spacing w:line="58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．项目应实现的具体绩效目标：完成库存城建档案数字化管理</w:t>
      </w:r>
    </w:p>
    <w:p>
      <w:pPr>
        <w:adjustRightInd w:val="0"/>
        <w:snapToGrid w:val="0"/>
        <w:spacing w:line="58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．申报内容与实际相符，申报目标合理可行。</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 w:hAnsi="仿宋" w:eastAsia="仿宋"/>
          <w:color w:val="000000"/>
          <w:sz w:val="32"/>
          <w:szCs w:val="32"/>
          <w:lang w:val="zh-CN"/>
        </w:rPr>
      </w:pPr>
      <w:r>
        <w:rPr>
          <w:rFonts w:hint="eastAsia" w:ascii="仿宋" w:hAnsi="仿宋" w:eastAsia="仿宋"/>
          <w:color w:val="000000"/>
          <w:sz w:val="32"/>
          <w:szCs w:val="32"/>
          <w:lang w:val="zh-CN"/>
        </w:rPr>
        <w:t>由我局开展财政资金使用情况自评并撰写部门预算支出绩效报告，按规范格式按时提交自评报告。</w:t>
      </w:r>
    </w:p>
    <w:p>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80" w:lineRule="exact"/>
        <w:ind w:firstLine="720"/>
        <w:rPr>
          <w:rFonts w:ascii="仿宋_GB2312" w:hAnsi="宋体" w:eastAsia="仿宋_GB2312"/>
          <w:sz w:val="32"/>
          <w:szCs w:val="32"/>
          <w:lang w:val="zh-CN"/>
        </w:rPr>
      </w:pPr>
      <w:r>
        <w:rPr>
          <w:rFonts w:hint="eastAsia" w:ascii="仿宋" w:hAnsi="仿宋" w:eastAsia="仿宋"/>
          <w:color w:val="000000"/>
          <w:sz w:val="32"/>
          <w:szCs w:val="32"/>
          <w:lang w:val="zh-CN"/>
        </w:rPr>
        <w:t>2021年申报后市财政安排</w:t>
      </w:r>
      <w:r>
        <w:rPr>
          <w:rFonts w:hint="eastAsia" w:ascii="仿宋_GB2312" w:hAnsi="宋体" w:eastAsia="仿宋_GB2312"/>
          <w:sz w:val="32"/>
          <w:szCs w:val="32"/>
          <w:lang w:val="zh-CN"/>
        </w:rPr>
        <w:t>14.2</w:t>
      </w:r>
      <w:r>
        <w:rPr>
          <w:rFonts w:hint="eastAsia" w:ascii="仿宋" w:hAnsi="仿宋" w:eastAsia="仿宋"/>
          <w:color w:val="000000"/>
          <w:sz w:val="32"/>
          <w:szCs w:val="32"/>
          <w:lang w:val="zh-CN"/>
        </w:rPr>
        <w:t>万元</w:t>
      </w:r>
      <w:r>
        <w:rPr>
          <w:rFonts w:hint="eastAsia" w:ascii="仿宋_GB2312" w:hAnsi="宋体" w:eastAsia="仿宋_GB2312"/>
          <w:sz w:val="32"/>
          <w:szCs w:val="32"/>
          <w:lang w:val="zh-CN"/>
        </w:rPr>
        <w:t>。</w:t>
      </w:r>
    </w:p>
    <w:p>
      <w:pPr>
        <w:adjustRightInd w:val="0"/>
        <w:snapToGrid w:val="0"/>
        <w:spacing w:line="58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580" w:lineRule="exact"/>
        <w:ind w:firstLine="720"/>
        <w:rPr>
          <w:rFonts w:ascii="仿宋_GB2312" w:hAnsi="宋体" w:eastAsia="仿宋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 w:hAnsi="仿宋" w:eastAsia="仿宋"/>
          <w:color w:val="000000"/>
          <w:sz w:val="32"/>
          <w:szCs w:val="32"/>
          <w:lang w:val="zh-CN"/>
        </w:rPr>
        <w:t>2021年由市财政安排</w:t>
      </w:r>
      <w:r>
        <w:rPr>
          <w:rFonts w:hint="eastAsia" w:ascii="仿宋_GB2312" w:hAnsi="宋体" w:eastAsia="仿宋_GB2312"/>
          <w:sz w:val="32"/>
          <w:szCs w:val="32"/>
          <w:lang w:val="zh-CN"/>
        </w:rPr>
        <w:t>14.2</w:t>
      </w:r>
      <w:r>
        <w:rPr>
          <w:rFonts w:hint="eastAsia" w:ascii="仿宋" w:hAnsi="仿宋" w:eastAsia="仿宋"/>
          <w:color w:val="000000"/>
          <w:sz w:val="32"/>
          <w:szCs w:val="32"/>
          <w:lang w:val="zh-CN"/>
        </w:rPr>
        <w:t>万元</w:t>
      </w:r>
      <w:r>
        <w:rPr>
          <w:rFonts w:hint="eastAsia" w:ascii="仿宋_GB2312" w:hAnsi="宋体" w:eastAsia="仿宋_GB2312"/>
          <w:sz w:val="32"/>
          <w:szCs w:val="32"/>
          <w:lang w:val="zh-CN"/>
        </w:rPr>
        <w:t>。</w:t>
      </w:r>
    </w:p>
    <w:p>
      <w:pPr>
        <w:adjustRightInd w:val="0"/>
        <w:snapToGrid w:val="0"/>
        <w:spacing w:line="580" w:lineRule="exact"/>
        <w:ind w:firstLine="72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lang w:val="zh-CN"/>
        </w:rPr>
        <w:t>截至2021年12月31日，</w:t>
      </w:r>
      <w:r>
        <w:rPr>
          <w:rFonts w:hint="eastAsia" w:ascii="仿宋" w:hAnsi="仿宋" w:eastAsia="仿宋"/>
          <w:color w:val="000000"/>
          <w:sz w:val="32"/>
          <w:szCs w:val="32"/>
          <w:lang w:val="zh-CN"/>
        </w:rPr>
        <w:t>资金到位</w:t>
      </w:r>
      <w:r>
        <w:rPr>
          <w:rFonts w:hint="eastAsia" w:ascii="仿宋_GB2312" w:hAnsi="宋体" w:eastAsia="仿宋_GB2312"/>
          <w:sz w:val="32"/>
          <w:szCs w:val="32"/>
          <w:lang w:val="zh-CN"/>
        </w:rPr>
        <w:t>14.2万元。</w:t>
      </w:r>
    </w:p>
    <w:p>
      <w:pPr>
        <w:adjustRightInd w:val="0"/>
        <w:snapToGrid w:val="0"/>
        <w:spacing w:line="580" w:lineRule="exact"/>
        <w:ind w:firstLine="72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截至2021年12月31日，支出141889.46元，结余110.54元。</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80" w:lineRule="exact"/>
        <w:ind w:firstLine="720"/>
        <w:rPr>
          <w:rFonts w:ascii="仿宋" w:hAnsi="仿宋" w:eastAsia="仿宋"/>
          <w:color w:val="000000"/>
          <w:sz w:val="32"/>
          <w:szCs w:val="32"/>
          <w:lang w:val="zh-CN"/>
        </w:rPr>
      </w:pPr>
      <w:r>
        <w:rPr>
          <w:rFonts w:hint="eastAsia" w:ascii="仿宋" w:hAnsi="仿宋" w:eastAsia="仿宋"/>
          <w:color w:val="000000"/>
          <w:sz w:val="32"/>
          <w:szCs w:val="32"/>
          <w:lang w:val="zh-CN"/>
        </w:rPr>
        <w:t>该项目实施以来，严格执行财务管理制度，账务处理及时，会计核算规范，项目台账清楚。</w:t>
      </w:r>
    </w:p>
    <w:p>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8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ind w:firstLine="640" w:firstLineChars="200"/>
        <w:rPr>
          <w:rFonts w:ascii="楷体_GB2312" w:hAnsi="宋体" w:eastAsia="楷体_GB2312"/>
          <w:b/>
          <w:sz w:val="32"/>
          <w:szCs w:val="32"/>
          <w:lang w:val="zh-CN"/>
        </w:rPr>
      </w:pPr>
      <w:r>
        <w:rPr>
          <w:rFonts w:hint="eastAsia" w:eastAsia="仿宋_GB2312"/>
          <w:sz w:val="32"/>
          <w:szCs w:val="32"/>
          <w:lang w:val="zh-CN"/>
        </w:rPr>
        <w:t>由住建局招标小组自行组织工程档案整理录入数字化加工服务采购项目的竞争性谈判，属于集中采购目录的设备采用集中采购方式购买</w:t>
      </w:r>
      <w:r>
        <w:rPr>
          <w:rFonts w:hint="eastAsia" w:ascii="仿宋_GB2312" w:hAnsi="宋体" w:eastAsia="仿宋_GB2312"/>
          <w:sz w:val="32"/>
          <w:szCs w:val="32"/>
          <w:lang w:val="zh-CN"/>
        </w:rPr>
        <w:t>。</w:t>
      </w:r>
    </w:p>
    <w:p>
      <w:pPr>
        <w:adjustRightInd w:val="0"/>
        <w:snapToGrid w:val="0"/>
        <w:spacing w:line="58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由专人负责数字化加工服务的日常档案交接、成果检查、数量核对等工作，完工后成立验收小组进行验收。</w:t>
      </w:r>
    </w:p>
    <w:p>
      <w:pPr>
        <w:adjustRightInd w:val="0"/>
        <w:snapToGrid w:val="0"/>
        <w:spacing w:line="58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住建局严格按照预算资金使用规定按期拨付资金，并不定期督查资金使用情况。</w:t>
      </w:r>
    </w:p>
    <w:p>
      <w:pPr>
        <w:adjustRightInd w:val="0"/>
        <w:snapToGrid w:val="0"/>
        <w:spacing w:line="58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8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完成了2021年计划的城建档案数字化加工目标。</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完成库存城建档案的数字化管理，建成高效快捷的城建档案查阅体系，提高了库存档案的安全性。</w:t>
      </w:r>
    </w:p>
    <w:p>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完成库存城建档案的数字化管理，建成高效快捷的城建档案查阅体系，提高了库存档案的安全性。</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库存城建档案数量大，数字化加工工作属于劳动密集型工作，无法快速完成。</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请财政能持续安排资金，确保城建档案数字化工作圆满完成。</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194" w:type="dxa"/>
        <w:jc w:val="center"/>
        <w:tblLayout w:type="autofit"/>
        <w:tblCellMar>
          <w:top w:w="0" w:type="dxa"/>
          <w:left w:w="108" w:type="dxa"/>
          <w:bottom w:w="0" w:type="dxa"/>
          <w:right w:w="108" w:type="dxa"/>
        </w:tblCellMar>
      </w:tblPr>
      <w:tblGrid>
        <w:gridCol w:w="900"/>
        <w:gridCol w:w="940"/>
        <w:gridCol w:w="1260"/>
        <w:gridCol w:w="2164"/>
        <w:gridCol w:w="2126"/>
        <w:gridCol w:w="1804"/>
      </w:tblGrid>
      <w:tr>
        <w:tblPrEx>
          <w:tblCellMar>
            <w:top w:w="0" w:type="dxa"/>
            <w:left w:w="108" w:type="dxa"/>
            <w:bottom w:w="0" w:type="dxa"/>
            <w:right w:w="108" w:type="dxa"/>
          </w:tblCellMar>
        </w:tblPrEx>
        <w:trPr>
          <w:trHeight w:val="405" w:hRule="atLeast"/>
          <w:jc w:val="center"/>
        </w:trPr>
        <w:tc>
          <w:tcPr>
            <w:tcW w:w="9194" w:type="dxa"/>
            <w:gridSpan w:val="6"/>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194" w:type="dxa"/>
            <w:gridSpan w:val="6"/>
            <w:tcBorders>
              <w:top w:val="nil"/>
              <w:left w:val="nil"/>
              <w:bottom w:val="nil"/>
              <w:right w:val="nil"/>
            </w:tcBorders>
            <w:shd w:val="clear" w:color="auto" w:fill="auto"/>
            <w:vAlign w:val="center"/>
          </w:tcPr>
          <w:p>
            <w:pPr>
              <w:widowControl/>
              <w:jc w:val="center"/>
            </w:pPr>
            <w:r>
              <w:rPr>
                <w:rFonts w:hint="eastAsia" w:ascii="宋体" w:hAnsi="宋体" w:cs="宋体"/>
                <w:kern w:val="0"/>
                <w:sz w:val="24"/>
              </w:rPr>
              <w:t>（</w:t>
            </w:r>
            <w:r>
              <w:rPr>
                <w:kern w:val="0"/>
                <w:sz w:val="24"/>
              </w:rPr>
              <w:t xml:space="preserve"> 2021</w:t>
            </w:r>
            <w:r>
              <w:rPr>
                <w:rFonts w:hint="eastAsia" w:ascii="宋体" w:hAnsi="宋体" w:cs="宋体"/>
                <w:kern w:val="0"/>
                <w:sz w:val="24"/>
              </w:rPr>
              <w:t>年度）</w:t>
            </w:r>
          </w:p>
        </w:tc>
      </w:tr>
      <w:tr>
        <w:tblPrEx>
          <w:tblCellMar>
            <w:top w:w="0" w:type="dxa"/>
            <w:left w:w="108" w:type="dxa"/>
            <w:bottom w:w="0" w:type="dxa"/>
            <w:right w:w="108" w:type="dxa"/>
          </w:tblCellMar>
        </w:tblPrEx>
        <w:trPr>
          <w:trHeight w:val="495" w:hRule="atLeast"/>
          <w:jc w:val="center"/>
        </w:trPr>
        <w:tc>
          <w:tcPr>
            <w:tcW w:w="3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09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工程档案整理录入数字化加工服务采购项目</w:t>
            </w:r>
            <w:r>
              <w:rPr>
                <w:rFonts w:hint="eastAsia" w:ascii="宋体" w:hAnsi="宋体" w:cs="宋体"/>
                <w:kern w:val="0"/>
                <w:sz w:val="20"/>
                <w:szCs w:val="20"/>
                <w:lang w:eastAsia="zh-CN"/>
              </w:rPr>
              <w:t>（</w:t>
            </w:r>
            <w:r>
              <w:rPr>
                <w:rFonts w:hint="eastAsia" w:ascii="宋体" w:hAnsi="宋体" w:cs="宋体"/>
                <w:kern w:val="0"/>
                <w:sz w:val="20"/>
                <w:szCs w:val="20"/>
              </w:rPr>
              <w:t>2021)</w:t>
            </w:r>
          </w:p>
        </w:tc>
      </w:tr>
      <w:tr>
        <w:tblPrEx>
          <w:tblCellMar>
            <w:top w:w="0" w:type="dxa"/>
            <w:left w:w="108" w:type="dxa"/>
            <w:bottom w:w="0" w:type="dxa"/>
            <w:right w:w="108" w:type="dxa"/>
          </w:tblCellMar>
        </w:tblPrEx>
        <w:trPr>
          <w:trHeight w:val="570" w:hRule="atLeast"/>
          <w:jc w:val="center"/>
        </w:trPr>
        <w:tc>
          <w:tcPr>
            <w:tcW w:w="31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09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420" w:hRule="atLeast"/>
          <w:jc w:val="center"/>
        </w:trPr>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2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16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执行数：142000</w:t>
            </w:r>
          </w:p>
        </w:tc>
        <w:tc>
          <w:tcPr>
            <w:tcW w:w="18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2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16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142000</w:t>
            </w:r>
          </w:p>
        </w:tc>
        <w:tc>
          <w:tcPr>
            <w:tcW w:w="2126"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142000</w:t>
            </w:r>
          </w:p>
        </w:tc>
      </w:tr>
      <w:tr>
        <w:tblPrEx>
          <w:tblCellMar>
            <w:top w:w="0" w:type="dxa"/>
            <w:left w:w="108" w:type="dxa"/>
            <w:bottom w:w="0" w:type="dxa"/>
            <w:right w:w="108" w:type="dxa"/>
          </w:tblCellMar>
        </w:tblPrEx>
        <w:trPr>
          <w:trHeight w:val="49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2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164"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126"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80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95" w:hRule="atLeast"/>
          <w:jc w:val="center"/>
        </w:trPr>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364"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93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988"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364"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建设工程档案数字化系统，完成约2012年</w:t>
            </w:r>
            <w:r>
              <w:rPr>
                <w:rFonts w:hint="eastAsia" w:ascii="宋体" w:hAnsi="宋体" w:cs="宋体"/>
                <w:kern w:val="0"/>
                <w:sz w:val="20"/>
                <w:szCs w:val="20"/>
                <w:lang w:eastAsia="zh-CN"/>
              </w:rPr>
              <w:t>—</w:t>
            </w:r>
            <w:r>
              <w:rPr>
                <w:rFonts w:hint="eastAsia" w:ascii="宋体" w:hAnsi="宋体" w:cs="宋体"/>
                <w:kern w:val="0"/>
                <w:sz w:val="20"/>
                <w:szCs w:val="20"/>
              </w:rPr>
              <w:t>2015年建设工程档案的整理录入及数字化加工。</w:t>
            </w:r>
          </w:p>
        </w:tc>
        <w:tc>
          <w:tcPr>
            <w:tcW w:w="393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完成2015年以前的库存建设工程档案的整理录入及数字化加工。</w:t>
            </w:r>
          </w:p>
        </w:tc>
      </w:tr>
      <w:tr>
        <w:tblPrEx>
          <w:tblCellMar>
            <w:top w:w="0" w:type="dxa"/>
            <w:left w:w="108" w:type="dxa"/>
            <w:bottom w:w="0" w:type="dxa"/>
            <w:right w:w="108" w:type="dxa"/>
          </w:tblCellMar>
        </w:tblPrEx>
        <w:trPr>
          <w:trHeight w:val="480" w:hRule="atLeast"/>
          <w:jc w:val="center"/>
        </w:trPr>
        <w:tc>
          <w:tcPr>
            <w:tcW w:w="90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16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870" w:hRule="atLeast"/>
          <w:jc w:val="center"/>
        </w:trPr>
        <w:tc>
          <w:tcPr>
            <w:tcW w:w="90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2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164"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完成约2012年</w:t>
            </w:r>
            <w:r>
              <w:rPr>
                <w:rFonts w:hint="eastAsia" w:ascii="宋体" w:hAnsi="宋体" w:cs="宋体"/>
                <w:kern w:val="0"/>
                <w:sz w:val="20"/>
                <w:szCs w:val="20"/>
                <w:lang w:eastAsia="zh-CN"/>
              </w:rPr>
              <w:t>—</w:t>
            </w:r>
            <w:r>
              <w:rPr>
                <w:rFonts w:hint="eastAsia" w:ascii="宋体" w:hAnsi="宋体" w:cs="宋体"/>
                <w:kern w:val="0"/>
                <w:sz w:val="20"/>
                <w:szCs w:val="20"/>
              </w:rPr>
              <w:t>2015年库存建设工程档案</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完成约28.78万页</w:t>
            </w:r>
          </w:p>
        </w:tc>
        <w:tc>
          <w:tcPr>
            <w:tcW w:w="18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完成约28.78万页</w:t>
            </w:r>
          </w:p>
        </w:tc>
      </w:tr>
      <w:tr>
        <w:tblPrEx>
          <w:tblCellMar>
            <w:top w:w="0" w:type="dxa"/>
            <w:left w:w="108" w:type="dxa"/>
            <w:bottom w:w="0" w:type="dxa"/>
            <w:right w:w="108" w:type="dxa"/>
          </w:tblCellMar>
        </w:tblPrEx>
        <w:trPr>
          <w:trHeight w:val="690" w:hRule="atLeast"/>
          <w:jc w:val="center"/>
        </w:trPr>
        <w:tc>
          <w:tcPr>
            <w:tcW w:w="90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1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案卷归档规范率</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≥100%</w:t>
            </w:r>
          </w:p>
        </w:tc>
        <w:tc>
          <w:tcPr>
            <w:tcW w:w="18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90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1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完成时间</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2021年11月前</w:t>
            </w:r>
          </w:p>
        </w:tc>
        <w:tc>
          <w:tcPr>
            <w:tcW w:w="18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2021年11月前</w:t>
            </w:r>
          </w:p>
        </w:tc>
      </w:tr>
      <w:tr>
        <w:tblPrEx>
          <w:tblCellMar>
            <w:top w:w="0" w:type="dxa"/>
            <w:left w:w="108" w:type="dxa"/>
            <w:bottom w:w="0" w:type="dxa"/>
            <w:right w:w="108" w:type="dxa"/>
          </w:tblCellMar>
        </w:tblPrEx>
        <w:trPr>
          <w:trHeight w:val="705" w:hRule="atLeast"/>
          <w:jc w:val="center"/>
        </w:trPr>
        <w:tc>
          <w:tcPr>
            <w:tcW w:w="90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1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建设工程档案的整理录入及数字化加工</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0.33元/页</w:t>
            </w:r>
          </w:p>
        </w:tc>
        <w:tc>
          <w:tcPr>
            <w:tcW w:w="18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0.33元/页</w:t>
            </w:r>
          </w:p>
        </w:tc>
      </w:tr>
      <w:tr>
        <w:tblPrEx>
          <w:tblCellMar>
            <w:top w:w="0" w:type="dxa"/>
            <w:left w:w="108" w:type="dxa"/>
            <w:bottom w:w="0" w:type="dxa"/>
            <w:right w:w="108" w:type="dxa"/>
          </w:tblCellMar>
        </w:tblPrEx>
        <w:trPr>
          <w:trHeight w:val="930" w:hRule="atLeast"/>
          <w:jc w:val="center"/>
        </w:trPr>
        <w:tc>
          <w:tcPr>
            <w:tcW w:w="90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2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64" w:type="dxa"/>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对工作的促进作用</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规范整理建设工程档案，安全有效保存工程资料，方便档案查询</w:t>
            </w:r>
          </w:p>
        </w:tc>
        <w:tc>
          <w:tcPr>
            <w:tcW w:w="18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规范整理建设工程档案，安全有效保存工程资料，方便档案查询</w:t>
            </w:r>
          </w:p>
        </w:tc>
      </w:tr>
      <w:tr>
        <w:tblPrEx>
          <w:tblCellMar>
            <w:top w:w="0" w:type="dxa"/>
            <w:left w:w="108" w:type="dxa"/>
            <w:bottom w:w="0" w:type="dxa"/>
            <w:right w:w="108" w:type="dxa"/>
          </w:tblCellMar>
        </w:tblPrEx>
        <w:trPr>
          <w:trHeight w:val="480" w:hRule="atLeast"/>
          <w:jc w:val="center"/>
        </w:trPr>
        <w:tc>
          <w:tcPr>
            <w:tcW w:w="90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档案使用年限</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永久</w:t>
            </w:r>
          </w:p>
        </w:tc>
        <w:tc>
          <w:tcPr>
            <w:tcW w:w="180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永久</w:t>
            </w:r>
          </w:p>
        </w:tc>
      </w:tr>
      <w:tr>
        <w:tblPrEx>
          <w:tblCellMar>
            <w:top w:w="0" w:type="dxa"/>
            <w:left w:w="108" w:type="dxa"/>
            <w:bottom w:w="0" w:type="dxa"/>
            <w:right w:w="108" w:type="dxa"/>
          </w:tblCellMar>
        </w:tblPrEx>
        <w:trPr>
          <w:trHeight w:val="825" w:hRule="atLeast"/>
          <w:jc w:val="center"/>
        </w:trPr>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16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档案管理部门满意度、档案使用者满意度</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180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方正小标宋_GBK" w:hAnsi="宋体" w:eastAsia="方正小标宋_GBK"/>
          <w:sz w:val="32"/>
          <w:szCs w:val="32"/>
        </w:rPr>
      </w:pPr>
      <w:r>
        <w:rPr>
          <w:rFonts w:hint="eastAsia" w:ascii="方正小标宋_GBK" w:hAnsi="宋体" w:eastAsia="方正小标宋_GBK"/>
          <w:color w:val="000000"/>
          <w:kern w:val="0"/>
          <w:sz w:val="44"/>
          <w:szCs w:val="44"/>
        </w:rPr>
        <w:t>项目支出绩效自评报告</w:t>
      </w:r>
    </w:p>
    <w:p>
      <w:pPr>
        <w:spacing w:line="580" w:lineRule="exact"/>
        <w:jc w:val="center"/>
        <w:rPr>
          <w:rFonts w:ascii="仿宋_GB2312" w:hAnsi="宋体" w:eastAsia="仿宋_GB2312"/>
          <w:sz w:val="32"/>
          <w:szCs w:val="32"/>
          <w:lang w:val="zh-CN"/>
        </w:rPr>
      </w:pPr>
      <w:r>
        <w:rPr>
          <w:rFonts w:hint="eastAsia" w:ascii="方正小标宋_GBK" w:hAnsi="宋体" w:eastAsia="方正小标宋_GBK"/>
          <w:sz w:val="32"/>
          <w:szCs w:val="32"/>
        </w:rPr>
        <w:t xml:space="preserve">    </w:t>
      </w:r>
      <w:r>
        <w:rPr>
          <w:rFonts w:hint="eastAsia" w:ascii="仿宋_GB2312" w:hAnsi="宋体" w:eastAsia="仿宋_GB2312"/>
          <w:sz w:val="32"/>
          <w:szCs w:val="32"/>
          <w:lang w:val="zh-CN"/>
        </w:rPr>
        <w:t>（兑现支持建筑企业民营经济健康发展奖补资金　）</w:t>
      </w:r>
    </w:p>
    <w:p>
      <w:pPr>
        <w:spacing w:line="580" w:lineRule="exact"/>
        <w:ind w:firstLine="640"/>
        <w:jc w:val="center"/>
        <w:rPr>
          <w:rFonts w:hint="eastAsia" w:ascii="宋体" w:hAnsi="??"/>
          <w:sz w:val="32"/>
          <w:szCs w:val="32"/>
        </w:rPr>
      </w:pPr>
    </w:p>
    <w:p>
      <w:pPr>
        <w:adjustRightInd w:val="0"/>
        <w:snapToGrid w:val="0"/>
        <w:spacing w:line="540" w:lineRule="exact"/>
        <w:ind w:firstLine="720"/>
        <w:rPr>
          <w:rFonts w:ascii="黑体" w:hAnsi="黑体" w:eastAsia="黑体"/>
          <w:b/>
          <w:sz w:val="32"/>
          <w:szCs w:val="32"/>
          <w:lang w:val="zh-CN"/>
        </w:rPr>
      </w:pPr>
      <w:r>
        <w:rPr>
          <w:rFonts w:hint="eastAsia" w:ascii="黑体" w:hAnsi="黑体" w:eastAsia="黑体"/>
          <w:b/>
          <w:sz w:val="32"/>
          <w:szCs w:val="32"/>
        </w:rPr>
        <w:t>一、</w:t>
      </w:r>
      <w:r>
        <w:rPr>
          <w:rFonts w:hint="eastAsia" w:ascii="黑体" w:hAnsi="黑体" w:eastAsia="黑体"/>
          <w:b/>
          <w:sz w:val="32"/>
          <w:szCs w:val="32"/>
          <w:lang w:val="zh-CN"/>
        </w:rPr>
        <w:t>项目概况</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按照《中共绵竹市委 绵竹市人民政府关于印发贯彻落实〈绵竹市促进民营经济健康发展八条措施（试行）〉有关政策措施分工方案的通知》（竹市委办函〔2019〕19号），由企业申报，我局初审、复审并公示，经绵竹市人民政府常务会议（〔十八届八十三次〕24号）议定，我市四川仟坤建设集团有限公司、四川省星坤建设发展有限责任公司等4家企业在建筑企业入库地方财政达到一定数额和支持民营企业提品质创品牌等方面符合有关奖励政策。</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鼓励和支持建筑业企业高质量健康发展，推动建筑产业转型升级、做大、做强。</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4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由我局开展财政资金使用情况自评并撰写部门预算支出绩效报告，按规范格式按时提交自评报告。</w:t>
      </w:r>
    </w:p>
    <w:p>
      <w:pPr>
        <w:adjustRightInd w:val="0"/>
        <w:snapToGrid w:val="0"/>
        <w:spacing w:line="540" w:lineRule="exact"/>
        <w:ind w:firstLine="720"/>
        <w:rPr>
          <w:rFonts w:ascii="黑体" w:hAnsi="黑体" w:eastAsia="黑体"/>
          <w:b/>
          <w:sz w:val="32"/>
          <w:szCs w:val="32"/>
        </w:rPr>
      </w:pPr>
      <w:r>
        <w:rPr>
          <w:rFonts w:hint="eastAsia" w:ascii="黑体" w:hAnsi="黑体" w:eastAsia="黑体"/>
          <w:b/>
          <w:sz w:val="32"/>
          <w:szCs w:val="32"/>
        </w:rPr>
        <w:t>二、项目资金申报及使用情况</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经绵竹市人民政府常务会议（〔十八届八十三次〕24号）议定，我市四川仟坤建设集团有限公司、四川省星坤建设发展有限责任公司等4家企业在建筑企业入库地方财政达到一定数额和支持民营企业提品质创品牌等方面符合有关奖励政策。</w:t>
      </w:r>
    </w:p>
    <w:p>
      <w:pPr>
        <w:adjustRightInd w:val="0"/>
        <w:snapToGrid w:val="0"/>
        <w:spacing w:line="5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市对四川仟坤建设集团有限公司、四川省星坤建设发展有限责任公司等4家企业在建筑企业入库地方财政达到一定数额和支持民营企业提品质创品牌等方面进行了奖补，共计发放奖补资金41.3万元，支付依据合规合法。</w:t>
      </w:r>
    </w:p>
    <w:p>
      <w:pPr>
        <w:adjustRightInd w:val="0"/>
        <w:snapToGrid w:val="0"/>
        <w:spacing w:line="5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该项目严格按照财务管理制度执行，财务处理及时，会计核算规范。</w:t>
      </w:r>
    </w:p>
    <w:p>
      <w:pPr>
        <w:adjustRightInd w:val="0"/>
        <w:snapToGrid w:val="0"/>
        <w:spacing w:line="540" w:lineRule="exact"/>
        <w:ind w:firstLine="720"/>
        <w:rPr>
          <w:rFonts w:ascii="方正小标宋简体" w:hAnsi="宋体" w:eastAsia="方正小标宋简体"/>
          <w:b/>
          <w:sz w:val="32"/>
          <w:szCs w:val="32"/>
        </w:rPr>
      </w:pPr>
      <w:r>
        <w:rPr>
          <w:rFonts w:hint="eastAsia" w:ascii="微软雅黑" w:hAnsi="微软雅黑" w:eastAsia="微软雅黑" w:cs="微软雅黑"/>
          <w:b/>
          <w:sz w:val="32"/>
          <w:szCs w:val="32"/>
        </w:rPr>
        <w:t>三</w:t>
      </w:r>
      <w:r>
        <w:rPr>
          <w:rFonts w:hint="eastAsia" w:ascii="Malgun Gothic Semilight" w:hAnsi="Malgun Gothic Semilight" w:eastAsia="Malgun Gothic Semilight" w:cs="Malgun Gothic Semilight"/>
          <w:b/>
          <w:sz w:val="32"/>
          <w:szCs w:val="32"/>
        </w:rPr>
        <w:t>、</w:t>
      </w:r>
      <w:r>
        <w:rPr>
          <w:rFonts w:hint="eastAsia" w:ascii="微软雅黑" w:hAnsi="微软雅黑" w:eastAsia="微软雅黑" w:cs="微软雅黑"/>
          <w:b/>
          <w:sz w:val="32"/>
          <w:szCs w:val="32"/>
        </w:rPr>
        <w:t>项目实施及管理情况</w:t>
      </w:r>
    </w:p>
    <w:p>
      <w:pPr>
        <w:adjustRightInd w:val="0"/>
        <w:snapToGrid w:val="0"/>
        <w:spacing w:line="5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1.申请享受财政补助的材料，一律由绵竹住建局建管股受理，由建管股按规定提出初步意见。</w:t>
      </w:r>
    </w:p>
    <w:p>
      <w:pPr>
        <w:adjustRightInd w:val="0"/>
        <w:snapToGrid w:val="0"/>
        <w:spacing w:line="5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 建管股将相关材料和初审意见统一报市政府审核；审核通过后，由市住建局直接将补助资金拨付到指定账户。</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5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经绵竹市人民政府常务会议（〔十八届八十三次〕24号）议定，我市四川仟坤建设集团有限公司、四川省星坤建设发展有限责任公司等4家企业在建筑企业入库地方财政达到一定数额和支持民营企业提品质创品牌等方面符合有关奖励政策。</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540" w:lineRule="exact"/>
        <w:ind w:firstLine="720"/>
        <w:rPr>
          <w:rFonts w:ascii="仿宋_GB2312" w:hAnsi="宋体" w:eastAsia="仿宋_GB2312"/>
          <w:sz w:val="32"/>
          <w:szCs w:val="32"/>
          <w:lang w:val="zh-CN"/>
        </w:rPr>
      </w:pPr>
      <w:r>
        <w:rPr>
          <w:rFonts w:hint="eastAsia" w:ascii="仿宋_GB2312" w:hAnsi="宋体" w:eastAsia="仿宋_GB2312"/>
          <w:sz w:val="32"/>
          <w:szCs w:val="32"/>
        </w:rPr>
        <w:t>建筑企业</w:t>
      </w:r>
      <w:r>
        <w:rPr>
          <w:rFonts w:hint="eastAsia" w:ascii="仿宋_GB2312" w:hAnsi="宋体" w:eastAsia="仿宋_GB2312"/>
          <w:sz w:val="32"/>
          <w:szCs w:val="32"/>
          <w:lang w:val="zh-CN"/>
        </w:rPr>
        <w:t>对所提供的所有材料的真实性负责，对有关单位及其工作人员在补贴工作中玩忽职守、滥用职权、徇私舞弊等违法违规行为的，依法追究相应责任。加强项目资金监管，申请项目资金需填报资金拨付审批表，实行股室经办人审查、股室负责人审核、财务部门审核、项目分管领导审核、财务分管领导审核和局长审批等监管程序，实现项目资金规范及时发放。</w:t>
      </w:r>
    </w:p>
    <w:p>
      <w:pPr>
        <w:adjustRightInd w:val="0"/>
        <w:snapToGrid w:val="0"/>
        <w:spacing w:line="540" w:lineRule="exact"/>
        <w:ind w:firstLine="720"/>
        <w:rPr>
          <w:rFonts w:ascii="方正小标宋简体" w:hAnsi="宋体" w:eastAsia="方正小标宋简体"/>
          <w:b/>
          <w:sz w:val="32"/>
          <w:szCs w:val="32"/>
          <w:lang w:val="zh-CN"/>
        </w:rPr>
      </w:pPr>
      <w:r>
        <w:rPr>
          <w:rFonts w:hint="eastAsia" w:ascii="微软雅黑" w:hAnsi="微软雅黑" w:eastAsia="微软雅黑" w:cs="微软雅黑"/>
          <w:b/>
          <w:sz w:val="32"/>
          <w:szCs w:val="32"/>
        </w:rPr>
        <w:t>四</w:t>
      </w:r>
      <w:r>
        <w:rPr>
          <w:rFonts w:hint="eastAsia" w:ascii="Malgun Gothic Semilight" w:hAnsi="Malgun Gothic Semilight" w:eastAsia="Malgun Gothic Semilight" w:cs="Malgun Gothic Semilight"/>
          <w:b/>
          <w:sz w:val="32"/>
          <w:szCs w:val="32"/>
        </w:rPr>
        <w:t>、</w:t>
      </w:r>
      <w:r>
        <w:rPr>
          <w:rFonts w:hint="eastAsia" w:ascii="微软雅黑" w:hAnsi="微软雅黑" w:eastAsia="微软雅黑" w:cs="微软雅黑"/>
          <w:b/>
          <w:sz w:val="32"/>
          <w:szCs w:val="32"/>
        </w:rPr>
        <w:t>项目绩效情况</w:t>
      </w:r>
      <w:r>
        <w:rPr>
          <w:rFonts w:hint="eastAsia" w:ascii="方正小标宋简体" w:hAnsi="宋体" w:eastAsia="方正小标宋简体"/>
          <w:b/>
          <w:sz w:val="32"/>
          <w:szCs w:val="32"/>
          <w:lang w:val="zh-CN"/>
        </w:rPr>
        <w:tab/>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我市对四川仟坤建设集团有限公司、四川省星坤建设发展有限责任公司等4家企业在建筑企业入库地方财政达到一定数额和支持民营企业提品质创品牌等方面进行了奖补，共计发放奖补资金41.3万元。</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40" w:lineRule="exact"/>
        <w:ind w:firstLine="720"/>
        <w:rPr>
          <w:rFonts w:ascii="仿宋_GB2312" w:hAnsi="宋体" w:eastAsia="仿宋_GB2312"/>
          <w:sz w:val="32"/>
          <w:szCs w:val="32"/>
        </w:rPr>
      </w:pPr>
      <w:r>
        <w:rPr>
          <w:rFonts w:hint="eastAsia" w:ascii="仿宋_GB2312" w:hAnsi="宋体" w:eastAsia="仿宋_GB2312"/>
          <w:sz w:val="32"/>
          <w:szCs w:val="32"/>
        </w:rPr>
        <w:t>2021年完成建筑业总产值38.6亿元，同比增长19%，位居德阳第一。</w:t>
      </w:r>
    </w:p>
    <w:p>
      <w:pPr>
        <w:adjustRightInd w:val="0"/>
        <w:snapToGrid w:val="0"/>
        <w:spacing w:line="540" w:lineRule="exact"/>
        <w:ind w:firstLine="720"/>
        <w:rPr>
          <w:rFonts w:ascii="方正小标宋简体" w:hAnsi="宋体" w:eastAsia="方正小标宋简体"/>
          <w:b/>
          <w:sz w:val="32"/>
          <w:szCs w:val="32"/>
        </w:rPr>
      </w:pPr>
      <w:r>
        <w:rPr>
          <w:rFonts w:hint="eastAsia" w:ascii="微软雅黑" w:hAnsi="微软雅黑" w:eastAsia="微软雅黑" w:cs="微软雅黑"/>
          <w:b/>
          <w:sz w:val="32"/>
          <w:szCs w:val="32"/>
        </w:rPr>
        <w:t>五</w:t>
      </w:r>
      <w:r>
        <w:rPr>
          <w:rFonts w:hint="eastAsia" w:ascii="Malgun Gothic Semilight" w:hAnsi="Malgun Gothic Semilight" w:eastAsia="Malgun Gothic Semilight" w:cs="Malgun Gothic Semilight"/>
          <w:b/>
          <w:sz w:val="32"/>
          <w:szCs w:val="32"/>
        </w:rPr>
        <w:t>、</w:t>
      </w:r>
      <w:r>
        <w:rPr>
          <w:rFonts w:hint="eastAsia" w:ascii="微软雅黑" w:hAnsi="微软雅黑" w:eastAsia="微软雅黑" w:cs="微软雅黑"/>
          <w:b/>
          <w:sz w:val="32"/>
          <w:szCs w:val="32"/>
        </w:rPr>
        <w:t>评价结论及建议</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40" w:lineRule="exact"/>
        <w:ind w:firstLine="720"/>
        <w:rPr>
          <w:rFonts w:ascii="仿宋_GB2312" w:hAnsi="宋体" w:eastAsia="仿宋_GB2312"/>
          <w:sz w:val="32"/>
          <w:szCs w:val="32"/>
        </w:rPr>
      </w:pPr>
      <w:r>
        <w:rPr>
          <w:rFonts w:hint="eastAsia" w:ascii="仿宋_GB2312" w:hAnsi="宋体" w:eastAsia="仿宋_GB2312"/>
          <w:sz w:val="32"/>
          <w:szCs w:val="32"/>
        </w:rPr>
        <w:t>对4家企业在建筑企业入库地方财政达到一定数额和支持民营企业提品质创品牌等方面进行奖补，促进我市建筑企业持续健康发展，评价结果为优。</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ascii="仿宋_GB2312" w:hAnsi="宋体" w:eastAsia="仿宋_GB2312"/>
          <w:sz w:val="32"/>
          <w:szCs w:val="32"/>
          <w:lang w:val="zh-CN"/>
        </w:rPr>
        <w:tab/>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482" w:type="dxa"/>
        <w:jc w:val="center"/>
        <w:tblLayout w:type="autofit"/>
        <w:tblCellMar>
          <w:top w:w="0" w:type="dxa"/>
          <w:left w:w="108" w:type="dxa"/>
          <w:bottom w:w="0" w:type="dxa"/>
          <w:right w:w="108" w:type="dxa"/>
        </w:tblCellMar>
      </w:tblPr>
      <w:tblGrid>
        <w:gridCol w:w="835"/>
        <w:gridCol w:w="1265"/>
        <w:gridCol w:w="1182"/>
        <w:gridCol w:w="1538"/>
        <w:gridCol w:w="446"/>
        <w:gridCol w:w="2934"/>
        <w:gridCol w:w="1282"/>
      </w:tblGrid>
      <w:tr>
        <w:tblPrEx>
          <w:tblCellMar>
            <w:top w:w="0" w:type="dxa"/>
            <w:left w:w="108" w:type="dxa"/>
            <w:bottom w:w="0" w:type="dxa"/>
            <w:right w:w="108" w:type="dxa"/>
          </w:tblCellMar>
        </w:tblPrEx>
        <w:trPr>
          <w:trHeight w:val="405" w:hRule="atLeast"/>
          <w:jc w:val="center"/>
        </w:trPr>
        <w:tc>
          <w:tcPr>
            <w:tcW w:w="9482"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482"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85" w:hRule="atLeast"/>
          <w:jc w:val="center"/>
        </w:trPr>
        <w:tc>
          <w:tcPr>
            <w:tcW w:w="835"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265"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1182"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1538"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446"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2934"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1282"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835"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5"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82"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538"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446"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934"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282"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40" w:hRule="atLeast"/>
          <w:jc w:val="center"/>
        </w:trPr>
        <w:tc>
          <w:tcPr>
            <w:tcW w:w="32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2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兑现支持建筑企业民营经济健康发展奖补资金</w:t>
            </w:r>
          </w:p>
        </w:tc>
      </w:tr>
      <w:tr>
        <w:tblPrEx>
          <w:tblCellMar>
            <w:top w:w="0" w:type="dxa"/>
            <w:left w:w="108" w:type="dxa"/>
            <w:bottom w:w="0" w:type="dxa"/>
            <w:right w:w="108" w:type="dxa"/>
          </w:tblCellMar>
        </w:tblPrEx>
        <w:trPr>
          <w:trHeight w:val="405" w:hRule="atLeast"/>
          <w:jc w:val="center"/>
        </w:trPr>
        <w:tc>
          <w:tcPr>
            <w:tcW w:w="328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2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559" w:hRule="atLeast"/>
          <w:jc w:val="center"/>
        </w:trPr>
        <w:tc>
          <w:tcPr>
            <w:tcW w:w="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4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41.3万元</w:t>
            </w:r>
          </w:p>
        </w:tc>
        <w:tc>
          <w:tcPr>
            <w:tcW w:w="29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41.3万元</w:t>
            </w:r>
          </w:p>
        </w:tc>
      </w:tr>
      <w:tr>
        <w:tblPrEx>
          <w:tblCellMar>
            <w:top w:w="0" w:type="dxa"/>
            <w:left w:w="108" w:type="dxa"/>
            <w:bottom w:w="0" w:type="dxa"/>
            <w:right w:w="108" w:type="dxa"/>
          </w:tblCellMar>
        </w:tblPrEx>
        <w:trPr>
          <w:trHeight w:val="510" w:hRule="atLeast"/>
          <w:jc w:val="center"/>
        </w:trPr>
        <w:tc>
          <w:tcPr>
            <w:tcW w:w="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41.3万元</w:t>
            </w:r>
          </w:p>
        </w:tc>
        <w:tc>
          <w:tcPr>
            <w:tcW w:w="2934"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41.3万元</w:t>
            </w:r>
          </w:p>
        </w:tc>
      </w:tr>
      <w:tr>
        <w:tblPrEx>
          <w:tblCellMar>
            <w:top w:w="0" w:type="dxa"/>
            <w:left w:w="108" w:type="dxa"/>
            <w:bottom w:w="0" w:type="dxa"/>
            <w:right w:w="108" w:type="dxa"/>
          </w:tblCellMar>
        </w:tblPrEx>
        <w:trPr>
          <w:trHeight w:val="588" w:hRule="atLeast"/>
          <w:jc w:val="center"/>
        </w:trPr>
        <w:tc>
          <w:tcPr>
            <w:tcW w:w="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934"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600" w:hRule="atLeast"/>
          <w:jc w:val="center"/>
        </w:trPr>
        <w:tc>
          <w:tcPr>
            <w:tcW w:w="83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43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21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080" w:hRule="atLeast"/>
          <w:jc w:val="center"/>
        </w:trPr>
        <w:tc>
          <w:tcPr>
            <w:tcW w:w="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3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对4家企业在建筑企业入库地方财政达到一定数额和支持民营企业提品质创品牌等方面进行奖补。</w:t>
            </w:r>
          </w:p>
        </w:tc>
        <w:tc>
          <w:tcPr>
            <w:tcW w:w="421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对4家企业在建筑企业入库地方财政达到一定数额和支持民营企业提品质创品牌等方面进行奖补，共计发放奖补资金41.3万元。</w:t>
            </w:r>
          </w:p>
        </w:tc>
      </w:tr>
      <w:tr>
        <w:tblPrEx>
          <w:tblCellMar>
            <w:top w:w="0" w:type="dxa"/>
            <w:left w:w="108" w:type="dxa"/>
            <w:bottom w:w="0" w:type="dxa"/>
            <w:right w:w="108" w:type="dxa"/>
          </w:tblCellMar>
        </w:tblPrEx>
        <w:trPr>
          <w:trHeight w:val="480" w:hRule="atLeast"/>
          <w:jc w:val="center"/>
        </w:trPr>
        <w:tc>
          <w:tcPr>
            <w:tcW w:w="83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265"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1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9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50" w:hRule="atLeast"/>
          <w:jc w:val="center"/>
        </w:trPr>
        <w:tc>
          <w:tcPr>
            <w:tcW w:w="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182"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奖补企业数量</w:t>
            </w:r>
          </w:p>
        </w:tc>
        <w:tc>
          <w:tcPr>
            <w:tcW w:w="29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4家</w:t>
            </w:r>
          </w:p>
        </w:tc>
        <w:tc>
          <w:tcPr>
            <w:tcW w:w="12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4家</w:t>
            </w:r>
          </w:p>
        </w:tc>
      </w:tr>
      <w:tr>
        <w:tblPrEx>
          <w:tblCellMar>
            <w:top w:w="0" w:type="dxa"/>
            <w:left w:w="108" w:type="dxa"/>
            <w:bottom w:w="0" w:type="dxa"/>
            <w:right w:w="108" w:type="dxa"/>
          </w:tblCellMar>
        </w:tblPrEx>
        <w:trPr>
          <w:trHeight w:val="480" w:hRule="atLeast"/>
          <w:jc w:val="center"/>
        </w:trPr>
        <w:tc>
          <w:tcPr>
            <w:tcW w:w="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82"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补贴发放准确率</w:t>
            </w:r>
          </w:p>
        </w:tc>
        <w:tc>
          <w:tcPr>
            <w:tcW w:w="29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82"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完成时间</w:t>
            </w:r>
            <w:r>
              <w:rPr>
                <w:rFonts w:hint="eastAsia" w:ascii="宋体" w:hAnsi="宋体" w:cs="宋体"/>
                <w:kern w:val="0"/>
                <w:sz w:val="20"/>
                <w:szCs w:val="20"/>
                <w:lang w:eastAsia="zh-CN"/>
              </w:rPr>
              <w:t>（</w:t>
            </w:r>
            <w:r>
              <w:rPr>
                <w:rFonts w:hint="eastAsia" w:ascii="宋体" w:hAnsi="宋体" w:cs="宋体"/>
                <w:kern w:val="0"/>
                <w:sz w:val="20"/>
                <w:szCs w:val="20"/>
              </w:rPr>
              <w:t>年度）</w:t>
            </w:r>
          </w:p>
        </w:tc>
        <w:tc>
          <w:tcPr>
            <w:tcW w:w="29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w:t>
            </w:r>
          </w:p>
        </w:tc>
      </w:tr>
      <w:tr>
        <w:tblPrEx>
          <w:tblCellMar>
            <w:top w:w="0" w:type="dxa"/>
            <w:left w:w="108" w:type="dxa"/>
            <w:bottom w:w="0" w:type="dxa"/>
            <w:right w:w="108" w:type="dxa"/>
          </w:tblCellMar>
        </w:tblPrEx>
        <w:trPr>
          <w:trHeight w:val="480" w:hRule="atLeast"/>
          <w:jc w:val="center"/>
        </w:trPr>
        <w:tc>
          <w:tcPr>
            <w:tcW w:w="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82"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按标准给予补贴金额（万元）</w:t>
            </w:r>
          </w:p>
        </w:tc>
        <w:tc>
          <w:tcPr>
            <w:tcW w:w="29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≦41.3</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41.3</w:t>
            </w:r>
          </w:p>
        </w:tc>
      </w:tr>
      <w:tr>
        <w:tblPrEx>
          <w:tblCellMar>
            <w:top w:w="0" w:type="dxa"/>
            <w:left w:w="108" w:type="dxa"/>
            <w:bottom w:w="0" w:type="dxa"/>
            <w:right w:w="108" w:type="dxa"/>
          </w:tblCellMar>
        </w:tblPrEx>
        <w:trPr>
          <w:trHeight w:val="855" w:hRule="atLeast"/>
          <w:jc w:val="center"/>
        </w:trPr>
        <w:tc>
          <w:tcPr>
            <w:tcW w:w="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182"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加大对建筑业企业的扶持力度</w:t>
            </w:r>
          </w:p>
        </w:tc>
        <w:tc>
          <w:tcPr>
            <w:tcW w:w="29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促进企业发展</w:t>
            </w:r>
          </w:p>
        </w:tc>
        <w:tc>
          <w:tcPr>
            <w:tcW w:w="12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2021年完成建筑业产值38.6亿元，同比增速19%。</w:t>
            </w:r>
          </w:p>
        </w:tc>
      </w:tr>
      <w:tr>
        <w:tblPrEx>
          <w:tblCellMar>
            <w:top w:w="0" w:type="dxa"/>
            <w:left w:w="108" w:type="dxa"/>
            <w:bottom w:w="0" w:type="dxa"/>
            <w:right w:w="108" w:type="dxa"/>
          </w:tblCellMar>
        </w:tblPrEx>
        <w:trPr>
          <w:trHeight w:val="720" w:hRule="atLeast"/>
          <w:jc w:val="center"/>
        </w:trPr>
        <w:tc>
          <w:tcPr>
            <w:tcW w:w="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支持我市建筑企业持续健康发展</w:t>
            </w:r>
          </w:p>
        </w:tc>
        <w:tc>
          <w:tcPr>
            <w:tcW w:w="293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保障我市建筑业健康稳定发展</w:t>
            </w:r>
          </w:p>
        </w:tc>
        <w:tc>
          <w:tcPr>
            <w:tcW w:w="12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保障我市建筑业健康稳定发展</w:t>
            </w:r>
          </w:p>
        </w:tc>
      </w:tr>
      <w:tr>
        <w:tblPrEx>
          <w:tblCellMar>
            <w:top w:w="0" w:type="dxa"/>
            <w:left w:w="108" w:type="dxa"/>
            <w:bottom w:w="0" w:type="dxa"/>
            <w:right w:w="108" w:type="dxa"/>
          </w:tblCellMar>
        </w:tblPrEx>
        <w:trPr>
          <w:trHeight w:val="690" w:hRule="atLeast"/>
          <w:jc w:val="center"/>
        </w:trPr>
        <w:tc>
          <w:tcPr>
            <w:tcW w:w="83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1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企业满意度</w:t>
            </w:r>
          </w:p>
        </w:tc>
        <w:tc>
          <w:tcPr>
            <w:tcW w:w="29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2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spacing w:line="580" w:lineRule="exact"/>
        <w:jc w:val="center"/>
        <w:rPr>
          <w:rFonts w:ascii="方正小标宋简体" w:hAnsi="宋体" w:eastAsia="方正小标宋简体"/>
          <w:color w:val="000000"/>
          <w:kern w:val="0"/>
          <w:sz w:val="44"/>
          <w:szCs w:val="44"/>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color w:val="000000"/>
          <w:kern w:val="0"/>
          <w:sz w:val="28"/>
          <w:szCs w:val="21"/>
        </w:rPr>
        <w:t>（房地产交易中心人员劳务及办公经费项目）</w:t>
      </w:r>
    </w:p>
    <w:p>
      <w:pPr>
        <w:spacing w:line="580" w:lineRule="exact"/>
        <w:ind w:firstLine="640"/>
        <w:jc w:val="center"/>
        <w:rPr>
          <w:rFonts w:hint="eastAsia" w:ascii="宋体" w:hAnsi="??"/>
          <w:sz w:val="32"/>
          <w:szCs w:val="32"/>
        </w:rPr>
      </w:pPr>
    </w:p>
    <w:p>
      <w:pPr>
        <w:adjustRightInd w:val="0"/>
        <w:snapToGrid w:val="0"/>
        <w:spacing w:line="58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rPr>
        <w:t>房地产交易中心人员劳务及办公经费由财政全额保障，2020年12月我中心申请该项目2021年预算52.52万元，经市财政同意，该项目资金预算及使用符合相关规定。</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rPr>
        <w:t>该笔资金用于支付中心工作人员工资和日常办公经费。申报内容与实际相符，申报目标合理可行。</w:t>
      </w:r>
    </w:p>
    <w:p>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80" w:lineRule="exact"/>
        <w:ind w:firstLine="720"/>
        <w:rPr>
          <w:rFonts w:ascii="仿宋_GB2312" w:hAnsi="宋体" w:eastAsia="仿宋_GB2312"/>
          <w:sz w:val="32"/>
          <w:szCs w:val="32"/>
        </w:rPr>
      </w:pPr>
      <w:r>
        <w:rPr>
          <w:rFonts w:hint="eastAsia" w:ascii="仿宋_GB2312" w:hAnsi="宋体" w:eastAsia="仿宋_GB2312"/>
          <w:sz w:val="32"/>
          <w:szCs w:val="32"/>
        </w:rPr>
        <w:t>该项目资金申报、批复等程序符合相关法律规定和单位实际。</w:t>
      </w:r>
    </w:p>
    <w:p>
      <w:pPr>
        <w:adjustRightInd w:val="0"/>
        <w:snapToGrid w:val="0"/>
        <w:spacing w:line="58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580" w:lineRule="exact"/>
        <w:ind w:firstLine="72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．资金计划。</w:t>
      </w:r>
    </w:p>
    <w:p>
      <w:pPr>
        <w:adjustRightInd w:val="0"/>
        <w:snapToGrid w:val="0"/>
        <w:spacing w:line="580" w:lineRule="exact"/>
        <w:ind w:firstLine="720"/>
        <w:rPr>
          <w:rFonts w:ascii="仿宋_GB2312" w:hAnsi="宋体" w:eastAsia="仿宋_GB2312"/>
          <w:sz w:val="32"/>
          <w:szCs w:val="32"/>
        </w:rPr>
      </w:pPr>
      <w:r>
        <w:rPr>
          <w:rFonts w:hint="eastAsia" w:ascii="仿宋_GB2312" w:hAnsi="宋体" w:eastAsia="仿宋_GB2312"/>
          <w:sz w:val="32"/>
          <w:szCs w:val="32"/>
        </w:rPr>
        <w:t>该项目资金预算指标为政府拨款，资金预算指标完全到位。</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2.资金使用。</w:t>
      </w:r>
    </w:p>
    <w:p>
      <w:pPr>
        <w:adjustRightInd w:val="0"/>
        <w:snapToGrid w:val="0"/>
        <w:spacing w:line="580" w:lineRule="exact"/>
        <w:rPr>
          <w:rFonts w:ascii="仿宋_GB2312" w:hAnsi="宋体" w:eastAsia="仿宋_GB2312"/>
          <w:sz w:val="32"/>
          <w:szCs w:val="32"/>
        </w:rPr>
      </w:pPr>
      <w:r>
        <w:rPr>
          <w:rFonts w:hint="eastAsia" w:ascii="仿宋_GB2312" w:hAnsi="宋体" w:eastAsia="仿宋_GB2312"/>
          <w:sz w:val="32"/>
          <w:szCs w:val="32"/>
        </w:rPr>
        <w:t xml:space="preserve">     截至评价时合计资金预算指标52.52万元，按季度拨付，已拨付50.52万元，车辆运维费2.5万元，全部用于支付中心工作人员工资和日常办公经费。支付标准及依据合规合法，资金支付与预算完全相符。</w:t>
      </w:r>
    </w:p>
    <w:p>
      <w:pPr>
        <w:adjustRightInd w:val="0"/>
        <w:snapToGrid w:val="0"/>
        <w:spacing w:line="580" w:lineRule="exact"/>
        <w:ind w:firstLine="720"/>
        <w:rPr>
          <w:rFonts w:ascii="楷体_GB2312" w:hAnsi="宋体" w:eastAsia="黑体"/>
          <w:b/>
          <w:sz w:val="32"/>
          <w:szCs w:val="32"/>
          <w:lang w:val="zh-CN"/>
        </w:rPr>
      </w:pPr>
      <w:r>
        <w:rPr>
          <w:rFonts w:hint="eastAsia" w:ascii="黑体" w:hAnsi="宋体" w:eastAsia="黑体"/>
          <w:sz w:val="32"/>
          <w:szCs w:val="32"/>
        </w:rPr>
        <w:t>三、项目实施及管理情况。</w:t>
      </w:r>
    </w:p>
    <w:p>
      <w:pPr>
        <w:adjustRightInd w:val="0"/>
        <w:snapToGrid w:val="0"/>
        <w:spacing w:line="580" w:lineRule="exact"/>
        <w:ind w:firstLine="720"/>
        <w:rPr>
          <w:rFonts w:ascii="仿宋_GB2312" w:hAnsi="宋体" w:eastAsia="仿宋_GB2312"/>
          <w:sz w:val="32"/>
          <w:szCs w:val="32"/>
        </w:rPr>
      </w:pPr>
      <w:r>
        <w:rPr>
          <w:rFonts w:hint="eastAsia" w:ascii="仿宋_GB2312" w:hAnsi="宋体" w:eastAsia="仿宋_GB2312"/>
          <w:sz w:val="32"/>
          <w:szCs w:val="32"/>
        </w:rPr>
        <w:t>（一）项目管理情况。该项目资金按照相关规定建立财务、会计制度、每月记载现金日记账及银行存款日记账，账实相符。</w:t>
      </w:r>
    </w:p>
    <w:p>
      <w:pPr>
        <w:adjustRightInd w:val="0"/>
        <w:snapToGrid w:val="0"/>
        <w:spacing w:line="580" w:lineRule="exact"/>
        <w:ind w:firstLine="720"/>
        <w:rPr>
          <w:rFonts w:ascii="仿宋_GB2312" w:hAnsi="宋体" w:eastAsia="仿宋_GB2312"/>
          <w:sz w:val="32"/>
          <w:szCs w:val="32"/>
        </w:rPr>
      </w:pPr>
      <w:r>
        <w:rPr>
          <w:rFonts w:hint="eastAsia" w:ascii="仿宋_GB2312" w:hAnsi="宋体" w:eastAsia="仿宋_GB2312"/>
          <w:sz w:val="32"/>
          <w:szCs w:val="32"/>
        </w:rPr>
        <w:t>（二）项目监管情况。</w:t>
      </w:r>
    </w:p>
    <w:p>
      <w:pPr>
        <w:adjustRightInd w:val="0"/>
        <w:snapToGrid w:val="0"/>
        <w:spacing w:line="580" w:lineRule="exact"/>
        <w:ind w:firstLine="720"/>
        <w:rPr>
          <w:rFonts w:ascii="仿宋_GB2312" w:hAnsi="宋体" w:eastAsia="仿宋_GB2312"/>
          <w:sz w:val="32"/>
          <w:szCs w:val="32"/>
        </w:rPr>
      </w:pPr>
      <w:r>
        <w:rPr>
          <w:rFonts w:hint="eastAsia" w:ascii="仿宋_GB2312" w:hAnsi="宋体" w:eastAsia="仿宋_GB2312"/>
          <w:sz w:val="32"/>
          <w:szCs w:val="32"/>
        </w:rPr>
        <w:t>该项目资金由市住建局财审股实施监管。</w:t>
      </w:r>
    </w:p>
    <w:p>
      <w:pPr>
        <w:adjustRightInd w:val="0"/>
        <w:snapToGrid w:val="0"/>
        <w:spacing w:line="58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r>
        <w:rPr>
          <w:rFonts w:hint="eastAsia" w:ascii="仿宋_GB2312" w:hAnsi="宋体" w:eastAsia="仿宋_GB2312"/>
          <w:sz w:val="32"/>
          <w:szCs w:val="32"/>
          <w:lang w:val="zh-CN"/>
        </w:rPr>
        <w:t>。</w:t>
      </w:r>
    </w:p>
    <w:p>
      <w:pPr>
        <w:adjustRightInd w:val="0"/>
        <w:snapToGrid w:val="0"/>
        <w:spacing w:line="580" w:lineRule="exact"/>
        <w:ind w:firstLine="720"/>
        <w:rPr>
          <w:rFonts w:ascii="仿宋_GB2312" w:hAnsi="宋体" w:eastAsia="仿宋_GB2312"/>
          <w:sz w:val="32"/>
          <w:szCs w:val="32"/>
        </w:rPr>
      </w:pPr>
      <w:r>
        <w:rPr>
          <w:rFonts w:hint="eastAsia" w:ascii="仿宋_GB2312" w:hAnsi="宋体" w:eastAsia="仿宋_GB2312"/>
          <w:sz w:val="32"/>
          <w:szCs w:val="32"/>
        </w:rPr>
        <w:t>（一）项目完成情况。</w:t>
      </w:r>
    </w:p>
    <w:p>
      <w:pPr>
        <w:adjustRightInd w:val="0"/>
        <w:snapToGrid w:val="0"/>
        <w:spacing w:line="580" w:lineRule="exact"/>
        <w:ind w:firstLine="720"/>
        <w:rPr>
          <w:rFonts w:ascii="仿宋_GB2312" w:hAnsi="宋体" w:eastAsia="仿宋_GB2312"/>
          <w:sz w:val="32"/>
          <w:szCs w:val="32"/>
        </w:rPr>
      </w:pPr>
      <w:r>
        <w:rPr>
          <w:rFonts w:hint="eastAsia" w:ascii="仿宋_GB2312" w:hAnsi="宋体" w:eastAsia="仿宋_GB2312"/>
          <w:sz w:val="32"/>
          <w:szCs w:val="32"/>
        </w:rPr>
        <w:t>该项目资金按计划进度拨付。</w:t>
      </w:r>
    </w:p>
    <w:p>
      <w:pPr>
        <w:adjustRightInd w:val="0"/>
        <w:snapToGrid w:val="0"/>
        <w:spacing w:line="580" w:lineRule="exact"/>
        <w:ind w:firstLine="720"/>
        <w:rPr>
          <w:rFonts w:ascii="仿宋_GB2312" w:hAnsi="宋体" w:eastAsia="仿宋_GB2312"/>
          <w:sz w:val="32"/>
          <w:szCs w:val="32"/>
        </w:rPr>
      </w:pPr>
      <w:r>
        <w:rPr>
          <w:rFonts w:hint="eastAsia" w:ascii="仿宋_GB2312" w:hAnsi="宋体" w:eastAsia="仿宋_GB2312"/>
          <w:sz w:val="32"/>
          <w:szCs w:val="32"/>
        </w:rPr>
        <w:t>（二）项目效益情况。</w:t>
      </w:r>
    </w:p>
    <w:p>
      <w:pPr>
        <w:adjustRightInd w:val="0"/>
        <w:snapToGrid w:val="0"/>
        <w:spacing w:line="580" w:lineRule="exact"/>
        <w:ind w:firstLine="720"/>
        <w:rPr>
          <w:rFonts w:ascii="仿宋_GB2312" w:hAnsi="宋体" w:eastAsia="仿宋_GB2312"/>
          <w:sz w:val="32"/>
          <w:szCs w:val="32"/>
        </w:rPr>
      </w:pPr>
      <w:r>
        <w:rPr>
          <w:rFonts w:hint="eastAsia" w:ascii="仿宋_GB2312" w:hAnsi="宋体" w:eastAsia="仿宋_GB2312"/>
          <w:sz w:val="32"/>
          <w:szCs w:val="32"/>
        </w:rPr>
        <w:t>我中心承担的工作均为公共服务类事项，该项目资金符合社会效益和群众满意度需求。</w:t>
      </w:r>
    </w:p>
    <w:p>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该项目资金支出稳定、达标。</w:t>
      </w: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562" w:type="dxa"/>
        <w:jc w:val="center"/>
        <w:tblLayout w:type="autofit"/>
        <w:tblCellMar>
          <w:top w:w="0" w:type="dxa"/>
          <w:left w:w="108" w:type="dxa"/>
          <w:bottom w:w="0" w:type="dxa"/>
          <w:right w:w="108" w:type="dxa"/>
        </w:tblCellMar>
      </w:tblPr>
      <w:tblGrid>
        <w:gridCol w:w="1080"/>
        <w:gridCol w:w="1140"/>
        <w:gridCol w:w="960"/>
        <w:gridCol w:w="1500"/>
        <w:gridCol w:w="1360"/>
        <w:gridCol w:w="2200"/>
        <w:gridCol w:w="1322"/>
      </w:tblGrid>
      <w:tr>
        <w:tblPrEx>
          <w:tblCellMar>
            <w:top w:w="0" w:type="dxa"/>
            <w:left w:w="108" w:type="dxa"/>
            <w:bottom w:w="0" w:type="dxa"/>
            <w:right w:w="108" w:type="dxa"/>
          </w:tblCellMar>
        </w:tblPrEx>
        <w:trPr>
          <w:trHeight w:val="405" w:hRule="atLeast"/>
          <w:jc w:val="center"/>
        </w:trPr>
        <w:tc>
          <w:tcPr>
            <w:tcW w:w="9562"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562"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85" w:hRule="atLeast"/>
          <w:jc w:val="center"/>
        </w:trPr>
        <w:tc>
          <w:tcPr>
            <w:tcW w:w="108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14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96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150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136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220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1322"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1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38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房产交易中心人员劳务及办公经费</w:t>
            </w:r>
          </w:p>
        </w:tc>
      </w:tr>
      <w:tr>
        <w:tblPrEx>
          <w:tblCellMar>
            <w:top w:w="0" w:type="dxa"/>
            <w:left w:w="108" w:type="dxa"/>
            <w:bottom w:w="0" w:type="dxa"/>
            <w:right w:w="108" w:type="dxa"/>
          </w:tblCellMar>
        </w:tblPrEx>
        <w:trPr>
          <w:trHeight w:val="270" w:hRule="atLeast"/>
          <w:jc w:val="center"/>
        </w:trPr>
        <w:tc>
          <w:tcPr>
            <w:tcW w:w="31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38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2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1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8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52.52万元</w:t>
            </w:r>
          </w:p>
        </w:tc>
        <w:tc>
          <w:tcPr>
            <w:tcW w:w="2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3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50.428万元</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8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52.52万元</w:t>
            </w:r>
          </w:p>
        </w:tc>
        <w:tc>
          <w:tcPr>
            <w:tcW w:w="220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3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50.428万元</w:t>
            </w:r>
          </w:p>
        </w:tc>
      </w:tr>
      <w:tr>
        <w:tblPrEx>
          <w:tblCellMar>
            <w:top w:w="0" w:type="dxa"/>
            <w:left w:w="108" w:type="dxa"/>
            <w:bottom w:w="0" w:type="dxa"/>
            <w:right w:w="108" w:type="dxa"/>
          </w:tblCellMar>
        </w:tblPrEx>
        <w:trPr>
          <w:trHeight w:val="46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8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0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32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9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5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9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96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完成房屋测绘备案、商品房网签备案及注销、二手房网签备案等房屋交易管理工作</w:t>
            </w:r>
          </w:p>
        </w:tc>
        <w:tc>
          <w:tcPr>
            <w:tcW w:w="3522" w:type="dxa"/>
            <w:gridSpan w:val="2"/>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kern w:val="0"/>
                <w:sz w:val="20"/>
                <w:szCs w:val="20"/>
              </w:rPr>
            </w:pPr>
            <w:r>
              <w:rPr>
                <w:rFonts w:hint="eastAsia" w:ascii="宋体" w:hAnsi="宋体" w:cs="宋体"/>
                <w:kern w:val="0"/>
                <w:sz w:val="20"/>
                <w:szCs w:val="20"/>
              </w:rPr>
              <w:t>完成房屋测绘备案、商品房网签备案及注销、二手房网签备案等房屋交易管理工作</w:t>
            </w:r>
          </w:p>
        </w:tc>
      </w:tr>
      <w:tr>
        <w:tblPrEx>
          <w:tblCellMar>
            <w:top w:w="0" w:type="dxa"/>
            <w:left w:w="108" w:type="dxa"/>
            <w:bottom w:w="0" w:type="dxa"/>
            <w:right w:w="108" w:type="dxa"/>
          </w:tblCellMar>
        </w:tblPrEx>
        <w:trPr>
          <w:trHeight w:val="480" w:hRule="atLeast"/>
          <w:jc w:val="center"/>
        </w:trPr>
        <w:tc>
          <w:tcPr>
            <w:tcW w:w="10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8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3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72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9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8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一季度人员劳务及办公经费</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≥12.5万元</w:t>
            </w:r>
          </w:p>
        </w:tc>
        <w:tc>
          <w:tcPr>
            <w:tcW w:w="13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12.5万元</w:t>
            </w:r>
          </w:p>
        </w:tc>
      </w:tr>
      <w:tr>
        <w:tblPrEx>
          <w:tblCellMar>
            <w:top w:w="0" w:type="dxa"/>
            <w:left w:w="108" w:type="dxa"/>
            <w:bottom w:w="0" w:type="dxa"/>
            <w:right w:w="108" w:type="dxa"/>
          </w:tblCellMar>
        </w:tblPrEx>
        <w:trPr>
          <w:trHeight w:val="66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8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二季度人员劳务及办公经费</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≥12.5万元</w:t>
            </w:r>
          </w:p>
        </w:tc>
        <w:tc>
          <w:tcPr>
            <w:tcW w:w="13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12.5万元</w:t>
            </w:r>
          </w:p>
        </w:tc>
      </w:tr>
      <w:tr>
        <w:tblPrEx>
          <w:tblCellMar>
            <w:top w:w="0" w:type="dxa"/>
            <w:left w:w="108" w:type="dxa"/>
            <w:bottom w:w="0" w:type="dxa"/>
            <w:right w:w="108" w:type="dxa"/>
          </w:tblCellMar>
        </w:tblPrEx>
        <w:trPr>
          <w:trHeight w:val="6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8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三季度人员劳务及办公经费</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≥12.5万元</w:t>
            </w:r>
          </w:p>
        </w:tc>
        <w:tc>
          <w:tcPr>
            <w:tcW w:w="13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12.5万元</w:t>
            </w:r>
          </w:p>
        </w:tc>
      </w:tr>
      <w:tr>
        <w:tblPrEx>
          <w:tblCellMar>
            <w:top w:w="0" w:type="dxa"/>
            <w:left w:w="108" w:type="dxa"/>
            <w:bottom w:w="0" w:type="dxa"/>
            <w:right w:w="108" w:type="dxa"/>
          </w:tblCellMar>
        </w:tblPrEx>
        <w:trPr>
          <w:trHeight w:val="66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8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四季度人员劳务及办公经费</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≥12.5万元</w:t>
            </w:r>
          </w:p>
        </w:tc>
        <w:tc>
          <w:tcPr>
            <w:tcW w:w="13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10.928万元</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8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二季度前一次性采购电脑四台</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≥2万元</w:t>
            </w:r>
          </w:p>
        </w:tc>
        <w:tc>
          <w:tcPr>
            <w:tcW w:w="13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2万元</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8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人员变动</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3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8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2021年12月31日前</w:t>
            </w:r>
          </w:p>
        </w:tc>
        <w:tc>
          <w:tcPr>
            <w:tcW w:w="13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w:t>
            </w:r>
          </w:p>
        </w:tc>
      </w:tr>
      <w:tr>
        <w:tblPrEx>
          <w:tblCellMar>
            <w:top w:w="0" w:type="dxa"/>
            <w:left w:w="108" w:type="dxa"/>
            <w:bottom w:w="0" w:type="dxa"/>
            <w:right w:w="108" w:type="dxa"/>
          </w:tblCellMar>
        </w:tblPrEx>
        <w:trPr>
          <w:trHeight w:val="642"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8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2021年人员劳务及办公经费</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＞52.52万元</w:t>
            </w:r>
          </w:p>
        </w:tc>
        <w:tc>
          <w:tcPr>
            <w:tcW w:w="13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50.428万元</w:t>
            </w:r>
          </w:p>
        </w:tc>
      </w:tr>
      <w:tr>
        <w:tblPrEx>
          <w:tblCellMar>
            <w:top w:w="0" w:type="dxa"/>
            <w:left w:w="108" w:type="dxa"/>
            <w:bottom w:w="0" w:type="dxa"/>
            <w:right w:w="108" w:type="dxa"/>
          </w:tblCellMar>
        </w:tblPrEx>
        <w:trPr>
          <w:trHeight w:val="702"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8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确保房地产交易市场健康发展</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c>
          <w:tcPr>
            <w:tcW w:w="13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r>
      <w:tr>
        <w:tblPrEx>
          <w:tblCellMar>
            <w:top w:w="0" w:type="dxa"/>
            <w:left w:w="108" w:type="dxa"/>
            <w:bottom w:w="0" w:type="dxa"/>
            <w:right w:w="108" w:type="dxa"/>
          </w:tblCellMar>
        </w:tblPrEx>
        <w:trPr>
          <w:trHeight w:val="70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8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办事群众满意</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32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adjustRightInd w:val="0"/>
        <w:snapToGrid w:val="0"/>
        <w:spacing w:line="580" w:lineRule="exact"/>
        <w:ind w:firstLine="880" w:firstLineChars="200"/>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adjustRightInd w:val="0"/>
        <w:snapToGrid w:val="0"/>
        <w:spacing w:line="580" w:lineRule="exact"/>
        <w:ind w:firstLine="640" w:firstLineChars="200"/>
        <w:jc w:val="center"/>
        <w:rPr>
          <w:rFonts w:ascii="仿宋_GB2312" w:hAnsi="宋体" w:eastAsia="仿宋_GB2312"/>
          <w:sz w:val="32"/>
          <w:szCs w:val="32"/>
        </w:rPr>
      </w:pPr>
      <w:r>
        <w:rPr>
          <w:rFonts w:hint="eastAsia" w:ascii="仿宋_GB2312" w:hAnsi="宋体" w:eastAsia="仿宋_GB2312"/>
          <w:sz w:val="32"/>
          <w:szCs w:val="32"/>
        </w:rPr>
        <w:t>（2021年建设工程消防设计审查工作经费项目）</w:t>
      </w:r>
    </w:p>
    <w:p>
      <w:pPr>
        <w:adjustRightInd w:val="0"/>
        <w:snapToGrid w:val="0"/>
        <w:spacing w:line="580" w:lineRule="exact"/>
        <w:ind w:firstLine="640" w:firstLineChars="200"/>
        <w:rPr>
          <w:rFonts w:ascii="黑体" w:hAnsi="宋体" w:eastAsia="黑体"/>
          <w:sz w:val="32"/>
          <w:szCs w:val="32"/>
        </w:rPr>
      </w:pPr>
    </w:p>
    <w:p>
      <w:pPr>
        <w:adjustRightInd w:val="0"/>
        <w:snapToGrid w:val="0"/>
        <w:spacing w:line="500" w:lineRule="exact"/>
        <w:ind w:firstLine="640" w:firstLineChars="20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0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我局依照《建设工程消防设计审查验收管理暂行规定》（特殊建设工程的建设单位应当向消防设计审查验收主管部门申请消防设计审查，消防设计审查验收主管部门依法对审查的结果负责），严格履行工作职责。</w:t>
      </w:r>
    </w:p>
    <w:p>
      <w:pPr>
        <w:adjustRightInd w:val="0"/>
        <w:snapToGrid w:val="0"/>
        <w:spacing w:line="50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．该项目</w:t>
      </w:r>
      <w:r>
        <w:rPr>
          <w:rFonts w:hint="eastAsia" w:ascii="仿宋" w:hAnsi="仿宋" w:eastAsia="仿宋"/>
          <w:color w:val="000000"/>
          <w:sz w:val="32"/>
          <w:szCs w:val="32"/>
          <w:lang w:val="zh-CN"/>
        </w:rPr>
        <w:t>经费经市政府同意，</w:t>
      </w:r>
      <w:r>
        <w:rPr>
          <w:rFonts w:hint="eastAsia" w:ascii="仿宋_GB2312" w:hAnsi="宋体" w:eastAsia="仿宋_GB2312"/>
          <w:sz w:val="32"/>
          <w:szCs w:val="32"/>
          <w:lang w:val="zh-CN"/>
        </w:rPr>
        <w:t>根据《住建局关于申请2020年建设工程消防设计审查工作经费的请示》批示件（政府公文处理编号：B2020-598号）、《绵竹市财政局关于申请2020年建设工程消防设计审查工作经费的回复》（竹财资环复〔2020〕217号），市政府保障了市住建局2020年及以后每年消防设计审查工作经费10万元。</w:t>
      </w:r>
    </w:p>
    <w:p>
      <w:pPr>
        <w:adjustRightInd w:val="0"/>
        <w:snapToGrid w:val="0"/>
        <w:spacing w:line="50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．消防设计审查专家费按照德阳市统一标准，800元每人每次。</w:t>
      </w:r>
    </w:p>
    <w:p>
      <w:pPr>
        <w:adjustRightInd w:val="0"/>
        <w:snapToGrid w:val="0"/>
        <w:spacing w:line="50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．根据不同体量、复杂程度的项目分别邀请2—4个专家评审。</w:t>
      </w:r>
    </w:p>
    <w:p>
      <w:pPr>
        <w:adjustRightInd w:val="0"/>
        <w:snapToGrid w:val="0"/>
        <w:spacing w:line="5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0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5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建设工程消防设计专家审查费、政策宣传、学习培训、规范采购等。</w:t>
      </w:r>
    </w:p>
    <w:p>
      <w:pPr>
        <w:adjustRightInd w:val="0"/>
        <w:snapToGrid w:val="0"/>
        <w:spacing w:line="50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．消防设计审查完成率达到100%，完成预定目标。</w:t>
      </w:r>
    </w:p>
    <w:p>
      <w:pPr>
        <w:adjustRightInd w:val="0"/>
        <w:snapToGrid w:val="0"/>
        <w:spacing w:line="500" w:lineRule="exact"/>
        <w:ind w:firstLine="640" w:firstLineChars="200"/>
        <w:rPr>
          <w:rFonts w:ascii="仿宋" w:hAnsi="仿宋" w:eastAsia="仿宋"/>
          <w:color w:val="000000"/>
          <w:sz w:val="32"/>
          <w:szCs w:val="32"/>
        </w:rPr>
      </w:pPr>
      <w:r>
        <w:rPr>
          <w:rFonts w:ascii="仿宋_GB2312" w:hAnsi="宋体" w:eastAsia="仿宋_GB2312"/>
          <w:sz w:val="32"/>
          <w:szCs w:val="32"/>
          <w:lang w:val="zh-CN"/>
        </w:rPr>
        <w:t>3</w:t>
      </w:r>
      <w:r>
        <w:rPr>
          <w:rFonts w:hint="eastAsia" w:ascii="仿宋_GB2312" w:hAnsi="宋体" w:eastAsia="仿宋_GB2312"/>
          <w:sz w:val="32"/>
          <w:szCs w:val="32"/>
          <w:lang w:val="zh-CN"/>
        </w:rPr>
        <w:t>．</w:t>
      </w:r>
      <w:r>
        <w:rPr>
          <w:rFonts w:hint="eastAsia" w:ascii="仿宋" w:hAnsi="仿宋" w:eastAsia="仿宋"/>
          <w:color w:val="000000"/>
          <w:sz w:val="32"/>
          <w:szCs w:val="32"/>
        </w:rPr>
        <w:t>申报内容与实际相符，申报目标合理可行。</w:t>
      </w:r>
    </w:p>
    <w:p>
      <w:pPr>
        <w:adjustRightInd w:val="0"/>
        <w:snapToGrid w:val="0"/>
        <w:spacing w:line="5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00" w:lineRule="exact"/>
        <w:ind w:firstLine="640" w:firstLineChars="200"/>
        <w:rPr>
          <w:rFonts w:ascii="仿宋" w:hAnsi="仿宋" w:eastAsia="仿宋"/>
          <w:sz w:val="32"/>
          <w:szCs w:val="32"/>
          <w:lang w:val="zh-CN"/>
        </w:rPr>
      </w:pPr>
      <w:r>
        <w:rPr>
          <w:rFonts w:hint="eastAsia" w:ascii="仿宋" w:hAnsi="仿宋" w:eastAsia="仿宋"/>
          <w:sz w:val="32"/>
          <w:szCs w:val="32"/>
          <w:lang w:val="zh-CN"/>
        </w:rPr>
        <w:t>本单位各局室抽调一名工作人员参加该项目自评，对项目完成情况和资金使用情况进行收集核对，是否达到预期的效益进行评价。</w:t>
      </w:r>
    </w:p>
    <w:p>
      <w:pPr>
        <w:adjustRightInd w:val="0"/>
        <w:snapToGrid w:val="0"/>
        <w:spacing w:line="500" w:lineRule="exact"/>
        <w:ind w:firstLine="640" w:firstLineChars="20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市政府保障了市住建局2021年消防设计审查工作经费10万元。</w:t>
      </w:r>
    </w:p>
    <w:p>
      <w:pPr>
        <w:adjustRightInd w:val="0"/>
        <w:snapToGrid w:val="0"/>
        <w:spacing w:line="500" w:lineRule="exact"/>
        <w:ind w:firstLine="642" w:firstLineChars="20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500" w:lineRule="exact"/>
        <w:ind w:firstLine="640" w:firstLineChars="200"/>
        <w:rPr>
          <w:rFonts w:ascii="仿宋_GB2312" w:hAnsi="宋体" w:eastAsia="仿宋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p>
    <w:p>
      <w:pPr>
        <w:adjustRightInd w:val="0"/>
        <w:snapToGrid w:val="0"/>
        <w:spacing w:line="5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根据《住建局关于申请2020年建设工程消防设计审查工作经费的请示》批示件（政府公文处理编号：B2020-598号）、《绵竹市财政局关于申请2020年建设工程消防设计审查工作经费的回复》（竹财资环复〔2020〕217号），市政府保障了市住建局2020年及以后每年消防设计审查工作经费10万元。</w:t>
      </w:r>
    </w:p>
    <w:p>
      <w:pPr>
        <w:adjustRightInd w:val="0"/>
        <w:snapToGrid w:val="0"/>
        <w:spacing w:line="500" w:lineRule="exact"/>
        <w:ind w:firstLine="640" w:firstLineChars="200"/>
        <w:rPr>
          <w:rFonts w:ascii="楷体_GB2312" w:hAnsi="宋体" w:eastAsia="楷体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p>
    <w:p>
      <w:pPr>
        <w:adjustRightInd w:val="0"/>
        <w:snapToGrid w:val="0"/>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2021年资金到位10万元。</w:t>
      </w:r>
    </w:p>
    <w:p>
      <w:pPr>
        <w:adjustRightInd w:val="0"/>
        <w:snapToGrid w:val="0"/>
        <w:spacing w:line="500" w:lineRule="exact"/>
        <w:ind w:firstLine="640" w:firstLineChars="200"/>
        <w:rPr>
          <w:rFonts w:ascii="楷体_GB2312" w:hAnsi="宋体" w:eastAsia="楷体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p>
    <w:p>
      <w:pPr>
        <w:adjustRightInd w:val="0"/>
        <w:snapToGrid w:val="0"/>
        <w:spacing w:line="50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截至</w:t>
      </w:r>
      <w:r>
        <w:rPr>
          <w:rFonts w:hint="eastAsia" w:ascii="仿宋" w:hAnsi="仿宋" w:eastAsia="仿宋"/>
          <w:color w:val="000000"/>
          <w:sz w:val="32"/>
          <w:szCs w:val="32"/>
        </w:rPr>
        <w:t>2021</w:t>
      </w:r>
      <w:r>
        <w:rPr>
          <w:rFonts w:hint="eastAsia" w:ascii="仿宋" w:hAnsi="仿宋" w:eastAsia="仿宋"/>
          <w:color w:val="000000"/>
          <w:sz w:val="32"/>
          <w:szCs w:val="32"/>
          <w:lang w:val="zh-CN"/>
        </w:rPr>
        <w:t>年该项目共实际支出资金</w:t>
      </w:r>
      <w:r>
        <w:rPr>
          <w:rFonts w:hint="eastAsia" w:ascii="仿宋" w:hAnsi="仿宋" w:eastAsia="仿宋"/>
          <w:color w:val="000000"/>
          <w:sz w:val="32"/>
          <w:szCs w:val="32"/>
        </w:rPr>
        <w:t>68912</w:t>
      </w:r>
      <w:r>
        <w:rPr>
          <w:rFonts w:hint="eastAsia" w:ascii="仿宋" w:hAnsi="仿宋" w:eastAsia="仿宋"/>
          <w:color w:val="000000"/>
          <w:sz w:val="32"/>
          <w:szCs w:val="32"/>
          <w:lang w:val="zh-CN"/>
        </w:rPr>
        <w:t>元。主要用于支付项目专家费、考察学习、政策宣传工作，与预算相符。</w:t>
      </w:r>
    </w:p>
    <w:p>
      <w:pPr>
        <w:adjustRightInd w:val="0"/>
        <w:snapToGrid w:val="0"/>
        <w:spacing w:line="5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widowControl/>
        <w:shd w:val="clear" w:color="auto" w:fill="FFFFFF"/>
        <w:adjustRightInd w:val="0"/>
        <w:snapToGrid w:val="0"/>
        <w:spacing w:line="50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按照通用财务管理制度、办法进行业务管理，业务执行情况较好，财务执行情况较好，项目资金管理到位。</w:t>
      </w:r>
    </w:p>
    <w:p>
      <w:pPr>
        <w:adjustRightInd w:val="0"/>
        <w:snapToGrid w:val="0"/>
        <w:spacing w:line="500" w:lineRule="exact"/>
        <w:ind w:firstLine="640" w:firstLineChars="20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00" w:lineRule="exact"/>
        <w:ind w:firstLine="640" w:firstLineChars="200"/>
        <w:rPr>
          <w:rFonts w:ascii="楷体_GB2312" w:hAnsi="宋体" w:eastAsia="楷体_GB2312"/>
          <w:b/>
          <w:sz w:val="32"/>
          <w:szCs w:val="32"/>
          <w:lang w:val="zh-CN"/>
        </w:rPr>
      </w:pPr>
      <w:r>
        <w:rPr>
          <w:rFonts w:hint="eastAsia" w:ascii="仿宋" w:hAnsi="仿宋" w:eastAsia="仿宋"/>
          <w:sz w:val="32"/>
          <w:szCs w:val="32"/>
          <w:lang w:val="zh-CN"/>
        </w:rPr>
        <w:t>加强组织领导，严格规范管理，按照国家、行业的规范要求等有关技术规范对项目进行评审。</w:t>
      </w:r>
    </w:p>
    <w:p>
      <w:pPr>
        <w:adjustRightInd w:val="0"/>
        <w:snapToGrid w:val="0"/>
        <w:spacing w:line="5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500" w:lineRule="exact"/>
        <w:ind w:firstLine="640" w:firstLineChars="200"/>
        <w:rPr>
          <w:rFonts w:ascii="楷体_GB2312" w:hAnsi="宋体" w:eastAsia="楷体_GB2312"/>
          <w:b/>
          <w:sz w:val="32"/>
          <w:szCs w:val="32"/>
          <w:lang w:val="zh-CN"/>
        </w:rPr>
      </w:pPr>
      <w:r>
        <w:rPr>
          <w:rFonts w:hint="eastAsia" w:ascii="仿宋" w:hAnsi="仿宋" w:eastAsia="仿宋"/>
          <w:sz w:val="32"/>
          <w:szCs w:val="32"/>
          <w:lang w:val="zh-CN"/>
        </w:rPr>
        <w:t>按国家、行业的规范要求等有关技术规范对项目进行评审，结果向社会公示。</w:t>
      </w:r>
    </w:p>
    <w:p>
      <w:pPr>
        <w:adjustRightInd w:val="0"/>
        <w:snapToGrid w:val="0"/>
        <w:spacing w:line="500" w:lineRule="exact"/>
        <w:ind w:firstLine="642" w:firstLineChars="20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p>
    <w:p>
      <w:pPr>
        <w:adjustRightInd w:val="0"/>
        <w:snapToGrid w:val="0"/>
        <w:spacing w:line="500" w:lineRule="exact"/>
        <w:ind w:firstLine="640" w:firstLineChars="200"/>
        <w:rPr>
          <w:rFonts w:ascii="仿宋_GB2312" w:hAnsi="宋体" w:eastAsia="仿宋_GB2312"/>
          <w:sz w:val="32"/>
          <w:szCs w:val="32"/>
          <w:lang w:val="zh-CN"/>
        </w:rPr>
      </w:pPr>
      <w:r>
        <w:rPr>
          <w:rFonts w:hint="eastAsia" w:ascii="仿宋" w:hAnsi="仿宋" w:eastAsia="仿宋"/>
          <w:color w:val="000000"/>
          <w:sz w:val="32"/>
          <w:szCs w:val="32"/>
        </w:rPr>
        <w:t>全程督促、检查，加快项目审查顺利推进。</w:t>
      </w:r>
    </w:p>
    <w:p>
      <w:pPr>
        <w:adjustRightInd w:val="0"/>
        <w:snapToGrid w:val="0"/>
        <w:spacing w:line="500" w:lineRule="exact"/>
        <w:ind w:firstLine="640" w:firstLineChars="20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在承诺时限内完成绵竹中民城市燃气输配总站项目、双胜加气站LNG等项目消防设计审查，消防法律法规宣传，参加全省住房城乡建设系统火灾事故调查业务培训等。</w:t>
      </w:r>
    </w:p>
    <w:p>
      <w:pPr>
        <w:adjustRightInd w:val="0"/>
        <w:snapToGrid w:val="0"/>
        <w:spacing w:line="5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为建设工程提供良好的消防安全保障，保证消防设计审查完成率100%，完成考察学习，提升工作质量。</w:t>
      </w:r>
    </w:p>
    <w:p>
      <w:pPr>
        <w:adjustRightInd w:val="0"/>
        <w:snapToGrid w:val="0"/>
        <w:spacing w:line="500" w:lineRule="exact"/>
        <w:ind w:firstLine="640" w:firstLineChars="20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spacing w:line="5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建设工程消防设计审查验收作为建设工程消防安全的源头，</w:t>
      </w:r>
      <w:r>
        <w:rPr>
          <w:rFonts w:hint="eastAsia" w:ascii="仿宋_GB2312" w:hAnsi="宋体" w:eastAsia="仿宋_GB2312"/>
          <w:sz w:val="32"/>
          <w:szCs w:val="32"/>
          <w:lang w:val="zh-CN"/>
        </w:rPr>
        <w:t>为建设工程提供了良好的消防安全保障。</w:t>
      </w:r>
      <w:r>
        <w:rPr>
          <w:rFonts w:ascii="仿宋" w:hAnsi="仿宋" w:eastAsia="仿宋"/>
          <w:color w:val="000000"/>
          <w:sz w:val="32"/>
          <w:szCs w:val="32"/>
        </w:rPr>
        <w:t>本</w:t>
      </w:r>
      <w:r>
        <w:rPr>
          <w:rFonts w:hint="eastAsia" w:ascii="仿宋" w:hAnsi="仿宋" w:eastAsia="仿宋"/>
          <w:color w:val="000000"/>
          <w:sz w:val="32"/>
          <w:szCs w:val="32"/>
        </w:rPr>
        <w:t>项目保障了社会的安全稳定，是</w:t>
      </w:r>
      <w:r>
        <w:rPr>
          <w:rFonts w:ascii="仿宋" w:hAnsi="仿宋" w:eastAsia="仿宋"/>
          <w:color w:val="000000"/>
          <w:sz w:val="32"/>
          <w:szCs w:val="32"/>
        </w:rPr>
        <w:t>党和政府为民办实事的充分体现。</w:t>
      </w:r>
    </w:p>
    <w:p>
      <w:pPr>
        <w:adjustRightInd w:val="0"/>
        <w:snapToGrid w:val="0"/>
        <w:spacing w:line="5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00" w:lineRule="exact"/>
        <w:ind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无。</w:t>
      </w:r>
      <w:r>
        <w:rPr>
          <w:rFonts w:ascii="仿宋_GB2312" w:hAnsi="宋体" w:eastAsia="仿宋_GB2312"/>
          <w:sz w:val="32"/>
          <w:szCs w:val="32"/>
          <w:lang w:val="zh-CN"/>
        </w:rPr>
        <w:tab/>
      </w:r>
    </w:p>
    <w:p>
      <w:pPr>
        <w:adjustRightInd w:val="0"/>
        <w:snapToGrid w:val="0"/>
        <w:spacing w:line="5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00" w:lineRule="exact"/>
        <w:ind w:firstLine="800" w:firstLineChars="25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563" w:type="dxa"/>
        <w:jc w:val="center"/>
        <w:tblLayout w:type="autofit"/>
        <w:tblCellMar>
          <w:top w:w="0" w:type="dxa"/>
          <w:left w:w="108" w:type="dxa"/>
          <w:bottom w:w="0" w:type="dxa"/>
          <w:right w:w="108" w:type="dxa"/>
        </w:tblCellMar>
      </w:tblPr>
      <w:tblGrid>
        <w:gridCol w:w="1080"/>
        <w:gridCol w:w="1140"/>
        <w:gridCol w:w="1360"/>
        <w:gridCol w:w="1080"/>
        <w:gridCol w:w="367"/>
        <w:gridCol w:w="2552"/>
        <w:gridCol w:w="1984"/>
      </w:tblGrid>
      <w:tr>
        <w:tblPrEx>
          <w:tblCellMar>
            <w:top w:w="0" w:type="dxa"/>
            <w:left w:w="108" w:type="dxa"/>
            <w:bottom w:w="0" w:type="dxa"/>
            <w:right w:w="108" w:type="dxa"/>
          </w:tblCellMar>
        </w:tblPrEx>
        <w:trPr>
          <w:trHeight w:val="405" w:hRule="atLeast"/>
          <w:jc w:val="center"/>
        </w:trPr>
        <w:tc>
          <w:tcPr>
            <w:tcW w:w="9563"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563"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6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367"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55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84"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35" w:hRule="atLeast"/>
          <w:jc w:val="center"/>
        </w:trPr>
        <w:tc>
          <w:tcPr>
            <w:tcW w:w="3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98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建设工程消防设计审查、政策宣传、学习培训等费用</w:t>
            </w:r>
          </w:p>
        </w:tc>
      </w:tr>
      <w:tr>
        <w:tblPrEx>
          <w:tblCellMar>
            <w:top w:w="0" w:type="dxa"/>
            <w:left w:w="108" w:type="dxa"/>
            <w:bottom w:w="0" w:type="dxa"/>
            <w:right w:w="108" w:type="dxa"/>
          </w:tblCellMar>
        </w:tblPrEx>
        <w:trPr>
          <w:trHeight w:val="480" w:hRule="atLeast"/>
          <w:jc w:val="center"/>
        </w:trPr>
        <w:tc>
          <w:tcPr>
            <w:tcW w:w="3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98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2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44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10万元</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6.8912万元</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44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10万元</w:t>
            </w:r>
          </w:p>
        </w:tc>
        <w:tc>
          <w:tcPr>
            <w:tcW w:w="2552"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6.8912万元</w:t>
            </w:r>
          </w:p>
        </w:tc>
      </w:tr>
      <w:tr>
        <w:tblPrEx>
          <w:tblCellMar>
            <w:top w:w="0" w:type="dxa"/>
            <w:left w:w="108" w:type="dxa"/>
            <w:bottom w:w="0" w:type="dxa"/>
            <w:right w:w="108" w:type="dxa"/>
          </w:tblCellMar>
        </w:tblPrEx>
        <w:trPr>
          <w:trHeight w:val="61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44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552"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9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394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5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936"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94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完成2021年绵竹市建设工程消防设计审查工作。</w:t>
            </w:r>
          </w:p>
        </w:tc>
        <w:tc>
          <w:tcPr>
            <w:tcW w:w="45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完成2021年绵竹市建设工程消防设计审查工作。</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4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66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4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审核件数</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完成建设工程消防设计审查件数≥10件</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完成建设工程消防设计审查件数10件</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4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培训次数</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学习培训≥2次</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学习培训2次</w:t>
            </w:r>
          </w:p>
        </w:tc>
      </w:tr>
      <w:tr>
        <w:tblPrEx>
          <w:tblCellMar>
            <w:top w:w="0" w:type="dxa"/>
            <w:left w:w="108" w:type="dxa"/>
            <w:bottom w:w="0" w:type="dxa"/>
            <w:right w:w="108" w:type="dxa"/>
          </w:tblCellMar>
        </w:tblPrEx>
        <w:trPr>
          <w:trHeight w:val="88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4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政策宣传</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向社会大众广泛宣传建设工程消防审验相关政策文件</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向社会大众广泛宣传建设工程消防审验相关政策文件</w:t>
            </w:r>
          </w:p>
        </w:tc>
      </w:tr>
      <w:tr>
        <w:tblPrEx>
          <w:tblCellMar>
            <w:top w:w="0" w:type="dxa"/>
            <w:left w:w="108" w:type="dxa"/>
            <w:bottom w:w="0" w:type="dxa"/>
            <w:right w:w="108" w:type="dxa"/>
          </w:tblCellMar>
        </w:tblPrEx>
        <w:trPr>
          <w:trHeight w:val="70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4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消防设计审查完成率</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消防设计审查完成率100%</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消防设计审查完成率100%</w:t>
            </w:r>
          </w:p>
        </w:tc>
      </w:tr>
      <w:tr>
        <w:tblPrEx>
          <w:tblCellMar>
            <w:top w:w="0" w:type="dxa"/>
            <w:left w:w="108" w:type="dxa"/>
            <w:bottom w:w="0" w:type="dxa"/>
            <w:right w:w="108" w:type="dxa"/>
          </w:tblCellMar>
        </w:tblPrEx>
        <w:trPr>
          <w:trHeight w:val="70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4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完成时间2021年12月31日前</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完成时间2021年12月31日前</w:t>
            </w:r>
          </w:p>
        </w:tc>
      </w:tr>
      <w:tr>
        <w:tblPrEx>
          <w:tblCellMar>
            <w:top w:w="0" w:type="dxa"/>
            <w:left w:w="108" w:type="dxa"/>
            <w:bottom w:w="0" w:type="dxa"/>
            <w:right w:w="108" w:type="dxa"/>
          </w:tblCellMar>
        </w:tblPrEx>
        <w:trPr>
          <w:trHeight w:val="84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4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费用支出</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专家费（一个工程的消防设计审查费1600-3200元）</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专家费（一个工程的消防设计审查费1600-3200元）</w:t>
            </w:r>
          </w:p>
        </w:tc>
      </w:tr>
      <w:tr>
        <w:tblPrEx>
          <w:tblCellMar>
            <w:top w:w="0" w:type="dxa"/>
            <w:left w:w="108" w:type="dxa"/>
            <w:bottom w:w="0" w:type="dxa"/>
            <w:right w:w="108" w:type="dxa"/>
          </w:tblCellMar>
        </w:tblPrEx>
        <w:trPr>
          <w:trHeight w:val="100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3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4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消防设计审查完成率</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为建设工程的使用提供良好的消防安全保障</w:t>
            </w:r>
            <w:r>
              <w:rPr>
                <w:rFonts w:hint="eastAsia" w:ascii="宋体" w:hAnsi="宋体" w:cs="宋体"/>
                <w:kern w:val="0"/>
                <w:sz w:val="20"/>
                <w:szCs w:val="20"/>
                <w:lang w:eastAsia="zh-CN"/>
              </w:rPr>
              <w:t>，</w:t>
            </w:r>
            <w:r>
              <w:rPr>
                <w:rFonts w:hint="eastAsia" w:ascii="宋体" w:hAnsi="宋体" w:cs="宋体"/>
                <w:kern w:val="0"/>
                <w:sz w:val="20"/>
                <w:szCs w:val="20"/>
              </w:rPr>
              <w:t>保证消防设计审查完成率100%</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为建设工程的使用提供良好的消防安全保障</w:t>
            </w:r>
            <w:r>
              <w:rPr>
                <w:rFonts w:hint="eastAsia" w:ascii="宋体" w:hAnsi="宋体" w:cs="宋体"/>
                <w:kern w:val="0"/>
                <w:sz w:val="20"/>
                <w:szCs w:val="20"/>
                <w:lang w:eastAsia="zh-CN"/>
              </w:rPr>
              <w:t>，</w:t>
            </w:r>
            <w:r>
              <w:rPr>
                <w:rFonts w:hint="eastAsia" w:ascii="宋体" w:hAnsi="宋体" w:cs="宋体"/>
                <w:kern w:val="0"/>
                <w:sz w:val="20"/>
                <w:szCs w:val="20"/>
              </w:rPr>
              <w:t>保证消防设计审查完成率100%</w:t>
            </w:r>
          </w:p>
        </w:tc>
      </w:tr>
      <w:tr>
        <w:tblPrEx>
          <w:tblCellMar>
            <w:top w:w="0" w:type="dxa"/>
            <w:left w:w="108" w:type="dxa"/>
            <w:bottom w:w="0" w:type="dxa"/>
            <w:right w:w="108" w:type="dxa"/>
          </w:tblCellMar>
        </w:tblPrEx>
        <w:trPr>
          <w:trHeight w:val="8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4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群众满意度</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办事群众满意度≧98%</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办事群众满意度≧98%</w:t>
            </w:r>
          </w:p>
        </w:tc>
      </w:tr>
    </w:tbl>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（建设工程原材料、构配件监督抽测检测费，</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质量安全监督检查劳务费）</w:t>
      </w:r>
    </w:p>
    <w:p>
      <w:pPr>
        <w:spacing w:line="580" w:lineRule="exact"/>
        <w:ind w:firstLine="640"/>
        <w:jc w:val="center"/>
        <w:rPr>
          <w:rFonts w:hint="eastAsia" w:ascii="宋体" w:hAnsi="??"/>
          <w:sz w:val="32"/>
          <w:szCs w:val="32"/>
        </w:rPr>
      </w:pPr>
    </w:p>
    <w:p>
      <w:pPr>
        <w:adjustRightInd w:val="0"/>
        <w:snapToGrid w:val="0"/>
        <w:spacing w:line="52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2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（一）项目基本情况</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本项目用于支付检测所对建设工程原材料、构配件监督抽测的检测费，聘请第三方专家参与质量安全监督检查、起重机械专项安全检查和工程项目消防验收的劳务费。2021年项目预算费用83376.79元，</w:t>
      </w:r>
      <w:r>
        <w:rPr>
          <w:rFonts w:hint="eastAsia" w:ascii="仿宋_GB2312" w:hAnsi="宋体" w:eastAsia="仿宋_GB2312"/>
          <w:sz w:val="32"/>
          <w:szCs w:val="32"/>
          <w:lang w:val="zh-CN"/>
        </w:rPr>
        <w:t>资金预算、使用符合资金管理办法等相关规定。</w:t>
      </w:r>
    </w:p>
    <w:p>
      <w:pPr>
        <w:adjustRightInd w:val="0"/>
        <w:snapToGrid w:val="0"/>
        <w:spacing w:line="520" w:lineRule="exact"/>
        <w:ind w:left="420" w:leftChars="200"/>
        <w:rPr>
          <w:rFonts w:ascii="楷体_GB2312" w:hAnsi="宋体" w:eastAsia="楷体_GB2312"/>
          <w:sz w:val="32"/>
          <w:szCs w:val="32"/>
          <w:lang w:val="zh-CN"/>
        </w:rPr>
      </w:pPr>
      <w:r>
        <w:rPr>
          <w:rFonts w:hint="eastAsia" w:ascii="楷体_GB2312" w:hAnsi="宋体" w:eastAsia="楷体_GB2312"/>
          <w:sz w:val="32"/>
          <w:szCs w:val="32"/>
          <w:lang w:val="zh-CN"/>
        </w:rPr>
        <w:t>（二）项目绩效目标</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2021年初资金预算指标83376.79元，到2021年12月底完成资金预算指标83376.79元。</w:t>
      </w:r>
    </w:p>
    <w:p>
      <w:pPr>
        <w:adjustRightInd w:val="0"/>
        <w:snapToGrid w:val="0"/>
        <w:spacing w:line="520" w:lineRule="exact"/>
        <w:ind w:left="420" w:leftChars="200"/>
        <w:rPr>
          <w:rFonts w:ascii="楷体_GB2312" w:hAnsi="宋体" w:eastAsia="楷体_GB2312"/>
          <w:sz w:val="32"/>
          <w:szCs w:val="32"/>
          <w:lang w:val="zh-CN"/>
        </w:rPr>
      </w:pPr>
      <w:r>
        <w:rPr>
          <w:rFonts w:hint="eastAsia" w:ascii="楷体_GB2312" w:hAnsi="宋体" w:eastAsia="楷体_GB2312"/>
          <w:sz w:val="32"/>
          <w:szCs w:val="32"/>
          <w:lang w:val="zh-CN"/>
        </w:rPr>
        <w:t>（三）项目资金申报相符性</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w:t>
      </w:r>
      <w:r>
        <w:rPr>
          <w:rFonts w:hint="eastAsia" w:ascii="仿宋_GB2312" w:hAnsi="宋体" w:eastAsia="仿宋_GB2312"/>
          <w:sz w:val="32"/>
          <w:szCs w:val="32"/>
        </w:rPr>
        <w:t>2021年度资金预算指标83376.79元，全部用于支付检测所对建设工程原材料、构配件监督抽测的检测费，聘请第三方专家参与质量安全监督检查、起重机械专项安全检查和工程项目消防验收的劳务费，申报内容与具体实施内容相符，申报目标总体合理。</w:t>
      </w:r>
    </w:p>
    <w:p>
      <w:pPr>
        <w:adjustRightInd w:val="0"/>
        <w:snapToGrid w:val="0"/>
        <w:spacing w:line="52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52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（一）资金计划、到位及使用情况</w:t>
      </w:r>
    </w:p>
    <w:p>
      <w:pPr>
        <w:adjustRightInd w:val="0"/>
        <w:snapToGrid w:val="0"/>
        <w:spacing w:line="520" w:lineRule="exact"/>
        <w:ind w:firstLine="720"/>
        <w:rPr>
          <w:rFonts w:ascii="宋体" w:hAnsi="宋体" w:cs="宋体"/>
          <w:sz w:val="32"/>
          <w:szCs w:val="32"/>
          <w:lang w:val="zh-CN"/>
        </w:rPr>
      </w:pPr>
      <w:r>
        <w:rPr>
          <w:rFonts w:hint="eastAsia" w:ascii="宋体" w:hAnsi="宋体" w:cs="宋体"/>
          <w:sz w:val="32"/>
          <w:szCs w:val="32"/>
          <w:lang w:val="zh-CN"/>
        </w:rPr>
        <w:t>1．资金计划及到位</w:t>
      </w:r>
    </w:p>
    <w:p>
      <w:pPr>
        <w:adjustRightInd w:val="0"/>
        <w:snapToGrid w:val="0"/>
        <w:spacing w:line="52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该项目资金预算指标全部为财政拨款资金，年初指标在</w:t>
      </w:r>
      <w:r>
        <w:rPr>
          <w:rFonts w:hint="eastAsia" w:ascii="仿宋_GB2312" w:hAnsi="宋体" w:eastAsia="仿宋_GB2312"/>
          <w:sz w:val="32"/>
          <w:szCs w:val="32"/>
        </w:rPr>
        <w:t>2021年3月到位，以上资金预算指标全部及时到位，到位率100%。</w:t>
      </w:r>
    </w:p>
    <w:p>
      <w:pPr>
        <w:adjustRightInd w:val="0"/>
        <w:snapToGrid w:val="0"/>
        <w:spacing w:line="520" w:lineRule="exact"/>
        <w:ind w:firstLine="720"/>
        <w:rPr>
          <w:rFonts w:ascii="宋体" w:hAnsi="宋体" w:cs="宋体"/>
          <w:sz w:val="32"/>
          <w:szCs w:val="32"/>
          <w:lang w:val="zh-CN"/>
        </w:rPr>
      </w:pPr>
      <w:r>
        <w:rPr>
          <w:rFonts w:hint="eastAsia" w:ascii="宋体" w:hAnsi="宋体" w:cs="宋体"/>
          <w:sz w:val="32"/>
          <w:szCs w:val="32"/>
          <w:lang w:val="zh-CN"/>
        </w:rPr>
        <w:t>2．资金使用</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截至</w:t>
      </w:r>
      <w:r>
        <w:rPr>
          <w:rFonts w:hint="eastAsia" w:ascii="仿宋_GB2312" w:hAnsi="宋体" w:eastAsia="仿宋_GB2312"/>
          <w:sz w:val="32"/>
          <w:szCs w:val="32"/>
        </w:rPr>
        <w:t>2021年12月底</w:t>
      </w:r>
      <w:r>
        <w:rPr>
          <w:rFonts w:hint="eastAsia" w:ascii="仿宋_GB2312" w:hAnsi="宋体" w:eastAsia="仿宋_GB2312"/>
          <w:sz w:val="32"/>
          <w:szCs w:val="32"/>
          <w:lang w:val="zh-CN"/>
        </w:rPr>
        <w:t>预算指标</w:t>
      </w:r>
      <w:r>
        <w:rPr>
          <w:rFonts w:hint="eastAsia" w:ascii="仿宋_GB2312" w:hAnsi="宋体" w:eastAsia="仿宋_GB2312"/>
          <w:sz w:val="32"/>
          <w:szCs w:val="32"/>
        </w:rPr>
        <w:t>83376.79元，实际支付83376.79元，全部用于支付检测所对建设工程原材料、构配件监督抽测的检测费，聘请第三方专家参与质量安全监督检查、起重机械专项安全检查和工程项目消防验收的劳务费，支付标准及依据合规合法，资金支付与预算完全相符</w:t>
      </w:r>
      <w:r>
        <w:rPr>
          <w:rFonts w:hint="eastAsia" w:ascii="仿宋_GB2312" w:hAnsi="宋体" w:eastAsia="仿宋_GB2312"/>
          <w:sz w:val="32"/>
          <w:szCs w:val="32"/>
          <w:lang w:val="zh-CN"/>
        </w:rPr>
        <w:t>。</w:t>
      </w:r>
    </w:p>
    <w:p>
      <w:pPr>
        <w:adjustRightInd w:val="0"/>
        <w:snapToGrid w:val="0"/>
        <w:spacing w:line="52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（二）项目财务管理情况</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依照法律、行政法规和国家财政行政主管部门的规定建立财务、会计制度，严格执行财务管理制度、财务处理及时、会计核算规范，在每一季度终会计制作财务会计报表，按国家和有关部门的规定进行审计，报送财政、税务、工商行政管理等部门。</w:t>
      </w:r>
    </w:p>
    <w:p>
      <w:pPr>
        <w:adjustRightInd w:val="0"/>
        <w:snapToGrid w:val="0"/>
        <w:spacing w:line="52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（三）项目组织实施情况</w:t>
      </w:r>
    </w:p>
    <w:p>
      <w:pPr>
        <w:adjustRightInd w:val="0"/>
        <w:snapToGrid w:val="0"/>
        <w:spacing w:line="52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该项目由绵竹市建设工程质量安全监督站组织实施，项目经费严格执行财务制度规范。</w:t>
      </w:r>
    </w:p>
    <w:p>
      <w:pPr>
        <w:adjustRightInd w:val="0"/>
        <w:snapToGrid w:val="0"/>
        <w:spacing w:line="52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ascii="仿宋_GB2312" w:hAnsi="宋体" w:eastAsia="仿宋_GB2312"/>
          <w:sz w:val="32"/>
          <w:szCs w:val="32"/>
          <w:lang w:val="zh-CN"/>
        </w:rPr>
        <w:tab/>
      </w:r>
    </w:p>
    <w:p>
      <w:pPr>
        <w:adjustRightInd w:val="0"/>
        <w:snapToGrid w:val="0"/>
        <w:spacing w:line="52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（一）项目完成情况</w:t>
      </w:r>
    </w:p>
    <w:p>
      <w:pPr>
        <w:adjustRightInd w:val="0"/>
        <w:snapToGrid w:val="0"/>
        <w:spacing w:line="520" w:lineRule="exact"/>
        <w:ind w:firstLine="720"/>
        <w:rPr>
          <w:rFonts w:ascii="仿宋_GB2312" w:hAnsi="宋体" w:eastAsia="仿宋_GB2312"/>
          <w:sz w:val="32"/>
          <w:szCs w:val="32"/>
        </w:rPr>
      </w:pPr>
      <w:r>
        <w:rPr>
          <w:rFonts w:hint="eastAsia" w:ascii="仿宋_GB2312" w:hAnsi="宋体" w:eastAsia="仿宋_GB2312"/>
          <w:sz w:val="32"/>
          <w:szCs w:val="32"/>
          <w:lang w:val="zh-CN"/>
        </w:rPr>
        <w:t>截至</w:t>
      </w:r>
      <w:r>
        <w:rPr>
          <w:rFonts w:hint="eastAsia" w:ascii="仿宋_GB2312" w:hAnsi="宋体" w:eastAsia="仿宋_GB2312"/>
          <w:sz w:val="32"/>
          <w:szCs w:val="32"/>
        </w:rPr>
        <w:t>2021年</w:t>
      </w:r>
      <w:r>
        <w:rPr>
          <w:rFonts w:hint="eastAsia" w:ascii="仿宋_GB2312" w:hAnsi="宋体" w:eastAsia="仿宋_GB2312"/>
          <w:sz w:val="32"/>
          <w:szCs w:val="32"/>
          <w:lang w:val="zh-CN"/>
        </w:rPr>
        <w:t>12月底，已完成</w:t>
      </w:r>
      <w:r>
        <w:rPr>
          <w:rFonts w:hint="eastAsia" w:ascii="仿宋_GB2312" w:hAnsi="宋体" w:eastAsia="仿宋_GB2312"/>
          <w:sz w:val="32"/>
          <w:szCs w:val="32"/>
        </w:rPr>
        <w:t>绩效目标。</w:t>
      </w:r>
    </w:p>
    <w:p>
      <w:pPr>
        <w:adjustRightInd w:val="0"/>
        <w:snapToGrid w:val="0"/>
        <w:spacing w:line="520" w:lineRule="exact"/>
        <w:ind w:left="720"/>
        <w:rPr>
          <w:rFonts w:ascii="仿宋_GB2312" w:hAnsi="宋体" w:eastAsia="仿宋_GB2312"/>
          <w:sz w:val="32"/>
          <w:szCs w:val="32"/>
        </w:rPr>
      </w:pPr>
      <w:r>
        <w:rPr>
          <w:rFonts w:hint="eastAsia" w:ascii="楷体_GB2312" w:hAnsi="宋体" w:eastAsia="楷体_GB2312"/>
          <w:sz w:val="32"/>
          <w:szCs w:val="32"/>
          <w:lang w:val="zh-CN"/>
        </w:rPr>
        <w:t>（二）项目效益情况</w:t>
      </w:r>
    </w:p>
    <w:p>
      <w:pPr>
        <w:adjustRightInd w:val="0"/>
        <w:snapToGrid w:val="0"/>
        <w:spacing w:line="520" w:lineRule="exact"/>
        <w:ind w:firstLine="720"/>
        <w:rPr>
          <w:rFonts w:ascii="仿宋_GB2312" w:hAnsi="宋体" w:eastAsia="仿宋_GB2312"/>
          <w:sz w:val="32"/>
          <w:szCs w:val="32"/>
          <w:lang w:val="zh-CN"/>
        </w:rPr>
      </w:pPr>
      <w:r>
        <w:rPr>
          <w:rFonts w:hint="eastAsia" w:ascii="仿宋_GB2312" w:hAnsi="宋体" w:eastAsia="仿宋_GB2312"/>
          <w:sz w:val="32"/>
          <w:szCs w:val="32"/>
        </w:rPr>
        <w:t>检测所建设工程原材料、构配件监督抽测工作，聘请专家参与质量安全检查和消防验收工作开展有序、正常</w:t>
      </w:r>
      <w:r>
        <w:rPr>
          <w:rFonts w:hint="eastAsia" w:ascii="仿宋_GB2312" w:hAnsi="宋体" w:eastAsia="仿宋_GB2312"/>
          <w:sz w:val="32"/>
          <w:szCs w:val="32"/>
          <w:lang w:val="zh-CN"/>
        </w:rPr>
        <w:t>。</w:t>
      </w:r>
    </w:p>
    <w:p>
      <w:pPr>
        <w:adjustRightInd w:val="0"/>
        <w:snapToGrid w:val="0"/>
        <w:spacing w:line="52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52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（一）存在的问题</w:t>
      </w:r>
    </w:p>
    <w:p>
      <w:pPr>
        <w:adjustRightInd w:val="0"/>
        <w:snapToGrid w:val="0"/>
        <w:spacing w:line="520" w:lineRule="exact"/>
        <w:ind w:firstLine="720"/>
        <w:rPr>
          <w:rFonts w:ascii="楷体_GB2312" w:hAnsi="宋体" w:eastAsia="楷体_GB2312"/>
          <w:sz w:val="32"/>
          <w:szCs w:val="32"/>
          <w:lang w:val="zh-CN"/>
        </w:rPr>
      </w:pPr>
      <w:r>
        <w:rPr>
          <w:rFonts w:hint="eastAsia" w:ascii="仿宋_GB2312" w:hAnsi="宋体" w:eastAsia="仿宋_GB2312"/>
          <w:sz w:val="32"/>
          <w:szCs w:val="32"/>
          <w:lang w:val="zh-CN"/>
        </w:rPr>
        <w:t>无</w:t>
      </w:r>
    </w:p>
    <w:p>
      <w:pPr>
        <w:adjustRightInd w:val="0"/>
        <w:snapToGrid w:val="0"/>
        <w:spacing w:line="52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（二）相关建议</w:t>
      </w:r>
    </w:p>
    <w:p>
      <w:pPr>
        <w:adjustRightInd w:val="0"/>
        <w:snapToGrid w:val="0"/>
        <w:spacing w:line="520" w:lineRule="exact"/>
        <w:ind w:firstLine="720"/>
        <w:rPr>
          <w:rFonts w:ascii="楷体_GB2312" w:hAnsi="宋体" w:eastAsia="楷体_GB2312"/>
          <w:sz w:val="32"/>
          <w:szCs w:val="32"/>
          <w:lang w:val="zh-CN"/>
        </w:rPr>
      </w:pPr>
      <w:r>
        <w:rPr>
          <w:rFonts w:hint="eastAsia" w:ascii="仿宋_GB2312" w:hAnsi="宋体" w:eastAsia="仿宋_GB2312"/>
          <w:sz w:val="32"/>
          <w:szCs w:val="32"/>
          <w:lang w:val="zh-CN"/>
        </w:rPr>
        <w:t>无</w:t>
      </w:r>
    </w:p>
    <w:tbl>
      <w:tblPr>
        <w:tblStyle w:val="13"/>
        <w:tblW w:w="9574" w:type="dxa"/>
        <w:jc w:val="center"/>
        <w:tblLayout w:type="autofit"/>
        <w:tblCellMar>
          <w:top w:w="0" w:type="dxa"/>
          <w:left w:w="108" w:type="dxa"/>
          <w:bottom w:w="0" w:type="dxa"/>
          <w:right w:w="108" w:type="dxa"/>
        </w:tblCellMar>
      </w:tblPr>
      <w:tblGrid>
        <w:gridCol w:w="1080"/>
        <w:gridCol w:w="1140"/>
        <w:gridCol w:w="824"/>
        <w:gridCol w:w="1556"/>
        <w:gridCol w:w="1080"/>
        <w:gridCol w:w="1758"/>
        <w:gridCol w:w="2136"/>
      </w:tblGrid>
      <w:tr>
        <w:tblPrEx>
          <w:tblCellMar>
            <w:top w:w="0" w:type="dxa"/>
            <w:left w:w="108" w:type="dxa"/>
            <w:bottom w:w="0" w:type="dxa"/>
            <w:right w:w="108" w:type="dxa"/>
          </w:tblCellMar>
        </w:tblPrEx>
        <w:trPr>
          <w:trHeight w:val="405" w:hRule="atLeast"/>
          <w:jc w:val="center"/>
        </w:trPr>
        <w:tc>
          <w:tcPr>
            <w:tcW w:w="9574"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574"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 </w:t>
            </w:r>
            <w:r>
              <w:rPr>
                <w:kern w:val="0"/>
                <w:sz w:val="24"/>
              </w:rPr>
              <w:t xml:space="preserve">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24"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556"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758"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136"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0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53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建设工程原材料、构配件监督抽测检测费，质量安全监督检查劳务费</w:t>
            </w:r>
          </w:p>
        </w:tc>
      </w:tr>
      <w:tr>
        <w:tblPrEx>
          <w:tblCellMar>
            <w:top w:w="0" w:type="dxa"/>
            <w:left w:w="108" w:type="dxa"/>
            <w:bottom w:w="0" w:type="dxa"/>
            <w:right w:w="108" w:type="dxa"/>
          </w:tblCellMar>
        </w:tblPrEx>
        <w:trPr>
          <w:trHeight w:val="270" w:hRule="atLeast"/>
          <w:jc w:val="center"/>
        </w:trPr>
        <w:tc>
          <w:tcPr>
            <w:tcW w:w="304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53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2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19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6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8.337679万元</w:t>
            </w:r>
          </w:p>
        </w:tc>
        <w:tc>
          <w:tcPr>
            <w:tcW w:w="17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13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8.337679万元</w:t>
            </w:r>
          </w:p>
        </w:tc>
      </w:tr>
      <w:tr>
        <w:tblPrEx>
          <w:tblCellMar>
            <w:top w:w="0" w:type="dxa"/>
            <w:left w:w="108" w:type="dxa"/>
            <w:bottom w:w="0" w:type="dxa"/>
            <w:right w:w="108" w:type="dxa"/>
          </w:tblCellMar>
        </w:tblPrEx>
        <w:trPr>
          <w:trHeight w:val="592"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9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6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8.337679万元</w:t>
            </w:r>
          </w:p>
        </w:tc>
        <w:tc>
          <w:tcPr>
            <w:tcW w:w="1758"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13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8.337679万元</w:t>
            </w:r>
          </w:p>
        </w:tc>
      </w:tr>
      <w:tr>
        <w:tblPrEx>
          <w:tblCellMar>
            <w:top w:w="0" w:type="dxa"/>
            <w:left w:w="108" w:type="dxa"/>
            <w:bottom w:w="0" w:type="dxa"/>
            <w:right w:w="108" w:type="dxa"/>
          </w:tblCellMar>
        </w:tblPrEx>
        <w:trPr>
          <w:trHeight w:val="50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964"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6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758"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13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5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6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8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9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6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营造和维护建设领域稳定的安全生产形势。</w:t>
            </w:r>
          </w:p>
        </w:tc>
        <w:tc>
          <w:tcPr>
            <w:tcW w:w="389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较好地营造和维护了稳定的建设领域安全生产形势。</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8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7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13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799"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82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对全市所有在建工程使用的原材料、构配件送检测单位进行检测。</w:t>
            </w:r>
          </w:p>
        </w:tc>
        <w:tc>
          <w:tcPr>
            <w:tcW w:w="17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&gt;100组</w:t>
            </w:r>
          </w:p>
        </w:tc>
        <w:tc>
          <w:tcPr>
            <w:tcW w:w="21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116组</w:t>
            </w:r>
          </w:p>
        </w:tc>
      </w:tr>
      <w:tr>
        <w:tblPrEx>
          <w:tblCellMar>
            <w:top w:w="0" w:type="dxa"/>
            <w:left w:w="108" w:type="dxa"/>
            <w:bottom w:w="0" w:type="dxa"/>
            <w:right w:w="108" w:type="dxa"/>
          </w:tblCellMar>
        </w:tblPrEx>
        <w:trPr>
          <w:trHeight w:val="120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聘请省市专家或专业机构对我市在建工程进行质量安全检查及对建设、施工、监理人员进行培训。</w:t>
            </w:r>
          </w:p>
        </w:tc>
        <w:tc>
          <w:tcPr>
            <w:tcW w:w="17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&gt;=2次</w:t>
            </w:r>
          </w:p>
        </w:tc>
        <w:tc>
          <w:tcPr>
            <w:tcW w:w="21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2次</w:t>
            </w:r>
          </w:p>
        </w:tc>
      </w:tr>
      <w:tr>
        <w:tblPrEx>
          <w:tblCellMar>
            <w:top w:w="0" w:type="dxa"/>
            <w:left w:w="108" w:type="dxa"/>
            <w:bottom w:w="0" w:type="dxa"/>
            <w:right w:w="108" w:type="dxa"/>
          </w:tblCellMar>
        </w:tblPrEx>
        <w:trPr>
          <w:trHeight w:val="799"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6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聘请专业机构进行建筑起重机械安全检测检查。</w:t>
            </w:r>
          </w:p>
        </w:tc>
        <w:tc>
          <w:tcPr>
            <w:tcW w:w="17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&gt;=3次</w:t>
            </w:r>
          </w:p>
        </w:tc>
        <w:tc>
          <w:tcPr>
            <w:tcW w:w="21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3次</w:t>
            </w:r>
          </w:p>
        </w:tc>
      </w:tr>
      <w:tr>
        <w:tblPrEx>
          <w:tblCellMar>
            <w:top w:w="0" w:type="dxa"/>
            <w:left w:w="108" w:type="dxa"/>
            <w:bottom w:w="0" w:type="dxa"/>
            <w:right w:w="108" w:type="dxa"/>
          </w:tblCellMar>
        </w:tblPrEx>
        <w:trPr>
          <w:trHeight w:val="799"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2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聘请省市消防专家或专业机构对我市在建工程进行消防验收。</w:t>
            </w:r>
          </w:p>
        </w:tc>
        <w:tc>
          <w:tcPr>
            <w:tcW w:w="17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具体工作量根据实际申请验收项目数确定。</w:t>
            </w:r>
          </w:p>
        </w:tc>
        <w:tc>
          <w:tcPr>
            <w:tcW w:w="21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18次</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24"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工程验收合格率</w:t>
            </w:r>
          </w:p>
        </w:tc>
        <w:tc>
          <w:tcPr>
            <w:tcW w:w="17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100%</w:t>
            </w:r>
          </w:p>
        </w:tc>
        <w:tc>
          <w:tcPr>
            <w:tcW w:w="21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2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完成时限</w:t>
            </w:r>
          </w:p>
        </w:tc>
        <w:tc>
          <w:tcPr>
            <w:tcW w:w="17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2021年12月31日</w:t>
            </w:r>
          </w:p>
        </w:tc>
        <w:tc>
          <w:tcPr>
            <w:tcW w:w="21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2021年12月31日</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2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在规定的预算范围内完成各项工作</w:t>
            </w:r>
          </w:p>
        </w:tc>
        <w:tc>
          <w:tcPr>
            <w:tcW w:w="17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&lt;=10万元</w:t>
            </w:r>
          </w:p>
        </w:tc>
        <w:tc>
          <w:tcPr>
            <w:tcW w:w="21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&lt;=10万元</w:t>
            </w:r>
          </w:p>
        </w:tc>
      </w:tr>
      <w:tr>
        <w:tblPrEx>
          <w:tblCellMar>
            <w:top w:w="0" w:type="dxa"/>
            <w:left w:w="108" w:type="dxa"/>
            <w:bottom w:w="0" w:type="dxa"/>
            <w:right w:w="108" w:type="dxa"/>
          </w:tblCellMar>
        </w:tblPrEx>
        <w:trPr>
          <w:trHeight w:val="799"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82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保证房屋建筑和市政基础设施工程质量达标，减少安全事故发生率。</w:t>
            </w:r>
          </w:p>
        </w:tc>
        <w:tc>
          <w:tcPr>
            <w:tcW w:w="17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质量达标率100%</w:t>
            </w:r>
          </w:p>
        </w:tc>
        <w:tc>
          <w:tcPr>
            <w:tcW w:w="21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质量达标率100%</w:t>
            </w:r>
          </w:p>
        </w:tc>
      </w:tr>
      <w:tr>
        <w:tblPrEx>
          <w:tblCellMar>
            <w:top w:w="0" w:type="dxa"/>
            <w:left w:w="108" w:type="dxa"/>
            <w:bottom w:w="0" w:type="dxa"/>
            <w:right w:w="108" w:type="dxa"/>
          </w:tblCellMar>
        </w:tblPrEx>
        <w:trPr>
          <w:trHeight w:val="762"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82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6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保障群众和管理服务对象满意度</w:t>
            </w:r>
          </w:p>
        </w:tc>
        <w:tc>
          <w:tcPr>
            <w:tcW w:w="17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群众和管理服务对象满意度较高</w:t>
            </w:r>
          </w:p>
        </w:tc>
        <w:tc>
          <w:tcPr>
            <w:tcW w:w="213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群众和管理服务对象满意度较高</w:t>
            </w:r>
          </w:p>
        </w:tc>
      </w:tr>
    </w:tbl>
    <w:p>
      <w:pPr>
        <w:pStyle w:val="2"/>
        <w:spacing w:before="93"/>
        <w:rPr>
          <w:rFonts w:hAnsi="宋体" w:cs="宋体"/>
          <w:sz w:val="32"/>
          <w:szCs w:val="32"/>
          <w:shd w:val="clear" w:color="auto" w:fill="FFFFFF"/>
        </w:rPr>
      </w:pPr>
    </w:p>
    <w:p>
      <w:pPr>
        <w:spacing w:before="312" w:beforeLines="100" w:after="312" w:afterLines="100" w:line="580" w:lineRule="exact"/>
        <w:jc w:val="center"/>
        <w:rPr>
          <w:rFonts w:ascii="方正小标宋简体" w:hAnsi="宋体" w:eastAsia="方正小标宋简体"/>
          <w:color w:val="000000"/>
          <w:kern w:val="0"/>
          <w:sz w:val="44"/>
          <w:szCs w:val="44"/>
        </w:rPr>
      </w:pPr>
      <w:r>
        <w:rPr>
          <w:rFonts w:hint="eastAsia" w:ascii="微软雅黑" w:hAnsi="微软雅黑" w:eastAsia="微软雅黑" w:cs="微软雅黑"/>
          <w:color w:val="000000"/>
          <w:kern w:val="0"/>
          <w:sz w:val="44"/>
          <w:szCs w:val="44"/>
        </w:rPr>
        <w:t>项目支出绩效自评报告</w:t>
      </w:r>
    </w:p>
    <w:p>
      <w:pPr>
        <w:spacing w:before="312" w:beforeLines="100" w:after="312" w:afterLines="100" w:line="580" w:lineRule="exact"/>
        <w:jc w:val="center"/>
        <w:rPr>
          <w:rFonts w:ascii="仿宋_GB2312" w:hAnsi="宋体" w:eastAsia="仿宋_GB2312"/>
          <w:sz w:val="32"/>
          <w:szCs w:val="32"/>
        </w:rPr>
      </w:pPr>
      <w:r>
        <w:rPr>
          <w:rFonts w:hint="eastAsia" w:ascii="仿宋_GB2312" w:hAnsi="宋体"/>
          <w:color w:val="000000"/>
          <w:kern w:val="0"/>
          <w:sz w:val="28"/>
          <w:szCs w:val="21"/>
        </w:rPr>
        <w:t>（</w:t>
      </w:r>
      <w:r>
        <w:rPr>
          <w:rFonts w:hint="eastAsia" w:ascii="仿宋_GB2312" w:hAnsi="宋体" w:eastAsia="仿宋_GB2312"/>
          <w:color w:val="000000"/>
          <w:sz w:val="32"/>
          <w:szCs w:val="32"/>
        </w:rPr>
        <w:t>城区危房排危资金项目</w:t>
      </w:r>
      <w:r>
        <w:rPr>
          <w:rFonts w:hint="eastAsia" w:ascii="仿宋_GB2312" w:hAnsi="宋体"/>
          <w:color w:val="000000"/>
          <w:kern w:val="0"/>
          <w:sz w:val="28"/>
          <w:szCs w:val="21"/>
        </w:rPr>
        <w:t>）</w:t>
      </w:r>
    </w:p>
    <w:p>
      <w:pPr>
        <w:adjustRightInd w:val="0"/>
        <w:snapToGrid w:val="0"/>
        <w:spacing w:line="5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00" w:lineRule="exact"/>
        <w:ind w:firstLine="720"/>
        <w:rPr>
          <w:rFonts w:ascii="仿宋" w:hAnsi="仿宋" w:eastAsia="仿宋"/>
          <w:sz w:val="32"/>
          <w:szCs w:val="32"/>
          <w:lang w:val="zh-CN"/>
        </w:rPr>
      </w:pPr>
      <w:r>
        <w:rPr>
          <w:rFonts w:hint="eastAsia" w:ascii="仿宋" w:hAnsi="仿宋" w:eastAsia="仿宋"/>
          <w:sz w:val="32"/>
          <w:szCs w:val="32"/>
          <w:lang w:val="zh-CN"/>
        </w:rPr>
        <w:t>对绵竹市城区危房</w:t>
      </w:r>
      <w:r>
        <w:rPr>
          <w:rFonts w:hint="eastAsia" w:ascii="仿宋" w:hAnsi="仿宋" w:eastAsia="仿宋"/>
          <w:sz w:val="32"/>
          <w:szCs w:val="32"/>
        </w:rPr>
        <w:t>巡查，对房屋建筑和人员聚集场所安全风险排查整治</w:t>
      </w:r>
      <w:r>
        <w:rPr>
          <w:rFonts w:hint="eastAsia" w:ascii="仿宋" w:hAnsi="仿宋" w:eastAsia="仿宋"/>
          <w:sz w:val="32"/>
          <w:szCs w:val="32"/>
          <w:lang w:val="zh-CN"/>
        </w:rPr>
        <w:t>。</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00" w:lineRule="exact"/>
        <w:ind w:firstLine="640" w:firstLineChars="200"/>
        <w:rPr>
          <w:rFonts w:ascii="仿宋_GB2312" w:hAnsi="宋体" w:eastAsia="仿宋_GB2312"/>
          <w:sz w:val="32"/>
          <w:szCs w:val="32"/>
          <w:lang w:val="zh-CN"/>
        </w:rPr>
      </w:pPr>
      <w:r>
        <w:rPr>
          <w:rFonts w:ascii="仿宋_GB2312" w:hAnsi="宋体" w:eastAsia="仿宋_GB2312"/>
          <w:sz w:val="32"/>
          <w:szCs w:val="32"/>
        </w:rPr>
        <w:t>2</w:t>
      </w:r>
      <w:r>
        <w:rPr>
          <w:rFonts w:hint="eastAsia" w:ascii="仿宋_GB2312" w:hAnsi="宋体" w:eastAsia="仿宋_GB2312"/>
          <w:sz w:val="32"/>
          <w:szCs w:val="32"/>
        </w:rPr>
        <w:t>0</w:t>
      </w:r>
      <w:r>
        <w:rPr>
          <w:rFonts w:ascii="仿宋_GB2312" w:hAnsi="宋体" w:eastAsia="仿宋_GB2312"/>
          <w:sz w:val="32"/>
          <w:szCs w:val="32"/>
        </w:rPr>
        <w:t>21</w:t>
      </w:r>
      <w:r>
        <w:rPr>
          <w:rFonts w:hint="eastAsia" w:ascii="仿宋_GB2312" w:hAnsi="宋体" w:eastAsia="仿宋_GB2312"/>
          <w:sz w:val="32"/>
          <w:szCs w:val="32"/>
        </w:rPr>
        <w:t>年该笔专项资金年初预算资金5</w:t>
      </w:r>
      <w:r>
        <w:rPr>
          <w:rFonts w:ascii="仿宋_GB2312" w:hAnsi="宋体" w:eastAsia="仿宋_GB2312"/>
          <w:sz w:val="32"/>
          <w:szCs w:val="32"/>
        </w:rPr>
        <w:t>0</w:t>
      </w:r>
      <w:r>
        <w:rPr>
          <w:rFonts w:hint="eastAsia" w:ascii="仿宋_GB2312" w:hAnsi="宋体" w:eastAsia="仿宋_GB2312"/>
          <w:sz w:val="32"/>
          <w:szCs w:val="32"/>
        </w:rPr>
        <w:t>万，后经市政府及人大同意由财政追加预算1</w:t>
      </w:r>
      <w:r>
        <w:rPr>
          <w:rFonts w:ascii="仿宋_GB2312" w:hAnsi="宋体" w:eastAsia="仿宋_GB2312"/>
          <w:sz w:val="32"/>
          <w:szCs w:val="32"/>
        </w:rPr>
        <w:t>5</w:t>
      </w:r>
      <w:r>
        <w:rPr>
          <w:rFonts w:hint="eastAsia" w:ascii="仿宋_GB2312" w:hAnsi="宋体" w:eastAsia="仿宋_GB2312"/>
          <w:sz w:val="32"/>
          <w:szCs w:val="32"/>
        </w:rPr>
        <w:t>万元，</w:t>
      </w:r>
      <w:r>
        <w:rPr>
          <w:rFonts w:hint="eastAsia" w:ascii="仿宋_GB2312" w:hAnsi="宋体" w:eastAsia="仿宋_GB2312"/>
          <w:sz w:val="32"/>
          <w:szCs w:val="32"/>
          <w:lang w:val="zh-CN"/>
        </w:rPr>
        <w:t>该资金预算及使用符合资金管理办法等相关规定。</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500" w:lineRule="exact"/>
        <w:ind w:firstLine="640" w:firstLineChars="200"/>
        <w:rPr>
          <w:rFonts w:eastAsia="仿宋_GB2312"/>
          <w:sz w:val="32"/>
          <w:szCs w:val="32"/>
        </w:rPr>
      </w:pPr>
      <w:r>
        <w:rPr>
          <w:rFonts w:hint="eastAsia" w:eastAsia="仿宋_GB2312"/>
          <w:sz w:val="32"/>
          <w:szCs w:val="32"/>
        </w:rPr>
        <w:t>该项目绩效总目标符合《城市危房管理办法》等</w:t>
      </w:r>
      <w:r>
        <w:rPr>
          <w:rFonts w:hint="eastAsia" w:eastAsia="仿宋_GB2312"/>
          <w:sz w:val="32"/>
          <w:szCs w:val="32"/>
          <w:lang w:eastAsia="zh-CN"/>
        </w:rPr>
        <w:t>法律法规</w:t>
      </w:r>
      <w:r>
        <w:rPr>
          <w:rFonts w:hint="eastAsia" w:eastAsia="仿宋_GB2312"/>
          <w:sz w:val="32"/>
          <w:szCs w:val="32"/>
        </w:rPr>
        <w:t>、标准要求，根据验收前自查已达成项目绩效总目标。</w:t>
      </w:r>
    </w:p>
    <w:p>
      <w:pPr>
        <w:adjustRightInd w:val="0"/>
        <w:snapToGrid w:val="0"/>
        <w:spacing w:line="500" w:lineRule="exact"/>
        <w:ind w:left="720"/>
        <w:rPr>
          <w:rFonts w:ascii="楷体_GB2312" w:hAnsi="宋体" w:eastAsia="楷体_GB2312"/>
          <w:b/>
          <w:sz w:val="32"/>
          <w:szCs w:val="32"/>
          <w:lang w:val="zh-CN"/>
        </w:rPr>
      </w:pPr>
      <w:r>
        <w:rPr>
          <w:rFonts w:hint="eastAsia" w:ascii="楷体_GB2312" w:hAnsi="宋体" w:eastAsia="楷体_GB2312"/>
          <w:b/>
          <w:sz w:val="32"/>
          <w:szCs w:val="32"/>
          <w:lang w:val="zh-CN"/>
        </w:rPr>
        <w:t>（三）项目资金申报相符性。</w:t>
      </w:r>
    </w:p>
    <w:p>
      <w:pPr>
        <w:adjustRightInd w:val="0"/>
        <w:snapToGrid w:val="0"/>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该项目</w:t>
      </w:r>
      <w:r>
        <w:rPr>
          <w:rFonts w:hint="eastAsia" w:ascii="仿宋_GB2312" w:hAnsi="宋体" w:eastAsia="仿宋_GB2312"/>
          <w:sz w:val="32"/>
          <w:szCs w:val="32"/>
        </w:rPr>
        <w:t>20</w:t>
      </w:r>
      <w:r>
        <w:rPr>
          <w:rFonts w:ascii="仿宋_GB2312" w:hAnsi="宋体" w:eastAsia="仿宋_GB2312"/>
          <w:sz w:val="32"/>
          <w:szCs w:val="32"/>
        </w:rPr>
        <w:t>21</w:t>
      </w:r>
      <w:r>
        <w:rPr>
          <w:rFonts w:hint="eastAsia" w:ascii="仿宋_GB2312" w:hAnsi="宋体" w:eastAsia="仿宋_GB2312"/>
          <w:sz w:val="32"/>
          <w:szCs w:val="32"/>
        </w:rPr>
        <w:t>年年度资金预算指标合计</w:t>
      </w:r>
      <w:r>
        <w:rPr>
          <w:rFonts w:ascii="仿宋_GB2312" w:hAnsi="宋体" w:eastAsia="仿宋_GB2312"/>
          <w:sz w:val="32"/>
          <w:szCs w:val="32"/>
        </w:rPr>
        <w:t>65</w:t>
      </w:r>
      <w:r>
        <w:rPr>
          <w:rFonts w:hint="eastAsia" w:ascii="仿宋_GB2312" w:hAnsi="宋体" w:eastAsia="仿宋_GB2312"/>
          <w:sz w:val="32"/>
          <w:szCs w:val="32"/>
        </w:rPr>
        <w:t>万元，全部用于城市危房巡查、危旧房临时过渡费、城区排危，</w:t>
      </w:r>
      <w:r>
        <w:rPr>
          <w:rFonts w:hint="eastAsia" w:ascii="仿宋" w:hAnsi="仿宋" w:eastAsia="仿宋"/>
          <w:sz w:val="32"/>
          <w:szCs w:val="32"/>
        </w:rPr>
        <w:t>对房屋建筑和人员聚集场所安全风险排查整治，</w:t>
      </w:r>
      <w:r>
        <w:rPr>
          <w:rFonts w:hint="eastAsia" w:ascii="仿宋_GB2312" w:hAnsi="宋体" w:eastAsia="仿宋_GB2312"/>
          <w:sz w:val="32"/>
          <w:szCs w:val="32"/>
        </w:rPr>
        <w:t>申报内容与具体实施内容相符。</w:t>
      </w:r>
    </w:p>
    <w:p>
      <w:pPr>
        <w:adjustRightInd w:val="0"/>
        <w:snapToGrid w:val="0"/>
        <w:spacing w:line="50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5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500" w:lineRule="exact"/>
        <w:ind w:firstLine="720"/>
        <w:rPr>
          <w:rFonts w:ascii="楷体_GB2312" w:hAnsi="宋体" w:eastAsia="楷体_GB2312"/>
          <w:sz w:val="32"/>
          <w:szCs w:val="32"/>
          <w:lang w:val="zh-CN"/>
        </w:rPr>
      </w:pPr>
      <w:r>
        <w:rPr>
          <w:rFonts w:hint="eastAsia" w:ascii="仿宋_GB2312" w:hAnsi="宋体" w:eastAsia="仿宋_GB2312"/>
          <w:sz w:val="32"/>
          <w:szCs w:val="32"/>
          <w:lang w:val="zh-CN"/>
        </w:rPr>
        <w:t>1.资金计划及到位。</w:t>
      </w:r>
    </w:p>
    <w:p>
      <w:pPr>
        <w:adjustRightInd w:val="0"/>
        <w:snapToGrid w:val="0"/>
        <w:spacing w:line="500" w:lineRule="exact"/>
        <w:ind w:firstLine="720"/>
        <w:rPr>
          <w:rFonts w:ascii="仿宋_GB2312" w:hAnsi="宋体" w:eastAsia="仿宋_GB2312"/>
          <w:sz w:val="32"/>
          <w:szCs w:val="32"/>
        </w:rPr>
      </w:pPr>
      <w:r>
        <w:rPr>
          <w:rFonts w:hint="eastAsia" w:ascii="仿宋_GB2312" w:hAnsi="宋体" w:eastAsia="仿宋_GB2312"/>
          <w:sz w:val="32"/>
          <w:szCs w:val="32"/>
          <w:lang w:val="zh-CN"/>
        </w:rPr>
        <w:t>该项目资金年初预算5</w:t>
      </w:r>
      <w:r>
        <w:rPr>
          <w:rFonts w:ascii="仿宋_GB2312" w:hAnsi="宋体" w:eastAsia="仿宋_GB2312"/>
          <w:sz w:val="32"/>
          <w:szCs w:val="32"/>
          <w:lang w:val="zh-CN"/>
        </w:rPr>
        <w:t>0</w:t>
      </w:r>
      <w:r>
        <w:rPr>
          <w:rFonts w:hint="eastAsia" w:ascii="仿宋_GB2312" w:hAnsi="宋体" w:eastAsia="仿宋_GB2312"/>
          <w:sz w:val="32"/>
          <w:szCs w:val="32"/>
          <w:lang w:val="zh-CN"/>
        </w:rPr>
        <w:t>万元，1</w:t>
      </w:r>
      <w:r>
        <w:rPr>
          <w:rFonts w:ascii="仿宋_GB2312" w:hAnsi="宋体" w:eastAsia="仿宋_GB2312"/>
          <w:sz w:val="32"/>
          <w:szCs w:val="32"/>
          <w:lang w:val="zh-CN"/>
        </w:rPr>
        <w:t>1</w:t>
      </w:r>
      <w:r>
        <w:rPr>
          <w:rFonts w:hint="eastAsia" w:ascii="仿宋_GB2312" w:hAnsi="宋体" w:eastAsia="仿宋_GB2312"/>
          <w:sz w:val="32"/>
          <w:szCs w:val="32"/>
          <w:lang w:val="zh-CN"/>
        </w:rPr>
        <w:t>月经市政府研究决定追加预算1</w:t>
      </w:r>
      <w:r>
        <w:rPr>
          <w:rFonts w:ascii="仿宋_GB2312" w:hAnsi="宋体" w:eastAsia="仿宋_GB2312"/>
          <w:sz w:val="32"/>
          <w:szCs w:val="32"/>
          <w:lang w:val="zh-CN"/>
        </w:rPr>
        <w:t>5</w:t>
      </w:r>
      <w:r>
        <w:rPr>
          <w:rFonts w:hint="eastAsia" w:ascii="仿宋_GB2312" w:hAnsi="宋体" w:eastAsia="仿宋_GB2312"/>
          <w:sz w:val="32"/>
          <w:szCs w:val="32"/>
          <w:lang w:val="zh-CN"/>
        </w:rPr>
        <w:t>万元，专门用于</w:t>
      </w:r>
      <w:r>
        <w:rPr>
          <w:rFonts w:hint="eastAsia" w:ascii="仿宋" w:hAnsi="仿宋" w:eastAsia="仿宋"/>
          <w:sz w:val="32"/>
          <w:szCs w:val="32"/>
        </w:rPr>
        <w:t>对房屋建筑和人员聚集场所安全风险排查整治</w:t>
      </w:r>
      <w:r>
        <w:rPr>
          <w:rFonts w:hint="eastAsia" w:ascii="仿宋" w:hAnsi="仿宋" w:eastAsia="仿宋"/>
          <w:sz w:val="32"/>
          <w:szCs w:val="32"/>
          <w:lang w:val="zh-CN"/>
        </w:rPr>
        <w:t>。</w:t>
      </w:r>
      <w:r>
        <w:rPr>
          <w:rFonts w:hint="eastAsia" w:ascii="仿宋_GB2312" w:hAnsi="宋体" w:eastAsia="仿宋_GB2312"/>
          <w:sz w:val="32"/>
          <w:szCs w:val="32"/>
          <w:lang w:val="zh-CN"/>
        </w:rPr>
        <w:t>截至202</w:t>
      </w:r>
      <w:r>
        <w:rPr>
          <w:rFonts w:ascii="仿宋_GB2312" w:hAnsi="宋体" w:eastAsia="仿宋_GB2312"/>
          <w:sz w:val="32"/>
          <w:szCs w:val="32"/>
          <w:lang w:val="zh-CN"/>
        </w:rPr>
        <w:t>1</w:t>
      </w:r>
      <w:r>
        <w:rPr>
          <w:rFonts w:hint="eastAsia" w:ascii="仿宋_GB2312" w:hAnsi="宋体" w:eastAsia="仿宋_GB2312"/>
          <w:sz w:val="32"/>
          <w:szCs w:val="32"/>
          <w:lang w:val="zh-CN"/>
        </w:rPr>
        <w:t>年12月31日，</w:t>
      </w:r>
      <w:r>
        <w:rPr>
          <w:rFonts w:hint="eastAsia" w:ascii="仿宋_GB2312" w:hAnsi="宋体" w:eastAsia="仿宋_GB2312"/>
          <w:sz w:val="32"/>
          <w:szCs w:val="32"/>
        </w:rPr>
        <w:t>资金预算指标完全到位。</w:t>
      </w:r>
    </w:p>
    <w:p>
      <w:pPr>
        <w:adjustRightInd w:val="0"/>
        <w:snapToGrid w:val="0"/>
        <w:spacing w:line="500" w:lineRule="exact"/>
        <w:ind w:firstLine="72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资金使用。</w:t>
      </w:r>
    </w:p>
    <w:p>
      <w:pPr>
        <w:adjustRightInd w:val="0"/>
        <w:snapToGrid w:val="0"/>
        <w:spacing w:line="5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截至202</w:t>
      </w:r>
      <w:r>
        <w:rPr>
          <w:rFonts w:ascii="仿宋_GB2312" w:hAnsi="宋体" w:eastAsia="仿宋_GB2312"/>
          <w:sz w:val="32"/>
          <w:szCs w:val="32"/>
          <w:lang w:val="zh-CN"/>
        </w:rPr>
        <w:t>1</w:t>
      </w:r>
      <w:r>
        <w:rPr>
          <w:rFonts w:hint="eastAsia" w:ascii="仿宋_GB2312" w:hAnsi="宋体" w:eastAsia="仿宋_GB2312"/>
          <w:sz w:val="32"/>
          <w:szCs w:val="32"/>
          <w:lang w:val="zh-CN"/>
        </w:rPr>
        <w:t>年12月31日，资金使用</w:t>
      </w:r>
      <w:r>
        <w:rPr>
          <w:rFonts w:ascii="仿宋_GB2312" w:hAnsi="宋体" w:eastAsia="仿宋_GB2312"/>
          <w:sz w:val="32"/>
          <w:szCs w:val="32"/>
        </w:rPr>
        <w:t>65</w:t>
      </w:r>
      <w:r>
        <w:rPr>
          <w:rFonts w:hint="eastAsia" w:ascii="仿宋_GB2312" w:hAnsi="宋体" w:eastAsia="仿宋_GB2312"/>
          <w:sz w:val="32"/>
          <w:szCs w:val="32"/>
        </w:rPr>
        <w:t>万</w:t>
      </w:r>
      <w:r>
        <w:rPr>
          <w:rFonts w:hint="eastAsia" w:ascii="仿宋_GB2312" w:hAnsi="宋体" w:eastAsia="仿宋_GB2312"/>
          <w:sz w:val="32"/>
          <w:szCs w:val="32"/>
          <w:lang w:val="zh-CN"/>
        </w:rPr>
        <w:t>元，全部用于城市危房巡查、危旧房临时过渡费、城区排危及</w:t>
      </w:r>
      <w:r>
        <w:rPr>
          <w:rFonts w:hint="eastAsia" w:ascii="仿宋" w:hAnsi="仿宋" w:eastAsia="仿宋"/>
          <w:sz w:val="32"/>
          <w:szCs w:val="32"/>
        </w:rPr>
        <w:t>对房屋建筑和人员聚集场所安全风险排查整治</w:t>
      </w:r>
      <w:r>
        <w:rPr>
          <w:rFonts w:hint="eastAsia" w:ascii="仿宋" w:hAnsi="仿宋" w:eastAsia="仿宋"/>
          <w:sz w:val="32"/>
          <w:szCs w:val="32"/>
          <w:lang w:val="zh-CN"/>
        </w:rPr>
        <w:t>。</w:t>
      </w:r>
      <w:r>
        <w:rPr>
          <w:rFonts w:hint="eastAsia" w:ascii="仿宋_GB2312" w:hAnsi="宋体" w:eastAsia="仿宋_GB2312"/>
          <w:sz w:val="32"/>
          <w:szCs w:val="32"/>
          <w:lang w:val="zh-CN"/>
        </w:rPr>
        <w:t>支付标准</w:t>
      </w:r>
      <w:r>
        <w:rPr>
          <w:rFonts w:hint="eastAsia" w:ascii="仿宋_GB2312" w:hAnsi="宋体" w:eastAsia="仿宋_GB2312"/>
          <w:sz w:val="32"/>
          <w:szCs w:val="32"/>
        </w:rPr>
        <w:t>及依据合规合法，资金支付与预算完全相符</w:t>
      </w:r>
      <w:r>
        <w:rPr>
          <w:rFonts w:hint="eastAsia" w:ascii="仿宋_GB2312" w:hAnsi="宋体" w:eastAsia="仿宋_GB2312"/>
          <w:sz w:val="32"/>
          <w:szCs w:val="32"/>
          <w:lang w:val="zh-CN"/>
        </w:rPr>
        <w:t>。</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5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依照法律、行政法规和国家财政行政主管部门的规定建立财务、会计制度；在每一会计季度终了时制作财务会计报表，按国家和有关部门的规定进行审计，报送财政；严格执行财务管理制度、财务处理及时、会计核算规范。</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5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该项目由绵竹市人民政府授权绵竹市</w:t>
      </w:r>
      <w:r>
        <w:rPr>
          <w:rFonts w:hint="eastAsia" w:ascii="仿宋_GB2312" w:hAnsi="宋体" w:eastAsia="仿宋_GB2312"/>
          <w:sz w:val="32"/>
          <w:szCs w:val="32"/>
        </w:rPr>
        <w:t>房屋安全鉴定</w:t>
      </w:r>
      <w:r>
        <w:rPr>
          <w:rFonts w:hint="eastAsia" w:ascii="仿宋_GB2312" w:hAnsi="宋体" w:eastAsia="仿宋_GB2312"/>
          <w:sz w:val="32"/>
          <w:szCs w:val="32"/>
          <w:lang w:val="zh-CN"/>
        </w:rPr>
        <w:t>中心进行组织实施，该项目于202</w:t>
      </w:r>
      <w:r>
        <w:rPr>
          <w:rFonts w:ascii="仿宋_GB2312" w:hAnsi="宋体" w:eastAsia="仿宋_GB2312"/>
          <w:sz w:val="32"/>
          <w:szCs w:val="32"/>
          <w:lang w:val="zh-CN"/>
        </w:rPr>
        <w:t>1</w:t>
      </w:r>
      <w:r>
        <w:rPr>
          <w:rFonts w:hint="eastAsia" w:ascii="仿宋_GB2312" w:hAnsi="宋体" w:eastAsia="仿宋_GB2312"/>
          <w:sz w:val="32"/>
          <w:szCs w:val="32"/>
          <w:lang w:val="zh-CN"/>
        </w:rPr>
        <w:t>年12月全部完工。</w:t>
      </w:r>
    </w:p>
    <w:p>
      <w:pPr>
        <w:adjustRightInd w:val="0"/>
        <w:snapToGrid w:val="0"/>
        <w:spacing w:line="50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00" w:lineRule="exact"/>
        <w:ind w:firstLine="72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202</w:t>
      </w:r>
      <w:r>
        <w:rPr>
          <w:rFonts w:ascii="仿宋_GB2312" w:hAnsi="宋体" w:eastAsia="仿宋_GB2312"/>
          <w:color w:val="000000"/>
          <w:sz w:val="32"/>
          <w:szCs w:val="32"/>
          <w:lang w:val="zh-CN"/>
        </w:rPr>
        <w:t>1</w:t>
      </w:r>
      <w:r>
        <w:rPr>
          <w:rFonts w:hint="eastAsia" w:ascii="仿宋_GB2312" w:hAnsi="宋体" w:eastAsia="仿宋_GB2312"/>
          <w:color w:val="000000"/>
          <w:sz w:val="32"/>
          <w:szCs w:val="32"/>
          <w:lang w:val="zh-CN"/>
        </w:rPr>
        <w:t>年12月完成结算审核。</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00" w:lineRule="exact"/>
        <w:ind w:firstLine="720"/>
        <w:rPr>
          <w:rFonts w:ascii="仿宋_GB2312" w:hAnsi="宋体" w:eastAsia="仿宋_GB2312"/>
          <w:sz w:val="32"/>
          <w:szCs w:val="32"/>
        </w:rPr>
      </w:pPr>
      <w:r>
        <w:rPr>
          <w:rFonts w:hint="eastAsia" w:ascii="仿宋_GB2312" w:hAnsi="宋体" w:eastAsia="仿宋_GB2312"/>
          <w:sz w:val="32"/>
          <w:szCs w:val="32"/>
          <w:lang w:val="zh-CN"/>
        </w:rPr>
        <w:t>城市</w:t>
      </w:r>
      <w:r>
        <w:rPr>
          <w:rFonts w:hint="eastAsia" w:ascii="仿宋_GB2312" w:hAnsi="宋体" w:eastAsia="仿宋_GB2312"/>
          <w:sz w:val="32"/>
          <w:szCs w:val="32"/>
        </w:rPr>
        <w:t>房屋排危</w:t>
      </w:r>
      <w:r>
        <w:rPr>
          <w:rFonts w:hint="eastAsia" w:ascii="仿宋_GB2312" w:hAnsi="宋体" w:eastAsia="仿宋_GB2312"/>
          <w:sz w:val="32"/>
          <w:szCs w:val="32"/>
          <w:lang w:val="zh-CN"/>
        </w:rPr>
        <w:t>，切实保障群众住房和公共安全。</w:t>
      </w:r>
    </w:p>
    <w:p>
      <w:pPr>
        <w:adjustRightInd w:val="0"/>
        <w:snapToGrid w:val="0"/>
        <w:spacing w:line="50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500" w:lineRule="exact"/>
        <w:ind w:firstLine="720"/>
        <w:rPr>
          <w:rFonts w:ascii="仿宋_GB2312" w:hAnsi="宋体" w:eastAsia="仿宋_GB2312"/>
          <w:sz w:val="32"/>
          <w:szCs w:val="32"/>
        </w:rPr>
      </w:pPr>
      <w:r>
        <w:rPr>
          <w:rFonts w:hint="eastAsia" w:ascii="仿宋_GB2312" w:hAnsi="宋体" w:eastAsia="仿宋_GB2312"/>
          <w:sz w:val="32"/>
          <w:szCs w:val="32"/>
        </w:rPr>
        <w:t>绵竹市城市房屋震后危房需全面排查，资金不足。</w:t>
      </w:r>
    </w:p>
    <w:p>
      <w:pPr>
        <w:numPr>
          <w:ilvl w:val="0"/>
          <w:numId w:val="10"/>
        </w:num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相关建议。</w:t>
      </w:r>
    </w:p>
    <w:p>
      <w:pPr>
        <w:adjustRightInd w:val="0"/>
        <w:snapToGrid w:val="0"/>
        <w:spacing w:line="500" w:lineRule="exact"/>
        <w:ind w:firstLine="720"/>
        <w:rPr>
          <w:rFonts w:ascii="仿宋_GB2312" w:hAnsi="宋体" w:eastAsia="仿宋_GB2312"/>
          <w:sz w:val="32"/>
          <w:szCs w:val="32"/>
        </w:rPr>
      </w:pPr>
      <w:r>
        <w:rPr>
          <w:rFonts w:hint="eastAsia" w:ascii="仿宋_GB2312" w:hAnsi="宋体" w:eastAsia="仿宋_GB2312"/>
          <w:sz w:val="32"/>
          <w:szCs w:val="32"/>
        </w:rPr>
        <w:t>加强对</w:t>
      </w:r>
      <w:r>
        <w:rPr>
          <w:rFonts w:hint="eastAsia" w:ascii="仿宋_GB2312" w:hAnsi="宋体" w:eastAsia="仿宋_GB2312"/>
          <w:sz w:val="32"/>
          <w:szCs w:val="32"/>
          <w:lang w:eastAsia="zh-CN"/>
        </w:rPr>
        <w:t>城市</w:t>
      </w:r>
      <w:r>
        <w:rPr>
          <w:rFonts w:hint="eastAsia" w:ascii="仿宋_GB2312" w:hAnsi="宋体" w:eastAsia="仿宋_GB2312"/>
          <w:sz w:val="32"/>
          <w:szCs w:val="32"/>
        </w:rPr>
        <w:t>危房巡查、危旧房临时过渡费、城区排危投入。</w:t>
      </w: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5202" w:type="pct"/>
        <w:jc w:val="center"/>
        <w:tblLayout w:type="autofit"/>
        <w:tblCellMar>
          <w:top w:w="0" w:type="dxa"/>
          <w:left w:w="108" w:type="dxa"/>
          <w:bottom w:w="0" w:type="dxa"/>
          <w:right w:w="108" w:type="dxa"/>
        </w:tblCellMar>
      </w:tblPr>
      <w:tblGrid>
        <w:gridCol w:w="989"/>
        <w:gridCol w:w="1135"/>
        <w:gridCol w:w="1126"/>
        <w:gridCol w:w="2153"/>
        <w:gridCol w:w="1833"/>
        <w:gridCol w:w="1630"/>
      </w:tblGrid>
      <w:tr>
        <w:tblPrEx>
          <w:tblCellMar>
            <w:top w:w="0" w:type="dxa"/>
            <w:left w:w="108" w:type="dxa"/>
            <w:bottom w:w="0" w:type="dxa"/>
            <w:right w:w="108" w:type="dxa"/>
          </w:tblCellMar>
        </w:tblPrEx>
        <w:trPr>
          <w:trHeight w:val="405" w:hRule="atLeast"/>
          <w:jc w:val="center"/>
        </w:trPr>
        <w:tc>
          <w:tcPr>
            <w:tcW w:w="5000" w:type="pct"/>
            <w:gridSpan w:val="6"/>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70" w:hRule="atLeast"/>
          <w:jc w:val="center"/>
        </w:trPr>
        <w:tc>
          <w:tcPr>
            <w:tcW w:w="5000" w:type="pct"/>
            <w:gridSpan w:val="6"/>
            <w:tcBorders>
              <w:top w:val="nil"/>
              <w:left w:val="nil"/>
              <w:bottom w:val="nil"/>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r>
              <w:rPr>
                <w:kern w:val="0"/>
                <w:sz w:val="20"/>
                <w:szCs w:val="20"/>
              </w:rPr>
              <w:t xml:space="preserve">     2021     </w:t>
            </w:r>
            <w:r>
              <w:rPr>
                <w:rFonts w:hint="eastAsia" w:ascii="宋体" w:hAnsi="宋体" w:cs="宋体"/>
                <w:kern w:val="0"/>
                <w:sz w:val="20"/>
                <w:szCs w:val="20"/>
              </w:rPr>
              <w:t>年度）</w:t>
            </w:r>
          </w:p>
        </w:tc>
      </w:tr>
      <w:tr>
        <w:tblPrEx>
          <w:tblCellMar>
            <w:top w:w="0" w:type="dxa"/>
            <w:left w:w="108" w:type="dxa"/>
            <w:bottom w:w="0" w:type="dxa"/>
            <w:right w:w="108" w:type="dxa"/>
          </w:tblCellMar>
        </w:tblPrEx>
        <w:trPr>
          <w:trHeight w:val="270" w:hRule="atLeast"/>
          <w:jc w:val="center"/>
        </w:trPr>
        <w:tc>
          <w:tcPr>
            <w:tcW w:w="558" w:type="pct"/>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40" w:type="pct"/>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635" w:type="pct"/>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214" w:type="pct"/>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034" w:type="pct"/>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920" w:type="pct"/>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80" w:hRule="atLeast"/>
          <w:jc w:val="center"/>
        </w:trPr>
        <w:tc>
          <w:tcPr>
            <w:tcW w:w="18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3168"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城区危房排危资金</w:t>
            </w:r>
          </w:p>
        </w:tc>
      </w:tr>
      <w:tr>
        <w:tblPrEx>
          <w:tblCellMar>
            <w:top w:w="0" w:type="dxa"/>
            <w:left w:w="108" w:type="dxa"/>
            <w:bottom w:w="0" w:type="dxa"/>
            <w:right w:w="108" w:type="dxa"/>
          </w:tblCellMar>
        </w:tblPrEx>
        <w:trPr>
          <w:trHeight w:val="435" w:hRule="atLeast"/>
          <w:jc w:val="center"/>
        </w:trPr>
        <w:tc>
          <w:tcPr>
            <w:tcW w:w="1832" w:type="pct"/>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3168" w:type="pct"/>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480" w:hRule="atLeast"/>
          <w:jc w:val="center"/>
        </w:trPr>
        <w:tc>
          <w:tcPr>
            <w:tcW w:w="55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1275" w:type="pct"/>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65万</w:t>
            </w:r>
          </w:p>
        </w:tc>
        <w:tc>
          <w:tcPr>
            <w:tcW w:w="103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9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65万</w:t>
            </w:r>
          </w:p>
        </w:tc>
      </w:tr>
      <w:tr>
        <w:tblPrEx>
          <w:tblCellMar>
            <w:top w:w="0" w:type="dxa"/>
            <w:left w:w="108" w:type="dxa"/>
            <w:bottom w:w="0" w:type="dxa"/>
            <w:right w:w="108" w:type="dxa"/>
          </w:tblCellMar>
        </w:tblPrEx>
        <w:trPr>
          <w:trHeight w:val="581" w:hRule="atLeast"/>
          <w:jc w:val="center"/>
        </w:trPr>
        <w:tc>
          <w:tcPr>
            <w:tcW w:w="55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75" w:type="pct"/>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65万</w:t>
            </w:r>
          </w:p>
        </w:tc>
        <w:tc>
          <w:tcPr>
            <w:tcW w:w="1034" w:type="pct"/>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9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65万</w:t>
            </w:r>
          </w:p>
        </w:tc>
      </w:tr>
      <w:tr>
        <w:tblPrEx>
          <w:tblCellMar>
            <w:top w:w="0" w:type="dxa"/>
            <w:left w:w="108" w:type="dxa"/>
            <w:bottom w:w="0" w:type="dxa"/>
            <w:right w:w="108" w:type="dxa"/>
          </w:tblCellMar>
        </w:tblPrEx>
        <w:trPr>
          <w:trHeight w:val="547" w:hRule="atLeast"/>
          <w:jc w:val="center"/>
        </w:trPr>
        <w:tc>
          <w:tcPr>
            <w:tcW w:w="55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75" w:type="pct"/>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034" w:type="pct"/>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920" w:type="pct"/>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95" w:hRule="atLeast"/>
          <w:jc w:val="center"/>
        </w:trPr>
        <w:tc>
          <w:tcPr>
            <w:tcW w:w="558" w:type="pct"/>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2489" w:type="pct"/>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1954" w:type="pct"/>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425" w:hRule="atLeast"/>
          <w:jc w:val="center"/>
        </w:trPr>
        <w:tc>
          <w:tcPr>
            <w:tcW w:w="55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89" w:type="pct"/>
            <w:gridSpan w:val="3"/>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完成对城区老旧危房的排查、巡查和安全监测，对临时发生的城市危房和公共区域设施评估、鉴定、修缮、拆除、防护设施建设以及对困难住户的补助和临时安置。</w:t>
            </w:r>
          </w:p>
        </w:tc>
        <w:tc>
          <w:tcPr>
            <w:tcW w:w="1954" w:type="pct"/>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完成对城区老旧危房的排查、巡查和安全监测，对临时发生的城市危房和公共区域设施评估、鉴定、修缮、拆除、防护设施建设以及对困难住户的补助和临时安置。</w:t>
            </w:r>
          </w:p>
        </w:tc>
      </w:tr>
      <w:tr>
        <w:tblPrEx>
          <w:tblCellMar>
            <w:top w:w="0" w:type="dxa"/>
            <w:left w:w="108" w:type="dxa"/>
            <w:bottom w:w="0" w:type="dxa"/>
            <w:right w:w="108" w:type="dxa"/>
          </w:tblCellMar>
        </w:tblPrEx>
        <w:trPr>
          <w:trHeight w:val="810" w:hRule="atLeast"/>
          <w:jc w:val="center"/>
        </w:trPr>
        <w:tc>
          <w:tcPr>
            <w:tcW w:w="558" w:type="pct"/>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640" w:type="pct"/>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635"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21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034"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92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810" w:hRule="atLeast"/>
          <w:jc w:val="center"/>
        </w:trPr>
        <w:tc>
          <w:tcPr>
            <w:tcW w:w="558" w:type="pct"/>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40"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635" w:type="pct"/>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2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监管危房数量</w:t>
            </w:r>
          </w:p>
        </w:tc>
        <w:tc>
          <w:tcPr>
            <w:tcW w:w="103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57栋</w:t>
            </w:r>
          </w:p>
        </w:tc>
        <w:tc>
          <w:tcPr>
            <w:tcW w:w="92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57栋</w:t>
            </w:r>
          </w:p>
        </w:tc>
      </w:tr>
      <w:tr>
        <w:tblPrEx>
          <w:tblCellMar>
            <w:top w:w="0" w:type="dxa"/>
            <w:left w:w="108" w:type="dxa"/>
            <w:bottom w:w="0" w:type="dxa"/>
            <w:right w:w="108" w:type="dxa"/>
          </w:tblCellMar>
        </w:tblPrEx>
        <w:trPr>
          <w:trHeight w:val="690" w:hRule="atLeast"/>
          <w:jc w:val="center"/>
        </w:trPr>
        <w:tc>
          <w:tcPr>
            <w:tcW w:w="558" w:type="pct"/>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4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635" w:type="pct"/>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2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开展对部分512地震后C、D级房屋鉴定</w:t>
            </w:r>
          </w:p>
        </w:tc>
        <w:tc>
          <w:tcPr>
            <w:tcW w:w="103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≧98%</w:t>
            </w:r>
          </w:p>
        </w:tc>
        <w:tc>
          <w:tcPr>
            <w:tcW w:w="92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98%</w:t>
            </w:r>
          </w:p>
        </w:tc>
      </w:tr>
      <w:tr>
        <w:tblPrEx>
          <w:tblCellMar>
            <w:top w:w="0" w:type="dxa"/>
            <w:left w:w="108" w:type="dxa"/>
            <w:bottom w:w="0" w:type="dxa"/>
            <w:right w:w="108" w:type="dxa"/>
          </w:tblCellMar>
        </w:tblPrEx>
        <w:trPr>
          <w:trHeight w:val="735" w:hRule="atLeast"/>
          <w:jc w:val="center"/>
        </w:trPr>
        <w:tc>
          <w:tcPr>
            <w:tcW w:w="558" w:type="pct"/>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4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635" w:type="pct"/>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2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工程事故率</w:t>
            </w:r>
          </w:p>
        </w:tc>
        <w:tc>
          <w:tcPr>
            <w:tcW w:w="103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w:t>
            </w:r>
          </w:p>
        </w:tc>
        <w:tc>
          <w:tcPr>
            <w:tcW w:w="92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480" w:hRule="atLeast"/>
          <w:jc w:val="center"/>
        </w:trPr>
        <w:tc>
          <w:tcPr>
            <w:tcW w:w="558" w:type="pct"/>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4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635"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2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103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2021年12月31日前</w:t>
            </w:r>
          </w:p>
        </w:tc>
        <w:tc>
          <w:tcPr>
            <w:tcW w:w="92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2021年12月31日前</w:t>
            </w:r>
          </w:p>
        </w:tc>
      </w:tr>
      <w:tr>
        <w:tblPrEx>
          <w:tblCellMar>
            <w:top w:w="0" w:type="dxa"/>
            <w:left w:w="108" w:type="dxa"/>
            <w:bottom w:w="0" w:type="dxa"/>
            <w:right w:w="108" w:type="dxa"/>
          </w:tblCellMar>
        </w:tblPrEx>
        <w:trPr>
          <w:trHeight w:val="585" w:hRule="atLeast"/>
          <w:jc w:val="center"/>
        </w:trPr>
        <w:tc>
          <w:tcPr>
            <w:tcW w:w="558" w:type="pct"/>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40" w:type="pct"/>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635"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2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2021年危房监管和鉴定资金</w:t>
            </w:r>
          </w:p>
        </w:tc>
        <w:tc>
          <w:tcPr>
            <w:tcW w:w="103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≦65万元</w:t>
            </w:r>
          </w:p>
        </w:tc>
        <w:tc>
          <w:tcPr>
            <w:tcW w:w="92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65万元</w:t>
            </w:r>
          </w:p>
        </w:tc>
      </w:tr>
      <w:tr>
        <w:tblPrEx>
          <w:tblCellMar>
            <w:top w:w="0" w:type="dxa"/>
            <w:left w:w="108" w:type="dxa"/>
            <w:bottom w:w="0" w:type="dxa"/>
            <w:right w:w="108" w:type="dxa"/>
          </w:tblCellMar>
        </w:tblPrEx>
        <w:trPr>
          <w:trHeight w:val="885" w:hRule="atLeast"/>
          <w:jc w:val="center"/>
        </w:trPr>
        <w:tc>
          <w:tcPr>
            <w:tcW w:w="558" w:type="pct"/>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635" w:type="pct"/>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2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提高城市老旧危房的安全</w:t>
            </w:r>
          </w:p>
        </w:tc>
        <w:tc>
          <w:tcPr>
            <w:tcW w:w="103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≧98%</w:t>
            </w:r>
          </w:p>
        </w:tc>
        <w:tc>
          <w:tcPr>
            <w:tcW w:w="92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99%</w:t>
            </w:r>
          </w:p>
        </w:tc>
      </w:tr>
      <w:tr>
        <w:tblPrEx>
          <w:tblCellMar>
            <w:top w:w="0" w:type="dxa"/>
            <w:left w:w="108" w:type="dxa"/>
            <w:bottom w:w="0" w:type="dxa"/>
            <w:right w:w="108" w:type="dxa"/>
          </w:tblCellMar>
        </w:tblPrEx>
        <w:trPr>
          <w:trHeight w:val="720" w:hRule="atLeast"/>
          <w:jc w:val="center"/>
        </w:trPr>
        <w:tc>
          <w:tcPr>
            <w:tcW w:w="558" w:type="pct"/>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40" w:type="pct"/>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635" w:type="pct"/>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21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危旧房周边老百姓满意度</w:t>
            </w:r>
          </w:p>
        </w:tc>
        <w:tc>
          <w:tcPr>
            <w:tcW w:w="1034"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≧98%</w:t>
            </w:r>
          </w:p>
        </w:tc>
        <w:tc>
          <w:tcPr>
            <w:tcW w:w="920" w:type="pct"/>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98%</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ind w:firstLine="883"/>
        <w:jc w:val="center"/>
        <w:rPr>
          <w:rFonts w:ascii="方正小标宋简体" w:hAnsi="宋体" w:eastAsia="方正小标宋简体"/>
          <w:color w:val="000000"/>
          <w:kern w:val="0"/>
          <w:sz w:val="44"/>
          <w:szCs w:val="44"/>
        </w:rPr>
      </w:pPr>
      <w:r>
        <w:rPr>
          <w:rFonts w:hint="eastAsia" w:ascii="微软雅黑" w:hAnsi="微软雅黑" w:eastAsia="微软雅黑" w:cs="微软雅黑"/>
          <w:color w:val="000000"/>
          <w:kern w:val="0"/>
          <w:sz w:val="44"/>
          <w:szCs w:val="44"/>
        </w:rPr>
        <w:t>项目支出绩效自评报告</w:t>
      </w:r>
    </w:p>
    <w:p>
      <w:pPr>
        <w:spacing w:line="580" w:lineRule="exact"/>
        <w:ind w:firstLine="883"/>
        <w:jc w:val="center"/>
        <w:rPr>
          <w:rFonts w:ascii="仿宋_GB2312" w:hAnsi="宋体" w:eastAsia="仿宋_GB2312"/>
          <w:sz w:val="32"/>
          <w:szCs w:val="32"/>
        </w:rPr>
      </w:pPr>
      <w:r>
        <w:rPr>
          <w:rFonts w:hint="eastAsia" w:ascii="仿宋_GB2312" w:hAnsi="宋体"/>
          <w:color w:val="000000"/>
          <w:kern w:val="0"/>
          <w:sz w:val="28"/>
          <w:szCs w:val="21"/>
        </w:rPr>
        <w:t>（房地产开发公司退休人员经费）</w:t>
      </w:r>
    </w:p>
    <w:p>
      <w:pPr>
        <w:spacing w:line="580" w:lineRule="exact"/>
        <w:ind w:firstLine="640"/>
        <w:jc w:val="center"/>
        <w:rPr>
          <w:rFonts w:hint="eastAsia" w:ascii="宋体" w:hAnsi="??"/>
          <w:sz w:val="32"/>
          <w:szCs w:val="32"/>
        </w:rPr>
      </w:pPr>
    </w:p>
    <w:p>
      <w:pPr>
        <w:adjustRightInd w:val="0"/>
        <w:snapToGrid w:val="0"/>
        <w:spacing w:line="48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4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480" w:lineRule="exact"/>
        <w:ind w:firstLine="480" w:firstLineChars="150"/>
        <w:rPr>
          <w:rFonts w:ascii="仿宋_GB2312" w:hAnsi="宋体" w:eastAsia="仿宋_GB2312"/>
          <w:sz w:val="32"/>
          <w:szCs w:val="32"/>
          <w:lang w:val="zh-CN"/>
        </w:rPr>
      </w:pPr>
      <w:r>
        <w:rPr>
          <w:rFonts w:hint="eastAsia" w:ascii="仿宋_GB2312" w:hAnsi="宋体" w:eastAsia="仿宋_GB2312"/>
          <w:sz w:val="32"/>
          <w:szCs w:val="32"/>
          <w:lang w:val="zh-CN"/>
        </w:rPr>
        <w:t>房地产开发公司退休人员经费项目主要是为了解决住建局原下属的房地产公司因改制后的遗留问题，确保所属退休人员的退休费中应由单位支付的部分和退休人员生活补助，年初预算金额7.8万元。</w:t>
      </w:r>
    </w:p>
    <w:p>
      <w:pPr>
        <w:adjustRightInd w:val="0"/>
        <w:snapToGrid w:val="0"/>
        <w:spacing w:line="4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4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通过项目实施，对原房地产开发公司所属退休给予一定补助，解决基本生活支出，解决改制遗留问题，确保社会稳定。</w:t>
      </w:r>
    </w:p>
    <w:p>
      <w:pPr>
        <w:adjustRightInd w:val="0"/>
        <w:snapToGrid w:val="0"/>
        <w:spacing w:line="4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该项目申报内容是否与实际相符，申报目标是否合理可行。</w:t>
      </w:r>
    </w:p>
    <w:p>
      <w:pPr>
        <w:adjustRightInd w:val="0"/>
        <w:snapToGrid w:val="0"/>
        <w:spacing w:line="4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4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由我局开展财政资金使用情况自评并撰写部门预算支出绩效报告，按规范格式按时提交自评报告。</w:t>
      </w:r>
    </w:p>
    <w:p>
      <w:pPr>
        <w:adjustRightInd w:val="0"/>
        <w:snapToGrid w:val="0"/>
        <w:spacing w:line="48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4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4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该项目申报资金7.8万元，纳入部门年初预算，由竹财预〔202</w:t>
      </w:r>
      <w:r>
        <w:rPr>
          <w:rFonts w:ascii="仿宋_GB2312" w:hAnsi="宋体" w:eastAsia="仿宋_GB2312"/>
          <w:sz w:val="32"/>
          <w:szCs w:val="32"/>
          <w:lang w:val="zh-CN"/>
        </w:rPr>
        <w:t>1</w:t>
      </w:r>
      <w:r>
        <w:rPr>
          <w:rFonts w:hint="eastAsia" w:ascii="仿宋_GB2312" w:hAnsi="宋体" w:eastAsia="仿宋_GB2312"/>
          <w:sz w:val="32"/>
          <w:szCs w:val="32"/>
          <w:lang w:val="zh-CN"/>
        </w:rPr>
        <w:t>〕1号统一批复下达。</w:t>
      </w:r>
    </w:p>
    <w:p>
      <w:pPr>
        <w:adjustRightInd w:val="0"/>
        <w:snapToGrid w:val="0"/>
        <w:spacing w:line="48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480" w:lineRule="exact"/>
        <w:ind w:firstLine="720"/>
        <w:rPr>
          <w:rFonts w:ascii="仿宋_GB2312" w:hAnsi="宋体" w:eastAsia="仿宋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．资金计划。202</w:t>
      </w:r>
      <w:r>
        <w:rPr>
          <w:rFonts w:ascii="楷体_GB2312" w:hAnsi="宋体" w:eastAsia="楷体_GB2312"/>
          <w:sz w:val="32"/>
          <w:szCs w:val="32"/>
          <w:lang w:val="zh-CN"/>
        </w:rPr>
        <w:t>1</w:t>
      </w:r>
      <w:r>
        <w:rPr>
          <w:rFonts w:hint="eastAsia" w:ascii="楷体_GB2312" w:hAnsi="宋体" w:eastAsia="楷体_GB2312"/>
          <w:sz w:val="32"/>
          <w:szCs w:val="32"/>
          <w:lang w:val="zh-CN"/>
        </w:rPr>
        <w:t>年</w:t>
      </w:r>
      <w:r>
        <w:rPr>
          <w:rFonts w:hint="eastAsia" w:ascii="仿宋_GB2312" w:hAnsi="宋体" w:eastAsia="仿宋_GB2312"/>
          <w:sz w:val="32"/>
          <w:szCs w:val="32"/>
          <w:lang w:val="zh-CN"/>
        </w:rPr>
        <w:t>部门年初预算</w:t>
      </w:r>
      <w:r>
        <w:rPr>
          <w:rFonts w:ascii="仿宋_GB2312" w:hAnsi="宋体" w:eastAsia="仿宋_GB2312"/>
          <w:sz w:val="32"/>
          <w:szCs w:val="32"/>
          <w:lang w:val="zh-CN"/>
        </w:rPr>
        <w:t>78000</w:t>
      </w:r>
      <w:r>
        <w:rPr>
          <w:rFonts w:hint="eastAsia" w:ascii="仿宋_GB2312" w:hAnsi="宋体" w:eastAsia="仿宋_GB2312"/>
          <w:sz w:val="32"/>
          <w:szCs w:val="32"/>
          <w:lang w:val="zh-CN"/>
        </w:rPr>
        <w:t>元，因津补贴清理规范，部分政策暂停执行，追减</w:t>
      </w:r>
      <w:r>
        <w:rPr>
          <w:rFonts w:ascii="仿宋_GB2312" w:hAnsi="宋体" w:eastAsia="仿宋_GB2312"/>
          <w:sz w:val="32"/>
          <w:szCs w:val="32"/>
          <w:lang w:val="zh-CN"/>
        </w:rPr>
        <w:t>72587.88</w:t>
      </w:r>
      <w:r>
        <w:rPr>
          <w:rFonts w:hint="eastAsia" w:ascii="仿宋_GB2312" w:hAnsi="宋体" w:eastAsia="仿宋_GB2312"/>
          <w:sz w:val="32"/>
          <w:szCs w:val="32"/>
          <w:lang w:val="zh-CN"/>
        </w:rPr>
        <w:t>元，调整预算5</w:t>
      </w:r>
      <w:r>
        <w:rPr>
          <w:rFonts w:ascii="仿宋_GB2312" w:hAnsi="宋体" w:eastAsia="仿宋_GB2312"/>
          <w:sz w:val="32"/>
          <w:szCs w:val="32"/>
          <w:lang w:val="zh-CN"/>
        </w:rPr>
        <w:t>412.12</w:t>
      </w:r>
      <w:r>
        <w:rPr>
          <w:rFonts w:hint="eastAsia" w:ascii="仿宋_GB2312" w:hAnsi="宋体" w:eastAsia="仿宋_GB2312"/>
          <w:sz w:val="32"/>
          <w:szCs w:val="32"/>
          <w:lang w:val="zh-CN"/>
        </w:rPr>
        <w:t>元，为地方财政资金。</w:t>
      </w:r>
    </w:p>
    <w:p>
      <w:pPr>
        <w:adjustRightInd w:val="0"/>
        <w:snapToGrid w:val="0"/>
        <w:spacing w:line="480" w:lineRule="exact"/>
        <w:ind w:firstLine="72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lang w:val="zh-CN"/>
        </w:rPr>
        <w:t>截至202</w:t>
      </w:r>
      <w:r>
        <w:rPr>
          <w:rFonts w:ascii="仿宋_GB2312" w:hAnsi="宋体" w:eastAsia="仿宋_GB2312"/>
          <w:sz w:val="32"/>
          <w:szCs w:val="32"/>
          <w:lang w:val="zh-CN"/>
        </w:rPr>
        <w:t>1</w:t>
      </w:r>
      <w:r>
        <w:rPr>
          <w:rFonts w:hint="eastAsia" w:ascii="仿宋_GB2312" w:hAnsi="宋体" w:eastAsia="仿宋_GB2312"/>
          <w:sz w:val="32"/>
          <w:szCs w:val="32"/>
          <w:lang w:val="zh-CN"/>
        </w:rPr>
        <w:t>年12月31日，资金到位</w:t>
      </w:r>
      <w:r>
        <w:rPr>
          <w:rFonts w:ascii="仿宋_GB2312" w:hAnsi="宋体" w:eastAsia="仿宋_GB2312"/>
          <w:sz w:val="32"/>
          <w:szCs w:val="32"/>
          <w:lang w:val="zh-CN"/>
        </w:rPr>
        <w:t>5412.12</w:t>
      </w:r>
      <w:r>
        <w:rPr>
          <w:rFonts w:hint="eastAsia" w:ascii="仿宋_GB2312" w:hAnsi="宋体" w:eastAsia="仿宋_GB2312"/>
          <w:sz w:val="32"/>
          <w:szCs w:val="32"/>
          <w:lang w:val="zh-CN"/>
        </w:rPr>
        <w:t>元。</w:t>
      </w:r>
    </w:p>
    <w:p>
      <w:pPr>
        <w:adjustRightInd w:val="0"/>
        <w:snapToGrid w:val="0"/>
        <w:spacing w:line="480" w:lineRule="exact"/>
        <w:ind w:firstLine="72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截至202</w:t>
      </w:r>
      <w:r>
        <w:rPr>
          <w:rFonts w:ascii="仿宋_GB2312" w:hAnsi="宋体" w:eastAsia="仿宋_GB2312"/>
          <w:sz w:val="32"/>
          <w:szCs w:val="32"/>
          <w:lang w:val="zh-CN"/>
        </w:rPr>
        <w:t>1</w:t>
      </w:r>
      <w:r>
        <w:rPr>
          <w:rFonts w:hint="eastAsia" w:ascii="仿宋_GB2312" w:hAnsi="宋体" w:eastAsia="仿宋_GB2312"/>
          <w:sz w:val="32"/>
          <w:szCs w:val="32"/>
          <w:lang w:val="zh-CN"/>
        </w:rPr>
        <w:t>年12月31日，资金支出</w:t>
      </w:r>
      <w:r>
        <w:rPr>
          <w:rFonts w:ascii="仿宋_GB2312" w:hAnsi="宋体" w:eastAsia="仿宋_GB2312"/>
          <w:sz w:val="32"/>
          <w:szCs w:val="32"/>
          <w:lang w:val="zh-CN"/>
        </w:rPr>
        <w:t>5412.12</w:t>
      </w:r>
      <w:r>
        <w:rPr>
          <w:rFonts w:hint="eastAsia" w:ascii="仿宋_GB2312" w:hAnsi="宋体" w:eastAsia="仿宋_GB2312"/>
          <w:sz w:val="32"/>
          <w:szCs w:val="32"/>
          <w:lang w:val="zh-CN"/>
        </w:rPr>
        <w:t>万元。</w:t>
      </w:r>
    </w:p>
    <w:p>
      <w:pPr>
        <w:adjustRightInd w:val="0"/>
        <w:snapToGrid w:val="0"/>
        <w:spacing w:line="4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480" w:lineRule="exact"/>
        <w:ind w:firstLine="720"/>
        <w:rPr>
          <w:rFonts w:eastAsia="仿宋_GB2312"/>
          <w:sz w:val="32"/>
          <w:szCs w:val="32"/>
          <w:lang w:val="zh-CN"/>
        </w:rPr>
      </w:pPr>
      <w:r>
        <w:rPr>
          <w:rFonts w:hint="eastAsia" w:eastAsia="仿宋_GB2312"/>
          <w:sz w:val="32"/>
          <w:szCs w:val="32"/>
          <w:lang w:val="zh-CN"/>
        </w:rPr>
        <w:t>该项目实施以来，严格执行财务管理制度，账务处理及时，会计核算规范，项目台账清楚。</w:t>
      </w:r>
    </w:p>
    <w:p>
      <w:pPr>
        <w:adjustRightInd w:val="0"/>
        <w:snapToGrid w:val="0"/>
        <w:spacing w:line="48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4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为人员类经费，退休费每月按住建局财务管理制度流程进行审批后报财审股，财审股再向财政局申请资金进行支付；生活补助在春节前发放到位。资金管理和使用符合相关规定，每月及时发放，达到预期目标。</w:t>
      </w:r>
    </w:p>
    <w:p>
      <w:pPr>
        <w:adjustRightInd w:val="0"/>
        <w:snapToGrid w:val="0"/>
        <w:spacing w:line="48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4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48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按时发放退休费和生活补助，完成预计目标任务。</w:t>
      </w:r>
    </w:p>
    <w:p>
      <w:pPr>
        <w:adjustRightInd w:val="0"/>
        <w:snapToGrid w:val="0"/>
        <w:spacing w:line="4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4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项目实施，保障了原房地产开发公司人员的基本生活，促进了社会和谐稳定。</w:t>
      </w:r>
    </w:p>
    <w:p>
      <w:pPr>
        <w:adjustRightInd w:val="0"/>
        <w:snapToGrid w:val="0"/>
        <w:spacing w:line="48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4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48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该项目从预算编制、上报、批复、执行，均符合相关规定，资金管理使用规范，达到预期目标，综合评价得分95分，自评结果为优。</w:t>
      </w:r>
    </w:p>
    <w:p>
      <w:pPr>
        <w:adjustRightInd w:val="0"/>
        <w:snapToGrid w:val="0"/>
        <w:spacing w:line="4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4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ascii="仿宋_GB2312" w:hAnsi="宋体" w:eastAsia="仿宋_GB2312"/>
          <w:sz w:val="32"/>
          <w:szCs w:val="32"/>
          <w:lang w:val="zh-CN"/>
        </w:rPr>
        <w:tab/>
      </w:r>
    </w:p>
    <w:p>
      <w:pPr>
        <w:adjustRightInd w:val="0"/>
        <w:snapToGrid w:val="0"/>
        <w:spacing w:line="4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4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568" w:type="dxa"/>
        <w:jc w:val="center"/>
        <w:tblLayout w:type="autofit"/>
        <w:tblCellMar>
          <w:top w:w="0" w:type="dxa"/>
          <w:left w:w="108" w:type="dxa"/>
          <w:bottom w:w="0" w:type="dxa"/>
          <w:right w:w="108" w:type="dxa"/>
        </w:tblCellMar>
      </w:tblPr>
      <w:tblGrid>
        <w:gridCol w:w="1080"/>
        <w:gridCol w:w="1140"/>
        <w:gridCol w:w="1246"/>
        <w:gridCol w:w="2410"/>
        <w:gridCol w:w="2133"/>
        <w:gridCol w:w="1559"/>
      </w:tblGrid>
      <w:tr>
        <w:tblPrEx>
          <w:tblCellMar>
            <w:top w:w="0" w:type="dxa"/>
            <w:left w:w="108" w:type="dxa"/>
            <w:bottom w:w="0" w:type="dxa"/>
            <w:right w:w="108" w:type="dxa"/>
          </w:tblCellMar>
        </w:tblPrEx>
        <w:trPr>
          <w:trHeight w:val="405" w:hRule="atLeast"/>
          <w:jc w:val="center"/>
        </w:trPr>
        <w:tc>
          <w:tcPr>
            <w:tcW w:w="9568" w:type="dxa"/>
            <w:gridSpan w:val="6"/>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568" w:type="dxa"/>
            <w:gridSpan w:val="6"/>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46"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241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13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559"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80" w:hRule="atLeast"/>
          <w:jc w:val="center"/>
        </w:trPr>
        <w:tc>
          <w:tcPr>
            <w:tcW w:w="34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10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房地产开发公司退休人员经费</w:t>
            </w:r>
          </w:p>
        </w:tc>
      </w:tr>
      <w:tr>
        <w:tblPrEx>
          <w:tblCellMar>
            <w:top w:w="0" w:type="dxa"/>
            <w:left w:w="108" w:type="dxa"/>
            <w:bottom w:w="0" w:type="dxa"/>
            <w:right w:w="108" w:type="dxa"/>
          </w:tblCellMar>
        </w:tblPrEx>
        <w:trPr>
          <w:trHeight w:val="435" w:hRule="atLeast"/>
          <w:jc w:val="center"/>
        </w:trPr>
        <w:tc>
          <w:tcPr>
            <w:tcW w:w="346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10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3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5412.12元</w:t>
            </w:r>
          </w:p>
        </w:tc>
        <w:tc>
          <w:tcPr>
            <w:tcW w:w="21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5412.12元</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5412.12元</w:t>
            </w:r>
          </w:p>
        </w:tc>
        <w:tc>
          <w:tcPr>
            <w:tcW w:w="2133"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5412.12元</w:t>
            </w:r>
          </w:p>
        </w:tc>
      </w:tr>
      <w:tr>
        <w:tblPrEx>
          <w:tblCellMar>
            <w:top w:w="0" w:type="dxa"/>
            <w:left w:w="108" w:type="dxa"/>
            <w:bottom w:w="0" w:type="dxa"/>
            <w:right w:w="108" w:type="dxa"/>
          </w:tblCellMar>
        </w:tblPrEx>
        <w:trPr>
          <w:trHeight w:val="572"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133"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55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3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796"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6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93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96" w:type="dxa"/>
            <w:gridSpan w:val="3"/>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解决原机构改革划分人员遗留问题，确保稳定。</w:t>
            </w:r>
          </w:p>
        </w:tc>
        <w:tc>
          <w:tcPr>
            <w:tcW w:w="3692"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解决原机构改革划分人员遗留问题，确保稳定。</w:t>
            </w:r>
          </w:p>
        </w:tc>
      </w:tr>
      <w:tr>
        <w:tblPrEx>
          <w:tblCellMar>
            <w:top w:w="0" w:type="dxa"/>
            <w:left w:w="108" w:type="dxa"/>
            <w:bottom w:w="0" w:type="dxa"/>
            <w:right w:w="108" w:type="dxa"/>
          </w:tblCellMar>
        </w:tblPrEx>
        <w:trPr>
          <w:trHeight w:val="81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2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1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246"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41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保障人员人数</w:t>
            </w:r>
          </w:p>
        </w:tc>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5人</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5人</w:t>
            </w:r>
          </w:p>
        </w:tc>
      </w:tr>
      <w:tr>
        <w:tblPrEx>
          <w:tblCellMar>
            <w:top w:w="0" w:type="dxa"/>
            <w:left w:w="108" w:type="dxa"/>
            <w:bottom w:w="0" w:type="dxa"/>
            <w:right w:w="108" w:type="dxa"/>
          </w:tblCellMar>
        </w:tblPrEx>
        <w:trPr>
          <w:trHeight w:val="99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4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41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全年每月按时足额保证5名退休人员每月按时足额领取退休等相关费用 </w:t>
            </w:r>
          </w:p>
        </w:tc>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4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41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按月拨付资金</w:t>
            </w:r>
          </w:p>
        </w:tc>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2021年度</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2021年度</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4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41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运行成本</w:t>
            </w:r>
          </w:p>
        </w:tc>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7.8万元</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5412.12元</w:t>
            </w:r>
          </w:p>
        </w:tc>
      </w:tr>
      <w:tr>
        <w:tblPrEx>
          <w:tblCellMar>
            <w:top w:w="0" w:type="dxa"/>
            <w:left w:w="108" w:type="dxa"/>
            <w:bottom w:w="0" w:type="dxa"/>
            <w:right w:w="108" w:type="dxa"/>
          </w:tblCellMar>
        </w:tblPrEx>
        <w:trPr>
          <w:trHeight w:val="88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246"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41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解决原机构改革划分人员遗留问题，确保稳定率</w:t>
            </w:r>
          </w:p>
        </w:tc>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72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24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41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退休人员满意度</w:t>
            </w:r>
          </w:p>
        </w:tc>
        <w:tc>
          <w:tcPr>
            <w:tcW w:w="2133"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5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方正小标宋简体" w:hAnsi="宋体" w:eastAsia="方正小标宋简体"/>
          <w:color w:val="000000"/>
          <w:kern w:val="0"/>
          <w:sz w:val="44"/>
          <w:szCs w:val="44"/>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color w:val="000000"/>
          <w:kern w:val="0"/>
          <w:sz w:val="28"/>
          <w:szCs w:val="21"/>
        </w:rPr>
        <w:t>（</w:t>
      </w:r>
      <w:r>
        <w:rPr>
          <w:rFonts w:hint="eastAsia" w:ascii="仿宋_GB2312" w:hAnsi="宋体" w:eastAsia="仿宋_GB2312"/>
          <w:sz w:val="32"/>
          <w:szCs w:val="32"/>
          <w:lang w:val="zh-CN"/>
        </w:rPr>
        <w:t>旧城改造和新区开发会战指挥部工作经费项目</w:t>
      </w:r>
      <w:r>
        <w:rPr>
          <w:rFonts w:hint="eastAsia" w:ascii="仿宋_GB2312" w:hAnsi="宋体"/>
          <w:color w:val="000000"/>
          <w:kern w:val="0"/>
          <w:sz w:val="28"/>
          <w:szCs w:val="21"/>
        </w:rPr>
        <w:t>）</w:t>
      </w:r>
    </w:p>
    <w:p>
      <w:pPr>
        <w:spacing w:line="580" w:lineRule="exact"/>
        <w:ind w:firstLine="640"/>
        <w:jc w:val="center"/>
        <w:rPr>
          <w:rFonts w:hint="eastAsia" w:ascii="宋体" w:hAnsi="??"/>
          <w:sz w:val="32"/>
          <w:szCs w:val="32"/>
        </w:rPr>
      </w:pPr>
    </w:p>
    <w:p>
      <w:pPr>
        <w:adjustRightInd w:val="0"/>
        <w:snapToGrid w:val="0"/>
        <w:spacing w:line="64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绵竹市旧城改造和新区开发会战指挥部工作经费。指挥部负责协调推进中心广场改扩建项目、城北湿地公园等七个项目的实施。工作经费主要保障指挥部运行。</w:t>
      </w:r>
      <w:r>
        <w:rPr>
          <w:rFonts w:hint="eastAsia" w:ascii="仿宋_GB2312" w:hAnsi="宋体" w:eastAsia="仿宋_GB2312"/>
          <w:sz w:val="32"/>
          <w:szCs w:val="32"/>
          <w:lang w:val="zh-CN"/>
        </w:rPr>
        <w:tab/>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w:t>
      </w:r>
      <w:r>
        <w:rPr>
          <w:rFonts w:ascii="仿宋_GB2312" w:hAnsi="宋体" w:eastAsia="仿宋_GB2312"/>
          <w:sz w:val="32"/>
          <w:szCs w:val="32"/>
          <w:lang w:val="zh-CN"/>
        </w:rPr>
        <w:t>1</w:t>
      </w:r>
      <w:r>
        <w:rPr>
          <w:rFonts w:hint="eastAsia" w:ascii="仿宋_GB2312" w:hAnsi="宋体" w:eastAsia="仿宋_GB2312"/>
          <w:sz w:val="32"/>
          <w:szCs w:val="32"/>
          <w:lang w:val="zh-CN"/>
        </w:rPr>
        <w:t>年资金预算指标400000元。（水电保安保洁、办公电脑维护、项目评审各类会议、外出学习考察调研、宣传购买服务、制作影像资料等开支）</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w:t>
      </w:r>
      <w:r>
        <w:rPr>
          <w:rFonts w:ascii="仿宋_GB2312" w:hAnsi="宋体" w:eastAsia="仿宋_GB2312"/>
          <w:sz w:val="32"/>
          <w:szCs w:val="32"/>
          <w:lang w:val="zh-CN"/>
        </w:rPr>
        <w:t>1</w:t>
      </w:r>
      <w:r>
        <w:rPr>
          <w:rFonts w:hint="eastAsia" w:ascii="仿宋_GB2312" w:hAnsi="宋体" w:eastAsia="仿宋_GB2312"/>
          <w:sz w:val="32"/>
          <w:szCs w:val="32"/>
          <w:lang w:val="zh-CN"/>
        </w:rPr>
        <w:t>年资金预算指标400000元，全部用于绵竹市旧城改造和新区开发会战指挥部日常工作运行。申报内容与具体实施内容相符。</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4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（一）资金计划、到位及使用情况。</w:t>
      </w:r>
    </w:p>
    <w:p>
      <w:pPr>
        <w:adjustRightInd w:val="0"/>
        <w:snapToGrid w:val="0"/>
        <w:spacing w:line="64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．资金计划及资金到位。</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资金预算指标为政府拨款，完全到位。</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截至评价时合计资金预算指标400000元，全年实际支出</w:t>
      </w:r>
      <w:r>
        <w:rPr>
          <w:rFonts w:ascii="仿宋_GB2312" w:hAnsi="宋体" w:eastAsia="仿宋_GB2312"/>
          <w:sz w:val="32"/>
          <w:szCs w:val="32"/>
          <w:lang w:val="zh-CN"/>
        </w:rPr>
        <w:t>400000</w:t>
      </w:r>
      <w:r>
        <w:rPr>
          <w:rFonts w:hint="eastAsia" w:ascii="仿宋_GB2312" w:hAnsi="宋体" w:eastAsia="仿宋_GB2312"/>
          <w:sz w:val="32"/>
          <w:szCs w:val="32"/>
          <w:lang w:val="zh-CN"/>
        </w:rPr>
        <w:t>元，费全部用于绵竹市旧城改造和新区开发会战指挥部工作经费，支付标准及依据合规合法，支付与预算完全相符。</w:t>
      </w:r>
    </w:p>
    <w:p>
      <w:pPr>
        <w:adjustRightInd w:val="0"/>
        <w:snapToGrid w:val="0"/>
        <w:spacing w:line="6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依照法律法规建立财务、会计制度；按照国家和有关部门的规定进行审计；严格执行财务管理制度。</w:t>
      </w:r>
    </w:p>
    <w:p>
      <w:pPr>
        <w:adjustRightInd w:val="0"/>
        <w:snapToGrid w:val="0"/>
        <w:spacing w:line="640" w:lineRule="exact"/>
        <w:ind w:firstLine="720"/>
        <w:rPr>
          <w:rFonts w:ascii="仿宋_GB2312" w:hAnsi="宋体" w:eastAsia="仿宋_GB2312"/>
          <w:sz w:val="32"/>
          <w:szCs w:val="32"/>
          <w:lang w:val="zh-CN"/>
        </w:rPr>
      </w:pPr>
      <w:r>
        <w:rPr>
          <w:rFonts w:hint="eastAsia" w:ascii="黑体" w:hAnsi="宋体" w:eastAsia="黑体"/>
          <w:sz w:val="32"/>
          <w:szCs w:val="32"/>
        </w:rPr>
        <w:t>三</w:t>
      </w:r>
      <w:r>
        <w:rPr>
          <w:rFonts w:hint="eastAsia" w:ascii="黑体" w:hAnsi="宋体" w:eastAsia="黑体"/>
          <w:sz w:val="32"/>
          <w:szCs w:val="32"/>
          <w:lang w:eastAsia="zh-CN"/>
        </w:rPr>
        <w:t>、</w:t>
      </w:r>
      <w:r>
        <w:rPr>
          <w:rFonts w:hint="eastAsia" w:ascii="黑体" w:hAnsi="宋体" w:eastAsia="黑体"/>
          <w:sz w:val="32"/>
          <w:szCs w:val="32"/>
        </w:rPr>
        <w:t>项目绩效情况</w:t>
      </w:r>
      <w:r>
        <w:rPr>
          <w:rFonts w:ascii="仿宋_GB2312" w:hAnsi="宋体" w:eastAsia="仿宋_GB2312"/>
          <w:sz w:val="32"/>
          <w:szCs w:val="32"/>
          <w:lang w:val="zh-CN"/>
        </w:rPr>
        <w:tab/>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按照计划稳步高效推进项目实施，项目建设达优质工程。</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完善城市功能，提升城市档次、提高市民幸福指数；马尾河城北段生态得到修复；推动城市可持续发展。</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162" w:type="dxa"/>
        <w:jc w:val="center"/>
        <w:tblLayout w:type="autofit"/>
        <w:tblCellMar>
          <w:top w:w="0" w:type="dxa"/>
          <w:left w:w="108" w:type="dxa"/>
          <w:bottom w:w="0" w:type="dxa"/>
          <w:right w:w="108" w:type="dxa"/>
        </w:tblCellMar>
      </w:tblPr>
      <w:tblGrid>
        <w:gridCol w:w="1080"/>
        <w:gridCol w:w="1000"/>
        <w:gridCol w:w="1220"/>
        <w:gridCol w:w="2267"/>
        <w:gridCol w:w="1893"/>
        <w:gridCol w:w="1702"/>
      </w:tblGrid>
      <w:tr>
        <w:tblPrEx>
          <w:tblCellMar>
            <w:top w:w="0" w:type="dxa"/>
            <w:left w:w="108" w:type="dxa"/>
            <w:bottom w:w="0" w:type="dxa"/>
            <w:right w:w="108" w:type="dxa"/>
          </w:tblCellMar>
        </w:tblPrEx>
        <w:trPr>
          <w:trHeight w:val="405" w:hRule="atLeast"/>
          <w:jc w:val="center"/>
        </w:trPr>
        <w:tc>
          <w:tcPr>
            <w:tcW w:w="9162" w:type="dxa"/>
            <w:gridSpan w:val="6"/>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162" w:type="dxa"/>
            <w:gridSpan w:val="6"/>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0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2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2267"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89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702"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80" w:hRule="atLeast"/>
          <w:jc w:val="center"/>
        </w:trPr>
        <w:tc>
          <w:tcPr>
            <w:tcW w:w="33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862"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旧城改造和新区开发会战指挥部工作经费</w:t>
            </w:r>
          </w:p>
        </w:tc>
      </w:tr>
      <w:tr>
        <w:tblPrEx>
          <w:tblCellMar>
            <w:top w:w="0" w:type="dxa"/>
            <w:left w:w="108" w:type="dxa"/>
            <w:bottom w:w="0" w:type="dxa"/>
            <w:right w:w="108" w:type="dxa"/>
          </w:tblCellMar>
        </w:tblPrEx>
        <w:trPr>
          <w:trHeight w:val="435" w:hRule="atLeast"/>
          <w:jc w:val="center"/>
        </w:trPr>
        <w:tc>
          <w:tcPr>
            <w:tcW w:w="33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862"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40万</w:t>
            </w:r>
          </w:p>
        </w:tc>
        <w:tc>
          <w:tcPr>
            <w:tcW w:w="189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40万</w:t>
            </w:r>
          </w:p>
        </w:tc>
      </w:tr>
      <w:tr>
        <w:tblPrEx>
          <w:tblCellMar>
            <w:top w:w="0" w:type="dxa"/>
            <w:left w:w="108" w:type="dxa"/>
            <w:bottom w:w="0" w:type="dxa"/>
            <w:right w:w="108" w:type="dxa"/>
          </w:tblCellMar>
        </w:tblPrEx>
        <w:trPr>
          <w:trHeight w:val="5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40万</w:t>
            </w:r>
          </w:p>
        </w:tc>
        <w:tc>
          <w:tcPr>
            <w:tcW w:w="1893"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40万</w:t>
            </w:r>
          </w:p>
        </w:tc>
      </w:tr>
      <w:tr>
        <w:tblPrEx>
          <w:tblCellMar>
            <w:top w:w="0" w:type="dxa"/>
            <w:left w:w="108" w:type="dxa"/>
            <w:bottom w:w="0" w:type="dxa"/>
            <w:right w:w="108" w:type="dxa"/>
          </w:tblCellMar>
        </w:tblPrEx>
        <w:trPr>
          <w:trHeight w:val="49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93"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70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1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48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59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70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87" w:type="dxa"/>
            <w:gridSpan w:val="3"/>
            <w:tcBorders>
              <w:top w:val="single" w:color="auto" w:sz="4" w:space="0"/>
              <w:left w:val="nil"/>
              <w:bottom w:val="single" w:color="auto" w:sz="4" w:space="0"/>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完成2021年项目推进工作</w:t>
            </w:r>
          </w:p>
        </w:tc>
        <w:tc>
          <w:tcPr>
            <w:tcW w:w="3595" w:type="dxa"/>
            <w:gridSpan w:val="2"/>
            <w:tcBorders>
              <w:top w:val="single" w:color="auto" w:sz="4" w:space="0"/>
              <w:left w:val="single" w:color="auto" w:sz="4" w:space="0"/>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完成2021年项目推进工作，提升城市品质。</w:t>
            </w:r>
          </w:p>
        </w:tc>
      </w:tr>
      <w:tr>
        <w:tblPrEx>
          <w:tblCellMar>
            <w:top w:w="0" w:type="dxa"/>
            <w:left w:w="108" w:type="dxa"/>
            <w:bottom w:w="0" w:type="dxa"/>
            <w:right w:w="108" w:type="dxa"/>
          </w:tblCellMar>
        </w:tblPrEx>
        <w:trPr>
          <w:trHeight w:val="81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0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2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26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22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按计划有序推进项目个数</w:t>
            </w:r>
          </w:p>
        </w:tc>
        <w:tc>
          <w:tcPr>
            <w:tcW w:w="1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4个</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4个</w:t>
            </w:r>
          </w:p>
        </w:tc>
      </w:tr>
      <w:tr>
        <w:tblPrEx>
          <w:tblCellMar>
            <w:top w:w="0" w:type="dxa"/>
            <w:left w:w="108" w:type="dxa"/>
            <w:bottom w:w="0" w:type="dxa"/>
            <w:right w:w="108" w:type="dxa"/>
          </w:tblCellMar>
        </w:tblPrEx>
        <w:trPr>
          <w:trHeight w:val="99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稳步高效推进项目实施，项目建设达优质工程</w:t>
            </w:r>
          </w:p>
        </w:tc>
        <w:tc>
          <w:tcPr>
            <w:tcW w:w="1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按项目时间节点完成</w:t>
            </w:r>
          </w:p>
        </w:tc>
        <w:tc>
          <w:tcPr>
            <w:tcW w:w="1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2021年度</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2021年度</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运行成本</w:t>
            </w:r>
          </w:p>
        </w:tc>
        <w:tc>
          <w:tcPr>
            <w:tcW w:w="1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≤40万元</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40万元</w:t>
            </w:r>
          </w:p>
        </w:tc>
      </w:tr>
      <w:tr>
        <w:tblPrEx>
          <w:tblCellMar>
            <w:top w:w="0" w:type="dxa"/>
            <w:left w:w="108" w:type="dxa"/>
            <w:bottom w:w="0" w:type="dxa"/>
            <w:right w:w="108" w:type="dxa"/>
          </w:tblCellMar>
        </w:tblPrEx>
        <w:trPr>
          <w:trHeight w:val="88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2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按期完成市委市政府安排的年度旧城改造和新区开发会战工作</w:t>
            </w:r>
          </w:p>
        </w:tc>
        <w:tc>
          <w:tcPr>
            <w:tcW w:w="1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72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2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26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项目建设经得起历史检验，人民群众满意</w:t>
            </w:r>
          </w:p>
        </w:tc>
        <w:tc>
          <w:tcPr>
            <w:tcW w:w="189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17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（市政工程公司人员经费）</w:t>
      </w:r>
    </w:p>
    <w:p>
      <w:pPr>
        <w:spacing w:line="580" w:lineRule="exact"/>
        <w:ind w:firstLine="640"/>
        <w:jc w:val="center"/>
        <w:rPr>
          <w:rFonts w:hint="eastAsia" w:ascii="宋体" w:hAnsi="??"/>
          <w:sz w:val="32"/>
          <w:szCs w:val="32"/>
        </w:rPr>
      </w:pPr>
    </w:p>
    <w:p>
      <w:pPr>
        <w:adjustRightInd w:val="0"/>
        <w:snapToGrid w:val="0"/>
        <w:spacing w:line="5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00" w:lineRule="exact"/>
        <w:ind w:firstLine="480" w:firstLineChars="150"/>
        <w:rPr>
          <w:rFonts w:ascii="仿宋_GB2312" w:hAnsi="宋体" w:eastAsia="仿宋_GB2312"/>
          <w:sz w:val="32"/>
          <w:szCs w:val="32"/>
          <w:lang w:val="zh-CN"/>
        </w:rPr>
      </w:pPr>
      <w:r>
        <w:rPr>
          <w:rFonts w:hint="eastAsia" w:ascii="仿宋_GB2312" w:hAnsi="宋体" w:eastAsia="仿宋_GB2312"/>
          <w:sz w:val="32"/>
          <w:szCs w:val="32"/>
          <w:lang w:val="zh-CN"/>
        </w:rPr>
        <w:t>市政工程公司人员经费项目主要是为了解决住建局原下属的市政工程公司因改制后的遗留问题，确保所属人员的基本生活支出费用，年初预算金额70万元。</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通过项目实施，对原市政公司所属退休及在职人员给予一定补助，解决基本生活支出，解决改制遗留问题，确保社会稳定。</w:t>
      </w:r>
    </w:p>
    <w:p>
      <w:pPr>
        <w:adjustRightInd w:val="0"/>
        <w:snapToGrid w:val="0"/>
        <w:spacing w:line="5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该项目申报内容是否与实际相符，申报目标是否合理可行。</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由我局开展财政资金使用情况自评并撰写部门预算支出绩效报告，按规范格式按时提交自评报告。</w:t>
      </w:r>
    </w:p>
    <w:p>
      <w:pPr>
        <w:adjustRightInd w:val="0"/>
        <w:snapToGrid w:val="0"/>
        <w:spacing w:line="5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该项目申报资金70万元，纳入部门年初预算，由竹财预〔202</w:t>
      </w:r>
      <w:r>
        <w:rPr>
          <w:rFonts w:ascii="仿宋_GB2312" w:hAnsi="宋体" w:eastAsia="仿宋_GB2312"/>
          <w:sz w:val="32"/>
          <w:szCs w:val="32"/>
          <w:lang w:val="zh-CN"/>
        </w:rPr>
        <w:t>1</w:t>
      </w:r>
      <w:r>
        <w:rPr>
          <w:rFonts w:hint="eastAsia" w:ascii="仿宋_GB2312" w:hAnsi="宋体" w:eastAsia="仿宋_GB2312"/>
          <w:sz w:val="32"/>
          <w:szCs w:val="32"/>
          <w:lang w:val="zh-CN"/>
        </w:rPr>
        <w:t>〕1号统一批复下达。</w:t>
      </w:r>
    </w:p>
    <w:p>
      <w:pPr>
        <w:adjustRightInd w:val="0"/>
        <w:snapToGrid w:val="0"/>
        <w:spacing w:line="5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00" w:lineRule="exact"/>
        <w:ind w:firstLine="720"/>
        <w:rPr>
          <w:rFonts w:ascii="仿宋_GB2312" w:hAnsi="宋体" w:eastAsia="仿宋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．资金计划。202</w:t>
      </w:r>
      <w:r>
        <w:rPr>
          <w:rFonts w:ascii="楷体_GB2312" w:hAnsi="宋体" w:eastAsia="楷体_GB2312"/>
          <w:sz w:val="32"/>
          <w:szCs w:val="32"/>
          <w:lang w:val="zh-CN"/>
        </w:rPr>
        <w:t>1</w:t>
      </w:r>
      <w:r>
        <w:rPr>
          <w:rFonts w:hint="eastAsia" w:ascii="楷体_GB2312" w:hAnsi="宋体" w:eastAsia="楷体_GB2312"/>
          <w:sz w:val="32"/>
          <w:szCs w:val="32"/>
          <w:lang w:val="zh-CN"/>
        </w:rPr>
        <w:t>年</w:t>
      </w:r>
      <w:r>
        <w:rPr>
          <w:rFonts w:hint="eastAsia" w:ascii="仿宋_GB2312" w:hAnsi="宋体" w:eastAsia="仿宋_GB2312"/>
          <w:sz w:val="32"/>
          <w:szCs w:val="32"/>
          <w:lang w:val="zh-CN"/>
        </w:rPr>
        <w:t>部门年初预算70万元。</w:t>
      </w:r>
    </w:p>
    <w:p>
      <w:pPr>
        <w:adjustRightInd w:val="0"/>
        <w:snapToGrid w:val="0"/>
        <w:spacing w:line="500" w:lineRule="exact"/>
        <w:ind w:firstLine="72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lang w:val="zh-CN"/>
        </w:rPr>
        <w:t>截至202</w:t>
      </w:r>
      <w:r>
        <w:rPr>
          <w:rFonts w:ascii="仿宋_GB2312" w:hAnsi="宋体" w:eastAsia="仿宋_GB2312"/>
          <w:sz w:val="32"/>
          <w:szCs w:val="32"/>
          <w:lang w:val="zh-CN"/>
        </w:rPr>
        <w:t>1</w:t>
      </w:r>
      <w:r>
        <w:rPr>
          <w:rFonts w:hint="eastAsia" w:ascii="仿宋_GB2312" w:hAnsi="宋体" w:eastAsia="仿宋_GB2312"/>
          <w:sz w:val="32"/>
          <w:szCs w:val="32"/>
          <w:lang w:val="zh-CN"/>
        </w:rPr>
        <w:t>年12月31日，资金到位70万元。</w:t>
      </w:r>
    </w:p>
    <w:p>
      <w:pPr>
        <w:adjustRightInd w:val="0"/>
        <w:snapToGrid w:val="0"/>
        <w:spacing w:line="500" w:lineRule="exact"/>
        <w:ind w:firstLine="72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截至202</w:t>
      </w:r>
      <w:r>
        <w:rPr>
          <w:rFonts w:ascii="仿宋_GB2312" w:hAnsi="宋体" w:eastAsia="仿宋_GB2312"/>
          <w:sz w:val="32"/>
          <w:szCs w:val="32"/>
          <w:lang w:val="zh-CN"/>
        </w:rPr>
        <w:t>1</w:t>
      </w:r>
      <w:r>
        <w:rPr>
          <w:rFonts w:hint="eastAsia" w:ascii="仿宋_GB2312" w:hAnsi="宋体" w:eastAsia="仿宋_GB2312"/>
          <w:sz w:val="32"/>
          <w:szCs w:val="32"/>
          <w:lang w:val="zh-CN"/>
        </w:rPr>
        <w:t>年12月31日，资金支出70万元。</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00" w:lineRule="exact"/>
        <w:ind w:firstLine="720"/>
        <w:rPr>
          <w:rFonts w:eastAsia="仿宋_GB2312"/>
          <w:sz w:val="32"/>
          <w:szCs w:val="32"/>
          <w:lang w:val="zh-CN"/>
        </w:rPr>
      </w:pPr>
      <w:r>
        <w:rPr>
          <w:rFonts w:hint="eastAsia" w:eastAsia="仿宋_GB2312"/>
          <w:sz w:val="32"/>
          <w:szCs w:val="32"/>
          <w:lang w:val="zh-CN"/>
        </w:rPr>
        <w:t>该项目实施以来，严格执行财务管理制度，账务处理及时，会计核算规范，项目台账清楚。</w:t>
      </w:r>
    </w:p>
    <w:p>
      <w:pPr>
        <w:adjustRightInd w:val="0"/>
        <w:snapToGrid w:val="0"/>
        <w:spacing w:line="5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为人员类经费，每月由市政工程公司人员提出资金使用计划，按住建局财务管理制度流程进行审批后报财审股，财审股再向财政局申请资金进行支付。资金管理和使用符合相关规定，每月及时发放，达到预期目标。</w:t>
      </w:r>
    </w:p>
    <w:p>
      <w:pPr>
        <w:adjustRightInd w:val="0"/>
        <w:snapToGrid w:val="0"/>
        <w:spacing w:line="5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每月按时发放原市政工程公司退休人员生活补助和在职人员生活补贴，并在传统节假日进行关怀慰问，完成预计目标任务。</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该项目实施，保障了原市政工程公司人员的基本生活，促进了社会和谐稳定。</w:t>
      </w:r>
    </w:p>
    <w:p>
      <w:pPr>
        <w:adjustRightInd w:val="0"/>
        <w:snapToGrid w:val="0"/>
        <w:spacing w:line="5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0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该项目从预算编制、上报、批复、执行，均符合相关规定，资金管理使用规范，达到预期目标，综合评价得分95分，自评结果为优。</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ascii="仿宋_GB2312" w:hAnsi="宋体" w:eastAsia="仿宋_GB2312"/>
          <w:sz w:val="32"/>
          <w:szCs w:val="32"/>
          <w:lang w:val="zh-CN"/>
        </w:rPr>
        <w:tab/>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tbl>
      <w:tblPr>
        <w:tblStyle w:val="13"/>
        <w:tblW w:w="9202" w:type="dxa"/>
        <w:jc w:val="center"/>
        <w:tblLayout w:type="autofit"/>
        <w:tblCellMar>
          <w:top w:w="0" w:type="dxa"/>
          <w:left w:w="108" w:type="dxa"/>
          <w:bottom w:w="0" w:type="dxa"/>
          <w:right w:w="108" w:type="dxa"/>
        </w:tblCellMar>
      </w:tblPr>
      <w:tblGrid>
        <w:gridCol w:w="920"/>
        <w:gridCol w:w="980"/>
        <w:gridCol w:w="1340"/>
        <w:gridCol w:w="1080"/>
        <w:gridCol w:w="1080"/>
        <w:gridCol w:w="1818"/>
        <w:gridCol w:w="1984"/>
      </w:tblGrid>
      <w:tr>
        <w:tblPrEx>
          <w:tblCellMar>
            <w:top w:w="0" w:type="dxa"/>
            <w:left w:w="108" w:type="dxa"/>
            <w:bottom w:w="0" w:type="dxa"/>
            <w:right w:w="108" w:type="dxa"/>
          </w:tblCellMar>
        </w:tblPrEx>
        <w:trPr>
          <w:trHeight w:val="405" w:hRule="atLeast"/>
          <w:jc w:val="center"/>
        </w:trPr>
        <w:tc>
          <w:tcPr>
            <w:tcW w:w="9202"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202"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92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4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818"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84"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80" w:hRule="atLeast"/>
          <w:jc w:val="center"/>
        </w:trPr>
        <w:tc>
          <w:tcPr>
            <w:tcW w:w="32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96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市政工程公司人员经费</w:t>
            </w:r>
          </w:p>
        </w:tc>
      </w:tr>
      <w:tr>
        <w:tblPrEx>
          <w:tblCellMar>
            <w:top w:w="0" w:type="dxa"/>
            <w:left w:w="108" w:type="dxa"/>
            <w:bottom w:w="0" w:type="dxa"/>
            <w:right w:w="108" w:type="dxa"/>
          </w:tblCellMar>
        </w:tblPrEx>
        <w:trPr>
          <w:trHeight w:val="435" w:hRule="atLeast"/>
          <w:jc w:val="center"/>
        </w:trPr>
        <w:tc>
          <w:tcPr>
            <w:tcW w:w="32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96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jc w:val="center"/>
        </w:trPr>
        <w:tc>
          <w:tcPr>
            <w:tcW w:w="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700000</w:t>
            </w:r>
          </w:p>
        </w:tc>
        <w:tc>
          <w:tcPr>
            <w:tcW w:w="181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700000</w:t>
            </w:r>
          </w:p>
        </w:tc>
      </w:tr>
      <w:tr>
        <w:tblPrEx>
          <w:tblCellMar>
            <w:top w:w="0" w:type="dxa"/>
            <w:left w:w="108" w:type="dxa"/>
            <w:bottom w:w="0" w:type="dxa"/>
            <w:right w:w="108" w:type="dxa"/>
          </w:tblCellMar>
        </w:tblPrEx>
        <w:trPr>
          <w:trHeight w:val="780"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700000</w:t>
            </w:r>
          </w:p>
        </w:tc>
        <w:tc>
          <w:tcPr>
            <w:tcW w:w="1818"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700000</w:t>
            </w:r>
          </w:p>
        </w:tc>
      </w:tr>
      <w:tr>
        <w:tblPrEx>
          <w:tblCellMar>
            <w:top w:w="0" w:type="dxa"/>
            <w:left w:w="108" w:type="dxa"/>
            <w:bottom w:w="0" w:type="dxa"/>
            <w:right w:w="108" w:type="dxa"/>
          </w:tblCellMar>
        </w:tblPrEx>
        <w:trPr>
          <w:trHeight w:val="780"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18"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84"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95" w:hRule="atLeast"/>
          <w:jc w:val="center"/>
        </w:trPr>
        <w:tc>
          <w:tcPr>
            <w:tcW w:w="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4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80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930"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确保市政工程公司人员经费，确保社会稳定。</w:t>
            </w:r>
          </w:p>
        </w:tc>
        <w:tc>
          <w:tcPr>
            <w:tcW w:w="380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确保市政工程公司人员经费，确保社会稳定。</w:t>
            </w:r>
          </w:p>
        </w:tc>
      </w:tr>
      <w:tr>
        <w:tblPrEx>
          <w:tblCellMar>
            <w:top w:w="0" w:type="dxa"/>
            <w:left w:w="108" w:type="dxa"/>
            <w:bottom w:w="0" w:type="dxa"/>
            <w:right w:w="108" w:type="dxa"/>
          </w:tblCellMar>
        </w:tblPrEx>
        <w:trPr>
          <w:trHeight w:val="810" w:hRule="atLeast"/>
          <w:jc w:val="center"/>
        </w:trPr>
        <w:tc>
          <w:tcPr>
            <w:tcW w:w="92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92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3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保障改制人员数量</w:t>
            </w:r>
          </w:p>
        </w:tc>
        <w:tc>
          <w:tcPr>
            <w:tcW w:w="1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44人</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44人</w:t>
            </w:r>
          </w:p>
        </w:tc>
      </w:tr>
      <w:tr>
        <w:tblPrEx>
          <w:tblCellMar>
            <w:top w:w="0" w:type="dxa"/>
            <w:left w:w="108" w:type="dxa"/>
            <w:bottom w:w="0" w:type="dxa"/>
            <w:right w:w="108" w:type="dxa"/>
          </w:tblCellMar>
        </w:tblPrEx>
        <w:trPr>
          <w:trHeight w:val="990" w:hRule="atLeast"/>
          <w:jc w:val="center"/>
        </w:trPr>
        <w:tc>
          <w:tcPr>
            <w:tcW w:w="92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改制人员每月按时按现有标准足额领取生活补助等费用</w:t>
            </w:r>
          </w:p>
        </w:tc>
        <w:tc>
          <w:tcPr>
            <w:tcW w:w="1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92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按月拨付资金</w:t>
            </w:r>
          </w:p>
        </w:tc>
        <w:tc>
          <w:tcPr>
            <w:tcW w:w="1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2021年度</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2021年度</w:t>
            </w:r>
          </w:p>
        </w:tc>
      </w:tr>
      <w:tr>
        <w:tblPrEx>
          <w:tblCellMar>
            <w:top w:w="0" w:type="dxa"/>
            <w:left w:w="108" w:type="dxa"/>
            <w:bottom w:w="0" w:type="dxa"/>
            <w:right w:w="108" w:type="dxa"/>
          </w:tblCellMar>
        </w:tblPrEx>
        <w:trPr>
          <w:trHeight w:val="480" w:hRule="atLeast"/>
          <w:jc w:val="center"/>
        </w:trPr>
        <w:tc>
          <w:tcPr>
            <w:tcW w:w="92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运行成本</w:t>
            </w:r>
          </w:p>
        </w:tc>
        <w:tc>
          <w:tcPr>
            <w:tcW w:w="1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70万元</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70万元</w:t>
            </w:r>
          </w:p>
        </w:tc>
      </w:tr>
      <w:tr>
        <w:tblPrEx>
          <w:tblCellMar>
            <w:top w:w="0" w:type="dxa"/>
            <w:left w:w="108" w:type="dxa"/>
            <w:bottom w:w="0" w:type="dxa"/>
            <w:right w:w="108" w:type="dxa"/>
          </w:tblCellMar>
        </w:tblPrEx>
        <w:trPr>
          <w:trHeight w:val="885" w:hRule="atLeast"/>
          <w:jc w:val="center"/>
        </w:trPr>
        <w:tc>
          <w:tcPr>
            <w:tcW w:w="92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3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解决原机构改革人员遗留问题，确保稳定率高</w:t>
            </w:r>
          </w:p>
        </w:tc>
        <w:tc>
          <w:tcPr>
            <w:tcW w:w="1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720" w:hRule="atLeast"/>
          <w:jc w:val="center"/>
        </w:trPr>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人员满意度</w:t>
            </w:r>
          </w:p>
        </w:tc>
        <w:tc>
          <w:tcPr>
            <w:tcW w:w="18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ind w:firstLine="883"/>
        <w:jc w:val="center"/>
        <w:rPr>
          <w:rFonts w:ascii="方正小标宋简体" w:hAnsi="宋体" w:eastAsia="方正小标宋简体"/>
          <w:color w:val="000000"/>
          <w:kern w:val="0"/>
          <w:sz w:val="44"/>
          <w:szCs w:val="44"/>
        </w:rPr>
      </w:pPr>
      <w:r>
        <w:rPr>
          <w:rFonts w:hint="eastAsia" w:ascii="微软雅黑" w:hAnsi="微软雅黑" w:eastAsia="微软雅黑" w:cs="微软雅黑"/>
          <w:color w:val="000000"/>
          <w:kern w:val="0"/>
          <w:sz w:val="44"/>
          <w:szCs w:val="44"/>
        </w:rPr>
        <w:t>项目支出绩效自评报告</w:t>
      </w:r>
    </w:p>
    <w:p>
      <w:pPr>
        <w:spacing w:line="580" w:lineRule="exact"/>
        <w:ind w:firstLine="883"/>
        <w:jc w:val="center"/>
        <w:rPr>
          <w:rFonts w:ascii="仿宋_GB2312" w:hAnsi="宋体" w:eastAsia="仿宋_GB2312"/>
          <w:sz w:val="32"/>
          <w:szCs w:val="32"/>
        </w:rPr>
      </w:pPr>
      <w:r>
        <w:rPr>
          <w:rFonts w:hint="eastAsia" w:ascii="仿宋_GB2312" w:hAnsi="宋体"/>
          <w:color w:val="000000"/>
          <w:kern w:val="0"/>
          <w:sz w:val="28"/>
          <w:szCs w:val="21"/>
        </w:rPr>
        <w:t>（援彝干部2021年度有关待遇补助）</w:t>
      </w:r>
    </w:p>
    <w:p>
      <w:pPr>
        <w:spacing w:line="480" w:lineRule="exact"/>
        <w:ind w:firstLine="640"/>
        <w:jc w:val="center"/>
        <w:rPr>
          <w:rFonts w:hint="eastAsia" w:ascii="宋体" w:hAnsi="??"/>
          <w:sz w:val="32"/>
          <w:szCs w:val="32"/>
        </w:rPr>
      </w:pPr>
    </w:p>
    <w:p>
      <w:pPr>
        <w:adjustRightInd w:val="0"/>
        <w:snapToGrid w:val="0"/>
        <w:spacing w:line="48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4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480" w:lineRule="exact"/>
        <w:ind w:firstLine="720"/>
        <w:rPr>
          <w:rFonts w:ascii="仿宋_GB2312" w:hAnsi="宋体" w:eastAsia="仿宋_GB2312"/>
          <w:sz w:val="32"/>
          <w:szCs w:val="32"/>
        </w:rPr>
      </w:pPr>
      <w:r>
        <w:rPr>
          <w:rFonts w:hint="eastAsia" w:ascii="仿宋_GB2312" w:hAnsi="宋体" w:eastAsia="仿宋_GB2312"/>
          <w:sz w:val="32"/>
          <w:szCs w:val="32"/>
        </w:rPr>
        <w:t>援藏援彝干部待遇补助项目为了保障提高援彝干部工作待遇，提高工作积极性和援助效果，按照市上统一标准下达的人员经费类补助资金，202</w:t>
      </w:r>
      <w:r>
        <w:rPr>
          <w:rFonts w:ascii="仿宋_GB2312" w:hAnsi="宋体" w:eastAsia="仿宋_GB2312"/>
          <w:sz w:val="32"/>
          <w:szCs w:val="32"/>
        </w:rPr>
        <w:t>1</w:t>
      </w:r>
      <w:r>
        <w:rPr>
          <w:rFonts w:hint="eastAsia" w:ascii="仿宋_GB2312" w:hAnsi="宋体" w:eastAsia="仿宋_GB2312"/>
          <w:sz w:val="32"/>
          <w:szCs w:val="32"/>
        </w:rPr>
        <w:t>年共追加下达资金</w:t>
      </w:r>
      <w:r>
        <w:rPr>
          <w:rFonts w:ascii="仿宋_GB2312" w:hAnsi="宋体" w:eastAsia="仿宋_GB2312"/>
          <w:sz w:val="32"/>
          <w:szCs w:val="32"/>
        </w:rPr>
        <w:t>39217</w:t>
      </w:r>
      <w:r>
        <w:rPr>
          <w:rFonts w:hint="eastAsia" w:ascii="仿宋_GB2312" w:hAnsi="宋体" w:eastAsia="仿宋_GB2312"/>
          <w:sz w:val="32"/>
          <w:szCs w:val="32"/>
        </w:rPr>
        <w:t>元。</w:t>
      </w:r>
    </w:p>
    <w:p>
      <w:pPr>
        <w:adjustRightInd w:val="0"/>
        <w:snapToGrid w:val="0"/>
        <w:spacing w:line="4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4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通过项目实施，保障了单位</w:t>
      </w:r>
      <w:r>
        <w:rPr>
          <w:rFonts w:ascii="仿宋_GB2312" w:hAnsi="宋体" w:eastAsia="仿宋_GB2312"/>
          <w:sz w:val="32"/>
          <w:szCs w:val="32"/>
          <w:lang w:val="zh-CN"/>
        </w:rPr>
        <w:t>2</w:t>
      </w:r>
      <w:r>
        <w:rPr>
          <w:rFonts w:hint="eastAsia" w:ascii="仿宋_GB2312" w:hAnsi="宋体" w:eastAsia="仿宋_GB2312"/>
          <w:sz w:val="32"/>
          <w:szCs w:val="32"/>
          <w:lang w:val="zh-CN"/>
        </w:rPr>
        <w:t>名援彝干部的生活待遇，提高工作积极性，解决生活上的后顾之忧。</w:t>
      </w:r>
    </w:p>
    <w:p>
      <w:pPr>
        <w:adjustRightInd w:val="0"/>
        <w:snapToGrid w:val="0"/>
        <w:spacing w:line="4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该项目申报内容是否与实际相符，申报目标是否合理可行。</w:t>
      </w:r>
    </w:p>
    <w:p>
      <w:pPr>
        <w:adjustRightInd w:val="0"/>
        <w:snapToGrid w:val="0"/>
        <w:spacing w:line="4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4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由我局开展财政资金使用情况自评并撰写部门预算支出绩效报告，按规范格式按时提交自评报告。</w:t>
      </w:r>
    </w:p>
    <w:p>
      <w:pPr>
        <w:adjustRightInd w:val="0"/>
        <w:snapToGrid w:val="0"/>
        <w:spacing w:line="48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4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4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该项目资金由市委组织部申报，财政追加下达，共</w:t>
      </w:r>
      <w:r>
        <w:rPr>
          <w:rFonts w:ascii="仿宋_GB2312" w:hAnsi="宋体" w:eastAsia="仿宋_GB2312"/>
          <w:sz w:val="32"/>
          <w:szCs w:val="32"/>
          <w:lang w:val="zh-CN"/>
        </w:rPr>
        <w:t>39217</w:t>
      </w:r>
      <w:r>
        <w:rPr>
          <w:rFonts w:hint="eastAsia" w:ascii="仿宋_GB2312" w:hAnsi="宋体" w:eastAsia="仿宋_GB2312"/>
          <w:sz w:val="32"/>
          <w:szCs w:val="32"/>
          <w:lang w:val="zh-CN"/>
        </w:rPr>
        <w:t>元。</w:t>
      </w:r>
    </w:p>
    <w:p>
      <w:pPr>
        <w:adjustRightInd w:val="0"/>
        <w:snapToGrid w:val="0"/>
        <w:spacing w:line="48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480" w:lineRule="exact"/>
        <w:ind w:firstLine="720"/>
        <w:rPr>
          <w:rFonts w:ascii="仿宋_GB2312" w:hAnsi="宋体" w:eastAsia="仿宋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_GB2312" w:hAnsi="宋体" w:eastAsia="仿宋_GB2312"/>
          <w:sz w:val="32"/>
          <w:szCs w:val="32"/>
          <w:lang w:val="zh-CN"/>
        </w:rPr>
        <w:t>202</w:t>
      </w:r>
      <w:r>
        <w:rPr>
          <w:rFonts w:ascii="仿宋_GB2312" w:hAnsi="宋体" w:eastAsia="仿宋_GB2312"/>
          <w:sz w:val="32"/>
          <w:szCs w:val="32"/>
          <w:lang w:val="zh-CN"/>
        </w:rPr>
        <w:t>1</w:t>
      </w:r>
      <w:r>
        <w:rPr>
          <w:rFonts w:hint="eastAsia" w:ascii="仿宋_GB2312" w:hAnsi="宋体" w:eastAsia="仿宋_GB2312"/>
          <w:sz w:val="32"/>
          <w:szCs w:val="32"/>
          <w:lang w:val="zh-CN"/>
        </w:rPr>
        <w:t>年财政追加下达援彝干部2021年度有关待遇补助</w:t>
      </w:r>
      <w:r>
        <w:rPr>
          <w:rFonts w:ascii="仿宋_GB2312" w:hAnsi="宋体" w:eastAsia="仿宋_GB2312"/>
          <w:sz w:val="32"/>
          <w:szCs w:val="32"/>
          <w:lang w:val="zh-CN"/>
        </w:rPr>
        <w:t>39217</w:t>
      </w:r>
      <w:r>
        <w:rPr>
          <w:rFonts w:hint="eastAsia" w:ascii="仿宋_GB2312" w:hAnsi="宋体" w:eastAsia="仿宋_GB2312"/>
          <w:sz w:val="32"/>
          <w:szCs w:val="32"/>
          <w:lang w:val="zh-CN"/>
        </w:rPr>
        <w:t>元。</w:t>
      </w:r>
    </w:p>
    <w:p>
      <w:pPr>
        <w:adjustRightInd w:val="0"/>
        <w:snapToGrid w:val="0"/>
        <w:spacing w:line="480" w:lineRule="exact"/>
        <w:ind w:firstLine="72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lang w:val="zh-CN"/>
        </w:rPr>
        <w:t>截至202</w:t>
      </w:r>
      <w:r>
        <w:rPr>
          <w:rFonts w:ascii="仿宋_GB2312" w:hAnsi="宋体" w:eastAsia="仿宋_GB2312"/>
          <w:sz w:val="32"/>
          <w:szCs w:val="32"/>
          <w:lang w:val="zh-CN"/>
        </w:rPr>
        <w:t>1</w:t>
      </w:r>
      <w:r>
        <w:rPr>
          <w:rFonts w:hint="eastAsia" w:ascii="仿宋_GB2312" w:hAnsi="宋体" w:eastAsia="仿宋_GB2312"/>
          <w:sz w:val="32"/>
          <w:szCs w:val="32"/>
          <w:lang w:val="zh-CN"/>
        </w:rPr>
        <w:t>年12月31日，资金到位</w:t>
      </w:r>
      <w:r>
        <w:rPr>
          <w:rFonts w:ascii="仿宋_GB2312" w:hAnsi="宋体" w:eastAsia="仿宋_GB2312"/>
          <w:sz w:val="32"/>
          <w:szCs w:val="32"/>
          <w:lang w:val="zh-CN"/>
        </w:rPr>
        <w:t>39217</w:t>
      </w:r>
      <w:r>
        <w:rPr>
          <w:rFonts w:hint="eastAsia" w:ascii="仿宋_GB2312" w:hAnsi="宋体" w:eastAsia="仿宋_GB2312"/>
          <w:sz w:val="32"/>
          <w:szCs w:val="32"/>
          <w:lang w:val="zh-CN"/>
        </w:rPr>
        <w:t>元。</w:t>
      </w:r>
    </w:p>
    <w:p>
      <w:pPr>
        <w:adjustRightInd w:val="0"/>
        <w:snapToGrid w:val="0"/>
        <w:spacing w:line="480" w:lineRule="exact"/>
        <w:ind w:firstLine="72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截至202</w:t>
      </w:r>
      <w:r>
        <w:rPr>
          <w:rFonts w:ascii="仿宋_GB2312" w:hAnsi="宋体" w:eastAsia="仿宋_GB2312"/>
          <w:sz w:val="32"/>
          <w:szCs w:val="32"/>
          <w:lang w:val="zh-CN"/>
        </w:rPr>
        <w:t>1</w:t>
      </w:r>
      <w:r>
        <w:rPr>
          <w:rFonts w:hint="eastAsia" w:ascii="仿宋_GB2312" w:hAnsi="宋体" w:eastAsia="仿宋_GB2312"/>
          <w:sz w:val="32"/>
          <w:szCs w:val="32"/>
          <w:lang w:val="zh-CN"/>
        </w:rPr>
        <w:t>年12月31日，资金支出</w:t>
      </w:r>
      <w:r>
        <w:rPr>
          <w:rFonts w:ascii="仿宋_GB2312" w:hAnsi="宋体" w:eastAsia="仿宋_GB2312"/>
          <w:sz w:val="32"/>
          <w:szCs w:val="32"/>
          <w:lang w:val="zh-CN"/>
        </w:rPr>
        <w:t>39217</w:t>
      </w:r>
      <w:r>
        <w:rPr>
          <w:rFonts w:hint="eastAsia" w:ascii="仿宋_GB2312" w:hAnsi="宋体" w:eastAsia="仿宋_GB2312"/>
          <w:sz w:val="32"/>
          <w:szCs w:val="32"/>
          <w:lang w:val="zh-CN"/>
        </w:rPr>
        <w:t>元。</w:t>
      </w:r>
    </w:p>
    <w:p>
      <w:pPr>
        <w:adjustRightInd w:val="0"/>
        <w:snapToGrid w:val="0"/>
        <w:spacing w:line="4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480" w:lineRule="exact"/>
        <w:ind w:firstLine="720"/>
        <w:rPr>
          <w:rFonts w:eastAsia="仿宋_GB2312"/>
          <w:sz w:val="32"/>
          <w:szCs w:val="32"/>
          <w:lang w:val="zh-CN"/>
        </w:rPr>
      </w:pPr>
      <w:r>
        <w:rPr>
          <w:rFonts w:hint="eastAsia" w:eastAsia="仿宋_GB2312"/>
          <w:sz w:val="32"/>
          <w:szCs w:val="32"/>
          <w:lang w:val="zh-CN"/>
        </w:rPr>
        <w:t>该项目实施以来，严格执行财务管理制度，账务处理及时，会计核算规范，项目台账清楚。</w:t>
      </w:r>
    </w:p>
    <w:p>
      <w:pPr>
        <w:adjustRightInd w:val="0"/>
        <w:snapToGrid w:val="0"/>
        <w:spacing w:line="48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4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该项目为人员类经费，财政下达追加计划后，我局按财务管理制度流程进行审批后报财审股，财审股再向财政局申请资金进行支付。资金管理和使用符合相关规定，及时发放，达到预期目标。</w:t>
      </w:r>
    </w:p>
    <w:p>
      <w:pPr>
        <w:adjustRightInd w:val="0"/>
        <w:snapToGrid w:val="0"/>
        <w:spacing w:line="48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4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48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及时发放援彝援藏干部待遇补助资金，体现了组织关怀，达到预期目标。</w:t>
      </w:r>
    </w:p>
    <w:p>
      <w:pPr>
        <w:adjustRightInd w:val="0"/>
        <w:snapToGrid w:val="0"/>
        <w:spacing w:line="4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4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该项目实施，保障了援彝援藏干部生活待遇，体现了组织关怀，提高干部的工作积极性。</w:t>
      </w:r>
    </w:p>
    <w:p>
      <w:pPr>
        <w:adjustRightInd w:val="0"/>
        <w:snapToGrid w:val="0"/>
        <w:spacing w:line="48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4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48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该项目决策科学、目标明确，资金管理、使用规范，达到预期目标和效益，综合评价得分97分，结果为优。</w:t>
      </w:r>
    </w:p>
    <w:p>
      <w:pPr>
        <w:adjustRightInd w:val="0"/>
        <w:snapToGrid w:val="0"/>
        <w:spacing w:line="4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4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ascii="仿宋_GB2312" w:hAnsi="宋体" w:eastAsia="仿宋_GB2312"/>
          <w:sz w:val="32"/>
          <w:szCs w:val="32"/>
          <w:lang w:val="zh-CN"/>
        </w:rPr>
        <w:tab/>
      </w:r>
    </w:p>
    <w:p>
      <w:pPr>
        <w:adjustRightInd w:val="0"/>
        <w:snapToGrid w:val="0"/>
        <w:spacing w:line="4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4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380" w:type="dxa"/>
        <w:jc w:val="center"/>
        <w:tblLayout w:type="autofit"/>
        <w:tblCellMar>
          <w:top w:w="0" w:type="dxa"/>
          <w:left w:w="108" w:type="dxa"/>
          <w:bottom w:w="0" w:type="dxa"/>
          <w:right w:w="108" w:type="dxa"/>
        </w:tblCellMar>
      </w:tblPr>
      <w:tblGrid>
        <w:gridCol w:w="1080"/>
        <w:gridCol w:w="1000"/>
        <w:gridCol w:w="1292"/>
        <w:gridCol w:w="1168"/>
        <w:gridCol w:w="1242"/>
        <w:gridCol w:w="1658"/>
        <w:gridCol w:w="1940"/>
      </w:tblGrid>
      <w:tr>
        <w:tblPrEx>
          <w:tblCellMar>
            <w:top w:w="0" w:type="dxa"/>
            <w:left w:w="108" w:type="dxa"/>
            <w:bottom w:w="0" w:type="dxa"/>
            <w:right w:w="108" w:type="dxa"/>
          </w:tblCellMar>
        </w:tblPrEx>
        <w:trPr>
          <w:trHeight w:val="405" w:hRule="atLeast"/>
          <w:jc w:val="center"/>
        </w:trPr>
        <w:tc>
          <w:tcPr>
            <w:tcW w:w="938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38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0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92"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168"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24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658"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4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80" w:hRule="atLeast"/>
          <w:jc w:val="center"/>
        </w:trPr>
        <w:tc>
          <w:tcPr>
            <w:tcW w:w="3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00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援彝干部2021年度有关待遇补助</w:t>
            </w:r>
          </w:p>
        </w:tc>
      </w:tr>
      <w:tr>
        <w:tblPrEx>
          <w:tblCellMar>
            <w:top w:w="0" w:type="dxa"/>
            <w:left w:w="108" w:type="dxa"/>
            <w:bottom w:w="0" w:type="dxa"/>
            <w:right w:w="108" w:type="dxa"/>
          </w:tblCellMar>
        </w:tblPrEx>
        <w:trPr>
          <w:trHeight w:val="435" w:hRule="atLeast"/>
          <w:jc w:val="center"/>
        </w:trPr>
        <w:tc>
          <w:tcPr>
            <w:tcW w:w="3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00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2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39217元</w:t>
            </w:r>
          </w:p>
        </w:tc>
        <w:tc>
          <w:tcPr>
            <w:tcW w:w="165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39217元</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2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39217元</w:t>
            </w:r>
          </w:p>
        </w:tc>
        <w:tc>
          <w:tcPr>
            <w:tcW w:w="1658"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39217元</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292"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58"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9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7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59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168"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70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保障提高援彝干部工作待遇，提高工作积极性和援助效果</w:t>
            </w:r>
          </w:p>
        </w:tc>
        <w:tc>
          <w:tcPr>
            <w:tcW w:w="359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保障提高援彝干部工作待遇，提高工作积极性和援助效果</w:t>
            </w:r>
          </w:p>
        </w:tc>
      </w:tr>
      <w:tr>
        <w:tblPrEx>
          <w:tblCellMar>
            <w:top w:w="0" w:type="dxa"/>
            <w:left w:w="108" w:type="dxa"/>
            <w:bottom w:w="0" w:type="dxa"/>
            <w:right w:w="108" w:type="dxa"/>
          </w:tblCellMar>
        </w:tblPrEx>
        <w:trPr>
          <w:trHeight w:val="81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0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2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6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292"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人员数量</w:t>
            </w:r>
          </w:p>
        </w:tc>
        <w:tc>
          <w:tcPr>
            <w:tcW w:w="16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2人</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2人</w:t>
            </w:r>
          </w:p>
        </w:tc>
      </w:tr>
      <w:tr>
        <w:tblPrEx>
          <w:tblCellMar>
            <w:top w:w="0" w:type="dxa"/>
            <w:left w:w="108" w:type="dxa"/>
            <w:bottom w:w="0" w:type="dxa"/>
            <w:right w:w="108" w:type="dxa"/>
          </w:tblCellMar>
        </w:tblPrEx>
        <w:trPr>
          <w:trHeight w:val="556"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92"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保障援彝干部工作待遇</w:t>
            </w:r>
          </w:p>
        </w:tc>
        <w:tc>
          <w:tcPr>
            <w:tcW w:w="16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92"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16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2021年度</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2021年度</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92"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费用支付</w:t>
            </w:r>
          </w:p>
        </w:tc>
        <w:tc>
          <w:tcPr>
            <w:tcW w:w="16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≤4万元</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39217元</w:t>
            </w:r>
          </w:p>
        </w:tc>
      </w:tr>
      <w:tr>
        <w:tblPrEx>
          <w:tblCellMar>
            <w:top w:w="0" w:type="dxa"/>
            <w:left w:w="108" w:type="dxa"/>
            <w:bottom w:w="0" w:type="dxa"/>
            <w:right w:w="108" w:type="dxa"/>
          </w:tblCellMar>
        </w:tblPrEx>
        <w:trPr>
          <w:trHeight w:val="88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效益指标</w:t>
            </w:r>
          </w:p>
        </w:tc>
        <w:tc>
          <w:tcPr>
            <w:tcW w:w="1292"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确保援彝效果</w:t>
            </w:r>
          </w:p>
        </w:tc>
        <w:tc>
          <w:tcPr>
            <w:tcW w:w="16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72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2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人员满意度</w:t>
            </w:r>
          </w:p>
        </w:tc>
        <w:tc>
          <w:tcPr>
            <w:tcW w:w="165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（绵竹城乡供排水一体化PPP项目）</w:t>
      </w:r>
    </w:p>
    <w:p>
      <w:pPr>
        <w:spacing w:line="580" w:lineRule="exact"/>
        <w:ind w:firstLine="640"/>
        <w:jc w:val="center"/>
        <w:rPr>
          <w:rFonts w:hint="eastAsia" w:ascii="宋体" w:hAnsi="??"/>
          <w:sz w:val="32"/>
          <w:szCs w:val="32"/>
        </w:rPr>
      </w:pPr>
    </w:p>
    <w:p>
      <w:pPr>
        <w:adjustRightInd w:val="0"/>
        <w:snapToGrid w:val="0"/>
        <w:spacing w:line="64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40" w:lineRule="exact"/>
        <w:ind w:firstLine="720"/>
        <w:rPr>
          <w:rFonts w:eastAsia="仿宋_GB2312"/>
          <w:sz w:val="32"/>
          <w:szCs w:val="32"/>
          <w:lang w:val="zh-CN"/>
        </w:rPr>
      </w:pPr>
      <w:r>
        <w:rPr>
          <w:rFonts w:eastAsia="仿宋_GB2312"/>
          <w:sz w:val="32"/>
          <w:szCs w:val="32"/>
          <w:lang w:val="zh-CN"/>
        </w:rPr>
        <w:t>1.项目名称：绵竹城乡供排水一体化PPP项目</w:t>
      </w:r>
    </w:p>
    <w:p>
      <w:pPr>
        <w:adjustRightInd w:val="0"/>
        <w:snapToGrid w:val="0"/>
        <w:spacing w:line="640" w:lineRule="exact"/>
        <w:ind w:firstLine="720"/>
        <w:rPr>
          <w:rFonts w:eastAsia="仿宋_GB2312"/>
          <w:snapToGrid w:val="0"/>
          <w:sz w:val="32"/>
          <w:szCs w:val="32"/>
          <w:lang w:val="zh-CN"/>
        </w:rPr>
      </w:pPr>
      <w:r>
        <w:rPr>
          <w:rFonts w:eastAsia="仿宋_GB2312"/>
          <w:snapToGrid w:val="0"/>
          <w:sz w:val="32"/>
          <w:szCs w:val="32"/>
          <w:lang w:val="zh-CN"/>
        </w:rPr>
        <w:t>2.项目所在地：绵竹市城区及各乡镇</w:t>
      </w:r>
    </w:p>
    <w:p>
      <w:pPr>
        <w:adjustRightInd w:val="0"/>
        <w:snapToGrid w:val="0"/>
        <w:spacing w:line="640" w:lineRule="exact"/>
        <w:ind w:firstLine="720"/>
        <w:rPr>
          <w:rFonts w:eastAsia="仿宋_GB2312"/>
          <w:snapToGrid w:val="0"/>
          <w:sz w:val="32"/>
          <w:szCs w:val="32"/>
          <w:lang w:val="zh-CN"/>
        </w:rPr>
      </w:pPr>
      <w:r>
        <w:rPr>
          <w:rFonts w:eastAsia="仿宋_GB2312"/>
          <w:kern w:val="0"/>
          <w:sz w:val="32"/>
          <w:szCs w:val="32"/>
        </w:rPr>
        <w:t>3.</w:t>
      </w:r>
      <w:r>
        <w:rPr>
          <w:rFonts w:hint="eastAsia" w:ascii="仿宋" w:hAnsi="仿宋" w:eastAsia="仿宋" w:cs="仿宋"/>
          <w:bCs/>
          <w:sz w:val="32"/>
          <w:szCs w:val="32"/>
        </w:rPr>
        <w:t xml:space="preserve"> </w:t>
      </w:r>
      <w:r>
        <w:rPr>
          <w:rFonts w:hint="eastAsia" w:eastAsia="仿宋_GB2312"/>
          <w:kern w:val="0"/>
          <w:sz w:val="32"/>
          <w:szCs w:val="32"/>
        </w:rPr>
        <w:t>资金来源：使用者付费+财政资金。</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40" w:lineRule="exact"/>
        <w:ind w:firstLine="720"/>
        <w:rPr>
          <w:rFonts w:eastAsia="仿宋_GB2312"/>
          <w:kern w:val="0"/>
          <w:sz w:val="32"/>
          <w:szCs w:val="32"/>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r>
        <w:rPr>
          <w:rFonts w:hint="eastAsia" w:eastAsia="仿宋_GB2312"/>
          <w:sz w:val="32"/>
          <w:szCs w:val="32"/>
          <w:lang w:val="zh-CN"/>
        </w:rPr>
        <w:t>供排水</w:t>
      </w:r>
      <w:r>
        <w:rPr>
          <w:rFonts w:eastAsia="仿宋_GB2312"/>
          <w:sz w:val="32"/>
          <w:szCs w:val="32"/>
          <w:lang w:val="zh-CN"/>
        </w:rPr>
        <w:t>存量项目（TOT）的移交运营</w:t>
      </w:r>
      <w:r>
        <w:rPr>
          <w:rFonts w:hint="eastAsia" w:eastAsia="仿宋_GB2312"/>
          <w:sz w:val="32"/>
          <w:szCs w:val="32"/>
          <w:lang w:val="zh-CN"/>
        </w:rPr>
        <w:t>和供排水</w:t>
      </w:r>
      <w:r>
        <w:rPr>
          <w:rFonts w:eastAsia="仿宋_GB2312"/>
          <w:sz w:val="32"/>
          <w:szCs w:val="32"/>
          <w:lang w:val="zh-CN"/>
        </w:rPr>
        <w:t>新（改、扩）建项目（</w:t>
      </w:r>
      <w:r>
        <w:rPr>
          <w:rFonts w:eastAsia="仿宋_GB2312"/>
          <w:kern w:val="0"/>
          <w:sz w:val="32"/>
          <w:szCs w:val="32"/>
        </w:rPr>
        <w:t>BOT）的投资、建设、运营。</w:t>
      </w:r>
      <w:r>
        <w:rPr>
          <w:rFonts w:hint="eastAsia" w:eastAsia="仿宋_GB2312"/>
          <w:kern w:val="0"/>
          <w:sz w:val="32"/>
          <w:szCs w:val="32"/>
        </w:rPr>
        <w:t>其中</w:t>
      </w:r>
      <w:r>
        <w:rPr>
          <w:rFonts w:eastAsia="仿宋_GB2312"/>
          <w:kern w:val="0"/>
          <w:sz w:val="32"/>
          <w:szCs w:val="32"/>
        </w:rPr>
        <w:t>，</w:t>
      </w:r>
      <w:r>
        <w:rPr>
          <w:rFonts w:hint="eastAsia" w:eastAsia="仿宋_GB2312"/>
          <w:kern w:val="0"/>
          <w:sz w:val="32"/>
          <w:szCs w:val="32"/>
        </w:rPr>
        <w:t>存量项目</w:t>
      </w:r>
      <w:r>
        <w:rPr>
          <w:rFonts w:eastAsia="仿宋_GB2312"/>
          <w:kern w:val="0"/>
          <w:sz w:val="32"/>
          <w:szCs w:val="32"/>
        </w:rPr>
        <w:t>（</w:t>
      </w:r>
      <w:r>
        <w:rPr>
          <w:rFonts w:hint="eastAsia" w:eastAsia="仿宋_GB2312"/>
          <w:kern w:val="0"/>
          <w:sz w:val="32"/>
          <w:szCs w:val="32"/>
        </w:rPr>
        <w:t>TOT）供水项目包括</w:t>
      </w:r>
      <w:r>
        <w:rPr>
          <w:rFonts w:eastAsia="仿宋_GB2312"/>
          <w:kern w:val="0"/>
          <w:sz w:val="32"/>
          <w:szCs w:val="32"/>
        </w:rPr>
        <w:t>5</w:t>
      </w:r>
      <w:r>
        <w:rPr>
          <w:rFonts w:hint="eastAsia" w:eastAsia="仿宋_GB2312"/>
          <w:kern w:val="0"/>
          <w:sz w:val="32"/>
          <w:szCs w:val="32"/>
        </w:rPr>
        <w:t>座城区供水项目（其中2座已停运）</w:t>
      </w:r>
      <w:r>
        <w:rPr>
          <w:rFonts w:eastAsia="仿宋_GB2312"/>
          <w:kern w:val="0"/>
          <w:sz w:val="32"/>
          <w:szCs w:val="32"/>
        </w:rPr>
        <w:t>、</w:t>
      </w:r>
      <w:r>
        <w:rPr>
          <w:rFonts w:hint="eastAsia" w:eastAsia="仿宋_GB2312"/>
          <w:kern w:val="0"/>
          <w:sz w:val="32"/>
          <w:szCs w:val="32"/>
        </w:rPr>
        <w:t>21座乡镇供水项目</w:t>
      </w:r>
      <w:r>
        <w:rPr>
          <w:rFonts w:eastAsia="仿宋_GB2312"/>
          <w:kern w:val="0"/>
          <w:sz w:val="32"/>
          <w:szCs w:val="32"/>
        </w:rPr>
        <w:t>、</w:t>
      </w:r>
      <w:r>
        <w:rPr>
          <w:rFonts w:hint="eastAsia" w:eastAsia="仿宋_GB2312"/>
          <w:kern w:val="0"/>
          <w:sz w:val="32"/>
          <w:szCs w:val="32"/>
        </w:rPr>
        <w:t>城市供水管网</w:t>
      </w:r>
      <w:r>
        <w:rPr>
          <w:rFonts w:eastAsia="仿宋_GB2312"/>
          <w:kern w:val="0"/>
          <w:sz w:val="32"/>
          <w:szCs w:val="32"/>
        </w:rPr>
        <w:t>114</w:t>
      </w:r>
      <w:r>
        <w:rPr>
          <w:rFonts w:hint="eastAsia" w:eastAsia="仿宋_GB2312"/>
          <w:kern w:val="0"/>
          <w:sz w:val="32"/>
          <w:szCs w:val="32"/>
        </w:rPr>
        <w:t>.</w:t>
      </w:r>
      <w:r>
        <w:rPr>
          <w:rFonts w:eastAsia="仿宋_GB2312"/>
          <w:kern w:val="0"/>
          <w:sz w:val="32"/>
          <w:szCs w:val="32"/>
        </w:rPr>
        <w:t>08</w:t>
      </w:r>
      <w:r>
        <w:rPr>
          <w:rFonts w:hint="eastAsia" w:eastAsia="仿宋_GB2312"/>
          <w:kern w:val="0"/>
          <w:sz w:val="32"/>
          <w:szCs w:val="32"/>
        </w:rPr>
        <w:t>公里</w:t>
      </w:r>
      <w:r>
        <w:rPr>
          <w:rFonts w:eastAsia="仿宋_GB2312"/>
          <w:kern w:val="0"/>
          <w:sz w:val="32"/>
          <w:szCs w:val="32"/>
        </w:rPr>
        <w:t>、</w:t>
      </w:r>
      <w:r>
        <w:rPr>
          <w:rFonts w:hint="eastAsia" w:eastAsia="仿宋_GB2312"/>
          <w:kern w:val="0"/>
          <w:sz w:val="32"/>
          <w:szCs w:val="32"/>
        </w:rPr>
        <w:t>乡镇供水管网</w:t>
      </w:r>
      <w:r>
        <w:rPr>
          <w:rFonts w:eastAsia="仿宋_GB2312"/>
          <w:kern w:val="0"/>
          <w:sz w:val="32"/>
          <w:szCs w:val="32"/>
        </w:rPr>
        <w:t>2,197.03</w:t>
      </w:r>
      <w:r>
        <w:rPr>
          <w:rFonts w:hint="eastAsia" w:eastAsia="仿宋_GB2312"/>
          <w:kern w:val="0"/>
          <w:sz w:val="32"/>
          <w:szCs w:val="32"/>
        </w:rPr>
        <w:t>公里</w:t>
      </w:r>
      <w:r>
        <w:rPr>
          <w:rFonts w:eastAsia="仿宋_GB2312"/>
          <w:kern w:val="0"/>
          <w:sz w:val="32"/>
          <w:szCs w:val="32"/>
        </w:rPr>
        <w:t>。</w:t>
      </w:r>
      <w:r>
        <w:rPr>
          <w:rFonts w:hint="eastAsia" w:eastAsia="仿宋_GB2312"/>
          <w:kern w:val="0"/>
          <w:sz w:val="32"/>
          <w:szCs w:val="32"/>
        </w:rPr>
        <w:t>存量项目</w:t>
      </w:r>
      <w:r>
        <w:rPr>
          <w:rFonts w:eastAsia="仿宋_GB2312"/>
          <w:kern w:val="0"/>
          <w:sz w:val="32"/>
          <w:szCs w:val="32"/>
        </w:rPr>
        <w:t>（</w:t>
      </w:r>
      <w:r>
        <w:rPr>
          <w:rFonts w:hint="eastAsia" w:eastAsia="仿宋_GB2312"/>
          <w:kern w:val="0"/>
          <w:sz w:val="32"/>
          <w:szCs w:val="32"/>
        </w:rPr>
        <w:t>TOT</w:t>
      </w:r>
      <w:r>
        <w:rPr>
          <w:rFonts w:eastAsia="仿宋_GB2312"/>
          <w:kern w:val="0"/>
          <w:sz w:val="32"/>
          <w:szCs w:val="32"/>
        </w:rPr>
        <w:t>）</w:t>
      </w:r>
      <w:r>
        <w:rPr>
          <w:rFonts w:hint="eastAsia" w:eastAsia="仿宋_GB2312"/>
          <w:kern w:val="0"/>
          <w:sz w:val="32"/>
          <w:szCs w:val="32"/>
        </w:rPr>
        <w:t>排水项目包括</w:t>
      </w:r>
      <w:r>
        <w:rPr>
          <w:rFonts w:eastAsia="仿宋_GB2312"/>
          <w:kern w:val="0"/>
          <w:sz w:val="32"/>
          <w:szCs w:val="32"/>
        </w:rPr>
        <w:t>6</w:t>
      </w:r>
      <w:r>
        <w:rPr>
          <w:rFonts w:hint="eastAsia" w:eastAsia="仿宋_GB2312"/>
          <w:kern w:val="0"/>
          <w:sz w:val="32"/>
          <w:szCs w:val="32"/>
        </w:rPr>
        <w:t>座乡镇存量排水项目</w:t>
      </w:r>
      <w:r>
        <w:rPr>
          <w:rFonts w:eastAsia="仿宋_GB2312"/>
          <w:kern w:val="0"/>
          <w:sz w:val="32"/>
          <w:szCs w:val="32"/>
        </w:rPr>
        <w:t>、1</w:t>
      </w:r>
      <w:r>
        <w:rPr>
          <w:rFonts w:hint="eastAsia" w:eastAsia="仿宋_GB2312"/>
          <w:kern w:val="0"/>
          <w:sz w:val="32"/>
          <w:szCs w:val="32"/>
        </w:rPr>
        <w:t>座园区存量排水项目</w:t>
      </w:r>
      <w:r>
        <w:rPr>
          <w:rFonts w:eastAsia="仿宋_GB2312"/>
          <w:kern w:val="0"/>
          <w:sz w:val="32"/>
          <w:szCs w:val="32"/>
        </w:rPr>
        <w:t>。</w:t>
      </w:r>
      <w:r>
        <w:rPr>
          <w:rFonts w:hint="eastAsia" w:eastAsia="仿宋_GB2312"/>
          <w:kern w:val="0"/>
          <w:sz w:val="32"/>
          <w:szCs w:val="32"/>
        </w:rPr>
        <w:t>新建项目</w:t>
      </w:r>
      <w:r>
        <w:rPr>
          <w:rFonts w:eastAsia="仿宋_GB2312"/>
          <w:kern w:val="0"/>
          <w:sz w:val="32"/>
          <w:szCs w:val="32"/>
        </w:rPr>
        <w:t>（</w:t>
      </w:r>
      <w:r>
        <w:rPr>
          <w:rFonts w:hint="eastAsia" w:eastAsia="仿宋_GB2312"/>
          <w:kern w:val="0"/>
          <w:sz w:val="32"/>
          <w:szCs w:val="32"/>
        </w:rPr>
        <w:t>BOT）供水项目为</w:t>
      </w:r>
      <w:r>
        <w:rPr>
          <w:rFonts w:eastAsia="仿宋_GB2312"/>
          <w:kern w:val="0"/>
          <w:sz w:val="32"/>
          <w:szCs w:val="32"/>
        </w:rPr>
        <w:t>1</w:t>
      </w:r>
      <w:r>
        <w:rPr>
          <w:rFonts w:hint="eastAsia" w:eastAsia="仿宋_GB2312"/>
          <w:kern w:val="0"/>
          <w:sz w:val="32"/>
          <w:szCs w:val="32"/>
        </w:rPr>
        <w:t>座乡镇供水项目</w:t>
      </w:r>
      <w:r>
        <w:rPr>
          <w:rFonts w:eastAsia="仿宋_GB2312"/>
          <w:kern w:val="0"/>
          <w:sz w:val="32"/>
          <w:szCs w:val="32"/>
        </w:rPr>
        <w:t>，</w:t>
      </w:r>
      <w:r>
        <w:rPr>
          <w:rFonts w:hint="eastAsia" w:eastAsia="仿宋_GB2312"/>
          <w:kern w:val="0"/>
          <w:sz w:val="32"/>
          <w:szCs w:val="32"/>
        </w:rPr>
        <w:t>新建项目</w:t>
      </w:r>
      <w:r>
        <w:rPr>
          <w:rFonts w:eastAsia="仿宋_GB2312"/>
          <w:kern w:val="0"/>
          <w:sz w:val="32"/>
          <w:szCs w:val="32"/>
        </w:rPr>
        <w:t>（</w:t>
      </w:r>
      <w:r>
        <w:rPr>
          <w:rFonts w:hint="eastAsia" w:eastAsia="仿宋_GB2312"/>
          <w:kern w:val="0"/>
          <w:sz w:val="32"/>
          <w:szCs w:val="32"/>
        </w:rPr>
        <w:t>BOT</w:t>
      </w:r>
      <w:r>
        <w:rPr>
          <w:rFonts w:eastAsia="仿宋_GB2312"/>
          <w:kern w:val="0"/>
          <w:sz w:val="32"/>
          <w:szCs w:val="32"/>
        </w:rPr>
        <w:t>）</w:t>
      </w:r>
      <w:r>
        <w:rPr>
          <w:rFonts w:hint="eastAsia" w:eastAsia="仿宋_GB2312"/>
          <w:kern w:val="0"/>
          <w:sz w:val="32"/>
          <w:szCs w:val="32"/>
        </w:rPr>
        <w:t>排水项目包括</w:t>
      </w:r>
      <w:r>
        <w:rPr>
          <w:rFonts w:eastAsia="仿宋_GB2312"/>
          <w:kern w:val="0"/>
          <w:sz w:val="32"/>
          <w:szCs w:val="32"/>
        </w:rPr>
        <w:t>13</w:t>
      </w:r>
      <w:r>
        <w:rPr>
          <w:rFonts w:hint="eastAsia" w:eastAsia="仿宋_GB2312"/>
          <w:kern w:val="0"/>
          <w:sz w:val="32"/>
          <w:szCs w:val="32"/>
        </w:rPr>
        <w:t>座乡镇排水项目</w:t>
      </w:r>
      <w:r>
        <w:rPr>
          <w:rFonts w:eastAsia="仿宋_GB2312"/>
          <w:kern w:val="0"/>
          <w:sz w:val="32"/>
          <w:szCs w:val="32"/>
        </w:rPr>
        <w:t>、</w:t>
      </w:r>
      <w:r>
        <w:rPr>
          <w:rFonts w:hint="eastAsia" w:eastAsia="仿宋_GB2312"/>
          <w:kern w:val="0"/>
          <w:sz w:val="32"/>
          <w:szCs w:val="32"/>
        </w:rPr>
        <w:t>2座园区排水项目（新市工业园、新市物流园）</w:t>
      </w:r>
      <w:r>
        <w:rPr>
          <w:rFonts w:eastAsia="仿宋_GB2312"/>
          <w:kern w:val="0"/>
          <w:sz w:val="32"/>
          <w:szCs w:val="32"/>
        </w:rPr>
        <w:t>。</w:t>
      </w:r>
    </w:p>
    <w:p>
      <w:pPr>
        <w:adjustRightInd w:val="0"/>
        <w:snapToGrid w:val="0"/>
        <w:spacing w:line="64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．保证存量项目正常运行，新建项目按计划建设。</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40" w:lineRule="exact"/>
        <w:ind w:firstLine="720"/>
        <w:rPr>
          <w:rFonts w:ascii="仿宋" w:hAnsi="仿宋" w:eastAsia="仿宋"/>
          <w:color w:val="FF0000"/>
          <w:sz w:val="32"/>
          <w:szCs w:val="32"/>
          <w:lang w:val="zh-CN"/>
        </w:rPr>
      </w:pPr>
      <w:r>
        <w:rPr>
          <w:rFonts w:hint="eastAsia" w:ascii="仿宋" w:hAnsi="仿宋" w:eastAsia="仿宋"/>
          <w:sz w:val="32"/>
          <w:szCs w:val="32"/>
          <w:lang w:val="zh-CN"/>
        </w:rPr>
        <w:t>由我局开展财政资金使用情况自评并撰写部门预算支出绩效报告，按规范格式按时提交自评报告。</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（一）资金计划、到位及使用情况。</w:t>
      </w:r>
    </w:p>
    <w:p>
      <w:pPr>
        <w:adjustRightInd w:val="0"/>
        <w:snapToGrid w:val="0"/>
        <w:spacing w:line="6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2</w:t>
      </w:r>
      <w:r>
        <w:rPr>
          <w:rFonts w:ascii="仿宋" w:hAnsi="仿宋" w:eastAsia="仿宋" w:cs="仿宋"/>
          <w:sz w:val="32"/>
          <w:szCs w:val="32"/>
          <w:lang w:val="zh-CN"/>
        </w:rPr>
        <w:t>021</w:t>
      </w:r>
      <w:r>
        <w:rPr>
          <w:rFonts w:hint="eastAsia" w:ascii="仿宋" w:hAnsi="仿宋" w:eastAsia="仿宋" w:cs="仿宋"/>
          <w:sz w:val="32"/>
          <w:szCs w:val="32"/>
          <w:lang w:val="zh-CN"/>
        </w:rPr>
        <w:t>年拨付全年可行性缺口补助9</w:t>
      </w:r>
      <w:r>
        <w:rPr>
          <w:rFonts w:ascii="仿宋" w:hAnsi="仿宋" w:eastAsia="仿宋" w:cs="仿宋"/>
          <w:sz w:val="32"/>
          <w:szCs w:val="32"/>
          <w:lang w:val="zh-CN"/>
        </w:rPr>
        <w:t>576.00</w:t>
      </w:r>
      <w:r>
        <w:rPr>
          <w:rFonts w:hint="eastAsia" w:ascii="仿宋" w:hAnsi="仿宋" w:eastAsia="仿宋" w:cs="仿宋"/>
          <w:sz w:val="32"/>
          <w:szCs w:val="32"/>
          <w:lang w:val="zh-CN"/>
        </w:rPr>
        <w:t>万元，</w:t>
      </w:r>
      <w:r>
        <w:rPr>
          <w:rFonts w:hint="eastAsia" w:ascii="仿宋" w:hAnsi="仿宋" w:eastAsia="仿宋" w:cs="仿宋"/>
          <w:sz w:val="32"/>
          <w:szCs w:val="32"/>
        </w:rPr>
        <w:t>资金到位率100%，</w:t>
      </w:r>
      <w:r>
        <w:rPr>
          <w:rFonts w:hint="eastAsia" w:ascii="仿宋" w:hAnsi="仿宋" w:eastAsia="仿宋" w:cs="仿宋"/>
          <w:sz w:val="32"/>
          <w:szCs w:val="32"/>
          <w:lang w:val="zh-CN"/>
        </w:rPr>
        <w:t>到位及时性</w:t>
      </w:r>
      <w:r>
        <w:rPr>
          <w:rFonts w:hint="eastAsia" w:ascii="仿宋" w:hAnsi="仿宋" w:eastAsia="仿宋" w:cs="仿宋"/>
          <w:sz w:val="32"/>
          <w:szCs w:val="32"/>
        </w:rPr>
        <w:t>100%，拨付率100%。项目</w:t>
      </w:r>
      <w:r>
        <w:rPr>
          <w:rFonts w:hint="eastAsia" w:ascii="仿宋" w:hAnsi="仿宋" w:eastAsia="仿宋" w:cs="仿宋"/>
          <w:sz w:val="32"/>
          <w:szCs w:val="32"/>
          <w:lang w:val="zh-CN"/>
        </w:rPr>
        <w:t>使用符合资金管理办法等相关规定，资金支付范围、支付标准、支付进度合规合法、与预算相符。</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640" w:lineRule="exact"/>
        <w:ind w:firstLine="720"/>
        <w:rPr>
          <w:rFonts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对2</w:t>
      </w:r>
      <w:r>
        <w:rPr>
          <w:rFonts w:ascii="仿宋_GB2312" w:hAnsi="宋体" w:eastAsia="仿宋_GB2312"/>
          <w:sz w:val="32"/>
          <w:szCs w:val="32"/>
          <w:lang w:val="zh-CN"/>
        </w:rPr>
        <w:t>021</w:t>
      </w:r>
      <w:r>
        <w:rPr>
          <w:rFonts w:hint="eastAsia" w:ascii="仿宋_GB2312" w:hAnsi="宋体" w:eastAsia="仿宋_GB2312"/>
          <w:sz w:val="32"/>
          <w:szCs w:val="32"/>
          <w:lang w:val="zh-CN"/>
        </w:rPr>
        <w:t>年</w:t>
      </w:r>
      <w:r>
        <w:rPr>
          <w:rFonts w:hint="eastAsia" w:ascii="仿宋_GB2312" w:hAnsi="宋体" w:eastAsia="仿宋_GB2312"/>
          <w:sz w:val="32"/>
          <w:szCs w:val="32"/>
        </w:rPr>
        <w:t>绵竹城乡供排水一体化PPP项目进行绩效评价工作。</w:t>
      </w:r>
    </w:p>
    <w:p>
      <w:pPr>
        <w:adjustRightInd w:val="0"/>
        <w:snapToGrid w:val="0"/>
        <w:spacing w:line="64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完成供排水项目自有资金、融资成本及运营成本补助工作。</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向绵竹市民提供饮用水，保证社会的安定团结，从而促进经济发展，为绵竹经济增长创造条件。每年减少向附近水体的排污量，改善了生态环境，涵养了水质，保护了绵竹市水域。</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4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实际完成率、完成及时率均达到或超过绩效目标，质量达标率良好，产出成本可控，项目管理工作规范，社会效益良好，项目可持续性强。评价定级为“</w:t>
      </w:r>
      <w:r>
        <w:rPr>
          <w:rFonts w:hint="eastAsia" w:ascii="仿宋" w:hAnsi="仿宋" w:eastAsia="仿宋" w:cs="仿宋"/>
          <w:sz w:val="32"/>
          <w:szCs w:val="32"/>
        </w:rPr>
        <w:t>优</w:t>
      </w:r>
      <w:r>
        <w:rPr>
          <w:rFonts w:hint="eastAsia" w:ascii="仿宋" w:hAnsi="仿宋" w:eastAsia="仿宋" w:cs="仿宋"/>
          <w:sz w:val="32"/>
          <w:szCs w:val="32"/>
          <w:lang w:val="zh-CN"/>
        </w:rPr>
        <w:t>”。</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ascii="仿宋_GB2312" w:hAnsi="宋体" w:eastAsia="仿宋_GB2312"/>
          <w:sz w:val="32"/>
          <w:szCs w:val="32"/>
          <w:lang w:val="zh-CN"/>
        </w:rPr>
        <w:tab/>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10980" w:type="dxa"/>
        <w:jc w:val="center"/>
        <w:tblLayout w:type="autofit"/>
        <w:tblCellMar>
          <w:top w:w="0" w:type="dxa"/>
          <w:left w:w="108" w:type="dxa"/>
          <w:bottom w:w="0" w:type="dxa"/>
          <w:right w:w="108" w:type="dxa"/>
        </w:tblCellMar>
      </w:tblPr>
      <w:tblGrid>
        <w:gridCol w:w="953"/>
        <w:gridCol w:w="891"/>
        <w:gridCol w:w="992"/>
        <w:gridCol w:w="1177"/>
        <w:gridCol w:w="1720"/>
        <w:gridCol w:w="2740"/>
        <w:gridCol w:w="2507"/>
      </w:tblGrid>
      <w:tr>
        <w:tblPrEx>
          <w:tblCellMar>
            <w:top w:w="0" w:type="dxa"/>
            <w:left w:w="108" w:type="dxa"/>
            <w:bottom w:w="0" w:type="dxa"/>
            <w:right w:w="108" w:type="dxa"/>
          </w:tblCellMar>
        </w:tblPrEx>
        <w:trPr>
          <w:trHeight w:val="405" w:hRule="atLeast"/>
          <w:jc w:val="center"/>
        </w:trPr>
        <w:tc>
          <w:tcPr>
            <w:tcW w:w="1098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1098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953"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891"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nil"/>
              <w:right w:val="nil"/>
            </w:tcBorders>
            <w:shd w:val="clear" w:color="auto" w:fill="auto"/>
            <w:vAlign w:val="center"/>
          </w:tcPr>
          <w:p>
            <w:pPr>
              <w:widowControl/>
              <w:jc w:val="left"/>
              <w:rPr>
                <w:rFonts w:ascii="宋体" w:hAnsi="宋体" w:cs="宋体"/>
                <w:kern w:val="0"/>
                <w:sz w:val="16"/>
                <w:szCs w:val="16"/>
              </w:rPr>
            </w:pPr>
          </w:p>
        </w:tc>
        <w:tc>
          <w:tcPr>
            <w:tcW w:w="1177"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72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74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507"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28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项目名称</w:t>
            </w:r>
          </w:p>
        </w:tc>
        <w:tc>
          <w:tcPr>
            <w:tcW w:w="814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PPP项目可行性补助</w:t>
            </w:r>
          </w:p>
        </w:tc>
      </w:tr>
      <w:tr>
        <w:tblPrEx>
          <w:tblCellMar>
            <w:top w:w="0" w:type="dxa"/>
            <w:left w:w="108" w:type="dxa"/>
            <w:bottom w:w="0" w:type="dxa"/>
            <w:right w:w="108" w:type="dxa"/>
          </w:tblCellMar>
        </w:tblPrEx>
        <w:trPr>
          <w:trHeight w:val="270" w:hRule="atLeast"/>
          <w:jc w:val="center"/>
        </w:trPr>
        <w:tc>
          <w:tcPr>
            <w:tcW w:w="2836"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预算单位</w:t>
            </w:r>
          </w:p>
        </w:tc>
        <w:tc>
          <w:tcPr>
            <w:tcW w:w="814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市住建局</w:t>
            </w:r>
          </w:p>
        </w:tc>
      </w:tr>
      <w:tr>
        <w:tblPrEx>
          <w:tblCellMar>
            <w:top w:w="0" w:type="dxa"/>
            <w:left w:w="108" w:type="dxa"/>
            <w:bottom w:w="0" w:type="dxa"/>
            <w:right w:w="108" w:type="dxa"/>
          </w:tblCellMar>
        </w:tblPrEx>
        <w:trPr>
          <w:trHeight w:val="270" w:hRule="atLeast"/>
          <w:jc w:val="center"/>
        </w:trPr>
        <w:tc>
          <w:tcPr>
            <w:tcW w:w="9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预算执行</w:t>
            </w:r>
            <w:r>
              <w:rPr>
                <w:rFonts w:hint="eastAsia" w:ascii="宋体" w:hAnsi="宋体" w:cs="宋体"/>
                <w:kern w:val="0"/>
                <w:sz w:val="16"/>
                <w:szCs w:val="16"/>
              </w:rPr>
              <w:br w:type="textWrapping"/>
            </w:r>
            <w:r>
              <w:rPr>
                <w:rFonts w:hint="eastAsia" w:ascii="宋体" w:hAnsi="宋体" w:cs="宋体"/>
                <w:kern w:val="0"/>
                <w:sz w:val="16"/>
                <w:szCs w:val="16"/>
              </w:rPr>
              <w:t>情况</w:t>
            </w:r>
            <w:r>
              <w:rPr>
                <w:rFonts w:hint="eastAsia" w:ascii="宋体" w:hAnsi="宋体" w:cs="宋体"/>
                <w:kern w:val="0"/>
                <w:sz w:val="16"/>
                <w:szCs w:val="16"/>
              </w:rPr>
              <w:br w:type="textWrapping"/>
            </w:r>
            <w:r>
              <w:rPr>
                <w:rFonts w:hint="eastAsia" w:ascii="宋体" w:hAnsi="宋体" w:cs="宋体"/>
                <w:kern w:val="0"/>
                <w:sz w:val="16"/>
                <w:szCs w:val="16"/>
              </w:rPr>
              <w:t>（万元）</w:t>
            </w:r>
          </w:p>
        </w:tc>
        <w:tc>
          <w:tcPr>
            <w:tcW w:w="18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xml:space="preserve"> 预算数：</w:t>
            </w:r>
          </w:p>
        </w:tc>
        <w:tc>
          <w:tcPr>
            <w:tcW w:w="289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9756万元</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xml:space="preserve"> 执行数：</w:t>
            </w:r>
          </w:p>
        </w:tc>
        <w:tc>
          <w:tcPr>
            <w:tcW w:w="2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9756万元</w:t>
            </w:r>
          </w:p>
        </w:tc>
      </w:tr>
      <w:tr>
        <w:tblPrEx>
          <w:tblCellMar>
            <w:top w:w="0" w:type="dxa"/>
            <w:left w:w="108" w:type="dxa"/>
            <w:bottom w:w="0" w:type="dxa"/>
            <w:right w:w="108" w:type="dxa"/>
          </w:tblCellMar>
        </w:tblPrEx>
        <w:trPr>
          <w:trHeight w:val="300" w:hRule="atLeast"/>
          <w:jc w:val="center"/>
        </w:trPr>
        <w:tc>
          <w:tcPr>
            <w:tcW w:w="9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8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其中：财政拨款</w:t>
            </w:r>
          </w:p>
        </w:tc>
        <w:tc>
          <w:tcPr>
            <w:tcW w:w="289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9756万元</w:t>
            </w:r>
          </w:p>
        </w:tc>
        <w:tc>
          <w:tcPr>
            <w:tcW w:w="27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其中：财政拨款</w:t>
            </w:r>
          </w:p>
        </w:tc>
        <w:tc>
          <w:tcPr>
            <w:tcW w:w="2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9756万元</w:t>
            </w:r>
          </w:p>
        </w:tc>
      </w:tr>
      <w:tr>
        <w:tblPrEx>
          <w:tblCellMar>
            <w:top w:w="0" w:type="dxa"/>
            <w:left w:w="108" w:type="dxa"/>
            <w:bottom w:w="0" w:type="dxa"/>
            <w:right w:w="108" w:type="dxa"/>
          </w:tblCellMar>
        </w:tblPrEx>
        <w:trPr>
          <w:trHeight w:val="255" w:hRule="atLeast"/>
          <w:jc w:val="center"/>
        </w:trPr>
        <w:tc>
          <w:tcPr>
            <w:tcW w:w="9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1883"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其他资金</w:t>
            </w:r>
          </w:p>
        </w:tc>
        <w:tc>
          <w:tcPr>
            <w:tcW w:w="289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c>
          <w:tcPr>
            <w:tcW w:w="274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16"/>
                <w:szCs w:val="16"/>
              </w:rPr>
            </w:pPr>
            <w:r>
              <w:rPr>
                <w:rFonts w:hint="eastAsia" w:ascii="宋体" w:hAnsi="宋体" w:cs="宋体"/>
                <w:kern w:val="0"/>
                <w:sz w:val="16"/>
                <w:szCs w:val="16"/>
              </w:rPr>
              <w:t>其他资金</w:t>
            </w:r>
          </w:p>
        </w:tc>
        <w:tc>
          <w:tcPr>
            <w:tcW w:w="2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0</w:t>
            </w:r>
          </w:p>
        </w:tc>
      </w:tr>
      <w:tr>
        <w:tblPrEx>
          <w:tblCellMar>
            <w:top w:w="0" w:type="dxa"/>
            <w:left w:w="108" w:type="dxa"/>
            <w:bottom w:w="0" w:type="dxa"/>
            <w:right w:w="108" w:type="dxa"/>
          </w:tblCellMar>
        </w:tblPrEx>
        <w:trPr>
          <w:trHeight w:val="270" w:hRule="atLeast"/>
          <w:jc w:val="center"/>
        </w:trPr>
        <w:tc>
          <w:tcPr>
            <w:tcW w:w="953"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年度目标</w:t>
            </w:r>
            <w:r>
              <w:rPr>
                <w:rFonts w:hint="eastAsia" w:ascii="宋体" w:hAnsi="宋体" w:cs="宋体"/>
                <w:kern w:val="0"/>
                <w:sz w:val="16"/>
                <w:szCs w:val="16"/>
              </w:rPr>
              <w:br w:type="textWrapping"/>
            </w:r>
            <w:r>
              <w:rPr>
                <w:rFonts w:hint="eastAsia" w:ascii="宋体" w:hAnsi="宋体" w:cs="宋体"/>
                <w:kern w:val="0"/>
                <w:sz w:val="16"/>
                <w:szCs w:val="16"/>
              </w:rPr>
              <w:t>完成情况</w:t>
            </w:r>
          </w:p>
        </w:tc>
        <w:tc>
          <w:tcPr>
            <w:tcW w:w="47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预期目标</w:t>
            </w:r>
          </w:p>
        </w:tc>
        <w:tc>
          <w:tcPr>
            <w:tcW w:w="524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实际完成目标</w:t>
            </w:r>
          </w:p>
        </w:tc>
      </w:tr>
      <w:tr>
        <w:tblPrEx>
          <w:tblCellMar>
            <w:top w:w="0" w:type="dxa"/>
            <w:left w:w="108" w:type="dxa"/>
            <w:bottom w:w="0" w:type="dxa"/>
            <w:right w:w="108" w:type="dxa"/>
          </w:tblCellMar>
        </w:tblPrEx>
        <w:trPr>
          <w:trHeight w:val="405" w:hRule="atLeast"/>
          <w:jc w:val="center"/>
        </w:trPr>
        <w:tc>
          <w:tcPr>
            <w:tcW w:w="9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47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确保供排水设施正常运行。</w:t>
            </w:r>
          </w:p>
        </w:tc>
        <w:tc>
          <w:tcPr>
            <w:tcW w:w="524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确保供排水设施正常运行。</w:t>
            </w:r>
          </w:p>
        </w:tc>
      </w:tr>
      <w:tr>
        <w:tblPrEx>
          <w:tblCellMar>
            <w:top w:w="0" w:type="dxa"/>
            <w:left w:w="108" w:type="dxa"/>
            <w:bottom w:w="0" w:type="dxa"/>
            <w:right w:w="108" w:type="dxa"/>
          </w:tblCellMar>
        </w:tblPrEx>
        <w:trPr>
          <w:trHeight w:val="270" w:hRule="atLeast"/>
          <w:jc w:val="center"/>
        </w:trPr>
        <w:tc>
          <w:tcPr>
            <w:tcW w:w="953"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年度</w:t>
            </w:r>
            <w:r>
              <w:rPr>
                <w:rFonts w:hint="eastAsia" w:ascii="宋体" w:hAnsi="宋体" w:cs="宋体"/>
                <w:kern w:val="0"/>
                <w:sz w:val="16"/>
                <w:szCs w:val="16"/>
              </w:rPr>
              <w:br w:type="textWrapping"/>
            </w:r>
            <w:r>
              <w:rPr>
                <w:rFonts w:hint="eastAsia" w:ascii="宋体" w:hAnsi="宋体" w:cs="宋体"/>
                <w:kern w:val="0"/>
                <w:sz w:val="16"/>
                <w:szCs w:val="16"/>
              </w:rPr>
              <w:t>绩效</w:t>
            </w:r>
            <w:r>
              <w:rPr>
                <w:rFonts w:hint="eastAsia" w:ascii="宋体" w:hAnsi="宋体" w:cs="宋体"/>
                <w:kern w:val="0"/>
                <w:sz w:val="16"/>
                <w:szCs w:val="16"/>
              </w:rPr>
              <w:br w:type="textWrapping"/>
            </w:r>
            <w:r>
              <w:rPr>
                <w:rFonts w:hint="eastAsia" w:ascii="宋体" w:hAnsi="宋体" w:cs="宋体"/>
                <w:kern w:val="0"/>
                <w:sz w:val="16"/>
                <w:szCs w:val="16"/>
              </w:rPr>
              <w:t>指标</w:t>
            </w:r>
            <w:r>
              <w:rPr>
                <w:rFonts w:hint="eastAsia" w:ascii="宋体" w:hAnsi="宋体" w:cs="宋体"/>
                <w:kern w:val="0"/>
                <w:sz w:val="16"/>
                <w:szCs w:val="16"/>
              </w:rPr>
              <w:br w:type="textWrapping"/>
            </w:r>
            <w:r>
              <w:rPr>
                <w:rFonts w:hint="eastAsia" w:ascii="宋体" w:hAnsi="宋体" w:cs="宋体"/>
                <w:kern w:val="0"/>
                <w:sz w:val="16"/>
                <w:szCs w:val="16"/>
              </w:rPr>
              <w:t>完成</w:t>
            </w:r>
            <w:r>
              <w:rPr>
                <w:rFonts w:hint="eastAsia" w:ascii="宋体" w:hAnsi="宋体" w:cs="宋体"/>
                <w:kern w:val="0"/>
                <w:sz w:val="16"/>
                <w:szCs w:val="16"/>
              </w:rPr>
              <w:br w:type="textWrapping"/>
            </w:r>
            <w:r>
              <w:rPr>
                <w:rFonts w:hint="eastAsia" w:ascii="宋体" w:hAnsi="宋体" w:cs="宋体"/>
                <w:kern w:val="0"/>
                <w:sz w:val="16"/>
                <w:szCs w:val="16"/>
              </w:rPr>
              <w:t>情况</w:t>
            </w:r>
          </w:p>
        </w:tc>
        <w:tc>
          <w:tcPr>
            <w:tcW w:w="891"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一级指标</w:t>
            </w:r>
          </w:p>
        </w:tc>
        <w:tc>
          <w:tcPr>
            <w:tcW w:w="99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二级指标</w:t>
            </w:r>
          </w:p>
        </w:tc>
        <w:tc>
          <w:tcPr>
            <w:tcW w:w="28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三级指标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xml:space="preserve">预期指标值 </w:t>
            </w:r>
            <w:r>
              <w:rPr>
                <w:rFonts w:ascii="宋体" w:hAnsi="宋体" w:cs="宋体"/>
                <w:kern w:val="0"/>
                <w:sz w:val="16"/>
                <w:szCs w:val="16"/>
              </w:rPr>
              <w:t xml:space="preserve">                   </w:t>
            </w:r>
            <w:r>
              <w:rPr>
                <w:rFonts w:hint="eastAsia" w:ascii="宋体" w:hAnsi="宋体" w:cs="宋体"/>
                <w:kern w:val="0"/>
                <w:sz w:val="16"/>
                <w:szCs w:val="16"/>
              </w:rPr>
              <w:t>（包含数字及文字描述）</w:t>
            </w:r>
          </w:p>
        </w:tc>
        <w:tc>
          <w:tcPr>
            <w:tcW w:w="250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xml:space="preserve">实际完成指标值 </w:t>
            </w:r>
            <w:r>
              <w:rPr>
                <w:rFonts w:ascii="宋体" w:hAnsi="宋体" w:cs="宋体"/>
                <w:kern w:val="0"/>
                <w:sz w:val="16"/>
                <w:szCs w:val="16"/>
              </w:rPr>
              <w:t xml:space="preserve">               </w:t>
            </w:r>
            <w:r>
              <w:rPr>
                <w:rFonts w:hint="eastAsia" w:ascii="宋体" w:hAnsi="宋体" w:cs="宋体"/>
                <w:kern w:val="0"/>
                <w:sz w:val="16"/>
                <w:szCs w:val="16"/>
              </w:rPr>
              <w:t>（包含数字及文字描述）</w:t>
            </w:r>
          </w:p>
        </w:tc>
      </w:tr>
      <w:tr>
        <w:tblPrEx>
          <w:tblCellMar>
            <w:top w:w="0" w:type="dxa"/>
            <w:left w:w="108" w:type="dxa"/>
            <w:bottom w:w="0" w:type="dxa"/>
            <w:right w:w="108" w:type="dxa"/>
          </w:tblCellMar>
        </w:tblPrEx>
        <w:trPr>
          <w:trHeight w:val="480" w:hRule="atLeast"/>
          <w:jc w:val="center"/>
        </w:trPr>
        <w:tc>
          <w:tcPr>
            <w:tcW w:w="95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16"/>
                <w:szCs w:val="16"/>
              </w:rPr>
            </w:pPr>
          </w:p>
        </w:tc>
        <w:tc>
          <w:tcPr>
            <w:tcW w:w="89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项目完成指标</w:t>
            </w:r>
          </w:p>
        </w:tc>
        <w:tc>
          <w:tcPr>
            <w:tcW w:w="992"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数量指标</w:t>
            </w:r>
          </w:p>
        </w:tc>
        <w:tc>
          <w:tcPr>
            <w:tcW w:w="289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供水项目自有资金补助完成投资</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11000万元</w:t>
            </w:r>
          </w:p>
        </w:tc>
        <w:tc>
          <w:tcPr>
            <w:tcW w:w="25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完成供水项目11000万自有资金补助1401.96万元</w:t>
            </w:r>
          </w:p>
        </w:tc>
      </w:tr>
      <w:tr>
        <w:tblPrEx>
          <w:tblCellMar>
            <w:top w:w="0" w:type="dxa"/>
            <w:left w:w="108" w:type="dxa"/>
            <w:bottom w:w="0" w:type="dxa"/>
            <w:right w:w="108" w:type="dxa"/>
          </w:tblCellMar>
        </w:tblPrEx>
        <w:trPr>
          <w:trHeight w:val="480" w:hRule="atLeast"/>
          <w:jc w:val="center"/>
        </w:trPr>
        <w:tc>
          <w:tcPr>
            <w:tcW w:w="95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16"/>
                <w:szCs w:val="16"/>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6"/>
                <w:szCs w:val="16"/>
              </w:rPr>
            </w:pPr>
          </w:p>
        </w:tc>
        <w:tc>
          <w:tcPr>
            <w:tcW w:w="289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供水项目融资成本补助ABS融资</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ABS融资16500万元</w:t>
            </w:r>
          </w:p>
        </w:tc>
        <w:tc>
          <w:tcPr>
            <w:tcW w:w="25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完成供水项目融资成本补助1433.19万元</w:t>
            </w:r>
          </w:p>
        </w:tc>
      </w:tr>
      <w:tr>
        <w:tblPrEx>
          <w:tblCellMar>
            <w:top w:w="0" w:type="dxa"/>
            <w:left w:w="108" w:type="dxa"/>
            <w:bottom w:w="0" w:type="dxa"/>
            <w:right w:w="108" w:type="dxa"/>
          </w:tblCellMar>
        </w:tblPrEx>
        <w:trPr>
          <w:trHeight w:val="480" w:hRule="atLeast"/>
          <w:jc w:val="center"/>
        </w:trPr>
        <w:tc>
          <w:tcPr>
            <w:tcW w:w="95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16"/>
                <w:szCs w:val="16"/>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6"/>
                <w:szCs w:val="16"/>
              </w:rPr>
            </w:pPr>
          </w:p>
        </w:tc>
        <w:tc>
          <w:tcPr>
            <w:tcW w:w="289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供水项目运营成本补助，包括城市供水、所有镇乡供水厂及管网的正常运维</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包括城市供水、所有镇乡供水厂及管网的正常运维</w:t>
            </w:r>
          </w:p>
        </w:tc>
        <w:tc>
          <w:tcPr>
            <w:tcW w:w="25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城市供水、所有镇乡供水厂及管网正常运维</w:t>
            </w:r>
          </w:p>
        </w:tc>
      </w:tr>
      <w:tr>
        <w:tblPrEx>
          <w:tblCellMar>
            <w:top w:w="0" w:type="dxa"/>
            <w:left w:w="108" w:type="dxa"/>
            <w:bottom w:w="0" w:type="dxa"/>
            <w:right w:w="108" w:type="dxa"/>
          </w:tblCellMar>
        </w:tblPrEx>
        <w:trPr>
          <w:trHeight w:val="517" w:hRule="atLeast"/>
          <w:jc w:val="center"/>
        </w:trPr>
        <w:tc>
          <w:tcPr>
            <w:tcW w:w="95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16"/>
                <w:szCs w:val="16"/>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6"/>
                <w:szCs w:val="16"/>
              </w:rPr>
            </w:pPr>
          </w:p>
        </w:tc>
        <w:tc>
          <w:tcPr>
            <w:tcW w:w="289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排水项目自有资金补助完成投资</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11999.88万元</w:t>
            </w:r>
          </w:p>
        </w:tc>
        <w:tc>
          <w:tcPr>
            <w:tcW w:w="25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完成排水项目11999.88万自有资金补助1491.68万元</w:t>
            </w:r>
          </w:p>
        </w:tc>
      </w:tr>
      <w:tr>
        <w:tblPrEx>
          <w:tblCellMar>
            <w:top w:w="0" w:type="dxa"/>
            <w:left w:w="108" w:type="dxa"/>
            <w:bottom w:w="0" w:type="dxa"/>
            <w:right w:w="108" w:type="dxa"/>
          </w:tblCellMar>
        </w:tblPrEx>
        <w:trPr>
          <w:trHeight w:val="480" w:hRule="atLeast"/>
          <w:jc w:val="center"/>
        </w:trPr>
        <w:tc>
          <w:tcPr>
            <w:tcW w:w="95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16"/>
                <w:szCs w:val="16"/>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6"/>
                <w:szCs w:val="16"/>
              </w:rPr>
            </w:pPr>
          </w:p>
        </w:tc>
        <w:tc>
          <w:tcPr>
            <w:tcW w:w="289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排水项目融资成本补助ABS融资和银行融资</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ABS融资4500万元，银行融资15700万元</w:t>
            </w:r>
          </w:p>
        </w:tc>
        <w:tc>
          <w:tcPr>
            <w:tcW w:w="25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完成排水项目融资成本补助2222.54万元</w:t>
            </w:r>
          </w:p>
        </w:tc>
      </w:tr>
      <w:tr>
        <w:tblPrEx>
          <w:tblCellMar>
            <w:top w:w="0" w:type="dxa"/>
            <w:left w:w="108" w:type="dxa"/>
            <w:bottom w:w="0" w:type="dxa"/>
            <w:right w:w="108" w:type="dxa"/>
          </w:tblCellMar>
        </w:tblPrEx>
        <w:trPr>
          <w:trHeight w:val="975" w:hRule="atLeast"/>
          <w:jc w:val="center"/>
        </w:trPr>
        <w:tc>
          <w:tcPr>
            <w:tcW w:w="95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16"/>
                <w:szCs w:val="16"/>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992"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16"/>
                <w:szCs w:val="16"/>
              </w:rPr>
            </w:pPr>
          </w:p>
        </w:tc>
        <w:tc>
          <w:tcPr>
            <w:tcW w:w="289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排水项目运营成本补助，包括江苏工业园污水处理厂、新市工业园、新市物流园、汉旺、新市、遵道、富新等镇乡污水处理厂的运维</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包括江苏工业园污水处理厂、新市工业园、新市物流园、汉旺、新市、遵道、富新等镇乡污水处理厂的运维</w:t>
            </w:r>
          </w:p>
        </w:tc>
        <w:tc>
          <w:tcPr>
            <w:tcW w:w="25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江苏工业园污水处理厂、新市工业园、新市物流园、汉旺、新市、遵道、富新等镇乡污水处理厂正常运维</w:t>
            </w:r>
          </w:p>
        </w:tc>
      </w:tr>
      <w:tr>
        <w:tblPrEx>
          <w:tblCellMar>
            <w:top w:w="0" w:type="dxa"/>
            <w:left w:w="108" w:type="dxa"/>
            <w:bottom w:w="0" w:type="dxa"/>
            <w:right w:w="108" w:type="dxa"/>
          </w:tblCellMar>
        </w:tblPrEx>
        <w:trPr>
          <w:trHeight w:val="360" w:hRule="atLeast"/>
          <w:jc w:val="center"/>
        </w:trPr>
        <w:tc>
          <w:tcPr>
            <w:tcW w:w="95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16"/>
                <w:szCs w:val="16"/>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992"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质量指标</w:t>
            </w:r>
          </w:p>
        </w:tc>
        <w:tc>
          <w:tcPr>
            <w:tcW w:w="28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质量指标</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水质合格率</w:t>
            </w:r>
          </w:p>
        </w:tc>
        <w:tc>
          <w:tcPr>
            <w:tcW w:w="25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≥90%</w:t>
            </w:r>
          </w:p>
        </w:tc>
      </w:tr>
      <w:tr>
        <w:tblPrEx>
          <w:tblCellMar>
            <w:top w:w="0" w:type="dxa"/>
            <w:left w:w="108" w:type="dxa"/>
            <w:bottom w:w="0" w:type="dxa"/>
            <w:right w:w="108" w:type="dxa"/>
          </w:tblCellMar>
        </w:tblPrEx>
        <w:trPr>
          <w:trHeight w:val="345" w:hRule="atLeast"/>
          <w:jc w:val="center"/>
        </w:trPr>
        <w:tc>
          <w:tcPr>
            <w:tcW w:w="95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16"/>
                <w:szCs w:val="16"/>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992"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时效指标</w:t>
            </w:r>
          </w:p>
        </w:tc>
        <w:tc>
          <w:tcPr>
            <w:tcW w:w="28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完成时间</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2021年</w:t>
            </w:r>
          </w:p>
        </w:tc>
        <w:tc>
          <w:tcPr>
            <w:tcW w:w="25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2021年</w:t>
            </w:r>
          </w:p>
        </w:tc>
      </w:tr>
      <w:tr>
        <w:tblPrEx>
          <w:tblCellMar>
            <w:top w:w="0" w:type="dxa"/>
            <w:left w:w="108" w:type="dxa"/>
            <w:bottom w:w="0" w:type="dxa"/>
            <w:right w:w="108" w:type="dxa"/>
          </w:tblCellMar>
        </w:tblPrEx>
        <w:trPr>
          <w:trHeight w:val="285" w:hRule="atLeast"/>
          <w:jc w:val="center"/>
        </w:trPr>
        <w:tc>
          <w:tcPr>
            <w:tcW w:w="95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16"/>
                <w:szCs w:val="16"/>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992"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成本指标</w:t>
            </w:r>
          </w:p>
        </w:tc>
        <w:tc>
          <w:tcPr>
            <w:tcW w:w="289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供水项目自有资金补助</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1401.96万元</w:t>
            </w:r>
          </w:p>
        </w:tc>
        <w:tc>
          <w:tcPr>
            <w:tcW w:w="25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1401.96万元</w:t>
            </w:r>
          </w:p>
        </w:tc>
      </w:tr>
      <w:tr>
        <w:tblPrEx>
          <w:tblCellMar>
            <w:top w:w="0" w:type="dxa"/>
            <w:left w:w="108" w:type="dxa"/>
            <w:bottom w:w="0" w:type="dxa"/>
            <w:right w:w="108" w:type="dxa"/>
          </w:tblCellMar>
        </w:tblPrEx>
        <w:trPr>
          <w:trHeight w:val="285" w:hRule="atLeast"/>
          <w:jc w:val="center"/>
        </w:trPr>
        <w:tc>
          <w:tcPr>
            <w:tcW w:w="95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16"/>
                <w:szCs w:val="16"/>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6"/>
                <w:szCs w:val="16"/>
              </w:rPr>
            </w:pPr>
          </w:p>
        </w:tc>
        <w:tc>
          <w:tcPr>
            <w:tcW w:w="289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供水项目融资成本补助</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1433.19万元</w:t>
            </w:r>
          </w:p>
        </w:tc>
        <w:tc>
          <w:tcPr>
            <w:tcW w:w="25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1433.19万元</w:t>
            </w:r>
          </w:p>
        </w:tc>
      </w:tr>
      <w:tr>
        <w:tblPrEx>
          <w:tblCellMar>
            <w:top w:w="0" w:type="dxa"/>
            <w:left w:w="108" w:type="dxa"/>
            <w:bottom w:w="0" w:type="dxa"/>
            <w:right w:w="108" w:type="dxa"/>
          </w:tblCellMar>
        </w:tblPrEx>
        <w:trPr>
          <w:trHeight w:val="285" w:hRule="atLeast"/>
          <w:jc w:val="center"/>
        </w:trPr>
        <w:tc>
          <w:tcPr>
            <w:tcW w:w="95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16"/>
                <w:szCs w:val="16"/>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6"/>
                <w:szCs w:val="16"/>
              </w:rPr>
            </w:pPr>
          </w:p>
        </w:tc>
        <w:tc>
          <w:tcPr>
            <w:tcW w:w="289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供水项目运营成本补助</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2093.85万元</w:t>
            </w:r>
          </w:p>
        </w:tc>
        <w:tc>
          <w:tcPr>
            <w:tcW w:w="25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2093.85万元</w:t>
            </w:r>
          </w:p>
        </w:tc>
      </w:tr>
      <w:tr>
        <w:tblPrEx>
          <w:tblCellMar>
            <w:top w:w="0" w:type="dxa"/>
            <w:left w:w="108" w:type="dxa"/>
            <w:bottom w:w="0" w:type="dxa"/>
            <w:right w:w="108" w:type="dxa"/>
          </w:tblCellMar>
        </w:tblPrEx>
        <w:trPr>
          <w:trHeight w:val="285" w:hRule="atLeast"/>
          <w:jc w:val="center"/>
        </w:trPr>
        <w:tc>
          <w:tcPr>
            <w:tcW w:w="95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16"/>
                <w:szCs w:val="16"/>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6"/>
                <w:szCs w:val="16"/>
              </w:rPr>
            </w:pPr>
          </w:p>
        </w:tc>
        <w:tc>
          <w:tcPr>
            <w:tcW w:w="289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排水项目自有资金补助</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1491.68万元</w:t>
            </w:r>
          </w:p>
        </w:tc>
        <w:tc>
          <w:tcPr>
            <w:tcW w:w="25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1491.68万元</w:t>
            </w:r>
          </w:p>
        </w:tc>
      </w:tr>
      <w:tr>
        <w:tblPrEx>
          <w:tblCellMar>
            <w:top w:w="0" w:type="dxa"/>
            <w:left w:w="108" w:type="dxa"/>
            <w:bottom w:w="0" w:type="dxa"/>
            <w:right w:w="108" w:type="dxa"/>
          </w:tblCellMar>
        </w:tblPrEx>
        <w:trPr>
          <w:trHeight w:val="285" w:hRule="atLeast"/>
          <w:jc w:val="center"/>
        </w:trPr>
        <w:tc>
          <w:tcPr>
            <w:tcW w:w="95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16"/>
                <w:szCs w:val="16"/>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6"/>
                <w:szCs w:val="16"/>
              </w:rPr>
            </w:pPr>
          </w:p>
        </w:tc>
        <w:tc>
          <w:tcPr>
            <w:tcW w:w="289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排水项目融资成本补助</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2222.54万元</w:t>
            </w:r>
          </w:p>
        </w:tc>
        <w:tc>
          <w:tcPr>
            <w:tcW w:w="25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2222.54万元</w:t>
            </w:r>
          </w:p>
        </w:tc>
      </w:tr>
      <w:tr>
        <w:tblPrEx>
          <w:tblCellMar>
            <w:top w:w="0" w:type="dxa"/>
            <w:left w:w="108" w:type="dxa"/>
            <w:bottom w:w="0" w:type="dxa"/>
            <w:right w:w="108" w:type="dxa"/>
          </w:tblCellMar>
        </w:tblPrEx>
        <w:trPr>
          <w:trHeight w:val="285" w:hRule="atLeast"/>
          <w:jc w:val="center"/>
        </w:trPr>
        <w:tc>
          <w:tcPr>
            <w:tcW w:w="95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16"/>
                <w:szCs w:val="16"/>
              </w:rPr>
            </w:pPr>
          </w:p>
        </w:tc>
        <w:tc>
          <w:tcPr>
            <w:tcW w:w="89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992"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16"/>
                <w:szCs w:val="16"/>
              </w:rPr>
            </w:pPr>
          </w:p>
        </w:tc>
        <w:tc>
          <w:tcPr>
            <w:tcW w:w="289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排水项目运营成本补助</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1112.78万元</w:t>
            </w:r>
          </w:p>
        </w:tc>
        <w:tc>
          <w:tcPr>
            <w:tcW w:w="25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1112.78万元</w:t>
            </w:r>
          </w:p>
        </w:tc>
      </w:tr>
      <w:tr>
        <w:tblPrEx>
          <w:tblCellMar>
            <w:top w:w="0" w:type="dxa"/>
            <w:left w:w="108" w:type="dxa"/>
            <w:bottom w:w="0" w:type="dxa"/>
            <w:right w:w="108" w:type="dxa"/>
          </w:tblCellMar>
        </w:tblPrEx>
        <w:trPr>
          <w:trHeight w:val="495" w:hRule="atLeast"/>
          <w:jc w:val="center"/>
        </w:trPr>
        <w:tc>
          <w:tcPr>
            <w:tcW w:w="95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16"/>
                <w:szCs w:val="16"/>
              </w:rPr>
            </w:pPr>
          </w:p>
        </w:tc>
        <w:tc>
          <w:tcPr>
            <w:tcW w:w="89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　</w:t>
            </w:r>
          </w:p>
        </w:tc>
        <w:tc>
          <w:tcPr>
            <w:tcW w:w="992"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社会效益</w:t>
            </w:r>
            <w:r>
              <w:rPr>
                <w:rFonts w:hint="eastAsia" w:ascii="宋体" w:hAnsi="宋体" w:cs="宋体"/>
                <w:kern w:val="0"/>
                <w:sz w:val="16"/>
                <w:szCs w:val="16"/>
              </w:rPr>
              <w:br w:type="textWrapping"/>
            </w:r>
            <w:r>
              <w:rPr>
                <w:rFonts w:hint="eastAsia" w:ascii="宋体" w:hAnsi="宋体" w:cs="宋体"/>
                <w:kern w:val="0"/>
                <w:sz w:val="16"/>
                <w:szCs w:val="16"/>
              </w:rPr>
              <w:t>指标</w:t>
            </w:r>
          </w:p>
        </w:tc>
        <w:tc>
          <w:tcPr>
            <w:tcW w:w="28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向绵竹市民提供饮用水</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lang w:eastAsia="zh-CN"/>
              </w:rPr>
              <w:t>保证</w:t>
            </w:r>
            <w:r>
              <w:rPr>
                <w:rFonts w:hint="eastAsia" w:ascii="宋体" w:hAnsi="宋体" w:cs="宋体"/>
                <w:kern w:val="0"/>
                <w:sz w:val="16"/>
                <w:szCs w:val="16"/>
              </w:rPr>
              <w:t>社会的安定团结，从而促进经济发展，为绵竹经济增长创造条件</w:t>
            </w:r>
          </w:p>
        </w:tc>
        <w:tc>
          <w:tcPr>
            <w:tcW w:w="25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lang w:eastAsia="zh-CN"/>
              </w:rPr>
              <w:t>保证</w:t>
            </w:r>
            <w:r>
              <w:rPr>
                <w:rFonts w:hint="eastAsia" w:ascii="宋体" w:hAnsi="宋体" w:cs="宋体"/>
                <w:kern w:val="0"/>
                <w:sz w:val="16"/>
                <w:szCs w:val="16"/>
              </w:rPr>
              <w:t>社会的安定团结，从而促进经济发展，为绵竹经济增长创造条件</w:t>
            </w:r>
          </w:p>
        </w:tc>
      </w:tr>
      <w:tr>
        <w:tblPrEx>
          <w:tblCellMar>
            <w:top w:w="0" w:type="dxa"/>
            <w:left w:w="108" w:type="dxa"/>
            <w:bottom w:w="0" w:type="dxa"/>
            <w:right w:w="108" w:type="dxa"/>
          </w:tblCellMar>
        </w:tblPrEx>
        <w:trPr>
          <w:trHeight w:val="420" w:hRule="atLeast"/>
          <w:jc w:val="center"/>
        </w:trPr>
        <w:tc>
          <w:tcPr>
            <w:tcW w:w="953"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16"/>
                <w:szCs w:val="16"/>
              </w:rPr>
            </w:pPr>
          </w:p>
        </w:tc>
        <w:tc>
          <w:tcPr>
            <w:tcW w:w="89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992"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生态效益</w:t>
            </w:r>
            <w:r>
              <w:rPr>
                <w:rFonts w:hint="eastAsia" w:ascii="宋体" w:hAnsi="宋体" w:cs="宋体"/>
                <w:kern w:val="0"/>
                <w:sz w:val="16"/>
                <w:szCs w:val="16"/>
              </w:rPr>
              <w:br w:type="textWrapping"/>
            </w:r>
            <w:r>
              <w:rPr>
                <w:rFonts w:hint="eastAsia" w:ascii="宋体" w:hAnsi="宋体" w:cs="宋体"/>
                <w:kern w:val="0"/>
                <w:sz w:val="16"/>
                <w:szCs w:val="16"/>
              </w:rPr>
              <w:t>指标</w:t>
            </w:r>
          </w:p>
        </w:tc>
        <w:tc>
          <w:tcPr>
            <w:tcW w:w="28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每年将减少向附近水体的排污量</w:t>
            </w:r>
          </w:p>
        </w:tc>
        <w:tc>
          <w:tcPr>
            <w:tcW w:w="2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改善了生态环境，涵养了水质，保护了绵竹市水域。</w:t>
            </w:r>
          </w:p>
        </w:tc>
        <w:tc>
          <w:tcPr>
            <w:tcW w:w="25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改善生态环境，涵养了水质，保护了绵竹市水域。</w:t>
            </w:r>
          </w:p>
        </w:tc>
      </w:tr>
      <w:tr>
        <w:tblPrEx>
          <w:tblCellMar>
            <w:top w:w="0" w:type="dxa"/>
            <w:left w:w="108" w:type="dxa"/>
            <w:bottom w:w="0" w:type="dxa"/>
            <w:right w:w="108" w:type="dxa"/>
          </w:tblCellMar>
        </w:tblPrEx>
        <w:trPr>
          <w:trHeight w:val="555" w:hRule="atLeast"/>
          <w:jc w:val="center"/>
        </w:trPr>
        <w:tc>
          <w:tcPr>
            <w:tcW w:w="953"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16"/>
                <w:szCs w:val="16"/>
              </w:rPr>
            </w:pPr>
          </w:p>
        </w:tc>
        <w:tc>
          <w:tcPr>
            <w:tcW w:w="89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满意度</w:t>
            </w:r>
            <w:r>
              <w:rPr>
                <w:rFonts w:hint="eastAsia" w:ascii="宋体" w:hAnsi="宋体" w:cs="宋体"/>
                <w:kern w:val="0"/>
                <w:sz w:val="16"/>
                <w:szCs w:val="16"/>
              </w:rPr>
              <w:br w:type="textWrapping"/>
            </w:r>
            <w:r>
              <w:rPr>
                <w:rFonts w:hint="eastAsia" w:ascii="宋体" w:hAnsi="宋体" w:cs="宋体"/>
                <w:kern w:val="0"/>
                <w:sz w:val="16"/>
                <w:szCs w:val="16"/>
              </w:rPr>
              <w:t>指标</w:t>
            </w:r>
          </w:p>
        </w:tc>
        <w:tc>
          <w:tcPr>
            <w:tcW w:w="99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满意度指标</w:t>
            </w:r>
          </w:p>
        </w:tc>
        <w:tc>
          <w:tcPr>
            <w:tcW w:w="289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 xml:space="preserve"> 用水户对供水水质满意度、污水排放达标率</w:t>
            </w:r>
          </w:p>
        </w:tc>
        <w:tc>
          <w:tcPr>
            <w:tcW w:w="2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16"/>
                <w:szCs w:val="16"/>
              </w:rPr>
            </w:pPr>
            <w:r>
              <w:rPr>
                <w:rFonts w:hint="eastAsia" w:ascii="宋体" w:hAnsi="宋体" w:cs="宋体"/>
                <w:kern w:val="0"/>
                <w:sz w:val="16"/>
                <w:szCs w:val="16"/>
              </w:rPr>
              <w:t>&gt;99%</w:t>
            </w:r>
          </w:p>
        </w:tc>
        <w:tc>
          <w:tcPr>
            <w:tcW w:w="250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16"/>
                <w:szCs w:val="16"/>
              </w:rPr>
            </w:pPr>
            <w:r>
              <w:rPr>
                <w:rFonts w:hint="eastAsia" w:ascii="宋体" w:hAnsi="宋体" w:cs="宋体"/>
                <w:kern w:val="0"/>
                <w:sz w:val="16"/>
                <w:szCs w:val="16"/>
              </w:rPr>
              <w:t>&gt;99%</w:t>
            </w:r>
          </w:p>
        </w:tc>
      </w:tr>
    </w:tbl>
    <w:p>
      <w:pPr>
        <w:spacing w:line="580" w:lineRule="exact"/>
        <w:jc w:val="center"/>
        <w:rPr>
          <w:rFonts w:ascii="方正小标宋简体" w:hAnsi="宋体" w:eastAsia="方正小标宋简体"/>
          <w:kern w:val="0"/>
          <w:sz w:val="44"/>
          <w:szCs w:val="44"/>
        </w:rPr>
      </w:pPr>
      <w:r>
        <w:rPr>
          <w:rFonts w:hint="eastAsia" w:ascii="微软雅黑" w:hAnsi="微软雅黑" w:eastAsia="微软雅黑" w:cs="微软雅黑"/>
          <w:kern w:val="0"/>
          <w:sz w:val="44"/>
          <w:szCs w:val="44"/>
        </w:rPr>
        <w:t>项目支出绩效自评报告</w:t>
      </w:r>
    </w:p>
    <w:p>
      <w:pPr>
        <w:spacing w:line="580" w:lineRule="exact"/>
        <w:jc w:val="center"/>
        <w:rPr>
          <w:rFonts w:ascii="仿宋" w:hAnsi="仿宋" w:eastAsia="仿宋" w:cs="仿宋"/>
          <w:bCs/>
          <w:kern w:val="0"/>
          <w:sz w:val="28"/>
          <w:szCs w:val="21"/>
        </w:rPr>
      </w:pPr>
      <w:r>
        <w:rPr>
          <w:rFonts w:hint="eastAsia" w:ascii="仿宋" w:hAnsi="仿宋" w:eastAsia="仿宋" w:cs="仿宋"/>
          <w:bCs/>
          <w:kern w:val="0"/>
          <w:sz w:val="28"/>
          <w:szCs w:val="21"/>
        </w:rPr>
        <w:t>（绵竹市第六水厂及配套管网工程）</w:t>
      </w:r>
    </w:p>
    <w:p>
      <w:pPr>
        <w:spacing w:line="580" w:lineRule="exact"/>
        <w:rPr>
          <w:rFonts w:hint="eastAsia" w:ascii="宋体" w:hAnsi="??"/>
          <w:sz w:val="32"/>
          <w:szCs w:val="32"/>
        </w:rPr>
      </w:pPr>
    </w:p>
    <w:p>
      <w:pPr>
        <w:adjustRightInd w:val="0"/>
        <w:snapToGrid w:val="0"/>
        <w:spacing w:line="52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20" w:lineRule="exact"/>
        <w:rPr>
          <w:rFonts w:ascii="仿宋" w:hAnsi="仿宋" w:eastAsia="仿宋" w:cs="仿宋"/>
          <w:b/>
          <w:bCs/>
          <w:sz w:val="32"/>
          <w:szCs w:val="32"/>
        </w:rPr>
      </w:pPr>
      <w:r>
        <w:rPr>
          <w:rFonts w:hint="eastAsia" w:ascii="仿宋" w:hAnsi="仿宋" w:eastAsia="仿宋" w:cs="仿宋"/>
          <w:b/>
          <w:bCs/>
          <w:sz w:val="32"/>
          <w:szCs w:val="32"/>
        </w:rPr>
        <w:t xml:space="preserve">  （一）项目基本情况。</w:t>
      </w:r>
    </w:p>
    <w:p>
      <w:pPr>
        <w:adjustRightInd w:val="0"/>
        <w:snapToGrid w:val="0"/>
        <w:spacing w:line="520" w:lineRule="exact"/>
        <w:rPr>
          <w:rFonts w:ascii="仿宋" w:hAnsi="仿宋" w:eastAsia="仿宋" w:cs="仿宋"/>
          <w:bCs/>
          <w:sz w:val="32"/>
          <w:szCs w:val="32"/>
        </w:rPr>
      </w:pPr>
      <w:r>
        <w:rPr>
          <w:rFonts w:hint="eastAsia" w:ascii="楷体_GB2312" w:hAnsi="宋体" w:eastAsia="楷体_GB2312"/>
          <w:b/>
          <w:sz w:val="32"/>
          <w:szCs w:val="32"/>
        </w:rPr>
        <w:t xml:space="preserve">   </w:t>
      </w:r>
      <w:r>
        <w:rPr>
          <w:rFonts w:hint="eastAsia" w:ascii="仿宋" w:hAnsi="仿宋" w:eastAsia="仿宋" w:cs="仿宋"/>
          <w:bCs/>
          <w:sz w:val="32"/>
          <w:szCs w:val="32"/>
        </w:rPr>
        <w:t>1、项目名称：绵竹市第六水厂及配套管网工程。</w:t>
      </w:r>
    </w:p>
    <w:p>
      <w:pPr>
        <w:adjustRightInd w:val="0"/>
        <w:snapToGrid w:val="0"/>
        <w:spacing w:line="520" w:lineRule="exact"/>
        <w:rPr>
          <w:rFonts w:ascii="仿宋" w:hAnsi="仿宋" w:eastAsia="仿宋" w:cs="仿宋"/>
          <w:bCs/>
          <w:sz w:val="32"/>
          <w:szCs w:val="32"/>
        </w:rPr>
      </w:pPr>
      <w:r>
        <w:rPr>
          <w:rFonts w:hint="eastAsia" w:ascii="仿宋" w:hAnsi="仿宋" w:eastAsia="仿宋" w:cs="仿宋"/>
          <w:bCs/>
          <w:sz w:val="32"/>
          <w:szCs w:val="32"/>
        </w:rPr>
        <w:t xml:space="preserve">   2、项目业主：绵竹市城市供水服务中心</w:t>
      </w:r>
    </w:p>
    <w:p>
      <w:pPr>
        <w:adjustRightInd w:val="0"/>
        <w:snapToGrid w:val="0"/>
        <w:spacing w:line="520" w:lineRule="exact"/>
        <w:rPr>
          <w:rFonts w:ascii="仿宋" w:hAnsi="仿宋" w:eastAsia="仿宋" w:cs="仿宋"/>
          <w:bCs/>
          <w:sz w:val="32"/>
          <w:szCs w:val="32"/>
        </w:rPr>
      </w:pPr>
      <w:r>
        <w:rPr>
          <w:rFonts w:hint="eastAsia" w:ascii="仿宋" w:hAnsi="仿宋" w:eastAsia="仿宋" w:cs="仿宋"/>
          <w:bCs/>
          <w:sz w:val="32"/>
          <w:szCs w:val="32"/>
        </w:rPr>
        <w:t xml:space="preserve">   3、建设地点：绵竹市汉旺镇</w:t>
      </w:r>
    </w:p>
    <w:p>
      <w:pPr>
        <w:widowControl/>
        <w:spacing w:line="520" w:lineRule="exact"/>
        <w:ind w:firstLine="320" w:firstLineChars="100"/>
        <w:jc w:val="left"/>
        <w:rPr>
          <w:rFonts w:ascii="仿宋" w:hAnsi="仿宋" w:eastAsia="仿宋" w:cs="仿宋"/>
          <w:bCs/>
          <w:sz w:val="32"/>
          <w:szCs w:val="32"/>
        </w:rPr>
      </w:pPr>
      <w:r>
        <w:rPr>
          <w:rFonts w:hint="eastAsia" w:ascii="仿宋" w:hAnsi="仿宋" w:eastAsia="仿宋" w:cs="仿宋"/>
          <w:bCs/>
          <w:sz w:val="32"/>
          <w:szCs w:val="32"/>
        </w:rPr>
        <w:t xml:space="preserve"> 4、建设内容和规模：</w:t>
      </w:r>
    </w:p>
    <w:p>
      <w:pPr>
        <w:adjustRightInd w:val="0"/>
        <w:snapToGrid w:val="0"/>
        <w:spacing w:line="520" w:lineRule="exact"/>
        <w:ind w:firstLine="320" w:firstLineChars="100"/>
        <w:rPr>
          <w:rFonts w:ascii="仿宋" w:hAnsi="仿宋" w:eastAsia="仿宋" w:cs="仿宋"/>
          <w:bCs/>
          <w:sz w:val="32"/>
          <w:szCs w:val="32"/>
        </w:rPr>
      </w:pPr>
      <w:r>
        <w:rPr>
          <w:rFonts w:hint="eastAsia" w:ascii="仿宋" w:hAnsi="仿宋" w:eastAsia="仿宋" w:cs="仿宋"/>
          <w:bCs/>
          <w:sz w:val="32"/>
          <w:szCs w:val="32"/>
        </w:rPr>
        <w:t>（1）取水工程：规模7万m</w:t>
      </w:r>
      <w:r>
        <w:rPr>
          <w:rFonts w:ascii="Calibri" w:hAnsi="Calibri" w:eastAsia="仿宋" w:cs="Calibri"/>
          <w:bCs/>
          <w:sz w:val="32"/>
          <w:szCs w:val="32"/>
        </w:rPr>
        <w:t>³</w:t>
      </w:r>
      <w:r>
        <w:rPr>
          <w:rFonts w:hint="eastAsia" w:ascii="仿宋" w:hAnsi="仿宋" w:eastAsia="仿宋" w:cs="仿宋"/>
          <w:bCs/>
          <w:sz w:val="32"/>
          <w:szCs w:val="32"/>
        </w:rPr>
        <w:t>/d，建设取水口1座；</w:t>
      </w:r>
    </w:p>
    <w:p>
      <w:pPr>
        <w:adjustRightInd w:val="0"/>
        <w:snapToGrid w:val="0"/>
        <w:spacing w:line="520" w:lineRule="exact"/>
        <w:ind w:firstLine="320" w:firstLineChars="100"/>
        <w:rPr>
          <w:rFonts w:ascii="仿宋" w:hAnsi="仿宋" w:eastAsia="仿宋" w:cs="仿宋"/>
          <w:bCs/>
          <w:sz w:val="32"/>
          <w:szCs w:val="32"/>
        </w:rPr>
      </w:pPr>
      <w:r>
        <w:rPr>
          <w:rFonts w:hint="eastAsia" w:ascii="仿宋" w:hAnsi="仿宋" w:eastAsia="仿宋" w:cs="仿宋"/>
          <w:bCs/>
          <w:sz w:val="32"/>
          <w:szCs w:val="32"/>
        </w:rPr>
        <w:t>（2）输水工程：长度5.04km，2根管径DN800钢管（内外防腐），管道长度共10.084km；</w:t>
      </w:r>
    </w:p>
    <w:p>
      <w:pPr>
        <w:adjustRightInd w:val="0"/>
        <w:snapToGrid w:val="0"/>
        <w:spacing w:line="520" w:lineRule="exact"/>
        <w:ind w:firstLine="320" w:firstLineChars="100"/>
        <w:rPr>
          <w:rFonts w:ascii="仿宋" w:hAnsi="仿宋" w:eastAsia="仿宋" w:cs="仿宋"/>
          <w:bCs/>
          <w:sz w:val="32"/>
          <w:szCs w:val="32"/>
        </w:rPr>
      </w:pPr>
      <w:r>
        <w:rPr>
          <w:rFonts w:hint="eastAsia" w:ascii="仿宋" w:hAnsi="仿宋" w:eastAsia="仿宋" w:cs="仿宋"/>
          <w:bCs/>
          <w:sz w:val="32"/>
          <w:szCs w:val="32"/>
        </w:rPr>
        <w:t>（3）净水厂工程：规模5万m</w:t>
      </w:r>
      <w:r>
        <w:rPr>
          <w:rFonts w:ascii="Calibri" w:hAnsi="Calibri" w:eastAsia="仿宋" w:cs="Calibri"/>
          <w:bCs/>
          <w:sz w:val="32"/>
          <w:szCs w:val="32"/>
        </w:rPr>
        <w:t>³</w:t>
      </w:r>
      <w:r>
        <w:rPr>
          <w:rFonts w:hint="eastAsia" w:ascii="仿宋" w:hAnsi="仿宋" w:eastAsia="仿宋" w:cs="仿宋"/>
          <w:bCs/>
          <w:sz w:val="32"/>
          <w:szCs w:val="32"/>
        </w:rPr>
        <w:t>/d，建设制水厂1座；</w:t>
      </w:r>
    </w:p>
    <w:p>
      <w:pPr>
        <w:adjustRightInd w:val="0"/>
        <w:snapToGrid w:val="0"/>
        <w:spacing w:line="520" w:lineRule="exact"/>
        <w:ind w:firstLine="320" w:firstLineChars="100"/>
        <w:rPr>
          <w:rFonts w:ascii="仿宋" w:hAnsi="仿宋" w:eastAsia="仿宋" w:cs="仿宋"/>
          <w:bCs/>
          <w:sz w:val="32"/>
          <w:szCs w:val="32"/>
        </w:rPr>
      </w:pPr>
      <w:r>
        <w:rPr>
          <w:rFonts w:hint="eastAsia" w:ascii="仿宋" w:hAnsi="仿宋" w:eastAsia="仿宋" w:cs="仿宋"/>
          <w:bCs/>
          <w:sz w:val="32"/>
          <w:szCs w:val="32"/>
        </w:rPr>
        <w:t>（4）配水管道：</w:t>
      </w:r>
    </w:p>
    <w:p>
      <w:pPr>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1） 城区供水：管径DN1000钢管（内外防腐），长度12.133km；</w:t>
      </w:r>
    </w:p>
    <w:p>
      <w:pPr>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2）乡镇供水：球墨铸铁管道，管径DN300-DN600，长度42.919km；</w:t>
      </w:r>
    </w:p>
    <w:p>
      <w:pPr>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3）加压泵站：分别在谷九路、S216遵道路口各设置1套一体化加压设备，供水规模约1.72万m</w:t>
      </w:r>
      <w:r>
        <w:rPr>
          <w:rFonts w:ascii="Calibri" w:hAnsi="Calibri" w:eastAsia="仿宋" w:cs="Calibri"/>
          <w:bCs/>
          <w:sz w:val="32"/>
          <w:szCs w:val="32"/>
        </w:rPr>
        <w:t>³</w:t>
      </w:r>
      <w:r>
        <w:rPr>
          <w:rFonts w:hint="eastAsia" w:ascii="仿宋" w:hAnsi="仿宋" w:eastAsia="仿宋" w:cs="仿宋"/>
          <w:bCs/>
          <w:sz w:val="32"/>
          <w:szCs w:val="32"/>
        </w:rPr>
        <w:t>/d。</w:t>
      </w:r>
    </w:p>
    <w:p>
      <w:pPr>
        <w:numPr>
          <w:ilvl w:val="0"/>
          <w:numId w:val="11"/>
        </w:numPr>
        <w:adjustRightInd w:val="0"/>
        <w:snapToGrid w:val="0"/>
        <w:spacing w:line="520" w:lineRule="exact"/>
        <w:ind w:firstLine="640"/>
        <w:rPr>
          <w:rFonts w:ascii="仿宋" w:hAnsi="仿宋" w:eastAsia="仿宋" w:cs="仿宋"/>
          <w:bCs/>
          <w:sz w:val="32"/>
          <w:szCs w:val="32"/>
        </w:rPr>
      </w:pPr>
      <w:r>
        <w:rPr>
          <w:rFonts w:hint="eastAsia" w:ascii="仿宋" w:hAnsi="仿宋" w:eastAsia="仿宋" w:cs="仿宋"/>
          <w:bCs/>
          <w:sz w:val="32"/>
          <w:szCs w:val="32"/>
        </w:rPr>
        <w:t xml:space="preserve">资金来源：财政资金 </w:t>
      </w:r>
    </w:p>
    <w:p>
      <w:pPr>
        <w:adjustRightInd w:val="0"/>
        <w:snapToGrid w:val="0"/>
        <w:spacing w:line="520" w:lineRule="exact"/>
        <w:ind w:left="420" w:left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20" w:lineRule="exact"/>
        <w:ind w:firstLine="640" w:firstLineChars="200"/>
        <w:rPr>
          <w:rFonts w:ascii="仿宋" w:hAnsi="仿宋" w:eastAsia="仿宋" w:cs="仿宋"/>
          <w:bCs/>
          <w:sz w:val="32"/>
          <w:szCs w:val="32"/>
        </w:rPr>
      </w:pPr>
      <w:r>
        <w:rPr>
          <w:rFonts w:hint="eastAsia" w:ascii="仿宋" w:hAnsi="仿宋" w:eastAsia="仿宋" w:cs="仿宋"/>
          <w:bCs/>
          <w:sz w:val="32"/>
          <w:szCs w:val="32"/>
        </w:rPr>
        <w:t>2021年拨付勘察设计等前期费用1000万元，工程款6000万元，工程招投标完成，开始施工。</w:t>
      </w:r>
    </w:p>
    <w:p>
      <w:pPr>
        <w:adjustRightInd w:val="0"/>
        <w:snapToGrid w:val="0"/>
        <w:spacing w:line="520" w:lineRule="exact"/>
        <w:ind w:left="420" w:leftChars="20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20" w:lineRule="exact"/>
        <w:ind w:firstLine="720"/>
        <w:rPr>
          <w:rFonts w:ascii="楷体_GB2312" w:hAnsi="宋体" w:eastAsia="楷体_GB2312"/>
          <w:b/>
          <w:sz w:val="32"/>
          <w:szCs w:val="32"/>
        </w:rPr>
      </w:pPr>
      <w:r>
        <w:rPr>
          <w:rFonts w:hint="eastAsia" w:ascii="仿宋" w:hAnsi="仿宋" w:eastAsia="仿宋" w:cs="仿宋"/>
          <w:sz w:val="32"/>
          <w:szCs w:val="32"/>
          <w:lang w:val="zh-CN"/>
        </w:rPr>
        <w:t>由我局开展财政资金使用情况自评并撰写部门预算支出绩效报告，按规范格式按时提交自评报告。</w:t>
      </w:r>
    </w:p>
    <w:p>
      <w:pPr>
        <w:numPr>
          <w:ilvl w:val="0"/>
          <w:numId w:val="4"/>
        </w:numPr>
        <w:adjustRightInd w:val="0"/>
        <w:snapToGrid w:val="0"/>
        <w:spacing w:line="520" w:lineRule="exact"/>
        <w:ind w:firstLine="720"/>
        <w:rPr>
          <w:rFonts w:ascii="黑体" w:hAnsi="宋体" w:eastAsia="黑体"/>
          <w:sz w:val="32"/>
          <w:szCs w:val="32"/>
        </w:rPr>
      </w:pPr>
      <w:r>
        <w:rPr>
          <w:rFonts w:hint="eastAsia" w:ascii="黑体" w:hAnsi="宋体" w:eastAsia="黑体"/>
          <w:sz w:val="32"/>
          <w:szCs w:val="32"/>
        </w:rPr>
        <w:t>项目资金申报及使用情况</w:t>
      </w:r>
    </w:p>
    <w:p>
      <w:pPr>
        <w:numPr>
          <w:ilvl w:val="0"/>
          <w:numId w:val="12"/>
        </w:numPr>
        <w:adjustRightInd w:val="0"/>
        <w:snapToGrid w:val="0"/>
        <w:spacing w:line="520" w:lineRule="exact"/>
        <w:ind w:firstLine="642" w:firstLineChars="200"/>
        <w:rPr>
          <w:rFonts w:ascii="楷体_GB2312" w:hAnsi="宋体" w:eastAsia="楷体_GB2312"/>
          <w:b/>
          <w:sz w:val="32"/>
          <w:szCs w:val="32"/>
        </w:rPr>
      </w:pPr>
      <w:r>
        <w:rPr>
          <w:rFonts w:hint="eastAsia" w:ascii="楷体_GB2312" w:hAnsi="宋体" w:eastAsia="楷体_GB2312"/>
          <w:b/>
          <w:sz w:val="32"/>
          <w:szCs w:val="32"/>
        </w:rPr>
        <w:t>项目资金申报及批复情况。</w:t>
      </w:r>
    </w:p>
    <w:p>
      <w:pPr>
        <w:adjustRightInd w:val="0"/>
        <w:snapToGrid w:val="0"/>
        <w:spacing w:line="520" w:lineRule="exact"/>
        <w:rPr>
          <w:rFonts w:ascii="仿宋" w:hAnsi="仿宋" w:eastAsia="仿宋" w:cs="仿宋"/>
          <w:sz w:val="32"/>
          <w:szCs w:val="32"/>
        </w:rPr>
      </w:pPr>
      <w:r>
        <w:rPr>
          <w:rFonts w:hint="eastAsia" w:ascii="楷体_GB2312" w:hAnsi="宋体" w:eastAsia="楷体_GB2312"/>
          <w:b/>
          <w:sz w:val="32"/>
          <w:szCs w:val="32"/>
        </w:rPr>
        <w:t xml:space="preserve">   </w:t>
      </w:r>
      <w:r>
        <w:rPr>
          <w:rFonts w:hint="eastAsia" w:ascii="仿宋" w:hAnsi="仿宋" w:eastAsia="仿宋" w:cs="仿宋"/>
          <w:sz w:val="32"/>
          <w:szCs w:val="32"/>
        </w:rPr>
        <w:t xml:space="preserve"> 项目经市发改局《关于绵竹市第六水厂及配套管网建设工程项目建议书的批复》（竹发改建</w:t>
      </w:r>
      <w:r>
        <w:rPr>
          <w:rFonts w:hint="eastAsia" w:ascii="仿宋" w:hAnsi="仿宋" w:eastAsia="仿宋" w:cs="仿宋"/>
          <w:sz w:val="32"/>
          <w:szCs w:val="32"/>
          <w:lang w:eastAsia="zh-CN"/>
        </w:rPr>
        <w:t>〔</w:t>
      </w:r>
      <w:r>
        <w:rPr>
          <w:rFonts w:hint="eastAsia" w:ascii="仿宋" w:hAnsi="仿宋" w:eastAsia="仿宋" w:cs="仿宋"/>
          <w:sz w:val="32"/>
          <w:szCs w:val="32"/>
        </w:rPr>
        <w:t>2019</w:t>
      </w:r>
      <w:r>
        <w:rPr>
          <w:rFonts w:hint="eastAsia" w:ascii="仿宋" w:hAnsi="仿宋" w:eastAsia="仿宋" w:cs="仿宋"/>
          <w:sz w:val="32"/>
          <w:szCs w:val="32"/>
          <w:lang w:eastAsia="zh-CN"/>
        </w:rPr>
        <w:t>〕</w:t>
      </w:r>
      <w:r>
        <w:rPr>
          <w:rFonts w:hint="eastAsia" w:ascii="仿宋" w:hAnsi="仿宋" w:eastAsia="仿宋" w:cs="仿宋"/>
          <w:sz w:val="32"/>
          <w:szCs w:val="32"/>
        </w:rPr>
        <w:t>44号）批复立项，经发改局《关于绵竹市第六水厂及配套管网建设项目投资概算的批复》（竹发改审</w:t>
      </w:r>
      <w:r>
        <w:rPr>
          <w:rFonts w:hint="eastAsia" w:ascii="仿宋" w:hAnsi="仿宋" w:eastAsia="仿宋" w:cs="仿宋"/>
          <w:sz w:val="32"/>
          <w:szCs w:val="32"/>
          <w:lang w:eastAsia="zh-CN"/>
        </w:rPr>
        <w:t>〔</w:t>
      </w:r>
      <w:r>
        <w:rPr>
          <w:rFonts w:hint="eastAsia" w:ascii="仿宋" w:hAnsi="仿宋" w:eastAsia="仿宋" w:cs="仿宋"/>
          <w:sz w:val="32"/>
          <w:szCs w:val="32"/>
        </w:rPr>
        <w:t>2021</w:t>
      </w:r>
      <w:r>
        <w:rPr>
          <w:rFonts w:hint="eastAsia" w:ascii="仿宋" w:hAnsi="仿宋" w:eastAsia="仿宋" w:cs="仿宋"/>
          <w:sz w:val="32"/>
          <w:szCs w:val="32"/>
          <w:lang w:eastAsia="zh-CN"/>
        </w:rPr>
        <w:t>〕</w:t>
      </w:r>
      <w:r>
        <w:rPr>
          <w:rFonts w:hint="eastAsia" w:ascii="仿宋" w:hAnsi="仿宋" w:eastAsia="仿宋" w:cs="仿宋"/>
          <w:sz w:val="32"/>
          <w:szCs w:val="32"/>
        </w:rPr>
        <w:t>89号</w:t>
      </w:r>
      <w:r>
        <w:rPr>
          <w:rFonts w:hint="eastAsia" w:ascii="仿宋" w:hAnsi="仿宋" w:eastAsia="仿宋" w:cs="仿宋"/>
          <w:sz w:val="32"/>
          <w:szCs w:val="32"/>
          <w:lang w:eastAsia="zh-CN"/>
        </w:rPr>
        <w:t>）</w:t>
      </w:r>
      <w:r>
        <w:rPr>
          <w:rFonts w:hint="eastAsia" w:ascii="仿宋" w:hAnsi="仿宋" w:eastAsia="仿宋" w:cs="仿宋"/>
          <w:sz w:val="32"/>
          <w:szCs w:val="32"/>
        </w:rPr>
        <w:t>，投资概算金额为36723.79万元，资金来源为财政资金。</w:t>
      </w:r>
    </w:p>
    <w:p>
      <w:pPr>
        <w:adjustRightInd w:val="0"/>
        <w:snapToGrid w:val="0"/>
        <w:spacing w:line="520" w:lineRule="exact"/>
        <w:rPr>
          <w:rFonts w:ascii="楷体_GB2312" w:hAnsi="宋体" w:eastAsia="楷体_GB2312"/>
          <w:b/>
          <w:sz w:val="32"/>
          <w:szCs w:val="32"/>
          <w:lang w:val="zh-CN"/>
        </w:rPr>
      </w:pPr>
      <w:r>
        <w:rPr>
          <w:rFonts w:ascii="仿宋_GB2312" w:hAnsi="宋体" w:eastAsia="仿宋_GB2312"/>
          <w:sz w:val="32"/>
          <w:szCs w:val="32"/>
          <w:lang w:val="zh-CN"/>
        </w:rPr>
        <w:tab/>
      </w:r>
      <w:r>
        <w:rPr>
          <w:rFonts w:hint="eastAsia" w:ascii="楷体_GB2312" w:hAnsi="宋体" w:eastAsia="楷体_GB2312"/>
          <w:b/>
          <w:sz w:val="32"/>
          <w:szCs w:val="32"/>
          <w:lang w:val="zh-CN"/>
        </w:rPr>
        <w:t>（二）资金计划、到位及使用情况。</w:t>
      </w:r>
    </w:p>
    <w:p>
      <w:pPr>
        <w:adjustRightInd w:val="0"/>
        <w:snapToGrid w:val="0"/>
        <w:spacing w:line="520" w:lineRule="exact"/>
        <w:ind w:firstLine="640" w:firstLineChars="200"/>
        <w:rPr>
          <w:rFonts w:ascii="仿宋" w:hAnsi="仿宋" w:eastAsia="仿宋" w:cs="仿宋"/>
          <w:sz w:val="32"/>
          <w:szCs w:val="32"/>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．资金计划及到位。</w:t>
      </w:r>
      <w:r>
        <w:rPr>
          <w:rFonts w:hint="eastAsia" w:ascii="仿宋" w:hAnsi="仿宋" w:eastAsia="仿宋" w:cs="仿宋"/>
          <w:sz w:val="32"/>
          <w:szCs w:val="32"/>
        </w:rPr>
        <w:t>根据竹财资环债（2021）01号追加下达2021年专项债券资金7600万元用于绵竹市第六水厂</w:t>
      </w:r>
      <w:r>
        <w:rPr>
          <w:rFonts w:hint="eastAsia" w:ascii="仿宋" w:hAnsi="仿宋" w:eastAsia="仿宋" w:cs="仿宋"/>
          <w:sz w:val="32"/>
          <w:szCs w:val="32"/>
          <w:lang w:eastAsia="zh-CN"/>
        </w:rPr>
        <w:t>及</w:t>
      </w:r>
      <w:r>
        <w:rPr>
          <w:rFonts w:hint="eastAsia" w:ascii="仿宋" w:hAnsi="仿宋" w:eastAsia="仿宋" w:cs="仿宋"/>
          <w:sz w:val="32"/>
          <w:szCs w:val="32"/>
        </w:rPr>
        <w:t>配套管网建设工程。</w:t>
      </w:r>
    </w:p>
    <w:p>
      <w:pPr>
        <w:adjustRightInd w:val="0"/>
        <w:snapToGrid w:val="0"/>
        <w:spacing w:line="520" w:lineRule="exact"/>
        <w:ind w:firstLine="720"/>
        <w:rPr>
          <w:rFonts w:ascii="仿宋" w:hAnsi="仿宋" w:eastAsia="仿宋" w:cs="仿宋"/>
          <w:sz w:val="32"/>
          <w:szCs w:val="32"/>
        </w:rPr>
      </w:pPr>
      <w:r>
        <w:rPr>
          <w:rFonts w:hint="eastAsia" w:ascii="仿宋" w:hAnsi="仿宋" w:eastAsia="仿宋" w:cs="仿宋"/>
          <w:sz w:val="32"/>
          <w:szCs w:val="32"/>
          <w:lang w:val="zh-CN"/>
        </w:rPr>
        <w:t>该项目资金预算指标为省级</w:t>
      </w:r>
      <w:r>
        <w:rPr>
          <w:rFonts w:hint="eastAsia" w:ascii="仿宋" w:hAnsi="仿宋" w:eastAsia="仿宋" w:cs="仿宋"/>
          <w:sz w:val="32"/>
          <w:szCs w:val="32"/>
        </w:rPr>
        <w:t>专项债券资金，资金指标全部及时到位，资金到位率100%，</w:t>
      </w:r>
      <w:r>
        <w:rPr>
          <w:rFonts w:hint="eastAsia" w:ascii="仿宋" w:hAnsi="仿宋" w:eastAsia="仿宋" w:cs="仿宋"/>
          <w:sz w:val="32"/>
          <w:szCs w:val="32"/>
          <w:lang w:val="zh-CN"/>
        </w:rPr>
        <w:t>到位及时性</w:t>
      </w:r>
      <w:r>
        <w:rPr>
          <w:rFonts w:hint="eastAsia" w:ascii="仿宋" w:hAnsi="仿宋" w:eastAsia="仿宋" w:cs="仿宋"/>
          <w:sz w:val="32"/>
          <w:szCs w:val="32"/>
        </w:rPr>
        <w:t>100%，拨付率100%。</w:t>
      </w:r>
    </w:p>
    <w:p>
      <w:pPr>
        <w:adjustRightInd w:val="0"/>
        <w:snapToGrid w:val="0"/>
        <w:spacing w:line="520" w:lineRule="exact"/>
        <w:ind w:firstLine="720"/>
        <w:rPr>
          <w:rFonts w:ascii="楷体_GB2312" w:hAnsi="宋体" w:eastAsia="楷体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．资金使用。</w:t>
      </w:r>
    </w:p>
    <w:p>
      <w:pPr>
        <w:adjustRightInd w:val="0"/>
        <w:snapToGrid w:val="0"/>
        <w:spacing w:line="520" w:lineRule="exact"/>
        <w:ind w:firstLine="640" w:firstLineChars="200"/>
        <w:rPr>
          <w:rFonts w:ascii="仿宋" w:hAnsi="仿宋" w:eastAsia="仿宋" w:cs="仿宋"/>
          <w:sz w:val="32"/>
          <w:szCs w:val="32"/>
          <w:lang w:val="zh-CN"/>
        </w:rPr>
      </w:pPr>
      <w:r>
        <w:rPr>
          <w:rFonts w:hint="eastAsia" w:ascii="仿宋" w:hAnsi="仿宋" w:eastAsia="仿宋" w:cs="仿宋"/>
          <w:sz w:val="32"/>
          <w:szCs w:val="32"/>
        </w:rPr>
        <w:t>绵竹市第六水厂及配套管网建设工程</w:t>
      </w:r>
      <w:r>
        <w:rPr>
          <w:rFonts w:hint="eastAsia" w:ascii="仿宋" w:hAnsi="仿宋" w:eastAsia="仿宋" w:cs="仿宋"/>
          <w:sz w:val="32"/>
          <w:szCs w:val="32"/>
          <w:lang w:val="zh-CN"/>
        </w:rPr>
        <w:t>资金共计</w:t>
      </w:r>
      <w:r>
        <w:rPr>
          <w:rFonts w:hint="eastAsia" w:ascii="仿宋" w:hAnsi="仿宋" w:eastAsia="仿宋" w:cs="仿宋"/>
          <w:sz w:val="32"/>
          <w:szCs w:val="32"/>
        </w:rPr>
        <w:t>7600万元，现已拨付7600万元。</w:t>
      </w:r>
      <w:r>
        <w:rPr>
          <w:rFonts w:hint="eastAsia" w:ascii="仿宋" w:hAnsi="仿宋" w:eastAsia="仿宋" w:cs="仿宋"/>
          <w:sz w:val="32"/>
          <w:szCs w:val="32"/>
          <w:lang w:val="zh-CN"/>
        </w:rPr>
        <w:t>以上资金预算、使用符合资金管理办法等相关规定，资金支付范围、支付标准、支付进度合规合法、与预算相符。</w:t>
      </w:r>
    </w:p>
    <w:p>
      <w:pPr>
        <w:adjustRightInd w:val="0"/>
        <w:snapToGrid w:val="0"/>
        <w:spacing w:line="52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20" w:lineRule="exact"/>
        <w:ind w:firstLine="720"/>
        <w:rPr>
          <w:rFonts w:ascii="仿宋" w:hAnsi="仿宋" w:eastAsia="仿宋" w:cs="仿宋"/>
          <w:sz w:val="32"/>
          <w:szCs w:val="32"/>
          <w:lang w:val="zh-CN"/>
        </w:rPr>
      </w:pPr>
      <w:r>
        <w:rPr>
          <w:rFonts w:hint="eastAsia" w:ascii="仿宋" w:hAnsi="仿宋" w:eastAsia="仿宋" w:cs="仿宋"/>
          <w:sz w:val="32"/>
          <w:szCs w:val="32"/>
          <w:lang w:val="zh-CN"/>
        </w:rPr>
        <w:t>项目实施单位财务管理制度健全，严格执行财务管理制度，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520" w:lineRule="exact"/>
        <w:ind w:firstLine="720"/>
        <w:rPr>
          <w:rFonts w:ascii="黑体" w:hAnsi="宋体" w:eastAsia="黑体"/>
          <w:sz w:val="32"/>
          <w:szCs w:val="32"/>
          <w:lang w:val="zh-CN"/>
        </w:rPr>
      </w:pPr>
      <w:r>
        <w:rPr>
          <w:rFonts w:hint="eastAsia" w:ascii="黑体" w:hAnsi="宋体" w:eastAsia="黑体"/>
          <w:sz w:val="32"/>
          <w:szCs w:val="32"/>
          <w:lang w:val="zh-CN"/>
        </w:rPr>
        <w:t>三、项目实施及管理情况</w:t>
      </w:r>
    </w:p>
    <w:p>
      <w:pPr>
        <w:adjustRightInd w:val="0"/>
        <w:snapToGrid w:val="0"/>
        <w:spacing w:line="520" w:lineRule="exact"/>
        <w:ind w:firstLine="720"/>
        <w:rPr>
          <w:rFonts w:ascii="仿宋" w:hAnsi="仿宋" w:eastAsia="仿宋" w:cs="仿宋"/>
          <w:b/>
          <w:sz w:val="32"/>
          <w:szCs w:val="32"/>
          <w:lang w:val="zh-CN"/>
        </w:rPr>
      </w:pPr>
      <w:r>
        <w:rPr>
          <w:rFonts w:hint="eastAsia" w:ascii="仿宋" w:hAnsi="仿宋" w:eastAsia="仿宋" w:cs="仿宋"/>
          <w:sz w:val="32"/>
          <w:szCs w:val="32"/>
          <w:lang w:val="zh-CN"/>
        </w:rPr>
        <w:t>该项目由</w:t>
      </w:r>
      <w:r>
        <w:rPr>
          <w:rFonts w:hint="eastAsia" w:ascii="仿宋" w:hAnsi="仿宋" w:eastAsia="仿宋" w:cs="仿宋"/>
          <w:sz w:val="32"/>
          <w:szCs w:val="32"/>
        </w:rPr>
        <w:t>绵竹市住房和城乡建设局下属单位绵竹市城市供水服务中心</w:t>
      </w:r>
      <w:r>
        <w:rPr>
          <w:rFonts w:hint="eastAsia" w:ascii="仿宋" w:hAnsi="仿宋" w:eastAsia="仿宋" w:cs="仿宋"/>
          <w:sz w:val="32"/>
          <w:szCs w:val="32"/>
          <w:lang w:val="zh-CN"/>
        </w:rPr>
        <w:t>作为项目实施单位，每日安排专人对该项目建设情况进行监督，定期对该项目进行安全检查。</w:t>
      </w:r>
    </w:p>
    <w:p>
      <w:pPr>
        <w:adjustRightInd w:val="0"/>
        <w:snapToGrid w:val="0"/>
        <w:spacing w:line="520" w:lineRule="exact"/>
        <w:ind w:firstLine="720"/>
        <w:rPr>
          <w:rFonts w:ascii="仿宋_GB2312" w:hAnsi="宋体" w:eastAsia="仿宋_GB2312"/>
          <w:sz w:val="32"/>
          <w:szCs w:val="32"/>
          <w:lang w:val="zh-CN"/>
        </w:rPr>
      </w:pPr>
      <w:r>
        <w:rPr>
          <w:rFonts w:hint="eastAsia" w:ascii="仿宋_GB2312" w:hAnsi="宋体" w:eastAsia="黑体"/>
          <w:sz w:val="32"/>
          <w:szCs w:val="32"/>
        </w:rPr>
        <w:t xml:space="preserve"> </w:t>
      </w: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20" w:lineRule="exact"/>
        <w:ind w:firstLine="720"/>
        <w:rPr>
          <w:rFonts w:ascii="仿宋" w:hAnsi="仿宋" w:eastAsia="仿宋" w:cs="仿宋"/>
          <w:sz w:val="32"/>
          <w:szCs w:val="32"/>
        </w:rPr>
      </w:pPr>
      <w:r>
        <w:rPr>
          <w:rFonts w:hint="eastAsia" w:ascii="仿宋" w:hAnsi="仿宋" w:eastAsia="仿宋" w:cs="仿宋"/>
          <w:sz w:val="32"/>
          <w:szCs w:val="32"/>
        </w:rPr>
        <w:t>该项目新建取水工程（规模7万m</w:t>
      </w:r>
      <w:r>
        <w:rPr>
          <w:rFonts w:ascii="Calibri" w:hAnsi="Calibri" w:eastAsia="仿宋" w:cs="Calibri"/>
          <w:sz w:val="32"/>
          <w:szCs w:val="32"/>
        </w:rPr>
        <w:t>³</w:t>
      </w:r>
      <w:r>
        <w:rPr>
          <w:rFonts w:hint="eastAsia" w:ascii="仿宋" w:hAnsi="仿宋" w:eastAsia="仿宋" w:cs="仿宋"/>
          <w:sz w:val="32"/>
          <w:szCs w:val="32"/>
        </w:rPr>
        <w:t>/d）、输水工程（钢管DN800长度10.084km）、净水厂工程（规模7万m</w:t>
      </w:r>
      <w:r>
        <w:rPr>
          <w:rFonts w:ascii="Calibri" w:hAnsi="Calibri" w:eastAsia="仿宋" w:cs="Calibri"/>
          <w:sz w:val="32"/>
          <w:szCs w:val="32"/>
        </w:rPr>
        <w:t>³</w:t>
      </w:r>
      <w:r>
        <w:rPr>
          <w:rFonts w:hint="eastAsia" w:ascii="仿宋" w:hAnsi="仿宋" w:eastAsia="仿宋" w:cs="仿宋"/>
          <w:sz w:val="32"/>
          <w:szCs w:val="32"/>
        </w:rPr>
        <w:t>/d）、城区供水工程（钢管DN1000长度12.133km）、乡镇供水管网（球铁管DN300-DN600长度42.919km）、加压泵站（2套一体化设备，规模合计1.72万m</w:t>
      </w:r>
      <w:r>
        <w:rPr>
          <w:rFonts w:ascii="Calibri" w:hAnsi="Calibri" w:eastAsia="仿宋" w:cs="Calibri"/>
          <w:sz w:val="32"/>
          <w:szCs w:val="32"/>
        </w:rPr>
        <w:t>³</w:t>
      </w:r>
      <w:r>
        <w:rPr>
          <w:rFonts w:hint="eastAsia" w:ascii="仿宋" w:hAnsi="仿宋" w:eastAsia="仿宋" w:cs="仿宋"/>
          <w:sz w:val="32"/>
          <w:szCs w:val="32"/>
        </w:rPr>
        <w:t>/d）。目前按照合同约定，正有序建设，已完成工程量的15%。</w:t>
      </w:r>
    </w:p>
    <w:p>
      <w:pPr>
        <w:numPr>
          <w:ilvl w:val="0"/>
          <w:numId w:val="13"/>
        </w:numPr>
        <w:adjustRightInd w:val="0"/>
        <w:snapToGrid w:val="0"/>
        <w:spacing w:line="520" w:lineRule="exact"/>
        <w:rPr>
          <w:rFonts w:ascii="仿宋_GB2312" w:hAnsi="宋体" w:eastAsia="仿宋_GB2312"/>
          <w:sz w:val="32"/>
          <w:szCs w:val="32"/>
        </w:rPr>
      </w:pPr>
      <w:r>
        <w:rPr>
          <w:rFonts w:hint="eastAsia" w:ascii="楷体_GB2312" w:hAnsi="宋体" w:eastAsia="楷体_GB2312"/>
          <w:b/>
          <w:sz w:val="32"/>
          <w:szCs w:val="32"/>
          <w:lang w:val="zh-CN"/>
        </w:rPr>
        <w:t>项目效益情况。</w:t>
      </w:r>
    </w:p>
    <w:p>
      <w:pPr>
        <w:adjustRightInd w:val="0"/>
        <w:snapToGrid w:val="0"/>
        <w:spacing w:line="520" w:lineRule="exact"/>
        <w:ind w:firstLine="720"/>
        <w:rPr>
          <w:rFonts w:ascii="仿宋" w:hAnsi="仿宋" w:eastAsia="仿宋" w:cs="仿宋"/>
          <w:sz w:val="32"/>
          <w:szCs w:val="32"/>
        </w:rPr>
      </w:pPr>
      <w:r>
        <w:rPr>
          <w:rFonts w:hint="eastAsia" w:ascii="仿宋" w:hAnsi="仿宋" w:eastAsia="仿宋" w:cs="仿宋"/>
          <w:sz w:val="32"/>
          <w:szCs w:val="32"/>
        </w:rPr>
        <w:t xml:space="preserve">环境效益：工程建成后，位于绵竹市全域上游，采用绵远河上游水质较好段 为水源水，经处理后达到《生活饮用水卫生标准》（GB 5749-2006）的要求，并且直接输送至绵竹城区及辐射东区镇乡，将极大地改善绵竹城区和东区镇乡的供水情况，减轻现状地下水源供水压力，提高绵竹全域的供水应急抗风险能力。对提高区域内人民的生活质量，改善人们的生活环境有明显的促进作用，带来的环境效益是明显的。 </w:t>
      </w:r>
    </w:p>
    <w:p>
      <w:pPr>
        <w:adjustRightInd w:val="0"/>
        <w:snapToGrid w:val="0"/>
        <w:spacing w:line="520" w:lineRule="exact"/>
        <w:ind w:firstLine="720"/>
        <w:rPr>
          <w:rFonts w:ascii="仿宋" w:hAnsi="仿宋" w:eastAsia="仿宋" w:cs="仿宋"/>
          <w:sz w:val="32"/>
          <w:szCs w:val="32"/>
        </w:rPr>
      </w:pPr>
      <w:r>
        <w:rPr>
          <w:rFonts w:hint="eastAsia" w:ascii="仿宋" w:hAnsi="仿宋" w:eastAsia="仿宋" w:cs="仿宋"/>
          <w:sz w:val="32"/>
          <w:szCs w:val="32"/>
        </w:rPr>
        <w:t>社会效益 ：该项工程作为社会公益事业项目，其效益主要表现为社会效益。本工程实施后，可解决规划远期（2030 年）内 50 万人口的用水供需不平衡问题，为城市服务，为社会服务，将改善绵竹市的投资环境， 进一步促进社会经济发展，提高人民生活水平，保护人民身体健康。</w:t>
      </w:r>
    </w:p>
    <w:p>
      <w:pPr>
        <w:widowControl/>
        <w:spacing w:line="52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lang w:val="zh-CN"/>
        </w:rPr>
        <w:t>生态效益和可持续效益：</w:t>
      </w:r>
      <w:r>
        <w:rPr>
          <w:rFonts w:hint="eastAsia" w:ascii="仿宋" w:hAnsi="仿宋" w:eastAsia="仿宋" w:cs="仿宋"/>
          <w:sz w:val="32"/>
          <w:szCs w:val="32"/>
        </w:rPr>
        <w:t xml:space="preserve">绵竹市第六水厂及配套管网建设工程可为绵竹城区和东区及部分西区镇乡提供必要的生活生产用水保障，改善城区用水环境，保障人民的身体健康。给水工程作为民生工程、基础设施，是十分重要的。自来水厂的建设，将为绵竹市全域的经济发展提供必要的条件，为绵竹城区和镇乡居民日益增长的用水需求提供必要的保障。 </w:t>
      </w:r>
    </w:p>
    <w:p>
      <w:pPr>
        <w:widowControl/>
        <w:spacing w:line="520" w:lineRule="exact"/>
        <w:ind w:firstLine="640" w:firstLineChars="200"/>
        <w:jc w:val="left"/>
        <w:rPr>
          <w:rFonts w:ascii="仿宋" w:hAnsi="仿宋" w:eastAsia="仿宋" w:cs="仿宋"/>
          <w:sz w:val="32"/>
          <w:szCs w:val="32"/>
          <w:lang w:val="zh-CN"/>
        </w:rPr>
      </w:pPr>
      <w:r>
        <w:rPr>
          <w:rFonts w:hint="eastAsia" w:ascii="仿宋" w:hAnsi="仿宋" w:eastAsia="仿宋" w:cs="仿宋"/>
          <w:sz w:val="32"/>
          <w:szCs w:val="32"/>
        </w:rPr>
        <w:t>本项目实施后，将极大地改善绵竹城区和东区镇乡的供水情况，可保证城区内企业生产和人民生活用水需求，为绵竹城区和镇乡的经济发展，社会稳定，人民安居乐业提供了有力的保障。</w:t>
      </w:r>
    </w:p>
    <w:p>
      <w:pPr>
        <w:adjustRightInd w:val="0"/>
        <w:snapToGrid w:val="0"/>
        <w:spacing w:line="520" w:lineRule="exact"/>
        <w:ind w:firstLine="720"/>
        <w:rPr>
          <w:rFonts w:ascii="仿宋" w:hAnsi="仿宋" w:eastAsia="仿宋" w:cs="仿宋"/>
          <w:sz w:val="32"/>
          <w:szCs w:val="32"/>
          <w:lang w:val="zh-CN"/>
        </w:rPr>
      </w:pPr>
      <w:r>
        <w:rPr>
          <w:rFonts w:hint="eastAsia" w:ascii="仿宋" w:hAnsi="仿宋" w:eastAsia="仿宋" w:cs="仿宋"/>
          <w:sz w:val="32"/>
          <w:szCs w:val="32"/>
          <w:lang w:val="zh-CN"/>
        </w:rPr>
        <w:t>服务对象满意度：该项目的建设对当地人民群众利益不会造成负面影响，反之，由于改善了居住条件和生活环境，为人民群众创造了健康的生活环境，提升人民幸福感，提高群众满意度是明显的。</w:t>
      </w:r>
    </w:p>
    <w:p>
      <w:pPr>
        <w:numPr>
          <w:ilvl w:val="0"/>
          <w:numId w:val="14"/>
        </w:numPr>
        <w:adjustRightInd w:val="0"/>
        <w:snapToGrid w:val="0"/>
        <w:spacing w:line="520" w:lineRule="exact"/>
        <w:rPr>
          <w:rFonts w:ascii="黑体" w:hAnsi="宋体" w:eastAsia="黑体"/>
          <w:sz w:val="32"/>
          <w:szCs w:val="32"/>
        </w:rPr>
      </w:pPr>
      <w:r>
        <w:rPr>
          <w:rFonts w:hint="eastAsia" w:ascii="黑体" w:hAnsi="宋体" w:eastAsia="黑体"/>
          <w:sz w:val="32"/>
          <w:szCs w:val="32"/>
        </w:rPr>
        <w:t>评价结论及建议</w:t>
      </w:r>
    </w:p>
    <w:p>
      <w:pPr>
        <w:numPr>
          <w:ilvl w:val="0"/>
          <w:numId w:val="15"/>
        </w:numPr>
        <w:adjustRightInd w:val="0"/>
        <w:snapToGrid w:val="0"/>
        <w:spacing w:line="520" w:lineRule="exact"/>
        <w:rPr>
          <w:rFonts w:ascii="楷体_GB2312" w:hAnsi="宋体" w:eastAsia="楷体_GB2312"/>
          <w:b/>
          <w:sz w:val="32"/>
          <w:szCs w:val="32"/>
        </w:rPr>
      </w:pPr>
      <w:r>
        <w:rPr>
          <w:rFonts w:hint="eastAsia" w:ascii="楷体_GB2312" w:hAnsi="宋体" w:eastAsia="楷体_GB2312"/>
          <w:b/>
          <w:sz w:val="32"/>
          <w:szCs w:val="32"/>
        </w:rPr>
        <w:t>评价结论。</w:t>
      </w:r>
    </w:p>
    <w:p>
      <w:pPr>
        <w:adjustRightInd w:val="0"/>
        <w:snapToGrid w:val="0"/>
        <w:spacing w:line="520" w:lineRule="exact"/>
        <w:ind w:firstLine="640" w:firstLineChars="200"/>
        <w:rPr>
          <w:rFonts w:ascii="仿宋" w:hAnsi="仿宋" w:eastAsia="仿宋" w:cs="仿宋"/>
          <w:sz w:val="32"/>
          <w:szCs w:val="32"/>
          <w:lang w:val="zh-CN"/>
        </w:rPr>
      </w:pPr>
      <w:r>
        <w:rPr>
          <w:rFonts w:hint="eastAsia" w:ascii="仿宋" w:hAnsi="仿宋" w:eastAsia="仿宋" w:cs="仿宋"/>
          <w:sz w:val="32"/>
          <w:szCs w:val="32"/>
          <w:lang w:val="zh-CN"/>
        </w:rPr>
        <w:t>实际完成率、完成及时率均达到或超过绩效目标，质量达标率良好，产出成本可控，项目管理工作规范，社会效益良好，项目可持续性强。评价定级为“优”。</w:t>
      </w:r>
    </w:p>
    <w:p>
      <w:pPr>
        <w:adjustRightInd w:val="0"/>
        <w:snapToGrid w:val="0"/>
        <w:spacing w:line="52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仿宋_GB2312" w:hAnsi="宋体" w:eastAsia="仿宋_GB2312"/>
          <w:sz w:val="32"/>
          <w:szCs w:val="32"/>
          <w:lang w:val="zh-CN"/>
        </w:rPr>
        <w:t>无</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10063" w:type="dxa"/>
        <w:jc w:val="center"/>
        <w:tblLayout w:type="autofit"/>
        <w:tblCellMar>
          <w:top w:w="0" w:type="dxa"/>
          <w:left w:w="108" w:type="dxa"/>
          <w:bottom w:w="0" w:type="dxa"/>
          <w:right w:w="108" w:type="dxa"/>
        </w:tblCellMar>
      </w:tblPr>
      <w:tblGrid>
        <w:gridCol w:w="1080"/>
        <w:gridCol w:w="1075"/>
        <w:gridCol w:w="1418"/>
        <w:gridCol w:w="1347"/>
        <w:gridCol w:w="637"/>
        <w:gridCol w:w="2126"/>
        <w:gridCol w:w="2380"/>
      </w:tblGrid>
      <w:tr>
        <w:tblPrEx>
          <w:tblCellMar>
            <w:top w:w="0" w:type="dxa"/>
            <w:left w:w="108" w:type="dxa"/>
            <w:bottom w:w="0" w:type="dxa"/>
            <w:right w:w="108" w:type="dxa"/>
          </w:tblCellMar>
        </w:tblPrEx>
        <w:trPr>
          <w:trHeight w:val="405" w:hRule="atLeast"/>
          <w:jc w:val="center"/>
        </w:trPr>
        <w:tc>
          <w:tcPr>
            <w:tcW w:w="10063"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10063"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75"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347"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637"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126"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38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5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49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绵竹市第六水厂及配套管网工程</w:t>
            </w:r>
          </w:p>
        </w:tc>
      </w:tr>
      <w:tr>
        <w:tblPrEx>
          <w:tblCellMar>
            <w:top w:w="0" w:type="dxa"/>
            <w:left w:w="108" w:type="dxa"/>
            <w:bottom w:w="0" w:type="dxa"/>
            <w:right w:w="108" w:type="dxa"/>
          </w:tblCellMar>
        </w:tblPrEx>
        <w:trPr>
          <w:trHeight w:val="270" w:hRule="atLeast"/>
          <w:jc w:val="center"/>
        </w:trPr>
        <w:tc>
          <w:tcPr>
            <w:tcW w:w="357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49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市住建局</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4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7600万元</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3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7600万元</w:t>
            </w:r>
          </w:p>
        </w:tc>
      </w:tr>
      <w:tr>
        <w:tblPrEx>
          <w:tblCellMar>
            <w:top w:w="0" w:type="dxa"/>
            <w:left w:w="108" w:type="dxa"/>
            <w:bottom w:w="0" w:type="dxa"/>
            <w:right w:w="108" w:type="dxa"/>
          </w:tblCellMar>
        </w:tblPrEx>
        <w:trPr>
          <w:trHeight w:val="434"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7600万元</w:t>
            </w:r>
          </w:p>
        </w:tc>
        <w:tc>
          <w:tcPr>
            <w:tcW w:w="2126"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3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7600万元</w:t>
            </w:r>
          </w:p>
        </w:tc>
      </w:tr>
      <w:tr>
        <w:tblPrEx>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93"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126"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3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4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47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50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96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7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2021年拨付勘察设计等前期费用2000万元，工程款5600万元，工程招投标完成，开始施工。</w:t>
            </w:r>
          </w:p>
        </w:tc>
        <w:tc>
          <w:tcPr>
            <w:tcW w:w="450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完成拨付</w:t>
            </w:r>
          </w:p>
        </w:tc>
      </w:tr>
      <w:tr>
        <w:tblPrEx>
          <w:tblCellMar>
            <w:top w:w="0" w:type="dxa"/>
            <w:left w:w="108" w:type="dxa"/>
            <w:bottom w:w="0" w:type="dxa"/>
            <w:right w:w="108" w:type="dxa"/>
          </w:tblCellMar>
        </w:tblPrEx>
        <w:trPr>
          <w:trHeight w:val="72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075"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418"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前期费用</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完成勘察、设计、招投标等前期工作</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完成勘察、设计、招投标等前期工作</w:t>
            </w:r>
          </w:p>
        </w:tc>
      </w:tr>
      <w:tr>
        <w:tblPrEx>
          <w:tblCellMar>
            <w:top w:w="0" w:type="dxa"/>
            <w:left w:w="108" w:type="dxa"/>
            <w:bottom w:w="0" w:type="dxa"/>
            <w:right w:w="108" w:type="dxa"/>
          </w:tblCellMar>
        </w:tblPrEx>
        <w:trPr>
          <w:trHeight w:val="762"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8"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工程预付款及支付工程进度款</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完成总工程量的15%</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完成总工程量的15%</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8"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工程事故率</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8"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完成时间</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2021年12月31日前</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2021年12月31日前</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8"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勘察等前期费用</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2000万元</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1000万元</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7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8"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工程进度款</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5000万元</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6000万元</w:t>
            </w:r>
          </w:p>
        </w:tc>
      </w:tr>
      <w:tr>
        <w:tblPrEx>
          <w:tblCellMar>
            <w:top w:w="0" w:type="dxa"/>
            <w:left w:w="108" w:type="dxa"/>
            <w:bottom w:w="0" w:type="dxa"/>
            <w:right w:w="108" w:type="dxa"/>
          </w:tblCellMar>
        </w:tblPrEx>
        <w:trPr>
          <w:trHeight w:val="88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75"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418"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可解决绵竹市规划远期人口的用水供需不平衡问题</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50万人</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50万人</w:t>
            </w:r>
          </w:p>
        </w:tc>
      </w:tr>
      <w:tr>
        <w:tblPrEx>
          <w:tblCellMar>
            <w:top w:w="0" w:type="dxa"/>
            <w:left w:w="108" w:type="dxa"/>
            <w:bottom w:w="0" w:type="dxa"/>
            <w:right w:w="108" w:type="dxa"/>
          </w:tblCellMar>
        </w:tblPrEx>
        <w:trPr>
          <w:trHeight w:val="69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8"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提高绵竹市全域供水应急</w:t>
            </w:r>
            <w:r>
              <w:rPr>
                <w:rFonts w:hint="eastAsia" w:ascii="宋体" w:hAnsi="宋体" w:cs="宋体"/>
                <w:kern w:val="0"/>
                <w:sz w:val="20"/>
                <w:szCs w:val="20"/>
                <w:lang w:eastAsia="zh-CN"/>
              </w:rPr>
              <w:t>抗风险能力</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搭建绵竹供水“双水源模式”</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搭建绵竹供水“双水源模式”</w:t>
            </w:r>
          </w:p>
        </w:tc>
      </w:tr>
      <w:tr>
        <w:tblPrEx>
          <w:tblCellMar>
            <w:top w:w="0" w:type="dxa"/>
            <w:left w:w="108" w:type="dxa"/>
            <w:bottom w:w="0" w:type="dxa"/>
            <w:right w:w="108" w:type="dxa"/>
          </w:tblCellMar>
        </w:tblPrEx>
        <w:trPr>
          <w:trHeight w:val="61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75"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8"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兼顾部分乡镇的用水</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集中分散的镇乡水源管理</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集中分散的镇乡水源管理</w:t>
            </w:r>
          </w:p>
        </w:tc>
      </w:tr>
      <w:tr>
        <w:tblPrEx>
          <w:tblCellMar>
            <w:top w:w="0" w:type="dxa"/>
            <w:left w:w="108" w:type="dxa"/>
            <w:bottom w:w="0" w:type="dxa"/>
            <w:right w:w="108" w:type="dxa"/>
          </w:tblCellMar>
        </w:tblPrEx>
        <w:trPr>
          <w:trHeight w:val="76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为人民群众创造健康生活满意度</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&gt;99%</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&gt;99%</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jc w:val="center"/>
        <w:rPr>
          <w:rFonts w:ascii="仿宋_GB2312" w:hAnsi="宋体" w:eastAsia="仿宋_GB2312"/>
          <w:sz w:val="32"/>
          <w:szCs w:val="32"/>
        </w:rPr>
      </w:pPr>
      <w:r>
        <w:rPr>
          <w:rFonts w:hint="eastAsia" w:ascii="宋体" w:hAnsi="宋体" w:cs="宋体"/>
          <w:b/>
          <w:color w:val="000000"/>
          <w:sz w:val="44"/>
          <w:szCs w:val="44"/>
        </w:rPr>
        <w:t>项目支出绩效自评报告</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（绵竹市“十二五”污水管网城区延伸段污水干管建设项目）</w:t>
      </w:r>
    </w:p>
    <w:p>
      <w:pPr>
        <w:jc w:val="center"/>
        <w:rPr>
          <w:rFonts w:ascii="宋体" w:hAnsi="宋体"/>
          <w:sz w:val="32"/>
          <w:szCs w:val="32"/>
        </w:rPr>
      </w:pPr>
    </w:p>
    <w:p>
      <w:pPr>
        <w:adjustRightInd w:val="0"/>
        <w:snapToGrid w:val="0"/>
        <w:spacing w:line="560" w:lineRule="exact"/>
        <w:ind w:firstLine="803" w:firstLineChars="200"/>
        <w:rPr>
          <w:rFonts w:ascii="楷体_GB2312" w:hAnsi="宋体" w:eastAsia="楷体_GB2312"/>
          <w:b/>
          <w:sz w:val="40"/>
          <w:szCs w:val="40"/>
          <w:lang w:val="zh-CN"/>
        </w:rPr>
      </w:pPr>
      <w:r>
        <w:rPr>
          <w:rFonts w:hint="eastAsia" w:ascii="楷体_GB2312" w:hAnsi="宋体" w:eastAsia="楷体_GB2312"/>
          <w:b/>
          <w:sz w:val="40"/>
          <w:szCs w:val="40"/>
          <w:lang w:val="zh-CN"/>
        </w:rPr>
        <w:t>一、项目概况</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绵竹市“十二五”污水管网城区延伸段污水干管建设工程建设地点位于绵竹市北广场、玉妃路，共分三段。即：</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一段为二环路北广场污水管线段。新建污水管起点位于北二环路外侧，管线穿越二环路，在二环路内侧设一体化提升泵站。接潜污泵的管线向南排污接入下游现状玉妃路（西亭包装厂对面）污水井，全长371m。起点WS-1（X=23403.897,Y=71445.758</w:t>
      </w:r>
      <w:r>
        <w:rPr>
          <w:rFonts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终点WS-14(X=23624.420,Y=71364.789)。</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二段为玉妃路二段污水管线。从玉妃路已建污水井起自北向南排放接入下游现状污水井，途经两条沟渠（中渠子河、红岩支渠），全长187m。起点WF-1（X=23733.545,Y=70834.670</w:t>
      </w:r>
      <w:r>
        <w:rPr>
          <w:rFonts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终点WF-7(X=23868.339,Y=70753.875).</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三段为玉妃路（金三角段）污水管线。排水管线大致呈南北走向，经玉妃路与顺兴路交叉口金三角加油站现状污水井处大致由北向南，最终接至马尾河截污干管，长401m。起点WJ-1（X=24646.251,Y=67911.612</w:t>
      </w:r>
      <w:r>
        <w:rPr>
          <w:rFonts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终点WJ-14(X=426063.960,Y=3468371.859)。</w:t>
      </w:r>
    </w:p>
    <w:p>
      <w:pPr>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全线新建污水管道共计959m。其中WS-1</w:t>
      </w:r>
      <w:r>
        <w:rPr>
          <w:rFonts w:hint="eastAsia" w:ascii="仿宋" w:hAnsi="仿宋" w:eastAsia="仿宋"/>
          <w:sz w:val="32"/>
          <w:szCs w:val="32"/>
        </w:rPr>
        <w:t>～WS2共56m长的管道采用顶管施工法，污水提升泵有压污水管采用管径为DN300的焊接钢管，长15m；玉妃路二段过渠部分污水管采用管径为DN600焊接钢管，长45m；其余均为d600高密度聚氯乙烯双壁波纹管（HDPE</w:t>
      </w:r>
      <w:r>
        <w:rPr>
          <w:rFonts w:ascii="仿宋" w:hAnsi="仿宋" w:eastAsia="仿宋"/>
          <w:sz w:val="32"/>
          <w:szCs w:val="32"/>
        </w:rPr>
        <w:t>）</w:t>
      </w:r>
      <w:r>
        <w:rPr>
          <w:rFonts w:hint="eastAsia" w:ascii="仿宋" w:hAnsi="仿宋" w:eastAsia="仿宋"/>
          <w:sz w:val="32"/>
          <w:szCs w:val="32"/>
        </w:rPr>
        <w:t>。与现状污水管线的位置与管径关系详S-02《污水管线总图》，污水管与其他市政管线（给水管、燃气管、电力电缆等）的垂直、水平净距严格满足《室外排水工程规范 》GB50014-2006(2016年版)。</w:t>
      </w:r>
    </w:p>
    <w:p>
      <w:pPr>
        <w:numPr>
          <w:ilvl w:val="0"/>
          <w:numId w:val="16"/>
        </w:num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项目资金申报及批复情况。</w:t>
      </w:r>
    </w:p>
    <w:p>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2017年3月概算金额为531.49万元。其中工程费用389.85万元，其他费用102.27万元，基本预备费39.37万元。</w:t>
      </w:r>
      <w:r>
        <w:rPr>
          <w:rFonts w:hint="eastAsia" w:ascii="仿宋_GB2312" w:hAnsi="宋体" w:eastAsia="仿宋_GB2312"/>
          <w:sz w:val="32"/>
          <w:szCs w:val="32"/>
          <w:lang w:val="zh-CN"/>
        </w:rPr>
        <w:t>以上资金概算以及使用符合资金管理办法等相关规定。</w:t>
      </w:r>
    </w:p>
    <w:p>
      <w:pPr>
        <w:numPr>
          <w:ilvl w:val="0"/>
          <w:numId w:val="16"/>
        </w:num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项目绩效目标。</w:t>
      </w:r>
    </w:p>
    <w:p>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该项目绩效总目标为城市污水收集</w:t>
      </w:r>
      <w:r>
        <w:rPr>
          <w:rFonts w:hint="eastAsia" w:ascii="仿宋_GB2312" w:hAnsi="宋体" w:eastAsia="仿宋_GB2312"/>
          <w:sz w:val="32"/>
          <w:szCs w:val="32"/>
        </w:rPr>
        <w:t>，于2018年由五方责任主体对该项目进行竣工收后，于2018年达成项目绩效总目标。</w:t>
      </w:r>
    </w:p>
    <w:p>
      <w:pPr>
        <w:numPr>
          <w:ilvl w:val="0"/>
          <w:numId w:val="16"/>
        </w:num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项目资金申报相符性。</w:t>
      </w:r>
    </w:p>
    <w:p>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w:t>
      </w:r>
      <w:r>
        <w:rPr>
          <w:rFonts w:hint="eastAsia" w:ascii="仿宋_GB2312" w:hAnsi="宋体" w:eastAsia="仿宋_GB2312"/>
          <w:sz w:val="32"/>
          <w:szCs w:val="32"/>
        </w:rPr>
        <w:t>2018年年度资金概算指标合计531.49万元，现已申报241.9571万元，全部用于该项目相关费用拨付，申报内容与具体实施内容相符，申报目标总体合理。</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56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560" w:lineRule="exact"/>
        <w:ind w:firstLine="720"/>
        <w:rPr>
          <w:rFonts w:ascii="楷体_GB2312" w:hAnsi="宋体" w:eastAsia="楷体_GB2312"/>
          <w:sz w:val="32"/>
          <w:szCs w:val="32"/>
          <w:lang w:val="zh-CN"/>
        </w:rPr>
      </w:pPr>
      <w:r>
        <w:rPr>
          <w:rFonts w:hint="eastAsia" w:ascii="仿宋_GB2312" w:hAnsi="宋体" w:eastAsia="仿宋_GB2312"/>
          <w:sz w:val="32"/>
          <w:szCs w:val="32"/>
          <w:lang w:val="zh-CN"/>
        </w:rPr>
        <w:t>1.资金计划及到位。</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lang w:val="zh-CN"/>
        </w:rPr>
        <w:t>该项目资金概算指标全部为中央“十二五”污水管网专项资金，</w:t>
      </w:r>
      <w:r>
        <w:rPr>
          <w:rFonts w:hint="eastAsia" w:ascii="仿宋_GB2312" w:hAnsi="宋体" w:eastAsia="仿宋_GB2312"/>
          <w:sz w:val="32"/>
          <w:szCs w:val="32"/>
        </w:rPr>
        <w:t>到位率100%。</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资金使用。</w:t>
      </w:r>
    </w:p>
    <w:p>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截至评价时合计资金概算指标</w:t>
      </w:r>
      <w:r>
        <w:rPr>
          <w:rFonts w:hint="eastAsia" w:ascii="仿宋_GB2312" w:hAnsi="宋体" w:eastAsia="仿宋_GB2312"/>
          <w:sz w:val="32"/>
          <w:szCs w:val="32"/>
        </w:rPr>
        <w:t>531.49万元，现已申报241.9571万元，全部用于该项目相关费用的支付，支付标准及依据合规合法，资金支付与预算完全相符</w:t>
      </w:r>
      <w:r>
        <w:rPr>
          <w:rFonts w:hint="eastAsia" w:ascii="仿宋_GB2312" w:hAnsi="宋体" w:eastAsia="仿宋_GB2312"/>
          <w:sz w:val="32"/>
          <w:szCs w:val="32"/>
          <w:lang w:val="zh-CN"/>
        </w:rPr>
        <w:t>。</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依照法律、行政法规和国家财政行政主管部门的规定建立财务、会计制度；在每一会计季度终了时制作财务会计报表，按国家和有关部门的规定进行审计，报送财政、税务、工商行政管理等部门，并送交各股东审查；严格执行财务管理制度、财务处理及时、会计核算规范。</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该项目由绵竹市人民政府授权绵竹市建设局为主管部门，绵竹市供排水总公司为业主单位实施修建的项目，现该项目已竣工，并投入使用。</w:t>
      </w:r>
    </w:p>
    <w:p>
      <w:pPr>
        <w:adjustRightInd w:val="0"/>
        <w:snapToGrid w:val="0"/>
        <w:spacing w:line="56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60" w:lineRule="exact"/>
        <w:ind w:firstLine="720"/>
        <w:rPr>
          <w:rFonts w:ascii="仿宋_GB2312" w:hAnsi="宋体" w:eastAsia="仿宋_GB2312"/>
          <w:color w:val="FF0000"/>
          <w:sz w:val="32"/>
          <w:szCs w:val="32"/>
          <w:lang w:val="zh-CN"/>
        </w:rPr>
      </w:pPr>
      <w:r>
        <w:rPr>
          <w:rFonts w:hint="eastAsia" w:ascii="仿宋_GB2312" w:hAnsi="宋体" w:eastAsia="仿宋_GB2312"/>
          <w:sz w:val="32"/>
          <w:szCs w:val="32"/>
          <w:lang w:val="zh-CN"/>
        </w:rPr>
        <w:t>该项目绩效总目标为城市污水收集，现</w:t>
      </w:r>
      <w:r>
        <w:rPr>
          <w:rFonts w:hint="eastAsia" w:ascii="仿宋_GB2312" w:hAnsi="宋体" w:eastAsia="仿宋_GB2312"/>
          <w:sz w:val="32"/>
          <w:szCs w:val="32"/>
        </w:rPr>
        <w:t>完成项目绩效总目标。</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lang w:val="zh-CN"/>
        </w:rPr>
        <w:t>经济效益：根据国家建设部关于《征收排水设施有偿使用费的暂行规定》中的有关条例，参照有关城市的经验，结合本项目的实际情况，通过收取排污费，使本工程具有一定的经济效益。本项目并无显著的直接投资效益，但是，其投资的间接经济效益较为重要，主要是通过减少污水污染对社会造成的经济损失而表现出来。我国排水系统及污水处理设施建设的投入</w:t>
      </w:r>
      <w:r>
        <w:rPr>
          <w:rFonts w:hint="eastAsia" w:ascii="仿宋_GB2312" w:hAnsi="宋体" w:eastAsia="仿宋_GB2312"/>
          <w:sz w:val="32"/>
          <w:szCs w:val="32"/>
        </w:rPr>
        <w:t>可以减少因水污染造成的健康损失、地价损失、农业损失、工业损失。</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rPr>
        <w:t>社会效益：城市污水处理工程是一项保护环境、建设文明卫生城市，为子孙后代造福的公用事业工程，其效益主要表现为社会效益。本项目实施后，有效地解决了绵竹市水污染问题，为城市服务，为社会服务，可改善城市市容，提高卫生水平，保护人民身体健康，保护绵竹市美丽的自然环境。同时，该项目的建设，改善了绵竹市的投资环境，吸引更多的投资机会，促进地区经济发展。因此，该项目是把绵竹市建设成为一座风景优美、经济繁荣、社会稳定、生活方便的现代化城镇至关重要的基础设施，可见，其社会效益是显著的。</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rPr>
        <w:t>生态效益与可持续效益：</w:t>
      </w:r>
      <w:r>
        <w:rPr>
          <w:rFonts w:hint="eastAsia" w:ascii="仿宋_GB2312" w:hAnsi="宋体" w:eastAsia="仿宋_GB2312"/>
          <w:sz w:val="32"/>
          <w:szCs w:val="32"/>
          <w:lang w:val="zh-CN"/>
        </w:rPr>
        <w:t>该项目建成后，每年截留大量的污染物，对改善区域水环境具有积极的作用，同时提高区域内人民的生活质量，改善人们的生活环境有明显的促进作用。同时，对改善下游河流以及城区的水环境质量都有十分积极的作用，带来的生态效益与可持续效益是明显的。</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服务对象满意度：该项目投运以来，一直稳定运行，达标排放，极大地改善了绵竹市的水环境质量，为人民群众创造了健康的生活环境，提升人民幸福感，提高群众满意度是明显的。</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560" w:lineRule="exact"/>
        <w:ind w:firstLine="720"/>
        <w:rPr>
          <w:rFonts w:ascii="仿宋" w:hAnsi="仿宋" w:eastAsia="仿宋" w:cs="仿宋"/>
          <w:bCs/>
          <w:sz w:val="32"/>
          <w:szCs w:val="32"/>
        </w:rPr>
      </w:pPr>
      <w:r>
        <w:rPr>
          <w:rFonts w:hint="eastAsia" w:ascii="仿宋" w:hAnsi="仿宋" w:eastAsia="仿宋" w:cs="仿宋"/>
          <w:bCs/>
          <w:sz w:val="32"/>
          <w:szCs w:val="32"/>
        </w:rPr>
        <w:t>1、武都上游段有雨水接入该段管网；</w:t>
      </w:r>
    </w:p>
    <w:p>
      <w:pPr>
        <w:adjustRightInd w:val="0"/>
        <w:snapToGrid w:val="0"/>
        <w:spacing w:line="560" w:lineRule="exact"/>
        <w:ind w:firstLine="720"/>
        <w:rPr>
          <w:rFonts w:ascii="仿宋_GB2312" w:hAnsi="宋体" w:eastAsia="仿宋_GB2312"/>
          <w:sz w:val="32"/>
          <w:szCs w:val="32"/>
        </w:rPr>
      </w:pPr>
      <w:r>
        <w:rPr>
          <w:rFonts w:hint="eastAsia" w:ascii="仿宋" w:hAnsi="仿宋" w:eastAsia="仿宋" w:cs="仿宋"/>
          <w:bCs/>
          <w:sz w:val="32"/>
          <w:szCs w:val="32"/>
        </w:rPr>
        <w:t>2、施工单位一直未办理工程结算，我公司将加紧督促施工单位办理工程结算。</w:t>
      </w:r>
    </w:p>
    <w:p>
      <w:pPr>
        <w:pStyle w:val="2"/>
        <w:spacing w:before="93"/>
        <w:rPr>
          <w:rFonts w:hAnsi="宋体" w:cs="宋体"/>
          <w:sz w:val="32"/>
          <w:szCs w:val="32"/>
          <w:shd w:val="clear" w:color="auto" w:fill="FFFFFF"/>
        </w:rPr>
      </w:pPr>
    </w:p>
    <w:tbl>
      <w:tblPr>
        <w:tblStyle w:val="13"/>
        <w:tblW w:w="10315" w:type="dxa"/>
        <w:jc w:val="center"/>
        <w:tblLayout w:type="autofit"/>
        <w:tblCellMar>
          <w:top w:w="0" w:type="dxa"/>
          <w:left w:w="108" w:type="dxa"/>
          <w:bottom w:w="0" w:type="dxa"/>
          <w:right w:w="108" w:type="dxa"/>
        </w:tblCellMar>
      </w:tblPr>
      <w:tblGrid>
        <w:gridCol w:w="1046"/>
        <w:gridCol w:w="1048"/>
        <w:gridCol w:w="1417"/>
        <w:gridCol w:w="1295"/>
        <w:gridCol w:w="831"/>
        <w:gridCol w:w="2443"/>
        <w:gridCol w:w="2235"/>
      </w:tblGrid>
      <w:tr>
        <w:tblPrEx>
          <w:tblCellMar>
            <w:top w:w="0" w:type="dxa"/>
            <w:left w:w="108" w:type="dxa"/>
            <w:bottom w:w="0" w:type="dxa"/>
            <w:right w:w="108" w:type="dxa"/>
          </w:tblCellMar>
        </w:tblPrEx>
        <w:trPr>
          <w:trHeight w:val="405" w:hRule="atLeast"/>
          <w:jc w:val="center"/>
        </w:trPr>
        <w:tc>
          <w:tcPr>
            <w:tcW w:w="10315"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10315"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85" w:hRule="atLeast"/>
          <w:jc w:val="center"/>
        </w:trPr>
        <w:tc>
          <w:tcPr>
            <w:tcW w:w="1046"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048"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1417"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1295"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831"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2443"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2235"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435" w:hRule="atLeast"/>
          <w:jc w:val="center"/>
        </w:trPr>
        <w:tc>
          <w:tcPr>
            <w:tcW w:w="35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80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绵竹市“十二五”污水管网城区延伸段污水干管建设工程</w:t>
            </w:r>
          </w:p>
        </w:tc>
      </w:tr>
      <w:tr>
        <w:tblPrEx>
          <w:tblCellMar>
            <w:top w:w="0" w:type="dxa"/>
            <w:left w:w="108" w:type="dxa"/>
            <w:bottom w:w="0" w:type="dxa"/>
            <w:right w:w="108" w:type="dxa"/>
          </w:tblCellMar>
        </w:tblPrEx>
        <w:trPr>
          <w:trHeight w:val="405" w:hRule="atLeast"/>
          <w:jc w:val="center"/>
        </w:trPr>
        <w:tc>
          <w:tcPr>
            <w:tcW w:w="351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80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5" w:hRule="atLeast"/>
          <w:jc w:val="center"/>
        </w:trPr>
        <w:tc>
          <w:tcPr>
            <w:tcW w:w="10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4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12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12.318488万元</w:t>
            </w:r>
          </w:p>
        </w:tc>
        <w:tc>
          <w:tcPr>
            <w:tcW w:w="24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12.318488万元</w:t>
            </w:r>
          </w:p>
        </w:tc>
      </w:tr>
      <w:tr>
        <w:tblPrEx>
          <w:tblCellMar>
            <w:top w:w="0" w:type="dxa"/>
            <w:left w:w="108" w:type="dxa"/>
            <w:bottom w:w="0" w:type="dxa"/>
            <w:right w:w="108" w:type="dxa"/>
          </w:tblCellMar>
        </w:tblPrEx>
        <w:trPr>
          <w:trHeight w:val="570"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12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12.318488万元</w:t>
            </w:r>
          </w:p>
        </w:tc>
        <w:tc>
          <w:tcPr>
            <w:tcW w:w="2443"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12.318488万元</w:t>
            </w:r>
          </w:p>
        </w:tc>
      </w:tr>
      <w:tr>
        <w:tblPrEx>
          <w:tblCellMar>
            <w:top w:w="0" w:type="dxa"/>
            <w:left w:w="108" w:type="dxa"/>
            <w:bottom w:w="0" w:type="dxa"/>
            <w:right w:w="108" w:type="dxa"/>
          </w:tblCellMar>
        </w:tblPrEx>
        <w:trPr>
          <w:trHeight w:val="495"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65"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12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443"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795" w:hRule="atLeast"/>
          <w:jc w:val="center"/>
        </w:trPr>
        <w:tc>
          <w:tcPr>
            <w:tcW w:w="104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59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6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739"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59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绵竹市“十二五”污水管网城区延伸段污水干管建设工程总体目标为城市污水收集。</w:t>
            </w:r>
          </w:p>
        </w:tc>
        <w:tc>
          <w:tcPr>
            <w:tcW w:w="467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现已达到目标。</w:t>
            </w:r>
          </w:p>
        </w:tc>
      </w:tr>
      <w:tr>
        <w:tblPrEx>
          <w:tblCellMar>
            <w:top w:w="0" w:type="dxa"/>
            <w:left w:w="108" w:type="dxa"/>
            <w:bottom w:w="0" w:type="dxa"/>
            <w:right w:w="108" w:type="dxa"/>
          </w:tblCellMar>
        </w:tblPrEx>
        <w:trPr>
          <w:trHeight w:val="660" w:hRule="atLeast"/>
          <w:jc w:val="center"/>
        </w:trPr>
        <w:tc>
          <w:tcPr>
            <w:tcW w:w="1046"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048"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104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4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417"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完成污水管道安装长度</w:t>
            </w:r>
          </w:p>
        </w:tc>
        <w:tc>
          <w:tcPr>
            <w:tcW w:w="2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已完成959m成污水管道安装</w:t>
            </w:r>
          </w:p>
        </w:tc>
        <w:tc>
          <w:tcPr>
            <w:tcW w:w="2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已完成959m成污水管道安装</w:t>
            </w:r>
          </w:p>
        </w:tc>
      </w:tr>
      <w:tr>
        <w:tblPrEx>
          <w:tblCellMar>
            <w:top w:w="0" w:type="dxa"/>
            <w:left w:w="108" w:type="dxa"/>
            <w:bottom w:w="0" w:type="dxa"/>
            <w:right w:w="108" w:type="dxa"/>
          </w:tblCellMar>
        </w:tblPrEx>
        <w:trPr>
          <w:trHeight w:val="480" w:hRule="atLeast"/>
          <w:jc w:val="center"/>
        </w:trPr>
        <w:tc>
          <w:tcPr>
            <w:tcW w:w="104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工程质量合格率</w:t>
            </w:r>
          </w:p>
        </w:tc>
        <w:tc>
          <w:tcPr>
            <w:tcW w:w="2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104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完成时限</w:t>
            </w:r>
          </w:p>
        </w:tc>
        <w:tc>
          <w:tcPr>
            <w:tcW w:w="2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2018年5月</w:t>
            </w:r>
          </w:p>
        </w:tc>
        <w:tc>
          <w:tcPr>
            <w:tcW w:w="2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2018年5月</w:t>
            </w:r>
          </w:p>
        </w:tc>
      </w:tr>
      <w:tr>
        <w:tblPrEx>
          <w:tblCellMar>
            <w:top w:w="0" w:type="dxa"/>
            <w:left w:w="108" w:type="dxa"/>
            <w:bottom w:w="0" w:type="dxa"/>
            <w:right w:w="108" w:type="dxa"/>
          </w:tblCellMar>
        </w:tblPrEx>
        <w:trPr>
          <w:trHeight w:val="1140" w:hRule="atLeast"/>
          <w:jc w:val="center"/>
        </w:trPr>
        <w:tc>
          <w:tcPr>
            <w:tcW w:w="104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4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工程费用</w:t>
            </w:r>
          </w:p>
        </w:tc>
        <w:tc>
          <w:tcPr>
            <w:tcW w:w="2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≥531.49万元</w:t>
            </w:r>
          </w:p>
        </w:tc>
        <w:tc>
          <w:tcPr>
            <w:tcW w:w="2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概算金额为531.49万元。其中工程费用389.85万元，其他费用102.27万元，基本预备费39.37万元。</w:t>
            </w:r>
          </w:p>
        </w:tc>
      </w:tr>
      <w:tr>
        <w:tblPrEx>
          <w:tblCellMar>
            <w:top w:w="0" w:type="dxa"/>
            <w:left w:w="108" w:type="dxa"/>
            <w:bottom w:w="0" w:type="dxa"/>
            <w:right w:w="108" w:type="dxa"/>
          </w:tblCellMar>
        </w:tblPrEx>
        <w:trPr>
          <w:trHeight w:val="615" w:hRule="atLeast"/>
          <w:jc w:val="center"/>
        </w:trPr>
        <w:tc>
          <w:tcPr>
            <w:tcW w:w="104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4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41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改善居民生活环境</w:t>
            </w:r>
          </w:p>
        </w:tc>
        <w:tc>
          <w:tcPr>
            <w:tcW w:w="2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居民生活环境得到</w:t>
            </w:r>
            <w:r>
              <w:rPr>
                <w:rFonts w:hint="eastAsia" w:ascii="宋体" w:hAnsi="宋体" w:cs="宋体"/>
                <w:kern w:val="0"/>
                <w:sz w:val="20"/>
                <w:szCs w:val="20"/>
                <w:lang w:eastAsia="zh-CN"/>
              </w:rPr>
              <w:t>较大</w:t>
            </w:r>
            <w:r>
              <w:rPr>
                <w:rFonts w:hint="eastAsia" w:ascii="宋体" w:hAnsi="宋体" w:cs="宋体"/>
                <w:kern w:val="0"/>
                <w:sz w:val="20"/>
                <w:szCs w:val="20"/>
              </w:rPr>
              <w:t>提升</w:t>
            </w:r>
          </w:p>
        </w:tc>
        <w:tc>
          <w:tcPr>
            <w:tcW w:w="2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居民生活环境得到</w:t>
            </w:r>
            <w:r>
              <w:rPr>
                <w:rFonts w:hint="eastAsia" w:ascii="宋体" w:hAnsi="宋体" w:cs="宋体"/>
                <w:kern w:val="0"/>
                <w:sz w:val="20"/>
                <w:szCs w:val="20"/>
                <w:lang w:eastAsia="zh-CN"/>
              </w:rPr>
              <w:t>较大</w:t>
            </w:r>
            <w:r>
              <w:rPr>
                <w:rFonts w:hint="eastAsia" w:ascii="宋体" w:hAnsi="宋体" w:cs="宋体"/>
                <w:kern w:val="0"/>
                <w:sz w:val="20"/>
                <w:szCs w:val="20"/>
              </w:rPr>
              <w:t>提升</w:t>
            </w:r>
          </w:p>
        </w:tc>
      </w:tr>
      <w:tr>
        <w:tblPrEx>
          <w:tblCellMar>
            <w:top w:w="0" w:type="dxa"/>
            <w:left w:w="108" w:type="dxa"/>
            <w:bottom w:w="0" w:type="dxa"/>
            <w:right w:w="108" w:type="dxa"/>
          </w:tblCellMar>
        </w:tblPrEx>
        <w:trPr>
          <w:trHeight w:val="480" w:hRule="atLeast"/>
          <w:jc w:val="center"/>
        </w:trPr>
        <w:tc>
          <w:tcPr>
            <w:tcW w:w="1046"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4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减少环境污染</w:t>
            </w:r>
          </w:p>
        </w:tc>
        <w:tc>
          <w:tcPr>
            <w:tcW w:w="2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统一收集、统一处理、减少污染</w:t>
            </w:r>
          </w:p>
        </w:tc>
        <w:tc>
          <w:tcPr>
            <w:tcW w:w="2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统一收集、统一处理、减少污染</w:t>
            </w:r>
          </w:p>
        </w:tc>
      </w:tr>
      <w:tr>
        <w:tblPrEx>
          <w:tblCellMar>
            <w:top w:w="0" w:type="dxa"/>
            <w:left w:w="108" w:type="dxa"/>
            <w:bottom w:w="0" w:type="dxa"/>
            <w:right w:w="108" w:type="dxa"/>
          </w:tblCellMar>
        </w:tblPrEx>
        <w:trPr>
          <w:trHeight w:val="675" w:hRule="atLeast"/>
          <w:jc w:val="center"/>
        </w:trPr>
        <w:tc>
          <w:tcPr>
            <w:tcW w:w="104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4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群众满意率</w:t>
            </w:r>
          </w:p>
        </w:tc>
        <w:tc>
          <w:tcPr>
            <w:tcW w:w="24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23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before="312" w:beforeLines="100" w:after="312" w:afterLines="100" w:line="580" w:lineRule="exact"/>
        <w:ind w:firstLine="885"/>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adjustRightInd w:val="0"/>
        <w:snapToGrid w:val="0"/>
        <w:spacing w:line="580" w:lineRule="exact"/>
        <w:ind w:firstLine="720"/>
        <w:jc w:val="center"/>
        <w:rPr>
          <w:rFonts w:ascii="仿宋" w:hAnsi="仿宋" w:eastAsia="仿宋"/>
          <w:sz w:val="32"/>
          <w:szCs w:val="32"/>
          <w:lang w:val="zh-CN"/>
        </w:rPr>
      </w:pPr>
      <w:r>
        <w:rPr>
          <w:rFonts w:hint="eastAsia" w:ascii="仿宋" w:hAnsi="仿宋" w:eastAsia="仿宋"/>
          <w:sz w:val="32"/>
          <w:szCs w:val="32"/>
          <w:lang w:val="zh-CN"/>
        </w:rPr>
        <w:t>（绵竹市城市饮用水源地一级保护区土地流转、保护及水源一级保护区生态苗木管理项目）</w:t>
      </w:r>
    </w:p>
    <w:p>
      <w:pPr>
        <w:adjustRightInd w:val="0"/>
        <w:snapToGrid w:val="0"/>
        <w:spacing w:line="640" w:lineRule="exact"/>
        <w:ind w:firstLine="720"/>
        <w:rPr>
          <w:rFonts w:ascii="黑体" w:hAnsi="宋体" w:eastAsia="黑体"/>
          <w:sz w:val="32"/>
          <w:szCs w:val="32"/>
        </w:rPr>
      </w:pPr>
    </w:p>
    <w:p>
      <w:pPr>
        <w:adjustRightInd w:val="0"/>
        <w:snapToGrid w:val="0"/>
        <w:spacing w:line="64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绵竹市城市饮用水源保护区位于绵竹市紫岩街道天齐村、赤竹村、东北社区、蔚泉社区，汉旺镇东普村，富新镇杜茅村。一级保护区现流转土地297.75亩，流转土地用于生态苗木种植。</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40" w:lineRule="exact"/>
        <w:ind w:firstLine="640" w:firstLineChars="200"/>
        <w:rPr>
          <w:rFonts w:ascii="仿宋_GB2312" w:hAnsi="宋体" w:eastAsia="仿宋_GB2312"/>
          <w:sz w:val="32"/>
          <w:szCs w:val="32"/>
          <w:lang w:val="zh-CN"/>
        </w:rPr>
      </w:pPr>
      <w:r>
        <w:rPr>
          <w:rFonts w:ascii="仿宋_GB2312" w:hAnsi="宋体" w:eastAsia="仿宋_GB2312"/>
          <w:sz w:val="32"/>
          <w:szCs w:val="32"/>
        </w:rPr>
        <w:t>2</w:t>
      </w:r>
      <w:r>
        <w:rPr>
          <w:rFonts w:hint="eastAsia" w:ascii="仿宋_GB2312" w:hAnsi="宋体" w:eastAsia="仿宋_GB2312"/>
          <w:sz w:val="32"/>
          <w:szCs w:val="32"/>
        </w:rPr>
        <w:t>0</w:t>
      </w:r>
      <w:r>
        <w:rPr>
          <w:rFonts w:ascii="仿宋_GB2312" w:hAnsi="宋体" w:eastAsia="仿宋_GB2312"/>
          <w:sz w:val="32"/>
          <w:szCs w:val="32"/>
        </w:rPr>
        <w:t>2</w:t>
      </w:r>
      <w:r>
        <w:rPr>
          <w:rFonts w:hint="eastAsia" w:ascii="仿宋_GB2312" w:hAnsi="宋体" w:eastAsia="仿宋_GB2312"/>
          <w:sz w:val="32"/>
          <w:szCs w:val="32"/>
        </w:rPr>
        <w:t>1年申报该笔专项资金98.73万，经市政府及人大同意由财政投资预算财政预算98.73万元，</w:t>
      </w:r>
      <w:r>
        <w:rPr>
          <w:rFonts w:hint="eastAsia" w:ascii="仿宋_GB2312" w:hAnsi="宋体" w:eastAsia="仿宋_GB2312"/>
          <w:sz w:val="32"/>
          <w:szCs w:val="32"/>
          <w:lang w:val="zh-CN"/>
        </w:rPr>
        <w:t>该资金预算及使用符合资金管理办法等相关规定。</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640" w:lineRule="exact"/>
        <w:ind w:firstLine="640" w:firstLineChars="200"/>
        <w:rPr>
          <w:rFonts w:eastAsia="仿宋_GB2312"/>
          <w:sz w:val="32"/>
          <w:szCs w:val="32"/>
        </w:rPr>
      </w:pPr>
      <w:r>
        <w:rPr>
          <w:rFonts w:hint="eastAsia" w:eastAsia="仿宋_GB2312"/>
          <w:sz w:val="32"/>
          <w:szCs w:val="32"/>
        </w:rPr>
        <w:t>该项目绩效总目标符合《中华人民共和国水污染防治法</w:t>
      </w:r>
      <w:r>
        <w:rPr>
          <w:rFonts w:hint="eastAsia" w:eastAsia="仿宋_GB2312"/>
          <w:sz w:val="32"/>
          <w:szCs w:val="32"/>
          <w:lang w:eastAsia="zh-CN"/>
        </w:rPr>
        <w:t>》《</w:t>
      </w:r>
      <w:r>
        <w:rPr>
          <w:rFonts w:hint="eastAsia" w:eastAsia="仿宋_GB2312"/>
          <w:sz w:val="32"/>
          <w:szCs w:val="32"/>
        </w:rPr>
        <w:t>集中式饮用水水源地规范化建设环境保护技术要求》及《四川省饮用水水源保护管理条例》等</w:t>
      </w:r>
      <w:r>
        <w:rPr>
          <w:rFonts w:hint="eastAsia" w:eastAsia="仿宋_GB2312"/>
          <w:sz w:val="32"/>
          <w:szCs w:val="32"/>
          <w:lang w:eastAsia="zh-CN"/>
        </w:rPr>
        <w:t>法律法规</w:t>
      </w:r>
      <w:r>
        <w:rPr>
          <w:rFonts w:hint="eastAsia" w:eastAsia="仿宋_GB2312"/>
          <w:sz w:val="32"/>
          <w:szCs w:val="32"/>
        </w:rPr>
        <w:t>、标准要求，根据验收前自查已达成项目绩效总目标。20</w:t>
      </w:r>
      <w:r>
        <w:rPr>
          <w:rFonts w:eastAsia="仿宋_GB2312"/>
          <w:sz w:val="32"/>
          <w:szCs w:val="32"/>
        </w:rPr>
        <w:t>2</w:t>
      </w:r>
      <w:r>
        <w:rPr>
          <w:rFonts w:hint="eastAsia" w:eastAsia="仿宋_GB2312"/>
          <w:sz w:val="32"/>
          <w:szCs w:val="32"/>
        </w:rPr>
        <w:t>1年资金预算指标年初为98.73万元。</w:t>
      </w:r>
    </w:p>
    <w:p>
      <w:pPr>
        <w:adjustRightInd w:val="0"/>
        <w:snapToGrid w:val="0"/>
        <w:spacing w:line="640" w:lineRule="exact"/>
        <w:ind w:left="720"/>
        <w:rPr>
          <w:rFonts w:ascii="楷体_GB2312" w:hAnsi="宋体" w:eastAsia="楷体_GB2312"/>
          <w:b/>
          <w:sz w:val="32"/>
          <w:szCs w:val="32"/>
          <w:lang w:val="zh-CN"/>
        </w:rPr>
      </w:pPr>
      <w:r>
        <w:rPr>
          <w:rFonts w:hint="eastAsia" w:ascii="楷体_GB2312" w:hAnsi="宋体" w:eastAsia="楷体_GB2312"/>
          <w:b/>
          <w:sz w:val="32"/>
          <w:szCs w:val="32"/>
          <w:lang w:val="zh-CN"/>
        </w:rPr>
        <w:t>（三）项目资金申报相符性。</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w:t>
      </w:r>
      <w:r>
        <w:rPr>
          <w:rFonts w:hint="eastAsia" w:ascii="仿宋_GB2312" w:hAnsi="宋体" w:eastAsia="仿宋_GB2312"/>
          <w:sz w:val="32"/>
          <w:szCs w:val="32"/>
        </w:rPr>
        <w:t>20</w:t>
      </w:r>
      <w:r>
        <w:rPr>
          <w:rFonts w:ascii="仿宋_GB2312" w:hAnsi="宋体" w:eastAsia="仿宋_GB2312"/>
          <w:sz w:val="32"/>
          <w:szCs w:val="32"/>
        </w:rPr>
        <w:t>2</w:t>
      </w:r>
      <w:r>
        <w:rPr>
          <w:rFonts w:hint="eastAsia" w:ascii="仿宋_GB2312" w:hAnsi="宋体" w:eastAsia="仿宋_GB2312"/>
          <w:sz w:val="32"/>
          <w:szCs w:val="32"/>
        </w:rPr>
        <w:t>1年年度资金预算指标合计98.73万元，全部用于城市饮用水源保护，申报内容与具体实施内容相符。</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64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640" w:lineRule="exact"/>
        <w:ind w:firstLine="720"/>
        <w:rPr>
          <w:rFonts w:ascii="楷体_GB2312" w:hAnsi="宋体" w:eastAsia="楷体_GB2312"/>
          <w:sz w:val="32"/>
          <w:szCs w:val="32"/>
          <w:lang w:val="zh-CN"/>
        </w:rPr>
      </w:pPr>
      <w:r>
        <w:rPr>
          <w:rFonts w:hint="eastAsia" w:ascii="仿宋_GB2312" w:hAnsi="宋体" w:eastAsia="仿宋_GB2312"/>
          <w:sz w:val="32"/>
          <w:szCs w:val="32"/>
          <w:lang w:val="zh-CN"/>
        </w:rPr>
        <w:t>1.资金计划及到位。</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lang w:val="zh-CN"/>
        </w:rPr>
        <w:t>该项目资金预算指标为政府拨款，</w:t>
      </w:r>
      <w:r>
        <w:rPr>
          <w:rFonts w:hint="eastAsia" w:ascii="仿宋_GB2312" w:hAnsi="宋体" w:eastAsia="仿宋_GB2312"/>
          <w:sz w:val="32"/>
          <w:szCs w:val="32"/>
        </w:rPr>
        <w:t>资金预算指标完全到位。</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资金使用。</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截至评价时合计资金预算指标</w:t>
      </w:r>
      <w:r>
        <w:rPr>
          <w:rFonts w:hint="eastAsia" w:ascii="仿宋_GB2312" w:hAnsi="宋体" w:eastAsia="仿宋_GB2312"/>
          <w:sz w:val="32"/>
          <w:szCs w:val="32"/>
        </w:rPr>
        <w:t>98.73万元，全部用于城市饮用水水源保护，支付标准及依据合规合法，资金支付与预算完全相符</w:t>
      </w:r>
      <w:r>
        <w:rPr>
          <w:rFonts w:hint="eastAsia" w:ascii="仿宋_GB2312" w:hAnsi="宋体" w:eastAsia="仿宋_GB2312"/>
          <w:sz w:val="32"/>
          <w:szCs w:val="32"/>
          <w:lang w:val="zh-CN"/>
        </w:rPr>
        <w:t>。</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依照法律、行政法规和国家财政行政主管部门的规定建立财务、会计制度；在每一会计季度终了时制作财务会计报表，按国家和有关部门的规定进行审计，报送财政；严格执行财务管理制度、财务处理及时、会计核算规范。</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该项目由绵竹市人民政府授权绵竹市城市供水服务中心进行日常监督和管理，每日安排专人对城市饮用水水源地进行巡查，每季对该一级保护区生态苗木管护进行考核。</w:t>
      </w:r>
    </w:p>
    <w:p>
      <w:pPr>
        <w:adjustRightInd w:val="0"/>
        <w:snapToGrid w:val="0"/>
        <w:spacing w:line="64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40" w:lineRule="exact"/>
        <w:ind w:firstLine="72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每年初与水源地所在村（社区）签订生态苗木管护协议，每季进行考核，考核结果与管护费挂钩。经自查完成项目绩效总目标。</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lang w:val="zh-CN"/>
        </w:rPr>
        <w:t>城市饮用水水源地经规范化建设和有效管护，符合国家相关法律法规、标准要求，水源水质稳定、达标。</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640" w:lineRule="exact"/>
        <w:ind w:firstLine="720"/>
        <w:rPr>
          <w:rFonts w:ascii="楷体_GB2312" w:hAnsi="宋体" w:eastAsia="楷体_GB2312"/>
          <w:b/>
          <w:sz w:val="32"/>
          <w:szCs w:val="32"/>
        </w:rPr>
      </w:pPr>
      <w:r>
        <w:rPr>
          <w:rFonts w:hint="eastAsia" w:ascii="楷体_GB2312" w:hAnsi="宋体" w:eastAsia="楷体_GB2312"/>
          <w:b/>
          <w:sz w:val="32"/>
          <w:szCs w:val="32"/>
        </w:rPr>
        <w:t>无</w:t>
      </w:r>
    </w:p>
    <w:p>
      <w:pPr>
        <w:numPr>
          <w:ilvl w:val="0"/>
          <w:numId w:val="10"/>
        </w:num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相关建议。</w:t>
      </w:r>
    </w:p>
    <w:p>
      <w:pPr>
        <w:adjustRightInd w:val="0"/>
        <w:snapToGrid w:val="0"/>
        <w:spacing w:line="640" w:lineRule="exact"/>
        <w:ind w:firstLine="642" w:firstLineChars="200"/>
        <w:rPr>
          <w:rFonts w:ascii="楷体_GB2312" w:hAnsi="宋体" w:eastAsia="楷体_GB2312"/>
          <w:b/>
          <w:sz w:val="32"/>
          <w:szCs w:val="32"/>
        </w:rPr>
      </w:pPr>
      <w:r>
        <w:rPr>
          <w:rFonts w:hint="eastAsia" w:ascii="楷体_GB2312" w:hAnsi="宋体" w:eastAsia="楷体_GB2312"/>
          <w:b/>
          <w:sz w:val="32"/>
          <w:szCs w:val="32"/>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10407" w:type="dxa"/>
        <w:jc w:val="center"/>
        <w:tblLayout w:type="autofit"/>
        <w:tblCellMar>
          <w:top w:w="0" w:type="dxa"/>
          <w:left w:w="108" w:type="dxa"/>
          <w:bottom w:w="0" w:type="dxa"/>
          <w:right w:w="108" w:type="dxa"/>
        </w:tblCellMar>
      </w:tblPr>
      <w:tblGrid>
        <w:gridCol w:w="967"/>
        <w:gridCol w:w="940"/>
        <w:gridCol w:w="987"/>
        <w:gridCol w:w="1513"/>
        <w:gridCol w:w="820"/>
        <w:gridCol w:w="2320"/>
        <w:gridCol w:w="2860"/>
      </w:tblGrid>
      <w:tr>
        <w:tblPrEx>
          <w:tblCellMar>
            <w:top w:w="0" w:type="dxa"/>
            <w:left w:w="108" w:type="dxa"/>
            <w:bottom w:w="0" w:type="dxa"/>
            <w:right w:w="108" w:type="dxa"/>
          </w:tblCellMar>
        </w:tblPrEx>
        <w:trPr>
          <w:trHeight w:val="405" w:hRule="atLeast"/>
          <w:jc w:val="center"/>
        </w:trPr>
        <w:tc>
          <w:tcPr>
            <w:tcW w:w="10407"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10407"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（2021年度）</w:t>
            </w:r>
          </w:p>
        </w:tc>
      </w:tr>
      <w:tr>
        <w:tblPrEx>
          <w:tblCellMar>
            <w:top w:w="0" w:type="dxa"/>
            <w:left w:w="108" w:type="dxa"/>
            <w:bottom w:w="0" w:type="dxa"/>
            <w:right w:w="108" w:type="dxa"/>
          </w:tblCellMar>
        </w:tblPrEx>
        <w:trPr>
          <w:trHeight w:val="270" w:hRule="atLeast"/>
          <w:jc w:val="center"/>
        </w:trPr>
        <w:tc>
          <w:tcPr>
            <w:tcW w:w="967"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87"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51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82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32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86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28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751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绵竹市城市饮用水消耗保护和水源一级保护区生态苗木管理费</w:t>
            </w:r>
          </w:p>
        </w:tc>
      </w:tr>
      <w:tr>
        <w:tblPrEx>
          <w:tblCellMar>
            <w:top w:w="0" w:type="dxa"/>
            <w:left w:w="108" w:type="dxa"/>
            <w:bottom w:w="0" w:type="dxa"/>
            <w:right w:w="108" w:type="dxa"/>
          </w:tblCellMar>
        </w:tblPrEx>
        <w:trPr>
          <w:trHeight w:val="270" w:hRule="atLeast"/>
          <w:jc w:val="center"/>
        </w:trPr>
        <w:tc>
          <w:tcPr>
            <w:tcW w:w="28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751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市住建局</w:t>
            </w:r>
          </w:p>
        </w:tc>
      </w:tr>
      <w:tr>
        <w:tblPrEx>
          <w:tblCellMar>
            <w:top w:w="0" w:type="dxa"/>
            <w:left w:w="108" w:type="dxa"/>
            <w:bottom w:w="0" w:type="dxa"/>
            <w:right w:w="108" w:type="dxa"/>
          </w:tblCellMar>
        </w:tblPrEx>
        <w:trPr>
          <w:trHeight w:val="270" w:hRule="atLeast"/>
          <w:jc w:val="center"/>
        </w:trPr>
        <w:tc>
          <w:tcPr>
            <w:tcW w:w="9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3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19" w:hRule="atLeast"/>
          <w:jc w:val="center"/>
        </w:trPr>
        <w:tc>
          <w:tcPr>
            <w:tcW w:w="9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3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98.73万元</w:t>
            </w:r>
          </w:p>
        </w:tc>
        <w:tc>
          <w:tcPr>
            <w:tcW w:w="232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其中：财政拨款</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98.73万元</w:t>
            </w:r>
          </w:p>
        </w:tc>
      </w:tr>
      <w:tr>
        <w:tblPrEx>
          <w:tblCellMar>
            <w:top w:w="0" w:type="dxa"/>
            <w:left w:w="108" w:type="dxa"/>
            <w:bottom w:w="0" w:type="dxa"/>
            <w:right w:w="108" w:type="dxa"/>
          </w:tblCellMar>
        </w:tblPrEx>
        <w:trPr>
          <w:trHeight w:val="567" w:hRule="atLeast"/>
          <w:jc w:val="center"/>
        </w:trPr>
        <w:tc>
          <w:tcPr>
            <w:tcW w:w="9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9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33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3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其他资金</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89" w:hRule="atLeast"/>
          <w:jc w:val="center"/>
        </w:trPr>
        <w:tc>
          <w:tcPr>
            <w:tcW w:w="967"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2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5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259" w:hRule="atLeast"/>
          <w:jc w:val="center"/>
        </w:trPr>
        <w:tc>
          <w:tcPr>
            <w:tcW w:w="9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26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2021年度租地约300亩，租地标准1200元/亩；每口水源井每年对所属村民小组补偿；2021年度一级保护区内租地约300亩内的生态苗木进行管护。</w:t>
            </w:r>
          </w:p>
        </w:tc>
        <w:tc>
          <w:tcPr>
            <w:tcW w:w="51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2021年度租地约300亩，租地标准1200元/亩；每口水源井每年对所属村民小组补偿；2021年度一级保护区内租地约300亩内的生态苗木进行管护。</w:t>
            </w:r>
          </w:p>
        </w:tc>
      </w:tr>
      <w:tr>
        <w:tblPrEx>
          <w:tblCellMar>
            <w:top w:w="0" w:type="dxa"/>
            <w:left w:w="108" w:type="dxa"/>
            <w:bottom w:w="0" w:type="dxa"/>
            <w:right w:w="108" w:type="dxa"/>
          </w:tblCellMar>
        </w:tblPrEx>
        <w:trPr>
          <w:trHeight w:val="480" w:hRule="atLeast"/>
          <w:jc w:val="center"/>
        </w:trPr>
        <w:tc>
          <w:tcPr>
            <w:tcW w:w="967"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98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3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540" w:hRule="atLeast"/>
          <w:jc w:val="center"/>
        </w:trPr>
        <w:tc>
          <w:tcPr>
            <w:tcW w:w="967"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987"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3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一级保护区生态补偿费</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33万元</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33万元</w:t>
            </w:r>
          </w:p>
        </w:tc>
      </w:tr>
      <w:tr>
        <w:tblPrEx>
          <w:tblCellMar>
            <w:top w:w="0" w:type="dxa"/>
            <w:left w:w="108" w:type="dxa"/>
            <w:bottom w:w="0" w:type="dxa"/>
            <w:right w:w="108" w:type="dxa"/>
          </w:tblCellMar>
        </w:tblPrEx>
        <w:trPr>
          <w:trHeight w:val="540" w:hRule="atLeast"/>
          <w:jc w:val="center"/>
        </w:trPr>
        <w:tc>
          <w:tcPr>
            <w:tcW w:w="967"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3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一级保护区租地费</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35.73万元</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35.73万元</w:t>
            </w:r>
          </w:p>
        </w:tc>
      </w:tr>
      <w:tr>
        <w:tblPrEx>
          <w:tblCellMar>
            <w:top w:w="0" w:type="dxa"/>
            <w:left w:w="108" w:type="dxa"/>
            <w:bottom w:w="0" w:type="dxa"/>
            <w:right w:w="108" w:type="dxa"/>
          </w:tblCellMar>
        </w:tblPrEx>
        <w:trPr>
          <w:trHeight w:val="540" w:hRule="atLeast"/>
          <w:jc w:val="center"/>
        </w:trPr>
        <w:tc>
          <w:tcPr>
            <w:tcW w:w="967"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3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一级保护区生态苗木管护费</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30万元</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30万元</w:t>
            </w:r>
          </w:p>
        </w:tc>
      </w:tr>
      <w:tr>
        <w:tblPrEx>
          <w:tblCellMar>
            <w:top w:w="0" w:type="dxa"/>
            <w:left w:w="108" w:type="dxa"/>
            <w:bottom w:w="0" w:type="dxa"/>
            <w:right w:w="108" w:type="dxa"/>
          </w:tblCellMar>
        </w:tblPrEx>
        <w:trPr>
          <w:trHeight w:val="780" w:hRule="atLeast"/>
          <w:jc w:val="center"/>
        </w:trPr>
        <w:tc>
          <w:tcPr>
            <w:tcW w:w="967"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7"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3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水源地保护区一级保护区内水源质量合格率</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≥99%</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≥99%</w:t>
            </w:r>
          </w:p>
        </w:tc>
      </w:tr>
      <w:tr>
        <w:tblPrEx>
          <w:tblCellMar>
            <w:top w:w="0" w:type="dxa"/>
            <w:left w:w="108" w:type="dxa"/>
            <w:bottom w:w="0" w:type="dxa"/>
            <w:right w:w="108" w:type="dxa"/>
          </w:tblCellMar>
        </w:tblPrEx>
        <w:trPr>
          <w:trHeight w:val="390" w:hRule="atLeast"/>
          <w:jc w:val="center"/>
        </w:trPr>
        <w:tc>
          <w:tcPr>
            <w:tcW w:w="967"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7"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23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苗木存活率</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≥90%</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495" w:hRule="atLeast"/>
          <w:jc w:val="center"/>
        </w:trPr>
        <w:tc>
          <w:tcPr>
            <w:tcW w:w="967"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3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完成时间</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2021年12月31日前</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2021年12月31日前</w:t>
            </w:r>
          </w:p>
        </w:tc>
      </w:tr>
      <w:tr>
        <w:tblPrEx>
          <w:tblCellMar>
            <w:top w:w="0" w:type="dxa"/>
            <w:left w:w="108" w:type="dxa"/>
            <w:bottom w:w="0" w:type="dxa"/>
            <w:right w:w="108" w:type="dxa"/>
          </w:tblCellMar>
        </w:tblPrEx>
        <w:trPr>
          <w:trHeight w:val="630" w:hRule="atLeast"/>
          <w:jc w:val="center"/>
        </w:trPr>
        <w:tc>
          <w:tcPr>
            <w:tcW w:w="967"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7"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3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每口水源井每年对所属村民小组补偿</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1万元/口.年，年共33万元。</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1万元/口.年，年共33万元。</w:t>
            </w:r>
          </w:p>
        </w:tc>
      </w:tr>
      <w:tr>
        <w:tblPrEx>
          <w:tblCellMar>
            <w:top w:w="0" w:type="dxa"/>
            <w:left w:w="108" w:type="dxa"/>
            <w:bottom w:w="0" w:type="dxa"/>
            <w:right w:w="108" w:type="dxa"/>
          </w:tblCellMar>
        </w:tblPrEx>
        <w:trPr>
          <w:trHeight w:val="630" w:hRule="atLeast"/>
          <w:jc w:val="center"/>
        </w:trPr>
        <w:tc>
          <w:tcPr>
            <w:tcW w:w="967"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3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水源地一级保护区支付租金</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1200元/亩.年，年共35.73万元</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1200元/亩.年，年共35.73万元</w:t>
            </w:r>
          </w:p>
        </w:tc>
      </w:tr>
      <w:tr>
        <w:tblPrEx>
          <w:tblCellMar>
            <w:top w:w="0" w:type="dxa"/>
            <w:left w:w="108" w:type="dxa"/>
            <w:bottom w:w="0" w:type="dxa"/>
            <w:right w:w="108" w:type="dxa"/>
          </w:tblCellMar>
        </w:tblPrEx>
        <w:trPr>
          <w:trHeight w:val="630" w:hRule="atLeast"/>
          <w:jc w:val="center"/>
        </w:trPr>
        <w:tc>
          <w:tcPr>
            <w:tcW w:w="967"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7"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3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水源地一级保护区管护苗木维护费</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0.1万元/亩.年，年共30万元</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0.1万元/亩.年，年共30万元</w:t>
            </w:r>
          </w:p>
        </w:tc>
      </w:tr>
      <w:tr>
        <w:tblPrEx>
          <w:tblCellMar>
            <w:top w:w="0" w:type="dxa"/>
            <w:left w:w="108" w:type="dxa"/>
            <w:bottom w:w="0" w:type="dxa"/>
            <w:right w:w="108" w:type="dxa"/>
          </w:tblCellMar>
        </w:tblPrEx>
        <w:trPr>
          <w:trHeight w:val="915" w:hRule="atLeast"/>
          <w:jc w:val="center"/>
        </w:trPr>
        <w:tc>
          <w:tcPr>
            <w:tcW w:w="967"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987"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3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对水源井进行封闭管理</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改善了水源地生态环境，涵养了水源，保护了绵竹市水源地地下水水质。</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改善了水源地生态环境，涵养了水源，保护了绵竹市水源地地下水水质。</w:t>
            </w:r>
          </w:p>
        </w:tc>
      </w:tr>
      <w:tr>
        <w:tblPrEx>
          <w:tblCellMar>
            <w:top w:w="0" w:type="dxa"/>
            <w:left w:w="108" w:type="dxa"/>
            <w:bottom w:w="0" w:type="dxa"/>
            <w:right w:w="108" w:type="dxa"/>
          </w:tblCellMar>
        </w:tblPrEx>
        <w:trPr>
          <w:trHeight w:val="915" w:hRule="atLeast"/>
          <w:jc w:val="center"/>
        </w:trPr>
        <w:tc>
          <w:tcPr>
            <w:tcW w:w="967"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3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对水源井进行水土涵养</w:t>
            </w:r>
          </w:p>
        </w:tc>
        <w:tc>
          <w:tcPr>
            <w:tcW w:w="23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改善了水源地生态环境，涵养了水源，保护了绵竹市水源地地下水水质。</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改善了水源地生态环境，涵养了水源，保护了绵竹市水源地地下水水质。</w:t>
            </w:r>
          </w:p>
        </w:tc>
      </w:tr>
      <w:tr>
        <w:tblPrEx>
          <w:tblCellMar>
            <w:top w:w="0" w:type="dxa"/>
            <w:left w:w="108" w:type="dxa"/>
            <w:bottom w:w="0" w:type="dxa"/>
            <w:right w:w="108" w:type="dxa"/>
          </w:tblCellMar>
        </w:tblPrEx>
        <w:trPr>
          <w:trHeight w:val="630" w:hRule="atLeast"/>
          <w:jc w:val="center"/>
        </w:trPr>
        <w:tc>
          <w:tcPr>
            <w:tcW w:w="967"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98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33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用水户对源水水质满意度</w:t>
            </w:r>
          </w:p>
        </w:tc>
        <w:tc>
          <w:tcPr>
            <w:tcW w:w="23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&gt;99%</w:t>
            </w:r>
          </w:p>
        </w:tc>
        <w:tc>
          <w:tcPr>
            <w:tcW w:w="2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&gt;99%</w:t>
            </w:r>
          </w:p>
        </w:tc>
      </w:tr>
    </w:tbl>
    <w:p>
      <w:pPr>
        <w:jc w:val="center"/>
        <w:rPr>
          <w:rFonts w:ascii="宋体" w:hAnsi="宋体" w:cs="宋体"/>
          <w:b/>
          <w:color w:val="000000"/>
          <w:kern w:val="0"/>
          <w:sz w:val="44"/>
          <w:szCs w:val="44"/>
        </w:rPr>
      </w:pPr>
      <w:r>
        <w:rPr>
          <w:rFonts w:hint="eastAsia" w:ascii="宋体" w:hAnsi="宋体" w:cs="宋体"/>
          <w:b/>
          <w:color w:val="000000"/>
          <w:kern w:val="0"/>
          <w:sz w:val="44"/>
          <w:szCs w:val="44"/>
        </w:rPr>
        <w:t>项目支出绩效自评报告</w:t>
      </w:r>
    </w:p>
    <w:p>
      <w:pPr>
        <w:jc w:val="center"/>
        <w:rPr>
          <w:rFonts w:eastAsia="仿宋_GB2312"/>
          <w:kern w:val="0"/>
          <w:sz w:val="32"/>
          <w:szCs w:val="32"/>
        </w:rPr>
      </w:pPr>
      <w:r>
        <w:rPr>
          <w:rFonts w:hint="eastAsia" w:eastAsia="仿宋_GB2312"/>
          <w:kern w:val="0"/>
          <w:sz w:val="32"/>
          <w:szCs w:val="32"/>
        </w:rPr>
        <w:t>（绵竹市燃气安全检查指导专家劳务费）</w:t>
      </w:r>
    </w:p>
    <w:p>
      <w:pPr>
        <w:jc w:val="center"/>
        <w:rPr>
          <w:rFonts w:ascii="宋体" w:hAnsi="宋体" w:cs="宋体"/>
          <w:b/>
          <w:color w:val="000000"/>
          <w:kern w:val="0"/>
          <w:sz w:val="44"/>
          <w:szCs w:val="44"/>
        </w:rPr>
      </w:pPr>
    </w:p>
    <w:p>
      <w:pPr>
        <w:adjustRightInd w:val="0"/>
        <w:snapToGrid w:val="0"/>
        <w:spacing w:line="560" w:lineRule="exact"/>
        <w:rPr>
          <w:rFonts w:ascii="仿宋_GB2312" w:hAnsi="宋体" w:eastAsia="仿宋_GB2312"/>
          <w:b/>
          <w:bCs/>
          <w:sz w:val="32"/>
          <w:szCs w:val="32"/>
          <w:lang w:val="zh-CN"/>
        </w:rPr>
      </w:pPr>
      <w:r>
        <w:rPr>
          <w:rFonts w:hint="eastAsia" w:ascii="仿宋_GB2312" w:hAnsi="宋体" w:eastAsia="仿宋_GB2312"/>
          <w:b/>
          <w:bCs/>
          <w:sz w:val="32"/>
          <w:szCs w:val="32"/>
          <w:lang w:val="zh-CN"/>
        </w:rPr>
        <w:t>一、项目概况</w:t>
      </w:r>
    </w:p>
    <w:p>
      <w:pPr>
        <w:spacing w:line="600" w:lineRule="exact"/>
        <w:ind w:firstLine="640" w:firstLineChars="200"/>
        <w:rPr>
          <w:rFonts w:eastAsia="仿宋_GB2312"/>
          <w:kern w:val="0"/>
          <w:sz w:val="32"/>
          <w:szCs w:val="32"/>
        </w:rPr>
      </w:pPr>
      <w:r>
        <w:rPr>
          <w:rFonts w:hint="eastAsia" w:eastAsia="仿宋_GB2312"/>
          <w:kern w:val="0"/>
          <w:sz w:val="32"/>
          <w:szCs w:val="32"/>
        </w:rPr>
        <w:t>绵竹市燃气公司共计9个，其中天然气公司5个、液化石油气公司3个、压缩天然气公司1个。根据《四川省燃气管理条例》中“县级以上地方人民政府应当组织编制燃气安全事故应急预案”</w:t>
      </w:r>
      <w:r>
        <w:rPr>
          <w:rFonts w:hint="eastAsia" w:eastAsia="仿宋_GB2312"/>
          <w:kern w:val="0"/>
          <w:sz w:val="32"/>
          <w:szCs w:val="32"/>
          <w:lang w:eastAsia="zh-CN"/>
        </w:rPr>
        <w:t>和</w:t>
      </w:r>
      <w:r>
        <w:rPr>
          <w:rFonts w:hint="eastAsia" w:eastAsia="仿宋_GB2312"/>
          <w:kern w:val="0"/>
          <w:sz w:val="32"/>
          <w:szCs w:val="32"/>
        </w:rPr>
        <w:t>《中共中央国务院关于推进安全生产领域改革发展的意见》中“建立政府购买安全生产服务制度”的要求进行编制和聘请燃气专家进行检查。</w:t>
      </w:r>
    </w:p>
    <w:p>
      <w:pPr>
        <w:spacing w:line="600" w:lineRule="exact"/>
        <w:ind w:firstLine="642" w:firstLineChars="200"/>
        <w:rPr>
          <w:rFonts w:eastAsia="仿宋_GB2312"/>
          <w:kern w:val="0"/>
          <w:sz w:val="32"/>
          <w:szCs w:val="32"/>
        </w:rPr>
      </w:pPr>
      <w:r>
        <w:rPr>
          <w:rFonts w:hint="eastAsia" w:eastAsia="仿宋_GB2312"/>
          <w:b/>
          <w:bCs/>
          <w:kern w:val="0"/>
          <w:sz w:val="32"/>
          <w:szCs w:val="32"/>
          <w:lang w:val="zh-CN"/>
        </w:rPr>
        <w:t>（一）项目资金申报及批复情况。</w:t>
      </w:r>
    </w:p>
    <w:p>
      <w:pPr>
        <w:spacing w:line="600" w:lineRule="exact"/>
        <w:ind w:firstLine="640" w:firstLineChars="200"/>
        <w:rPr>
          <w:rFonts w:eastAsia="仿宋_GB2312"/>
          <w:kern w:val="0"/>
          <w:sz w:val="32"/>
          <w:szCs w:val="32"/>
        </w:rPr>
      </w:pPr>
      <w:r>
        <w:rPr>
          <w:rFonts w:hint="eastAsia" w:eastAsia="仿宋_GB2312"/>
          <w:kern w:val="0"/>
          <w:sz w:val="32"/>
          <w:szCs w:val="32"/>
        </w:rPr>
        <w:t>202</w:t>
      </w:r>
      <w:r>
        <w:rPr>
          <w:rFonts w:eastAsia="仿宋_GB2312"/>
          <w:kern w:val="0"/>
          <w:sz w:val="32"/>
          <w:szCs w:val="32"/>
        </w:rPr>
        <w:t>1</w:t>
      </w:r>
      <w:r>
        <w:rPr>
          <w:rFonts w:hint="eastAsia" w:eastAsia="仿宋_GB2312"/>
          <w:kern w:val="0"/>
          <w:sz w:val="32"/>
          <w:szCs w:val="32"/>
        </w:rPr>
        <w:t>年初项目预算资金3万元。使用符合资金管理办法等相关规定。</w:t>
      </w:r>
    </w:p>
    <w:p>
      <w:pPr>
        <w:spacing w:line="600" w:lineRule="exact"/>
        <w:ind w:firstLine="642" w:firstLineChars="200"/>
        <w:rPr>
          <w:rFonts w:eastAsia="仿宋_GB2312"/>
          <w:b/>
          <w:bCs/>
          <w:kern w:val="0"/>
          <w:sz w:val="32"/>
          <w:szCs w:val="32"/>
          <w:lang w:val="zh-CN"/>
        </w:rPr>
      </w:pPr>
      <w:r>
        <w:rPr>
          <w:rFonts w:hint="eastAsia" w:eastAsia="仿宋_GB2312"/>
          <w:b/>
          <w:bCs/>
          <w:kern w:val="0"/>
          <w:sz w:val="32"/>
          <w:szCs w:val="32"/>
          <w:lang w:val="zh-CN"/>
        </w:rPr>
        <w:t>（</w:t>
      </w:r>
      <w:r>
        <w:rPr>
          <w:rFonts w:hint="eastAsia" w:eastAsia="仿宋_GB2312"/>
          <w:b/>
          <w:bCs/>
          <w:kern w:val="0"/>
          <w:sz w:val="32"/>
          <w:szCs w:val="32"/>
        </w:rPr>
        <w:t>二</w:t>
      </w:r>
      <w:r>
        <w:rPr>
          <w:rFonts w:hint="eastAsia" w:eastAsia="仿宋_GB2312"/>
          <w:b/>
          <w:bCs/>
          <w:kern w:val="0"/>
          <w:sz w:val="32"/>
          <w:szCs w:val="32"/>
          <w:lang w:val="zh-CN"/>
        </w:rPr>
        <w:t>）项目绩效目标</w:t>
      </w:r>
    </w:p>
    <w:p>
      <w:pPr>
        <w:spacing w:line="600" w:lineRule="exact"/>
        <w:ind w:firstLine="640" w:firstLineChars="200"/>
        <w:rPr>
          <w:rFonts w:eastAsia="仿宋_GB2312"/>
          <w:kern w:val="0"/>
          <w:sz w:val="32"/>
          <w:szCs w:val="32"/>
          <w:lang w:val="zh-CN"/>
        </w:rPr>
      </w:pPr>
      <w:r>
        <w:rPr>
          <w:rFonts w:hint="eastAsia" w:eastAsia="仿宋_GB2312"/>
          <w:kern w:val="0"/>
          <w:sz w:val="32"/>
          <w:szCs w:val="32"/>
          <w:lang w:val="zh-CN"/>
        </w:rPr>
        <w:t>该项目绩效总目标</w:t>
      </w:r>
      <w:r>
        <w:rPr>
          <w:rFonts w:hint="eastAsia" w:eastAsia="仿宋_GB2312"/>
          <w:kern w:val="0"/>
          <w:sz w:val="32"/>
          <w:szCs w:val="32"/>
        </w:rPr>
        <w:t>群众满意率</w:t>
      </w:r>
      <w:r>
        <w:rPr>
          <w:rFonts w:hint="eastAsia" w:eastAsia="仿宋_GB2312"/>
          <w:kern w:val="0"/>
          <w:sz w:val="32"/>
          <w:szCs w:val="32"/>
          <w:lang w:val="zh-CN"/>
        </w:rPr>
        <w:t>达</w:t>
      </w:r>
      <w:r>
        <w:rPr>
          <w:rFonts w:hint="eastAsia" w:eastAsia="仿宋_GB2312"/>
          <w:kern w:val="0"/>
          <w:sz w:val="32"/>
          <w:szCs w:val="32"/>
        </w:rPr>
        <w:t>100</w:t>
      </w:r>
      <w:r>
        <w:rPr>
          <w:rFonts w:hint="eastAsia" w:eastAsia="仿宋_GB2312"/>
          <w:kern w:val="0"/>
          <w:sz w:val="32"/>
          <w:szCs w:val="32"/>
          <w:lang w:val="zh-CN"/>
        </w:rPr>
        <w:t>%，</w:t>
      </w:r>
      <w:r>
        <w:rPr>
          <w:rFonts w:hint="eastAsia" w:eastAsia="仿宋_GB2312"/>
          <w:kern w:val="0"/>
          <w:sz w:val="32"/>
          <w:szCs w:val="32"/>
        </w:rPr>
        <w:t>截至目前</w:t>
      </w:r>
      <w:r>
        <w:rPr>
          <w:rFonts w:hint="eastAsia" w:eastAsia="仿宋_GB2312"/>
          <w:kern w:val="0"/>
          <w:sz w:val="32"/>
          <w:szCs w:val="32"/>
          <w:lang w:val="zh-CN"/>
        </w:rPr>
        <w:t>自查已达成项目绩效总目标。202</w:t>
      </w:r>
      <w:r>
        <w:rPr>
          <w:rFonts w:hint="eastAsia" w:eastAsia="仿宋_GB2312"/>
          <w:kern w:val="0"/>
          <w:sz w:val="32"/>
          <w:szCs w:val="32"/>
        </w:rPr>
        <w:t>1</w:t>
      </w:r>
      <w:r>
        <w:rPr>
          <w:rFonts w:hint="eastAsia" w:eastAsia="仿宋_GB2312"/>
          <w:kern w:val="0"/>
          <w:sz w:val="32"/>
          <w:szCs w:val="32"/>
          <w:lang w:val="zh-CN"/>
        </w:rPr>
        <w:t>年资金预算指标为</w:t>
      </w:r>
      <w:r>
        <w:rPr>
          <w:rFonts w:hint="eastAsia" w:eastAsia="仿宋_GB2312"/>
          <w:kern w:val="0"/>
          <w:sz w:val="32"/>
          <w:szCs w:val="32"/>
        </w:rPr>
        <w:t>3</w:t>
      </w:r>
      <w:r>
        <w:rPr>
          <w:rFonts w:hint="eastAsia" w:eastAsia="仿宋_GB2312"/>
          <w:kern w:val="0"/>
          <w:sz w:val="32"/>
          <w:szCs w:val="32"/>
          <w:lang w:val="zh-CN"/>
        </w:rPr>
        <w:t>万元。</w:t>
      </w:r>
    </w:p>
    <w:p>
      <w:pPr>
        <w:spacing w:line="600" w:lineRule="exact"/>
        <w:ind w:firstLine="642" w:firstLineChars="200"/>
        <w:rPr>
          <w:rFonts w:eastAsia="仿宋_GB2312"/>
          <w:b/>
          <w:bCs/>
          <w:kern w:val="0"/>
          <w:sz w:val="32"/>
          <w:szCs w:val="32"/>
          <w:lang w:val="zh-CN"/>
        </w:rPr>
      </w:pPr>
      <w:r>
        <w:rPr>
          <w:rFonts w:hint="eastAsia" w:eastAsia="仿宋_GB2312"/>
          <w:b/>
          <w:bCs/>
          <w:kern w:val="0"/>
          <w:sz w:val="32"/>
          <w:szCs w:val="32"/>
          <w:lang w:val="zh-CN"/>
        </w:rPr>
        <w:t>（</w:t>
      </w:r>
      <w:r>
        <w:rPr>
          <w:rFonts w:hint="eastAsia" w:eastAsia="仿宋_GB2312"/>
          <w:b/>
          <w:bCs/>
          <w:kern w:val="0"/>
          <w:sz w:val="32"/>
          <w:szCs w:val="32"/>
        </w:rPr>
        <w:t>三</w:t>
      </w:r>
      <w:r>
        <w:rPr>
          <w:rFonts w:hint="eastAsia" w:eastAsia="仿宋_GB2312"/>
          <w:b/>
          <w:bCs/>
          <w:kern w:val="0"/>
          <w:sz w:val="32"/>
          <w:szCs w:val="32"/>
          <w:lang w:val="zh-CN"/>
        </w:rPr>
        <w:t>）项目资金申报相符性</w:t>
      </w:r>
    </w:p>
    <w:p>
      <w:pPr>
        <w:spacing w:line="600" w:lineRule="exact"/>
        <w:ind w:firstLine="640" w:firstLineChars="200"/>
        <w:rPr>
          <w:rFonts w:eastAsia="仿宋_GB2312"/>
          <w:kern w:val="0"/>
          <w:sz w:val="32"/>
          <w:szCs w:val="32"/>
        </w:rPr>
      </w:pPr>
      <w:r>
        <w:rPr>
          <w:rFonts w:hint="eastAsia" w:eastAsia="仿宋_GB2312"/>
          <w:kern w:val="0"/>
          <w:sz w:val="32"/>
          <w:szCs w:val="32"/>
          <w:lang w:val="zh-CN"/>
        </w:rPr>
        <w:t>该项目</w:t>
      </w:r>
      <w:r>
        <w:rPr>
          <w:rFonts w:hint="eastAsia" w:eastAsia="仿宋_GB2312"/>
          <w:kern w:val="0"/>
          <w:sz w:val="32"/>
          <w:szCs w:val="32"/>
        </w:rPr>
        <w:t>2021年年度资金预算指标合计3万元，全部用于绵竹市燃气应急预案及燃气安全检查指导专家劳务费，申报内容与具体实施内容完全相符。</w:t>
      </w:r>
    </w:p>
    <w:p>
      <w:pPr>
        <w:adjustRightInd w:val="0"/>
        <w:snapToGrid w:val="0"/>
        <w:spacing w:line="560" w:lineRule="exact"/>
        <w:rPr>
          <w:rFonts w:ascii="仿宋_GB2312" w:hAnsi="宋体" w:eastAsia="仿宋_GB2312"/>
          <w:b/>
          <w:bCs/>
          <w:sz w:val="32"/>
          <w:szCs w:val="32"/>
        </w:rPr>
      </w:pPr>
      <w:r>
        <w:rPr>
          <w:rFonts w:hint="eastAsia" w:ascii="仿宋_GB2312" w:hAnsi="宋体" w:eastAsia="仿宋_GB2312"/>
          <w:b/>
          <w:bCs/>
          <w:sz w:val="32"/>
          <w:szCs w:val="32"/>
        </w:rPr>
        <w:t>二、项目实施及管理情况</w:t>
      </w:r>
    </w:p>
    <w:p>
      <w:pPr>
        <w:adjustRightInd w:val="0"/>
        <w:snapToGrid w:val="0"/>
        <w:spacing w:line="560"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lang w:val="zh-CN"/>
        </w:rPr>
        <w:t>（一）资金计划、到位及使用情况。</w:t>
      </w:r>
    </w:p>
    <w:p>
      <w:pPr>
        <w:adjustRightInd w:val="0"/>
        <w:snapToGrid w:val="0"/>
        <w:spacing w:line="560"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lang w:val="zh-CN"/>
        </w:rPr>
        <w:t>1.资金计划及到位。</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lang w:val="zh-CN"/>
        </w:rPr>
        <w:t>该项目资金预算指标为</w:t>
      </w:r>
      <w:r>
        <w:rPr>
          <w:rFonts w:hint="eastAsia" w:ascii="仿宋_GB2312" w:hAnsi="宋体" w:eastAsia="仿宋_GB2312"/>
          <w:sz w:val="32"/>
          <w:szCs w:val="32"/>
        </w:rPr>
        <w:t>3</w:t>
      </w:r>
      <w:r>
        <w:rPr>
          <w:rFonts w:hint="eastAsia" w:ascii="仿宋_GB2312" w:hAnsi="宋体" w:eastAsia="仿宋_GB2312"/>
          <w:sz w:val="32"/>
          <w:szCs w:val="32"/>
          <w:lang w:val="zh-CN"/>
        </w:rPr>
        <w:t>万元，</w:t>
      </w:r>
      <w:r>
        <w:rPr>
          <w:rFonts w:hint="eastAsia" w:ascii="仿宋_GB2312" w:hAnsi="宋体" w:eastAsia="仿宋_GB2312"/>
          <w:sz w:val="32"/>
          <w:szCs w:val="32"/>
        </w:rPr>
        <w:t>资金预算指标基本到位，到位率100%。</w:t>
      </w:r>
    </w:p>
    <w:p>
      <w:pPr>
        <w:adjustRightInd w:val="0"/>
        <w:snapToGrid w:val="0"/>
        <w:spacing w:line="560"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rPr>
        <w:t>2.</w:t>
      </w:r>
      <w:r>
        <w:rPr>
          <w:rFonts w:hint="eastAsia" w:ascii="仿宋_GB2312" w:hAnsi="宋体" w:eastAsia="仿宋_GB2312"/>
          <w:b/>
          <w:bCs/>
          <w:sz w:val="32"/>
          <w:szCs w:val="32"/>
          <w:lang w:val="zh-CN"/>
        </w:rPr>
        <w:t>资金使用</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截至评价时合计资金预算指标</w:t>
      </w:r>
      <w:r>
        <w:rPr>
          <w:rFonts w:hint="eastAsia" w:ascii="仿宋_GB2312" w:hAnsi="宋体" w:eastAsia="仿宋_GB2312"/>
          <w:sz w:val="32"/>
          <w:szCs w:val="32"/>
        </w:rPr>
        <w:t>3万元，全部用于该项目污水管网建设费用支付，支付标准及依据合规合法，资金支付与预算完全相符</w:t>
      </w:r>
      <w:r>
        <w:rPr>
          <w:rFonts w:hint="eastAsia" w:ascii="仿宋_GB2312" w:hAnsi="宋体" w:eastAsia="仿宋_GB2312"/>
          <w:sz w:val="32"/>
          <w:szCs w:val="32"/>
          <w:lang w:val="zh-CN"/>
        </w:rPr>
        <w:t>。</w:t>
      </w:r>
    </w:p>
    <w:p>
      <w:pPr>
        <w:adjustRightInd w:val="0"/>
        <w:snapToGrid w:val="0"/>
        <w:spacing w:line="560"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lang w:val="zh-CN"/>
        </w:rPr>
        <w:t>（二）项目财务管理情况</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该项目依照法律、行政法规和国家财政行政主管部门的规定，严格执行财务管理制度、财务处理及时、会计核算规范。</w:t>
      </w:r>
    </w:p>
    <w:p>
      <w:pPr>
        <w:adjustRightInd w:val="0"/>
        <w:snapToGrid w:val="0"/>
        <w:spacing w:line="560"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lang w:val="zh-CN"/>
        </w:rPr>
        <w:t>（三）项目组织实施情况</w:t>
      </w:r>
    </w:p>
    <w:p>
      <w:pPr>
        <w:adjustRightInd w:val="0"/>
        <w:snapToGrid w:val="0"/>
        <w:spacing w:line="560" w:lineRule="exact"/>
        <w:ind w:firstLine="720"/>
        <w:rPr>
          <w:rFonts w:eastAsia="仿宋_GB2312"/>
          <w:kern w:val="0"/>
          <w:sz w:val="32"/>
          <w:szCs w:val="32"/>
        </w:rPr>
      </w:pPr>
      <w:r>
        <w:rPr>
          <w:rFonts w:hint="eastAsia" w:eastAsia="仿宋_GB2312"/>
          <w:kern w:val="0"/>
          <w:sz w:val="32"/>
          <w:szCs w:val="32"/>
        </w:rPr>
        <w:t>该项目委托“德阳美兴注册安全工程师事务有限公司”进行编制《</w:t>
      </w:r>
      <w:r>
        <w:rPr>
          <w:rFonts w:hint="eastAsia" w:ascii="仿宋" w:hAnsi="仿宋" w:eastAsia="仿宋" w:cs="仿宋_GB2312"/>
          <w:sz w:val="32"/>
          <w:szCs w:val="32"/>
        </w:rPr>
        <w:t>绵竹市城镇燃气突发事件应急预案</w:t>
      </w:r>
      <w:r>
        <w:rPr>
          <w:rFonts w:hint="eastAsia" w:eastAsia="仿宋_GB2312"/>
          <w:kern w:val="0"/>
          <w:sz w:val="32"/>
          <w:szCs w:val="32"/>
        </w:rPr>
        <w:t>》。</w:t>
      </w:r>
    </w:p>
    <w:p>
      <w:pPr>
        <w:adjustRightInd w:val="0"/>
        <w:snapToGrid w:val="0"/>
        <w:spacing w:line="560" w:lineRule="exact"/>
        <w:ind w:firstLine="720"/>
        <w:rPr>
          <w:rFonts w:eastAsia="仿宋_GB2312"/>
          <w:kern w:val="0"/>
          <w:sz w:val="32"/>
          <w:szCs w:val="32"/>
        </w:rPr>
      </w:pPr>
      <w:r>
        <w:rPr>
          <w:rFonts w:hint="eastAsia" w:eastAsia="仿宋_GB2312"/>
          <w:kern w:val="0"/>
          <w:sz w:val="32"/>
          <w:szCs w:val="32"/>
        </w:rPr>
        <w:t>聘请燃气专家对我市燃气通过台账检查、现场查看和询问员工等方式对企业的重点部位、关键环节、危险源控制、日常管理等方面进行了全方位“体检”。</w:t>
      </w:r>
    </w:p>
    <w:p>
      <w:pPr>
        <w:adjustRightInd w:val="0"/>
        <w:snapToGrid w:val="0"/>
        <w:spacing w:line="560"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rPr>
        <w:t>三、项目绩效情况</w:t>
      </w:r>
      <w:r>
        <w:rPr>
          <w:rFonts w:hint="eastAsia" w:ascii="仿宋_GB2312" w:hAnsi="宋体" w:eastAsia="仿宋_GB2312"/>
          <w:b/>
          <w:bCs/>
          <w:sz w:val="32"/>
          <w:szCs w:val="32"/>
          <w:lang w:val="zh-CN"/>
        </w:rPr>
        <w:tab/>
      </w:r>
    </w:p>
    <w:p>
      <w:pPr>
        <w:adjustRightInd w:val="0"/>
        <w:snapToGrid w:val="0"/>
        <w:spacing w:line="560"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lang w:val="zh-CN"/>
        </w:rPr>
        <w:t>（一）项目完成情况</w:t>
      </w:r>
    </w:p>
    <w:p>
      <w:pPr>
        <w:adjustRightInd w:val="0"/>
        <w:snapToGrid w:val="0"/>
        <w:spacing w:line="560" w:lineRule="exact"/>
        <w:ind w:firstLine="720"/>
        <w:rPr>
          <w:rFonts w:eastAsia="仿宋_GB2312"/>
          <w:kern w:val="0"/>
          <w:sz w:val="32"/>
          <w:szCs w:val="32"/>
        </w:rPr>
      </w:pPr>
      <w:r>
        <w:rPr>
          <w:rFonts w:hint="eastAsia" w:eastAsia="仿宋_GB2312"/>
          <w:kern w:val="0"/>
          <w:sz w:val="32"/>
          <w:szCs w:val="32"/>
        </w:rPr>
        <w:t>《</w:t>
      </w:r>
      <w:r>
        <w:rPr>
          <w:rFonts w:hint="eastAsia" w:ascii="仿宋" w:hAnsi="仿宋" w:eastAsia="仿宋" w:cs="仿宋_GB2312"/>
          <w:sz w:val="32"/>
          <w:szCs w:val="32"/>
        </w:rPr>
        <w:t>绵竹市城镇燃气突发事件应急预案</w:t>
      </w:r>
      <w:r>
        <w:rPr>
          <w:rFonts w:hint="eastAsia" w:eastAsia="仿宋_GB2312"/>
          <w:kern w:val="0"/>
          <w:sz w:val="32"/>
          <w:szCs w:val="32"/>
        </w:rPr>
        <w:t>》已于市住建局组织召开</w:t>
      </w:r>
      <w:r>
        <w:rPr>
          <w:rFonts w:hint="eastAsia" w:ascii="Calibri" w:hAnsi="Calibri" w:eastAsia="仿宋_GB2312"/>
          <w:sz w:val="32"/>
          <w:szCs w:val="32"/>
        </w:rPr>
        <w:t>专家评审并原则性通过，经多次修改后</w:t>
      </w:r>
      <w:r>
        <w:rPr>
          <w:rFonts w:hint="eastAsia" w:eastAsia="仿宋_GB2312"/>
          <w:kern w:val="0"/>
          <w:sz w:val="32"/>
          <w:szCs w:val="32"/>
        </w:rPr>
        <w:t>定稿并提交我局备案。</w:t>
      </w:r>
    </w:p>
    <w:p>
      <w:pPr>
        <w:adjustRightInd w:val="0"/>
        <w:snapToGrid w:val="0"/>
        <w:spacing w:line="560" w:lineRule="exact"/>
        <w:ind w:firstLine="720"/>
        <w:rPr>
          <w:rFonts w:eastAsia="仿宋_GB2312"/>
          <w:kern w:val="0"/>
          <w:sz w:val="32"/>
          <w:szCs w:val="32"/>
        </w:rPr>
      </w:pPr>
      <w:r>
        <w:rPr>
          <w:rFonts w:hint="eastAsia" w:eastAsia="仿宋_GB2312"/>
          <w:kern w:val="0"/>
          <w:sz w:val="32"/>
          <w:szCs w:val="32"/>
        </w:rPr>
        <w:t>燃气专家针对企业在安全运行中存在的问题和薄弱环节检查情况进行整理，出具书面问题清单报告，并对隐患整改指导，就报告中的整改意见，专家与企业进行面对面地咨询和交流，制定整改措施。</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b/>
          <w:bCs/>
          <w:sz w:val="32"/>
          <w:szCs w:val="32"/>
          <w:lang w:val="zh-CN"/>
        </w:rPr>
        <w:t>（二）项目效益情况</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lang w:val="zh-CN"/>
        </w:rPr>
        <w:t>经济效益：有效预防、及时处置各类突发燃气事故，提高应对燃气事故的应急处置能力，最大限度地减少燃气事故及其造成的人员伤亡和财产损失，保障城市安全运行和经济社会持续稳</w:t>
      </w:r>
      <w:r>
        <w:rPr>
          <w:rFonts w:hint="eastAsia" w:ascii="仿宋_GB2312" w:hAnsi="宋体" w:eastAsia="仿宋_GB2312"/>
          <w:sz w:val="32"/>
          <w:szCs w:val="32"/>
        </w:rPr>
        <w:t>定。</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rPr>
        <w:t>社会效益：</w:t>
      </w:r>
      <w:r>
        <w:rPr>
          <w:rFonts w:hint="eastAsia" w:ascii="仿宋_GB2312" w:hAnsi="宋体" w:eastAsia="仿宋_GB2312"/>
          <w:sz w:val="32"/>
          <w:szCs w:val="32"/>
          <w:lang w:val="zh-CN"/>
        </w:rPr>
        <w:t>建立健全组织指挥统一、综合协调有力、联动机制有序、决策科学正确、系统保障周密、应急行为高效、部门资源共享、社会参与广泛的应急管理工作，明确信息报告、响应分级、指挥权移交、警戒疏散等内容，提高应对风险和防范事故的能力，确保</w:t>
      </w:r>
      <w:r>
        <w:rPr>
          <w:rFonts w:hint="eastAsia" w:ascii="仿宋_GB2312" w:hAnsi="宋体" w:eastAsia="仿宋_GB2312"/>
          <w:sz w:val="32"/>
          <w:szCs w:val="32"/>
        </w:rPr>
        <w:t>我市</w:t>
      </w:r>
      <w:r>
        <w:rPr>
          <w:rFonts w:hint="eastAsia" w:ascii="仿宋_GB2312" w:hAnsi="宋体" w:eastAsia="仿宋_GB2312"/>
          <w:sz w:val="32"/>
          <w:szCs w:val="32"/>
          <w:lang w:val="zh-CN"/>
        </w:rPr>
        <w:t>燃气供应安全、群众生命安全、防止群死群伤事故的发生、有条不紊地处理和控制事故、把损失和危害减少到最低程度。</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lang w:val="zh-CN"/>
        </w:rPr>
        <w:t>服务对象满意度：最大限度地减少燃气事故及其造成的人员伤亡和财产损失，保障城市安全运行和经济社会持续稳</w:t>
      </w:r>
      <w:r>
        <w:rPr>
          <w:rFonts w:hint="eastAsia" w:ascii="仿宋_GB2312" w:hAnsi="宋体" w:eastAsia="仿宋_GB2312"/>
          <w:sz w:val="32"/>
          <w:szCs w:val="32"/>
        </w:rPr>
        <w:t xml:space="preserve">定。 </w:t>
      </w:r>
      <w:r>
        <w:rPr>
          <w:rFonts w:ascii="仿宋_GB2312" w:hAnsi="宋体" w:eastAsia="仿宋_GB2312"/>
          <w:sz w:val="32"/>
          <w:szCs w:val="32"/>
        </w:rPr>
        <w:t xml:space="preserve"> </w:t>
      </w:r>
    </w:p>
    <w:p>
      <w:pPr>
        <w:adjustRightInd w:val="0"/>
        <w:snapToGrid w:val="0"/>
        <w:spacing w:line="560" w:lineRule="exact"/>
        <w:ind w:firstLine="720"/>
        <w:rPr>
          <w:rFonts w:ascii="仿宋_GB2312" w:hAnsi="宋体" w:eastAsia="仿宋_GB2312"/>
          <w:b/>
          <w:bCs/>
          <w:sz w:val="32"/>
          <w:szCs w:val="32"/>
        </w:rPr>
      </w:pPr>
      <w:r>
        <w:rPr>
          <w:rFonts w:hint="eastAsia" w:ascii="仿宋_GB2312" w:hAnsi="宋体" w:eastAsia="仿宋_GB2312"/>
          <w:b/>
          <w:bCs/>
          <w:sz w:val="32"/>
          <w:szCs w:val="32"/>
        </w:rPr>
        <w:t>四、问题及建议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348" w:type="dxa"/>
        <w:jc w:val="center"/>
        <w:tblLayout w:type="autofit"/>
        <w:tblCellMar>
          <w:top w:w="0" w:type="dxa"/>
          <w:left w:w="108" w:type="dxa"/>
          <w:bottom w:w="0" w:type="dxa"/>
          <w:right w:w="108" w:type="dxa"/>
        </w:tblCellMar>
      </w:tblPr>
      <w:tblGrid>
        <w:gridCol w:w="1080"/>
        <w:gridCol w:w="880"/>
        <w:gridCol w:w="1540"/>
        <w:gridCol w:w="1080"/>
        <w:gridCol w:w="480"/>
        <w:gridCol w:w="2162"/>
        <w:gridCol w:w="2126"/>
      </w:tblGrid>
      <w:tr>
        <w:tblPrEx>
          <w:tblCellMar>
            <w:top w:w="0" w:type="dxa"/>
            <w:left w:w="108" w:type="dxa"/>
            <w:bottom w:w="0" w:type="dxa"/>
            <w:right w:w="108" w:type="dxa"/>
          </w:tblCellMar>
        </w:tblPrEx>
        <w:trPr>
          <w:trHeight w:val="405" w:hRule="atLeast"/>
          <w:jc w:val="center"/>
        </w:trPr>
        <w:tc>
          <w:tcPr>
            <w:tcW w:w="9348"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348"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4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4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16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126"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84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燃气安全检查指导专家劳务费</w:t>
            </w:r>
          </w:p>
        </w:tc>
      </w:tr>
      <w:tr>
        <w:tblPrEx>
          <w:tblCellMar>
            <w:top w:w="0" w:type="dxa"/>
            <w:left w:w="108" w:type="dxa"/>
            <w:bottom w:w="0" w:type="dxa"/>
            <w:right w:w="108" w:type="dxa"/>
          </w:tblCellMar>
        </w:tblPrEx>
        <w:trPr>
          <w:trHeight w:val="270" w:hRule="atLeast"/>
          <w:jc w:val="center"/>
        </w:trPr>
        <w:tc>
          <w:tcPr>
            <w:tcW w:w="35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84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2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5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3万元</w:t>
            </w:r>
          </w:p>
        </w:tc>
        <w:tc>
          <w:tcPr>
            <w:tcW w:w="216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3万元</w:t>
            </w:r>
          </w:p>
        </w:tc>
      </w:tr>
      <w:tr>
        <w:tblPrEx>
          <w:tblCellMar>
            <w:top w:w="0" w:type="dxa"/>
            <w:left w:w="108" w:type="dxa"/>
            <w:bottom w:w="0" w:type="dxa"/>
            <w:right w:w="108" w:type="dxa"/>
          </w:tblCellMar>
        </w:tblPrEx>
        <w:trPr>
          <w:trHeight w:val="603"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5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3万元</w:t>
            </w:r>
          </w:p>
        </w:tc>
        <w:tc>
          <w:tcPr>
            <w:tcW w:w="2162"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其中：财政拨款</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3万元</w:t>
            </w:r>
          </w:p>
        </w:tc>
      </w:tr>
      <w:tr>
        <w:tblPrEx>
          <w:tblCellMar>
            <w:top w:w="0" w:type="dxa"/>
            <w:left w:w="108" w:type="dxa"/>
            <w:bottom w:w="0" w:type="dxa"/>
            <w:right w:w="108" w:type="dxa"/>
          </w:tblCellMar>
        </w:tblPrEx>
        <w:trPr>
          <w:trHeight w:val="528"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5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162"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60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39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2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832"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9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聘请专家对我市燃气进行检查指导，通过台账检查、现场查看和询问员工等方式对企业的重点部位、关键环节、危险源控制、日常管理等方面进行了全方位“体检”，提升我市城镇燃气安全管理水平。</w:t>
            </w:r>
          </w:p>
        </w:tc>
        <w:tc>
          <w:tcPr>
            <w:tcW w:w="428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聘请专家对我市燃气进行检查指导，通过台账检查、现场查看和询问员工等方式对企业的重点部位、关键环节、危险源控制、日常管理等方面进行了全方位“体检”，提升我市城镇燃气安全管理水平。</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8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5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1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54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聘请专家数量</w:t>
            </w:r>
          </w:p>
        </w:tc>
        <w:tc>
          <w:tcPr>
            <w:tcW w:w="21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3位</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3位</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指导燃气企业数量</w:t>
            </w:r>
          </w:p>
        </w:tc>
        <w:tc>
          <w:tcPr>
            <w:tcW w:w="21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等线" w:hAnsi="等线" w:eastAsia="等线" w:cs="宋体"/>
                <w:kern w:val="0"/>
                <w:sz w:val="20"/>
                <w:szCs w:val="20"/>
              </w:rPr>
              <w:t>≥</w:t>
            </w:r>
            <w:r>
              <w:rPr>
                <w:rFonts w:hint="eastAsia" w:ascii="宋体" w:hAnsi="宋体" w:cs="宋体"/>
                <w:kern w:val="0"/>
                <w:sz w:val="20"/>
                <w:szCs w:val="20"/>
              </w:rPr>
              <w:t>9家</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10家</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安全事故控制率</w:t>
            </w:r>
          </w:p>
        </w:tc>
        <w:tc>
          <w:tcPr>
            <w:tcW w:w="21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等线" w:hAnsi="等线" w:eastAsia="等线" w:cs="宋体"/>
                <w:kern w:val="0"/>
                <w:sz w:val="20"/>
                <w:szCs w:val="20"/>
              </w:rPr>
              <w:t>≥</w:t>
            </w:r>
            <w:r>
              <w:rPr>
                <w:rFonts w:hint="eastAsia" w:ascii="宋体" w:hAnsi="宋体" w:cs="宋体"/>
                <w:kern w:val="0"/>
                <w:sz w:val="20"/>
                <w:szCs w:val="20"/>
              </w:rPr>
              <w:t>98%</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21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2022年12月31日</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2022年6月20日</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费用支付</w:t>
            </w:r>
          </w:p>
        </w:tc>
        <w:tc>
          <w:tcPr>
            <w:tcW w:w="21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等线" w:hAnsi="等线" w:eastAsia="等线" w:cs="宋体"/>
                <w:kern w:val="0"/>
                <w:sz w:val="20"/>
                <w:szCs w:val="20"/>
              </w:rPr>
              <w:t>≤</w:t>
            </w:r>
            <w:r>
              <w:rPr>
                <w:rFonts w:hint="eastAsia" w:ascii="宋体" w:hAnsi="宋体" w:cs="宋体"/>
                <w:kern w:val="0"/>
                <w:sz w:val="20"/>
                <w:szCs w:val="20"/>
              </w:rPr>
              <w:t>3万元</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3万元</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保障老百姓安全用气</w:t>
            </w:r>
          </w:p>
        </w:tc>
        <w:tc>
          <w:tcPr>
            <w:tcW w:w="21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等线" w:hAnsi="等线" w:eastAsia="等线" w:cs="宋体"/>
                <w:kern w:val="0"/>
                <w:sz w:val="20"/>
                <w:szCs w:val="20"/>
              </w:rPr>
              <w:t>≥</w:t>
            </w:r>
            <w:r>
              <w:rPr>
                <w:rFonts w:hint="eastAsia" w:ascii="宋体" w:hAnsi="宋体" w:cs="宋体"/>
                <w:kern w:val="0"/>
                <w:sz w:val="20"/>
                <w:szCs w:val="20"/>
              </w:rPr>
              <w:t>98%</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55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提升我市城镇燃气安全管理水平</w:t>
            </w:r>
          </w:p>
        </w:tc>
        <w:tc>
          <w:tcPr>
            <w:tcW w:w="21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提升我市城镇燃气安全管理水平</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提升我市城镇燃气安全管理水平</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群众满意度</w:t>
            </w:r>
          </w:p>
        </w:tc>
        <w:tc>
          <w:tcPr>
            <w:tcW w:w="216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（土门镇月季园供水项目）</w:t>
      </w:r>
    </w:p>
    <w:p>
      <w:pPr>
        <w:spacing w:line="580" w:lineRule="exact"/>
        <w:ind w:firstLine="640"/>
        <w:jc w:val="center"/>
        <w:rPr>
          <w:rFonts w:hint="eastAsia" w:ascii="宋体" w:hAnsi="??"/>
          <w:sz w:val="32"/>
          <w:szCs w:val="32"/>
        </w:rPr>
      </w:pPr>
    </w:p>
    <w:p>
      <w:pPr>
        <w:adjustRightInd w:val="0"/>
        <w:snapToGrid w:val="0"/>
        <w:spacing w:line="52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2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．说明项目主管部门（单位）在该项目管理中的职能。</w:t>
      </w:r>
    </w:p>
    <w:p>
      <w:pPr>
        <w:adjustRightInd w:val="0"/>
        <w:snapToGrid w:val="0"/>
        <w:spacing w:line="520" w:lineRule="exact"/>
        <w:ind w:firstLine="720"/>
        <w:rPr>
          <w:rFonts w:ascii="仿宋_GB2312" w:hAnsi="宋体" w:eastAsia="仿宋_GB2312"/>
          <w:sz w:val="32"/>
          <w:szCs w:val="32"/>
        </w:rPr>
      </w:pPr>
      <w:r>
        <w:rPr>
          <w:rFonts w:hint="eastAsia" w:ascii="仿宋_GB2312" w:hAnsi="宋体" w:eastAsia="仿宋_GB2312"/>
          <w:sz w:val="32"/>
          <w:szCs w:val="32"/>
          <w:lang w:val="zh-CN"/>
        </w:rPr>
        <w:t>市住建局</w:t>
      </w:r>
      <w:r>
        <w:rPr>
          <w:rFonts w:hint="eastAsia" w:ascii="仿宋_GB2312" w:hAnsi="宋体" w:eastAsia="仿宋_GB2312"/>
          <w:sz w:val="32"/>
          <w:szCs w:val="32"/>
        </w:rPr>
        <w:t>对该项目进行监管。</w:t>
      </w:r>
    </w:p>
    <w:p>
      <w:pPr>
        <w:adjustRightInd w:val="0"/>
        <w:snapToGrid w:val="0"/>
        <w:spacing w:line="52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w:t>
      </w:r>
    </w:p>
    <w:p>
      <w:pPr>
        <w:adjustRightInd w:val="0"/>
        <w:snapToGrid w:val="0"/>
        <w:spacing w:line="52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根据竹发改审〔2</w:t>
      </w:r>
      <w:r>
        <w:rPr>
          <w:rFonts w:ascii="仿宋_GB2312" w:hAnsi="宋体" w:eastAsia="仿宋_GB2312"/>
          <w:sz w:val="32"/>
          <w:szCs w:val="32"/>
          <w:lang w:val="zh-CN"/>
        </w:rPr>
        <w:t>018</w:t>
      </w:r>
      <w:r>
        <w:rPr>
          <w:rFonts w:hint="eastAsia" w:ascii="仿宋_GB2312" w:hAnsi="宋体" w:eastAsia="仿宋_GB2312"/>
          <w:sz w:val="32"/>
          <w:szCs w:val="32"/>
          <w:lang w:val="zh-CN"/>
        </w:rPr>
        <w:t>〕4</w:t>
      </w:r>
      <w:r>
        <w:rPr>
          <w:rFonts w:ascii="仿宋_GB2312" w:hAnsi="宋体" w:eastAsia="仿宋_GB2312"/>
          <w:sz w:val="32"/>
          <w:szCs w:val="32"/>
          <w:lang w:val="zh-CN"/>
        </w:rPr>
        <w:t>5</w:t>
      </w:r>
      <w:r>
        <w:rPr>
          <w:rFonts w:hint="eastAsia" w:ascii="仿宋_GB2312" w:hAnsi="宋体" w:eastAsia="仿宋_GB2312"/>
          <w:sz w:val="32"/>
          <w:szCs w:val="32"/>
          <w:lang w:val="zh-CN"/>
        </w:rPr>
        <w:t>号文：绵竹市发展和改革局关于土门镇月季园供水项目实施方案的批复立项实施，资金来源为：绵竹市城乡供排水一体化（P</w:t>
      </w:r>
      <w:r>
        <w:rPr>
          <w:rFonts w:ascii="仿宋_GB2312" w:hAnsi="宋体" w:eastAsia="仿宋_GB2312"/>
          <w:sz w:val="32"/>
          <w:szCs w:val="32"/>
          <w:lang w:val="zh-CN"/>
        </w:rPr>
        <w:t>PP</w:t>
      </w:r>
      <w:r>
        <w:rPr>
          <w:rFonts w:hint="eastAsia" w:ascii="仿宋_GB2312" w:hAnsi="宋体" w:eastAsia="仿宋_GB2312"/>
          <w:sz w:val="32"/>
          <w:szCs w:val="32"/>
          <w:lang w:val="zh-CN"/>
        </w:rPr>
        <w:t>）项目财政配套债券资金。</w:t>
      </w:r>
    </w:p>
    <w:p>
      <w:pPr>
        <w:adjustRightInd w:val="0"/>
        <w:snapToGrid w:val="0"/>
        <w:spacing w:line="52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．资金管理办法制定情况，资金支持具体项目的条件、范围与支持方式概况。</w:t>
      </w:r>
    </w:p>
    <w:p>
      <w:pPr>
        <w:adjustRightInd w:val="0"/>
        <w:snapToGrid w:val="0"/>
        <w:spacing w:line="520" w:lineRule="exact"/>
        <w:ind w:firstLine="720"/>
        <w:rPr>
          <w:rFonts w:ascii="仿宋_GB2312" w:hAnsi="宋体" w:eastAsia="仿宋_GB2312"/>
          <w:sz w:val="32"/>
          <w:szCs w:val="32"/>
          <w:lang w:val="zh-CN"/>
        </w:rPr>
      </w:pPr>
      <w:r>
        <w:rPr>
          <w:rFonts w:eastAsia="仿宋_GB2312"/>
          <w:sz w:val="32"/>
          <w:szCs w:val="32"/>
          <w:lang w:val="zh-CN"/>
        </w:rPr>
        <w:t>根据《企业会计制度</w:t>
      </w:r>
      <w:r>
        <w:rPr>
          <w:rFonts w:hint="eastAsia" w:eastAsia="仿宋_GB2312"/>
          <w:sz w:val="32"/>
          <w:szCs w:val="32"/>
          <w:lang w:val="zh-CN"/>
        </w:rPr>
        <w:t>》《</w:t>
      </w:r>
      <w:r>
        <w:rPr>
          <w:rFonts w:eastAsia="仿宋_GB2312"/>
          <w:sz w:val="32"/>
          <w:szCs w:val="32"/>
          <w:lang w:val="zh-CN"/>
        </w:rPr>
        <w:t>企业会计准则</w:t>
      </w:r>
      <w:r>
        <w:rPr>
          <w:rFonts w:hint="eastAsia" w:eastAsia="仿宋_GB2312"/>
          <w:sz w:val="32"/>
          <w:szCs w:val="32"/>
          <w:lang w:val="zh-CN"/>
        </w:rPr>
        <w:t>》《</w:t>
      </w:r>
      <w:r>
        <w:rPr>
          <w:rFonts w:eastAsia="仿宋_GB2312"/>
          <w:sz w:val="32"/>
          <w:szCs w:val="32"/>
          <w:lang w:val="zh-CN"/>
        </w:rPr>
        <w:t>企业财务规则</w:t>
      </w:r>
      <w:r>
        <w:rPr>
          <w:rFonts w:hint="eastAsia" w:eastAsia="仿宋_GB2312"/>
          <w:sz w:val="32"/>
          <w:szCs w:val="32"/>
          <w:lang w:val="zh-CN"/>
        </w:rPr>
        <w:t>》《</w:t>
      </w:r>
      <w:r>
        <w:rPr>
          <w:rFonts w:eastAsia="仿宋_GB2312"/>
          <w:sz w:val="32"/>
          <w:szCs w:val="32"/>
          <w:lang w:val="zh-CN"/>
        </w:rPr>
        <w:t>中华人民共和国会计法》等</w:t>
      </w:r>
      <w:r>
        <w:rPr>
          <w:rFonts w:hint="eastAsia" w:eastAsia="仿宋_GB2312"/>
          <w:sz w:val="32"/>
          <w:szCs w:val="32"/>
          <w:lang w:val="zh-CN"/>
        </w:rPr>
        <w:t>法律法规</w:t>
      </w:r>
      <w:r>
        <w:rPr>
          <w:rFonts w:eastAsia="仿宋_GB2312"/>
          <w:sz w:val="32"/>
          <w:szCs w:val="32"/>
          <w:lang w:val="zh-CN"/>
        </w:rPr>
        <w:t>的有关规定，制定财务管理制度，通过设置财务分析部，进行财务核算、监督和管理。</w:t>
      </w:r>
    </w:p>
    <w:p>
      <w:pPr>
        <w:adjustRightInd w:val="0"/>
        <w:snapToGrid w:val="0"/>
        <w:spacing w:line="520" w:lineRule="exact"/>
        <w:ind w:firstLine="480" w:firstLineChars="150"/>
        <w:rPr>
          <w:rFonts w:ascii="仿宋_GB2312" w:hAnsi="宋体" w:eastAsia="仿宋_GB2312"/>
          <w:sz w:val="32"/>
          <w:szCs w:val="32"/>
          <w:lang w:val="zh-CN"/>
        </w:rPr>
      </w:pPr>
      <w:r>
        <w:rPr>
          <w:rFonts w:ascii="仿宋_GB2312" w:hAnsi="宋体" w:eastAsia="仿宋_GB2312"/>
          <w:sz w:val="32"/>
          <w:szCs w:val="32"/>
          <w:lang w:val="zh-CN"/>
        </w:rPr>
        <w:t xml:space="preserve"> 4</w:t>
      </w:r>
      <w:r>
        <w:rPr>
          <w:rFonts w:hint="eastAsia" w:ascii="仿宋_GB2312" w:hAnsi="宋体" w:eastAsia="仿宋_GB2312"/>
          <w:sz w:val="32"/>
          <w:szCs w:val="32"/>
          <w:lang w:val="zh-CN"/>
        </w:rPr>
        <w:t>．资金分配的原则及考虑因素。</w:t>
      </w:r>
    </w:p>
    <w:p>
      <w:pPr>
        <w:adjustRightInd w:val="0"/>
        <w:snapToGrid w:val="0"/>
        <w:spacing w:line="520" w:lineRule="exact"/>
        <w:ind w:firstLine="480" w:firstLineChars="150"/>
        <w:rPr>
          <w:rFonts w:ascii="仿宋_GB2312" w:hAnsi="宋体" w:eastAsia="仿宋_GB2312"/>
          <w:sz w:val="32"/>
          <w:szCs w:val="32"/>
          <w:lang w:val="zh-CN"/>
        </w:rPr>
      </w:pPr>
      <w:r>
        <w:rPr>
          <w:rFonts w:hint="eastAsia" w:ascii="仿宋_GB2312" w:hAnsi="宋体" w:eastAsia="仿宋_GB2312"/>
          <w:sz w:val="32"/>
          <w:szCs w:val="32"/>
          <w:lang w:val="zh-CN"/>
        </w:rPr>
        <w:t>按</w:t>
      </w:r>
      <w:r>
        <w:rPr>
          <w:rFonts w:hint="eastAsia" w:ascii="仿宋_GB2312" w:hAnsi="宋体" w:eastAsia="仿宋_GB2312"/>
          <w:sz w:val="32"/>
          <w:szCs w:val="32"/>
        </w:rPr>
        <w:t>市发改局、市财政局</w:t>
      </w:r>
      <w:r>
        <w:rPr>
          <w:rFonts w:hint="eastAsia" w:ascii="仿宋_GB2312" w:hAnsi="宋体" w:eastAsia="仿宋_GB2312"/>
          <w:sz w:val="32"/>
          <w:szCs w:val="32"/>
          <w:lang w:val="zh-CN"/>
        </w:rPr>
        <w:t>征求意见对该工程投资估算进行完善。</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2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w:t>
      </w:r>
    </w:p>
    <w:p>
      <w:pPr>
        <w:adjustRightInd w:val="0"/>
        <w:snapToGrid w:val="0"/>
        <w:spacing w:line="52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工程内容包含：土门镇月季园供水项目位于绵竹市土门镇，起点位于土双路，止点位于月季园东南大门；本次给水管网布置在S216东北侧边沟外，距离S216边沟2m左右（局部特殊段除外），本次工程采用DN160聚乙烯（PE100）管作为给水主管，长度1390m。</w:t>
      </w:r>
    </w:p>
    <w:p>
      <w:pPr>
        <w:adjustRightInd w:val="0"/>
        <w:snapToGrid w:val="0"/>
        <w:spacing w:line="52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．项目应实现的具体绩效目标，保障土门镇月季园园区用水。</w:t>
      </w:r>
    </w:p>
    <w:p>
      <w:pPr>
        <w:adjustRightInd w:val="0"/>
        <w:snapToGrid w:val="0"/>
        <w:spacing w:line="520" w:lineRule="exact"/>
        <w:ind w:firstLine="720"/>
        <w:rPr>
          <w:rFonts w:ascii="仿宋_GB2312" w:hAnsi="宋体" w:eastAsia="仿宋_GB2312"/>
          <w:sz w:val="32"/>
          <w:szCs w:val="32"/>
        </w:rPr>
      </w:pPr>
      <w:r>
        <w:rPr>
          <w:rFonts w:ascii="仿宋_GB2312" w:hAnsi="宋体" w:eastAsia="仿宋_GB2312"/>
          <w:sz w:val="32"/>
          <w:szCs w:val="32"/>
          <w:lang w:val="zh-CN"/>
        </w:rPr>
        <w:t>3</w:t>
      </w:r>
      <w:r>
        <w:rPr>
          <w:rFonts w:hint="eastAsia" w:ascii="仿宋_GB2312" w:hAnsi="宋体" w:eastAsia="仿宋_GB2312"/>
          <w:sz w:val="32"/>
          <w:szCs w:val="32"/>
          <w:lang w:val="zh-CN"/>
        </w:rPr>
        <w:t>．与实际相符</w:t>
      </w:r>
      <w:r>
        <w:rPr>
          <w:rFonts w:hint="eastAsia" w:ascii="仿宋_GB2312" w:hAnsi="宋体" w:eastAsia="仿宋_GB2312"/>
          <w:sz w:val="32"/>
          <w:szCs w:val="32"/>
        </w:rPr>
        <w:t>且</w:t>
      </w:r>
      <w:r>
        <w:rPr>
          <w:rFonts w:hint="eastAsia" w:ascii="仿宋_GB2312" w:hAnsi="宋体" w:eastAsia="仿宋_GB2312"/>
          <w:sz w:val="32"/>
          <w:szCs w:val="32"/>
          <w:lang w:val="zh-CN"/>
        </w:rPr>
        <w:t>合理可行。</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20" w:lineRule="exact"/>
        <w:ind w:firstLine="720"/>
        <w:rPr>
          <w:rFonts w:ascii="仿宋_GB2312" w:hAnsi="宋体" w:eastAsia="仿宋_GB2312"/>
          <w:sz w:val="32"/>
          <w:szCs w:val="32"/>
        </w:rPr>
      </w:pPr>
      <w:r>
        <w:rPr>
          <w:rFonts w:hint="eastAsia" w:ascii="仿宋_GB2312" w:hAnsi="宋体" w:eastAsia="仿宋_GB2312"/>
          <w:sz w:val="32"/>
          <w:szCs w:val="32"/>
        </w:rPr>
        <w:t>按工程形象进度及资金使用概算进行自评。</w:t>
      </w:r>
    </w:p>
    <w:p>
      <w:pPr>
        <w:adjustRightInd w:val="0"/>
        <w:snapToGrid w:val="0"/>
        <w:spacing w:line="52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20" w:lineRule="exact"/>
        <w:ind w:firstLine="720"/>
        <w:rPr>
          <w:rFonts w:ascii="仿宋_GB2312" w:hAnsi="宋体" w:eastAsia="仿宋_GB2312"/>
          <w:sz w:val="32"/>
          <w:szCs w:val="32"/>
        </w:rPr>
      </w:pPr>
      <w:r>
        <w:rPr>
          <w:rFonts w:hint="eastAsia" w:ascii="仿宋_GB2312" w:hAnsi="宋体" w:eastAsia="仿宋_GB2312"/>
          <w:sz w:val="32"/>
          <w:szCs w:val="32"/>
        </w:rPr>
        <w:t>该</w:t>
      </w:r>
      <w:r>
        <w:rPr>
          <w:rFonts w:hint="eastAsia" w:ascii="仿宋_GB2312" w:hAnsi="宋体" w:eastAsia="仿宋_GB2312"/>
          <w:sz w:val="32"/>
          <w:szCs w:val="32"/>
          <w:lang w:val="zh-CN"/>
        </w:rPr>
        <w:t>项目</w:t>
      </w:r>
      <w:r>
        <w:rPr>
          <w:rFonts w:hint="eastAsia" w:ascii="仿宋_GB2312" w:hAnsi="宋体" w:eastAsia="仿宋_GB2312"/>
          <w:sz w:val="32"/>
          <w:szCs w:val="32"/>
        </w:rPr>
        <w:t>立项已上会并批复。</w:t>
      </w:r>
    </w:p>
    <w:p>
      <w:pPr>
        <w:adjustRightInd w:val="0"/>
        <w:snapToGrid w:val="0"/>
        <w:spacing w:line="52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520" w:lineRule="exact"/>
        <w:ind w:firstLine="720"/>
        <w:rPr>
          <w:rFonts w:ascii="仿宋_GB2312" w:hAnsi="宋体" w:eastAsia="仿宋_GB2312"/>
          <w:sz w:val="32"/>
          <w:szCs w:val="32"/>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_GB2312" w:hAnsi="宋体" w:eastAsia="仿宋_GB2312"/>
          <w:sz w:val="32"/>
          <w:szCs w:val="32"/>
          <w:lang w:val="zh-CN"/>
        </w:rPr>
        <w:t>绵竹市城乡供排水一体化（P</w:t>
      </w:r>
      <w:r>
        <w:rPr>
          <w:rFonts w:ascii="仿宋_GB2312" w:hAnsi="宋体" w:eastAsia="仿宋_GB2312"/>
          <w:sz w:val="32"/>
          <w:szCs w:val="32"/>
          <w:lang w:val="zh-CN"/>
        </w:rPr>
        <w:t>PP</w:t>
      </w:r>
      <w:r>
        <w:rPr>
          <w:rFonts w:hint="eastAsia" w:ascii="仿宋_GB2312" w:hAnsi="宋体" w:eastAsia="仿宋_GB2312"/>
          <w:sz w:val="32"/>
          <w:szCs w:val="32"/>
          <w:lang w:val="zh-CN"/>
        </w:rPr>
        <w:t>）项目财政配套债券资金</w:t>
      </w:r>
      <w:r>
        <w:rPr>
          <w:rFonts w:hint="eastAsia" w:ascii="仿宋_GB2312" w:hAnsi="宋体" w:eastAsia="仿宋_GB2312"/>
          <w:sz w:val="32"/>
          <w:szCs w:val="32"/>
        </w:rPr>
        <w:t>。</w:t>
      </w:r>
    </w:p>
    <w:p>
      <w:pPr>
        <w:adjustRightInd w:val="0"/>
        <w:snapToGrid w:val="0"/>
        <w:spacing w:line="520" w:lineRule="exact"/>
        <w:ind w:firstLine="720"/>
        <w:rPr>
          <w:rFonts w:ascii="仿宋_GB2312" w:hAnsi="宋体" w:eastAsia="仿宋_GB2312"/>
          <w:sz w:val="32"/>
          <w:szCs w:val="32"/>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rPr>
        <w:t>本级财政资金已全额到位，共计安排资金46.35万元</w:t>
      </w:r>
    </w:p>
    <w:p>
      <w:pPr>
        <w:adjustRightInd w:val="0"/>
        <w:snapToGrid w:val="0"/>
        <w:spacing w:line="520" w:lineRule="exact"/>
        <w:ind w:firstLine="720"/>
        <w:rPr>
          <w:rFonts w:ascii="仿宋_GB2312" w:hAnsi="宋体" w:eastAsia="仿宋_GB2312"/>
          <w:sz w:val="32"/>
          <w:szCs w:val="32"/>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宋体" w:eastAsia="仿宋_GB2312"/>
          <w:sz w:val="32"/>
          <w:szCs w:val="32"/>
        </w:rPr>
        <w:t>资金已全额支付。2021年度拨款3.58万元。</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20" w:lineRule="exact"/>
        <w:ind w:firstLine="720"/>
        <w:rPr>
          <w:rFonts w:ascii="仿宋_GB2312" w:hAnsi="宋体" w:eastAsia="仿宋_GB2312"/>
          <w:sz w:val="32"/>
          <w:szCs w:val="32"/>
          <w:lang w:val="zh-CN"/>
        </w:rPr>
      </w:pPr>
      <w:r>
        <w:rPr>
          <w:rFonts w:eastAsia="仿宋_GB2312"/>
          <w:sz w:val="32"/>
          <w:szCs w:val="32"/>
          <w:lang w:val="zh-CN"/>
        </w:rPr>
        <w:t>依照法律、行政法规和国家财政行政主管部门的规定建立财务、会计制度，按国家和有关部门的规定进行审计，报送财政、严格执行财务管理制度、财务处理及时、会计核算规范。</w:t>
      </w:r>
    </w:p>
    <w:p>
      <w:pPr>
        <w:adjustRightInd w:val="0"/>
        <w:snapToGrid w:val="0"/>
        <w:spacing w:line="52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spacing w:line="520" w:lineRule="exact"/>
        <w:ind w:firstLine="640" w:firstLineChars="200"/>
        <w:rPr>
          <w:rFonts w:eastAsia="仿宋_GB2312"/>
          <w:sz w:val="32"/>
          <w:szCs w:val="32"/>
        </w:rPr>
      </w:pPr>
      <w:r>
        <w:rPr>
          <w:rFonts w:eastAsia="仿宋_GB2312"/>
          <w:sz w:val="32"/>
          <w:szCs w:val="32"/>
        </w:rPr>
        <w:t>该项目设置项目负责人一名，甲方现场代表一名；委托具有专业项目</w:t>
      </w:r>
      <w:r>
        <w:rPr>
          <w:rFonts w:hint="eastAsia" w:eastAsia="仿宋_GB2312"/>
          <w:sz w:val="32"/>
          <w:szCs w:val="32"/>
        </w:rPr>
        <w:t>施工</w:t>
      </w:r>
      <w:r>
        <w:rPr>
          <w:rFonts w:eastAsia="仿宋_GB2312"/>
          <w:sz w:val="32"/>
          <w:szCs w:val="32"/>
        </w:rPr>
        <w:t>资质的</w:t>
      </w:r>
      <w:r>
        <w:rPr>
          <w:rFonts w:hint="eastAsia" w:eastAsia="仿宋_GB2312"/>
          <w:sz w:val="32"/>
          <w:szCs w:val="32"/>
        </w:rPr>
        <w:t>施工</w:t>
      </w:r>
      <w:r>
        <w:rPr>
          <w:rFonts w:eastAsia="仿宋_GB2312"/>
          <w:sz w:val="32"/>
          <w:szCs w:val="32"/>
        </w:rPr>
        <w:t>单位一家，具有专业监理资质的监理单位一家。</w:t>
      </w:r>
    </w:p>
    <w:p>
      <w:pPr>
        <w:adjustRightInd w:val="0"/>
        <w:snapToGrid w:val="0"/>
        <w:spacing w:line="52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eastAsia="仿宋_GB2312"/>
          <w:sz w:val="32"/>
          <w:szCs w:val="32"/>
        </w:rPr>
        <w:t>该项目严格执行招投标、安全质量、竣工验收等各项管理制度。该项目严格遵循基本建设程序</w:t>
      </w:r>
      <w:r>
        <w:rPr>
          <w:rFonts w:hint="eastAsia" w:eastAsia="仿宋_GB2312"/>
          <w:sz w:val="32"/>
          <w:szCs w:val="32"/>
        </w:rPr>
        <w:t>，</w:t>
      </w:r>
      <w:r>
        <w:rPr>
          <w:rFonts w:eastAsia="仿宋_GB2312"/>
          <w:sz w:val="32"/>
          <w:szCs w:val="32"/>
        </w:rPr>
        <w:t>先规划研究，后设计施工，过程中严格控制</w:t>
      </w:r>
      <w:r>
        <w:rPr>
          <w:rFonts w:hint="eastAsia" w:eastAsia="仿宋_GB2312"/>
          <w:sz w:val="32"/>
          <w:szCs w:val="32"/>
        </w:rPr>
        <w:t>各项经济指标</w:t>
      </w:r>
      <w:r>
        <w:rPr>
          <w:rFonts w:eastAsia="仿宋_GB2312"/>
          <w:sz w:val="32"/>
          <w:szCs w:val="32"/>
        </w:rPr>
        <w:t>。</w:t>
      </w:r>
    </w:p>
    <w:p>
      <w:pPr>
        <w:adjustRightInd w:val="0"/>
        <w:snapToGrid w:val="0"/>
        <w:spacing w:line="520" w:lineRule="exact"/>
        <w:ind w:firstLine="720"/>
        <w:rPr>
          <w:rFonts w:ascii="仿宋_GB2312" w:hAnsi="宋体" w:eastAsia="仿宋_GB2312"/>
          <w:sz w:val="32"/>
          <w:szCs w:val="32"/>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rPr>
        <w:t>市住建局不定期</w:t>
      </w:r>
      <w:r>
        <w:rPr>
          <w:rFonts w:hint="eastAsia" w:ascii="仿宋_GB2312" w:hAnsi="宋体" w:eastAsia="仿宋_GB2312"/>
          <w:sz w:val="32"/>
          <w:szCs w:val="32"/>
          <w:lang w:eastAsia="zh-CN"/>
        </w:rPr>
        <w:t>地</w:t>
      </w:r>
      <w:r>
        <w:rPr>
          <w:rFonts w:hint="eastAsia" w:ascii="仿宋_GB2312" w:hAnsi="宋体" w:eastAsia="仿宋_GB2312"/>
          <w:sz w:val="32"/>
          <w:szCs w:val="32"/>
        </w:rPr>
        <w:t>对工程形象进度及财务开展检查指导工作。</w:t>
      </w:r>
    </w:p>
    <w:p>
      <w:pPr>
        <w:adjustRightInd w:val="0"/>
        <w:snapToGrid w:val="0"/>
        <w:spacing w:line="52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20" w:lineRule="exact"/>
        <w:ind w:firstLine="720"/>
        <w:rPr>
          <w:rFonts w:ascii="仿宋_GB2312" w:hAnsi="宋体" w:eastAsia="仿宋_GB2312"/>
          <w:sz w:val="32"/>
          <w:szCs w:val="32"/>
        </w:rPr>
      </w:pPr>
      <w:r>
        <w:rPr>
          <w:rFonts w:hint="eastAsia" w:ascii="仿宋_GB2312" w:hAnsi="宋体" w:eastAsia="仿宋_GB2312"/>
          <w:sz w:val="32"/>
          <w:szCs w:val="32"/>
        </w:rPr>
        <w:t>项目在合同规定工期内竣工验收合格并投入使用，项目结算总价在控制价以内，在保证质量的前提下提前完成任务并降低了工程投入。</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可解决土门镇月季园供水问题，为我市优质营商环境，引进外资投资提供保障。</w:t>
      </w:r>
    </w:p>
    <w:p>
      <w:pPr>
        <w:adjustRightInd w:val="0"/>
        <w:snapToGrid w:val="0"/>
        <w:spacing w:line="52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该项目达成绩效目标。</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无。</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无。</w:t>
      </w: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tbl>
      <w:tblPr>
        <w:tblStyle w:val="13"/>
        <w:tblW w:w="8971" w:type="dxa"/>
        <w:jc w:val="center"/>
        <w:tblLayout w:type="autofit"/>
        <w:tblCellMar>
          <w:top w:w="0" w:type="dxa"/>
          <w:left w:w="108" w:type="dxa"/>
          <w:bottom w:w="0" w:type="dxa"/>
          <w:right w:w="108" w:type="dxa"/>
        </w:tblCellMar>
      </w:tblPr>
      <w:tblGrid>
        <w:gridCol w:w="1080"/>
        <w:gridCol w:w="900"/>
        <w:gridCol w:w="1340"/>
        <w:gridCol w:w="1080"/>
        <w:gridCol w:w="611"/>
        <w:gridCol w:w="2249"/>
        <w:gridCol w:w="1711"/>
      </w:tblGrid>
      <w:tr>
        <w:tblPrEx>
          <w:tblCellMar>
            <w:top w:w="0" w:type="dxa"/>
            <w:left w:w="108" w:type="dxa"/>
            <w:bottom w:w="0" w:type="dxa"/>
            <w:right w:w="108" w:type="dxa"/>
          </w:tblCellMar>
        </w:tblPrEx>
        <w:trPr>
          <w:trHeight w:val="405" w:hRule="atLeast"/>
          <w:jc w:val="center"/>
        </w:trPr>
        <w:tc>
          <w:tcPr>
            <w:tcW w:w="8971"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8971"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85" w:hRule="atLeast"/>
          <w:jc w:val="center"/>
        </w:trPr>
        <w:tc>
          <w:tcPr>
            <w:tcW w:w="108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90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134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108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611"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2249"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1711"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412" w:hRule="atLeast"/>
          <w:jc w:val="center"/>
        </w:trPr>
        <w:tc>
          <w:tcPr>
            <w:tcW w:w="3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65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土门镇月季园供水项目</w:t>
            </w:r>
          </w:p>
        </w:tc>
      </w:tr>
      <w:tr>
        <w:tblPrEx>
          <w:tblCellMar>
            <w:top w:w="0" w:type="dxa"/>
            <w:left w:w="108" w:type="dxa"/>
            <w:bottom w:w="0" w:type="dxa"/>
            <w:right w:w="108" w:type="dxa"/>
          </w:tblCellMar>
        </w:tblPrEx>
        <w:trPr>
          <w:trHeight w:val="503" w:hRule="atLeast"/>
          <w:jc w:val="center"/>
        </w:trPr>
        <w:tc>
          <w:tcPr>
            <w:tcW w:w="3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65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45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69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3.58万元</w:t>
            </w:r>
          </w:p>
        </w:tc>
        <w:tc>
          <w:tcPr>
            <w:tcW w:w="2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3.58万元</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69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3.58万元</w:t>
            </w:r>
          </w:p>
        </w:tc>
        <w:tc>
          <w:tcPr>
            <w:tcW w:w="2249"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其中：财政拨款</w:t>
            </w:r>
          </w:p>
        </w:tc>
        <w:tc>
          <w:tcPr>
            <w:tcW w:w="1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3.58万元</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69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249"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94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393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4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93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给水管网布置在S216东南侧边沟外，距S216边沟约2m左右（局部特殊段除外），采用DN160聚乙烯（PE100）作为给水管，全长约1370m。</w:t>
            </w:r>
          </w:p>
        </w:tc>
        <w:tc>
          <w:tcPr>
            <w:tcW w:w="39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给水管网布置在S216东南侧边沟外，距S216边沟约2m左右（局部特殊段除外），采用DN160聚乙烯（PE100）作为给水管，全长约1370m。</w:t>
            </w:r>
          </w:p>
        </w:tc>
      </w:tr>
      <w:tr>
        <w:tblPrEx>
          <w:tblCellMar>
            <w:top w:w="0" w:type="dxa"/>
            <w:left w:w="108" w:type="dxa"/>
            <w:bottom w:w="0" w:type="dxa"/>
            <w:right w:w="108" w:type="dxa"/>
          </w:tblCellMar>
        </w:tblPrEx>
        <w:trPr>
          <w:trHeight w:val="66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6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2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979"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3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6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完成PE160给水管及附属设施的安装</w:t>
            </w:r>
          </w:p>
        </w:tc>
        <w:tc>
          <w:tcPr>
            <w:tcW w:w="2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1390米供水管道安装及DN150水表安装</w:t>
            </w:r>
          </w:p>
        </w:tc>
        <w:tc>
          <w:tcPr>
            <w:tcW w:w="17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1390米供水管道安装及DN150水表安装</w:t>
            </w:r>
          </w:p>
        </w:tc>
      </w:tr>
      <w:tr>
        <w:tblPrEx>
          <w:tblCellMar>
            <w:top w:w="0" w:type="dxa"/>
            <w:left w:w="108" w:type="dxa"/>
            <w:bottom w:w="0" w:type="dxa"/>
            <w:right w:w="108" w:type="dxa"/>
          </w:tblCellMar>
        </w:tblPrEx>
        <w:trPr>
          <w:trHeight w:val="66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6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工程质量合格</w:t>
            </w:r>
          </w:p>
        </w:tc>
        <w:tc>
          <w:tcPr>
            <w:tcW w:w="22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压力测试0.8Mpa</w:t>
            </w:r>
          </w:p>
        </w:tc>
        <w:tc>
          <w:tcPr>
            <w:tcW w:w="1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压力测试0.8Mpa</w:t>
            </w:r>
          </w:p>
        </w:tc>
      </w:tr>
      <w:tr>
        <w:tblPrEx>
          <w:tblCellMar>
            <w:top w:w="0" w:type="dxa"/>
            <w:left w:w="108" w:type="dxa"/>
            <w:bottom w:w="0" w:type="dxa"/>
            <w:right w:w="108" w:type="dxa"/>
          </w:tblCellMar>
        </w:tblPrEx>
        <w:trPr>
          <w:trHeight w:val="66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6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完成时限</w:t>
            </w:r>
          </w:p>
        </w:tc>
        <w:tc>
          <w:tcPr>
            <w:tcW w:w="22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2018年9月5日</w:t>
            </w:r>
          </w:p>
        </w:tc>
        <w:tc>
          <w:tcPr>
            <w:tcW w:w="1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2018年9月2日</w:t>
            </w:r>
          </w:p>
        </w:tc>
      </w:tr>
      <w:tr>
        <w:tblPrEx>
          <w:tblCellMar>
            <w:top w:w="0" w:type="dxa"/>
            <w:left w:w="108" w:type="dxa"/>
            <w:bottom w:w="0" w:type="dxa"/>
            <w:right w:w="108" w:type="dxa"/>
          </w:tblCellMar>
        </w:tblPrEx>
        <w:trPr>
          <w:trHeight w:val="66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6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成本费用</w:t>
            </w:r>
          </w:p>
        </w:tc>
        <w:tc>
          <w:tcPr>
            <w:tcW w:w="22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等线" w:hAnsi="等线" w:eastAsia="等线" w:cs="宋体"/>
                <w:kern w:val="0"/>
                <w:sz w:val="20"/>
                <w:szCs w:val="20"/>
              </w:rPr>
              <w:t>≤</w:t>
            </w:r>
            <w:r>
              <w:rPr>
                <w:rFonts w:hint="eastAsia" w:ascii="宋体" w:hAnsi="宋体" w:cs="宋体"/>
                <w:kern w:val="0"/>
                <w:sz w:val="20"/>
                <w:szCs w:val="20"/>
              </w:rPr>
              <w:t>46.35万元</w:t>
            </w:r>
          </w:p>
        </w:tc>
        <w:tc>
          <w:tcPr>
            <w:tcW w:w="1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37.4206万元</w:t>
            </w:r>
          </w:p>
        </w:tc>
      </w:tr>
      <w:tr>
        <w:tblPrEx>
          <w:tblCellMar>
            <w:top w:w="0" w:type="dxa"/>
            <w:left w:w="108" w:type="dxa"/>
            <w:bottom w:w="0" w:type="dxa"/>
            <w:right w:w="108" w:type="dxa"/>
          </w:tblCellMar>
        </w:tblPrEx>
        <w:trPr>
          <w:trHeight w:val="75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3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6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旅游基础设施保障到位</w:t>
            </w:r>
          </w:p>
        </w:tc>
        <w:tc>
          <w:tcPr>
            <w:tcW w:w="224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营造良好旅游环境</w:t>
            </w:r>
          </w:p>
        </w:tc>
        <w:tc>
          <w:tcPr>
            <w:tcW w:w="171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营造良好旅游环境</w:t>
            </w:r>
          </w:p>
        </w:tc>
      </w:tr>
      <w:tr>
        <w:tblPrEx>
          <w:tblCellMar>
            <w:top w:w="0" w:type="dxa"/>
            <w:left w:w="108" w:type="dxa"/>
            <w:bottom w:w="0" w:type="dxa"/>
            <w:right w:w="108" w:type="dxa"/>
          </w:tblCellMar>
        </w:tblPrEx>
        <w:trPr>
          <w:trHeight w:val="63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69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群众满意度</w:t>
            </w:r>
          </w:p>
        </w:tc>
        <w:tc>
          <w:tcPr>
            <w:tcW w:w="224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71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31"/>
        <w:spacing w:before="93" w:line="240" w:lineRule="auto"/>
        <w:jc w:val="center"/>
        <w:rPr>
          <w:rFonts w:ascii="宋体" w:hAnsi="宋体"/>
          <w:b/>
          <w:sz w:val="44"/>
          <w:szCs w:val="44"/>
        </w:rPr>
      </w:pPr>
      <w:r>
        <w:rPr>
          <w:rFonts w:hint="eastAsia" w:ascii="宋体" w:hAnsi="宋体"/>
          <w:b/>
          <w:sz w:val="44"/>
          <w:szCs w:val="44"/>
        </w:rPr>
        <w:t>项目支出绩效自评报告</w:t>
      </w:r>
    </w:p>
    <w:p>
      <w:pPr>
        <w:pStyle w:val="31"/>
        <w:spacing w:before="93" w:line="240" w:lineRule="auto"/>
        <w:jc w:val="center"/>
        <w:rPr>
          <w:rFonts w:ascii="Times New Roman" w:hAnsi="Times New Roman" w:eastAsia="仿宋_GB2312" w:cs="Times New Roman"/>
          <w:color w:val="auto"/>
          <w:sz w:val="32"/>
          <w:szCs w:val="32"/>
        </w:rPr>
      </w:pPr>
      <w:r>
        <w:rPr>
          <w:rFonts w:hint="eastAsia" w:ascii="Times New Roman" w:hAnsi="Times New Roman" w:eastAsia="仿宋_GB2312" w:cs="Times New Roman"/>
          <w:color w:val="auto"/>
          <w:sz w:val="32"/>
          <w:szCs w:val="32"/>
        </w:rPr>
        <w:t>（“一厂一策”整治方案编制服务费）</w:t>
      </w:r>
    </w:p>
    <w:p>
      <w:pPr>
        <w:pStyle w:val="31"/>
        <w:spacing w:before="93" w:line="240" w:lineRule="auto"/>
        <w:jc w:val="center"/>
        <w:rPr>
          <w:rFonts w:ascii="Times New Roman" w:hAnsi="Times New Roman" w:eastAsia="仿宋_GB2312" w:cs="Times New Roman"/>
          <w:color w:val="auto"/>
          <w:sz w:val="32"/>
          <w:szCs w:val="32"/>
        </w:rPr>
      </w:pPr>
    </w:p>
    <w:p>
      <w:pPr>
        <w:adjustRightInd w:val="0"/>
        <w:snapToGrid w:val="0"/>
        <w:spacing w:line="640" w:lineRule="exact"/>
        <w:rPr>
          <w:rFonts w:ascii="仿宋_GB2312" w:hAnsi="宋体" w:eastAsia="仿宋_GB2312"/>
          <w:b/>
          <w:bCs/>
          <w:sz w:val="32"/>
          <w:szCs w:val="32"/>
          <w:lang w:val="zh-CN"/>
        </w:rPr>
      </w:pPr>
      <w:r>
        <w:rPr>
          <w:rFonts w:hint="eastAsia" w:ascii="仿宋_GB2312" w:hAnsi="宋体" w:eastAsia="仿宋_GB2312"/>
          <w:b/>
          <w:bCs/>
          <w:sz w:val="32"/>
          <w:szCs w:val="32"/>
          <w:lang w:val="zh-CN"/>
        </w:rPr>
        <w:t>一、项目概况</w:t>
      </w:r>
    </w:p>
    <w:p>
      <w:pPr>
        <w:spacing w:line="640" w:lineRule="exact"/>
        <w:ind w:firstLine="640" w:firstLineChars="200"/>
        <w:rPr>
          <w:rFonts w:eastAsia="仿宋_GB2312"/>
          <w:b/>
          <w:bCs/>
          <w:kern w:val="0"/>
          <w:sz w:val="32"/>
          <w:szCs w:val="32"/>
          <w:lang w:val="zh-CN"/>
        </w:rPr>
      </w:pPr>
      <w:r>
        <w:rPr>
          <w:rFonts w:hint="eastAsia" w:eastAsia="仿宋_GB2312"/>
          <w:kern w:val="0"/>
          <w:sz w:val="32"/>
          <w:szCs w:val="32"/>
          <w:lang w:val="zh-CN"/>
        </w:rPr>
        <w:t>按照城市污水处理厂及服务范围内管网的具体情况，提出相对应的治理思路，编制《绵竹市污水处理厂“一厂一策”系统化整治方案》，以使绵竹市污水处理厂进水生化需氧量（BOD）浓度超过100mg/L并保持稳定运行。</w:t>
      </w:r>
    </w:p>
    <w:p>
      <w:pPr>
        <w:spacing w:line="640" w:lineRule="exact"/>
        <w:ind w:firstLine="642" w:firstLineChars="200"/>
        <w:rPr>
          <w:rFonts w:eastAsia="仿宋_GB2312"/>
          <w:kern w:val="0"/>
          <w:sz w:val="32"/>
          <w:szCs w:val="32"/>
        </w:rPr>
      </w:pPr>
      <w:r>
        <w:rPr>
          <w:rFonts w:hint="eastAsia" w:eastAsia="仿宋_GB2312"/>
          <w:b/>
          <w:bCs/>
          <w:kern w:val="0"/>
          <w:sz w:val="32"/>
          <w:szCs w:val="32"/>
          <w:lang w:val="zh-CN"/>
        </w:rPr>
        <w:t>（一）项目资金申报及批复情况。</w:t>
      </w:r>
    </w:p>
    <w:p>
      <w:pPr>
        <w:spacing w:line="640" w:lineRule="exact"/>
        <w:ind w:firstLine="640" w:firstLineChars="200"/>
        <w:rPr>
          <w:rFonts w:eastAsia="仿宋_GB2312"/>
          <w:kern w:val="0"/>
          <w:sz w:val="32"/>
          <w:szCs w:val="32"/>
        </w:rPr>
      </w:pPr>
      <w:r>
        <w:rPr>
          <w:rFonts w:hint="eastAsia" w:eastAsia="仿宋_GB2312"/>
          <w:kern w:val="0"/>
          <w:sz w:val="32"/>
          <w:szCs w:val="32"/>
        </w:rPr>
        <w:t>2021年初项目预算资金4.9万元。使用符合资金管理办法等相关规定。</w:t>
      </w:r>
    </w:p>
    <w:p>
      <w:pPr>
        <w:spacing w:line="640" w:lineRule="exact"/>
        <w:ind w:firstLine="642" w:firstLineChars="200"/>
        <w:rPr>
          <w:rFonts w:eastAsia="仿宋_GB2312"/>
          <w:b/>
          <w:bCs/>
          <w:kern w:val="0"/>
          <w:sz w:val="32"/>
          <w:szCs w:val="32"/>
          <w:lang w:val="zh-CN"/>
        </w:rPr>
      </w:pPr>
      <w:r>
        <w:rPr>
          <w:rFonts w:hint="eastAsia" w:eastAsia="仿宋_GB2312"/>
          <w:b/>
          <w:bCs/>
          <w:kern w:val="0"/>
          <w:sz w:val="32"/>
          <w:szCs w:val="32"/>
          <w:lang w:val="zh-CN"/>
        </w:rPr>
        <w:t>（</w:t>
      </w:r>
      <w:r>
        <w:rPr>
          <w:rFonts w:hint="eastAsia" w:eastAsia="仿宋_GB2312"/>
          <w:b/>
          <w:bCs/>
          <w:kern w:val="0"/>
          <w:sz w:val="32"/>
          <w:szCs w:val="32"/>
        </w:rPr>
        <w:t>二</w:t>
      </w:r>
      <w:r>
        <w:rPr>
          <w:rFonts w:hint="eastAsia" w:eastAsia="仿宋_GB2312"/>
          <w:b/>
          <w:bCs/>
          <w:kern w:val="0"/>
          <w:sz w:val="32"/>
          <w:szCs w:val="32"/>
          <w:lang w:val="zh-CN"/>
        </w:rPr>
        <w:t>）项目绩效目标</w:t>
      </w:r>
    </w:p>
    <w:p>
      <w:pPr>
        <w:spacing w:line="640" w:lineRule="exact"/>
        <w:ind w:firstLine="640" w:firstLineChars="200"/>
        <w:rPr>
          <w:rFonts w:eastAsia="仿宋_GB2312"/>
          <w:kern w:val="0"/>
          <w:sz w:val="32"/>
          <w:szCs w:val="32"/>
          <w:lang w:val="zh-CN"/>
        </w:rPr>
      </w:pPr>
      <w:r>
        <w:rPr>
          <w:rFonts w:hint="eastAsia" w:eastAsia="仿宋_GB2312"/>
          <w:kern w:val="0"/>
          <w:sz w:val="32"/>
          <w:szCs w:val="32"/>
          <w:lang w:val="zh-CN"/>
        </w:rPr>
        <w:t>该项目绩效总目标</w:t>
      </w:r>
      <w:r>
        <w:rPr>
          <w:rFonts w:hint="eastAsia" w:eastAsia="仿宋_GB2312"/>
          <w:kern w:val="0"/>
          <w:sz w:val="32"/>
          <w:szCs w:val="32"/>
        </w:rPr>
        <w:t>群众满意率</w:t>
      </w:r>
      <w:r>
        <w:rPr>
          <w:rFonts w:hint="eastAsia" w:eastAsia="仿宋_GB2312"/>
          <w:kern w:val="0"/>
          <w:sz w:val="32"/>
          <w:szCs w:val="32"/>
          <w:lang w:val="zh-CN"/>
        </w:rPr>
        <w:t>达</w:t>
      </w:r>
      <w:r>
        <w:rPr>
          <w:rFonts w:hint="eastAsia" w:eastAsia="仿宋_GB2312"/>
          <w:kern w:val="0"/>
          <w:sz w:val="32"/>
          <w:szCs w:val="32"/>
        </w:rPr>
        <w:t>100</w:t>
      </w:r>
      <w:r>
        <w:rPr>
          <w:rFonts w:hint="eastAsia" w:eastAsia="仿宋_GB2312"/>
          <w:kern w:val="0"/>
          <w:sz w:val="32"/>
          <w:szCs w:val="32"/>
          <w:lang w:val="zh-CN"/>
        </w:rPr>
        <w:t>%，</w:t>
      </w:r>
      <w:r>
        <w:rPr>
          <w:rFonts w:hint="eastAsia" w:eastAsia="仿宋_GB2312"/>
          <w:kern w:val="0"/>
          <w:sz w:val="32"/>
          <w:szCs w:val="32"/>
        </w:rPr>
        <w:t>截至目前</w:t>
      </w:r>
      <w:r>
        <w:rPr>
          <w:rFonts w:hint="eastAsia" w:eastAsia="仿宋_GB2312"/>
          <w:kern w:val="0"/>
          <w:sz w:val="32"/>
          <w:szCs w:val="32"/>
          <w:lang w:val="zh-CN"/>
        </w:rPr>
        <w:t>自查已达成项目绩效总目标。202</w:t>
      </w:r>
      <w:r>
        <w:rPr>
          <w:rFonts w:hint="eastAsia" w:eastAsia="仿宋_GB2312"/>
          <w:kern w:val="0"/>
          <w:sz w:val="32"/>
          <w:szCs w:val="32"/>
        </w:rPr>
        <w:t>1</w:t>
      </w:r>
      <w:r>
        <w:rPr>
          <w:rFonts w:hint="eastAsia" w:eastAsia="仿宋_GB2312"/>
          <w:kern w:val="0"/>
          <w:sz w:val="32"/>
          <w:szCs w:val="32"/>
          <w:lang w:val="zh-CN"/>
        </w:rPr>
        <w:t>年资金预算指标为</w:t>
      </w:r>
      <w:r>
        <w:rPr>
          <w:rFonts w:hint="eastAsia" w:eastAsia="仿宋_GB2312"/>
          <w:kern w:val="0"/>
          <w:sz w:val="32"/>
          <w:szCs w:val="32"/>
        </w:rPr>
        <w:t>4.9</w:t>
      </w:r>
      <w:r>
        <w:rPr>
          <w:rFonts w:hint="eastAsia" w:eastAsia="仿宋_GB2312"/>
          <w:kern w:val="0"/>
          <w:sz w:val="32"/>
          <w:szCs w:val="32"/>
          <w:lang w:val="zh-CN"/>
        </w:rPr>
        <w:t>万元。</w:t>
      </w:r>
    </w:p>
    <w:p>
      <w:pPr>
        <w:spacing w:line="640" w:lineRule="exact"/>
        <w:ind w:firstLine="642" w:firstLineChars="200"/>
        <w:rPr>
          <w:rFonts w:eastAsia="仿宋_GB2312"/>
          <w:b/>
          <w:bCs/>
          <w:kern w:val="0"/>
          <w:sz w:val="32"/>
          <w:szCs w:val="32"/>
          <w:lang w:val="zh-CN"/>
        </w:rPr>
      </w:pPr>
      <w:r>
        <w:rPr>
          <w:rFonts w:hint="eastAsia" w:eastAsia="仿宋_GB2312"/>
          <w:b/>
          <w:bCs/>
          <w:kern w:val="0"/>
          <w:sz w:val="32"/>
          <w:szCs w:val="32"/>
          <w:lang w:val="zh-CN"/>
        </w:rPr>
        <w:t>（</w:t>
      </w:r>
      <w:r>
        <w:rPr>
          <w:rFonts w:hint="eastAsia" w:eastAsia="仿宋_GB2312"/>
          <w:b/>
          <w:bCs/>
          <w:kern w:val="0"/>
          <w:sz w:val="32"/>
          <w:szCs w:val="32"/>
        </w:rPr>
        <w:t>三</w:t>
      </w:r>
      <w:r>
        <w:rPr>
          <w:rFonts w:hint="eastAsia" w:eastAsia="仿宋_GB2312"/>
          <w:b/>
          <w:bCs/>
          <w:kern w:val="0"/>
          <w:sz w:val="32"/>
          <w:szCs w:val="32"/>
          <w:lang w:val="zh-CN"/>
        </w:rPr>
        <w:t>）项目资金申报相符性</w:t>
      </w:r>
    </w:p>
    <w:p>
      <w:pPr>
        <w:spacing w:line="640" w:lineRule="exact"/>
        <w:ind w:firstLine="640" w:firstLineChars="200"/>
        <w:rPr>
          <w:rFonts w:eastAsia="仿宋_GB2312"/>
          <w:kern w:val="0"/>
          <w:sz w:val="32"/>
          <w:szCs w:val="32"/>
        </w:rPr>
      </w:pPr>
      <w:r>
        <w:rPr>
          <w:rFonts w:hint="eastAsia" w:eastAsia="仿宋_GB2312"/>
          <w:kern w:val="0"/>
          <w:sz w:val="32"/>
          <w:szCs w:val="32"/>
          <w:lang w:val="zh-CN"/>
        </w:rPr>
        <w:t>该项目</w:t>
      </w:r>
      <w:r>
        <w:rPr>
          <w:rFonts w:hint="eastAsia" w:eastAsia="仿宋_GB2312"/>
          <w:kern w:val="0"/>
          <w:sz w:val="32"/>
          <w:szCs w:val="32"/>
        </w:rPr>
        <w:t>2021年年度资金预算指标合计4.9万元，全部用于</w:t>
      </w:r>
      <w:r>
        <w:rPr>
          <w:rFonts w:hint="eastAsia" w:eastAsia="仿宋_GB2312"/>
          <w:kern w:val="0"/>
          <w:sz w:val="32"/>
          <w:szCs w:val="32"/>
          <w:lang w:val="zh-CN"/>
        </w:rPr>
        <w:t>编制《绵竹市污水处理厂“一厂一策”系统化整治方案》</w:t>
      </w:r>
      <w:r>
        <w:rPr>
          <w:rFonts w:hint="eastAsia" w:eastAsia="仿宋_GB2312"/>
          <w:kern w:val="0"/>
          <w:sz w:val="32"/>
          <w:szCs w:val="32"/>
        </w:rPr>
        <w:t>，申报内容与具体实施内容完全相符。</w:t>
      </w:r>
    </w:p>
    <w:p>
      <w:pPr>
        <w:adjustRightInd w:val="0"/>
        <w:snapToGrid w:val="0"/>
        <w:spacing w:line="640" w:lineRule="exact"/>
        <w:rPr>
          <w:rFonts w:ascii="仿宋_GB2312" w:hAnsi="宋体" w:eastAsia="仿宋_GB2312"/>
          <w:b/>
          <w:bCs/>
          <w:sz w:val="32"/>
          <w:szCs w:val="32"/>
        </w:rPr>
      </w:pPr>
      <w:r>
        <w:rPr>
          <w:rFonts w:hint="eastAsia" w:ascii="仿宋_GB2312" w:hAnsi="宋体" w:eastAsia="仿宋_GB2312"/>
          <w:b/>
          <w:bCs/>
          <w:sz w:val="32"/>
          <w:szCs w:val="32"/>
        </w:rPr>
        <w:t>二、项目实施及管理情况</w:t>
      </w:r>
    </w:p>
    <w:p>
      <w:pPr>
        <w:adjustRightInd w:val="0"/>
        <w:snapToGrid w:val="0"/>
        <w:spacing w:line="640"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lang w:val="zh-CN"/>
        </w:rPr>
        <w:t>（一）资金计划、到位及使用情况。</w:t>
      </w:r>
    </w:p>
    <w:p>
      <w:pPr>
        <w:adjustRightInd w:val="0"/>
        <w:snapToGrid w:val="0"/>
        <w:spacing w:line="640"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lang w:val="zh-CN"/>
        </w:rPr>
        <w:t>1.资金计划及到位。</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lang w:val="zh-CN"/>
        </w:rPr>
        <w:t>该项目资金预算指标为</w:t>
      </w:r>
      <w:r>
        <w:rPr>
          <w:rFonts w:hint="eastAsia" w:ascii="仿宋_GB2312" w:hAnsi="宋体" w:eastAsia="仿宋_GB2312"/>
          <w:sz w:val="32"/>
          <w:szCs w:val="32"/>
        </w:rPr>
        <w:t>4.9</w:t>
      </w:r>
      <w:r>
        <w:rPr>
          <w:rFonts w:hint="eastAsia" w:ascii="仿宋_GB2312" w:hAnsi="宋体" w:eastAsia="仿宋_GB2312"/>
          <w:sz w:val="32"/>
          <w:szCs w:val="32"/>
          <w:lang w:val="zh-CN"/>
        </w:rPr>
        <w:t>万元，</w:t>
      </w:r>
      <w:r>
        <w:rPr>
          <w:rFonts w:hint="eastAsia" w:ascii="仿宋_GB2312" w:hAnsi="宋体" w:eastAsia="仿宋_GB2312"/>
          <w:sz w:val="32"/>
          <w:szCs w:val="32"/>
        </w:rPr>
        <w:t>资金预算指标基本到位，到位率100%。</w:t>
      </w:r>
    </w:p>
    <w:p>
      <w:pPr>
        <w:adjustRightInd w:val="0"/>
        <w:snapToGrid w:val="0"/>
        <w:spacing w:line="640"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rPr>
        <w:t>2.</w:t>
      </w:r>
      <w:r>
        <w:rPr>
          <w:rFonts w:hint="eastAsia" w:ascii="仿宋_GB2312" w:hAnsi="宋体" w:eastAsia="仿宋_GB2312"/>
          <w:b/>
          <w:bCs/>
          <w:sz w:val="32"/>
          <w:szCs w:val="32"/>
          <w:lang w:val="zh-CN"/>
        </w:rPr>
        <w:t>资金使用</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截至评价时合计资金预算指标</w:t>
      </w:r>
      <w:r>
        <w:rPr>
          <w:rFonts w:hint="eastAsia" w:ascii="仿宋_GB2312" w:hAnsi="宋体" w:eastAsia="仿宋_GB2312"/>
          <w:sz w:val="32"/>
          <w:szCs w:val="32"/>
        </w:rPr>
        <w:t>4.9万元，全部用于该项目污水管网建设费用支付，支付标准及依据合规合法，资金支付与预算完全相符</w:t>
      </w:r>
      <w:r>
        <w:rPr>
          <w:rFonts w:hint="eastAsia" w:ascii="仿宋_GB2312" w:hAnsi="宋体" w:eastAsia="仿宋_GB2312"/>
          <w:sz w:val="32"/>
          <w:szCs w:val="32"/>
          <w:lang w:val="zh-CN"/>
        </w:rPr>
        <w:t>。</w:t>
      </w:r>
    </w:p>
    <w:p>
      <w:pPr>
        <w:adjustRightInd w:val="0"/>
        <w:snapToGrid w:val="0"/>
        <w:spacing w:line="640"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lang w:val="zh-CN"/>
        </w:rPr>
        <w:t>（二）项目财务管理情况</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该项目依照法律、行政法规和国家财政行政主管部门的规定，严格执行财务管理制度、财务处理及时、会计核算规范。</w:t>
      </w:r>
    </w:p>
    <w:p>
      <w:pPr>
        <w:adjustRightInd w:val="0"/>
        <w:snapToGrid w:val="0"/>
        <w:spacing w:line="640"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lang w:val="zh-CN"/>
        </w:rPr>
        <w:t>（三）项目组织实施情况</w:t>
      </w:r>
    </w:p>
    <w:p>
      <w:pPr>
        <w:adjustRightInd w:val="0"/>
        <w:snapToGrid w:val="0"/>
        <w:spacing w:line="640" w:lineRule="exact"/>
        <w:ind w:firstLine="720"/>
        <w:rPr>
          <w:rFonts w:eastAsia="仿宋_GB2312"/>
          <w:kern w:val="0"/>
          <w:sz w:val="32"/>
          <w:szCs w:val="32"/>
        </w:rPr>
      </w:pPr>
      <w:r>
        <w:rPr>
          <w:rFonts w:hint="eastAsia" w:eastAsia="仿宋_GB2312"/>
          <w:kern w:val="0"/>
          <w:sz w:val="32"/>
          <w:szCs w:val="32"/>
        </w:rPr>
        <w:t>该项目委托“武汉圣禹排水系统有限公司”进行编制</w:t>
      </w:r>
      <w:r>
        <w:rPr>
          <w:rFonts w:hint="eastAsia" w:eastAsia="仿宋_GB2312"/>
          <w:kern w:val="0"/>
          <w:sz w:val="32"/>
          <w:szCs w:val="32"/>
          <w:lang w:val="zh-CN"/>
        </w:rPr>
        <w:t>《绵竹市污水处理厂“一厂一策”系统化整治方案》</w:t>
      </w:r>
      <w:r>
        <w:rPr>
          <w:rFonts w:hint="eastAsia" w:eastAsia="仿宋_GB2312"/>
          <w:kern w:val="0"/>
          <w:sz w:val="32"/>
          <w:szCs w:val="32"/>
        </w:rPr>
        <w:t>。</w:t>
      </w:r>
    </w:p>
    <w:p>
      <w:pPr>
        <w:adjustRightInd w:val="0"/>
        <w:snapToGrid w:val="0"/>
        <w:spacing w:line="640"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rPr>
        <w:t>三、项目绩效情况</w:t>
      </w:r>
      <w:r>
        <w:rPr>
          <w:rFonts w:hint="eastAsia" w:ascii="仿宋_GB2312" w:hAnsi="宋体" w:eastAsia="仿宋_GB2312"/>
          <w:b/>
          <w:bCs/>
          <w:sz w:val="32"/>
          <w:szCs w:val="32"/>
          <w:lang w:val="zh-CN"/>
        </w:rPr>
        <w:tab/>
      </w:r>
    </w:p>
    <w:p>
      <w:pPr>
        <w:adjustRightInd w:val="0"/>
        <w:snapToGrid w:val="0"/>
        <w:spacing w:line="640"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lang w:val="zh-CN"/>
        </w:rPr>
        <w:t>（一）项目完成情况</w:t>
      </w:r>
    </w:p>
    <w:p>
      <w:pPr>
        <w:adjustRightInd w:val="0"/>
        <w:snapToGrid w:val="0"/>
        <w:spacing w:line="640" w:lineRule="exact"/>
        <w:ind w:firstLine="720"/>
        <w:rPr>
          <w:rFonts w:eastAsia="仿宋_GB2312"/>
          <w:kern w:val="0"/>
          <w:sz w:val="32"/>
          <w:szCs w:val="32"/>
        </w:rPr>
      </w:pPr>
      <w:r>
        <w:rPr>
          <w:rFonts w:hint="eastAsia" w:eastAsia="仿宋_GB2312"/>
          <w:kern w:val="0"/>
          <w:sz w:val="32"/>
          <w:szCs w:val="32"/>
          <w:lang w:val="zh-CN"/>
        </w:rPr>
        <w:t>《绵竹市污水处理厂“一厂一策”系统化整治方案》</w:t>
      </w:r>
      <w:r>
        <w:rPr>
          <w:rFonts w:hint="eastAsia" w:eastAsia="仿宋_GB2312"/>
          <w:kern w:val="0"/>
          <w:sz w:val="32"/>
          <w:szCs w:val="32"/>
        </w:rPr>
        <w:t>已于市住建局组织召开</w:t>
      </w:r>
      <w:r>
        <w:rPr>
          <w:rFonts w:hint="eastAsia" w:eastAsia="仿宋_GB2312"/>
          <w:sz w:val="32"/>
          <w:szCs w:val="32"/>
        </w:rPr>
        <w:t>专家评审并原则性通过，经多次修改后</w:t>
      </w:r>
      <w:r>
        <w:rPr>
          <w:rFonts w:hint="eastAsia" w:eastAsia="仿宋_GB2312"/>
          <w:kern w:val="0"/>
          <w:sz w:val="32"/>
          <w:szCs w:val="32"/>
        </w:rPr>
        <w:t>定稿并提交我局备案。</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b/>
          <w:bCs/>
          <w:sz w:val="32"/>
          <w:szCs w:val="32"/>
          <w:lang w:val="zh-CN"/>
        </w:rPr>
        <w:t>（二）项目效益情况</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rPr>
        <w:t>生态效益与可持续效益：</w:t>
      </w:r>
      <w:r>
        <w:rPr>
          <w:rFonts w:hint="eastAsia" w:ascii="仿宋_GB2312" w:hAnsi="宋体" w:eastAsia="仿宋_GB2312"/>
          <w:sz w:val="32"/>
          <w:szCs w:val="32"/>
          <w:lang w:val="zh-CN"/>
        </w:rPr>
        <w:t>改善区域水环境，提高区域内人民的生活质量，改善人们的生活环境有明显的促进作用。同时改善</w:t>
      </w:r>
      <w:r>
        <w:rPr>
          <w:rFonts w:hint="eastAsia" w:ascii="仿宋_GB2312" w:hAnsi="宋体" w:eastAsia="仿宋_GB2312"/>
          <w:sz w:val="32"/>
          <w:szCs w:val="32"/>
        </w:rPr>
        <w:t>了</w:t>
      </w:r>
      <w:r>
        <w:rPr>
          <w:rFonts w:hint="eastAsia" w:ascii="仿宋_GB2312" w:hAnsi="宋体" w:eastAsia="仿宋_GB2312"/>
          <w:sz w:val="32"/>
          <w:szCs w:val="32"/>
          <w:lang w:val="zh-CN"/>
        </w:rPr>
        <w:t>下游河流以及城区的水环境质量，</w:t>
      </w:r>
      <w:r>
        <w:rPr>
          <w:rFonts w:hint="eastAsia" w:ascii="仿宋_GB2312" w:hAnsi="宋体" w:eastAsia="仿宋_GB2312"/>
          <w:sz w:val="32"/>
          <w:szCs w:val="32"/>
        </w:rPr>
        <w:t>产生巨大的</w:t>
      </w:r>
      <w:r>
        <w:rPr>
          <w:rFonts w:hint="eastAsia" w:ascii="仿宋_GB2312" w:hAnsi="宋体" w:eastAsia="仿宋_GB2312"/>
          <w:sz w:val="32"/>
          <w:szCs w:val="32"/>
          <w:lang w:val="zh-CN"/>
        </w:rPr>
        <w:t>生态效益与可持续效益。</w:t>
      </w:r>
    </w:p>
    <w:p>
      <w:pPr>
        <w:adjustRightInd w:val="0"/>
        <w:snapToGrid w:val="0"/>
        <w:spacing w:line="640" w:lineRule="exact"/>
        <w:ind w:firstLine="720"/>
        <w:rPr>
          <w:rFonts w:eastAsia="仿宋_GB2312"/>
          <w:b/>
          <w:bCs/>
          <w:kern w:val="0"/>
          <w:sz w:val="32"/>
          <w:szCs w:val="32"/>
          <w:lang w:val="zh-CN"/>
        </w:rPr>
      </w:pPr>
      <w:r>
        <w:rPr>
          <w:rFonts w:hint="eastAsia" w:ascii="仿宋_GB2312" w:hAnsi="宋体" w:eastAsia="仿宋_GB2312"/>
          <w:sz w:val="32"/>
          <w:szCs w:val="32"/>
        </w:rPr>
        <w:t>社会效益：编制</w:t>
      </w:r>
      <w:r>
        <w:rPr>
          <w:rFonts w:hint="eastAsia" w:eastAsia="仿宋_GB2312"/>
          <w:kern w:val="0"/>
          <w:sz w:val="32"/>
          <w:szCs w:val="32"/>
          <w:lang w:val="zh-CN"/>
        </w:rPr>
        <w:t>《绵竹市污水处理厂“一厂一策”系统化整治方案》，</w:t>
      </w:r>
      <w:r>
        <w:rPr>
          <w:rFonts w:hint="eastAsia" w:eastAsia="仿宋_GB2312"/>
          <w:kern w:val="0"/>
          <w:sz w:val="32"/>
          <w:szCs w:val="32"/>
        </w:rPr>
        <w:t>使得</w:t>
      </w:r>
      <w:r>
        <w:rPr>
          <w:rFonts w:hint="eastAsia" w:eastAsia="仿宋_GB2312"/>
          <w:kern w:val="0"/>
          <w:sz w:val="32"/>
          <w:szCs w:val="32"/>
          <w:lang w:val="zh-CN"/>
        </w:rPr>
        <w:t>绵竹市污水处理厂进水生化需氧量（BOD）浓度超过100mg/L并保持稳定运行。</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lang w:val="zh-CN"/>
        </w:rPr>
        <w:t>服务对象满意度：</w:t>
      </w:r>
      <w:r>
        <w:rPr>
          <w:rFonts w:hint="eastAsia" w:ascii="仿宋_GB2312" w:hAnsi="宋体" w:eastAsia="仿宋_GB2312"/>
          <w:sz w:val="32"/>
          <w:szCs w:val="32"/>
        </w:rPr>
        <w:t>群众满意度100%。</w:t>
      </w:r>
      <w:r>
        <w:rPr>
          <w:rFonts w:hint="eastAsia" w:ascii="仿宋_GB2312" w:hAnsi="宋体" w:eastAsia="仿宋_GB2312"/>
          <w:sz w:val="32"/>
          <w:szCs w:val="32"/>
          <w:lang w:val="zh-CN"/>
        </w:rPr>
        <w:t>保障人民群众优质的生活条件得到满足。</w:t>
      </w:r>
    </w:p>
    <w:p>
      <w:pPr>
        <w:adjustRightInd w:val="0"/>
        <w:snapToGrid w:val="0"/>
        <w:spacing w:line="640"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lang w:val="zh-CN"/>
        </w:rPr>
        <w:t>四、问题及建议</w:t>
      </w:r>
    </w:p>
    <w:p>
      <w:pPr>
        <w:adjustRightInd w:val="0"/>
        <w:snapToGrid w:val="0"/>
        <w:spacing w:line="640"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lang w:val="zh-CN"/>
        </w:rPr>
        <w:t>（一）评价结论。</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rPr>
        <w:t>该项目的实施具有很大的社会积极作用，并取得了较为满意的效果。</w:t>
      </w:r>
    </w:p>
    <w:p>
      <w:pPr>
        <w:adjustRightInd w:val="0"/>
        <w:snapToGrid w:val="0"/>
        <w:spacing w:line="640"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lang w:val="zh-CN"/>
        </w:rPr>
        <w:t>（</w:t>
      </w:r>
      <w:r>
        <w:rPr>
          <w:rFonts w:hint="eastAsia" w:ascii="仿宋_GB2312" w:hAnsi="宋体" w:eastAsia="仿宋_GB2312"/>
          <w:b/>
          <w:bCs/>
          <w:sz w:val="32"/>
          <w:szCs w:val="32"/>
        </w:rPr>
        <w:t>二</w:t>
      </w:r>
      <w:r>
        <w:rPr>
          <w:rFonts w:hint="eastAsia" w:ascii="仿宋_GB2312" w:hAnsi="宋体" w:eastAsia="仿宋_GB2312"/>
          <w:b/>
          <w:bCs/>
          <w:sz w:val="32"/>
          <w:szCs w:val="32"/>
          <w:lang w:val="zh-CN"/>
        </w:rPr>
        <w:t>）存在的问题。</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rPr>
        <w:t>无</w:t>
      </w:r>
    </w:p>
    <w:p>
      <w:pPr>
        <w:adjustRightInd w:val="0"/>
        <w:snapToGrid w:val="0"/>
        <w:spacing w:line="640"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lang w:val="zh-CN"/>
        </w:rPr>
        <w:t>（三）相关建议。</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8651" w:type="dxa"/>
        <w:jc w:val="center"/>
        <w:tblLayout w:type="autofit"/>
        <w:tblCellMar>
          <w:top w:w="0" w:type="dxa"/>
          <w:left w:w="108" w:type="dxa"/>
          <w:bottom w:w="0" w:type="dxa"/>
          <w:right w:w="108" w:type="dxa"/>
        </w:tblCellMar>
      </w:tblPr>
      <w:tblGrid>
        <w:gridCol w:w="1080"/>
        <w:gridCol w:w="1140"/>
        <w:gridCol w:w="1160"/>
        <w:gridCol w:w="1080"/>
        <w:gridCol w:w="460"/>
        <w:gridCol w:w="1960"/>
        <w:gridCol w:w="1771"/>
      </w:tblGrid>
      <w:tr>
        <w:tblPrEx>
          <w:tblCellMar>
            <w:top w:w="0" w:type="dxa"/>
            <w:left w:w="108" w:type="dxa"/>
            <w:bottom w:w="0" w:type="dxa"/>
            <w:right w:w="108" w:type="dxa"/>
          </w:tblCellMar>
        </w:tblPrEx>
        <w:trPr>
          <w:trHeight w:val="405" w:hRule="atLeast"/>
          <w:jc w:val="center"/>
        </w:trPr>
        <w:tc>
          <w:tcPr>
            <w:tcW w:w="8651"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8651"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6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46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6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771"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3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27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“一厂一策”整治方案编制服务费</w:t>
            </w:r>
          </w:p>
        </w:tc>
      </w:tr>
      <w:tr>
        <w:tblPrEx>
          <w:tblCellMar>
            <w:top w:w="0" w:type="dxa"/>
            <w:left w:w="108" w:type="dxa"/>
            <w:bottom w:w="0" w:type="dxa"/>
            <w:right w:w="108" w:type="dxa"/>
          </w:tblCellMar>
        </w:tblPrEx>
        <w:trPr>
          <w:trHeight w:val="270" w:hRule="atLeast"/>
          <w:jc w:val="center"/>
        </w:trPr>
        <w:tc>
          <w:tcPr>
            <w:tcW w:w="33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27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2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4.9万元</w:t>
            </w:r>
          </w:p>
        </w:tc>
        <w:tc>
          <w:tcPr>
            <w:tcW w:w="1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4.9万元</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4.9万元</w:t>
            </w:r>
          </w:p>
        </w:tc>
        <w:tc>
          <w:tcPr>
            <w:tcW w:w="19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其中：财政拨款</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4.9万元</w:t>
            </w:r>
          </w:p>
        </w:tc>
      </w:tr>
      <w:tr>
        <w:tblPrEx>
          <w:tblCellMar>
            <w:top w:w="0" w:type="dxa"/>
            <w:left w:w="108" w:type="dxa"/>
            <w:bottom w:w="0" w:type="dxa"/>
            <w:right w:w="108" w:type="dxa"/>
          </w:tblCellMar>
        </w:tblPrEx>
        <w:trPr>
          <w:trHeight w:val="466"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96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21"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38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731"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002"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8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按照德建发</w:t>
            </w:r>
            <w:r>
              <w:rPr>
                <w:rFonts w:hint="eastAsia" w:ascii="宋体" w:hAnsi="宋体" w:cs="宋体"/>
                <w:kern w:val="0"/>
                <w:sz w:val="20"/>
                <w:szCs w:val="20"/>
                <w:lang w:eastAsia="zh-CN"/>
              </w:rPr>
              <w:t>〔</w:t>
            </w:r>
            <w:r>
              <w:rPr>
                <w:rFonts w:hint="eastAsia" w:ascii="宋体" w:hAnsi="宋体" w:cs="宋体"/>
                <w:kern w:val="0"/>
                <w:sz w:val="20"/>
                <w:szCs w:val="20"/>
              </w:rPr>
              <w:t>2016</w:t>
            </w:r>
            <w:r>
              <w:rPr>
                <w:rFonts w:hint="eastAsia" w:ascii="宋体" w:hAnsi="宋体" w:cs="宋体"/>
                <w:kern w:val="0"/>
                <w:sz w:val="20"/>
                <w:szCs w:val="20"/>
                <w:lang w:eastAsia="zh-CN"/>
              </w:rPr>
              <w:t>〕</w:t>
            </w:r>
            <w:r>
              <w:rPr>
                <w:rFonts w:hint="eastAsia" w:ascii="宋体" w:hAnsi="宋体" w:cs="宋体"/>
                <w:kern w:val="0"/>
                <w:sz w:val="20"/>
                <w:szCs w:val="20"/>
              </w:rPr>
              <w:t>23号文件要求，编制“一厂一策”整治方案。</w:t>
            </w:r>
          </w:p>
        </w:tc>
        <w:tc>
          <w:tcPr>
            <w:tcW w:w="3731"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按照德建发</w:t>
            </w:r>
            <w:r>
              <w:rPr>
                <w:rFonts w:hint="eastAsia" w:ascii="宋体" w:hAnsi="宋体" w:cs="宋体"/>
                <w:kern w:val="0"/>
                <w:sz w:val="20"/>
                <w:szCs w:val="20"/>
                <w:lang w:eastAsia="zh-CN"/>
              </w:rPr>
              <w:t>〔</w:t>
            </w:r>
            <w:r>
              <w:rPr>
                <w:rFonts w:hint="eastAsia" w:ascii="宋体" w:hAnsi="宋体" w:cs="宋体"/>
                <w:kern w:val="0"/>
                <w:sz w:val="20"/>
                <w:szCs w:val="20"/>
              </w:rPr>
              <w:t>2016</w:t>
            </w:r>
            <w:r>
              <w:rPr>
                <w:rFonts w:hint="eastAsia" w:ascii="宋体" w:hAnsi="宋体" w:cs="宋体"/>
                <w:kern w:val="0"/>
                <w:sz w:val="20"/>
                <w:szCs w:val="20"/>
                <w:lang w:eastAsia="zh-CN"/>
              </w:rPr>
              <w:t>〕</w:t>
            </w:r>
            <w:r>
              <w:rPr>
                <w:rFonts w:hint="eastAsia" w:ascii="宋体" w:hAnsi="宋体" w:cs="宋体"/>
                <w:kern w:val="0"/>
                <w:sz w:val="20"/>
                <w:szCs w:val="20"/>
              </w:rPr>
              <w:t>23号文件要求，编制“一厂一策”整治方案。</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1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方案编制成果</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1本</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1本</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方案通过审核</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完成时限</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2021年12月底</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2021年12月底</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编制费用</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等线" w:hAnsi="等线" w:eastAsia="等线" w:cs="宋体"/>
                <w:kern w:val="0"/>
                <w:sz w:val="20"/>
                <w:szCs w:val="20"/>
              </w:rPr>
              <w:t>≤</w:t>
            </w:r>
            <w:r>
              <w:rPr>
                <w:rFonts w:hint="eastAsia" w:ascii="宋体" w:hAnsi="宋体" w:cs="宋体"/>
                <w:kern w:val="0"/>
                <w:sz w:val="20"/>
                <w:szCs w:val="20"/>
              </w:rPr>
              <w:t>4.9万元</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4.9万元</w:t>
            </w:r>
          </w:p>
        </w:tc>
      </w:tr>
      <w:tr>
        <w:tblPrEx>
          <w:tblCellMar>
            <w:top w:w="0" w:type="dxa"/>
            <w:left w:w="108" w:type="dxa"/>
            <w:bottom w:w="0" w:type="dxa"/>
            <w:right w:w="108" w:type="dxa"/>
          </w:tblCellMar>
        </w:tblPrEx>
        <w:trPr>
          <w:trHeight w:val="72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1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污水处理厂稳定运行率</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等线" w:hAnsi="等线" w:eastAsia="等线" w:cs="宋体"/>
                <w:kern w:val="0"/>
                <w:sz w:val="20"/>
                <w:szCs w:val="20"/>
              </w:rPr>
            </w:pPr>
            <w:r>
              <w:rPr>
                <w:rFonts w:hint="eastAsia" w:ascii="等线" w:hAnsi="等线" w:eastAsia="等线" w:cs="宋体"/>
                <w:kern w:val="0"/>
                <w:sz w:val="20"/>
                <w:szCs w:val="20"/>
              </w:rPr>
              <w:t>≥90%</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r>
      <w:tr>
        <w:tblPrEx>
          <w:tblCellMar>
            <w:top w:w="0" w:type="dxa"/>
            <w:left w:w="108" w:type="dxa"/>
            <w:bottom w:w="0" w:type="dxa"/>
            <w:right w:w="108" w:type="dxa"/>
          </w:tblCellMar>
        </w:tblPrEx>
        <w:trPr>
          <w:trHeight w:val="69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改善区域水环境效果</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好</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好</w:t>
            </w:r>
          </w:p>
        </w:tc>
      </w:tr>
      <w:tr>
        <w:tblPrEx>
          <w:tblCellMar>
            <w:top w:w="0" w:type="dxa"/>
            <w:left w:w="108" w:type="dxa"/>
            <w:bottom w:w="0" w:type="dxa"/>
            <w:right w:w="108" w:type="dxa"/>
          </w:tblCellMar>
        </w:tblPrEx>
        <w:trPr>
          <w:trHeight w:val="64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提高BOD进水浓度效果</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好</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好</w:t>
            </w:r>
          </w:p>
        </w:tc>
      </w:tr>
      <w:tr>
        <w:tblPrEx>
          <w:tblCellMar>
            <w:top w:w="0" w:type="dxa"/>
            <w:left w:w="108" w:type="dxa"/>
            <w:bottom w:w="0" w:type="dxa"/>
            <w:right w:w="108" w:type="dxa"/>
          </w:tblCellMar>
        </w:tblPrEx>
        <w:trPr>
          <w:trHeight w:val="94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1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群众满意</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7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ind w:firstLine="883"/>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（第四水厂高低压电气设备及自控系统改造工程）</w:t>
      </w:r>
    </w:p>
    <w:p>
      <w:pPr>
        <w:spacing w:line="580" w:lineRule="exact"/>
        <w:ind w:firstLine="640"/>
        <w:jc w:val="center"/>
        <w:rPr>
          <w:rFonts w:hint="eastAsia" w:ascii="宋体" w:hAnsi="??"/>
          <w:sz w:val="32"/>
          <w:szCs w:val="32"/>
        </w:rPr>
      </w:pPr>
    </w:p>
    <w:p>
      <w:pPr>
        <w:adjustRightInd w:val="0"/>
        <w:snapToGrid w:val="0"/>
        <w:spacing w:line="58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80" w:lineRule="exact"/>
        <w:ind w:firstLine="720"/>
        <w:rPr>
          <w:rFonts w:ascii="仿宋_GB2312" w:hAnsi="宋体" w:eastAsia="仿宋_GB2312"/>
          <w:sz w:val="32"/>
          <w:szCs w:val="32"/>
        </w:rPr>
      </w:pPr>
      <w:r>
        <w:rPr>
          <w:rFonts w:ascii="仿宋_GB2312" w:hAnsi="宋体" w:eastAsia="仿宋_GB2312"/>
          <w:sz w:val="32"/>
          <w:szCs w:val="32"/>
          <w:lang w:val="zh-CN"/>
        </w:rPr>
        <w:t>1</w:t>
      </w:r>
      <w:r>
        <w:rPr>
          <w:rFonts w:hint="eastAsia" w:ascii="仿宋_GB2312" w:hAnsi="宋体" w:eastAsia="仿宋_GB2312"/>
          <w:sz w:val="32"/>
          <w:szCs w:val="32"/>
          <w:lang w:val="zh-CN"/>
        </w:rPr>
        <w:t>．说明项目主管部门（单位）在该项目管理中的职能市住建局</w:t>
      </w:r>
      <w:r>
        <w:rPr>
          <w:rFonts w:hint="eastAsia" w:ascii="仿宋_GB2312" w:hAnsi="宋体" w:eastAsia="仿宋_GB2312"/>
          <w:sz w:val="32"/>
          <w:szCs w:val="32"/>
        </w:rPr>
        <w:t>对该项目进行监管。</w:t>
      </w:r>
    </w:p>
    <w:p>
      <w:pPr>
        <w:adjustRightInd w:val="0"/>
        <w:snapToGrid w:val="0"/>
        <w:spacing w:line="58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根据市人民政府常务会议议定事项通知（十八届八十三次）26号及中共绵竹市委常委会会议议定事项通知（常委会通知﹝2021﹞-3-2）的会议精神，原则同意该工程的实施，同时，市财政局已将该工程所需资金安排到位。</w:t>
      </w:r>
    </w:p>
    <w:p>
      <w:pPr>
        <w:adjustRightInd w:val="0"/>
        <w:snapToGrid w:val="0"/>
        <w:spacing w:line="58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w:t>
      </w:r>
      <w:r>
        <w:rPr>
          <w:rFonts w:eastAsia="仿宋_GB2312"/>
          <w:sz w:val="32"/>
          <w:szCs w:val="32"/>
          <w:lang w:val="zh-CN"/>
        </w:rPr>
        <w:t>根据《企业会计制度</w:t>
      </w:r>
      <w:r>
        <w:rPr>
          <w:rFonts w:hint="eastAsia" w:eastAsia="仿宋_GB2312"/>
          <w:sz w:val="32"/>
          <w:szCs w:val="32"/>
          <w:lang w:val="zh-CN"/>
        </w:rPr>
        <w:t>》《</w:t>
      </w:r>
      <w:r>
        <w:rPr>
          <w:rFonts w:eastAsia="仿宋_GB2312"/>
          <w:sz w:val="32"/>
          <w:szCs w:val="32"/>
          <w:lang w:val="zh-CN"/>
        </w:rPr>
        <w:t>企业会计准则</w:t>
      </w:r>
      <w:r>
        <w:rPr>
          <w:rFonts w:hint="eastAsia" w:eastAsia="仿宋_GB2312"/>
          <w:sz w:val="32"/>
          <w:szCs w:val="32"/>
          <w:lang w:val="zh-CN"/>
        </w:rPr>
        <w:t>》《</w:t>
      </w:r>
      <w:r>
        <w:rPr>
          <w:rFonts w:eastAsia="仿宋_GB2312"/>
          <w:sz w:val="32"/>
          <w:szCs w:val="32"/>
          <w:lang w:val="zh-CN"/>
        </w:rPr>
        <w:t>企业财务规则</w:t>
      </w:r>
      <w:r>
        <w:rPr>
          <w:rFonts w:hint="eastAsia" w:eastAsia="仿宋_GB2312"/>
          <w:sz w:val="32"/>
          <w:szCs w:val="32"/>
          <w:lang w:val="zh-CN"/>
        </w:rPr>
        <w:t>》《</w:t>
      </w:r>
      <w:r>
        <w:rPr>
          <w:rFonts w:eastAsia="仿宋_GB2312"/>
          <w:sz w:val="32"/>
          <w:szCs w:val="32"/>
          <w:lang w:val="zh-CN"/>
        </w:rPr>
        <w:t>中华人民共和国会计法》等</w:t>
      </w:r>
      <w:r>
        <w:rPr>
          <w:rFonts w:hint="eastAsia" w:eastAsia="仿宋_GB2312"/>
          <w:sz w:val="32"/>
          <w:szCs w:val="32"/>
          <w:lang w:val="zh-CN"/>
        </w:rPr>
        <w:t>法律法规</w:t>
      </w:r>
      <w:r>
        <w:rPr>
          <w:rFonts w:eastAsia="仿宋_GB2312"/>
          <w:sz w:val="32"/>
          <w:szCs w:val="32"/>
          <w:lang w:val="zh-CN"/>
        </w:rPr>
        <w:t>的有关规定，制定财务管理制度，通过设置财务分析部，进行财务核算、监督和管理。</w:t>
      </w:r>
    </w:p>
    <w:p>
      <w:pPr>
        <w:adjustRightInd w:val="0"/>
        <w:snapToGrid w:val="0"/>
        <w:spacing w:line="580" w:lineRule="exact"/>
        <w:ind w:firstLine="480" w:firstLineChars="150"/>
        <w:rPr>
          <w:rFonts w:ascii="仿宋_GB2312" w:hAnsi="宋体" w:eastAsia="仿宋_GB2312"/>
          <w:sz w:val="32"/>
          <w:szCs w:val="32"/>
          <w:lang w:val="zh-CN"/>
        </w:rPr>
      </w:pPr>
      <w:r>
        <w:rPr>
          <w:rFonts w:ascii="仿宋_GB2312" w:hAnsi="宋体" w:eastAsia="仿宋_GB2312"/>
          <w:sz w:val="32"/>
          <w:szCs w:val="32"/>
          <w:lang w:val="zh-CN"/>
        </w:rPr>
        <w:t>4</w:t>
      </w:r>
      <w:r>
        <w:rPr>
          <w:rFonts w:hint="eastAsia" w:ascii="仿宋_GB2312" w:hAnsi="宋体" w:eastAsia="仿宋_GB2312"/>
          <w:sz w:val="32"/>
          <w:szCs w:val="32"/>
          <w:lang w:val="zh-CN"/>
        </w:rPr>
        <w:t>．资金分配的原则及考虑因素。按</w:t>
      </w:r>
      <w:r>
        <w:rPr>
          <w:rFonts w:hint="eastAsia" w:ascii="仿宋_GB2312" w:hAnsi="宋体" w:eastAsia="仿宋_GB2312"/>
          <w:sz w:val="32"/>
          <w:szCs w:val="32"/>
        </w:rPr>
        <w:t>市发改局、市财政局</w:t>
      </w:r>
      <w:r>
        <w:rPr>
          <w:rFonts w:hint="eastAsia" w:ascii="仿宋_GB2312" w:hAnsi="宋体" w:eastAsia="仿宋_GB2312"/>
          <w:sz w:val="32"/>
          <w:szCs w:val="32"/>
          <w:lang w:val="zh-CN"/>
        </w:rPr>
        <w:t>征求意见对该工程投资估算进行完善。</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8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．项目主要内容。改造内容包含：10kV双电源搭火杆、厂内变压器、高低压开关柜、送水泵、阀、自控系统及取水中心高低压配电柜等，造价约278万元。</w:t>
      </w:r>
    </w:p>
    <w:p>
      <w:pPr>
        <w:adjustRightInd w:val="0"/>
        <w:snapToGrid w:val="0"/>
        <w:spacing w:line="58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．项目改造后单台送水泵功率由原来90kW降低至75kW，累计节约总功率60kW，预计节约电费约15万元/年。变压器由原500kVA变更为400kVA，预计节约电费约2.64万元/年。</w:t>
      </w:r>
    </w:p>
    <w:p>
      <w:pPr>
        <w:adjustRightInd w:val="0"/>
        <w:snapToGrid w:val="0"/>
        <w:spacing w:line="580" w:lineRule="exact"/>
        <w:rPr>
          <w:rFonts w:ascii="仿宋_GB2312" w:hAnsi="宋体" w:eastAsia="仿宋_GB2312"/>
          <w:sz w:val="32"/>
          <w:szCs w:val="32"/>
          <w:lang w:val="zh-CN"/>
        </w:rPr>
      </w:pPr>
      <w:r>
        <w:rPr>
          <w:rFonts w:hint="eastAsia" w:ascii="仿宋_GB2312" w:hAnsi="宋体" w:eastAsia="仿宋_GB2312"/>
          <w:sz w:val="32"/>
          <w:szCs w:val="32"/>
          <w:lang w:val="zh-CN"/>
        </w:rPr>
        <w:t>本项目的实施可解决第四水厂生产设施设备老旧落后问题，为我市优质供水提供安全保障，并达到节能降耗的目的。</w:t>
      </w:r>
    </w:p>
    <w:p>
      <w:pPr>
        <w:adjustRightInd w:val="0"/>
        <w:snapToGrid w:val="0"/>
        <w:spacing w:line="580" w:lineRule="exact"/>
        <w:ind w:firstLine="720"/>
        <w:rPr>
          <w:rFonts w:ascii="仿宋_GB2312" w:hAnsi="宋体" w:eastAsia="仿宋_GB2312"/>
          <w:sz w:val="32"/>
          <w:szCs w:val="32"/>
        </w:rPr>
      </w:pPr>
      <w:r>
        <w:rPr>
          <w:rFonts w:ascii="仿宋_GB2312" w:hAnsi="宋体" w:eastAsia="仿宋_GB2312"/>
          <w:sz w:val="32"/>
          <w:szCs w:val="32"/>
          <w:lang w:val="zh-CN"/>
        </w:rPr>
        <w:t>3</w:t>
      </w:r>
      <w:r>
        <w:rPr>
          <w:rFonts w:hint="eastAsia" w:ascii="仿宋_GB2312" w:hAnsi="宋体" w:eastAsia="仿宋_GB2312"/>
          <w:sz w:val="32"/>
          <w:szCs w:val="32"/>
          <w:lang w:val="zh-CN"/>
        </w:rPr>
        <w:t>．分析评价申报内容是否与实际相符，申报目标是否合理可行。与实际相符</w:t>
      </w:r>
      <w:r>
        <w:rPr>
          <w:rFonts w:hint="eastAsia" w:ascii="仿宋_GB2312" w:hAnsi="宋体" w:eastAsia="仿宋_GB2312"/>
          <w:sz w:val="32"/>
          <w:szCs w:val="32"/>
        </w:rPr>
        <w:t>且</w:t>
      </w:r>
      <w:r>
        <w:rPr>
          <w:rFonts w:hint="eastAsia" w:ascii="仿宋_GB2312" w:hAnsi="宋体" w:eastAsia="仿宋_GB2312"/>
          <w:sz w:val="32"/>
          <w:szCs w:val="32"/>
          <w:lang w:val="zh-CN"/>
        </w:rPr>
        <w:t>合理可行。</w:t>
      </w:r>
    </w:p>
    <w:p>
      <w:pPr>
        <w:adjustRightInd w:val="0"/>
        <w:snapToGrid w:val="0"/>
        <w:spacing w:line="58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80" w:lineRule="exact"/>
        <w:ind w:firstLine="720"/>
        <w:rPr>
          <w:rFonts w:ascii="仿宋_GB2312" w:hAnsi="宋体" w:eastAsia="仿宋_GB2312"/>
          <w:sz w:val="32"/>
          <w:szCs w:val="32"/>
        </w:rPr>
      </w:pPr>
      <w:r>
        <w:rPr>
          <w:rFonts w:hint="eastAsia" w:ascii="仿宋_GB2312" w:hAnsi="宋体" w:eastAsia="仿宋_GB2312"/>
          <w:sz w:val="32"/>
          <w:szCs w:val="32"/>
        </w:rPr>
        <w:t>按工程形象进度及资金使用预算进行自评。</w:t>
      </w:r>
    </w:p>
    <w:p>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80" w:lineRule="exact"/>
        <w:ind w:firstLine="720"/>
        <w:rPr>
          <w:rFonts w:ascii="仿宋_GB2312" w:hAnsi="宋体" w:eastAsia="仿宋_GB2312"/>
          <w:sz w:val="32"/>
          <w:szCs w:val="32"/>
        </w:rPr>
      </w:pPr>
      <w:r>
        <w:rPr>
          <w:rFonts w:hint="eastAsia" w:ascii="楷体_GB2312" w:hAnsi="宋体" w:eastAsia="楷体_GB2312"/>
          <w:b/>
          <w:sz w:val="32"/>
          <w:szCs w:val="32"/>
          <w:lang w:val="zh-CN"/>
        </w:rPr>
        <w:t>（一）项目资金申报及批复情况。</w:t>
      </w:r>
      <w:r>
        <w:rPr>
          <w:rFonts w:hint="eastAsia" w:ascii="仿宋_GB2312" w:hAnsi="宋体" w:eastAsia="仿宋_GB2312"/>
          <w:sz w:val="32"/>
          <w:szCs w:val="32"/>
        </w:rPr>
        <w:t>该项目目前已立项上会待批复。</w:t>
      </w:r>
    </w:p>
    <w:p>
      <w:pPr>
        <w:adjustRightInd w:val="0"/>
        <w:snapToGrid w:val="0"/>
        <w:spacing w:line="58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580" w:lineRule="exact"/>
        <w:ind w:firstLine="720"/>
        <w:rPr>
          <w:rFonts w:ascii="仿宋_GB2312" w:hAnsi="宋体" w:eastAsia="仿宋_GB2312"/>
          <w:sz w:val="32"/>
          <w:szCs w:val="32"/>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_GB2312" w:hAnsi="宋体" w:eastAsia="仿宋_GB2312"/>
          <w:sz w:val="32"/>
          <w:szCs w:val="32"/>
        </w:rPr>
        <w:t>本级财政资金。</w:t>
      </w:r>
    </w:p>
    <w:p>
      <w:pPr>
        <w:adjustRightInd w:val="0"/>
        <w:snapToGrid w:val="0"/>
        <w:spacing w:line="580" w:lineRule="exact"/>
        <w:ind w:firstLine="720"/>
        <w:rPr>
          <w:rFonts w:ascii="仿宋_GB2312" w:hAnsi="宋体" w:eastAsia="仿宋_GB2312"/>
          <w:sz w:val="32"/>
          <w:szCs w:val="32"/>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rPr>
        <w:t>本级财政资金已全额到位。</w:t>
      </w:r>
    </w:p>
    <w:p>
      <w:pPr>
        <w:adjustRightInd w:val="0"/>
        <w:snapToGrid w:val="0"/>
        <w:spacing w:line="580" w:lineRule="exact"/>
        <w:ind w:firstLine="720"/>
        <w:rPr>
          <w:rFonts w:ascii="仿宋_GB2312" w:hAnsi="宋体" w:eastAsia="仿宋_GB2312"/>
          <w:sz w:val="32"/>
          <w:szCs w:val="32"/>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宋体" w:eastAsia="仿宋_GB2312"/>
          <w:sz w:val="32"/>
          <w:szCs w:val="32"/>
        </w:rPr>
        <w:t>暂未发生资金支付情况。</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80" w:lineRule="exact"/>
        <w:ind w:firstLine="720"/>
        <w:rPr>
          <w:rFonts w:ascii="仿宋_GB2312" w:hAnsi="宋体" w:eastAsia="仿宋_GB2312"/>
          <w:sz w:val="32"/>
          <w:szCs w:val="32"/>
          <w:lang w:val="zh-CN"/>
        </w:rPr>
      </w:pPr>
      <w:r>
        <w:rPr>
          <w:rFonts w:eastAsia="仿宋_GB2312"/>
          <w:sz w:val="32"/>
          <w:szCs w:val="32"/>
          <w:lang w:val="zh-CN"/>
        </w:rPr>
        <w:t>依照法律、行政法规和国家财政行政主管部门的规定建立财务、会计制度，按国家和有关部门的规定进行审计，报送财政、严格执行财务管理制度、财务处理及时、会计核算规范。</w:t>
      </w:r>
    </w:p>
    <w:p>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ind w:firstLine="640" w:firstLineChars="200"/>
        <w:rPr>
          <w:rFonts w:eastAsia="仿宋_GB2312"/>
          <w:sz w:val="32"/>
          <w:szCs w:val="32"/>
        </w:rPr>
      </w:pPr>
      <w:r>
        <w:rPr>
          <w:rFonts w:eastAsia="仿宋_GB2312"/>
          <w:sz w:val="32"/>
          <w:szCs w:val="32"/>
        </w:rPr>
        <w:t>该项目设置项目负责人一名，甲方现场代表一名；委托具有专业项目</w:t>
      </w:r>
      <w:r>
        <w:rPr>
          <w:rFonts w:hint="eastAsia" w:eastAsia="仿宋_GB2312"/>
          <w:sz w:val="32"/>
          <w:szCs w:val="32"/>
        </w:rPr>
        <w:t>施工</w:t>
      </w:r>
      <w:r>
        <w:rPr>
          <w:rFonts w:eastAsia="仿宋_GB2312"/>
          <w:sz w:val="32"/>
          <w:szCs w:val="32"/>
        </w:rPr>
        <w:t>资质的</w:t>
      </w:r>
      <w:r>
        <w:rPr>
          <w:rFonts w:hint="eastAsia" w:eastAsia="仿宋_GB2312"/>
          <w:sz w:val="32"/>
          <w:szCs w:val="32"/>
        </w:rPr>
        <w:t>施工</w:t>
      </w:r>
      <w:r>
        <w:rPr>
          <w:rFonts w:eastAsia="仿宋_GB2312"/>
          <w:sz w:val="32"/>
          <w:szCs w:val="32"/>
        </w:rPr>
        <w:t>单位一家，具有专业监理资质的监理单位一家。</w:t>
      </w:r>
    </w:p>
    <w:p>
      <w:pPr>
        <w:adjustRightInd w:val="0"/>
        <w:snapToGrid w:val="0"/>
        <w:spacing w:line="580" w:lineRule="exact"/>
        <w:ind w:firstLine="720"/>
        <w:rPr>
          <w:rFonts w:eastAsia="仿宋_GB2312"/>
          <w:sz w:val="32"/>
          <w:szCs w:val="32"/>
          <w:lang w:val="zh-CN"/>
        </w:rPr>
      </w:pPr>
      <w:r>
        <w:rPr>
          <w:rFonts w:hint="eastAsia" w:ascii="楷体_GB2312" w:hAnsi="宋体" w:eastAsia="楷体_GB2312"/>
          <w:b/>
          <w:sz w:val="32"/>
          <w:szCs w:val="32"/>
          <w:lang w:val="zh-CN"/>
        </w:rPr>
        <w:t>（二）项目管理情况。</w:t>
      </w:r>
      <w:r>
        <w:rPr>
          <w:rFonts w:hint="eastAsia" w:eastAsia="仿宋_GB2312"/>
          <w:sz w:val="32"/>
          <w:szCs w:val="32"/>
        </w:rPr>
        <w:t>该项目</w:t>
      </w:r>
      <w:r>
        <w:rPr>
          <w:rFonts w:eastAsia="仿宋_GB2312"/>
          <w:sz w:val="32"/>
          <w:szCs w:val="32"/>
        </w:rPr>
        <w:t>严格执行招投标、安全质量、竣工验收等各项管理制度。该项目严格遵循基本建设程序</w:t>
      </w:r>
      <w:r>
        <w:rPr>
          <w:rFonts w:hint="eastAsia" w:eastAsia="仿宋_GB2312"/>
          <w:sz w:val="32"/>
          <w:szCs w:val="32"/>
        </w:rPr>
        <w:t>，</w:t>
      </w:r>
      <w:r>
        <w:rPr>
          <w:rFonts w:eastAsia="仿宋_GB2312"/>
          <w:sz w:val="32"/>
          <w:szCs w:val="32"/>
        </w:rPr>
        <w:t>先规划研究，后设计施工，过程中严格控制</w:t>
      </w:r>
      <w:r>
        <w:rPr>
          <w:rFonts w:hint="eastAsia" w:eastAsia="仿宋_GB2312"/>
          <w:sz w:val="32"/>
          <w:szCs w:val="32"/>
        </w:rPr>
        <w:t>各项经济指标</w:t>
      </w:r>
      <w:r>
        <w:rPr>
          <w:rFonts w:eastAsia="仿宋_GB2312"/>
          <w:sz w:val="32"/>
          <w:szCs w:val="32"/>
        </w:rPr>
        <w:t>。</w:t>
      </w:r>
    </w:p>
    <w:p>
      <w:pPr>
        <w:adjustRightInd w:val="0"/>
        <w:snapToGrid w:val="0"/>
        <w:spacing w:line="580" w:lineRule="exact"/>
        <w:ind w:firstLine="720"/>
        <w:rPr>
          <w:rFonts w:ascii="仿宋_GB2312" w:hAnsi="宋体" w:eastAsia="仿宋_GB2312"/>
          <w:sz w:val="32"/>
          <w:szCs w:val="32"/>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rPr>
        <w:t>市住建局不定期</w:t>
      </w:r>
      <w:r>
        <w:rPr>
          <w:rFonts w:hint="eastAsia" w:ascii="仿宋_GB2312" w:hAnsi="宋体" w:eastAsia="仿宋_GB2312"/>
          <w:sz w:val="32"/>
          <w:szCs w:val="32"/>
          <w:lang w:eastAsia="zh-CN"/>
        </w:rPr>
        <w:t>地</w:t>
      </w:r>
      <w:r>
        <w:rPr>
          <w:rFonts w:hint="eastAsia" w:ascii="仿宋_GB2312" w:hAnsi="宋体" w:eastAsia="仿宋_GB2312"/>
          <w:sz w:val="32"/>
          <w:szCs w:val="32"/>
        </w:rPr>
        <w:t>对工程形象进度及财务开展检查指导工作。</w:t>
      </w:r>
    </w:p>
    <w:p>
      <w:pPr>
        <w:adjustRightInd w:val="0"/>
        <w:snapToGrid w:val="0"/>
        <w:spacing w:line="58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8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（一）项目完成情况。</w:t>
      </w:r>
    </w:p>
    <w:p>
      <w:pPr>
        <w:adjustRightInd w:val="0"/>
        <w:snapToGrid w:val="0"/>
        <w:spacing w:line="580" w:lineRule="exact"/>
        <w:ind w:firstLine="720"/>
        <w:rPr>
          <w:rFonts w:ascii="仿宋_GB2312" w:hAnsi="宋体" w:eastAsia="仿宋_GB2312"/>
          <w:sz w:val="32"/>
          <w:szCs w:val="32"/>
        </w:rPr>
      </w:pPr>
      <w:r>
        <w:rPr>
          <w:rFonts w:hint="eastAsia" w:ascii="仿宋_GB2312" w:hAnsi="宋体" w:eastAsia="仿宋_GB2312"/>
          <w:sz w:val="32"/>
          <w:szCs w:val="32"/>
        </w:rPr>
        <w:t>该项目目前正在立项阶段，无实质性形象进度。</w:t>
      </w:r>
    </w:p>
    <w:p>
      <w:pPr>
        <w:adjustRightInd w:val="0"/>
        <w:snapToGrid w:val="0"/>
        <w:spacing w:line="58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（二）项目效益情况。</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可解决第四水厂生产设施设备老旧落后问题，为我市优质供水提供安全保障，并达到节能降耗的目的。</w:t>
      </w:r>
    </w:p>
    <w:p>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达成绩效目标。</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无。</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80" w:lineRule="exact"/>
        <w:ind w:firstLine="640" w:firstLineChars="200"/>
        <w:rPr>
          <w:rFonts w:ascii="仿宋_GB2312" w:hAnsi="宋体" w:eastAsia="仿宋_GB2312"/>
          <w:sz w:val="32"/>
          <w:szCs w:val="32"/>
        </w:rPr>
      </w:pPr>
      <w:r>
        <w:rPr>
          <w:rFonts w:hint="eastAsia" w:ascii="仿宋_GB2312" w:hAnsi="宋体" w:eastAsia="仿宋_GB2312"/>
          <w:sz w:val="32"/>
          <w:szCs w:val="32"/>
        </w:rPr>
        <w:t>无。</w:t>
      </w: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tbl>
      <w:tblPr>
        <w:tblStyle w:val="13"/>
        <w:tblW w:w="9476" w:type="dxa"/>
        <w:jc w:val="center"/>
        <w:tblLayout w:type="autofit"/>
        <w:tblCellMar>
          <w:top w:w="0" w:type="dxa"/>
          <w:left w:w="108" w:type="dxa"/>
          <w:bottom w:w="0" w:type="dxa"/>
          <w:right w:w="108" w:type="dxa"/>
        </w:tblCellMar>
      </w:tblPr>
      <w:tblGrid>
        <w:gridCol w:w="971"/>
        <w:gridCol w:w="889"/>
        <w:gridCol w:w="954"/>
        <w:gridCol w:w="1486"/>
        <w:gridCol w:w="400"/>
        <w:gridCol w:w="2224"/>
        <w:gridCol w:w="2552"/>
      </w:tblGrid>
      <w:tr>
        <w:tblPrEx>
          <w:tblCellMar>
            <w:top w:w="0" w:type="dxa"/>
            <w:left w:w="108" w:type="dxa"/>
            <w:bottom w:w="0" w:type="dxa"/>
            <w:right w:w="108" w:type="dxa"/>
          </w:tblCellMar>
        </w:tblPrEx>
        <w:trPr>
          <w:trHeight w:val="405" w:hRule="atLeast"/>
          <w:jc w:val="center"/>
        </w:trPr>
        <w:tc>
          <w:tcPr>
            <w:tcW w:w="9476"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476"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971"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9"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54"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486"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40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224"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552"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60" w:hRule="atLeast"/>
          <w:jc w:val="center"/>
        </w:trPr>
        <w:tc>
          <w:tcPr>
            <w:tcW w:w="28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66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第四水厂高低压电气设备及自控系统改造工程</w:t>
            </w:r>
          </w:p>
        </w:tc>
      </w:tr>
      <w:tr>
        <w:tblPrEx>
          <w:tblCellMar>
            <w:top w:w="0" w:type="dxa"/>
            <w:left w:w="108" w:type="dxa"/>
            <w:bottom w:w="0" w:type="dxa"/>
            <w:right w:w="108" w:type="dxa"/>
          </w:tblCellMar>
        </w:tblPrEx>
        <w:trPr>
          <w:trHeight w:val="375" w:hRule="atLeast"/>
          <w:jc w:val="center"/>
        </w:trPr>
        <w:tc>
          <w:tcPr>
            <w:tcW w:w="28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66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360" w:hRule="atLeast"/>
          <w:jc w:val="center"/>
        </w:trPr>
        <w:tc>
          <w:tcPr>
            <w:tcW w:w="9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8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278万元</w:t>
            </w:r>
          </w:p>
        </w:tc>
        <w:tc>
          <w:tcPr>
            <w:tcW w:w="2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278万元</w:t>
            </w:r>
          </w:p>
        </w:tc>
      </w:tr>
      <w:tr>
        <w:tblPrEx>
          <w:tblCellMar>
            <w:top w:w="0" w:type="dxa"/>
            <w:left w:w="108" w:type="dxa"/>
            <w:bottom w:w="0" w:type="dxa"/>
            <w:right w:w="108" w:type="dxa"/>
          </w:tblCellMar>
        </w:tblPrEx>
        <w:trPr>
          <w:trHeight w:val="448" w:hRule="atLeast"/>
          <w:jc w:val="center"/>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8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278万元</w:t>
            </w:r>
          </w:p>
        </w:tc>
        <w:tc>
          <w:tcPr>
            <w:tcW w:w="2224"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278万元</w:t>
            </w:r>
          </w:p>
        </w:tc>
      </w:tr>
      <w:tr>
        <w:tblPrEx>
          <w:tblCellMar>
            <w:top w:w="0" w:type="dxa"/>
            <w:left w:w="108" w:type="dxa"/>
            <w:bottom w:w="0" w:type="dxa"/>
            <w:right w:w="108" w:type="dxa"/>
          </w:tblCellMar>
        </w:tblPrEx>
        <w:trPr>
          <w:trHeight w:val="480" w:hRule="atLeast"/>
          <w:jc w:val="center"/>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8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224"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552"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450" w:hRule="atLeast"/>
          <w:jc w:val="center"/>
        </w:trPr>
        <w:tc>
          <w:tcPr>
            <w:tcW w:w="971"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372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77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335" w:hRule="atLeast"/>
          <w:jc w:val="center"/>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72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10kV双电源搭火杆、厂内变压器、高低压开关柜、送水泵、阀、自控系统及取水中心高低压配电柜等</w:t>
            </w:r>
          </w:p>
        </w:tc>
        <w:tc>
          <w:tcPr>
            <w:tcW w:w="477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10kV双电源搭火杆、厂内变压器、高低压开关柜、送水泵、阀、自控系统及取水中心高低压配电柜等</w:t>
            </w:r>
          </w:p>
        </w:tc>
      </w:tr>
      <w:tr>
        <w:tblPrEx>
          <w:tblCellMar>
            <w:top w:w="0" w:type="dxa"/>
            <w:left w:w="108" w:type="dxa"/>
            <w:bottom w:w="0" w:type="dxa"/>
            <w:right w:w="108" w:type="dxa"/>
          </w:tblCellMar>
        </w:tblPrEx>
        <w:trPr>
          <w:trHeight w:val="585" w:hRule="atLeast"/>
          <w:jc w:val="center"/>
        </w:trPr>
        <w:tc>
          <w:tcPr>
            <w:tcW w:w="971"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889"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95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8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2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1477" w:hRule="atLeast"/>
          <w:jc w:val="center"/>
        </w:trPr>
        <w:tc>
          <w:tcPr>
            <w:tcW w:w="971"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8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954"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8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改造内容</w:t>
            </w:r>
          </w:p>
        </w:tc>
        <w:tc>
          <w:tcPr>
            <w:tcW w:w="2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10kV双电源搭火杆、厂内变压器、高低压开关柜、送水泵、阀、自控系统及取水中心高低压配电柜等</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10kV双电源搭火杆、厂内变压器、高低压开关柜、送水泵、阀、自控系统及取水中心高低压配电柜等</w:t>
            </w:r>
          </w:p>
        </w:tc>
      </w:tr>
      <w:tr>
        <w:tblPrEx>
          <w:tblCellMar>
            <w:top w:w="0" w:type="dxa"/>
            <w:left w:w="108" w:type="dxa"/>
            <w:bottom w:w="0" w:type="dxa"/>
            <w:right w:w="108" w:type="dxa"/>
          </w:tblCellMar>
        </w:tblPrEx>
        <w:trPr>
          <w:trHeight w:val="660" w:hRule="atLeast"/>
          <w:jc w:val="center"/>
        </w:trPr>
        <w:tc>
          <w:tcPr>
            <w:tcW w:w="971"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54"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8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降低送水泵功率</w:t>
            </w:r>
          </w:p>
        </w:tc>
        <w:tc>
          <w:tcPr>
            <w:tcW w:w="2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单台送水泵功率由原来90kW降低至75kW</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单台送水泵功率由原来90kW降低至75kW</w:t>
            </w:r>
          </w:p>
        </w:tc>
      </w:tr>
      <w:tr>
        <w:tblPrEx>
          <w:tblCellMar>
            <w:top w:w="0" w:type="dxa"/>
            <w:left w:w="108" w:type="dxa"/>
            <w:bottom w:w="0" w:type="dxa"/>
            <w:right w:w="108" w:type="dxa"/>
          </w:tblCellMar>
        </w:tblPrEx>
        <w:trPr>
          <w:trHeight w:val="679" w:hRule="atLeast"/>
          <w:jc w:val="center"/>
        </w:trPr>
        <w:tc>
          <w:tcPr>
            <w:tcW w:w="971"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54"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8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改善变压器</w:t>
            </w:r>
          </w:p>
        </w:tc>
        <w:tc>
          <w:tcPr>
            <w:tcW w:w="2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变压器由原500kVA变更为400kVA</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变压器由原500kVA变更为400kVA</w:t>
            </w:r>
          </w:p>
        </w:tc>
      </w:tr>
      <w:tr>
        <w:tblPrEx>
          <w:tblCellMar>
            <w:top w:w="0" w:type="dxa"/>
            <w:left w:w="108" w:type="dxa"/>
            <w:bottom w:w="0" w:type="dxa"/>
            <w:right w:w="108" w:type="dxa"/>
          </w:tblCellMar>
        </w:tblPrEx>
        <w:trPr>
          <w:trHeight w:val="480" w:hRule="atLeast"/>
          <w:jc w:val="center"/>
        </w:trPr>
        <w:tc>
          <w:tcPr>
            <w:tcW w:w="971"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5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8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22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2022年12月31日</w:t>
            </w:r>
          </w:p>
        </w:tc>
      </w:tr>
      <w:tr>
        <w:tblPrEx>
          <w:tblCellMar>
            <w:top w:w="0" w:type="dxa"/>
            <w:left w:w="108" w:type="dxa"/>
            <w:bottom w:w="0" w:type="dxa"/>
            <w:right w:w="108" w:type="dxa"/>
          </w:tblCellMar>
        </w:tblPrEx>
        <w:trPr>
          <w:trHeight w:val="480" w:hRule="atLeast"/>
          <w:jc w:val="center"/>
        </w:trPr>
        <w:tc>
          <w:tcPr>
            <w:tcW w:w="971"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8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5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8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费用支付</w:t>
            </w:r>
          </w:p>
        </w:tc>
        <w:tc>
          <w:tcPr>
            <w:tcW w:w="22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278万元</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278万元</w:t>
            </w:r>
          </w:p>
        </w:tc>
      </w:tr>
      <w:tr>
        <w:tblPrEx>
          <w:tblCellMar>
            <w:top w:w="0" w:type="dxa"/>
            <w:left w:w="108" w:type="dxa"/>
            <w:bottom w:w="0" w:type="dxa"/>
            <w:right w:w="108" w:type="dxa"/>
          </w:tblCellMar>
        </w:tblPrEx>
        <w:trPr>
          <w:trHeight w:val="780" w:hRule="atLeast"/>
          <w:jc w:val="center"/>
        </w:trPr>
        <w:tc>
          <w:tcPr>
            <w:tcW w:w="971"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8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95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降低成本</w:t>
            </w:r>
          </w:p>
        </w:tc>
        <w:tc>
          <w:tcPr>
            <w:tcW w:w="2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预计节约电费约18万元/年</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节约电费约18万元/年</w:t>
            </w:r>
          </w:p>
        </w:tc>
      </w:tr>
      <w:tr>
        <w:tblPrEx>
          <w:tblCellMar>
            <w:top w:w="0" w:type="dxa"/>
            <w:left w:w="108" w:type="dxa"/>
            <w:bottom w:w="0" w:type="dxa"/>
            <w:right w:w="108" w:type="dxa"/>
          </w:tblCellMar>
        </w:tblPrEx>
        <w:trPr>
          <w:trHeight w:val="762" w:hRule="atLeast"/>
          <w:jc w:val="center"/>
        </w:trPr>
        <w:tc>
          <w:tcPr>
            <w:tcW w:w="971"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8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5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确保供水安全</w:t>
            </w:r>
          </w:p>
        </w:tc>
        <w:tc>
          <w:tcPr>
            <w:tcW w:w="222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为我市优质供水提供安全保障</w:t>
            </w:r>
          </w:p>
        </w:tc>
        <w:tc>
          <w:tcPr>
            <w:tcW w:w="255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为我市优质供水提供安全保障</w:t>
            </w:r>
          </w:p>
        </w:tc>
      </w:tr>
      <w:tr>
        <w:tblPrEx>
          <w:tblCellMar>
            <w:top w:w="0" w:type="dxa"/>
            <w:left w:w="108" w:type="dxa"/>
            <w:bottom w:w="0" w:type="dxa"/>
            <w:right w:w="108" w:type="dxa"/>
          </w:tblCellMar>
        </w:tblPrEx>
        <w:trPr>
          <w:trHeight w:val="690" w:hRule="atLeast"/>
          <w:jc w:val="center"/>
        </w:trPr>
        <w:tc>
          <w:tcPr>
            <w:tcW w:w="97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95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8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群众满意度</w:t>
            </w:r>
          </w:p>
        </w:tc>
        <w:tc>
          <w:tcPr>
            <w:tcW w:w="22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55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lang w:val="zh-CN"/>
        </w:rPr>
      </w:pPr>
    </w:p>
    <w:p>
      <w:pPr>
        <w:jc w:val="center"/>
        <w:rPr>
          <w:rFonts w:ascii="仿宋_GB2312" w:hAnsi="宋体" w:eastAsia="仿宋_GB2312"/>
          <w:sz w:val="32"/>
          <w:szCs w:val="32"/>
        </w:rPr>
      </w:pPr>
      <w:r>
        <w:rPr>
          <w:rFonts w:hint="eastAsia" w:ascii="宋体" w:hAnsi="宋体" w:cs="宋体"/>
          <w:b/>
          <w:color w:val="000000"/>
          <w:sz w:val="44"/>
          <w:szCs w:val="44"/>
        </w:rPr>
        <w:t>项目支出绩效自评报告</w:t>
      </w:r>
    </w:p>
    <w:p>
      <w:pPr>
        <w:spacing w:line="520" w:lineRule="exact"/>
        <w:jc w:val="center"/>
        <w:rPr>
          <w:rFonts w:ascii="仿宋_GB2312" w:hAnsi="宋体" w:eastAsia="仿宋_GB2312"/>
          <w:sz w:val="32"/>
          <w:szCs w:val="32"/>
        </w:rPr>
      </w:pPr>
      <w:r>
        <w:rPr>
          <w:rFonts w:hint="eastAsia" w:ascii="仿宋_GB2312" w:hAnsi="宋体" w:eastAsia="仿宋_GB2312"/>
          <w:sz w:val="32"/>
          <w:szCs w:val="32"/>
        </w:rPr>
        <w:t>（小泉子沟等黑臭水体整治项目）</w:t>
      </w:r>
    </w:p>
    <w:p>
      <w:pPr>
        <w:jc w:val="center"/>
        <w:rPr>
          <w:rFonts w:ascii="宋体" w:hAnsi="宋体"/>
          <w:sz w:val="32"/>
          <w:szCs w:val="32"/>
        </w:rPr>
      </w:pPr>
    </w:p>
    <w:p>
      <w:pPr>
        <w:adjustRightInd w:val="0"/>
        <w:snapToGrid w:val="0"/>
        <w:spacing w:line="600" w:lineRule="exact"/>
        <w:ind w:firstLine="803" w:firstLineChars="200"/>
        <w:rPr>
          <w:rFonts w:ascii="楷体_GB2312" w:hAnsi="宋体" w:eastAsia="楷体_GB2312"/>
          <w:b/>
          <w:sz w:val="40"/>
          <w:szCs w:val="40"/>
          <w:lang w:val="zh-CN"/>
        </w:rPr>
      </w:pPr>
      <w:r>
        <w:rPr>
          <w:rFonts w:hint="eastAsia" w:ascii="楷体_GB2312" w:hAnsi="宋体" w:eastAsia="楷体_GB2312"/>
          <w:b/>
          <w:sz w:val="40"/>
          <w:szCs w:val="40"/>
          <w:lang w:val="zh-CN"/>
        </w:rPr>
        <w:t>一、项目概况</w:t>
      </w:r>
    </w:p>
    <w:p>
      <w:pPr>
        <w:spacing w:line="600" w:lineRule="exact"/>
        <w:ind w:firstLine="640" w:firstLineChars="200"/>
        <w:rPr>
          <w:rFonts w:ascii="楷体_GB2312" w:hAnsi="宋体" w:eastAsia="楷体_GB2312"/>
          <w:b/>
          <w:sz w:val="32"/>
          <w:szCs w:val="32"/>
          <w:lang w:val="zh-CN"/>
        </w:rPr>
      </w:pPr>
      <w:r>
        <w:rPr>
          <w:rFonts w:hint="eastAsia" w:eastAsia="仿宋_GB2312"/>
          <w:kern w:val="0"/>
          <w:sz w:val="32"/>
          <w:szCs w:val="32"/>
        </w:rPr>
        <w:t>绵竹市</w:t>
      </w:r>
      <w:r>
        <w:rPr>
          <w:rFonts w:eastAsia="仿宋_GB2312"/>
          <w:kern w:val="0"/>
          <w:sz w:val="32"/>
          <w:szCs w:val="32"/>
        </w:rPr>
        <w:t>孝德镇清华社区杨家河黑公泉、小泉子、贾家堰段、清华社区育贤路城市排洪沟等沟渠</w:t>
      </w:r>
      <w:r>
        <w:rPr>
          <w:rFonts w:hint="eastAsia" w:eastAsia="仿宋_GB2312"/>
          <w:kern w:val="0"/>
          <w:sz w:val="32"/>
          <w:szCs w:val="32"/>
        </w:rPr>
        <w:t>形成疑似</w:t>
      </w:r>
      <w:r>
        <w:rPr>
          <w:rFonts w:eastAsia="仿宋_GB2312"/>
          <w:kern w:val="0"/>
          <w:sz w:val="32"/>
          <w:szCs w:val="32"/>
        </w:rPr>
        <w:t>黑臭水体</w:t>
      </w:r>
      <w:r>
        <w:rPr>
          <w:rFonts w:hint="eastAsia" w:eastAsia="仿宋_GB2312"/>
          <w:kern w:val="0"/>
          <w:sz w:val="32"/>
          <w:szCs w:val="32"/>
        </w:rPr>
        <w:t>，且整治后易发生反弹。</w:t>
      </w:r>
      <w:r>
        <w:rPr>
          <w:rFonts w:hint="eastAsia" w:eastAsia="仿宋_GB2312"/>
          <w:b/>
          <w:bCs/>
          <w:kern w:val="0"/>
          <w:sz w:val="32"/>
          <w:szCs w:val="32"/>
        </w:rPr>
        <w:t>一是</w:t>
      </w:r>
      <w:r>
        <w:rPr>
          <w:rFonts w:hint="eastAsia" w:eastAsia="仿宋_GB2312"/>
          <w:kern w:val="0"/>
          <w:sz w:val="32"/>
          <w:szCs w:val="32"/>
        </w:rPr>
        <w:t>清理疏掏沟渠两侧垃圾、杂草树木、淤泥等杂物，初步估算14.9万元；</w:t>
      </w:r>
      <w:r>
        <w:rPr>
          <w:rFonts w:hint="eastAsia" w:eastAsia="仿宋_GB2312"/>
          <w:b/>
          <w:bCs/>
          <w:kern w:val="0"/>
          <w:sz w:val="32"/>
          <w:szCs w:val="32"/>
        </w:rPr>
        <w:t>二是</w:t>
      </w:r>
      <w:r>
        <w:rPr>
          <w:rFonts w:hint="eastAsia" w:eastAsia="仿宋_GB2312"/>
          <w:kern w:val="0"/>
          <w:sz w:val="32"/>
          <w:szCs w:val="32"/>
        </w:rPr>
        <w:t>购买两台水泵，实施为期2个月的沟底应急冲刷，初步估算7.0472万元，两项费用合计</w:t>
      </w:r>
      <w:r>
        <w:rPr>
          <w:rFonts w:eastAsia="仿宋_GB2312"/>
          <w:sz w:val="32"/>
          <w:szCs w:val="32"/>
        </w:rPr>
        <w:t>21.9472万元</w:t>
      </w:r>
      <w:r>
        <w:rPr>
          <w:rFonts w:hint="eastAsia" w:eastAsia="仿宋_GB2312"/>
          <w:sz w:val="32"/>
          <w:szCs w:val="32"/>
        </w:rPr>
        <w:t>。</w:t>
      </w:r>
    </w:p>
    <w:p>
      <w:pPr>
        <w:numPr>
          <w:ilvl w:val="0"/>
          <w:numId w:val="17"/>
        </w:numPr>
        <w:adjustRightInd w:val="0"/>
        <w:snapToGrid w:val="0"/>
        <w:spacing w:line="600" w:lineRule="exact"/>
        <w:rPr>
          <w:rFonts w:ascii="楷体_GB2312" w:hAnsi="宋体" w:eastAsia="楷体_GB2312"/>
          <w:b/>
          <w:sz w:val="32"/>
          <w:szCs w:val="32"/>
          <w:lang w:val="zh-CN"/>
        </w:rPr>
      </w:pPr>
      <w:r>
        <w:rPr>
          <w:rFonts w:hint="eastAsia" w:ascii="楷体_GB2312" w:hAnsi="宋体" w:eastAsia="楷体_GB2312"/>
          <w:b/>
          <w:sz w:val="32"/>
          <w:szCs w:val="32"/>
          <w:lang w:val="zh-CN"/>
        </w:rPr>
        <w:t>项目资金申报及批复情况。</w:t>
      </w:r>
    </w:p>
    <w:p>
      <w:pPr>
        <w:spacing w:line="600" w:lineRule="exact"/>
        <w:ind w:firstLine="640" w:firstLineChars="200"/>
        <w:rPr>
          <w:rFonts w:ascii="仿宋_GB2312" w:hAnsi="宋体" w:eastAsia="仿宋_GB2312"/>
          <w:sz w:val="32"/>
          <w:szCs w:val="32"/>
          <w:lang w:val="zh-CN"/>
        </w:rPr>
      </w:pPr>
      <w:r>
        <w:rPr>
          <w:rFonts w:hint="eastAsia" w:eastAsia="仿宋_GB2312"/>
          <w:kern w:val="0"/>
          <w:sz w:val="32"/>
          <w:szCs w:val="32"/>
        </w:rPr>
        <w:t>按照竹财资环（2021）37号，2021年安排本级财政预算</w:t>
      </w:r>
      <w:r>
        <w:rPr>
          <w:rFonts w:eastAsia="仿宋_GB2312"/>
          <w:sz w:val="32"/>
          <w:szCs w:val="32"/>
        </w:rPr>
        <w:t>21万元</w:t>
      </w:r>
      <w:r>
        <w:rPr>
          <w:rFonts w:hint="eastAsia" w:eastAsia="仿宋_GB2312"/>
          <w:sz w:val="32"/>
          <w:szCs w:val="32"/>
        </w:rPr>
        <w:t>用于孝德镇清华社区黑臭水体整治工作经费。</w:t>
      </w:r>
      <w:r>
        <w:rPr>
          <w:rFonts w:hint="eastAsia" w:ascii="仿宋_GB2312" w:hAnsi="宋体" w:eastAsia="仿宋_GB2312"/>
          <w:sz w:val="32"/>
          <w:szCs w:val="32"/>
          <w:lang w:val="zh-CN"/>
        </w:rPr>
        <w:t>以上资金概算以及使用符合资金管理办法等相关规定。</w:t>
      </w:r>
    </w:p>
    <w:p>
      <w:pPr>
        <w:numPr>
          <w:ilvl w:val="0"/>
          <w:numId w:val="17"/>
        </w:num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项目绩效目标。</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该项目绩效总目标为</w:t>
      </w:r>
      <w:r>
        <w:rPr>
          <w:rFonts w:hint="eastAsia" w:ascii="仿宋_GB2312" w:hAnsi="宋体" w:eastAsia="仿宋_GB2312"/>
          <w:sz w:val="32"/>
          <w:szCs w:val="32"/>
        </w:rPr>
        <w:t>解决</w:t>
      </w:r>
      <w:r>
        <w:rPr>
          <w:rFonts w:hint="eastAsia" w:eastAsia="仿宋_GB2312"/>
          <w:sz w:val="32"/>
          <w:szCs w:val="32"/>
        </w:rPr>
        <w:t>孝德镇清华社区黑臭水体</w:t>
      </w:r>
      <w:r>
        <w:rPr>
          <w:rFonts w:hint="eastAsia" w:ascii="仿宋_GB2312" w:hAnsi="宋体" w:eastAsia="仿宋_GB2312"/>
          <w:sz w:val="32"/>
          <w:szCs w:val="32"/>
        </w:rPr>
        <w:t>，对该项目进行竣工收后，本年度达成项目绩效总目标。</w:t>
      </w:r>
    </w:p>
    <w:p>
      <w:pPr>
        <w:numPr>
          <w:ilvl w:val="0"/>
          <w:numId w:val="17"/>
        </w:num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项目资金申报相符性。</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w:t>
      </w:r>
      <w:r>
        <w:rPr>
          <w:rFonts w:hint="eastAsia" w:ascii="仿宋_GB2312" w:hAnsi="宋体" w:eastAsia="仿宋_GB2312"/>
          <w:sz w:val="32"/>
          <w:szCs w:val="32"/>
        </w:rPr>
        <w:t>2021年年度资金概算指标合计</w:t>
      </w:r>
      <w:r>
        <w:rPr>
          <w:rFonts w:eastAsia="仿宋_GB2312"/>
          <w:sz w:val="32"/>
          <w:szCs w:val="32"/>
        </w:rPr>
        <w:t>21</w:t>
      </w:r>
      <w:r>
        <w:rPr>
          <w:rFonts w:hint="eastAsia" w:ascii="仿宋_GB2312" w:hAnsi="宋体" w:eastAsia="仿宋_GB2312"/>
          <w:sz w:val="32"/>
          <w:szCs w:val="32"/>
        </w:rPr>
        <w:t>万元，现已申报</w:t>
      </w:r>
      <w:r>
        <w:rPr>
          <w:rFonts w:eastAsia="仿宋_GB2312"/>
          <w:sz w:val="32"/>
          <w:szCs w:val="32"/>
        </w:rPr>
        <w:t>21</w:t>
      </w:r>
      <w:r>
        <w:rPr>
          <w:rFonts w:hint="eastAsia" w:ascii="仿宋_GB2312" w:hAnsi="宋体" w:eastAsia="仿宋_GB2312"/>
          <w:sz w:val="32"/>
          <w:szCs w:val="32"/>
        </w:rPr>
        <w:t>万元，全部用于该项目相关费用拨付，申报内容与具体实施内容相符，申报目标总体合理。</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600" w:lineRule="exact"/>
        <w:ind w:firstLine="720"/>
        <w:rPr>
          <w:rFonts w:ascii="楷体_GB2312" w:hAnsi="宋体" w:eastAsia="楷体_GB2312"/>
          <w:sz w:val="32"/>
          <w:szCs w:val="32"/>
          <w:lang w:val="zh-CN"/>
        </w:rPr>
      </w:pPr>
      <w:r>
        <w:rPr>
          <w:rFonts w:hint="eastAsia" w:ascii="仿宋_GB2312" w:hAnsi="宋体" w:eastAsia="仿宋_GB2312"/>
          <w:sz w:val="32"/>
          <w:szCs w:val="32"/>
          <w:lang w:val="zh-CN"/>
        </w:rPr>
        <w:t>1.资金计划及到位。</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lang w:val="zh-CN"/>
        </w:rPr>
        <w:t>该项目资金概算指标全部为</w:t>
      </w:r>
      <w:r>
        <w:rPr>
          <w:rFonts w:hint="eastAsia" w:eastAsia="仿宋_GB2312"/>
          <w:kern w:val="0"/>
          <w:sz w:val="32"/>
          <w:szCs w:val="32"/>
        </w:rPr>
        <w:t>2021年本级财政预算资金</w:t>
      </w:r>
      <w:r>
        <w:rPr>
          <w:rFonts w:hint="eastAsia" w:ascii="仿宋_GB2312" w:hAnsi="宋体" w:eastAsia="仿宋_GB2312"/>
          <w:sz w:val="32"/>
          <w:szCs w:val="32"/>
          <w:lang w:val="zh-CN"/>
        </w:rPr>
        <w:t>，</w:t>
      </w:r>
      <w:r>
        <w:rPr>
          <w:rFonts w:hint="eastAsia" w:ascii="仿宋_GB2312" w:hAnsi="宋体" w:eastAsia="仿宋_GB2312"/>
          <w:sz w:val="32"/>
          <w:szCs w:val="32"/>
        </w:rPr>
        <w:t>到位率100%。</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资金使用。</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截至评价时合计资金概算指标</w:t>
      </w:r>
      <w:r>
        <w:rPr>
          <w:rFonts w:eastAsia="仿宋_GB2312"/>
          <w:sz w:val="32"/>
          <w:szCs w:val="32"/>
        </w:rPr>
        <w:t>21</w:t>
      </w:r>
      <w:r>
        <w:rPr>
          <w:rFonts w:hint="eastAsia" w:ascii="仿宋_GB2312" w:hAnsi="宋体" w:eastAsia="仿宋_GB2312"/>
          <w:sz w:val="32"/>
          <w:szCs w:val="32"/>
        </w:rPr>
        <w:t>万元，现已申报</w:t>
      </w:r>
      <w:r>
        <w:rPr>
          <w:rFonts w:eastAsia="仿宋_GB2312"/>
          <w:sz w:val="32"/>
          <w:szCs w:val="32"/>
        </w:rPr>
        <w:t>21</w:t>
      </w:r>
      <w:r>
        <w:rPr>
          <w:rFonts w:hint="eastAsia" w:ascii="仿宋_GB2312" w:hAnsi="宋体" w:eastAsia="仿宋_GB2312"/>
          <w:sz w:val="32"/>
          <w:szCs w:val="32"/>
        </w:rPr>
        <w:t>万元，全部用于该项目相关费用的支付，支付标准及依据合规合法，资金支付与预算完全相符</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依照法律、行政法规和国家财政行政主管部门的规定建立财务、会计制度；在每一会计季度终了时制作财务会计报表，按国家和有关部门的规定进行审计，报送财政、税务、工商行政管理等部门，并送交各股东审查；严格执行财务管理制度、财务处理及时、会计核算规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lang w:val="zh-CN"/>
        </w:rPr>
        <w:t>该项目由</w:t>
      </w:r>
      <w:r>
        <w:rPr>
          <w:rFonts w:hint="eastAsia" w:ascii="仿宋_GB2312" w:hAnsi="宋体" w:eastAsia="仿宋_GB2312"/>
          <w:sz w:val="32"/>
          <w:szCs w:val="32"/>
        </w:rPr>
        <w:t>绵竹市孝德镇人民政府作为业主</w:t>
      </w:r>
      <w:r>
        <w:rPr>
          <w:rFonts w:hint="eastAsia" w:ascii="仿宋_GB2312" w:hAnsi="宋体" w:eastAsia="仿宋_GB2312"/>
          <w:sz w:val="32"/>
          <w:szCs w:val="32"/>
          <w:lang w:eastAsia="zh-CN"/>
        </w:rPr>
        <w:t>实施</w:t>
      </w:r>
      <w:r>
        <w:rPr>
          <w:rFonts w:hint="eastAsia" w:ascii="仿宋_GB2312" w:hAnsi="宋体" w:eastAsia="仿宋_GB2312"/>
          <w:sz w:val="32"/>
          <w:szCs w:val="32"/>
        </w:rPr>
        <w:t>，2021</w:t>
      </w:r>
      <w:r>
        <w:rPr>
          <w:rFonts w:hint="eastAsia" w:ascii="仿宋_GB2312" w:hAnsi="宋体" w:eastAsia="仿宋_GB2312"/>
          <w:sz w:val="32"/>
          <w:szCs w:val="32"/>
          <w:lang w:eastAsia="zh-CN"/>
        </w:rPr>
        <w:t>年</w:t>
      </w:r>
      <w:r>
        <w:rPr>
          <w:rFonts w:hint="eastAsia" w:ascii="仿宋_GB2312" w:hAnsi="宋体" w:eastAsia="仿宋_GB2312"/>
          <w:sz w:val="32"/>
          <w:szCs w:val="32"/>
        </w:rPr>
        <w:t>7月10日左右已完成水体黑臭整治工作。</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color w:val="FF0000"/>
          <w:sz w:val="32"/>
          <w:szCs w:val="32"/>
          <w:lang w:val="zh-CN"/>
        </w:rPr>
      </w:pPr>
      <w:r>
        <w:rPr>
          <w:rFonts w:hint="eastAsia" w:ascii="仿宋_GB2312" w:hAnsi="宋体" w:eastAsia="仿宋_GB2312"/>
          <w:sz w:val="32"/>
          <w:szCs w:val="32"/>
          <w:lang w:val="zh-CN"/>
        </w:rPr>
        <w:t>该项目绩效总目标为</w:t>
      </w:r>
      <w:r>
        <w:rPr>
          <w:rFonts w:hint="eastAsia" w:ascii="仿宋_GB2312" w:hAnsi="宋体" w:eastAsia="仿宋_GB2312"/>
          <w:sz w:val="32"/>
          <w:szCs w:val="32"/>
        </w:rPr>
        <w:t>整治水体黑臭现象</w:t>
      </w:r>
      <w:r>
        <w:rPr>
          <w:rFonts w:hint="eastAsia" w:ascii="仿宋_GB2312" w:hAnsi="宋体" w:eastAsia="仿宋_GB2312"/>
          <w:sz w:val="32"/>
          <w:szCs w:val="32"/>
          <w:lang w:val="zh-CN"/>
        </w:rPr>
        <w:t>，现</w:t>
      </w:r>
      <w:r>
        <w:rPr>
          <w:rFonts w:hint="eastAsia" w:ascii="仿宋_GB2312" w:hAnsi="宋体" w:eastAsia="仿宋_GB2312"/>
          <w:sz w:val="32"/>
          <w:szCs w:val="32"/>
        </w:rPr>
        <w:t>完成项目绩效总目标。</w:t>
      </w:r>
    </w:p>
    <w:p>
      <w:pPr>
        <w:adjustRightInd w:val="0"/>
        <w:snapToGrid w:val="0"/>
        <w:spacing w:line="600" w:lineRule="exact"/>
        <w:ind w:firstLine="720"/>
        <w:rPr>
          <w:rFonts w:ascii="仿宋_GB2312" w:hAnsi="宋体" w:eastAsia="仿宋_GB2312"/>
          <w:sz w:val="32"/>
          <w:szCs w:val="32"/>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社会效益：有效地解决了绵竹市水污染问题，为城市服务，为社会服务，可改善城市市容，提高卫生水平，保护人民身体健康，保护绵竹市美丽的自然环境。把绵竹市建设成为一座风景优美、经济繁荣、社会稳定、生活方便的现代化城镇至关重要的基础设施，可见，其社会效益是显著的。</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rPr>
        <w:t>生态效益与可持续效益：</w:t>
      </w:r>
      <w:r>
        <w:rPr>
          <w:rFonts w:hint="eastAsia" w:ascii="仿宋_GB2312" w:hAnsi="宋体" w:eastAsia="仿宋_GB2312"/>
          <w:sz w:val="32"/>
          <w:szCs w:val="32"/>
          <w:lang w:val="zh-CN"/>
        </w:rPr>
        <w:t>改善区域水环境，提高区域内人民的生活质量，改善人们的生活环境有明显的促进作用。同时改善</w:t>
      </w:r>
      <w:r>
        <w:rPr>
          <w:rFonts w:hint="eastAsia" w:ascii="仿宋_GB2312" w:hAnsi="宋体" w:eastAsia="仿宋_GB2312"/>
          <w:sz w:val="32"/>
          <w:szCs w:val="32"/>
        </w:rPr>
        <w:t>了</w:t>
      </w:r>
      <w:r>
        <w:rPr>
          <w:rFonts w:hint="eastAsia" w:ascii="仿宋_GB2312" w:hAnsi="宋体" w:eastAsia="仿宋_GB2312"/>
          <w:sz w:val="32"/>
          <w:szCs w:val="32"/>
          <w:lang w:val="zh-CN"/>
        </w:rPr>
        <w:t>下游河流以及城区的水环境质量，</w:t>
      </w:r>
      <w:r>
        <w:rPr>
          <w:rFonts w:hint="eastAsia" w:ascii="仿宋_GB2312" w:hAnsi="宋体" w:eastAsia="仿宋_GB2312"/>
          <w:sz w:val="32"/>
          <w:szCs w:val="32"/>
        </w:rPr>
        <w:t>产生巨大的</w:t>
      </w:r>
      <w:r>
        <w:rPr>
          <w:rFonts w:hint="eastAsia" w:ascii="仿宋_GB2312" w:hAnsi="宋体" w:eastAsia="仿宋_GB2312"/>
          <w:sz w:val="32"/>
          <w:szCs w:val="32"/>
          <w:lang w:val="zh-CN"/>
        </w:rPr>
        <w:t>生态效益与可持续效益。</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服务对象满意度：极大改善了绵竹市的水环境质量，为人民群众创造了健康的生活环境，提升人民幸福感，提高群众满意度是明显的。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600" w:lineRule="exact"/>
        <w:ind w:firstLine="720"/>
        <w:rPr>
          <w:rFonts w:ascii="楷体_GB2312" w:hAnsi="宋体" w:eastAsia="楷体_GB2312"/>
          <w:b/>
          <w:sz w:val="32"/>
          <w:lang w:val="zh-CN"/>
        </w:rPr>
      </w:pPr>
      <w:r>
        <w:rPr>
          <w:rFonts w:hint="eastAsia" w:ascii="楷体_GB2312" w:hAnsi="宋体" w:eastAsia="楷体_GB2312"/>
          <w:b/>
          <w:sz w:val="32"/>
          <w:lang w:val="zh-CN"/>
        </w:rPr>
        <w:t>（一）评价结论。</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该项目的实施具有很大的社会积极作用，并取得了较为满意的效果。</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w:t>
      </w:r>
      <w:r>
        <w:rPr>
          <w:rFonts w:hint="eastAsia" w:ascii="楷体_GB2312" w:hAnsi="宋体" w:eastAsia="楷体_GB2312"/>
          <w:b/>
          <w:sz w:val="32"/>
          <w:szCs w:val="32"/>
        </w:rPr>
        <w:t>二</w:t>
      </w:r>
      <w:r>
        <w:rPr>
          <w:rFonts w:hint="eastAsia" w:ascii="楷体_GB2312" w:hAnsi="宋体" w:eastAsia="楷体_GB2312"/>
          <w:b/>
          <w:sz w:val="32"/>
          <w:szCs w:val="32"/>
          <w:lang w:val="zh-CN"/>
        </w:rPr>
        <w:t>）存在的问题。</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无</w:t>
      </w:r>
    </w:p>
    <w:p>
      <w:pPr>
        <w:adjustRightInd w:val="0"/>
        <w:snapToGrid w:val="0"/>
        <w:spacing w:line="600" w:lineRule="exact"/>
        <w:ind w:firstLine="720"/>
        <w:rPr>
          <w:rFonts w:ascii="楷体_GB2312" w:hAnsi="宋体" w:eastAsia="楷体_GB2312"/>
          <w:b/>
          <w:sz w:val="32"/>
          <w:lang w:val="zh-CN"/>
        </w:rPr>
      </w:pPr>
      <w:r>
        <w:rPr>
          <w:rFonts w:hint="eastAsia" w:ascii="楷体_GB2312" w:hAnsi="宋体" w:eastAsia="楷体_GB2312"/>
          <w:b/>
          <w:sz w:val="32"/>
          <w:lang w:val="zh-CN"/>
        </w:rPr>
        <w:t>（三）相关建议。</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8880" w:type="dxa"/>
        <w:jc w:val="center"/>
        <w:tblLayout w:type="autofit"/>
        <w:tblCellMar>
          <w:top w:w="0" w:type="dxa"/>
          <w:left w:w="108" w:type="dxa"/>
          <w:bottom w:w="0" w:type="dxa"/>
          <w:right w:w="108" w:type="dxa"/>
        </w:tblCellMar>
      </w:tblPr>
      <w:tblGrid>
        <w:gridCol w:w="1080"/>
        <w:gridCol w:w="940"/>
        <w:gridCol w:w="1420"/>
        <w:gridCol w:w="1080"/>
        <w:gridCol w:w="440"/>
        <w:gridCol w:w="1920"/>
        <w:gridCol w:w="2000"/>
      </w:tblGrid>
      <w:tr>
        <w:tblPrEx>
          <w:tblCellMar>
            <w:top w:w="0" w:type="dxa"/>
            <w:left w:w="108" w:type="dxa"/>
            <w:bottom w:w="0" w:type="dxa"/>
            <w:right w:w="108" w:type="dxa"/>
          </w:tblCellMar>
        </w:tblPrEx>
        <w:trPr>
          <w:trHeight w:val="405" w:hRule="atLeast"/>
          <w:jc w:val="center"/>
        </w:trPr>
        <w:tc>
          <w:tcPr>
            <w:tcW w:w="888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888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2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44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2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00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10" w:hRule="atLeast"/>
          <w:jc w:val="center"/>
        </w:trPr>
        <w:tc>
          <w:tcPr>
            <w:tcW w:w="3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小泉子沟等黑臭水体整治项目</w:t>
            </w:r>
          </w:p>
        </w:tc>
      </w:tr>
      <w:tr>
        <w:tblPrEx>
          <w:tblCellMar>
            <w:top w:w="0" w:type="dxa"/>
            <w:left w:w="108" w:type="dxa"/>
            <w:bottom w:w="0" w:type="dxa"/>
            <w:right w:w="108" w:type="dxa"/>
          </w:tblCellMar>
        </w:tblPrEx>
        <w:trPr>
          <w:trHeight w:val="450" w:hRule="atLeast"/>
          <w:jc w:val="center"/>
        </w:trPr>
        <w:tc>
          <w:tcPr>
            <w:tcW w:w="3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42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3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5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21万元</w:t>
            </w:r>
          </w:p>
        </w:tc>
        <w:tc>
          <w:tcPr>
            <w:tcW w:w="1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21万元</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5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21万元</w:t>
            </w:r>
          </w:p>
        </w:tc>
        <w:tc>
          <w:tcPr>
            <w:tcW w:w="192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其中：财政拨款</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21万元</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5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92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79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38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002"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880" w:type="dxa"/>
            <w:gridSpan w:val="4"/>
            <w:tcBorders>
              <w:top w:val="single" w:color="auto" w:sz="4" w:space="0"/>
              <w:left w:val="nil"/>
              <w:bottom w:val="single" w:color="auto" w:sz="4" w:space="0"/>
              <w:right w:val="single" w:color="000000" w:sz="4" w:space="0"/>
            </w:tcBorders>
            <w:shd w:val="clear" w:color="auto" w:fill="auto"/>
          </w:tcPr>
          <w:p>
            <w:pPr>
              <w:widowControl/>
              <w:jc w:val="center"/>
              <w:rPr>
                <w:rFonts w:ascii="宋体" w:hAnsi="宋体" w:cs="宋体"/>
                <w:kern w:val="0"/>
                <w:sz w:val="20"/>
                <w:szCs w:val="20"/>
              </w:rPr>
            </w:pPr>
          </w:p>
          <w:p>
            <w:pPr>
              <w:widowControl/>
              <w:jc w:val="center"/>
              <w:rPr>
                <w:rFonts w:ascii="宋体" w:hAnsi="宋体" w:cs="宋体"/>
                <w:kern w:val="0"/>
                <w:sz w:val="20"/>
                <w:szCs w:val="20"/>
              </w:rPr>
            </w:pPr>
            <w:r>
              <w:rPr>
                <w:rFonts w:hint="eastAsia" w:ascii="宋体" w:hAnsi="宋体" w:cs="宋体"/>
                <w:kern w:val="0"/>
                <w:sz w:val="20"/>
                <w:szCs w:val="20"/>
              </w:rPr>
              <w:t>整治孝德镇清华社区黑臭水体现象。</w:t>
            </w:r>
          </w:p>
        </w:tc>
        <w:tc>
          <w:tcPr>
            <w:tcW w:w="3920" w:type="dxa"/>
            <w:gridSpan w:val="2"/>
            <w:tcBorders>
              <w:top w:val="single" w:color="auto" w:sz="4" w:space="0"/>
              <w:left w:val="nil"/>
              <w:bottom w:val="single" w:color="auto" w:sz="4" w:space="0"/>
              <w:right w:val="single" w:color="000000" w:sz="4" w:space="0"/>
            </w:tcBorders>
            <w:shd w:val="clear" w:color="auto" w:fill="auto"/>
          </w:tcPr>
          <w:p>
            <w:pPr>
              <w:widowControl/>
              <w:jc w:val="center"/>
              <w:rPr>
                <w:rFonts w:ascii="宋体" w:hAnsi="宋体" w:cs="宋体"/>
                <w:kern w:val="0"/>
                <w:sz w:val="20"/>
                <w:szCs w:val="20"/>
              </w:rPr>
            </w:pPr>
          </w:p>
          <w:p>
            <w:pPr>
              <w:widowControl/>
              <w:jc w:val="center"/>
              <w:rPr>
                <w:rFonts w:ascii="宋体" w:hAnsi="宋体" w:cs="宋体"/>
                <w:kern w:val="0"/>
                <w:sz w:val="20"/>
                <w:szCs w:val="20"/>
              </w:rPr>
            </w:pPr>
            <w:r>
              <w:rPr>
                <w:rFonts w:hint="eastAsia" w:ascii="宋体" w:hAnsi="宋体" w:cs="宋体"/>
                <w:kern w:val="0"/>
                <w:sz w:val="20"/>
                <w:szCs w:val="20"/>
              </w:rPr>
              <w:t>整治孝德镇清华社区黑臭水体现象。</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42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整治点位</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1处</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1处</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工程质量合格率</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完成时限</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2021年12月底</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2021年12月底</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费用支付</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等线" w:hAnsi="等线" w:eastAsia="等线" w:cs="宋体"/>
                <w:kern w:val="0"/>
                <w:sz w:val="20"/>
                <w:szCs w:val="20"/>
              </w:rPr>
              <w:t>≤</w:t>
            </w:r>
            <w:r>
              <w:rPr>
                <w:rFonts w:hint="eastAsia" w:ascii="宋体" w:hAnsi="宋体" w:cs="宋体"/>
                <w:kern w:val="0"/>
                <w:sz w:val="20"/>
                <w:szCs w:val="20"/>
              </w:rPr>
              <w:t>21万元</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21万元</w:t>
            </w:r>
          </w:p>
        </w:tc>
      </w:tr>
      <w:tr>
        <w:tblPrEx>
          <w:tblCellMar>
            <w:top w:w="0" w:type="dxa"/>
            <w:left w:w="108" w:type="dxa"/>
            <w:bottom w:w="0" w:type="dxa"/>
            <w:right w:w="108" w:type="dxa"/>
          </w:tblCellMar>
        </w:tblPrEx>
        <w:trPr>
          <w:trHeight w:val="67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4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解决污染问题</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解决了绵竹市水污染问题</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解决了绵竹市水污染问题</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改善水环境</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改善区域水环境</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改善区域水环境</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群众满意度</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jc w:val="center"/>
        <w:rPr>
          <w:rFonts w:ascii="仿宋_GB2312" w:hAnsi="宋体" w:eastAsia="仿宋_GB2312"/>
          <w:sz w:val="32"/>
          <w:szCs w:val="32"/>
        </w:rPr>
      </w:pPr>
      <w:r>
        <w:rPr>
          <w:rFonts w:hint="eastAsia" w:ascii="宋体" w:hAnsi="宋体" w:cs="宋体"/>
          <w:b/>
          <w:color w:val="000000"/>
          <w:sz w:val="44"/>
          <w:szCs w:val="44"/>
        </w:rPr>
        <w:t>项目支出绩效自评报告</w:t>
      </w:r>
    </w:p>
    <w:p>
      <w:pPr>
        <w:spacing w:line="520" w:lineRule="exact"/>
        <w:ind w:firstLine="640" w:firstLineChars="200"/>
        <w:jc w:val="center"/>
        <w:rPr>
          <w:rFonts w:ascii="仿宋_GB2312" w:hAnsi="宋体" w:eastAsia="仿宋_GB2312"/>
          <w:sz w:val="32"/>
          <w:szCs w:val="32"/>
        </w:rPr>
      </w:pPr>
      <w:r>
        <w:rPr>
          <w:rFonts w:hint="eastAsia" w:ascii="仿宋_GB2312" w:hAnsi="宋体" w:eastAsia="仿宋_GB2312"/>
          <w:sz w:val="32"/>
          <w:szCs w:val="32"/>
        </w:rPr>
        <w:t>（绵竹市城市污水管网修复工程项目）</w:t>
      </w:r>
    </w:p>
    <w:p>
      <w:pPr>
        <w:jc w:val="center"/>
        <w:rPr>
          <w:rFonts w:ascii="宋体" w:hAnsi="宋体"/>
          <w:sz w:val="32"/>
          <w:szCs w:val="32"/>
        </w:rPr>
      </w:pPr>
    </w:p>
    <w:p>
      <w:pPr>
        <w:adjustRightInd w:val="0"/>
        <w:snapToGrid w:val="0"/>
        <w:spacing w:line="640" w:lineRule="exact"/>
        <w:ind w:firstLine="803" w:firstLineChars="200"/>
        <w:rPr>
          <w:rFonts w:ascii="楷体_GB2312" w:hAnsi="宋体" w:eastAsia="楷体_GB2312"/>
          <w:b/>
          <w:sz w:val="40"/>
          <w:szCs w:val="40"/>
          <w:lang w:val="zh-CN"/>
        </w:rPr>
      </w:pPr>
      <w:r>
        <w:rPr>
          <w:rFonts w:hint="eastAsia" w:ascii="楷体_GB2312" w:hAnsi="宋体" w:eastAsia="楷体_GB2312"/>
          <w:b/>
          <w:sz w:val="40"/>
          <w:szCs w:val="40"/>
          <w:lang w:val="zh-CN"/>
        </w:rPr>
        <w:t>一、项目概况</w:t>
      </w:r>
    </w:p>
    <w:p>
      <w:pPr>
        <w:spacing w:line="640" w:lineRule="exact"/>
        <w:ind w:firstLine="640" w:firstLineChars="200"/>
        <w:rPr>
          <w:rFonts w:ascii="楷体_GB2312" w:hAnsi="宋体" w:eastAsia="楷体_GB2312"/>
          <w:b/>
          <w:sz w:val="32"/>
          <w:szCs w:val="32"/>
          <w:lang w:val="zh-CN"/>
        </w:rPr>
      </w:pPr>
      <w:r>
        <w:rPr>
          <w:rFonts w:hint="eastAsia" w:eastAsia="仿宋_GB2312"/>
          <w:kern w:val="0"/>
          <w:sz w:val="32"/>
          <w:szCs w:val="32"/>
        </w:rPr>
        <w:t>本工程位于德阳市绵竹市，管道总公里数为268.45公里（含压力污水管道7.7公里，雨水管修复19.72公里），检查井9375个，5个一体化污水提升泵和1360个化粪池，管道拆除和修复49.92公里，道路破修803960 ㎡ ，管道过桥2处。</w:t>
      </w:r>
    </w:p>
    <w:p>
      <w:pPr>
        <w:numPr>
          <w:ilvl w:val="0"/>
          <w:numId w:val="18"/>
        </w:numPr>
        <w:adjustRightInd w:val="0"/>
        <w:snapToGrid w:val="0"/>
        <w:spacing w:line="640" w:lineRule="exact"/>
        <w:rPr>
          <w:rFonts w:ascii="楷体_GB2312" w:hAnsi="宋体" w:eastAsia="楷体_GB2312"/>
          <w:b/>
          <w:sz w:val="32"/>
          <w:szCs w:val="32"/>
          <w:lang w:val="zh-CN"/>
        </w:rPr>
      </w:pPr>
      <w:r>
        <w:rPr>
          <w:rFonts w:hint="eastAsia" w:ascii="楷体_GB2312" w:hAnsi="宋体" w:eastAsia="楷体_GB2312"/>
          <w:b/>
          <w:sz w:val="32"/>
          <w:szCs w:val="32"/>
          <w:lang w:val="zh-CN"/>
        </w:rPr>
        <w:t>项目资金申报及批复情况。</w:t>
      </w:r>
    </w:p>
    <w:p>
      <w:pPr>
        <w:spacing w:line="640" w:lineRule="exact"/>
        <w:ind w:firstLine="640" w:firstLineChars="200"/>
        <w:rPr>
          <w:rFonts w:ascii="仿宋_GB2312" w:hAnsi="宋体" w:eastAsia="仿宋_GB2312"/>
          <w:sz w:val="32"/>
          <w:szCs w:val="32"/>
          <w:lang w:val="zh-CN"/>
        </w:rPr>
      </w:pPr>
      <w:r>
        <w:rPr>
          <w:rFonts w:hint="eastAsia" w:eastAsia="仿宋_GB2312"/>
          <w:kern w:val="0"/>
          <w:sz w:val="32"/>
          <w:szCs w:val="32"/>
        </w:rPr>
        <w:t>按照竹建（2021）192号，请示2020年洪涝灾害恢复重建项目（绵竹市城市污水管网修复工程）获得的80万元中央补助资金拨付该公司，并按照《绵竹市城镇污水处理设施配套管网BOT项目补充协议》相关约定，冲抵相应部分项目总投资。</w:t>
      </w:r>
    </w:p>
    <w:p>
      <w:pPr>
        <w:numPr>
          <w:ilvl w:val="0"/>
          <w:numId w:val="18"/>
        </w:num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项目绩效目标。</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该项目绩效总目标为</w:t>
      </w:r>
      <w:r>
        <w:rPr>
          <w:rFonts w:hint="eastAsia" w:ascii="仿宋_GB2312" w:hAnsi="宋体" w:eastAsia="仿宋_GB2312"/>
          <w:sz w:val="32"/>
          <w:szCs w:val="32"/>
        </w:rPr>
        <w:t>解决绵竹污水收集，对该项目进行竣工收后，本年度达成项目绩效总目标。</w:t>
      </w:r>
    </w:p>
    <w:p>
      <w:pPr>
        <w:numPr>
          <w:ilvl w:val="0"/>
          <w:numId w:val="18"/>
        </w:num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项目资金相符性。</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w:t>
      </w:r>
      <w:r>
        <w:rPr>
          <w:rFonts w:hint="eastAsia" w:ascii="仿宋_GB2312" w:hAnsi="宋体" w:eastAsia="仿宋_GB2312"/>
          <w:sz w:val="32"/>
          <w:szCs w:val="32"/>
        </w:rPr>
        <w:t>2021年年度资金概算指标合计</w:t>
      </w:r>
      <w:r>
        <w:rPr>
          <w:rFonts w:hint="eastAsia" w:eastAsia="仿宋_GB2312"/>
          <w:sz w:val="32"/>
          <w:szCs w:val="32"/>
        </w:rPr>
        <w:t>54974.41</w:t>
      </w:r>
      <w:r>
        <w:rPr>
          <w:rFonts w:hint="eastAsia" w:ascii="仿宋_GB2312" w:hAnsi="宋体" w:eastAsia="仿宋_GB2312"/>
          <w:sz w:val="32"/>
          <w:szCs w:val="32"/>
        </w:rPr>
        <w:t>万元，现已预估完成13000万元，全部用于该项目相关费用拨付。</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64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640" w:lineRule="exact"/>
        <w:ind w:firstLine="720"/>
        <w:rPr>
          <w:rFonts w:ascii="楷体_GB2312" w:hAnsi="宋体" w:eastAsia="楷体_GB2312"/>
          <w:sz w:val="32"/>
          <w:szCs w:val="32"/>
          <w:lang w:val="zh-CN"/>
        </w:rPr>
      </w:pPr>
      <w:r>
        <w:rPr>
          <w:rFonts w:hint="eastAsia" w:ascii="仿宋_GB2312" w:hAnsi="宋体" w:eastAsia="仿宋_GB2312"/>
          <w:sz w:val="32"/>
          <w:szCs w:val="32"/>
          <w:lang w:val="zh-CN"/>
        </w:rPr>
        <w:t>1.资金计划及到位。</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lang w:val="zh-CN"/>
        </w:rPr>
        <w:t>该项目资金概算指标全部为</w:t>
      </w:r>
      <w:r>
        <w:rPr>
          <w:rFonts w:hint="eastAsia" w:eastAsia="仿宋_GB2312"/>
          <w:kern w:val="0"/>
          <w:sz w:val="32"/>
          <w:szCs w:val="32"/>
        </w:rPr>
        <w:t>2021年本级财政预算资金</w:t>
      </w:r>
      <w:r>
        <w:rPr>
          <w:rFonts w:hint="eastAsia" w:ascii="仿宋_GB2312" w:hAnsi="宋体" w:eastAsia="仿宋_GB2312"/>
          <w:sz w:val="32"/>
          <w:szCs w:val="32"/>
          <w:lang w:val="zh-CN"/>
        </w:rPr>
        <w:t>，</w:t>
      </w:r>
      <w:r>
        <w:rPr>
          <w:rFonts w:hint="eastAsia" w:ascii="仿宋_GB2312" w:hAnsi="宋体" w:eastAsia="仿宋_GB2312"/>
          <w:sz w:val="32"/>
          <w:szCs w:val="32"/>
        </w:rPr>
        <w:t>到位率100%。</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资金使用。</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截至评价时合计资金概算指标</w:t>
      </w:r>
      <w:r>
        <w:rPr>
          <w:rFonts w:eastAsia="仿宋_GB2312"/>
          <w:sz w:val="32"/>
          <w:szCs w:val="32"/>
        </w:rPr>
        <w:t>21.9472</w:t>
      </w:r>
      <w:r>
        <w:rPr>
          <w:rFonts w:hint="eastAsia" w:ascii="仿宋_GB2312" w:hAnsi="宋体" w:eastAsia="仿宋_GB2312"/>
          <w:sz w:val="32"/>
          <w:szCs w:val="32"/>
        </w:rPr>
        <w:t>万元，现已预估完成13000万元，全部用于该项目相关费用的支付，支付标准及依据合规合法，资金支付与预算完全相符</w:t>
      </w:r>
      <w:r>
        <w:rPr>
          <w:rFonts w:hint="eastAsia" w:ascii="仿宋_GB2312" w:hAnsi="宋体" w:eastAsia="仿宋_GB2312"/>
          <w:sz w:val="32"/>
          <w:szCs w:val="32"/>
          <w:lang w:val="zh-CN"/>
        </w:rPr>
        <w:t>。</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依照法律、行政法规和国家财政行政主管部门的规定建立财务、会计制度；在每一会计季度终了时制作财务会计报表，按国家和有关部门的规定进行审计，报送财政、税务、工商行政管理等部门，并送交各股东审查；严格执行财务管理制度、财务处理及时、会计核算规范。</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lang w:val="zh-CN"/>
        </w:rPr>
        <w:t>该项目由</w:t>
      </w:r>
      <w:r>
        <w:rPr>
          <w:rFonts w:hint="eastAsia" w:ascii="仿宋_GB2312" w:hAnsi="宋体" w:eastAsia="仿宋_GB2312"/>
          <w:sz w:val="32"/>
          <w:szCs w:val="32"/>
        </w:rPr>
        <w:t>德阳市旌辉投资有限公司作为业主</w:t>
      </w:r>
      <w:r>
        <w:rPr>
          <w:rFonts w:hint="eastAsia" w:ascii="仿宋_GB2312" w:hAnsi="宋体" w:eastAsia="仿宋_GB2312"/>
          <w:sz w:val="32"/>
          <w:szCs w:val="32"/>
          <w:lang w:eastAsia="zh-CN"/>
        </w:rPr>
        <w:t>实施</w:t>
      </w:r>
      <w:r>
        <w:rPr>
          <w:rFonts w:hint="eastAsia" w:ascii="仿宋_GB2312" w:hAnsi="宋体" w:eastAsia="仿宋_GB2312"/>
          <w:sz w:val="32"/>
          <w:szCs w:val="32"/>
        </w:rPr>
        <w:t>，截至目前完成98%工程建设工作。</w:t>
      </w:r>
    </w:p>
    <w:p>
      <w:pPr>
        <w:adjustRightInd w:val="0"/>
        <w:snapToGrid w:val="0"/>
        <w:spacing w:line="64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40" w:lineRule="exact"/>
        <w:ind w:firstLine="720"/>
        <w:rPr>
          <w:rFonts w:ascii="仿宋_GB2312" w:hAnsi="宋体" w:eastAsia="仿宋_GB2312"/>
          <w:color w:val="FF0000"/>
          <w:sz w:val="32"/>
          <w:szCs w:val="32"/>
          <w:lang w:val="zh-CN"/>
        </w:rPr>
      </w:pPr>
      <w:r>
        <w:rPr>
          <w:rFonts w:hint="eastAsia" w:ascii="仿宋_GB2312" w:hAnsi="宋体" w:eastAsia="仿宋_GB2312"/>
          <w:sz w:val="32"/>
          <w:szCs w:val="32"/>
          <w:lang w:val="zh-CN"/>
        </w:rPr>
        <w:t>该项目绩效总目标为</w:t>
      </w:r>
      <w:r>
        <w:rPr>
          <w:rFonts w:hint="eastAsia" w:ascii="仿宋_GB2312" w:hAnsi="宋体" w:eastAsia="仿宋_GB2312"/>
          <w:sz w:val="32"/>
          <w:szCs w:val="32"/>
        </w:rPr>
        <w:t>解决污水收集</w:t>
      </w:r>
      <w:r>
        <w:rPr>
          <w:rFonts w:hint="eastAsia" w:ascii="仿宋_GB2312" w:hAnsi="宋体" w:eastAsia="仿宋_GB2312"/>
          <w:sz w:val="32"/>
          <w:szCs w:val="32"/>
          <w:lang w:val="zh-CN"/>
        </w:rPr>
        <w:t>，现</w:t>
      </w:r>
      <w:r>
        <w:rPr>
          <w:rFonts w:hint="eastAsia" w:ascii="仿宋_GB2312" w:hAnsi="宋体" w:eastAsia="仿宋_GB2312"/>
          <w:sz w:val="32"/>
          <w:szCs w:val="32"/>
        </w:rPr>
        <w:t>完成项目98%绩效总目标。</w:t>
      </w:r>
    </w:p>
    <w:p>
      <w:pPr>
        <w:adjustRightInd w:val="0"/>
        <w:snapToGrid w:val="0"/>
        <w:spacing w:line="640" w:lineRule="exact"/>
        <w:ind w:firstLine="720"/>
        <w:rPr>
          <w:rFonts w:ascii="仿宋_GB2312" w:hAnsi="宋体" w:eastAsia="仿宋_GB2312"/>
          <w:sz w:val="32"/>
          <w:szCs w:val="32"/>
        </w:rPr>
      </w:pPr>
      <w:r>
        <w:rPr>
          <w:rFonts w:hint="eastAsia" w:ascii="楷体_GB2312" w:hAnsi="宋体" w:eastAsia="楷体_GB2312"/>
          <w:b/>
          <w:sz w:val="32"/>
          <w:szCs w:val="32"/>
          <w:lang w:val="zh-CN"/>
        </w:rPr>
        <w:t>（二）项目效益情况。</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rPr>
        <w:t>社会效益：有效地解决了绵竹市水污染收集问题，为城市服务，为社会服务，可改善城市市容，提高卫生水平，保护人民身体健康，保护绵竹市美丽的自然环境。把绵竹市建设成为一座风景优美、经济繁荣、社会稳定、生活方便的现代化城镇至关重要的基础设施，可见，其社会效益是显著的。</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rPr>
        <w:t>生态效益与可持续效益：</w:t>
      </w:r>
      <w:r>
        <w:rPr>
          <w:rFonts w:hint="eastAsia" w:ascii="仿宋_GB2312" w:hAnsi="宋体" w:eastAsia="仿宋_GB2312"/>
          <w:sz w:val="32"/>
          <w:szCs w:val="32"/>
          <w:lang w:val="zh-CN"/>
        </w:rPr>
        <w:t>改善区域水环境，提高区域内人民的生活质量，改善人们的生活环境有明显的促进作用。</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服务对象满意度：极大改善了绵竹市的水环境质量，为人民群众创造了健康的生活环境，提升人民幸福感，提高群众满意度是明显的。</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640" w:lineRule="exact"/>
        <w:ind w:firstLine="720"/>
        <w:rPr>
          <w:rFonts w:ascii="楷体_GB2312" w:hAnsi="宋体" w:eastAsia="楷体_GB2312"/>
          <w:b/>
          <w:sz w:val="32"/>
          <w:lang w:val="zh-CN"/>
        </w:rPr>
      </w:pPr>
      <w:r>
        <w:rPr>
          <w:rFonts w:hint="eastAsia" w:ascii="楷体_GB2312" w:hAnsi="宋体" w:eastAsia="楷体_GB2312"/>
          <w:b/>
          <w:sz w:val="32"/>
          <w:lang w:val="zh-CN"/>
        </w:rPr>
        <w:t>（一）评价结论。</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rPr>
        <w:t>该项目的实施具有很大的社会积极作用，并取得了较为满意的效果。</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w:t>
      </w:r>
      <w:r>
        <w:rPr>
          <w:rFonts w:hint="eastAsia" w:ascii="楷体_GB2312" w:hAnsi="宋体" w:eastAsia="楷体_GB2312"/>
          <w:b/>
          <w:sz w:val="32"/>
          <w:szCs w:val="32"/>
        </w:rPr>
        <w:t>二</w:t>
      </w:r>
      <w:r>
        <w:rPr>
          <w:rFonts w:hint="eastAsia" w:ascii="楷体_GB2312" w:hAnsi="宋体" w:eastAsia="楷体_GB2312"/>
          <w:b/>
          <w:sz w:val="32"/>
          <w:szCs w:val="32"/>
          <w:lang w:val="zh-CN"/>
        </w:rPr>
        <w:t>）存在的问题。</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rPr>
        <w:t>无</w:t>
      </w:r>
    </w:p>
    <w:p>
      <w:pPr>
        <w:adjustRightInd w:val="0"/>
        <w:snapToGrid w:val="0"/>
        <w:spacing w:line="640" w:lineRule="exact"/>
        <w:ind w:firstLine="720"/>
        <w:rPr>
          <w:rFonts w:ascii="楷体_GB2312" w:hAnsi="宋体" w:eastAsia="楷体_GB2312"/>
          <w:b/>
          <w:sz w:val="32"/>
          <w:lang w:val="zh-CN"/>
        </w:rPr>
      </w:pPr>
      <w:r>
        <w:rPr>
          <w:rFonts w:hint="eastAsia" w:ascii="楷体_GB2312" w:hAnsi="宋体" w:eastAsia="楷体_GB2312"/>
          <w:b/>
          <w:sz w:val="32"/>
          <w:lang w:val="zh-CN"/>
        </w:rPr>
        <w:t>（三）相关建议。</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264" w:type="dxa"/>
        <w:jc w:val="center"/>
        <w:tblLayout w:type="autofit"/>
        <w:tblCellMar>
          <w:top w:w="0" w:type="dxa"/>
          <w:left w:w="108" w:type="dxa"/>
          <w:bottom w:w="0" w:type="dxa"/>
          <w:right w:w="108" w:type="dxa"/>
        </w:tblCellMar>
      </w:tblPr>
      <w:tblGrid>
        <w:gridCol w:w="1080"/>
        <w:gridCol w:w="900"/>
        <w:gridCol w:w="1051"/>
        <w:gridCol w:w="1329"/>
        <w:gridCol w:w="655"/>
        <w:gridCol w:w="1985"/>
        <w:gridCol w:w="2264"/>
      </w:tblGrid>
      <w:tr>
        <w:tblPrEx>
          <w:tblCellMar>
            <w:top w:w="0" w:type="dxa"/>
            <w:left w:w="108" w:type="dxa"/>
            <w:bottom w:w="0" w:type="dxa"/>
            <w:right w:w="108" w:type="dxa"/>
          </w:tblCellMar>
        </w:tblPrEx>
        <w:trPr>
          <w:trHeight w:val="405" w:hRule="atLeast"/>
          <w:jc w:val="center"/>
        </w:trPr>
        <w:tc>
          <w:tcPr>
            <w:tcW w:w="9264"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264"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51"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329"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655"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85"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264"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0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23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绵竹市城市污水管网修复工程项目</w:t>
            </w:r>
          </w:p>
        </w:tc>
      </w:tr>
      <w:tr>
        <w:tblPrEx>
          <w:tblCellMar>
            <w:top w:w="0" w:type="dxa"/>
            <w:left w:w="108" w:type="dxa"/>
            <w:bottom w:w="0" w:type="dxa"/>
            <w:right w:w="108" w:type="dxa"/>
          </w:tblCellMar>
        </w:tblPrEx>
        <w:trPr>
          <w:trHeight w:val="270" w:hRule="atLeast"/>
          <w:jc w:val="center"/>
        </w:trPr>
        <w:tc>
          <w:tcPr>
            <w:tcW w:w="303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23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2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195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80万元</w:t>
            </w:r>
          </w:p>
        </w:tc>
        <w:tc>
          <w:tcPr>
            <w:tcW w:w="198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2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80万元</w:t>
            </w:r>
          </w:p>
        </w:tc>
      </w:tr>
      <w:tr>
        <w:tblPrEx>
          <w:tblCellMar>
            <w:top w:w="0" w:type="dxa"/>
            <w:left w:w="108" w:type="dxa"/>
            <w:bottom w:w="0" w:type="dxa"/>
            <w:right w:w="108" w:type="dxa"/>
          </w:tblCellMar>
        </w:tblPrEx>
        <w:trPr>
          <w:trHeight w:val="57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951"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80万元</w:t>
            </w:r>
          </w:p>
        </w:tc>
        <w:tc>
          <w:tcPr>
            <w:tcW w:w="1985"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其中：财政拨款</w:t>
            </w:r>
          </w:p>
        </w:tc>
        <w:tc>
          <w:tcPr>
            <w:tcW w:w="22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80万元</w:t>
            </w:r>
          </w:p>
        </w:tc>
      </w:tr>
      <w:tr>
        <w:tblPrEx>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951"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8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985"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2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5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393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24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6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93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对城区管网进行修复，解决污水收集问题。</w:t>
            </w:r>
          </w:p>
        </w:tc>
        <w:tc>
          <w:tcPr>
            <w:tcW w:w="424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对城区管网进行修复，解决污水收集问题。</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0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2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051"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完成公里数</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3.5Km</w:t>
            </w:r>
          </w:p>
        </w:tc>
        <w:tc>
          <w:tcPr>
            <w:tcW w:w="22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3.5Km</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5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质量合格率</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合格</w:t>
            </w:r>
          </w:p>
        </w:tc>
        <w:tc>
          <w:tcPr>
            <w:tcW w:w="22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合格</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5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完成时限</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w:t>
            </w:r>
          </w:p>
        </w:tc>
        <w:tc>
          <w:tcPr>
            <w:tcW w:w="22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5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成本</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80万元</w:t>
            </w:r>
          </w:p>
        </w:tc>
        <w:tc>
          <w:tcPr>
            <w:tcW w:w="22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80万元</w:t>
            </w:r>
          </w:p>
        </w:tc>
      </w:tr>
      <w:tr>
        <w:tblPrEx>
          <w:tblCellMar>
            <w:top w:w="0" w:type="dxa"/>
            <w:left w:w="108" w:type="dxa"/>
            <w:bottom w:w="0" w:type="dxa"/>
            <w:right w:w="108" w:type="dxa"/>
          </w:tblCellMar>
        </w:tblPrEx>
        <w:trPr>
          <w:trHeight w:val="66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05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减少污水污染对社会造成的经济损失</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减少污水污染对社会造成的经济损失</w:t>
            </w:r>
          </w:p>
        </w:tc>
        <w:tc>
          <w:tcPr>
            <w:tcW w:w="22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减少污水污染对社会造成的经济损失</w:t>
            </w:r>
          </w:p>
        </w:tc>
      </w:tr>
      <w:tr>
        <w:tblPrEx>
          <w:tblCellMar>
            <w:top w:w="0" w:type="dxa"/>
            <w:left w:w="108" w:type="dxa"/>
            <w:bottom w:w="0" w:type="dxa"/>
            <w:right w:w="108" w:type="dxa"/>
          </w:tblCellMar>
        </w:tblPrEx>
        <w:trPr>
          <w:trHeight w:val="126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5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改善城市环境</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解决绵竹市水污染问题，改善城市市容，提高卫生水平，保护人民身体健康</w:t>
            </w:r>
          </w:p>
        </w:tc>
        <w:tc>
          <w:tcPr>
            <w:tcW w:w="22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解决绵竹市水污染问题，改善城市市容，提高卫生水平，保护人民身体健康</w:t>
            </w:r>
          </w:p>
        </w:tc>
      </w:tr>
      <w:tr>
        <w:tblPrEx>
          <w:tblCellMar>
            <w:top w:w="0" w:type="dxa"/>
            <w:left w:w="108" w:type="dxa"/>
            <w:bottom w:w="0" w:type="dxa"/>
            <w:right w:w="108" w:type="dxa"/>
          </w:tblCellMar>
        </w:tblPrEx>
        <w:trPr>
          <w:trHeight w:val="942"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5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改善区域水环境</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改善区域水环境，提高人民的生活质量。</w:t>
            </w:r>
          </w:p>
        </w:tc>
        <w:tc>
          <w:tcPr>
            <w:tcW w:w="22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改善区域水环境，提高人民的生活质量。</w:t>
            </w:r>
          </w:p>
        </w:tc>
      </w:tr>
      <w:tr>
        <w:tblPrEx>
          <w:tblCellMar>
            <w:top w:w="0" w:type="dxa"/>
            <w:left w:w="108" w:type="dxa"/>
            <w:bottom w:w="0" w:type="dxa"/>
            <w:right w:w="108" w:type="dxa"/>
          </w:tblCellMar>
        </w:tblPrEx>
        <w:trPr>
          <w:trHeight w:val="69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05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8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群众满意率</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2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60" w:lineRule="exact"/>
        <w:jc w:val="center"/>
        <w:outlineLvl w:val="0"/>
        <w:rPr>
          <w:rFonts w:eastAsia="方正小标宋简体"/>
          <w:bCs/>
          <w:sz w:val="44"/>
          <w:szCs w:val="32"/>
        </w:rPr>
      </w:pPr>
      <w:bookmarkStart w:id="58" w:name="_Toc114738630"/>
      <w:r>
        <w:rPr>
          <w:rFonts w:hint="eastAsia" w:ascii="微软雅黑" w:hAnsi="微软雅黑" w:eastAsia="微软雅黑" w:cs="微软雅黑"/>
          <w:bCs/>
          <w:sz w:val="44"/>
          <w:szCs w:val="32"/>
        </w:rPr>
        <w:t>项目支出绩效自评报告</w:t>
      </w:r>
      <w:bookmarkEnd w:id="58"/>
    </w:p>
    <w:p>
      <w:pPr>
        <w:spacing w:line="560" w:lineRule="exact"/>
        <w:jc w:val="center"/>
        <w:outlineLvl w:val="0"/>
        <w:rPr>
          <w:rFonts w:eastAsia="仿宋_GB2312"/>
          <w:sz w:val="32"/>
          <w:szCs w:val="32"/>
        </w:rPr>
      </w:pPr>
      <w:bookmarkStart w:id="59" w:name="_Toc114738631"/>
      <w:r>
        <w:rPr>
          <w:rFonts w:eastAsia="仿宋_GB2312"/>
          <w:sz w:val="32"/>
          <w:szCs w:val="32"/>
        </w:rPr>
        <w:t>（绵竹市玉泉镇等9个建制镇污水配套管网一期</w:t>
      </w:r>
      <w:r>
        <w:rPr>
          <w:rFonts w:hint="eastAsia" w:eastAsia="仿宋_GB2312"/>
          <w:sz w:val="32"/>
          <w:szCs w:val="32"/>
        </w:rPr>
        <w:t>项目</w:t>
      </w:r>
      <w:r>
        <w:rPr>
          <w:rFonts w:eastAsia="仿宋_GB2312"/>
          <w:sz w:val="32"/>
          <w:szCs w:val="32"/>
        </w:rPr>
        <w:t>）</w:t>
      </w:r>
      <w:bookmarkEnd w:id="59"/>
    </w:p>
    <w:p>
      <w:pPr>
        <w:spacing w:line="560" w:lineRule="exact"/>
        <w:ind w:firstLine="640"/>
        <w:jc w:val="center"/>
        <w:rPr>
          <w:sz w:val="32"/>
          <w:szCs w:val="32"/>
          <w:lang w:val="zh-CN"/>
        </w:rPr>
      </w:pPr>
    </w:p>
    <w:p>
      <w:pPr>
        <w:adjustRightInd w:val="0"/>
        <w:snapToGrid w:val="0"/>
        <w:spacing w:line="560" w:lineRule="exact"/>
        <w:ind w:firstLine="720"/>
        <w:rPr>
          <w:rFonts w:eastAsia="黑体"/>
          <w:sz w:val="32"/>
          <w:szCs w:val="32"/>
          <w:lang w:val="zh-CN"/>
        </w:rPr>
      </w:pPr>
      <w:r>
        <w:rPr>
          <w:rFonts w:eastAsia="黑体"/>
          <w:sz w:val="32"/>
          <w:szCs w:val="32"/>
        </w:rPr>
        <w:t>一、</w:t>
      </w:r>
      <w:r>
        <w:rPr>
          <w:rFonts w:eastAsia="黑体"/>
          <w:sz w:val="32"/>
          <w:szCs w:val="32"/>
          <w:lang w:val="zh-CN"/>
        </w:rPr>
        <w:t>项目概况</w:t>
      </w:r>
    </w:p>
    <w:p>
      <w:pPr>
        <w:ind w:firstLine="642" w:firstLineChars="200"/>
        <w:rPr>
          <w:rFonts w:eastAsia="仿宋_GB2312"/>
          <w:b/>
          <w:bCs/>
          <w:sz w:val="32"/>
          <w:szCs w:val="32"/>
        </w:rPr>
      </w:pPr>
      <w:r>
        <w:rPr>
          <w:rFonts w:eastAsia="楷体_GB2312"/>
          <w:b/>
          <w:sz w:val="32"/>
          <w:szCs w:val="32"/>
          <w:lang w:val="zh-CN"/>
        </w:rPr>
        <w:t>（一）项目资金申报及批复情况。</w:t>
      </w:r>
      <w:r>
        <w:rPr>
          <w:rFonts w:eastAsia="仿宋_GB2312"/>
          <w:sz w:val="32"/>
          <w:szCs w:val="32"/>
        </w:rPr>
        <w:t>绵竹市玉泉镇等9个建制镇污水配套管网一期</w:t>
      </w:r>
      <w:r>
        <w:rPr>
          <w:rFonts w:hint="eastAsia" w:eastAsia="仿宋_GB2312"/>
          <w:sz w:val="32"/>
          <w:szCs w:val="32"/>
        </w:rPr>
        <w:t>项目</w:t>
      </w:r>
      <w:r>
        <w:rPr>
          <w:rFonts w:eastAsia="仿宋_GB2312"/>
          <w:sz w:val="32"/>
          <w:szCs w:val="32"/>
        </w:rPr>
        <w:t>，包含齐天镇、什地镇、兴隆镇、新市镇（文昌社区）、拱星镇、玉泉镇、孝德镇、清平镇、金华镇、富新镇、绵远镇等11个子项目。主要建设以上11个镇乡的污水收集主管网及二三级支管网。建设规模：新建主管网41公里以及二三级管网40公里，目前已经正常通水并正常进行运营维护。建设周期为2019年7月-2021年5月。</w:t>
      </w:r>
    </w:p>
    <w:p>
      <w:pPr>
        <w:adjustRightInd w:val="0"/>
        <w:snapToGrid w:val="0"/>
        <w:spacing w:line="600" w:lineRule="exact"/>
        <w:ind w:firstLine="720"/>
        <w:rPr>
          <w:rFonts w:eastAsia="仿宋_GB2312"/>
          <w:sz w:val="32"/>
          <w:szCs w:val="32"/>
          <w:lang w:val="zh-CN"/>
        </w:rPr>
      </w:pPr>
      <w:r>
        <w:rPr>
          <w:rFonts w:eastAsia="楷体_GB2312"/>
          <w:b/>
          <w:sz w:val="32"/>
          <w:szCs w:val="32"/>
          <w:lang w:val="zh-CN"/>
        </w:rPr>
        <w:t>（二）项目绩效目标。</w:t>
      </w:r>
      <w:r>
        <w:rPr>
          <w:rFonts w:eastAsia="仿宋_GB2312"/>
          <w:sz w:val="32"/>
          <w:szCs w:val="32"/>
          <w:lang w:val="zh-CN"/>
        </w:rPr>
        <w:t>该项目计划目标为各镇乡污水做到应收尽收，实际收集率已达标。计划总投资6500万元，2020年计划投资3500万元，2021年1-6月计划投资800万元。项目开工时间：2010年7月，完工时间2021年4月，竣工验收时间2021年5月。</w:t>
      </w:r>
      <w:r>
        <w:rPr>
          <w:rFonts w:eastAsia="仿宋_GB2312"/>
          <w:sz w:val="32"/>
          <w:szCs w:val="32"/>
        </w:rPr>
        <w:t>该</w:t>
      </w:r>
      <w:r>
        <w:rPr>
          <w:rFonts w:eastAsia="仿宋_GB2312"/>
          <w:sz w:val="32"/>
          <w:szCs w:val="32"/>
          <w:lang w:val="zh-CN"/>
        </w:rPr>
        <w:t>项目资金</w:t>
      </w:r>
      <w:r>
        <w:rPr>
          <w:rFonts w:eastAsia="仿宋_GB2312"/>
          <w:sz w:val="32"/>
          <w:szCs w:val="32"/>
        </w:rPr>
        <w:t>的</w:t>
      </w:r>
      <w:r>
        <w:rPr>
          <w:rFonts w:eastAsia="仿宋_GB2312"/>
          <w:sz w:val="32"/>
          <w:szCs w:val="32"/>
          <w:lang w:val="zh-CN"/>
        </w:rPr>
        <w:t>申报、批复等情况</w:t>
      </w:r>
      <w:r>
        <w:rPr>
          <w:rFonts w:eastAsia="仿宋_GB2312"/>
          <w:sz w:val="32"/>
          <w:szCs w:val="32"/>
        </w:rPr>
        <w:t>均按照正常程序执行，</w:t>
      </w:r>
      <w:r>
        <w:rPr>
          <w:rFonts w:eastAsia="仿宋_GB2312"/>
          <w:sz w:val="32"/>
          <w:szCs w:val="32"/>
          <w:lang w:val="zh-CN"/>
        </w:rPr>
        <w:t>符合</w:t>
      </w:r>
      <w:r>
        <w:rPr>
          <w:rFonts w:eastAsia="仿宋_GB2312"/>
          <w:sz w:val="32"/>
          <w:szCs w:val="32"/>
        </w:rPr>
        <w:t>专项</w:t>
      </w:r>
      <w:r>
        <w:rPr>
          <w:rFonts w:eastAsia="仿宋_GB2312"/>
          <w:sz w:val="32"/>
          <w:szCs w:val="32"/>
          <w:lang w:val="zh-CN"/>
        </w:rPr>
        <w:t>资金管理办法等相关规定。</w:t>
      </w:r>
    </w:p>
    <w:p>
      <w:pPr>
        <w:adjustRightInd w:val="0"/>
        <w:snapToGrid w:val="0"/>
        <w:spacing w:line="560" w:lineRule="exact"/>
        <w:ind w:firstLine="720"/>
        <w:rPr>
          <w:rFonts w:eastAsia="仿宋_GB2312"/>
          <w:sz w:val="32"/>
          <w:szCs w:val="32"/>
        </w:rPr>
      </w:pPr>
      <w:r>
        <w:rPr>
          <w:rFonts w:eastAsia="楷体_GB2312"/>
          <w:b/>
          <w:sz w:val="32"/>
          <w:szCs w:val="32"/>
          <w:lang w:val="zh-CN"/>
        </w:rPr>
        <w:t>（三）项目资金申报相符性。</w:t>
      </w:r>
      <w:r>
        <w:rPr>
          <w:rFonts w:eastAsia="仿宋_GB2312"/>
          <w:sz w:val="32"/>
          <w:szCs w:val="32"/>
        </w:rPr>
        <w:t>绵竹市玉泉镇等9个建制镇污水配套管网一期</w:t>
      </w:r>
      <w:r>
        <w:rPr>
          <w:rFonts w:hint="eastAsia" w:eastAsia="仿宋_GB2312"/>
          <w:sz w:val="32"/>
          <w:szCs w:val="32"/>
        </w:rPr>
        <w:t>项目</w:t>
      </w:r>
      <w:r>
        <w:rPr>
          <w:rFonts w:eastAsia="仿宋_GB2312"/>
          <w:sz w:val="32"/>
          <w:szCs w:val="32"/>
        </w:rPr>
        <w:t>的</w:t>
      </w:r>
      <w:r>
        <w:rPr>
          <w:rFonts w:eastAsia="仿宋_GB2312"/>
          <w:sz w:val="32"/>
          <w:szCs w:val="32"/>
          <w:lang w:val="zh-CN"/>
        </w:rPr>
        <w:t>申报内容</w:t>
      </w:r>
      <w:r>
        <w:rPr>
          <w:rFonts w:eastAsia="仿宋_GB2312"/>
          <w:sz w:val="32"/>
          <w:szCs w:val="32"/>
        </w:rPr>
        <w:t>与</w:t>
      </w:r>
      <w:r>
        <w:rPr>
          <w:rFonts w:eastAsia="仿宋_GB2312"/>
          <w:sz w:val="32"/>
          <w:szCs w:val="32"/>
          <w:lang w:val="zh-CN"/>
        </w:rPr>
        <w:t>具体实施内容</w:t>
      </w:r>
      <w:r>
        <w:rPr>
          <w:rFonts w:eastAsia="仿宋_GB2312"/>
          <w:sz w:val="32"/>
          <w:szCs w:val="32"/>
        </w:rPr>
        <w:t>一致</w:t>
      </w:r>
      <w:r>
        <w:rPr>
          <w:rFonts w:eastAsia="仿宋_GB2312"/>
          <w:sz w:val="32"/>
          <w:szCs w:val="32"/>
          <w:lang w:val="zh-CN"/>
        </w:rPr>
        <w:t>，申报目标合理可行，</w:t>
      </w:r>
      <w:r>
        <w:rPr>
          <w:rFonts w:eastAsia="仿宋_GB2312"/>
          <w:sz w:val="32"/>
          <w:szCs w:val="32"/>
        </w:rPr>
        <w:t>且已纳入《德阳市城镇生活污水处理设施建设三年推进方案》。</w:t>
      </w:r>
    </w:p>
    <w:p>
      <w:pPr>
        <w:adjustRightInd w:val="0"/>
        <w:snapToGrid w:val="0"/>
        <w:spacing w:line="560" w:lineRule="exact"/>
        <w:ind w:firstLine="720"/>
        <w:rPr>
          <w:rFonts w:eastAsia="黑体"/>
          <w:sz w:val="32"/>
          <w:szCs w:val="32"/>
        </w:rPr>
      </w:pPr>
      <w:r>
        <w:rPr>
          <w:rFonts w:eastAsia="黑体"/>
          <w:sz w:val="32"/>
          <w:szCs w:val="32"/>
        </w:rPr>
        <w:t>二、项目实施及管理情况</w:t>
      </w:r>
    </w:p>
    <w:p>
      <w:pPr>
        <w:adjustRightInd w:val="0"/>
        <w:snapToGrid w:val="0"/>
        <w:spacing w:line="560" w:lineRule="exact"/>
        <w:ind w:firstLine="720"/>
        <w:rPr>
          <w:rFonts w:eastAsia="楷体_GB2312"/>
          <w:b/>
          <w:sz w:val="32"/>
          <w:szCs w:val="32"/>
          <w:lang w:val="zh-CN"/>
        </w:rPr>
      </w:pPr>
      <w:r>
        <w:rPr>
          <w:rFonts w:eastAsia="仿宋_GB2312"/>
          <w:sz w:val="32"/>
          <w:szCs w:val="32"/>
          <w:lang w:val="zh-CN"/>
        </w:rPr>
        <w:tab/>
      </w:r>
      <w:r>
        <w:rPr>
          <w:rFonts w:eastAsia="楷体_GB2312"/>
          <w:b/>
          <w:sz w:val="32"/>
          <w:szCs w:val="32"/>
          <w:lang w:val="zh-CN"/>
        </w:rPr>
        <w:t>（一）资金计划、到位及使用情况。</w:t>
      </w:r>
    </w:p>
    <w:p>
      <w:pPr>
        <w:adjustRightInd w:val="0"/>
        <w:snapToGrid w:val="0"/>
        <w:spacing w:line="560" w:lineRule="exact"/>
        <w:ind w:firstLine="720"/>
        <w:rPr>
          <w:rFonts w:eastAsia="仿宋_GB2312"/>
          <w:sz w:val="32"/>
          <w:szCs w:val="32"/>
        </w:rPr>
      </w:pPr>
      <w:r>
        <w:rPr>
          <w:rFonts w:eastAsia="楷体_GB2312"/>
          <w:sz w:val="32"/>
          <w:szCs w:val="32"/>
          <w:lang w:val="zh-CN"/>
        </w:rPr>
        <w:t>1．资金计划及到位。</w:t>
      </w:r>
      <w:r>
        <w:rPr>
          <w:rFonts w:eastAsia="仿宋_GB2312"/>
          <w:sz w:val="32"/>
          <w:szCs w:val="32"/>
        </w:rPr>
        <w:t>截至2022年4月</w:t>
      </w:r>
      <w:r>
        <w:rPr>
          <w:rFonts w:hint="eastAsia" w:eastAsia="仿宋_GB2312"/>
          <w:sz w:val="32"/>
          <w:szCs w:val="32"/>
        </w:rPr>
        <w:t>20</w:t>
      </w:r>
      <w:r>
        <w:rPr>
          <w:rFonts w:eastAsia="仿宋_GB2312"/>
          <w:sz w:val="32"/>
          <w:szCs w:val="32"/>
        </w:rPr>
        <w:t>日，省级城乡建设发展专项资金到位</w:t>
      </w:r>
      <w:r>
        <w:rPr>
          <w:rFonts w:hint="eastAsia" w:eastAsia="仿宋_GB2312"/>
          <w:sz w:val="32"/>
          <w:szCs w:val="32"/>
        </w:rPr>
        <w:t>1410</w:t>
      </w:r>
      <w:r>
        <w:rPr>
          <w:rFonts w:eastAsia="仿宋_GB2312"/>
          <w:sz w:val="32"/>
          <w:szCs w:val="32"/>
        </w:rPr>
        <w:t>万元</w:t>
      </w:r>
      <w:r>
        <w:rPr>
          <w:rFonts w:hint="eastAsia" w:eastAsia="仿宋_GB2312"/>
          <w:sz w:val="32"/>
          <w:szCs w:val="32"/>
        </w:rPr>
        <w:t>，共计</w:t>
      </w:r>
      <w:r>
        <w:rPr>
          <w:rFonts w:eastAsia="仿宋_GB2312"/>
          <w:sz w:val="32"/>
          <w:szCs w:val="32"/>
        </w:rPr>
        <w:t>拨付省级城乡建设发展专项资金</w:t>
      </w:r>
      <w:r>
        <w:rPr>
          <w:rFonts w:hint="eastAsia" w:eastAsia="仿宋_GB2312"/>
          <w:sz w:val="32"/>
          <w:szCs w:val="32"/>
        </w:rPr>
        <w:t>1410</w:t>
      </w:r>
      <w:r>
        <w:rPr>
          <w:rFonts w:eastAsia="仿宋_GB2312"/>
          <w:sz w:val="32"/>
          <w:szCs w:val="32"/>
        </w:rPr>
        <w:t>万元。资金到位率100%，</w:t>
      </w:r>
      <w:r>
        <w:rPr>
          <w:rFonts w:eastAsia="仿宋_GB2312"/>
          <w:sz w:val="32"/>
          <w:szCs w:val="32"/>
          <w:lang w:val="zh-CN"/>
        </w:rPr>
        <w:t>到位及时性</w:t>
      </w:r>
      <w:r>
        <w:rPr>
          <w:rFonts w:eastAsia="仿宋_GB2312"/>
          <w:sz w:val="32"/>
          <w:szCs w:val="32"/>
        </w:rPr>
        <w:t>100%，拨付率100%。</w:t>
      </w:r>
    </w:p>
    <w:p>
      <w:pPr>
        <w:numPr>
          <w:ilvl w:val="0"/>
          <w:numId w:val="19"/>
        </w:numPr>
        <w:adjustRightInd w:val="0"/>
        <w:snapToGrid w:val="0"/>
        <w:spacing w:line="560" w:lineRule="exact"/>
        <w:ind w:firstLine="720"/>
        <w:rPr>
          <w:rFonts w:eastAsia="仿宋_GB2312"/>
          <w:sz w:val="32"/>
          <w:szCs w:val="32"/>
          <w:lang w:val="zh-CN"/>
        </w:rPr>
      </w:pPr>
      <w:r>
        <w:rPr>
          <w:rFonts w:eastAsia="楷体_GB2312"/>
          <w:sz w:val="32"/>
          <w:szCs w:val="32"/>
          <w:lang w:val="zh-CN"/>
        </w:rPr>
        <w:t>资金使用。</w:t>
      </w:r>
      <w:r>
        <w:rPr>
          <w:rFonts w:eastAsia="仿宋_GB2312"/>
          <w:sz w:val="32"/>
          <w:szCs w:val="32"/>
        </w:rPr>
        <w:t>绵竹市玉泉镇等9个建制镇污水配套管网一期</w:t>
      </w:r>
      <w:r>
        <w:rPr>
          <w:rFonts w:hint="eastAsia" w:eastAsia="仿宋_GB2312"/>
          <w:sz w:val="32"/>
          <w:szCs w:val="32"/>
        </w:rPr>
        <w:t>项目共计</w:t>
      </w:r>
      <w:r>
        <w:rPr>
          <w:rFonts w:eastAsia="仿宋_GB2312"/>
          <w:sz w:val="32"/>
          <w:szCs w:val="32"/>
        </w:rPr>
        <w:t>安排</w:t>
      </w:r>
      <w:r>
        <w:rPr>
          <w:rFonts w:hint="eastAsia" w:eastAsia="仿宋_GB2312"/>
          <w:sz w:val="32"/>
          <w:szCs w:val="32"/>
        </w:rPr>
        <w:t>1410</w:t>
      </w:r>
      <w:r>
        <w:rPr>
          <w:rFonts w:eastAsia="仿宋_GB2312"/>
          <w:sz w:val="32"/>
          <w:szCs w:val="32"/>
        </w:rPr>
        <w:t>万元，现已拨付</w:t>
      </w:r>
      <w:r>
        <w:rPr>
          <w:rFonts w:hint="eastAsia" w:eastAsia="仿宋_GB2312"/>
          <w:sz w:val="32"/>
          <w:szCs w:val="32"/>
        </w:rPr>
        <w:t>1410</w:t>
      </w:r>
      <w:r>
        <w:rPr>
          <w:rFonts w:eastAsia="仿宋_GB2312"/>
          <w:sz w:val="32"/>
          <w:szCs w:val="32"/>
        </w:rPr>
        <w:t>万元。</w:t>
      </w:r>
      <w:r>
        <w:rPr>
          <w:rFonts w:hint="eastAsia" w:eastAsia="仿宋_GB2312"/>
          <w:sz w:val="32"/>
          <w:szCs w:val="32"/>
        </w:rPr>
        <w:t>该笔</w:t>
      </w:r>
      <w:r>
        <w:rPr>
          <w:rFonts w:eastAsia="仿宋_GB2312"/>
          <w:sz w:val="32"/>
          <w:szCs w:val="32"/>
        </w:rPr>
        <w:t>专项资金的支付范围、支付标准、支付进度、支付依据等均合规合法，未发现其他相关问题。</w:t>
      </w:r>
    </w:p>
    <w:p>
      <w:pPr>
        <w:adjustRightInd w:val="0"/>
        <w:snapToGrid w:val="0"/>
        <w:spacing w:line="560" w:lineRule="exact"/>
        <w:ind w:firstLine="720"/>
        <w:rPr>
          <w:rFonts w:eastAsia="楷体_GB2312"/>
          <w:b/>
          <w:sz w:val="32"/>
          <w:szCs w:val="32"/>
          <w:lang w:val="zh-CN"/>
        </w:rPr>
      </w:pPr>
      <w:r>
        <w:rPr>
          <w:rFonts w:eastAsia="楷体_GB2312"/>
          <w:b/>
          <w:sz w:val="32"/>
          <w:szCs w:val="32"/>
          <w:lang w:val="zh-CN"/>
        </w:rPr>
        <w:t>（二）项目财务管理情况。</w:t>
      </w:r>
    </w:p>
    <w:p>
      <w:pPr>
        <w:ind w:firstLine="640" w:firstLineChars="200"/>
        <w:rPr>
          <w:rFonts w:eastAsia="仿宋_GB2312"/>
          <w:sz w:val="32"/>
          <w:szCs w:val="32"/>
          <w:lang w:val="zh-CN"/>
        </w:rPr>
      </w:pPr>
      <w:r>
        <w:rPr>
          <w:rFonts w:eastAsia="仿宋_GB2312"/>
          <w:sz w:val="32"/>
          <w:szCs w:val="32"/>
          <w:lang w:val="zh-CN"/>
        </w:rPr>
        <w:t>德阳市旌辉投资有限责任公司（以下简称“旌辉公司”）作为德阳市城镇污水处理设施及配套管网项目的建设和运营单位，下设四家子公司，</w:t>
      </w:r>
      <w:r>
        <w:rPr>
          <w:rFonts w:eastAsia="仿宋_GB2312"/>
          <w:sz w:val="32"/>
          <w:szCs w:val="32"/>
        </w:rPr>
        <w:t>其中包含</w:t>
      </w:r>
      <w:r>
        <w:rPr>
          <w:rFonts w:eastAsia="仿宋_GB2312"/>
          <w:sz w:val="32"/>
          <w:szCs w:val="32"/>
          <w:lang w:val="zh-CN"/>
        </w:rPr>
        <w:t>绵竹市旌辉生态环境治理有限公司（绵竹项目）。因项目目前尚处于建设和调试期，暂未办理竣工决算，所以各子公司均未成立财务部，项目建设和调试产生的相关费用暂通过旌辉公司财务</w:t>
      </w:r>
      <w:r>
        <w:rPr>
          <w:rFonts w:hint="eastAsia" w:eastAsia="仿宋_GB2312"/>
          <w:sz w:val="32"/>
          <w:szCs w:val="32"/>
          <w:lang w:val="zh-CN"/>
        </w:rPr>
        <w:t>管理</w:t>
      </w:r>
      <w:r>
        <w:rPr>
          <w:rFonts w:eastAsia="仿宋_GB2312"/>
          <w:sz w:val="32"/>
          <w:szCs w:val="32"/>
          <w:lang w:val="zh-CN"/>
        </w:rPr>
        <w:t>。</w:t>
      </w:r>
    </w:p>
    <w:p>
      <w:pPr>
        <w:adjustRightInd w:val="0"/>
        <w:snapToGrid w:val="0"/>
        <w:spacing w:line="560" w:lineRule="exact"/>
        <w:ind w:firstLine="640" w:firstLineChars="200"/>
        <w:rPr>
          <w:rFonts w:eastAsia="仿宋_GB2312"/>
          <w:sz w:val="32"/>
          <w:szCs w:val="32"/>
          <w:lang w:val="zh-CN"/>
        </w:rPr>
      </w:pPr>
      <w:r>
        <w:rPr>
          <w:rFonts w:eastAsia="仿宋_GB2312"/>
          <w:sz w:val="32"/>
          <w:szCs w:val="32"/>
          <w:lang w:val="zh-CN"/>
        </w:rPr>
        <w:t>旌辉公司财务部根据《企业会计制度</w:t>
      </w:r>
      <w:r>
        <w:rPr>
          <w:rFonts w:hint="eastAsia" w:eastAsia="仿宋_GB2312"/>
          <w:sz w:val="32"/>
          <w:szCs w:val="32"/>
          <w:lang w:val="zh-CN"/>
        </w:rPr>
        <w:t>》《</w:t>
      </w:r>
      <w:r>
        <w:rPr>
          <w:rFonts w:eastAsia="仿宋_GB2312"/>
          <w:sz w:val="32"/>
          <w:szCs w:val="32"/>
          <w:lang w:val="zh-CN"/>
        </w:rPr>
        <w:t>企业会计准则</w:t>
      </w:r>
      <w:r>
        <w:rPr>
          <w:rFonts w:hint="eastAsia" w:eastAsia="仿宋_GB2312"/>
          <w:sz w:val="32"/>
          <w:szCs w:val="32"/>
          <w:lang w:val="zh-CN"/>
        </w:rPr>
        <w:t>》《</w:t>
      </w:r>
      <w:r>
        <w:rPr>
          <w:rFonts w:eastAsia="仿宋_GB2312"/>
          <w:sz w:val="32"/>
          <w:szCs w:val="32"/>
          <w:lang w:val="zh-CN"/>
        </w:rPr>
        <w:t>企业财务规则</w:t>
      </w:r>
      <w:r>
        <w:rPr>
          <w:rFonts w:hint="eastAsia" w:eastAsia="仿宋_GB2312"/>
          <w:sz w:val="32"/>
          <w:szCs w:val="32"/>
          <w:lang w:val="zh-CN"/>
        </w:rPr>
        <w:t>》《</w:t>
      </w:r>
      <w:r>
        <w:rPr>
          <w:rFonts w:eastAsia="仿宋_GB2312"/>
          <w:sz w:val="32"/>
          <w:szCs w:val="32"/>
          <w:lang w:val="zh-CN"/>
        </w:rPr>
        <w:t>中华人民共和国会计法》等</w:t>
      </w:r>
      <w:r>
        <w:rPr>
          <w:rFonts w:hint="eastAsia" w:eastAsia="仿宋_GB2312"/>
          <w:sz w:val="32"/>
          <w:szCs w:val="32"/>
          <w:lang w:val="zh-CN"/>
        </w:rPr>
        <w:t>法律法规</w:t>
      </w:r>
      <w:r>
        <w:rPr>
          <w:rFonts w:eastAsia="仿宋_GB2312"/>
          <w:sz w:val="32"/>
          <w:szCs w:val="32"/>
          <w:lang w:val="zh-CN"/>
        </w:rPr>
        <w:t>的有关规定，制定财务管理制度，通过设置财务分析部，进行财务核算、监督和管理。关于德阳市城镇污水处理设施及配套管网项目，旌辉公司严格执行财务管理制度，及时进行财务处理、严格规范会计核算。因特许经营权属于无形资产，所以公司目前财务处理上将项目建设费用列在会计科目“无形资产—经营权“科目中核算，通过下设“一类科目”核算土建、设备建设支出，通过下设“二类科目”核算设计、勘察、建管、环评、监理、图审、测绘等建设期间二类费用，通过下设“调试费”核算调试期间的人工、动力、运输、药剂、检测仪器设备、水费等调试费用。该项目依照法律、行政法规和国家财政行政主管部门的规定建立财务、会计制度，按国家和有关部门的规定进行审计，报送财政、严格执行财务管理制度、财务处理及时、会计核算规范。</w:t>
      </w:r>
    </w:p>
    <w:p>
      <w:pPr>
        <w:adjustRightInd w:val="0"/>
        <w:snapToGrid w:val="0"/>
        <w:spacing w:line="560" w:lineRule="exact"/>
        <w:ind w:firstLine="720"/>
        <w:rPr>
          <w:rFonts w:eastAsia="楷体_GB2312"/>
          <w:b/>
          <w:sz w:val="32"/>
          <w:szCs w:val="32"/>
          <w:lang w:val="zh-CN"/>
        </w:rPr>
      </w:pPr>
      <w:r>
        <w:rPr>
          <w:rFonts w:eastAsia="楷体_GB2312"/>
          <w:b/>
          <w:sz w:val="32"/>
          <w:szCs w:val="32"/>
          <w:lang w:val="zh-CN"/>
        </w:rPr>
        <w:t>（三）项目组织实施情况。</w:t>
      </w:r>
    </w:p>
    <w:p>
      <w:pPr>
        <w:ind w:firstLine="640" w:firstLineChars="200"/>
        <w:rPr>
          <w:rFonts w:eastAsia="仿宋_GB2312"/>
          <w:sz w:val="32"/>
          <w:szCs w:val="32"/>
        </w:rPr>
      </w:pPr>
      <w:r>
        <w:rPr>
          <w:rFonts w:eastAsia="仿宋_GB2312"/>
          <w:sz w:val="32"/>
          <w:szCs w:val="32"/>
        </w:rPr>
        <w:t>该项目设置项目负责人一名，甲方现场代表一名；委托具有专业项目管理资质的代建单位一家，具有专业监理资质的监理单位一家，共同对该项目进行监管。严格执行招投标、安全质量、竣工验收等各项管理制度。该项目严格遵循基本建设程序</w:t>
      </w:r>
      <w:r>
        <w:rPr>
          <w:rFonts w:hint="eastAsia" w:eastAsia="仿宋_GB2312"/>
          <w:sz w:val="32"/>
          <w:szCs w:val="32"/>
        </w:rPr>
        <w:t>，</w:t>
      </w:r>
      <w:r>
        <w:rPr>
          <w:rFonts w:eastAsia="仿宋_GB2312"/>
          <w:sz w:val="32"/>
          <w:szCs w:val="32"/>
        </w:rPr>
        <w:t>先规划研究，后设计施工，过程中严格控制计划管理。</w:t>
      </w:r>
    </w:p>
    <w:p>
      <w:pPr>
        <w:adjustRightInd w:val="0"/>
        <w:snapToGrid w:val="0"/>
        <w:spacing w:line="560" w:lineRule="exact"/>
        <w:ind w:firstLine="720"/>
        <w:rPr>
          <w:rFonts w:eastAsia="仿宋_GB2312"/>
          <w:sz w:val="32"/>
          <w:szCs w:val="32"/>
          <w:lang w:val="zh-CN"/>
        </w:rPr>
      </w:pPr>
      <w:r>
        <w:rPr>
          <w:rFonts w:eastAsia="黑体"/>
          <w:sz w:val="32"/>
          <w:szCs w:val="32"/>
        </w:rPr>
        <w:t>三、项目绩效情况</w:t>
      </w:r>
      <w:r>
        <w:rPr>
          <w:rFonts w:eastAsia="仿宋_GB2312"/>
          <w:sz w:val="32"/>
          <w:szCs w:val="32"/>
          <w:lang w:val="zh-CN"/>
        </w:rPr>
        <w:tab/>
      </w:r>
    </w:p>
    <w:p>
      <w:pPr>
        <w:adjustRightInd w:val="0"/>
        <w:snapToGrid w:val="0"/>
        <w:spacing w:line="560" w:lineRule="exact"/>
        <w:ind w:firstLine="720"/>
        <w:rPr>
          <w:rFonts w:eastAsia="楷体_GB2312"/>
          <w:b/>
          <w:sz w:val="32"/>
          <w:szCs w:val="32"/>
          <w:lang w:val="zh-CN"/>
        </w:rPr>
      </w:pPr>
      <w:r>
        <w:rPr>
          <w:rFonts w:eastAsia="楷体_GB2312"/>
          <w:b/>
          <w:sz w:val="32"/>
          <w:szCs w:val="32"/>
          <w:lang w:val="zh-CN"/>
        </w:rPr>
        <w:t>（一）项目完成情况。</w:t>
      </w:r>
    </w:p>
    <w:p>
      <w:pPr>
        <w:ind w:firstLine="640" w:firstLineChars="200"/>
        <w:rPr>
          <w:rFonts w:eastAsia="仿宋_GB2312"/>
          <w:sz w:val="32"/>
          <w:szCs w:val="32"/>
          <w:lang w:val="zh-CN"/>
        </w:rPr>
      </w:pPr>
      <w:r>
        <w:rPr>
          <w:rFonts w:eastAsia="仿宋_GB2312"/>
          <w:sz w:val="32"/>
          <w:szCs w:val="32"/>
        </w:rPr>
        <w:t>绵竹市玉泉镇等9个建制镇污水配套管网一期</w:t>
      </w:r>
      <w:r>
        <w:rPr>
          <w:rFonts w:hint="eastAsia" w:eastAsia="仿宋_GB2312"/>
          <w:sz w:val="32"/>
          <w:szCs w:val="32"/>
        </w:rPr>
        <w:t>项目</w:t>
      </w:r>
      <w:r>
        <w:rPr>
          <w:rFonts w:eastAsia="仿宋_GB2312"/>
          <w:sz w:val="32"/>
          <w:szCs w:val="32"/>
        </w:rPr>
        <w:t>共计新建镇乡污水主管网41公里以及二三级管网40公里，目前均已正常通水并正常运营维护。</w:t>
      </w:r>
    </w:p>
    <w:p>
      <w:pPr>
        <w:numPr>
          <w:ilvl w:val="0"/>
          <w:numId w:val="20"/>
        </w:numPr>
        <w:adjustRightInd w:val="0"/>
        <w:snapToGrid w:val="0"/>
        <w:spacing w:line="560" w:lineRule="exact"/>
        <w:ind w:firstLine="720"/>
        <w:rPr>
          <w:rFonts w:eastAsia="楷体_GB2312"/>
          <w:b/>
          <w:sz w:val="32"/>
          <w:szCs w:val="32"/>
          <w:lang w:val="zh-CN"/>
        </w:rPr>
      </w:pPr>
      <w:r>
        <w:rPr>
          <w:rFonts w:eastAsia="楷体_GB2312"/>
          <w:b/>
          <w:sz w:val="32"/>
          <w:szCs w:val="32"/>
          <w:lang w:val="zh-CN"/>
        </w:rPr>
        <w:t>项目效益情况。</w:t>
      </w:r>
    </w:p>
    <w:p>
      <w:pPr>
        <w:adjustRightInd w:val="0"/>
        <w:snapToGrid w:val="0"/>
        <w:spacing w:line="560" w:lineRule="exact"/>
        <w:ind w:firstLine="720"/>
        <w:rPr>
          <w:rFonts w:eastAsia="仿宋_GB2312"/>
          <w:sz w:val="32"/>
          <w:szCs w:val="32"/>
        </w:rPr>
      </w:pPr>
      <w:r>
        <w:rPr>
          <w:rFonts w:eastAsia="仿宋_GB2312"/>
          <w:b/>
          <w:bCs/>
          <w:sz w:val="32"/>
          <w:szCs w:val="32"/>
          <w:lang w:val="zh-CN"/>
        </w:rPr>
        <w:t>经济效益：</w:t>
      </w:r>
      <w:r>
        <w:rPr>
          <w:rFonts w:eastAsia="仿宋_GB2312"/>
          <w:sz w:val="32"/>
          <w:szCs w:val="32"/>
          <w:lang w:val="zh-CN"/>
        </w:rPr>
        <w:t>本项目并无显著的直接投资效益，但是，其投资的间接经济效益较为重要，主要是通过减少污水污染对社会造成的经济损失而表现出来。排水系统及污水处理设施建设的投入</w:t>
      </w:r>
      <w:r>
        <w:rPr>
          <w:rFonts w:eastAsia="仿宋_GB2312"/>
          <w:sz w:val="32"/>
          <w:szCs w:val="32"/>
        </w:rPr>
        <w:t>可以减少因水污染造成的健康损失、地价损失、农业损失、工业损失。</w:t>
      </w:r>
    </w:p>
    <w:p>
      <w:pPr>
        <w:adjustRightInd w:val="0"/>
        <w:snapToGrid w:val="0"/>
        <w:spacing w:line="560" w:lineRule="exact"/>
        <w:ind w:firstLine="720"/>
        <w:rPr>
          <w:rFonts w:eastAsia="仿宋_GB2312"/>
          <w:sz w:val="32"/>
          <w:szCs w:val="32"/>
        </w:rPr>
      </w:pPr>
      <w:r>
        <w:rPr>
          <w:rFonts w:eastAsia="仿宋_GB2312"/>
          <w:b/>
          <w:bCs/>
          <w:sz w:val="32"/>
          <w:szCs w:val="32"/>
        </w:rPr>
        <w:t>社会效益：</w:t>
      </w:r>
      <w:r>
        <w:rPr>
          <w:rFonts w:eastAsia="仿宋_GB2312"/>
          <w:sz w:val="32"/>
          <w:szCs w:val="32"/>
        </w:rPr>
        <w:t>本项目实施后，有效地解决了绵竹市各场镇水污染问题，为城市服务，为社会服务，可改善城市市容，提高卫生水平，保护人民身体健康，保护绵竹市美丽的自然环境。可见，其社会效益是显著的。</w:t>
      </w:r>
    </w:p>
    <w:p>
      <w:pPr>
        <w:adjustRightInd w:val="0"/>
        <w:snapToGrid w:val="0"/>
        <w:spacing w:line="560" w:lineRule="exact"/>
        <w:ind w:firstLine="720"/>
        <w:rPr>
          <w:rFonts w:eastAsia="仿宋_GB2312"/>
          <w:sz w:val="32"/>
          <w:szCs w:val="32"/>
          <w:lang w:val="zh-CN"/>
        </w:rPr>
      </w:pPr>
      <w:r>
        <w:rPr>
          <w:rFonts w:eastAsia="仿宋_GB2312"/>
          <w:b/>
          <w:bCs/>
          <w:sz w:val="32"/>
          <w:szCs w:val="32"/>
        </w:rPr>
        <w:t>生态效益与可持续效益：</w:t>
      </w:r>
      <w:r>
        <w:rPr>
          <w:rFonts w:eastAsia="仿宋_GB2312"/>
          <w:sz w:val="32"/>
          <w:szCs w:val="32"/>
          <w:lang w:val="zh-CN"/>
        </w:rPr>
        <w:t>该项目建成后，每年截留大量的污染物，对改善区域水环境具有积极的作用，同时提高区域内人民的生活质量，改善人们的生活环境有明显的促进作用。同时，对改善下游河流以及城区的水环境质量都有十分积极的作用，带来的生态效益与可持续效益是明显的。</w:t>
      </w:r>
    </w:p>
    <w:p>
      <w:pPr>
        <w:adjustRightInd w:val="0"/>
        <w:snapToGrid w:val="0"/>
        <w:spacing w:line="560" w:lineRule="exact"/>
        <w:ind w:firstLine="720"/>
        <w:rPr>
          <w:rFonts w:eastAsia="黑体"/>
          <w:sz w:val="32"/>
          <w:szCs w:val="32"/>
        </w:rPr>
      </w:pPr>
      <w:r>
        <w:rPr>
          <w:rFonts w:eastAsia="黑体"/>
          <w:sz w:val="32"/>
          <w:szCs w:val="32"/>
        </w:rPr>
        <w:t>四、问题及建议</w:t>
      </w:r>
    </w:p>
    <w:p>
      <w:pPr>
        <w:adjustRightInd w:val="0"/>
        <w:snapToGrid w:val="0"/>
        <w:spacing w:line="560"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lang w:val="zh-CN"/>
        </w:rPr>
        <w:t>（一）评价结论。</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rPr>
        <w:t>该项目的实施具有很大的社会积极作用，并取得了较为满意的效果。</w:t>
      </w:r>
    </w:p>
    <w:p>
      <w:pPr>
        <w:adjustRightInd w:val="0"/>
        <w:snapToGrid w:val="0"/>
        <w:spacing w:line="560"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lang w:val="zh-CN"/>
        </w:rPr>
        <w:t>（</w:t>
      </w:r>
      <w:r>
        <w:rPr>
          <w:rFonts w:hint="eastAsia" w:ascii="仿宋_GB2312" w:hAnsi="宋体" w:eastAsia="仿宋_GB2312"/>
          <w:b/>
          <w:bCs/>
          <w:sz w:val="32"/>
          <w:szCs w:val="32"/>
        </w:rPr>
        <w:t>二</w:t>
      </w:r>
      <w:r>
        <w:rPr>
          <w:rFonts w:hint="eastAsia" w:ascii="仿宋_GB2312" w:hAnsi="宋体" w:eastAsia="仿宋_GB2312"/>
          <w:b/>
          <w:bCs/>
          <w:sz w:val="32"/>
          <w:szCs w:val="32"/>
          <w:lang w:val="zh-CN"/>
        </w:rPr>
        <w:t>）存在的问题。</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rPr>
        <w:t>无</w:t>
      </w:r>
    </w:p>
    <w:p>
      <w:pPr>
        <w:adjustRightInd w:val="0"/>
        <w:snapToGrid w:val="0"/>
        <w:spacing w:line="560" w:lineRule="exact"/>
        <w:ind w:firstLine="720"/>
        <w:rPr>
          <w:rFonts w:ascii="仿宋_GB2312" w:hAnsi="宋体" w:eastAsia="仿宋_GB2312"/>
          <w:b/>
          <w:bCs/>
          <w:sz w:val="32"/>
          <w:szCs w:val="32"/>
          <w:lang w:val="zh-CN"/>
        </w:rPr>
      </w:pPr>
      <w:r>
        <w:rPr>
          <w:rFonts w:hint="eastAsia" w:ascii="仿宋_GB2312" w:hAnsi="宋体" w:eastAsia="仿宋_GB2312"/>
          <w:b/>
          <w:bCs/>
          <w:sz w:val="32"/>
          <w:szCs w:val="32"/>
          <w:lang w:val="zh-CN"/>
        </w:rPr>
        <w:t>（三）相关建议。</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182" w:type="dxa"/>
        <w:jc w:val="center"/>
        <w:tblLayout w:type="autofit"/>
        <w:tblCellMar>
          <w:top w:w="0" w:type="dxa"/>
          <w:left w:w="108" w:type="dxa"/>
          <w:bottom w:w="0" w:type="dxa"/>
          <w:right w:w="108" w:type="dxa"/>
        </w:tblCellMar>
      </w:tblPr>
      <w:tblGrid>
        <w:gridCol w:w="1080"/>
        <w:gridCol w:w="1059"/>
        <w:gridCol w:w="1241"/>
        <w:gridCol w:w="1080"/>
        <w:gridCol w:w="260"/>
        <w:gridCol w:w="2239"/>
        <w:gridCol w:w="2223"/>
      </w:tblGrid>
      <w:tr>
        <w:tblPrEx>
          <w:tblCellMar>
            <w:top w:w="0" w:type="dxa"/>
            <w:left w:w="108" w:type="dxa"/>
            <w:bottom w:w="0" w:type="dxa"/>
            <w:right w:w="108" w:type="dxa"/>
          </w:tblCellMar>
        </w:tblPrEx>
        <w:trPr>
          <w:trHeight w:val="405" w:hRule="atLeast"/>
          <w:jc w:val="center"/>
        </w:trPr>
        <w:tc>
          <w:tcPr>
            <w:tcW w:w="9182"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182"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59"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41"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6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239"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223"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3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80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绵竹市玉泉镇等9个建制镇污水配套管网一期项目</w:t>
            </w:r>
          </w:p>
        </w:tc>
      </w:tr>
      <w:tr>
        <w:tblPrEx>
          <w:tblCellMar>
            <w:top w:w="0" w:type="dxa"/>
            <w:left w:w="108" w:type="dxa"/>
            <w:bottom w:w="0" w:type="dxa"/>
            <w:right w:w="108" w:type="dxa"/>
          </w:tblCellMar>
        </w:tblPrEx>
        <w:trPr>
          <w:trHeight w:val="270" w:hRule="atLeast"/>
          <w:jc w:val="center"/>
        </w:trPr>
        <w:tc>
          <w:tcPr>
            <w:tcW w:w="33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80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2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3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542万元</w:t>
            </w:r>
          </w:p>
        </w:tc>
        <w:tc>
          <w:tcPr>
            <w:tcW w:w="223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542万元</w:t>
            </w:r>
          </w:p>
        </w:tc>
      </w:tr>
      <w:tr>
        <w:tblPrEx>
          <w:tblCellMar>
            <w:top w:w="0" w:type="dxa"/>
            <w:left w:w="108" w:type="dxa"/>
            <w:bottom w:w="0" w:type="dxa"/>
            <w:right w:w="108" w:type="dxa"/>
          </w:tblCellMar>
        </w:tblPrEx>
        <w:trPr>
          <w:trHeight w:val="57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3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542万元</w:t>
            </w:r>
          </w:p>
        </w:tc>
        <w:tc>
          <w:tcPr>
            <w:tcW w:w="2239"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其中：财政拨款</w:t>
            </w:r>
          </w:p>
        </w:tc>
        <w:tc>
          <w:tcPr>
            <w:tcW w:w="2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542万元</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3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239"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1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36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4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97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6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主要建设以上9个镇乡的污水收集主管网及二三级支管网，共计新建主管网41公里以及二三级管网40公里。</w:t>
            </w:r>
          </w:p>
        </w:tc>
        <w:tc>
          <w:tcPr>
            <w:tcW w:w="446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主要建设以上9个镇乡的污水收集主管网及二三级支管网，共计新建主管网41公里以及二三级管网40公里。</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059"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2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241"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项目涉及镇乡数量</w:t>
            </w:r>
          </w:p>
        </w:tc>
        <w:tc>
          <w:tcPr>
            <w:tcW w:w="2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9个镇乡</w:t>
            </w:r>
          </w:p>
        </w:tc>
        <w:tc>
          <w:tcPr>
            <w:tcW w:w="2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9个镇乡</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4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管网长度</w:t>
            </w:r>
          </w:p>
        </w:tc>
        <w:tc>
          <w:tcPr>
            <w:tcW w:w="2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40公里</w:t>
            </w:r>
          </w:p>
        </w:tc>
        <w:tc>
          <w:tcPr>
            <w:tcW w:w="2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40公里</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4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2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w:t>
            </w:r>
          </w:p>
        </w:tc>
        <w:tc>
          <w:tcPr>
            <w:tcW w:w="2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2021年5月20日</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5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4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费用支付</w:t>
            </w:r>
          </w:p>
        </w:tc>
        <w:tc>
          <w:tcPr>
            <w:tcW w:w="2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868万元</w:t>
            </w:r>
          </w:p>
        </w:tc>
        <w:tc>
          <w:tcPr>
            <w:tcW w:w="2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868万元</w:t>
            </w:r>
          </w:p>
        </w:tc>
      </w:tr>
      <w:tr>
        <w:tblPrEx>
          <w:tblCellMar>
            <w:top w:w="0" w:type="dxa"/>
            <w:left w:w="108" w:type="dxa"/>
            <w:bottom w:w="0" w:type="dxa"/>
            <w:right w:w="108" w:type="dxa"/>
          </w:tblCellMar>
        </w:tblPrEx>
        <w:trPr>
          <w:trHeight w:val="66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24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降低污水污染损失</w:t>
            </w:r>
          </w:p>
        </w:tc>
        <w:tc>
          <w:tcPr>
            <w:tcW w:w="2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减少污水污染对社会造成的经济损失</w:t>
            </w:r>
          </w:p>
        </w:tc>
        <w:tc>
          <w:tcPr>
            <w:tcW w:w="2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减少污水污染对社会造成的经济损失</w:t>
            </w:r>
          </w:p>
        </w:tc>
      </w:tr>
      <w:tr>
        <w:tblPrEx>
          <w:tblCellMar>
            <w:top w:w="0" w:type="dxa"/>
            <w:left w:w="108" w:type="dxa"/>
            <w:bottom w:w="0" w:type="dxa"/>
            <w:right w:w="108" w:type="dxa"/>
          </w:tblCellMar>
        </w:tblPrEx>
        <w:trPr>
          <w:trHeight w:val="112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4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改善区域环境</w:t>
            </w:r>
          </w:p>
        </w:tc>
        <w:tc>
          <w:tcPr>
            <w:tcW w:w="2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解决绵竹市各场镇水污染问题，改善城市市容，提高卫生水平，保护人民身体健康</w:t>
            </w:r>
          </w:p>
        </w:tc>
        <w:tc>
          <w:tcPr>
            <w:tcW w:w="2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解决绵竹市各场镇水污染问题，改善城市市容，提高卫生水平，保护人民身体健康</w:t>
            </w:r>
          </w:p>
        </w:tc>
      </w:tr>
      <w:tr>
        <w:tblPrEx>
          <w:tblCellMar>
            <w:top w:w="0" w:type="dxa"/>
            <w:left w:w="108" w:type="dxa"/>
            <w:bottom w:w="0" w:type="dxa"/>
            <w:right w:w="108" w:type="dxa"/>
          </w:tblCellMar>
        </w:tblPrEx>
        <w:trPr>
          <w:trHeight w:val="8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5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2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群众满意度</w:t>
            </w:r>
          </w:p>
        </w:tc>
        <w:tc>
          <w:tcPr>
            <w:tcW w:w="22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22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jc w:val="center"/>
        <w:rPr>
          <w:rFonts w:ascii="宋体" w:hAnsi="宋体" w:cs="宋体"/>
          <w:b/>
          <w:color w:val="000000"/>
          <w:kern w:val="0"/>
          <w:sz w:val="44"/>
          <w:szCs w:val="44"/>
        </w:rPr>
      </w:pPr>
      <w:r>
        <w:rPr>
          <w:rFonts w:hint="eastAsia" w:ascii="宋体" w:hAnsi="宋体" w:cs="宋体"/>
          <w:b/>
          <w:color w:val="000000"/>
          <w:kern w:val="0"/>
          <w:sz w:val="44"/>
          <w:szCs w:val="44"/>
        </w:rPr>
        <w:t>项目支出绩效自评报告</w:t>
      </w:r>
    </w:p>
    <w:p>
      <w:pPr>
        <w:spacing w:line="560" w:lineRule="exact"/>
        <w:jc w:val="center"/>
        <w:rPr>
          <w:rFonts w:ascii="仿宋" w:hAnsi="Calibri" w:eastAsia="仿宋"/>
          <w:sz w:val="32"/>
          <w:szCs w:val="22"/>
        </w:rPr>
      </w:pPr>
      <w:r>
        <w:rPr>
          <w:rFonts w:hint="eastAsia" w:ascii="仿宋" w:hAnsi="Calibri" w:eastAsia="仿宋"/>
          <w:sz w:val="32"/>
          <w:szCs w:val="22"/>
        </w:rPr>
        <w:t>（汉旺镇、孝德镇、新市镇三个镇乡提标升级项目）</w:t>
      </w:r>
    </w:p>
    <w:p>
      <w:pPr>
        <w:spacing w:line="560" w:lineRule="exact"/>
        <w:jc w:val="left"/>
        <w:rPr>
          <w:rFonts w:eastAsia="仿宋"/>
          <w:sz w:val="32"/>
          <w:szCs w:val="22"/>
          <w:lang w:eastAsia="zh-TW" w:bidi="zh-TW"/>
        </w:rPr>
      </w:pPr>
    </w:p>
    <w:p>
      <w:pPr>
        <w:ind w:firstLine="640" w:firstLineChars="200"/>
        <w:rPr>
          <w:rFonts w:ascii="黑体" w:hAnsi="黑体" w:eastAsia="黑体"/>
          <w:sz w:val="32"/>
          <w:szCs w:val="32"/>
        </w:rPr>
      </w:pPr>
      <w:r>
        <w:rPr>
          <w:rFonts w:ascii="黑体" w:hAnsi="黑体" w:eastAsia="黑体"/>
          <w:sz w:val="32"/>
          <w:szCs w:val="32"/>
        </w:rPr>
        <w:t>一、基本情况</w:t>
      </w:r>
    </w:p>
    <w:p>
      <w:pPr>
        <w:ind w:firstLine="642" w:firstLineChars="200"/>
        <w:rPr>
          <w:rFonts w:ascii="仿宋" w:hAnsi="仿宋" w:eastAsia="仿宋"/>
          <w:b/>
          <w:sz w:val="32"/>
          <w:szCs w:val="32"/>
        </w:rPr>
      </w:pPr>
      <w:r>
        <w:rPr>
          <w:rFonts w:ascii="仿宋" w:hAnsi="仿宋" w:eastAsia="仿宋"/>
          <w:b/>
          <w:sz w:val="32"/>
          <w:szCs w:val="32"/>
        </w:rPr>
        <w:t>（一）项目概况。</w:t>
      </w:r>
    </w:p>
    <w:p>
      <w:pPr>
        <w:ind w:firstLine="640" w:firstLineChars="200"/>
        <w:rPr>
          <w:rFonts w:ascii="仿宋" w:hAnsi="仿宋" w:eastAsia="仿宋"/>
          <w:sz w:val="32"/>
          <w:szCs w:val="32"/>
        </w:rPr>
      </w:pPr>
      <w:r>
        <w:rPr>
          <w:rFonts w:ascii="仿宋" w:hAnsi="仿宋" w:eastAsia="仿宋"/>
          <w:sz w:val="32"/>
          <w:szCs w:val="32"/>
        </w:rPr>
        <w:t>汉旺镇污水处理厂位于绵竹市汉旺镇香山社区，新镇区汉兴路与兴业路交叉口东南侧。厂区占地面积9.7亩，设计污水处理能力为4000m</w:t>
      </w:r>
      <w:r>
        <w:rPr>
          <w:rFonts w:ascii="Calibri" w:hAnsi="Calibri" w:eastAsia="仿宋" w:cs="Calibri"/>
          <w:sz w:val="32"/>
          <w:szCs w:val="32"/>
        </w:rPr>
        <w:t>³</w:t>
      </w:r>
      <w:r>
        <w:rPr>
          <w:rFonts w:ascii="仿宋" w:hAnsi="仿宋" w:eastAsia="仿宋"/>
          <w:sz w:val="32"/>
          <w:szCs w:val="32"/>
        </w:rPr>
        <w:t>/天，污水处理工艺采用BBR+MBR工艺，主要处理汉旺新城区3.75平方公里范围内的企、事业单位及居民区的生活污水。该厂为“5.12汶川大地震”江苏省无锡市援建项目，投资规模2469.57万元。于2010年完全竣工，2013年投入运行，2019年10月由绵竹市城市供水服务中心投资1197.62万元进行提标升级，提标升级后外排废水达到《四川省岷江、沱江流域水污染物排放标准》DB51/2311-2016城镇污水处理厂排放标准后，排入宋堰渠，由宋堰渠汇入绵远河。</w:t>
      </w:r>
    </w:p>
    <w:p>
      <w:pPr>
        <w:ind w:firstLine="640" w:firstLineChars="200"/>
        <w:rPr>
          <w:rFonts w:ascii="仿宋" w:hAnsi="仿宋" w:eastAsia="仿宋"/>
          <w:sz w:val="32"/>
          <w:szCs w:val="32"/>
        </w:rPr>
      </w:pPr>
      <w:r>
        <w:rPr>
          <w:rFonts w:ascii="仿宋" w:hAnsi="仿宋" w:eastAsia="仿宋"/>
          <w:sz w:val="32"/>
          <w:szCs w:val="32"/>
        </w:rPr>
        <w:t>新市镇污水处理厂位于绵竹市新市镇下东林村9组，场镇东南方约1.5km处，占地面积21.7亩，设计处理能力为1500m</w:t>
      </w:r>
      <w:r>
        <w:rPr>
          <w:rFonts w:ascii="Calibri" w:hAnsi="Calibri" w:eastAsia="仿宋" w:cs="Calibri"/>
          <w:sz w:val="32"/>
          <w:szCs w:val="32"/>
        </w:rPr>
        <w:t>³</w:t>
      </w:r>
      <w:r>
        <w:rPr>
          <w:rFonts w:ascii="仿宋" w:hAnsi="仿宋" w:eastAsia="仿宋"/>
          <w:sz w:val="32"/>
          <w:szCs w:val="32"/>
        </w:rPr>
        <w:t>/天，污水处理工艺采用A</w:t>
      </w:r>
      <w:r>
        <w:rPr>
          <w:rFonts w:ascii="Calibri" w:hAnsi="Calibri" w:eastAsia="仿宋" w:cs="Calibri"/>
          <w:sz w:val="32"/>
          <w:szCs w:val="32"/>
        </w:rPr>
        <w:t>²</w:t>
      </w:r>
      <w:r>
        <w:rPr>
          <w:rFonts w:ascii="仿宋" w:hAnsi="仿宋" w:eastAsia="仿宋"/>
          <w:sz w:val="32"/>
          <w:szCs w:val="32"/>
        </w:rPr>
        <w:t>O+BBR工艺，主要处理新市镇新胜社区的生活污水。该厂为“5.12汶川大地震”江苏省南通市援建项目，投资规模873.27万元。2009年9月项目正式开工建设，并于2010年8月竣工投入生产。该厂于2019年10月由绵竹市城市供水服务中心投资698.04万元进行提标升级，外排废水达到《四川省岷江、沱江流域水污染物排放标准》DB51/2311-2016中城镇污水处理厂排放标准后，排入石亭江。</w:t>
      </w:r>
    </w:p>
    <w:p>
      <w:pPr>
        <w:ind w:firstLine="640" w:firstLineChars="200"/>
        <w:rPr>
          <w:rFonts w:ascii="仿宋" w:hAnsi="仿宋" w:eastAsia="仿宋"/>
          <w:sz w:val="32"/>
          <w:szCs w:val="32"/>
        </w:rPr>
      </w:pPr>
      <w:r>
        <w:rPr>
          <w:rFonts w:ascii="仿宋" w:hAnsi="仿宋" w:eastAsia="仿宋"/>
          <w:sz w:val="32"/>
          <w:szCs w:val="32"/>
        </w:rPr>
        <w:t>孝德镇污水处理厂项目位于绵竹市孝德镇高兴村。厂区占地面积4.0亩，设计处理能力为1200m</w:t>
      </w:r>
      <w:r>
        <w:rPr>
          <w:rFonts w:ascii="Calibri" w:hAnsi="Calibri" w:eastAsia="仿宋" w:cs="Calibri"/>
          <w:sz w:val="32"/>
          <w:szCs w:val="32"/>
        </w:rPr>
        <w:t>³</w:t>
      </w:r>
      <w:r>
        <w:rPr>
          <w:rFonts w:ascii="仿宋" w:hAnsi="仿宋" w:eastAsia="仿宋"/>
          <w:sz w:val="32"/>
          <w:szCs w:val="32"/>
        </w:rPr>
        <w:t>/天，污水处理工艺采用A</w:t>
      </w:r>
      <w:r>
        <w:rPr>
          <w:rFonts w:ascii="Calibri" w:hAnsi="Calibri" w:eastAsia="仿宋" w:cs="Calibri"/>
          <w:sz w:val="32"/>
          <w:szCs w:val="32"/>
        </w:rPr>
        <w:t>²</w:t>
      </w:r>
      <w:r>
        <w:rPr>
          <w:rFonts w:ascii="仿宋" w:hAnsi="仿宋" w:eastAsia="仿宋"/>
          <w:sz w:val="32"/>
          <w:szCs w:val="32"/>
        </w:rPr>
        <w:t>O+BBR工艺，主要处理孝德镇新、老城区的生活污水。该厂由绵竹市金申投资集团有限公司建设，投资规模1000万元。2016年2月项目正式开工建设，2017年1月竣工投入生产，2019年10月由绵竹市城市供水服务中心投资498.69万元进行提标升级，提标升级后外排废水达到《四川省岷江、沱江流域水污染物排放标准》DB51/2311-2016城镇污水处理厂排放标准后，排入马尾河。</w:t>
      </w:r>
    </w:p>
    <w:p>
      <w:pPr>
        <w:ind w:firstLine="642" w:firstLineChars="200"/>
        <w:rPr>
          <w:rFonts w:ascii="仿宋" w:hAnsi="仿宋" w:eastAsia="仿宋"/>
          <w:b/>
          <w:sz w:val="32"/>
          <w:szCs w:val="32"/>
        </w:rPr>
      </w:pPr>
      <w:r>
        <w:rPr>
          <w:rFonts w:hint="eastAsia" w:ascii="仿宋" w:hAnsi="仿宋" w:eastAsia="仿宋"/>
          <w:b/>
          <w:sz w:val="32"/>
          <w:szCs w:val="32"/>
        </w:rPr>
        <w:t>（二）</w:t>
      </w:r>
      <w:r>
        <w:rPr>
          <w:rFonts w:ascii="仿宋" w:hAnsi="仿宋" w:eastAsia="仿宋"/>
          <w:b/>
          <w:sz w:val="32"/>
          <w:szCs w:val="32"/>
        </w:rPr>
        <w:t>项目绩效目标。</w:t>
      </w:r>
    </w:p>
    <w:p>
      <w:pPr>
        <w:ind w:firstLine="640" w:firstLineChars="200"/>
        <w:rPr>
          <w:rFonts w:ascii="仿宋" w:hAnsi="仿宋" w:eastAsia="仿宋"/>
          <w:sz w:val="32"/>
          <w:szCs w:val="32"/>
        </w:rPr>
      </w:pPr>
      <w:r>
        <w:rPr>
          <w:rFonts w:ascii="仿宋" w:hAnsi="仿宋" w:eastAsia="仿宋"/>
          <w:sz w:val="32"/>
          <w:szCs w:val="32"/>
        </w:rPr>
        <w:t>汉旺镇污水处理厂、新市镇污水处理厂、孝德镇污水处理厂提标升级项目2020年完成投资2000万元，2021年1-6月完成投资4万元，于2019年10月开始施工改造，2019年12月达到通水条件。</w:t>
      </w:r>
    </w:p>
    <w:p>
      <w:pPr>
        <w:ind w:firstLine="640" w:firstLineChars="200"/>
        <w:rPr>
          <w:rFonts w:ascii="黑体" w:hAnsi="黑体" w:eastAsia="黑体"/>
          <w:sz w:val="32"/>
          <w:szCs w:val="32"/>
        </w:rPr>
      </w:pPr>
      <w:r>
        <w:rPr>
          <w:rFonts w:ascii="黑体" w:hAnsi="黑体" w:eastAsia="黑体"/>
          <w:sz w:val="32"/>
          <w:szCs w:val="32"/>
        </w:rPr>
        <w:t>二、项目实施及管理情况</w:t>
      </w:r>
    </w:p>
    <w:p>
      <w:pPr>
        <w:ind w:firstLine="640" w:firstLineChars="200"/>
        <w:rPr>
          <w:rFonts w:ascii="仿宋" w:hAnsi="仿宋" w:eastAsia="仿宋"/>
          <w:sz w:val="32"/>
          <w:szCs w:val="32"/>
        </w:rPr>
      </w:pPr>
      <w:r>
        <w:rPr>
          <w:rFonts w:ascii="仿宋" w:hAnsi="仿宋" w:eastAsia="仿宋"/>
          <w:sz w:val="32"/>
          <w:szCs w:val="32"/>
        </w:rPr>
        <w:t>9月12日，经评标专家评审，确定中选候选人，并于9月16日，在四川省公</w:t>
      </w:r>
      <w:r>
        <w:rPr>
          <w:rFonts w:hint="eastAsia" w:ascii="仿宋" w:hAnsi="仿宋" w:eastAsia="仿宋"/>
          <w:sz w:val="32"/>
          <w:szCs w:val="32"/>
          <w:lang w:eastAsia="zh-CN"/>
        </w:rPr>
        <w:t>共</w:t>
      </w:r>
      <w:r>
        <w:rPr>
          <w:rFonts w:ascii="仿宋" w:hAnsi="仿宋" w:eastAsia="仿宋"/>
          <w:sz w:val="32"/>
          <w:szCs w:val="32"/>
        </w:rPr>
        <w:t>资源交易信息网发布项目EPC（勘察、设计、施工总承包）招标评标结果公示，9月20日，经绵竹市行政审批局审批合格后，正式向第一名：四川仟坤建设集团有限责任公司/中国市政工程西南设计研究总院有限公司发布中标通知书。</w:t>
      </w:r>
    </w:p>
    <w:p>
      <w:pPr>
        <w:ind w:firstLine="640" w:firstLineChars="200"/>
        <w:rPr>
          <w:rFonts w:ascii="仿宋" w:hAnsi="仿宋" w:eastAsia="仿宋"/>
          <w:sz w:val="32"/>
          <w:szCs w:val="32"/>
        </w:rPr>
      </w:pPr>
      <w:r>
        <w:rPr>
          <w:rFonts w:ascii="仿宋" w:hAnsi="仿宋" w:eastAsia="仿宋"/>
          <w:sz w:val="32"/>
          <w:szCs w:val="32"/>
        </w:rPr>
        <w:t>项目实施情况。对新市镇、孝德镇、汉旺镇3个污水处理厂进行提标升级，升级后出水水质指标能够达到《四川省岷江、沱江流域水污染物排放标准》（DB51/2311—2016），与计划内容相符。</w:t>
      </w:r>
    </w:p>
    <w:p>
      <w:pPr>
        <w:ind w:firstLine="640" w:firstLineChars="200"/>
        <w:rPr>
          <w:rFonts w:ascii="黑体" w:hAnsi="黑体" w:eastAsia="黑体"/>
          <w:sz w:val="32"/>
          <w:szCs w:val="32"/>
        </w:rPr>
      </w:pPr>
      <w:r>
        <w:rPr>
          <w:rFonts w:ascii="黑体" w:hAnsi="黑体" w:eastAsia="黑体"/>
          <w:sz w:val="32"/>
          <w:szCs w:val="32"/>
        </w:rPr>
        <w:t>三、专项资金使用情况</w:t>
      </w:r>
    </w:p>
    <w:p>
      <w:pPr>
        <w:ind w:firstLine="642" w:firstLineChars="200"/>
        <w:rPr>
          <w:rFonts w:ascii="仿宋" w:hAnsi="仿宋" w:eastAsia="仿宋"/>
          <w:b/>
          <w:sz w:val="32"/>
          <w:szCs w:val="32"/>
        </w:rPr>
      </w:pPr>
      <w:r>
        <w:rPr>
          <w:rFonts w:ascii="仿宋" w:hAnsi="仿宋" w:eastAsia="仿宋"/>
          <w:b/>
          <w:sz w:val="32"/>
          <w:szCs w:val="32"/>
        </w:rPr>
        <w:t>（一）项目财务管理情况。</w:t>
      </w:r>
    </w:p>
    <w:p>
      <w:pPr>
        <w:ind w:firstLine="640" w:firstLineChars="200"/>
        <w:rPr>
          <w:rFonts w:ascii="仿宋" w:hAnsi="仿宋" w:eastAsia="仿宋"/>
          <w:sz w:val="32"/>
          <w:szCs w:val="32"/>
        </w:rPr>
      </w:pPr>
      <w:r>
        <w:rPr>
          <w:rFonts w:ascii="仿宋" w:hAnsi="仿宋" w:eastAsia="仿宋"/>
          <w:sz w:val="32"/>
          <w:szCs w:val="32"/>
        </w:rPr>
        <w:t>该项目依照法律、行政法规和国家财政行政主管部门的规定建立财务、会计制度；严格执行财务管理制度、财务处理及时、会计核算规范。</w:t>
      </w:r>
    </w:p>
    <w:p>
      <w:pPr>
        <w:ind w:firstLine="642" w:firstLineChars="200"/>
        <w:rPr>
          <w:rFonts w:ascii="仿宋" w:hAnsi="仿宋" w:eastAsia="仿宋"/>
          <w:b/>
          <w:sz w:val="32"/>
          <w:szCs w:val="32"/>
        </w:rPr>
      </w:pPr>
      <w:r>
        <w:rPr>
          <w:rFonts w:ascii="仿宋" w:hAnsi="仿宋" w:eastAsia="仿宋"/>
          <w:b/>
          <w:sz w:val="32"/>
          <w:szCs w:val="32"/>
        </w:rPr>
        <w:t>（二）专项资金的到位情况。</w:t>
      </w:r>
    </w:p>
    <w:p>
      <w:pPr>
        <w:ind w:firstLine="640" w:firstLineChars="200"/>
        <w:rPr>
          <w:rFonts w:ascii="仿宋" w:hAnsi="仿宋" w:eastAsia="仿宋"/>
          <w:sz w:val="32"/>
          <w:szCs w:val="32"/>
        </w:rPr>
      </w:pPr>
      <w:r>
        <w:rPr>
          <w:rFonts w:ascii="仿宋" w:hAnsi="仿宋" w:eastAsia="仿宋"/>
          <w:sz w:val="32"/>
          <w:szCs w:val="32"/>
        </w:rPr>
        <w:t>专项资金全部到位</w:t>
      </w:r>
      <w:r>
        <w:rPr>
          <w:rFonts w:hint="eastAsia" w:ascii="仿宋" w:hAnsi="仿宋" w:eastAsia="仿宋"/>
          <w:sz w:val="32"/>
          <w:szCs w:val="32"/>
        </w:rPr>
        <w:t>（德市财投</w:t>
      </w:r>
      <w:r>
        <w:rPr>
          <w:rFonts w:hint="eastAsia" w:ascii="仿宋" w:hAnsi="仿宋" w:eastAsia="仿宋"/>
          <w:sz w:val="32"/>
          <w:szCs w:val="32"/>
          <w:lang w:eastAsia="zh-CN"/>
        </w:rPr>
        <w:t>〔</w:t>
      </w:r>
      <w:r>
        <w:rPr>
          <w:rFonts w:hint="eastAsia" w:ascii="仿宋" w:hAnsi="仿宋" w:eastAsia="仿宋"/>
          <w:sz w:val="32"/>
          <w:szCs w:val="32"/>
        </w:rPr>
        <w:t>2021</w:t>
      </w:r>
      <w:r>
        <w:rPr>
          <w:rFonts w:hint="eastAsia" w:ascii="仿宋" w:hAnsi="仿宋" w:eastAsia="仿宋"/>
          <w:sz w:val="32"/>
          <w:szCs w:val="32"/>
          <w:lang w:eastAsia="zh-CN"/>
        </w:rPr>
        <w:t>〕</w:t>
      </w:r>
      <w:r>
        <w:rPr>
          <w:rFonts w:hint="eastAsia" w:ascii="仿宋" w:hAnsi="仿宋" w:eastAsia="仿宋"/>
          <w:sz w:val="32"/>
          <w:szCs w:val="32"/>
        </w:rPr>
        <w:t>15号2020年第二批省级城乡建设发展专项资金）</w:t>
      </w:r>
      <w:r>
        <w:rPr>
          <w:rFonts w:ascii="仿宋" w:hAnsi="仿宋" w:eastAsia="仿宋"/>
          <w:sz w:val="32"/>
          <w:szCs w:val="32"/>
        </w:rPr>
        <w:t>。</w:t>
      </w:r>
    </w:p>
    <w:p>
      <w:pPr>
        <w:ind w:firstLine="642" w:firstLineChars="200"/>
        <w:rPr>
          <w:rFonts w:ascii="仿宋" w:hAnsi="仿宋" w:eastAsia="仿宋"/>
          <w:b/>
          <w:sz w:val="32"/>
          <w:szCs w:val="32"/>
        </w:rPr>
      </w:pPr>
      <w:r>
        <w:rPr>
          <w:rFonts w:ascii="仿宋" w:hAnsi="仿宋" w:eastAsia="仿宋"/>
          <w:b/>
          <w:sz w:val="32"/>
          <w:szCs w:val="32"/>
        </w:rPr>
        <w:t>（三）专项资金的使用情况。</w:t>
      </w:r>
    </w:p>
    <w:p>
      <w:pPr>
        <w:ind w:firstLine="640" w:firstLineChars="200"/>
        <w:rPr>
          <w:rFonts w:ascii="仿宋" w:hAnsi="仿宋" w:eastAsia="仿宋"/>
          <w:sz w:val="32"/>
          <w:szCs w:val="32"/>
        </w:rPr>
      </w:pPr>
      <w:r>
        <w:rPr>
          <w:rFonts w:ascii="仿宋" w:hAnsi="仿宋" w:eastAsia="仿宋"/>
          <w:sz w:val="32"/>
          <w:szCs w:val="32"/>
        </w:rPr>
        <w:t>截至2021</w:t>
      </w:r>
      <w:r>
        <w:rPr>
          <w:rFonts w:hint="eastAsia" w:ascii="仿宋" w:hAnsi="仿宋" w:eastAsia="仿宋"/>
          <w:sz w:val="32"/>
          <w:szCs w:val="32"/>
        </w:rPr>
        <w:t>底</w:t>
      </w:r>
      <w:r>
        <w:rPr>
          <w:rFonts w:ascii="仿宋" w:hAnsi="仿宋" w:eastAsia="仿宋"/>
          <w:sz w:val="32"/>
          <w:szCs w:val="32"/>
        </w:rPr>
        <w:t>，专项资金实际支出金额</w:t>
      </w:r>
      <w:r>
        <w:rPr>
          <w:rFonts w:hint="eastAsia" w:ascii="仿宋" w:hAnsi="仿宋" w:eastAsia="仿宋"/>
          <w:sz w:val="32"/>
          <w:szCs w:val="32"/>
        </w:rPr>
        <w:t>3.6064</w:t>
      </w:r>
      <w:r>
        <w:rPr>
          <w:rFonts w:ascii="仿宋" w:hAnsi="仿宋" w:eastAsia="仿宋"/>
          <w:sz w:val="32"/>
          <w:szCs w:val="32"/>
        </w:rPr>
        <w:t>万元，用于孝德</w:t>
      </w:r>
      <w:r>
        <w:rPr>
          <w:rFonts w:hint="eastAsia" w:ascii="仿宋" w:hAnsi="仿宋" w:eastAsia="仿宋"/>
          <w:sz w:val="32"/>
          <w:szCs w:val="32"/>
          <w:lang w:eastAsia="zh-CN"/>
        </w:rPr>
        <w:t>污水处理厂</w:t>
      </w:r>
      <w:r>
        <w:rPr>
          <w:rFonts w:ascii="仿宋" w:hAnsi="仿宋" w:eastAsia="仿宋"/>
          <w:sz w:val="32"/>
          <w:szCs w:val="32"/>
        </w:rPr>
        <w:t>变压器增容工程进度款。</w:t>
      </w:r>
    </w:p>
    <w:p>
      <w:pPr>
        <w:ind w:firstLine="640" w:firstLineChars="200"/>
        <w:rPr>
          <w:rFonts w:ascii="黑体" w:hAnsi="黑体" w:eastAsia="黑体"/>
          <w:sz w:val="32"/>
          <w:szCs w:val="32"/>
        </w:rPr>
      </w:pPr>
      <w:r>
        <w:rPr>
          <w:rFonts w:ascii="黑体" w:hAnsi="黑体" w:eastAsia="黑体"/>
          <w:sz w:val="32"/>
          <w:szCs w:val="32"/>
        </w:rPr>
        <w:t>四、项目绩效情况</w:t>
      </w:r>
      <w:r>
        <w:rPr>
          <w:rFonts w:ascii="黑体" w:hAnsi="黑体" w:eastAsia="黑体"/>
          <w:sz w:val="32"/>
          <w:szCs w:val="32"/>
        </w:rPr>
        <w:tab/>
      </w:r>
    </w:p>
    <w:p>
      <w:pPr>
        <w:ind w:firstLine="640" w:firstLineChars="200"/>
        <w:rPr>
          <w:rFonts w:ascii="仿宋" w:hAnsi="仿宋" w:eastAsia="仿宋"/>
          <w:sz w:val="32"/>
          <w:szCs w:val="32"/>
        </w:rPr>
      </w:pPr>
      <w:r>
        <w:rPr>
          <w:rFonts w:ascii="仿宋" w:hAnsi="仿宋" w:eastAsia="仿宋"/>
          <w:sz w:val="32"/>
          <w:szCs w:val="32"/>
        </w:rPr>
        <w:t>对照项目绩效目标，采用定量与定性相结合的方法，从经济、社会、生态、可持续效益以及服务对象满意度等方面，对项目数量完成情况、效益情况进行全面分析评价。对完成值偏离目标值较多的，要进行原因分析。</w:t>
      </w:r>
    </w:p>
    <w:p>
      <w:pPr>
        <w:ind w:firstLine="640" w:firstLineChars="200"/>
        <w:rPr>
          <w:rFonts w:ascii="仿宋" w:hAnsi="仿宋" w:eastAsia="仿宋"/>
          <w:sz w:val="32"/>
          <w:szCs w:val="32"/>
        </w:rPr>
      </w:pPr>
      <w:r>
        <w:rPr>
          <w:rFonts w:ascii="仿宋" w:hAnsi="仿宋" w:eastAsia="仿宋"/>
          <w:sz w:val="32"/>
          <w:szCs w:val="32"/>
        </w:rPr>
        <w:t>应得出明确的自评结论，如“达成绩效目标”、“部分达成绩效目标并具有一定效果”、“未达成绩效目标且效果较差”等。</w:t>
      </w:r>
    </w:p>
    <w:p>
      <w:pPr>
        <w:ind w:firstLine="640" w:firstLineChars="200"/>
        <w:rPr>
          <w:rFonts w:ascii="仿宋" w:hAnsi="仿宋" w:eastAsia="仿宋"/>
          <w:sz w:val="32"/>
          <w:szCs w:val="32"/>
        </w:rPr>
      </w:pPr>
      <w:r>
        <w:rPr>
          <w:rFonts w:ascii="仿宋" w:hAnsi="仿宋" w:eastAsia="仿宋"/>
          <w:sz w:val="32"/>
          <w:szCs w:val="32"/>
        </w:rPr>
        <w:t>达成绩效目标。污水处理厂通过提标升级出水水质从一级A标达到《四川省岷江、沱江流域水污染物排放标准》，改善了当地生态环境，保护了绵竹市地表水水质，改善城区及下游河流水环境质量。</w:t>
      </w:r>
    </w:p>
    <w:p>
      <w:pPr>
        <w:ind w:firstLine="640" w:firstLineChars="200"/>
        <w:rPr>
          <w:rFonts w:ascii="黑体" w:hAnsi="黑体" w:eastAsia="黑体"/>
          <w:sz w:val="32"/>
          <w:szCs w:val="32"/>
        </w:rPr>
      </w:pPr>
      <w:r>
        <w:rPr>
          <w:rFonts w:ascii="黑体" w:hAnsi="黑体" w:eastAsia="黑体"/>
          <w:sz w:val="32"/>
          <w:szCs w:val="32"/>
        </w:rPr>
        <w:t>五、问题及建议</w:t>
      </w:r>
    </w:p>
    <w:p>
      <w:pPr>
        <w:ind w:firstLine="640" w:firstLineChars="200"/>
        <w:rPr>
          <w:rFonts w:ascii="黑体" w:hAnsi="黑体" w:eastAsia="黑体"/>
          <w:sz w:val="32"/>
          <w:szCs w:val="32"/>
        </w:rPr>
      </w:pPr>
      <w:r>
        <w:rPr>
          <w:rFonts w:ascii="黑体" w:hAnsi="黑体" w:eastAsia="黑体"/>
          <w:sz w:val="32"/>
          <w:szCs w:val="32"/>
        </w:rPr>
        <w:t>（一）存在的问题及改进措施</w:t>
      </w:r>
    </w:p>
    <w:p>
      <w:pPr>
        <w:ind w:firstLine="640" w:firstLineChars="200"/>
        <w:rPr>
          <w:rFonts w:ascii="仿宋" w:hAnsi="仿宋" w:eastAsia="仿宋"/>
          <w:sz w:val="32"/>
          <w:szCs w:val="32"/>
        </w:rPr>
      </w:pPr>
      <w:r>
        <w:rPr>
          <w:rFonts w:ascii="仿宋" w:hAnsi="仿宋" w:eastAsia="仿宋"/>
          <w:sz w:val="32"/>
          <w:szCs w:val="32"/>
        </w:rPr>
        <w:t xml:space="preserve">    无</w:t>
      </w:r>
    </w:p>
    <w:p>
      <w:pPr>
        <w:ind w:firstLine="640" w:firstLineChars="200"/>
        <w:rPr>
          <w:rFonts w:ascii="黑体" w:hAnsi="黑体" w:eastAsia="黑体"/>
          <w:sz w:val="32"/>
          <w:szCs w:val="32"/>
        </w:rPr>
      </w:pPr>
      <w:r>
        <w:rPr>
          <w:rFonts w:ascii="黑体" w:hAnsi="黑体" w:eastAsia="黑体"/>
          <w:sz w:val="32"/>
          <w:szCs w:val="32"/>
        </w:rPr>
        <w:t>（二）有关建议</w:t>
      </w:r>
    </w:p>
    <w:p>
      <w:pPr>
        <w:ind w:firstLine="640" w:firstLineChars="200"/>
        <w:rPr>
          <w:rFonts w:ascii="仿宋" w:hAnsi="仿宋" w:eastAsia="仿宋"/>
          <w:sz w:val="32"/>
          <w:szCs w:val="32"/>
        </w:rPr>
      </w:pPr>
      <w:r>
        <w:rPr>
          <w:rFonts w:ascii="仿宋" w:hAnsi="仿宋" w:eastAsia="仿宋"/>
          <w:sz w:val="32"/>
          <w:szCs w:val="32"/>
        </w:rPr>
        <w:t xml:space="preserve">    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032" w:type="dxa"/>
        <w:jc w:val="center"/>
        <w:tblLayout w:type="autofit"/>
        <w:tblCellMar>
          <w:top w:w="0" w:type="dxa"/>
          <w:left w:w="108" w:type="dxa"/>
          <w:bottom w:w="0" w:type="dxa"/>
          <w:right w:w="108" w:type="dxa"/>
        </w:tblCellMar>
      </w:tblPr>
      <w:tblGrid>
        <w:gridCol w:w="940"/>
        <w:gridCol w:w="1020"/>
        <w:gridCol w:w="1500"/>
        <w:gridCol w:w="1080"/>
        <w:gridCol w:w="665"/>
        <w:gridCol w:w="1843"/>
        <w:gridCol w:w="1984"/>
      </w:tblGrid>
      <w:tr>
        <w:tblPrEx>
          <w:tblCellMar>
            <w:top w:w="0" w:type="dxa"/>
            <w:left w:w="108" w:type="dxa"/>
            <w:bottom w:w="0" w:type="dxa"/>
            <w:right w:w="108" w:type="dxa"/>
          </w:tblCellMar>
        </w:tblPrEx>
        <w:trPr>
          <w:trHeight w:val="405" w:hRule="atLeast"/>
          <w:jc w:val="center"/>
        </w:trPr>
        <w:tc>
          <w:tcPr>
            <w:tcW w:w="9032"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032"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94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0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665"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84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84"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35" w:hRule="atLeast"/>
          <w:jc w:val="center"/>
        </w:trPr>
        <w:tc>
          <w:tcPr>
            <w:tcW w:w="3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57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汉旺镇、孝德镇、新市镇三个镇乡提标升级项目</w:t>
            </w:r>
          </w:p>
        </w:tc>
      </w:tr>
      <w:tr>
        <w:tblPrEx>
          <w:tblCellMar>
            <w:top w:w="0" w:type="dxa"/>
            <w:left w:w="108" w:type="dxa"/>
            <w:bottom w:w="0" w:type="dxa"/>
            <w:right w:w="108" w:type="dxa"/>
          </w:tblCellMar>
        </w:tblPrEx>
        <w:trPr>
          <w:trHeight w:val="390" w:hRule="atLeast"/>
          <w:jc w:val="center"/>
        </w:trPr>
        <w:tc>
          <w:tcPr>
            <w:tcW w:w="3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57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405"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7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200万元</w:t>
            </w:r>
          </w:p>
        </w:tc>
        <w:tc>
          <w:tcPr>
            <w:tcW w:w="184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200万元</w:t>
            </w:r>
          </w:p>
        </w:tc>
      </w:tr>
      <w:tr>
        <w:tblPrEx>
          <w:tblCellMar>
            <w:top w:w="0" w:type="dxa"/>
            <w:left w:w="108" w:type="dxa"/>
            <w:bottom w:w="0" w:type="dxa"/>
            <w:right w:w="108" w:type="dxa"/>
          </w:tblCellMar>
        </w:tblPrEx>
        <w:trPr>
          <w:trHeight w:val="61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7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200万元</w:t>
            </w:r>
          </w:p>
        </w:tc>
        <w:tc>
          <w:tcPr>
            <w:tcW w:w="1843"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其中：财政拨款</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200万元</w:t>
            </w:r>
          </w:p>
        </w:tc>
      </w:tr>
      <w:tr>
        <w:tblPrEx>
          <w:tblCellMar>
            <w:top w:w="0" w:type="dxa"/>
            <w:left w:w="108" w:type="dxa"/>
            <w:bottom w:w="0" w:type="dxa"/>
            <w:right w:w="108" w:type="dxa"/>
          </w:tblCellMar>
        </w:tblPrEx>
        <w:trPr>
          <w:trHeight w:val="510"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7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843"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80"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26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8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290"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26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污水处理厂通过提标升级出水水质从一级A标达到《四川省岷江、沱江流域水污染物排放标准》，改善了当地生态环境，保护了绵竹市地表水水质，改善城区及下游河流水环境质量。</w:t>
            </w:r>
          </w:p>
        </w:tc>
        <w:tc>
          <w:tcPr>
            <w:tcW w:w="38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污水处理厂通过提标升级出水水质从一级A标达到《四川省岷江、沱江流域水污染物排放标准》，改善了当地生态环境，保护了绵竹市地表水水质，改善城区及下游河流水环境质量。</w:t>
            </w:r>
          </w:p>
        </w:tc>
      </w:tr>
      <w:tr>
        <w:tblPrEx>
          <w:tblCellMar>
            <w:top w:w="0" w:type="dxa"/>
            <w:left w:w="108" w:type="dxa"/>
            <w:bottom w:w="0" w:type="dxa"/>
            <w:right w:w="108" w:type="dxa"/>
          </w:tblCellMar>
        </w:tblPrEx>
        <w:trPr>
          <w:trHeight w:val="480" w:hRule="atLeast"/>
          <w:jc w:val="center"/>
        </w:trPr>
        <w:tc>
          <w:tcPr>
            <w:tcW w:w="94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02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7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660" w:hRule="atLeast"/>
          <w:jc w:val="center"/>
        </w:trPr>
        <w:tc>
          <w:tcPr>
            <w:tcW w:w="9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5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7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整改污水处理厂个数</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3个</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3个</w:t>
            </w:r>
          </w:p>
        </w:tc>
      </w:tr>
      <w:tr>
        <w:tblPrEx>
          <w:tblCellMar>
            <w:top w:w="0" w:type="dxa"/>
            <w:left w:w="108" w:type="dxa"/>
            <w:bottom w:w="0" w:type="dxa"/>
            <w:right w:w="108" w:type="dxa"/>
          </w:tblCellMar>
        </w:tblPrEx>
        <w:trPr>
          <w:trHeight w:val="690" w:hRule="atLeast"/>
          <w:jc w:val="center"/>
        </w:trPr>
        <w:tc>
          <w:tcPr>
            <w:tcW w:w="9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7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工程质量合格率</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9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7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完成时限</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2021年12月底</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2022年12月底</w:t>
            </w:r>
          </w:p>
        </w:tc>
      </w:tr>
      <w:tr>
        <w:tblPrEx>
          <w:tblCellMar>
            <w:top w:w="0" w:type="dxa"/>
            <w:left w:w="108" w:type="dxa"/>
            <w:bottom w:w="0" w:type="dxa"/>
            <w:right w:w="108" w:type="dxa"/>
          </w:tblCellMar>
        </w:tblPrEx>
        <w:trPr>
          <w:trHeight w:val="480" w:hRule="atLeast"/>
          <w:jc w:val="center"/>
        </w:trPr>
        <w:tc>
          <w:tcPr>
            <w:tcW w:w="9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7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费用支付</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等线" w:hAnsi="等线" w:eastAsia="等线" w:cs="宋体"/>
                <w:kern w:val="0"/>
                <w:sz w:val="20"/>
                <w:szCs w:val="20"/>
              </w:rPr>
              <w:t>≤</w:t>
            </w:r>
            <w:r>
              <w:rPr>
                <w:rFonts w:hint="eastAsia" w:ascii="宋体" w:hAnsi="宋体" w:cs="宋体"/>
                <w:kern w:val="0"/>
                <w:sz w:val="20"/>
                <w:szCs w:val="20"/>
              </w:rPr>
              <w:t>200万元</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3.6064万元</w:t>
            </w:r>
          </w:p>
        </w:tc>
      </w:tr>
      <w:tr>
        <w:tblPrEx>
          <w:tblCellMar>
            <w:top w:w="0" w:type="dxa"/>
            <w:left w:w="108" w:type="dxa"/>
            <w:bottom w:w="0" w:type="dxa"/>
            <w:right w:w="108" w:type="dxa"/>
          </w:tblCellMar>
        </w:tblPrEx>
        <w:trPr>
          <w:trHeight w:val="942" w:hRule="atLeast"/>
          <w:jc w:val="center"/>
        </w:trPr>
        <w:tc>
          <w:tcPr>
            <w:tcW w:w="9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5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7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改善区域水环境效果</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好</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好</w:t>
            </w:r>
          </w:p>
        </w:tc>
      </w:tr>
      <w:tr>
        <w:tblPrEx>
          <w:tblCellMar>
            <w:top w:w="0" w:type="dxa"/>
            <w:left w:w="108" w:type="dxa"/>
            <w:bottom w:w="0" w:type="dxa"/>
            <w:right w:w="108" w:type="dxa"/>
          </w:tblCellMar>
        </w:tblPrEx>
        <w:trPr>
          <w:trHeight w:val="855" w:hRule="atLeast"/>
          <w:jc w:val="center"/>
        </w:trPr>
        <w:tc>
          <w:tcPr>
            <w:tcW w:w="9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7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确保污水处理厂正常运转</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等线" w:hAnsi="等线" w:eastAsia="等线" w:cs="宋体"/>
                <w:kern w:val="0"/>
                <w:sz w:val="20"/>
                <w:szCs w:val="20"/>
              </w:rPr>
              <w:t>≥</w:t>
            </w:r>
            <w:r>
              <w:rPr>
                <w:rFonts w:hint="eastAsia" w:ascii="宋体" w:hAnsi="宋体" w:cs="宋体"/>
                <w:kern w:val="0"/>
                <w:sz w:val="20"/>
                <w:szCs w:val="20"/>
              </w:rPr>
              <w:t>95%</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85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7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群众满意度</w:t>
            </w:r>
          </w:p>
        </w:tc>
        <w:tc>
          <w:tcPr>
            <w:tcW w:w="18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jc w:val="center"/>
        <w:rPr>
          <w:rFonts w:ascii="仿宋_GB2312" w:hAnsi="宋体" w:eastAsia="仿宋_GB2312"/>
          <w:sz w:val="32"/>
          <w:szCs w:val="32"/>
        </w:rPr>
      </w:pPr>
      <w:r>
        <w:rPr>
          <w:rFonts w:hint="eastAsia" w:ascii="宋体" w:hAnsi="宋体" w:cs="宋体"/>
          <w:b/>
          <w:color w:val="000000"/>
          <w:kern w:val="0"/>
          <w:sz w:val="44"/>
          <w:szCs w:val="44"/>
        </w:rPr>
        <w:t>项目支出绩效自评报告</w:t>
      </w:r>
    </w:p>
    <w:p>
      <w:pPr>
        <w:jc w:val="center"/>
        <w:rPr>
          <w:rFonts w:ascii="仿宋_GB2312" w:hAnsi="宋体" w:eastAsia="仿宋_GB2312"/>
          <w:sz w:val="32"/>
          <w:szCs w:val="32"/>
        </w:rPr>
      </w:pPr>
      <w:r>
        <w:rPr>
          <w:rFonts w:hint="eastAsia" w:ascii="仿宋_GB2312" w:hAnsi="宋体" w:eastAsia="仿宋_GB2312"/>
          <w:sz w:val="32"/>
          <w:szCs w:val="32"/>
        </w:rPr>
        <w:t>（2020年第二批省级城乡建设发展专项资金-</w:t>
      </w:r>
      <w:r>
        <w:rPr>
          <w:rFonts w:ascii="仿宋_GB2312" w:hAnsi="宋体" w:eastAsia="仿宋_GB2312"/>
          <w:sz w:val="32"/>
          <w:szCs w:val="32"/>
        </w:rPr>
        <w:t>-</w:t>
      </w:r>
    </w:p>
    <w:p>
      <w:pPr>
        <w:jc w:val="center"/>
        <w:rPr>
          <w:rFonts w:ascii="仿宋_GB2312" w:hAnsi="宋体" w:eastAsia="仿宋_GB2312"/>
          <w:sz w:val="32"/>
          <w:szCs w:val="32"/>
        </w:rPr>
      </w:pPr>
      <w:r>
        <w:rPr>
          <w:rFonts w:hint="eastAsia" w:ascii="仿宋_GB2312" w:hAnsi="宋体" w:eastAsia="仿宋_GB2312"/>
          <w:sz w:val="32"/>
          <w:szCs w:val="32"/>
        </w:rPr>
        <w:t>麓棠镇场镇基础设施改造工程）</w:t>
      </w:r>
    </w:p>
    <w:p>
      <w:pPr>
        <w:jc w:val="center"/>
        <w:rPr>
          <w:rFonts w:ascii="宋体" w:hAnsi="宋体"/>
          <w:sz w:val="32"/>
          <w:szCs w:val="32"/>
        </w:rPr>
      </w:pPr>
    </w:p>
    <w:p>
      <w:pPr>
        <w:adjustRightInd w:val="0"/>
        <w:snapToGrid w:val="0"/>
        <w:spacing w:line="640" w:lineRule="exact"/>
        <w:ind w:firstLine="803" w:firstLineChars="200"/>
        <w:rPr>
          <w:rFonts w:ascii="楷体_GB2312" w:hAnsi="宋体" w:eastAsia="楷体_GB2312"/>
          <w:b/>
          <w:sz w:val="40"/>
          <w:szCs w:val="40"/>
          <w:lang w:val="zh-CN"/>
        </w:rPr>
      </w:pPr>
      <w:r>
        <w:rPr>
          <w:rFonts w:hint="eastAsia" w:ascii="楷体_GB2312" w:hAnsi="宋体" w:eastAsia="楷体_GB2312"/>
          <w:b/>
          <w:sz w:val="40"/>
          <w:szCs w:val="40"/>
          <w:lang w:val="zh-CN"/>
        </w:rPr>
        <w:t>一、项目概况</w:t>
      </w:r>
    </w:p>
    <w:p>
      <w:pPr>
        <w:spacing w:line="640" w:lineRule="exact"/>
        <w:jc w:val="left"/>
        <w:rPr>
          <w:rFonts w:ascii="仿宋_GB2312" w:hAnsi="宋体" w:eastAsia="仿宋_GB2312"/>
          <w:sz w:val="32"/>
          <w:szCs w:val="32"/>
        </w:rPr>
      </w:pPr>
      <w:r>
        <w:rPr>
          <w:rFonts w:hint="eastAsia" w:ascii="仿宋_GB2312" w:hAnsi="宋体" w:eastAsia="仿宋_GB2312"/>
          <w:sz w:val="32"/>
          <w:szCs w:val="32"/>
        </w:rPr>
        <w:t xml:space="preserve">    2020年第二批省级城乡建设发展专项资金479万元用于麓棠镇小城镇建设（文件总资金1021万元）项目。</w:t>
      </w:r>
    </w:p>
    <w:p>
      <w:pPr>
        <w:adjustRightInd w:val="0"/>
        <w:snapToGrid w:val="0"/>
        <w:spacing w:line="640" w:lineRule="exact"/>
        <w:ind w:left="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40" w:lineRule="exact"/>
        <w:rPr>
          <w:rFonts w:ascii="仿宋_GB2312" w:hAnsi="宋体" w:eastAsia="仿宋_GB2312"/>
          <w:sz w:val="32"/>
          <w:szCs w:val="32"/>
        </w:rPr>
      </w:pPr>
      <w:r>
        <w:rPr>
          <w:rFonts w:hint="eastAsia" w:ascii="楷体_GB2312" w:hAnsi="宋体" w:eastAsia="楷体_GB2312"/>
          <w:b/>
          <w:sz w:val="32"/>
          <w:szCs w:val="32"/>
        </w:rPr>
        <w:t xml:space="preserve">    </w:t>
      </w:r>
      <w:r>
        <w:rPr>
          <w:rFonts w:hint="eastAsia" w:ascii="仿宋_GB2312" w:hAnsi="宋体" w:eastAsia="仿宋_GB2312"/>
          <w:sz w:val="32"/>
          <w:szCs w:val="32"/>
        </w:rPr>
        <w:t>四川省财政厅《关于下达2020年第二批省级城乡建设发展专项资金预算的通知》（ 川财建（2020）191号）批复资金479万元。</w:t>
      </w:r>
    </w:p>
    <w:p>
      <w:pPr>
        <w:adjustRightInd w:val="0"/>
        <w:snapToGrid w:val="0"/>
        <w:spacing w:line="6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4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该项目绩效总目标为：实施基础设施提升工程，加快推动城乡基础设施一体化，着力完善城镇功能，建立宜居业宜游的新型商贸小镇。</w:t>
      </w:r>
    </w:p>
    <w:p>
      <w:pPr>
        <w:adjustRightInd w:val="0"/>
        <w:snapToGrid w:val="0"/>
        <w:spacing w:line="6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（三）项目资金申报相符性。</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w:t>
      </w:r>
      <w:r>
        <w:rPr>
          <w:rFonts w:hint="eastAsia" w:ascii="仿宋_GB2312" w:hAnsi="宋体" w:eastAsia="仿宋_GB2312"/>
          <w:sz w:val="32"/>
          <w:szCs w:val="32"/>
        </w:rPr>
        <w:t>2020年年度资金预算指标合计479万元，全部用于麓棠镇小城镇建设，申报内容与具体实施内容相符，资金预算指标覆盖该项目，申报目标总体合理。</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64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640" w:lineRule="exact"/>
        <w:ind w:firstLine="720"/>
        <w:rPr>
          <w:rFonts w:ascii="楷体_GB2312" w:hAnsi="宋体" w:eastAsia="楷体_GB2312"/>
          <w:sz w:val="32"/>
          <w:szCs w:val="32"/>
          <w:lang w:val="zh-CN"/>
        </w:rPr>
      </w:pPr>
      <w:r>
        <w:rPr>
          <w:rFonts w:hint="eastAsia" w:ascii="仿宋_GB2312" w:hAnsi="宋体" w:eastAsia="仿宋_GB2312"/>
          <w:sz w:val="32"/>
          <w:szCs w:val="32"/>
          <w:lang w:val="zh-CN"/>
        </w:rPr>
        <w:t>1.资金计划及到位。</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lang w:val="zh-CN"/>
        </w:rPr>
        <w:t>该项目资金预算指标全部为上级资金，</w:t>
      </w:r>
      <w:r>
        <w:rPr>
          <w:rFonts w:hint="eastAsia" w:ascii="仿宋_GB2312" w:hAnsi="宋体" w:eastAsia="仿宋_GB2312"/>
          <w:sz w:val="32"/>
          <w:szCs w:val="32"/>
        </w:rPr>
        <w:t>2020年10月到位，以上资金预算指标全部及时到位。</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资金使用。</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截至评价时合计资金预算指标</w:t>
      </w:r>
      <w:r>
        <w:rPr>
          <w:rFonts w:hint="eastAsia" w:ascii="仿宋_GB2312" w:hAnsi="宋体" w:eastAsia="仿宋_GB2312"/>
          <w:sz w:val="32"/>
          <w:szCs w:val="32"/>
        </w:rPr>
        <w:t>479万元，2021年11月拨付资金126.9666万元，2022年1月拨付资金111.9555万元，用于麓棠镇场镇基础设施改造工程。</w:t>
      </w:r>
      <w:r>
        <w:rPr>
          <w:rFonts w:hint="eastAsia" w:ascii="仿宋_GB2312" w:hAnsi="宋体" w:eastAsia="仿宋_GB2312"/>
          <w:sz w:val="32"/>
          <w:lang w:val="zh-CN"/>
        </w:rPr>
        <w:t>支付依据合规合法，资金支付与预算相符。</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依照法律、行政法规和国家财政行政主管部门的规定建立财务、会计制度；在每一会计季度终了时制作财务会计报表，按国家和有关部门的规定进行审计，报送财政、税务、工商行政管理等部门；严格执行财务管理制度、财务处理及时、会计核算规范。</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640" w:lineRule="exact"/>
        <w:ind w:firstLine="72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该项目已于2022年5月12日全面完成施工建设，待验收审核。</w:t>
      </w:r>
    </w:p>
    <w:p>
      <w:pPr>
        <w:adjustRightInd w:val="0"/>
        <w:snapToGrid w:val="0"/>
        <w:spacing w:line="64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40" w:lineRule="exact"/>
        <w:ind w:firstLine="640" w:firstLineChars="200"/>
        <w:rPr>
          <w:rFonts w:ascii="仿宋_GB2312" w:hAnsi="宋体" w:eastAsia="仿宋_GB2312"/>
          <w:color w:val="FF0000"/>
          <w:sz w:val="32"/>
          <w:szCs w:val="32"/>
          <w:lang w:val="zh-CN"/>
        </w:rPr>
      </w:pPr>
      <w:r>
        <w:rPr>
          <w:rFonts w:hint="eastAsia" w:ascii="仿宋_GB2312" w:hAnsi="宋体" w:eastAsia="仿宋_GB2312"/>
          <w:sz w:val="32"/>
          <w:szCs w:val="32"/>
          <w:lang w:val="zh-CN"/>
        </w:rPr>
        <w:t>实施基础设施提升工程，加快推动城乡基础设施一体化，着力完善城镇功能，建立宜居宜业宜游的新型商贸小镇。目前已完成：城镇主要街道沥青混凝土面层</w:t>
      </w:r>
      <w:r>
        <w:rPr>
          <w:rFonts w:hint="eastAsia" w:ascii="仿宋_GB2312" w:hAnsi="宋体" w:eastAsia="仿宋_GB2312"/>
          <w:sz w:val="32"/>
          <w:szCs w:val="32"/>
        </w:rPr>
        <w:t>3.1万平方米，</w:t>
      </w:r>
      <w:r>
        <w:rPr>
          <w:rFonts w:hint="eastAsia" w:ascii="仿宋_GB2312" w:hAnsi="宋体" w:eastAsia="仿宋_GB2312"/>
          <w:sz w:val="32"/>
          <w:szCs w:val="32"/>
          <w:lang w:val="zh-CN"/>
        </w:rPr>
        <w:t>人行道改造铺设</w:t>
      </w:r>
      <w:r>
        <w:rPr>
          <w:rFonts w:hint="eastAsia" w:ascii="仿宋_GB2312" w:hAnsi="宋体" w:eastAsia="仿宋_GB2312"/>
          <w:sz w:val="32"/>
          <w:szCs w:val="32"/>
        </w:rPr>
        <w:t>1.13万平方米，路灯安装113盏，工程质量合格率100%。</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lang w:val="zh-CN"/>
        </w:rPr>
        <w:t>经济效益：吸引外商投资，带动群众增收致富，夯实镇域经济高质量发展底部基础</w:t>
      </w:r>
      <w:r>
        <w:rPr>
          <w:rFonts w:hint="eastAsia" w:ascii="仿宋_GB2312" w:hAnsi="宋体" w:eastAsia="仿宋_GB2312"/>
          <w:sz w:val="32"/>
          <w:szCs w:val="32"/>
        </w:rPr>
        <w:t>。带动场镇居民增加收入≥0.9万元。</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rPr>
        <w:t>社会效益：改善场镇整体生态环境，推动城镇基础设施一体化，创建高品质生活宜居地，场镇基础设施改造率100%。</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lang w:val="zh-CN"/>
        </w:rPr>
        <w:t>服务对象满意度：上级管理部门和群众满意度</w:t>
      </w:r>
      <w:r>
        <w:rPr>
          <w:rFonts w:hint="eastAsia" w:ascii="仿宋_GB2312" w:hAnsi="宋体" w:eastAsia="仿宋_GB2312"/>
          <w:sz w:val="32"/>
          <w:szCs w:val="32"/>
        </w:rPr>
        <w:t>≥95%。</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640" w:lineRule="exact"/>
        <w:ind w:firstLine="720"/>
        <w:rPr>
          <w:rFonts w:ascii="仿宋_GB2312" w:hAnsi="宋体" w:eastAsia="仿宋_GB2312"/>
          <w:sz w:val="32"/>
          <w:szCs w:val="32"/>
        </w:rPr>
      </w:pPr>
      <w:r>
        <w:rPr>
          <w:rFonts w:hint="eastAsia" w:ascii="仿宋" w:hAnsi="仿宋" w:eastAsia="仿宋" w:cs="仿宋"/>
          <w:bCs/>
          <w:sz w:val="32"/>
          <w:szCs w:val="32"/>
        </w:rPr>
        <w:t>项目推进缓慢。</w:t>
      </w:r>
    </w:p>
    <w:p>
      <w:pPr>
        <w:adjustRightInd w:val="0"/>
        <w:snapToGrid w:val="0"/>
        <w:spacing w:line="6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（二）相关建议。</w:t>
      </w:r>
    </w:p>
    <w:p>
      <w:pPr>
        <w:adjustRightInd w:val="0"/>
        <w:snapToGrid w:val="0"/>
        <w:spacing w:line="640" w:lineRule="exact"/>
        <w:ind w:firstLine="960" w:firstLineChars="300"/>
        <w:rPr>
          <w:rFonts w:ascii="仿宋" w:hAnsi="仿宋" w:eastAsia="仿宋" w:cs="仿宋"/>
          <w:bCs/>
          <w:sz w:val="32"/>
          <w:szCs w:val="32"/>
        </w:rPr>
      </w:pPr>
      <w:r>
        <w:rPr>
          <w:rFonts w:hint="eastAsia" w:ascii="仿宋" w:hAnsi="仿宋" w:eastAsia="仿宋" w:cs="仿宋"/>
          <w:bCs/>
          <w:sz w:val="32"/>
          <w:szCs w:val="32"/>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400" w:type="dxa"/>
        <w:jc w:val="center"/>
        <w:tblLayout w:type="autofit"/>
        <w:tblCellMar>
          <w:top w:w="0" w:type="dxa"/>
          <w:left w:w="108" w:type="dxa"/>
          <w:bottom w:w="0" w:type="dxa"/>
          <w:right w:w="108" w:type="dxa"/>
        </w:tblCellMar>
      </w:tblPr>
      <w:tblGrid>
        <w:gridCol w:w="1080"/>
        <w:gridCol w:w="1140"/>
        <w:gridCol w:w="1080"/>
        <w:gridCol w:w="1080"/>
        <w:gridCol w:w="820"/>
        <w:gridCol w:w="1920"/>
        <w:gridCol w:w="2280"/>
      </w:tblGrid>
      <w:tr>
        <w:tblPrEx>
          <w:tblCellMar>
            <w:top w:w="0" w:type="dxa"/>
            <w:left w:w="108" w:type="dxa"/>
            <w:bottom w:w="0" w:type="dxa"/>
            <w:right w:w="108" w:type="dxa"/>
          </w:tblCellMar>
        </w:tblPrEx>
        <w:trPr>
          <w:trHeight w:val="405" w:hRule="atLeast"/>
          <w:jc w:val="center"/>
        </w:trPr>
        <w:tc>
          <w:tcPr>
            <w:tcW w:w="940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40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8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82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2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28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40" w:hRule="atLeast"/>
          <w:jc w:val="center"/>
        </w:trPr>
        <w:tc>
          <w:tcPr>
            <w:tcW w:w="33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1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麓棠镇场镇基础设施改造工程项目</w:t>
            </w:r>
          </w:p>
        </w:tc>
      </w:tr>
      <w:tr>
        <w:tblPrEx>
          <w:tblCellMar>
            <w:top w:w="0" w:type="dxa"/>
            <w:left w:w="108" w:type="dxa"/>
            <w:bottom w:w="0" w:type="dxa"/>
            <w:right w:w="108" w:type="dxa"/>
          </w:tblCellMar>
        </w:tblPrEx>
        <w:trPr>
          <w:trHeight w:val="540" w:hRule="atLeast"/>
          <w:jc w:val="center"/>
        </w:trPr>
        <w:tc>
          <w:tcPr>
            <w:tcW w:w="33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1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54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9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126.9666万元</w:t>
            </w:r>
          </w:p>
        </w:tc>
        <w:tc>
          <w:tcPr>
            <w:tcW w:w="1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126.9666万元</w:t>
            </w:r>
          </w:p>
        </w:tc>
      </w:tr>
      <w:tr>
        <w:tblPrEx>
          <w:tblCellMar>
            <w:top w:w="0" w:type="dxa"/>
            <w:left w:w="108" w:type="dxa"/>
            <w:bottom w:w="0" w:type="dxa"/>
            <w:right w:w="108" w:type="dxa"/>
          </w:tblCellMar>
        </w:tblPrEx>
        <w:trPr>
          <w:trHeight w:val="6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9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126.9666万元</w:t>
            </w:r>
          </w:p>
        </w:tc>
        <w:tc>
          <w:tcPr>
            <w:tcW w:w="192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126.9666万元</w:t>
            </w:r>
          </w:p>
        </w:tc>
      </w:tr>
      <w:tr>
        <w:tblPrEx>
          <w:tblCellMar>
            <w:top w:w="0" w:type="dxa"/>
            <w:left w:w="108" w:type="dxa"/>
            <w:bottom w:w="0" w:type="dxa"/>
            <w:right w:w="108" w:type="dxa"/>
          </w:tblCellMar>
        </w:tblPrEx>
        <w:trPr>
          <w:trHeight w:val="552"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2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2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07"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1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2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077"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12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实施基础设施提升工程，加快推动城乡基础设施一体化，着力完善城镇功能，建立宜居</w:t>
            </w:r>
            <w:r>
              <w:rPr>
                <w:rFonts w:hint="eastAsia" w:ascii="宋体" w:hAnsi="宋体" w:cs="宋体"/>
                <w:kern w:val="0"/>
                <w:sz w:val="20"/>
                <w:szCs w:val="20"/>
                <w:lang w:val="zh-CN"/>
              </w:rPr>
              <w:t>宜</w:t>
            </w:r>
            <w:r>
              <w:rPr>
                <w:rFonts w:hint="eastAsia" w:ascii="宋体" w:hAnsi="宋体" w:cs="宋体"/>
                <w:kern w:val="0"/>
                <w:sz w:val="20"/>
                <w:szCs w:val="20"/>
              </w:rPr>
              <w:t>业宜游的新型商贸小镇。</w:t>
            </w:r>
          </w:p>
        </w:tc>
        <w:tc>
          <w:tcPr>
            <w:tcW w:w="42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城镇主要街道沥青混凝土面层3.1万平方米，人行道改造铺设1.13万平方米，路灯安装113盏，工程质量合格率100%。</w:t>
            </w:r>
          </w:p>
        </w:tc>
      </w:tr>
      <w:tr>
        <w:tblPrEx>
          <w:tblCellMar>
            <w:top w:w="0" w:type="dxa"/>
            <w:left w:w="108" w:type="dxa"/>
            <w:bottom w:w="0" w:type="dxa"/>
            <w:right w:w="108" w:type="dxa"/>
          </w:tblCellMar>
        </w:tblPrEx>
        <w:trPr>
          <w:trHeight w:val="60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55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9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城镇主要街道沥青混凝土面层</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3.1万平方米</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3.1万平方米</w:t>
            </w:r>
          </w:p>
        </w:tc>
      </w:tr>
      <w:tr>
        <w:tblPrEx>
          <w:tblCellMar>
            <w:top w:w="0" w:type="dxa"/>
            <w:left w:w="108" w:type="dxa"/>
            <w:bottom w:w="0" w:type="dxa"/>
            <w:right w:w="108" w:type="dxa"/>
          </w:tblCellMar>
        </w:tblPrEx>
        <w:trPr>
          <w:trHeight w:val="46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人行道改造铺设</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1.13万平方米</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1.13万平方米</w:t>
            </w:r>
          </w:p>
        </w:tc>
      </w:tr>
      <w:tr>
        <w:tblPrEx>
          <w:tblCellMar>
            <w:top w:w="0" w:type="dxa"/>
            <w:left w:w="108" w:type="dxa"/>
            <w:bottom w:w="0" w:type="dxa"/>
            <w:right w:w="108" w:type="dxa"/>
          </w:tblCellMar>
        </w:tblPrEx>
        <w:trPr>
          <w:trHeight w:val="45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路灯安装</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113盏</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113盏</w:t>
            </w:r>
          </w:p>
        </w:tc>
      </w:tr>
      <w:tr>
        <w:tblPrEx>
          <w:tblCellMar>
            <w:top w:w="0" w:type="dxa"/>
            <w:left w:w="108" w:type="dxa"/>
            <w:bottom w:w="0" w:type="dxa"/>
            <w:right w:w="108" w:type="dxa"/>
          </w:tblCellMar>
        </w:tblPrEx>
        <w:trPr>
          <w:trHeight w:val="76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0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完成住宅专项维修资金管理工作，确保资金安全</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0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w:t>
            </w:r>
          </w:p>
        </w:tc>
      </w:tr>
      <w:tr>
        <w:tblPrEx>
          <w:tblCellMar>
            <w:top w:w="0" w:type="dxa"/>
            <w:left w:w="108" w:type="dxa"/>
            <w:bottom w:w="0" w:type="dxa"/>
            <w:right w:w="108" w:type="dxa"/>
          </w:tblCellMar>
        </w:tblPrEx>
        <w:trPr>
          <w:trHeight w:val="57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0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按项目进度支付</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≥126万元</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126.9666万元</w:t>
            </w:r>
          </w:p>
        </w:tc>
      </w:tr>
      <w:tr>
        <w:tblPrEx>
          <w:tblCellMar>
            <w:top w:w="0" w:type="dxa"/>
            <w:left w:w="108" w:type="dxa"/>
            <w:bottom w:w="0" w:type="dxa"/>
            <w:right w:w="108" w:type="dxa"/>
          </w:tblCellMar>
        </w:tblPrEx>
        <w:trPr>
          <w:trHeight w:val="73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0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推动城镇基础设施一体化</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创建高品质生活宜居地</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创建高品质生活宜居地</w:t>
            </w:r>
          </w:p>
        </w:tc>
      </w:tr>
      <w:tr>
        <w:tblPrEx>
          <w:tblCellMar>
            <w:top w:w="0" w:type="dxa"/>
            <w:left w:w="108" w:type="dxa"/>
            <w:bottom w:w="0" w:type="dxa"/>
            <w:right w:w="108" w:type="dxa"/>
          </w:tblCellMar>
        </w:tblPrEx>
        <w:trPr>
          <w:trHeight w:val="123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19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促进经济发展</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吸引外商投资，带动群众增收致富，夯实镇域经济高质量发展底部基础。带动场镇居民增加收入</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吸引外商投资，带动群众增收致富，夯实镇域经济高质量发展底部基础。带动场镇居民增加收入</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群众满意度</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c>
          <w:tcPr>
            <w:tcW w:w="2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r>
    </w:tbl>
    <w:p>
      <w:pPr>
        <w:pStyle w:val="2"/>
        <w:spacing w:before="93"/>
        <w:rPr>
          <w:rFonts w:hAnsi="宋体" w:cs="宋体"/>
          <w:sz w:val="32"/>
          <w:szCs w:val="32"/>
          <w:shd w:val="clear" w:color="auto" w:fill="FFFFFF"/>
          <w:lang w:val="zh-CN"/>
        </w:rPr>
      </w:pPr>
    </w:p>
    <w:p>
      <w:pPr>
        <w:jc w:val="center"/>
        <w:rPr>
          <w:rFonts w:ascii="仿宋_GB2312" w:hAnsi="宋体" w:eastAsia="仿宋_GB2312"/>
          <w:sz w:val="32"/>
          <w:szCs w:val="32"/>
        </w:rPr>
      </w:pPr>
      <w:r>
        <w:rPr>
          <w:rFonts w:hint="eastAsia" w:ascii="宋体" w:hAnsi="宋体" w:cs="宋体"/>
          <w:b/>
          <w:color w:val="000000"/>
          <w:kern w:val="0"/>
          <w:sz w:val="44"/>
          <w:szCs w:val="44"/>
        </w:rPr>
        <w:t>项目支出绩效自评报告</w:t>
      </w:r>
    </w:p>
    <w:p>
      <w:pPr>
        <w:jc w:val="center"/>
        <w:rPr>
          <w:rFonts w:ascii="仿宋_GB2312" w:hAnsi="宋体" w:eastAsia="仿宋_GB2312"/>
          <w:sz w:val="32"/>
          <w:szCs w:val="32"/>
        </w:rPr>
      </w:pPr>
      <w:r>
        <w:rPr>
          <w:rFonts w:hint="eastAsia" w:ascii="仿宋_GB2312" w:hAnsi="宋体" w:eastAsia="仿宋_GB2312"/>
          <w:sz w:val="32"/>
          <w:szCs w:val="32"/>
        </w:rPr>
        <w:t>（2021年铁桩堰检查井溢流污水整治）</w:t>
      </w:r>
    </w:p>
    <w:p>
      <w:pPr>
        <w:spacing w:line="520" w:lineRule="exact"/>
        <w:jc w:val="center"/>
        <w:rPr>
          <w:rFonts w:ascii="宋体" w:hAnsi="宋体"/>
          <w:sz w:val="32"/>
          <w:szCs w:val="32"/>
        </w:rPr>
      </w:pPr>
    </w:p>
    <w:p>
      <w:pPr>
        <w:adjustRightInd w:val="0"/>
        <w:snapToGrid w:val="0"/>
        <w:spacing w:line="520" w:lineRule="exact"/>
        <w:ind w:firstLine="803" w:firstLineChars="200"/>
        <w:rPr>
          <w:rFonts w:ascii="楷体_GB2312" w:hAnsi="宋体" w:eastAsia="楷体_GB2312"/>
          <w:b/>
          <w:sz w:val="40"/>
          <w:szCs w:val="40"/>
          <w:lang w:val="zh-CN"/>
        </w:rPr>
      </w:pPr>
      <w:r>
        <w:rPr>
          <w:rFonts w:hint="eastAsia" w:ascii="楷体_GB2312" w:hAnsi="宋体" w:eastAsia="楷体_GB2312"/>
          <w:b/>
          <w:sz w:val="40"/>
          <w:szCs w:val="40"/>
          <w:lang w:val="zh-CN"/>
        </w:rPr>
        <w:t>一、项目概况</w:t>
      </w:r>
    </w:p>
    <w:p>
      <w:pPr>
        <w:spacing w:line="520" w:lineRule="exact"/>
        <w:jc w:val="left"/>
        <w:rPr>
          <w:rFonts w:ascii="仿宋_GB2312" w:hAnsi="宋体" w:eastAsia="仿宋_GB2312"/>
          <w:sz w:val="32"/>
          <w:szCs w:val="32"/>
        </w:rPr>
      </w:pPr>
      <w:r>
        <w:rPr>
          <w:rFonts w:hint="eastAsia" w:ascii="仿宋_GB2312" w:hAnsi="宋体" w:eastAsia="仿宋_GB2312"/>
          <w:sz w:val="32"/>
          <w:szCs w:val="32"/>
        </w:rPr>
        <w:t xml:space="preserve">    2021年铁桩堰检查井溢流污水整治专项资金42.2万元用于铁桩堰检查井溢流污水整治项目。</w:t>
      </w:r>
    </w:p>
    <w:p>
      <w:pPr>
        <w:adjustRightInd w:val="0"/>
        <w:snapToGrid w:val="0"/>
        <w:spacing w:line="52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20" w:lineRule="exact"/>
        <w:rPr>
          <w:rFonts w:ascii="仿宋_GB2312" w:hAnsi="宋体" w:eastAsia="仿宋_GB2312"/>
          <w:sz w:val="32"/>
          <w:szCs w:val="32"/>
        </w:rPr>
      </w:pPr>
      <w:r>
        <w:rPr>
          <w:rFonts w:hint="eastAsia" w:ascii="楷体_GB2312" w:hAnsi="宋体" w:eastAsia="楷体_GB2312"/>
          <w:b/>
          <w:sz w:val="32"/>
          <w:szCs w:val="32"/>
        </w:rPr>
        <w:t xml:space="preserve">    </w:t>
      </w:r>
      <w:r>
        <w:rPr>
          <w:rFonts w:hint="eastAsia" w:ascii="仿宋_GB2312" w:hAnsi="宋体" w:eastAsia="仿宋_GB2312"/>
          <w:sz w:val="32"/>
          <w:szCs w:val="32"/>
        </w:rPr>
        <w:t>绵竹市财政局《关于关于申请解决铁桩堰检查井溢流污水整改工作经费的回复》（竹财资环复</w:t>
      </w:r>
      <w:r>
        <w:rPr>
          <w:rFonts w:hint="eastAsia" w:ascii="仿宋_GB2312" w:hAnsi="宋体" w:eastAsia="仿宋_GB2312"/>
          <w:sz w:val="32"/>
          <w:szCs w:val="32"/>
          <w:lang w:eastAsia="zh-CN"/>
        </w:rPr>
        <w:t>〔</w:t>
      </w:r>
      <w:r>
        <w:rPr>
          <w:rFonts w:hint="eastAsia" w:ascii="仿宋_GB2312" w:hAnsi="宋体" w:eastAsia="仿宋_GB2312"/>
          <w:sz w:val="32"/>
          <w:szCs w:val="32"/>
        </w:rPr>
        <w:t>2021</w:t>
      </w:r>
      <w:r>
        <w:rPr>
          <w:rFonts w:hint="eastAsia" w:ascii="仿宋_GB2312" w:hAnsi="宋体" w:eastAsia="仿宋_GB2312"/>
          <w:sz w:val="32"/>
          <w:szCs w:val="32"/>
          <w:lang w:eastAsia="zh-CN"/>
        </w:rPr>
        <w:t>〕</w:t>
      </w:r>
      <w:r>
        <w:rPr>
          <w:rFonts w:hint="eastAsia" w:ascii="仿宋_GB2312" w:hAnsi="宋体" w:eastAsia="仿宋_GB2312"/>
          <w:sz w:val="32"/>
          <w:szCs w:val="32"/>
        </w:rPr>
        <w:t>247号）批复资金42.2万元。</w:t>
      </w:r>
    </w:p>
    <w:p>
      <w:pPr>
        <w:adjustRightInd w:val="0"/>
        <w:snapToGrid w:val="0"/>
        <w:spacing w:line="52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该项目绩效总目标为：提高污水</w:t>
      </w:r>
      <w:r>
        <w:rPr>
          <w:rFonts w:hint="eastAsia" w:ascii="仿宋_GB2312" w:hAnsi="宋体" w:eastAsia="仿宋_GB2312"/>
          <w:sz w:val="32"/>
          <w:szCs w:val="32"/>
        </w:rPr>
        <w:t>管网</w:t>
      </w:r>
      <w:r>
        <w:rPr>
          <w:rFonts w:hint="eastAsia" w:ascii="仿宋_GB2312" w:hAnsi="宋体" w:eastAsia="仿宋_GB2312"/>
          <w:sz w:val="32"/>
          <w:szCs w:val="32"/>
          <w:lang w:val="zh-CN"/>
        </w:rPr>
        <w:t>收集能力，</w:t>
      </w:r>
      <w:r>
        <w:rPr>
          <w:rFonts w:hint="eastAsia" w:ascii="仿宋_GB2312" w:hAnsi="宋体" w:eastAsia="仿宋_GB2312"/>
          <w:sz w:val="32"/>
          <w:szCs w:val="32"/>
        </w:rPr>
        <w:t>确保</w:t>
      </w:r>
      <w:r>
        <w:rPr>
          <w:rFonts w:hint="eastAsia" w:ascii="仿宋_GB2312" w:hAnsi="宋体" w:eastAsia="仿宋_GB2312"/>
          <w:sz w:val="32"/>
          <w:szCs w:val="32"/>
          <w:lang w:val="zh-CN"/>
        </w:rPr>
        <w:t>管网内污水不溢流。</w:t>
      </w:r>
    </w:p>
    <w:p>
      <w:pPr>
        <w:adjustRightInd w:val="0"/>
        <w:snapToGrid w:val="0"/>
        <w:spacing w:line="52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（三）项目资金申报相符性。</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w:t>
      </w:r>
      <w:r>
        <w:rPr>
          <w:rFonts w:hint="eastAsia" w:ascii="仿宋_GB2312" w:hAnsi="宋体" w:eastAsia="仿宋_GB2312"/>
          <w:sz w:val="32"/>
          <w:szCs w:val="32"/>
        </w:rPr>
        <w:t>2021年年度资金预算指标合计42.2万元，全部用于铁桩堰检查井溢流污水整治项目，申报内容与具体实施内容相符，资金预算指标覆盖该项目，申报目标总体合理。</w:t>
      </w:r>
    </w:p>
    <w:p>
      <w:pPr>
        <w:adjustRightInd w:val="0"/>
        <w:snapToGrid w:val="0"/>
        <w:spacing w:line="52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52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520" w:lineRule="exact"/>
        <w:ind w:firstLine="720"/>
        <w:rPr>
          <w:rFonts w:ascii="楷体_GB2312" w:hAnsi="宋体" w:eastAsia="楷体_GB2312"/>
          <w:sz w:val="32"/>
          <w:szCs w:val="32"/>
          <w:lang w:val="zh-CN"/>
        </w:rPr>
      </w:pPr>
      <w:r>
        <w:rPr>
          <w:rFonts w:hint="eastAsia" w:ascii="仿宋_GB2312" w:hAnsi="宋体" w:eastAsia="仿宋_GB2312"/>
          <w:sz w:val="32"/>
          <w:szCs w:val="32"/>
          <w:lang w:val="zh-CN"/>
        </w:rPr>
        <w:t>1.资金计划及到位。</w:t>
      </w:r>
    </w:p>
    <w:p>
      <w:pPr>
        <w:adjustRightInd w:val="0"/>
        <w:snapToGrid w:val="0"/>
        <w:spacing w:line="520" w:lineRule="exact"/>
        <w:ind w:firstLine="720"/>
        <w:rPr>
          <w:rFonts w:ascii="仿宋_GB2312" w:hAnsi="宋体" w:eastAsia="仿宋_GB2312"/>
          <w:sz w:val="32"/>
          <w:szCs w:val="32"/>
        </w:rPr>
      </w:pPr>
      <w:r>
        <w:rPr>
          <w:rFonts w:hint="eastAsia" w:ascii="仿宋_GB2312" w:hAnsi="宋体" w:eastAsia="仿宋_GB2312"/>
          <w:sz w:val="32"/>
          <w:szCs w:val="32"/>
          <w:lang w:val="zh-CN"/>
        </w:rPr>
        <w:t>该项目资金预算指标全部为上级资金，</w:t>
      </w:r>
      <w:r>
        <w:rPr>
          <w:rFonts w:hint="eastAsia" w:ascii="仿宋_GB2312" w:hAnsi="宋体" w:eastAsia="仿宋_GB2312"/>
          <w:sz w:val="32"/>
          <w:szCs w:val="32"/>
        </w:rPr>
        <w:t>以上资金预算指标全部及时到位。</w:t>
      </w:r>
    </w:p>
    <w:p>
      <w:pPr>
        <w:adjustRightInd w:val="0"/>
        <w:snapToGrid w:val="0"/>
        <w:spacing w:line="520" w:lineRule="exact"/>
        <w:ind w:firstLine="72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资金使用。</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截至评价时合计资金预算指标</w:t>
      </w:r>
      <w:r>
        <w:rPr>
          <w:rFonts w:hint="eastAsia" w:ascii="仿宋_GB2312" w:hAnsi="宋体" w:eastAsia="仿宋_GB2312"/>
          <w:sz w:val="32"/>
          <w:szCs w:val="32"/>
        </w:rPr>
        <w:t>42.2万元，目前申请38.88万元，剩余资金已收回财政。</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依照法律、行政法规和国家财政行政主管部门的规定建立财务、会计制度；在每一会计季度终了时制作财务会计报表，按国家和有关部门的规定进行审计，报送财政、税务、工商行政管理等部门；严格执行财务管理制度、财务处理及时、会计核算规范。</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52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w:t>
      </w:r>
      <w:r>
        <w:rPr>
          <w:rFonts w:hint="eastAsia" w:ascii="仿宋_GB2312" w:hAnsi="宋体" w:eastAsia="仿宋_GB2312"/>
          <w:sz w:val="32"/>
          <w:szCs w:val="32"/>
        </w:rPr>
        <w:t>已完成</w:t>
      </w:r>
      <w:r>
        <w:rPr>
          <w:rFonts w:hint="eastAsia" w:ascii="仿宋_GB2312" w:hAnsi="宋体" w:eastAsia="仿宋_GB2312"/>
          <w:sz w:val="32"/>
          <w:szCs w:val="32"/>
          <w:lang w:val="zh-CN"/>
        </w:rPr>
        <w:t>施工建设。</w:t>
      </w:r>
    </w:p>
    <w:p>
      <w:pPr>
        <w:adjustRightInd w:val="0"/>
        <w:snapToGrid w:val="0"/>
        <w:spacing w:line="52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实施</w:t>
      </w:r>
      <w:r>
        <w:rPr>
          <w:rFonts w:hint="eastAsia" w:ascii="仿宋_GB2312" w:hAnsi="宋体" w:eastAsia="仿宋_GB2312"/>
          <w:sz w:val="32"/>
          <w:szCs w:val="32"/>
        </w:rPr>
        <w:t>铁桩堰检查井溢流污水整治项目</w:t>
      </w:r>
      <w:r>
        <w:rPr>
          <w:rFonts w:hint="eastAsia" w:ascii="仿宋_GB2312" w:hAnsi="宋体" w:eastAsia="仿宋_GB2312"/>
          <w:sz w:val="32"/>
          <w:szCs w:val="32"/>
          <w:lang w:val="zh-CN"/>
        </w:rPr>
        <w:t>，</w:t>
      </w:r>
      <w:r>
        <w:rPr>
          <w:rFonts w:hint="eastAsia" w:ascii="仿宋_GB2312" w:hAnsi="宋体" w:eastAsia="仿宋_GB2312"/>
          <w:sz w:val="32"/>
          <w:szCs w:val="32"/>
        </w:rPr>
        <w:t>提高</w:t>
      </w:r>
      <w:r>
        <w:rPr>
          <w:rFonts w:hint="eastAsia" w:ascii="仿宋_GB2312" w:hAnsi="宋体" w:eastAsia="仿宋_GB2312"/>
          <w:sz w:val="32"/>
          <w:szCs w:val="32"/>
          <w:lang w:val="zh-CN"/>
        </w:rPr>
        <w:t>污水</w:t>
      </w:r>
      <w:r>
        <w:rPr>
          <w:rFonts w:hint="eastAsia" w:ascii="仿宋_GB2312" w:hAnsi="宋体" w:eastAsia="仿宋_GB2312"/>
          <w:sz w:val="32"/>
          <w:szCs w:val="32"/>
        </w:rPr>
        <w:t>管网</w:t>
      </w:r>
      <w:r>
        <w:rPr>
          <w:rFonts w:hint="eastAsia" w:ascii="仿宋_GB2312" w:hAnsi="宋体" w:eastAsia="仿宋_GB2312"/>
          <w:sz w:val="32"/>
          <w:szCs w:val="32"/>
          <w:lang w:val="zh-CN"/>
        </w:rPr>
        <w:t>收集能力，</w:t>
      </w:r>
      <w:r>
        <w:rPr>
          <w:rFonts w:hint="eastAsia" w:ascii="仿宋_GB2312" w:hAnsi="宋体" w:eastAsia="仿宋_GB2312"/>
          <w:sz w:val="32"/>
          <w:szCs w:val="32"/>
        </w:rPr>
        <w:t>确保</w:t>
      </w:r>
      <w:r>
        <w:rPr>
          <w:rFonts w:hint="eastAsia" w:ascii="仿宋_GB2312" w:hAnsi="宋体" w:eastAsia="仿宋_GB2312"/>
          <w:sz w:val="32"/>
          <w:szCs w:val="32"/>
          <w:lang w:val="zh-CN"/>
        </w:rPr>
        <w:t>管网内污水不溢流。</w:t>
      </w:r>
      <w:r>
        <w:rPr>
          <w:rFonts w:hint="eastAsia" w:ascii="仿宋_GB2312" w:hAnsi="宋体" w:eastAsia="仿宋_GB2312"/>
          <w:sz w:val="32"/>
          <w:szCs w:val="32"/>
        </w:rPr>
        <w:t>主要施工内容为：从溢流问题井穿二环路铺设250米直径400cm的污水收集管至江苏工业园区污水主管，并在二环路江苏工业园一侧修建收集100m</w:t>
      </w:r>
      <w:r>
        <w:rPr>
          <w:rFonts w:ascii="Calibri" w:hAnsi="Calibri" w:eastAsia="仿宋_GB2312" w:cs="Calibri"/>
          <w:sz w:val="32"/>
          <w:szCs w:val="32"/>
        </w:rPr>
        <w:t>³</w:t>
      </w:r>
      <w:r>
        <w:rPr>
          <w:rFonts w:hint="eastAsia" w:ascii="仿宋" w:hAnsi="仿宋" w:eastAsia="仿宋" w:cs="仿宋"/>
          <w:sz w:val="32"/>
          <w:szCs w:val="32"/>
        </w:rPr>
        <w:t>的污水调节池，目前，工程已完工，工程质量合格率</w:t>
      </w:r>
      <w:r>
        <w:rPr>
          <w:rFonts w:hint="eastAsia" w:ascii="仿宋_GB2312" w:hAnsi="宋体" w:eastAsia="仿宋_GB2312"/>
          <w:sz w:val="32"/>
          <w:szCs w:val="32"/>
        </w:rPr>
        <w:t>100%。</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20" w:lineRule="exact"/>
        <w:ind w:firstLine="720"/>
        <w:rPr>
          <w:rFonts w:ascii="仿宋_GB2312" w:hAnsi="宋体" w:eastAsia="仿宋_GB2312"/>
          <w:sz w:val="32"/>
          <w:szCs w:val="32"/>
        </w:rPr>
      </w:pPr>
      <w:r>
        <w:rPr>
          <w:rFonts w:hint="eastAsia" w:ascii="仿宋_GB2312" w:hAnsi="宋体" w:eastAsia="仿宋_GB2312"/>
          <w:sz w:val="32"/>
          <w:szCs w:val="32"/>
        </w:rPr>
        <w:t>可持续影响效益：提高区域内人民的生活质量，改善人们的生活环境。</w:t>
      </w:r>
    </w:p>
    <w:p>
      <w:pPr>
        <w:adjustRightInd w:val="0"/>
        <w:snapToGrid w:val="0"/>
        <w:spacing w:line="520" w:lineRule="exact"/>
        <w:ind w:firstLine="720"/>
        <w:rPr>
          <w:rFonts w:ascii="仿宋_GB2312" w:hAnsi="宋体" w:eastAsia="仿宋_GB2312"/>
          <w:sz w:val="32"/>
          <w:szCs w:val="32"/>
        </w:rPr>
      </w:pPr>
      <w:r>
        <w:rPr>
          <w:rFonts w:hint="eastAsia" w:ascii="仿宋_GB2312" w:hAnsi="宋体" w:eastAsia="仿宋_GB2312"/>
          <w:sz w:val="32"/>
          <w:szCs w:val="32"/>
          <w:lang w:val="zh-CN"/>
        </w:rPr>
        <w:t>服务对象满意度：极大地改善了绵竹市的水环境质量，为人民群众创造了健康的生活环境，提升人民幸福感，提高群众满意度</w:t>
      </w:r>
      <w:r>
        <w:rPr>
          <w:rFonts w:hint="eastAsia" w:ascii="仿宋_GB2312" w:hAnsi="宋体" w:eastAsia="仿宋_GB2312"/>
          <w:sz w:val="32"/>
          <w:szCs w:val="32"/>
        </w:rPr>
        <w:t>≥99%。</w:t>
      </w:r>
    </w:p>
    <w:p>
      <w:pPr>
        <w:adjustRightInd w:val="0"/>
        <w:snapToGrid w:val="0"/>
        <w:spacing w:line="52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52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520" w:lineRule="exact"/>
        <w:ind w:left="720"/>
        <w:rPr>
          <w:rFonts w:ascii="楷体_GB2312" w:hAnsi="宋体" w:eastAsia="楷体_GB2312"/>
          <w:b/>
          <w:sz w:val="32"/>
          <w:szCs w:val="32"/>
          <w:lang w:val="zh-CN"/>
        </w:rPr>
      </w:pPr>
      <w:r>
        <w:rPr>
          <w:rFonts w:hint="eastAsia" w:ascii="楷体_GB2312" w:hAnsi="宋体" w:eastAsia="楷体_GB2312"/>
          <w:b/>
          <w:sz w:val="32"/>
          <w:szCs w:val="32"/>
          <w:lang w:val="zh-CN"/>
        </w:rPr>
        <w:t>（二）相关建议。</w:t>
      </w:r>
    </w:p>
    <w:p>
      <w:pPr>
        <w:adjustRightInd w:val="0"/>
        <w:snapToGrid w:val="0"/>
        <w:spacing w:line="52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无。</w:t>
      </w:r>
    </w:p>
    <w:tbl>
      <w:tblPr>
        <w:tblStyle w:val="13"/>
        <w:tblW w:w="9346" w:type="dxa"/>
        <w:jc w:val="center"/>
        <w:tblLayout w:type="autofit"/>
        <w:tblCellMar>
          <w:top w:w="0" w:type="dxa"/>
          <w:left w:w="108" w:type="dxa"/>
          <w:bottom w:w="0" w:type="dxa"/>
          <w:right w:w="108" w:type="dxa"/>
        </w:tblCellMar>
      </w:tblPr>
      <w:tblGrid>
        <w:gridCol w:w="1080"/>
        <w:gridCol w:w="1140"/>
        <w:gridCol w:w="994"/>
        <w:gridCol w:w="1506"/>
        <w:gridCol w:w="700"/>
        <w:gridCol w:w="2020"/>
        <w:gridCol w:w="1906"/>
      </w:tblGrid>
      <w:tr>
        <w:tblPrEx>
          <w:tblCellMar>
            <w:top w:w="0" w:type="dxa"/>
            <w:left w:w="108" w:type="dxa"/>
            <w:bottom w:w="0" w:type="dxa"/>
            <w:right w:w="108" w:type="dxa"/>
          </w:tblCellMar>
        </w:tblPrEx>
        <w:trPr>
          <w:trHeight w:val="405" w:hRule="atLeast"/>
          <w:jc w:val="center"/>
        </w:trPr>
        <w:tc>
          <w:tcPr>
            <w:tcW w:w="9346"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346"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94"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506"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0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02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06"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720" w:hRule="atLeast"/>
          <w:jc w:val="center"/>
        </w:trPr>
        <w:tc>
          <w:tcPr>
            <w:tcW w:w="32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13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铁桩堰检查井溢流污水整治</w:t>
            </w:r>
          </w:p>
        </w:tc>
      </w:tr>
      <w:tr>
        <w:tblPrEx>
          <w:tblCellMar>
            <w:top w:w="0" w:type="dxa"/>
            <w:left w:w="108" w:type="dxa"/>
            <w:bottom w:w="0" w:type="dxa"/>
            <w:right w:w="108" w:type="dxa"/>
          </w:tblCellMar>
        </w:tblPrEx>
        <w:trPr>
          <w:trHeight w:val="420" w:hRule="atLeast"/>
          <w:jc w:val="center"/>
        </w:trPr>
        <w:tc>
          <w:tcPr>
            <w:tcW w:w="321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13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46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20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40.81万元</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38.88万元</w:t>
            </w:r>
          </w:p>
        </w:tc>
      </w:tr>
      <w:tr>
        <w:tblPrEx>
          <w:tblCellMar>
            <w:top w:w="0" w:type="dxa"/>
            <w:left w:w="108" w:type="dxa"/>
            <w:bottom w:w="0" w:type="dxa"/>
            <w:right w:w="108" w:type="dxa"/>
          </w:tblCellMar>
        </w:tblPrEx>
        <w:trPr>
          <w:trHeight w:val="57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20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40.81万元</w:t>
            </w:r>
          </w:p>
        </w:tc>
        <w:tc>
          <w:tcPr>
            <w:tcW w:w="202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38.88万元</w:t>
            </w:r>
          </w:p>
        </w:tc>
      </w:tr>
      <w:tr>
        <w:tblPrEx>
          <w:tblCellMar>
            <w:top w:w="0" w:type="dxa"/>
            <w:left w:w="108" w:type="dxa"/>
            <w:bottom w:w="0" w:type="dxa"/>
            <w:right w:w="108" w:type="dxa"/>
          </w:tblCellMar>
        </w:tblPrEx>
        <w:trPr>
          <w:trHeight w:val="66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20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02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0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3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9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94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3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完成铁桩堰检查井溢流污水整治。</w:t>
            </w:r>
          </w:p>
        </w:tc>
        <w:tc>
          <w:tcPr>
            <w:tcW w:w="392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截至2021年12月底，完成铁桩堰检查井溢流污水整治。</w:t>
            </w:r>
          </w:p>
        </w:tc>
      </w:tr>
      <w:tr>
        <w:tblPrEx>
          <w:tblCellMar>
            <w:top w:w="0" w:type="dxa"/>
            <w:left w:w="108" w:type="dxa"/>
            <w:bottom w:w="0" w:type="dxa"/>
            <w:right w:w="108" w:type="dxa"/>
          </w:tblCellMar>
        </w:tblPrEx>
        <w:trPr>
          <w:trHeight w:val="66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99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20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72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994"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20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输送水量</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3万吨</w:t>
            </w:r>
          </w:p>
        </w:tc>
        <w:tc>
          <w:tcPr>
            <w:tcW w:w="1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3万吨</w:t>
            </w:r>
          </w:p>
        </w:tc>
      </w:tr>
      <w:tr>
        <w:tblPrEx>
          <w:tblCellMar>
            <w:top w:w="0" w:type="dxa"/>
            <w:left w:w="108" w:type="dxa"/>
            <w:bottom w:w="0" w:type="dxa"/>
            <w:right w:w="108" w:type="dxa"/>
          </w:tblCellMar>
        </w:tblPrEx>
        <w:trPr>
          <w:trHeight w:val="61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99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20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录入率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99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20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w:t>
            </w:r>
          </w:p>
        </w:tc>
        <w:tc>
          <w:tcPr>
            <w:tcW w:w="1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w:t>
            </w:r>
          </w:p>
        </w:tc>
      </w:tr>
      <w:tr>
        <w:tblPrEx>
          <w:tblCellMar>
            <w:top w:w="0" w:type="dxa"/>
            <w:left w:w="108" w:type="dxa"/>
            <w:bottom w:w="0" w:type="dxa"/>
            <w:right w:w="108" w:type="dxa"/>
          </w:tblCellMar>
        </w:tblPrEx>
        <w:trPr>
          <w:trHeight w:val="73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99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20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费用支付</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等线" w:hAnsi="等线" w:eastAsia="等线" w:cs="宋体"/>
                <w:kern w:val="0"/>
                <w:sz w:val="20"/>
                <w:szCs w:val="20"/>
              </w:rPr>
              <w:t>≤</w:t>
            </w:r>
            <w:r>
              <w:rPr>
                <w:rFonts w:hint="eastAsia" w:ascii="宋体" w:hAnsi="宋体" w:cs="宋体"/>
                <w:kern w:val="0"/>
                <w:sz w:val="20"/>
                <w:szCs w:val="20"/>
              </w:rPr>
              <w:t>40.81万元</w:t>
            </w:r>
          </w:p>
        </w:tc>
        <w:tc>
          <w:tcPr>
            <w:tcW w:w="190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38.88万元</w:t>
            </w:r>
          </w:p>
        </w:tc>
      </w:tr>
      <w:tr>
        <w:tblPrEx>
          <w:tblCellMar>
            <w:top w:w="0" w:type="dxa"/>
            <w:left w:w="108" w:type="dxa"/>
            <w:bottom w:w="0" w:type="dxa"/>
            <w:right w:w="108" w:type="dxa"/>
          </w:tblCellMar>
        </w:tblPrEx>
        <w:trPr>
          <w:trHeight w:val="99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99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20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提高区域内人民的生活质量，改善人们的生活环境</w:t>
            </w:r>
          </w:p>
        </w:tc>
        <w:tc>
          <w:tcPr>
            <w:tcW w:w="2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99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20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群众满意度</w:t>
            </w:r>
          </w:p>
        </w:tc>
        <w:tc>
          <w:tcPr>
            <w:tcW w:w="20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190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jc w:val="center"/>
        <w:rPr>
          <w:rFonts w:ascii="仿宋_GB2312" w:hAnsi="宋体" w:eastAsia="仿宋_GB2312"/>
          <w:sz w:val="32"/>
          <w:szCs w:val="32"/>
        </w:rPr>
      </w:pPr>
      <w:r>
        <w:rPr>
          <w:rFonts w:hint="eastAsia" w:ascii="宋体" w:hAnsi="宋体" w:cs="宋体"/>
          <w:b/>
          <w:color w:val="000000"/>
          <w:kern w:val="0"/>
          <w:sz w:val="44"/>
          <w:szCs w:val="44"/>
        </w:rPr>
        <w:t>项目支出绩效自评报告</w:t>
      </w:r>
    </w:p>
    <w:p>
      <w:pPr>
        <w:jc w:val="center"/>
        <w:rPr>
          <w:rFonts w:ascii="仿宋_GB2312" w:hAnsi="宋体" w:eastAsia="仿宋_GB2312"/>
          <w:sz w:val="32"/>
          <w:szCs w:val="32"/>
        </w:rPr>
      </w:pPr>
      <w:r>
        <w:rPr>
          <w:rFonts w:hint="eastAsia" w:ascii="仿宋_GB2312" w:hAnsi="宋体" w:eastAsia="仿宋_GB2312"/>
          <w:sz w:val="32"/>
          <w:szCs w:val="32"/>
        </w:rPr>
        <w:t>（城市生活污水处理运行费项目）</w:t>
      </w:r>
    </w:p>
    <w:p>
      <w:pPr>
        <w:spacing w:line="600" w:lineRule="exact"/>
        <w:jc w:val="center"/>
        <w:rPr>
          <w:rFonts w:ascii="宋体" w:hAnsi="宋体"/>
          <w:sz w:val="32"/>
          <w:szCs w:val="32"/>
        </w:rPr>
      </w:pPr>
    </w:p>
    <w:p>
      <w:pPr>
        <w:adjustRightInd w:val="0"/>
        <w:snapToGrid w:val="0"/>
        <w:spacing w:line="600" w:lineRule="exact"/>
        <w:ind w:firstLine="803" w:firstLineChars="200"/>
        <w:rPr>
          <w:rFonts w:ascii="楷体_GB2312" w:hAnsi="宋体" w:eastAsia="楷体_GB2312"/>
          <w:b/>
          <w:sz w:val="40"/>
          <w:szCs w:val="40"/>
          <w:lang w:val="zh-CN"/>
        </w:rPr>
      </w:pPr>
      <w:r>
        <w:rPr>
          <w:rFonts w:hint="eastAsia" w:ascii="楷体_GB2312" w:hAnsi="宋体" w:eastAsia="楷体_GB2312"/>
          <w:b/>
          <w:sz w:val="40"/>
          <w:szCs w:val="40"/>
          <w:lang w:val="zh-CN"/>
        </w:rPr>
        <w:t>一、项目概况</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绵竹市城市污水处理厂位于孝德镇白衣村马尾河边，项目采用BOT模式，工程由绵竹弘润城市排水有限公司作为投资和运营主体，分为两期进行建设，并按相关规范要求进行提标升级。</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一期工程于2007年7月开工，2009年12月竣工试运行，2010年6月1日正式商业运行。一期工程投资4267.87万元，另配套建设截污干管22.49km、投资3000万元。一期工程设计处理能力为2.5万吨/天，服务区域为城区及部分乡镇，服务人口约12万。污水处理工艺采用CASS二级处理，出水各项污染物指标执行《城镇污水处理厂污染物排放标准》（GB18918-2002）一级B标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二期工程及管网延伸项目，其中包括厂外截污干管工程19.8公里，设计污水处理能力2.5万吨/日，出水水质标准执行《城镇污水处理厂污染物排放标准》（GB18918-2002）一级A标准。工程于2015年3月开始建设，于2016年9月完成工程建设与设备安装，在2016年10月进入试运行。2017年5月获得环保验收批复。二期工程完工后，绵竹市城市污水处理厂已达到处理能力5万吨/日，出水水质标准执行《城镇污水处理厂污染物排放标准》（GB18918-2002）一级A标准。</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提标升级工程于2019年9月开工建设，2019年12月31日达到通水条件，采用MBBR+高密度沉淀池+反硝化滤池工艺，2020年1月1日起，出水水质标准执行《四川省岷江。沱江流域水污染物排放标准》(DB51/2311-2016)。</w:t>
      </w:r>
    </w:p>
    <w:p>
      <w:pPr>
        <w:adjustRightInd w:val="0"/>
        <w:snapToGrid w:val="0"/>
        <w:spacing w:line="6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2021年初项目污水处理费财政预算3000万元（其中公共预算安排1900万元，污水处理费收入安排1100万元），</w:t>
      </w:r>
      <w:r>
        <w:rPr>
          <w:rFonts w:hint="eastAsia" w:ascii="仿宋_GB2312" w:hAnsi="宋体" w:eastAsia="仿宋_GB2312"/>
          <w:sz w:val="32"/>
          <w:szCs w:val="32"/>
          <w:lang w:val="zh-CN"/>
        </w:rPr>
        <w:t>以上资金预算使用符合资金管理办法等相关规定。</w:t>
      </w:r>
    </w:p>
    <w:p>
      <w:pPr>
        <w:adjustRightInd w:val="0"/>
        <w:snapToGrid w:val="0"/>
        <w:spacing w:line="6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该项目绩效总目标为日处理生活污水能力</w:t>
      </w:r>
      <w:r>
        <w:rPr>
          <w:rFonts w:hint="eastAsia" w:ascii="仿宋_GB2312" w:hAnsi="宋体" w:eastAsia="仿宋_GB2312"/>
          <w:sz w:val="32"/>
          <w:szCs w:val="32"/>
        </w:rPr>
        <w:t>5万吨规模，于2017年由德阳市环境保护局对该项目二期工程进行环保验收后，已达成项目绩效总目标。2021年资金预算指标为3000万元。</w:t>
      </w:r>
    </w:p>
    <w:p>
      <w:pPr>
        <w:adjustRightInd w:val="0"/>
        <w:snapToGrid w:val="0"/>
        <w:spacing w:line="6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（三）项目资金申报相符性。</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w:t>
      </w:r>
      <w:r>
        <w:rPr>
          <w:rFonts w:hint="eastAsia" w:ascii="仿宋_GB2312" w:hAnsi="宋体" w:eastAsia="仿宋_GB2312"/>
          <w:sz w:val="32"/>
          <w:szCs w:val="32"/>
        </w:rPr>
        <w:t>2021年年度资金预算指标合计3000万元，全部用于该项目污水处理费拨付，申报内容与具体实施内容相符，资金预算指标覆盖该项目当年应拨付污水处理费100%，申报目标总体合理。</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600" w:lineRule="exact"/>
        <w:ind w:firstLine="720"/>
        <w:rPr>
          <w:rFonts w:ascii="楷体_GB2312" w:hAnsi="宋体" w:eastAsia="楷体_GB2312"/>
          <w:sz w:val="32"/>
          <w:szCs w:val="32"/>
          <w:lang w:val="zh-CN"/>
        </w:rPr>
      </w:pPr>
      <w:r>
        <w:rPr>
          <w:rFonts w:hint="eastAsia" w:ascii="仿宋_GB2312" w:hAnsi="宋体" w:eastAsia="仿宋_GB2312"/>
          <w:sz w:val="32"/>
          <w:szCs w:val="32"/>
          <w:lang w:val="zh-CN"/>
        </w:rPr>
        <w:t>1.资金计划及到位。</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lang w:val="zh-CN"/>
        </w:rPr>
        <w:t>该项目资金预算指标全部为市财政资金，</w:t>
      </w:r>
      <w:r>
        <w:rPr>
          <w:rFonts w:hint="eastAsia" w:ascii="仿宋_GB2312" w:hAnsi="宋体" w:eastAsia="仿宋_GB2312"/>
          <w:sz w:val="32"/>
          <w:szCs w:val="32"/>
        </w:rPr>
        <w:t>到位率100%。</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资金使用。</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截至评价时合计资金预算指标</w:t>
      </w:r>
      <w:r>
        <w:rPr>
          <w:rFonts w:hint="eastAsia" w:ascii="仿宋_GB2312" w:hAnsi="宋体" w:eastAsia="仿宋_GB2312"/>
          <w:sz w:val="32"/>
          <w:szCs w:val="32"/>
        </w:rPr>
        <w:t>3000万元，全部用于该项目污水处理费的支付，支付标准及依据合规合法，资金支付与预算完全相符</w:t>
      </w:r>
      <w:r>
        <w:rPr>
          <w:rFonts w:hint="eastAsia" w:ascii="仿宋_GB2312" w:hAnsi="宋体" w:eastAsia="仿宋_GB2312"/>
          <w:sz w:val="32"/>
          <w:szCs w:val="32"/>
          <w:lang w:val="zh-CN"/>
        </w:rPr>
        <w:t>。</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依照法律、行政法规和国家财政行政主管部门的规定建立财务、会计制度；在每一会计季度终了时制作财务会计报表，按国家和有关部门的规定进行审计，报送财政、税务、工商行政管理等部门，并送交各股东审查；严格执行财务管理制度、财务处理及时、会计核算规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该项目由绵竹市人民政府授权绵竹市九顶污水处理有限公司进行特许经营协议的签订及日常监督和管理，每日安排专人对该项目运行情况及处理水量、水质进行监督，定期对该项目进行安全检查。</w:t>
      </w:r>
    </w:p>
    <w:p>
      <w:pPr>
        <w:adjustRightInd w:val="0"/>
        <w:snapToGrid w:val="0"/>
        <w:spacing w:line="60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color w:val="FF0000"/>
          <w:sz w:val="32"/>
          <w:szCs w:val="32"/>
        </w:rPr>
      </w:pPr>
      <w:r>
        <w:rPr>
          <w:rFonts w:hint="eastAsia" w:ascii="仿宋_GB2312" w:hAnsi="宋体" w:eastAsia="仿宋_GB2312"/>
          <w:sz w:val="32"/>
          <w:szCs w:val="32"/>
          <w:lang w:val="zh-CN"/>
        </w:rPr>
        <w:t>该项目绩效总目标为日处理生活污水</w:t>
      </w:r>
      <w:r>
        <w:rPr>
          <w:rFonts w:hint="eastAsia" w:ascii="仿宋_GB2312" w:hAnsi="宋体" w:eastAsia="仿宋_GB2312"/>
          <w:sz w:val="32"/>
          <w:szCs w:val="32"/>
        </w:rPr>
        <w:t>5万吨规模，一期工程2.5万吨日处理规模在2009年12月建成，二期工程已于2017年1月18日通过竣工验收，2018年5月通过环保验收，提标升级工程于2021年4月通过环保验收，完成项目绩效总目标。</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lang w:val="zh-CN"/>
        </w:rPr>
        <w:t>经济效益：根据国家建设部关于《征收排水设施有偿使用费的暂行规定》中的有关条例，参照有关城市的经验，结合本项目的实际情况，通过收取排污费，使本工程具有一定的经济效益。本项目并无显著的直接投资效益，但是，其投资的间接经济效益较为重要，主要是通过减少污水污染对社会造成的经济损失而表现出来。我国排水系统及污水处理设施建设的投入</w:t>
      </w:r>
      <w:r>
        <w:rPr>
          <w:rFonts w:hint="eastAsia" w:ascii="仿宋_GB2312" w:hAnsi="宋体" w:eastAsia="仿宋_GB2312"/>
          <w:sz w:val="32"/>
          <w:szCs w:val="32"/>
        </w:rPr>
        <w:t>可以减少因水污染造成的健康损失、地价损失、农业损失、工业损失。</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社会效益：城市污水处理工程是一项保护环境、建设文明卫生城市，为子孙后代造福的公用事业工程，其效益主要表现为社会效益。本项目实施后，有效地解决了绵竹市水污染问题，为城市服务，为社会服务，可改善城市市容，提高卫生水平，保护人民身体健康，保护绵竹市美丽的自然环境。同时，该项目的建设，改善了绵竹市的投资环境，吸引更多的投资机会，促进地区经济发展。因此，该项目是把绵竹市建设成为一座风景优美、经济繁荣、社会稳定、生活方便的现代化城镇至关重要的基础设施，可见，其社会效益是显著的。</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rPr>
        <w:t>生态效益与可持续效益：</w:t>
      </w:r>
      <w:r>
        <w:rPr>
          <w:rFonts w:hint="eastAsia" w:ascii="仿宋_GB2312" w:hAnsi="宋体" w:eastAsia="仿宋_GB2312"/>
          <w:sz w:val="32"/>
          <w:szCs w:val="32"/>
          <w:lang w:val="zh-CN"/>
        </w:rPr>
        <w:t>该项目建成后，每年截留大量的污染物，对改善区域水环境具有积极的作用，同时提高区域内人民的生活质量，改善人们的生活环境有明显的促进作用。同时，对改善下游河流以及城区的水环境质量都有十分积极的作用，带来的生态效益与可持续效益是明显的。</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服务对象满意度：该项目投运以来，一直稳定运行，达标排放，极大地改善了绵竹市的水环境质量，为人民群众创造了健康的生活环境，提升人民幸福感，提高群众满意度是明显的。</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1、部分老城区雨污未分流，遇暴雨季节无法全部处理管网来水。</w:t>
      </w:r>
    </w:p>
    <w:p>
      <w:pPr>
        <w:adjustRightInd w:val="0"/>
        <w:snapToGrid w:val="0"/>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2、部分企业、单位法律意识淡薄，偶尔偷排废水进入截污管网，在偷排时段内，大量高浓度废水进入该项目处理系统，对生化处理系统造成巨大的冲击，甚至可能造成处理系统崩溃，严重影响项目的稳定运行和达标排放。</w:t>
      </w:r>
    </w:p>
    <w:p>
      <w:pPr>
        <w:adjustRightInd w:val="0"/>
        <w:snapToGrid w:val="0"/>
        <w:spacing w:line="600" w:lineRule="exact"/>
        <w:ind w:left="720"/>
        <w:rPr>
          <w:rFonts w:ascii="楷体_GB2312" w:hAnsi="宋体" w:eastAsia="楷体_GB2312"/>
          <w:b/>
          <w:sz w:val="32"/>
          <w:szCs w:val="32"/>
          <w:lang w:val="zh-CN"/>
        </w:rPr>
      </w:pPr>
      <w:r>
        <w:rPr>
          <w:rFonts w:hint="eastAsia" w:ascii="楷体_GB2312" w:hAnsi="宋体" w:eastAsia="楷体_GB2312"/>
          <w:b/>
          <w:sz w:val="32"/>
          <w:szCs w:val="32"/>
          <w:lang w:val="zh-CN"/>
        </w:rPr>
        <w:t>（二）相关建议。</w:t>
      </w:r>
    </w:p>
    <w:p>
      <w:pPr>
        <w:numPr>
          <w:ilvl w:val="0"/>
          <w:numId w:val="21"/>
        </w:numPr>
        <w:adjustRightInd w:val="0"/>
        <w:snapToGrid w:val="0"/>
        <w:spacing w:line="600" w:lineRule="exact"/>
        <w:ind w:firstLine="640" w:firstLineChars="200"/>
        <w:rPr>
          <w:rFonts w:ascii="楷体_GB2312" w:hAnsi="宋体" w:eastAsia="楷体_GB2312"/>
          <w:b/>
          <w:sz w:val="32"/>
          <w:szCs w:val="32"/>
          <w:lang w:val="zh-CN"/>
        </w:rPr>
      </w:pPr>
      <w:r>
        <w:rPr>
          <w:rFonts w:hint="eastAsia" w:ascii="仿宋_GB2312" w:hAnsi="宋体" w:eastAsia="仿宋_GB2312"/>
          <w:sz w:val="32"/>
          <w:szCs w:val="32"/>
        </w:rPr>
        <w:t>对项目资金预算指标进行更加精细</w:t>
      </w:r>
      <w:r>
        <w:rPr>
          <w:rFonts w:hint="eastAsia" w:ascii="仿宋_GB2312" w:hAnsi="宋体" w:eastAsia="仿宋_GB2312"/>
          <w:sz w:val="32"/>
          <w:szCs w:val="32"/>
          <w:lang w:eastAsia="zh-CN"/>
        </w:rPr>
        <w:t>地</w:t>
      </w:r>
      <w:r>
        <w:rPr>
          <w:rFonts w:hint="eastAsia" w:ascii="仿宋_GB2312" w:hAnsi="宋体" w:eastAsia="仿宋_GB2312"/>
          <w:sz w:val="32"/>
          <w:szCs w:val="32"/>
        </w:rPr>
        <w:t>测算，缩小指标缺口。</w:t>
      </w:r>
    </w:p>
    <w:p>
      <w:pPr>
        <w:numPr>
          <w:ilvl w:val="0"/>
          <w:numId w:val="21"/>
        </w:numPr>
        <w:adjustRightInd w:val="0"/>
        <w:snapToGrid w:val="0"/>
        <w:spacing w:line="600" w:lineRule="exact"/>
        <w:ind w:firstLine="640" w:firstLineChars="200"/>
        <w:rPr>
          <w:rFonts w:ascii="楷体_GB2312" w:hAnsi="宋体" w:eastAsia="楷体_GB2312"/>
          <w:b/>
          <w:sz w:val="32"/>
          <w:szCs w:val="32"/>
          <w:lang w:val="zh-CN"/>
        </w:rPr>
      </w:pPr>
      <w:r>
        <w:rPr>
          <w:rFonts w:hint="eastAsia" w:ascii="仿宋_GB2312" w:hAnsi="宋体" w:eastAsia="仿宋_GB2312"/>
          <w:sz w:val="32"/>
          <w:szCs w:val="32"/>
          <w:lang w:val="zh-CN"/>
        </w:rPr>
        <w:t>改造老城区污水管网，逐步实现雨污分流，确保该项目在暴雨季节稳定运行，提升污水处理的效率。</w:t>
      </w:r>
    </w:p>
    <w:p>
      <w:pPr>
        <w:numPr>
          <w:ilvl w:val="0"/>
          <w:numId w:val="21"/>
        </w:numPr>
        <w:adjustRightInd w:val="0"/>
        <w:snapToGrid w:val="0"/>
        <w:spacing w:line="600" w:lineRule="exact"/>
        <w:ind w:firstLine="640" w:firstLineChars="200"/>
        <w:rPr>
          <w:rFonts w:ascii="楷体_GB2312" w:hAnsi="宋体" w:eastAsia="楷体_GB2312"/>
          <w:b/>
          <w:sz w:val="32"/>
          <w:szCs w:val="32"/>
          <w:lang w:val="zh-CN"/>
        </w:rPr>
      </w:pPr>
      <w:r>
        <w:rPr>
          <w:rFonts w:hint="eastAsia" w:ascii="仿宋_GB2312" w:hAnsi="宋体" w:eastAsia="仿宋_GB2312"/>
          <w:sz w:val="32"/>
          <w:szCs w:val="32"/>
          <w:lang w:val="zh-CN"/>
        </w:rPr>
        <w:t>协调污水收集管网各相关部门，建立合理的管理制度，根治偷排现象，为项目的稳定运行创造有利前提，确保出水稳定达标排放。</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320" w:type="dxa"/>
        <w:jc w:val="center"/>
        <w:tblLayout w:type="autofit"/>
        <w:tblCellMar>
          <w:top w:w="0" w:type="dxa"/>
          <w:left w:w="108" w:type="dxa"/>
          <w:bottom w:w="0" w:type="dxa"/>
          <w:right w:w="108" w:type="dxa"/>
        </w:tblCellMar>
      </w:tblPr>
      <w:tblGrid>
        <w:gridCol w:w="1080"/>
        <w:gridCol w:w="980"/>
        <w:gridCol w:w="1340"/>
        <w:gridCol w:w="1080"/>
        <w:gridCol w:w="700"/>
        <w:gridCol w:w="2020"/>
        <w:gridCol w:w="2120"/>
      </w:tblGrid>
      <w:tr>
        <w:tblPrEx>
          <w:tblCellMar>
            <w:top w:w="0" w:type="dxa"/>
            <w:left w:w="108" w:type="dxa"/>
            <w:bottom w:w="0" w:type="dxa"/>
            <w:right w:w="108" w:type="dxa"/>
          </w:tblCellMar>
        </w:tblPrEx>
        <w:trPr>
          <w:trHeight w:val="405" w:hRule="atLeast"/>
          <w:jc w:val="center"/>
        </w:trPr>
        <w:tc>
          <w:tcPr>
            <w:tcW w:w="932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32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4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0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02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12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20" w:hRule="atLeast"/>
          <w:jc w:val="center"/>
        </w:trPr>
        <w:tc>
          <w:tcPr>
            <w:tcW w:w="3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9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城市生活污水处理厂运行费</w:t>
            </w:r>
          </w:p>
        </w:tc>
      </w:tr>
      <w:tr>
        <w:tblPrEx>
          <w:tblCellMar>
            <w:top w:w="0" w:type="dxa"/>
            <w:left w:w="108" w:type="dxa"/>
            <w:bottom w:w="0" w:type="dxa"/>
            <w:right w:w="108" w:type="dxa"/>
          </w:tblCellMar>
        </w:tblPrEx>
        <w:trPr>
          <w:trHeight w:val="420" w:hRule="atLeast"/>
          <w:jc w:val="center"/>
        </w:trPr>
        <w:tc>
          <w:tcPr>
            <w:tcW w:w="3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92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40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7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3000万元</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3000万元</w:t>
            </w:r>
          </w:p>
        </w:tc>
      </w:tr>
      <w:tr>
        <w:tblPrEx>
          <w:tblCellMar>
            <w:top w:w="0" w:type="dxa"/>
            <w:left w:w="108" w:type="dxa"/>
            <w:bottom w:w="0" w:type="dxa"/>
            <w:right w:w="108" w:type="dxa"/>
          </w:tblCellMar>
        </w:tblPrEx>
        <w:trPr>
          <w:trHeight w:val="45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7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3000万元</w:t>
            </w:r>
          </w:p>
        </w:tc>
        <w:tc>
          <w:tcPr>
            <w:tcW w:w="202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3000万元</w:t>
            </w:r>
          </w:p>
        </w:tc>
      </w:tr>
      <w:tr>
        <w:tblPrEx>
          <w:tblCellMar>
            <w:top w:w="0" w:type="dxa"/>
            <w:left w:w="108" w:type="dxa"/>
            <w:bottom w:w="0" w:type="dxa"/>
            <w:right w:w="108" w:type="dxa"/>
          </w:tblCellMar>
        </w:tblPrEx>
        <w:trPr>
          <w:trHeight w:val="43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7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02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1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1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02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1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2021年全年污水处理量1682万m³，出水达到《四川省岷江、沱江流域水污染物排放标准》排放</w:t>
            </w:r>
          </w:p>
        </w:tc>
        <w:tc>
          <w:tcPr>
            <w:tcW w:w="41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截至2021年12月底，污水处理量1777.8万m³，出水水质全部达到《四川省岷江、沱江流域水污染物排放标准》排放</w:t>
            </w:r>
          </w:p>
        </w:tc>
      </w:tr>
      <w:tr>
        <w:tblPrEx>
          <w:tblCellMar>
            <w:top w:w="0" w:type="dxa"/>
            <w:left w:w="108" w:type="dxa"/>
            <w:bottom w:w="0" w:type="dxa"/>
            <w:right w:w="108" w:type="dxa"/>
          </w:tblCellMar>
        </w:tblPrEx>
        <w:trPr>
          <w:trHeight w:val="69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3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3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计划处理水量</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1682万m³</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1777.8万m³</w:t>
            </w:r>
          </w:p>
        </w:tc>
      </w:tr>
      <w:tr>
        <w:tblPrEx>
          <w:tblCellMar>
            <w:top w:w="0" w:type="dxa"/>
            <w:left w:w="108" w:type="dxa"/>
            <w:bottom w:w="0" w:type="dxa"/>
            <w:right w:w="108" w:type="dxa"/>
          </w:tblCellMar>
        </w:tblPrEx>
        <w:trPr>
          <w:trHeight w:val="141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达到《四川省岷江、沱江流域水污染物排放标准》排放</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COD＜30mg/L,NH</w:t>
            </w:r>
            <w:r>
              <w:rPr>
                <w:rFonts w:hint="eastAsia" w:ascii="宋体" w:hAnsi="宋体" w:cs="宋体"/>
                <w:kern w:val="0"/>
                <w:sz w:val="20"/>
                <w:szCs w:val="20"/>
                <w:vertAlign w:val="subscript"/>
              </w:rPr>
              <w:t>3</w:t>
            </w:r>
            <w:r>
              <w:rPr>
                <w:rFonts w:hint="eastAsia" w:ascii="宋体" w:hAnsi="宋体" w:cs="宋体"/>
                <w:color w:val="000000"/>
                <w:kern w:val="0"/>
                <w:sz w:val="20"/>
                <w:szCs w:val="20"/>
              </w:rPr>
              <w:t>-N＜1.5（3）mg/L，TP＜0.3mg/L，TN＜10mg/L</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达标率100%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7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2021年12月31日</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2021年12月31日</w:t>
            </w:r>
          </w:p>
        </w:tc>
      </w:tr>
      <w:tr>
        <w:tblPrEx>
          <w:tblCellMar>
            <w:top w:w="0" w:type="dxa"/>
            <w:left w:w="108" w:type="dxa"/>
            <w:bottom w:w="0" w:type="dxa"/>
            <w:right w:w="108" w:type="dxa"/>
          </w:tblCellMar>
        </w:tblPrEx>
        <w:trPr>
          <w:trHeight w:val="67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污水处理费财政预算</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3000万元</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3000万元</w:t>
            </w:r>
          </w:p>
        </w:tc>
      </w:tr>
      <w:tr>
        <w:tblPrEx>
          <w:tblCellMar>
            <w:top w:w="0" w:type="dxa"/>
            <w:left w:w="108" w:type="dxa"/>
            <w:bottom w:w="0" w:type="dxa"/>
            <w:right w:w="108" w:type="dxa"/>
          </w:tblCellMar>
        </w:tblPrEx>
        <w:trPr>
          <w:trHeight w:val="93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3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7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环境保护，造福子孙后代等社会效益</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对保护环境、建设文明卫生城市，为子孙后代造福等社会效益</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全年水污染物达到《四川省岷江、沱江流域水污染物排放标准》排放</w:t>
            </w:r>
          </w:p>
        </w:tc>
      </w:tr>
      <w:tr>
        <w:tblPrEx>
          <w:tblCellMar>
            <w:top w:w="0" w:type="dxa"/>
            <w:left w:w="108" w:type="dxa"/>
            <w:bottom w:w="0" w:type="dxa"/>
            <w:right w:w="108" w:type="dxa"/>
          </w:tblCellMar>
        </w:tblPrEx>
        <w:trPr>
          <w:trHeight w:val="66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生态效益指标</w:t>
            </w:r>
          </w:p>
        </w:tc>
        <w:tc>
          <w:tcPr>
            <w:tcW w:w="17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污染物减排量</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主要水污染物减排量</w:t>
            </w:r>
          </w:p>
        </w:tc>
        <w:tc>
          <w:tcPr>
            <w:tcW w:w="21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COD减排4905吨，NH</w:t>
            </w:r>
            <w:r>
              <w:rPr>
                <w:rFonts w:hint="eastAsia" w:ascii="宋体" w:hAnsi="宋体" w:cs="宋体"/>
                <w:kern w:val="0"/>
                <w:sz w:val="20"/>
                <w:szCs w:val="20"/>
                <w:vertAlign w:val="subscript"/>
              </w:rPr>
              <w:t>3</w:t>
            </w:r>
            <w:r>
              <w:rPr>
                <w:rFonts w:hint="eastAsia" w:ascii="宋体" w:hAnsi="宋体" w:cs="宋体"/>
                <w:color w:val="000000"/>
                <w:kern w:val="0"/>
                <w:sz w:val="20"/>
                <w:szCs w:val="20"/>
              </w:rPr>
              <w:t>-N减排226.5吨</w:t>
            </w:r>
          </w:p>
        </w:tc>
      </w:tr>
      <w:tr>
        <w:tblPrEx>
          <w:tblCellMar>
            <w:top w:w="0" w:type="dxa"/>
            <w:left w:w="108" w:type="dxa"/>
            <w:bottom w:w="0" w:type="dxa"/>
            <w:right w:w="108" w:type="dxa"/>
          </w:tblCellMar>
        </w:tblPrEx>
        <w:trPr>
          <w:trHeight w:val="130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4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可持续影响指标</w:t>
            </w:r>
          </w:p>
        </w:tc>
        <w:tc>
          <w:tcPr>
            <w:tcW w:w="1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水环境改善</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对改善下游河流以及城区的水环境质量都有十分积极的作用，带来的生态效益与可持续效益是明显的。</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对改善下游河流以及城区的水环境质量都有十分积极的作用，带来的生态效益与可持续效益是明显的。</w:t>
            </w:r>
          </w:p>
        </w:tc>
      </w:tr>
      <w:tr>
        <w:tblPrEx>
          <w:tblCellMar>
            <w:top w:w="0" w:type="dxa"/>
            <w:left w:w="108" w:type="dxa"/>
            <w:bottom w:w="0" w:type="dxa"/>
            <w:right w:w="108" w:type="dxa"/>
          </w:tblCellMar>
        </w:tblPrEx>
        <w:trPr>
          <w:trHeight w:val="88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7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群众满意度</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c>
          <w:tcPr>
            <w:tcW w:w="2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jc w:val="center"/>
        <w:rPr>
          <w:rFonts w:ascii="仿宋_GB2312" w:hAnsi="宋体" w:eastAsia="仿宋_GB2312"/>
          <w:sz w:val="32"/>
          <w:szCs w:val="32"/>
        </w:rPr>
      </w:pPr>
      <w:r>
        <w:rPr>
          <w:rFonts w:hint="eastAsia" w:ascii="宋体" w:hAnsi="宋体" w:cs="宋体"/>
          <w:b/>
          <w:color w:val="000000"/>
          <w:kern w:val="0"/>
          <w:sz w:val="44"/>
          <w:szCs w:val="44"/>
        </w:rPr>
        <w:t>项目支出绩效自评报告</w:t>
      </w:r>
    </w:p>
    <w:p>
      <w:pPr>
        <w:jc w:val="center"/>
        <w:rPr>
          <w:rFonts w:ascii="仿宋_GB2312" w:hAnsi="宋体" w:eastAsia="仿宋_GB2312"/>
          <w:sz w:val="32"/>
          <w:szCs w:val="32"/>
        </w:rPr>
      </w:pPr>
      <w:r>
        <w:rPr>
          <w:rFonts w:hint="eastAsia" w:ascii="仿宋_GB2312" w:hAnsi="宋体" w:eastAsia="仿宋_GB2312"/>
          <w:sz w:val="32"/>
          <w:szCs w:val="32"/>
        </w:rPr>
        <w:t>（汉旺小城镇建设配套资金）</w:t>
      </w:r>
    </w:p>
    <w:p>
      <w:pPr>
        <w:jc w:val="center"/>
        <w:rPr>
          <w:rFonts w:ascii="宋体" w:hAnsi="宋体"/>
          <w:sz w:val="32"/>
          <w:szCs w:val="32"/>
        </w:rPr>
      </w:pPr>
    </w:p>
    <w:p>
      <w:pPr>
        <w:adjustRightInd w:val="0"/>
        <w:snapToGrid w:val="0"/>
        <w:spacing w:line="560" w:lineRule="exact"/>
        <w:ind w:firstLine="803" w:firstLineChars="200"/>
        <w:rPr>
          <w:rFonts w:ascii="楷体_GB2312" w:hAnsi="宋体" w:eastAsia="楷体_GB2312"/>
          <w:b/>
          <w:sz w:val="40"/>
          <w:szCs w:val="40"/>
          <w:lang w:val="zh-CN"/>
        </w:rPr>
      </w:pPr>
      <w:r>
        <w:rPr>
          <w:rFonts w:hint="eastAsia" w:ascii="楷体_GB2312" w:hAnsi="宋体" w:eastAsia="楷体_GB2312"/>
          <w:b/>
          <w:sz w:val="40"/>
          <w:szCs w:val="40"/>
          <w:lang w:val="zh-CN"/>
        </w:rPr>
        <w:t>一、项目概况</w:t>
      </w:r>
    </w:p>
    <w:p>
      <w:pPr>
        <w:jc w:val="left"/>
        <w:rPr>
          <w:rFonts w:ascii="仿宋_GB2312" w:hAnsi="宋体" w:eastAsia="仿宋_GB2312"/>
          <w:sz w:val="32"/>
          <w:szCs w:val="32"/>
        </w:rPr>
      </w:pPr>
      <w:r>
        <w:rPr>
          <w:rFonts w:hint="eastAsia" w:ascii="仿宋_GB2312" w:hAnsi="宋体" w:eastAsia="仿宋_GB2312"/>
          <w:sz w:val="32"/>
          <w:szCs w:val="32"/>
        </w:rPr>
        <w:t xml:space="preserve">    汉旺小城镇建设配套资金项目，项目5个费用</w:t>
      </w:r>
      <w:r>
        <w:rPr>
          <w:rFonts w:hint="eastAsia" w:ascii="仿宋_GB2312" w:hAnsi="宋体" w:eastAsia="仿宋_GB2312"/>
          <w:sz w:val="32"/>
          <w:szCs w:val="32"/>
          <w:lang w:eastAsia="zh-CN"/>
        </w:rPr>
        <w:t>：</w:t>
      </w:r>
      <w:r>
        <w:rPr>
          <w:rFonts w:hint="eastAsia" w:ascii="仿宋_GB2312" w:hAnsi="宋体" w:eastAsia="仿宋_GB2312"/>
          <w:sz w:val="32"/>
          <w:szCs w:val="32"/>
        </w:rPr>
        <w:t>1.结算费；2.监理费；3.工程尾款；4.设计费；5.决算费。</w:t>
      </w:r>
    </w:p>
    <w:p>
      <w:pPr>
        <w:adjustRightInd w:val="0"/>
        <w:snapToGrid w:val="0"/>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60" w:lineRule="exact"/>
        <w:rPr>
          <w:rFonts w:ascii="仿宋_GB2312" w:hAnsi="宋体" w:eastAsia="仿宋_GB2312"/>
          <w:sz w:val="32"/>
          <w:szCs w:val="32"/>
        </w:rPr>
      </w:pPr>
      <w:r>
        <w:rPr>
          <w:rFonts w:hint="eastAsia" w:ascii="楷体_GB2312" w:hAnsi="宋体" w:eastAsia="楷体_GB2312"/>
          <w:b/>
          <w:sz w:val="32"/>
          <w:szCs w:val="32"/>
        </w:rPr>
        <w:t xml:space="preserve">    </w:t>
      </w:r>
      <w:r>
        <w:rPr>
          <w:rFonts w:hint="eastAsia" w:ascii="仿宋_GB2312" w:hAnsi="宋体" w:eastAsia="仿宋_GB2312"/>
          <w:sz w:val="32"/>
          <w:szCs w:val="32"/>
        </w:rPr>
        <w:t>2021年初市财政安排267450.59元</w:t>
      </w:r>
    </w:p>
    <w:p>
      <w:pPr>
        <w:adjustRightInd w:val="0"/>
        <w:snapToGrid w:val="0"/>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该项目绩效总目标为项目决算后，支付监理费、结算费、工程尾款、设计费、决算费。</w:t>
      </w:r>
    </w:p>
    <w:p>
      <w:pPr>
        <w:adjustRightInd w:val="0"/>
        <w:snapToGrid w:val="0"/>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（三）项目资金申报相符性。</w:t>
      </w:r>
    </w:p>
    <w:p>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w:t>
      </w:r>
      <w:r>
        <w:rPr>
          <w:rFonts w:hint="eastAsia" w:ascii="仿宋_GB2312" w:hAnsi="宋体" w:eastAsia="仿宋_GB2312"/>
          <w:sz w:val="32"/>
          <w:szCs w:val="32"/>
        </w:rPr>
        <w:t>2021年年度资金预算指标合计267450.59元，全部用于项目决算后</w:t>
      </w:r>
      <w:r>
        <w:rPr>
          <w:rFonts w:hint="eastAsia" w:ascii="仿宋_GB2312" w:hAnsi="宋体" w:eastAsia="仿宋_GB2312"/>
          <w:sz w:val="32"/>
          <w:szCs w:val="32"/>
          <w:lang w:val="zh-CN"/>
        </w:rPr>
        <w:t>监理费、结算费、工程尾款、设计费、决算费</w:t>
      </w:r>
      <w:r>
        <w:rPr>
          <w:rFonts w:hint="eastAsia" w:ascii="仿宋_GB2312" w:hAnsi="宋体" w:eastAsia="仿宋_GB2312"/>
          <w:sz w:val="32"/>
          <w:szCs w:val="32"/>
        </w:rPr>
        <w:t>共计267450.59元，申报内容与具体实施内容相符，资金预算指标覆盖该项目，申报目标总体合理。</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56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560" w:lineRule="exact"/>
        <w:ind w:firstLine="720"/>
        <w:rPr>
          <w:rFonts w:ascii="楷体_GB2312" w:hAnsi="宋体" w:eastAsia="楷体_GB2312"/>
          <w:sz w:val="32"/>
          <w:szCs w:val="32"/>
          <w:lang w:val="zh-CN"/>
        </w:rPr>
      </w:pPr>
      <w:r>
        <w:rPr>
          <w:rFonts w:hint="eastAsia" w:ascii="仿宋_GB2312" w:hAnsi="宋体" w:eastAsia="仿宋_GB2312"/>
          <w:sz w:val="32"/>
          <w:szCs w:val="32"/>
          <w:lang w:val="zh-CN"/>
        </w:rPr>
        <w:t>1.资金计划及到位。</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lang w:val="zh-CN"/>
        </w:rPr>
        <w:t>该项目资金预算指标全部为</w:t>
      </w:r>
      <w:r>
        <w:rPr>
          <w:rFonts w:hint="eastAsia" w:ascii="仿宋_GB2312" w:hAnsi="宋体" w:eastAsia="仿宋_GB2312"/>
          <w:sz w:val="32"/>
          <w:szCs w:val="32"/>
        </w:rPr>
        <w:t>财政资金</w:t>
      </w:r>
      <w:r>
        <w:rPr>
          <w:rFonts w:hint="eastAsia" w:ascii="仿宋_GB2312" w:hAnsi="宋体" w:eastAsia="仿宋_GB2312"/>
          <w:sz w:val="32"/>
          <w:szCs w:val="32"/>
          <w:lang w:val="zh-CN"/>
        </w:rPr>
        <w:t>，在通过人大会议后年初指标在</w:t>
      </w:r>
      <w:r>
        <w:rPr>
          <w:rFonts w:hint="eastAsia" w:ascii="仿宋_GB2312" w:hAnsi="宋体" w:eastAsia="仿宋_GB2312"/>
          <w:sz w:val="32"/>
          <w:szCs w:val="32"/>
        </w:rPr>
        <w:t>2021年2月到位，以上资金预算指标全部及时到位，到位率100%。</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资金使用。</w:t>
      </w:r>
    </w:p>
    <w:p>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截至评价时实现资金支付</w:t>
      </w:r>
      <w:r>
        <w:rPr>
          <w:rFonts w:hint="eastAsia" w:ascii="仿宋_GB2312" w:hAnsi="宋体" w:eastAsia="仿宋_GB2312"/>
          <w:sz w:val="32"/>
          <w:szCs w:val="32"/>
        </w:rPr>
        <w:t>267450.59元，支付标准及依据合规合法，资金支付与预算完全相符</w:t>
      </w:r>
      <w:r>
        <w:rPr>
          <w:rFonts w:hint="eastAsia" w:ascii="仿宋_GB2312" w:hAnsi="宋体" w:eastAsia="仿宋_GB2312"/>
          <w:sz w:val="32"/>
          <w:szCs w:val="32"/>
          <w:lang w:val="zh-CN"/>
        </w:rPr>
        <w:t>。</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依照法律、行政法规和国家财政行政主管部门的规定建立财务、会计制度；在每一会计季度终了时制作财务会计报表，按国家和有关部门的规定进行审计，报送财政、税务、工商行政管理等部门；严格执行财务管理制度、财务处理及时、会计核算规范。</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lang w:val="zh-CN"/>
        </w:rPr>
        <w:t>该项目由汉旺镇人民政府</w:t>
      </w:r>
      <w:r>
        <w:rPr>
          <w:rFonts w:hint="eastAsia" w:ascii="仿宋_GB2312" w:hAnsi="宋体" w:eastAsia="仿宋_GB2312"/>
          <w:sz w:val="32"/>
          <w:szCs w:val="32"/>
        </w:rPr>
        <w:t>，目前已完成项目决算工作。</w:t>
      </w:r>
    </w:p>
    <w:p>
      <w:pPr>
        <w:adjustRightInd w:val="0"/>
        <w:snapToGrid w:val="0"/>
        <w:spacing w:line="56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lang w:val="zh-CN"/>
        </w:rPr>
        <w:t>该项目绩效总目标为</w:t>
      </w:r>
      <w:r>
        <w:rPr>
          <w:rFonts w:hint="eastAsia" w:ascii="仿宋_GB2312" w:hAnsi="宋体" w:eastAsia="仿宋_GB2312"/>
          <w:sz w:val="32"/>
          <w:szCs w:val="32"/>
        </w:rPr>
        <w:t>完成项目决算，支付未支付的款项。</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rPr>
        <w:t>社会效益：改善了汉旺场镇的基础设施薄弱的问题。</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lang w:val="zh-CN"/>
        </w:rPr>
        <w:t>服务对象满意度：该项目投运以来，群众满意</w:t>
      </w:r>
      <w:r>
        <w:rPr>
          <w:rFonts w:hint="eastAsia" w:ascii="仿宋_GB2312" w:hAnsi="宋体" w:eastAsia="仿宋_GB2312"/>
          <w:sz w:val="32"/>
          <w:szCs w:val="32"/>
        </w:rPr>
        <w:t>。</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560" w:lineRule="exact"/>
        <w:ind w:firstLine="960" w:firstLineChars="30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（二）相关建议。</w:t>
      </w:r>
    </w:p>
    <w:p>
      <w:pPr>
        <w:adjustRightInd w:val="0"/>
        <w:snapToGrid w:val="0"/>
        <w:spacing w:line="560" w:lineRule="exact"/>
        <w:ind w:firstLine="960" w:firstLineChars="3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8981" w:type="dxa"/>
        <w:jc w:val="center"/>
        <w:tblLayout w:type="autofit"/>
        <w:tblCellMar>
          <w:top w:w="0" w:type="dxa"/>
          <w:left w:w="108" w:type="dxa"/>
          <w:bottom w:w="0" w:type="dxa"/>
          <w:right w:w="108" w:type="dxa"/>
        </w:tblCellMar>
      </w:tblPr>
      <w:tblGrid>
        <w:gridCol w:w="1080"/>
        <w:gridCol w:w="1140"/>
        <w:gridCol w:w="1374"/>
        <w:gridCol w:w="1559"/>
        <w:gridCol w:w="107"/>
        <w:gridCol w:w="236"/>
        <w:gridCol w:w="1500"/>
        <w:gridCol w:w="1985"/>
      </w:tblGrid>
      <w:tr>
        <w:tblPrEx>
          <w:tblCellMar>
            <w:top w:w="0" w:type="dxa"/>
            <w:left w:w="108" w:type="dxa"/>
            <w:bottom w:w="0" w:type="dxa"/>
            <w:right w:w="108" w:type="dxa"/>
          </w:tblCellMar>
        </w:tblPrEx>
        <w:trPr>
          <w:trHeight w:val="405" w:hRule="atLeast"/>
          <w:jc w:val="center"/>
        </w:trPr>
        <w:tc>
          <w:tcPr>
            <w:tcW w:w="8981" w:type="dxa"/>
            <w:gridSpan w:val="8"/>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8981" w:type="dxa"/>
            <w:gridSpan w:val="8"/>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74"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666" w:type="dxa"/>
            <w:gridSpan w:val="2"/>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36"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50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85"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48" w:hRule="atLeast"/>
          <w:jc w:val="center"/>
        </w:trPr>
        <w:tc>
          <w:tcPr>
            <w:tcW w:w="35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387"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汉旺小城镇建设配套资金</w:t>
            </w:r>
          </w:p>
        </w:tc>
      </w:tr>
      <w:tr>
        <w:tblPrEx>
          <w:tblCellMar>
            <w:top w:w="0" w:type="dxa"/>
            <w:left w:w="108" w:type="dxa"/>
            <w:bottom w:w="0" w:type="dxa"/>
            <w:right w:w="108" w:type="dxa"/>
          </w:tblCellMar>
        </w:tblPrEx>
        <w:trPr>
          <w:trHeight w:val="537" w:hRule="atLeast"/>
          <w:jc w:val="center"/>
        </w:trPr>
        <w:tc>
          <w:tcPr>
            <w:tcW w:w="359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387"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512"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51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55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26.745059万元</w:t>
            </w:r>
          </w:p>
        </w:tc>
        <w:tc>
          <w:tcPr>
            <w:tcW w:w="1843" w:type="dxa"/>
            <w:gridSpan w:val="3"/>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26.745059万元</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14"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55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26.745059万元</w:t>
            </w:r>
          </w:p>
        </w:tc>
        <w:tc>
          <w:tcPr>
            <w:tcW w:w="1843" w:type="dxa"/>
            <w:gridSpan w:val="3"/>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26.745059万元</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14"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55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43" w:type="dxa"/>
            <w:gridSpan w:val="3"/>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3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073"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82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85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073"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完成省级城镇基础设施建设。</w:t>
            </w:r>
          </w:p>
        </w:tc>
        <w:tc>
          <w:tcPr>
            <w:tcW w:w="382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完成省级城镇基础设施建设。</w:t>
            </w:r>
          </w:p>
        </w:tc>
      </w:tr>
      <w:tr>
        <w:tblPrEx>
          <w:tblCellMar>
            <w:top w:w="0" w:type="dxa"/>
            <w:left w:w="108" w:type="dxa"/>
            <w:bottom w:w="0" w:type="dxa"/>
            <w:right w:w="108" w:type="dxa"/>
          </w:tblCellMar>
        </w:tblPrEx>
        <w:trPr>
          <w:trHeight w:val="788"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37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84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854"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374"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559" w:type="dxa"/>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按合同约定完成工作量</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54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7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验收通过</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7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184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w:t>
            </w:r>
          </w:p>
        </w:tc>
      </w:tr>
      <w:tr>
        <w:tblPrEx>
          <w:tblCellMar>
            <w:top w:w="0" w:type="dxa"/>
            <w:left w:w="108" w:type="dxa"/>
            <w:bottom w:w="0" w:type="dxa"/>
            <w:right w:w="108" w:type="dxa"/>
          </w:tblCellMar>
        </w:tblPrEx>
        <w:trPr>
          <w:trHeight w:val="73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7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追加费用</w:t>
            </w:r>
          </w:p>
        </w:tc>
        <w:tc>
          <w:tcPr>
            <w:tcW w:w="1843" w:type="dxa"/>
            <w:gridSpan w:val="3"/>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≦27.98万元</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26.745059万元</w:t>
            </w:r>
          </w:p>
        </w:tc>
      </w:tr>
      <w:tr>
        <w:tblPrEx>
          <w:tblCellMar>
            <w:top w:w="0" w:type="dxa"/>
            <w:left w:w="108" w:type="dxa"/>
            <w:bottom w:w="0" w:type="dxa"/>
            <w:right w:w="108" w:type="dxa"/>
          </w:tblCellMar>
        </w:tblPrEx>
        <w:trPr>
          <w:trHeight w:val="73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37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改善水环境</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37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55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群众满意度</w:t>
            </w:r>
          </w:p>
        </w:tc>
        <w:tc>
          <w:tcPr>
            <w:tcW w:w="1843" w:type="dxa"/>
            <w:gridSpan w:val="3"/>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198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jc w:val="center"/>
        <w:rPr>
          <w:rFonts w:ascii="仿宋_GB2312" w:hAnsi="宋体" w:eastAsia="仿宋_GB2312"/>
          <w:sz w:val="32"/>
          <w:szCs w:val="32"/>
        </w:rPr>
      </w:pPr>
      <w:r>
        <w:rPr>
          <w:rFonts w:hint="eastAsia" w:ascii="宋体" w:hAnsi="宋体" w:cs="宋体"/>
          <w:b/>
          <w:color w:val="000000"/>
          <w:kern w:val="0"/>
          <w:sz w:val="44"/>
          <w:szCs w:val="44"/>
        </w:rPr>
        <w:t>项目支出绩效自评报告</w:t>
      </w:r>
    </w:p>
    <w:p>
      <w:pPr>
        <w:jc w:val="center"/>
        <w:rPr>
          <w:rFonts w:ascii="仿宋_GB2312" w:hAnsi="宋体" w:eastAsia="仿宋_GB2312"/>
          <w:sz w:val="32"/>
          <w:szCs w:val="32"/>
        </w:rPr>
      </w:pPr>
      <w:r>
        <w:rPr>
          <w:rFonts w:hint="eastAsia" w:ascii="仿宋_GB2312" w:hAnsi="宋体" w:eastAsia="仿宋_GB2312"/>
          <w:sz w:val="32"/>
          <w:szCs w:val="32"/>
        </w:rPr>
        <w:t>（2021年截污干管运维项目）</w:t>
      </w:r>
    </w:p>
    <w:p>
      <w:pPr>
        <w:jc w:val="center"/>
        <w:rPr>
          <w:rFonts w:ascii="宋体" w:hAnsi="宋体"/>
          <w:sz w:val="32"/>
          <w:szCs w:val="32"/>
        </w:rPr>
      </w:pPr>
    </w:p>
    <w:p>
      <w:pPr>
        <w:adjustRightInd w:val="0"/>
        <w:snapToGrid w:val="0"/>
        <w:spacing w:line="560" w:lineRule="exact"/>
        <w:ind w:firstLine="803" w:firstLineChars="200"/>
        <w:rPr>
          <w:rFonts w:ascii="楷体_GB2312" w:hAnsi="宋体" w:eastAsia="楷体_GB2312"/>
          <w:b/>
          <w:sz w:val="40"/>
          <w:szCs w:val="40"/>
          <w:lang w:val="zh-CN"/>
        </w:rPr>
      </w:pPr>
      <w:r>
        <w:rPr>
          <w:rFonts w:hint="eastAsia" w:ascii="楷体_GB2312" w:hAnsi="宋体" w:eastAsia="楷体_GB2312"/>
          <w:b/>
          <w:sz w:val="40"/>
          <w:szCs w:val="40"/>
          <w:lang w:val="zh-CN"/>
        </w:rPr>
        <w:t>一、项目概况</w:t>
      </w:r>
    </w:p>
    <w:p>
      <w:pPr>
        <w:jc w:val="left"/>
        <w:rPr>
          <w:rFonts w:ascii="仿宋_GB2312" w:hAnsi="宋体" w:eastAsia="仿宋_GB2312"/>
          <w:sz w:val="32"/>
          <w:szCs w:val="32"/>
        </w:rPr>
      </w:pPr>
      <w:r>
        <w:rPr>
          <w:rFonts w:hint="eastAsia" w:ascii="仿宋_GB2312" w:hAnsi="宋体" w:eastAsia="仿宋_GB2312"/>
          <w:sz w:val="32"/>
          <w:szCs w:val="32"/>
        </w:rPr>
        <w:t xml:space="preserve">    2021年截污干管运维项目资金73.69万元用于截污干管运维项目。</w:t>
      </w:r>
    </w:p>
    <w:p>
      <w:pPr>
        <w:adjustRightInd w:val="0"/>
        <w:snapToGrid w:val="0"/>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60" w:lineRule="exact"/>
        <w:rPr>
          <w:rFonts w:ascii="仿宋_GB2312" w:hAnsi="宋体" w:eastAsia="仿宋_GB2312"/>
          <w:sz w:val="32"/>
          <w:szCs w:val="32"/>
        </w:rPr>
      </w:pPr>
      <w:r>
        <w:rPr>
          <w:rFonts w:hint="eastAsia" w:ascii="楷体_GB2312" w:hAnsi="宋体" w:eastAsia="楷体_GB2312"/>
          <w:b/>
          <w:sz w:val="32"/>
          <w:szCs w:val="32"/>
        </w:rPr>
        <w:t xml:space="preserve">    </w:t>
      </w:r>
      <w:r>
        <w:rPr>
          <w:rFonts w:hint="eastAsia" w:ascii="仿宋_GB2312" w:hAnsi="宋体" w:eastAsia="仿宋_GB2312"/>
          <w:sz w:val="32"/>
          <w:szCs w:val="32"/>
        </w:rPr>
        <w:t>绵竹市发改局《关于调整弘润城市排水公司污水处理费结算价格的通知》（ 竹发改价格（2020）56号）批复资金73.69万元。</w:t>
      </w:r>
    </w:p>
    <w:p>
      <w:pPr>
        <w:adjustRightInd w:val="0"/>
        <w:snapToGrid w:val="0"/>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该项目绩效总目标为：</w:t>
      </w:r>
      <w:r>
        <w:rPr>
          <w:rFonts w:hint="eastAsia" w:ascii="仿宋_GB2312" w:hAnsi="宋体" w:eastAsia="仿宋_GB2312"/>
          <w:sz w:val="32"/>
          <w:szCs w:val="32"/>
        </w:rPr>
        <w:t>建成后的</w:t>
      </w:r>
      <w:r>
        <w:rPr>
          <w:rFonts w:hint="eastAsia" w:ascii="仿宋_GB2312" w:hAnsi="宋体" w:eastAsia="仿宋_GB2312"/>
          <w:sz w:val="32"/>
          <w:szCs w:val="32"/>
          <w:lang w:val="zh-CN"/>
        </w:rPr>
        <w:t>管网维修及后期管理，提高污水管网完好及使用率。</w:t>
      </w:r>
    </w:p>
    <w:p>
      <w:pPr>
        <w:adjustRightInd w:val="0"/>
        <w:snapToGrid w:val="0"/>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（三）项目资金申报相符性。</w:t>
      </w:r>
    </w:p>
    <w:p>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w:t>
      </w:r>
      <w:r>
        <w:rPr>
          <w:rFonts w:hint="eastAsia" w:ascii="仿宋_GB2312" w:hAnsi="宋体" w:eastAsia="仿宋_GB2312"/>
          <w:sz w:val="32"/>
          <w:szCs w:val="32"/>
        </w:rPr>
        <w:t>2021年年度资金预算指标合计73.69万元，全部用于截污干管运维项目，申报内容与具体实施内容相符，资金预算指标覆盖该项目，申报目标总体合理。</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56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560" w:lineRule="exact"/>
        <w:ind w:firstLine="720"/>
        <w:rPr>
          <w:rFonts w:ascii="楷体_GB2312" w:hAnsi="宋体" w:eastAsia="楷体_GB2312"/>
          <w:sz w:val="32"/>
          <w:szCs w:val="32"/>
          <w:lang w:val="zh-CN"/>
        </w:rPr>
      </w:pPr>
      <w:r>
        <w:rPr>
          <w:rFonts w:hint="eastAsia" w:ascii="仿宋_GB2312" w:hAnsi="宋体" w:eastAsia="仿宋_GB2312"/>
          <w:sz w:val="32"/>
          <w:szCs w:val="32"/>
          <w:lang w:val="zh-CN"/>
        </w:rPr>
        <w:t>1.资金计划及到位。</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lang w:val="zh-CN"/>
        </w:rPr>
        <w:t>该项目资金预算指标全部为上级资金，</w:t>
      </w:r>
      <w:r>
        <w:rPr>
          <w:rFonts w:hint="eastAsia" w:ascii="仿宋_GB2312" w:hAnsi="宋体" w:eastAsia="仿宋_GB2312"/>
          <w:sz w:val="32"/>
          <w:szCs w:val="32"/>
        </w:rPr>
        <w:t>以上资金预算指标全部及时到位。</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资金使用。</w:t>
      </w:r>
    </w:p>
    <w:p>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截至评价时合计资金预算指标</w:t>
      </w:r>
      <w:r>
        <w:rPr>
          <w:rFonts w:hint="eastAsia" w:ascii="仿宋_GB2312" w:hAnsi="宋体" w:eastAsia="仿宋_GB2312"/>
          <w:sz w:val="32"/>
          <w:szCs w:val="32"/>
        </w:rPr>
        <w:t>73.69万元，目前已申请使用73.69万元。</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依照法律、行政法规和国家财政行政主管部门的规定建立财务、会计制度；在每一会计季度终了时制作财务会计报表，按国家和有关部门的规定进行审计，报送财政、税务、工商行政管理等部门；严格执行财务管理制度、财务处理及时、会计核算规范。</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该项目正在施工建设。</w:t>
      </w:r>
    </w:p>
    <w:p>
      <w:pPr>
        <w:adjustRightInd w:val="0"/>
        <w:snapToGrid w:val="0"/>
        <w:spacing w:line="56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60" w:lineRule="exact"/>
        <w:ind w:firstLine="640" w:firstLineChars="200"/>
        <w:rPr>
          <w:rFonts w:ascii="仿宋_GB2312" w:hAnsi="宋体" w:eastAsia="仿宋_GB2312"/>
          <w:color w:val="FF0000"/>
          <w:sz w:val="32"/>
          <w:szCs w:val="32"/>
          <w:lang w:val="zh-CN"/>
        </w:rPr>
      </w:pPr>
      <w:r>
        <w:rPr>
          <w:rFonts w:hint="eastAsia" w:ascii="仿宋_GB2312" w:hAnsi="宋体" w:eastAsia="仿宋_GB2312"/>
          <w:sz w:val="32"/>
          <w:szCs w:val="32"/>
          <w:lang w:val="zh-CN"/>
        </w:rPr>
        <w:t>目前已完成：累计清淤400余处，更换井圈井盖70余套，安装尼龙防坠网500余套</w:t>
      </w:r>
      <w:r>
        <w:rPr>
          <w:rFonts w:hint="eastAsia" w:ascii="仿宋_GB2312" w:hAnsi="宋体" w:eastAsia="仿宋_GB2312"/>
          <w:sz w:val="32"/>
          <w:szCs w:val="32"/>
        </w:rPr>
        <w:t>，质量合格率100%。</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lang w:val="zh-CN"/>
        </w:rPr>
        <w:t>经济效益：</w:t>
      </w:r>
      <w:r>
        <w:rPr>
          <w:rFonts w:hint="eastAsia" w:ascii="仿宋_GB2312" w:hAnsi="宋体" w:eastAsia="仿宋_GB2312"/>
          <w:sz w:val="32"/>
          <w:szCs w:val="32"/>
        </w:rPr>
        <w:t>通过维护及维修管网，</w:t>
      </w:r>
      <w:r>
        <w:rPr>
          <w:rFonts w:hint="eastAsia" w:ascii="仿宋_GB2312" w:hAnsi="宋体" w:eastAsia="仿宋_GB2312"/>
          <w:sz w:val="32"/>
          <w:szCs w:val="32"/>
          <w:lang w:val="zh-CN"/>
        </w:rPr>
        <w:t>提高污水管网完好及使用率</w:t>
      </w:r>
      <w:r>
        <w:rPr>
          <w:rFonts w:hint="eastAsia" w:ascii="仿宋_GB2312" w:hAnsi="宋体" w:eastAsia="仿宋_GB2312"/>
          <w:sz w:val="32"/>
          <w:szCs w:val="32"/>
        </w:rPr>
        <w:t>。</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lang w:val="zh-CN"/>
        </w:rPr>
        <w:t>服务对象满意度：极大地改善了绵竹市的水环境质量，为人民群众创造了健康的生活环境，提升人民幸福感，提高群众满意度。</w:t>
      </w:r>
      <w:r>
        <w:rPr>
          <w:rFonts w:hint="eastAsia" w:ascii="仿宋_GB2312" w:hAnsi="宋体" w:eastAsia="仿宋_GB2312"/>
          <w:sz w:val="32"/>
          <w:szCs w:val="32"/>
        </w:rPr>
        <w:t>≥99%。</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560" w:lineRule="exact"/>
        <w:ind w:firstLine="1040" w:firstLineChars="325"/>
        <w:rPr>
          <w:rFonts w:ascii="仿宋_GB2312" w:hAnsi="宋体" w:eastAsia="仿宋_GB2312"/>
          <w:sz w:val="32"/>
          <w:szCs w:val="32"/>
        </w:rPr>
      </w:pPr>
      <w:r>
        <w:rPr>
          <w:rFonts w:hint="eastAsia" w:ascii="仿宋_GB2312" w:hAnsi="宋体" w:eastAsia="仿宋_GB2312"/>
          <w:sz w:val="32"/>
          <w:szCs w:val="32"/>
        </w:rPr>
        <w:t>无</w:t>
      </w:r>
    </w:p>
    <w:p>
      <w:pPr>
        <w:adjustRightInd w:val="0"/>
        <w:snapToGrid w:val="0"/>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（二）相关建议。</w:t>
      </w:r>
    </w:p>
    <w:p>
      <w:pPr>
        <w:adjustRightInd w:val="0"/>
        <w:snapToGrid w:val="0"/>
        <w:spacing w:line="560" w:lineRule="exact"/>
        <w:ind w:firstLine="1040" w:firstLineChars="325"/>
        <w:rPr>
          <w:rFonts w:ascii="仿宋_GB2312" w:hAnsi="宋体" w:eastAsia="仿宋_GB2312"/>
          <w:sz w:val="32"/>
          <w:szCs w:val="32"/>
        </w:rPr>
      </w:pPr>
      <w:r>
        <w:rPr>
          <w:rFonts w:hint="eastAsia" w:ascii="仿宋_GB2312" w:hAnsi="宋体" w:eastAsia="仿宋_GB2312"/>
          <w:sz w:val="32"/>
          <w:szCs w:val="32"/>
        </w:rPr>
        <w:t>无</w:t>
      </w:r>
    </w:p>
    <w:tbl>
      <w:tblPr>
        <w:tblStyle w:val="13"/>
        <w:tblW w:w="10008" w:type="dxa"/>
        <w:jc w:val="center"/>
        <w:tblLayout w:type="autofit"/>
        <w:tblCellMar>
          <w:top w:w="0" w:type="dxa"/>
          <w:left w:w="108" w:type="dxa"/>
          <w:bottom w:w="0" w:type="dxa"/>
          <w:right w:w="108" w:type="dxa"/>
        </w:tblCellMar>
      </w:tblPr>
      <w:tblGrid>
        <w:gridCol w:w="1080"/>
        <w:gridCol w:w="980"/>
        <w:gridCol w:w="1343"/>
        <w:gridCol w:w="1337"/>
        <w:gridCol w:w="506"/>
        <w:gridCol w:w="2409"/>
        <w:gridCol w:w="2353"/>
      </w:tblGrid>
      <w:tr>
        <w:tblPrEx>
          <w:tblCellMar>
            <w:top w:w="0" w:type="dxa"/>
            <w:left w:w="108" w:type="dxa"/>
            <w:bottom w:w="0" w:type="dxa"/>
            <w:right w:w="108" w:type="dxa"/>
          </w:tblCellMar>
        </w:tblPrEx>
        <w:trPr>
          <w:trHeight w:val="405" w:hRule="atLeast"/>
          <w:jc w:val="center"/>
        </w:trPr>
        <w:tc>
          <w:tcPr>
            <w:tcW w:w="10008"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10008"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43"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337"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506"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409"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353"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20" w:hRule="atLeast"/>
          <w:jc w:val="center"/>
        </w:trPr>
        <w:tc>
          <w:tcPr>
            <w:tcW w:w="34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60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截污干管运维费</w:t>
            </w:r>
          </w:p>
        </w:tc>
      </w:tr>
      <w:tr>
        <w:tblPrEx>
          <w:tblCellMar>
            <w:top w:w="0" w:type="dxa"/>
            <w:left w:w="108" w:type="dxa"/>
            <w:bottom w:w="0" w:type="dxa"/>
            <w:right w:w="108" w:type="dxa"/>
          </w:tblCellMar>
        </w:tblPrEx>
        <w:trPr>
          <w:trHeight w:val="420" w:hRule="atLeast"/>
          <w:jc w:val="center"/>
        </w:trPr>
        <w:tc>
          <w:tcPr>
            <w:tcW w:w="3403"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60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42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3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73.69万元</w:t>
            </w:r>
          </w:p>
        </w:tc>
        <w:tc>
          <w:tcPr>
            <w:tcW w:w="240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3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73.69万元</w:t>
            </w:r>
          </w:p>
        </w:tc>
      </w:tr>
      <w:tr>
        <w:tblPrEx>
          <w:tblCellMar>
            <w:top w:w="0" w:type="dxa"/>
            <w:left w:w="108" w:type="dxa"/>
            <w:bottom w:w="0" w:type="dxa"/>
            <w:right w:w="108" w:type="dxa"/>
          </w:tblCellMar>
        </w:tblPrEx>
        <w:trPr>
          <w:trHeight w:val="5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73.69万元</w:t>
            </w:r>
          </w:p>
        </w:tc>
        <w:tc>
          <w:tcPr>
            <w:tcW w:w="2409"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3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73.69万元</w:t>
            </w:r>
          </w:p>
        </w:tc>
      </w:tr>
      <w:tr>
        <w:tblPrEx>
          <w:tblCellMar>
            <w:top w:w="0" w:type="dxa"/>
            <w:left w:w="108" w:type="dxa"/>
            <w:bottom w:w="0" w:type="dxa"/>
            <w:right w:w="108" w:type="dxa"/>
          </w:tblCellMar>
        </w:tblPrEx>
        <w:trPr>
          <w:trHeight w:val="58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23"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409"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35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16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76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03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16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提高污水管网完好及使用率   </w:t>
            </w:r>
          </w:p>
        </w:tc>
        <w:tc>
          <w:tcPr>
            <w:tcW w:w="476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城市生活污水截污干管及清土路截污干管正常运维，确保污水顺利输送至城市生活污水处理厂。</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34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3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34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343"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输送水量</w:t>
            </w:r>
          </w:p>
        </w:tc>
        <w:tc>
          <w:tcPr>
            <w:tcW w:w="2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1682万吨</w:t>
            </w:r>
          </w:p>
        </w:tc>
        <w:tc>
          <w:tcPr>
            <w:tcW w:w="23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1859万吨</w:t>
            </w:r>
          </w:p>
        </w:tc>
      </w:tr>
      <w:tr>
        <w:tblPrEx>
          <w:tblCellMar>
            <w:top w:w="0" w:type="dxa"/>
            <w:left w:w="108" w:type="dxa"/>
            <w:bottom w:w="0" w:type="dxa"/>
            <w:right w:w="108" w:type="dxa"/>
          </w:tblCellMar>
        </w:tblPrEx>
        <w:trPr>
          <w:trHeight w:val="42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完成截污干管维修维护</w:t>
            </w:r>
          </w:p>
        </w:tc>
        <w:tc>
          <w:tcPr>
            <w:tcW w:w="2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≥50处</w:t>
            </w:r>
          </w:p>
        </w:tc>
        <w:tc>
          <w:tcPr>
            <w:tcW w:w="23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240处</w:t>
            </w:r>
          </w:p>
        </w:tc>
      </w:tr>
      <w:tr>
        <w:tblPrEx>
          <w:tblCellMar>
            <w:top w:w="0" w:type="dxa"/>
            <w:left w:w="108" w:type="dxa"/>
            <w:bottom w:w="0" w:type="dxa"/>
            <w:right w:w="108" w:type="dxa"/>
          </w:tblCellMar>
        </w:tblPrEx>
        <w:trPr>
          <w:trHeight w:val="67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4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完成清土路污水管维修维护</w:t>
            </w:r>
          </w:p>
        </w:tc>
        <w:tc>
          <w:tcPr>
            <w:tcW w:w="2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≥50处</w:t>
            </w:r>
          </w:p>
        </w:tc>
        <w:tc>
          <w:tcPr>
            <w:tcW w:w="23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185处</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43"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管网收集率</w:t>
            </w:r>
          </w:p>
        </w:tc>
        <w:tc>
          <w:tcPr>
            <w:tcW w:w="2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93%</w:t>
            </w:r>
          </w:p>
        </w:tc>
        <w:tc>
          <w:tcPr>
            <w:tcW w:w="23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43"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w:t>
            </w:r>
          </w:p>
        </w:tc>
        <w:tc>
          <w:tcPr>
            <w:tcW w:w="23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w:t>
            </w:r>
          </w:p>
        </w:tc>
      </w:tr>
      <w:tr>
        <w:tblPrEx>
          <w:tblCellMar>
            <w:top w:w="0" w:type="dxa"/>
            <w:left w:w="108" w:type="dxa"/>
            <w:bottom w:w="0" w:type="dxa"/>
            <w:right w:w="108" w:type="dxa"/>
          </w:tblCellMar>
        </w:tblPrEx>
        <w:trPr>
          <w:trHeight w:val="73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43"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房改房维修基金计息本金总额</w:t>
            </w:r>
          </w:p>
        </w:tc>
        <w:tc>
          <w:tcPr>
            <w:tcW w:w="24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2326.9万元</w:t>
            </w:r>
          </w:p>
        </w:tc>
        <w:tc>
          <w:tcPr>
            <w:tcW w:w="23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2326.9万元</w:t>
            </w:r>
          </w:p>
        </w:tc>
      </w:tr>
      <w:tr>
        <w:tblPrEx>
          <w:tblCellMar>
            <w:top w:w="0" w:type="dxa"/>
            <w:left w:w="108" w:type="dxa"/>
            <w:bottom w:w="0" w:type="dxa"/>
            <w:right w:w="108" w:type="dxa"/>
          </w:tblCellMar>
        </w:tblPrEx>
        <w:trPr>
          <w:trHeight w:val="73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343"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提高区域内人民的生活质量，改善人们的生活环境</w:t>
            </w:r>
          </w:p>
        </w:tc>
        <w:tc>
          <w:tcPr>
            <w:tcW w:w="2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23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r>
      <w:tr>
        <w:tblPrEx>
          <w:tblCellMar>
            <w:top w:w="0" w:type="dxa"/>
            <w:left w:w="108" w:type="dxa"/>
            <w:bottom w:w="0" w:type="dxa"/>
            <w:right w:w="108" w:type="dxa"/>
          </w:tblCellMar>
        </w:tblPrEx>
        <w:trPr>
          <w:trHeight w:val="61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43"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收集区域内污水</w:t>
            </w:r>
          </w:p>
        </w:tc>
        <w:tc>
          <w:tcPr>
            <w:tcW w:w="2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c>
          <w:tcPr>
            <w:tcW w:w="23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34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服务对象满意度</w:t>
            </w:r>
          </w:p>
        </w:tc>
        <w:tc>
          <w:tcPr>
            <w:tcW w:w="2409"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235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jc w:val="center"/>
        <w:rPr>
          <w:rFonts w:ascii="仿宋_GB2312" w:hAnsi="宋体" w:eastAsia="仿宋_GB2312"/>
          <w:sz w:val="32"/>
          <w:szCs w:val="32"/>
        </w:rPr>
      </w:pPr>
      <w:r>
        <w:rPr>
          <w:rFonts w:hint="eastAsia" w:ascii="宋体" w:hAnsi="宋体" w:cs="宋体"/>
          <w:b/>
          <w:color w:val="000000"/>
          <w:kern w:val="0"/>
          <w:sz w:val="44"/>
          <w:szCs w:val="44"/>
        </w:rPr>
        <w:t>项目支出绩效自评报告</w:t>
      </w:r>
    </w:p>
    <w:p>
      <w:pPr>
        <w:jc w:val="center"/>
        <w:rPr>
          <w:rFonts w:ascii="仿宋_GB2312" w:hAnsi="宋体" w:eastAsia="仿宋_GB2312"/>
          <w:sz w:val="32"/>
          <w:szCs w:val="32"/>
        </w:rPr>
      </w:pPr>
      <w:r>
        <w:rPr>
          <w:rFonts w:hint="eastAsia" w:ascii="仿宋_GB2312" w:hAnsi="宋体" w:eastAsia="仿宋_GB2312"/>
          <w:sz w:val="32"/>
          <w:szCs w:val="32"/>
        </w:rPr>
        <w:t>（绵竹市城乡供排水一体化PPP项目新建污水处理厂</w:t>
      </w:r>
    </w:p>
    <w:p>
      <w:pPr>
        <w:jc w:val="center"/>
        <w:rPr>
          <w:rFonts w:ascii="仿宋_GB2312" w:hAnsi="宋体" w:eastAsia="仿宋_GB2312"/>
          <w:sz w:val="32"/>
          <w:szCs w:val="32"/>
        </w:rPr>
      </w:pPr>
      <w:r>
        <w:rPr>
          <w:rFonts w:hint="eastAsia" w:ascii="仿宋_GB2312" w:hAnsi="宋体" w:eastAsia="仿宋_GB2312"/>
          <w:sz w:val="32"/>
          <w:szCs w:val="32"/>
        </w:rPr>
        <w:t>划拨用地费用项目）</w:t>
      </w:r>
    </w:p>
    <w:p>
      <w:pPr>
        <w:jc w:val="center"/>
        <w:rPr>
          <w:rFonts w:ascii="宋体" w:hAnsi="宋体"/>
          <w:sz w:val="32"/>
          <w:szCs w:val="32"/>
        </w:rPr>
      </w:pPr>
    </w:p>
    <w:p>
      <w:pPr>
        <w:adjustRightInd w:val="0"/>
        <w:snapToGrid w:val="0"/>
        <w:spacing w:line="560" w:lineRule="exact"/>
        <w:ind w:firstLine="803" w:firstLineChars="200"/>
        <w:rPr>
          <w:rFonts w:ascii="楷体_GB2312" w:hAnsi="宋体" w:eastAsia="楷体_GB2312"/>
          <w:b/>
          <w:sz w:val="40"/>
          <w:szCs w:val="40"/>
          <w:lang w:val="zh-CN"/>
        </w:rPr>
      </w:pPr>
      <w:r>
        <w:rPr>
          <w:rFonts w:hint="eastAsia" w:ascii="楷体_GB2312" w:hAnsi="宋体" w:eastAsia="楷体_GB2312"/>
          <w:b/>
          <w:sz w:val="40"/>
          <w:szCs w:val="40"/>
          <w:lang w:val="zh-CN"/>
        </w:rPr>
        <w:t>一、项目概况</w:t>
      </w:r>
    </w:p>
    <w:p>
      <w:pPr>
        <w:jc w:val="left"/>
        <w:rPr>
          <w:rFonts w:ascii="仿宋_GB2312" w:hAnsi="宋体" w:eastAsia="仿宋_GB2312"/>
          <w:sz w:val="32"/>
          <w:szCs w:val="32"/>
        </w:rPr>
      </w:pPr>
      <w:r>
        <w:rPr>
          <w:rFonts w:hint="eastAsia" w:ascii="仿宋_GB2312" w:hAnsi="宋体" w:eastAsia="仿宋_GB2312"/>
          <w:sz w:val="32"/>
          <w:szCs w:val="32"/>
        </w:rPr>
        <w:t xml:space="preserve">    在绵竹市域内新建10个污水处理厂（站）需划拨供地，并支付用地费。</w:t>
      </w:r>
    </w:p>
    <w:p>
      <w:pPr>
        <w:adjustRightInd w:val="0"/>
        <w:snapToGrid w:val="0"/>
        <w:spacing w:line="560" w:lineRule="exact"/>
        <w:ind w:left="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60" w:lineRule="exact"/>
        <w:rPr>
          <w:rFonts w:ascii="仿宋_GB2312" w:hAnsi="宋体" w:eastAsia="仿宋_GB2312"/>
          <w:sz w:val="32"/>
          <w:szCs w:val="32"/>
        </w:rPr>
      </w:pPr>
      <w:r>
        <w:rPr>
          <w:rFonts w:hint="eastAsia" w:ascii="楷体_GB2312" w:hAnsi="宋体" w:eastAsia="楷体_GB2312"/>
          <w:b/>
          <w:sz w:val="32"/>
          <w:szCs w:val="32"/>
        </w:rPr>
        <w:t xml:space="preserve">    </w:t>
      </w:r>
      <w:r>
        <w:rPr>
          <w:rFonts w:hint="eastAsia" w:ascii="仿宋_GB2312" w:hAnsi="宋体" w:eastAsia="仿宋_GB2312"/>
          <w:sz w:val="32"/>
          <w:szCs w:val="32"/>
        </w:rPr>
        <w:t>市财政局年初预算批复资金351.72万元。</w:t>
      </w:r>
    </w:p>
    <w:p>
      <w:pPr>
        <w:adjustRightInd w:val="0"/>
        <w:snapToGrid w:val="0"/>
        <w:spacing w:line="560" w:lineRule="exact"/>
        <w:ind w:left="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该项目绩效总目标为：完成项目建设并投运。</w:t>
      </w:r>
    </w:p>
    <w:p>
      <w:pPr>
        <w:adjustRightInd w:val="0"/>
        <w:snapToGrid w:val="0"/>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（三）项目资金申报相符性。</w:t>
      </w:r>
    </w:p>
    <w:p>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w:t>
      </w:r>
      <w:r>
        <w:rPr>
          <w:rFonts w:hint="eastAsia" w:ascii="仿宋_GB2312" w:hAnsi="宋体" w:eastAsia="仿宋_GB2312"/>
          <w:sz w:val="32"/>
          <w:szCs w:val="32"/>
        </w:rPr>
        <w:t>2021年年度资金预算指标合计351.72万元，全部用于绵竹市城乡供排水一体化PPP项目新建污水处理厂划拨用地费用，申报内容与具体实施内容相符，资金预算指标覆盖该项目，申报目标总体合理。</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560" w:lineRule="exact"/>
        <w:ind w:firstLine="720"/>
        <w:rPr>
          <w:rFonts w:ascii="黑体" w:hAnsi="宋体" w:eastAsia="黑体"/>
          <w:sz w:val="32"/>
          <w:szCs w:val="32"/>
        </w:rPr>
      </w:pPr>
      <w:r>
        <w:rPr>
          <w:rFonts w:hint="eastAsia" w:ascii="楷体_GB2312" w:hAnsi="宋体" w:eastAsia="楷体_GB2312"/>
          <w:b/>
          <w:sz w:val="32"/>
          <w:szCs w:val="32"/>
          <w:lang w:val="zh-CN"/>
        </w:rPr>
        <w:t>（一）资金计划、到位及使用情况。</w:t>
      </w:r>
    </w:p>
    <w:p>
      <w:pPr>
        <w:adjustRightInd w:val="0"/>
        <w:snapToGrid w:val="0"/>
        <w:spacing w:line="560" w:lineRule="exact"/>
        <w:ind w:firstLine="720"/>
        <w:rPr>
          <w:rFonts w:ascii="楷体_GB2312" w:hAnsi="宋体" w:eastAsia="楷体_GB2312"/>
          <w:sz w:val="32"/>
          <w:szCs w:val="32"/>
          <w:lang w:val="zh-CN"/>
        </w:rPr>
      </w:pPr>
      <w:r>
        <w:rPr>
          <w:rFonts w:hint="eastAsia" w:ascii="仿宋_GB2312" w:hAnsi="宋体" w:eastAsia="仿宋_GB2312"/>
          <w:sz w:val="32"/>
          <w:szCs w:val="32"/>
          <w:lang w:val="zh-CN"/>
        </w:rPr>
        <w:t>1.资金计划及到位。</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lang w:val="zh-CN"/>
        </w:rPr>
        <w:t>该项目资金预算指标全部为本级资金，</w:t>
      </w:r>
      <w:r>
        <w:rPr>
          <w:rFonts w:hint="eastAsia" w:ascii="仿宋_GB2312" w:hAnsi="宋体" w:eastAsia="仿宋_GB2312"/>
          <w:sz w:val="32"/>
          <w:szCs w:val="32"/>
        </w:rPr>
        <w:t>2021年2月到位，以上资金预算指标全部及时到位。</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资金使用。</w:t>
      </w:r>
    </w:p>
    <w:p>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截至评价时合计资金预算指标</w:t>
      </w:r>
      <w:r>
        <w:rPr>
          <w:rFonts w:hint="eastAsia" w:ascii="仿宋_GB2312" w:hAnsi="宋体" w:eastAsia="仿宋_GB2312"/>
          <w:sz w:val="32"/>
          <w:szCs w:val="32"/>
        </w:rPr>
        <w:t>351.72万元，已实现支付。</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依照法律、行政法规和国家财政行政主管部门的规定建立财务、会计制度；在每一会计季度终了时制作财务会计报表，按国家和有关部门的规定进行审计，报送财政、税务、工商行政管理等部门；严格执行财务管理制度、财务处理及时、会计核算规范。</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w:t>
      </w:r>
      <w:r>
        <w:rPr>
          <w:rFonts w:hint="eastAsia" w:ascii="仿宋_GB2312" w:hAnsi="宋体" w:eastAsia="仿宋_GB2312"/>
          <w:sz w:val="32"/>
          <w:szCs w:val="32"/>
        </w:rPr>
        <w:t>已完工且投入运行</w:t>
      </w:r>
      <w:r>
        <w:rPr>
          <w:rFonts w:hint="eastAsia" w:ascii="仿宋_GB2312" w:hAnsi="宋体" w:eastAsia="仿宋_GB2312"/>
          <w:sz w:val="32"/>
          <w:szCs w:val="32"/>
          <w:lang w:val="zh-CN"/>
        </w:rPr>
        <w:t>。</w:t>
      </w:r>
    </w:p>
    <w:p>
      <w:pPr>
        <w:adjustRightInd w:val="0"/>
        <w:snapToGrid w:val="0"/>
        <w:spacing w:line="56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60" w:lineRule="exact"/>
        <w:ind w:firstLine="640" w:firstLineChars="200"/>
        <w:rPr>
          <w:rFonts w:ascii="仿宋_GB2312" w:hAnsi="宋体" w:eastAsia="仿宋_GB2312"/>
          <w:color w:val="FF0000"/>
          <w:sz w:val="32"/>
          <w:szCs w:val="32"/>
        </w:rPr>
      </w:pPr>
      <w:r>
        <w:rPr>
          <w:rFonts w:hint="eastAsia" w:ascii="仿宋_GB2312" w:hAnsi="宋体" w:eastAsia="仿宋_GB2312"/>
          <w:sz w:val="32"/>
          <w:szCs w:val="32"/>
          <w:lang w:val="zh-CN"/>
        </w:rPr>
        <w:t>实施基础设施提升工程，加快推动城乡基础设施一体化，着力完善城镇功能。</w:t>
      </w:r>
      <w:r>
        <w:rPr>
          <w:rFonts w:hint="eastAsia" w:ascii="仿宋_GB2312" w:hAnsi="宋体" w:eastAsia="仿宋_GB2312"/>
          <w:sz w:val="32"/>
          <w:szCs w:val="32"/>
        </w:rPr>
        <w:t>项目已完工并投入运行。</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lang w:val="zh-CN"/>
        </w:rPr>
        <w:t>经济效益：吸引外商投资，带动群众增收致富，夯实镇域经济高质量发展底部基础</w:t>
      </w:r>
      <w:r>
        <w:rPr>
          <w:rFonts w:hint="eastAsia" w:ascii="仿宋_GB2312" w:hAnsi="宋体" w:eastAsia="仿宋_GB2312"/>
          <w:sz w:val="32"/>
          <w:szCs w:val="32"/>
        </w:rPr>
        <w:t>。</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rPr>
        <w:t>社会效益：改善场镇整体生态环境，推动城镇基础设施一体化，创建高品质生活宜居地，场镇基础设施改造率100%。</w:t>
      </w:r>
    </w:p>
    <w:p>
      <w:pPr>
        <w:adjustRightInd w:val="0"/>
        <w:snapToGrid w:val="0"/>
        <w:spacing w:line="560" w:lineRule="exact"/>
        <w:ind w:firstLine="720"/>
        <w:rPr>
          <w:rFonts w:ascii="仿宋_GB2312" w:hAnsi="宋体" w:eastAsia="仿宋_GB2312"/>
          <w:sz w:val="32"/>
          <w:szCs w:val="32"/>
        </w:rPr>
      </w:pPr>
      <w:r>
        <w:rPr>
          <w:rFonts w:hint="eastAsia" w:ascii="仿宋_GB2312" w:hAnsi="宋体" w:eastAsia="仿宋_GB2312"/>
          <w:sz w:val="32"/>
          <w:szCs w:val="32"/>
          <w:lang w:val="zh-CN"/>
        </w:rPr>
        <w:t>服务对象满意度：上级管理部门和群众满意度</w:t>
      </w:r>
      <w:r>
        <w:rPr>
          <w:rFonts w:hint="eastAsia" w:ascii="仿宋_GB2312" w:hAnsi="宋体" w:eastAsia="仿宋_GB2312"/>
          <w:sz w:val="32"/>
          <w:szCs w:val="32"/>
        </w:rPr>
        <w:t>≥95%。</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560" w:lineRule="exact"/>
        <w:ind w:firstLine="960" w:firstLineChars="300"/>
        <w:rPr>
          <w:rFonts w:ascii="仿宋_GB2312" w:hAnsi="宋体" w:eastAsia="仿宋_GB2312"/>
          <w:sz w:val="32"/>
          <w:szCs w:val="32"/>
        </w:rPr>
      </w:pPr>
      <w:r>
        <w:rPr>
          <w:rFonts w:hint="eastAsia" w:ascii="仿宋_GB2312" w:hAnsi="宋体" w:eastAsia="仿宋_GB2312"/>
          <w:sz w:val="32"/>
          <w:szCs w:val="32"/>
        </w:rPr>
        <w:t>无。</w:t>
      </w:r>
    </w:p>
    <w:p>
      <w:pPr>
        <w:adjustRightInd w:val="0"/>
        <w:snapToGrid w:val="0"/>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（二）相关建议。</w:t>
      </w:r>
    </w:p>
    <w:p>
      <w:pPr>
        <w:adjustRightInd w:val="0"/>
        <w:snapToGrid w:val="0"/>
        <w:spacing w:line="560" w:lineRule="exact"/>
        <w:ind w:firstLine="960" w:firstLineChars="300"/>
        <w:rPr>
          <w:rFonts w:ascii="仿宋_GB2312" w:hAnsi="宋体" w:eastAsia="仿宋_GB2312"/>
          <w:sz w:val="32"/>
          <w:szCs w:val="32"/>
        </w:rPr>
      </w:pPr>
      <w:r>
        <w:rPr>
          <w:rFonts w:hint="eastAsia" w:ascii="仿宋_GB2312" w:hAnsi="宋体" w:eastAsia="仿宋_GB2312"/>
          <w:sz w:val="32"/>
          <w:szCs w:val="32"/>
        </w:rPr>
        <w:t>无。</w:t>
      </w:r>
    </w:p>
    <w:p>
      <w:pPr>
        <w:pStyle w:val="2"/>
        <w:spacing w:before="93"/>
        <w:rPr>
          <w:rFonts w:hAnsi="宋体" w:cs="宋体"/>
          <w:sz w:val="32"/>
          <w:szCs w:val="32"/>
          <w:shd w:val="clear" w:color="auto" w:fill="FFFFFF"/>
        </w:rPr>
      </w:pPr>
    </w:p>
    <w:tbl>
      <w:tblPr>
        <w:tblStyle w:val="13"/>
        <w:tblW w:w="9803" w:type="dxa"/>
        <w:jc w:val="center"/>
        <w:tblLayout w:type="autofit"/>
        <w:tblCellMar>
          <w:top w:w="0" w:type="dxa"/>
          <w:left w:w="108" w:type="dxa"/>
          <w:bottom w:w="0" w:type="dxa"/>
          <w:right w:w="108" w:type="dxa"/>
        </w:tblCellMar>
      </w:tblPr>
      <w:tblGrid>
        <w:gridCol w:w="1020"/>
        <w:gridCol w:w="960"/>
        <w:gridCol w:w="1500"/>
        <w:gridCol w:w="1080"/>
        <w:gridCol w:w="565"/>
        <w:gridCol w:w="2145"/>
        <w:gridCol w:w="2533"/>
      </w:tblGrid>
      <w:tr>
        <w:tblPrEx>
          <w:tblCellMar>
            <w:top w:w="0" w:type="dxa"/>
            <w:left w:w="108" w:type="dxa"/>
            <w:bottom w:w="0" w:type="dxa"/>
            <w:right w:w="108" w:type="dxa"/>
          </w:tblCellMar>
        </w:tblPrEx>
        <w:trPr>
          <w:trHeight w:val="405" w:hRule="atLeast"/>
          <w:jc w:val="center"/>
        </w:trPr>
        <w:tc>
          <w:tcPr>
            <w:tcW w:w="9803"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803"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2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0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565"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145"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533"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50" w:hRule="atLeast"/>
          <w:jc w:val="center"/>
        </w:trPr>
        <w:tc>
          <w:tcPr>
            <w:tcW w:w="3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32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绵竹市城乡供排水一体化PPP项目新建污水处理厂划拨用地费</w:t>
            </w:r>
          </w:p>
        </w:tc>
      </w:tr>
      <w:tr>
        <w:tblPrEx>
          <w:tblCellMar>
            <w:top w:w="0" w:type="dxa"/>
            <w:left w:w="108" w:type="dxa"/>
            <w:bottom w:w="0" w:type="dxa"/>
            <w:right w:w="108" w:type="dxa"/>
          </w:tblCellMar>
        </w:tblPrEx>
        <w:trPr>
          <w:trHeight w:val="420" w:hRule="atLeast"/>
          <w:jc w:val="center"/>
        </w:trPr>
        <w:tc>
          <w:tcPr>
            <w:tcW w:w="34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32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465" w:hRule="atLeast"/>
          <w:jc w:val="center"/>
        </w:trPr>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4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6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351.72万元</w:t>
            </w:r>
          </w:p>
        </w:tc>
        <w:tc>
          <w:tcPr>
            <w:tcW w:w="2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351.72万元</w:t>
            </w:r>
          </w:p>
        </w:tc>
      </w:tr>
      <w:tr>
        <w:tblPrEx>
          <w:tblCellMar>
            <w:top w:w="0" w:type="dxa"/>
            <w:left w:w="108" w:type="dxa"/>
            <w:bottom w:w="0" w:type="dxa"/>
            <w:right w:w="108" w:type="dxa"/>
          </w:tblCellMar>
        </w:tblPrEx>
        <w:trPr>
          <w:trHeight w:val="525" w:hRule="atLeast"/>
          <w:jc w:val="center"/>
        </w:trPr>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6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351.72万元</w:t>
            </w:r>
          </w:p>
        </w:tc>
        <w:tc>
          <w:tcPr>
            <w:tcW w:w="2145"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351.72万元</w:t>
            </w:r>
          </w:p>
        </w:tc>
      </w:tr>
      <w:tr>
        <w:tblPrEx>
          <w:tblCellMar>
            <w:top w:w="0" w:type="dxa"/>
            <w:left w:w="108" w:type="dxa"/>
            <w:bottom w:w="0" w:type="dxa"/>
            <w:right w:w="108" w:type="dxa"/>
          </w:tblCellMar>
        </w:tblPrEx>
        <w:trPr>
          <w:trHeight w:val="540" w:hRule="atLeast"/>
          <w:jc w:val="center"/>
        </w:trPr>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6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145"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533"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95" w:hRule="atLeast"/>
          <w:jc w:val="center"/>
        </w:trPr>
        <w:tc>
          <w:tcPr>
            <w:tcW w:w="10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105"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67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065" w:hRule="atLeast"/>
          <w:jc w:val="center"/>
        </w:trPr>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105"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完成玉泉镇、兴隆镇、绵远镇、什地镇、齐天镇、金花镇、孝德镇迎祥社区、新市镇文昌社区污水处理厂项目24.59亩工程用地划拨费用的缴纳。</w:t>
            </w:r>
          </w:p>
        </w:tc>
        <w:tc>
          <w:tcPr>
            <w:tcW w:w="467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完成玉泉镇、兴隆镇、绵远镇、什地镇、齐天镇、金花镇、孝德镇迎祥社区、新市镇文昌社区污水处理厂项目24.59亩工程用地划拨费用的缴纳。</w:t>
            </w:r>
          </w:p>
        </w:tc>
      </w:tr>
      <w:tr>
        <w:tblPrEx>
          <w:tblCellMar>
            <w:top w:w="0" w:type="dxa"/>
            <w:left w:w="108" w:type="dxa"/>
            <w:bottom w:w="0" w:type="dxa"/>
            <w:right w:w="108" w:type="dxa"/>
          </w:tblCellMar>
        </w:tblPrEx>
        <w:trPr>
          <w:trHeight w:val="480" w:hRule="atLeast"/>
          <w:jc w:val="center"/>
        </w:trPr>
        <w:tc>
          <w:tcPr>
            <w:tcW w:w="102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6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765" w:hRule="atLeast"/>
          <w:jc w:val="center"/>
        </w:trPr>
        <w:tc>
          <w:tcPr>
            <w:tcW w:w="102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6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50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6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涉及污水处理厂数量</w:t>
            </w:r>
          </w:p>
        </w:tc>
        <w:tc>
          <w:tcPr>
            <w:tcW w:w="2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9个</w:t>
            </w:r>
          </w:p>
        </w:tc>
        <w:tc>
          <w:tcPr>
            <w:tcW w:w="2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12处</w:t>
            </w:r>
          </w:p>
        </w:tc>
      </w:tr>
      <w:tr>
        <w:tblPrEx>
          <w:tblCellMar>
            <w:top w:w="0" w:type="dxa"/>
            <w:left w:w="108" w:type="dxa"/>
            <w:bottom w:w="0" w:type="dxa"/>
            <w:right w:w="108" w:type="dxa"/>
          </w:tblCellMar>
        </w:tblPrEx>
        <w:trPr>
          <w:trHeight w:val="270" w:hRule="atLeast"/>
          <w:jc w:val="center"/>
        </w:trPr>
        <w:tc>
          <w:tcPr>
            <w:tcW w:w="102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50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6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划拨土地数量</w:t>
            </w:r>
          </w:p>
        </w:tc>
        <w:tc>
          <w:tcPr>
            <w:tcW w:w="2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24.59亩</w:t>
            </w:r>
          </w:p>
        </w:tc>
        <w:tc>
          <w:tcPr>
            <w:tcW w:w="2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24.59亩</w:t>
            </w:r>
          </w:p>
        </w:tc>
      </w:tr>
      <w:tr>
        <w:tblPrEx>
          <w:tblCellMar>
            <w:top w:w="0" w:type="dxa"/>
            <w:left w:w="108" w:type="dxa"/>
            <w:bottom w:w="0" w:type="dxa"/>
            <w:right w:w="108" w:type="dxa"/>
          </w:tblCellMar>
        </w:tblPrEx>
        <w:trPr>
          <w:trHeight w:val="585" w:hRule="atLeast"/>
          <w:jc w:val="center"/>
        </w:trPr>
        <w:tc>
          <w:tcPr>
            <w:tcW w:w="102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5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6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工程事故率</w:t>
            </w:r>
          </w:p>
        </w:tc>
        <w:tc>
          <w:tcPr>
            <w:tcW w:w="2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480" w:hRule="atLeast"/>
          <w:jc w:val="center"/>
        </w:trPr>
        <w:tc>
          <w:tcPr>
            <w:tcW w:w="102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5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6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2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w:t>
            </w:r>
          </w:p>
        </w:tc>
        <w:tc>
          <w:tcPr>
            <w:tcW w:w="2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w:t>
            </w:r>
          </w:p>
        </w:tc>
      </w:tr>
      <w:tr>
        <w:tblPrEx>
          <w:tblCellMar>
            <w:top w:w="0" w:type="dxa"/>
            <w:left w:w="108" w:type="dxa"/>
            <w:bottom w:w="0" w:type="dxa"/>
            <w:right w:w="108" w:type="dxa"/>
          </w:tblCellMar>
        </w:tblPrEx>
        <w:trPr>
          <w:trHeight w:val="510" w:hRule="atLeast"/>
          <w:jc w:val="center"/>
        </w:trPr>
        <w:tc>
          <w:tcPr>
            <w:tcW w:w="102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6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5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6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费用支付</w:t>
            </w:r>
          </w:p>
        </w:tc>
        <w:tc>
          <w:tcPr>
            <w:tcW w:w="214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等线" w:hAnsi="等线" w:eastAsia="等线" w:cs="宋体"/>
                <w:kern w:val="0"/>
                <w:sz w:val="20"/>
                <w:szCs w:val="20"/>
              </w:rPr>
              <w:t>≤</w:t>
            </w:r>
            <w:r>
              <w:rPr>
                <w:rFonts w:hint="eastAsia" w:ascii="宋体" w:hAnsi="宋体" w:cs="宋体"/>
                <w:kern w:val="0"/>
                <w:sz w:val="20"/>
                <w:szCs w:val="20"/>
              </w:rPr>
              <w:t>442.62万元</w:t>
            </w:r>
          </w:p>
        </w:tc>
        <w:tc>
          <w:tcPr>
            <w:tcW w:w="253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351.72万元</w:t>
            </w:r>
          </w:p>
        </w:tc>
      </w:tr>
      <w:tr>
        <w:tblPrEx>
          <w:tblCellMar>
            <w:top w:w="0" w:type="dxa"/>
            <w:left w:w="108" w:type="dxa"/>
            <w:bottom w:w="0" w:type="dxa"/>
            <w:right w:w="108" w:type="dxa"/>
          </w:tblCellMar>
        </w:tblPrEx>
        <w:trPr>
          <w:trHeight w:val="735" w:hRule="atLeast"/>
          <w:jc w:val="center"/>
        </w:trPr>
        <w:tc>
          <w:tcPr>
            <w:tcW w:w="102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5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64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改善场镇基础设施</w:t>
            </w:r>
          </w:p>
        </w:tc>
        <w:tc>
          <w:tcPr>
            <w:tcW w:w="214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供水厂的正常建设及投运，向清平镇及周边村民提供饮用水</w:t>
            </w:r>
          </w:p>
        </w:tc>
        <w:tc>
          <w:tcPr>
            <w:tcW w:w="253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供水厂的正常建设及投运，向清平镇及周边村民提供饮用水</w:t>
            </w:r>
          </w:p>
        </w:tc>
      </w:tr>
      <w:tr>
        <w:tblPrEx>
          <w:tblCellMar>
            <w:top w:w="0" w:type="dxa"/>
            <w:left w:w="108" w:type="dxa"/>
            <w:bottom w:w="0" w:type="dxa"/>
            <w:right w:w="108" w:type="dxa"/>
          </w:tblCellMar>
        </w:tblPrEx>
        <w:trPr>
          <w:trHeight w:val="480" w:hRule="atLeast"/>
          <w:jc w:val="center"/>
        </w:trPr>
        <w:tc>
          <w:tcPr>
            <w:tcW w:w="10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64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群众满意度</w:t>
            </w:r>
          </w:p>
        </w:tc>
        <w:tc>
          <w:tcPr>
            <w:tcW w:w="2145"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2533"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r>
    </w:tbl>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jc w:val="center"/>
        <w:rPr>
          <w:rFonts w:ascii="仿宋_GB2312" w:hAnsi="宋体" w:eastAsia="仿宋_GB2312"/>
          <w:sz w:val="32"/>
          <w:szCs w:val="32"/>
        </w:rPr>
      </w:pPr>
      <w:r>
        <w:rPr>
          <w:rFonts w:hint="eastAsia" w:ascii="宋体" w:hAnsi="宋体" w:cs="宋体"/>
          <w:b/>
          <w:color w:val="000000"/>
          <w:kern w:val="0"/>
          <w:sz w:val="44"/>
          <w:szCs w:val="44"/>
        </w:rPr>
        <w:t>项目支出绩效自评报告</w:t>
      </w:r>
    </w:p>
    <w:p>
      <w:pPr>
        <w:jc w:val="center"/>
        <w:rPr>
          <w:rFonts w:ascii="仿宋_GB2312" w:hAnsi="宋体" w:eastAsia="仿宋_GB2312"/>
          <w:sz w:val="32"/>
          <w:szCs w:val="32"/>
        </w:rPr>
      </w:pPr>
      <w:r>
        <w:rPr>
          <w:rFonts w:hint="eastAsia" w:ascii="仿宋_GB2312" w:hAnsi="宋体" w:eastAsia="仿宋_GB2312"/>
          <w:sz w:val="32"/>
          <w:szCs w:val="32"/>
        </w:rPr>
        <w:t>（绵竹装备制造产业园污水处理厂（一期）及清平供水厂</w:t>
      </w:r>
    </w:p>
    <w:p>
      <w:pPr>
        <w:jc w:val="center"/>
        <w:rPr>
          <w:rFonts w:ascii="仿宋_GB2312" w:hAnsi="宋体" w:eastAsia="仿宋_GB2312"/>
          <w:sz w:val="32"/>
          <w:szCs w:val="32"/>
        </w:rPr>
      </w:pPr>
      <w:r>
        <w:rPr>
          <w:rFonts w:hint="eastAsia" w:ascii="仿宋_GB2312" w:hAnsi="宋体" w:eastAsia="仿宋_GB2312"/>
          <w:sz w:val="32"/>
          <w:szCs w:val="32"/>
        </w:rPr>
        <w:t>三通一平、青苗赔偿、土地划拨费用项目）</w:t>
      </w:r>
    </w:p>
    <w:p>
      <w:pPr>
        <w:jc w:val="center"/>
        <w:rPr>
          <w:rFonts w:ascii="宋体" w:hAnsi="宋体"/>
          <w:sz w:val="32"/>
          <w:szCs w:val="32"/>
        </w:rPr>
      </w:pPr>
    </w:p>
    <w:p>
      <w:pPr>
        <w:adjustRightInd w:val="0"/>
        <w:snapToGrid w:val="0"/>
        <w:spacing w:line="540" w:lineRule="exact"/>
        <w:ind w:firstLine="803" w:firstLineChars="200"/>
        <w:rPr>
          <w:rFonts w:ascii="楷体_GB2312" w:hAnsi="宋体" w:eastAsia="楷体_GB2312"/>
          <w:b/>
          <w:sz w:val="40"/>
          <w:szCs w:val="40"/>
          <w:lang w:val="zh-CN"/>
        </w:rPr>
      </w:pPr>
      <w:r>
        <w:rPr>
          <w:rFonts w:hint="eastAsia" w:ascii="楷体_GB2312" w:hAnsi="宋体" w:eastAsia="楷体_GB2312"/>
          <w:b/>
          <w:sz w:val="40"/>
          <w:szCs w:val="40"/>
          <w:lang w:val="zh-CN"/>
        </w:rPr>
        <w:t>一、项目概况</w:t>
      </w:r>
    </w:p>
    <w:p>
      <w:pPr>
        <w:spacing w:line="540" w:lineRule="exact"/>
        <w:jc w:val="left"/>
        <w:rPr>
          <w:rFonts w:ascii="仿宋_GB2312" w:hAnsi="宋体" w:eastAsia="仿宋_GB2312"/>
          <w:sz w:val="32"/>
          <w:szCs w:val="32"/>
        </w:rPr>
      </w:pPr>
      <w:r>
        <w:rPr>
          <w:rFonts w:hint="eastAsia" w:ascii="仿宋_GB2312" w:hAnsi="宋体" w:eastAsia="仿宋_GB2312"/>
          <w:sz w:val="32"/>
          <w:szCs w:val="32"/>
        </w:rPr>
        <w:t xml:space="preserve">    324万元用于装备制造产业园污水处理厂（一期）建设项目征地及11.1206万元青苗补偿、9.508万元清平供水厂配套管网占公路费。共计344.6286万元。</w:t>
      </w:r>
    </w:p>
    <w:p>
      <w:pPr>
        <w:adjustRightInd w:val="0"/>
        <w:snapToGrid w:val="0"/>
        <w:spacing w:line="5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40" w:lineRule="exact"/>
        <w:rPr>
          <w:rFonts w:ascii="仿宋_GB2312" w:hAnsi="宋体" w:eastAsia="仿宋_GB2312"/>
          <w:sz w:val="32"/>
          <w:szCs w:val="32"/>
        </w:rPr>
      </w:pPr>
      <w:r>
        <w:rPr>
          <w:rFonts w:hint="eastAsia" w:ascii="楷体_GB2312" w:hAnsi="宋体" w:eastAsia="楷体_GB2312"/>
          <w:b/>
          <w:sz w:val="32"/>
          <w:szCs w:val="32"/>
        </w:rPr>
        <w:t xml:space="preserve">    </w:t>
      </w:r>
      <w:r>
        <w:rPr>
          <w:rFonts w:hint="eastAsia" w:ascii="仿宋_GB2312" w:hAnsi="宋体" w:eastAsia="仿宋_GB2312"/>
          <w:sz w:val="32"/>
          <w:szCs w:val="32"/>
        </w:rPr>
        <w:t>市财政局年初预算批复资金344.6286万元。</w:t>
      </w:r>
    </w:p>
    <w:p>
      <w:pPr>
        <w:adjustRightInd w:val="0"/>
        <w:snapToGrid w:val="0"/>
        <w:spacing w:line="5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zh-CN"/>
        </w:rPr>
        <w:t>该项目绩效总目标为：实施基础设施提升工程，加快推动城乡基础设施一体化，着力完善城镇功能，建立宜居业宜游的新型商贸小镇。</w:t>
      </w:r>
    </w:p>
    <w:p>
      <w:pPr>
        <w:adjustRightInd w:val="0"/>
        <w:snapToGrid w:val="0"/>
        <w:spacing w:line="5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（三）项目资金申报相符性。</w:t>
      </w:r>
    </w:p>
    <w:p>
      <w:pPr>
        <w:adjustRightInd w:val="0"/>
        <w:snapToGrid w:val="0"/>
        <w:spacing w:line="5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w:t>
      </w:r>
      <w:r>
        <w:rPr>
          <w:rFonts w:hint="eastAsia" w:ascii="仿宋_GB2312" w:hAnsi="宋体" w:eastAsia="仿宋_GB2312"/>
          <w:sz w:val="32"/>
          <w:szCs w:val="32"/>
        </w:rPr>
        <w:t>2021年年度资金预算指标合计344.6286万元，全部用于装备制造产业园污水处理厂（一期）及清平供水厂建设项目的土地划拨和青苗补偿等费用，申报内容与具体实施内容相符，资金预算指标覆盖该项目，申报目标总体合理。</w:t>
      </w:r>
    </w:p>
    <w:p>
      <w:pPr>
        <w:adjustRightInd w:val="0"/>
        <w:snapToGrid w:val="0"/>
        <w:spacing w:line="54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54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540" w:lineRule="exact"/>
        <w:ind w:firstLine="720"/>
        <w:rPr>
          <w:rFonts w:ascii="楷体_GB2312" w:hAnsi="宋体" w:eastAsia="楷体_GB2312"/>
          <w:sz w:val="32"/>
          <w:szCs w:val="32"/>
          <w:lang w:val="zh-CN"/>
        </w:rPr>
      </w:pPr>
      <w:r>
        <w:rPr>
          <w:rFonts w:hint="eastAsia" w:ascii="仿宋_GB2312" w:hAnsi="宋体" w:eastAsia="仿宋_GB2312"/>
          <w:sz w:val="32"/>
          <w:szCs w:val="32"/>
          <w:lang w:val="zh-CN"/>
        </w:rPr>
        <w:t>1.资金计划及到位。</w:t>
      </w:r>
    </w:p>
    <w:p>
      <w:pPr>
        <w:adjustRightInd w:val="0"/>
        <w:snapToGrid w:val="0"/>
        <w:spacing w:line="540" w:lineRule="exact"/>
        <w:ind w:firstLine="720"/>
        <w:rPr>
          <w:rFonts w:ascii="仿宋_GB2312" w:hAnsi="宋体" w:eastAsia="仿宋_GB2312"/>
          <w:sz w:val="32"/>
          <w:szCs w:val="32"/>
        </w:rPr>
      </w:pPr>
      <w:r>
        <w:rPr>
          <w:rFonts w:hint="eastAsia" w:ascii="仿宋_GB2312" w:hAnsi="宋体" w:eastAsia="仿宋_GB2312"/>
          <w:sz w:val="32"/>
          <w:szCs w:val="32"/>
          <w:lang w:val="zh-CN"/>
        </w:rPr>
        <w:t>该项目资金预算指标全部为本级资金，</w:t>
      </w:r>
      <w:r>
        <w:rPr>
          <w:rFonts w:hint="eastAsia" w:ascii="仿宋_GB2312" w:hAnsi="宋体" w:eastAsia="仿宋_GB2312"/>
          <w:sz w:val="32"/>
          <w:szCs w:val="32"/>
        </w:rPr>
        <w:t>2021年2月到位，以上资金预算指标全部及时到位。</w:t>
      </w:r>
    </w:p>
    <w:p>
      <w:pPr>
        <w:adjustRightInd w:val="0"/>
        <w:snapToGrid w:val="0"/>
        <w:spacing w:line="540" w:lineRule="exact"/>
        <w:ind w:firstLine="72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资金使用。</w:t>
      </w:r>
    </w:p>
    <w:p>
      <w:pPr>
        <w:adjustRightInd w:val="0"/>
        <w:snapToGrid w:val="0"/>
        <w:spacing w:line="5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截至评价时合计资金预算指标</w:t>
      </w:r>
      <w:r>
        <w:rPr>
          <w:rFonts w:hint="eastAsia" w:ascii="仿宋_GB2312" w:hAnsi="宋体" w:eastAsia="仿宋_GB2312"/>
          <w:sz w:val="32"/>
          <w:szCs w:val="32"/>
        </w:rPr>
        <w:t>344.6286万元，已实现支付。</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5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依照法律、行政法规和国家财政行政主管部门的规定建立财务、会计制度；在每一会计季度终了时制作财务会计报表，按国家和有关部门的规定进行审计，报送财政、税务、工商行政管理等部门；严格执行财务管理制度、财务处理及时、会计核算规范。</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5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w:t>
      </w:r>
      <w:r>
        <w:rPr>
          <w:rFonts w:hint="eastAsia" w:ascii="仿宋_GB2312" w:hAnsi="宋体" w:eastAsia="仿宋_GB2312"/>
          <w:sz w:val="32"/>
          <w:szCs w:val="32"/>
        </w:rPr>
        <w:t>已完工且投入运行</w:t>
      </w:r>
      <w:r>
        <w:rPr>
          <w:rFonts w:hint="eastAsia" w:ascii="仿宋_GB2312" w:hAnsi="宋体" w:eastAsia="仿宋_GB2312"/>
          <w:sz w:val="32"/>
          <w:szCs w:val="32"/>
          <w:lang w:val="zh-CN"/>
        </w:rPr>
        <w:t>。</w:t>
      </w:r>
    </w:p>
    <w:p>
      <w:pPr>
        <w:adjustRightInd w:val="0"/>
        <w:snapToGrid w:val="0"/>
        <w:spacing w:line="54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40" w:lineRule="exact"/>
        <w:ind w:firstLine="640" w:firstLineChars="200"/>
        <w:rPr>
          <w:rFonts w:ascii="仿宋_GB2312" w:hAnsi="宋体" w:eastAsia="仿宋_GB2312"/>
          <w:color w:val="FF0000"/>
          <w:sz w:val="32"/>
          <w:szCs w:val="32"/>
        </w:rPr>
      </w:pPr>
      <w:r>
        <w:rPr>
          <w:rFonts w:hint="eastAsia" w:ascii="仿宋_GB2312" w:hAnsi="宋体" w:eastAsia="仿宋_GB2312"/>
          <w:sz w:val="32"/>
          <w:szCs w:val="32"/>
          <w:lang w:val="zh-CN"/>
        </w:rPr>
        <w:t>实施基础设施提升工程，加快推动城乡基础设施一体化，着力完善城镇功能。</w:t>
      </w:r>
      <w:r>
        <w:rPr>
          <w:rFonts w:hint="eastAsia" w:ascii="仿宋_GB2312" w:hAnsi="宋体" w:eastAsia="仿宋_GB2312"/>
          <w:sz w:val="32"/>
          <w:szCs w:val="32"/>
        </w:rPr>
        <w:t>项目已完工并投入运行。</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40" w:lineRule="exact"/>
        <w:ind w:firstLine="720"/>
        <w:rPr>
          <w:rFonts w:ascii="仿宋_GB2312" w:hAnsi="宋体" w:eastAsia="仿宋_GB2312"/>
          <w:sz w:val="32"/>
          <w:szCs w:val="32"/>
        </w:rPr>
      </w:pPr>
      <w:r>
        <w:rPr>
          <w:rFonts w:hint="eastAsia" w:ascii="仿宋_GB2312" w:hAnsi="宋体" w:eastAsia="仿宋_GB2312"/>
          <w:sz w:val="32"/>
          <w:szCs w:val="32"/>
          <w:lang w:val="zh-CN"/>
        </w:rPr>
        <w:t>经济效益：吸引外商投资，带动群众增收致富，夯实镇域经济高质量发展底部基础</w:t>
      </w:r>
      <w:r>
        <w:rPr>
          <w:rFonts w:hint="eastAsia" w:ascii="仿宋_GB2312" w:hAnsi="宋体" w:eastAsia="仿宋_GB2312"/>
          <w:sz w:val="32"/>
          <w:szCs w:val="32"/>
        </w:rPr>
        <w:t>。</w:t>
      </w:r>
    </w:p>
    <w:p>
      <w:pPr>
        <w:adjustRightInd w:val="0"/>
        <w:snapToGrid w:val="0"/>
        <w:spacing w:line="540" w:lineRule="exact"/>
        <w:ind w:firstLine="720"/>
        <w:rPr>
          <w:rFonts w:ascii="仿宋_GB2312" w:hAnsi="宋体" w:eastAsia="仿宋_GB2312"/>
          <w:sz w:val="32"/>
          <w:szCs w:val="32"/>
        </w:rPr>
      </w:pPr>
      <w:r>
        <w:rPr>
          <w:rFonts w:hint="eastAsia" w:ascii="仿宋_GB2312" w:hAnsi="宋体" w:eastAsia="仿宋_GB2312"/>
          <w:sz w:val="32"/>
          <w:szCs w:val="32"/>
        </w:rPr>
        <w:t>社会效益：改善场镇整体生态环境，推动城镇基础设施一体化，创建高品质生活宜居地，场镇基础设施改造率100%。</w:t>
      </w:r>
    </w:p>
    <w:p>
      <w:pPr>
        <w:adjustRightInd w:val="0"/>
        <w:snapToGrid w:val="0"/>
        <w:spacing w:line="540" w:lineRule="exact"/>
        <w:ind w:firstLine="720"/>
        <w:rPr>
          <w:rFonts w:ascii="仿宋_GB2312" w:hAnsi="宋体" w:eastAsia="仿宋_GB2312"/>
          <w:sz w:val="32"/>
          <w:szCs w:val="32"/>
        </w:rPr>
      </w:pPr>
      <w:r>
        <w:rPr>
          <w:rFonts w:hint="eastAsia" w:ascii="仿宋_GB2312" w:hAnsi="宋体" w:eastAsia="仿宋_GB2312"/>
          <w:sz w:val="32"/>
          <w:szCs w:val="32"/>
          <w:lang w:val="zh-CN"/>
        </w:rPr>
        <w:t>服务对象满意度：上级管理部门和群众满意度</w:t>
      </w:r>
      <w:r>
        <w:rPr>
          <w:rFonts w:hint="eastAsia" w:ascii="仿宋_GB2312" w:hAnsi="宋体" w:eastAsia="仿宋_GB2312"/>
          <w:sz w:val="32"/>
          <w:szCs w:val="32"/>
        </w:rPr>
        <w:t>≥95%。</w:t>
      </w:r>
    </w:p>
    <w:p>
      <w:pPr>
        <w:adjustRightInd w:val="0"/>
        <w:snapToGrid w:val="0"/>
        <w:spacing w:line="54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540" w:lineRule="exact"/>
        <w:ind w:firstLine="960" w:firstLineChars="300"/>
        <w:rPr>
          <w:rFonts w:ascii="仿宋_GB2312" w:hAnsi="宋体" w:eastAsia="仿宋_GB2312"/>
          <w:sz w:val="32"/>
          <w:szCs w:val="32"/>
        </w:rPr>
      </w:pPr>
      <w:r>
        <w:rPr>
          <w:rFonts w:hint="eastAsia" w:ascii="仿宋_GB2312" w:hAnsi="宋体" w:eastAsia="仿宋_GB2312"/>
          <w:sz w:val="32"/>
          <w:szCs w:val="32"/>
        </w:rPr>
        <w:t>无。</w:t>
      </w:r>
    </w:p>
    <w:p>
      <w:pPr>
        <w:adjustRightInd w:val="0"/>
        <w:snapToGrid w:val="0"/>
        <w:spacing w:line="5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（二）相关建议。</w:t>
      </w:r>
    </w:p>
    <w:p>
      <w:pPr>
        <w:adjustRightInd w:val="0"/>
        <w:snapToGrid w:val="0"/>
        <w:spacing w:line="540" w:lineRule="exact"/>
        <w:ind w:firstLine="960" w:firstLineChars="300"/>
        <w:rPr>
          <w:rFonts w:ascii="仿宋_GB2312" w:hAnsi="宋体" w:eastAsia="仿宋_GB2312"/>
          <w:sz w:val="32"/>
          <w:szCs w:val="32"/>
        </w:rPr>
      </w:pPr>
      <w:r>
        <w:rPr>
          <w:rFonts w:hint="eastAsia" w:ascii="仿宋_GB2312" w:hAnsi="宋体" w:eastAsia="仿宋_GB2312"/>
          <w:sz w:val="32"/>
          <w:szCs w:val="32"/>
        </w:rPr>
        <w:t>无。</w:t>
      </w:r>
    </w:p>
    <w:tbl>
      <w:tblPr>
        <w:tblStyle w:val="13"/>
        <w:tblW w:w="9748" w:type="dxa"/>
        <w:jc w:val="center"/>
        <w:tblLayout w:type="autofit"/>
        <w:tblCellMar>
          <w:top w:w="0" w:type="dxa"/>
          <w:left w:w="108" w:type="dxa"/>
          <w:bottom w:w="0" w:type="dxa"/>
          <w:right w:w="108" w:type="dxa"/>
        </w:tblCellMar>
      </w:tblPr>
      <w:tblGrid>
        <w:gridCol w:w="980"/>
        <w:gridCol w:w="1140"/>
        <w:gridCol w:w="1420"/>
        <w:gridCol w:w="1080"/>
        <w:gridCol w:w="820"/>
        <w:gridCol w:w="2200"/>
        <w:gridCol w:w="2108"/>
      </w:tblGrid>
      <w:tr>
        <w:tblPrEx>
          <w:tblCellMar>
            <w:top w:w="0" w:type="dxa"/>
            <w:left w:w="108" w:type="dxa"/>
            <w:bottom w:w="0" w:type="dxa"/>
            <w:right w:w="108" w:type="dxa"/>
          </w:tblCellMar>
        </w:tblPrEx>
        <w:trPr>
          <w:trHeight w:val="405" w:hRule="atLeast"/>
          <w:jc w:val="center"/>
        </w:trPr>
        <w:tc>
          <w:tcPr>
            <w:tcW w:w="9748"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748"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85" w:hRule="atLeast"/>
          <w:jc w:val="center"/>
        </w:trPr>
        <w:tc>
          <w:tcPr>
            <w:tcW w:w="98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114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142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108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82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220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2108"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720" w:hRule="atLeast"/>
          <w:jc w:val="center"/>
        </w:trPr>
        <w:tc>
          <w:tcPr>
            <w:tcW w:w="35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20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绵竹装备制造产业园污水处理厂（一期）及清平供水厂三通一平、青苗赔偿、土地划拨费用项目</w:t>
            </w:r>
          </w:p>
        </w:tc>
      </w:tr>
      <w:tr>
        <w:tblPrEx>
          <w:tblCellMar>
            <w:top w:w="0" w:type="dxa"/>
            <w:left w:w="108" w:type="dxa"/>
            <w:bottom w:w="0" w:type="dxa"/>
            <w:right w:w="108" w:type="dxa"/>
          </w:tblCellMar>
        </w:tblPrEx>
        <w:trPr>
          <w:trHeight w:val="465" w:hRule="atLeast"/>
          <w:jc w:val="center"/>
        </w:trPr>
        <w:tc>
          <w:tcPr>
            <w:tcW w:w="35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20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525"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9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344.6286万元</w:t>
            </w:r>
          </w:p>
        </w:tc>
        <w:tc>
          <w:tcPr>
            <w:tcW w:w="2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344.6286万元</w:t>
            </w:r>
          </w:p>
        </w:tc>
      </w:tr>
      <w:tr>
        <w:tblPrEx>
          <w:tblCellMar>
            <w:top w:w="0" w:type="dxa"/>
            <w:left w:w="108" w:type="dxa"/>
            <w:bottom w:w="0" w:type="dxa"/>
            <w:right w:w="108" w:type="dxa"/>
          </w:tblCellMar>
        </w:tblPrEx>
        <w:trPr>
          <w:trHeight w:val="615"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9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344.6286万元</w:t>
            </w:r>
          </w:p>
        </w:tc>
        <w:tc>
          <w:tcPr>
            <w:tcW w:w="220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344.6286万元</w:t>
            </w:r>
          </w:p>
        </w:tc>
      </w:tr>
      <w:tr>
        <w:tblPrEx>
          <w:tblCellMar>
            <w:top w:w="0" w:type="dxa"/>
            <w:left w:w="108" w:type="dxa"/>
            <w:bottom w:w="0" w:type="dxa"/>
            <w:right w:w="108" w:type="dxa"/>
          </w:tblCellMar>
        </w:tblPrEx>
        <w:trPr>
          <w:trHeight w:val="630"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0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10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55"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30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245"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完成装备制造产业园污水处理厂及清平镇自来水厂项目22.62亩工程用地划拨、“三通一平”等的缴纳，确保项目顺利开展。</w:t>
            </w:r>
          </w:p>
        </w:tc>
        <w:tc>
          <w:tcPr>
            <w:tcW w:w="430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完成装备制造产业园污水处理厂及清平镇自来水厂项目22.62亩工程用地划拨、“三通一平”等的缴纳，确保项目顺利开展。</w:t>
            </w:r>
          </w:p>
        </w:tc>
      </w:tr>
      <w:tr>
        <w:tblPrEx>
          <w:tblCellMar>
            <w:top w:w="0" w:type="dxa"/>
            <w:left w:w="108" w:type="dxa"/>
            <w:bottom w:w="0" w:type="dxa"/>
            <w:right w:w="108" w:type="dxa"/>
          </w:tblCellMar>
        </w:tblPrEx>
        <w:trPr>
          <w:trHeight w:val="660" w:hRule="atLeast"/>
          <w:jc w:val="center"/>
        </w:trPr>
        <w:tc>
          <w:tcPr>
            <w:tcW w:w="9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765" w:hRule="atLeast"/>
          <w:jc w:val="center"/>
        </w:trPr>
        <w:tc>
          <w:tcPr>
            <w:tcW w:w="9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42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9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装备制造产业园污水处理厂征地</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18亩</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18亩</w:t>
            </w:r>
          </w:p>
        </w:tc>
      </w:tr>
      <w:tr>
        <w:tblPrEx>
          <w:tblCellMar>
            <w:top w:w="0" w:type="dxa"/>
            <w:left w:w="108" w:type="dxa"/>
            <w:bottom w:w="0" w:type="dxa"/>
            <w:right w:w="108" w:type="dxa"/>
          </w:tblCellMar>
        </w:tblPrEx>
        <w:trPr>
          <w:trHeight w:val="660" w:hRule="atLeast"/>
          <w:jc w:val="center"/>
        </w:trPr>
        <w:tc>
          <w:tcPr>
            <w:tcW w:w="9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42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9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清平镇供水厂征地</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4.62亩</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4.62亩</w:t>
            </w:r>
          </w:p>
        </w:tc>
      </w:tr>
      <w:tr>
        <w:tblPrEx>
          <w:tblCellMar>
            <w:top w:w="0" w:type="dxa"/>
            <w:left w:w="108" w:type="dxa"/>
            <w:bottom w:w="0" w:type="dxa"/>
            <w:right w:w="108" w:type="dxa"/>
          </w:tblCellMar>
        </w:tblPrEx>
        <w:trPr>
          <w:trHeight w:val="615" w:hRule="atLeast"/>
          <w:jc w:val="center"/>
        </w:trPr>
        <w:tc>
          <w:tcPr>
            <w:tcW w:w="9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4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工程事故率</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0</w:t>
            </w:r>
          </w:p>
        </w:tc>
      </w:tr>
      <w:tr>
        <w:tblPrEx>
          <w:tblCellMar>
            <w:top w:w="0" w:type="dxa"/>
            <w:left w:w="108" w:type="dxa"/>
            <w:bottom w:w="0" w:type="dxa"/>
            <w:right w:w="108" w:type="dxa"/>
          </w:tblCellMar>
        </w:tblPrEx>
        <w:trPr>
          <w:trHeight w:val="480" w:hRule="atLeast"/>
          <w:jc w:val="center"/>
        </w:trPr>
        <w:tc>
          <w:tcPr>
            <w:tcW w:w="9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4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w:t>
            </w:r>
          </w:p>
        </w:tc>
      </w:tr>
      <w:tr>
        <w:tblPrEx>
          <w:tblCellMar>
            <w:top w:w="0" w:type="dxa"/>
            <w:left w:w="108" w:type="dxa"/>
            <w:bottom w:w="0" w:type="dxa"/>
            <w:right w:w="108" w:type="dxa"/>
          </w:tblCellMar>
        </w:tblPrEx>
        <w:trPr>
          <w:trHeight w:val="735" w:hRule="atLeast"/>
          <w:jc w:val="center"/>
        </w:trPr>
        <w:tc>
          <w:tcPr>
            <w:tcW w:w="9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4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费用支付</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等线" w:hAnsi="等线" w:eastAsia="等线" w:cs="宋体"/>
                <w:kern w:val="0"/>
                <w:sz w:val="20"/>
                <w:szCs w:val="20"/>
              </w:rPr>
              <w:t>≤</w:t>
            </w:r>
            <w:r>
              <w:rPr>
                <w:rFonts w:hint="eastAsia" w:ascii="宋体" w:hAnsi="宋体" w:cs="宋体"/>
                <w:kern w:val="0"/>
                <w:sz w:val="20"/>
                <w:szCs w:val="20"/>
              </w:rPr>
              <w:t>614.21万元</w:t>
            </w:r>
          </w:p>
        </w:tc>
        <w:tc>
          <w:tcPr>
            <w:tcW w:w="21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344.6286万元</w:t>
            </w:r>
          </w:p>
        </w:tc>
      </w:tr>
      <w:tr>
        <w:tblPrEx>
          <w:tblCellMar>
            <w:top w:w="0" w:type="dxa"/>
            <w:left w:w="108" w:type="dxa"/>
            <w:bottom w:w="0" w:type="dxa"/>
            <w:right w:w="108" w:type="dxa"/>
          </w:tblCellMar>
        </w:tblPrEx>
        <w:trPr>
          <w:trHeight w:val="735" w:hRule="atLeast"/>
          <w:jc w:val="center"/>
        </w:trPr>
        <w:tc>
          <w:tcPr>
            <w:tcW w:w="9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4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改善场镇基础设施</w:t>
            </w:r>
          </w:p>
        </w:tc>
        <w:tc>
          <w:tcPr>
            <w:tcW w:w="2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清平镇供水厂的正常建设及投运，向清平镇及周边村民提供饮用水</w:t>
            </w:r>
          </w:p>
        </w:tc>
        <w:tc>
          <w:tcPr>
            <w:tcW w:w="21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清平镇供水厂的正常建设及投运，向清平镇及周边村民提供饮用水</w:t>
            </w:r>
          </w:p>
        </w:tc>
      </w:tr>
      <w:tr>
        <w:tblPrEx>
          <w:tblCellMar>
            <w:top w:w="0" w:type="dxa"/>
            <w:left w:w="108" w:type="dxa"/>
            <w:bottom w:w="0" w:type="dxa"/>
            <w:right w:w="108" w:type="dxa"/>
          </w:tblCellMar>
        </w:tblPrEx>
        <w:trPr>
          <w:trHeight w:val="480"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4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群众满意度</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2108"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r>
    </w:tbl>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16"/>
          <w:szCs w:val="16"/>
          <w:shd w:val="clear" w:color="auto" w:fill="FFFFFF"/>
        </w:rPr>
      </w:pPr>
    </w:p>
    <w:p>
      <w:pPr>
        <w:jc w:val="center"/>
        <w:rPr>
          <w:rFonts w:ascii="宋体" w:hAnsi="宋体" w:cs="宋体"/>
          <w:b/>
          <w:color w:val="000000"/>
          <w:kern w:val="0"/>
          <w:sz w:val="44"/>
          <w:szCs w:val="44"/>
        </w:rPr>
      </w:pPr>
      <w:r>
        <w:rPr>
          <w:rFonts w:hint="eastAsia" w:ascii="宋体" w:hAnsi="宋体" w:cs="宋体"/>
          <w:b/>
          <w:color w:val="000000"/>
          <w:kern w:val="0"/>
          <w:sz w:val="44"/>
          <w:szCs w:val="44"/>
        </w:rPr>
        <w:t>项目支出绩效自评报告</w:t>
      </w:r>
    </w:p>
    <w:p>
      <w:pPr>
        <w:jc w:val="center"/>
        <w:rPr>
          <w:rFonts w:ascii="仿宋_GB2312" w:hAnsi="宋体" w:eastAsia="仿宋_GB2312"/>
          <w:sz w:val="32"/>
          <w:szCs w:val="32"/>
        </w:rPr>
      </w:pPr>
      <w:r>
        <w:rPr>
          <w:rFonts w:hint="eastAsia" w:ascii="仿宋_GB2312" w:hAnsi="宋体" w:eastAsia="仿宋_GB2312"/>
          <w:sz w:val="32"/>
          <w:szCs w:val="32"/>
        </w:rPr>
        <w:t>（农村房屋安全隐患排查）</w:t>
      </w:r>
    </w:p>
    <w:p>
      <w:pPr>
        <w:jc w:val="center"/>
        <w:rPr>
          <w:rFonts w:ascii="仿宋_GB2312" w:hAnsi="宋体" w:eastAsia="仿宋_GB2312"/>
          <w:sz w:val="32"/>
          <w:szCs w:val="32"/>
        </w:rPr>
      </w:pPr>
    </w:p>
    <w:p>
      <w:pPr>
        <w:adjustRightInd w:val="0"/>
        <w:snapToGrid w:val="0"/>
        <w:spacing w:line="500" w:lineRule="exact"/>
        <w:ind w:firstLine="803" w:firstLineChars="200"/>
        <w:rPr>
          <w:rFonts w:ascii="楷体_GB2312" w:hAnsi="宋体" w:eastAsia="楷体_GB2312"/>
          <w:b/>
          <w:sz w:val="40"/>
          <w:szCs w:val="40"/>
          <w:lang w:val="zh-CN"/>
        </w:rPr>
      </w:pPr>
      <w:r>
        <w:rPr>
          <w:rFonts w:hint="eastAsia" w:ascii="楷体_GB2312" w:hAnsi="宋体" w:eastAsia="楷体_GB2312"/>
          <w:b/>
          <w:sz w:val="40"/>
          <w:szCs w:val="40"/>
          <w:lang w:val="zh-CN"/>
        </w:rPr>
        <w:t>一、项目概况</w:t>
      </w:r>
    </w:p>
    <w:p>
      <w:pPr>
        <w:spacing w:line="500" w:lineRule="exact"/>
        <w:jc w:val="left"/>
        <w:rPr>
          <w:rFonts w:ascii="仿宋_GB2312" w:hAnsi="宋体" w:eastAsia="仿宋_GB2312"/>
          <w:sz w:val="32"/>
          <w:szCs w:val="32"/>
        </w:rPr>
      </w:pPr>
      <w:r>
        <w:rPr>
          <w:rFonts w:hint="eastAsia" w:ascii="仿宋_GB2312" w:hAnsi="宋体" w:eastAsia="仿宋_GB2312"/>
          <w:sz w:val="32"/>
          <w:szCs w:val="32"/>
        </w:rPr>
        <w:t xml:space="preserve">    农村房屋安全隐患排查项目，实施内容：对全市行政村房屋进行排查录入和鉴定加固工作。</w:t>
      </w:r>
    </w:p>
    <w:p>
      <w:pPr>
        <w:adjustRightInd w:val="0"/>
        <w:snapToGrid w:val="0"/>
        <w:spacing w:line="5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numPr>
          <w:ilvl w:val="0"/>
          <w:numId w:val="22"/>
        </w:numPr>
        <w:adjustRightInd w:val="0"/>
        <w:snapToGrid w:val="0"/>
        <w:spacing w:line="500" w:lineRule="exact"/>
        <w:ind w:firstLine="640" w:firstLineChars="200"/>
        <w:rPr>
          <w:rFonts w:ascii="仿宋_GB2312" w:hAnsi="宋体" w:eastAsia="仿宋_GB2312"/>
          <w:sz w:val="32"/>
          <w:szCs w:val="32"/>
        </w:rPr>
      </w:pPr>
      <w:r>
        <w:rPr>
          <w:rFonts w:hint="eastAsia" w:ascii="仿宋_GB2312" w:hAnsi="宋体" w:eastAsia="仿宋_GB2312"/>
          <w:sz w:val="32"/>
          <w:szCs w:val="32"/>
        </w:rPr>
        <w:t>通过《关于农村房屋安全隐患排查工作相关事宜的请示》向市财政申请农村房屋安全隐患排查工作专项经费。</w:t>
      </w:r>
    </w:p>
    <w:p>
      <w:pPr>
        <w:numPr>
          <w:ilvl w:val="0"/>
          <w:numId w:val="22"/>
        </w:numPr>
        <w:adjustRightInd w:val="0"/>
        <w:snapToGrid w:val="0"/>
        <w:spacing w:line="5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农村房屋安全隐患排查项目通过绵竹市人民政府《关于农村房屋安全隐患排查工作相关事宜的请示》批示建（政府公文处理编号：B54号）批复80万元。</w:t>
      </w:r>
    </w:p>
    <w:p>
      <w:pPr>
        <w:adjustRightInd w:val="0"/>
        <w:snapToGrid w:val="0"/>
        <w:spacing w:line="5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tabs>
          <w:tab w:val="left" w:pos="312"/>
        </w:tabs>
        <w:adjustRightInd w:val="0"/>
        <w:snapToGrid w:val="0"/>
        <w:spacing w:line="5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1.对全市行政村房屋进行排查录入农村房屋安全隐患排查整治信息平台。</w:t>
      </w:r>
    </w:p>
    <w:p>
      <w:pPr>
        <w:tabs>
          <w:tab w:val="left" w:pos="312"/>
        </w:tabs>
        <w:adjustRightInd w:val="0"/>
        <w:snapToGrid w:val="0"/>
        <w:spacing w:line="5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w:t>
      </w:r>
      <w:r>
        <w:rPr>
          <w:rFonts w:ascii="仿宋_GB2312" w:hAnsi="宋体" w:eastAsia="仿宋_GB2312"/>
          <w:sz w:val="32"/>
          <w:szCs w:val="32"/>
          <w:lang w:val="zh-CN"/>
        </w:rPr>
        <w:t>.</w:t>
      </w:r>
      <w:r>
        <w:rPr>
          <w:rFonts w:hint="eastAsia" w:ascii="仿宋_GB2312" w:hAnsi="宋体" w:eastAsia="仿宋_GB2312"/>
          <w:sz w:val="32"/>
          <w:szCs w:val="32"/>
          <w:lang w:val="zh-CN"/>
        </w:rPr>
        <w:t>对所有用作经营性自建房和初判存在安全隐患的农村自建房及所有农村非自建房进行安全鉴定，并出具真实有效的安全鉴定结论，形成安全鉴定报告（含鉴定结论、加固意见、警示工作）。</w:t>
      </w:r>
    </w:p>
    <w:p>
      <w:pPr>
        <w:adjustRightInd w:val="0"/>
        <w:snapToGrid w:val="0"/>
        <w:spacing w:line="5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（三）项目资金申报相符性。</w:t>
      </w:r>
    </w:p>
    <w:p>
      <w:pPr>
        <w:adjustRightInd w:val="0"/>
        <w:snapToGrid w:val="0"/>
        <w:spacing w:line="5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该项目资金</w:t>
      </w:r>
      <w:r>
        <w:rPr>
          <w:rFonts w:hint="eastAsia" w:ascii="仿宋_GB2312" w:hAnsi="宋体" w:eastAsia="仿宋_GB2312"/>
          <w:sz w:val="32"/>
          <w:szCs w:val="32"/>
        </w:rPr>
        <w:t>全部</w:t>
      </w:r>
      <w:r>
        <w:rPr>
          <w:rFonts w:hint="eastAsia" w:ascii="仿宋_GB2312" w:hAnsi="宋体" w:eastAsia="仿宋_GB2312"/>
          <w:sz w:val="32"/>
          <w:szCs w:val="32"/>
          <w:lang w:eastAsia="zh-CN"/>
        </w:rPr>
        <w:t>用于</w:t>
      </w:r>
      <w:r>
        <w:rPr>
          <w:rFonts w:hint="eastAsia" w:ascii="仿宋_GB2312" w:hAnsi="宋体" w:eastAsia="仿宋_GB2312"/>
          <w:sz w:val="32"/>
          <w:szCs w:val="32"/>
        </w:rPr>
        <w:t>农村房屋安全隐患排查项目，申报内容与具体实施内容相符，申报目标总体合理。</w:t>
      </w:r>
    </w:p>
    <w:p>
      <w:pPr>
        <w:adjustRightInd w:val="0"/>
        <w:snapToGrid w:val="0"/>
        <w:spacing w:line="50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5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500" w:lineRule="exact"/>
        <w:ind w:firstLine="720"/>
        <w:rPr>
          <w:rFonts w:ascii="楷体_GB2312" w:hAnsi="宋体" w:eastAsia="楷体_GB2312"/>
          <w:sz w:val="32"/>
          <w:szCs w:val="32"/>
          <w:lang w:val="zh-CN"/>
        </w:rPr>
      </w:pPr>
      <w:r>
        <w:rPr>
          <w:rFonts w:hint="eastAsia" w:ascii="仿宋_GB2312" w:hAnsi="宋体" w:eastAsia="仿宋_GB2312"/>
          <w:sz w:val="32"/>
          <w:szCs w:val="32"/>
          <w:lang w:val="zh-CN"/>
        </w:rPr>
        <w:t>1.资金计划及到位。</w:t>
      </w:r>
    </w:p>
    <w:p>
      <w:pPr>
        <w:adjustRightInd w:val="0"/>
        <w:snapToGrid w:val="0"/>
        <w:spacing w:line="500" w:lineRule="exact"/>
        <w:ind w:firstLine="720"/>
        <w:rPr>
          <w:rFonts w:ascii="仿宋_GB2312" w:hAnsi="宋体" w:eastAsia="仿宋_GB2312"/>
          <w:sz w:val="32"/>
          <w:szCs w:val="32"/>
        </w:rPr>
      </w:pPr>
      <w:r>
        <w:rPr>
          <w:rFonts w:hint="eastAsia" w:ascii="仿宋_GB2312" w:hAnsi="宋体" w:eastAsia="仿宋_GB2312"/>
          <w:sz w:val="32"/>
          <w:szCs w:val="32"/>
          <w:lang w:val="zh-CN"/>
        </w:rPr>
        <w:t>该项目资金指标全部为</w:t>
      </w:r>
      <w:r>
        <w:rPr>
          <w:rFonts w:hint="eastAsia" w:ascii="仿宋_GB2312" w:hAnsi="宋体" w:eastAsia="仿宋_GB2312"/>
          <w:sz w:val="32"/>
          <w:szCs w:val="32"/>
        </w:rPr>
        <w:t>财政资金</w:t>
      </w:r>
      <w:r>
        <w:rPr>
          <w:rFonts w:hint="eastAsia" w:ascii="仿宋_GB2312" w:hAnsi="宋体" w:eastAsia="仿宋_GB2312"/>
          <w:sz w:val="32"/>
          <w:szCs w:val="32"/>
          <w:lang w:val="zh-CN"/>
        </w:rPr>
        <w:t>，指标在</w:t>
      </w:r>
      <w:r>
        <w:rPr>
          <w:rFonts w:hint="eastAsia" w:ascii="仿宋_GB2312" w:hAnsi="宋体" w:eastAsia="仿宋_GB2312"/>
          <w:sz w:val="32"/>
          <w:szCs w:val="32"/>
        </w:rPr>
        <w:t>2021年4月到位，以上资金指标全部及时到位，到位率100%。</w:t>
      </w:r>
    </w:p>
    <w:p>
      <w:pPr>
        <w:adjustRightInd w:val="0"/>
        <w:snapToGrid w:val="0"/>
        <w:spacing w:line="500" w:lineRule="exact"/>
        <w:ind w:firstLine="72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资金使用。</w:t>
      </w:r>
    </w:p>
    <w:p>
      <w:pPr>
        <w:adjustRightInd w:val="0"/>
        <w:snapToGrid w:val="0"/>
        <w:spacing w:line="5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截至评价时合计资金</w:t>
      </w:r>
      <w:r>
        <w:rPr>
          <w:rFonts w:hint="eastAsia" w:ascii="仿宋_GB2312" w:hAnsi="宋体" w:eastAsia="仿宋_GB2312"/>
          <w:sz w:val="32"/>
          <w:szCs w:val="32"/>
        </w:rPr>
        <w:t>79.5万元，按照工作完成程度拨付了79.5万元，支付标准及依据合规合法</w:t>
      </w:r>
      <w:r>
        <w:rPr>
          <w:rFonts w:hint="eastAsia" w:ascii="仿宋_GB2312" w:hAnsi="宋体" w:eastAsia="仿宋_GB2312"/>
          <w:sz w:val="32"/>
          <w:szCs w:val="32"/>
          <w:lang w:val="zh-CN"/>
        </w:rPr>
        <w:t>。</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5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依照法律、行政法规和国家财政行政主管部门的规定建立财务、会计制度；在每一会计季度终了时制作财务会计报表，按国家和有关部门的规定进行审计，报送财政、税务、工商行政管理等部门；严格执行财务管理制度、财务处理及时、会计核算规范。</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500" w:lineRule="exact"/>
        <w:ind w:firstLine="720"/>
        <w:rPr>
          <w:rFonts w:ascii="仿宋_GB2312" w:hAnsi="宋体" w:eastAsia="仿宋_GB2312"/>
          <w:sz w:val="32"/>
          <w:szCs w:val="32"/>
        </w:rPr>
      </w:pPr>
      <w:r>
        <w:rPr>
          <w:rFonts w:hint="eastAsia" w:ascii="仿宋_GB2312" w:hAnsi="宋体" w:eastAsia="仿宋_GB2312"/>
          <w:sz w:val="32"/>
          <w:szCs w:val="32"/>
          <w:lang w:val="zh-CN"/>
        </w:rPr>
        <w:t>该项目由市</w:t>
      </w:r>
      <w:r>
        <w:rPr>
          <w:rFonts w:hint="eastAsia" w:ascii="仿宋_GB2312" w:hAnsi="宋体" w:eastAsia="仿宋_GB2312"/>
          <w:sz w:val="32"/>
          <w:szCs w:val="32"/>
        </w:rPr>
        <w:t>建设局村镇股负责采购第三方机构实施。目前已完成农村房屋安全隐患排查工作，并按合同完成存疑危险房屋鉴定工作。</w:t>
      </w:r>
    </w:p>
    <w:p>
      <w:pPr>
        <w:adjustRightInd w:val="0"/>
        <w:snapToGrid w:val="0"/>
        <w:spacing w:line="50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2021年12月31日前已</w:t>
      </w:r>
      <w:r>
        <w:rPr>
          <w:rFonts w:hint="eastAsia" w:ascii="仿宋_GB2312" w:hAnsi="宋体" w:eastAsia="仿宋_GB2312"/>
          <w:sz w:val="32"/>
          <w:szCs w:val="32"/>
          <w:lang w:eastAsia="zh-CN"/>
        </w:rPr>
        <w:t>完成</w:t>
      </w:r>
      <w:r>
        <w:rPr>
          <w:rFonts w:hint="eastAsia" w:ascii="仿宋_GB2312" w:hAnsi="宋体" w:eastAsia="仿宋_GB2312"/>
          <w:sz w:val="32"/>
          <w:szCs w:val="32"/>
        </w:rPr>
        <w:t>农村房屋安全隐患排查及鉴定工作</w:t>
      </w:r>
      <w:r>
        <w:rPr>
          <w:rFonts w:hint="eastAsia" w:ascii="仿宋_GB2312" w:hAnsi="宋体" w:eastAsia="仿宋_GB2312"/>
          <w:sz w:val="32"/>
          <w:szCs w:val="32"/>
          <w:lang w:val="zh-CN"/>
        </w:rPr>
        <w:t>。</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00" w:lineRule="exact"/>
        <w:ind w:firstLine="720"/>
        <w:rPr>
          <w:rFonts w:ascii="仿宋_GB2312" w:hAnsi="宋体" w:eastAsia="仿宋_GB2312"/>
          <w:sz w:val="32"/>
          <w:szCs w:val="32"/>
        </w:rPr>
      </w:pPr>
      <w:r>
        <w:rPr>
          <w:rFonts w:hint="eastAsia" w:ascii="仿宋_GB2312" w:hAnsi="宋体" w:eastAsia="仿宋_GB2312"/>
          <w:sz w:val="32"/>
          <w:szCs w:val="32"/>
          <w:lang w:val="zh-CN"/>
        </w:rPr>
        <w:t>经济效益：</w:t>
      </w:r>
      <w:r>
        <w:rPr>
          <w:rFonts w:hint="eastAsia" w:ascii="仿宋_GB2312" w:hAnsi="宋体" w:eastAsia="仿宋_GB2312"/>
          <w:sz w:val="32"/>
          <w:szCs w:val="32"/>
        </w:rPr>
        <w:t>促进经济发展。</w:t>
      </w:r>
    </w:p>
    <w:p>
      <w:pPr>
        <w:adjustRightInd w:val="0"/>
        <w:snapToGrid w:val="0"/>
        <w:spacing w:line="500" w:lineRule="exact"/>
        <w:ind w:firstLine="720"/>
        <w:rPr>
          <w:rFonts w:ascii="仿宋_GB2312" w:hAnsi="宋体" w:eastAsia="仿宋_GB2312"/>
          <w:sz w:val="32"/>
          <w:szCs w:val="32"/>
        </w:rPr>
      </w:pPr>
      <w:r>
        <w:rPr>
          <w:rFonts w:hint="eastAsia" w:ascii="仿宋_GB2312" w:hAnsi="宋体" w:eastAsia="仿宋_GB2312"/>
          <w:sz w:val="32"/>
          <w:szCs w:val="32"/>
        </w:rPr>
        <w:t>社会效益：改善农村住房安全。</w:t>
      </w:r>
    </w:p>
    <w:p>
      <w:pPr>
        <w:adjustRightInd w:val="0"/>
        <w:snapToGrid w:val="0"/>
        <w:spacing w:line="500" w:lineRule="exact"/>
        <w:ind w:firstLine="720"/>
        <w:rPr>
          <w:rFonts w:ascii="仿宋_GB2312" w:hAnsi="宋体" w:eastAsia="仿宋_GB2312"/>
          <w:sz w:val="32"/>
          <w:szCs w:val="32"/>
        </w:rPr>
      </w:pPr>
      <w:r>
        <w:rPr>
          <w:rFonts w:hint="eastAsia" w:ascii="仿宋_GB2312" w:hAnsi="宋体" w:eastAsia="仿宋_GB2312"/>
          <w:sz w:val="32"/>
          <w:szCs w:val="32"/>
          <w:lang w:val="zh-CN"/>
        </w:rPr>
        <w:t>服务对象满意度：危房改造户满意度≥9</w:t>
      </w:r>
      <w:r>
        <w:rPr>
          <w:rFonts w:hint="eastAsia" w:ascii="仿宋_GB2312" w:hAnsi="宋体" w:eastAsia="仿宋_GB2312"/>
          <w:sz w:val="32"/>
          <w:szCs w:val="32"/>
        </w:rPr>
        <w:t>0</w:t>
      </w:r>
      <w:r>
        <w:rPr>
          <w:rFonts w:hint="eastAsia" w:ascii="仿宋_GB2312" w:hAnsi="宋体" w:eastAsia="仿宋_GB2312"/>
          <w:sz w:val="32"/>
          <w:szCs w:val="32"/>
          <w:lang w:val="zh-CN"/>
        </w:rPr>
        <w:t>%</w:t>
      </w:r>
      <w:r>
        <w:rPr>
          <w:rFonts w:hint="eastAsia" w:ascii="仿宋_GB2312" w:hAnsi="宋体" w:eastAsia="仿宋_GB2312"/>
          <w:sz w:val="32"/>
          <w:szCs w:val="32"/>
        </w:rPr>
        <w:t>。</w:t>
      </w:r>
    </w:p>
    <w:p>
      <w:pPr>
        <w:adjustRightInd w:val="0"/>
        <w:snapToGrid w:val="0"/>
        <w:spacing w:line="50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500" w:lineRule="exact"/>
        <w:ind w:firstLine="1040" w:firstLineChars="325"/>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5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（二）相关建议。</w:t>
      </w:r>
    </w:p>
    <w:p>
      <w:pPr>
        <w:adjustRightInd w:val="0"/>
        <w:snapToGrid w:val="0"/>
        <w:spacing w:line="500" w:lineRule="exact"/>
        <w:ind w:firstLine="1040" w:firstLineChars="325"/>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rPr>
      </w:pPr>
    </w:p>
    <w:tbl>
      <w:tblPr>
        <w:tblStyle w:val="13"/>
        <w:tblW w:w="9572" w:type="dxa"/>
        <w:jc w:val="center"/>
        <w:tblLayout w:type="autofit"/>
        <w:tblCellMar>
          <w:top w:w="0" w:type="dxa"/>
          <w:left w:w="108" w:type="dxa"/>
          <w:bottom w:w="0" w:type="dxa"/>
          <w:right w:w="108" w:type="dxa"/>
        </w:tblCellMar>
      </w:tblPr>
      <w:tblGrid>
        <w:gridCol w:w="1080"/>
        <w:gridCol w:w="1140"/>
        <w:gridCol w:w="1399"/>
        <w:gridCol w:w="1641"/>
        <w:gridCol w:w="202"/>
        <w:gridCol w:w="34"/>
        <w:gridCol w:w="1950"/>
        <w:gridCol w:w="2126"/>
      </w:tblGrid>
      <w:tr>
        <w:tblPrEx>
          <w:tblCellMar>
            <w:top w:w="0" w:type="dxa"/>
            <w:left w:w="108" w:type="dxa"/>
            <w:bottom w:w="0" w:type="dxa"/>
            <w:right w:w="108" w:type="dxa"/>
          </w:tblCellMar>
        </w:tblPrEx>
        <w:trPr>
          <w:trHeight w:val="405" w:hRule="atLeast"/>
          <w:jc w:val="center"/>
        </w:trPr>
        <w:tc>
          <w:tcPr>
            <w:tcW w:w="9572" w:type="dxa"/>
            <w:gridSpan w:val="8"/>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572" w:type="dxa"/>
            <w:gridSpan w:val="8"/>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99"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641"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36" w:type="dxa"/>
            <w:gridSpan w:val="2"/>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5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126"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720" w:hRule="atLeast"/>
          <w:jc w:val="center"/>
        </w:trPr>
        <w:tc>
          <w:tcPr>
            <w:tcW w:w="36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953" w:type="dxa"/>
            <w:gridSpan w:val="5"/>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绵竹市农村自营性房屋安全性鉴定项目</w:t>
            </w:r>
          </w:p>
        </w:tc>
      </w:tr>
      <w:tr>
        <w:tblPrEx>
          <w:tblCellMar>
            <w:top w:w="0" w:type="dxa"/>
            <w:left w:w="108" w:type="dxa"/>
            <w:bottom w:w="0" w:type="dxa"/>
            <w:right w:w="108" w:type="dxa"/>
          </w:tblCellMar>
        </w:tblPrEx>
        <w:trPr>
          <w:trHeight w:val="420" w:hRule="atLeast"/>
          <w:jc w:val="center"/>
        </w:trPr>
        <w:tc>
          <w:tcPr>
            <w:tcW w:w="361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953" w:type="dxa"/>
            <w:gridSpan w:val="5"/>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46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5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80万元</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79.5万元</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80万元</w:t>
            </w:r>
          </w:p>
        </w:tc>
        <w:tc>
          <w:tcPr>
            <w:tcW w:w="1984" w:type="dxa"/>
            <w:gridSpan w:val="2"/>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79.5万元</w:t>
            </w:r>
          </w:p>
        </w:tc>
      </w:tr>
      <w:tr>
        <w:tblPrEx>
          <w:tblCellMar>
            <w:top w:w="0" w:type="dxa"/>
            <w:left w:w="108" w:type="dxa"/>
            <w:bottom w:w="0" w:type="dxa"/>
            <w:right w:w="108" w:type="dxa"/>
          </w:tblCellMar>
        </w:tblPrEx>
        <w:trPr>
          <w:trHeight w:val="61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39"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84" w:type="dxa"/>
            <w:gridSpan w:val="2"/>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1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0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38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110"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9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38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完成农村房屋安全隐患排查鉴定工作</w:t>
            </w:r>
          </w:p>
        </w:tc>
        <w:tc>
          <w:tcPr>
            <w:tcW w:w="4110" w:type="dxa"/>
            <w:gridSpan w:val="3"/>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完成10.22万余套农房录入农村房屋综合信息管理平台；完成4000余户鉴定工作。</w:t>
            </w:r>
          </w:p>
        </w:tc>
      </w:tr>
      <w:tr>
        <w:tblPrEx>
          <w:tblCellMar>
            <w:top w:w="0" w:type="dxa"/>
            <w:left w:w="108" w:type="dxa"/>
            <w:bottom w:w="0" w:type="dxa"/>
            <w:right w:w="108" w:type="dxa"/>
          </w:tblCellMar>
        </w:tblPrEx>
        <w:trPr>
          <w:trHeight w:val="66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3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72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399"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排查录入</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10.22万余套农房录入农村房屋综合信息管理平台</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10.22万余套农房录入农村房屋综合信息管理平台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99"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鉴定</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4000余户</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4000余户</w:t>
            </w:r>
          </w:p>
        </w:tc>
      </w:tr>
      <w:tr>
        <w:tblPrEx>
          <w:tblCellMar>
            <w:top w:w="0" w:type="dxa"/>
            <w:left w:w="108" w:type="dxa"/>
            <w:bottom w:w="0" w:type="dxa"/>
            <w:right w:w="108" w:type="dxa"/>
          </w:tblCellMar>
        </w:tblPrEx>
        <w:trPr>
          <w:trHeight w:val="61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99"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录入率</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99"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完成时间</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w:t>
            </w:r>
          </w:p>
        </w:tc>
      </w:tr>
      <w:tr>
        <w:tblPrEx>
          <w:tblCellMar>
            <w:top w:w="0" w:type="dxa"/>
            <w:left w:w="108" w:type="dxa"/>
            <w:bottom w:w="0" w:type="dxa"/>
            <w:right w:w="108" w:type="dxa"/>
          </w:tblCellMar>
        </w:tblPrEx>
        <w:trPr>
          <w:trHeight w:val="45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99"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费用支付</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等线" w:hAnsi="等线" w:eastAsia="等线" w:cs="宋体"/>
                <w:kern w:val="0"/>
                <w:sz w:val="20"/>
                <w:szCs w:val="20"/>
              </w:rPr>
              <w:t>≤</w:t>
            </w:r>
            <w:r>
              <w:rPr>
                <w:rFonts w:hint="eastAsia" w:ascii="宋体" w:hAnsi="宋体" w:cs="宋体"/>
                <w:kern w:val="0"/>
                <w:sz w:val="20"/>
                <w:szCs w:val="20"/>
              </w:rPr>
              <w:t>80万元</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79.5万元</w:t>
            </w:r>
          </w:p>
        </w:tc>
      </w:tr>
      <w:tr>
        <w:tblPrEx>
          <w:tblCellMar>
            <w:top w:w="0" w:type="dxa"/>
            <w:left w:w="108" w:type="dxa"/>
            <w:bottom w:w="0" w:type="dxa"/>
            <w:right w:w="108" w:type="dxa"/>
          </w:tblCellMar>
        </w:tblPrEx>
        <w:trPr>
          <w:trHeight w:val="73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399"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43"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改善农村住房安全</w:t>
            </w:r>
          </w:p>
        </w:tc>
        <w:tc>
          <w:tcPr>
            <w:tcW w:w="1984"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推动农村危险房屋整治工作</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推动农村危险房屋整治工作</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3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843"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群众满意度</w:t>
            </w:r>
          </w:p>
        </w:tc>
        <w:tc>
          <w:tcPr>
            <w:tcW w:w="1984" w:type="dxa"/>
            <w:gridSpan w:val="2"/>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2126"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r>
    </w:tbl>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jc w:val="center"/>
        <w:rPr>
          <w:rFonts w:ascii="宋体" w:hAnsi="宋体" w:cs="宋体"/>
          <w:b/>
          <w:color w:val="000000"/>
          <w:kern w:val="0"/>
          <w:sz w:val="44"/>
          <w:szCs w:val="44"/>
        </w:rPr>
      </w:pPr>
      <w:r>
        <w:rPr>
          <w:rFonts w:hint="eastAsia" w:ascii="宋体" w:hAnsi="宋体" w:cs="宋体"/>
          <w:b/>
          <w:color w:val="000000"/>
          <w:kern w:val="0"/>
          <w:sz w:val="44"/>
          <w:szCs w:val="44"/>
        </w:rPr>
        <w:t>项目支出绩效自评报告</w:t>
      </w:r>
    </w:p>
    <w:p>
      <w:pPr>
        <w:jc w:val="center"/>
        <w:rPr>
          <w:rFonts w:ascii="仿宋_GB2312" w:hAnsi="宋体" w:eastAsia="仿宋_GB2312"/>
          <w:sz w:val="32"/>
          <w:szCs w:val="32"/>
        </w:rPr>
      </w:pPr>
      <w:r>
        <w:rPr>
          <w:rFonts w:hint="eastAsia" w:ascii="仿宋_GB2312" w:hAnsi="宋体" w:eastAsia="仿宋_GB2312"/>
          <w:sz w:val="32"/>
          <w:szCs w:val="32"/>
        </w:rPr>
        <w:t>（农村危房改造和农房抗震设防改造）</w:t>
      </w:r>
    </w:p>
    <w:p>
      <w:pPr>
        <w:adjustRightInd w:val="0"/>
        <w:snapToGrid w:val="0"/>
        <w:spacing w:line="560" w:lineRule="exact"/>
        <w:jc w:val="left"/>
        <w:rPr>
          <w:rFonts w:ascii="黑体" w:hAnsi="宋体" w:eastAsia="黑体"/>
          <w:sz w:val="32"/>
          <w:szCs w:val="32"/>
        </w:rPr>
      </w:pPr>
    </w:p>
    <w:p>
      <w:pPr>
        <w:adjustRightInd w:val="0"/>
        <w:snapToGrid w:val="0"/>
        <w:spacing w:line="520" w:lineRule="exact"/>
        <w:ind w:firstLine="640" w:firstLineChars="200"/>
        <w:jc w:val="left"/>
        <w:rPr>
          <w:rFonts w:ascii="黑体" w:hAnsi="宋体" w:eastAsia="黑体"/>
          <w:sz w:val="32"/>
          <w:szCs w:val="32"/>
        </w:rPr>
      </w:pPr>
      <w:r>
        <w:rPr>
          <w:rFonts w:hint="eastAsia" w:ascii="黑体" w:hAnsi="宋体" w:eastAsia="黑体"/>
          <w:sz w:val="32"/>
          <w:szCs w:val="32"/>
        </w:rPr>
        <w:t>一、项目概况</w:t>
      </w:r>
    </w:p>
    <w:p>
      <w:pPr>
        <w:spacing w:line="520" w:lineRule="exact"/>
        <w:jc w:val="left"/>
        <w:rPr>
          <w:rFonts w:ascii="仿宋_GB2312" w:hAnsi="宋体" w:eastAsia="仿宋_GB2312"/>
          <w:sz w:val="32"/>
          <w:szCs w:val="32"/>
        </w:rPr>
      </w:pPr>
      <w:r>
        <w:rPr>
          <w:rFonts w:hint="eastAsia" w:ascii="仿宋_GB2312" w:hAnsi="宋体" w:eastAsia="仿宋_GB2312"/>
          <w:sz w:val="32"/>
          <w:szCs w:val="32"/>
        </w:rPr>
        <w:t xml:space="preserve">    农村危房改造和农房抗震设防改造项目，实施内容：计划实施危房改造10户，抗震设防改造84户。</w:t>
      </w:r>
    </w:p>
    <w:p>
      <w:pPr>
        <w:adjustRightInd w:val="0"/>
        <w:snapToGrid w:val="0"/>
        <w:spacing w:line="52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numPr>
          <w:ilvl w:val="0"/>
          <w:numId w:val="22"/>
        </w:numPr>
        <w:adjustRightInd w:val="0"/>
        <w:snapToGrid w:val="0"/>
        <w:spacing w:line="520" w:lineRule="exact"/>
        <w:ind w:firstLine="640" w:firstLineChars="200"/>
        <w:rPr>
          <w:rFonts w:ascii="仿宋_GB2312" w:hAnsi="宋体" w:eastAsia="仿宋_GB2312"/>
          <w:sz w:val="32"/>
          <w:szCs w:val="32"/>
        </w:rPr>
      </w:pPr>
      <w:r>
        <w:rPr>
          <w:rFonts w:hint="eastAsia" w:ascii="仿宋_GB2312" w:hAnsi="宋体" w:eastAsia="仿宋_GB2312"/>
          <w:sz w:val="32"/>
          <w:szCs w:val="32"/>
        </w:rPr>
        <w:t>依据上级通知向省厅上报绵竹市2019年度农村抗震设防改造84户，2020年度农村危房改造10户。</w:t>
      </w:r>
    </w:p>
    <w:p>
      <w:pPr>
        <w:numPr>
          <w:ilvl w:val="0"/>
          <w:numId w:val="22"/>
        </w:num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农村危房改造和农房抗震设防改造项目通过《四川省财政厅 四川省住房和城乡建设厅 关于下达2020年农村危房改造补助资金预算（第二批）</w:t>
      </w:r>
      <w:r>
        <w:rPr>
          <w:rFonts w:hint="eastAsia" w:ascii="仿宋_GB2312" w:hAnsi="宋体" w:eastAsia="仿宋_GB2312"/>
          <w:sz w:val="32"/>
          <w:szCs w:val="32"/>
          <w:lang w:eastAsia="zh-CN"/>
        </w:rPr>
        <w:t>》</w:t>
      </w:r>
      <w:r>
        <w:rPr>
          <w:rFonts w:hint="eastAsia" w:ascii="仿宋_GB2312" w:hAnsi="宋体" w:eastAsia="仿宋_GB2312"/>
          <w:sz w:val="32"/>
          <w:szCs w:val="32"/>
        </w:rPr>
        <w:t>（川财建〔2020〕404号）批复82.19万元。</w:t>
      </w:r>
    </w:p>
    <w:p>
      <w:pPr>
        <w:adjustRightInd w:val="0"/>
        <w:snapToGrid w:val="0"/>
        <w:spacing w:line="52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该项目绩效总目标为完成建档立卡贫困户、低保户、农村分散供养特困人员、贫困残疾人家庭等4类重点对象存量危房改造任务；完成农房抗震改造任务；支持其他低收入农户基本住房安全保障。</w:t>
      </w:r>
    </w:p>
    <w:p>
      <w:pPr>
        <w:adjustRightInd w:val="0"/>
        <w:snapToGrid w:val="0"/>
        <w:spacing w:line="52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（三）项目资金申报相符性。</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w:t>
      </w:r>
      <w:r>
        <w:rPr>
          <w:rFonts w:hint="eastAsia" w:ascii="仿宋_GB2312" w:hAnsi="宋体" w:eastAsia="仿宋_GB2312"/>
          <w:sz w:val="32"/>
          <w:szCs w:val="32"/>
        </w:rPr>
        <w:t>全部</w:t>
      </w:r>
      <w:r>
        <w:rPr>
          <w:rFonts w:hint="eastAsia" w:ascii="仿宋_GB2312" w:hAnsi="宋体" w:eastAsia="仿宋_GB2312"/>
          <w:sz w:val="32"/>
          <w:szCs w:val="32"/>
          <w:lang w:eastAsia="zh-CN"/>
        </w:rPr>
        <w:t>用于</w:t>
      </w:r>
      <w:r>
        <w:rPr>
          <w:rFonts w:hint="eastAsia" w:ascii="仿宋_GB2312" w:hAnsi="宋体" w:eastAsia="仿宋_GB2312"/>
          <w:sz w:val="32"/>
          <w:szCs w:val="32"/>
        </w:rPr>
        <w:t>农村危房改造和农房抗震改造项目，申报内容与具体实施内容相符，申报目标总体合理。</w:t>
      </w:r>
    </w:p>
    <w:p>
      <w:pPr>
        <w:adjustRightInd w:val="0"/>
        <w:snapToGrid w:val="0"/>
        <w:spacing w:line="520" w:lineRule="exact"/>
        <w:ind w:firstLine="72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52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（一）资金计划、到位及使用情况。</w:t>
      </w:r>
    </w:p>
    <w:p>
      <w:pPr>
        <w:adjustRightInd w:val="0"/>
        <w:snapToGrid w:val="0"/>
        <w:spacing w:line="520" w:lineRule="exact"/>
        <w:ind w:firstLine="720"/>
        <w:rPr>
          <w:rFonts w:ascii="楷体_GB2312" w:hAnsi="宋体" w:eastAsia="楷体_GB2312"/>
          <w:sz w:val="32"/>
          <w:szCs w:val="32"/>
          <w:lang w:val="zh-CN"/>
        </w:rPr>
      </w:pPr>
      <w:r>
        <w:rPr>
          <w:rFonts w:hint="eastAsia" w:ascii="仿宋_GB2312" w:hAnsi="宋体" w:eastAsia="仿宋_GB2312"/>
          <w:sz w:val="32"/>
          <w:szCs w:val="32"/>
          <w:lang w:val="zh-CN"/>
        </w:rPr>
        <w:t>1.资金计划及到位。</w:t>
      </w:r>
    </w:p>
    <w:p>
      <w:pPr>
        <w:adjustRightInd w:val="0"/>
        <w:snapToGrid w:val="0"/>
        <w:spacing w:line="520" w:lineRule="exact"/>
        <w:ind w:firstLine="720"/>
        <w:rPr>
          <w:rFonts w:ascii="仿宋_GB2312" w:hAnsi="宋体" w:eastAsia="仿宋_GB2312"/>
          <w:sz w:val="32"/>
          <w:szCs w:val="32"/>
        </w:rPr>
      </w:pPr>
      <w:r>
        <w:rPr>
          <w:rFonts w:hint="eastAsia" w:ascii="仿宋_GB2312" w:hAnsi="宋体" w:eastAsia="仿宋_GB2312"/>
          <w:sz w:val="32"/>
          <w:szCs w:val="32"/>
          <w:lang w:val="zh-CN"/>
        </w:rPr>
        <w:t>该项目资金指标全部为</w:t>
      </w:r>
      <w:r>
        <w:rPr>
          <w:rFonts w:hint="eastAsia" w:ascii="仿宋_GB2312" w:hAnsi="宋体" w:eastAsia="仿宋_GB2312"/>
          <w:sz w:val="32"/>
          <w:szCs w:val="32"/>
        </w:rPr>
        <w:t>财政资金</w:t>
      </w:r>
      <w:r>
        <w:rPr>
          <w:rFonts w:hint="eastAsia" w:ascii="仿宋_GB2312" w:hAnsi="宋体" w:eastAsia="仿宋_GB2312"/>
          <w:sz w:val="32"/>
          <w:szCs w:val="32"/>
          <w:lang w:val="zh-CN"/>
        </w:rPr>
        <w:t>，指标在</w:t>
      </w:r>
      <w:r>
        <w:rPr>
          <w:rFonts w:hint="eastAsia" w:ascii="仿宋_GB2312" w:hAnsi="宋体" w:eastAsia="仿宋_GB2312"/>
          <w:sz w:val="32"/>
          <w:szCs w:val="32"/>
        </w:rPr>
        <w:t>2020年12月到位，以上资金指标全部及时到位，到位率100%。</w:t>
      </w:r>
    </w:p>
    <w:p>
      <w:pPr>
        <w:adjustRightInd w:val="0"/>
        <w:snapToGrid w:val="0"/>
        <w:spacing w:line="520" w:lineRule="exact"/>
        <w:ind w:firstLine="72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资金使用。</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截至评价时合计资金</w:t>
      </w:r>
      <w:r>
        <w:rPr>
          <w:rFonts w:hint="eastAsia" w:ascii="仿宋_GB2312" w:hAnsi="宋体" w:eastAsia="仿宋_GB2312"/>
          <w:sz w:val="32"/>
          <w:szCs w:val="32"/>
        </w:rPr>
        <w:t>82.19万元，按照工作完成程度拨付了82.19万元，支付标准及依据合规合法</w:t>
      </w:r>
      <w:r>
        <w:rPr>
          <w:rFonts w:hint="eastAsia" w:ascii="仿宋_GB2312" w:hAnsi="宋体" w:eastAsia="仿宋_GB2312"/>
          <w:sz w:val="32"/>
          <w:szCs w:val="32"/>
          <w:lang w:val="zh-CN"/>
        </w:rPr>
        <w:t>。</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该项目依照法律、行政法规和国家财政行政主管部门的规定建立财务、会计制度；在每一会计季度终了时制作财务会计报表，按国家和有关部门的规定进行审计，报送财政、税务、工商行政管理等部门；严格执行财务管理制度、财务处理及时、会计核算规范。</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（三）项目组织实施情况。</w:t>
      </w:r>
    </w:p>
    <w:p>
      <w:pPr>
        <w:adjustRightInd w:val="0"/>
        <w:snapToGrid w:val="0"/>
        <w:spacing w:line="520" w:lineRule="exact"/>
        <w:ind w:firstLine="720"/>
        <w:rPr>
          <w:rFonts w:ascii="仿宋_GB2312" w:hAnsi="宋体" w:eastAsia="仿宋_GB2312"/>
          <w:sz w:val="32"/>
          <w:szCs w:val="32"/>
        </w:rPr>
      </w:pPr>
      <w:r>
        <w:rPr>
          <w:rFonts w:hint="eastAsia" w:ascii="仿宋_GB2312" w:hAnsi="宋体" w:eastAsia="仿宋_GB2312"/>
          <w:sz w:val="32"/>
          <w:szCs w:val="32"/>
          <w:lang w:val="zh-CN"/>
        </w:rPr>
        <w:t>该项目由绵竹市</w:t>
      </w:r>
      <w:r>
        <w:rPr>
          <w:rFonts w:hint="eastAsia" w:ascii="仿宋_GB2312" w:hAnsi="宋体" w:eastAsia="仿宋_GB2312"/>
          <w:sz w:val="32"/>
          <w:szCs w:val="32"/>
        </w:rPr>
        <w:t>住房和城乡建设局城建股负责牵头，镇乡负责实施。目前已实施危房改造10户，抗震设防改造84户。</w:t>
      </w:r>
    </w:p>
    <w:p>
      <w:pPr>
        <w:adjustRightInd w:val="0"/>
        <w:snapToGrid w:val="0"/>
        <w:spacing w:line="52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2021年底已完成危房改造10户，抗震设防改造84户</w:t>
      </w:r>
      <w:r>
        <w:rPr>
          <w:rFonts w:hint="eastAsia" w:ascii="仿宋_GB2312" w:hAnsi="宋体" w:eastAsia="仿宋_GB2312"/>
          <w:sz w:val="32"/>
          <w:szCs w:val="32"/>
          <w:lang w:val="zh-CN"/>
        </w:rPr>
        <w:t>。</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20" w:lineRule="exact"/>
        <w:ind w:firstLine="720"/>
        <w:rPr>
          <w:rFonts w:ascii="仿宋_GB2312" w:hAnsi="宋体" w:eastAsia="仿宋_GB2312"/>
          <w:sz w:val="32"/>
          <w:szCs w:val="32"/>
        </w:rPr>
      </w:pPr>
      <w:r>
        <w:rPr>
          <w:rFonts w:hint="eastAsia" w:ascii="仿宋_GB2312" w:hAnsi="宋体" w:eastAsia="仿宋_GB2312"/>
          <w:sz w:val="32"/>
          <w:szCs w:val="32"/>
        </w:rPr>
        <w:t>社会效益：改造后房屋在相当于本地区抗震设防烈度地震中无严重损毁。</w:t>
      </w:r>
    </w:p>
    <w:p>
      <w:pPr>
        <w:adjustRightInd w:val="0"/>
        <w:snapToGrid w:val="0"/>
        <w:spacing w:line="520" w:lineRule="exact"/>
        <w:ind w:firstLine="720"/>
        <w:rPr>
          <w:rFonts w:ascii="仿宋_GB2312" w:hAnsi="宋体" w:eastAsia="仿宋_GB2312"/>
          <w:sz w:val="32"/>
          <w:szCs w:val="32"/>
        </w:rPr>
      </w:pPr>
      <w:r>
        <w:rPr>
          <w:rFonts w:hint="eastAsia" w:ascii="仿宋_GB2312" w:hAnsi="宋体" w:eastAsia="仿宋_GB2312"/>
          <w:sz w:val="32"/>
          <w:szCs w:val="32"/>
          <w:lang w:val="zh-CN"/>
        </w:rPr>
        <w:t>服务对象满意度：危房改造户满意度≥9</w:t>
      </w:r>
      <w:r>
        <w:rPr>
          <w:rFonts w:hint="eastAsia" w:ascii="仿宋_GB2312" w:hAnsi="宋体" w:eastAsia="仿宋_GB2312"/>
          <w:sz w:val="32"/>
          <w:szCs w:val="32"/>
        </w:rPr>
        <w:t>5</w:t>
      </w:r>
      <w:r>
        <w:rPr>
          <w:rFonts w:hint="eastAsia" w:ascii="仿宋_GB2312" w:hAnsi="宋体" w:eastAsia="仿宋_GB2312"/>
          <w:sz w:val="32"/>
          <w:szCs w:val="32"/>
          <w:lang w:val="zh-CN"/>
        </w:rPr>
        <w:t>%</w:t>
      </w:r>
      <w:r>
        <w:rPr>
          <w:rFonts w:hint="eastAsia" w:ascii="仿宋_GB2312" w:hAnsi="宋体" w:eastAsia="仿宋_GB2312"/>
          <w:sz w:val="32"/>
          <w:szCs w:val="32"/>
        </w:rPr>
        <w:t>。</w:t>
      </w:r>
    </w:p>
    <w:p>
      <w:pPr>
        <w:adjustRightInd w:val="0"/>
        <w:snapToGrid w:val="0"/>
        <w:spacing w:line="520" w:lineRule="exact"/>
        <w:ind w:firstLine="720"/>
        <w:rPr>
          <w:rFonts w:ascii="黑体" w:hAnsi="宋体" w:eastAsia="黑体"/>
          <w:sz w:val="32"/>
          <w:szCs w:val="32"/>
        </w:rPr>
      </w:pPr>
      <w:r>
        <w:rPr>
          <w:rFonts w:hint="eastAsia" w:ascii="黑体" w:hAnsi="宋体" w:eastAsia="黑体"/>
          <w:sz w:val="32"/>
          <w:szCs w:val="32"/>
        </w:rPr>
        <w:t>四、问题及建议</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（一）存在的问题。</w:t>
      </w:r>
    </w:p>
    <w:p>
      <w:pPr>
        <w:adjustRightInd w:val="0"/>
        <w:snapToGrid w:val="0"/>
        <w:spacing w:line="520" w:lineRule="exact"/>
        <w:ind w:firstLine="1040" w:firstLineChars="325"/>
        <w:rPr>
          <w:rFonts w:ascii="仿宋_GB2312" w:hAnsi="宋体" w:eastAsia="仿宋_GB2312"/>
          <w:sz w:val="32"/>
          <w:szCs w:val="32"/>
        </w:rPr>
      </w:pPr>
      <w:r>
        <w:rPr>
          <w:rFonts w:hint="eastAsia" w:ascii="仿宋_GB2312" w:hAnsi="宋体" w:eastAsia="仿宋_GB2312"/>
          <w:sz w:val="32"/>
          <w:szCs w:val="32"/>
        </w:rPr>
        <w:t>无。</w:t>
      </w:r>
    </w:p>
    <w:p>
      <w:pPr>
        <w:adjustRightInd w:val="0"/>
        <w:snapToGrid w:val="0"/>
        <w:spacing w:line="52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（二）相关建议。</w:t>
      </w:r>
    </w:p>
    <w:p>
      <w:pPr>
        <w:adjustRightInd w:val="0"/>
        <w:snapToGrid w:val="0"/>
        <w:spacing w:line="520" w:lineRule="exact"/>
        <w:ind w:firstLine="1040" w:firstLineChars="325"/>
        <w:rPr>
          <w:rFonts w:ascii="仿宋_GB2312" w:hAnsi="宋体" w:eastAsia="仿宋_GB2312"/>
          <w:sz w:val="32"/>
          <w:szCs w:val="32"/>
        </w:rPr>
      </w:pPr>
      <w:r>
        <w:rPr>
          <w:rFonts w:hint="eastAsia" w:ascii="仿宋_GB2312" w:hAnsi="宋体" w:eastAsia="仿宋_GB2312"/>
          <w:sz w:val="32"/>
          <w:szCs w:val="32"/>
        </w:rPr>
        <w:t>无。</w:t>
      </w:r>
    </w:p>
    <w:p>
      <w:pPr>
        <w:pStyle w:val="2"/>
        <w:spacing w:before="93"/>
        <w:rPr>
          <w:rFonts w:hAnsi="宋体" w:cs="宋体"/>
          <w:sz w:val="32"/>
          <w:szCs w:val="32"/>
          <w:shd w:val="clear" w:color="auto" w:fill="FFFFFF"/>
        </w:rPr>
      </w:pPr>
    </w:p>
    <w:tbl>
      <w:tblPr>
        <w:tblStyle w:val="13"/>
        <w:tblW w:w="9520" w:type="dxa"/>
        <w:jc w:val="center"/>
        <w:tblLayout w:type="autofit"/>
        <w:tblCellMar>
          <w:top w:w="0" w:type="dxa"/>
          <w:left w:w="108" w:type="dxa"/>
          <w:bottom w:w="0" w:type="dxa"/>
          <w:right w:w="108" w:type="dxa"/>
        </w:tblCellMar>
      </w:tblPr>
      <w:tblGrid>
        <w:gridCol w:w="1080"/>
        <w:gridCol w:w="900"/>
        <w:gridCol w:w="1321"/>
        <w:gridCol w:w="1119"/>
        <w:gridCol w:w="700"/>
        <w:gridCol w:w="2200"/>
        <w:gridCol w:w="2200"/>
      </w:tblGrid>
      <w:tr>
        <w:tblPrEx>
          <w:tblCellMar>
            <w:top w:w="0" w:type="dxa"/>
            <w:left w:w="108" w:type="dxa"/>
            <w:bottom w:w="0" w:type="dxa"/>
            <w:right w:w="108" w:type="dxa"/>
          </w:tblCellMar>
        </w:tblPrEx>
        <w:trPr>
          <w:trHeight w:val="405" w:hRule="atLeast"/>
          <w:jc w:val="center"/>
        </w:trPr>
        <w:tc>
          <w:tcPr>
            <w:tcW w:w="952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52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21"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119"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0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20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20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47" w:hRule="atLeast"/>
          <w:jc w:val="center"/>
        </w:trPr>
        <w:tc>
          <w:tcPr>
            <w:tcW w:w="33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219"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农村危房改造、抗震改造项目</w:t>
            </w:r>
          </w:p>
        </w:tc>
      </w:tr>
      <w:tr>
        <w:tblPrEx>
          <w:tblCellMar>
            <w:top w:w="0" w:type="dxa"/>
            <w:left w:w="108" w:type="dxa"/>
            <w:bottom w:w="0" w:type="dxa"/>
            <w:right w:w="108" w:type="dxa"/>
          </w:tblCellMar>
        </w:tblPrEx>
        <w:trPr>
          <w:trHeight w:val="420" w:hRule="atLeast"/>
          <w:jc w:val="center"/>
        </w:trPr>
        <w:tc>
          <w:tcPr>
            <w:tcW w:w="3301"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219"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46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221"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8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82.19万元</w:t>
            </w:r>
          </w:p>
        </w:tc>
        <w:tc>
          <w:tcPr>
            <w:tcW w:w="22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82.19万元</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221"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8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82.19万元</w:t>
            </w:r>
          </w:p>
        </w:tc>
        <w:tc>
          <w:tcPr>
            <w:tcW w:w="220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82.19万元</w:t>
            </w:r>
          </w:p>
        </w:tc>
      </w:tr>
      <w:tr>
        <w:tblPrEx>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221"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8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0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11"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0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42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0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1、完成建档立卡贫困户、低保户、农村分散供养特困人员、贫困残疾人家庭等4类重点对象存量危房改造任务。</w:t>
            </w:r>
            <w:r>
              <w:rPr>
                <w:rFonts w:hint="eastAsia" w:ascii="宋体" w:hAnsi="宋体" w:cs="宋体"/>
                <w:kern w:val="0"/>
                <w:sz w:val="20"/>
                <w:szCs w:val="20"/>
              </w:rPr>
              <w:br w:type="textWrapping"/>
            </w:r>
            <w:r>
              <w:rPr>
                <w:rFonts w:hint="eastAsia" w:ascii="宋体" w:hAnsi="宋体" w:cs="宋体"/>
                <w:kern w:val="0"/>
                <w:sz w:val="20"/>
                <w:szCs w:val="20"/>
              </w:rPr>
              <w:t>2、完成农房抗震改造任务。</w:t>
            </w:r>
            <w:r>
              <w:rPr>
                <w:rFonts w:hint="eastAsia" w:ascii="宋体" w:hAnsi="宋体" w:cs="宋体"/>
                <w:kern w:val="0"/>
                <w:sz w:val="20"/>
                <w:szCs w:val="20"/>
              </w:rPr>
              <w:br w:type="textWrapping"/>
            </w:r>
            <w:r>
              <w:rPr>
                <w:rFonts w:hint="eastAsia" w:ascii="宋体" w:hAnsi="宋体" w:cs="宋体"/>
                <w:kern w:val="0"/>
                <w:sz w:val="20"/>
                <w:szCs w:val="20"/>
              </w:rPr>
              <w:t>3、支持其他低收入农户基本住房安全保障</w:t>
            </w:r>
          </w:p>
        </w:tc>
        <w:tc>
          <w:tcPr>
            <w:tcW w:w="44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农村危房改造和农房抗震设防改造94户</w:t>
            </w:r>
          </w:p>
        </w:tc>
      </w:tr>
      <w:tr>
        <w:tblPrEx>
          <w:tblCellMar>
            <w:top w:w="0" w:type="dxa"/>
            <w:left w:w="108" w:type="dxa"/>
            <w:bottom w:w="0" w:type="dxa"/>
            <w:right w:w="108" w:type="dxa"/>
          </w:tblCellMar>
        </w:tblPrEx>
        <w:trPr>
          <w:trHeight w:val="66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8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72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321"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8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4类重点对象存量危房改造</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3户</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3户</w:t>
            </w:r>
          </w:p>
        </w:tc>
      </w:tr>
      <w:tr>
        <w:tblPrEx>
          <w:tblCellMar>
            <w:top w:w="0" w:type="dxa"/>
            <w:left w:w="108" w:type="dxa"/>
            <w:bottom w:w="0" w:type="dxa"/>
            <w:right w:w="108" w:type="dxa"/>
          </w:tblCellMar>
        </w:tblPrEx>
        <w:trPr>
          <w:trHeight w:val="72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21"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8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其他低收入农户基本住房安全保障</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84户</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84户</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21"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8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农房抗震改造</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7户</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7户</w:t>
            </w:r>
          </w:p>
        </w:tc>
      </w:tr>
      <w:tr>
        <w:tblPrEx>
          <w:tblCellMar>
            <w:top w:w="0" w:type="dxa"/>
            <w:left w:w="108" w:type="dxa"/>
            <w:bottom w:w="0" w:type="dxa"/>
            <w:right w:w="108" w:type="dxa"/>
          </w:tblCellMar>
        </w:tblPrEx>
        <w:trPr>
          <w:trHeight w:val="61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2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8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工程质量合格率</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2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8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w:t>
            </w:r>
          </w:p>
        </w:tc>
      </w:tr>
      <w:tr>
        <w:tblPrEx>
          <w:tblCellMar>
            <w:top w:w="0" w:type="dxa"/>
            <w:left w:w="108" w:type="dxa"/>
            <w:bottom w:w="0" w:type="dxa"/>
            <w:right w:w="108" w:type="dxa"/>
          </w:tblCellMar>
        </w:tblPrEx>
        <w:trPr>
          <w:trHeight w:val="73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21"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8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执行分类分级补助标准</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73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321"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人畜分离、卫生厕所等基本卫生条件</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基本保障</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基本保障</w:t>
            </w:r>
          </w:p>
        </w:tc>
      </w:tr>
      <w:tr>
        <w:tblPrEx>
          <w:tblCellMar>
            <w:top w:w="0" w:type="dxa"/>
            <w:left w:w="108" w:type="dxa"/>
            <w:bottom w:w="0" w:type="dxa"/>
            <w:right w:w="108" w:type="dxa"/>
          </w:tblCellMar>
        </w:tblPrEx>
        <w:trPr>
          <w:trHeight w:val="73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21"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81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农村危房改造后房屋保持安全期限</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拆除重建的≥30年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维修加固的≥15年</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拆除重建的≥30年</w:t>
            </w:r>
            <w:r>
              <w:rPr>
                <w:rFonts w:hint="eastAsia" w:ascii="宋体" w:hAnsi="宋体" w:cs="宋体"/>
                <w:color w:val="000000"/>
                <w:kern w:val="0"/>
                <w:sz w:val="20"/>
                <w:szCs w:val="20"/>
              </w:rPr>
              <w:br w:type="textWrapping"/>
            </w:r>
            <w:r>
              <w:rPr>
                <w:rFonts w:hint="eastAsia" w:ascii="宋体" w:hAnsi="宋体" w:cs="宋体"/>
                <w:color w:val="000000"/>
                <w:kern w:val="0"/>
                <w:sz w:val="20"/>
                <w:szCs w:val="20"/>
              </w:rPr>
              <w:t>维修加固的≥15年</w:t>
            </w:r>
          </w:p>
        </w:tc>
      </w:tr>
      <w:tr>
        <w:tblPrEx>
          <w:tblCellMar>
            <w:top w:w="0" w:type="dxa"/>
            <w:left w:w="108" w:type="dxa"/>
            <w:bottom w:w="0" w:type="dxa"/>
            <w:right w:w="108" w:type="dxa"/>
          </w:tblCellMar>
        </w:tblPrEx>
        <w:trPr>
          <w:trHeight w:val="72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32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819"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群众满意度</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220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98%</w:t>
            </w:r>
          </w:p>
        </w:tc>
      </w:tr>
    </w:tbl>
    <w:p>
      <w:pPr>
        <w:pStyle w:val="2"/>
        <w:spacing w:before="93"/>
        <w:rPr>
          <w:rFonts w:hAnsi="宋体" w:cs="宋体"/>
          <w:sz w:val="32"/>
          <w:szCs w:val="32"/>
          <w:shd w:val="clear" w:color="auto" w:fill="FFFFFF"/>
        </w:rPr>
      </w:pPr>
    </w:p>
    <w:p>
      <w:pPr>
        <w:pStyle w:val="2"/>
        <w:spacing w:before="93"/>
        <w:rPr>
          <w:rFonts w:hAnsi="宋体" w:cs="宋体"/>
          <w:sz w:val="32"/>
          <w:szCs w:val="32"/>
          <w:shd w:val="clear" w:color="auto" w:fill="FFFFFF"/>
        </w:rPr>
      </w:pPr>
    </w:p>
    <w:p>
      <w:pPr>
        <w:jc w:val="center"/>
        <w:rPr>
          <w:rFonts w:ascii="黑体" w:hAnsi="黑体" w:eastAsia="黑体" w:cs="仿宋_GB2312"/>
          <w:color w:val="000000"/>
          <w:kern w:val="0"/>
          <w:sz w:val="32"/>
          <w:szCs w:val="32"/>
          <w:lang w:bidi="en-US"/>
        </w:rPr>
      </w:pPr>
      <w:bookmarkStart w:id="60" w:name="bookmark28"/>
      <w:bookmarkStart w:id="61" w:name="bookmark30"/>
      <w:bookmarkStart w:id="62" w:name="bookmark29"/>
      <w:r>
        <w:rPr>
          <w:rFonts w:hint="eastAsia" w:ascii="黑体" w:hAnsi="黑体" w:eastAsia="黑体" w:cs="仿宋_GB2312"/>
          <w:color w:val="000000"/>
          <w:kern w:val="0"/>
          <w:sz w:val="44"/>
          <w:szCs w:val="44"/>
          <w:lang w:bidi="en-US"/>
        </w:rPr>
        <w:t>项目支出绩效自评报告</w:t>
      </w:r>
      <w:bookmarkEnd w:id="60"/>
      <w:bookmarkEnd w:id="61"/>
      <w:bookmarkEnd w:id="62"/>
    </w:p>
    <w:p>
      <w:pPr>
        <w:jc w:val="center"/>
        <w:rPr>
          <w:rFonts w:ascii="仿宋_GB2312" w:hAnsi="仿宋_GB2312" w:eastAsia="仿宋_GB2312" w:cs="仿宋_GB2312"/>
          <w:color w:val="000000"/>
          <w:kern w:val="0"/>
          <w:sz w:val="32"/>
          <w:szCs w:val="32"/>
          <w:lang w:bidi="en-US"/>
        </w:rPr>
      </w:pPr>
      <w:r>
        <w:rPr>
          <w:rFonts w:hint="eastAsia" w:ascii="仿宋_GB2312" w:hAnsi="仿宋_GB2312" w:eastAsia="仿宋_GB2312" w:cs="仿宋_GB2312"/>
          <w:color w:val="000000"/>
          <w:kern w:val="0"/>
          <w:sz w:val="32"/>
          <w:szCs w:val="32"/>
          <w:lang w:bidi="en-US"/>
        </w:rPr>
        <w:t>（历史建筑挂牌保护和测绘建档）</w:t>
      </w:r>
    </w:p>
    <w:p>
      <w:pPr>
        <w:ind w:firstLine="640" w:firstLineChars="200"/>
        <w:jc w:val="left"/>
        <w:rPr>
          <w:rFonts w:ascii="仿宋_GB2312" w:hAnsi="仿宋_GB2312" w:eastAsia="仿宋_GB2312" w:cs="仿宋_GB2312"/>
          <w:color w:val="000000"/>
          <w:kern w:val="0"/>
          <w:sz w:val="32"/>
          <w:szCs w:val="32"/>
          <w:lang w:bidi="en-US"/>
        </w:rPr>
      </w:pPr>
    </w:p>
    <w:p>
      <w:pPr>
        <w:spacing w:line="640" w:lineRule="exact"/>
        <w:ind w:firstLine="640" w:firstLineChars="200"/>
        <w:jc w:val="left"/>
        <w:rPr>
          <w:rFonts w:ascii="黑体" w:hAnsi="黑体" w:eastAsia="黑体" w:cs="仿宋_GB2312"/>
          <w:color w:val="000000"/>
          <w:kern w:val="0"/>
          <w:sz w:val="32"/>
          <w:szCs w:val="32"/>
          <w:lang w:bidi="en-US"/>
        </w:rPr>
      </w:pPr>
      <w:r>
        <w:rPr>
          <w:rFonts w:hint="eastAsia" w:ascii="黑体" w:hAnsi="黑体" w:eastAsia="黑体" w:cs="仿宋_GB2312"/>
          <w:color w:val="000000"/>
          <w:kern w:val="0"/>
          <w:sz w:val="32"/>
          <w:szCs w:val="32"/>
          <w:lang w:bidi="en-US"/>
        </w:rPr>
        <w:t>—、基本情况</w:t>
      </w:r>
    </w:p>
    <w:p>
      <w:pPr>
        <w:spacing w:line="640" w:lineRule="exact"/>
        <w:ind w:left="420" w:leftChars="200"/>
        <w:jc w:val="left"/>
        <w:rPr>
          <w:rFonts w:ascii="仿宋_GB2312" w:hAnsi="仿宋_GB2312" w:eastAsia="仿宋_GB2312" w:cs="仿宋_GB2312"/>
          <w:color w:val="000000"/>
          <w:kern w:val="0"/>
          <w:sz w:val="32"/>
          <w:szCs w:val="32"/>
          <w:lang w:bidi="en-US"/>
        </w:rPr>
      </w:pPr>
      <w:r>
        <w:rPr>
          <w:rFonts w:hint="eastAsia" w:ascii="仿宋_GB2312" w:hAnsi="仿宋_GB2312" w:eastAsia="仿宋_GB2312" w:cs="仿宋_GB2312"/>
          <w:color w:val="000000"/>
          <w:kern w:val="0"/>
          <w:sz w:val="32"/>
          <w:szCs w:val="32"/>
          <w:lang w:bidi="en-US"/>
        </w:rPr>
        <w:t>（一）项目基本概况。</w:t>
      </w:r>
    </w:p>
    <w:p>
      <w:pPr>
        <w:adjustRightInd w:val="0"/>
        <w:snapToGrid w:val="0"/>
        <w:spacing w:line="640" w:lineRule="exact"/>
        <w:ind w:firstLine="640" w:firstLineChars="200"/>
        <w:jc w:val="left"/>
        <w:rPr>
          <w:rFonts w:ascii="仿宋_GB2312" w:hAnsi="仿宋_GB2312" w:eastAsia="仿宋_GB2312" w:cs="仿宋_GB2312"/>
          <w:color w:val="000000"/>
          <w:kern w:val="0"/>
          <w:sz w:val="32"/>
          <w:szCs w:val="32"/>
          <w:lang w:bidi="en-US"/>
        </w:rPr>
      </w:pPr>
      <w:r>
        <w:rPr>
          <w:rFonts w:hint="eastAsia" w:ascii="仿宋_GB2312" w:hAnsi="仿宋_GB2312" w:eastAsia="仿宋_GB2312" w:cs="仿宋_GB2312"/>
          <w:color w:val="000000"/>
          <w:kern w:val="0"/>
          <w:sz w:val="32"/>
          <w:szCs w:val="32"/>
          <w:lang w:bidi="en-US"/>
        </w:rPr>
        <w:t>川财综（2021）14号2021年中央财政城镇保障性安全工程补助资金</w:t>
      </w:r>
      <w:r>
        <w:rPr>
          <w:rFonts w:hint="eastAsia" w:ascii="仿宋_GB2312" w:hAnsi="仿宋_GB2312" w:eastAsia="仿宋_GB2312" w:cs="仿宋_GB2312"/>
          <w:color w:val="000000"/>
          <w:kern w:val="0"/>
          <w:sz w:val="32"/>
          <w:szCs w:val="32"/>
          <w:lang w:eastAsia="zh-CN" w:bidi="en-US"/>
        </w:rPr>
        <w:t>－</w:t>
      </w:r>
      <w:r>
        <w:rPr>
          <w:rFonts w:hint="eastAsia" w:ascii="仿宋_GB2312" w:hAnsi="仿宋_GB2312" w:eastAsia="仿宋_GB2312" w:cs="仿宋_GB2312"/>
          <w:color w:val="000000"/>
          <w:kern w:val="0"/>
          <w:sz w:val="32"/>
          <w:szCs w:val="32"/>
          <w:lang w:bidi="en-US"/>
        </w:rPr>
        <w:t>绵竹市老旧小区改造项目用于绵竹市老旧小区改造项目，主要老旧小区历史建筑挂牌保护和测绘建档服务费。</w:t>
      </w:r>
    </w:p>
    <w:p>
      <w:pPr>
        <w:spacing w:line="640" w:lineRule="exact"/>
        <w:ind w:left="420" w:leftChars="200"/>
        <w:jc w:val="left"/>
        <w:rPr>
          <w:rFonts w:ascii="仿宋_GB2312" w:hAnsi="仿宋_GB2312" w:eastAsia="仿宋_GB2312" w:cs="仿宋_GB2312"/>
          <w:color w:val="000000"/>
          <w:kern w:val="0"/>
          <w:sz w:val="32"/>
          <w:szCs w:val="32"/>
          <w:lang w:bidi="ar"/>
        </w:rPr>
      </w:pPr>
      <w:r>
        <w:rPr>
          <w:rFonts w:hint="eastAsia" w:ascii="仿宋_GB2312" w:hAnsi="仿宋_GB2312" w:eastAsia="仿宋_GB2312" w:cs="仿宋_GB2312"/>
          <w:color w:val="000000"/>
          <w:kern w:val="0"/>
          <w:sz w:val="32"/>
          <w:szCs w:val="32"/>
          <w:lang w:bidi="en-US"/>
        </w:rPr>
        <w:t>（二）整体绩效目标情况。</w:t>
      </w:r>
    </w:p>
    <w:p>
      <w:pPr>
        <w:adjustRightInd w:val="0"/>
        <w:snapToGrid w:val="0"/>
        <w:spacing w:line="640" w:lineRule="exact"/>
        <w:ind w:firstLine="640" w:firstLineChars="200"/>
        <w:jc w:val="left"/>
        <w:rPr>
          <w:rFonts w:ascii="仿宋_GB2312" w:hAnsi="仿宋_GB2312" w:eastAsia="仿宋_GB2312" w:cs="仿宋_GB2312"/>
          <w:color w:val="000000"/>
          <w:kern w:val="0"/>
          <w:sz w:val="32"/>
          <w:szCs w:val="32"/>
          <w:lang w:bidi="en-US"/>
        </w:rPr>
      </w:pPr>
      <w:bookmarkStart w:id="63" w:name="bookmark34"/>
      <w:r>
        <w:rPr>
          <w:rFonts w:hint="eastAsia" w:ascii="仿宋_GB2312" w:hAnsi="仿宋_GB2312" w:eastAsia="仿宋_GB2312" w:cs="仿宋_GB2312"/>
          <w:color w:val="000000"/>
          <w:kern w:val="0"/>
          <w:sz w:val="32"/>
          <w:szCs w:val="32"/>
          <w:lang w:bidi="en-US"/>
        </w:rPr>
        <w:t>2021年年初资金预算指标23万元</w:t>
      </w:r>
      <w:r>
        <w:rPr>
          <w:rFonts w:hint="eastAsia" w:ascii="仿宋_GB2312" w:hAnsi="仿宋_GB2312" w:eastAsia="仿宋_GB2312" w:cs="仿宋_GB2312"/>
          <w:color w:val="000000"/>
          <w:kern w:val="0"/>
          <w:sz w:val="32"/>
          <w:szCs w:val="32"/>
          <w:lang w:eastAsia="zh-CN" w:bidi="en-US"/>
        </w:rPr>
        <w:t>，</w:t>
      </w:r>
      <w:r>
        <w:rPr>
          <w:rFonts w:hint="eastAsia" w:ascii="仿宋_GB2312" w:hAnsi="仿宋_GB2312" w:eastAsia="仿宋_GB2312" w:cs="仿宋_GB2312"/>
          <w:color w:val="000000"/>
          <w:kern w:val="0"/>
          <w:sz w:val="32"/>
          <w:szCs w:val="32"/>
          <w:lang w:bidi="en-US"/>
        </w:rPr>
        <w:t>截至2020年12月底已完成资金。</w:t>
      </w:r>
    </w:p>
    <w:p>
      <w:pPr>
        <w:spacing w:line="640" w:lineRule="exact"/>
        <w:ind w:firstLine="640" w:firstLineChars="200"/>
        <w:jc w:val="left"/>
        <w:rPr>
          <w:rFonts w:ascii="黑体" w:hAnsi="黑体" w:eastAsia="黑体" w:cs="仿宋_GB2312"/>
          <w:color w:val="000000"/>
          <w:kern w:val="0"/>
          <w:sz w:val="32"/>
          <w:szCs w:val="32"/>
          <w:lang w:bidi="en-US"/>
        </w:rPr>
      </w:pPr>
      <w:r>
        <w:rPr>
          <w:rFonts w:hint="eastAsia" w:ascii="黑体" w:hAnsi="黑体" w:eastAsia="黑体" w:cs="仿宋_GB2312"/>
          <w:color w:val="000000"/>
          <w:kern w:val="0"/>
          <w:sz w:val="32"/>
          <w:szCs w:val="32"/>
          <w:lang w:bidi="en-US"/>
        </w:rPr>
        <w:t>二</w:t>
      </w:r>
      <w:bookmarkEnd w:id="63"/>
      <w:r>
        <w:rPr>
          <w:rFonts w:hint="eastAsia" w:ascii="黑体" w:hAnsi="黑体" w:eastAsia="黑体" w:cs="仿宋_GB2312"/>
          <w:color w:val="000000"/>
          <w:kern w:val="0"/>
          <w:sz w:val="32"/>
          <w:szCs w:val="32"/>
          <w:lang w:bidi="en-US"/>
        </w:rPr>
        <w:t>、综合评价结论</w:t>
      </w:r>
    </w:p>
    <w:p>
      <w:pPr>
        <w:spacing w:line="640" w:lineRule="exact"/>
        <w:ind w:firstLine="640" w:firstLineChars="200"/>
        <w:jc w:val="left"/>
        <w:rPr>
          <w:rFonts w:ascii="仿宋_GB2312" w:hAnsi="宋体" w:eastAsia="Times New Roman"/>
          <w:kern w:val="0"/>
          <w:sz w:val="24"/>
          <w:lang w:bidi="en-US"/>
        </w:rPr>
      </w:pPr>
      <w:bookmarkStart w:id="64" w:name="bookmark35"/>
      <w:r>
        <w:rPr>
          <w:rFonts w:hint="eastAsia" w:ascii="仿宋_GB2312" w:hAnsi="仿宋_GB2312" w:eastAsia="仿宋_GB2312" w:cs="仿宋_GB2312"/>
          <w:color w:val="000000"/>
          <w:kern w:val="0"/>
          <w:sz w:val="32"/>
          <w:szCs w:val="32"/>
          <w:lang w:bidi="en-US"/>
        </w:rPr>
        <w:t>川财综（2021）14号2021年中央财政城镇保障性安全工程补助资金</w:t>
      </w:r>
      <w:r>
        <w:rPr>
          <w:rFonts w:hint="eastAsia" w:ascii="仿宋_GB2312" w:hAnsi="仿宋_GB2312" w:eastAsia="仿宋_GB2312" w:cs="仿宋_GB2312"/>
          <w:color w:val="000000"/>
          <w:kern w:val="0"/>
          <w:sz w:val="32"/>
          <w:szCs w:val="32"/>
          <w:lang w:eastAsia="zh-CN" w:bidi="en-US"/>
        </w:rPr>
        <w:t>－</w:t>
      </w:r>
      <w:r>
        <w:rPr>
          <w:rFonts w:hint="eastAsia" w:ascii="仿宋_GB2312" w:hAnsi="仿宋_GB2312" w:eastAsia="仿宋_GB2312" w:cs="仿宋_GB2312"/>
          <w:color w:val="000000"/>
          <w:kern w:val="0"/>
          <w:sz w:val="32"/>
          <w:szCs w:val="32"/>
          <w:lang w:bidi="en-US"/>
        </w:rPr>
        <w:t>绵竹市老旧小区改造项目</w:t>
      </w:r>
      <w:r>
        <w:rPr>
          <w:rFonts w:hint="eastAsia" w:ascii="仿宋_GB2312" w:hAnsi="仿宋_GB2312" w:eastAsia="仿宋_GB2312" w:cs="仿宋_GB2312"/>
          <w:color w:val="000000"/>
          <w:kern w:val="0"/>
          <w:sz w:val="32"/>
          <w:szCs w:val="32"/>
          <w:lang w:eastAsia="zh-CN" w:bidi="en-US"/>
        </w:rPr>
        <w:t>，</w:t>
      </w:r>
      <w:r>
        <w:rPr>
          <w:rFonts w:hint="eastAsia" w:ascii="仿宋_GB2312" w:hAnsi="仿宋_GB2312" w:eastAsia="仿宋_GB2312" w:cs="仿宋_GB2312"/>
          <w:color w:val="000000"/>
          <w:kern w:val="0"/>
          <w:sz w:val="32"/>
          <w:szCs w:val="32"/>
          <w:lang w:bidi="en-US"/>
        </w:rPr>
        <w:t>项目基本完成预定目标，达到了预期效果，项目效益明显。</w:t>
      </w:r>
    </w:p>
    <w:p>
      <w:pPr>
        <w:spacing w:line="640" w:lineRule="exact"/>
        <w:ind w:firstLine="640" w:firstLineChars="200"/>
        <w:jc w:val="left"/>
        <w:rPr>
          <w:rFonts w:ascii="黑体" w:hAnsi="黑体" w:eastAsia="黑体" w:cs="仿宋_GB2312"/>
          <w:color w:val="000000"/>
          <w:kern w:val="0"/>
          <w:sz w:val="32"/>
          <w:szCs w:val="32"/>
          <w:lang w:bidi="en-US"/>
        </w:rPr>
      </w:pPr>
      <w:r>
        <w:rPr>
          <w:rFonts w:hint="eastAsia" w:ascii="黑体" w:hAnsi="黑体" w:eastAsia="黑体" w:cs="仿宋_GB2312"/>
          <w:color w:val="000000"/>
          <w:kern w:val="0"/>
          <w:sz w:val="32"/>
          <w:szCs w:val="32"/>
          <w:lang w:bidi="en-US"/>
        </w:rPr>
        <w:t>三</w:t>
      </w:r>
      <w:bookmarkEnd w:id="64"/>
      <w:r>
        <w:rPr>
          <w:rFonts w:hint="eastAsia" w:ascii="黑体" w:hAnsi="黑体" w:eastAsia="黑体" w:cs="仿宋_GB2312"/>
          <w:color w:val="000000"/>
          <w:kern w:val="0"/>
          <w:sz w:val="32"/>
          <w:szCs w:val="32"/>
          <w:lang w:bidi="en-US"/>
        </w:rPr>
        <w:t>、绩效目标完成情况分析</w:t>
      </w:r>
    </w:p>
    <w:p>
      <w:pPr>
        <w:spacing w:line="640" w:lineRule="exact"/>
        <w:ind w:firstLine="640" w:firstLineChars="200"/>
        <w:jc w:val="left"/>
        <w:rPr>
          <w:rFonts w:ascii="仿宋_GB2312" w:hAnsi="仿宋_GB2312" w:eastAsia="仿宋_GB2312" w:cs="仿宋_GB2312"/>
          <w:color w:val="000000"/>
          <w:kern w:val="0"/>
          <w:sz w:val="32"/>
          <w:szCs w:val="32"/>
          <w:lang w:bidi="en-US"/>
        </w:rPr>
      </w:pPr>
      <w:bookmarkStart w:id="65" w:name="bookmark36"/>
      <w:r>
        <w:rPr>
          <w:rFonts w:hint="eastAsia" w:ascii="仿宋_GB2312" w:hAnsi="仿宋_GB2312" w:eastAsia="仿宋_GB2312" w:cs="仿宋_GB2312"/>
          <w:color w:val="000000"/>
          <w:kern w:val="0"/>
          <w:sz w:val="32"/>
          <w:szCs w:val="32"/>
          <w:lang w:bidi="en-US"/>
        </w:rPr>
        <w:t>（</w:t>
      </w:r>
      <w:bookmarkEnd w:id="65"/>
      <w:r>
        <w:rPr>
          <w:rFonts w:hint="eastAsia" w:ascii="仿宋_GB2312" w:hAnsi="仿宋_GB2312" w:eastAsia="仿宋_GB2312" w:cs="仿宋_GB2312"/>
          <w:color w:val="000000"/>
          <w:kern w:val="0"/>
          <w:sz w:val="32"/>
          <w:szCs w:val="32"/>
          <w:lang w:bidi="en-US"/>
        </w:rPr>
        <w:t>一）资金情况分析。</w:t>
      </w:r>
    </w:p>
    <w:p>
      <w:pPr>
        <w:spacing w:line="640" w:lineRule="exact"/>
        <w:ind w:firstLine="640" w:firstLineChars="200"/>
        <w:jc w:val="left"/>
        <w:rPr>
          <w:rFonts w:ascii="仿宋_GB2312" w:hAnsi="仿宋_GB2312" w:eastAsia="仿宋_GB2312" w:cs="仿宋_GB2312"/>
          <w:color w:val="000000"/>
          <w:kern w:val="0"/>
          <w:sz w:val="32"/>
          <w:szCs w:val="32"/>
          <w:lang w:val="zh-CN" w:bidi="en-US"/>
        </w:rPr>
      </w:pPr>
      <w:r>
        <w:rPr>
          <w:rFonts w:hint="eastAsia" w:ascii="仿宋_GB2312" w:hAnsi="仿宋_GB2312" w:eastAsia="仿宋_GB2312" w:cs="仿宋_GB2312"/>
          <w:color w:val="000000"/>
          <w:kern w:val="0"/>
          <w:sz w:val="32"/>
          <w:szCs w:val="32"/>
          <w:lang w:val="zh-CN" w:bidi="en-US"/>
        </w:rPr>
        <w:t>1．资金计划及到位。该项目资金预算指标全部为省级财政城镇保障性安居工程补助资金，年初指标在</w:t>
      </w:r>
      <w:r>
        <w:rPr>
          <w:rFonts w:hint="eastAsia" w:ascii="仿宋_GB2312" w:hAnsi="仿宋_GB2312" w:eastAsia="仿宋_GB2312" w:cs="仿宋_GB2312"/>
          <w:color w:val="000000"/>
          <w:kern w:val="0"/>
          <w:sz w:val="32"/>
          <w:szCs w:val="32"/>
          <w:lang w:bidi="en-US"/>
        </w:rPr>
        <w:t>2021年3月到位，以上资金预算指标全部及时到位，到位率100%。</w:t>
      </w:r>
    </w:p>
    <w:p>
      <w:pPr>
        <w:spacing w:line="640" w:lineRule="exact"/>
        <w:ind w:firstLine="640" w:firstLineChars="200"/>
        <w:jc w:val="left"/>
        <w:rPr>
          <w:rFonts w:ascii="仿宋_GB2312" w:hAnsi="仿宋_GB2312" w:eastAsia="仿宋_GB2312" w:cs="仿宋_GB2312"/>
          <w:color w:val="000000"/>
          <w:kern w:val="0"/>
          <w:sz w:val="32"/>
          <w:szCs w:val="32"/>
          <w:lang w:val="zh-CN" w:bidi="en-US"/>
        </w:rPr>
      </w:pPr>
      <w:r>
        <w:rPr>
          <w:rFonts w:hint="eastAsia" w:ascii="仿宋_GB2312" w:hAnsi="仿宋_GB2312" w:eastAsia="仿宋_GB2312" w:cs="仿宋_GB2312"/>
          <w:color w:val="000000"/>
          <w:kern w:val="0"/>
          <w:sz w:val="32"/>
          <w:szCs w:val="32"/>
          <w:lang w:val="zh-CN" w:bidi="en-US"/>
        </w:rPr>
        <w:t>2．资金使用。资金预算指标</w:t>
      </w:r>
      <w:r>
        <w:rPr>
          <w:rFonts w:hint="eastAsia" w:ascii="仿宋_GB2312" w:hAnsi="仿宋_GB2312" w:eastAsia="仿宋_GB2312" w:cs="仿宋_GB2312"/>
          <w:color w:val="000000"/>
          <w:kern w:val="0"/>
          <w:sz w:val="32"/>
          <w:szCs w:val="32"/>
          <w:lang w:bidi="en-US"/>
        </w:rPr>
        <w:t>23万元，费用支付具体情况、</w:t>
      </w:r>
      <w:r>
        <w:rPr>
          <w:rFonts w:hint="eastAsia" w:ascii="仿宋_GB2312" w:hAnsi="仿宋_GB2312" w:eastAsia="仿宋_GB2312" w:cs="仿宋_GB2312"/>
          <w:color w:val="000000"/>
          <w:kern w:val="0"/>
          <w:sz w:val="32"/>
          <w:szCs w:val="32"/>
          <w:lang w:val="zh-CN" w:bidi="en-US"/>
        </w:rPr>
        <w:t>资金开支范围、标准及支付进度</w:t>
      </w:r>
      <w:r>
        <w:rPr>
          <w:rFonts w:hint="eastAsia" w:ascii="仿宋_GB2312" w:hAnsi="仿宋_GB2312" w:eastAsia="仿宋_GB2312" w:cs="仿宋_GB2312"/>
          <w:color w:val="000000"/>
          <w:kern w:val="0"/>
          <w:sz w:val="32"/>
          <w:szCs w:val="32"/>
          <w:lang w:bidi="en-US"/>
        </w:rPr>
        <w:t>，全部用于该项目建设费的支付，支付标准及依据合规合法，资金支付与预算完全相符</w:t>
      </w:r>
      <w:r>
        <w:rPr>
          <w:rFonts w:hint="eastAsia" w:ascii="仿宋_GB2312" w:hAnsi="仿宋_GB2312" w:eastAsia="仿宋_GB2312" w:cs="仿宋_GB2312"/>
          <w:color w:val="000000"/>
          <w:kern w:val="0"/>
          <w:sz w:val="32"/>
          <w:szCs w:val="32"/>
          <w:lang w:val="zh-CN" w:bidi="en-US"/>
        </w:rPr>
        <w:t>。</w:t>
      </w:r>
    </w:p>
    <w:p>
      <w:pPr>
        <w:spacing w:line="640" w:lineRule="exact"/>
        <w:ind w:firstLine="640" w:firstLineChars="200"/>
        <w:jc w:val="left"/>
        <w:rPr>
          <w:rFonts w:ascii="仿宋_GB2312" w:hAnsi="仿宋_GB2312" w:eastAsia="仿宋_GB2312" w:cs="仿宋_GB2312"/>
          <w:color w:val="000000"/>
          <w:kern w:val="0"/>
          <w:sz w:val="32"/>
          <w:szCs w:val="32"/>
          <w:lang w:bidi="en-US"/>
        </w:rPr>
      </w:pPr>
      <w:r>
        <w:rPr>
          <w:rFonts w:hint="eastAsia" w:ascii="仿宋_GB2312" w:hAnsi="仿宋_GB2312" w:eastAsia="仿宋_GB2312" w:cs="仿宋_GB2312"/>
          <w:color w:val="000000"/>
          <w:kern w:val="0"/>
          <w:sz w:val="32"/>
          <w:szCs w:val="32"/>
          <w:lang w:bidi="en-US"/>
        </w:rPr>
        <w:t>（二）总体目标完成情况分析。</w:t>
      </w:r>
    </w:p>
    <w:p>
      <w:pPr>
        <w:spacing w:line="640" w:lineRule="exact"/>
        <w:ind w:firstLine="640" w:firstLineChars="200"/>
        <w:jc w:val="left"/>
        <w:rPr>
          <w:rFonts w:ascii="仿宋_GB2312" w:hAnsi="仿宋_GB2312" w:eastAsia="仿宋_GB2312" w:cs="仿宋_GB2312"/>
          <w:color w:val="000000"/>
          <w:kern w:val="0"/>
          <w:sz w:val="32"/>
          <w:szCs w:val="32"/>
          <w:lang w:bidi="en-US"/>
        </w:rPr>
      </w:pPr>
      <w:r>
        <w:rPr>
          <w:rFonts w:hint="eastAsia" w:ascii="仿宋_GB2312" w:hAnsi="仿宋_GB2312" w:eastAsia="仿宋_GB2312" w:cs="仿宋_GB2312"/>
          <w:color w:val="000000"/>
          <w:kern w:val="0"/>
          <w:sz w:val="32"/>
          <w:szCs w:val="32"/>
          <w:lang w:val="zh-CN" w:bidi="en-US"/>
        </w:rPr>
        <w:t>截至</w:t>
      </w:r>
      <w:r>
        <w:rPr>
          <w:rFonts w:hint="eastAsia" w:ascii="仿宋_GB2312" w:hAnsi="仿宋_GB2312" w:eastAsia="仿宋_GB2312" w:cs="仿宋_GB2312"/>
          <w:color w:val="000000"/>
          <w:kern w:val="0"/>
          <w:sz w:val="32"/>
          <w:szCs w:val="32"/>
          <w:lang w:bidi="en-US"/>
        </w:rPr>
        <w:t>2021年</w:t>
      </w:r>
      <w:r>
        <w:rPr>
          <w:rFonts w:hint="eastAsia" w:ascii="仿宋_GB2312" w:hAnsi="仿宋_GB2312" w:eastAsia="仿宋_GB2312" w:cs="仿宋_GB2312"/>
          <w:color w:val="000000"/>
          <w:kern w:val="0"/>
          <w:sz w:val="32"/>
          <w:szCs w:val="32"/>
          <w:lang w:val="zh-CN" w:bidi="en-US"/>
        </w:rPr>
        <w:t>12月底，已完成</w:t>
      </w:r>
      <w:r>
        <w:rPr>
          <w:rFonts w:hint="eastAsia" w:ascii="仿宋_GB2312" w:hAnsi="仿宋_GB2312" w:eastAsia="仿宋_GB2312" w:cs="仿宋_GB2312"/>
          <w:color w:val="000000"/>
          <w:kern w:val="0"/>
          <w:sz w:val="32"/>
          <w:szCs w:val="32"/>
          <w:lang w:bidi="en-US"/>
        </w:rPr>
        <w:t>历史建筑和历史街区挂牌12处，历史建筑测绘9处。</w:t>
      </w:r>
    </w:p>
    <w:p>
      <w:pPr>
        <w:spacing w:line="640" w:lineRule="exact"/>
        <w:ind w:firstLine="640" w:firstLineChars="200"/>
        <w:jc w:val="left"/>
        <w:rPr>
          <w:rFonts w:ascii="仿宋_GB2312" w:hAnsi="仿宋_GB2312" w:eastAsia="仿宋_GB2312" w:cs="仿宋_GB2312"/>
          <w:color w:val="000000"/>
          <w:kern w:val="0"/>
          <w:sz w:val="32"/>
          <w:szCs w:val="32"/>
          <w:lang w:val="zh-CN" w:bidi="en-US"/>
        </w:rPr>
      </w:pPr>
      <w:r>
        <w:rPr>
          <w:rFonts w:hint="eastAsia" w:ascii="仿宋_GB2312" w:hAnsi="仿宋_GB2312" w:eastAsia="仿宋_GB2312" w:cs="仿宋_GB2312"/>
          <w:color w:val="000000"/>
          <w:kern w:val="0"/>
          <w:sz w:val="32"/>
          <w:szCs w:val="32"/>
          <w:lang w:val="zh-CN" w:bidi="en-US"/>
        </w:rPr>
        <w:t>（</w:t>
      </w:r>
      <w:r>
        <w:rPr>
          <w:rFonts w:hint="eastAsia" w:ascii="仿宋_GB2312" w:hAnsi="仿宋_GB2312" w:eastAsia="仿宋_GB2312" w:cs="仿宋_GB2312"/>
          <w:color w:val="000000"/>
          <w:kern w:val="0"/>
          <w:sz w:val="32"/>
          <w:szCs w:val="32"/>
          <w:lang w:bidi="en-US"/>
        </w:rPr>
        <w:t>三</w:t>
      </w:r>
      <w:r>
        <w:rPr>
          <w:rFonts w:hint="eastAsia" w:ascii="仿宋_GB2312" w:hAnsi="仿宋_GB2312" w:eastAsia="仿宋_GB2312" w:cs="仿宋_GB2312"/>
          <w:color w:val="000000"/>
          <w:kern w:val="0"/>
          <w:sz w:val="32"/>
          <w:szCs w:val="32"/>
          <w:lang w:val="zh-CN" w:bidi="en-US"/>
        </w:rPr>
        <w:t>）绩效指标完成情况分析。</w:t>
      </w:r>
    </w:p>
    <w:p>
      <w:pPr>
        <w:spacing w:line="640" w:lineRule="exact"/>
        <w:ind w:firstLine="640" w:firstLineChars="200"/>
        <w:jc w:val="left"/>
        <w:rPr>
          <w:rFonts w:ascii="仿宋_GB2312" w:hAnsi="仿宋_GB2312" w:eastAsia="仿宋_GB2312" w:cs="仿宋_GB2312"/>
          <w:color w:val="000000"/>
          <w:kern w:val="0"/>
          <w:sz w:val="32"/>
          <w:szCs w:val="32"/>
          <w:lang w:val="zh-CN" w:bidi="en-US"/>
        </w:rPr>
      </w:pPr>
      <w:r>
        <w:rPr>
          <w:rFonts w:hint="eastAsia" w:ascii="仿宋_GB2312" w:hAnsi="仿宋_GB2312" w:eastAsia="仿宋_GB2312" w:cs="仿宋_GB2312"/>
          <w:color w:val="000000"/>
          <w:kern w:val="0"/>
          <w:sz w:val="32"/>
          <w:szCs w:val="32"/>
          <w:lang w:val="zh-CN" w:bidi="en-US"/>
        </w:rPr>
        <w:t>经济效益：该项目建成后，将拉动投资和消费，有利于进一步推动当地的建设，吸引投资推动绵竹市经济增长，新增众多的就业机会，从而解决部分市民的就业问题。同时，在施工过程中，将投入较大的施工力量，由此间接带动了就业岗位的增加。项目建设所需建筑材料的购买，又给相关行业增加了收益。因此项目的建设总体来说对当地居民的收入影响是正面的。</w:t>
      </w:r>
    </w:p>
    <w:p>
      <w:pPr>
        <w:spacing w:line="640" w:lineRule="exact"/>
        <w:ind w:firstLine="640" w:firstLineChars="200"/>
        <w:jc w:val="left"/>
        <w:rPr>
          <w:rFonts w:ascii="仿宋_GB2312" w:hAnsi="仿宋_GB2312" w:eastAsia="仿宋_GB2312" w:cs="仿宋_GB2312"/>
          <w:color w:val="000000"/>
          <w:kern w:val="0"/>
          <w:sz w:val="32"/>
          <w:szCs w:val="32"/>
          <w:lang w:val="zh-CN" w:bidi="en-US"/>
        </w:rPr>
      </w:pPr>
      <w:r>
        <w:rPr>
          <w:rFonts w:hint="eastAsia" w:ascii="仿宋_GB2312" w:hAnsi="仿宋_GB2312" w:eastAsia="仿宋_GB2312" w:cs="仿宋_GB2312"/>
          <w:color w:val="000000"/>
          <w:kern w:val="0"/>
          <w:sz w:val="32"/>
          <w:szCs w:val="32"/>
          <w:lang w:val="zh-CN" w:bidi="en-US"/>
        </w:rPr>
        <w:t>社会效益：该项目的建设实施将提高和改善居民的居住水平和生活环境质量，促进生活配套等各方面设施的完善。注重以人为本，生态优化，综合效益和社会文明的融合，在满足交通、消防等市政设施的同时，提高地块的利用率，扩大绿化面积，营造人与自然的和谐环境，建设风格与城市周围景观相协调发展，给市民创造了一个良好的工作环境和生活空间。项目的建设对所在地区居民生活水平和生活质量的影响是正面的，社会效益是显著的。</w:t>
      </w:r>
    </w:p>
    <w:p>
      <w:pPr>
        <w:spacing w:line="640" w:lineRule="exact"/>
        <w:ind w:firstLine="640" w:firstLineChars="200"/>
        <w:jc w:val="left"/>
        <w:rPr>
          <w:rFonts w:ascii="仿宋_GB2312" w:hAnsi="仿宋_GB2312" w:eastAsia="仿宋_GB2312" w:cs="仿宋_GB2312"/>
          <w:color w:val="000000"/>
          <w:kern w:val="0"/>
          <w:sz w:val="32"/>
          <w:szCs w:val="32"/>
          <w:lang w:val="zh-CN" w:bidi="en-US"/>
        </w:rPr>
      </w:pPr>
      <w:r>
        <w:rPr>
          <w:rFonts w:hint="eastAsia" w:ascii="仿宋_GB2312" w:hAnsi="仿宋_GB2312" w:eastAsia="仿宋_GB2312" w:cs="仿宋_GB2312"/>
          <w:color w:val="000000"/>
          <w:kern w:val="0"/>
          <w:sz w:val="32"/>
          <w:szCs w:val="32"/>
          <w:lang w:val="zh-CN" w:bidi="en-US"/>
        </w:rPr>
        <w:t>生态效益和可持续效益：项目建成后，可以改善项目区的整体形象，改善居民的居住环境和配套设施。项目投入使用后作为城中村改造区域，将大大提高居民的生活水平。项目的顺利建设对绵竹市政府而言，可以增加当地相应的税收，从而提高财政收入；项目的建设为绵竹市完成其城镇化建设的目标提供了有力的支撑，因此，带来的生态效益与可持续效益是明显的。</w:t>
      </w:r>
    </w:p>
    <w:p>
      <w:pPr>
        <w:spacing w:line="640" w:lineRule="exact"/>
        <w:ind w:firstLine="640" w:firstLineChars="200"/>
        <w:jc w:val="left"/>
        <w:rPr>
          <w:rFonts w:ascii="仿宋_GB2312" w:hAnsi="仿宋_GB2312" w:eastAsia="仿宋_GB2312" w:cs="仿宋_GB2312"/>
          <w:color w:val="000000"/>
          <w:kern w:val="0"/>
          <w:sz w:val="32"/>
          <w:szCs w:val="32"/>
          <w:lang w:bidi="en-US"/>
        </w:rPr>
      </w:pPr>
      <w:r>
        <w:rPr>
          <w:rFonts w:hint="eastAsia" w:ascii="仿宋_GB2312" w:hAnsi="仿宋_GB2312" w:eastAsia="仿宋_GB2312" w:cs="仿宋_GB2312"/>
          <w:color w:val="000000"/>
          <w:kern w:val="0"/>
          <w:sz w:val="32"/>
          <w:szCs w:val="32"/>
          <w:lang w:val="zh-CN" w:bidi="en-US"/>
        </w:rPr>
        <w:t>服务对象满意度：该项目的建设对当地人民群众利益不会造成负面影响，反之，由于改善了居住条件和生活环境，为人民群众创造了健康的生活环境，提升人民幸福感，提高群众满意度是明显的。</w:t>
      </w:r>
    </w:p>
    <w:p>
      <w:pPr>
        <w:spacing w:line="640" w:lineRule="exact"/>
        <w:ind w:firstLine="640" w:firstLineChars="200"/>
        <w:jc w:val="left"/>
        <w:rPr>
          <w:rFonts w:ascii="黑体" w:hAnsi="黑体" w:eastAsia="黑体" w:cs="仿宋_GB2312"/>
          <w:color w:val="000000"/>
          <w:kern w:val="0"/>
          <w:sz w:val="32"/>
          <w:szCs w:val="32"/>
          <w:lang w:bidi="en-US"/>
        </w:rPr>
      </w:pPr>
      <w:bookmarkStart w:id="66" w:name="bookmark39"/>
      <w:r>
        <w:rPr>
          <w:rFonts w:hint="eastAsia" w:ascii="黑体" w:hAnsi="黑体" w:eastAsia="黑体" w:cs="仿宋_GB2312"/>
          <w:color w:val="000000"/>
          <w:kern w:val="0"/>
          <w:sz w:val="32"/>
          <w:szCs w:val="32"/>
          <w:lang w:bidi="en-US"/>
        </w:rPr>
        <w:t>四</w:t>
      </w:r>
      <w:bookmarkEnd w:id="66"/>
      <w:r>
        <w:rPr>
          <w:rFonts w:hint="eastAsia" w:ascii="黑体" w:hAnsi="黑体" w:eastAsia="黑体" w:cs="仿宋_GB2312"/>
          <w:color w:val="000000"/>
          <w:kern w:val="0"/>
          <w:sz w:val="32"/>
          <w:szCs w:val="32"/>
          <w:lang w:bidi="en-US"/>
        </w:rPr>
        <w:t>、发现的主要问题和改进措施</w:t>
      </w:r>
    </w:p>
    <w:p>
      <w:pPr>
        <w:spacing w:line="640" w:lineRule="exact"/>
        <w:ind w:firstLine="640" w:firstLineChars="200"/>
        <w:jc w:val="left"/>
        <w:rPr>
          <w:rFonts w:ascii="仿宋_GB2312" w:hAnsi="仿宋_GB2312" w:eastAsia="仿宋_GB2312" w:cs="仿宋_GB2312"/>
          <w:color w:val="000000"/>
          <w:kern w:val="0"/>
          <w:sz w:val="32"/>
          <w:szCs w:val="32"/>
          <w:lang w:bidi="en-US"/>
        </w:rPr>
      </w:pPr>
      <w:r>
        <w:rPr>
          <w:rFonts w:hint="eastAsia" w:ascii="仿宋_GB2312" w:hAnsi="仿宋_GB2312" w:eastAsia="仿宋_GB2312" w:cs="仿宋_GB2312"/>
          <w:color w:val="000000"/>
          <w:kern w:val="0"/>
          <w:sz w:val="32"/>
          <w:szCs w:val="32"/>
          <w:lang w:bidi="en-US"/>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760" w:type="dxa"/>
        <w:jc w:val="center"/>
        <w:tblLayout w:type="autofit"/>
        <w:tblCellMar>
          <w:top w:w="0" w:type="dxa"/>
          <w:left w:w="108" w:type="dxa"/>
          <w:bottom w:w="0" w:type="dxa"/>
          <w:right w:w="108" w:type="dxa"/>
        </w:tblCellMar>
      </w:tblPr>
      <w:tblGrid>
        <w:gridCol w:w="1080"/>
        <w:gridCol w:w="920"/>
        <w:gridCol w:w="1300"/>
        <w:gridCol w:w="1080"/>
        <w:gridCol w:w="458"/>
        <w:gridCol w:w="2402"/>
        <w:gridCol w:w="2520"/>
      </w:tblGrid>
      <w:tr>
        <w:tblPrEx>
          <w:tblCellMar>
            <w:top w:w="0" w:type="dxa"/>
            <w:left w:w="108" w:type="dxa"/>
            <w:bottom w:w="0" w:type="dxa"/>
            <w:right w:w="108" w:type="dxa"/>
          </w:tblCellMar>
        </w:tblPrEx>
        <w:trPr>
          <w:trHeight w:val="405" w:hRule="atLeast"/>
          <w:jc w:val="center"/>
        </w:trPr>
        <w:tc>
          <w:tcPr>
            <w:tcW w:w="976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76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2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0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458"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40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52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3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4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历史建筑挂牌保护和测绘建档</w:t>
            </w:r>
          </w:p>
        </w:tc>
      </w:tr>
      <w:tr>
        <w:tblPrEx>
          <w:tblCellMar>
            <w:top w:w="0" w:type="dxa"/>
            <w:left w:w="108" w:type="dxa"/>
            <w:bottom w:w="0" w:type="dxa"/>
            <w:right w:w="108" w:type="dxa"/>
          </w:tblCellMar>
        </w:tblPrEx>
        <w:trPr>
          <w:trHeight w:val="270" w:hRule="atLeast"/>
          <w:jc w:val="center"/>
        </w:trPr>
        <w:tc>
          <w:tcPr>
            <w:tcW w:w="33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46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2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5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23万元</w:t>
            </w:r>
          </w:p>
        </w:tc>
        <w:tc>
          <w:tcPr>
            <w:tcW w:w="2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23万元</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5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23万元</w:t>
            </w:r>
          </w:p>
        </w:tc>
        <w:tc>
          <w:tcPr>
            <w:tcW w:w="2402"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23万元</w:t>
            </w:r>
          </w:p>
        </w:tc>
      </w:tr>
      <w:tr>
        <w:tblPrEx>
          <w:tblCellMar>
            <w:top w:w="0" w:type="dxa"/>
            <w:left w:w="108" w:type="dxa"/>
            <w:bottom w:w="0" w:type="dxa"/>
            <w:right w:w="108" w:type="dxa"/>
          </w:tblCellMar>
        </w:tblPrEx>
        <w:trPr>
          <w:trHeight w:val="43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5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402"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5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375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92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9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75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1、完善基本档案  2.挂牌保护 3.编制保护图则  4.建立测绘建档 </w:t>
            </w:r>
          </w:p>
        </w:tc>
        <w:tc>
          <w:tcPr>
            <w:tcW w:w="492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截至2021年12月底，已完成历史建筑和历史街区挂牌12处，历史建筑测绘9处。</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2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5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64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30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5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历史建筑和历史街区挂牌</w:t>
            </w:r>
          </w:p>
        </w:tc>
        <w:tc>
          <w:tcPr>
            <w:tcW w:w="2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12处</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12处</w:t>
            </w:r>
          </w:p>
        </w:tc>
      </w:tr>
      <w:tr>
        <w:tblPrEx>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0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5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历史建筑测绘</w:t>
            </w:r>
          </w:p>
        </w:tc>
        <w:tc>
          <w:tcPr>
            <w:tcW w:w="2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9处</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9处</w:t>
            </w:r>
          </w:p>
        </w:tc>
      </w:tr>
      <w:tr>
        <w:tblPrEx>
          <w:tblCellMar>
            <w:top w:w="0" w:type="dxa"/>
            <w:left w:w="108" w:type="dxa"/>
            <w:bottom w:w="0" w:type="dxa"/>
            <w:right w:w="108" w:type="dxa"/>
          </w:tblCellMar>
        </w:tblPrEx>
        <w:trPr>
          <w:trHeight w:val="90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5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测绘成果</w:t>
            </w:r>
          </w:p>
        </w:tc>
        <w:tc>
          <w:tcPr>
            <w:tcW w:w="2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5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2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2021年11月</w:t>
            </w:r>
          </w:p>
        </w:tc>
      </w:tr>
      <w:tr>
        <w:tblPrEx>
          <w:tblCellMar>
            <w:top w:w="0" w:type="dxa"/>
            <w:left w:w="108" w:type="dxa"/>
            <w:bottom w:w="0" w:type="dxa"/>
            <w:right w:w="108" w:type="dxa"/>
          </w:tblCellMar>
        </w:tblPrEx>
        <w:trPr>
          <w:trHeight w:val="73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2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3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5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费用支付</w:t>
            </w:r>
          </w:p>
        </w:tc>
        <w:tc>
          <w:tcPr>
            <w:tcW w:w="240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等线" w:hAnsi="等线" w:eastAsia="等线" w:cs="宋体"/>
                <w:kern w:val="0"/>
                <w:sz w:val="20"/>
                <w:szCs w:val="20"/>
              </w:rPr>
              <w:t>≤</w:t>
            </w:r>
            <w:r>
              <w:rPr>
                <w:rFonts w:hint="eastAsia" w:ascii="宋体" w:hAnsi="宋体" w:cs="宋体"/>
                <w:kern w:val="0"/>
                <w:sz w:val="20"/>
                <w:szCs w:val="20"/>
              </w:rPr>
              <w:t>23万元</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23万元</w:t>
            </w:r>
          </w:p>
        </w:tc>
      </w:tr>
      <w:tr>
        <w:tblPrEx>
          <w:tblCellMar>
            <w:top w:w="0" w:type="dxa"/>
            <w:left w:w="108" w:type="dxa"/>
            <w:bottom w:w="0" w:type="dxa"/>
            <w:right w:w="108" w:type="dxa"/>
          </w:tblCellMar>
        </w:tblPrEx>
        <w:trPr>
          <w:trHeight w:val="106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2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3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38"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加强普查认定</w:t>
            </w:r>
          </w:p>
        </w:tc>
        <w:tc>
          <w:tcPr>
            <w:tcW w:w="240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促进我省历史文化街区和历史建筑保护名录数量进一步提升、类型进一步丰富。</w:t>
            </w:r>
          </w:p>
        </w:tc>
        <w:tc>
          <w:tcPr>
            <w:tcW w:w="25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促进我省历史文化街区和历史建筑保护名录数量进一步提升、类型进一步丰富。</w:t>
            </w:r>
          </w:p>
        </w:tc>
      </w:tr>
      <w:tr>
        <w:tblPrEx>
          <w:tblCellMar>
            <w:top w:w="0" w:type="dxa"/>
            <w:left w:w="108" w:type="dxa"/>
            <w:bottom w:w="0" w:type="dxa"/>
            <w:right w:w="108" w:type="dxa"/>
          </w:tblCellMar>
        </w:tblPrEx>
        <w:trPr>
          <w:trHeight w:val="63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538"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群众满意度</w:t>
            </w:r>
          </w:p>
        </w:tc>
        <w:tc>
          <w:tcPr>
            <w:tcW w:w="2402"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≥99%</w:t>
            </w:r>
          </w:p>
        </w:tc>
        <w:tc>
          <w:tcPr>
            <w:tcW w:w="2520" w:type="dxa"/>
            <w:tcBorders>
              <w:top w:val="nil"/>
              <w:left w:val="nil"/>
              <w:bottom w:val="single" w:color="auto" w:sz="4" w:space="0"/>
              <w:right w:val="single" w:color="auto" w:sz="4" w:space="0"/>
            </w:tcBorders>
            <w:shd w:val="clear" w:color="auto" w:fill="auto"/>
            <w:noWrap/>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方正小标宋_GBK" w:hAnsi="宋体" w:eastAsia="方正小标宋_GBK"/>
          <w:color w:val="000000"/>
          <w:kern w:val="0"/>
          <w:sz w:val="44"/>
          <w:szCs w:val="44"/>
        </w:rPr>
      </w:pPr>
      <w:r>
        <w:rPr>
          <w:rFonts w:hint="eastAsia" w:ascii="方正小标宋_GBK" w:hAnsi="宋体" w:eastAsia="方正小标宋_GBK"/>
          <w:color w:val="000000"/>
          <w:kern w:val="0"/>
          <w:sz w:val="44"/>
          <w:szCs w:val="44"/>
        </w:rPr>
        <w:t>项目支出绩效自评报告</w:t>
      </w:r>
    </w:p>
    <w:p>
      <w:pPr>
        <w:spacing w:line="580" w:lineRule="exact"/>
        <w:jc w:val="center"/>
        <w:rPr>
          <w:rFonts w:ascii="方正小标宋_GBK" w:hAnsi="宋体" w:eastAsia="方正小标宋_GBK"/>
          <w:sz w:val="32"/>
          <w:szCs w:val="32"/>
        </w:rPr>
      </w:pPr>
      <w:r>
        <w:rPr>
          <w:rFonts w:hint="eastAsia" w:ascii="仿宋_GB2312" w:eastAsia="仿宋_GB2312"/>
          <w:color w:val="000000"/>
          <w:kern w:val="0"/>
          <w:sz w:val="28"/>
          <w:szCs w:val="21"/>
        </w:rPr>
        <w:t>（</w:t>
      </w:r>
      <w:r>
        <w:rPr>
          <w:rFonts w:hint="eastAsia" w:ascii="仿宋_GB2312" w:hAnsi="??" w:eastAsia="仿宋_GB2312"/>
          <w:color w:val="000000"/>
          <w:sz w:val="32"/>
          <w:szCs w:val="32"/>
        </w:rPr>
        <w:t>2020年批次商品房购房补贴　</w:t>
      </w:r>
      <w:r>
        <w:rPr>
          <w:rFonts w:hint="eastAsia" w:ascii="仿宋_GB2312" w:eastAsia="仿宋_GB2312"/>
          <w:color w:val="000000"/>
          <w:kern w:val="0"/>
          <w:sz w:val="28"/>
          <w:szCs w:val="21"/>
        </w:rPr>
        <w:t>）</w:t>
      </w:r>
    </w:p>
    <w:p>
      <w:pPr>
        <w:spacing w:line="580" w:lineRule="exact"/>
        <w:ind w:firstLine="640"/>
        <w:jc w:val="center"/>
        <w:rPr>
          <w:rFonts w:hint="eastAsia" w:ascii="宋体" w:hAnsi="??"/>
          <w:sz w:val="32"/>
          <w:szCs w:val="32"/>
        </w:rPr>
      </w:pPr>
    </w:p>
    <w:p>
      <w:pPr>
        <w:adjustRightInd w:val="0"/>
        <w:snapToGrid w:val="0"/>
        <w:spacing w:line="620" w:lineRule="exact"/>
        <w:ind w:firstLine="720"/>
        <w:rPr>
          <w:rFonts w:ascii="方正小标宋简体" w:hAnsi="宋体" w:eastAsia="方正小标宋简体"/>
          <w:b/>
          <w:sz w:val="32"/>
          <w:szCs w:val="32"/>
          <w:lang w:val="zh-CN"/>
        </w:rPr>
      </w:pPr>
      <w:r>
        <w:rPr>
          <w:rFonts w:hint="eastAsia" w:ascii="微软雅黑" w:hAnsi="微软雅黑" w:eastAsia="微软雅黑" w:cs="微软雅黑"/>
          <w:b/>
          <w:sz w:val="32"/>
          <w:szCs w:val="32"/>
        </w:rPr>
        <w:t>一</w:t>
      </w:r>
      <w:r>
        <w:rPr>
          <w:rFonts w:hint="eastAsia" w:ascii="Malgun Gothic Semilight" w:hAnsi="Malgun Gothic Semilight" w:eastAsia="Malgun Gothic Semilight" w:cs="Malgun Gothic Semilight"/>
          <w:b/>
          <w:sz w:val="32"/>
          <w:szCs w:val="32"/>
        </w:rPr>
        <w:t>、</w:t>
      </w:r>
      <w:r>
        <w:rPr>
          <w:rFonts w:hint="eastAsia" w:ascii="微软雅黑" w:hAnsi="微软雅黑" w:eastAsia="微软雅黑" w:cs="微软雅黑"/>
          <w:b/>
          <w:sz w:val="32"/>
          <w:szCs w:val="32"/>
          <w:lang w:val="zh-CN"/>
        </w:rPr>
        <w:t>项目概况</w:t>
      </w:r>
    </w:p>
    <w:p>
      <w:pPr>
        <w:adjustRightInd w:val="0"/>
        <w:snapToGrid w:val="0"/>
        <w:spacing w:line="6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20" w:lineRule="exact"/>
        <w:ind w:firstLine="640" w:firstLineChars="200"/>
        <w:rPr>
          <w:rFonts w:ascii="方正仿宋简体" w:hAnsi="宋体" w:eastAsia="方正仿宋简体"/>
          <w:b/>
          <w:sz w:val="32"/>
          <w:szCs w:val="32"/>
          <w:lang w:val="zh-CN"/>
        </w:rPr>
      </w:pPr>
      <w:r>
        <w:rPr>
          <w:rFonts w:hint="eastAsia" w:ascii="仿宋_GB2312" w:hAnsi="方正黑体简体" w:eastAsia="仿宋_GB2312" w:cs="方正黑体简体"/>
          <w:sz w:val="32"/>
          <w:szCs w:val="32"/>
        </w:rPr>
        <w:t>为有效应对新冠肺炎影响，促进我市房地产平稳健康发展，绵竹市住房和城乡建设局、绵竹市自然资源和规划局、绵竹市财政局、绵竹市人力资源和社会保障局、绵竹市卫生健康局五部门2020年4月30日联合</w:t>
      </w:r>
      <w:r>
        <w:rPr>
          <w:rFonts w:hint="eastAsia" w:ascii="仿宋_GB2312" w:hAnsi="宋体" w:eastAsia="仿宋_GB2312" w:cs="宋体"/>
          <w:sz w:val="32"/>
          <w:szCs w:val="32"/>
        </w:rPr>
        <w:t>出台</w:t>
      </w:r>
      <w:r>
        <w:rPr>
          <w:rFonts w:hint="eastAsia" w:ascii="仿宋_GB2312" w:hAnsi="方正黑体简体" w:eastAsia="仿宋_GB2312" w:cs="方正黑体简体"/>
          <w:sz w:val="32"/>
          <w:szCs w:val="32"/>
        </w:rPr>
        <w:t>了《绵竹市有效应对新冠肺炎疫情影响促进房地产业平稳健康发展的措施》</w:t>
      </w:r>
      <w:r>
        <w:rPr>
          <w:rFonts w:hint="eastAsia" w:ascii="仿宋_GB2312" w:hAnsi="宋体" w:eastAsia="仿宋_GB2312" w:cs="宋体"/>
          <w:sz w:val="32"/>
          <w:szCs w:val="32"/>
        </w:rPr>
        <w:t>（竹建</w:t>
      </w:r>
      <w:r>
        <w:rPr>
          <w:rFonts w:hint="eastAsia" w:ascii="方正仿宋简体" w:hAnsi="方正仿宋简体" w:eastAsia="方正仿宋简体" w:cs="方正仿宋简体"/>
          <w:sz w:val="32"/>
          <w:szCs w:val="32"/>
        </w:rPr>
        <w:t>〔</w:t>
      </w:r>
      <w:r>
        <w:rPr>
          <w:rFonts w:hint="eastAsia" w:ascii="仿宋_GB2312" w:hAnsi="宋体" w:eastAsia="仿宋_GB2312" w:cs="宋体"/>
          <w:sz w:val="32"/>
          <w:szCs w:val="32"/>
        </w:rPr>
        <w:t>2020</w:t>
      </w:r>
      <w:r>
        <w:rPr>
          <w:rFonts w:hint="eastAsia" w:ascii="方正仿宋简体" w:hAnsi="方正仿宋简体" w:eastAsia="方正仿宋简体" w:cs="方正仿宋简体"/>
          <w:sz w:val="32"/>
          <w:szCs w:val="32"/>
        </w:rPr>
        <w:t>〕</w:t>
      </w:r>
      <w:r>
        <w:rPr>
          <w:rFonts w:hint="eastAsia" w:ascii="仿宋_GB2312" w:hAnsi="宋体" w:eastAsia="仿宋_GB2312" w:cs="宋体"/>
          <w:sz w:val="32"/>
          <w:szCs w:val="32"/>
        </w:rPr>
        <w:t>127号）</w:t>
      </w:r>
      <w:r>
        <w:rPr>
          <w:rFonts w:hint="eastAsia" w:ascii="仿宋_GB2312" w:hAnsi="方正黑体简体" w:eastAsia="仿宋_GB2312" w:cs="方正黑体简体"/>
          <w:sz w:val="32"/>
          <w:szCs w:val="32"/>
        </w:rPr>
        <w:t>，</w:t>
      </w:r>
      <w:r>
        <w:rPr>
          <w:rFonts w:hint="eastAsia" w:ascii="仿宋_GB2312" w:eastAsia="仿宋_GB2312"/>
          <w:sz w:val="32"/>
          <w:szCs w:val="32"/>
        </w:rPr>
        <w:t>进一步营造投资环境，简化行政审批流程，通过顺延项目履约监管期限、缩短审批时间、延迟城市基础设施配套费缴纳时间、降低商品房预售条件、放宽预售资金监管等措施，促进房地产复工复产，加大房地产投入，并积极引导创业置业，促进购房消费。在</w:t>
      </w:r>
      <w:r>
        <w:rPr>
          <w:rFonts w:hint="eastAsia" w:ascii="仿宋_GB2312" w:hAnsi="方正黑体简体" w:eastAsia="仿宋_GB2312" w:cs="方正黑体简体"/>
          <w:sz w:val="32"/>
          <w:szCs w:val="32"/>
        </w:rPr>
        <w:t>2020 年 5 月1 日至 2020 年 12 月 31 日期间，凡在我市购买商品房的创业人员、家庭或者个人给予一次性创业补助、一次性购房补贴和置业补贴。</w:t>
      </w:r>
    </w:p>
    <w:p>
      <w:pPr>
        <w:adjustRightInd w:val="0"/>
        <w:snapToGrid w:val="0"/>
        <w:spacing w:line="6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20" w:lineRule="exact"/>
        <w:ind w:firstLine="720"/>
        <w:rPr>
          <w:rFonts w:ascii="仿宋_GB2312" w:hAnsi="方正黑体简体" w:eastAsia="仿宋_GB2312" w:cs="方正黑体简体"/>
          <w:sz w:val="32"/>
          <w:szCs w:val="32"/>
        </w:rPr>
      </w:pPr>
      <w:r>
        <w:rPr>
          <w:rFonts w:hint="eastAsia" w:ascii="仿宋_GB2312" w:hAnsi="方正黑体简体" w:eastAsia="仿宋_GB2312" w:cs="方正黑体简体"/>
          <w:sz w:val="32"/>
          <w:szCs w:val="32"/>
        </w:rPr>
        <w:t>鼓励和支持住房消费，巩固我市房地产市场向好发展，加大对房地产企业的扶持力度，加强对房地产市场的调控监管等。</w:t>
      </w:r>
    </w:p>
    <w:p>
      <w:pPr>
        <w:adjustRightInd w:val="0"/>
        <w:snapToGrid w:val="0"/>
        <w:spacing w:line="6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2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由我局开展财政资金使用情况自评并撰写部门预算支出绩效报告，按规范格式按时提交自评报告。</w:t>
      </w:r>
    </w:p>
    <w:p>
      <w:pPr>
        <w:adjustRightInd w:val="0"/>
        <w:snapToGrid w:val="0"/>
        <w:spacing w:line="620" w:lineRule="exact"/>
        <w:ind w:firstLine="720"/>
        <w:rPr>
          <w:rFonts w:ascii="方正小标宋简体" w:hAnsi="宋体" w:eastAsia="方正小标宋简体"/>
          <w:b/>
          <w:sz w:val="32"/>
          <w:szCs w:val="32"/>
        </w:rPr>
      </w:pPr>
      <w:r>
        <w:rPr>
          <w:rFonts w:hint="eastAsia" w:ascii="微软雅黑" w:hAnsi="微软雅黑" w:eastAsia="微软雅黑" w:cs="微软雅黑"/>
          <w:b/>
          <w:sz w:val="32"/>
          <w:szCs w:val="32"/>
        </w:rPr>
        <w:t>二</w:t>
      </w:r>
      <w:r>
        <w:rPr>
          <w:rFonts w:hint="eastAsia" w:ascii="Malgun Gothic Semilight" w:hAnsi="Malgun Gothic Semilight" w:eastAsia="Malgun Gothic Semilight" w:cs="Malgun Gothic Semilight"/>
          <w:b/>
          <w:sz w:val="32"/>
          <w:szCs w:val="32"/>
        </w:rPr>
        <w:t>、</w:t>
      </w:r>
      <w:r>
        <w:rPr>
          <w:rFonts w:hint="eastAsia" w:ascii="微软雅黑" w:hAnsi="微软雅黑" w:eastAsia="微软雅黑" w:cs="微软雅黑"/>
          <w:b/>
          <w:sz w:val="32"/>
          <w:szCs w:val="32"/>
        </w:rPr>
        <w:t>项目资金申报及使用情况</w:t>
      </w:r>
    </w:p>
    <w:p>
      <w:pPr>
        <w:adjustRightInd w:val="0"/>
        <w:snapToGrid w:val="0"/>
        <w:spacing w:line="6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20" w:lineRule="exact"/>
        <w:ind w:firstLine="720"/>
        <w:rPr>
          <w:rFonts w:ascii="仿宋_GB2312" w:hAnsi="方正黑体简体" w:eastAsia="仿宋_GB2312" w:cs="方正黑体简体"/>
          <w:sz w:val="32"/>
          <w:szCs w:val="32"/>
        </w:rPr>
      </w:pPr>
      <w:r>
        <w:rPr>
          <w:rFonts w:hint="eastAsia" w:ascii="仿宋_GB2312" w:hAnsi="方正黑体简体" w:eastAsia="仿宋_GB2312" w:cs="方正黑体简体"/>
          <w:sz w:val="32"/>
          <w:szCs w:val="32"/>
        </w:rPr>
        <w:t>2021年一般公共预算73万元。2020年结余资金（预算代管住建（2021）43号）21.962万元。合计资金94.962万元。</w:t>
      </w:r>
    </w:p>
    <w:p>
      <w:pPr>
        <w:adjustRightInd w:val="0"/>
        <w:snapToGrid w:val="0"/>
        <w:spacing w:line="62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20" w:lineRule="exact"/>
        <w:ind w:firstLine="720"/>
        <w:rPr>
          <w:rFonts w:ascii="仿宋_GB2312" w:hAnsi="方正黑体简体" w:eastAsia="仿宋_GB2312" w:cs="方正黑体简体"/>
          <w:sz w:val="32"/>
          <w:szCs w:val="32"/>
        </w:rPr>
      </w:pPr>
      <w:r>
        <w:rPr>
          <w:rFonts w:hint="eastAsia" w:ascii="仿宋_GB2312" w:hAnsi="方正黑体简体" w:eastAsia="仿宋_GB2312" w:cs="方正黑体简体"/>
          <w:sz w:val="32"/>
          <w:szCs w:val="32"/>
        </w:rPr>
        <w:t>2021年对134户符合条件的购房家庭进行了补贴，共计发放补贴资金94.7107万元（2021年一般公共预算发放72.8309万元、2020年代管资金发放21.8798万元），支付依据合规合法。</w:t>
      </w:r>
    </w:p>
    <w:p>
      <w:pPr>
        <w:adjustRightInd w:val="0"/>
        <w:snapToGrid w:val="0"/>
        <w:spacing w:line="62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20" w:lineRule="exact"/>
        <w:ind w:firstLine="720"/>
        <w:rPr>
          <w:rFonts w:ascii="仿宋_GB2312" w:hAnsi="方正黑体简体" w:eastAsia="仿宋_GB2312" w:cs="方正黑体简体"/>
          <w:sz w:val="32"/>
          <w:szCs w:val="32"/>
        </w:rPr>
      </w:pPr>
      <w:r>
        <w:rPr>
          <w:rFonts w:hint="eastAsia" w:ascii="仿宋_GB2312" w:hAnsi="方正黑体简体" w:eastAsia="仿宋_GB2312" w:cs="方正黑体简体"/>
          <w:sz w:val="32"/>
          <w:szCs w:val="32"/>
        </w:rPr>
        <w:t>该项目严格按照财务管理制度执行，财务处理及时，会计核算规范。</w:t>
      </w:r>
    </w:p>
    <w:p>
      <w:pPr>
        <w:adjustRightInd w:val="0"/>
        <w:snapToGrid w:val="0"/>
        <w:spacing w:line="620" w:lineRule="exact"/>
        <w:ind w:firstLine="720"/>
        <w:rPr>
          <w:rFonts w:ascii="方正小标宋简体" w:hAnsi="宋体" w:eastAsia="方正小标宋简体"/>
          <w:b/>
          <w:sz w:val="32"/>
          <w:szCs w:val="32"/>
        </w:rPr>
      </w:pPr>
      <w:r>
        <w:rPr>
          <w:rFonts w:hint="eastAsia" w:ascii="微软雅黑" w:hAnsi="微软雅黑" w:eastAsia="微软雅黑" w:cs="微软雅黑"/>
          <w:b/>
          <w:sz w:val="32"/>
          <w:szCs w:val="32"/>
        </w:rPr>
        <w:t>三</w:t>
      </w:r>
      <w:r>
        <w:rPr>
          <w:rFonts w:hint="eastAsia" w:ascii="Malgun Gothic Semilight" w:hAnsi="Malgun Gothic Semilight" w:eastAsia="Malgun Gothic Semilight" w:cs="Malgun Gothic Semilight"/>
          <w:b/>
          <w:sz w:val="32"/>
          <w:szCs w:val="32"/>
        </w:rPr>
        <w:t>、</w:t>
      </w:r>
      <w:r>
        <w:rPr>
          <w:rFonts w:hint="eastAsia" w:ascii="微软雅黑" w:hAnsi="微软雅黑" w:eastAsia="微软雅黑" w:cs="微软雅黑"/>
          <w:b/>
          <w:sz w:val="32"/>
          <w:szCs w:val="32"/>
        </w:rPr>
        <w:t>项目实施及管理情况</w:t>
      </w:r>
    </w:p>
    <w:p>
      <w:pPr>
        <w:numPr>
          <w:ilvl w:val="0"/>
          <w:numId w:val="23"/>
        </w:numPr>
        <w:adjustRightInd w:val="0"/>
        <w:snapToGrid w:val="0"/>
        <w:spacing w:line="620" w:lineRule="exact"/>
        <w:rPr>
          <w:rFonts w:ascii="楷体_GB2312" w:hAnsi="宋体" w:eastAsia="楷体_GB2312"/>
          <w:b/>
          <w:sz w:val="32"/>
          <w:szCs w:val="32"/>
          <w:lang w:val="zh-CN"/>
        </w:rPr>
      </w:pPr>
      <w:r>
        <w:rPr>
          <w:rFonts w:hint="eastAsia" w:ascii="宋体" w:hAnsi="宋体" w:cs="宋体"/>
          <w:b/>
          <w:sz w:val="32"/>
          <w:szCs w:val="32"/>
          <w:lang w:val="zh-CN"/>
        </w:rPr>
        <w:t>项目组织架构及实施流程。</w:t>
      </w:r>
    </w:p>
    <w:p>
      <w:pPr>
        <w:adjustRightInd w:val="0"/>
        <w:snapToGrid w:val="0"/>
        <w:spacing w:line="620" w:lineRule="exact"/>
        <w:ind w:firstLine="720"/>
        <w:rPr>
          <w:rFonts w:ascii="仿宋_GB2312" w:hAnsi="方正黑体简体" w:eastAsia="仿宋_GB2312" w:cs="方正黑体简体"/>
          <w:sz w:val="32"/>
          <w:szCs w:val="32"/>
        </w:rPr>
      </w:pPr>
      <w:r>
        <w:rPr>
          <w:rFonts w:hint="eastAsia" w:ascii="仿宋_GB2312" w:hAnsi="方正黑体简体" w:eastAsia="仿宋_GB2312" w:cs="方正黑体简体"/>
          <w:sz w:val="32"/>
          <w:szCs w:val="32"/>
        </w:rPr>
        <w:t>1.申请享受财政补助的材料，一律由市房地产交易中心统一受理，由市房地产交易中心按规定提出初步意见。</w:t>
      </w:r>
    </w:p>
    <w:p>
      <w:pPr>
        <w:adjustRightInd w:val="0"/>
        <w:snapToGrid w:val="0"/>
        <w:spacing w:line="620" w:lineRule="exact"/>
        <w:ind w:firstLine="720"/>
        <w:rPr>
          <w:rFonts w:ascii="仿宋_GB2312" w:hAnsi="方正黑体简体" w:eastAsia="仿宋_GB2312" w:cs="方正黑体简体"/>
          <w:sz w:val="32"/>
          <w:szCs w:val="32"/>
        </w:rPr>
      </w:pPr>
      <w:r>
        <w:rPr>
          <w:rFonts w:hint="eastAsia" w:ascii="仿宋_GB2312" w:hAnsi="方正黑体简体" w:eastAsia="仿宋_GB2312" w:cs="方正黑体简体"/>
          <w:sz w:val="32"/>
          <w:szCs w:val="32"/>
        </w:rPr>
        <w:t>2. 市房地产交易中心将相关材料和初审意见统一报市住建局审核；审核通过后，由市住建局直接将补助资金拨付到指定账户。</w:t>
      </w:r>
    </w:p>
    <w:p>
      <w:pPr>
        <w:adjustRightInd w:val="0"/>
        <w:snapToGrid w:val="0"/>
        <w:spacing w:line="6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20" w:lineRule="exact"/>
        <w:ind w:firstLine="720"/>
        <w:rPr>
          <w:rFonts w:ascii="仿宋_GB2312" w:hAnsi="方正黑体简体" w:eastAsia="仿宋_GB2312" w:cs="方正黑体简体"/>
          <w:sz w:val="32"/>
          <w:szCs w:val="32"/>
        </w:rPr>
      </w:pPr>
      <w:r>
        <w:rPr>
          <w:rFonts w:hint="eastAsia" w:ascii="仿宋_GB2312" w:hAnsi="方正黑体简体" w:eastAsia="仿宋_GB2312" w:cs="方正黑体简体"/>
          <w:sz w:val="32"/>
          <w:szCs w:val="32"/>
        </w:rPr>
        <w:t>关于购房补助，所购房屋是我市辖区内购买的商品房。只要在2020 年 5 月1 日至 2020 年 12 月 31 日期间购房，并完成了商品房买卖合同网签的，均有资格申请补助。在2020 年 5 月1 日至 2020 年 12 月 31 日期间购多套房的，只能享受一套商品房的购房补助。</w:t>
      </w:r>
    </w:p>
    <w:p>
      <w:pPr>
        <w:adjustRightInd w:val="0"/>
        <w:snapToGrid w:val="0"/>
        <w:spacing w:line="6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2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购房者对所提供的所有材料的真实性负责，对购买者通过隐瞒、欺骗等方式骗取补贴的，应退回资金，并追究相应责任，构成犯罪的，依法追究其刑事责任；开发企业以任何方式协助购买者骗取补贴的，由开发企业追回资金上交住建局，并将该企业纳入全国信用信息共享平台进行联合惩戒，构成违规、违法、犯罪的，依法追究其相应责任，对有关单位及其工作人员在补贴工作中玩忽职守、滥用职权、徇私舞弊等违法违规行为的，依法追究相应责任。加强项目资金监管，申请项目资金需填报资金拨付审批表，实行股室经办人审查、股室负责人审核、财务部门审核、项目分管领导审核、财务分管领导审核和局长审批等监管程序，实现项目资金规范及时发放。</w:t>
      </w:r>
    </w:p>
    <w:p>
      <w:pPr>
        <w:adjustRightInd w:val="0"/>
        <w:snapToGrid w:val="0"/>
        <w:spacing w:line="620" w:lineRule="exact"/>
        <w:ind w:firstLine="720"/>
        <w:rPr>
          <w:rFonts w:ascii="方正小标宋简体" w:hAnsi="宋体" w:eastAsia="方正小标宋简体"/>
          <w:b/>
          <w:sz w:val="32"/>
          <w:szCs w:val="32"/>
          <w:lang w:val="zh-CN"/>
        </w:rPr>
      </w:pPr>
      <w:r>
        <w:rPr>
          <w:rFonts w:hint="eastAsia" w:ascii="微软雅黑" w:hAnsi="微软雅黑" w:eastAsia="微软雅黑" w:cs="微软雅黑"/>
          <w:b/>
          <w:sz w:val="32"/>
          <w:szCs w:val="32"/>
        </w:rPr>
        <w:t>四</w:t>
      </w:r>
      <w:r>
        <w:rPr>
          <w:rFonts w:hint="eastAsia" w:ascii="Malgun Gothic Semilight" w:hAnsi="Malgun Gothic Semilight" w:eastAsia="Malgun Gothic Semilight" w:cs="Malgun Gothic Semilight"/>
          <w:b/>
          <w:sz w:val="32"/>
          <w:szCs w:val="32"/>
        </w:rPr>
        <w:t>、</w:t>
      </w:r>
      <w:r>
        <w:rPr>
          <w:rFonts w:hint="eastAsia" w:ascii="微软雅黑" w:hAnsi="微软雅黑" w:eastAsia="微软雅黑" w:cs="微软雅黑"/>
          <w:b/>
          <w:sz w:val="32"/>
          <w:szCs w:val="32"/>
        </w:rPr>
        <w:t>项目绩效情况</w:t>
      </w:r>
      <w:r>
        <w:rPr>
          <w:rFonts w:hint="eastAsia" w:ascii="方正小标宋简体" w:hAnsi="宋体" w:eastAsia="方正小标宋简体"/>
          <w:b/>
          <w:sz w:val="32"/>
          <w:szCs w:val="32"/>
          <w:lang w:val="zh-CN"/>
        </w:rPr>
        <w:tab/>
      </w:r>
    </w:p>
    <w:p>
      <w:pPr>
        <w:adjustRightInd w:val="0"/>
        <w:snapToGrid w:val="0"/>
        <w:spacing w:line="6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20" w:lineRule="exact"/>
        <w:ind w:firstLine="720"/>
        <w:rPr>
          <w:rFonts w:ascii="仿宋_GB2312" w:hAnsi="方正黑体简体" w:eastAsia="仿宋_GB2312" w:cs="方正黑体简体"/>
          <w:sz w:val="32"/>
          <w:szCs w:val="32"/>
        </w:rPr>
      </w:pPr>
      <w:r>
        <w:rPr>
          <w:rFonts w:hint="eastAsia" w:ascii="仿宋_GB2312" w:hAnsi="方正黑体简体" w:eastAsia="仿宋_GB2312" w:cs="方正黑体简体"/>
          <w:sz w:val="32"/>
          <w:szCs w:val="32"/>
        </w:rPr>
        <w:t>2021年1-12月，完成支付94.7107万元，结余资金0.2513万元，完成支付99.74%。</w:t>
      </w:r>
    </w:p>
    <w:p>
      <w:pPr>
        <w:adjustRightInd w:val="0"/>
        <w:snapToGrid w:val="0"/>
        <w:spacing w:line="6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20" w:lineRule="exact"/>
        <w:ind w:firstLine="720"/>
        <w:rPr>
          <w:rFonts w:ascii="仿宋_GB2312" w:hAnsi="宋体" w:eastAsia="仿宋_GB2312"/>
          <w:sz w:val="32"/>
          <w:szCs w:val="32"/>
          <w:lang w:val="zh-CN"/>
        </w:rPr>
      </w:pPr>
      <w:r>
        <w:rPr>
          <w:rFonts w:hint="eastAsia" w:ascii="仿宋_GB2312" w:hAnsi="方正黑体简体" w:eastAsia="仿宋_GB2312" w:cs="方正黑体简体"/>
          <w:sz w:val="32"/>
          <w:szCs w:val="32"/>
        </w:rPr>
        <w:t>2021年，覆盖居民134户直接增收94.7107万元。因及时发放购房补贴，购房户满意度100%。因加大对房地产企业的扶持力度，销售面积同比增长</w:t>
      </w:r>
      <w:r>
        <w:rPr>
          <w:rFonts w:ascii="仿宋_GB2312" w:hAnsi="方正黑体简体" w:eastAsia="仿宋_GB2312" w:cs="方正黑体简体"/>
          <w:sz w:val="32"/>
          <w:szCs w:val="32"/>
        </w:rPr>
        <w:t>11.2</w:t>
      </w:r>
      <w:r>
        <w:rPr>
          <w:rFonts w:hint="eastAsia" w:ascii="仿宋_GB2312" w:hAnsi="方正黑体简体" w:eastAsia="仿宋_GB2312" w:cs="方正黑体简体"/>
          <w:sz w:val="32"/>
          <w:szCs w:val="32"/>
        </w:rPr>
        <w:t>%，房地产开发投资</w:t>
      </w:r>
      <w:r>
        <w:rPr>
          <w:rFonts w:hint="eastAsia" w:ascii="仿宋_GB2312" w:hAnsi="宋体" w:eastAsia="仿宋_GB2312"/>
          <w:sz w:val="32"/>
          <w:szCs w:val="32"/>
          <w:lang w:val="zh-CN"/>
        </w:rPr>
        <w:t>同比增长</w:t>
      </w:r>
      <w:r>
        <w:rPr>
          <w:rFonts w:ascii="仿宋_GB2312" w:hAnsi="宋体" w:eastAsia="仿宋_GB2312"/>
          <w:sz w:val="32"/>
          <w:szCs w:val="32"/>
          <w:lang w:val="zh-CN"/>
        </w:rPr>
        <w:t>32.7</w:t>
      </w:r>
      <w:r>
        <w:rPr>
          <w:rFonts w:hint="eastAsia" w:ascii="仿宋_GB2312" w:hAnsi="宋体" w:eastAsia="仿宋_GB2312"/>
          <w:sz w:val="32"/>
          <w:szCs w:val="32"/>
          <w:lang w:val="zh-CN"/>
        </w:rPr>
        <w:t>%。</w:t>
      </w:r>
    </w:p>
    <w:p>
      <w:pPr>
        <w:adjustRightInd w:val="0"/>
        <w:snapToGrid w:val="0"/>
        <w:spacing w:line="620" w:lineRule="exact"/>
        <w:ind w:firstLine="720"/>
        <w:rPr>
          <w:rFonts w:ascii="方正小标宋简体" w:hAnsi="宋体" w:eastAsia="方正小标宋简体"/>
          <w:b/>
          <w:sz w:val="32"/>
          <w:szCs w:val="32"/>
        </w:rPr>
      </w:pPr>
      <w:r>
        <w:rPr>
          <w:rFonts w:hint="eastAsia" w:ascii="微软雅黑" w:hAnsi="微软雅黑" w:eastAsia="微软雅黑" w:cs="微软雅黑"/>
          <w:b/>
          <w:sz w:val="32"/>
          <w:szCs w:val="32"/>
        </w:rPr>
        <w:t>五</w:t>
      </w:r>
      <w:r>
        <w:rPr>
          <w:rFonts w:hint="eastAsia" w:ascii="Malgun Gothic Semilight" w:hAnsi="Malgun Gothic Semilight" w:eastAsia="Malgun Gothic Semilight" w:cs="Malgun Gothic Semilight"/>
          <w:b/>
          <w:sz w:val="32"/>
          <w:szCs w:val="32"/>
        </w:rPr>
        <w:t>、</w:t>
      </w:r>
      <w:r>
        <w:rPr>
          <w:rFonts w:hint="eastAsia" w:ascii="微软雅黑" w:hAnsi="微软雅黑" w:eastAsia="微软雅黑" w:cs="微软雅黑"/>
          <w:b/>
          <w:sz w:val="32"/>
          <w:szCs w:val="32"/>
        </w:rPr>
        <w:t>评价结论及建议</w:t>
      </w:r>
    </w:p>
    <w:p>
      <w:pPr>
        <w:adjustRightInd w:val="0"/>
        <w:snapToGrid w:val="0"/>
        <w:spacing w:line="6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20" w:lineRule="exact"/>
        <w:ind w:firstLine="640" w:firstLineChars="200"/>
        <w:rPr>
          <w:rFonts w:ascii="仿宋_GB2312" w:hAnsi="宋体" w:eastAsia="仿宋_GB2312"/>
          <w:sz w:val="32"/>
          <w:szCs w:val="32"/>
          <w:lang w:val="zh-CN"/>
        </w:rPr>
      </w:pPr>
      <w:r>
        <w:rPr>
          <w:rFonts w:hint="eastAsia" w:ascii="仿宋_GB2312" w:hAnsi="方正黑体简体" w:eastAsia="仿宋_GB2312" w:cs="方正黑体简体"/>
          <w:sz w:val="32"/>
          <w:szCs w:val="32"/>
        </w:rPr>
        <w:t>在我市购买商品房的创业人员、家庭或者个人给予一次性创业补助、一次性购房补贴和置业补贴，对这些购房户发放购房补贴，既巩固了我市房地产市场向好发展，加大了对房地产企业的扶持力度，也是居民增收的直接体现，购房户满意度100%，同时进一步加强房地产市场调控，加快去库存，促进房地产市场健康发展。</w:t>
      </w:r>
    </w:p>
    <w:p>
      <w:pPr>
        <w:adjustRightInd w:val="0"/>
        <w:snapToGrid w:val="0"/>
        <w:spacing w:line="6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ascii="仿宋_GB2312" w:hAnsi="宋体" w:eastAsia="仿宋_GB2312"/>
          <w:sz w:val="32"/>
          <w:szCs w:val="32"/>
          <w:lang w:val="zh-CN"/>
        </w:rPr>
        <w:tab/>
      </w:r>
    </w:p>
    <w:p>
      <w:pPr>
        <w:adjustRightInd w:val="0"/>
        <w:snapToGrid w:val="0"/>
        <w:spacing w:line="6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10039" w:type="dxa"/>
        <w:jc w:val="center"/>
        <w:tblLayout w:type="autofit"/>
        <w:tblCellMar>
          <w:top w:w="0" w:type="dxa"/>
          <w:left w:w="108" w:type="dxa"/>
          <w:bottom w:w="0" w:type="dxa"/>
          <w:right w:w="108" w:type="dxa"/>
        </w:tblCellMar>
      </w:tblPr>
      <w:tblGrid>
        <w:gridCol w:w="1080"/>
        <w:gridCol w:w="638"/>
        <w:gridCol w:w="1417"/>
        <w:gridCol w:w="1545"/>
        <w:gridCol w:w="880"/>
        <w:gridCol w:w="1828"/>
        <w:gridCol w:w="2651"/>
      </w:tblGrid>
      <w:tr>
        <w:tblPrEx>
          <w:tblCellMar>
            <w:top w:w="0" w:type="dxa"/>
            <w:left w:w="108" w:type="dxa"/>
            <w:bottom w:w="0" w:type="dxa"/>
            <w:right w:w="108" w:type="dxa"/>
          </w:tblCellMar>
        </w:tblPrEx>
        <w:trPr>
          <w:trHeight w:val="405" w:hRule="atLeast"/>
          <w:jc w:val="center"/>
        </w:trPr>
        <w:tc>
          <w:tcPr>
            <w:tcW w:w="10039"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10039"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38"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7"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545"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8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828"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651"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40" w:hRule="atLeast"/>
          <w:jc w:val="center"/>
        </w:trPr>
        <w:tc>
          <w:tcPr>
            <w:tcW w:w="31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904"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2020年批次商品房购房补贴</w:t>
            </w:r>
          </w:p>
        </w:tc>
      </w:tr>
      <w:tr>
        <w:tblPrEx>
          <w:tblCellMar>
            <w:top w:w="0" w:type="dxa"/>
            <w:left w:w="108" w:type="dxa"/>
            <w:bottom w:w="0" w:type="dxa"/>
            <w:right w:w="108" w:type="dxa"/>
          </w:tblCellMar>
        </w:tblPrEx>
        <w:trPr>
          <w:trHeight w:val="455" w:hRule="atLeast"/>
          <w:jc w:val="center"/>
        </w:trPr>
        <w:tc>
          <w:tcPr>
            <w:tcW w:w="313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904"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559"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0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42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651"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4"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42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w:t>
            </w:r>
          </w:p>
        </w:tc>
        <w:tc>
          <w:tcPr>
            <w:tcW w:w="1828"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72.8309</w:t>
            </w:r>
          </w:p>
        </w:tc>
      </w:tr>
      <w:tr>
        <w:tblPrEx>
          <w:tblCellMar>
            <w:top w:w="0" w:type="dxa"/>
            <w:left w:w="108" w:type="dxa"/>
            <w:bottom w:w="0" w:type="dxa"/>
            <w:right w:w="108" w:type="dxa"/>
          </w:tblCellMar>
        </w:tblPrEx>
        <w:trPr>
          <w:trHeight w:val="578"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55"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42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828"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417"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4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479"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692"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预计完成目标73万元</w:t>
            </w:r>
          </w:p>
        </w:tc>
        <w:tc>
          <w:tcPr>
            <w:tcW w:w="4479"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实际完成72.8309万元</w:t>
            </w:r>
          </w:p>
        </w:tc>
      </w:tr>
      <w:tr>
        <w:tblPrEx>
          <w:tblCellMar>
            <w:top w:w="0" w:type="dxa"/>
            <w:left w:w="108" w:type="dxa"/>
            <w:bottom w:w="0" w:type="dxa"/>
            <w:right w:w="108" w:type="dxa"/>
          </w:tblCellMar>
        </w:tblPrEx>
        <w:trPr>
          <w:trHeight w:val="75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638"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417"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4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106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3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417"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4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对符合条件的车位、住房、商业用房进行购房补贴</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≦25套、≦60个</w:t>
            </w:r>
          </w:p>
        </w:tc>
        <w:tc>
          <w:tcPr>
            <w:tcW w:w="26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≤79车位、≤28套住房、≤7套商业用房</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4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补贴发放准确率</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4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完成时间</w:t>
            </w:r>
            <w:r>
              <w:rPr>
                <w:rFonts w:hint="eastAsia" w:ascii="宋体" w:hAnsi="宋体" w:cs="宋体"/>
                <w:kern w:val="0"/>
                <w:sz w:val="20"/>
                <w:szCs w:val="20"/>
                <w:lang w:eastAsia="zh-CN"/>
              </w:rPr>
              <w:t>（</w:t>
            </w:r>
            <w:r>
              <w:rPr>
                <w:rFonts w:hint="eastAsia" w:ascii="宋体" w:hAnsi="宋体" w:cs="宋体"/>
                <w:kern w:val="0"/>
                <w:sz w:val="20"/>
                <w:szCs w:val="20"/>
              </w:rPr>
              <w:t>年度）</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w:t>
            </w:r>
          </w:p>
        </w:tc>
      </w:tr>
      <w:tr>
        <w:tblPrEx>
          <w:tblCellMar>
            <w:top w:w="0" w:type="dxa"/>
            <w:left w:w="108" w:type="dxa"/>
            <w:bottom w:w="0" w:type="dxa"/>
            <w:right w:w="108" w:type="dxa"/>
          </w:tblCellMar>
        </w:tblPrEx>
        <w:trPr>
          <w:trHeight w:val="73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3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4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按标准给予补贴金额（万元）</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≦73万元</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72.8309万元</w:t>
            </w:r>
          </w:p>
        </w:tc>
      </w:tr>
      <w:tr>
        <w:tblPrEx>
          <w:tblCellMar>
            <w:top w:w="0" w:type="dxa"/>
            <w:left w:w="108" w:type="dxa"/>
            <w:bottom w:w="0" w:type="dxa"/>
            <w:right w:w="108" w:type="dxa"/>
          </w:tblCellMar>
        </w:tblPrEx>
        <w:trPr>
          <w:trHeight w:val="109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41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4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加大对房地产企业的扶持力度，加强对房地产市场的调控监管</w:t>
            </w:r>
          </w:p>
        </w:tc>
        <w:tc>
          <w:tcPr>
            <w:tcW w:w="1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加大对房地产企业的扶持力度，加强对房地产市场的调控监管</w:t>
            </w:r>
          </w:p>
        </w:tc>
        <w:tc>
          <w:tcPr>
            <w:tcW w:w="26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因加大对房地产企业的扶持力度，销售面积同比增长11.2%，房地产开发投资同比增长32.7%。</w:t>
            </w:r>
          </w:p>
        </w:tc>
      </w:tr>
      <w:tr>
        <w:tblPrEx>
          <w:tblCellMar>
            <w:top w:w="0" w:type="dxa"/>
            <w:left w:w="108" w:type="dxa"/>
            <w:bottom w:w="0" w:type="dxa"/>
            <w:right w:w="108" w:type="dxa"/>
          </w:tblCellMar>
        </w:tblPrEx>
        <w:trPr>
          <w:trHeight w:val="97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4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2021年，居民增收可领取购房补贴（万元）</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≦73万元</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72.8309万元</w:t>
            </w:r>
          </w:p>
        </w:tc>
      </w:tr>
      <w:tr>
        <w:tblPrEx>
          <w:tblCellMar>
            <w:top w:w="0" w:type="dxa"/>
            <w:left w:w="108" w:type="dxa"/>
            <w:bottom w:w="0" w:type="dxa"/>
            <w:right w:w="108" w:type="dxa"/>
          </w:tblCellMar>
        </w:tblPrEx>
        <w:trPr>
          <w:trHeight w:val="84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3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7"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4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鼓励和支持住房消费，巩固我市房地产市场向好发展。</w:t>
            </w:r>
          </w:p>
        </w:tc>
        <w:tc>
          <w:tcPr>
            <w:tcW w:w="182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鼓励和支持住房消费，巩固我市房地产市场向好发展。</w:t>
            </w:r>
          </w:p>
        </w:tc>
        <w:tc>
          <w:tcPr>
            <w:tcW w:w="265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鼓励和支持住房消费，巩固我市房地产市场向好发展。</w:t>
            </w:r>
          </w:p>
        </w:tc>
      </w:tr>
      <w:tr>
        <w:tblPrEx>
          <w:tblCellMar>
            <w:top w:w="0" w:type="dxa"/>
            <w:left w:w="108" w:type="dxa"/>
            <w:bottom w:w="0" w:type="dxa"/>
            <w:right w:w="108" w:type="dxa"/>
          </w:tblCellMar>
        </w:tblPrEx>
        <w:trPr>
          <w:trHeight w:val="76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3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41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42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购房满意度</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c>
          <w:tcPr>
            <w:tcW w:w="26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spacing w:line="580" w:lineRule="exact"/>
        <w:ind w:firstLine="2200" w:firstLineChars="500"/>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 xml:space="preserve">   （2021年白蚁防治工作政府采购经费项目）</w:t>
      </w:r>
    </w:p>
    <w:p>
      <w:pPr>
        <w:spacing w:line="580" w:lineRule="exact"/>
        <w:ind w:firstLine="640"/>
        <w:jc w:val="center"/>
        <w:rPr>
          <w:rFonts w:hint="eastAsia" w:ascii="宋体" w:hAnsi="??"/>
          <w:sz w:val="32"/>
          <w:szCs w:val="32"/>
        </w:rPr>
      </w:pPr>
    </w:p>
    <w:p>
      <w:pPr>
        <w:adjustRightInd w:val="0"/>
        <w:snapToGrid w:val="0"/>
        <w:spacing w:line="54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40" w:lineRule="exact"/>
        <w:ind w:firstLine="720"/>
        <w:rPr>
          <w:rFonts w:ascii="楷体_GB2312" w:hAnsi="宋体" w:eastAsia="楷体_GB2312"/>
          <w:b/>
          <w:sz w:val="32"/>
          <w:szCs w:val="32"/>
          <w:lang w:val="zh-CN"/>
        </w:rPr>
      </w:pPr>
      <w:r>
        <w:rPr>
          <w:rFonts w:hint="eastAsia" w:ascii="仿宋" w:hAnsi="仿宋" w:eastAsia="仿宋"/>
          <w:sz w:val="32"/>
          <w:szCs w:val="32"/>
        </w:rPr>
        <w:t xml:space="preserve"> 1. 2014年4月我市被省住建厅认定为白蚁防治重点区域。根据《四川省城市房屋白蚁防治办法》（第196号令）和原四川省建设厅《关于贯彻实施 四川省城市房屋白蚁防治办法 的通知》（川建发〔2006〕19号）精神，由我市住建局负责行政区域内城市房屋白蚁防治的监督管理工作。</w:t>
      </w:r>
    </w:p>
    <w:p>
      <w:pPr>
        <w:adjustRightInd w:val="0"/>
        <w:snapToGrid w:val="0"/>
        <w:spacing w:line="540" w:lineRule="exact"/>
        <w:ind w:firstLine="720"/>
        <w:rPr>
          <w:rFonts w:ascii="楷体_GB2312" w:hAnsi="宋体" w:eastAsia="楷体_GB2312"/>
          <w:b/>
          <w:sz w:val="32"/>
          <w:szCs w:val="32"/>
          <w:lang w:val="zh-CN"/>
        </w:rPr>
      </w:pPr>
      <w:r>
        <w:rPr>
          <w:rFonts w:hint="eastAsia" w:ascii="仿宋" w:hAnsi="仿宋" w:eastAsia="仿宋"/>
          <w:sz w:val="32"/>
          <w:szCs w:val="32"/>
        </w:rPr>
        <w:t>2. 按照《财政部 国家发展改革委关于清理规范一批行政事业性收费有关政策的通知》（财税〔2017〕20号）要求，为减轻企业和个人负担，促进实体经济发展，取消白蚁防治行政事业性收费，由同级财政预算予以保障。</w:t>
      </w:r>
    </w:p>
    <w:p>
      <w:pPr>
        <w:adjustRightInd w:val="0"/>
        <w:snapToGrid w:val="0"/>
        <w:spacing w:line="540" w:lineRule="exact"/>
        <w:ind w:firstLine="720"/>
        <w:rPr>
          <w:rFonts w:ascii="楷体_GB2312" w:hAnsi="宋体" w:eastAsia="楷体_GB2312"/>
          <w:b/>
          <w:sz w:val="32"/>
          <w:szCs w:val="32"/>
          <w:lang w:val="zh-CN"/>
        </w:rPr>
      </w:pPr>
      <w:r>
        <w:rPr>
          <w:rFonts w:hint="eastAsia" w:ascii="仿宋" w:hAnsi="仿宋" w:eastAsia="仿宋"/>
          <w:sz w:val="32"/>
          <w:szCs w:val="32"/>
        </w:rPr>
        <w:t>3. 资金由市财政预算安排，我局负责资金管理和使用。</w:t>
      </w:r>
    </w:p>
    <w:p>
      <w:pPr>
        <w:adjustRightInd w:val="0"/>
        <w:snapToGrid w:val="0"/>
        <w:spacing w:line="540" w:lineRule="exact"/>
        <w:ind w:firstLine="720"/>
        <w:rPr>
          <w:rFonts w:ascii="楷体_GB2312" w:hAnsi="宋体" w:eastAsia="楷体_GB2312"/>
          <w:b/>
          <w:sz w:val="32"/>
          <w:szCs w:val="32"/>
          <w:lang w:val="zh-CN"/>
        </w:rPr>
      </w:pPr>
      <w:r>
        <w:rPr>
          <w:rFonts w:hint="eastAsia" w:ascii="仿宋" w:hAnsi="仿宋" w:eastAsia="仿宋"/>
          <w:sz w:val="32"/>
          <w:szCs w:val="32"/>
        </w:rPr>
        <w:t>4. 从2017年6月1日后开工的新建、改建、扩建白蚁预防协议备案项目分配。</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40" w:lineRule="exact"/>
        <w:ind w:firstLine="720"/>
        <w:rPr>
          <w:rFonts w:ascii="楷体_GB2312" w:hAnsi="宋体" w:eastAsia="楷体_GB2312"/>
          <w:b/>
          <w:sz w:val="32"/>
          <w:szCs w:val="32"/>
          <w:lang w:val="zh-CN"/>
        </w:rPr>
      </w:pPr>
      <w:r>
        <w:rPr>
          <w:rFonts w:hint="eastAsia" w:ascii="仿宋" w:hAnsi="仿宋" w:eastAsia="仿宋"/>
          <w:sz w:val="32"/>
          <w:szCs w:val="32"/>
        </w:rPr>
        <w:t>1. 对</w:t>
      </w:r>
      <w:r>
        <w:rPr>
          <w:rFonts w:hint="eastAsia" w:ascii="仿宋" w:hAnsi="仿宋" w:eastAsia="仿宋"/>
          <w:sz w:val="32"/>
          <w:szCs w:val="32"/>
          <w:lang w:eastAsia="zh-CN"/>
        </w:rPr>
        <w:t>我市</w:t>
      </w:r>
      <w:r>
        <w:rPr>
          <w:rFonts w:hint="eastAsia" w:ascii="仿宋" w:hAnsi="仿宋" w:eastAsia="仿宋"/>
          <w:sz w:val="32"/>
          <w:szCs w:val="32"/>
        </w:rPr>
        <w:t>行政区域内新建、改建、扩建城市房屋和进行3层楼以下（含3楼）的工程装饰装修，开展白蚁防治工作。有效控制白蚁危害房屋建筑，减少经济损失，保障人民群众生命财产安全。</w:t>
      </w:r>
    </w:p>
    <w:p>
      <w:pPr>
        <w:adjustRightInd w:val="0"/>
        <w:snapToGrid w:val="0"/>
        <w:spacing w:line="540" w:lineRule="exact"/>
        <w:ind w:firstLine="720"/>
        <w:rPr>
          <w:rFonts w:ascii="楷体_GB2312" w:hAnsi="宋体" w:eastAsia="楷体_GB2312"/>
          <w:b/>
          <w:sz w:val="32"/>
          <w:szCs w:val="32"/>
          <w:lang w:val="zh-CN"/>
        </w:rPr>
      </w:pPr>
      <w:r>
        <w:rPr>
          <w:rFonts w:hint="eastAsia" w:ascii="方正仿宋简体" w:hAnsi="方正仿宋简体" w:eastAsia="方正仿宋简体" w:cs="方正仿宋简体"/>
          <w:color w:val="000000"/>
          <w:sz w:val="32"/>
          <w:szCs w:val="32"/>
        </w:rPr>
        <w:t xml:space="preserve">2. </w:t>
      </w:r>
      <w:r>
        <w:rPr>
          <w:rFonts w:hint="eastAsia" w:ascii="仿宋" w:hAnsi="仿宋" w:eastAsia="仿宋"/>
          <w:sz w:val="32"/>
          <w:szCs w:val="32"/>
        </w:rPr>
        <w:t>资金申报用于签订了白蚁防治协议，并于2021年1月至2021年12月期间已完成的白蚁防治项目共计17个，17个项目均通过白蚁预防工程竣工验收。</w:t>
      </w:r>
    </w:p>
    <w:p>
      <w:pPr>
        <w:adjustRightInd w:val="0"/>
        <w:snapToGrid w:val="0"/>
        <w:spacing w:line="540" w:lineRule="exact"/>
        <w:ind w:firstLine="720"/>
        <w:rPr>
          <w:rFonts w:ascii="楷体_GB2312" w:hAnsi="宋体" w:eastAsia="楷体_GB2312"/>
          <w:b/>
          <w:sz w:val="32"/>
          <w:szCs w:val="32"/>
          <w:lang w:val="zh-CN"/>
        </w:rPr>
      </w:pPr>
      <w:r>
        <w:rPr>
          <w:rFonts w:hint="eastAsia" w:ascii="仿宋" w:hAnsi="仿宋" w:eastAsia="仿宋"/>
          <w:color w:val="000000"/>
          <w:sz w:val="32"/>
          <w:szCs w:val="32"/>
        </w:rPr>
        <w:t>3</w:t>
      </w:r>
      <w:r>
        <w:rPr>
          <w:rFonts w:hint="eastAsia" w:ascii="仿宋" w:hAnsi="仿宋" w:eastAsia="仿宋"/>
          <w:color w:val="000000"/>
          <w:sz w:val="32"/>
          <w:szCs w:val="32"/>
          <w:lang w:val="zh-CN"/>
        </w:rPr>
        <w:t>.</w:t>
      </w:r>
      <w:r>
        <w:rPr>
          <w:rFonts w:hint="eastAsia" w:ascii="仿宋" w:hAnsi="仿宋" w:eastAsia="仿宋"/>
          <w:color w:val="000000"/>
          <w:sz w:val="32"/>
          <w:szCs w:val="32"/>
        </w:rPr>
        <w:t xml:space="preserve"> 申报目标合理可行</w:t>
      </w:r>
      <w:r>
        <w:rPr>
          <w:rFonts w:hint="eastAsia" w:ascii="仿宋" w:hAnsi="仿宋" w:eastAsia="仿宋"/>
          <w:color w:val="000000"/>
          <w:sz w:val="32"/>
          <w:szCs w:val="32"/>
          <w:lang w:val="zh-CN"/>
        </w:rPr>
        <w:t>。</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40" w:lineRule="exact"/>
        <w:ind w:firstLine="720"/>
        <w:rPr>
          <w:rFonts w:ascii="仿宋" w:hAnsi="仿宋" w:eastAsia="仿宋"/>
          <w:color w:val="000000"/>
          <w:sz w:val="32"/>
          <w:szCs w:val="32"/>
          <w:lang w:val="zh-CN"/>
        </w:rPr>
      </w:pPr>
      <w:r>
        <w:rPr>
          <w:rFonts w:hint="eastAsia" w:ascii="仿宋" w:hAnsi="仿宋" w:eastAsia="仿宋"/>
          <w:color w:val="000000"/>
          <w:sz w:val="32"/>
          <w:szCs w:val="32"/>
          <w:lang w:val="zh-CN"/>
        </w:rPr>
        <w:t>由我局开展财政资金使用情况自评并撰写部门预算支出绩效报告，按规范格式按时提交自评报告。</w:t>
      </w:r>
    </w:p>
    <w:p>
      <w:pPr>
        <w:adjustRightInd w:val="0"/>
        <w:snapToGrid w:val="0"/>
        <w:spacing w:line="54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40" w:lineRule="exact"/>
        <w:ind w:firstLine="720" w:firstLineChars="225"/>
        <w:rPr>
          <w:rFonts w:ascii="仿宋_GB2312" w:hAnsi="宋体" w:eastAsia="仿宋"/>
          <w:color w:val="FF0000"/>
          <w:sz w:val="32"/>
          <w:szCs w:val="32"/>
        </w:rPr>
      </w:pPr>
      <w:r>
        <w:rPr>
          <w:rFonts w:hint="eastAsia" w:ascii="仿宋" w:hAnsi="仿宋" w:eastAsia="仿宋"/>
          <w:sz w:val="32"/>
          <w:szCs w:val="32"/>
          <w:lang w:val="zh-CN"/>
        </w:rPr>
        <w:t>经我局向市政府请示同意后，由市财政在2018年预备费中列支140万元用于白蚁防治工作，其中包含购买白蚁防治药品费用80万元，白蚁防治、灭治劳务服务费60万元，该项工作按政府采购程序实施。</w:t>
      </w:r>
      <w:r>
        <w:rPr>
          <w:rFonts w:hint="eastAsia" w:ascii="仿宋" w:hAnsi="仿宋" w:eastAsia="仿宋"/>
          <w:color w:val="000000"/>
          <w:sz w:val="32"/>
          <w:szCs w:val="32"/>
        </w:rPr>
        <w:t>2021年年初预算10万元。</w:t>
      </w:r>
    </w:p>
    <w:p>
      <w:pPr>
        <w:adjustRightInd w:val="0"/>
        <w:snapToGrid w:val="0"/>
        <w:spacing w:line="54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54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2021年对17个白蚁防治项目以及白蚁防治工作经费进行资金申报，共计拨付资金99880.91万元。支付依据合规合法。</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40" w:lineRule="exact"/>
        <w:ind w:firstLine="720"/>
        <w:rPr>
          <w:rFonts w:ascii="仿宋" w:hAnsi="仿宋" w:eastAsia="仿宋"/>
          <w:color w:val="000000"/>
          <w:sz w:val="32"/>
          <w:szCs w:val="32"/>
          <w:lang w:val="zh-CN"/>
        </w:rPr>
      </w:pPr>
      <w:r>
        <w:rPr>
          <w:rFonts w:hint="eastAsia" w:ascii="仿宋" w:hAnsi="仿宋" w:eastAsia="仿宋"/>
          <w:color w:val="000000"/>
          <w:sz w:val="32"/>
          <w:szCs w:val="32"/>
          <w:lang w:val="zh-CN"/>
        </w:rPr>
        <w:t>该项目实施以来，严格执行财务管理制度，账务处理及时，会计核算规范，项目台账清楚。</w:t>
      </w:r>
    </w:p>
    <w:p>
      <w:pPr>
        <w:adjustRightInd w:val="0"/>
        <w:snapToGrid w:val="0"/>
        <w:spacing w:line="54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40" w:lineRule="exact"/>
        <w:ind w:firstLine="640" w:firstLineChars="200"/>
        <w:rPr>
          <w:rFonts w:ascii="楷体_GB2312" w:hAnsi="宋体" w:eastAsia="楷体_GB2312"/>
          <w:b/>
          <w:sz w:val="32"/>
          <w:szCs w:val="32"/>
          <w:lang w:val="zh-CN"/>
        </w:rPr>
      </w:pPr>
      <w:r>
        <w:rPr>
          <w:rFonts w:hint="eastAsia" w:ascii="仿宋" w:hAnsi="仿宋" w:eastAsia="仿宋"/>
          <w:color w:val="000000"/>
          <w:sz w:val="32"/>
          <w:szCs w:val="32"/>
          <w:lang w:val="zh-CN"/>
        </w:rPr>
        <w:t>按照2017年10月起签订的新建、改建、扩建城市房屋白蚁防治协议，根据建设项目施工进度，符合施药条件时有序推进防治工作。</w:t>
      </w:r>
    </w:p>
    <w:p>
      <w:pPr>
        <w:adjustRightInd w:val="0"/>
        <w:snapToGrid w:val="0"/>
        <w:spacing w:line="540" w:lineRule="exact"/>
        <w:ind w:firstLine="642" w:firstLineChars="200"/>
        <w:rPr>
          <w:rFonts w:ascii="仿宋" w:hAnsi="仿宋" w:eastAsia="仿宋"/>
          <w:color w:val="000000"/>
          <w:sz w:val="32"/>
          <w:szCs w:val="32"/>
          <w:lang w:val="zh-CN"/>
        </w:rPr>
      </w:pPr>
      <w:r>
        <w:rPr>
          <w:rFonts w:hint="eastAsia" w:ascii="楷体_GB2312" w:hAnsi="宋体" w:eastAsia="楷体_GB2312"/>
          <w:b/>
          <w:sz w:val="32"/>
          <w:szCs w:val="32"/>
          <w:lang w:val="zh-CN"/>
        </w:rPr>
        <w:t>（二）项目管理情况。</w:t>
      </w:r>
    </w:p>
    <w:p>
      <w:pPr>
        <w:adjustRightInd w:val="0"/>
        <w:snapToGrid w:val="0"/>
        <w:spacing w:line="54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要求白蚁防治劳务服务单位严格按照合同要求及</w:t>
      </w:r>
      <w:r>
        <w:fldChar w:fldCharType="begin"/>
      </w:r>
      <w:r>
        <w:instrText xml:space="preserve"> HYPERLINK "http://jst.sc.gov.cn/display/show-1007796.html" \t "_blank" </w:instrText>
      </w:r>
      <w:r>
        <w:fldChar w:fldCharType="separate"/>
      </w:r>
      <w:r>
        <w:rPr>
          <w:rFonts w:ascii="仿宋" w:hAnsi="仿宋" w:eastAsia="仿宋"/>
          <w:color w:val="000000"/>
          <w:sz w:val="32"/>
          <w:szCs w:val="32"/>
          <w:lang w:val="zh-CN"/>
        </w:rPr>
        <w:t>《白蚁防治技术规程》</w:t>
      </w:r>
      <w:r>
        <w:rPr>
          <w:rFonts w:ascii="仿宋" w:hAnsi="仿宋" w:eastAsia="仿宋"/>
          <w:color w:val="000000"/>
          <w:sz w:val="32"/>
          <w:szCs w:val="32"/>
          <w:lang w:val="zh-CN"/>
        </w:rPr>
        <w:fldChar w:fldCharType="end"/>
      </w:r>
      <w:r>
        <w:rPr>
          <w:rFonts w:ascii="仿宋" w:hAnsi="仿宋" w:eastAsia="仿宋"/>
          <w:color w:val="000000"/>
          <w:sz w:val="32"/>
          <w:szCs w:val="32"/>
          <w:lang w:val="zh-CN"/>
        </w:rPr>
        <w:t>进行规范施药</w:t>
      </w:r>
      <w:r>
        <w:rPr>
          <w:rFonts w:hint="eastAsia" w:ascii="仿宋" w:hAnsi="仿宋" w:eastAsia="仿宋"/>
          <w:color w:val="000000"/>
          <w:sz w:val="32"/>
          <w:szCs w:val="32"/>
          <w:lang w:val="zh-CN"/>
        </w:rPr>
        <w:t>，</w:t>
      </w:r>
      <w:r>
        <w:rPr>
          <w:rFonts w:ascii="仿宋" w:hAnsi="仿宋" w:eastAsia="仿宋"/>
          <w:color w:val="000000"/>
          <w:sz w:val="32"/>
          <w:szCs w:val="32"/>
          <w:lang w:val="zh-CN"/>
        </w:rPr>
        <w:t>聘请监理单位对施药过程进行质量监督</w:t>
      </w:r>
      <w:r>
        <w:rPr>
          <w:rFonts w:hint="eastAsia" w:ascii="仿宋" w:hAnsi="仿宋" w:eastAsia="仿宋"/>
          <w:color w:val="000000"/>
          <w:sz w:val="32"/>
          <w:szCs w:val="32"/>
          <w:lang w:val="zh-CN"/>
        </w:rPr>
        <w:t>。</w:t>
      </w:r>
    </w:p>
    <w:p>
      <w:pPr>
        <w:numPr>
          <w:ilvl w:val="0"/>
          <w:numId w:val="24"/>
        </w:numPr>
        <w:adjustRightInd w:val="0"/>
        <w:snapToGrid w:val="0"/>
        <w:spacing w:line="540" w:lineRule="exact"/>
        <w:rPr>
          <w:rFonts w:ascii="楷体_GB2312" w:hAnsi="宋体" w:eastAsia="楷体_GB2312"/>
          <w:b/>
          <w:sz w:val="32"/>
          <w:szCs w:val="32"/>
          <w:lang w:val="zh-CN"/>
        </w:rPr>
      </w:pPr>
      <w:r>
        <w:rPr>
          <w:rFonts w:hint="eastAsia" w:ascii="楷体_GB2312" w:hAnsi="宋体" w:eastAsia="楷体_GB2312"/>
          <w:b/>
          <w:sz w:val="32"/>
          <w:szCs w:val="32"/>
          <w:lang w:val="zh-CN"/>
        </w:rPr>
        <w:t>项目监管情况。</w:t>
      </w:r>
    </w:p>
    <w:p>
      <w:pPr>
        <w:spacing w:line="540" w:lineRule="exact"/>
        <w:ind w:firstLine="627" w:firstLineChars="196"/>
        <w:outlineLvl w:val="0"/>
        <w:rPr>
          <w:rFonts w:ascii="仿宋_GB2312" w:hAnsi="宋体" w:eastAsia="仿宋_GB2312"/>
          <w:sz w:val="32"/>
          <w:szCs w:val="32"/>
          <w:lang w:val="zh-CN"/>
        </w:rPr>
      </w:pPr>
      <w:bookmarkStart w:id="67" w:name="_Toc114738632"/>
      <w:r>
        <w:rPr>
          <w:rFonts w:hint="eastAsia" w:ascii="仿宋" w:hAnsi="仿宋" w:eastAsia="仿宋"/>
          <w:color w:val="000000"/>
          <w:sz w:val="32"/>
          <w:szCs w:val="32"/>
        </w:rPr>
        <w:t>派人员对药物组织到位情况进行货物验收清点，对工作组织实施情况进行不定期检查和监督，通过走访和现场检查的方式进行考核。</w:t>
      </w:r>
      <w:bookmarkEnd w:id="67"/>
    </w:p>
    <w:p>
      <w:pPr>
        <w:adjustRightInd w:val="0"/>
        <w:snapToGrid w:val="0"/>
        <w:spacing w:line="54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40" w:lineRule="exact"/>
        <w:ind w:firstLine="720"/>
        <w:rPr>
          <w:rFonts w:ascii="仿宋" w:hAnsi="仿宋" w:eastAsia="仿宋"/>
          <w:color w:val="000000"/>
          <w:sz w:val="32"/>
          <w:szCs w:val="32"/>
          <w:lang w:val="zh-CN"/>
        </w:rPr>
      </w:pPr>
      <w:r>
        <w:rPr>
          <w:rFonts w:hint="eastAsia" w:ascii="仿宋" w:hAnsi="仿宋" w:eastAsia="仿宋"/>
          <w:color w:val="000000"/>
          <w:sz w:val="32"/>
          <w:szCs w:val="32"/>
          <w:lang w:val="zh-CN"/>
        </w:rPr>
        <w:t>截至</w:t>
      </w:r>
      <w:r>
        <w:rPr>
          <w:rFonts w:hint="eastAsia" w:ascii="仿宋" w:hAnsi="仿宋" w:eastAsia="仿宋"/>
          <w:color w:val="000000"/>
          <w:sz w:val="32"/>
          <w:szCs w:val="32"/>
        </w:rPr>
        <w:t>2021年年底，</w:t>
      </w:r>
      <w:r>
        <w:rPr>
          <w:rFonts w:hint="eastAsia" w:ascii="仿宋" w:hAnsi="仿宋" w:eastAsia="仿宋"/>
          <w:color w:val="000000"/>
          <w:sz w:val="32"/>
          <w:szCs w:val="32"/>
          <w:lang w:val="zh-CN"/>
        </w:rPr>
        <w:t>我局共签订白蚁防治协议</w:t>
      </w:r>
      <w:r>
        <w:rPr>
          <w:rFonts w:hint="eastAsia" w:ascii="仿宋" w:hAnsi="仿宋" w:eastAsia="仿宋"/>
          <w:color w:val="000000"/>
          <w:sz w:val="32"/>
          <w:szCs w:val="32"/>
        </w:rPr>
        <w:t>118</w:t>
      </w:r>
      <w:r>
        <w:rPr>
          <w:rFonts w:hint="eastAsia" w:ascii="仿宋" w:hAnsi="仿宋" w:eastAsia="仿宋"/>
          <w:color w:val="000000"/>
          <w:sz w:val="32"/>
          <w:szCs w:val="32"/>
          <w:lang w:val="zh-CN"/>
        </w:rPr>
        <w:t>个，完成防治项目</w:t>
      </w:r>
      <w:r>
        <w:rPr>
          <w:rFonts w:hint="eastAsia" w:ascii="仿宋" w:hAnsi="仿宋" w:eastAsia="仿宋"/>
          <w:color w:val="000000"/>
          <w:sz w:val="32"/>
          <w:szCs w:val="32"/>
        </w:rPr>
        <w:t>81</w:t>
      </w:r>
      <w:r>
        <w:rPr>
          <w:rFonts w:hint="eastAsia" w:ascii="仿宋" w:hAnsi="仿宋" w:eastAsia="仿宋"/>
          <w:color w:val="000000"/>
          <w:sz w:val="32"/>
          <w:szCs w:val="32"/>
          <w:lang w:val="zh-CN"/>
        </w:rPr>
        <w:t>个，使用防治药品联苯菊酯共计</w:t>
      </w:r>
      <w:r>
        <w:rPr>
          <w:rFonts w:hint="eastAsia" w:ascii="仿宋" w:hAnsi="仿宋" w:eastAsia="仿宋"/>
          <w:sz w:val="32"/>
          <w:szCs w:val="32"/>
        </w:rPr>
        <w:t>15</w:t>
      </w:r>
      <w:r>
        <w:rPr>
          <w:rFonts w:hint="eastAsia" w:ascii="仿宋" w:hAnsi="仿宋" w:eastAsia="仿宋"/>
          <w:color w:val="000000"/>
          <w:sz w:val="32"/>
          <w:szCs w:val="32"/>
          <w:lang w:val="zh-CN"/>
        </w:rPr>
        <w:t>吨。要求白蚁防治劳务服务单位严格按照</w:t>
      </w:r>
      <w:r>
        <w:fldChar w:fldCharType="begin"/>
      </w:r>
      <w:r>
        <w:instrText xml:space="preserve"> HYPERLINK "http://jst.sc.gov.cn/display/show-1007796.html" \t "_blank" </w:instrText>
      </w:r>
      <w:r>
        <w:fldChar w:fldCharType="separate"/>
      </w:r>
      <w:r>
        <w:rPr>
          <w:rFonts w:ascii="仿宋" w:hAnsi="仿宋" w:eastAsia="仿宋"/>
          <w:color w:val="000000"/>
          <w:sz w:val="32"/>
          <w:szCs w:val="32"/>
          <w:lang w:val="zh-CN"/>
        </w:rPr>
        <w:t>《白蚁防治技术规程》</w:t>
      </w:r>
      <w:r>
        <w:rPr>
          <w:rFonts w:ascii="仿宋" w:hAnsi="仿宋" w:eastAsia="仿宋"/>
          <w:color w:val="000000"/>
          <w:sz w:val="32"/>
          <w:szCs w:val="32"/>
          <w:lang w:val="zh-CN"/>
        </w:rPr>
        <w:fldChar w:fldCharType="end"/>
      </w:r>
      <w:r>
        <w:rPr>
          <w:rFonts w:ascii="仿宋" w:hAnsi="仿宋" w:eastAsia="仿宋"/>
          <w:color w:val="000000"/>
          <w:sz w:val="32"/>
          <w:szCs w:val="32"/>
          <w:lang w:val="zh-CN"/>
        </w:rPr>
        <w:t>进行规范施药</w:t>
      </w:r>
      <w:r>
        <w:rPr>
          <w:rFonts w:hint="eastAsia" w:ascii="仿宋" w:hAnsi="仿宋" w:eastAsia="仿宋"/>
          <w:color w:val="000000"/>
          <w:sz w:val="32"/>
          <w:szCs w:val="32"/>
          <w:lang w:val="zh-CN"/>
        </w:rPr>
        <w:t>，</w:t>
      </w:r>
      <w:r>
        <w:rPr>
          <w:rFonts w:ascii="仿宋" w:hAnsi="仿宋" w:eastAsia="仿宋"/>
          <w:color w:val="000000"/>
          <w:sz w:val="32"/>
          <w:szCs w:val="32"/>
          <w:lang w:val="zh-CN"/>
        </w:rPr>
        <w:t>聘请监理单位对施药过程进行质量监督</w:t>
      </w:r>
      <w:r>
        <w:rPr>
          <w:rFonts w:hint="eastAsia" w:ascii="仿宋" w:hAnsi="仿宋" w:eastAsia="仿宋"/>
          <w:color w:val="000000"/>
          <w:sz w:val="32"/>
          <w:szCs w:val="32"/>
          <w:lang w:val="zh-CN"/>
        </w:rPr>
        <w:t>。</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40" w:lineRule="exact"/>
        <w:ind w:firstLine="720"/>
        <w:rPr>
          <w:rFonts w:ascii="仿宋" w:hAnsi="仿宋" w:eastAsia="仿宋"/>
          <w:color w:val="000000"/>
          <w:sz w:val="32"/>
          <w:szCs w:val="32"/>
          <w:lang w:val="zh-CN"/>
        </w:rPr>
      </w:pPr>
      <w:r>
        <w:rPr>
          <w:rFonts w:ascii="仿宋" w:hAnsi="仿宋" w:eastAsia="仿宋"/>
          <w:color w:val="000000"/>
          <w:sz w:val="32"/>
          <w:szCs w:val="32"/>
          <w:lang w:val="zh-CN"/>
        </w:rPr>
        <w:t>对新建房屋实施白蚁防治处理，降低了白蚁对房屋的危害</w:t>
      </w:r>
      <w:r>
        <w:rPr>
          <w:rFonts w:hint="eastAsia" w:ascii="仿宋" w:hAnsi="仿宋" w:eastAsia="仿宋"/>
          <w:color w:val="000000"/>
          <w:sz w:val="32"/>
          <w:szCs w:val="32"/>
          <w:lang w:val="zh-CN"/>
        </w:rPr>
        <w:t>，保障人民群众经济利益和房屋构筑安全。</w:t>
      </w:r>
    </w:p>
    <w:p>
      <w:pPr>
        <w:adjustRightInd w:val="0"/>
        <w:snapToGrid w:val="0"/>
        <w:spacing w:line="54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40" w:lineRule="exact"/>
        <w:ind w:firstLine="720"/>
        <w:rPr>
          <w:rFonts w:ascii="楷体_GB2312" w:hAnsi="宋体" w:eastAsia="楷体_GB2312"/>
          <w:b/>
          <w:sz w:val="32"/>
          <w:szCs w:val="32"/>
        </w:rPr>
      </w:pPr>
      <w:r>
        <w:rPr>
          <w:rFonts w:hint="eastAsia" w:ascii="楷体_GB2312" w:hAnsi="宋体" w:eastAsia="楷体_GB2312"/>
          <w:b/>
          <w:sz w:val="32"/>
          <w:szCs w:val="32"/>
          <w:lang w:val="zh-CN"/>
        </w:rPr>
        <w:t>（一）评价结论。</w:t>
      </w:r>
      <w:r>
        <w:rPr>
          <w:rFonts w:hint="eastAsia" w:ascii="楷体_GB2312" w:hAnsi="宋体" w:eastAsia="楷体_GB2312"/>
          <w:b/>
          <w:sz w:val="32"/>
          <w:szCs w:val="32"/>
        </w:rPr>
        <w:t xml:space="preserve"> </w:t>
      </w:r>
    </w:p>
    <w:p>
      <w:pPr>
        <w:adjustRightInd w:val="0"/>
        <w:snapToGrid w:val="0"/>
        <w:spacing w:line="540" w:lineRule="exact"/>
        <w:ind w:firstLine="720"/>
        <w:rPr>
          <w:rFonts w:ascii="仿宋" w:hAnsi="仿宋" w:eastAsia="仿宋"/>
          <w:color w:val="000000"/>
          <w:sz w:val="32"/>
          <w:szCs w:val="32"/>
          <w:lang w:val="zh-CN"/>
        </w:rPr>
      </w:pPr>
      <w:r>
        <w:rPr>
          <w:rFonts w:hint="eastAsia" w:ascii="仿宋" w:hAnsi="仿宋" w:eastAsia="仿宋"/>
          <w:color w:val="000000"/>
          <w:sz w:val="32"/>
          <w:szCs w:val="32"/>
          <w:lang w:val="zh-CN"/>
        </w:rPr>
        <w:t>为加强我市房屋的白蚁防治工作，我局紧密关注建设项目施工进度，要求建设单位在符合施药条件时立即施药劳务单位进行白蚁防治施药，保障白蚁防治工作快速高效顺利进行。按照目前工作推进，将大大降低我市白蚁对房屋的危害，</w:t>
      </w:r>
      <w:r>
        <w:rPr>
          <w:rFonts w:ascii="仿宋" w:hAnsi="仿宋" w:eastAsia="仿宋"/>
          <w:color w:val="000000"/>
          <w:sz w:val="32"/>
          <w:szCs w:val="32"/>
          <w:lang w:val="zh-CN"/>
        </w:rPr>
        <w:t>实现“防治并举、服务民生”的工作目标。</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tbl>
      <w:tblPr>
        <w:tblStyle w:val="13"/>
        <w:tblW w:w="9332" w:type="dxa"/>
        <w:jc w:val="center"/>
        <w:tblLayout w:type="autofit"/>
        <w:tblCellMar>
          <w:top w:w="0" w:type="dxa"/>
          <w:left w:w="108" w:type="dxa"/>
          <w:bottom w:w="0" w:type="dxa"/>
          <w:right w:w="108" w:type="dxa"/>
        </w:tblCellMar>
      </w:tblPr>
      <w:tblGrid>
        <w:gridCol w:w="1080"/>
        <w:gridCol w:w="1000"/>
        <w:gridCol w:w="1480"/>
        <w:gridCol w:w="1080"/>
        <w:gridCol w:w="440"/>
        <w:gridCol w:w="1984"/>
        <w:gridCol w:w="2268"/>
      </w:tblGrid>
      <w:tr>
        <w:tblPrEx>
          <w:tblCellMar>
            <w:top w:w="0" w:type="dxa"/>
            <w:left w:w="108" w:type="dxa"/>
            <w:bottom w:w="0" w:type="dxa"/>
            <w:right w:w="108" w:type="dxa"/>
          </w:tblCellMar>
        </w:tblPrEx>
        <w:trPr>
          <w:trHeight w:val="405" w:hRule="atLeast"/>
          <w:jc w:val="center"/>
        </w:trPr>
        <w:tc>
          <w:tcPr>
            <w:tcW w:w="9332"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332"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（2021</w:t>
            </w:r>
            <w:r>
              <w:rPr>
                <w:kern w:val="0"/>
                <w:sz w:val="24"/>
              </w:rPr>
              <w:t xml:space="preserve">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0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8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44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84"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268"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47" w:hRule="atLeast"/>
          <w:jc w:val="center"/>
        </w:trPr>
        <w:tc>
          <w:tcPr>
            <w:tcW w:w="35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77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白蚁防治工作政府采购经费</w:t>
            </w:r>
          </w:p>
        </w:tc>
      </w:tr>
      <w:tr>
        <w:tblPrEx>
          <w:tblCellMar>
            <w:top w:w="0" w:type="dxa"/>
            <w:left w:w="108" w:type="dxa"/>
            <w:bottom w:w="0" w:type="dxa"/>
            <w:right w:w="108" w:type="dxa"/>
          </w:tblCellMar>
        </w:tblPrEx>
        <w:trPr>
          <w:trHeight w:val="411" w:hRule="atLeast"/>
          <w:jc w:val="center"/>
        </w:trPr>
        <w:tc>
          <w:tcPr>
            <w:tcW w:w="35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77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417"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4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预算数：</w:t>
            </w:r>
          </w:p>
        </w:tc>
        <w:tc>
          <w:tcPr>
            <w:tcW w:w="15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执行数：</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r>
      <w:tr>
        <w:tblPrEx>
          <w:tblCellMar>
            <w:top w:w="0" w:type="dxa"/>
            <w:left w:w="108" w:type="dxa"/>
            <w:bottom w:w="0" w:type="dxa"/>
            <w:right w:w="108" w:type="dxa"/>
          </w:tblCellMar>
        </w:tblPrEx>
        <w:trPr>
          <w:trHeight w:val="422"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5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c>
          <w:tcPr>
            <w:tcW w:w="1984"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w:t>
            </w:r>
          </w:p>
        </w:tc>
      </w:tr>
      <w:tr>
        <w:tblPrEx>
          <w:tblCellMar>
            <w:top w:w="0" w:type="dxa"/>
            <w:left w:w="108" w:type="dxa"/>
            <w:bottom w:w="0" w:type="dxa"/>
            <w:right w:w="108" w:type="dxa"/>
          </w:tblCellMar>
        </w:tblPrEx>
        <w:trPr>
          <w:trHeight w:val="542"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5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984"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2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0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25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72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0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开展2021年的白蚁防治工程项目</w:t>
            </w:r>
          </w:p>
        </w:tc>
        <w:tc>
          <w:tcPr>
            <w:tcW w:w="425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开展2021年的白蚁防治工程项目</w:t>
            </w:r>
          </w:p>
        </w:tc>
      </w:tr>
      <w:tr>
        <w:tblPrEx>
          <w:tblCellMar>
            <w:top w:w="0" w:type="dxa"/>
            <w:left w:w="108" w:type="dxa"/>
            <w:bottom w:w="0" w:type="dxa"/>
            <w:right w:w="108" w:type="dxa"/>
          </w:tblCellMar>
        </w:tblPrEx>
        <w:trPr>
          <w:trHeight w:val="675"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0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679"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4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白蚁防治、灭治劳务服务（平方米）</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167174.21</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167174.21</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白蚁防治技术标准</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完成时间</w:t>
            </w:r>
            <w:r>
              <w:rPr>
                <w:rFonts w:hint="eastAsia" w:ascii="宋体" w:hAnsi="宋体" w:cs="宋体"/>
                <w:kern w:val="0"/>
                <w:sz w:val="20"/>
                <w:szCs w:val="20"/>
                <w:lang w:eastAsia="zh-CN"/>
              </w:rPr>
              <w:t>（</w:t>
            </w:r>
            <w:r>
              <w:rPr>
                <w:rFonts w:hint="eastAsia" w:ascii="宋体" w:hAnsi="宋体" w:cs="宋体"/>
                <w:kern w:val="0"/>
                <w:sz w:val="20"/>
                <w:szCs w:val="20"/>
              </w:rPr>
              <w:t>年度）</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人工（元）</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100000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99880.91</w:t>
            </w:r>
          </w:p>
        </w:tc>
      </w:tr>
      <w:tr>
        <w:tblPrEx>
          <w:tblCellMar>
            <w:top w:w="0" w:type="dxa"/>
            <w:left w:w="108" w:type="dxa"/>
            <w:bottom w:w="0" w:type="dxa"/>
            <w:right w:w="108" w:type="dxa"/>
          </w:tblCellMar>
        </w:tblPrEx>
        <w:trPr>
          <w:trHeight w:val="72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4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完成白蚁防治的工程项目（个）</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w:t>
            </w:r>
          </w:p>
        </w:tc>
      </w:tr>
      <w:tr>
        <w:tblPrEx>
          <w:tblCellMar>
            <w:top w:w="0" w:type="dxa"/>
            <w:left w:w="108" w:type="dxa"/>
            <w:bottom w:w="0" w:type="dxa"/>
            <w:right w:w="108" w:type="dxa"/>
          </w:tblCellMar>
        </w:tblPrEx>
        <w:trPr>
          <w:trHeight w:val="679"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更好</w:t>
            </w:r>
            <w:r>
              <w:rPr>
                <w:rFonts w:hint="eastAsia" w:ascii="宋体" w:hAnsi="宋体" w:cs="宋体"/>
                <w:kern w:val="0"/>
                <w:sz w:val="20"/>
                <w:szCs w:val="20"/>
                <w:lang w:eastAsia="zh-CN"/>
              </w:rPr>
              <w:t>地</w:t>
            </w:r>
            <w:r>
              <w:rPr>
                <w:rFonts w:hint="eastAsia" w:ascii="宋体" w:hAnsi="宋体" w:cs="宋体"/>
                <w:kern w:val="0"/>
                <w:sz w:val="20"/>
                <w:szCs w:val="20"/>
              </w:rPr>
              <w:t>服务建设单位</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得到服务对象的认可</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得到服务对象的认可</w:t>
            </w:r>
          </w:p>
        </w:tc>
      </w:tr>
      <w:tr>
        <w:tblPrEx>
          <w:tblCellMar>
            <w:top w:w="0" w:type="dxa"/>
            <w:left w:w="108" w:type="dxa"/>
            <w:bottom w:w="0" w:type="dxa"/>
            <w:right w:w="108" w:type="dxa"/>
          </w:tblCellMar>
        </w:tblPrEx>
        <w:trPr>
          <w:trHeight w:val="75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减少白蚁对房屋的危害</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75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服务对象（建设单位）评议</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ind w:firstLine="2200" w:firstLineChars="500"/>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 xml:space="preserve">   （2021年度房屋建筑白蚁防治药物资金项目）</w:t>
      </w:r>
    </w:p>
    <w:p>
      <w:pPr>
        <w:spacing w:line="580" w:lineRule="exact"/>
        <w:ind w:firstLine="640"/>
        <w:jc w:val="center"/>
        <w:rPr>
          <w:rFonts w:hint="eastAsia" w:ascii="宋体" w:hAnsi="??"/>
          <w:sz w:val="32"/>
          <w:szCs w:val="32"/>
        </w:rPr>
      </w:pPr>
    </w:p>
    <w:p>
      <w:pPr>
        <w:adjustRightInd w:val="0"/>
        <w:snapToGrid w:val="0"/>
        <w:spacing w:line="54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40" w:lineRule="exact"/>
        <w:ind w:firstLine="720"/>
        <w:rPr>
          <w:rFonts w:ascii="楷体_GB2312" w:hAnsi="宋体" w:eastAsia="楷体_GB2312"/>
          <w:b/>
          <w:sz w:val="32"/>
          <w:szCs w:val="32"/>
          <w:lang w:val="zh-CN"/>
        </w:rPr>
      </w:pPr>
      <w:r>
        <w:rPr>
          <w:rFonts w:hint="eastAsia" w:ascii="仿宋" w:hAnsi="仿宋" w:eastAsia="仿宋"/>
          <w:sz w:val="32"/>
          <w:szCs w:val="32"/>
        </w:rPr>
        <w:t xml:space="preserve"> 1. 2014年4月我市被省住建厅认定为白蚁防治重点区域。根据《四川省城市房屋白蚁防治办法》（第196号令）和原四川省建设厅《关于贯彻实施 四川省城市房屋白蚁防治办法 的通知》（川建发〔2006〕19号）精神，由我市住建局负责行政区域内城市房屋白蚁防治的监督管理工作。</w:t>
      </w:r>
    </w:p>
    <w:p>
      <w:pPr>
        <w:adjustRightInd w:val="0"/>
        <w:snapToGrid w:val="0"/>
        <w:spacing w:line="540" w:lineRule="exact"/>
        <w:rPr>
          <w:rFonts w:ascii="仿宋" w:hAnsi="仿宋" w:eastAsia="仿宋"/>
          <w:sz w:val="32"/>
          <w:szCs w:val="32"/>
        </w:rPr>
      </w:pPr>
      <w:r>
        <w:rPr>
          <w:rFonts w:hint="eastAsia" w:ascii="仿宋" w:hAnsi="仿宋" w:eastAsia="仿宋"/>
          <w:sz w:val="32"/>
          <w:szCs w:val="32"/>
        </w:rPr>
        <w:t xml:space="preserve">      2. 按照《财政部 国家发展改革委关于清理规范一批行政事业性收费有关政策的通知》（财税〔2017〕20号）要求，为减轻企业和个人负担，促进实体经济发展，取消白蚁防治行政事业性收费，由同级财政预算予以保障。</w:t>
      </w:r>
    </w:p>
    <w:p>
      <w:pPr>
        <w:adjustRightInd w:val="0"/>
        <w:snapToGrid w:val="0"/>
        <w:spacing w:line="540" w:lineRule="exact"/>
        <w:ind w:firstLine="960" w:firstLineChars="300"/>
        <w:rPr>
          <w:rFonts w:ascii="仿宋" w:hAnsi="仿宋" w:eastAsia="仿宋"/>
          <w:sz w:val="32"/>
          <w:szCs w:val="32"/>
        </w:rPr>
      </w:pPr>
      <w:r>
        <w:rPr>
          <w:rFonts w:hint="eastAsia" w:ascii="仿宋" w:hAnsi="仿宋" w:eastAsia="仿宋"/>
          <w:sz w:val="32"/>
          <w:szCs w:val="32"/>
        </w:rPr>
        <w:t>3. 资金由市财政预算安排，我局负责资金管理和使用。</w:t>
      </w:r>
    </w:p>
    <w:p>
      <w:pPr>
        <w:adjustRightInd w:val="0"/>
        <w:snapToGrid w:val="0"/>
        <w:spacing w:line="540" w:lineRule="exact"/>
        <w:ind w:firstLine="629"/>
        <w:rPr>
          <w:rFonts w:ascii="仿宋" w:hAnsi="仿宋" w:eastAsia="仿宋"/>
          <w:sz w:val="32"/>
          <w:szCs w:val="32"/>
        </w:rPr>
      </w:pPr>
      <w:r>
        <w:rPr>
          <w:rFonts w:hint="eastAsia" w:ascii="仿宋" w:hAnsi="仿宋" w:eastAsia="仿宋"/>
          <w:sz w:val="32"/>
          <w:szCs w:val="32"/>
        </w:rPr>
        <w:t xml:space="preserve">  4. 该白蚁防治药物资金项目通过政府采购的方式进行。</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40" w:lineRule="exact"/>
        <w:ind w:firstLine="800" w:firstLineChars="250"/>
        <w:rPr>
          <w:rFonts w:ascii="仿宋" w:hAnsi="仿宋" w:eastAsia="仿宋"/>
          <w:sz w:val="32"/>
          <w:szCs w:val="32"/>
        </w:rPr>
      </w:pPr>
      <w:r>
        <w:rPr>
          <w:rFonts w:hint="eastAsia" w:ascii="仿宋" w:hAnsi="仿宋" w:eastAsia="仿宋"/>
          <w:sz w:val="32"/>
          <w:szCs w:val="32"/>
        </w:rPr>
        <w:t>1. 对</w:t>
      </w:r>
      <w:r>
        <w:rPr>
          <w:rFonts w:hint="eastAsia" w:ascii="仿宋" w:hAnsi="仿宋" w:eastAsia="仿宋"/>
          <w:sz w:val="32"/>
          <w:szCs w:val="32"/>
          <w:lang w:eastAsia="zh-CN"/>
        </w:rPr>
        <w:t>我市</w:t>
      </w:r>
      <w:r>
        <w:rPr>
          <w:rFonts w:hint="eastAsia" w:ascii="仿宋" w:hAnsi="仿宋" w:eastAsia="仿宋"/>
          <w:sz w:val="32"/>
          <w:szCs w:val="32"/>
        </w:rPr>
        <w:t>行政区域内新建、改建、扩建城市房屋和进行3层楼以下（含3楼）的工程装饰装修，开展白蚁防治工作。有效控制白蚁危害房屋建筑，减少经济损失，保障人民群众生命财产安全。</w:t>
      </w:r>
    </w:p>
    <w:p>
      <w:pPr>
        <w:adjustRightInd w:val="0"/>
        <w:snapToGrid w:val="0"/>
        <w:spacing w:line="540" w:lineRule="exact"/>
        <w:ind w:firstLine="1040" w:firstLineChars="325"/>
        <w:rPr>
          <w:rFonts w:ascii="仿宋" w:hAnsi="仿宋" w:eastAsia="仿宋"/>
          <w:sz w:val="32"/>
          <w:szCs w:val="32"/>
        </w:rPr>
      </w:pPr>
      <w:r>
        <w:rPr>
          <w:rFonts w:hint="eastAsia"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color w:val="FF0000"/>
          <w:sz w:val="32"/>
          <w:szCs w:val="32"/>
        </w:rPr>
        <w:t xml:space="preserve"> </w:t>
      </w:r>
      <w:r>
        <w:rPr>
          <w:rFonts w:hint="eastAsia" w:ascii="仿宋" w:hAnsi="仿宋" w:eastAsia="仿宋"/>
          <w:sz w:val="32"/>
          <w:szCs w:val="32"/>
        </w:rPr>
        <w:t>资金申报用于采购白蚁防治药物，该药物用于2021年期间已签订了白蚁防治协议的项目。</w:t>
      </w:r>
    </w:p>
    <w:p>
      <w:pPr>
        <w:adjustRightInd w:val="0"/>
        <w:snapToGrid w:val="0"/>
        <w:spacing w:line="540" w:lineRule="exact"/>
        <w:ind w:firstLine="1040" w:firstLineChars="325"/>
        <w:rPr>
          <w:rFonts w:ascii="仿宋_GB2312" w:hAnsi="宋体" w:eastAsia="仿宋_GB2312"/>
          <w:sz w:val="32"/>
          <w:szCs w:val="32"/>
        </w:rPr>
      </w:pPr>
      <w:r>
        <w:rPr>
          <w:rFonts w:hint="eastAsia" w:ascii="仿宋" w:hAnsi="仿宋" w:eastAsia="仿宋"/>
          <w:color w:val="000000"/>
          <w:sz w:val="32"/>
          <w:szCs w:val="32"/>
        </w:rPr>
        <w:t>3</w:t>
      </w:r>
      <w:r>
        <w:rPr>
          <w:rFonts w:hint="eastAsia" w:ascii="仿宋" w:hAnsi="仿宋" w:eastAsia="仿宋"/>
          <w:color w:val="000000"/>
          <w:sz w:val="32"/>
          <w:szCs w:val="32"/>
          <w:lang w:val="zh-CN"/>
        </w:rPr>
        <w:t>.</w:t>
      </w:r>
      <w:r>
        <w:rPr>
          <w:rFonts w:hint="eastAsia" w:ascii="仿宋" w:hAnsi="仿宋" w:eastAsia="仿宋"/>
          <w:color w:val="000000"/>
          <w:sz w:val="32"/>
          <w:szCs w:val="32"/>
        </w:rPr>
        <w:t xml:space="preserve"> 申报目标合理可行</w:t>
      </w:r>
      <w:r>
        <w:rPr>
          <w:rFonts w:hint="eastAsia" w:ascii="仿宋" w:hAnsi="仿宋" w:eastAsia="仿宋"/>
          <w:color w:val="000000"/>
          <w:sz w:val="32"/>
          <w:szCs w:val="32"/>
          <w:lang w:val="zh-CN"/>
        </w:rPr>
        <w:t>。</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40" w:lineRule="exact"/>
        <w:ind w:firstLine="720"/>
        <w:rPr>
          <w:rFonts w:ascii="仿宋" w:hAnsi="仿宋" w:eastAsia="仿宋"/>
          <w:color w:val="000000"/>
          <w:sz w:val="32"/>
          <w:szCs w:val="32"/>
          <w:lang w:val="zh-CN"/>
        </w:rPr>
      </w:pPr>
      <w:r>
        <w:rPr>
          <w:rFonts w:hint="eastAsia" w:ascii="仿宋" w:hAnsi="仿宋" w:eastAsia="仿宋"/>
          <w:color w:val="000000"/>
          <w:sz w:val="32"/>
          <w:szCs w:val="32"/>
          <w:lang w:val="zh-CN"/>
        </w:rPr>
        <w:t>由我局开展财政资金使用情况自评并撰写部门预算支出绩效报告，按规范格式按时提交自评报告。</w:t>
      </w:r>
    </w:p>
    <w:p>
      <w:pPr>
        <w:adjustRightInd w:val="0"/>
        <w:snapToGrid w:val="0"/>
        <w:spacing w:line="54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40" w:lineRule="exact"/>
        <w:ind w:firstLine="720" w:firstLineChars="225"/>
        <w:rPr>
          <w:rFonts w:ascii="仿宋_GB2312" w:hAnsi="宋体" w:eastAsia="仿宋"/>
          <w:color w:val="FF0000"/>
          <w:sz w:val="32"/>
          <w:szCs w:val="32"/>
        </w:rPr>
      </w:pPr>
      <w:r>
        <w:rPr>
          <w:rFonts w:hint="eastAsia" w:ascii="仿宋" w:hAnsi="仿宋" w:eastAsia="仿宋"/>
          <w:sz w:val="32"/>
          <w:szCs w:val="32"/>
          <w:lang w:val="zh-CN"/>
        </w:rPr>
        <w:t>经我局向市政府请示同意后，由市财政在20</w:t>
      </w:r>
      <w:r>
        <w:rPr>
          <w:rFonts w:hint="eastAsia" w:ascii="仿宋" w:hAnsi="仿宋" w:eastAsia="仿宋"/>
          <w:sz w:val="32"/>
          <w:szCs w:val="32"/>
        </w:rPr>
        <w:t>21</w:t>
      </w:r>
      <w:r>
        <w:rPr>
          <w:rFonts w:hint="eastAsia" w:ascii="仿宋" w:hAnsi="仿宋" w:eastAsia="仿宋"/>
          <w:sz w:val="32"/>
          <w:szCs w:val="32"/>
          <w:lang w:val="zh-CN"/>
        </w:rPr>
        <w:t>年预备费中列支</w:t>
      </w:r>
      <w:r>
        <w:rPr>
          <w:rFonts w:hint="eastAsia" w:ascii="仿宋" w:hAnsi="仿宋" w:eastAsia="仿宋"/>
          <w:sz w:val="32"/>
          <w:szCs w:val="32"/>
        </w:rPr>
        <w:t>30</w:t>
      </w:r>
      <w:r>
        <w:rPr>
          <w:rFonts w:hint="eastAsia" w:ascii="仿宋" w:hAnsi="仿宋" w:eastAsia="仿宋"/>
          <w:sz w:val="32"/>
          <w:szCs w:val="32"/>
          <w:lang w:val="zh-CN"/>
        </w:rPr>
        <w:t>万元用于采购白蚁防治药物，该项工作按政府采购程序实施。</w:t>
      </w:r>
    </w:p>
    <w:p>
      <w:pPr>
        <w:adjustRightInd w:val="0"/>
        <w:snapToGrid w:val="0"/>
        <w:spacing w:line="54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40" w:lineRule="exact"/>
        <w:ind w:firstLine="800" w:firstLineChars="250"/>
        <w:rPr>
          <w:rFonts w:ascii="仿宋" w:hAnsi="仿宋" w:eastAsia="仿宋"/>
          <w:sz w:val="32"/>
          <w:szCs w:val="32"/>
        </w:rPr>
      </w:pPr>
      <w:r>
        <w:rPr>
          <w:rFonts w:hint="eastAsia" w:ascii="仿宋" w:hAnsi="仿宋" w:eastAsia="仿宋"/>
          <w:sz w:val="32"/>
          <w:szCs w:val="32"/>
        </w:rPr>
        <w:t>2021年白蚁防治药物预算资金30万元，通过政府采购招标后，中标价为22.8万元，其中已支付供应商21.66万元，剩余1.14万元作为质保金，一年后支付。支付依据合规合法。</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40" w:lineRule="exact"/>
        <w:ind w:firstLine="720"/>
        <w:rPr>
          <w:rFonts w:ascii="仿宋" w:hAnsi="仿宋" w:eastAsia="仿宋"/>
          <w:color w:val="000000"/>
          <w:sz w:val="32"/>
          <w:szCs w:val="32"/>
          <w:lang w:val="zh-CN"/>
        </w:rPr>
      </w:pPr>
      <w:r>
        <w:rPr>
          <w:rFonts w:hint="eastAsia" w:ascii="仿宋" w:hAnsi="仿宋" w:eastAsia="仿宋"/>
          <w:color w:val="000000"/>
          <w:sz w:val="32"/>
          <w:szCs w:val="32"/>
          <w:lang w:val="zh-CN"/>
        </w:rPr>
        <w:t>该项目实施以来，严格执行财务管理制度，账务处理及时，会计核算规范，项目台账清楚。</w:t>
      </w:r>
    </w:p>
    <w:p>
      <w:pPr>
        <w:adjustRightInd w:val="0"/>
        <w:snapToGrid w:val="0"/>
        <w:spacing w:line="54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40" w:lineRule="exact"/>
        <w:ind w:firstLine="640" w:firstLineChars="200"/>
        <w:rPr>
          <w:rFonts w:ascii="楷体_GB2312" w:hAnsi="宋体" w:eastAsia="楷体_GB2312"/>
          <w:b/>
          <w:sz w:val="32"/>
          <w:szCs w:val="32"/>
          <w:lang w:val="zh-CN"/>
        </w:rPr>
      </w:pPr>
      <w:r>
        <w:rPr>
          <w:rFonts w:hint="eastAsia" w:ascii="仿宋" w:hAnsi="仿宋" w:eastAsia="仿宋"/>
          <w:sz w:val="32"/>
          <w:szCs w:val="32"/>
          <w:lang w:val="zh-CN"/>
        </w:rPr>
        <w:t>按照</w:t>
      </w:r>
      <w:r>
        <w:rPr>
          <w:rFonts w:hint="eastAsia" w:ascii="仿宋" w:hAnsi="仿宋" w:eastAsia="仿宋"/>
          <w:sz w:val="32"/>
          <w:szCs w:val="32"/>
        </w:rPr>
        <w:t>2021年1月</w:t>
      </w:r>
      <w:r>
        <w:rPr>
          <w:rFonts w:hint="eastAsia" w:ascii="仿宋" w:hAnsi="仿宋" w:eastAsia="仿宋"/>
          <w:sz w:val="32"/>
          <w:szCs w:val="32"/>
          <w:lang w:val="zh-CN"/>
        </w:rPr>
        <w:t>起签订的新建、改建、扩建城市房屋白蚁防治协议，根据建设项目施工进度，符合施药条件时有序推进施药工作。</w:t>
      </w:r>
    </w:p>
    <w:p>
      <w:pPr>
        <w:adjustRightInd w:val="0"/>
        <w:snapToGrid w:val="0"/>
        <w:spacing w:line="540" w:lineRule="exact"/>
        <w:ind w:firstLine="642" w:firstLineChars="200"/>
        <w:rPr>
          <w:rFonts w:ascii="仿宋" w:hAnsi="仿宋" w:eastAsia="仿宋"/>
          <w:color w:val="000000"/>
          <w:sz w:val="32"/>
          <w:szCs w:val="32"/>
          <w:lang w:val="zh-CN"/>
        </w:rPr>
      </w:pPr>
      <w:r>
        <w:rPr>
          <w:rFonts w:hint="eastAsia" w:ascii="楷体_GB2312" w:hAnsi="宋体" w:eastAsia="楷体_GB2312"/>
          <w:b/>
          <w:sz w:val="32"/>
          <w:szCs w:val="32"/>
          <w:lang w:val="zh-CN"/>
        </w:rPr>
        <w:t>（二）项目管理情况。</w:t>
      </w:r>
    </w:p>
    <w:p>
      <w:pPr>
        <w:adjustRightInd w:val="0"/>
        <w:snapToGrid w:val="0"/>
        <w:spacing w:line="54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采购药物由我局进行统一保管和管理，按需供应白蚁防治劳务服务单位，并要求白蚁防治劳务服务单位严格按照合同要求及</w:t>
      </w:r>
      <w:r>
        <w:fldChar w:fldCharType="begin"/>
      </w:r>
      <w:r>
        <w:instrText xml:space="preserve"> HYPERLINK "http://jst.sc.gov.cn/display/show-1007796.html" \t "_blank" </w:instrText>
      </w:r>
      <w:r>
        <w:fldChar w:fldCharType="separate"/>
      </w:r>
      <w:r>
        <w:rPr>
          <w:rFonts w:ascii="仿宋" w:hAnsi="仿宋" w:eastAsia="仿宋"/>
          <w:color w:val="000000"/>
          <w:sz w:val="32"/>
          <w:szCs w:val="32"/>
          <w:lang w:val="zh-CN"/>
        </w:rPr>
        <w:t>《白蚁防治技术规程》</w:t>
      </w:r>
      <w:r>
        <w:rPr>
          <w:rFonts w:ascii="仿宋" w:hAnsi="仿宋" w:eastAsia="仿宋"/>
          <w:color w:val="000000"/>
          <w:sz w:val="32"/>
          <w:szCs w:val="32"/>
          <w:lang w:val="zh-CN"/>
        </w:rPr>
        <w:fldChar w:fldCharType="end"/>
      </w:r>
      <w:r>
        <w:rPr>
          <w:rFonts w:ascii="仿宋" w:hAnsi="仿宋" w:eastAsia="仿宋"/>
          <w:color w:val="000000"/>
          <w:sz w:val="32"/>
          <w:szCs w:val="32"/>
          <w:lang w:val="zh-CN"/>
        </w:rPr>
        <w:t>进行规范施药</w:t>
      </w:r>
      <w:r>
        <w:rPr>
          <w:rFonts w:hint="eastAsia" w:ascii="仿宋" w:hAnsi="仿宋" w:eastAsia="仿宋"/>
          <w:color w:val="000000"/>
          <w:sz w:val="32"/>
          <w:szCs w:val="32"/>
          <w:lang w:val="zh-CN"/>
        </w:rPr>
        <w:t>。</w:t>
      </w:r>
    </w:p>
    <w:p>
      <w:pPr>
        <w:adjustRightInd w:val="0"/>
        <w:snapToGrid w:val="0"/>
        <w:spacing w:line="5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spacing w:line="540" w:lineRule="exact"/>
        <w:ind w:firstLine="627" w:firstLineChars="196"/>
        <w:outlineLvl w:val="0"/>
        <w:rPr>
          <w:rFonts w:ascii="仿宋_GB2312" w:hAnsi="宋体" w:eastAsia="仿宋"/>
          <w:sz w:val="32"/>
          <w:szCs w:val="32"/>
          <w:lang w:val="zh-CN"/>
        </w:rPr>
      </w:pPr>
      <w:bookmarkStart w:id="68" w:name="_Toc114738633"/>
      <w:r>
        <w:rPr>
          <w:rFonts w:hint="eastAsia" w:ascii="仿宋" w:hAnsi="仿宋" w:eastAsia="仿宋"/>
          <w:color w:val="000000"/>
          <w:sz w:val="32"/>
          <w:szCs w:val="32"/>
        </w:rPr>
        <w:t>派人员对药物组织到位情况进行货物验收清点，对药物的入库和出库进行记录和监督。</w:t>
      </w:r>
      <w:bookmarkEnd w:id="68"/>
    </w:p>
    <w:p>
      <w:pPr>
        <w:adjustRightInd w:val="0"/>
        <w:snapToGrid w:val="0"/>
        <w:spacing w:line="54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40" w:lineRule="exact"/>
        <w:ind w:firstLine="720"/>
        <w:rPr>
          <w:rFonts w:ascii="仿宋" w:hAnsi="仿宋" w:eastAsia="仿宋"/>
          <w:color w:val="000000"/>
          <w:sz w:val="32"/>
          <w:szCs w:val="32"/>
        </w:rPr>
      </w:pPr>
      <w:r>
        <w:rPr>
          <w:rFonts w:hint="eastAsia" w:ascii="仿宋" w:hAnsi="仿宋" w:eastAsia="仿宋"/>
          <w:color w:val="000000"/>
          <w:sz w:val="32"/>
          <w:szCs w:val="32"/>
        </w:rPr>
        <w:t>截至2022年1月，联苯菊酯悬浮剂（5%）5.7吨药物已入库。按照</w:t>
      </w:r>
      <w:r>
        <w:rPr>
          <w:rFonts w:hint="eastAsia" w:ascii="仿宋" w:hAnsi="仿宋" w:eastAsia="仿宋"/>
          <w:color w:val="000000"/>
          <w:sz w:val="32"/>
          <w:szCs w:val="32"/>
          <w:lang w:val="zh-CN"/>
        </w:rPr>
        <w:t>白蚁防治劳务服务单位白蚁防治工作需求，</w:t>
      </w:r>
      <w:r>
        <w:rPr>
          <w:rFonts w:hint="eastAsia" w:ascii="仿宋" w:hAnsi="仿宋" w:eastAsia="仿宋"/>
          <w:color w:val="000000"/>
          <w:sz w:val="32"/>
          <w:szCs w:val="32"/>
        </w:rPr>
        <w:t>2022年3月已将5.7吨药物提供给</w:t>
      </w:r>
      <w:r>
        <w:rPr>
          <w:rFonts w:hint="eastAsia" w:ascii="仿宋" w:hAnsi="仿宋" w:eastAsia="仿宋"/>
          <w:color w:val="000000"/>
          <w:sz w:val="32"/>
          <w:szCs w:val="32"/>
          <w:lang w:val="zh-CN"/>
        </w:rPr>
        <w:t>白蚁防治劳务服务单位进行白蚁防治灭治。</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40" w:lineRule="exact"/>
        <w:ind w:firstLine="720"/>
        <w:rPr>
          <w:rFonts w:ascii="仿宋" w:hAnsi="仿宋" w:eastAsia="仿宋"/>
          <w:color w:val="000000"/>
          <w:sz w:val="32"/>
          <w:szCs w:val="32"/>
          <w:lang w:val="zh-CN"/>
        </w:rPr>
      </w:pPr>
      <w:r>
        <w:rPr>
          <w:rFonts w:ascii="仿宋" w:hAnsi="仿宋" w:eastAsia="仿宋"/>
          <w:color w:val="000000"/>
          <w:sz w:val="32"/>
          <w:szCs w:val="32"/>
          <w:lang w:val="zh-CN"/>
        </w:rPr>
        <w:t>对新建房屋实施白蚁防治处理，降低了白蚁对房屋的危害</w:t>
      </w:r>
      <w:r>
        <w:rPr>
          <w:rFonts w:hint="eastAsia" w:ascii="仿宋" w:hAnsi="仿宋" w:eastAsia="仿宋"/>
          <w:color w:val="000000"/>
          <w:sz w:val="32"/>
          <w:szCs w:val="32"/>
          <w:lang w:val="zh-CN"/>
        </w:rPr>
        <w:t>，保障人民群众经济利益和房屋构筑安全。</w:t>
      </w:r>
    </w:p>
    <w:p>
      <w:pPr>
        <w:adjustRightInd w:val="0"/>
        <w:snapToGrid w:val="0"/>
        <w:spacing w:line="54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40" w:lineRule="exact"/>
        <w:ind w:firstLine="720"/>
        <w:rPr>
          <w:rFonts w:ascii="楷体_GB2312" w:hAnsi="宋体" w:eastAsia="楷体_GB2312"/>
          <w:b/>
          <w:sz w:val="32"/>
          <w:szCs w:val="32"/>
        </w:rPr>
      </w:pPr>
      <w:r>
        <w:rPr>
          <w:rFonts w:hint="eastAsia" w:ascii="楷体_GB2312" w:hAnsi="宋体" w:eastAsia="楷体_GB2312"/>
          <w:b/>
          <w:sz w:val="32"/>
          <w:szCs w:val="32"/>
          <w:lang w:val="zh-CN"/>
        </w:rPr>
        <w:t>（一）评价结论。</w:t>
      </w:r>
      <w:r>
        <w:rPr>
          <w:rFonts w:hint="eastAsia" w:ascii="楷体_GB2312" w:hAnsi="宋体" w:eastAsia="楷体_GB2312"/>
          <w:b/>
          <w:sz w:val="32"/>
          <w:szCs w:val="32"/>
        </w:rPr>
        <w:t xml:space="preserve"> </w:t>
      </w:r>
    </w:p>
    <w:p>
      <w:pPr>
        <w:adjustRightInd w:val="0"/>
        <w:snapToGrid w:val="0"/>
        <w:spacing w:line="540" w:lineRule="exact"/>
        <w:ind w:firstLine="720"/>
        <w:rPr>
          <w:rFonts w:ascii="仿宋" w:hAnsi="仿宋" w:eastAsia="仿宋"/>
          <w:color w:val="000000"/>
          <w:sz w:val="32"/>
          <w:szCs w:val="32"/>
          <w:lang w:val="zh-CN"/>
        </w:rPr>
      </w:pPr>
      <w:r>
        <w:rPr>
          <w:rFonts w:hint="eastAsia" w:ascii="仿宋" w:hAnsi="仿宋" w:eastAsia="仿宋"/>
          <w:color w:val="000000"/>
          <w:sz w:val="32"/>
          <w:szCs w:val="32"/>
          <w:lang w:val="zh-CN"/>
        </w:rPr>
        <w:t>为加强我市房屋的白蚁防治工作，我局紧密关注建设项目施工进度，要求建设单位在符合施药条件时立即施药劳务单位进行白蚁防治施药，保障白蚁防治工作快速高效顺利进行。按照目前工作推进，将大大降低我市白蚁对房屋的危害，</w:t>
      </w:r>
      <w:r>
        <w:rPr>
          <w:rFonts w:ascii="仿宋" w:hAnsi="仿宋" w:eastAsia="仿宋"/>
          <w:color w:val="000000"/>
          <w:sz w:val="32"/>
          <w:szCs w:val="32"/>
          <w:lang w:val="zh-CN"/>
        </w:rPr>
        <w:t>实现“防治并举、服务民生”的工作目标。</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tbl>
      <w:tblPr>
        <w:tblStyle w:val="13"/>
        <w:tblW w:w="9175" w:type="dxa"/>
        <w:jc w:val="center"/>
        <w:tblLayout w:type="autofit"/>
        <w:tblCellMar>
          <w:top w:w="0" w:type="dxa"/>
          <w:left w:w="108" w:type="dxa"/>
          <w:bottom w:w="0" w:type="dxa"/>
          <w:right w:w="108" w:type="dxa"/>
        </w:tblCellMar>
      </w:tblPr>
      <w:tblGrid>
        <w:gridCol w:w="1080"/>
        <w:gridCol w:w="860"/>
        <w:gridCol w:w="1134"/>
        <w:gridCol w:w="1786"/>
        <w:gridCol w:w="488"/>
        <w:gridCol w:w="1842"/>
        <w:gridCol w:w="1985"/>
      </w:tblGrid>
      <w:tr>
        <w:tblPrEx>
          <w:tblCellMar>
            <w:top w:w="0" w:type="dxa"/>
            <w:left w:w="108" w:type="dxa"/>
            <w:bottom w:w="0" w:type="dxa"/>
            <w:right w:w="108" w:type="dxa"/>
          </w:tblCellMar>
        </w:tblPrEx>
        <w:trPr>
          <w:trHeight w:val="405" w:hRule="atLeast"/>
          <w:jc w:val="center"/>
        </w:trPr>
        <w:tc>
          <w:tcPr>
            <w:tcW w:w="9175"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175"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（2021年度）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786"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488"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842"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85"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82" w:hRule="atLeast"/>
          <w:jc w:val="center"/>
        </w:trPr>
        <w:tc>
          <w:tcPr>
            <w:tcW w:w="30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101"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2021年度房屋建筑白蚁防治药物资金</w:t>
            </w:r>
          </w:p>
        </w:tc>
      </w:tr>
      <w:tr>
        <w:tblPrEx>
          <w:tblCellMar>
            <w:top w:w="0" w:type="dxa"/>
            <w:left w:w="108" w:type="dxa"/>
            <w:bottom w:w="0" w:type="dxa"/>
            <w:right w:w="108" w:type="dxa"/>
          </w:tblCellMar>
        </w:tblPrEx>
        <w:trPr>
          <w:trHeight w:val="582" w:hRule="atLeast"/>
          <w:jc w:val="center"/>
        </w:trPr>
        <w:tc>
          <w:tcPr>
            <w:tcW w:w="30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101"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582"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19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预算数：</w:t>
            </w:r>
          </w:p>
        </w:tc>
        <w:tc>
          <w:tcPr>
            <w:tcW w:w="227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执行数：</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22.8</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9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27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w:t>
            </w:r>
          </w:p>
        </w:tc>
        <w:tc>
          <w:tcPr>
            <w:tcW w:w="1842"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22.8</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9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27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842"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85"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636"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268"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82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96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268"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开展2021年下半年的白蚁防治工程项目</w:t>
            </w:r>
          </w:p>
        </w:tc>
        <w:tc>
          <w:tcPr>
            <w:tcW w:w="382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开展2021年下半年的白蚁防治工程项目</w:t>
            </w:r>
          </w:p>
        </w:tc>
      </w:tr>
      <w:tr>
        <w:tblPrEx>
          <w:tblCellMar>
            <w:top w:w="0" w:type="dxa"/>
            <w:left w:w="108" w:type="dxa"/>
            <w:bottom w:w="0" w:type="dxa"/>
            <w:right w:w="108" w:type="dxa"/>
          </w:tblCellMar>
        </w:tblPrEx>
        <w:trPr>
          <w:trHeight w:val="919"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8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2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919"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134"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2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白蚁防治药品（5%联苯聚酯悬浮剂）</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5.5吨</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5.7吨</w:t>
            </w:r>
          </w:p>
        </w:tc>
      </w:tr>
      <w:tr>
        <w:tblPrEx>
          <w:tblCellMar>
            <w:top w:w="0" w:type="dxa"/>
            <w:left w:w="108" w:type="dxa"/>
            <w:bottom w:w="0" w:type="dxa"/>
            <w:right w:w="108" w:type="dxa"/>
          </w:tblCellMar>
        </w:tblPrEx>
        <w:trPr>
          <w:trHeight w:val="66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3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2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白蚁防治技术标准</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69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3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2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r>
              <w:rPr>
                <w:rFonts w:hint="eastAsia" w:ascii="宋体" w:hAnsi="宋体" w:cs="宋体"/>
                <w:kern w:val="0"/>
                <w:sz w:val="20"/>
                <w:szCs w:val="20"/>
                <w:lang w:eastAsia="zh-CN"/>
              </w:rPr>
              <w:t>（</w:t>
            </w:r>
            <w:r>
              <w:rPr>
                <w:rFonts w:hint="eastAsia" w:ascii="宋体" w:hAnsi="宋体" w:cs="宋体"/>
                <w:kern w:val="0"/>
                <w:sz w:val="20"/>
                <w:szCs w:val="20"/>
              </w:rPr>
              <w:t>年度）</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2022</w:t>
            </w:r>
          </w:p>
        </w:tc>
      </w:tr>
      <w:tr>
        <w:tblPrEx>
          <w:tblCellMar>
            <w:top w:w="0" w:type="dxa"/>
            <w:left w:w="108" w:type="dxa"/>
            <w:bottom w:w="0" w:type="dxa"/>
            <w:right w:w="108" w:type="dxa"/>
          </w:tblCellMar>
        </w:tblPrEx>
        <w:trPr>
          <w:trHeight w:val="75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3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2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追加白蚁防治药品费</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≦30万元</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22.8万元</w:t>
            </w:r>
          </w:p>
        </w:tc>
      </w:tr>
      <w:tr>
        <w:tblPrEx>
          <w:tblCellMar>
            <w:top w:w="0" w:type="dxa"/>
            <w:left w:w="108" w:type="dxa"/>
            <w:bottom w:w="0" w:type="dxa"/>
            <w:right w:w="108" w:type="dxa"/>
          </w:tblCellMar>
        </w:tblPrEx>
        <w:trPr>
          <w:trHeight w:val="75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13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2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对新建房屋建筑进行白蚁防治，确保房屋安全</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减少白蚁对建筑的损坏</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减少白蚁对建筑的损坏</w:t>
            </w:r>
          </w:p>
        </w:tc>
      </w:tr>
      <w:tr>
        <w:tblPrEx>
          <w:tblCellMar>
            <w:top w:w="0" w:type="dxa"/>
            <w:left w:w="108" w:type="dxa"/>
            <w:bottom w:w="0" w:type="dxa"/>
            <w:right w:w="108" w:type="dxa"/>
          </w:tblCellMar>
        </w:tblPrEx>
        <w:trPr>
          <w:trHeight w:val="70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3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2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更好</w:t>
            </w:r>
            <w:r>
              <w:rPr>
                <w:rFonts w:hint="eastAsia" w:ascii="宋体" w:hAnsi="宋体" w:cs="宋体"/>
                <w:kern w:val="0"/>
                <w:sz w:val="20"/>
                <w:szCs w:val="20"/>
                <w:lang w:eastAsia="zh-CN"/>
              </w:rPr>
              <w:t>地</w:t>
            </w:r>
            <w:r>
              <w:rPr>
                <w:rFonts w:hint="eastAsia" w:ascii="宋体" w:hAnsi="宋体" w:cs="宋体"/>
                <w:kern w:val="0"/>
                <w:sz w:val="20"/>
                <w:szCs w:val="20"/>
              </w:rPr>
              <w:t>服务建设单位</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得到服务对象的认可</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得到服务对象的认可</w:t>
            </w:r>
          </w:p>
        </w:tc>
      </w:tr>
      <w:tr>
        <w:tblPrEx>
          <w:tblCellMar>
            <w:top w:w="0" w:type="dxa"/>
            <w:left w:w="108" w:type="dxa"/>
            <w:bottom w:w="0" w:type="dxa"/>
            <w:right w:w="108" w:type="dxa"/>
          </w:tblCellMar>
        </w:tblPrEx>
        <w:trPr>
          <w:trHeight w:val="72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27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服务对象（建设单位）评议</w:t>
            </w:r>
          </w:p>
        </w:tc>
        <w:tc>
          <w:tcPr>
            <w:tcW w:w="184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98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方正小标宋_GBK" w:hAnsi="宋体" w:eastAsia="方正小标宋_GBK"/>
          <w:color w:val="000000"/>
          <w:kern w:val="0"/>
          <w:sz w:val="44"/>
          <w:szCs w:val="44"/>
        </w:rPr>
      </w:pPr>
      <w:r>
        <w:rPr>
          <w:rFonts w:hint="eastAsia" w:ascii="方正小标宋_GBK" w:hAnsi="宋体" w:eastAsia="方正小标宋_GBK"/>
          <w:color w:val="000000"/>
          <w:kern w:val="0"/>
          <w:sz w:val="44"/>
          <w:szCs w:val="44"/>
        </w:rPr>
        <w:t>项目支出绩效自评报告</w:t>
      </w:r>
    </w:p>
    <w:p>
      <w:pPr>
        <w:spacing w:line="58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（绵竹市新宇房地产开发有限公司土地退还款</w:t>
      </w:r>
    </w:p>
    <w:p>
      <w:pPr>
        <w:spacing w:line="580" w:lineRule="exact"/>
        <w:ind w:firstLine="645"/>
        <w:jc w:val="center"/>
        <w:rPr>
          <w:rFonts w:ascii="仿宋_GB2312" w:hAnsi="宋体" w:eastAsia="仿宋_GB2312"/>
          <w:sz w:val="32"/>
          <w:szCs w:val="32"/>
          <w:lang w:val="zh-CN"/>
        </w:rPr>
      </w:pPr>
      <w:r>
        <w:rPr>
          <w:rFonts w:hint="eastAsia" w:ascii="仿宋_GB2312" w:hAnsi="宋体" w:eastAsia="仿宋_GB2312"/>
          <w:sz w:val="32"/>
          <w:szCs w:val="32"/>
          <w:lang w:val="zh-CN"/>
        </w:rPr>
        <w:t>-</w:t>
      </w:r>
      <w:r>
        <w:rPr>
          <w:rFonts w:ascii="仿宋_GB2312" w:hAnsi="宋体" w:eastAsia="仿宋_GB2312"/>
          <w:sz w:val="32"/>
          <w:szCs w:val="32"/>
          <w:lang w:val="zh-CN"/>
        </w:rPr>
        <w:t>-</w:t>
      </w:r>
      <w:r>
        <w:rPr>
          <w:rFonts w:hint="eastAsia" w:ascii="仿宋_GB2312" w:hAnsi="宋体" w:eastAsia="仿宋_GB2312"/>
          <w:sz w:val="32"/>
          <w:szCs w:val="32"/>
          <w:lang w:val="zh-CN"/>
        </w:rPr>
        <w:t>土地使用权转让）</w:t>
      </w:r>
    </w:p>
    <w:p>
      <w:pPr>
        <w:spacing w:line="580" w:lineRule="exact"/>
        <w:ind w:firstLine="640"/>
        <w:jc w:val="center"/>
        <w:rPr>
          <w:rFonts w:hint="eastAsia" w:ascii="宋体" w:hAnsi="??"/>
          <w:sz w:val="32"/>
          <w:szCs w:val="32"/>
        </w:rPr>
      </w:pPr>
    </w:p>
    <w:p>
      <w:pPr>
        <w:adjustRightInd w:val="0"/>
        <w:snapToGrid w:val="0"/>
        <w:spacing w:line="580" w:lineRule="exact"/>
        <w:ind w:firstLine="720"/>
        <w:rPr>
          <w:rFonts w:ascii="方正小标宋简体" w:hAnsi="宋体" w:eastAsia="方正小标宋简体"/>
          <w:sz w:val="32"/>
          <w:szCs w:val="32"/>
          <w:lang w:val="zh-CN"/>
        </w:rPr>
      </w:pPr>
      <w:r>
        <w:rPr>
          <w:rFonts w:hint="eastAsia" w:ascii="微软雅黑" w:hAnsi="微软雅黑" w:eastAsia="微软雅黑" w:cs="微软雅黑"/>
          <w:sz w:val="32"/>
          <w:szCs w:val="32"/>
        </w:rPr>
        <w:t>一</w:t>
      </w:r>
      <w:r>
        <w:rPr>
          <w:rFonts w:hint="eastAsia" w:ascii="Malgun Gothic Semilight" w:hAnsi="Malgun Gothic Semilight" w:eastAsia="Malgun Gothic Semilight" w:cs="Malgun Gothic Semilight"/>
          <w:sz w:val="32"/>
          <w:szCs w:val="32"/>
        </w:rPr>
        <w:t>、</w:t>
      </w:r>
      <w:r>
        <w:rPr>
          <w:rFonts w:hint="eastAsia" w:ascii="微软雅黑" w:hAnsi="微软雅黑" w:eastAsia="微软雅黑" w:cs="微软雅黑"/>
          <w:sz w:val="32"/>
          <w:szCs w:val="32"/>
          <w:lang w:val="zh-CN"/>
        </w:rPr>
        <w:t>项目概况</w:t>
      </w:r>
    </w:p>
    <w:p>
      <w:pPr>
        <w:adjustRightInd w:val="0"/>
        <w:snapToGrid w:val="0"/>
        <w:spacing w:line="580" w:lineRule="exact"/>
        <w:ind w:firstLine="720"/>
        <w:rPr>
          <w:rFonts w:ascii="方正小标宋简体" w:hAnsi="宋体" w:eastAsia="方正小标宋简体"/>
          <w:b/>
          <w:sz w:val="32"/>
          <w:szCs w:val="32"/>
          <w:lang w:val="zh-CN"/>
        </w:rPr>
      </w:pPr>
      <w:r>
        <w:rPr>
          <w:rFonts w:hint="eastAsia" w:ascii="方正小标宋简体" w:hAnsi="宋体" w:eastAsia="方正小标宋简体"/>
          <w:b/>
          <w:sz w:val="32"/>
          <w:szCs w:val="32"/>
          <w:lang w:val="zh-CN"/>
        </w:rPr>
        <w:t>（</w:t>
      </w:r>
      <w:r>
        <w:rPr>
          <w:rFonts w:hint="eastAsia" w:ascii="微软雅黑" w:hAnsi="微软雅黑" w:eastAsia="微软雅黑" w:cs="微软雅黑"/>
          <w:b/>
          <w:sz w:val="32"/>
          <w:szCs w:val="32"/>
          <w:lang w:val="zh-CN"/>
        </w:rPr>
        <w:t>一</w:t>
      </w:r>
      <w:r>
        <w:rPr>
          <w:rFonts w:hint="eastAsia" w:ascii="Malgun Gothic Semilight" w:hAnsi="Malgun Gothic Semilight" w:eastAsia="Malgun Gothic Semilight" w:cs="Malgun Gothic Semilight"/>
          <w:b/>
          <w:sz w:val="32"/>
          <w:szCs w:val="32"/>
          <w:lang w:val="zh-CN"/>
        </w:rPr>
        <w:t>）</w:t>
      </w:r>
      <w:r>
        <w:rPr>
          <w:rFonts w:hint="eastAsia" w:ascii="微软雅黑" w:hAnsi="微软雅黑" w:eastAsia="微软雅黑" w:cs="微软雅黑"/>
          <w:b/>
          <w:sz w:val="32"/>
          <w:szCs w:val="32"/>
          <w:lang w:val="zh-CN"/>
        </w:rPr>
        <w:t>项目基本情况</w:t>
      </w:r>
      <w:r>
        <w:rPr>
          <w:rFonts w:hint="eastAsia" w:ascii="Malgun Gothic Semilight" w:hAnsi="Malgun Gothic Semilight" w:eastAsia="Malgun Gothic Semilight" w:cs="Malgun Gothic Semilight"/>
          <w:b/>
          <w:sz w:val="32"/>
          <w:szCs w:val="32"/>
          <w:lang w:val="zh-CN"/>
        </w:rPr>
        <w:t>。</w:t>
      </w:r>
    </w:p>
    <w:p>
      <w:pPr>
        <w:spacing w:line="580" w:lineRule="exact"/>
        <w:ind w:firstLine="640" w:firstLineChars="200"/>
        <w:jc w:val="left"/>
        <w:rPr>
          <w:rFonts w:ascii="仿宋_GB2312" w:hAnsi="宋体" w:eastAsia="仿宋_GB2312"/>
          <w:sz w:val="32"/>
          <w:szCs w:val="32"/>
          <w:lang w:val="zh-CN"/>
        </w:rPr>
      </w:pPr>
      <w:r>
        <w:rPr>
          <w:rFonts w:hint="eastAsia" w:ascii="仿宋_GB2312" w:hAnsi="宋体" w:eastAsia="仿宋_GB2312"/>
          <w:sz w:val="32"/>
          <w:szCs w:val="32"/>
          <w:lang w:val="zh-CN"/>
        </w:rPr>
        <w:t>经请示市政府《关于退还绵竹市新宇房产开发有限公司土地预付款资金的请示》（竹建〔2019〕288号），按照协议支付土地预付款及利息金额为81.5975万元，资金来源为本级财政预算。</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清理拖欠民营企业各项款项，维护企业合法权益。</w:t>
      </w:r>
    </w:p>
    <w:p>
      <w:pPr>
        <w:adjustRightInd w:val="0"/>
        <w:snapToGrid w:val="0"/>
        <w:spacing w:line="58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（三）项目资金申报相符性。</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项目申报内容与具体实施内容相符、申报目标合理可行。</w:t>
      </w:r>
    </w:p>
    <w:p>
      <w:pPr>
        <w:adjustRightInd w:val="0"/>
        <w:snapToGrid w:val="0"/>
        <w:spacing w:line="580" w:lineRule="exact"/>
        <w:ind w:firstLine="720"/>
        <w:rPr>
          <w:rFonts w:ascii="方正小标宋简体" w:hAnsi="宋体" w:eastAsia="方正小标宋简体"/>
          <w:sz w:val="32"/>
          <w:szCs w:val="32"/>
        </w:rPr>
      </w:pPr>
      <w:r>
        <w:rPr>
          <w:rFonts w:hint="eastAsia" w:ascii="微软雅黑" w:hAnsi="微软雅黑" w:eastAsia="微软雅黑" w:cs="微软雅黑"/>
          <w:sz w:val="32"/>
          <w:szCs w:val="32"/>
        </w:rPr>
        <w:t>二</w:t>
      </w:r>
      <w:r>
        <w:rPr>
          <w:rFonts w:hint="eastAsia" w:ascii="Malgun Gothic Semilight" w:hAnsi="Malgun Gothic Semilight" w:eastAsia="Malgun Gothic Semilight" w:cs="Malgun Gothic Semilight"/>
          <w:sz w:val="32"/>
          <w:szCs w:val="32"/>
        </w:rPr>
        <w:t>、</w:t>
      </w:r>
      <w:r>
        <w:rPr>
          <w:rFonts w:hint="eastAsia" w:ascii="微软雅黑" w:hAnsi="微软雅黑" w:eastAsia="微软雅黑" w:cs="微软雅黑"/>
          <w:sz w:val="32"/>
          <w:szCs w:val="32"/>
        </w:rPr>
        <w:t>项目资金申报及使用情况</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根据《关于退还绵竹市新宇房产开发有限公司土地预付款资金的请示》（竹建〔2019〕288号）、《解除土地使用转让协议书》，申请项目资金。</w:t>
      </w:r>
    </w:p>
    <w:p>
      <w:pPr>
        <w:adjustRightInd w:val="0"/>
        <w:snapToGrid w:val="0"/>
        <w:spacing w:line="58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2021年5月20日支付81.5975万元，支付依据合规合法，与预算相符。</w:t>
      </w:r>
    </w:p>
    <w:p>
      <w:pPr>
        <w:adjustRightInd w:val="0"/>
        <w:snapToGrid w:val="0"/>
        <w:spacing w:line="58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8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由我局开展财政资金使用情况自评并撰写部门预算支出绩效报告，按规范格式按时提交自评报告。</w:t>
      </w:r>
    </w:p>
    <w:p>
      <w:pPr>
        <w:adjustRightInd w:val="0"/>
        <w:snapToGrid w:val="0"/>
        <w:spacing w:line="580" w:lineRule="exact"/>
        <w:ind w:firstLine="720"/>
        <w:rPr>
          <w:rFonts w:ascii="方正小标宋简体" w:hAnsi="宋体" w:eastAsia="方正小标宋简体"/>
          <w:b/>
          <w:sz w:val="32"/>
          <w:szCs w:val="32"/>
        </w:rPr>
      </w:pPr>
      <w:r>
        <w:rPr>
          <w:rFonts w:hint="eastAsia" w:ascii="微软雅黑" w:hAnsi="微软雅黑" w:eastAsia="微软雅黑" w:cs="微软雅黑"/>
          <w:b/>
          <w:sz w:val="32"/>
          <w:szCs w:val="32"/>
        </w:rPr>
        <w:t>二</w:t>
      </w:r>
      <w:r>
        <w:rPr>
          <w:rFonts w:hint="eastAsia" w:ascii="Malgun Gothic Semilight" w:hAnsi="Malgun Gothic Semilight" w:eastAsia="Malgun Gothic Semilight" w:cs="Malgun Gothic Semilight"/>
          <w:b/>
          <w:sz w:val="32"/>
          <w:szCs w:val="32"/>
        </w:rPr>
        <w:t>、</w:t>
      </w:r>
      <w:r>
        <w:rPr>
          <w:rFonts w:hint="eastAsia" w:ascii="微软雅黑" w:hAnsi="微软雅黑" w:eastAsia="微软雅黑" w:cs="微软雅黑"/>
          <w:b/>
          <w:sz w:val="32"/>
          <w:szCs w:val="32"/>
        </w:rPr>
        <w:t>项目资金申报及使用情况</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2021年土地开发支出费用补贴资金81.5975万元。</w:t>
      </w:r>
    </w:p>
    <w:p>
      <w:pPr>
        <w:adjustRightInd w:val="0"/>
        <w:snapToGrid w:val="0"/>
        <w:spacing w:line="58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2021年支付绵竹市新宇房地产开发有限公司土地退还款81.5975万元，支付依据合规合法。</w:t>
      </w:r>
    </w:p>
    <w:p>
      <w:pPr>
        <w:adjustRightInd w:val="0"/>
        <w:snapToGrid w:val="0"/>
        <w:spacing w:line="58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该项目严格按照财务管理制度执行，财务处理及时，会计核算规范。</w:t>
      </w:r>
    </w:p>
    <w:p>
      <w:pPr>
        <w:adjustRightInd w:val="0"/>
        <w:snapToGrid w:val="0"/>
        <w:spacing w:line="580" w:lineRule="exact"/>
        <w:ind w:firstLine="720"/>
        <w:rPr>
          <w:rFonts w:ascii="方正小标宋简体" w:hAnsi="宋体" w:eastAsia="方正小标宋简体"/>
          <w:b/>
          <w:sz w:val="32"/>
          <w:szCs w:val="32"/>
        </w:rPr>
      </w:pPr>
      <w:r>
        <w:rPr>
          <w:rFonts w:hint="eastAsia" w:ascii="微软雅黑" w:hAnsi="微软雅黑" w:eastAsia="微软雅黑" w:cs="微软雅黑"/>
          <w:b/>
          <w:sz w:val="32"/>
          <w:szCs w:val="32"/>
        </w:rPr>
        <w:t>三</w:t>
      </w:r>
      <w:r>
        <w:rPr>
          <w:rFonts w:hint="eastAsia" w:ascii="Malgun Gothic Semilight" w:hAnsi="Malgun Gothic Semilight" w:eastAsia="Malgun Gothic Semilight" w:cs="Malgun Gothic Semilight"/>
          <w:b/>
          <w:sz w:val="32"/>
          <w:szCs w:val="32"/>
        </w:rPr>
        <w:t>、</w:t>
      </w:r>
      <w:r>
        <w:rPr>
          <w:rFonts w:hint="eastAsia" w:ascii="微软雅黑" w:hAnsi="微软雅黑" w:eastAsia="微软雅黑" w:cs="微软雅黑"/>
          <w:b/>
          <w:sz w:val="32"/>
          <w:szCs w:val="32"/>
        </w:rPr>
        <w:t>项目实施及管理情况</w:t>
      </w:r>
    </w:p>
    <w:p>
      <w:pPr>
        <w:numPr>
          <w:ilvl w:val="0"/>
          <w:numId w:val="23"/>
        </w:numPr>
        <w:adjustRightInd w:val="0"/>
        <w:snapToGrid w:val="0"/>
        <w:spacing w:line="580" w:lineRule="exact"/>
        <w:rPr>
          <w:rFonts w:ascii="楷体_GB2312" w:hAnsi="宋体" w:eastAsia="楷体_GB2312"/>
          <w:b/>
          <w:sz w:val="32"/>
          <w:szCs w:val="32"/>
          <w:lang w:val="zh-CN"/>
        </w:rPr>
      </w:pPr>
      <w:r>
        <w:rPr>
          <w:rFonts w:hint="eastAsia" w:ascii="宋体" w:hAnsi="宋体" w:cs="宋体"/>
          <w:b/>
          <w:sz w:val="32"/>
          <w:szCs w:val="32"/>
          <w:lang w:val="zh-CN"/>
        </w:rPr>
        <w:t>项目组织架构及实施流程。</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1.申请财政土地退还款的材料，一律由住建局房管股统一受理并提出初步意见。</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 市房管股将相关材料和初审意见统一报市住建局审核；审核通过后，由市住建局直接将补助资金拨付到指定账户。</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绵竹市新宇房地产开发有限公司土地退还款（土地使用权转让），按照协议支付土地预付款及利息金额为81.5975万元。</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绵竹市新宇房地产开发有限公司对所有材料的真实性负责，如新宇房产通过隐瞒、欺骗等方式骗取资金的，应退回资金，并追究相应责任，构成犯罪的，依法追究其刑事责任；加强项目资金监管，申请项目资金需填报资金拨付审批表，实行股室经办人审查、股室负责人审核、财务部门审核、项目分管领导审核、财务分管领导审核和局长审批等监管程序，实现项目资金规范及时发放。</w:t>
      </w:r>
    </w:p>
    <w:p>
      <w:pPr>
        <w:adjustRightInd w:val="0"/>
        <w:snapToGrid w:val="0"/>
        <w:spacing w:line="580" w:lineRule="exact"/>
        <w:ind w:firstLine="720"/>
        <w:rPr>
          <w:rFonts w:ascii="方正小标宋简体" w:hAnsi="宋体" w:eastAsia="方正小标宋简体"/>
          <w:b/>
          <w:sz w:val="32"/>
          <w:szCs w:val="32"/>
          <w:lang w:val="zh-CN"/>
        </w:rPr>
      </w:pPr>
      <w:r>
        <w:rPr>
          <w:rFonts w:hint="eastAsia" w:ascii="微软雅黑" w:hAnsi="微软雅黑" w:eastAsia="微软雅黑" w:cs="微软雅黑"/>
          <w:b/>
          <w:sz w:val="32"/>
          <w:szCs w:val="32"/>
        </w:rPr>
        <w:t>四</w:t>
      </w:r>
      <w:r>
        <w:rPr>
          <w:rFonts w:hint="eastAsia" w:ascii="Malgun Gothic Semilight" w:hAnsi="Malgun Gothic Semilight" w:eastAsia="Malgun Gothic Semilight" w:cs="Malgun Gothic Semilight"/>
          <w:b/>
          <w:sz w:val="32"/>
          <w:szCs w:val="32"/>
        </w:rPr>
        <w:t>、</w:t>
      </w:r>
      <w:r>
        <w:rPr>
          <w:rFonts w:hint="eastAsia" w:ascii="微软雅黑" w:hAnsi="微软雅黑" w:eastAsia="微软雅黑" w:cs="微软雅黑"/>
          <w:b/>
          <w:sz w:val="32"/>
          <w:szCs w:val="32"/>
        </w:rPr>
        <w:t>项目绩效情况</w:t>
      </w:r>
      <w:r>
        <w:rPr>
          <w:rFonts w:hint="eastAsia" w:ascii="方正小标宋简体" w:hAnsi="宋体" w:eastAsia="方正小标宋简体"/>
          <w:b/>
          <w:sz w:val="32"/>
          <w:szCs w:val="32"/>
          <w:lang w:val="zh-CN"/>
        </w:rPr>
        <w:tab/>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2021年5月20日完成支付81.5975万元，完成支付100%。</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解决历史遗留问题，维护了企业利益，促进企业健康发展。</w:t>
      </w:r>
    </w:p>
    <w:p>
      <w:pPr>
        <w:adjustRightInd w:val="0"/>
        <w:snapToGrid w:val="0"/>
        <w:spacing w:line="580" w:lineRule="exact"/>
        <w:ind w:firstLine="720"/>
        <w:rPr>
          <w:rFonts w:ascii="方正小标宋简体" w:hAnsi="宋体" w:eastAsia="方正小标宋简体"/>
          <w:b/>
          <w:sz w:val="32"/>
          <w:szCs w:val="32"/>
        </w:rPr>
      </w:pPr>
      <w:r>
        <w:rPr>
          <w:rFonts w:hint="eastAsia" w:ascii="微软雅黑" w:hAnsi="微软雅黑" w:eastAsia="微软雅黑" w:cs="微软雅黑"/>
          <w:b/>
          <w:sz w:val="32"/>
          <w:szCs w:val="32"/>
        </w:rPr>
        <w:t>五</w:t>
      </w:r>
      <w:r>
        <w:rPr>
          <w:rFonts w:hint="eastAsia" w:ascii="Malgun Gothic Semilight" w:hAnsi="Malgun Gothic Semilight" w:eastAsia="Malgun Gothic Semilight" w:cs="Malgun Gothic Semilight"/>
          <w:b/>
          <w:sz w:val="32"/>
          <w:szCs w:val="32"/>
        </w:rPr>
        <w:t>、</w:t>
      </w:r>
      <w:r>
        <w:rPr>
          <w:rFonts w:hint="eastAsia" w:ascii="微软雅黑" w:hAnsi="微软雅黑" w:eastAsia="微软雅黑" w:cs="微软雅黑"/>
          <w:b/>
          <w:sz w:val="32"/>
          <w:szCs w:val="32"/>
        </w:rPr>
        <w:t>评价结论及建议</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80" w:lineRule="exact"/>
        <w:ind w:firstLine="720"/>
        <w:rPr>
          <w:rFonts w:ascii="仿宋_GB2312" w:hAnsi="方正黑体简体" w:eastAsia="仿宋_GB2312" w:cs="方正黑体简体"/>
          <w:sz w:val="32"/>
          <w:szCs w:val="32"/>
        </w:rPr>
      </w:pPr>
      <w:r>
        <w:rPr>
          <w:rFonts w:hint="eastAsia" w:ascii="仿宋_GB2312" w:hAnsi="方正黑体简体" w:eastAsia="仿宋_GB2312" w:cs="方正黑体简体"/>
          <w:sz w:val="32"/>
          <w:szCs w:val="32"/>
        </w:rPr>
        <w:t>解决社会遗留问题，规范企业管理，企业满意度100%。</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ascii="仿宋_GB2312" w:hAnsi="宋体" w:eastAsia="仿宋_GB2312"/>
          <w:sz w:val="32"/>
          <w:szCs w:val="32"/>
          <w:lang w:val="zh-CN"/>
        </w:rPr>
        <w:tab/>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8920" w:type="dxa"/>
        <w:jc w:val="center"/>
        <w:tblLayout w:type="autofit"/>
        <w:tblCellMar>
          <w:top w:w="0" w:type="dxa"/>
          <w:left w:w="108" w:type="dxa"/>
          <w:bottom w:w="0" w:type="dxa"/>
          <w:right w:w="108" w:type="dxa"/>
        </w:tblCellMar>
      </w:tblPr>
      <w:tblGrid>
        <w:gridCol w:w="1080"/>
        <w:gridCol w:w="1140"/>
        <w:gridCol w:w="1380"/>
        <w:gridCol w:w="1080"/>
        <w:gridCol w:w="580"/>
        <w:gridCol w:w="1740"/>
        <w:gridCol w:w="1920"/>
      </w:tblGrid>
      <w:tr>
        <w:tblPrEx>
          <w:tblCellMar>
            <w:top w:w="0" w:type="dxa"/>
            <w:left w:w="108" w:type="dxa"/>
            <w:bottom w:w="0" w:type="dxa"/>
            <w:right w:w="108" w:type="dxa"/>
          </w:tblCellMar>
        </w:tblPrEx>
        <w:trPr>
          <w:trHeight w:val="405" w:hRule="atLeast"/>
          <w:jc w:val="center"/>
        </w:trPr>
        <w:tc>
          <w:tcPr>
            <w:tcW w:w="892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892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5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74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2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40" w:hRule="atLeast"/>
          <w:jc w:val="center"/>
        </w:trPr>
        <w:tc>
          <w:tcPr>
            <w:tcW w:w="36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3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绵竹市新宇房地产开发有限公司土地退还款             （土地使用权转让）</w:t>
            </w:r>
          </w:p>
        </w:tc>
      </w:tr>
      <w:tr>
        <w:tblPrEx>
          <w:tblCellMar>
            <w:top w:w="0" w:type="dxa"/>
            <w:left w:w="108" w:type="dxa"/>
            <w:bottom w:w="0" w:type="dxa"/>
            <w:right w:w="108" w:type="dxa"/>
          </w:tblCellMar>
        </w:tblPrEx>
        <w:trPr>
          <w:trHeight w:val="540" w:hRule="atLeast"/>
          <w:jc w:val="center"/>
        </w:trPr>
        <w:tc>
          <w:tcPr>
            <w:tcW w:w="36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32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r>
              <w:rPr>
                <w:rFonts w:ascii="宋体" w:hAnsi="宋体" w:cs="宋体"/>
                <w:kern w:val="0"/>
                <w:sz w:val="20"/>
                <w:szCs w:val="20"/>
              </w:rPr>
              <w:t>1.6</w:t>
            </w:r>
            <w:r>
              <w:rPr>
                <w:rFonts w:hint="eastAsia" w:ascii="宋体" w:hAnsi="宋体" w:cs="宋体"/>
                <w:kern w:val="0"/>
                <w:sz w:val="20"/>
                <w:szCs w:val="20"/>
              </w:rPr>
              <w:t>　</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w:t>
            </w:r>
            <w:r>
              <w:rPr>
                <w:rFonts w:ascii="宋体" w:hAnsi="宋体" w:cs="宋体"/>
                <w:kern w:val="0"/>
                <w:sz w:val="20"/>
                <w:szCs w:val="20"/>
              </w:rPr>
              <w:t>1.5975</w:t>
            </w:r>
          </w:p>
        </w:tc>
      </w:tr>
      <w:tr>
        <w:tblPrEx>
          <w:tblCellMar>
            <w:top w:w="0" w:type="dxa"/>
            <w:left w:w="108" w:type="dxa"/>
            <w:bottom w:w="0" w:type="dxa"/>
            <w:right w:w="108" w:type="dxa"/>
          </w:tblCellMar>
        </w:tblPrEx>
        <w:trPr>
          <w:trHeight w:val="47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81.6</w:t>
            </w:r>
          </w:p>
        </w:tc>
        <w:tc>
          <w:tcPr>
            <w:tcW w:w="174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81.5975</w:t>
            </w:r>
          </w:p>
        </w:tc>
      </w:tr>
      <w:tr>
        <w:tblPrEx>
          <w:tblCellMar>
            <w:top w:w="0" w:type="dxa"/>
            <w:left w:w="108" w:type="dxa"/>
            <w:bottom w:w="0" w:type="dxa"/>
            <w:right w:w="108" w:type="dxa"/>
          </w:tblCellMar>
        </w:tblPrEx>
        <w:trPr>
          <w:trHeight w:val="464"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74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64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1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738"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1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预计完成目标81.6万元</w:t>
            </w:r>
          </w:p>
        </w:tc>
        <w:tc>
          <w:tcPr>
            <w:tcW w:w="3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实际完成81.5975万元</w:t>
            </w:r>
          </w:p>
        </w:tc>
      </w:tr>
      <w:tr>
        <w:tblPrEx>
          <w:tblCellMar>
            <w:top w:w="0" w:type="dxa"/>
            <w:left w:w="108" w:type="dxa"/>
            <w:bottom w:w="0" w:type="dxa"/>
            <w:right w:w="108" w:type="dxa"/>
          </w:tblCellMar>
        </w:tblPrEx>
        <w:trPr>
          <w:trHeight w:val="72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76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3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支付土地退还款（万元）</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≦81.6</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81.5975</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土地退还款发放率</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完成时间</w:t>
            </w:r>
            <w:r>
              <w:rPr>
                <w:rFonts w:hint="eastAsia" w:ascii="宋体" w:hAnsi="宋体" w:cs="宋体"/>
                <w:kern w:val="0"/>
                <w:sz w:val="20"/>
                <w:szCs w:val="20"/>
                <w:lang w:eastAsia="zh-CN"/>
              </w:rPr>
              <w:t>（</w:t>
            </w:r>
            <w:r>
              <w:rPr>
                <w:rFonts w:hint="eastAsia" w:ascii="宋体" w:hAnsi="宋体" w:cs="宋体"/>
                <w:kern w:val="0"/>
                <w:sz w:val="20"/>
                <w:szCs w:val="20"/>
              </w:rPr>
              <w:t>年度）</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w:t>
            </w:r>
          </w:p>
        </w:tc>
      </w:tr>
      <w:tr>
        <w:tblPrEx>
          <w:tblCellMar>
            <w:top w:w="0" w:type="dxa"/>
            <w:left w:w="108" w:type="dxa"/>
            <w:bottom w:w="0" w:type="dxa"/>
            <w:right w:w="108" w:type="dxa"/>
          </w:tblCellMar>
        </w:tblPrEx>
        <w:trPr>
          <w:trHeight w:val="90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支付土地退还款（万元）</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≦81.6</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81.5975</w:t>
            </w:r>
          </w:p>
        </w:tc>
      </w:tr>
      <w:tr>
        <w:tblPrEx>
          <w:tblCellMar>
            <w:top w:w="0" w:type="dxa"/>
            <w:left w:w="108" w:type="dxa"/>
            <w:bottom w:w="0" w:type="dxa"/>
            <w:right w:w="108" w:type="dxa"/>
          </w:tblCellMar>
        </w:tblPrEx>
        <w:trPr>
          <w:trHeight w:val="96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3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解决社会遗留问题，规范企业管理</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解决社会遗留问题，规范企业管理</w:t>
            </w:r>
          </w:p>
        </w:tc>
        <w:tc>
          <w:tcPr>
            <w:tcW w:w="19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解决社会遗留问题，规范企业管理</w:t>
            </w:r>
          </w:p>
        </w:tc>
      </w:tr>
      <w:tr>
        <w:tblPrEx>
          <w:tblCellMar>
            <w:top w:w="0" w:type="dxa"/>
            <w:left w:w="108" w:type="dxa"/>
            <w:bottom w:w="0" w:type="dxa"/>
            <w:right w:w="108" w:type="dxa"/>
          </w:tblCellMar>
        </w:tblPrEx>
        <w:trPr>
          <w:trHeight w:val="76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企业满意度</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c>
          <w:tcPr>
            <w:tcW w:w="1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方正小标宋_GBK" w:hAnsi="宋体" w:eastAsia="方正小标宋_GBK"/>
          <w:color w:val="000000"/>
          <w:kern w:val="0"/>
          <w:sz w:val="44"/>
          <w:szCs w:val="44"/>
        </w:rPr>
      </w:pPr>
      <w:r>
        <w:rPr>
          <w:rFonts w:hint="eastAsia" w:ascii="方正小标宋_GBK" w:hAnsi="宋体" w:eastAsia="方正小标宋_GBK"/>
          <w:color w:val="000000"/>
          <w:kern w:val="0"/>
          <w:sz w:val="44"/>
          <w:szCs w:val="44"/>
        </w:rPr>
        <w:t>项目支出绩效自评报告</w:t>
      </w:r>
    </w:p>
    <w:p>
      <w:pPr>
        <w:spacing w:line="580" w:lineRule="exact"/>
        <w:jc w:val="center"/>
        <w:rPr>
          <w:rFonts w:ascii="方正小标宋_GBK" w:hAnsi="宋体" w:eastAsia="方正小标宋_GBK"/>
          <w:sz w:val="32"/>
          <w:szCs w:val="32"/>
        </w:rPr>
      </w:pPr>
      <w:r>
        <w:rPr>
          <w:rFonts w:hint="eastAsia" w:ascii="仿宋_GB2312" w:hAnsi="仿宋_GB2312" w:eastAsia="仿宋_GB2312" w:cs="仿宋_GB2312"/>
          <w:bCs/>
          <w:color w:val="000000"/>
          <w:kern w:val="0"/>
          <w:sz w:val="28"/>
          <w:szCs w:val="21"/>
        </w:rPr>
        <w:t>（</w:t>
      </w:r>
      <w:r>
        <w:rPr>
          <w:rFonts w:hint="eastAsia" w:ascii="仿宋_GB2312" w:hAnsi="仿宋_GB2312" w:eastAsia="仿宋_GB2312" w:cs="仿宋_GB2312"/>
          <w:bCs/>
          <w:color w:val="000000"/>
          <w:sz w:val="32"/>
          <w:szCs w:val="32"/>
        </w:rPr>
        <w:t>2021年统计人员补贴　</w:t>
      </w:r>
      <w:r>
        <w:rPr>
          <w:rFonts w:hint="eastAsia" w:ascii="仿宋_GB2312" w:hAnsi="仿宋_GB2312" w:eastAsia="仿宋_GB2312" w:cs="仿宋_GB2312"/>
          <w:bCs/>
          <w:color w:val="000000"/>
          <w:kern w:val="0"/>
          <w:sz w:val="28"/>
          <w:szCs w:val="21"/>
        </w:rPr>
        <w:t>）</w:t>
      </w:r>
    </w:p>
    <w:p>
      <w:pPr>
        <w:spacing w:line="580" w:lineRule="exact"/>
        <w:ind w:firstLine="640"/>
        <w:jc w:val="center"/>
        <w:rPr>
          <w:rFonts w:hint="eastAsia" w:ascii="宋体" w:hAnsi="??"/>
          <w:sz w:val="32"/>
          <w:szCs w:val="32"/>
        </w:rPr>
      </w:pPr>
    </w:p>
    <w:p>
      <w:pPr>
        <w:adjustRightInd w:val="0"/>
        <w:snapToGrid w:val="0"/>
        <w:spacing w:line="540" w:lineRule="exact"/>
        <w:ind w:firstLine="720"/>
        <w:rPr>
          <w:rFonts w:ascii="方正小标宋简体" w:hAnsi="宋体" w:eastAsia="方正小标宋简体"/>
          <w:b/>
          <w:sz w:val="32"/>
          <w:szCs w:val="32"/>
          <w:lang w:val="zh-CN"/>
        </w:rPr>
      </w:pPr>
      <w:r>
        <w:rPr>
          <w:rFonts w:hint="eastAsia" w:ascii="微软雅黑" w:hAnsi="微软雅黑" w:eastAsia="微软雅黑" w:cs="微软雅黑"/>
          <w:b/>
          <w:sz w:val="32"/>
          <w:szCs w:val="32"/>
        </w:rPr>
        <w:t>一</w:t>
      </w:r>
      <w:r>
        <w:rPr>
          <w:rFonts w:hint="eastAsia" w:ascii="Malgun Gothic Semilight" w:hAnsi="Malgun Gothic Semilight" w:eastAsia="Malgun Gothic Semilight" w:cs="Malgun Gothic Semilight"/>
          <w:b/>
          <w:sz w:val="32"/>
          <w:szCs w:val="32"/>
        </w:rPr>
        <w:t>、</w:t>
      </w:r>
      <w:r>
        <w:rPr>
          <w:rFonts w:hint="eastAsia" w:ascii="微软雅黑" w:hAnsi="微软雅黑" w:eastAsia="微软雅黑" w:cs="微软雅黑"/>
          <w:b/>
          <w:sz w:val="32"/>
          <w:szCs w:val="32"/>
          <w:lang w:val="zh-CN"/>
        </w:rPr>
        <w:t>项目概况</w:t>
      </w:r>
    </w:p>
    <w:p>
      <w:pPr>
        <w:adjustRightInd w:val="0"/>
        <w:snapToGrid w:val="0"/>
        <w:spacing w:line="540" w:lineRule="exact"/>
        <w:ind w:firstLine="720"/>
        <w:rPr>
          <w:rFonts w:ascii="方正小标宋简体" w:hAnsi="宋体" w:eastAsia="方正小标宋简体"/>
          <w:b/>
          <w:sz w:val="32"/>
          <w:szCs w:val="32"/>
          <w:lang w:val="zh-CN"/>
        </w:rPr>
      </w:pPr>
      <w:r>
        <w:rPr>
          <w:rFonts w:hint="eastAsia" w:ascii="方正小标宋简体" w:hAnsi="宋体" w:eastAsia="方正小标宋简体"/>
          <w:b/>
          <w:sz w:val="32"/>
          <w:szCs w:val="32"/>
          <w:lang w:val="zh-CN"/>
        </w:rPr>
        <w:t>（</w:t>
      </w:r>
      <w:r>
        <w:rPr>
          <w:rFonts w:hint="eastAsia" w:ascii="微软雅黑" w:hAnsi="微软雅黑" w:eastAsia="微软雅黑" w:cs="微软雅黑"/>
          <w:b/>
          <w:sz w:val="32"/>
          <w:szCs w:val="32"/>
          <w:lang w:val="zh-CN"/>
        </w:rPr>
        <w:t>一</w:t>
      </w:r>
      <w:r>
        <w:rPr>
          <w:rFonts w:hint="eastAsia" w:ascii="Malgun Gothic Semilight" w:hAnsi="Malgun Gothic Semilight" w:eastAsia="Malgun Gothic Semilight" w:cs="Malgun Gothic Semilight"/>
          <w:b/>
          <w:sz w:val="32"/>
          <w:szCs w:val="32"/>
          <w:lang w:val="zh-CN"/>
        </w:rPr>
        <w:t>）</w:t>
      </w:r>
      <w:r>
        <w:rPr>
          <w:rFonts w:hint="eastAsia" w:ascii="微软雅黑" w:hAnsi="微软雅黑" w:eastAsia="微软雅黑" w:cs="微软雅黑"/>
          <w:b/>
          <w:sz w:val="32"/>
          <w:szCs w:val="32"/>
          <w:lang w:val="zh-CN"/>
        </w:rPr>
        <w:t>项目基本情况</w:t>
      </w:r>
      <w:r>
        <w:rPr>
          <w:rFonts w:hint="eastAsia" w:ascii="Malgun Gothic Semilight" w:hAnsi="Malgun Gothic Semilight" w:eastAsia="Malgun Gothic Semilight" w:cs="Malgun Gothic Semilight"/>
          <w:b/>
          <w:sz w:val="32"/>
          <w:szCs w:val="32"/>
          <w:lang w:val="zh-CN"/>
        </w:rPr>
        <w:t>。</w:t>
      </w:r>
    </w:p>
    <w:p>
      <w:pPr>
        <w:adjustRightInd w:val="0"/>
        <w:snapToGrid w:val="0"/>
        <w:spacing w:line="540" w:lineRule="exact"/>
        <w:ind w:firstLine="72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随着国家对统计工作的重视，对统计数据报送的要求越来越高，为及时上报相关数据，统计人员需利用休息时间或节假日完成统计数据汇总、相关指标核实、支撑材料收集整理等工作，为调动企业统计人员工作积极性，及时按要求报送数据，特请示加班补助20万元，由住建局统筹安排，按季度发放。</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40" w:lineRule="exact"/>
        <w:ind w:firstLine="72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调动企业统计人员工作积极性，及时按要求报送数据，保证上报数据的真实、有效、可靠性。</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4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由我局开展财政资金使用情况自评并撰写部门预算支出绩效报告，按规范格式按时提交自评报告。</w:t>
      </w:r>
    </w:p>
    <w:p>
      <w:pPr>
        <w:adjustRightInd w:val="0"/>
        <w:snapToGrid w:val="0"/>
        <w:spacing w:line="540" w:lineRule="exact"/>
        <w:ind w:firstLine="720"/>
        <w:rPr>
          <w:rFonts w:ascii="方正小标宋简体" w:hAnsi="宋体" w:eastAsia="方正小标宋简体"/>
          <w:b/>
          <w:sz w:val="32"/>
          <w:szCs w:val="32"/>
        </w:rPr>
      </w:pPr>
      <w:r>
        <w:rPr>
          <w:rFonts w:hint="eastAsia" w:ascii="微软雅黑" w:hAnsi="微软雅黑" w:eastAsia="微软雅黑" w:cs="微软雅黑"/>
          <w:b/>
          <w:sz w:val="32"/>
          <w:szCs w:val="32"/>
        </w:rPr>
        <w:t>二</w:t>
      </w:r>
      <w:r>
        <w:rPr>
          <w:rFonts w:hint="eastAsia" w:ascii="Malgun Gothic Semilight" w:hAnsi="Malgun Gothic Semilight" w:eastAsia="Malgun Gothic Semilight" w:cs="Malgun Gothic Semilight"/>
          <w:b/>
          <w:sz w:val="32"/>
          <w:szCs w:val="32"/>
        </w:rPr>
        <w:t>、</w:t>
      </w:r>
      <w:r>
        <w:rPr>
          <w:rFonts w:hint="eastAsia" w:ascii="微软雅黑" w:hAnsi="微软雅黑" w:eastAsia="微软雅黑" w:cs="微软雅黑"/>
          <w:b/>
          <w:sz w:val="32"/>
          <w:szCs w:val="32"/>
        </w:rPr>
        <w:t>项目资金申报及使用情况</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40" w:lineRule="exact"/>
        <w:ind w:firstLine="720"/>
        <w:rPr>
          <w:rFonts w:ascii="仿宋_GB2312" w:hAnsi="宋体" w:eastAsia="仿宋_GB2312"/>
          <w:sz w:val="32"/>
          <w:szCs w:val="32"/>
        </w:rPr>
      </w:pPr>
      <w:r>
        <w:rPr>
          <w:rFonts w:hint="eastAsia" w:ascii="仿宋_GB2312" w:hAnsi="宋体" w:eastAsia="仿宋_GB2312"/>
          <w:sz w:val="32"/>
          <w:szCs w:val="32"/>
        </w:rPr>
        <w:t>申请2021年企业统计人员加班补助20万元。已批复同意。</w:t>
      </w:r>
    </w:p>
    <w:p>
      <w:pPr>
        <w:adjustRightInd w:val="0"/>
        <w:snapToGrid w:val="0"/>
        <w:spacing w:line="5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40" w:lineRule="exact"/>
        <w:ind w:firstLine="720"/>
        <w:rPr>
          <w:rFonts w:ascii="仿宋_GB2312" w:hAnsi="宋体" w:eastAsia="仿宋_GB2312"/>
          <w:sz w:val="32"/>
          <w:szCs w:val="32"/>
        </w:rPr>
      </w:pPr>
      <w:r>
        <w:rPr>
          <w:rFonts w:hint="eastAsia" w:ascii="仿宋_GB2312" w:hAnsi="宋体" w:eastAsia="仿宋_GB2312"/>
          <w:sz w:val="32"/>
          <w:szCs w:val="32"/>
        </w:rPr>
        <w:t>2021年对全市59位优秀统计人员进行了补助，共计发放补助20万元。</w:t>
      </w:r>
    </w:p>
    <w:p>
      <w:pPr>
        <w:adjustRightInd w:val="0"/>
        <w:snapToGrid w:val="0"/>
        <w:spacing w:line="5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40" w:lineRule="exact"/>
        <w:ind w:firstLine="720"/>
        <w:rPr>
          <w:rFonts w:ascii="仿宋_GB2312" w:hAnsi="宋体" w:eastAsia="仿宋_GB2312"/>
          <w:sz w:val="32"/>
          <w:szCs w:val="32"/>
        </w:rPr>
      </w:pPr>
      <w:r>
        <w:rPr>
          <w:rFonts w:hint="eastAsia" w:ascii="仿宋_GB2312" w:hAnsi="宋体" w:eastAsia="仿宋_GB2312"/>
          <w:sz w:val="32"/>
          <w:szCs w:val="32"/>
        </w:rPr>
        <w:t>该项目严格按照财务管理制度执行，财务处理及时，会计核算规范。</w:t>
      </w:r>
    </w:p>
    <w:p>
      <w:pPr>
        <w:adjustRightInd w:val="0"/>
        <w:snapToGrid w:val="0"/>
        <w:spacing w:line="540" w:lineRule="exact"/>
        <w:ind w:firstLine="720"/>
        <w:rPr>
          <w:rFonts w:ascii="方正小标宋简体" w:hAnsi="宋体" w:eastAsia="方正小标宋简体"/>
          <w:b/>
          <w:sz w:val="32"/>
          <w:szCs w:val="32"/>
        </w:rPr>
      </w:pPr>
      <w:r>
        <w:rPr>
          <w:rFonts w:hint="eastAsia" w:ascii="微软雅黑" w:hAnsi="微软雅黑" w:eastAsia="微软雅黑" w:cs="微软雅黑"/>
          <w:b/>
          <w:sz w:val="32"/>
          <w:szCs w:val="32"/>
        </w:rPr>
        <w:t>三</w:t>
      </w:r>
      <w:r>
        <w:rPr>
          <w:rFonts w:hint="eastAsia" w:ascii="Malgun Gothic Semilight" w:hAnsi="Malgun Gothic Semilight" w:eastAsia="Malgun Gothic Semilight" w:cs="Malgun Gothic Semilight"/>
          <w:b/>
          <w:sz w:val="32"/>
          <w:szCs w:val="32"/>
        </w:rPr>
        <w:t>、</w:t>
      </w:r>
      <w:r>
        <w:rPr>
          <w:rFonts w:hint="eastAsia" w:ascii="微软雅黑" w:hAnsi="微软雅黑" w:eastAsia="微软雅黑" w:cs="微软雅黑"/>
          <w:b/>
          <w:sz w:val="32"/>
          <w:szCs w:val="32"/>
        </w:rPr>
        <w:t>项目实施及管理情况</w:t>
      </w:r>
    </w:p>
    <w:p>
      <w:pPr>
        <w:numPr>
          <w:ilvl w:val="0"/>
          <w:numId w:val="23"/>
        </w:numPr>
        <w:adjustRightInd w:val="0"/>
        <w:snapToGrid w:val="0"/>
        <w:spacing w:line="540" w:lineRule="exact"/>
        <w:rPr>
          <w:rFonts w:ascii="楷体_GB2312" w:hAnsi="宋体" w:eastAsia="楷体_GB2312"/>
          <w:b/>
          <w:sz w:val="32"/>
          <w:szCs w:val="32"/>
          <w:lang w:val="zh-CN"/>
        </w:rPr>
      </w:pPr>
      <w:r>
        <w:rPr>
          <w:rFonts w:hint="eastAsia" w:ascii="宋体" w:hAnsi="宋体" w:cs="宋体"/>
          <w:b/>
          <w:sz w:val="32"/>
          <w:szCs w:val="32"/>
          <w:lang w:val="zh-CN"/>
        </w:rPr>
        <w:t>项目组织架构及实施流程。</w:t>
      </w:r>
    </w:p>
    <w:p>
      <w:pPr>
        <w:adjustRightInd w:val="0"/>
        <w:snapToGrid w:val="0"/>
        <w:spacing w:line="540" w:lineRule="exact"/>
        <w:ind w:firstLine="720"/>
        <w:rPr>
          <w:rFonts w:ascii="仿宋_GB2312" w:hAnsi="宋体" w:eastAsia="仿宋_GB2312"/>
          <w:sz w:val="32"/>
          <w:szCs w:val="32"/>
        </w:rPr>
      </w:pPr>
      <w:r>
        <w:rPr>
          <w:rFonts w:hint="eastAsia" w:ascii="仿宋_GB2312" w:hAnsi="宋体" w:eastAsia="仿宋_GB2312"/>
          <w:sz w:val="32"/>
          <w:szCs w:val="32"/>
        </w:rPr>
        <w:t>1.申请享受财政补助的材料，一律由市</w:t>
      </w:r>
      <w:r>
        <w:rPr>
          <w:rFonts w:hint="eastAsia" w:ascii="仿宋_GB2312" w:hAnsi="宋体" w:eastAsia="仿宋_GB2312"/>
          <w:sz w:val="32"/>
          <w:szCs w:val="32"/>
          <w:lang w:eastAsia="zh-CN"/>
        </w:rPr>
        <w:t>住建局</w:t>
      </w:r>
      <w:r>
        <w:rPr>
          <w:rFonts w:hint="eastAsia" w:ascii="仿宋_GB2312" w:hAnsi="宋体" w:eastAsia="仿宋_GB2312"/>
          <w:sz w:val="32"/>
          <w:szCs w:val="32"/>
        </w:rPr>
        <w:t>房管股</w:t>
      </w:r>
      <w:r>
        <w:rPr>
          <w:rFonts w:hint="eastAsia" w:ascii="仿宋_GB2312" w:hAnsi="宋体" w:eastAsia="仿宋_GB2312"/>
          <w:sz w:val="32"/>
          <w:szCs w:val="32"/>
          <w:lang w:eastAsia="zh-CN"/>
        </w:rPr>
        <w:t>和</w:t>
      </w:r>
      <w:r>
        <w:rPr>
          <w:rFonts w:hint="eastAsia" w:ascii="仿宋_GB2312" w:hAnsi="宋体" w:eastAsia="仿宋_GB2312"/>
          <w:sz w:val="32"/>
          <w:szCs w:val="32"/>
        </w:rPr>
        <w:t>建管股统一受理，按规定提出初步意见。</w:t>
      </w:r>
    </w:p>
    <w:p>
      <w:pPr>
        <w:adjustRightInd w:val="0"/>
        <w:snapToGrid w:val="0"/>
        <w:spacing w:line="540" w:lineRule="exact"/>
        <w:ind w:firstLine="720"/>
        <w:rPr>
          <w:rFonts w:ascii="仿宋_GB2312" w:hAnsi="宋体" w:eastAsia="仿宋_GB2312"/>
          <w:sz w:val="32"/>
          <w:szCs w:val="32"/>
        </w:rPr>
      </w:pPr>
      <w:r>
        <w:rPr>
          <w:rFonts w:hint="eastAsia" w:ascii="仿宋_GB2312" w:hAnsi="宋体" w:eastAsia="仿宋_GB2312"/>
          <w:sz w:val="32"/>
          <w:szCs w:val="32"/>
        </w:rPr>
        <w:t>2.市</w:t>
      </w:r>
      <w:r>
        <w:rPr>
          <w:rFonts w:hint="eastAsia" w:ascii="仿宋_GB2312" w:hAnsi="宋体" w:eastAsia="仿宋_GB2312"/>
          <w:sz w:val="32"/>
          <w:szCs w:val="32"/>
          <w:lang w:eastAsia="zh-CN"/>
        </w:rPr>
        <w:t>住建局</w:t>
      </w:r>
      <w:r>
        <w:rPr>
          <w:rFonts w:hint="eastAsia" w:ascii="仿宋_GB2312" w:hAnsi="宋体" w:eastAsia="仿宋_GB2312"/>
          <w:sz w:val="32"/>
          <w:szCs w:val="32"/>
        </w:rPr>
        <w:t>房管股</w:t>
      </w:r>
      <w:r>
        <w:rPr>
          <w:rFonts w:hint="eastAsia" w:ascii="仿宋_GB2312" w:hAnsi="宋体" w:eastAsia="仿宋_GB2312"/>
          <w:sz w:val="32"/>
          <w:szCs w:val="32"/>
          <w:lang w:eastAsia="zh-CN"/>
        </w:rPr>
        <w:t>和</w:t>
      </w:r>
      <w:r>
        <w:rPr>
          <w:rFonts w:hint="eastAsia" w:ascii="仿宋_GB2312" w:hAnsi="宋体" w:eastAsia="仿宋_GB2312"/>
          <w:sz w:val="32"/>
          <w:szCs w:val="32"/>
        </w:rPr>
        <w:t>建管股将相关材料和初审意见统一</w:t>
      </w:r>
      <w:r>
        <w:rPr>
          <w:rFonts w:hint="eastAsia" w:ascii="仿宋_GB2312" w:hAnsi="宋体" w:eastAsia="仿宋_GB2312"/>
          <w:sz w:val="32"/>
          <w:szCs w:val="32"/>
          <w:lang w:eastAsia="zh-CN"/>
        </w:rPr>
        <w:t>上</w:t>
      </w:r>
      <w:r>
        <w:rPr>
          <w:rFonts w:hint="eastAsia" w:ascii="仿宋_GB2312" w:hAnsi="宋体" w:eastAsia="仿宋_GB2312"/>
          <w:sz w:val="32"/>
          <w:szCs w:val="32"/>
        </w:rPr>
        <w:t>报审核；审核通过后，由市住建局直接将补助资金拨付到指定账户。</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540" w:lineRule="exact"/>
        <w:ind w:firstLine="720"/>
        <w:rPr>
          <w:rFonts w:ascii="楷体_GB2312" w:hAnsi="宋体" w:eastAsia="楷体_GB2312"/>
          <w:b/>
          <w:sz w:val="32"/>
          <w:szCs w:val="32"/>
        </w:rPr>
      </w:pPr>
      <w:r>
        <w:rPr>
          <w:rFonts w:hint="eastAsia" w:ascii="仿宋_GB2312" w:hAnsi="仿宋_GB2312" w:eastAsia="仿宋_GB2312" w:cs="仿宋_GB2312"/>
          <w:bCs/>
          <w:sz w:val="32"/>
          <w:szCs w:val="32"/>
        </w:rPr>
        <w:t>为及时上报相关数据，统计人员需利用休息时间或节假日完成统计数据汇总、相关指标核实、支撑材料收集整理等工作，为调动企业统计人员工作积极性，特补助59位2021年度表现优异的统计人员共计20万元。</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540" w:lineRule="exact"/>
        <w:ind w:firstLine="720"/>
        <w:rPr>
          <w:rFonts w:ascii="仿宋_GB2312" w:hAnsi="宋体" w:eastAsia="仿宋_GB2312"/>
          <w:sz w:val="32"/>
          <w:szCs w:val="32"/>
          <w:lang w:val="zh-CN"/>
        </w:rPr>
      </w:pPr>
      <w:r>
        <w:rPr>
          <w:rFonts w:hint="eastAsia" w:ascii="仿宋_GB2312" w:hAnsi="宋体" w:eastAsia="仿宋_GB2312"/>
          <w:sz w:val="32"/>
          <w:szCs w:val="32"/>
        </w:rPr>
        <w:t>统计人员报送单位</w:t>
      </w:r>
      <w:r>
        <w:rPr>
          <w:rFonts w:hint="eastAsia" w:ascii="仿宋_GB2312" w:hAnsi="宋体" w:eastAsia="仿宋_GB2312"/>
          <w:sz w:val="32"/>
          <w:szCs w:val="32"/>
          <w:lang w:val="zh-CN"/>
        </w:rPr>
        <w:t>对所提供的所有材料的真实性负责，对</w:t>
      </w:r>
      <w:r>
        <w:rPr>
          <w:rFonts w:hint="eastAsia" w:ascii="仿宋_GB2312" w:hAnsi="宋体" w:eastAsia="仿宋_GB2312"/>
          <w:sz w:val="32"/>
          <w:szCs w:val="32"/>
        </w:rPr>
        <w:t>统计人员</w:t>
      </w:r>
      <w:r>
        <w:rPr>
          <w:rFonts w:hint="eastAsia" w:ascii="仿宋_GB2312" w:hAnsi="宋体" w:eastAsia="仿宋_GB2312"/>
          <w:sz w:val="32"/>
          <w:szCs w:val="32"/>
          <w:lang w:val="zh-CN"/>
        </w:rPr>
        <w:t>通过隐瞒、欺骗等方式骗取补贴的，应退回资金，并追究相应责任，构成犯罪的，依法追究其刑事责任；</w:t>
      </w:r>
      <w:r>
        <w:rPr>
          <w:rFonts w:hint="eastAsia" w:ascii="仿宋_GB2312" w:hAnsi="宋体" w:eastAsia="仿宋_GB2312"/>
          <w:sz w:val="32"/>
          <w:szCs w:val="32"/>
        </w:rPr>
        <w:t>统计人员报送单位</w:t>
      </w:r>
      <w:r>
        <w:rPr>
          <w:rFonts w:hint="eastAsia" w:ascii="仿宋_GB2312" w:hAnsi="宋体" w:eastAsia="仿宋_GB2312"/>
          <w:sz w:val="32"/>
          <w:szCs w:val="32"/>
          <w:lang w:val="zh-CN"/>
        </w:rPr>
        <w:t>以任何方式协助</w:t>
      </w:r>
      <w:r>
        <w:rPr>
          <w:rFonts w:hint="eastAsia" w:ascii="仿宋_GB2312" w:hAnsi="宋体" w:eastAsia="仿宋_GB2312"/>
          <w:sz w:val="32"/>
          <w:szCs w:val="32"/>
        </w:rPr>
        <w:t>统计人员</w:t>
      </w:r>
      <w:r>
        <w:rPr>
          <w:rFonts w:hint="eastAsia" w:ascii="仿宋_GB2312" w:hAnsi="宋体" w:eastAsia="仿宋_GB2312"/>
          <w:sz w:val="32"/>
          <w:szCs w:val="32"/>
          <w:lang w:val="zh-CN"/>
        </w:rPr>
        <w:t>骗取补贴的，由</w:t>
      </w:r>
      <w:r>
        <w:rPr>
          <w:rFonts w:hint="eastAsia" w:ascii="仿宋_GB2312" w:hAnsi="宋体" w:eastAsia="仿宋_GB2312"/>
          <w:sz w:val="32"/>
          <w:szCs w:val="32"/>
        </w:rPr>
        <w:t>统计人员所在企业</w:t>
      </w:r>
      <w:r>
        <w:rPr>
          <w:rFonts w:hint="eastAsia" w:ascii="仿宋_GB2312" w:hAnsi="宋体" w:eastAsia="仿宋_GB2312"/>
          <w:sz w:val="32"/>
          <w:szCs w:val="32"/>
          <w:lang w:val="zh-CN"/>
        </w:rPr>
        <w:t>追回资金上交住建局，并将该企业纳入全国信用信息共享平台进行联合惩戒，构成违规、违法、犯罪的，依法追究其相应责任，对有关单位及其工作人员在补贴工作中玩忽职守、滥用职权、徇私舞弊等违法违规行为的，依法追究相应责任。加强项目资金监管，申请项目资金需填报资金拨付审批表，实行股室经办人审查、股室负责人审核、财务部门审核、项目分管领导审核、财务分管领导审核和局长审批等监管程序，实现项目资金规范及时发放。</w:t>
      </w:r>
    </w:p>
    <w:p>
      <w:pPr>
        <w:adjustRightInd w:val="0"/>
        <w:snapToGrid w:val="0"/>
        <w:spacing w:line="540" w:lineRule="exact"/>
        <w:ind w:firstLine="720"/>
        <w:rPr>
          <w:rFonts w:ascii="方正小标宋简体" w:hAnsi="宋体" w:eastAsia="方正小标宋简体"/>
          <w:b/>
          <w:sz w:val="32"/>
          <w:szCs w:val="32"/>
          <w:lang w:val="zh-CN"/>
        </w:rPr>
      </w:pPr>
      <w:r>
        <w:rPr>
          <w:rFonts w:hint="eastAsia" w:ascii="微软雅黑" w:hAnsi="微软雅黑" w:eastAsia="微软雅黑" w:cs="微软雅黑"/>
          <w:b/>
          <w:sz w:val="32"/>
          <w:szCs w:val="32"/>
        </w:rPr>
        <w:t>四</w:t>
      </w:r>
      <w:r>
        <w:rPr>
          <w:rFonts w:hint="eastAsia" w:ascii="Malgun Gothic Semilight" w:hAnsi="Malgun Gothic Semilight" w:eastAsia="Malgun Gothic Semilight" w:cs="Malgun Gothic Semilight"/>
          <w:b/>
          <w:sz w:val="32"/>
          <w:szCs w:val="32"/>
        </w:rPr>
        <w:t>、</w:t>
      </w:r>
      <w:r>
        <w:rPr>
          <w:rFonts w:hint="eastAsia" w:ascii="微软雅黑" w:hAnsi="微软雅黑" w:eastAsia="微软雅黑" w:cs="微软雅黑"/>
          <w:b/>
          <w:sz w:val="32"/>
          <w:szCs w:val="32"/>
        </w:rPr>
        <w:t>项目绩效情况</w:t>
      </w:r>
      <w:r>
        <w:rPr>
          <w:rFonts w:hint="eastAsia" w:ascii="方正小标宋简体" w:hAnsi="宋体" w:eastAsia="方正小标宋简体"/>
          <w:b/>
          <w:sz w:val="32"/>
          <w:szCs w:val="32"/>
          <w:lang w:val="zh-CN"/>
        </w:rPr>
        <w:tab/>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2021年1-12月，完成支付</w:t>
      </w:r>
      <w:r>
        <w:rPr>
          <w:rFonts w:hint="eastAsia" w:ascii="仿宋_GB2312" w:hAnsi="宋体" w:eastAsia="仿宋_GB2312"/>
          <w:sz w:val="32"/>
          <w:szCs w:val="32"/>
        </w:rPr>
        <w:t>20</w:t>
      </w:r>
      <w:r>
        <w:rPr>
          <w:rFonts w:hint="eastAsia" w:ascii="仿宋_GB2312" w:hAnsi="宋体" w:eastAsia="仿宋_GB2312"/>
          <w:sz w:val="32"/>
          <w:szCs w:val="32"/>
          <w:lang w:val="zh-CN"/>
        </w:rPr>
        <w:t>万元，结余资金</w:t>
      </w:r>
      <w:r>
        <w:rPr>
          <w:rFonts w:hint="eastAsia" w:ascii="仿宋_GB2312" w:hAnsi="宋体" w:eastAsia="仿宋_GB2312"/>
          <w:sz w:val="32"/>
          <w:szCs w:val="32"/>
        </w:rPr>
        <w:t>0</w:t>
      </w:r>
      <w:r>
        <w:rPr>
          <w:rFonts w:hint="eastAsia" w:ascii="仿宋_GB2312" w:hAnsi="宋体" w:eastAsia="仿宋_GB2312"/>
          <w:sz w:val="32"/>
          <w:szCs w:val="32"/>
          <w:lang w:val="zh-CN"/>
        </w:rPr>
        <w:t>万元，完成支付</w:t>
      </w:r>
      <w:r>
        <w:rPr>
          <w:rFonts w:hint="eastAsia" w:ascii="仿宋_GB2312" w:hAnsi="宋体" w:eastAsia="仿宋_GB2312"/>
          <w:sz w:val="32"/>
          <w:szCs w:val="32"/>
        </w:rPr>
        <w:t>100</w:t>
      </w:r>
      <w:r>
        <w:rPr>
          <w:rFonts w:hint="eastAsia" w:ascii="仿宋_GB2312" w:hAnsi="宋体" w:eastAsia="仿宋_GB2312"/>
          <w:sz w:val="32"/>
          <w:szCs w:val="32"/>
          <w:lang w:val="zh-CN"/>
        </w:rPr>
        <w:t>%。</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40" w:lineRule="exact"/>
        <w:ind w:firstLine="720"/>
        <w:rPr>
          <w:rFonts w:ascii="仿宋_GB2312" w:hAnsi="宋体" w:eastAsia="仿宋_GB2312"/>
          <w:sz w:val="32"/>
          <w:szCs w:val="32"/>
        </w:rPr>
      </w:pPr>
      <w:r>
        <w:rPr>
          <w:rFonts w:hint="eastAsia" w:ascii="仿宋_GB2312" w:hAnsi="宋体" w:eastAsia="仿宋_GB2312"/>
          <w:sz w:val="32"/>
          <w:szCs w:val="32"/>
          <w:lang w:val="zh-CN"/>
        </w:rPr>
        <w:t>2021年，</w:t>
      </w:r>
      <w:r>
        <w:rPr>
          <w:rFonts w:hint="eastAsia" w:ascii="仿宋_GB2312" w:hAnsi="宋体" w:eastAsia="仿宋_GB2312"/>
          <w:sz w:val="32"/>
          <w:szCs w:val="32"/>
        </w:rPr>
        <w:t>补助统计人员59人共计20万元</w:t>
      </w:r>
      <w:r>
        <w:rPr>
          <w:rFonts w:hint="eastAsia" w:ascii="仿宋_GB2312" w:hAnsi="宋体" w:eastAsia="仿宋_GB2312"/>
          <w:sz w:val="32"/>
          <w:szCs w:val="32"/>
          <w:lang w:val="zh-CN"/>
        </w:rPr>
        <w:t>。因</w:t>
      </w:r>
      <w:r>
        <w:rPr>
          <w:rFonts w:hint="eastAsia" w:ascii="仿宋_GB2312" w:hAnsi="宋体" w:eastAsia="仿宋_GB2312"/>
          <w:sz w:val="32"/>
          <w:szCs w:val="32"/>
        </w:rPr>
        <w:t>统计人员</w:t>
      </w:r>
      <w:r>
        <w:rPr>
          <w:rFonts w:hint="eastAsia" w:ascii="仿宋_GB2312" w:hAnsi="宋体" w:eastAsia="仿宋_GB2312"/>
          <w:sz w:val="32"/>
          <w:szCs w:val="32"/>
          <w:lang w:val="zh-CN"/>
        </w:rPr>
        <w:t>补贴</w:t>
      </w:r>
      <w:r>
        <w:rPr>
          <w:rFonts w:hint="eastAsia" w:ascii="仿宋_GB2312" w:hAnsi="宋体" w:eastAsia="仿宋_GB2312"/>
          <w:sz w:val="32"/>
          <w:szCs w:val="32"/>
        </w:rPr>
        <w:t>发放</w:t>
      </w:r>
      <w:r>
        <w:rPr>
          <w:rFonts w:hint="eastAsia" w:ascii="仿宋_GB2312" w:hAnsi="宋体" w:eastAsia="仿宋_GB2312"/>
          <w:sz w:val="32"/>
          <w:szCs w:val="32"/>
          <w:lang w:val="zh-CN"/>
        </w:rPr>
        <w:t>，</w:t>
      </w:r>
      <w:r>
        <w:rPr>
          <w:rFonts w:hint="eastAsia" w:ascii="仿宋_GB2312" w:hAnsi="宋体" w:eastAsia="仿宋_GB2312"/>
          <w:sz w:val="32"/>
          <w:szCs w:val="32"/>
        </w:rPr>
        <w:t>统计人员</w:t>
      </w:r>
      <w:r>
        <w:rPr>
          <w:rFonts w:hint="eastAsia" w:ascii="仿宋_GB2312" w:hAnsi="宋体" w:eastAsia="仿宋_GB2312"/>
          <w:sz w:val="32"/>
          <w:szCs w:val="32"/>
          <w:lang w:val="zh-CN"/>
        </w:rPr>
        <w:t>满意度100%。</w:t>
      </w:r>
      <w:r>
        <w:rPr>
          <w:rFonts w:hint="eastAsia" w:ascii="仿宋_GB2312" w:hAnsi="仿宋_GB2312" w:eastAsia="仿宋_GB2312" w:cs="仿宋_GB2312"/>
          <w:bCs/>
          <w:sz w:val="32"/>
          <w:szCs w:val="32"/>
        </w:rPr>
        <w:t>调动了企业统计人员工作积极性，为及时上报相关数据做好了保障。</w:t>
      </w:r>
    </w:p>
    <w:p>
      <w:pPr>
        <w:adjustRightInd w:val="0"/>
        <w:snapToGrid w:val="0"/>
        <w:spacing w:line="540" w:lineRule="exact"/>
        <w:ind w:firstLine="720"/>
        <w:rPr>
          <w:rFonts w:ascii="方正小标宋简体" w:hAnsi="宋体" w:eastAsia="方正小标宋简体"/>
          <w:b/>
          <w:sz w:val="32"/>
          <w:szCs w:val="32"/>
        </w:rPr>
      </w:pPr>
      <w:r>
        <w:rPr>
          <w:rFonts w:hint="eastAsia" w:ascii="微软雅黑" w:hAnsi="微软雅黑" w:eastAsia="微软雅黑" w:cs="微软雅黑"/>
          <w:b/>
          <w:sz w:val="32"/>
          <w:szCs w:val="32"/>
        </w:rPr>
        <w:t>五</w:t>
      </w:r>
      <w:r>
        <w:rPr>
          <w:rFonts w:hint="eastAsia" w:ascii="Malgun Gothic Semilight" w:hAnsi="Malgun Gothic Semilight" w:eastAsia="Malgun Gothic Semilight" w:cs="Malgun Gothic Semilight"/>
          <w:b/>
          <w:sz w:val="32"/>
          <w:szCs w:val="32"/>
        </w:rPr>
        <w:t>、</w:t>
      </w:r>
      <w:r>
        <w:rPr>
          <w:rFonts w:hint="eastAsia" w:ascii="微软雅黑" w:hAnsi="微软雅黑" w:eastAsia="微软雅黑" w:cs="微软雅黑"/>
          <w:b/>
          <w:sz w:val="32"/>
          <w:szCs w:val="32"/>
        </w:rPr>
        <w:t>评价结论及建议</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40" w:lineRule="exact"/>
        <w:ind w:firstLine="720"/>
        <w:rPr>
          <w:rFonts w:ascii="仿宋_GB2312" w:hAnsi="仿宋_GB2312" w:eastAsia="仿宋_GB2312" w:cs="仿宋_GB2312"/>
          <w:bCs/>
          <w:sz w:val="32"/>
          <w:szCs w:val="32"/>
        </w:rPr>
      </w:pPr>
      <w:r>
        <w:rPr>
          <w:rFonts w:hint="eastAsia" w:ascii="仿宋_GB2312" w:hAnsi="宋体" w:eastAsia="仿宋_GB2312"/>
          <w:sz w:val="32"/>
          <w:szCs w:val="32"/>
          <w:lang w:val="zh-CN"/>
        </w:rPr>
        <w:t>2021年，</w:t>
      </w:r>
      <w:r>
        <w:rPr>
          <w:rFonts w:hint="eastAsia" w:ascii="仿宋_GB2312" w:hAnsi="宋体" w:eastAsia="仿宋_GB2312"/>
          <w:sz w:val="32"/>
          <w:szCs w:val="32"/>
        </w:rPr>
        <w:t>补助统计人59人共计20万元</w:t>
      </w:r>
      <w:r>
        <w:rPr>
          <w:rFonts w:hint="eastAsia" w:ascii="仿宋_GB2312" w:hAnsi="宋体" w:eastAsia="仿宋_GB2312"/>
          <w:sz w:val="32"/>
          <w:szCs w:val="32"/>
          <w:lang w:val="zh-CN"/>
        </w:rPr>
        <w:t>。</w:t>
      </w:r>
      <w:r>
        <w:rPr>
          <w:rFonts w:hint="eastAsia" w:ascii="仿宋_GB2312" w:hAnsi="宋体" w:eastAsia="仿宋_GB2312"/>
          <w:sz w:val="32"/>
          <w:szCs w:val="32"/>
        </w:rPr>
        <w:t>统计人员补助资金极大程度上</w:t>
      </w:r>
      <w:r>
        <w:rPr>
          <w:rFonts w:hint="eastAsia" w:ascii="仿宋_GB2312" w:hAnsi="仿宋_GB2312" w:eastAsia="仿宋_GB2312" w:cs="仿宋_GB2312"/>
          <w:bCs/>
          <w:sz w:val="32"/>
          <w:szCs w:val="32"/>
        </w:rPr>
        <w:t>调动了企业统计人员工作积极性，统计人员利用休息时间或节假日完成统计数据汇总、相关指标核实、支撑材料收集整理等工作，保证了上报数据的真实、有效、可靠性。</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ascii="仿宋_GB2312" w:hAnsi="宋体" w:eastAsia="仿宋_GB2312"/>
          <w:sz w:val="32"/>
          <w:szCs w:val="32"/>
          <w:lang w:val="zh-CN"/>
        </w:rPr>
        <w:tab/>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736" w:type="dxa"/>
        <w:jc w:val="center"/>
        <w:tblLayout w:type="autofit"/>
        <w:tblCellMar>
          <w:top w:w="0" w:type="dxa"/>
          <w:left w:w="108" w:type="dxa"/>
          <w:bottom w:w="0" w:type="dxa"/>
          <w:right w:w="108" w:type="dxa"/>
        </w:tblCellMar>
      </w:tblPr>
      <w:tblGrid>
        <w:gridCol w:w="980"/>
        <w:gridCol w:w="676"/>
        <w:gridCol w:w="1418"/>
        <w:gridCol w:w="1586"/>
        <w:gridCol w:w="540"/>
        <w:gridCol w:w="2126"/>
        <w:gridCol w:w="2410"/>
      </w:tblGrid>
      <w:tr>
        <w:tblPrEx>
          <w:tblCellMar>
            <w:top w:w="0" w:type="dxa"/>
            <w:left w:w="108" w:type="dxa"/>
            <w:bottom w:w="0" w:type="dxa"/>
            <w:right w:w="108" w:type="dxa"/>
          </w:tblCellMar>
        </w:tblPrEx>
        <w:trPr>
          <w:trHeight w:val="405" w:hRule="atLeast"/>
          <w:jc w:val="center"/>
        </w:trPr>
        <w:tc>
          <w:tcPr>
            <w:tcW w:w="9736"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736"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9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76"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18"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586"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54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126"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41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40" w:hRule="atLeast"/>
          <w:jc w:val="center"/>
        </w:trPr>
        <w:tc>
          <w:tcPr>
            <w:tcW w:w="30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662"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2021年统计人员补贴</w:t>
            </w:r>
          </w:p>
        </w:tc>
      </w:tr>
      <w:tr>
        <w:tblPrEx>
          <w:tblCellMar>
            <w:top w:w="0" w:type="dxa"/>
            <w:left w:w="108" w:type="dxa"/>
            <w:bottom w:w="0" w:type="dxa"/>
            <w:right w:w="108" w:type="dxa"/>
          </w:tblCellMar>
        </w:tblPrEx>
        <w:trPr>
          <w:trHeight w:val="455" w:hRule="atLeast"/>
          <w:jc w:val="center"/>
        </w:trPr>
        <w:tc>
          <w:tcPr>
            <w:tcW w:w="307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662"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55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0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12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41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12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2126"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r>
      <w:tr>
        <w:tblPrEx>
          <w:tblCellMar>
            <w:top w:w="0" w:type="dxa"/>
            <w:left w:w="108" w:type="dxa"/>
            <w:bottom w:w="0" w:type="dxa"/>
            <w:right w:w="108" w:type="dxa"/>
          </w:tblCellMar>
        </w:tblPrEx>
        <w:trPr>
          <w:trHeight w:val="510"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94"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12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126"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10"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2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5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720"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22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预计完成目标20万元</w:t>
            </w:r>
          </w:p>
        </w:tc>
        <w:tc>
          <w:tcPr>
            <w:tcW w:w="45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实际完成20万元</w:t>
            </w:r>
          </w:p>
        </w:tc>
      </w:tr>
      <w:tr>
        <w:tblPrEx>
          <w:tblCellMar>
            <w:top w:w="0" w:type="dxa"/>
            <w:left w:w="108" w:type="dxa"/>
            <w:bottom w:w="0" w:type="dxa"/>
            <w:right w:w="108" w:type="dxa"/>
          </w:tblCellMar>
        </w:tblPrEx>
        <w:trPr>
          <w:trHeight w:val="570" w:hRule="atLeast"/>
          <w:jc w:val="center"/>
        </w:trPr>
        <w:tc>
          <w:tcPr>
            <w:tcW w:w="9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676"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41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1035" w:hRule="atLeast"/>
          <w:jc w:val="center"/>
        </w:trPr>
        <w:tc>
          <w:tcPr>
            <w:tcW w:w="9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7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418"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对建筑业和房地产统计人员加班补助</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≦60人，其中建筑业统计人员43名、房地产企业统计人员17名</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实际发放59人，其中建筑业统计人员40名、房地产企业统计人员19名</w:t>
            </w:r>
          </w:p>
        </w:tc>
      </w:tr>
      <w:tr>
        <w:tblPrEx>
          <w:tblCellMar>
            <w:top w:w="0" w:type="dxa"/>
            <w:left w:w="108" w:type="dxa"/>
            <w:bottom w:w="0" w:type="dxa"/>
            <w:right w:w="108" w:type="dxa"/>
          </w:tblCellMar>
        </w:tblPrEx>
        <w:trPr>
          <w:trHeight w:val="480" w:hRule="atLeast"/>
          <w:jc w:val="center"/>
        </w:trPr>
        <w:tc>
          <w:tcPr>
            <w:tcW w:w="9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8"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加班补助发放准确率</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9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8"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完成时间</w:t>
            </w:r>
            <w:r>
              <w:rPr>
                <w:rFonts w:hint="eastAsia" w:ascii="宋体" w:hAnsi="宋体" w:cs="宋体"/>
                <w:kern w:val="0"/>
                <w:sz w:val="20"/>
                <w:szCs w:val="20"/>
                <w:lang w:eastAsia="zh-CN"/>
              </w:rPr>
              <w:t>（</w:t>
            </w:r>
            <w:r>
              <w:rPr>
                <w:rFonts w:hint="eastAsia" w:ascii="宋体" w:hAnsi="宋体" w:cs="宋体"/>
                <w:kern w:val="0"/>
                <w:sz w:val="20"/>
                <w:szCs w:val="20"/>
              </w:rPr>
              <w:t>年度）</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w:t>
            </w:r>
          </w:p>
        </w:tc>
      </w:tr>
      <w:tr>
        <w:tblPrEx>
          <w:tblCellMar>
            <w:top w:w="0" w:type="dxa"/>
            <w:left w:w="108" w:type="dxa"/>
            <w:bottom w:w="0" w:type="dxa"/>
            <w:right w:w="108" w:type="dxa"/>
          </w:tblCellMar>
        </w:tblPrEx>
        <w:trPr>
          <w:trHeight w:val="900" w:hRule="atLeast"/>
          <w:jc w:val="center"/>
        </w:trPr>
        <w:tc>
          <w:tcPr>
            <w:tcW w:w="9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8"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按照建筑业和房地产业每人每月固定标准加上考核奖励（万元）</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w:t>
            </w:r>
          </w:p>
        </w:tc>
      </w:tr>
      <w:tr>
        <w:tblPrEx>
          <w:tblCellMar>
            <w:top w:w="0" w:type="dxa"/>
            <w:left w:w="108" w:type="dxa"/>
            <w:bottom w:w="0" w:type="dxa"/>
            <w:right w:w="108" w:type="dxa"/>
          </w:tblCellMar>
        </w:tblPrEx>
        <w:trPr>
          <w:trHeight w:val="870" w:hRule="atLeast"/>
          <w:jc w:val="center"/>
        </w:trPr>
        <w:tc>
          <w:tcPr>
            <w:tcW w:w="9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76"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418"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保证上报数据的真实、有效、可靠性</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保证上报数据的真实、有效、可靠性</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保证上报数据的真实、有效、可靠性</w:t>
            </w:r>
          </w:p>
        </w:tc>
      </w:tr>
      <w:tr>
        <w:tblPrEx>
          <w:tblCellMar>
            <w:top w:w="0" w:type="dxa"/>
            <w:left w:w="108" w:type="dxa"/>
            <w:bottom w:w="0" w:type="dxa"/>
            <w:right w:w="108" w:type="dxa"/>
          </w:tblCellMar>
        </w:tblPrEx>
        <w:trPr>
          <w:trHeight w:val="1305" w:hRule="atLeast"/>
          <w:jc w:val="center"/>
        </w:trPr>
        <w:tc>
          <w:tcPr>
            <w:tcW w:w="9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76"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18"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促进企业及时、准确报送统计数据</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调动企业统计人员工作积极性，及时按要求报送数据，为及时上报相关数据做好保障</w:t>
            </w:r>
          </w:p>
        </w:tc>
        <w:tc>
          <w:tcPr>
            <w:tcW w:w="241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调动企业统计人员工作积极性，及时按要求报送数据，为及时上报相关数据做好保障</w:t>
            </w:r>
          </w:p>
        </w:tc>
      </w:tr>
      <w:tr>
        <w:tblPrEx>
          <w:tblCellMar>
            <w:top w:w="0" w:type="dxa"/>
            <w:left w:w="108" w:type="dxa"/>
            <w:bottom w:w="0" w:type="dxa"/>
            <w:right w:w="108" w:type="dxa"/>
          </w:tblCellMar>
        </w:tblPrEx>
        <w:trPr>
          <w:trHeight w:val="720"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7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41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12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统计人员满意度</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c>
          <w:tcPr>
            <w:tcW w:w="241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ind w:firstLine="883"/>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 xml:space="preserve">     （财政票据软件服务费项目）</w:t>
      </w:r>
    </w:p>
    <w:p>
      <w:pPr>
        <w:spacing w:line="580" w:lineRule="exact"/>
        <w:ind w:firstLine="640"/>
        <w:jc w:val="center"/>
        <w:rPr>
          <w:rFonts w:hint="eastAsia" w:ascii="宋体" w:hAnsi="??"/>
          <w:sz w:val="32"/>
          <w:szCs w:val="32"/>
        </w:rPr>
      </w:pPr>
    </w:p>
    <w:p>
      <w:pPr>
        <w:adjustRightInd w:val="0"/>
        <w:snapToGrid w:val="0"/>
        <w:spacing w:line="58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80" w:lineRule="exact"/>
        <w:ind w:firstLine="720"/>
        <w:rPr>
          <w:rFonts w:ascii="仿宋_GB2312" w:hAnsi="宋体" w:eastAsia="仿宋_GB2312"/>
          <w:sz w:val="32"/>
          <w:szCs w:val="32"/>
        </w:rPr>
      </w:pPr>
      <w:r>
        <w:rPr>
          <w:rFonts w:ascii="仿宋_GB2312" w:hAnsi="宋体" w:eastAsia="仿宋_GB2312"/>
          <w:sz w:val="32"/>
          <w:szCs w:val="32"/>
          <w:lang w:val="zh-CN"/>
        </w:rPr>
        <w:t>1</w:t>
      </w:r>
      <w:r>
        <w:rPr>
          <w:rFonts w:hint="eastAsia" w:ascii="仿宋_GB2312" w:hAnsi="宋体" w:eastAsia="仿宋_GB2312"/>
          <w:sz w:val="32"/>
          <w:szCs w:val="32"/>
          <w:lang w:val="zh-CN"/>
        </w:rPr>
        <w:t>．项目实施依据：四川省财政厅根据财政部财综</w:t>
      </w:r>
      <w:r>
        <w:rPr>
          <w:rFonts w:hint="eastAsia" w:ascii="仿宋_GB2312" w:hAnsi="宋体" w:eastAsia="仿宋_GB2312"/>
          <w:sz w:val="32"/>
          <w:szCs w:val="32"/>
          <w:lang w:eastAsia="zh-CN"/>
        </w:rPr>
        <w:t>〔</w:t>
      </w:r>
      <w:r>
        <w:rPr>
          <w:rFonts w:hint="eastAsia" w:ascii="仿宋_GB2312" w:hAnsi="宋体" w:eastAsia="仿宋_GB2312"/>
          <w:sz w:val="32"/>
          <w:szCs w:val="32"/>
        </w:rPr>
        <w:t>2017</w:t>
      </w:r>
      <w:r>
        <w:rPr>
          <w:rFonts w:hint="eastAsia" w:ascii="仿宋_GB2312" w:hAnsi="宋体" w:eastAsia="仿宋_GB2312"/>
          <w:sz w:val="32"/>
          <w:szCs w:val="32"/>
          <w:lang w:eastAsia="zh-CN"/>
        </w:rPr>
        <w:t>〕</w:t>
      </w:r>
      <w:r>
        <w:rPr>
          <w:rFonts w:hint="eastAsia" w:ascii="仿宋_GB2312" w:hAnsi="宋体" w:eastAsia="仿宋_GB2312"/>
          <w:sz w:val="32"/>
          <w:szCs w:val="32"/>
        </w:rPr>
        <w:t>66号文件精神，为进一步推动财政电子票据管理改革，财政电子票据与现有的收费系统深度对接，确保普通大众使用方便。</w:t>
      </w:r>
    </w:p>
    <w:p>
      <w:pPr>
        <w:adjustRightInd w:val="0"/>
        <w:snapToGrid w:val="0"/>
        <w:spacing w:line="580" w:lineRule="exact"/>
        <w:ind w:firstLine="720"/>
        <w:rPr>
          <w:rFonts w:ascii="仿宋_GB2312" w:hAnsi="宋体" w:eastAsia="仿宋_GB2312"/>
          <w:sz w:val="32"/>
          <w:szCs w:val="32"/>
        </w:rPr>
      </w:pPr>
      <w:r>
        <w:rPr>
          <w:rFonts w:hint="eastAsia" w:ascii="仿宋_GB2312" w:hAnsi="宋体" w:eastAsia="仿宋_GB2312"/>
          <w:sz w:val="32"/>
          <w:szCs w:val="32"/>
        </w:rPr>
        <w:t>2.资金申报依据：绵竹市政府采购计划备案表（计划编号：SCZC510683319301-20210002）。</w:t>
      </w:r>
    </w:p>
    <w:p>
      <w:pPr>
        <w:adjustRightInd w:val="0"/>
        <w:snapToGrid w:val="0"/>
        <w:spacing w:line="580" w:lineRule="exact"/>
        <w:ind w:firstLine="720"/>
        <w:rPr>
          <w:rFonts w:ascii="仿宋_GB2312" w:hAnsi="宋体" w:eastAsia="仿宋_GB2312"/>
          <w:sz w:val="32"/>
          <w:szCs w:val="32"/>
        </w:rPr>
      </w:pPr>
      <w:r>
        <w:rPr>
          <w:rFonts w:hint="eastAsia" w:ascii="仿宋_GB2312" w:hAnsi="宋体" w:eastAsia="仿宋_GB2312"/>
          <w:sz w:val="32"/>
          <w:szCs w:val="32"/>
        </w:rPr>
        <w:t>3.</w:t>
      </w:r>
      <w:r>
        <w:rPr>
          <w:rFonts w:hint="eastAsia" w:ascii="仿宋_GB2312" w:hAnsi="宋体" w:eastAsia="仿宋_GB2312"/>
          <w:sz w:val="32"/>
          <w:szCs w:val="32"/>
          <w:lang w:val="zh-CN"/>
        </w:rPr>
        <w:t>资金管理办法制定情况，资金支持具体项目的条件、范围与支持方式概况：严格按照政府采购相关法律法规以及《财政部关于进一步加强政府采购需求和履约验收管理的指导意见》以及行业国家现行标准及规范。</w:t>
      </w:r>
    </w:p>
    <w:p>
      <w:pPr>
        <w:adjustRightInd w:val="0"/>
        <w:snapToGrid w:val="0"/>
        <w:spacing w:line="580" w:lineRule="exact"/>
        <w:ind w:firstLine="480" w:firstLineChars="150"/>
        <w:rPr>
          <w:rFonts w:ascii="仿宋_GB2312" w:hAnsi="宋体" w:eastAsia="仿宋_GB2312"/>
          <w:sz w:val="32"/>
          <w:szCs w:val="32"/>
        </w:rPr>
      </w:pPr>
      <w:r>
        <w:rPr>
          <w:rFonts w:ascii="仿宋_GB2312" w:hAnsi="宋体" w:eastAsia="仿宋_GB2312"/>
          <w:sz w:val="32"/>
          <w:szCs w:val="32"/>
          <w:lang w:val="zh-CN"/>
        </w:rPr>
        <w:t xml:space="preserve"> 4</w:t>
      </w:r>
      <w:r>
        <w:rPr>
          <w:rFonts w:hint="eastAsia" w:ascii="仿宋_GB2312" w:hAnsi="宋体" w:eastAsia="仿宋_GB2312"/>
          <w:sz w:val="32"/>
          <w:szCs w:val="32"/>
          <w:lang w:val="zh-CN"/>
        </w:rPr>
        <w:t>．资金分配的原则及考虑因素：采购合同签订后，采购人向成交人支付合同金额的</w:t>
      </w:r>
      <w:r>
        <w:rPr>
          <w:rFonts w:hint="eastAsia" w:ascii="仿宋_GB2312" w:hAnsi="宋体" w:eastAsia="仿宋_GB2312"/>
          <w:sz w:val="32"/>
          <w:szCs w:val="32"/>
        </w:rPr>
        <w:t>30%作为预付款，待系统安装、调试并经采购人验收合格后，采购人向成交人支付至合同金额的100%。</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8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．项目主要内容：建设财政电子票据管理平台，实现财政电子票据领用、开具、查询等功能服务。</w:t>
      </w:r>
    </w:p>
    <w:p>
      <w:pPr>
        <w:adjustRightInd w:val="0"/>
        <w:snapToGrid w:val="0"/>
        <w:spacing w:line="58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包括目标的量化、细化情况以及项目实施进度计划等：建设财政电子票据管理平台与业务收费系统、财政电子票据管理系统与签名认证系统等的数据交换接口，实现缴款人缴费后自动开具财政电子票据。</w:t>
      </w:r>
    </w:p>
    <w:p>
      <w:pPr>
        <w:adjustRightInd w:val="0"/>
        <w:snapToGrid w:val="0"/>
        <w:spacing w:line="58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．分析评价申报内容是否与实际相符，申报目标是否合理可行：项目申报内容与实际相符，申报目标合理可行。</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说明项目绩效自评采用的组织实施步骤及方法。</w:t>
      </w:r>
    </w:p>
    <w:p>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 w:hAnsi="仿宋" w:eastAsia="仿宋"/>
          <w:color w:val="000000"/>
          <w:sz w:val="32"/>
          <w:szCs w:val="32"/>
          <w:lang w:val="zh-CN"/>
        </w:rPr>
      </w:pPr>
      <w:r>
        <w:rPr>
          <w:rFonts w:hint="eastAsia" w:ascii="仿宋" w:hAnsi="仿宋" w:eastAsia="仿宋"/>
          <w:color w:val="000000"/>
          <w:sz w:val="32"/>
          <w:szCs w:val="32"/>
          <w:lang w:val="zh-CN"/>
        </w:rPr>
        <w:t>由我局开展财政资金使用情况自评并撰写支出绩效报告，按规范格式按时提交自评报告。</w:t>
      </w:r>
    </w:p>
    <w:p>
      <w:pPr>
        <w:adjustRightInd w:val="0"/>
        <w:snapToGrid w:val="0"/>
        <w:spacing w:line="58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580" w:lineRule="exact"/>
        <w:ind w:firstLine="800" w:firstLineChars="250"/>
        <w:rPr>
          <w:rFonts w:ascii="仿宋_GB2312" w:hAnsi="宋体" w:eastAsia="仿宋_GB2312"/>
          <w:sz w:val="32"/>
          <w:szCs w:val="32"/>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w:t>
      </w:r>
      <w:r>
        <w:rPr>
          <w:rFonts w:hint="eastAsia" w:ascii="仿宋_GB2312" w:hAnsi="宋体" w:eastAsia="仿宋_GB2312"/>
          <w:sz w:val="32"/>
          <w:szCs w:val="32"/>
          <w:lang w:val="zh-CN"/>
        </w:rPr>
        <w:t>采购合同签订后，采购人向成交人支付合同金额的</w:t>
      </w:r>
      <w:r>
        <w:rPr>
          <w:rFonts w:hint="eastAsia" w:ascii="仿宋_GB2312" w:hAnsi="宋体" w:eastAsia="仿宋_GB2312"/>
          <w:sz w:val="32"/>
          <w:szCs w:val="32"/>
        </w:rPr>
        <w:t>30%作为预付款，待系统安装、调试并经采购人验收合格后，采购人向成交人支付至合同金额的100%。</w:t>
      </w:r>
    </w:p>
    <w:p>
      <w:pPr>
        <w:adjustRightInd w:val="0"/>
        <w:snapToGrid w:val="0"/>
        <w:spacing w:line="580" w:lineRule="exact"/>
        <w:ind w:firstLine="640" w:firstLineChars="200"/>
        <w:rPr>
          <w:rFonts w:ascii="仿宋_GB2312" w:hAnsi="宋体" w:eastAsia="楷体_GB2312"/>
          <w:sz w:val="32"/>
          <w:szCs w:val="32"/>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楷体_GB2312" w:hAnsi="宋体" w:eastAsia="楷体_GB2312"/>
          <w:sz w:val="32"/>
          <w:szCs w:val="32"/>
        </w:rPr>
        <w:t>2021年5月资金到位468000元。</w:t>
      </w:r>
    </w:p>
    <w:p>
      <w:pPr>
        <w:adjustRightInd w:val="0"/>
        <w:snapToGrid w:val="0"/>
        <w:spacing w:line="580" w:lineRule="exact"/>
        <w:ind w:firstLine="720"/>
        <w:rPr>
          <w:rFonts w:ascii="仿宋_GB2312" w:hAnsi="宋体" w:eastAsia="楷体_GB2312"/>
          <w:sz w:val="32"/>
          <w:szCs w:val="32"/>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楷体_GB2312" w:hAnsi="宋体" w:eastAsia="楷体_GB2312"/>
          <w:sz w:val="32"/>
          <w:szCs w:val="32"/>
        </w:rPr>
        <w:t>2021年12月6日验收合格，支付完成468000元。</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该项目实施以来，严格执行财务管理制度，账务处理及时，会计核算规范，项目台账清楚。</w:t>
      </w:r>
    </w:p>
    <w:p>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结合项目组织实施管理办法，重点围绕以下内容进行分析评价，并对自评中发现的问题分析说明。</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（一）项目组织架构及实施流程。按照市住建局财务管理制度及流程进行管理。</w:t>
      </w:r>
    </w:p>
    <w:p>
      <w:pPr>
        <w:adjustRightInd w:val="0"/>
        <w:snapToGrid w:val="0"/>
        <w:spacing w:line="58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绵竹市住房资金管理中心严格执行相关法律法规及项目管理制度，无违法违纪行为。</w:t>
      </w:r>
    </w:p>
    <w:p>
      <w:pPr>
        <w:adjustRightInd w:val="0"/>
        <w:snapToGrid w:val="0"/>
        <w:spacing w:line="58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绵竹市住房资金管理中心严格执行相关法律法规及项目管理制度，无违法违纪行为。</w:t>
      </w:r>
    </w:p>
    <w:p>
      <w:pPr>
        <w:adjustRightInd w:val="0"/>
        <w:snapToGrid w:val="0"/>
        <w:spacing w:line="58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2021年12月6日验收合格，支付完成468000元。</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严格按照合同约定开展工作。</w:t>
      </w:r>
    </w:p>
    <w:p>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总体评价良好。</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80" w:lineRule="exact"/>
        <w:ind w:firstLine="960" w:firstLineChars="300"/>
        <w:rPr>
          <w:rFonts w:ascii="仿宋_GB2312" w:hAnsi="宋体" w:eastAsia="仿宋_GB2312"/>
          <w:sz w:val="32"/>
          <w:szCs w:val="32"/>
          <w:lang w:val="zh-CN"/>
        </w:rPr>
      </w:pPr>
      <w:r>
        <w:rPr>
          <w:rFonts w:hint="eastAsia" w:ascii="仿宋_GB2312" w:hAnsi="宋体" w:eastAsia="仿宋_GB2312"/>
          <w:sz w:val="32"/>
          <w:szCs w:val="32"/>
          <w:lang w:val="zh-CN"/>
        </w:rPr>
        <w:t>无。</w:t>
      </w:r>
      <w:r>
        <w:rPr>
          <w:rFonts w:ascii="仿宋_GB2312" w:hAnsi="宋体" w:eastAsia="仿宋_GB2312"/>
          <w:sz w:val="32"/>
          <w:szCs w:val="32"/>
          <w:lang w:val="zh-CN"/>
        </w:rPr>
        <w:tab/>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80" w:lineRule="exact"/>
        <w:ind w:firstLine="960" w:firstLineChars="3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464" w:type="dxa"/>
        <w:jc w:val="center"/>
        <w:tblLayout w:type="autofit"/>
        <w:tblCellMar>
          <w:top w:w="0" w:type="dxa"/>
          <w:left w:w="108" w:type="dxa"/>
          <w:bottom w:w="0" w:type="dxa"/>
          <w:right w:w="108" w:type="dxa"/>
        </w:tblCellMar>
      </w:tblPr>
      <w:tblGrid>
        <w:gridCol w:w="1060"/>
        <w:gridCol w:w="653"/>
        <w:gridCol w:w="1134"/>
        <w:gridCol w:w="1513"/>
        <w:gridCol w:w="897"/>
        <w:gridCol w:w="2268"/>
        <w:gridCol w:w="1939"/>
      </w:tblGrid>
      <w:tr>
        <w:tblPrEx>
          <w:tblCellMar>
            <w:top w:w="0" w:type="dxa"/>
            <w:left w:w="108" w:type="dxa"/>
            <w:bottom w:w="0" w:type="dxa"/>
            <w:right w:w="108" w:type="dxa"/>
          </w:tblCellMar>
        </w:tblPrEx>
        <w:trPr>
          <w:trHeight w:val="405" w:hRule="atLeast"/>
          <w:jc w:val="center"/>
        </w:trPr>
        <w:tc>
          <w:tcPr>
            <w:tcW w:w="9464"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464"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6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653"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34"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513"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897"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268"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39"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20" w:hRule="atLeast"/>
          <w:jc w:val="center"/>
        </w:trPr>
        <w:tc>
          <w:tcPr>
            <w:tcW w:w="28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61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财政票据软件服务费</w:t>
            </w:r>
          </w:p>
        </w:tc>
      </w:tr>
      <w:tr>
        <w:tblPrEx>
          <w:tblCellMar>
            <w:top w:w="0" w:type="dxa"/>
            <w:left w:w="108" w:type="dxa"/>
            <w:bottom w:w="0" w:type="dxa"/>
            <w:right w:w="108" w:type="dxa"/>
          </w:tblCellMar>
        </w:tblPrEx>
        <w:trPr>
          <w:trHeight w:val="420" w:hRule="atLeast"/>
          <w:jc w:val="center"/>
        </w:trPr>
        <w:tc>
          <w:tcPr>
            <w:tcW w:w="2847"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61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435" w:hRule="atLeast"/>
          <w:jc w:val="center"/>
        </w:trPr>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17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46.8万元</w:t>
            </w:r>
          </w:p>
        </w:tc>
        <w:tc>
          <w:tcPr>
            <w:tcW w:w="226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46.8万元</w:t>
            </w:r>
          </w:p>
        </w:tc>
      </w:tr>
      <w:tr>
        <w:tblPrEx>
          <w:tblCellMar>
            <w:top w:w="0" w:type="dxa"/>
            <w:left w:w="108" w:type="dxa"/>
            <w:bottom w:w="0" w:type="dxa"/>
            <w:right w:w="108" w:type="dxa"/>
          </w:tblCellMar>
        </w:tblPrEx>
        <w:trPr>
          <w:trHeight w:val="564"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46.8万元</w:t>
            </w:r>
          </w:p>
        </w:tc>
        <w:tc>
          <w:tcPr>
            <w:tcW w:w="2268"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46.8万元</w:t>
            </w:r>
          </w:p>
        </w:tc>
      </w:tr>
      <w:tr>
        <w:tblPrEx>
          <w:tblCellMar>
            <w:top w:w="0" w:type="dxa"/>
            <w:left w:w="108" w:type="dxa"/>
            <w:bottom w:w="0" w:type="dxa"/>
            <w:right w:w="108" w:type="dxa"/>
          </w:tblCellMar>
        </w:tblPrEx>
        <w:trPr>
          <w:trHeight w:val="489"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787"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41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268"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39"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95" w:hRule="atLeast"/>
          <w:jc w:val="center"/>
        </w:trPr>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19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207"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720"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19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实现维修资金专用票据电子化</w:t>
            </w:r>
          </w:p>
        </w:tc>
        <w:tc>
          <w:tcPr>
            <w:tcW w:w="4207"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实现维修资金专用票据电子化</w:t>
            </w:r>
          </w:p>
        </w:tc>
      </w:tr>
      <w:tr>
        <w:tblPrEx>
          <w:tblCellMar>
            <w:top w:w="0" w:type="dxa"/>
            <w:left w:w="108" w:type="dxa"/>
            <w:bottom w:w="0" w:type="dxa"/>
            <w:right w:w="108" w:type="dxa"/>
          </w:tblCellMar>
        </w:tblPrEx>
        <w:trPr>
          <w:trHeight w:val="690" w:hRule="atLeast"/>
          <w:jc w:val="center"/>
        </w:trPr>
        <w:tc>
          <w:tcPr>
            <w:tcW w:w="106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653"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1365" w:hRule="atLeast"/>
          <w:jc w:val="center"/>
        </w:trPr>
        <w:tc>
          <w:tcPr>
            <w:tcW w:w="10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5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134"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完成住宅专项维修资金管理系统、住房保障系统与财政票据软件对接，实现业主自行缴存维修资金，并逐户提供专用电子票据。</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10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软件数量</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2套</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2套</w:t>
            </w:r>
          </w:p>
        </w:tc>
      </w:tr>
      <w:tr>
        <w:tblPrEx>
          <w:tblCellMar>
            <w:top w:w="0" w:type="dxa"/>
            <w:left w:w="108" w:type="dxa"/>
            <w:bottom w:w="0" w:type="dxa"/>
            <w:right w:w="108" w:type="dxa"/>
          </w:tblCellMar>
        </w:tblPrEx>
        <w:trPr>
          <w:trHeight w:val="480" w:hRule="atLeast"/>
          <w:jc w:val="center"/>
        </w:trPr>
        <w:tc>
          <w:tcPr>
            <w:tcW w:w="10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服务器数量</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3台</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3台</w:t>
            </w:r>
          </w:p>
        </w:tc>
      </w:tr>
      <w:tr>
        <w:tblPrEx>
          <w:tblCellMar>
            <w:top w:w="0" w:type="dxa"/>
            <w:left w:w="108" w:type="dxa"/>
            <w:bottom w:w="0" w:type="dxa"/>
            <w:right w:w="108" w:type="dxa"/>
          </w:tblCellMar>
        </w:tblPrEx>
        <w:trPr>
          <w:trHeight w:val="780" w:hRule="atLeast"/>
          <w:jc w:val="center"/>
        </w:trPr>
        <w:tc>
          <w:tcPr>
            <w:tcW w:w="10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34"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实现维修资金专用票据电子化</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10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3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按期完成</w:t>
            </w:r>
          </w:p>
        </w:tc>
      </w:tr>
      <w:tr>
        <w:tblPrEx>
          <w:tblCellMar>
            <w:top w:w="0" w:type="dxa"/>
            <w:left w:w="108" w:type="dxa"/>
            <w:bottom w:w="0" w:type="dxa"/>
            <w:right w:w="108" w:type="dxa"/>
          </w:tblCellMar>
        </w:tblPrEx>
        <w:trPr>
          <w:trHeight w:val="675" w:hRule="atLeast"/>
          <w:jc w:val="center"/>
        </w:trPr>
        <w:tc>
          <w:tcPr>
            <w:tcW w:w="10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3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财政票据软硬件服务费</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≤61万</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46.8万元</w:t>
            </w:r>
          </w:p>
        </w:tc>
      </w:tr>
      <w:tr>
        <w:tblPrEx>
          <w:tblCellMar>
            <w:top w:w="0" w:type="dxa"/>
            <w:left w:w="108" w:type="dxa"/>
            <w:bottom w:w="0" w:type="dxa"/>
            <w:right w:w="108" w:type="dxa"/>
          </w:tblCellMar>
        </w:tblPrEx>
        <w:trPr>
          <w:trHeight w:val="1425" w:hRule="atLeast"/>
          <w:jc w:val="center"/>
        </w:trPr>
        <w:tc>
          <w:tcPr>
            <w:tcW w:w="10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6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134"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实现住宅专项维修资金管理系统与财政票据软件对接，通过计算机等电子载体进行存储保管、做到全国财政电子票据一站式查询、真伪查验。</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安全率100%</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安全率100%</w:t>
            </w:r>
          </w:p>
        </w:tc>
      </w:tr>
      <w:tr>
        <w:tblPrEx>
          <w:tblCellMar>
            <w:top w:w="0" w:type="dxa"/>
            <w:left w:w="108" w:type="dxa"/>
            <w:bottom w:w="0" w:type="dxa"/>
            <w:right w:w="108" w:type="dxa"/>
          </w:tblCellMar>
        </w:tblPrEx>
        <w:trPr>
          <w:trHeight w:val="885" w:hRule="atLeast"/>
          <w:jc w:val="center"/>
        </w:trPr>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653"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41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服务对象满意度</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c>
          <w:tcPr>
            <w:tcW w:w="193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（房改房维修基金计息项目）</w:t>
      </w:r>
    </w:p>
    <w:p>
      <w:pPr>
        <w:spacing w:line="580" w:lineRule="exact"/>
        <w:ind w:firstLine="640"/>
        <w:jc w:val="center"/>
        <w:rPr>
          <w:rFonts w:hint="eastAsia" w:ascii="宋体" w:hAnsi="??"/>
          <w:sz w:val="32"/>
          <w:szCs w:val="32"/>
        </w:rPr>
      </w:pPr>
    </w:p>
    <w:p>
      <w:pPr>
        <w:adjustRightInd w:val="0"/>
        <w:snapToGrid w:val="0"/>
        <w:spacing w:line="58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8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．项目实施依据：根据《绵竹市住房制度改革领导小组关于公有住房售后公共维修基金使用细则》第三条：“维修基金由市住房资金管理中心监督使用，统一负责管理、保值、增值</w:t>
      </w:r>
      <w:r>
        <w:rPr>
          <w:rFonts w:ascii="仿宋_GB2312" w:hAnsi="宋体" w:eastAsia="仿宋_GB2312"/>
          <w:sz w:val="32"/>
          <w:szCs w:val="32"/>
          <w:lang w:val="zh-CN"/>
        </w:rPr>
        <w:t>…</w:t>
      </w:r>
      <w:r>
        <w:rPr>
          <w:rFonts w:hint="eastAsia" w:ascii="仿宋_GB2312" w:hAnsi="宋体" w:eastAsia="仿宋_GB2312"/>
          <w:sz w:val="32"/>
          <w:szCs w:val="32"/>
          <w:lang w:val="zh-CN"/>
        </w:rPr>
        <w:t>维修基金现暂按一年期存本取息存款利率计算并计入各单位维修基金专户。”</w:t>
      </w:r>
    </w:p>
    <w:p>
      <w:pPr>
        <w:adjustRightInd w:val="0"/>
        <w:snapToGrid w:val="0"/>
        <w:spacing w:line="58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．项目立项、资金申报的依据：竹房领导小组（1998）02号 维修基金按一年期存本取息存款利率计息。</w:t>
      </w:r>
    </w:p>
    <w:p>
      <w:pPr>
        <w:adjustRightInd w:val="0"/>
        <w:snapToGrid w:val="0"/>
        <w:spacing w:line="58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．202</w:t>
      </w:r>
      <w:r>
        <w:rPr>
          <w:rFonts w:hint="eastAsia" w:ascii="仿宋_GB2312" w:hAnsi="宋体" w:eastAsia="仿宋_GB2312"/>
          <w:sz w:val="32"/>
          <w:szCs w:val="32"/>
        </w:rPr>
        <w:t>2</w:t>
      </w:r>
      <w:r>
        <w:rPr>
          <w:rFonts w:hint="eastAsia" w:ascii="仿宋_GB2312" w:hAnsi="宋体" w:eastAsia="仿宋_GB2312"/>
          <w:sz w:val="32"/>
          <w:szCs w:val="32"/>
          <w:lang w:val="zh-CN"/>
        </w:rPr>
        <w:t>年通过财政直接支付安排房改房维修基金</w:t>
      </w:r>
      <w:r>
        <w:rPr>
          <w:rFonts w:hint="eastAsia" w:ascii="仿宋_GB2312" w:hAnsi="宋体" w:eastAsia="仿宋_GB2312"/>
          <w:sz w:val="32"/>
          <w:szCs w:val="32"/>
        </w:rPr>
        <w:t>372600</w:t>
      </w:r>
      <w:r>
        <w:rPr>
          <w:rFonts w:hint="eastAsia" w:ascii="仿宋_GB2312" w:hAnsi="宋体" w:eastAsia="仿宋_GB2312"/>
          <w:sz w:val="32"/>
          <w:szCs w:val="32"/>
          <w:lang w:val="zh-CN"/>
        </w:rPr>
        <w:t>元，主要用于本行政区域内房改房维修基金计息。</w:t>
      </w:r>
    </w:p>
    <w:p>
      <w:pPr>
        <w:adjustRightInd w:val="0"/>
        <w:snapToGrid w:val="0"/>
        <w:spacing w:line="580" w:lineRule="exact"/>
        <w:ind w:firstLine="480" w:firstLineChars="150"/>
        <w:rPr>
          <w:rFonts w:ascii="仿宋_GB2312" w:hAnsi="宋体" w:eastAsia="仿宋_GB2312"/>
          <w:sz w:val="32"/>
          <w:szCs w:val="32"/>
          <w:lang w:val="zh-CN"/>
        </w:rPr>
      </w:pPr>
      <w:r>
        <w:rPr>
          <w:rFonts w:ascii="仿宋_GB2312" w:hAnsi="宋体" w:eastAsia="仿宋_GB2312"/>
          <w:sz w:val="32"/>
          <w:szCs w:val="32"/>
          <w:lang w:val="zh-CN"/>
        </w:rPr>
        <w:t xml:space="preserve"> 4</w:t>
      </w:r>
      <w:r>
        <w:rPr>
          <w:rFonts w:hint="eastAsia" w:ascii="仿宋_GB2312" w:hAnsi="宋体" w:eastAsia="仿宋_GB2312"/>
          <w:sz w:val="32"/>
          <w:szCs w:val="32"/>
          <w:lang w:val="zh-CN"/>
        </w:rPr>
        <w:t>．资金分配的原则：以各行政企事业单位缴存维修基金本金为基数，按一年期存本取息存款利率计息。</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8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．项目主要内容：负责本行政区域内房改房维修基金计息。</w:t>
      </w:r>
    </w:p>
    <w:p>
      <w:pPr>
        <w:adjustRightInd w:val="0"/>
        <w:snapToGrid w:val="0"/>
        <w:spacing w:line="58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．项目应实现的具体绩效目标：完成房改房缴存业主维修基金计息范围计息。</w:t>
      </w:r>
    </w:p>
    <w:p>
      <w:pPr>
        <w:adjustRightInd w:val="0"/>
        <w:snapToGrid w:val="0"/>
        <w:spacing w:line="58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．申报内容与实际相符，申报目标合理可行。</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 w:hAnsi="仿宋" w:eastAsia="仿宋"/>
          <w:color w:val="000000"/>
          <w:sz w:val="32"/>
          <w:szCs w:val="32"/>
          <w:lang w:val="zh-CN"/>
        </w:rPr>
      </w:pPr>
      <w:r>
        <w:rPr>
          <w:rFonts w:hint="eastAsia" w:ascii="仿宋" w:hAnsi="仿宋" w:eastAsia="仿宋"/>
          <w:color w:val="000000"/>
          <w:sz w:val="32"/>
          <w:szCs w:val="32"/>
          <w:lang w:val="zh-CN"/>
        </w:rPr>
        <w:t>由我局开展财政资金使用情况自评并撰写部门预算支出绩效报告，按规范格式按时提交自评报告。</w:t>
      </w:r>
    </w:p>
    <w:p>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房改房维修基金及售房款由财政代管，分定期、活期存储、财政借款产生的利息用于安排当年计息，202</w:t>
      </w:r>
      <w:r>
        <w:rPr>
          <w:rFonts w:hint="eastAsia" w:ascii="仿宋_GB2312" w:hAnsi="宋体" w:eastAsia="仿宋_GB2312"/>
          <w:sz w:val="32"/>
          <w:szCs w:val="32"/>
        </w:rPr>
        <w:t>1</w:t>
      </w:r>
      <w:r>
        <w:rPr>
          <w:rFonts w:hint="eastAsia" w:ascii="仿宋_GB2312" w:hAnsi="宋体" w:eastAsia="仿宋_GB2312"/>
          <w:sz w:val="32"/>
          <w:szCs w:val="32"/>
          <w:lang w:val="zh-CN"/>
        </w:rPr>
        <w:t>年由市财政通过非税收入在一般行政管理事务中安排</w:t>
      </w:r>
      <w:r>
        <w:rPr>
          <w:rFonts w:hint="eastAsia" w:ascii="仿宋_GB2312" w:hAnsi="宋体" w:eastAsia="仿宋_GB2312"/>
          <w:sz w:val="32"/>
          <w:szCs w:val="32"/>
        </w:rPr>
        <w:t>372600</w:t>
      </w:r>
      <w:r>
        <w:rPr>
          <w:rFonts w:hint="eastAsia" w:ascii="仿宋_GB2312" w:hAnsi="宋体" w:eastAsia="仿宋_GB2312"/>
          <w:sz w:val="32"/>
          <w:szCs w:val="32"/>
          <w:lang w:val="zh-CN"/>
        </w:rPr>
        <w:t>元，用于本行政区域内该年房改房维修基金计息。</w:t>
      </w:r>
    </w:p>
    <w:p>
      <w:pPr>
        <w:adjustRightInd w:val="0"/>
        <w:snapToGrid w:val="0"/>
        <w:spacing w:line="58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58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w:t>
      </w:r>
      <w:r>
        <w:rPr>
          <w:rFonts w:hint="eastAsia" w:ascii="楷体_GB2312" w:hAnsi="宋体" w:eastAsia="楷体_GB2312"/>
          <w:sz w:val="32"/>
          <w:szCs w:val="32"/>
          <w:lang w:val="zh-CN"/>
        </w:rPr>
        <w:t>资金计划。</w:t>
      </w:r>
      <w:r>
        <w:rPr>
          <w:rFonts w:hint="eastAsia" w:ascii="仿宋_GB2312" w:hAnsi="宋体" w:eastAsia="仿宋_GB2312"/>
          <w:sz w:val="32"/>
          <w:szCs w:val="32"/>
          <w:lang w:val="zh-CN"/>
        </w:rPr>
        <w:t>202</w:t>
      </w:r>
      <w:r>
        <w:rPr>
          <w:rFonts w:hint="eastAsia" w:ascii="仿宋_GB2312" w:hAnsi="宋体" w:eastAsia="仿宋_GB2312"/>
          <w:sz w:val="32"/>
          <w:szCs w:val="32"/>
        </w:rPr>
        <w:t>1</w:t>
      </w:r>
      <w:r>
        <w:rPr>
          <w:rFonts w:hint="eastAsia" w:ascii="仿宋_GB2312" w:hAnsi="宋体" w:eastAsia="仿宋_GB2312"/>
          <w:sz w:val="32"/>
          <w:szCs w:val="32"/>
          <w:lang w:val="zh-CN"/>
        </w:rPr>
        <w:t>年由市财政通过非税收入在一般行政管理事务中安排</w:t>
      </w:r>
      <w:r>
        <w:rPr>
          <w:rFonts w:hint="eastAsia" w:ascii="仿宋_GB2312" w:hAnsi="宋体" w:eastAsia="仿宋_GB2312"/>
          <w:sz w:val="32"/>
          <w:szCs w:val="32"/>
        </w:rPr>
        <w:t>372600</w:t>
      </w:r>
      <w:r>
        <w:rPr>
          <w:rFonts w:hint="eastAsia" w:ascii="仿宋_GB2312" w:hAnsi="宋体" w:eastAsia="仿宋_GB2312"/>
          <w:sz w:val="32"/>
          <w:szCs w:val="32"/>
          <w:lang w:val="zh-CN"/>
        </w:rPr>
        <w:t>元。</w:t>
      </w:r>
    </w:p>
    <w:p>
      <w:pPr>
        <w:adjustRightInd w:val="0"/>
        <w:snapToGrid w:val="0"/>
        <w:spacing w:line="580" w:lineRule="exact"/>
        <w:ind w:firstLine="72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．资金到位。</w:t>
      </w:r>
      <w:r>
        <w:rPr>
          <w:rFonts w:hint="eastAsia" w:ascii="仿宋_GB2312" w:hAnsi="宋体" w:eastAsia="仿宋_GB2312"/>
          <w:sz w:val="32"/>
          <w:szCs w:val="32"/>
          <w:lang w:val="zh-CN"/>
        </w:rPr>
        <w:t>截至202</w:t>
      </w:r>
      <w:r>
        <w:rPr>
          <w:rFonts w:hint="eastAsia" w:ascii="仿宋_GB2312" w:hAnsi="宋体" w:eastAsia="仿宋_GB2312"/>
          <w:sz w:val="32"/>
          <w:szCs w:val="32"/>
        </w:rPr>
        <w:t>1</w:t>
      </w:r>
      <w:r>
        <w:rPr>
          <w:rFonts w:hint="eastAsia" w:ascii="仿宋_GB2312" w:hAnsi="宋体" w:eastAsia="仿宋_GB2312"/>
          <w:sz w:val="32"/>
          <w:szCs w:val="32"/>
          <w:lang w:val="zh-CN"/>
        </w:rPr>
        <w:t>年12月31日，</w:t>
      </w:r>
      <w:r>
        <w:rPr>
          <w:rFonts w:hint="eastAsia" w:ascii="仿宋" w:hAnsi="仿宋" w:eastAsia="仿宋"/>
          <w:color w:val="000000"/>
          <w:sz w:val="32"/>
          <w:szCs w:val="32"/>
          <w:lang w:val="zh-CN"/>
        </w:rPr>
        <w:t>资金到位</w:t>
      </w:r>
      <w:r>
        <w:rPr>
          <w:rFonts w:hint="eastAsia" w:ascii="仿宋_GB2312" w:hAnsi="宋体" w:eastAsia="仿宋"/>
          <w:sz w:val="32"/>
          <w:szCs w:val="32"/>
        </w:rPr>
        <w:t>372600</w:t>
      </w:r>
      <w:r>
        <w:rPr>
          <w:rFonts w:hint="eastAsia" w:ascii="仿宋_GB2312" w:hAnsi="宋体" w:eastAsia="仿宋_GB2312"/>
          <w:sz w:val="32"/>
          <w:szCs w:val="32"/>
          <w:lang w:val="zh-CN"/>
        </w:rPr>
        <w:t>元。</w:t>
      </w:r>
    </w:p>
    <w:p>
      <w:pPr>
        <w:adjustRightInd w:val="0"/>
        <w:snapToGrid w:val="0"/>
        <w:spacing w:line="580" w:lineRule="exact"/>
        <w:ind w:firstLine="720"/>
        <w:rPr>
          <w:rFonts w:ascii="仿宋_GB2312" w:hAnsi="宋体" w:eastAsia="仿宋_GB2312"/>
          <w:sz w:val="32"/>
          <w:szCs w:val="32"/>
          <w:lang w:val="zh-CN"/>
        </w:rPr>
      </w:pPr>
      <w:r>
        <w:rPr>
          <w:rFonts w:ascii="楷体_GB2312" w:hAnsi="宋体" w:eastAsia="楷体_GB2312"/>
          <w:sz w:val="32"/>
          <w:szCs w:val="32"/>
          <w:lang w:val="zh-CN"/>
        </w:rPr>
        <w:t>3</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截至2020年12月31日，</w:t>
      </w:r>
      <w:r>
        <w:rPr>
          <w:rFonts w:hint="eastAsia" w:ascii="仿宋_GB2312" w:hAnsi="宋体" w:eastAsia="仿宋_GB2312"/>
          <w:sz w:val="32"/>
          <w:szCs w:val="32"/>
        </w:rPr>
        <w:t>372600</w:t>
      </w:r>
      <w:r>
        <w:rPr>
          <w:rFonts w:hint="eastAsia" w:ascii="仿宋_GB2312" w:hAnsi="宋体" w:eastAsia="仿宋_GB2312"/>
          <w:sz w:val="32"/>
          <w:szCs w:val="32"/>
          <w:lang w:val="zh-CN"/>
        </w:rPr>
        <w:t>元计息已全部缴财政代管专户，并分配计入各行政企事业房改房维修资金账户。</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该项目实施以来，严格执行财务管理制度，账务处理及时，会计核算规范，项目台账清楚。</w:t>
      </w:r>
    </w:p>
    <w:p>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80" w:lineRule="exact"/>
        <w:ind w:left="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8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按照《绵竹市住房制度改革领导小组关于公有住房售后公共维修基金使用细则》明确的职责要求，住房资金管理中心为实施</w:t>
      </w:r>
      <w:r>
        <w:rPr>
          <w:rFonts w:ascii="仿宋_GB2312" w:hAnsi="宋体" w:eastAsia="仿宋_GB2312"/>
          <w:sz w:val="32"/>
          <w:szCs w:val="32"/>
          <w:lang w:val="zh-CN"/>
        </w:rPr>
        <w:t>主体，负责本行政</w:t>
      </w:r>
      <w:r>
        <w:rPr>
          <w:rFonts w:hint="eastAsia" w:ascii="仿宋_GB2312" w:hAnsi="宋体" w:eastAsia="仿宋_GB2312"/>
          <w:sz w:val="32"/>
          <w:szCs w:val="32"/>
          <w:lang w:val="zh-CN"/>
        </w:rPr>
        <w:t>区域内房改房维修基金计息。</w:t>
      </w:r>
    </w:p>
    <w:p>
      <w:pPr>
        <w:adjustRightInd w:val="0"/>
        <w:snapToGrid w:val="0"/>
        <w:spacing w:line="56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住房资金管理中心严格执行维修资金相关法律法规等。</w:t>
      </w:r>
    </w:p>
    <w:p>
      <w:pPr>
        <w:adjustRightInd w:val="0"/>
        <w:snapToGrid w:val="0"/>
        <w:spacing w:line="56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住建局严格按照预算资金使用规定按期拨付资金，并不定期督查资金使用情况。</w:t>
      </w:r>
    </w:p>
    <w:p>
      <w:pPr>
        <w:adjustRightInd w:val="0"/>
        <w:snapToGrid w:val="0"/>
        <w:spacing w:line="56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6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完成了202</w:t>
      </w:r>
      <w:r>
        <w:rPr>
          <w:rFonts w:hint="eastAsia" w:ascii="仿宋_GB2312" w:hAnsi="宋体" w:eastAsia="仿宋_GB2312"/>
          <w:sz w:val="32"/>
          <w:szCs w:val="32"/>
        </w:rPr>
        <w:t>1</w:t>
      </w:r>
      <w:r>
        <w:rPr>
          <w:rFonts w:hint="eastAsia" w:ascii="仿宋_GB2312" w:hAnsi="宋体" w:eastAsia="仿宋_GB2312"/>
          <w:sz w:val="32"/>
          <w:szCs w:val="32"/>
          <w:lang w:val="zh-CN"/>
        </w:rPr>
        <w:t>年房改房维修基金计息工作。</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提高房改房居住安全性，确保房改房维修基金保值、增值。</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60" w:lineRule="exact"/>
        <w:ind w:firstLine="640" w:firstLineChars="200"/>
        <w:rPr>
          <w:rFonts w:ascii="仿宋_GB2312" w:hAnsi="宋体" w:eastAsia="仿宋_GB2312"/>
          <w:sz w:val="32"/>
          <w:szCs w:val="32"/>
          <w:bdr w:val="single" w:color="auto" w:sz="4" w:space="0"/>
          <w:lang w:val="zh-CN"/>
        </w:rPr>
      </w:pPr>
      <w:r>
        <w:rPr>
          <w:rFonts w:hint="eastAsia" w:ascii="仿宋_GB2312" w:hAnsi="宋体" w:eastAsia="仿宋_GB2312"/>
          <w:sz w:val="32"/>
          <w:szCs w:val="32"/>
          <w:lang w:val="zh-CN"/>
        </w:rPr>
        <w:t>通过住宅维修资金统一管理，为房屋所有权人缴纳的维修资金及房屋安全提供了有力保障，并确保了资金的保值增值。</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随着房改房屋使用年限增加，而维修基金仅能对其计息增值部分用于维修、改造，此部分资金难以维系日益增加的维修使用需求。</w:t>
      </w:r>
      <w:r>
        <w:rPr>
          <w:rFonts w:ascii="仿宋_GB2312" w:hAnsi="宋体" w:eastAsia="仿宋_GB2312"/>
          <w:sz w:val="32"/>
          <w:szCs w:val="32"/>
          <w:lang w:val="zh-CN"/>
        </w:rPr>
        <w:tab/>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建议财政尽快归还维修基金借款，并制定更高收益的存储方式，以保证日益增加的维修基金使用需求。</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226" w:type="dxa"/>
        <w:jc w:val="center"/>
        <w:tblLayout w:type="autofit"/>
        <w:tblCellMar>
          <w:top w:w="0" w:type="dxa"/>
          <w:left w:w="108" w:type="dxa"/>
          <w:bottom w:w="0" w:type="dxa"/>
          <w:right w:w="108" w:type="dxa"/>
        </w:tblCellMar>
      </w:tblPr>
      <w:tblGrid>
        <w:gridCol w:w="1080"/>
        <w:gridCol w:w="1020"/>
        <w:gridCol w:w="1280"/>
        <w:gridCol w:w="1080"/>
        <w:gridCol w:w="1080"/>
        <w:gridCol w:w="1740"/>
        <w:gridCol w:w="1946"/>
      </w:tblGrid>
      <w:tr>
        <w:tblPrEx>
          <w:tblCellMar>
            <w:top w:w="0" w:type="dxa"/>
            <w:left w:w="108" w:type="dxa"/>
            <w:bottom w:w="0" w:type="dxa"/>
            <w:right w:w="108" w:type="dxa"/>
          </w:tblCellMar>
        </w:tblPrEx>
        <w:trPr>
          <w:trHeight w:val="405" w:hRule="atLeast"/>
          <w:jc w:val="center"/>
        </w:trPr>
        <w:tc>
          <w:tcPr>
            <w:tcW w:w="9226"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226"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2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8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74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46"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20" w:hRule="atLeast"/>
          <w:jc w:val="center"/>
        </w:trPr>
        <w:tc>
          <w:tcPr>
            <w:tcW w:w="33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846"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房改房维修资金计息</w:t>
            </w:r>
          </w:p>
        </w:tc>
      </w:tr>
      <w:tr>
        <w:tblPrEx>
          <w:tblCellMar>
            <w:top w:w="0" w:type="dxa"/>
            <w:left w:w="108" w:type="dxa"/>
            <w:bottom w:w="0" w:type="dxa"/>
            <w:right w:w="108" w:type="dxa"/>
          </w:tblCellMar>
        </w:tblPrEx>
        <w:trPr>
          <w:trHeight w:val="405" w:hRule="atLeast"/>
          <w:jc w:val="center"/>
        </w:trPr>
        <w:tc>
          <w:tcPr>
            <w:tcW w:w="33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846"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54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37.26万元</w:t>
            </w:r>
          </w:p>
        </w:tc>
        <w:tc>
          <w:tcPr>
            <w:tcW w:w="17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37.26万元</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37.26万元</w:t>
            </w:r>
          </w:p>
        </w:tc>
        <w:tc>
          <w:tcPr>
            <w:tcW w:w="174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37.26万元</w:t>
            </w:r>
          </w:p>
        </w:tc>
      </w:tr>
      <w:tr>
        <w:tblPrEx>
          <w:tblCellMar>
            <w:top w:w="0" w:type="dxa"/>
            <w:left w:w="108" w:type="dxa"/>
            <w:bottom w:w="0" w:type="dxa"/>
            <w:right w:w="108" w:type="dxa"/>
          </w:tblCellMar>
        </w:tblPrEx>
        <w:trPr>
          <w:trHeight w:val="57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4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4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4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68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03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6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完成房改房维修基金计息</w:t>
            </w:r>
          </w:p>
        </w:tc>
        <w:tc>
          <w:tcPr>
            <w:tcW w:w="368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完成房改房维修基金计息37.26万元目标</w:t>
            </w:r>
          </w:p>
        </w:tc>
      </w:tr>
      <w:tr>
        <w:tblPrEx>
          <w:tblCellMar>
            <w:top w:w="0" w:type="dxa"/>
            <w:left w:w="108" w:type="dxa"/>
            <w:bottom w:w="0" w:type="dxa"/>
            <w:right w:w="108" w:type="dxa"/>
          </w:tblCellMar>
        </w:tblPrEx>
        <w:trPr>
          <w:trHeight w:val="615"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02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2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112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2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目前业主缴存的房改房维修基金本金总额2326.9万元计息</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37.26万元</w:t>
            </w:r>
          </w:p>
        </w:tc>
        <w:tc>
          <w:tcPr>
            <w:tcW w:w="1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37.26万元</w:t>
            </w:r>
          </w:p>
        </w:tc>
      </w:tr>
      <w:tr>
        <w:tblPrEx>
          <w:tblCellMar>
            <w:top w:w="0" w:type="dxa"/>
            <w:left w:w="108" w:type="dxa"/>
            <w:bottom w:w="0" w:type="dxa"/>
            <w:right w:w="108" w:type="dxa"/>
          </w:tblCellMar>
        </w:tblPrEx>
        <w:trPr>
          <w:trHeight w:val="90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完成房改房缴存业主维修基金计息范围</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2021年10月31日</w:t>
            </w:r>
          </w:p>
        </w:tc>
        <w:tc>
          <w:tcPr>
            <w:tcW w:w="1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2021年10月31日</w:t>
            </w:r>
          </w:p>
        </w:tc>
      </w:tr>
      <w:tr>
        <w:tblPrEx>
          <w:tblCellMar>
            <w:top w:w="0" w:type="dxa"/>
            <w:left w:w="108" w:type="dxa"/>
            <w:bottom w:w="0" w:type="dxa"/>
            <w:right w:w="108" w:type="dxa"/>
          </w:tblCellMar>
        </w:tblPrEx>
        <w:trPr>
          <w:trHeight w:val="73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房改房维修基金计息本金总额</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2326.9万元</w:t>
            </w:r>
          </w:p>
        </w:tc>
        <w:tc>
          <w:tcPr>
            <w:tcW w:w="1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2326.9万元</w:t>
            </w:r>
          </w:p>
        </w:tc>
      </w:tr>
      <w:tr>
        <w:tblPrEx>
          <w:tblCellMar>
            <w:top w:w="0" w:type="dxa"/>
            <w:left w:w="108" w:type="dxa"/>
            <w:bottom w:w="0" w:type="dxa"/>
            <w:right w:w="108" w:type="dxa"/>
          </w:tblCellMar>
        </w:tblPrEx>
        <w:trPr>
          <w:trHeight w:val="61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2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提高房改房居住安全性</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提高房改房维修基金可使用基数</w:t>
            </w:r>
          </w:p>
        </w:tc>
        <w:tc>
          <w:tcPr>
            <w:tcW w:w="1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提高房改房维修基金可使用基数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服务对象满意度</w:t>
            </w:r>
          </w:p>
        </w:tc>
        <w:tc>
          <w:tcPr>
            <w:tcW w:w="17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c>
          <w:tcPr>
            <w:tcW w:w="194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ind w:firstLine="883"/>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 xml:space="preserve">     （住宅专项维修资金管理经费项目）</w:t>
      </w:r>
    </w:p>
    <w:p>
      <w:pPr>
        <w:spacing w:line="580" w:lineRule="exact"/>
        <w:ind w:firstLine="640"/>
        <w:jc w:val="left"/>
        <w:rPr>
          <w:rFonts w:hint="eastAsia" w:ascii="宋体" w:hAnsi="??"/>
          <w:sz w:val="32"/>
          <w:szCs w:val="32"/>
        </w:rPr>
      </w:pPr>
    </w:p>
    <w:p>
      <w:pPr>
        <w:spacing w:line="580" w:lineRule="exact"/>
        <w:ind w:firstLine="640"/>
        <w:jc w:val="left"/>
        <w:rPr>
          <w:rFonts w:ascii="黑体" w:hAnsi="黑体" w:eastAsia="黑体"/>
          <w:sz w:val="32"/>
          <w:szCs w:val="32"/>
        </w:rPr>
      </w:pPr>
      <w:r>
        <w:rPr>
          <w:rFonts w:hint="eastAsia" w:ascii="黑体" w:hAnsi="黑体" w:eastAsia="黑体"/>
          <w:sz w:val="32"/>
          <w:szCs w:val="32"/>
        </w:rPr>
        <w:t>一、项目概况</w:t>
      </w:r>
    </w:p>
    <w:p>
      <w:pPr>
        <w:spacing w:line="580" w:lineRule="exact"/>
        <w:ind w:firstLine="640"/>
        <w:jc w:val="left"/>
        <w:rPr>
          <w:rFonts w:hint="eastAsia" w:ascii="宋体" w:hAnsi="??"/>
          <w:b/>
          <w:sz w:val="32"/>
          <w:szCs w:val="32"/>
        </w:rPr>
      </w:pPr>
      <w:r>
        <w:rPr>
          <w:rFonts w:hint="eastAsia" w:ascii="宋体" w:hAnsi="??"/>
          <w:b/>
          <w:sz w:val="32"/>
          <w:szCs w:val="32"/>
        </w:rPr>
        <w:t>（一）基本情况</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绵竹市住房资金管理中心成立于2008年9月，负责本市单位房改房售房款及维修基金的管理；负责单位房改房维修基金的合规使用，保证本市房改房资金的保值增值，审批全市单位房改房资金的归集和支付；负责住房资金的结算、计划和预算等工作。共核编8个（其中：领导职数1名，职员2名，专业技术岗位5名）。</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2、2021年度资金的使用，主要用于行政管理事务支出。</w:t>
      </w:r>
    </w:p>
    <w:p>
      <w:pPr>
        <w:numPr>
          <w:ilvl w:val="0"/>
          <w:numId w:val="25"/>
        </w:numPr>
        <w:adjustRightInd w:val="0"/>
        <w:snapToGrid w:val="0"/>
        <w:spacing w:line="580" w:lineRule="exact"/>
        <w:rPr>
          <w:rFonts w:ascii="仿宋_GB2312" w:hAnsi="宋体" w:eastAsia="仿宋_GB2312"/>
          <w:sz w:val="32"/>
          <w:szCs w:val="32"/>
          <w:lang w:val="zh-CN"/>
        </w:rPr>
      </w:pPr>
      <w:r>
        <w:rPr>
          <w:rFonts w:hint="eastAsia" w:ascii="仿宋_GB2312" w:hAnsi="宋体" w:eastAsia="仿宋_GB2312"/>
          <w:sz w:val="32"/>
          <w:szCs w:val="32"/>
          <w:lang w:val="zh-CN"/>
        </w:rPr>
        <w:t>本项目经费严格按照单位的财务制度和预算支出范围使用。</w:t>
      </w:r>
    </w:p>
    <w:p>
      <w:pPr>
        <w:numPr>
          <w:ilvl w:val="0"/>
          <w:numId w:val="25"/>
        </w:numPr>
        <w:adjustRightInd w:val="0"/>
        <w:snapToGrid w:val="0"/>
        <w:spacing w:line="580" w:lineRule="exact"/>
        <w:rPr>
          <w:rFonts w:ascii="仿宋_GB2312" w:hAnsi="宋体" w:eastAsia="仿宋_GB2312"/>
          <w:sz w:val="32"/>
          <w:szCs w:val="32"/>
          <w:lang w:val="zh-CN"/>
        </w:rPr>
      </w:pPr>
      <w:r>
        <w:rPr>
          <w:rFonts w:hint="eastAsia" w:ascii="仿宋_GB2312" w:hAnsi="宋体" w:eastAsia="仿宋_GB2312"/>
          <w:sz w:val="32"/>
          <w:szCs w:val="32"/>
          <w:lang w:val="zh-CN"/>
        </w:rPr>
        <w:t>资金分配严格按照核定工资、人员保险等进行支出。</w:t>
      </w:r>
    </w:p>
    <w:p>
      <w:pPr>
        <w:spacing w:line="580" w:lineRule="exact"/>
        <w:ind w:firstLine="640"/>
        <w:jc w:val="left"/>
        <w:rPr>
          <w:rFonts w:hint="eastAsia" w:ascii="宋体" w:hAnsi="??"/>
          <w:b/>
          <w:sz w:val="32"/>
          <w:szCs w:val="32"/>
        </w:rPr>
      </w:pPr>
      <w:r>
        <w:rPr>
          <w:rFonts w:hint="eastAsia" w:ascii="宋体" w:hAnsi="??"/>
          <w:b/>
          <w:sz w:val="32"/>
          <w:szCs w:val="32"/>
        </w:rPr>
        <w:t>（二）项目绩效目标</w:t>
      </w:r>
    </w:p>
    <w:p>
      <w:pPr>
        <w:numPr>
          <w:ilvl w:val="0"/>
          <w:numId w:val="26"/>
        </w:num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一是工作日常运行，二是业务服务费支出。</w:t>
      </w:r>
    </w:p>
    <w:p>
      <w:pPr>
        <w:numPr>
          <w:ilvl w:val="0"/>
          <w:numId w:val="26"/>
        </w:num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2021年，住宅专项维修资金管理经费预算指标下达1050400元，授权支付1050400元。主要包括：工资津补贴438088元、养老保险及职业年金104852元、应缴公积金88426元、门诊补助、医疗保险等419037元。</w:t>
      </w:r>
    </w:p>
    <w:p>
      <w:pPr>
        <w:numPr>
          <w:ilvl w:val="0"/>
          <w:numId w:val="26"/>
        </w:numPr>
        <w:adjustRightInd w:val="0"/>
        <w:snapToGrid w:val="0"/>
        <w:spacing w:line="580" w:lineRule="exact"/>
        <w:ind w:firstLine="640" w:firstLineChars="200"/>
        <w:rPr>
          <w:rFonts w:ascii="黑体" w:hAnsi="宋体" w:eastAsia="黑体"/>
          <w:sz w:val="32"/>
          <w:szCs w:val="32"/>
        </w:rPr>
      </w:pPr>
      <w:r>
        <w:rPr>
          <w:rFonts w:hint="eastAsia" w:ascii="仿宋_GB2312" w:hAnsi="宋体" w:eastAsia="仿宋_GB2312"/>
          <w:sz w:val="32"/>
          <w:szCs w:val="32"/>
          <w:lang w:val="zh-CN"/>
        </w:rPr>
        <w:t>项目申报内容与实际相符，申报目标合理可行</w:t>
      </w:r>
      <w:r>
        <w:rPr>
          <w:rFonts w:hint="eastAsia" w:ascii="黑体" w:hAnsi="宋体" w:eastAsia="黑体"/>
          <w:sz w:val="32"/>
          <w:szCs w:val="32"/>
        </w:rPr>
        <w:t>。</w:t>
      </w:r>
    </w:p>
    <w:p>
      <w:pPr>
        <w:adjustRightInd w:val="0"/>
        <w:snapToGrid w:val="0"/>
        <w:spacing w:line="58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（三）项目自评步骤及办法</w:t>
      </w:r>
    </w:p>
    <w:p>
      <w:pPr>
        <w:adjustRightInd w:val="0"/>
        <w:snapToGrid w:val="0"/>
        <w:spacing w:line="580" w:lineRule="exact"/>
        <w:ind w:firstLine="640" w:firstLineChars="200"/>
        <w:rPr>
          <w:rFonts w:ascii="楷体_GB2312" w:hAnsi="宋体" w:eastAsia="楷体_GB2312"/>
          <w:b/>
          <w:sz w:val="32"/>
          <w:szCs w:val="32"/>
          <w:lang w:val="zh-CN"/>
        </w:rPr>
      </w:pPr>
      <w:r>
        <w:rPr>
          <w:rFonts w:hint="eastAsia" w:ascii="仿宋_GB2312" w:hAnsi="宋体" w:eastAsia="仿宋_GB2312"/>
          <w:sz w:val="32"/>
          <w:szCs w:val="32"/>
          <w:lang w:val="zh-CN"/>
        </w:rPr>
        <w:t>住宅专项维修资金管理经费作为住房资金管理中心工作开展的必需经费，为管好经费的使用，资金中心将管理经费按照住建局财务管理制度严格管理，做到先有预算后有支出，并结合工作实际，提升经费使用的制度化、规范化、程序化。</w:t>
      </w:r>
    </w:p>
    <w:p>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绵竹市财政局年初正式指标下达。</w:t>
      </w:r>
    </w:p>
    <w:p>
      <w:pPr>
        <w:adjustRightInd w:val="0"/>
        <w:snapToGrid w:val="0"/>
        <w:spacing w:line="58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80" w:lineRule="exact"/>
        <w:ind w:firstLine="640" w:firstLineChars="20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．资金计划。工资津补贴438088元、养老保险及职业年金104852元、应缴公积金88426元、门诊补助、医疗保险等419037元，共计1050400元。</w:t>
      </w:r>
    </w:p>
    <w:p>
      <w:pPr>
        <w:adjustRightInd w:val="0"/>
        <w:snapToGrid w:val="0"/>
        <w:spacing w:line="58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．资金到位。年初预算正式指标下达，资金到位。</w:t>
      </w:r>
    </w:p>
    <w:p>
      <w:pPr>
        <w:adjustRightInd w:val="0"/>
        <w:snapToGrid w:val="0"/>
        <w:spacing w:line="58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．资金使用。2021年度，使用工资津补贴438088元、养老保险及职业年金104852元、应缴公积金88426元、门诊补助、医疗保险等419037元，共计1050400元。</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绵竹市住房和资金管理中心财务管理制度健全，严格执行财务管理制度，账务处理及时，会计核算规范。</w:t>
      </w:r>
    </w:p>
    <w:p>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按照市住建局财务管理制度及流程进行管理。</w:t>
      </w:r>
    </w:p>
    <w:p>
      <w:pPr>
        <w:adjustRightInd w:val="0"/>
        <w:snapToGrid w:val="0"/>
        <w:spacing w:line="58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lang w:val="zh-CN"/>
        </w:rPr>
        <w:t>绵竹市住房资金管理中心严格执行相关法律法规及项目管理制度，无违法违纪行为。</w:t>
      </w:r>
    </w:p>
    <w:p>
      <w:pPr>
        <w:adjustRightInd w:val="0"/>
        <w:snapToGrid w:val="0"/>
        <w:spacing w:line="58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（三）项目监管情况。</w:t>
      </w:r>
      <w:r>
        <w:rPr>
          <w:rFonts w:hint="eastAsia" w:ascii="仿宋_GB2312" w:hAnsi="宋体" w:eastAsia="仿宋_GB2312"/>
          <w:sz w:val="32"/>
          <w:szCs w:val="32"/>
          <w:lang w:val="zh-CN"/>
        </w:rPr>
        <w:t>绵竹市住房资金管理中心严格执行相关法律法规及项目管理制度，无违法违纪行为。</w:t>
      </w:r>
    </w:p>
    <w:p>
      <w:pPr>
        <w:adjustRightInd w:val="0"/>
        <w:snapToGrid w:val="0"/>
        <w:spacing w:line="58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按照相关制度完成支出。</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8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2021年度，绵竹市住房资金管理中心严格按照职责职能管理全市房屋维修基金。</w:t>
      </w:r>
    </w:p>
    <w:p>
      <w:pPr>
        <w:adjustRightInd w:val="0"/>
        <w:snapToGrid w:val="0"/>
        <w:spacing w:line="58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80" w:lineRule="exact"/>
        <w:ind w:firstLine="640" w:firstLineChars="200"/>
        <w:rPr>
          <w:rFonts w:ascii="仿宋_GB2312" w:hAnsi="宋体" w:eastAsia="仿宋_GB2312"/>
          <w:color w:val="C00000"/>
          <w:sz w:val="32"/>
          <w:szCs w:val="32"/>
          <w:bdr w:val="single" w:color="auto" w:sz="4" w:space="0"/>
          <w:lang w:val="zh-CN"/>
        </w:rPr>
      </w:pPr>
      <w:r>
        <w:rPr>
          <w:rFonts w:hint="eastAsia" w:ascii="仿宋_GB2312" w:hAnsi="宋体" w:eastAsia="仿宋_GB2312"/>
          <w:sz w:val="32"/>
          <w:szCs w:val="32"/>
        </w:rPr>
        <w:t>2021年度，住宅专项维修资金</w:t>
      </w:r>
      <w:r>
        <w:rPr>
          <w:rFonts w:hint="eastAsia" w:ascii="仿宋_GB2312" w:hAnsi="宋体" w:eastAsia="仿宋_GB2312"/>
          <w:sz w:val="32"/>
          <w:szCs w:val="32"/>
          <w:lang w:val="zh-CN"/>
        </w:rPr>
        <w:t>绩效评价总体良好。</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r>
        <w:rPr>
          <w:rFonts w:ascii="仿宋_GB2312" w:hAnsi="宋体" w:eastAsia="仿宋_GB2312"/>
          <w:sz w:val="32"/>
          <w:szCs w:val="32"/>
          <w:lang w:val="zh-CN"/>
        </w:rPr>
        <w:tab/>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242" w:type="dxa"/>
        <w:jc w:val="center"/>
        <w:tblLayout w:type="autofit"/>
        <w:tblCellMar>
          <w:top w:w="0" w:type="dxa"/>
          <w:left w:w="108" w:type="dxa"/>
          <w:bottom w:w="0" w:type="dxa"/>
          <w:right w:w="108" w:type="dxa"/>
        </w:tblCellMar>
      </w:tblPr>
      <w:tblGrid>
        <w:gridCol w:w="1000"/>
        <w:gridCol w:w="980"/>
        <w:gridCol w:w="1025"/>
        <w:gridCol w:w="1495"/>
        <w:gridCol w:w="490"/>
        <w:gridCol w:w="1984"/>
        <w:gridCol w:w="2268"/>
      </w:tblGrid>
      <w:tr>
        <w:tblPrEx>
          <w:tblCellMar>
            <w:top w:w="0" w:type="dxa"/>
            <w:left w:w="108" w:type="dxa"/>
            <w:bottom w:w="0" w:type="dxa"/>
            <w:right w:w="108" w:type="dxa"/>
          </w:tblCellMar>
        </w:tblPrEx>
        <w:trPr>
          <w:trHeight w:val="405" w:hRule="atLeast"/>
          <w:jc w:val="center"/>
        </w:trPr>
        <w:tc>
          <w:tcPr>
            <w:tcW w:w="9242"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242"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0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25"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495"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49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84"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268"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40" w:hRule="atLeast"/>
          <w:jc w:val="center"/>
        </w:trPr>
        <w:tc>
          <w:tcPr>
            <w:tcW w:w="30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237"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住宅专项维修资金管理经费</w:t>
            </w:r>
          </w:p>
        </w:tc>
      </w:tr>
      <w:tr>
        <w:tblPrEx>
          <w:tblCellMar>
            <w:top w:w="0" w:type="dxa"/>
            <w:left w:w="108" w:type="dxa"/>
            <w:bottom w:w="0" w:type="dxa"/>
            <w:right w:w="108" w:type="dxa"/>
          </w:tblCellMar>
        </w:tblPrEx>
        <w:trPr>
          <w:trHeight w:val="455" w:hRule="atLeast"/>
          <w:jc w:val="center"/>
        </w:trPr>
        <w:tc>
          <w:tcPr>
            <w:tcW w:w="300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237"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540" w:hRule="atLeast"/>
          <w:jc w:val="center"/>
        </w:trPr>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0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98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105.04万元</w:t>
            </w:r>
          </w:p>
        </w:tc>
        <w:tc>
          <w:tcPr>
            <w:tcW w:w="198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105.04万元</w:t>
            </w:r>
          </w:p>
        </w:tc>
      </w:tr>
      <w:tr>
        <w:tblPrEx>
          <w:tblCellMar>
            <w:top w:w="0" w:type="dxa"/>
            <w:left w:w="108" w:type="dxa"/>
            <w:bottom w:w="0" w:type="dxa"/>
            <w:right w:w="108" w:type="dxa"/>
          </w:tblCellMar>
        </w:tblPrEx>
        <w:trPr>
          <w:trHeight w:val="615" w:hRule="atLeast"/>
          <w:jc w:val="center"/>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98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105.04万元</w:t>
            </w:r>
          </w:p>
        </w:tc>
        <w:tc>
          <w:tcPr>
            <w:tcW w:w="1984"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105.04万元</w:t>
            </w:r>
          </w:p>
        </w:tc>
      </w:tr>
      <w:tr>
        <w:tblPrEx>
          <w:tblCellMar>
            <w:top w:w="0" w:type="dxa"/>
            <w:left w:w="108" w:type="dxa"/>
            <w:bottom w:w="0" w:type="dxa"/>
            <w:right w:w="108" w:type="dxa"/>
          </w:tblCellMar>
        </w:tblPrEx>
        <w:trPr>
          <w:trHeight w:val="555" w:hRule="atLeast"/>
          <w:jc w:val="center"/>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05"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85"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84"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26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jc w:val="center"/>
        </w:trPr>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399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252"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089" w:hRule="atLeast"/>
          <w:jc w:val="center"/>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99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完成住宅专项维修资金归集、使用的监督管理，确保资金安全</w:t>
            </w:r>
          </w:p>
        </w:tc>
        <w:tc>
          <w:tcPr>
            <w:tcW w:w="4252"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完成住宅专项维修资金归集、使用的监督管理，确保资金安全。</w:t>
            </w:r>
          </w:p>
        </w:tc>
      </w:tr>
      <w:tr>
        <w:tblPrEx>
          <w:tblCellMar>
            <w:top w:w="0" w:type="dxa"/>
            <w:left w:w="108" w:type="dxa"/>
            <w:bottom w:w="0" w:type="dxa"/>
            <w:right w:w="108" w:type="dxa"/>
          </w:tblCellMar>
        </w:tblPrEx>
        <w:trPr>
          <w:trHeight w:val="480" w:hRule="atLeast"/>
          <w:jc w:val="center"/>
        </w:trPr>
        <w:tc>
          <w:tcPr>
            <w:tcW w:w="100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02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795" w:hRule="atLeast"/>
          <w:jc w:val="center"/>
        </w:trPr>
        <w:tc>
          <w:tcPr>
            <w:tcW w:w="100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025"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完成住宅专项维修资金管理工作</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105.04万元</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105.04万元</w:t>
            </w:r>
          </w:p>
        </w:tc>
      </w:tr>
      <w:tr>
        <w:tblPrEx>
          <w:tblCellMar>
            <w:top w:w="0" w:type="dxa"/>
            <w:left w:w="108" w:type="dxa"/>
            <w:bottom w:w="0" w:type="dxa"/>
            <w:right w:w="108" w:type="dxa"/>
          </w:tblCellMar>
        </w:tblPrEx>
        <w:trPr>
          <w:trHeight w:val="900" w:hRule="atLeast"/>
          <w:jc w:val="center"/>
        </w:trPr>
        <w:tc>
          <w:tcPr>
            <w:tcW w:w="100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5"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完成住宅专项维修资金管理工作，确保资金安全</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795" w:hRule="atLeast"/>
          <w:jc w:val="center"/>
        </w:trPr>
        <w:tc>
          <w:tcPr>
            <w:tcW w:w="100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5"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w:t>
            </w:r>
          </w:p>
        </w:tc>
      </w:tr>
      <w:tr>
        <w:tblPrEx>
          <w:tblCellMar>
            <w:top w:w="0" w:type="dxa"/>
            <w:left w:w="108" w:type="dxa"/>
            <w:bottom w:w="0" w:type="dxa"/>
            <w:right w:w="108" w:type="dxa"/>
          </w:tblCellMar>
        </w:tblPrEx>
        <w:trPr>
          <w:trHeight w:val="825" w:hRule="atLeast"/>
          <w:jc w:val="center"/>
        </w:trPr>
        <w:tc>
          <w:tcPr>
            <w:tcW w:w="100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5"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住宅专项维修资金管理</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105.04万元</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105.04万元</w:t>
            </w:r>
          </w:p>
        </w:tc>
      </w:tr>
      <w:tr>
        <w:tblPrEx>
          <w:tblCellMar>
            <w:top w:w="0" w:type="dxa"/>
            <w:left w:w="108" w:type="dxa"/>
            <w:bottom w:w="0" w:type="dxa"/>
            <w:right w:w="108" w:type="dxa"/>
          </w:tblCellMar>
        </w:tblPrEx>
        <w:trPr>
          <w:trHeight w:val="1005" w:hRule="atLeast"/>
          <w:jc w:val="center"/>
        </w:trPr>
        <w:tc>
          <w:tcPr>
            <w:tcW w:w="100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025"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保障房屋产权人维修资金及房屋居住安全性</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r>
      <w:tr>
        <w:tblPrEx>
          <w:tblCellMar>
            <w:top w:w="0" w:type="dxa"/>
            <w:left w:w="108" w:type="dxa"/>
            <w:bottom w:w="0" w:type="dxa"/>
            <w:right w:w="108" w:type="dxa"/>
          </w:tblCellMar>
        </w:tblPrEx>
        <w:trPr>
          <w:trHeight w:val="480" w:hRule="atLeast"/>
          <w:jc w:val="center"/>
        </w:trPr>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0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85"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服务对象满意度</w:t>
            </w:r>
          </w:p>
        </w:tc>
        <w:tc>
          <w:tcPr>
            <w:tcW w:w="198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≥95%</w:t>
            </w:r>
          </w:p>
        </w:tc>
        <w:tc>
          <w:tcPr>
            <w:tcW w:w="226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（常州路南段新建工程项目）</w:t>
      </w:r>
    </w:p>
    <w:p>
      <w:pPr>
        <w:spacing w:line="580" w:lineRule="exact"/>
        <w:ind w:firstLine="640"/>
        <w:jc w:val="center"/>
        <w:rPr>
          <w:rFonts w:hint="eastAsia" w:ascii="宋体" w:hAnsi="??"/>
          <w:sz w:val="32"/>
          <w:szCs w:val="32"/>
        </w:rPr>
      </w:pPr>
    </w:p>
    <w:p>
      <w:pPr>
        <w:adjustRightInd w:val="0"/>
        <w:snapToGrid w:val="0"/>
        <w:spacing w:line="52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2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．项目业主：绵竹市市政工程建设管理站。</w:t>
      </w:r>
    </w:p>
    <w:p>
      <w:pPr>
        <w:adjustRightInd w:val="0"/>
        <w:snapToGrid w:val="0"/>
        <w:spacing w:line="52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．建设地址：绵竹中选高中部南侧。</w:t>
      </w:r>
    </w:p>
    <w:p>
      <w:pPr>
        <w:adjustRightInd w:val="0"/>
        <w:snapToGrid w:val="0"/>
        <w:spacing w:line="520" w:lineRule="exact"/>
        <w:ind w:firstLine="720"/>
        <w:rPr>
          <w:rFonts w:ascii="仿宋" w:hAnsi="仿宋" w:eastAsia="仿宋"/>
          <w:sz w:val="32"/>
          <w:szCs w:val="32"/>
          <w:lang w:val="zh-CN"/>
        </w:rPr>
      </w:pPr>
      <w:r>
        <w:rPr>
          <w:rFonts w:hint="eastAsia" w:ascii="仿宋_GB2312" w:hAnsi="宋体" w:eastAsia="仿宋_GB2312"/>
          <w:sz w:val="32"/>
          <w:szCs w:val="32"/>
          <w:lang w:val="zh-CN"/>
        </w:rPr>
        <w:t>3.建设内容及规模：</w:t>
      </w:r>
      <w:r>
        <w:rPr>
          <w:rFonts w:hint="eastAsia" w:ascii="仿宋" w:hAnsi="仿宋" w:eastAsia="仿宋"/>
          <w:sz w:val="32"/>
          <w:szCs w:val="32"/>
          <w:lang w:val="zh-CN"/>
        </w:rPr>
        <w:t>道路全长205米，宽30米，建设面积为6150平方米，包含人行道、各种管线、雨污水管、给水管、绿化、路灯、标识标牌等配套设施。</w:t>
      </w:r>
    </w:p>
    <w:p>
      <w:pPr>
        <w:adjustRightInd w:val="0"/>
        <w:snapToGrid w:val="0"/>
        <w:spacing w:line="520" w:lineRule="exact"/>
        <w:ind w:firstLine="720" w:firstLineChars="225"/>
        <w:rPr>
          <w:rFonts w:ascii="仿宋_GB2312" w:hAnsi="宋体" w:eastAsia="仿宋_GB2312"/>
          <w:sz w:val="32"/>
          <w:szCs w:val="32"/>
          <w:lang w:val="zh-CN"/>
        </w:rPr>
      </w:pPr>
      <w:r>
        <w:rPr>
          <w:rFonts w:hint="eastAsia" w:ascii="仿宋_GB2312" w:hAnsi="宋体" w:eastAsia="仿宋_GB2312"/>
          <w:sz w:val="32"/>
          <w:szCs w:val="32"/>
          <w:lang w:val="zh-CN"/>
        </w:rPr>
        <w:t>4．资金来源：本级财政资金。</w:t>
      </w:r>
    </w:p>
    <w:p>
      <w:pPr>
        <w:adjustRightInd w:val="0"/>
        <w:snapToGrid w:val="0"/>
        <w:spacing w:line="520" w:lineRule="exact"/>
        <w:ind w:firstLine="722" w:firstLineChars="225"/>
        <w:rPr>
          <w:rFonts w:ascii="仿宋_GB2312" w:hAnsi="宋体" w:eastAsia="仿宋_GB2312"/>
          <w:sz w:val="32"/>
          <w:szCs w:val="32"/>
          <w:lang w:val="zh-CN"/>
        </w:rPr>
      </w:pPr>
      <w:r>
        <w:rPr>
          <w:rFonts w:hint="eastAsia" w:ascii="楷体_GB2312" w:hAnsi="宋体" w:eastAsia="楷体_GB2312"/>
          <w:b/>
          <w:sz w:val="32"/>
          <w:szCs w:val="32"/>
          <w:lang w:val="zh-CN"/>
        </w:rPr>
        <w:t>（二）项目绩效目标。</w:t>
      </w:r>
    </w:p>
    <w:p>
      <w:pPr>
        <w:adjustRightInd w:val="0"/>
        <w:snapToGrid w:val="0"/>
        <w:spacing w:line="52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．预期目标：起点接已建常兴街，终点接已英伦城邦楼盘地下停车场出口处，道路全长</w:t>
      </w:r>
      <w:r>
        <w:rPr>
          <w:rFonts w:hint="eastAsia" w:ascii="仿宋" w:hAnsi="仿宋" w:eastAsia="仿宋"/>
          <w:sz w:val="32"/>
          <w:szCs w:val="32"/>
          <w:lang w:val="zh-CN"/>
        </w:rPr>
        <w:t>205</w:t>
      </w:r>
      <w:r>
        <w:rPr>
          <w:rFonts w:hint="eastAsia" w:ascii="仿宋_GB2312" w:hAnsi="宋体" w:eastAsia="仿宋_GB2312"/>
          <w:sz w:val="32"/>
          <w:szCs w:val="32"/>
          <w:lang w:val="zh-CN"/>
        </w:rPr>
        <w:t>米，红线宽度30米，按照城市次干路标准设计，设计时速30km/h，设计内容包含道路、排水、给水、照明、交安及附属工程等。</w:t>
      </w:r>
    </w:p>
    <w:p>
      <w:pPr>
        <w:adjustRightInd w:val="0"/>
        <w:snapToGrid w:val="0"/>
        <w:spacing w:line="520" w:lineRule="exact"/>
        <w:ind w:firstLine="720"/>
        <w:rPr>
          <w:rFonts w:ascii="仿宋" w:hAnsi="仿宋" w:eastAsia="仿宋"/>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w:t>
      </w:r>
      <w:r>
        <w:rPr>
          <w:rFonts w:hint="eastAsia" w:ascii="仿宋" w:hAnsi="仿宋" w:eastAsia="仿宋"/>
          <w:sz w:val="32"/>
          <w:szCs w:val="32"/>
          <w:lang w:val="zh-CN"/>
        </w:rPr>
        <w:t>提升区域内的交通容量，缓解城市主要道路的压力；完善城东新区城市道路基础设施，加快片区建设；优化路网结构，加强区域连接。项目计划</w:t>
      </w:r>
      <w:r>
        <w:rPr>
          <w:rFonts w:hint="eastAsia" w:ascii="仿宋_GB2312" w:hAnsi="宋体" w:eastAsia="仿宋_GB2312"/>
          <w:sz w:val="32"/>
          <w:szCs w:val="32"/>
          <w:lang w:val="zh-CN"/>
        </w:rPr>
        <w:t>2022年6月开工，2022年年底完工。</w:t>
      </w:r>
    </w:p>
    <w:p>
      <w:pPr>
        <w:adjustRightInd w:val="0"/>
        <w:snapToGrid w:val="0"/>
        <w:spacing w:line="52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．申报内容与实际相符，申报目标合理可行。</w:t>
      </w:r>
    </w:p>
    <w:p>
      <w:pPr>
        <w:adjustRightInd w:val="0"/>
        <w:snapToGrid w:val="0"/>
        <w:spacing w:line="52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20" w:lineRule="exact"/>
        <w:ind w:firstLine="720"/>
        <w:rPr>
          <w:rFonts w:ascii="仿宋" w:hAnsi="仿宋" w:eastAsia="仿宋"/>
          <w:color w:val="FF0000"/>
          <w:sz w:val="32"/>
          <w:szCs w:val="32"/>
          <w:lang w:val="zh-CN"/>
        </w:rPr>
      </w:pPr>
      <w:r>
        <w:rPr>
          <w:rFonts w:hint="eastAsia" w:ascii="仿宋" w:hAnsi="仿宋" w:eastAsia="仿宋"/>
          <w:sz w:val="32"/>
          <w:szCs w:val="32"/>
          <w:lang w:val="zh-CN"/>
        </w:rPr>
        <w:t>由我局开展财政资金使用情况自评并撰写部门预算支出绩效报告，按规范格式按时提交自评报告。</w:t>
      </w:r>
    </w:p>
    <w:p>
      <w:pPr>
        <w:adjustRightInd w:val="0"/>
        <w:snapToGrid w:val="0"/>
        <w:spacing w:line="52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20" w:lineRule="exact"/>
        <w:ind w:firstLine="720"/>
        <w:rPr>
          <w:rFonts w:ascii="仿宋" w:hAnsi="仿宋" w:eastAsia="仿宋"/>
          <w:sz w:val="32"/>
          <w:szCs w:val="32"/>
          <w:lang w:val="zh-CN"/>
        </w:rPr>
      </w:pPr>
      <w:r>
        <w:rPr>
          <w:rFonts w:hint="eastAsia" w:ascii="仿宋" w:hAnsi="仿宋" w:eastAsia="仿宋"/>
          <w:sz w:val="32"/>
          <w:szCs w:val="32"/>
          <w:lang w:val="zh-CN"/>
        </w:rPr>
        <w:t>项目经市发改局《</w:t>
      </w:r>
      <w:r>
        <w:rPr>
          <w:rFonts w:hint="eastAsia" w:ascii="宋体" w:hAnsi="宋体" w:eastAsia="仿宋_GB2312" w:cs="宋体"/>
          <w:kern w:val="0"/>
          <w:sz w:val="32"/>
          <w:szCs w:val="21"/>
        </w:rPr>
        <w:t>关于</w:t>
      </w:r>
      <w:r>
        <w:rPr>
          <w:rFonts w:hint="eastAsia" w:ascii="仿宋_GB2312" w:hAnsi="宋体" w:eastAsia="仿宋_GB2312"/>
          <w:sz w:val="32"/>
          <w:szCs w:val="32"/>
        </w:rPr>
        <w:t>常州路南段新建工程</w:t>
      </w:r>
      <w:r>
        <w:rPr>
          <w:rFonts w:hint="eastAsia" w:ascii="宋体" w:hAnsi="宋体" w:eastAsia="仿宋_GB2312" w:cs="宋体"/>
          <w:kern w:val="0"/>
          <w:sz w:val="32"/>
          <w:szCs w:val="21"/>
        </w:rPr>
        <w:t>项目建议书的批复》（竹发改建（2021）79号）批复立项、</w:t>
      </w:r>
      <w:r>
        <w:rPr>
          <w:rFonts w:hint="eastAsia" w:ascii="仿宋" w:hAnsi="仿宋" w:eastAsia="仿宋"/>
          <w:sz w:val="32"/>
          <w:szCs w:val="32"/>
          <w:lang w:val="zh-CN"/>
        </w:rPr>
        <w:t>经市发改局《关于</w:t>
      </w:r>
      <w:r>
        <w:rPr>
          <w:rFonts w:hint="eastAsia" w:ascii="仿宋_GB2312" w:hAnsi="宋体" w:eastAsia="仿宋_GB2312"/>
          <w:sz w:val="32"/>
          <w:szCs w:val="32"/>
        </w:rPr>
        <w:t>常州路南段新建工程</w:t>
      </w:r>
      <w:r>
        <w:rPr>
          <w:rFonts w:hint="eastAsia" w:ascii="仿宋" w:hAnsi="仿宋" w:eastAsia="仿宋"/>
          <w:sz w:val="32"/>
          <w:szCs w:val="32"/>
          <w:lang w:val="zh-CN"/>
        </w:rPr>
        <w:t>投资概算的批复》（竹发改审（2022）25号）批复概算金额为1053.21万元，资金来源为本级财政资金。</w:t>
      </w:r>
    </w:p>
    <w:p>
      <w:pPr>
        <w:adjustRightInd w:val="0"/>
        <w:snapToGrid w:val="0"/>
        <w:spacing w:line="52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520" w:lineRule="exact"/>
        <w:ind w:firstLine="800" w:firstLineChars="250"/>
        <w:rPr>
          <w:rFonts w:ascii="宋体" w:hAnsi="宋体" w:eastAsia="仿宋_GB2312" w:cs="宋体"/>
          <w:kern w:val="0"/>
          <w:sz w:val="32"/>
          <w:szCs w:val="21"/>
        </w:rPr>
      </w:pPr>
      <w:r>
        <w:rPr>
          <w:rFonts w:ascii="宋体" w:hAnsi="宋体" w:eastAsia="仿宋_GB2312" w:cs="宋体"/>
          <w:kern w:val="0"/>
          <w:sz w:val="32"/>
          <w:szCs w:val="21"/>
        </w:rPr>
        <w:t>1</w:t>
      </w:r>
      <w:r>
        <w:rPr>
          <w:rFonts w:hint="eastAsia" w:ascii="宋体" w:hAnsi="宋体" w:eastAsia="仿宋_GB2312" w:cs="宋体"/>
          <w:kern w:val="0"/>
          <w:sz w:val="32"/>
          <w:szCs w:val="21"/>
        </w:rPr>
        <w:t>．</w:t>
      </w:r>
      <w:r>
        <w:rPr>
          <w:rFonts w:hint="eastAsia" w:ascii="楷体_GB2312" w:hAnsi="宋体" w:eastAsia="楷体_GB2312"/>
          <w:sz w:val="32"/>
          <w:szCs w:val="32"/>
          <w:lang w:val="zh-CN"/>
        </w:rPr>
        <w:t>资金计划及到位。</w:t>
      </w:r>
      <w:r>
        <w:rPr>
          <w:rFonts w:hint="eastAsia" w:ascii="宋体" w:hAnsi="宋体" w:eastAsia="仿宋_GB2312" w:cs="宋体"/>
          <w:kern w:val="0"/>
          <w:sz w:val="32"/>
          <w:szCs w:val="21"/>
        </w:rPr>
        <w:t>该项目2021年年初预算本级财政资金370万元，（调整市住建局：因指标项目名称下达错误，现调整项目名称。竹财资环调（2021）46号调减186万元），年底追减预算0.2万元（竹财资环减（2021）55号-5），实际到位资金183.8万元。各项资金按时到位，到位率100%。</w:t>
      </w:r>
    </w:p>
    <w:p>
      <w:pPr>
        <w:adjustRightInd w:val="0"/>
        <w:snapToGrid w:val="0"/>
        <w:spacing w:line="520" w:lineRule="exact"/>
        <w:ind w:firstLine="800" w:firstLineChars="250"/>
        <w:rPr>
          <w:rFonts w:ascii="仿宋_GB2312" w:hAnsi="宋体" w:eastAsia="仿宋_GB2312"/>
          <w:b/>
          <w:sz w:val="32"/>
          <w:szCs w:val="32"/>
          <w:u w:val="single"/>
        </w:rPr>
      </w:pPr>
      <w:r>
        <w:rPr>
          <w:rFonts w:ascii="楷体_GB2312" w:hAnsi="宋体" w:eastAsia="楷体_GB2312"/>
          <w:sz w:val="32"/>
          <w:szCs w:val="32"/>
          <w:lang w:val="zh-CN"/>
        </w:rPr>
        <w:t>2</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项目2021年完成支付</w:t>
      </w:r>
      <w:r>
        <w:rPr>
          <w:rFonts w:hint="eastAsia" w:ascii="仿宋_GB2312" w:hAnsi="宋体" w:eastAsia="仿宋_GB2312"/>
          <w:sz w:val="32"/>
          <w:szCs w:val="32"/>
        </w:rPr>
        <w:t>183.8</w:t>
      </w:r>
      <w:r>
        <w:rPr>
          <w:rFonts w:hint="eastAsia" w:ascii="仿宋_GB2312" w:hAnsi="宋体" w:eastAsia="仿宋_GB2312"/>
          <w:sz w:val="32"/>
          <w:szCs w:val="32"/>
          <w:lang w:val="zh-CN"/>
        </w:rPr>
        <w:t>万元。工程严格按用地批复的实际亩数，支付土地费，支付进度100%，支付依据合规合法。由于该项目正在推进</w:t>
      </w:r>
      <w:r>
        <w:rPr>
          <w:rFonts w:hint="eastAsia" w:ascii="仿宋" w:hAnsi="仿宋" w:eastAsia="仿宋"/>
          <w:sz w:val="32"/>
          <w:szCs w:val="32"/>
          <w:lang w:val="zh-CN"/>
        </w:rPr>
        <w:t>施工合同的签订和施工许可证的办理，为施工做前期准备。</w:t>
      </w:r>
    </w:p>
    <w:p>
      <w:pPr>
        <w:adjustRightInd w:val="0"/>
        <w:snapToGrid w:val="0"/>
        <w:spacing w:line="52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20" w:lineRule="exact"/>
        <w:ind w:firstLine="720"/>
        <w:rPr>
          <w:rFonts w:ascii="仿宋" w:hAnsi="仿宋" w:eastAsia="仿宋"/>
          <w:sz w:val="32"/>
          <w:szCs w:val="32"/>
          <w:lang w:val="zh-CN"/>
        </w:rPr>
      </w:pPr>
      <w:r>
        <w:rPr>
          <w:rFonts w:hint="eastAsia" w:ascii="仿宋_GB2312" w:hAnsi="宋体" w:eastAsia="仿宋_GB2312"/>
          <w:sz w:val="32"/>
          <w:szCs w:val="32"/>
          <w:lang w:val="zh-CN"/>
        </w:rPr>
        <w:t>项目实施单位财务管理制度健全，严格执行财务管理制度，</w:t>
      </w:r>
      <w:r>
        <w:rPr>
          <w:rFonts w:hint="eastAsia" w:ascii="仿宋" w:hAnsi="仿宋" w:eastAsia="仿宋"/>
          <w:sz w:val="32"/>
          <w:szCs w:val="32"/>
          <w:lang w:val="zh-CN"/>
        </w:rPr>
        <w:t>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52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20" w:lineRule="exact"/>
        <w:ind w:firstLine="720"/>
        <w:rPr>
          <w:rFonts w:ascii="仿宋" w:hAnsi="仿宋" w:eastAsia="仿宋"/>
          <w:sz w:val="32"/>
          <w:szCs w:val="32"/>
          <w:lang w:val="zh-CN"/>
        </w:rPr>
      </w:pPr>
      <w:r>
        <w:rPr>
          <w:rFonts w:hint="eastAsia" w:ascii="仿宋" w:hAnsi="仿宋" w:eastAsia="仿宋"/>
          <w:sz w:val="32"/>
          <w:szCs w:val="32"/>
          <w:lang w:val="zh-CN"/>
        </w:rPr>
        <w:t>项目按建设工程基本程序实施，职能主管部门的审批完成后，执行了招投标制、合同制、监理制、项目法人责任制等规定的手续和流程。手续完备、流程合法合规。</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520" w:lineRule="exact"/>
        <w:ind w:firstLine="720"/>
        <w:rPr>
          <w:rFonts w:ascii="仿宋_GB2312" w:hAnsi="宋体" w:eastAsia="仿宋_GB2312"/>
          <w:sz w:val="32"/>
          <w:szCs w:val="32"/>
        </w:rPr>
      </w:pPr>
      <w:r>
        <w:rPr>
          <w:rFonts w:hint="eastAsia" w:ascii="仿宋_GB2312" w:hAnsi="宋体" w:eastAsia="仿宋_GB2312"/>
          <w:sz w:val="32"/>
          <w:szCs w:val="32"/>
        </w:rPr>
        <w:t>项目实施中，成立了专门的组织机构，实行专人负责管理并有明确职责分工。依据相关规定，与施工方签订了施工合同。建立了专门的项目管理制度，包括工程质量控制、进度控制、安全控制等方面进行监管。在验收阶段，进行了造价审核并出具了审核报告，完成了项目的初验和终验。</w:t>
      </w:r>
    </w:p>
    <w:p>
      <w:pPr>
        <w:adjustRightInd w:val="0"/>
        <w:snapToGrid w:val="0"/>
        <w:spacing w:line="520" w:lineRule="exact"/>
        <w:ind w:firstLine="800" w:firstLineChars="25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20" w:lineRule="exact"/>
        <w:ind w:firstLine="720"/>
        <w:rPr>
          <w:rFonts w:ascii="仿宋" w:hAnsi="仿宋" w:eastAsia="仿宋"/>
          <w:sz w:val="32"/>
          <w:szCs w:val="32"/>
          <w:lang w:val="zh-CN"/>
        </w:rPr>
      </w:pPr>
      <w:r>
        <w:rPr>
          <w:rFonts w:hint="eastAsia" w:ascii="仿宋" w:hAnsi="仿宋" w:eastAsia="仿宋"/>
          <w:sz w:val="32"/>
          <w:szCs w:val="32"/>
          <w:lang w:val="zh-CN"/>
        </w:rPr>
        <w:t>项目严格按图施工，按相关规范和质量标准施工，现正在推进签施工合同和办理施工许可证，为施工做前期准备。</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20" w:lineRule="exact"/>
        <w:ind w:firstLine="720"/>
        <w:rPr>
          <w:rFonts w:ascii="仿宋" w:hAnsi="仿宋" w:eastAsia="仿宋"/>
          <w:sz w:val="32"/>
          <w:szCs w:val="32"/>
          <w:lang w:val="zh-CN"/>
        </w:rPr>
      </w:pPr>
      <w:r>
        <w:rPr>
          <w:rFonts w:hint="eastAsia" w:ascii="仿宋" w:hAnsi="仿宋" w:eastAsia="仿宋"/>
          <w:sz w:val="32"/>
          <w:szCs w:val="32"/>
          <w:lang w:val="zh-CN"/>
        </w:rPr>
        <w:t>项目产出达到预期的数量、质量达标。从项目的效益看，项目实施适应社会经济发展的需要、能够体现城市特色、改善民生民计、能够为地方产生综合效益，带来可持续影响。项目服务对象对项目的满意度比较高。</w:t>
      </w:r>
    </w:p>
    <w:p>
      <w:pPr>
        <w:adjustRightInd w:val="0"/>
        <w:snapToGrid w:val="0"/>
        <w:spacing w:line="52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项目实际完成率、完成及时率均达到或超过绩效目标，质量达标率良好，产出成本可控，管理工作规范，社会效益良好，项目可持续性强，服务对象总体较满意。评定级别为“优”。</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tbl>
      <w:tblPr>
        <w:tblStyle w:val="13"/>
        <w:tblW w:w="9300" w:type="dxa"/>
        <w:jc w:val="center"/>
        <w:tblLayout w:type="autofit"/>
        <w:tblCellMar>
          <w:top w:w="0" w:type="dxa"/>
          <w:left w:w="108" w:type="dxa"/>
          <w:bottom w:w="0" w:type="dxa"/>
          <w:right w:w="108" w:type="dxa"/>
        </w:tblCellMar>
      </w:tblPr>
      <w:tblGrid>
        <w:gridCol w:w="980"/>
        <w:gridCol w:w="980"/>
        <w:gridCol w:w="1500"/>
        <w:gridCol w:w="1080"/>
        <w:gridCol w:w="880"/>
        <w:gridCol w:w="1840"/>
        <w:gridCol w:w="2040"/>
      </w:tblGrid>
      <w:tr>
        <w:tblPrEx>
          <w:tblCellMar>
            <w:top w:w="0" w:type="dxa"/>
            <w:left w:w="108" w:type="dxa"/>
            <w:bottom w:w="0" w:type="dxa"/>
            <w:right w:w="108" w:type="dxa"/>
          </w:tblCellMar>
        </w:tblPrEx>
        <w:trPr>
          <w:trHeight w:val="405" w:hRule="atLeast"/>
          <w:jc w:val="center"/>
        </w:trPr>
        <w:tc>
          <w:tcPr>
            <w:tcW w:w="9300" w:type="dxa"/>
            <w:gridSpan w:val="7"/>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30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85" w:hRule="atLeast"/>
          <w:jc w:val="center"/>
        </w:trPr>
        <w:tc>
          <w:tcPr>
            <w:tcW w:w="980" w:type="dxa"/>
            <w:tcBorders>
              <w:top w:val="nil"/>
              <w:left w:val="nil"/>
              <w:bottom w:val="nil"/>
              <w:right w:val="nil"/>
            </w:tcBorders>
            <w:shd w:val="clear" w:color="auto" w:fill="auto"/>
            <w:vAlign w:val="center"/>
          </w:tcPr>
          <w:p>
            <w:pPr>
              <w:widowControl/>
              <w:jc w:val="center"/>
              <w:rPr>
                <w:rFonts w:ascii="宋体" w:hAnsi="宋体" w:cs="宋体"/>
                <w:kern w:val="0"/>
                <w:sz w:val="24"/>
              </w:rPr>
            </w:pPr>
          </w:p>
        </w:tc>
        <w:tc>
          <w:tcPr>
            <w:tcW w:w="98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150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108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88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184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c>
          <w:tcPr>
            <w:tcW w:w="2040" w:type="dxa"/>
            <w:tcBorders>
              <w:top w:val="nil"/>
              <w:left w:val="nil"/>
              <w:bottom w:val="nil"/>
              <w:right w:val="nil"/>
            </w:tcBorders>
            <w:shd w:val="clear" w:color="auto" w:fill="auto"/>
            <w:vAlign w:val="center"/>
          </w:tcPr>
          <w:p>
            <w:pPr>
              <w:widowControl/>
              <w:jc w:val="center"/>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9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0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8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84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04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51" w:hRule="atLeast"/>
          <w:jc w:val="center"/>
        </w:trPr>
        <w:tc>
          <w:tcPr>
            <w:tcW w:w="3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8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常州路南段新建工程</w:t>
            </w:r>
          </w:p>
        </w:tc>
      </w:tr>
      <w:tr>
        <w:tblPrEx>
          <w:tblCellMar>
            <w:top w:w="0" w:type="dxa"/>
            <w:left w:w="108" w:type="dxa"/>
            <w:bottom w:w="0" w:type="dxa"/>
            <w:right w:w="108" w:type="dxa"/>
          </w:tblCellMar>
        </w:tblPrEx>
        <w:trPr>
          <w:trHeight w:val="400" w:hRule="atLeast"/>
          <w:jc w:val="center"/>
        </w:trPr>
        <w:tc>
          <w:tcPr>
            <w:tcW w:w="3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8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420"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4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9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183.8</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183.8</w:t>
            </w:r>
          </w:p>
        </w:tc>
      </w:tr>
      <w:tr>
        <w:tblPrEx>
          <w:tblCellMar>
            <w:top w:w="0" w:type="dxa"/>
            <w:left w:w="108" w:type="dxa"/>
            <w:bottom w:w="0" w:type="dxa"/>
            <w:right w:w="108" w:type="dxa"/>
          </w:tblCellMar>
        </w:tblPrEx>
        <w:trPr>
          <w:trHeight w:val="780"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183.8</w:t>
            </w:r>
          </w:p>
        </w:tc>
        <w:tc>
          <w:tcPr>
            <w:tcW w:w="184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183.8</w:t>
            </w:r>
          </w:p>
        </w:tc>
      </w:tr>
      <w:tr>
        <w:tblPrEx>
          <w:tblCellMar>
            <w:top w:w="0" w:type="dxa"/>
            <w:left w:w="108" w:type="dxa"/>
            <w:bottom w:w="0" w:type="dxa"/>
            <w:right w:w="108" w:type="dxa"/>
          </w:tblCellMar>
        </w:tblPrEx>
        <w:trPr>
          <w:trHeight w:val="780"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4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0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95"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8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425"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工程严格按用地批复的实际亩数，支付土地费。</w:t>
            </w:r>
          </w:p>
        </w:tc>
        <w:tc>
          <w:tcPr>
            <w:tcW w:w="38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br w:type="textWrapping"/>
            </w:r>
            <w:r>
              <w:rPr>
                <w:rFonts w:hint="eastAsia" w:ascii="宋体" w:hAnsi="宋体" w:cs="宋体"/>
                <w:kern w:val="0"/>
                <w:sz w:val="20"/>
                <w:szCs w:val="20"/>
              </w:rPr>
              <w:t>工程严格按用地批复的实际亩数，支付土地费。</w:t>
            </w:r>
          </w:p>
        </w:tc>
      </w:tr>
      <w:tr>
        <w:tblPrEx>
          <w:tblCellMar>
            <w:top w:w="0" w:type="dxa"/>
            <w:left w:w="108" w:type="dxa"/>
            <w:bottom w:w="0" w:type="dxa"/>
            <w:right w:w="108" w:type="dxa"/>
          </w:tblCellMar>
        </w:tblPrEx>
        <w:trPr>
          <w:trHeight w:val="480"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土地亩数</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9.19亩</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完成年度计划土地费的征收</w:t>
            </w:r>
          </w:p>
        </w:tc>
      </w:tr>
      <w:tr>
        <w:tblPrEx>
          <w:tblCellMar>
            <w:top w:w="0" w:type="dxa"/>
            <w:left w:w="108" w:type="dxa"/>
            <w:bottom w:w="0" w:type="dxa"/>
            <w:right w:w="108" w:type="dxa"/>
          </w:tblCellMar>
        </w:tblPrEx>
        <w:trPr>
          <w:trHeight w:val="480"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完成时间</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2021年年底</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2021年12月22日拨付</w:t>
            </w:r>
          </w:p>
        </w:tc>
      </w:tr>
      <w:tr>
        <w:tblPrEx>
          <w:tblCellMar>
            <w:top w:w="0" w:type="dxa"/>
            <w:left w:w="108" w:type="dxa"/>
            <w:bottom w:w="0" w:type="dxa"/>
            <w:right w:w="108" w:type="dxa"/>
          </w:tblCellMar>
        </w:tblPrEx>
        <w:trPr>
          <w:trHeight w:val="480"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支付项目工程土地费</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183.8</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实际支付183.8万元。</w:t>
            </w:r>
          </w:p>
        </w:tc>
      </w:tr>
      <w:tr>
        <w:tblPrEx>
          <w:tblCellMar>
            <w:top w:w="0" w:type="dxa"/>
            <w:left w:w="108" w:type="dxa"/>
            <w:bottom w:w="0" w:type="dxa"/>
            <w:right w:w="108" w:type="dxa"/>
          </w:tblCellMar>
        </w:tblPrEx>
        <w:trPr>
          <w:trHeight w:val="645"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改善人民生活环境，美化社区环境</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960"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促进该地区的城市建设，方便新建楼盘群众生产生活</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795"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满意度</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（城北市场花园街周边道路环境应急整治资金项目）</w:t>
      </w:r>
    </w:p>
    <w:p>
      <w:pPr>
        <w:spacing w:line="580" w:lineRule="exact"/>
        <w:ind w:firstLine="640"/>
        <w:jc w:val="center"/>
        <w:rPr>
          <w:rFonts w:hint="eastAsia" w:ascii="宋体" w:hAnsi="??"/>
          <w:sz w:val="32"/>
          <w:szCs w:val="32"/>
        </w:rPr>
      </w:pPr>
    </w:p>
    <w:p>
      <w:pPr>
        <w:adjustRightInd w:val="0"/>
        <w:snapToGrid w:val="0"/>
        <w:spacing w:line="5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00" w:lineRule="exact"/>
        <w:ind w:firstLine="720" w:firstLineChars="225"/>
        <w:rPr>
          <w:rFonts w:ascii="仿宋_GB2312" w:hAnsi="宋体" w:eastAsia="仿宋_GB2312"/>
          <w:sz w:val="32"/>
          <w:szCs w:val="32"/>
        </w:rPr>
      </w:pPr>
      <w:r>
        <w:rPr>
          <w:rFonts w:hint="eastAsia" w:ascii="仿宋_GB2312" w:hAnsi="宋体" w:eastAsia="仿宋_GB2312"/>
          <w:sz w:val="32"/>
          <w:szCs w:val="32"/>
          <w:lang w:val="zh-CN"/>
        </w:rPr>
        <w:t>根据2021年9月4日，我局收到第二轮中央生态环境环保督察信访事项交办单，基本情况为：绵竹市</w:t>
      </w:r>
      <w:r>
        <w:rPr>
          <w:rFonts w:hint="eastAsia" w:ascii="仿宋_GB2312" w:hAnsi="宋体" w:eastAsia="仿宋_GB2312"/>
          <w:sz w:val="32"/>
          <w:szCs w:val="32"/>
        </w:rPr>
        <w:t>城北市场的四川顶邦房地产开发有限公司建设工地噪音、扬尘扰民。该件由我局牵头，紫岩街道配合办理。</w:t>
      </w:r>
      <w:r>
        <w:rPr>
          <w:rFonts w:hint="eastAsia" w:ascii="仿宋_GB2312" w:hAnsi="宋体" w:eastAsia="仿宋_GB2312"/>
          <w:sz w:val="32"/>
          <w:szCs w:val="32"/>
          <w:lang w:val="zh-CN"/>
        </w:rPr>
        <w:t>为改善</w:t>
      </w:r>
      <w:r>
        <w:rPr>
          <w:rFonts w:hint="eastAsia" w:ascii="仿宋_GB2312" w:hAnsi="宋体" w:eastAsia="仿宋_GB2312"/>
          <w:sz w:val="32"/>
          <w:szCs w:val="32"/>
        </w:rPr>
        <w:t>城北市场花园街周边道路环境，方便周边群众出行，避免再出现环保投诉事件。经我局与紫岩街道会商，并请示领导同意，按应急处置方式对花园街路面采用混凝土浇筑进行硬化处理。</w:t>
      </w:r>
    </w:p>
    <w:p>
      <w:pPr>
        <w:adjustRightInd w:val="0"/>
        <w:snapToGrid w:val="0"/>
        <w:spacing w:line="500" w:lineRule="exact"/>
        <w:ind w:firstLine="720" w:firstLineChars="225"/>
        <w:rPr>
          <w:rFonts w:ascii="仿宋_GB2312" w:hAnsi="宋体" w:eastAsia="仿宋_GB2312"/>
          <w:sz w:val="32"/>
          <w:szCs w:val="32"/>
          <w:lang w:val="zh-CN"/>
        </w:rPr>
      </w:pPr>
      <w:r>
        <w:rPr>
          <w:rFonts w:hint="eastAsia" w:ascii="仿宋_GB2312" w:hAnsi="宋体" w:eastAsia="仿宋_GB2312"/>
          <w:sz w:val="32"/>
          <w:szCs w:val="32"/>
          <w:lang w:val="zh-CN"/>
        </w:rPr>
        <w:t>资金来源：本级财政资金</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00" w:lineRule="exact"/>
        <w:ind w:firstLine="720"/>
        <w:rPr>
          <w:rFonts w:ascii="仿宋_GB2312" w:hAnsi="宋体" w:eastAsia="仿宋_GB2312"/>
          <w:sz w:val="32"/>
          <w:szCs w:val="32"/>
        </w:rPr>
      </w:pPr>
      <w:r>
        <w:rPr>
          <w:rFonts w:ascii="仿宋_GB2312" w:hAnsi="宋体" w:eastAsia="仿宋_GB2312"/>
          <w:sz w:val="32"/>
          <w:szCs w:val="32"/>
          <w:lang w:val="zh-CN"/>
        </w:rPr>
        <w:t>1</w:t>
      </w:r>
      <w:r>
        <w:rPr>
          <w:rFonts w:hint="eastAsia" w:ascii="仿宋_GB2312" w:hAnsi="宋体" w:eastAsia="仿宋_GB2312"/>
          <w:sz w:val="32"/>
          <w:szCs w:val="32"/>
          <w:lang w:val="zh-CN"/>
        </w:rPr>
        <w:t>．预期目标：住建局负责对该项目旁边花园街路面</w:t>
      </w:r>
      <w:r>
        <w:rPr>
          <w:rFonts w:hint="eastAsia" w:ascii="仿宋_GB2312" w:hAnsi="宋体" w:eastAsia="仿宋_GB2312"/>
          <w:sz w:val="32"/>
          <w:szCs w:val="32"/>
        </w:rPr>
        <w:t>按应急处置方式对花园街路面采用混凝土浇筑进行硬化处理。对周边环境进行整治。</w:t>
      </w:r>
    </w:p>
    <w:p>
      <w:pPr>
        <w:adjustRightInd w:val="0"/>
        <w:snapToGrid w:val="0"/>
        <w:spacing w:line="500" w:lineRule="exact"/>
        <w:ind w:firstLine="720"/>
        <w:rPr>
          <w:rFonts w:ascii="仿宋" w:hAnsi="仿宋" w:eastAsia="仿宋"/>
          <w:sz w:val="32"/>
          <w:szCs w:val="32"/>
          <w:lang w:val="zh-CN"/>
        </w:rPr>
      </w:pPr>
      <w:r>
        <w:rPr>
          <w:rFonts w:ascii="仿宋_GB2312" w:hAnsi="宋体" w:eastAsia="仿宋_GB2312"/>
          <w:sz w:val="32"/>
          <w:szCs w:val="32"/>
          <w:lang w:val="zh-CN"/>
        </w:rPr>
        <w:t xml:space="preserve"> 2</w:t>
      </w:r>
      <w:r>
        <w:rPr>
          <w:rFonts w:hint="eastAsia" w:ascii="仿宋_GB2312" w:hAnsi="宋体" w:eastAsia="仿宋_GB2312"/>
          <w:sz w:val="32"/>
          <w:szCs w:val="32"/>
          <w:lang w:val="zh-CN"/>
        </w:rPr>
        <w:t>．</w:t>
      </w:r>
      <w:r>
        <w:rPr>
          <w:rFonts w:hint="eastAsia" w:ascii="仿宋" w:hAnsi="仿宋" w:eastAsia="仿宋"/>
          <w:sz w:val="32"/>
          <w:szCs w:val="32"/>
          <w:lang w:val="zh-CN"/>
        </w:rPr>
        <w:t>为改善花园街环境，</w:t>
      </w:r>
      <w:r>
        <w:rPr>
          <w:rFonts w:hint="eastAsia" w:ascii="仿宋_GB2312" w:hAnsi="宋体" w:eastAsia="仿宋_GB2312"/>
          <w:sz w:val="32"/>
          <w:szCs w:val="32"/>
        </w:rPr>
        <w:t>方便周边群众出行，避免再出现环保投诉事件。</w:t>
      </w:r>
    </w:p>
    <w:p>
      <w:pPr>
        <w:adjustRightInd w:val="0"/>
        <w:snapToGrid w:val="0"/>
        <w:spacing w:line="5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．申报内容与实际相符，申报目标合理可行。</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00" w:lineRule="exact"/>
        <w:ind w:firstLine="720"/>
        <w:rPr>
          <w:rFonts w:ascii="仿宋" w:hAnsi="仿宋" w:eastAsia="仿宋"/>
          <w:color w:val="FF0000"/>
          <w:sz w:val="32"/>
          <w:szCs w:val="32"/>
          <w:lang w:val="zh-CN"/>
        </w:rPr>
      </w:pPr>
      <w:r>
        <w:rPr>
          <w:rFonts w:hint="eastAsia" w:ascii="仿宋" w:hAnsi="仿宋" w:eastAsia="仿宋"/>
          <w:sz w:val="32"/>
          <w:szCs w:val="32"/>
          <w:lang w:val="zh-CN"/>
        </w:rPr>
        <w:t>由我局开展财政资金使用情况自评并撰写部门预算支出绩效报告，按规范格式按时提交自评报告</w:t>
      </w:r>
      <w:r>
        <w:rPr>
          <w:rFonts w:hint="eastAsia" w:ascii="仿宋" w:hAnsi="仿宋" w:eastAsia="仿宋"/>
          <w:color w:val="FF0000"/>
          <w:sz w:val="32"/>
          <w:szCs w:val="32"/>
          <w:lang w:val="zh-CN"/>
        </w:rPr>
        <w:t>。</w:t>
      </w:r>
    </w:p>
    <w:p>
      <w:pPr>
        <w:adjustRightInd w:val="0"/>
        <w:snapToGrid w:val="0"/>
        <w:spacing w:line="5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00" w:lineRule="exact"/>
        <w:ind w:firstLine="720"/>
        <w:rPr>
          <w:rFonts w:ascii="仿宋_GB2312" w:hAnsi="宋体" w:eastAsia="仿宋_GB2312"/>
          <w:color w:val="FF0000"/>
          <w:sz w:val="32"/>
          <w:szCs w:val="32"/>
          <w:lang w:val="zh-CN"/>
        </w:rPr>
      </w:pPr>
      <w:r>
        <w:rPr>
          <w:rFonts w:hint="eastAsia" w:ascii="仿宋" w:hAnsi="仿宋" w:eastAsia="仿宋"/>
          <w:sz w:val="32"/>
          <w:szCs w:val="32"/>
          <w:lang w:val="zh-CN"/>
        </w:rPr>
        <w:t>根据市领导对《关于申请城北市场花园街周边道路环境应急整治资金请示》（竹建</w:t>
      </w:r>
      <w:r>
        <w:rPr>
          <w:rFonts w:hint="eastAsia" w:ascii="宋体" w:hAnsi="宋体"/>
          <w:sz w:val="32"/>
          <w:szCs w:val="32"/>
          <w:lang w:val="zh-CN"/>
        </w:rPr>
        <w:t>﹝</w:t>
      </w:r>
      <w:r>
        <w:rPr>
          <w:rFonts w:hint="eastAsia" w:ascii="仿宋" w:hAnsi="仿宋" w:eastAsia="仿宋"/>
          <w:sz w:val="32"/>
          <w:szCs w:val="32"/>
          <w:lang w:val="zh-CN"/>
        </w:rPr>
        <w:t>2021</w:t>
      </w:r>
      <w:r>
        <w:rPr>
          <w:rFonts w:hint="eastAsia" w:ascii="宋体" w:hAnsi="宋体"/>
          <w:sz w:val="32"/>
          <w:szCs w:val="32"/>
          <w:lang w:val="zh-CN"/>
        </w:rPr>
        <w:t>﹞</w:t>
      </w:r>
      <w:r>
        <w:rPr>
          <w:rFonts w:hint="eastAsia" w:ascii="仿宋" w:hAnsi="仿宋" w:eastAsia="仿宋"/>
          <w:sz w:val="32"/>
          <w:szCs w:val="32"/>
          <w:lang w:val="zh-CN"/>
        </w:rPr>
        <w:t>313号；市政府公文处理笺B2021-889）的批示和工作安排，由我局牵头负责办理，我局立即安排人员进行实地查看，发现该项目旁边花园街路面为泥土路，道路通行条件差，行人及车流量大，车辆通行时造成的扬尘严重。经我局与紫岩街道会商，并请示市领导同意，按应急处置方式对花园街（长175米，宽8.73米，面积约1526.82平方米）</w:t>
      </w:r>
      <w:r>
        <w:rPr>
          <w:rFonts w:hint="eastAsia" w:ascii="仿宋_GB2312" w:hAnsi="宋体" w:eastAsia="仿宋_GB2312"/>
          <w:sz w:val="32"/>
          <w:szCs w:val="32"/>
        </w:rPr>
        <w:t>路面采用混凝土浇筑进行硬化处理。</w:t>
      </w:r>
      <w:r>
        <w:rPr>
          <w:rFonts w:hint="eastAsia" w:ascii="仿宋_GB2312" w:hAnsi="宋体" w:eastAsia="仿宋_GB2312"/>
          <w:color w:val="000000" w:themeColor="text1"/>
          <w:sz w:val="32"/>
          <w:szCs w:val="32"/>
          <w14:textFill>
            <w14:solidFill>
              <w14:schemeClr w14:val="tx1"/>
            </w14:solidFill>
          </w14:textFill>
        </w:rPr>
        <w:t>该项目于2021年9月4日开工，9月6日完工，工程费用约</w:t>
      </w:r>
      <w:r>
        <w:rPr>
          <w:rFonts w:hint="eastAsia" w:ascii="仿宋_GB2312" w:hAnsi="宋体" w:eastAsia="仿宋_GB2312"/>
          <w:color w:val="000000" w:themeColor="text1"/>
          <w:sz w:val="32"/>
          <w:szCs w:val="32"/>
          <w:lang w:val="en-US" w:eastAsia="zh-CN"/>
          <w14:textFill>
            <w14:solidFill>
              <w14:schemeClr w14:val="tx1"/>
            </w14:solidFill>
          </w14:textFill>
        </w:rPr>
        <w:t>9</w:t>
      </w:r>
      <w:r>
        <w:rPr>
          <w:rFonts w:hint="eastAsia" w:ascii="仿宋_GB2312" w:hAnsi="宋体" w:eastAsia="仿宋_GB2312"/>
          <w:color w:val="000000" w:themeColor="text1"/>
          <w:sz w:val="32"/>
          <w:szCs w:val="32"/>
          <w14:textFill>
            <w14:solidFill>
              <w14:schemeClr w14:val="tx1"/>
            </w14:solidFill>
          </w14:textFill>
        </w:rPr>
        <w:t>.5万元，审计费用</w:t>
      </w:r>
      <w:r>
        <w:rPr>
          <w:rFonts w:hint="eastAsia" w:ascii="仿宋_GB2312" w:hAnsi="宋体" w:eastAsia="仿宋_GB2312"/>
          <w:color w:val="000000" w:themeColor="text1"/>
          <w:sz w:val="32"/>
          <w:szCs w:val="32"/>
          <w:lang w:eastAsia="zh-CN"/>
          <w14:textFill>
            <w14:solidFill>
              <w14:schemeClr w14:val="tx1"/>
            </w14:solidFill>
          </w14:textFill>
        </w:rPr>
        <w:t>约</w:t>
      </w:r>
      <w:r>
        <w:rPr>
          <w:rFonts w:hint="eastAsia" w:ascii="仿宋_GB2312" w:hAnsi="宋体" w:eastAsia="仿宋_GB2312"/>
          <w:color w:val="000000" w:themeColor="text1"/>
          <w:sz w:val="32"/>
          <w:szCs w:val="32"/>
          <w14:textFill>
            <w14:solidFill>
              <w14:schemeClr w14:val="tx1"/>
            </w14:solidFill>
          </w14:textFill>
        </w:rPr>
        <w:t>0.4万元，共计9.9万元（最终以竣工结算审核为准）。</w:t>
      </w:r>
      <w:r>
        <w:rPr>
          <w:rFonts w:hint="eastAsia" w:ascii="仿宋" w:hAnsi="仿宋" w:eastAsia="仿宋"/>
          <w:color w:val="000000" w:themeColor="text1"/>
          <w:sz w:val="32"/>
          <w:szCs w:val="32"/>
          <w:lang w:val="zh-CN"/>
          <w14:textFill>
            <w14:solidFill>
              <w14:schemeClr w14:val="tx1"/>
            </w14:solidFill>
          </w14:textFill>
        </w:rPr>
        <w:t>市政府已同意向我局拨款9.9万元，用于支付花园街环境整治费用。</w:t>
      </w:r>
    </w:p>
    <w:p>
      <w:pPr>
        <w:adjustRightInd w:val="0"/>
        <w:snapToGrid w:val="0"/>
        <w:spacing w:line="500" w:lineRule="exact"/>
        <w:ind w:firstLine="481" w:firstLineChars="15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500" w:lineRule="exact"/>
        <w:ind w:firstLine="800" w:firstLineChars="250"/>
        <w:rPr>
          <w:rFonts w:ascii="宋体" w:hAnsi="宋体" w:eastAsia="仿宋_GB2312" w:cs="宋体"/>
          <w:kern w:val="0"/>
          <w:sz w:val="32"/>
          <w:szCs w:val="21"/>
        </w:rPr>
      </w:pPr>
      <w:r>
        <w:rPr>
          <w:rFonts w:ascii="宋体" w:hAnsi="宋体" w:eastAsia="仿宋_GB2312" w:cs="宋体"/>
          <w:kern w:val="0"/>
          <w:sz w:val="32"/>
          <w:szCs w:val="21"/>
        </w:rPr>
        <w:t>1</w:t>
      </w:r>
      <w:r>
        <w:rPr>
          <w:rFonts w:hint="eastAsia" w:ascii="宋体" w:hAnsi="宋体" w:eastAsia="仿宋_GB2312" w:cs="宋体"/>
          <w:kern w:val="0"/>
          <w:sz w:val="32"/>
          <w:szCs w:val="21"/>
        </w:rPr>
        <w:t>．</w:t>
      </w:r>
      <w:r>
        <w:rPr>
          <w:rFonts w:hint="eastAsia" w:ascii="楷体_GB2312" w:hAnsi="宋体" w:eastAsia="楷体_GB2312"/>
          <w:sz w:val="32"/>
          <w:szCs w:val="32"/>
          <w:lang w:val="zh-CN"/>
        </w:rPr>
        <w:t>资金计划及到位。</w:t>
      </w:r>
      <w:r>
        <w:rPr>
          <w:rFonts w:hint="eastAsia" w:ascii="宋体" w:hAnsi="宋体" w:eastAsia="仿宋_GB2312" w:cs="宋体"/>
          <w:kern w:val="0"/>
          <w:sz w:val="32"/>
          <w:szCs w:val="21"/>
        </w:rPr>
        <w:t>该项目2021年预算本级财政资金9.9万元，追减预算4.42元（竹财资环减（2021）55号-5），实际到位资金9.899558万元。各项资金按时到位，到位率100%。</w:t>
      </w:r>
    </w:p>
    <w:p>
      <w:pPr>
        <w:adjustRightInd w:val="0"/>
        <w:snapToGrid w:val="0"/>
        <w:spacing w:line="500" w:lineRule="exact"/>
        <w:ind w:firstLine="800" w:firstLineChars="250"/>
        <w:rPr>
          <w:rFonts w:ascii="仿宋_GB2312" w:hAnsi="宋体" w:eastAsia="仿宋_GB2312"/>
          <w:b/>
          <w:sz w:val="32"/>
          <w:szCs w:val="32"/>
          <w:u w:val="single"/>
        </w:rPr>
      </w:pPr>
      <w:r>
        <w:rPr>
          <w:rFonts w:ascii="楷体_GB2312" w:hAnsi="宋体" w:eastAsia="楷体_GB2312"/>
          <w:sz w:val="32"/>
          <w:szCs w:val="32"/>
          <w:lang w:val="zh-CN"/>
        </w:rPr>
        <w:t>2</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项目2021年完成支付</w:t>
      </w:r>
      <w:r>
        <w:rPr>
          <w:rFonts w:hint="eastAsia" w:ascii="仿宋_GB2312" w:hAnsi="宋体" w:eastAsia="仿宋_GB2312"/>
          <w:sz w:val="32"/>
          <w:szCs w:val="32"/>
        </w:rPr>
        <w:t>9.899558</w:t>
      </w:r>
      <w:r>
        <w:rPr>
          <w:rFonts w:hint="eastAsia" w:ascii="仿宋_GB2312" w:hAnsi="宋体" w:eastAsia="仿宋_GB2312"/>
          <w:sz w:val="32"/>
          <w:szCs w:val="32"/>
          <w:lang w:val="zh-CN"/>
        </w:rPr>
        <w:t>万元。工程严格按合同约定支付，支付进度100%，支付依据合规合法。</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00" w:lineRule="exact"/>
        <w:ind w:firstLine="720"/>
        <w:rPr>
          <w:rFonts w:ascii="仿宋" w:hAnsi="仿宋" w:eastAsia="仿宋"/>
          <w:sz w:val="32"/>
          <w:szCs w:val="32"/>
          <w:lang w:val="zh-CN"/>
        </w:rPr>
      </w:pPr>
      <w:r>
        <w:rPr>
          <w:rFonts w:hint="eastAsia" w:ascii="仿宋_GB2312" w:hAnsi="宋体" w:eastAsia="仿宋_GB2312"/>
          <w:sz w:val="32"/>
          <w:szCs w:val="32"/>
          <w:lang w:val="zh-CN"/>
        </w:rPr>
        <w:t>项目实施单位财务管理制度健全，严格执行财务管理制度，</w:t>
      </w:r>
      <w:r>
        <w:rPr>
          <w:rFonts w:hint="eastAsia" w:ascii="仿宋" w:hAnsi="仿宋" w:eastAsia="仿宋"/>
          <w:sz w:val="32"/>
          <w:szCs w:val="32"/>
          <w:lang w:val="zh-CN"/>
        </w:rPr>
        <w:t>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5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00" w:lineRule="exact"/>
        <w:ind w:firstLine="720"/>
        <w:rPr>
          <w:rFonts w:ascii="仿宋" w:hAnsi="仿宋" w:eastAsia="仿宋"/>
          <w:sz w:val="32"/>
          <w:szCs w:val="32"/>
          <w:lang w:val="zh-CN"/>
        </w:rPr>
      </w:pPr>
      <w:r>
        <w:rPr>
          <w:rFonts w:hint="eastAsia" w:ascii="仿宋" w:hAnsi="仿宋" w:eastAsia="仿宋"/>
          <w:sz w:val="32"/>
          <w:szCs w:val="32"/>
          <w:lang w:val="zh-CN"/>
        </w:rPr>
        <w:t>项目按建设工程基本程序实施，职能主管部门的审批完成后，执行了招投标制、合同制、监理制、项目法人责任制等规定的手续和流程。手续完备、流程合法合规。</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500" w:lineRule="exact"/>
        <w:ind w:firstLine="720"/>
        <w:rPr>
          <w:rFonts w:ascii="仿宋_GB2312" w:hAnsi="宋体" w:eastAsia="仿宋_GB2312"/>
          <w:color w:val="FF0000"/>
          <w:sz w:val="32"/>
          <w:szCs w:val="32"/>
        </w:rPr>
      </w:pPr>
      <w:r>
        <w:rPr>
          <w:rFonts w:hint="eastAsia" w:ascii="仿宋_GB2312" w:hAnsi="宋体" w:eastAsia="仿宋_GB2312"/>
          <w:sz w:val="32"/>
          <w:szCs w:val="32"/>
        </w:rPr>
        <w:t>项目实施中，成立了专门的组织机构，实行专人负责管理并有明确职责分工。依据相关规定，与施工方签订了施工合同。建立了专门的项目管理制度，包括工程质量控制、进度控制、安全控制等方面进行监管。在验收阶段，进行了造价审核并出具了审核报告，完成了项目的初验和终验</w:t>
      </w:r>
      <w:r>
        <w:rPr>
          <w:rFonts w:hint="eastAsia" w:ascii="仿宋_GB2312" w:hAnsi="宋体" w:eastAsia="仿宋_GB2312"/>
          <w:color w:val="FF0000"/>
          <w:sz w:val="32"/>
          <w:szCs w:val="32"/>
        </w:rPr>
        <w:t>。</w:t>
      </w:r>
    </w:p>
    <w:p>
      <w:pPr>
        <w:adjustRightInd w:val="0"/>
        <w:snapToGrid w:val="0"/>
        <w:spacing w:line="50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00" w:lineRule="exact"/>
        <w:ind w:firstLine="720"/>
        <w:rPr>
          <w:rFonts w:ascii="仿宋" w:hAnsi="仿宋" w:eastAsia="仿宋"/>
          <w:sz w:val="32"/>
          <w:szCs w:val="32"/>
          <w:lang w:val="zh-CN"/>
        </w:rPr>
      </w:pPr>
      <w:r>
        <w:rPr>
          <w:rFonts w:hint="eastAsia" w:ascii="仿宋" w:hAnsi="仿宋" w:eastAsia="仿宋"/>
          <w:sz w:val="32"/>
          <w:szCs w:val="32"/>
          <w:lang w:val="zh-CN"/>
        </w:rPr>
        <w:t>项目严格按图施工，按相关规范和质量标准施工，现已完工。</w:t>
      </w:r>
    </w:p>
    <w:p>
      <w:pPr>
        <w:adjustRightInd w:val="0"/>
        <w:snapToGrid w:val="0"/>
        <w:spacing w:line="5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00" w:lineRule="exact"/>
        <w:ind w:firstLine="720"/>
        <w:rPr>
          <w:rFonts w:ascii="仿宋" w:hAnsi="仿宋" w:eastAsia="仿宋"/>
          <w:sz w:val="32"/>
          <w:szCs w:val="32"/>
          <w:lang w:val="zh-CN"/>
        </w:rPr>
      </w:pPr>
      <w:r>
        <w:rPr>
          <w:rFonts w:hint="eastAsia" w:ascii="仿宋" w:hAnsi="仿宋" w:eastAsia="仿宋"/>
          <w:sz w:val="32"/>
          <w:szCs w:val="32"/>
          <w:lang w:val="zh-CN"/>
        </w:rPr>
        <w:t>项目产出达到预期的数量、质量达标。从项目的效益看，项目实施适应社会经济发展的需要、能够体现城市特色、改善民生民计、能够为地方产生综合效益，带来可持续影响。项目服务对象对项目的满意度比较高。</w:t>
      </w:r>
    </w:p>
    <w:p>
      <w:pPr>
        <w:adjustRightInd w:val="0"/>
        <w:snapToGrid w:val="0"/>
        <w:spacing w:line="5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00" w:lineRule="exact"/>
        <w:ind w:firstLine="640" w:firstLineChars="200"/>
        <w:rPr>
          <w:rFonts w:ascii="仿宋_GB2312" w:hAnsi="宋体" w:eastAsia="仿宋_GB2312"/>
          <w:color w:val="FF0000"/>
          <w:sz w:val="32"/>
          <w:szCs w:val="32"/>
          <w:lang w:val="zh-CN"/>
        </w:rPr>
      </w:pPr>
      <w:r>
        <w:rPr>
          <w:rFonts w:hint="eastAsia" w:ascii="仿宋_GB2312" w:hAnsi="宋体" w:eastAsia="仿宋_GB2312"/>
          <w:sz w:val="32"/>
          <w:szCs w:val="32"/>
          <w:lang w:val="zh-CN"/>
        </w:rPr>
        <w:t>项目实际完成率、完成及时率均达到或超过绩效目标，质量达标率良好，产出成本可控，管理工作规范，社会效益良好，项目可持续性强，服务对象总体较满意。评定级别为“优”。</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5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tbl>
      <w:tblPr>
        <w:tblStyle w:val="13"/>
        <w:tblW w:w="10020" w:type="dxa"/>
        <w:jc w:val="center"/>
        <w:tblLayout w:type="autofit"/>
        <w:tblCellMar>
          <w:top w:w="0" w:type="dxa"/>
          <w:left w:w="108" w:type="dxa"/>
          <w:bottom w:w="0" w:type="dxa"/>
          <w:right w:w="108" w:type="dxa"/>
        </w:tblCellMar>
      </w:tblPr>
      <w:tblGrid>
        <w:gridCol w:w="1080"/>
        <w:gridCol w:w="940"/>
        <w:gridCol w:w="1560"/>
        <w:gridCol w:w="1080"/>
        <w:gridCol w:w="840"/>
        <w:gridCol w:w="2000"/>
        <w:gridCol w:w="2520"/>
      </w:tblGrid>
      <w:tr>
        <w:tblPrEx>
          <w:tblCellMar>
            <w:top w:w="0" w:type="dxa"/>
            <w:left w:w="108" w:type="dxa"/>
            <w:bottom w:w="0" w:type="dxa"/>
            <w:right w:w="108" w:type="dxa"/>
          </w:tblCellMar>
        </w:tblPrEx>
        <w:trPr>
          <w:trHeight w:val="405" w:hRule="atLeast"/>
          <w:jc w:val="center"/>
        </w:trPr>
        <w:tc>
          <w:tcPr>
            <w:tcW w:w="10020" w:type="dxa"/>
            <w:gridSpan w:val="7"/>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1002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6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84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00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52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25" w:hRule="atLeast"/>
          <w:jc w:val="center"/>
        </w:trPr>
        <w:tc>
          <w:tcPr>
            <w:tcW w:w="3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4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城北市场花园街周边道路环境应急整治资金</w:t>
            </w:r>
          </w:p>
        </w:tc>
      </w:tr>
      <w:tr>
        <w:tblPrEx>
          <w:tblCellMar>
            <w:top w:w="0" w:type="dxa"/>
            <w:left w:w="108" w:type="dxa"/>
            <w:bottom w:w="0" w:type="dxa"/>
            <w:right w:w="108" w:type="dxa"/>
          </w:tblCellMar>
        </w:tblPrEx>
        <w:trPr>
          <w:trHeight w:val="420" w:hRule="atLeast"/>
          <w:jc w:val="center"/>
        </w:trPr>
        <w:tc>
          <w:tcPr>
            <w:tcW w:w="3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4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5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9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9.9</w:t>
            </w:r>
          </w:p>
        </w:tc>
        <w:tc>
          <w:tcPr>
            <w:tcW w:w="20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9.899558</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9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9.9</w:t>
            </w:r>
          </w:p>
        </w:tc>
        <w:tc>
          <w:tcPr>
            <w:tcW w:w="200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9.899558</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00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5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9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4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42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420" w:type="dxa"/>
            <w:gridSpan w:val="4"/>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kern w:val="0"/>
                <w:sz w:val="20"/>
                <w:szCs w:val="20"/>
              </w:rPr>
            </w:pPr>
          </w:p>
          <w:p>
            <w:pPr>
              <w:widowControl/>
              <w:jc w:val="left"/>
              <w:rPr>
                <w:rFonts w:ascii="宋体" w:hAnsi="宋体" w:cs="宋体"/>
                <w:kern w:val="0"/>
                <w:sz w:val="20"/>
                <w:szCs w:val="20"/>
              </w:rPr>
            </w:pPr>
            <w:r>
              <w:rPr>
                <w:rFonts w:hint="eastAsia" w:ascii="宋体" w:hAnsi="宋体" w:cs="宋体"/>
                <w:kern w:val="0"/>
                <w:sz w:val="20"/>
                <w:szCs w:val="20"/>
              </w:rPr>
              <w:t>对该项目旁边花园街路面按应急处置方式对花园街路面采用混凝土浇筑进行硬化处理。对周边环境进行整治。</w:t>
            </w:r>
          </w:p>
        </w:tc>
        <w:tc>
          <w:tcPr>
            <w:tcW w:w="4520" w:type="dxa"/>
            <w:gridSpan w:val="2"/>
            <w:tcBorders>
              <w:top w:val="single" w:color="auto" w:sz="4" w:space="0"/>
              <w:left w:val="nil"/>
              <w:bottom w:val="single" w:color="auto" w:sz="4" w:space="0"/>
              <w:right w:val="single" w:color="000000" w:sz="4" w:space="0"/>
            </w:tcBorders>
            <w:shd w:val="clear" w:color="auto" w:fill="auto"/>
          </w:tcPr>
          <w:p>
            <w:pPr>
              <w:widowControl/>
              <w:jc w:val="left"/>
              <w:rPr>
                <w:rFonts w:ascii="宋体" w:hAnsi="宋体" w:cs="宋体"/>
                <w:kern w:val="0"/>
                <w:sz w:val="20"/>
                <w:szCs w:val="20"/>
              </w:rPr>
            </w:pPr>
          </w:p>
          <w:p>
            <w:pPr>
              <w:widowControl/>
              <w:jc w:val="left"/>
              <w:rPr>
                <w:rFonts w:ascii="宋体" w:hAnsi="宋体" w:cs="宋体"/>
                <w:kern w:val="0"/>
                <w:sz w:val="20"/>
                <w:szCs w:val="20"/>
              </w:rPr>
            </w:pPr>
            <w:r>
              <w:rPr>
                <w:rFonts w:hint="eastAsia" w:ascii="宋体" w:hAnsi="宋体" w:cs="宋体"/>
                <w:kern w:val="0"/>
                <w:sz w:val="20"/>
                <w:szCs w:val="20"/>
              </w:rPr>
              <w:t>为改善花园街环境，方便周边群众出行，避免再出现环保投诉事件。该项目于2021年9月4日开工，9月6日完工。</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维修长度</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175米，宽8.73米</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完成年度计划</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竣工验收合格</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合格</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2021.9.6已竣工验收</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完成时间</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2021年9月</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2021年9月6日已竣工验收</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支付项目工程建安费、部分间接费</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≤9.9</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实际支付9.899558万元。</w:t>
            </w:r>
          </w:p>
        </w:tc>
      </w:tr>
      <w:tr>
        <w:tblPrEx>
          <w:tblCellMar>
            <w:top w:w="0" w:type="dxa"/>
            <w:left w:w="108" w:type="dxa"/>
            <w:bottom w:w="0" w:type="dxa"/>
            <w:right w:w="108" w:type="dxa"/>
          </w:tblCellMar>
        </w:tblPrEx>
        <w:trPr>
          <w:trHeight w:val="64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改善人民生活环境，美化社区环境</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96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促进该地区的城市建设，方便群众生产生活</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79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5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（城东城中村安置基础设施配套项目）</w:t>
      </w:r>
    </w:p>
    <w:p>
      <w:pPr>
        <w:spacing w:line="580" w:lineRule="exact"/>
        <w:ind w:firstLine="640"/>
        <w:jc w:val="center"/>
        <w:rPr>
          <w:rFonts w:hint="eastAsia" w:ascii="宋体" w:hAnsi="??"/>
          <w:sz w:val="32"/>
          <w:szCs w:val="32"/>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．项目业主：绵竹市市政工程建设管理站。</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．建设地址：城东新区。</w:t>
      </w:r>
    </w:p>
    <w:p>
      <w:pPr>
        <w:adjustRightInd w:val="0"/>
        <w:snapToGrid w:val="0"/>
        <w:spacing w:line="600" w:lineRule="exact"/>
        <w:ind w:firstLine="720"/>
        <w:rPr>
          <w:rFonts w:ascii="仿宋" w:hAnsi="仿宋" w:eastAsia="仿宋"/>
          <w:sz w:val="32"/>
          <w:szCs w:val="32"/>
          <w:lang w:val="zh-CN"/>
        </w:rPr>
      </w:pPr>
      <w:r>
        <w:rPr>
          <w:rFonts w:hint="eastAsia" w:ascii="仿宋_GB2312" w:hAnsi="宋体" w:eastAsia="仿宋_GB2312"/>
          <w:sz w:val="32"/>
          <w:szCs w:val="32"/>
          <w:lang w:val="zh-CN"/>
        </w:rPr>
        <w:t>3.建设内容及规模：</w:t>
      </w:r>
      <w:r>
        <w:rPr>
          <w:rFonts w:hint="eastAsia" w:ascii="仿宋" w:hAnsi="仿宋" w:eastAsia="仿宋"/>
          <w:sz w:val="32"/>
          <w:szCs w:val="32"/>
          <w:lang w:val="zh-CN"/>
        </w:rPr>
        <w:t>道路总面积约为39526平方米，包含人行道、各种管线、雨污水管、给水管、绿化、路灯、标识标牌等配套设施。道路1全长1034米，宽30米，面积为31020平方米；道路2全长318.65米，宽24米，面积约8506平方米。</w:t>
      </w:r>
    </w:p>
    <w:p>
      <w:pPr>
        <w:adjustRightInd w:val="0"/>
        <w:snapToGrid w:val="0"/>
        <w:spacing w:line="600" w:lineRule="exact"/>
        <w:ind w:firstLine="720" w:firstLineChars="225"/>
        <w:rPr>
          <w:rFonts w:ascii="仿宋_GB2312" w:hAnsi="宋体" w:eastAsia="仿宋_GB2312"/>
          <w:sz w:val="32"/>
          <w:szCs w:val="32"/>
          <w:lang w:val="zh-CN"/>
        </w:rPr>
      </w:pPr>
      <w:r>
        <w:rPr>
          <w:rFonts w:hint="eastAsia" w:ascii="仿宋_GB2312" w:hAnsi="宋体" w:eastAsia="仿宋_GB2312"/>
          <w:sz w:val="32"/>
          <w:szCs w:val="32"/>
          <w:lang w:val="zh-CN"/>
        </w:rPr>
        <w:t>4．资金来源：本级财政资金和抗疫特别国债资金。</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预期目标：项目包含道路路基工程、路面工程、人行道及路缘、道路绿化以及综合管网工程（给排水）、照明工程、交通配套工程等。道路1全长1033.82米，宽30米；道路2全长353.495米，宽24米。车行道路面结构为改性沥青混凝土路面，人行道结构为透水砖砌块路面。</w:t>
      </w:r>
    </w:p>
    <w:p>
      <w:pPr>
        <w:adjustRightInd w:val="0"/>
        <w:snapToGrid w:val="0"/>
        <w:spacing w:line="600" w:lineRule="exact"/>
        <w:ind w:firstLine="720"/>
        <w:rPr>
          <w:rFonts w:ascii="仿宋" w:hAnsi="仿宋" w:eastAsia="仿宋"/>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w:t>
      </w:r>
      <w:r>
        <w:rPr>
          <w:rFonts w:hint="eastAsia" w:ascii="仿宋" w:hAnsi="仿宋" w:eastAsia="仿宋"/>
          <w:sz w:val="32"/>
          <w:szCs w:val="32"/>
          <w:lang w:val="zh-CN"/>
        </w:rPr>
        <w:t>提升区域内的交通容量，缓解城市主要道路的压力；完善片区基础设施，加快片区建设；优化路网结构，加强区域连接。二标段2021年2月2日开工，2021年8月11日已竣工验收；一标段2021年12月17日开工，计划2022年10月完工。</w:t>
      </w:r>
    </w:p>
    <w:p>
      <w:pPr>
        <w:adjustRightInd w:val="0"/>
        <w:snapToGrid w:val="0"/>
        <w:spacing w:line="60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．申报内容与实际相符，申报目标合理可行。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由我局开展财政资金使用情况自评并撰写部门预算支出绩效报告，按规范格式按时提交自评报告。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项目经市发改局《</w:t>
      </w:r>
      <w:r>
        <w:rPr>
          <w:rFonts w:hint="eastAsia" w:ascii="宋体" w:hAnsi="宋体" w:eastAsia="仿宋_GB2312" w:cs="宋体"/>
          <w:kern w:val="0"/>
          <w:sz w:val="32"/>
          <w:szCs w:val="21"/>
        </w:rPr>
        <w:t>关于</w:t>
      </w:r>
      <w:r>
        <w:rPr>
          <w:rFonts w:hint="eastAsia" w:ascii="仿宋_GB2312" w:hAnsi="宋体" w:eastAsia="仿宋_GB2312"/>
          <w:sz w:val="32"/>
          <w:szCs w:val="32"/>
        </w:rPr>
        <w:t>绵竹市城东城中村安置房基础设施配套项目</w:t>
      </w:r>
      <w:r>
        <w:rPr>
          <w:rFonts w:hint="eastAsia" w:ascii="宋体" w:hAnsi="宋体" w:eastAsia="仿宋_GB2312" w:cs="宋体"/>
          <w:kern w:val="0"/>
          <w:sz w:val="32"/>
          <w:szCs w:val="21"/>
        </w:rPr>
        <w:t>建议书的批复》（竹发改建（2019）33号）批复立项、</w:t>
      </w:r>
      <w:r>
        <w:rPr>
          <w:rFonts w:hint="eastAsia" w:ascii="仿宋" w:hAnsi="仿宋" w:eastAsia="仿宋"/>
          <w:sz w:val="32"/>
          <w:szCs w:val="32"/>
          <w:lang w:val="zh-CN"/>
        </w:rPr>
        <w:t>经市发改局《关于</w:t>
      </w:r>
      <w:r>
        <w:rPr>
          <w:rFonts w:hint="eastAsia" w:ascii="仿宋_GB2312" w:hAnsi="宋体" w:eastAsia="仿宋_GB2312"/>
          <w:sz w:val="32"/>
          <w:szCs w:val="32"/>
        </w:rPr>
        <w:t>绵竹市城东城中村安置房基础设施配套项目</w:t>
      </w:r>
      <w:r>
        <w:rPr>
          <w:rFonts w:hint="eastAsia" w:ascii="仿宋" w:hAnsi="仿宋" w:eastAsia="仿宋"/>
          <w:sz w:val="32"/>
          <w:szCs w:val="32"/>
          <w:lang w:val="zh-CN"/>
        </w:rPr>
        <w:t>投资概算的批复》（竹发改审（2020）64号）批复概算金额为</w:t>
      </w:r>
      <w:r>
        <w:rPr>
          <w:rFonts w:ascii="仿宋" w:hAnsi="仿宋" w:eastAsia="仿宋"/>
          <w:sz w:val="32"/>
          <w:szCs w:val="32"/>
          <w:lang w:val="zh-CN"/>
        </w:rPr>
        <w:t>5464.09</w:t>
      </w:r>
      <w:r>
        <w:rPr>
          <w:rFonts w:hint="eastAsia" w:ascii="仿宋" w:hAnsi="仿宋" w:eastAsia="仿宋"/>
          <w:sz w:val="32"/>
          <w:szCs w:val="32"/>
          <w:lang w:val="zh-CN"/>
        </w:rPr>
        <w:t>万元，资金来源为本级财政资金。</w:t>
      </w:r>
    </w:p>
    <w:p>
      <w:pPr>
        <w:adjustRightInd w:val="0"/>
        <w:snapToGrid w:val="0"/>
        <w:spacing w:line="60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00" w:lineRule="exact"/>
        <w:ind w:firstLine="800" w:firstLineChars="250"/>
        <w:rPr>
          <w:rFonts w:ascii="宋体" w:hAnsi="宋体" w:eastAsia="仿宋_GB2312" w:cs="宋体"/>
          <w:kern w:val="0"/>
          <w:sz w:val="32"/>
          <w:szCs w:val="21"/>
        </w:rPr>
      </w:pPr>
      <w:r>
        <w:rPr>
          <w:rFonts w:ascii="宋体" w:hAnsi="宋体" w:eastAsia="仿宋_GB2312" w:cs="宋体"/>
          <w:kern w:val="0"/>
          <w:sz w:val="32"/>
          <w:szCs w:val="21"/>
        </w:rPr>
        <w:t>1</w:t>
      </w:r>
      <w:r>
        <w:rPr>
          <w:rFonts w:hint="eastAsia" w:ascii="宋体" w:hAnsi="宋体" w:eastAsia="仿宋_GB2312" w:cs="宋体"/>
          <w:kern w:val="0"/>
          <w:sz w:val="32"/>
          <w:szCs w:val="21"/>
        </w:rPr>
        <w:t>．</w:t>
      </w:r>
      <w:r>
        <w:rPr>
          <w:rFonts w:hint="eastAsia" w:ascii="楷体_GB2312" w:hAnsi="宋体" w:eastAsia="楷体_GB2312"/>
          <w:sz w:val="32"/>
          <w:szCs w:val="32"/>
          <w:lang w:val="zh-CN"/>
        </w:rPr>
        <w:t>资金计划及到位。</w:t>
      </w:r>
      <w:r>
        <w:rPr>
          <w:rFonts w:hint="eastAsia" w:ascii="宋体" w:hAnsi="宋体" w:eastAsia="仿宋_GB2312" w:cs="宋体"/>
          <w:kern w:val="0"/>
          <w:sz w:val="32"/>
          <w:szCs w:val="21"/>
        </w:rPr>
        <w:t>该项目2021年年初预算本级财政资金 2639.364 万元，2020年结转311.1640万元（竹财资环转</w:t>
      </w:r>
      <w:r>
        <w:rPr>
          <w:rFonts w:hint="eastAsia" w:ascii="宋体" w:hAnsi="宋体" w:eastAsia="仿宋_GB2312" w:cs="宋体"/>
          <w:kern w:val="0"/>
          <w:sz w:val="32"/>
          <w:szCs w:val="21"/>
          <w:lang w:eastAsia="zh-CN"/>
        </w:rPr>
        <w:t>（</w:t>
      </w:r>
      <w:r>
        <w:rPr>
          <w:rFonts w:hint="eastAsia" w:ascii="宋体" w:hAnsi="宋体" w:eastAsia="仿宋_GB2312" w:cs="宋体"/>
          <w:kern w:val="0"/>
          <w:sz w:val="32"/>
          <w:szCs w:val="21"/>
        </w:rPr>
        <w:t xml:space="preserve"> 2020)1号-6）追减预算311.1640万元（竹财资环减（2021）11号），年底追减281.14815万元（竹财资环减（2021）54号-4号），实际到位资金2358.21585万元。各项资金按时到位，到位率100%。</w:t>
      </w:r>
    </w:p>
    <w:p>
      <w:pPr>
        <w:adjustRightInd w:val="0"/>
        <w:snapToGrid w:val="0"/>
        <w:spacing w:line="600" w:lineRule="exact"/>
        <w:ind w:firstLine="800" w:firstLineChars="250"/>
        <w:rPr>
          <w:rFonts w:ascii="仿宋_GB2312" w:hAnsi="宋体" w:eastAsia="仿宋_GB2312"/>
          <w:sz w:val="32"/>
          <w:szCs w:val="32"/>
          <w:lang w:val="zh-CN"/>
        </w:rPr>
      </w:pPr>
      <w:r>
        <w:rPr>
          <w:rFonts w:ascii="楷体_GB2312" w:hAnsi="宋体" w:eastAsia="楷体_GB2312"/>
          <w:sz w:val="32"/>
          <w:szCs w:val="32"/>
          <w:lang w:val="zh-CN"/>
        </w:rPr>
        <w:t>2</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项目2021年完成支付</w:t>
      </w:r>
      <w:r>
        <w:rPr>
          <w:rFonts w:hint="eastAsia" w:ascii="仿宋_GB2312" w:hAnsi="宋体" w:eastAsia="仿宋_GB2312"/>
          <w:sz w:val="32"/>
          <w:szCs w:val="32"/>
        </w:rPr>
        <w:t>2358.21585</w:t>
      </w:r>
      <w:r>
        <w:rPr>
          <w:rFonts w:hint="eastAsia" w:ascii="仿宋_GB2312" w:hAnsi="宋体" w:eastAsia="仿宋_GB2312"/>
          <w:sz w:val="32"/>
          <w:szCs w:val="32"/>
          <w:lang w:val="zh-CN"/>
        </w:rPr>
        <w:t>万元。工程严格按合同约定支付，支付进度100%，支付依据合规合法，由于项目二标段正在推进结决算程序，还需拨付尾款和其他待摊费用；一标段还未完工，还需拨付工程进度款、竣工验收费、尾款以及其他待摊费用。</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 w:hAnsi="仿宋" w:eastAsia="仿宋"/>
          <w:sz w:val="32"/>
          <w:szCs w:val="32"/>
          <w:lang w:val="zh-CN"/>
        </w:rPr>
      </w:pPr>
      <w:r>
        <w:rPr>
          <w:rFonts w:hint="eastAsia" w:ascii="仿宋_GB2312" w:hAnsi="宋体" w:eastAsia="仿宋_GB2312"/>
          <w:sz w:val="32"/>
          <w:szCs w:val="32"/>
          <w:lang w:val="zh-CN"/>
        </w:rPr>
        <w:t>项目实施单位财务管理制度健全，严格执行财务管理制度，</w:t>
      </w:r>
      <w:r>
        <w:rPr>
          <w:rFonts w:hint="eastAsia" w:ascii="仿宋" w:hAnsi="仿宋" w:eastAsia="仿宋"/>
          <w:sz w:val="32"/>
          <w:szCs w:val="32"/>
          <w:lang w:val="zh-CN"/>
        </w:rPr>
        <w:t>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项目按建设工程基本程序实施，职能主管部门的审批完成后，执行了招投标制、合同制、监理制、项目法人责任制等规定的手续和流程。手续完备、流程合法合规。</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实施中，成立了专门的组织机构，实行专人负责管理并有明确职责分工。依据相关规定，与施工方签订了施工合同。建立了专门的项目管理制度，包括工程质量控制、进度控制、安全控制等方面进行监管。在验收阶段，进行了造价审核并出具了审核报告，完成了项目的初验和终验。</w:t>
      </w:r>
    </w:p>
    <w:p>
      <w:pPr>
        <w:adjustRightInd w:val="0"/>
        <w:snapToGrid w:val="0"/>
        <w:spacing w:line="600" w:lineRule="exact"/>
        <w:ind w:firstLine="800" w:firstLineChars="25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项目严格按图施工，按相关规范和质量标准施工，现二标段已完工，正在推进结决算程序；一标段正在施工，已完成总工程量的45%。</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产出达到预期的数量、质量达标。从项目的效益看，项目实施适应社会经济发展的需要、能够体现城市特色、改善民生民计、能够为地方产生综合效益，带来可持续影响。项目服务对象对项目的满意度比较高。</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项目实际完成率、完成及时率均达到或超过绩效目标，质量达标率良好，产出成本可控，管理工作规范，社会效益良好，项目可持续性强，服务对象总体较满意。评定级别为“优”。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340" w:type="dxa"/>
        <w:jc w:val="center"/>
        <w:tblLayout w:type="autofit"/>
        <w:tblCellMar>
          <w:top w:w="0" w:type="dxa"/>
          <w:left w:w="108" w:type="dxa"/>
          <w:bottom w:w="0" w:type="dxa"/>
          <w:right w:w="108" w:type="dxa"/>
        </w:tblCellMar>
      </w:tblPr>
      <w:tblGrid>
        <w:gridCol w:w="1080"/>
        <w:gridCol w:w="920"/>
        <w:gridCol w:w="1440"/>
        <w:gridCol w:w="1080"/>
        <w:gridCol w:w="1080"/>
        <w:gridCol w:w="1660"/>
        <w:gridCol w:w="2080"/>
      </w:tblGrid>
      <w:tr>
        <w:tblPrEx>
          <w:tblCellMar>
            <w:top w:w="0" w:type="dxa"/>
            <w:left w:w="108" w:type="dxa"/>
            <w:bottom w:w="0" w:type="dxa"/>
            <w:right w:w="108" w:type="dxa"/>
          </w:tblCellMar>
        </w:tblPrEx>
        <w:trPr>
          <w:trHeight w:val="405" w:hRule="atLeast"/>
          <w:jc w:val="center"/>
        </w:trPr>
        <w:tc>
          <w:tcPr>
            <w:tcW w:w="9340" w:type="dxa"/>
            <w:gridSpan w:val="7"/>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34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2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4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66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08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20" w:hRule="atLeast"/>
          <w:jc w:val="center"/>
        </w:trPr>
        <w:tc>
          <w:tcPr>
            <w:tcW w:w="3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9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城东城中村安置基础设施配套项目（张家港路）</w:t>
            </w:r>
          </w:p>
        </w:tc>
      </w:tr>
      <w:tr>
        <w:tblPrEx>
          <w:tblCellMar>
            <w:top w:w="0" w:type="dxa"/>
            <w:left w:w="108" w:type="dxa"/>
            <w:bottom w:w="0" w:type="dxa"/>
            <w:right w:w="108" w:type="dxa"/>
          </w:tblCellMar>
        </w:tblPrEx>
        <w:trPr>
          <w:trHeight w:val="480" w:hRule="atLeast"/>
          <w:jc w:val="center"/>
        </w:trPr>
        <w:tc>
          <w:tcPr>
            <w:tcW w:w="3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9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54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3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2639.364</w:t>
            </w:r>
          </w:p>
        </w:tc>
        <w:tc>
          <w:tcPr>
            <w:tcW w:w="16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0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2358.21585</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2639.364</w:t>
            </w:r>
          </w:p>
        </w:tc>
        <w:tc>
          <w:tcPr>
            <w:tcW w:w="166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0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2358.21585</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66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0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9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5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7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20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52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包含道路路基工程、路面工程、人行道及路缘、道路绿化以及综合管网工程（给排水）、照明工程、交通配套工程等。道路1全长1033.82米，宽30米；道路2全长353.495米，宽24米。车行道路面结构为改性沥青混凝土路面，人行道结构为透水砖砌块路面。</w:t>
            </w:r>
          </w:p>
        </w:tc>
        <w:tc>
          <w:tcPr>
            <w:tcW w:w="37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升区域内的交通容量，缓解城市主要道路的压力；完善片区基础设施，加快片区建设；优化路网结构，加强区域连接。二标段2021年2月2日开工，2021年8月11日已竣工验收；一标段2021年12月17日开工，计划2022年10月完工。</w:t>
            </w:r>
          </w:p>
        </w:tc>
      </w:tr>
      <w:tr>
        <w:tblPrEx>
          <w:tblCellMar>
            <w:top w:w="0" w:type="dxa"/>
            <w:left w:w="108" w:type="dxa"/>
            <w:bottom w:w="0" w:type="dxa"/>
            <w:right w:w="108" w:type="dxa"/>
          </w:tblCellMar>
        </w:tblPrEx>
        <w:trPr>
          <w:trHeight w:val="66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完成道路建设面积</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39526平方米</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完成年度计划</w:t>
            </w:r>
          </w:p>
        </w:tc>
      </w:tr>
      <w:tr>
        <w:tblPrEx>
          <w:tblCellMar>
            <w:top w:w="0" w:type="dxa"/>
            <w:left w:w="108" w:type="dxa"/>
            <w:bottom w:w="0" w:type="dxa"/>
            <w:right w:w="108" w:type="dxa"/>
          </w:tblCellMar>
        </w:tblPrEx>
        <w:trPr>
          <w:trHeight w:val="66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竣工验收合格</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二标段已竣工验收，一标段正在修建中</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完成时间</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2022年年底</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2022年10月底完工</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支付项目工程建安费、部分间接费</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≤2639.364</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实际支付2358.21585万元。</w:t>
            </w:r>
          </w:p>
        </w:tc>
      </w:tr>
      <w:tr>
        <w:tblPrEx>
          <w:tblCellMar>
            <w:top w:w="0" w:type="dxa"/>
            <w:left w:w="108" w:type="dxa"/>
            <w:bottom w:w="0" w:type="dxa"/>
            <w:right w:w="108" w:type="dxa"/>
          </w:tblCellMar>
        </w:tblPrEx>
        <w:trPr>
          <w:trHeight w:val="64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提升周边空余地块的土地价值</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r>
      <w:tr>
        <w:tblPrEx>
          <w:tblCellMar>
            <w:top w:w="0" w:type="dxa"/>
            <w:left w:w="108" w:type="dxa"/>
            <w:bottom w:w="0" w:type="dxa"/>
            <w:right w:w="108" w:type="dxa"/>
          </w:tblCellMar>
        </w:tblPrEx>
        <w:trPr>
          <w:trHeight w:val="96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完善该地块周边基础设施，方便居民生产生活，改善人民生活环境</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r>
      <w:tr>
        <w:tblPrEx>
          <w:tblCellMar>
            <w:top w:w="0" w:type="dxa"/>
            <w:left w:w="108" w:type="dxa"/>
            <w:bottom w:w="0" w:type="dxa"/>
            <w:right w:w="108" w:type="dxa"/>
          </w:tblCellMar>
        </w:tblPrEx>
        <w:trPr>
          <w:trHeight w:val="79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4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满意度</w:t>
            </w:r>
          </w:p>
        </w:tc>
        <w:tc>
          <w:tcPr>
            <w:tcW w:w="16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0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（德市财投</w:t>
      </w:r>
      <w:r>
        <w:rPr>
          <w:rFonts w:hint="eastAsia" w:ascii="仿宋_GB2312" w:hAnsi="宋体" w:eastAsia="仿宋_GB2312"/>
          <w:sz w:val="32"/>
          <w:szCs w:val="32"/>
          <w:lang w:eastAsia="zh-CN"/>
        </w:rPr>
        <w:t>〔</w:t>
      </w:r>
      <w:r>
        <w:rPr>
          <w:rFonts w:hint="eastAsia" w:ascii="仿宋_GB2312" w:hAnsi="宋体" w:eastAsia="仿宋_GB2312"/>
          <w:sz w:val="32"/>
          <w:szCs w:val="32"/>
        </w:rPr>
        <w:t>2021</w:t>
      </w:r>
      <w:r>
        <w:rPr>
          <w:rFonts w:hint="eastAsia" w:ascii="仿宋_GB2312" w:hAnsi="宋体" w:eastAsia="仿宋_GB2312"/>
          <w:sz w:val="32"/>
          <w:szCs w:val="32"/>
          <w:lang w:eastAsia="zh-CN"/>
        </w:rPr>
        <w:t>〕</w:t>
      </w:r>
      <w:r>
        <w:rPr>
          <w:rFonts w:hint="eastAsia" w:ascii="仿宋_GB2312" w:hAnsi="宋体" w:eastAsia="仿宋_GB2312"/>
          <w:sz w:val="32"/>
          <w:szCs w:val="32"/>
        </w:rPr>
        <w:t>38号绵竹车桥河治理工程项目）</w:t>
      </w:r>
    </w:p>
    <w:p>
      <w:pPr>
        <w:spacing w:line="580" w:lineRule="exact"/>
        <w:ind w:firstLine="640"/>
        <w:jc w:val="center"/>
        <w:rPr>
          <w:rFonts w:hint="eastAsia" w:ascii="宋体" w:hAnsi="??"/>
          <w:sz w:val="32"/>
          <w:szCs w:val="32"/>
        </w:rPr>
      </w:pPr>
    </w:p>
    <w:p>
      <w:pPr>
        <w:adjustRightInd w:val="0"/>
        <w:snapToGrid w:val="0"/>
        <w:spacing w:line="54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40" w:lineRule="exact"/>
        <w:ind w:firstLine="720" w:firstLineChars="225"/>
        <w:rPr>
          <w:rFonts w:ascii="仿宋_GB2312" w:hAnsi="宋体" w:eastAsia="仿宋_GB2312"/>
          <w:sz w:val="32"/>
          <w:szCs w:val="32"/>
          <w:lang w:val="zh-CN"/>
        </w:rPr>
      </w:pPr>
      <w:r>
        <w:rPr>
          <w:rFonts w:hint="eastAsia" w:ascii="仿宋_GB2312" w:hAnsi="宋体" w:eastAsia="仿宋_GB2312"/>
          <w:sz w:val="32"/>
          <w:szCs w:val="32"/>
          <w:lang w:val="zh-CN"/>
        </w:rPr>
        <w:t>根据德阳、绵竹市政府工作安排，为杜绝车桥河污水进入人民渠，保障德阳市城区供水安全，2014年我市通过封堵污染河道、设置截污闸将污水引入市政截污干管等方式对车桥河进行治理。该工程实施期间向德阳市住建局借款100万元用于该工程。</w:t>
      </w:r>
    </w:p>
    <w:p>
      <w:pPr>
        <w:adjustRightInd w:val="0"/>
        <w:snapToGrid w:val="0"/>
        <w:spacing w:line="540" w:lineRule="exact"/>
        <w:ind w:firstLine="720" w:firstLineChars="225"/>
        <w:rPr>
          <w:rFonts w:ascii="仿宋_GB2312" w:hAnsi="宋体" w:eastAsia="仿宋_GB2312"/>
          <w:sz w:val="32"/>
          <w:szCs w:val="32"/>
          <w:lang w:val="zh-CN"/>
        </w:rPr>
      </w:pPr>
      <w:r>
        <w:rPr>
          <w:rFonts w:hint="eastAsia" w:ascii="仿宋_GB2312" w:hAnsi="宋体" w:eastAsia="仿宋_GB2312"/>
          <w:sz w:val="32"/>
          <w:szCs w:val="32"/>
          <w:lang w:val="zh-CN"/>
        </w:rPr>
        <w:t>资金来源：专项资金补助。</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4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．预期目标：改善水源，提高德阳城区的正常运转和群众的生产生活，杜绝车桥河污水进入人民渠，保障德阳市城区供水安全。从源头保障了人民的用水安全。</w:t>
      </w:r>
    </w:p>
    <w:p>
      <w:pPr>
        <w:adjustRightInd w:val="0"/>
        <w:snapToGrid w:val="0"/>
        <w:spacing w:line="540" w:lineRule="exact"/>
        <w:ind w:firstLine="720"/>
        <w:rPr>
          <w:rFonts w:ascii="仿宋" w:hAnsi="仿宋" w:eastAsia="仿宋"/>
          <w:sz w:val="32"/>
          <w:szCs w:val="32"/>
          <w:lang w:val="zh-CN"/>
        </w:rPr>
      </w:pPr>
      <w:r>
        <w:rPr>
          <w:rFonts w:hint="eastAsia" w:ascii="仿宋_GB2312" w:hAnsi="宋体" w:eastAsia="仿宋_GB2312"/>
          <w:sz w:val="32"/>
          <w:szCs w:val="32"/>
          <w:lang w:val="zh-CN"/>
        </w:rPr>
        <w:t>2. 保障德阳市城区供水安全。</w:t>
      </w:r>
    </w:p>
    <w:p>
      <w:pPr>
        <w:adjustRightInd w:val="0"/>
        <w:snapToGrid w:val="0"/>
        <w:spacing w:line="5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3．申报内容与实际相符，申报目标合理可行。</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40" w:lineRule="exact"/>
        <w:ind w:firstLine="720"/>
        <w:rPr>
          <w:rFonts w:ascii="仿宋" w:hAnsi="仿宋" w:eastAsia="仿宋"/>
          <w:sz w:val="32"/>
          <w:szCs w:val="32"/>
          <w:lang w:val="zh-CN"/>
        </w:rPr>
      </w:pPr>
      <w:r>
        <w:rPr>
          <w:rFonts w:hint="eastAsia" w:ascii="仿宋" w:hAnsi="仿宋" w:eastAsia="仿宋"/>
          <w:sz w:val="32"/>
          <w:szCs w:val="32"/>
          <w:lang w:val="zh-CN"/>
        </w:rPr>
        <w:t>由我局开展财政资金使用情况自评并撰写部门预算支出绩效报告，按规范格式按时提交自评报告。</w:t>
      </w:r>
    </w:p>
    <w:p>
      <w:pPr>
        <w:adjustRightInd w:val="0"/>
        <w:snapToGrid w:val="0"/>
        <w:spacing w:line="54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德阳、绵竹市政府安排，我局负责实施绵竹市车桥河改造工程。由于我局当时资金困难，经双方协商同意，由我局向德阳市住建局申请借款壹佰万整，以加快推进车桥河改造工程。确保德阳城区的饮水安全。按德阳市人民政府常务会议议定：德阳市财政给予绵竹市政府100万元车桥河治理工程专项资金补助，由住建局、财政局、绵竹市政府抓紧依照相关规定完善手续和程序。</w:t>
      </w:r>
    </w:p>
    <w:p>
      <w:pPr>
        <w:adjustRightInd w:val="0"/>
        <w:snapToGrid w:val="0"/>
        <w:spacing w:line="54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540" w:lineRule="exact"/>
        <w:ind w:firstLine="800" w:firstLineChars="250"/>
        <w:rPr>
          <w:rFonts w:ascii="宋体" w:hAnsi="宋体" w:eastAsia="仿宋_GB2312" w:cs="宋体"/>
          <w:kern w:val="0"/>
          <w:sz w:val="32"/>
          <w:szCs w:val="21"/>
        </w:rPr>
      </w:pPr>
      <w:r>
        <w:rPr>
          <w:rFonts w:ascii="宋体" w:hAnsi="宋体" w:eastAsia="仿宋_GB2312" w:cs="宋体"/>
          <w:kern w:val="0"/>
          <w:sz w:val="32"/>
          <w:szCs w:val="21"/>
        </w:rPr>
        <w:t>1</w:t>
      </w:r>
      <w:r>
        <w:rPr>
          <w:rFonts w:hint="eastAsia" w:ascii="宋体" w:hAnsi="宋体" w:eastAsia="仿宋_GB2312" w:cs="宋体"/>
          <w:kern w:val="0"/>
          <w:sz w:val="32"/>
          <w:szCs w:val="21"/>
        </w:rPr>
        <w:t>．</w:t>
      </w:r>
      <w:r>
        <w:rPr>
          <w:rFonts w:hint="eastAsia" w:ascii="楷体_GB2312" w:hAnsi="宋体" w:eastAsia="楷体_GB2312"/>
          <w:sz w:val="32"/>
          <w:szCs w:val="32"/>
          <w:lang w:val="zh-CN"/>
        </w:rPr>
        <w:t>资金计划及到位。</w:t>
      </w:r>
      <w:r>
        <w:rPr>
          <w:rFonts w:hint="eastAsia" w:ascii="宋体" w:hAnsi="宋体" w:eastAsia="仿宋_GB2312" w:cs="宋体"/>
          <w:kern w:val="0"/>
          <w:sz w:val="32"/>
          <w:szCs w:val="21"/>
        </w:rPr>
        <w:t>2021年6月该专项补助资金100万元，已下达至绵竹市财政局。现按德阳市财政局要求，我局将该专项资金归还至德阳市住建局非税收账户。</w:t>
      </w:r>
    </w:p>
    <w:p>
      <w:pPr>
        <w:adjustRightInd w:val="0"/>
        <w:snapToGrid w:val="0"/>
        <w:spacing w:line="540" w:lineRule="exact"/>
        <w:ind w:firstLine="800" w:firstLineChars="250"/>
        <w:rPr>
          <w:rFonts w:ascii="仿宋_GB2312" w:hAnsi="宋体" w:eastAsia="仿宋_GB2312"/>
          <w:b/>
          <w:sz w:val="32"/>
          <w:szCs w:val="32"/>
          <w:u w:val="single"/>
        </w:rPr>
      </w:pPr>
      <w:r>
        <w:rPr>
          <w:rFonts w:ascii="楷体_GB2312" w:hAnsi="宋体" w:eastAsia="楷体_GB2312"/>
          <w:sz w:val="32"/>
          <w:szCs w:val="32"/>
          <w:lang w:val="zh-CN"/>
        </w:rPr>
        <w:t>2</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项目2021年完成支付</w:t>
      </w:r>
      <w:r>
        <w:rPr>
          <w:rFonts w:hint="eastAsia" w:ascii="仿宋_GB2312" w:hAnsi="宋体" w:eastAsia="仿宋_GB2312"/>
          <w:sz w:val="32"/>
          <w:szCs w:val="32"/>
        </w:rPr>
        <w:t>100</w:t>
      </w:r>
      <w:r>
        <w:rPr>
          <w:rFonts w:hint="eastAsia" w:ascii="仿宋_GB2312" w:hAnsi="宋体" w:eastAsia="仿宋_GB2312"/>
          <w:sz w:val="32"/>
          <w:szCs w:val="32"/>
          <w:lang w:val="zh-CN"/>
        </w:rPr>
        <w:t>万元归还德阳住建局车桥河治理工程借款。工程严格按程序约定支付，支付进度100%，支付依据合规合法。</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项目实施单位财务管理制度健全，严格执行财务管理制度，</w:t>
      </w:r>
      <w:r>
        <w:rPr>
          <w:rFonts w:hint="eastAsia" w:ascii="仿宋" w:hAnsi="仿宋" w:eastAsia="仿宋"/>
          <w:sz w:val="32"/>
          <w:szCs w:val="32"/>
          <w:lang w:val="zh-CN"/>
        </w:rPr>
        <w:t>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54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40" w:lineRule="exact"/>
        <w:ind w:firstLine="720"/>
        <w:rPr>
          <w:rFonts w:ascii="仿宋" w:hAnsi="仿宋" w:eastAsia="仿宋"/>
          <w:sz w:val="32"/>
          <w:szCs w:val="32"/>
          <w:lang w:val="zh-CN"/>
        </w:rPr>
      </w:pPr>
      <w:r>
        <w:rPr>
          <w:rFonts w:hint="eastAsia" w:ascii="仿宋" w:hAnsi="仿宋" w:eastAsia="仿宋"/>
          <w:sz w:val="32"/>
          <w:szCs w:val="32"/>
          <w:lang w:val="zh-CN"/>
        </w:rPr>
        <w:t>项目按建设工程基本程序实施，职能主管部门的审批完成后，执行了招投标制、合同制、监理制、项目法人责任制等规定的手续和流程。手续完备、流程合法合规。</w:t>
      </w:r>
    </w:p>
    <w:p>
      <w:pPr>
        <w:adjustRightInd w:val="0"/>
        <w:snapToGrid w:val="0"/>
        <w:spacing w:line="5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540" w:lineRule="exact"/>
        <w:ind w:firstLine="720"/>
        <w:rPr>
          <w:rFonts w:ascii="仿宋_GB2312" w:hAnsi="宋体" w:eastAsia="仿宋_GB2312"/>
          <w:sz w:val="32"/>
          <w:szCs w:val="32"/>
        </w:rPr>
      </w:pPr>
      <w:r>
        <w:rPr>
          <w:rFonts w:hint="eastAsia" w:ascii="仿宋_GB2312" w:hAnsi="宋体" w:eastAsia="仿宋_GB2312"/>
          <w:sz w:val="32"/>
          <w:szCs w:val="32"/>
        </w:rPr>
        <w:t>项目实施中，成立了专门的组织机构，实行专人负责管理并有明确职责分工。依据相关规定，与施工方签订了施工合同。建立了专门的项目管理制度，包括工程质量控制、进度控制、安全控制等方面进行监管。在验收阶段，进行了造价审核并出具了审核报告，完成了项目的初验和终验。</w:t>
      </w:r>
    </w:p>
    <w:p>
      <w:pPr>
        <w:adjustRightInd w:val="0"/>
        <w:snapToGrid w:val="0"/>
        <w:spacing w:line="54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40" w:lineRule="exact"/>
        <w:ind w:firstLine="720"/>
        <w:rPr>
          <w:rFonts w:ascii="仿宋" w:hAnsi="仿宋" w:eastAsia="仿宋"/>
          <w:sz w:val="32"/>
          <w:szCs w:val="32"/>
          <w:lang w:val="zh-CN"/>
        </w:rPr>
      </w:pPr>
      <w:r>
        <w:rPr>
          <w:rFonts w:hint="eastAsia" w:ascii="仿宋" w:hAnsi="仿宋" w:eastAsia="仿宋"/>
          <w:sz w:val="32"/>
          <w:szCs w:val="32"/>
          <w:lang w:val="zh-CN"/>
        </w:rPr>
        <w:t>项目严格按图施工，按相关规范和质量标准施工，现已完工。</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40" w:lineRule="exact"/>
        <w:ind w:firstLine="720"/>
        <w:rPr>
          <w:rFonts w:ascii="仿宋" w:hAnsi="仿宋" w:eastAsia="仿宋"/>
          <w:sz w:val="32"/>
          <w:szCs w:val="32"/>
          <w:lang w:val="zh-CN"/>
        </w:rPr>
      </w:pPr>
      <w:r>
        <w:rPr>
          <w:rFonts w:hint="eastAsia" w:ascii="仿宋" w:hAnsi="仿宋" w:eastAsia="仿宋"/>
          <w:sz w:val="32"/>
          <w:szCs w:val="32"/>
          <w:lang w:val="zh-CN"/>
        </w:rPr>
        <w:t>项目产出达到预期的数量、质量达标。从项目的效益看，项目实施适应社会经济发展的需要、能够体现城市特色、改善民生民计、能够为地方产生综合效益，带来可持续影响。项目服务对象对项目的满意度比较高。</w:t>
      </w:r>
    </w:p>
    <w:p>
      <w:pPr>
        <w:adjustRightInd w:val="0"/>
        <w:snapToGrid w:val="0"/>
        <w:spacing w:line="54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项目实际完成率、完成及时率均达到或超过绩效目标，质量达标率良好，产出成本可控，管理工作规范，社会效益良好，项目可持续性强，服务对象总体较满意。评定级别为“优”。</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5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500" w:type="dxa"/>
        <w:jc w:val="center"/>
        <w:tblLayout w:type="autofit"/>
        <w:tblCellMar>
          <w:top w:w="0" w:type="dxa"/>
          <w:left w:w="108" w:type="dxa"/>
          <w:bottom w:w="0" w:type="dxa"/>
          <w:right w:w="108" w:type="dxa"/>
        </w:tblCellMar>
      </w:tblPr>
      <w:tblGrid>
        <w:gridCol w:w="1080"/>
        <w:gridCol w:w="900"/>
        <w:gridCol w:w="1460"/>
        <w:gridCol w:w="1080"/>
        <w:gridCol w:w="1080"/>
        <w:gridCol w:w="1940"/>
        <w:gridCol w:w="1960"/>
      </w:tblGrid>
      <w:tr>
        <w:tblPrEx>
          <w:tblCellMar>
            <w:top w:w="0" w:type="dxa"/>
            <w:left w:w="108" w:type="dxa"/>
            <w:bottom w:w="0" w:type="dxa"/>
            <w:right w:w="108" w:type="dxa"/>
          </w:tblCellMar>
        </w:tblPrEx>
        <w:trPr>
          <w:trHeight w:val="405" w:hRule="atLeast"/>
          <w:jc w:val="center"/>
        </w:trPr>
        <w:tc>
          <w:tcPr>
            <w:tcW w:w="9500" w:type="dxa"/>
            <w:gridSpan w:val="7"/>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70" w:hRule="atLeast"/>
          <w:jc w:val="center"/>
        </w:trPr>
        <w:tc>
          <w:tcPr>
            <w:tcW w:w="9500" w:type="dxa"/>
            <w:gridSpan w:val="7"/>
            <w:tcBorders>
              <w:top w:val="nil"/>
              <w:left w:val="nil"/>
              <w:bottom w:val="nil"/>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w:t>
            </w:r>
            <w:r>
              <w:rPr>
                <w:kern w:val="0"/>
                <w:sz w:val="20"/>
                <w:szCs w:val="20"/>
              </w:rPr>
              <w:t xml:space="preserve">    2021      </w:t>
            </w:r>
            <w:r>
              <w:rPr>
                <w:rFonts w:hint="eastAsia" w:ascii="宋体" w:hAnsi="宋体" w:cs="宋体"/>
                <w:kern w:val="0"/>
                <w:sz w:val="20"/>
                <w:szCs w:val="20"/>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0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46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4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6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0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德市财投（2021）38号绵竹车桥河治理工程</w:t>
            </w:r>
          </w:p>
        </w:tc>
      </w:tr>
      <w:tr>
        <w:tblPrEx>
          <w:tblCellMar>
            <w:top w:w="0" w:type="dxa"/>
            <w:left w:w="108" w:type="dxa"/>
            <w:bottom w:w="0" w:type="dxa"/>
            <w:right w:w="108" w:type="dxa"/>
          </w:tblCellMar>
        </w:tblPrEx>
        <w:trPr>
          <w:trHeight w:val="270" w:hRule="atLeast"/>
          <w:jc w:val="center"/>
        </w:trPr>
        <w:tc>
          <w:tcPr>
            <w:tcW w:w="34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06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3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9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94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4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9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5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42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52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改善水源，提高德阳城区的正常运转和群众的生产生活，杜绝车桥河污水进入人民渠，保障德阳市城区供水安全。从源头保障了人民的用水安全。</w:t>
            </w:r>
          </w:p>
        </w:tc>
        <w:tc>
          <w:tcPr>
            <w:tcW w:w="39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保障德阳市城区供水安全。项目2021年完成支付100万元归还德阳住建局车桥河治理工程借款。工程严格按程序约定支付，支付进度100%，支付依据合规合法。</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完成时间</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2021年9月</w:t>
            </w:r>
          </w:p>
        </w:tc>
        <w:tc>
          <w:tcPr>
            <w:tcW w:w="1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2021年9月13日已支付</w:t>
            </w:r>
          </w:p>
        </w:tc>
      </w:tr>
      <w:tr>
        <w:tblPrEx>
          <w:tblCellMar>
            <w:top w:w="0" w:type="dxa"/>
            <w:left w:w="108" w:type="dxa"/>
            <w:bottom w:w="0" w:type="dxa"/>
            <w:right w:w="108" w:type="dxa"/>
          </w:tblCellMar>
        </w:tblPrEx>
        <w:trPr>
          <w:trHeight w:val="69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支付项目工程建安费、部分间接费</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实际支付100万元。</w:t>
            </w:r>
          </w:p>
        </w:tc>
      </w:tr>
      <w:tr>
        <w:tblPrEx>
          <w:tblCellMar>
            <w:top w:w="0" w:type="dxa"/>
            <w:left w:w="108" w:type="dxa"/>
            <w:bottom w:w="0" w:type="dxa"/>
            <w:right w:w="108" w:type="dxa"/>
          </w:tblCellMar>
        </w:tblPrEx>
        <w:trPr>
          <w:trHeight w:val="64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改善人民生活环境，美化社区环境</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生态效益指标</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为</w:t>
            </w:r>
            <w:r>
              <w:rPr>
                <w:rFonts w:hint="eastAsia" w:ascii="宋体" w:hAnsi="宋体" w:cs="宋体"/>
                <w:kern w:val="0"/>
                <w:sz w:val="20"/>
                <w:szCs w:val="20"/>
                <w:lang w:eastAsia="zh-CN"/>
              </w:rPr>
              <w:t>切</w:t>
            </w:r>
            <w:r>
              <w:rPr>
                <w:rFonts w:hint="eastAsia" w:ascii="宋体" w:hAnsi="宋体" w:cs="宋体"/>
                <w:kern w:val="0"/>
                <w:sz w:val="20"/>
                <w:szCs w:val="20"/>
              </w:rPr>
              <w:t>实做好饮用水水源地保护工作，确保城市供水水源安全。</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96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促进该地区的城市建设，方便群众生产生活</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79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满意度</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（灌耳河排污管网修复经费项目）</w:t>
      </w:r>
    </w:p>
    <w:p>
      <w:pPr>
        <w:spacing w:line="520" w:lineRule="exact"/>
        <w:ind w:firstLine="640"/>
        <w:jc w:val="center"/>
        <w:rPr>
          <w:rFonts w:hint="eastAsia" w:ascii="宋体" w:hAnsi="??"/>
          <w:sz w:val="32"/>
          <w:szCs w:val="32"/>
        </w:rPr>
      </w:pPr>
    </w:p>
    <w:p>
      <w:pPr>
        <w:adjustRightInd w:val="0"/>
        <w:snapToGrid w:val="0"/>
        <w:spacing w:line="52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20" w:lineRule="exact"/>
        <w:ind w:firstLine="720" w:firstLineChars="225"/>
        <w:rPr>
          <w:rFonts w:ascii="仿宋_GB2312" w:hAnsi="宋体" w:eastAsia="仿宋_GB2312"/>
          <w:sz w:val="32"/>
          <w:szCs w:val="32"/>
          <w:lang w:val="zh-CN"/>
        </w:rPr>
      </w:pPr>
      <w:r>
        <w:rPr>
          <w:rFonts w:hint="eastAsia" w:ascii="仿宋_GB2312" w:hAnsi="宋体" w:eastAsia="仿宋_GB2312"/>
          <w:sz w:val="32"/>
          <w:szCs w:val="32"/>
          <w:lang w:val="zh-CN"/>
        </w:rPr>
        <w:t>根据市政府工作安排，为解决2017年中央第五生态环境保护督察组</w:t>
      </w:r>
      <w:bookmarkStart w:id="85" w:name="_GoBack"/>
      <w:bookmarkEnd w:id="85"/>
      <w:r>
        <w:rPr>
          <w:rFonts w:hint="eastAsia" w:ascii="仿宋_GB2312" w:hAnsi="宋体" w:eastAsia="仿宋_GB2312"/>
          <w:sz w:val="32"/>
          <w:szCs w:val="32"/>
          <w:lang w:val="zh-CN"/>
        </w:rPr>
        <w:t>交办第9批群众投诉案件：“德阳市绵竹市东北镇谷王村10组上风雅居小区，范家院子的生活污水、禽兽粪水直排灌耳河，污染环境”。由我局牵头临时修建了约616米污水截污干管，将灌耳河沿岸的生活污水全部接入城市污水截污干管，引入城市生活污水处理厂进行处理。后经群众举报，该排污管网已严重损坏，破损管道脱落堵塞红岩渠，导致污水直排灌耳河和红岩渠，污染环境，影响城市形象。为确保第五届四川省文明城市复查成功，同时顺利迎接中央第二轮环保督察，现急需对灌耳河破损排污管网进行修复。</w:t>
      </w:r>
    </w:p>
    <w:p>
      <w:pPr>
        <w:adjustRightInd w:val="0"/>
        <w:snapToGrid w:val="0"/>
        <w:spacing w:line="520" w:lineRule="exact"/>
        <w:ind w:firstLine="720" w:firstLineChars="225"/>
        <w:rPr>
          <w:rFonts w:ascii="仿宋_GB2312" w:hAnsi="宋体" w:eastAsia="仿宋_GB2312"/>
          <w:sz w:val="32"/>
          <w:szCs w:val="32"/>
          <w:lang w:val="zh-CN"/>
        </w:rPr>
      </w:pPr>
      <w:r>
        <w:rPr>
          <w:rFonts w:hint="eastAsia" w:ascii="仿宋_GB2312" w:hAnsi="宋体" w:eastAsia="仿宋_GB2312"/>
          <w:sz w:val="32"/>
          <w:szCs w:val="32"/>
          <w:lang w:val="zh-CN"/>
        </w:rPr>
        <w:t>资金来源：本级财政资金</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2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．预期目标：住建局负责对该项目进行排污管网修复。</w:t>
      </w:r>
    </w:p>
    <w:p>
      <w:pPr>
        <w:adjustRightInd w:val="0"/>
        <w:snapToGrid w:val="0"/>
        <w:spacing w:line="520" w:lineRule="exact"/>
        <w:ind w:firstLine="720"/>
        <w:rPr>
          <w:rFonts w:ascii="仿宋" w:hAnsi="仿宋" w:eastAsia="仿宋"/>
          <w:sz w:val="32"/>
          <w:szCs w:val="32"/>
          <w:lang w:val="zh-CN"/>
        </w:rPr>
      </w:pPr>
      <w:r>
        <w:rPr>
          <w:rFonts w:hint="eastAsia" w:ascii="仿宋_GB2312" w:hAnsi="宋体" w:eastAsia="仿宋_GB2312"/>
          <w:sz w:val="32"/>
          <w:szCs w:val="32"/>
          <w:lang w:val="zh-CN"/>
        </w:rPr>
        <w:t>2. 改善环境污染，确保第五届四川省文明城市复查成功，同时顺利迎接中央第二轮环保督察。</w:t>
      </w:r>
    </w:p>
    <w:p>
      <w:pPr>
        <w:adjustRightInd w:val="0"/>
        <w:snapToGrid w:val="0"/>
        <w:spacing w:line="52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3．申报内容与实际相符，申报目标合理可行。</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20" w:lineRule="exact"/>
        <w:ind w:firstLine="720"/>
        <w:rPr>
          <w:rFonts w:ascii="仿宋" w:hAnsi="仿宋" w:eastAsia="仿宋"/>
          <w:color w:val="FF0000"/>
          <w:sz w:val="32"/>
          <w:szCs w:val="32"/>
          <w:lang w:val="zh-CN"/>
        </w:rPr>
      </w:pPr>
      <w:r>
        <w:rPr>
          <w:rFonts w:hint="eastAsia" w:ascii="仿宋" w:hAnsi="仿宋" w:eastAsia="仿宋"/>
          <w:sz w:val="32"/>
          <w:szCs w:val="32"/>
          <w:lang w:val="zh-CN"/>
        </w:rPr>
        <w:t>由我局开展财政资金使用情况自评并撰写部门预算支出绩效报告，按规范格式按时提交自评报告。</w:t>
      </w:r>
    </w:p>
    <w:p>
      <w:pPr>
        <w:adjustRightInd w:val="0"/>
        <w:snapToGrid w:val="0"/>
        <w:spacing w:line="52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2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根据市领导对《关于申请解决灌耳河排污管网修复经费的请示》（竹建﹝2021﹞89号；市政府公文处理笺B2021-312）的批示和工作安排，由我局牵头负责办理，经与市财政局对接，原灌耳河城市黑臭水体整治工作剩余经费71.89万元，根据《绵竹市财政存量资金管理执行办法》（原财预﹝2017﹞186号）规定，已于2020年12月由财政收回统筹使用（竹财资环﹝2020﹞593号）。</w:t>
      </w:r>
    </w:p>
    <w:p>
      <w:pPr>
        <w:adjustRightInd w:val="0"/>
        <w:snapToGrid w:val="0"/>
        <w:spacing w:line="52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520" w:lineRule="exact"/>
        <w:ind w:firstLine="800" w:firstLineChars="250"/>
        <w:rPr>
          <w:rFonts w:ascii="宋体" w:hAnsi="宋体" w:eastAsia="仿宋_GB2312" w:cs="宋体"/>
          <w:kern w:val="0"/>
          <w:sz w:val="32"/>
          <w:szCs w:val="21"/>
        </w:rPr>
      </w:pPr>
      <w:r>
        <w:rPr>
          <w:rFonts w:ascii="宋体" w:hAnsi="宋体" w:eastAsia="仿宋_GB2312" w:cs="宋体"/>
          <w:kern w:val="0"/>
          <w:sz w:val="32"/>
          <w:szCs w:val="21"/>
        </w:rPr>
        <w:t>1</w:t>
      </w:r>
      <w:r>
        <w:rPr>
          <w:rFonts w:hint="eastAsia" w:ascii="宋体" w:hAnsi="宋体" w:eastAsia="仿宋_GB2312" w:cs="宋体"/>
          <w:kern w:val="0"/>
          <w:sz w:val="32"/>
          <w:szCs w:val="21"/>
        </w:rPr>
        <w:t>．</w:t>
      </w:r>
      <w:r>
        <w:rPr>
          <w:rFonts w:hint="eastAsia" w:ascii="楷体_GB2312" w:hAnsi="宋体" w:eastAsia="楷体_GB2312"/>
          <w:sz w:val="32"/>
          <w:szCs w:val="32"/>
          <w:lang w:val="zh-CN"/>
        </w:rPr>
        <w:t>资金计划及到位。</w:t>
      </w:r>
      <w:r>
        <w:rPr>
          <w:rFonts w:hint="eastAsia" w:ascii="宋体" w:hAnsi="宋体" w:eastAsia="仿宋_GB2312" w:cs="宋体"/>
          <w:kern w:val="0"/>
          <w:sz w:val="32"/>
          <w:szCs w:val="21"/>
        </w:rPr>
        <w:t>该项目2021年预算追加（减）通知本级财政资金12万元，实际到位资金12万元。各项资金按时到位，到位率100%。</w:t>
      </w:r>
    </w:p>
    <w:p>
      <w:pPr>
        <w:adjustRightInd w:val="0"/>
        <w:snapToGrid w:val="0"/>
        <w:spacing w:line="520" w:lineRule="exact"/>
        <w:ind w:firstLine="800" w:firstLineChars="250"/>
        <w:rPr>
          <w:rFonts w:ascii="仿宋_GB2312" w:hAnsi="宋体" w:eastAsia="仿宋_GB2312"/>
          <w:b/>
          <w:sz w:val="32"/>
          <w:szCs w:val="32"/>
          <w:u w:val="single"/>
        </w:rPr>
      </w:pPr>
      <w:r>
        <w:rPr>
          <w:rFonts w:ascii="楷体_GB2312" w:hAnsi="宋体" w:eastAsia="楷体_GB2312"/>
          <w:sz w:val="32"/>
          <w:szCs w:val="32"/>
          <w:lang w:val="zh-CN"/>
        </w:rPr>
        <w:t>2</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项目2021年完成支付</w:t>
      </w:r>
      <w:r>
        <w:rPr>
          <w:rFonts w:hint="eastAsia" w:ascii="仿宋_GB2312" w:hAnsi="宋体" w:eastAsia="仿宋_GB2312"/>
          <w:sz w:val="32"/>
          <w:szCs w:val="32"/>
        </w:rPr>
        <w:t>12</w:t>
      </w:r>
      <w:r>
        <w:rPr>
          <w:rFonts w:hint="eastAsia" w:ascii="仿宋_GB2312" w:hAnsi="宋体" w:eastAsia="仿宋_GB2312"/>
          <w:sz w:val="32"/>
          <w:szCs w:val="32"/>
          <w:lang w:val="zh-CN"/>
        </w:rPr>
        <w:t>万元。工程严格按合同约定支付，支付进度73%，支付依据合规合法。由于该项目还需拨付施工费尾款4.430228万元，待来年预算下来后，再支付剩余款项。</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20" w:lineRule="exact"/>
        <w:ind w:firstLine="720"/>
        <w:rPr>
          <w:rFonts w:ascii="仿宋" w:hAnsi="仿宋" w:eastAsia="仿宋"/>
          <w:sz w:val="32"/>
          <w:szCs w:val="32"/>
          <w:lang w:val="zh-CN"/>
        </w:rPr>
      </w:pPr>
      <w:r>
        <w:rPr>
          <w:rFonts w:hint="eastAsia" w:ascii="仿宋_GB2312" w:hAnsi="宋体" w:eastAsia="仿宋_GB2312"/>
          <w:sz w:val="32"/>
          <w:szCs w:val="32"/>
          <w:lang w:val="zh-CN"/>
        </w:rPr>
        <w:t>项目实施单位财务管理制度健全，严格执行财务管理制度，</w:t>
      </w:r>
      <w:r>
        <w:rPr>
          <w:rFonts w:hint="eastAsia" w:ascii="仿宋" w:hAnsi="仿宋" w:eastAsia="仿宋"/>
          <w:sz w:val="32"/>
          <w:szCs w:val="32"/>
          <w:lang w:val="zh-CN"/>
        </w:rPr>
        <w:t>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52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20" w:lineRule="exact"/>
        <w:ind w:firstLine="720"/>
        <w:rPr>
          <w:rFonts w:ascii="仿宋" w:hAnsi="仿宋" w:eastAsia="仿宋"/>
          <w:sz w:val="32"/>
          <w:szCs w:val="32"/>
          <w:lang w:val="zh-CN"/>
        </w:rPr>
      </w:pPr>
      <w:r>
        <w:rPr>
          <w:rFonts w:hint="eastAsia" w:ascii="仿宋" w:hAnsi="仿宋" w:eastAsia="仿宋"/>
          <w:sz w:val="32"/>
          <w:szCs w:val="32"/>
          <w:lang w:val="zh-CN"/>
        </w:rPr>
        <w:t>项目按建设工程基本程序实施，职能主管部门的审批完成后，执行了招投标制、合同制、监理制、项目法人责任制等规定的手续和流程。手续完备、流程合法合规。</w:t>
      </w:r>
    </w:p>
    <w:p>
      <w:pPr>
        <w:adjustRightInd w:val="0"/>
        <w:snapToGrid w:val="0"/>
        <w:spacing w:line="52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520" w:lineRule="exact"/>
        <w:ind w:firstLine="720"/>
        <w:rPr>
          <w:rFonts w:ascii="仿宋_GB2312" w:hAnsi="宋体" w:eastAsia="仿宋_GB2312"/>
          <w:sz w:val="32"/>
          <w:szCs w:val="32"/>
        </w:rPr>
      </w:pPr>
      <w:r>
        <w:rPr>
          <w:rFonts w:hint="eastAsia" w:ascii="仿宋_GB2312" w:hAnsi="宋体" w:eastAsia="仿宋_GB2312"/>
          <w:sz w:val="32"/>
          <w:szCs w:val="32"/>
        </w:rPr>
        <w:t>项目实施中，成立了专门的组织机构，实行专人负责管理并有明确职责分工。依据相关规定，与施工方签订了施工合同。建立了专门的项目管理制度，包括工程质量控制、进度控制、安全控制等方面进行监管。在验收阶段，进行了造价审核并出具了审核报告，完成了项目的初验和终验。</w:t>
      </w:r>
    </w:p>
    <w:p>
      <w:pPr>
        <w:adjustRightInd w:val="0"/>
        <w:snapToGrid w:val="0"/>
        <w:spacing w:line="52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20" w:lineRule="exact"/>
        <w:ind w:firstLine="720"/>
        <w:rPr>
          <w:rFonts w:ascii="仿宋" w:hAnsi="仿宋" w:eastAsia="仿宋"/>
          <w:sz w:val="32"/>
          <w:szCs w:val="32"/>
          <w:lang w:val="zh-CN"/>
        </w:rPr>
      </w:pPr>
      <w:r>
        <w:rPr>
          <w:rFonts w:hint="eastAsia" w:ascii="仿宋" w:hAnsi="仿宋" w:eastAsia="仿宋"/>
          <w:sz w:val="32"/>
          <w:szCs w:val="32"/>
          <w:lang w:val="zh-CN"/>
        </w:rPr>
        <w:t>项目严格按图施工，按相关规范和质量标准施工，现已完工。</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20" w:lineRule="exact"/>
        <w:ind w:firstLine="720"/>
        <w:rPr>
          <w:rFonts w:ascii="仿宋" w:hAnsi="仿宋" w:eastAsia="仿宋"/>
          <w:sz w:val="32"/>
          <w:szCs w:val="32"/>
          <w:lang w:val="zh-CN"/>
        </w:rPr>
      </w:pPr>
      <w:r>
        <w:rPr>
          <w:rFonts w:hint="eastAsia" w:ascii="仿宋" w:hAnsi="仿宋" w:eastAsia="仿宋"/>
          <w:sz w:val="32"/>
          <w:szCs w:val="32"/>
          <w:lang w:val="zh-CN"/>
        </w:rPr>
        <w:t>项目产出达到预期的数量、质量达标。从项目的效益看，项目实施适应社会经济发展的需要、能够体现城市特色、改善民生民计、能够为地方产生综合效益，带来可持续影响。项目服务对象对项目的满意度比较高。</w:t>
      </w:r>
    </w:p>
    <w:p>
      <w:pPr>
        <w:adjustRightInd w:val="0"/>
        <w:snapToGrid w:val="0"/>
        <w:spacing w:line="52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20" w:lineRule="exact"/>
        <w:ind w:firstLine="640" w:firstLineChars="200"/>
        <w:rPr>
          <w:rFonts w:ascii="仿宋_GB2312" w:hAnsi="宋体" w:eastAsia="仿宋_GB2312"/>
          <w:color w:val="FF0000"/>
          <w:sz w:val="32"/>
          <w:szCs w:val="32"/>
          <w:lang w:val="zh-CN"/>
        </w:rPr>
      </w:pPr>
      <w:r>
        <w:rPr>
          <w:rFonts w:hint="eastAsia" w:ascii="仿宋_GB2312" w:hAnsi="宋体" w:eastAsia="仿宋_GB2312"/>
          <w:sz w:val="32"/>
          <w:szCs w:val="32"/>
          <w:lang w:val="zh-CN"/>
        </w:rPr>
        <w:t>项目实际完成率、完成及时率均达到或超过绩效目标，质量达标率良好，产出成本可控，管理工作规范，社会效益良好，项目可持续性强，服务对象总体较满意。评定级别为“优”。</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580" w:lineRule="exact"/>
        <w:ind w:firstLine="640" w:firstLineChars="200"/>
        <w:rPr>
          <w:rFonts w:ascii="仿宋_GB2312" w:hAnsi="宋体" w:eastAsia="仿宋_GB2312"/>
          <w:sz w:val="32"/>
          <w:szCs w:val="32"/>
          <w:lang w:val="zh-CN"/>
        </w:rPr>
      </w:pPr>
    </w:p>
    <w:tbl>
      <w:tblPr>
        <w:tblStyle w:val="13"/>
        <w:tblW w:w="9100" w:type="dxa"/>
        <w:jc w:val="center"/>
        <w:tblLayout w:type="autofit"/>
        <w:tblCellMar>
          <w:top w:w="0" w:type="dxa"/>
          <w:left w:w="108" w:type="dxa"/>
          <w:bottom w:w="0" w:type="dxa"/>
          <w:right w:w="108" w:type="dxa"/>
        </w:tblCellMar>
      </w:tblPr>
      <w:tblGrid>
        <w:gridCol w:w="1080"/>
        <w:gridCol w:w="1000"/>
        <w:gridCol w:w="1500"/>
        <w:gridCol w:w="1080"/>
        <w:gridCol w:w="800"/>
        <w:gridCol w:w="1800"/>
        <w:gridCol w:w="1840"/>
      </w:tblGrid>
      <w:tr>
        <w:tblPrEx>
          <w:tblCellMar>
            <w:top w:w="0" w:type="dxa"/>
            <w:left w:w="108" w:type="dxa"/>
            <w:bottom w:w="0" w:type="dxa"/>
            <w:right w:w="108" w:type="dxa"/>
          </w:tblCellMar>
        </w:tblPrEx>
        <w:trPr>
          <w:trHeight w:val="405" w:hRule="atLeast"/>
          <w:jc w:val="center"/>
        </w:trPr>
        <w:tc>
          <w:tcPr>
            <w:tcW w:w="9100" w:type="dxa"/>
            <w:gridSpan w:val="7"/>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10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00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50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80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80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84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5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灌耳河排污管网修复经费</w:t>
            </w:r>
          </w:p>
        </w:tc>
      </w:tr>
      <w:tr>
        <w:tblPrEx>
          <w:tblCellMar>
            <w:top w:w="0" w:type="dxa"/>
            <w:left w:w="108" w:type="dxa"/>
            <w:bottom w:w="0" w:type="dxa"/>
            <w:right w:w="108" w:type="dxa"/>
          </w:tblCellMar>
        </w:tblPrEx>
        <w:trPr>
          <w:trHeight w:val="270" w:hRule="atLeast"/>
          <w:jc w:val="center"/>
        </w:trPr>
        <w:tc>
          <w:tcPr>
            <w:tcW w:w="35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52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8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8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8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80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r>
      <w:tr>
        <w:tblPrEx>
          <w:tblCellMar>
            <w:top w:w="0" w:type="dxa"/>
            <w:left w:w="108" w:type="dxa"/>
            <w:bottom w:w="0" w:type="dxa"/>
            <w:right w:w="108" w:type="dxa"/>
          </w:tblCellMar>
        </w:tblPrEx>
        <w:trPr>
          <w:trHeight w:val="528"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8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0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8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3"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3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6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42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3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为确保第五届四川省文明城市复查成功，同时顺利迎接中央第二轮环保督察，现急需对灌耳河破损排污管网进行修复</w:t>
            </w:r>
          </w:p>
        </w:tc>
        <w:tc>
          <w:tcPr>
            <w:tcW w:w="36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临时修建了约616米污水截污干管，将灌耳河沿岸的生活污水全部接入城市污水截污干管，引入城市生活污水处理厂进行处理改善环境污染，确保第五届四川省文明城市复查成功，同时顺利迎接中央第二轮环保督察。</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8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8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修复长度</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616米</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完成计划</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8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竣工验收合格</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合格</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2021.2.6已竣工验收</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8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完成时间</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2021年6</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2021年6月已竣工验收</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8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支付项目工程建安费、部分间接费</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实际支付12万元。待</w:t>
            </w:r>
            <w:r>
              <w:rPr>
                <w:rFonts w:hint="eastAsia" w:ascii="宋体" w:hAnsi="宋体" w:cs="宋体"/>
                <w:kern w:val="0"/>
                <w:sz w:val="20"/>
                <w:szCs w:val="20"/>
                <w:lang w:eastAsia="zh-CN"/>
              </w:rPr>
              <w:t>年度</w:t>
            </w:r>
            <w:r>
              <w:rPr>
                <w:rFonts w:hint="eastAsia" w:ascii="宋体" w:hAnsi="宋体" w:cs="宋体"/>
                <w:kern w:val="0"/>
                <w:sz w:val="20"/>
                <w:szCs w:val="20"/>
              </w:rPr>
              <w:t>指标下来后，</w:t>
            </w:r>
            <w:r>
              <w:rPr>
                <w:rFonts w:hint="eastAsia" w:ascii="宋体" w:hAnsi="宋体" w:cs="宋体"/>
                <w:kern w:val="0"/>
                <w:sz w:val="20"/>
                <w:szCs w:val="20"/>
                <w:lang w:eastAsia="zh-CN"/>
              </w:rPr>
              <w:t>再</w:t>
            </w:r>
            <w:r>
              <w:rPr>
                <w:rFonts w:hint="eastAsia" w:ascii="宋体" w:hAnsi="宋体" w:cs="宋体"/>
                <w:kern w:val="0"/>
                <w:sz w:val="20"/>
                <w:szCs w:val="20"/>
              </w:rPr>
              <w:t>拨付剩余工程尾款。</w:t>
            </w:r>
          </w:p>
        </w:tc>
      </w:tr>
      <w:tr>
        <w:tblPrEx>
          <w:tblCellMar>
            <w:top w:w="0" w:type="dxa"/>
            <w:left w:w="108" w:type="dxa"/>
            <w:bottom w:w="0" w:type="dxa"/>
            <w:right w:w="108" w:type="dxa"/>
          </w:tblCellMar>
        </w:tblPrEx>
        <w:trPr>
          <w:trHeight w:val="64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改善人民生活环境，美化社区环境</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64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生态效益指标</w:t>
            </w:r>
          </w:p>
        </w:tc>
        <w:tc>
          <w:tcPr>
            <w:tcW w:w="18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改善环境污染、提升城市形象</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96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促进该地区的城市建设，方便群众生产生活</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79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8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满意度</w:t>
            </w:r>
          </w:p>
        </w:tc>
        <w:tc>
          <w:tcPr>
            <w:tcW w:w="18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（淮安路（苏绵大道——常州路南段）新建工程项目）</w:t>
      </w:r>
    </w:p>
    <w:p>
      <w:pPr>
        <w:spacing w:line="580" w:lineRule="exact"/>
        <w:ind w:firstLine="640"/>
        <w:jc w:val="center"/>
        <w:rPr>
          <w:rFonts w:hint="eastAsia" w:ascii="宋体" w:hAnsi="??"/>
          <w:sz w:val="32"/>
          <w:szCs w:val="32"/>
        </w:rPr>
      </w:pPr>
    </w:p>
    <w:p>
      <w:pPr>
        <w:adjustRightInd w:val="0"/>
        <w:snapToGrid w:val="0"/>
        <w:spacing w:line="64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1．项目业主：绵竹市市政工程建设管理站。</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2．建设地址：苏绵大道二号立交桥西侧。</w:t>
      </w:r>
    </w:p>
    <w:p>
      <w:pPr>
        <w:adjustRightInd w:val="0"/>
        <w:snapToGrid w:val="0"/>
        <w:spacing w:line="640" w:lineRule="exact"/>
        <w:ind w:firstLine="720"/>
        <w:rPr>
          <w:rFonts w:ascii="仿宋" w:hAnsi="仿宋" w:eastAsia="仿宋"/>
          <w:sz w:val="32"/>
          <w:szCs w:val="32"/>
          <w:lang w:val="zh-CN"/>
        </w:rPr>
      </w:pPr>
      <w:r>
        <w:rPr>
          <w:rFonts w:hint="eastAsia" w:ascii="仿宋_GB2312" w:hAnsi="宋体" w:eastAsia="仿宋_GB2312"/>
          <w:sz w:val="32"/>
          <w:szCs w:val="32"/>
          <w:lang w:val="zh-CN"/>
        </w:rPr>
        <w:t>3.建设内容及规模：</w:t>
      </w:r>
      <w:r>
        <w:rPr>
          <w:rFonts w:hint="eastAsia" w:ascii="仿宋" w:hAnsi="仿宋" w:eastAsia="仿宋"/>
          <w:sz w:val="32"/>
          <w:szCs w:val="32"/>
          <w:lang w:val="zh-CN"/>
        </w:rPr>
        <w:t>道路全长260米，宽30米，建设面积为7800平方米，包含人行道、各种管线、雨污水管、给水管、绿化、路灯、标识标牌等配套设施。</w:t>
      </w:r>
    </w:p>
    <w:p>
      <w:pPr>
        <w:adjustRightInd w:val="0"/>
        <w:snapToGrid w:val="0"/>
        <w:spacing w:line="640" w:lineRule="exact"/>
        <w:ind w:firstLine="720" w:firstLineChars="225"/>
        <w:rPr>
          <w:rFonts w:ascii="仿宋_GB2312" w:hAnsi="宋体" w:eastAsia="仿宋_GB2312"/>
          <w:sz w:val="32"/>
          <w:szCs w:val="32"/>
          <w:lang w:val="zh-CN"/>
        </w:rPr>
      </w:pPr>
      <w:r>
        <w:rPr>
          <w:rFonts w:hint="eastAsia" w:ascii="仿宋_GB2312" w:hAnsi="宋体" w:eastAsia="仿宋_GB2312"/>
          <w:sz w:val="32"/>
          <w:szCs w:val="32"/>
          <w:lang w:val="zh-CN"/>
        </w:rPr>
        <w:t>4．资金来源：本级财政资金。</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4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．预期目标：起点接已建苏绵大道，终点接已英伦城邦楼盘地下停车场出口处，道路全长</w:t>
      </w:r>
      <w:r>
        <w:rPr>
          <w:rFonts w:hint="eastAsia" w:ascii="仿宋" w:hAnsi="仿宋" w:eastAsia="仿宋"/>
          <w:sz w:val="32"/>
          <w:szCs w:val="32"/>
          <w:lang w:val="zh-CN"/>
        </w:rPr>
        <w:t>260</w:t>
      </w:r>
      <w:r>
        <w:rPr>
          <w:rFonts w:hint="eastAsia" w:ascii="仿宋_GB2312" w:hAnsi="宋体" w:eastAsia="仿宋_GB2312"/>
          <w:sz w:val="32"/>
          <w:szCs w:val="32"/>
          <w:lang w:val="zh-CN"/>
        </w:rPr>
        <w:t>米，红线宽度30米，按照城市次干路标准设计，设计时速30km/h，设计内容包含道路、排水、给水、照明、交安及附属工程等。</w:t>
      </w:r>
    </w:p>
    <w:p>
      <w:pPr>
        <w:adjustRightInd w:val="0"/>
        <w:snapToGrid w:val="0"/>
        <w:spacing w:line="640" w:lineRule="exact"/>
        <w:ind w:firstLine="720"/>
        <w:rPr>
          <w:rFonts w:ascii="仿宋" w:hAnsi="仿宋" w:eastAsia="仿宋"/>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w:t>
      </w:r>
      <w:r>
        <w:rPr>
          <w:rFonts w:hint="eastAsia" w:ascii="仿宋" w:hAnsi="仿宋" w:eastAsia="仿宋"/>
          <w:sz w:val="32"/>
          <w:szCs w:val="32"/>
          <w:lang w:val="zh-CN"/>
        </w:rPr>
        <w:t>提升区域内的交通容量，缓解城市主要道路的压力；完善城东新区城市道路基础设施，方便周边新建楼盘群众出行；优化路网结构，加强区域连接。项目计划</w:t>
      </w:r>
      <w:r>
        <w:rPr>
          <w:rFonts w:hint="eastAsia" w:ascii="仿宋_GB2312" w:hAnsi="宋体" w:eastAsia="仿宋_GB2312"/>
          <w:sz w:val="32"/>
          <w:szCs w:val="32"/>
          <w:lang w:val="zh-CN"/>
        </w:rPr>
        <w:t>2022年6月开工，2022年年底完工。</w:t>
      </w:r>
    </w:p>
    <w:p>
      <w:pPr>
        <w:adjustRightInd w:val="0"/>
        <w:snapToGrid w:val="0"/>
        <w:spacing w:line="64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．申报内容与实际相符，申报目标合理可行。</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由我局开展财政资金使用情况自评并撰写部门预算支出绩效报告，按规范格式按时提交自评报告。</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项目经市发改局《</w:t>
      </w:r>
      <w:r>
        <w:rPr>
          <w:rFonts w:hint="eastAsia" w:ascii="宋体" w:hAnsi="宋体" w:eastAsia="仿宋_GB2312" w:cs="宋体"/>
          <w:kern w:val="0"/>
          <w:sz w:val="32"/>
          <w:szCs w:val="21"/>
        </w:rPr>
        <w:t>关于</w:t>
      </w:r>
      <w:r>
        <w:rPr>
          <w:rFonts w:hint="eastAsia" w:ascii="仿宋_GB2312" w:hAnsi="宋体" w:eastAsia="仿宋_GB2312"/>
          <w:sz w:val="32"/>
          <w:szCs w:val="32"/>
        </w:rPr>
        <w:t>淮安路（苏绵大道——常州路南段）新建工程</w:t>
      </w:r>
      <w:r>
        <w:rPr>
          <w:rFonts w:hint="eastAsia" w:ascii="宋体" w:hAnsi="宋体" w:eastAsia="仿宋_GB2312" w:cs="宋体"/>
          <w:kern w:val="0"/>
          <w:sz w:val="32"/>
          <w:szCs w:val="21"/>
        </w:rPr>
        <w:t>项目建议书的批复》（竹发改建（2022）78号）批复立项、</w:t>
      </w:r>
      <w:r>
        <w:rPr>
          <w:rFonts w:hint="eastAsia" w:ascii="仿宋" w:hAnsi="仿宋" w:eastAsia="仿宋"/>
          <w:sz w:val="32"/>
          <w:szCs w:val="32"/>
          <w:lang w:val="zh-CN"/>
        </w:rPr>
        <w:t>经市发改局《关于</w:t>
      </w:r>
      <w:r>
        <w:rPr>
          <w:rFonts w:hint="eastAsia" w:ascii="仿宋_GB2312" w:hAnsi="宋体" w:eastAsia="仿宋_GB2312"/>
          <w:sz w:val="32"/>
          <w:szCs w:val="32"/>
        </w:rPr>
        <w:t>淮安路（苏绵大道——常州路南段）新建工程</w:t>
      </w:r>
      <w:r>
        <w:rPr>
          <w:rFonts w:hint="eastAsia" w:ascii="仿宋" w:hAnsi="仿宋" w:eastAsia="仿宋"/>
          <w:sz w:val="32"/>
          <w:szCs w:val="32"/>
          <w:lang w:val="zh-CN"/>
        </w:rPr>
        <w:t>投资概算的批复》（竹发改审（2022）26号）批复概算金额为1341.35万元，资金来源为本级财政资金。</w:t>
      </w:r>
    </w:p>
    <w:p>
      <w:pPr>
        <w:adjustRightInd w:val="0"/>
        <w:snapToGrid w:val="0"/>
        <w:spacing w:line="64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40" w:lineRule="exact"/>
        <w:ind w:firstLine="800" w:firstLineChars="250"/>
        <w:rPr>
          <w:rFonts w:ascii="宋体" w:hAnsi="宋体" w:eastAsia="仿宋_GB2312" w:cs="宋体"/>
          <w:kern w:val="0"/>
          <w:sz w:val="32"/>
          <w:szCs w:val="21"/>
        </w:rPr>
      </w:pPr>
      <w:r>
        <w:rPr>
          <w:rFonts w:ascii="宋体" w:hAnsi="宋体" w:eastAsia="仿宋_GB2312" w:cs="宋体"/>
          <w:kern w:val="0"/>
          <w:sz w:val="32"/>
          <w:szCs w:val="21"/>
        </w:rPr>
        <w:t>1</w:t>
      </w:r>
      <w:r>
        <w:rPr>
          <w:rFonts w:hint="eastAsia" w:ascii="宋体" w:hAnsi="宋体" w:eastAsia="仿宋_GB2312" w:cs="宋体"/>
          <w:kern w:val="0"/>
          <w:sz w:val="32"/>
          <w:szCs w:val="21"/>
        </w:rPr>
        <w:t>．</w:t>
      </w:r>
      <w:r>
        <w:rPr>
          <w:rFonts w:hint="eastAsia" w:ascii="楷体_GB2312" w:hAnsi="宋体" w:eastAsia="楷体_GB2312"/>
          <w:sz w:val="32"/>
          <w:szCs w:val="32"/>
          <w:lang w:val="zh-CN"/>
        </w:rPr>
        <w:t>资金计划及到位。</w:t>
      </w:r>
      <w:r>
        <w:rPr>
          <w:rFonts w:hint="eastAsia" w:ascii="宋体" w:hAnsi="宋体" w:eastAsia="仿宋_GB2312" w:cs="宋体"/>
          <w:kern w:val="0"/>
          <w:sz w:val="32"/>
          <w:szCs w:val="21"/>
        </w:rPr>
        <w:t>该项目2021年年初预算本级财政资金370万元，（调整市住建局：因指标项目名称下达错误，现调整项目名称。竹财资环调（2021）45号调减184万元），年底追减预算0.6万元（竹财资环减（2021）55号-5），实际到位资金185.4万元。各项资金按时到位，到位率100%。</w:t>
      </w:r>
    </w:p>
    <w:p>
      <w:pPr>
        <w:adjustRightInd w:val="0"/>
        <w:snapToGrid w:val="0"/>
        <w:spacing w:line="640" w:lineRule="exact"/>
        <w:ind w:firstLine="800" w:firstLineChars="250"/>
        <w:rPr>
          <w:rFonts w:ascii="仿宋_GB2312" w:hAnsi="宋体" w:eastAsia="仿宋_GB2312"/>
          <w:b/>
          <w:sz w:val="32"/>
          <w:szCs w:val="32"/>
          <w:u w:val="single"/>
        </w:rPr>
      </w:pPr>
      <w:r>
        <w:rPr>
          <w:rFonts w:ascii="楷体_GB2312" w:hAnsi="宋体" w:eastAsia="楷体_GB2312"/>
          <w:sz w:val="32"/>
          <w:szCs w:val="32"/>
          <w:lang w:val="zh-CN"/>
        </w:rPr>
        <w:t>2</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项目2021年完成支付</w:t>
      </w:r>
      <w:r>
        <w:rPr>
          <w:rFonts w:hint="eastAsia" w:ascii="仿宋_GB2312" w:hAnsi="宋体" w:eastAsia="仿宋_GB2312"/>
          <w:sz w:val="32"/>
          <w:szCs w:val="32"/>
        </w:rPr>
        <w:t>185.4</w:t>
      </w:r>
      <w:r>
        <w:rPr>
          <w:rFonts w:hint="eastAsia" w:ascii="仿宋_GB2312" w:hAnsi="宋体" w:eastAsia="仿宋_GB2312"/>
          <w:sz w:val="32"/>
          <w:szCs w:val="32"/>
          <w:lang w:val="zh-CN"/>
        </w:rPr>
        <w:t>万元。工程严格按用地批复的实际亩数，支付土地费，支付进度100%，支付依据合规合法。由于该项目正在推进</w:t>
      </w:r>
      <w:r>
        <w:rPr>
          <w:rFonts w:hint="eastAsia" w:ascii="仿宋" w:hAnsi="仿宋" w:eastAsia="仿宋"/>
          <w:sz w:val="32"/>
          <w:szCs w:val="32"/>
          <w:lang w:val="zh-CN"/>
        </w:rPr>
        <w:t>施工合同的签订和施工许可证的办理，为施工做前期准备。</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40" w:lineRule="exact"/>
        <w:ind w:firstLine="720"/>
        <w:rPr>
          <w:rFonts w:ascii="仿宋" w:hAnsi="仿宋" w:eastAsia="仿宋"/>
          <w:sz w:val="32"/>
          <w:szCs w:val="32"/>
          <w:lang w:val="zh-CN"/>
        </w:rPr>
      </w:pPr>
      <w:r>
        <w:rPr>
          <w:rFonts w:hint="eastAsia" w:ascii="仿宋_GB2312" w:hAnsi="宋体" w:eastAsia="仿宋_GB2312"/>
          <w:sz w:val="32"/>
          <w:szCs w:val="32"/>
          <w:lang w:val="zh-CN"/>
        </w:rPr>
        <w:t>项目实施单位财务管理制度健全，严格执行财务管理制度，</w:t>
      </w:r>
      <w:r>
        <w:rPr>
          <w:rFonts w:hint="eastAsia" w:ascii="仿宋" w:hAnsi="仿宋" w:eastAsia="仿宋"/>
          <w:sz w:val="32"/>
          <w:szCs w:val="32"/>
          <w:lang w:val="zh-CN"/>
        </w:rPr>
        <w:t>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项目按建设工程基本程序实施，职能主管部门的审批完成后，执行了招投标制、合同制、监理制、项目法人责任制等规定的手续和流程。手续完备、流程合法合规。</w:t>
      </w:r>
    </w:p>
    <w:p>
      <w:pPr>
        <w:adjustRightInd w:val="0"/>
        <w:snapToGrid w:val="0"/>
        <w:spacing w:line="6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rPr>
        <w:t>项目实施中，成立了专门的组织机构，实行专人负责管理并有明确职责分工。依据相关规定，与施工方签订了施工合同。建立了专门的项目管理制度，包括工程质量控制、进度控制、安全控制等方面进行监管。在验收阶段，进行了造价审核并出具了审核报告，完成了项目的初验和终验。</w:t>
      </w:r>
    </w:p>
    <w:p>
      <w:pPr>
        <w:adjustRightInd w:val="0"/>
        <w:snapToGrid w:val="0"/>
        <w:spacing w:line="64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项目严格按图施工，按相关规范和质量标准施工，现正在推进签施工合同和办理施工许可证，为施工做前期准备。</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项目产出达到预期的数量、质量达标。从项目的效益看，项目实施适应社会经济发展的需要、能够体现城市特色、改善民生民计、能够为地方产生综合效益，带来可持续影响。项目服务对象对项目的满意度比较高。</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项目实际完成率、完成及时率均达到或超过绩效目标，质量达标率良好，产出成本可控，管理工作规范，社会效益良好，项目可持续性强，服务对象总体较满意。评定级别为“优”。</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054" w:type="dxa"/>
        <w:jc w:val="center"/>
        <w:tblLayout w:type="autofit"/>
        <w:tblCellMar>
          <w:top w:w="0" w:type="dxa"/>
          <w:left w:w="108" w:type="dxa"/>
          <w:bottom w:w="0" w:type="dxa"/>
          <w:right w:w="108" w:type="dxa"/>
        </w:tblCellMar>
      </w:tblPr>
      <w:tblGrid>
        <w:gridCol w:w="1080"/>
        <w:gridCol w:w="980"/>
        <w:gridCol w:w="1324"/>
        <w:gridCol w:w="1236"/>
        <w:gridCol w:w="500"/>
        <w:gridCol w:w="1808"/>
        <w:gridCol w:w="2126"/>
      </w:tblGrid>
      <w:tr>
        <w:tblPrEx>
          <w:tblCellMar>
            <w:top w:w="0" w:type="dxa"/>
            <w:left w:w="108" w:type="dxa"/>
            <w:bottom w:w="0" w:type="dxa"/>
            <w:right w:w="108" w:type="dxa"/>
          </w:tblCellMar>
        </w:tblPrEx>
        <w:trPr>
          <w:trHeight w:val="405" w:hRule="atLeast"/>
          <w:jc w:val="center"/>
        </w:trPr>
        <w:tc>
          <w:tcPr>
            <w:tcW w:w="9054" w:type="dxa"/>
            <w:gridSpan w:val="7"/>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054"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24"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236"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50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808"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126"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3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67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淮安路（苏绵大道——常州路南段）新建工程项目</w:t>
            </w:r>
          </w:p>
        </w:tc>
      </w:tr>
      <w:tr>
        <w:tblPrEx>
          <w:tblCellMar>
            <w:top w:w="0" w:type="dxa"/>
            <w:left w:w="108" w:type="dxa"/>
            <w:bottom w:w="0" w:type="dxa"/>
            <w:right w:w="108" w:type="dxa"/>
          </w:tblCellMar>
        </w:tblPrEx>
        <w:trPr>
          <w:trHeight w:val="270" w:hRule="atLeast"/>
          <w:jc w:val="center"/>
        </w:trPr>
        <w:tc>
          <w:tcPr>
            <w:tcW w:w="3384"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67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2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3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7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185.4</w:t>
            </w:r>
          </w:p>
        </w:tc>
        <w:tc>
          <w:tcPr>
            <w:tcW w:w="180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185.4</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7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185.4</w:t>
            </w:r>
          </w:p>
        </w:tc>
        <w:tc>
          <w:tcPr>
            <w:tcW w:w="1808"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185.4</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04"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736"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08"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126"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60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0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934"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96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0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工程严格按用地批复的实际亩数，支付土地费</w:t>
            </w:r>
          </w:p>
        </w:tc>
        <w:tc>
          <w:tcPr>
            <w:tcW w:w="3934"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工程严格按用地批复的实际亩数，支付土地费</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7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8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7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土地亩数</w:t>
            </w:r>
          </w:p>
        </w:tc>
        <w:tc>
          <w:tcPr>
            <w:tcW w:w="18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9.27亩</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完成年度计划土地费的征收</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7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完成时间</w:t>
            </w:r>
          </w:p>
        </w:tc>
        <w:tc>
          <w:tcPr>
            <w:tcW w:w="18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2021年年底</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2021年12月22日拨付</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7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支付项目工程土地费</w:t>
            </w:r>
          </w:p>
        </w:tc>
        <w:tc>
          <w:tcPr>
            <w:tcW w:w="18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185.4</w:t>
            </w:r>
          </w:p>
        </w:tc>
        <w:tc>
          <w:tcPr>
            <w:tcW w:w="2126"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实际支付185.4万元。</w:t>
            </w:r>
          </w:p>
        </w:tc>
      </w:tr>
      <w:tr>
        <w:tblPrEx>
          <w:tblCellMar>
            <w:top w:w="0" w:type="dxa"/>
            <w:left w:w="108" w:type="dxa"/>
            <w:bottom w:w="0" w:type="dxa"/>
            <w:right w:w="108" w:type="dxa"/>
          </w:tblCellMar>
        </w:tblPrEx>
        <w:trPr>
          <w:trHeight w:val="8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7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改善人民生活环境，美化社区环境</w:t>
            </w:r>
          </w:p>
        </w:tc>
        <w:tc>
          <w:tcPr>
            <w:tcW w:w="18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100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7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促进该地区的城市建设，方便新建楼盘群众生产生活</w:t>
            </w:r>
          </w:p>
        </w:tc>
        <w:tc>
          <w:tcPr>
            <w:tcW w:w="18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96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7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满意度</w:t>
            </w:r>
          </w:p>
        </w:tc>
        <w:tc>
          <w:tcPr>
            <w:tcW w:w="18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79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32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736"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满意度</w:t>
            </w:r>
          </w:p>
        </w:tc>
        <w:tc>
          <w:tcPr>
            <w:tcW w:w="18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126"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（淮安路（西段）新建工程项目）</w:t>
      </w:r>
    </w:p>
    <w:p>
      <w:pPr>
        <w:spacing w:line="580" w:lineRule="exact"/>
        <w:ind w:firstLine="640"/>
        <w:jc w:val="center"/>
        <w:rPr>
          <w:rFonts w:hint="eastAsia" w:ascii="宋体" w:hAnsi="??"/>
          <w:sz w:val="32"/>
          <w:szCs w:val="32"/>
        </w:rPr>
      </w:pPr>
    </w:p>
    <w:p>
      <w:pPr>
        <w:adjustRightInd w:val="0"/>
        <w:snapToGrid w:val="0"/>
        <w:spacing w:line="64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4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．项目业主：绵竹市市政工程建设管理站。</w:t>
      </w:r>
    </w:p>
    <w:p>
      <w:pPr>
        <w:adjustRightInd w:val="0"/>
        <w:snapToGrid w:val="0"/>
        <w:spacing w:line="64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．建设地址：盛世华章E段片区。</w:t>
      </w:r>
    </w:p>
    <w:p>
      <w:pPr>
        <w:adjustRightInd w:val="0"/>
        <w:snapToGrid w:val="0"/>
        <w:spacing w:line="640" w:lineRule="exact"/>
        <w:ind w:firstLine="720"/>
        <w:rPr>
          <w:rFonts w:ascii="仿宋" w:hAnsi="仿宋" w:eastAsia="仿宋"/>
          <w:sz w:val="32"/>
          <w:szCs w:val="32"/>
          <w:lang w:val="zh-CN"/>
        </w:rPr>
      </w:pPr>
      <w:r>
        <w:rPr>
          <w:rFonts w:hint="eastAsia" w:ascii="仿宋_GB2312" w:hAnsi="宋体" w:eastAsia="仿宋_GB2312"/>
          <w:sz w:val="32"/>
          <w:szCs w:val="32"/>
          <w:lang w:val="zh-CN"/>
        </w:rPr>
        <w:t>3.建设内容及规模：</w:t>
      </w:r>
      <w:r>
        <w:rPr>
          <w:rFonts w:hint="eastAsia" w:ascii="仿宋" w:hAnsi="仿宋" w:eastAsia="仿宋"/>
          <w:sz w:val="32"/>
          <w:szCs w:val="32"/>
          <w:lang w:val="zh-CN"/>
        </w:rPr>
        <w:t>道路全长350米，宽24米，建设面积为8400平方米，包含人行道、各种管线、雨污水管、给水管、绿化、路灯、标识标牌等配套设施。</w:t>
      </w:r>
    </w:p>
    <w:p>
      <w:pPr>
        <w:adjustRightInd w:val="0"/>
        <w:snapToGrid w:val="0"/>
        <w:spacing w:line="640" w:lineRule="exact"/>
        <w:ind w:firstLine="720" w:firstLineChars="225"/>
        <w:rPr>
          <w:rFonts w:ascii="仿宋_GB2312" w:hAnsi="宋体" w:eastAsia="仿宋_GB2312"/>
          <w:sz w:val="32"/>
          <w:szCs w:val="32"/>
          <w:lang w:val="zh-CN"/>
        </w:rPr>
      </w:pPr>
      <w:r>
        <w:rPr>
          <w:rFonts w:hint="eastAsia" w:ascii="仿宋_GB2312" w:hAnsi="宋体" w:eastAsia="仿宋_GB2312"/>
          <w:sz w:val="32"/>
          <w:szCs w:val="32"/>
          <w:lang w:val="zh-CN"/>
        </w:rPr>
        <w:t>4．资金来源：本级财政资金和抗疫特别国债资金。</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4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预期目标：起点接健康路，终点接已建南光大道，道路全长366.501m（实施范围：KO+023.493-KO+347.777），红线宽度24米，按照城市次干路标准设计，设计时速30km/h，设计内容包含道路、排水、给水、照明、交安及附属工程等。</w:t>
      </w:r>
    </w:p>
    <w:p>
      <w:pPr>
        <w:adjustRightInd w:val="0"/>
        <w:snapToGrid w:val="0"/>
        <w:spacing w:line="640" w:lineRule="exact"/>
        <w:ind w:firstLine="720"/>
        <w:rPr>
          <w:rFonts w:ascii="仿宋" w:hAnsi="仿宋" w:eastAsia="仿宋"/>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w:t>
      </w:r>
      <w:r>
        <w:rPr>
          <w:rFonts w:hint="eastAsia" w:ascii="仿宋" w:hAnsi="仿宋" w:eastAsia="仿宋"/>
          <w:sz w:val="32"/>
          <w:szCs w:val="32"/>
          <w:lang w:val="zh-CN"/>
        </w:rPr>
        <w:t>提升区域内的交通容量，缓解城市主要道路的压力；完善片区基础设施，加快片区建设；优化路网结构，加强区域连接。项目</w:t>
      </w:r>
      <w:r>
        <w:rPr>
          <w:rFonts w:hint="eastAsia" w:ascii="仿宋_GB2312" w:hAnsi="宋体" w:eastAsia="仿宋_GB2312"/>
          <w:sz w:val="32"/>
          <w:szCs w:val="32"/>
          <w:lang w:val="zh-CN"/>
        </w:rPr>
        <w:t>2020年6月3日开工，2020年12月9日竣工验收。</w:t>
      </w:r>
    </w:p>
    <w:p>
      <w:pPr>
        <w:adjustRightInd w:val="0"/>
        <w:snapToGrid w:val="0"/>
        <w:spacing w:line="64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．申报内容与实际相符，申报目标合理可行。</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由我局开展财政资金使用情况自评并撰写部门预算支出绩效报告，按规范格式按时提交自评报告。</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项目经市发改局《</w:t>
      </w:r>
      <w:r>
        <w:rPr>
          <w:rFonts w:hint="eastAsia" w:ascii="宋体" w:hAnsi="宋体" w:eastAsia="仿宋_GB2312" w:cs="宋体"/>
          <w:kern w:val="0"/>
          <w:sz w:val="32"/>
          <w:szCs w:val="21"/>
        </w:rPr>
        <w:t>关于淮安路（西段）新建工程项目建议书的批复》（竹发改建（2019）13号）批复立项、</w:t>
      </w:r>
      <w:r>
        <w:rPr>
          <w:rFonts w:hint="eastAsia" w:ascii="仿宋" w:hAnsi="仿宋" w:eastAsia="仿宋"/>
          <w:sz w:val="32"/>
          <w:szCs w:val="32"/>
          <w:lang w:val="zh-CN"/>
        </w:rPr>
        <w:t>经市发改局《关于</w:t>
      </w:r>
      <w:r>
        <w:rPr>
          <w:rFonts w:hint="eastAsia" w:ascii="仿宋" w:hAnsi="仿宋" w:eastAsia="仿宋"/>
          <w:sz w:val="32"/>
          <w:szCs w:val="32"/>
        </w:rPr>
        <w:t>淮安路（西段）新建工程</w:t>
      </w:r>
      <w:r>
        <w:rPr>
          <w:rFonts w:hint="eastAsia" w:ascii="仿宋" w:hAnsi="仿宋" w:eastAsia="仿宋"/>
          <w:sz w:val="32"/>
          <w:szCs w:val="32"/>
          <w:lang w:val="zh-CN"/>
        </w:rPr>
        <w:t>投资概算的批复》（竹发改审（2019）60号）批复概算金额为952.48万元，资金来源为本级财政资金。</w:t>
      </w:r>
    </w:p>
    <w:p>
      <w:pPr>
        <w:adjustRightInd w:val="0"/>
        <w:snapToGrid w:val="0"/>
        <w:spacing w:line="64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40" w:lineRule="exact"/>
        <w:ind w:firstLine="800" w:firstLineChars="250"/>
        <w:rPr>
          <w:rFonts w:ascii="宋体" w:hAnsi="宋体" w:eastAsia="仿宋_GB2312" w:cs="宋体"/>
          <w:kern w:val="0"/>
          <w:sz w:val="32"/>
          <w:szCs w:val="21"/>
        </w:rPr>
      </w:pPr>
      <w:r>
        <w:rPr>
          <w:rFonts w:ascii="宋体" w:hAnsi="宋体" w:eastAsia="仿宋_GB2312" w:cs="宋体"/>
          <w:kern w:val="0"/>
          <w:sz w:val="32"/>
          <w:szCs w:val="21"/>
        </w:rPr>
        <w:t>1</w:t>
      </w:r>
      <w:r>
        <w:rPr>
          <w:rFonts w:hint="eastAsia" w:ascii="宋体" w:hAnsi="宋体" w:eastAsia="仿宋_GB2312" w:cs="宋体"/>
          <w:kern w:val="0"/>
          <w:sz w:val="32"/>
          <w:szCs w:val="21"/>
        </w:rPr>
        <w:t>．</w:t>
      </w:r>
      <w:r>
        <w:rPr>
          <w:rFonts w:hint="eastAsia" w:ascii="楷体_GB2312" w:hAnsi="宋体" w:eastAsia="楷体_GB2312"/>
          <w:sz w:val="32"/>
          <w:szCs w:val="32"/>
          <w:lang w:val="zh-CN"/>
        </w:rPr>
        <w:t>资金计划及到位。</w:t>
      </w:r>
      <w:r>
        <w:rPr>
          <w:rFonts w:hint="eastAsia" w:ascii="宋体" w:hAnsi="宋体" w:eastAsia="仿宋_GB2312" w:cs="宋体"/>
          <w:kern w:val="0"/>
          <w:sz w:val="32"/>
          <w:szCs w:val="21"/>
        </w:rPr>
        <w:t>该项目2021年年初预算本级财政资金213.95万元，追减预算47.490818万元（竹财资环减（2021）55号-5），追减预算102.06万元（竹财资环减（2021）35号），年底追减10万元（竹财资环减（2021）54号-4），实际到位资金54.399182万元。各项资金按时到位，到位率100%。</w:t>
      </w:r>
    </w:p>
    <w:p>
      <w:pPr>
        <w:adjustRightInd w:val="0"/>
        <w:snapToGrid w:val="0"/>
        <w:spacing w:line="640" w:lineRule="exact"/>
        <w:ind w:firstLine="800" w:firstLineChars="250"/>
        <w:rPr>
          <w:rFonts w:ascii="仿宋_GB2312" w:hAnsi="宋体" w:eastAsia="仿宋_GB2312"/>
          <w:b/>
          <w:sz w:val="32"/>
          <w:szCs w:val="32"/>
          <w:u w:val="single"/>
        </w:rPr>
      </w:pPr>
      <w:r>
        <w:rPr>
          <w:rFonts w:ascii="楷体_GB2312" w:hAnsi="宋体" w:eastAsia="楷体_GB2312"/>
          <w:sz w:val="32"/>
          <w:szCs w:val="32"/>
          <w:lang w:val="zh-CN"/>
        </w:rPr>
        <w:t>2</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项目2021年完成支付</w:t>
      </w:r>
      <w:r>
        <w:rPr>
          <w:rFonts w:hint="eastAsia" w:ascii="仿宋_GB2312" w:hAnsi="宋体" w:eastAsia="仿宋_GB2312"/>
          <w:sz w:val="32"/>
          <w:szCs w:val="32"/>
        </w:rPr>
        <w:t>54.399182</w:t>
      </w:r>
      <w:r>
        <w:rPr>
          <w:rFonts w:hint="eastAsia" w:ascii="仿宋_GB2312" w:hAnsi="宋体" w:eastAsia="仿宋_GB2312"/>
          <w:sz w:val="32"/>
          <w:szCs w:val="32"/>
          <w:lang w:val="zh-CN"/>
        </w:rPr>
        <w:t>万元。工程严格按合同约定支付，支付进度100%，支付依据合规合法。由于该项目还未办理决算，还需支付剩余设计费和监理费尾款。</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40" w:lineRule="exact"/>
        <w:ind w:firstLine="720"/>
        <w:rPr>
          <w:rFonts w:ascii="仿宋" w:hAnsi="仿宋" w:eastAsia="仿宋"/>
          <w:color w:val="FF0000"/>
          <w:sz w:val="32"/>
          <w:szCs w:val="32"/>
          <w:lang w:val="zh-CN"/>
        </w:rPr>
      </w:pPr>
      <w:r>
        <w:rPr>
          <w:rFonts w:hint="eastAsia" w:ascii="仿宋_GB2312" w:hAnsi="宋体" w:eastAsia="仿宋_GB2312"/>
          <w:sz w:val="32"/>
          <w:szCs w:val="32"/>
          <w:lang w:val="zh-CN"/>
        </w:rPr>
        <w:t>项目实施单位财务管理制度健全，严格执行财务管理制度，</w:t>
      </w:r>
      <w:r>
        <w:rPr>
          <w:rFonts w:hint="eastAsia" w:ascii="仿宋" w:hAnsi="仿宋" w:eastAsia="仿宋"/>
          <w:sz w:val="32"/>
          <w:szCs w:val="32"/>
          <w:lang w:val="zh-CN"/>
        </w:rPr>
        <w:t>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项目按建设工程基本程序实施，职能主管部门的审批完成后，执行了招投标制、合同制、监理制、项目法人责任制等规定的手续和流程。手续完备、流程合法合规。</w:t>
      </w:r>
    </w:p>
    <w:p>
      <w:pPr>
        <w:adjustRightInd w:val="0"/>
        <w:snapToGrid w:val="0"/>
        <w:spacing w:line="640" w:lineRule="exact"/>
        <w:ind w:firstLine="720"/>
        <w:rPr>
          <w:rFonts w:ascii="仿宋_GB2312" w:hAnsi="宋体" w:eastAsia="仿宋_GB2312"/>
          <w:sz w:val="32"/>
          <w:szCs w:val="32"/>
        </w:rPr>
      </w:pPr>
      <w:r>
        <w:rPr>
          <w:rFonts w:hint="eastAsia" w:ascii="楷体_GB2312" w:hAnsi="宋体" w:eastAsia="楷体_GB2312"/>
          <w:b/>
          <w:sz w:val="32"/>
          <w:szCs w:val="32"/>
          <w:lang w:val="zh-CN"/>
        </w:rPr>
        <w:t>（二）项目管理情况。</w:t>
      </w:r>
      <w:r>
        <w:rPr>
          <w:rFonts w:hint="eastAsia" w:ascii="仿宋_GB2312" w:hAnsi="宋体" w:eastAsia="仿宋_GB2312"/>
          <w:sz w:val="32"/>
          <w:szCs w:val="32"/>
        </w:rPr>
        <w:t>项目实施中，成立了专门的组织机构，实行专人负责管理并有明确职责分工。依据相关规定，与施工方签订了施工合同，与监理方签订了监理合同，与设计方签订了设计合同等其他重要合同。建立了专门的项目管理制度，包括工程质量控制、进度控制、安全控制等方面进行监管。在验收阶段，进行了造价审核并出具了审核报告，完成了项目的初验和终验。</w:t>
      </w:r>
    </w:p>
    <w:p>
      <w:pPr>
        <w:adjustRightInd w:val="0"/>
        <w:snapToGrid w:val="0"/>
        <w:spacing w:line="64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项目严格按图施工，按相关规范和质量标准施工，现已完成竣工验收，正在办理决算审计工作。</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项目产出达到预期的数量、质量达标。从项目的效益看，项目实施适应社会经济发展的需要、能够体现城市特色、改善民生民计、能够为地方产生综合效益，带来可持续影响。项目服务对象对项目的满意度比较高。</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项目实际完成率、完成及时率均达到或超过绩效目标，质量达标率良好，产出成本可控，管理工作规范，社会效益良好，项目可持续性强，服务对象总体较满意。评定级别为“优”。</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40" w:lineRule="exact"/>
        <w:ind w:firstLine="960" w:firstLineChars="300"/>
        <w:rPr>
          <w:rFonts w:ascii="仿宋_GB2312" w:hAnsi="宋体" w:eastAsia="仿宋_GB2312"/>
          <w:sz w:val="32"/>
          <w:szCs w:val="32"/>
          <w:lang w:val="zh-CN"/>
        </w:rPr>
      </w:pPr>
      <w:r>
        <w:rPr>
          <w:rFonts w:hint="eastAsia" w:ascii="仿宋_GB2312" w:hAnsi="宋体" w:eastAsia="仿宋_GB2312"/>
          <w:sz w:val="32"/>
          <w:szCs w:val="32"/>
          <w:lang w:val="zh-CN"/>
        </w:rPr>
        <w:t>无。</w:t>
      </w:r>
      <w:r>
        <w:rPr>
          <w:rFonts w:ascii="仿宋_GB2312" w:hAnsi="宋体" w:eastAsia="仿宋_GB2312"/>
          <w:sz w:val="32"/>
          <w:szCs w:val="32"/>
          <w:lang w:val="zh-CN"/>
        </w:rPr>
        <w:tab/>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40" w:lineRule="exact"/>
        <w:ind w:firstLine="960" w:firstLineChars="3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8960" w:type="dxa"/>
        <w:jc w:val="center"/>
        <w:tblLayout w:type="autofit"/>
        <w:tblCellMar>
          <w:top w:w="0" w:type="dxa"/>
          <w:left w:w="108" w:type="dxa"/>
          <w:bottom w:w="0" w:type="dxa"/>
          <w:right w:w="108" w:type="dxa"/>
        </w:tblCellMar>
      </w:tblPr>
      <w:tblGrid>
        <w:gridCol w:w="880"/>
        <w:gridCol w:w="980"/>
        <w:gridCol w:w="1420"/>
        <w:gridCol w:w="1080"/>
        <w:gridCol w:w="720"/>
        <w:gridCol w:w="1860"/>
        <w:gridCol w:w="2020"/>
      </w:tblGrid>
      <w:tr>
        <w:tblPrEx>
          <w:tblCellMar>
            <w:top w:w="0" w:type="dxa"/>
            <w:left w:w="108" w:type="dxa"/>
            <w:bottom w:w="0" w:type="dxa"/>
            <w:right w:w="108" w:type="dxa"/>
          </w:tblCellMar>
        </w:tblPrEx>
        <w:trPr>
          <w:trHeight w:val="405" w:hRule="atLeast"/>
          <w:jc w:val="center"/>
        </w:trPr>
        <w:tc>
          <w:tcPr>
            <w:tcW w:w="8960" w:type="dxa"/>
            <w:gridSpan w:val="7"/>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896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8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2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2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86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02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2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6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淮安路（西段）新建工程</w:t>
            </w:r>
          </w:p>
        </w:tc>
      </w:tr>
      <w:tr>
        <w:tblPrEx>
          <w:tblCellMar>
            <w:top w:w="0" w:type="dxa"/>
            <w:left w:w="108" w:type="dxa"/>
            <w:bottom w:w="0" w:type="dxa"/>
            <w:right w:w="108" w:type="dxa"/>
          </w:tblCellMar>
        </w:tblPrEx>
        <w:trPr>
          <w:trHeight w:val="270" w:hRule="atLeast"/>
          <w:jc w:val="center"/>
        </w:trPr>
        <w:tc>
          <w:tcPr>
            <w:tcW w:w="32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6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70" w:hRule="atLeast"/>
          <w:jc w:val="center"/>
        </w:trPr>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8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213.95</w:t>
            </w:r>
          </w:p>
        </w:tc>
        <w:tc>
          <w:tcPr>
            <w:tcW w:w="18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54.399182</w:t>
            </w:r>
          </w:p>
        </w:tc>
      </w:tr>
      <w:tr>
        <w:tblPrEx>
          <w:tblCellMar>
            <w:top w:w="0" w:type="dxa"/>
            <w:left w:w="108" w:type="dxa"/>
            <w:bottom w:w="0" w:type="dxa"/>
            <w:right w:w="108" w:type="dxa"/>
          </w:tblCellMar>
        </w:tblPrEx>
        <w:trPr>
          <w:trHeight w:val="45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8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213.95</w:t>
            </w:r>
          </w:p>
        </w:tc>
        <w:tc>
          <w:tcPr>
            <w:tcW w:w="186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54.399182</w:t>
            </w:r>
          </w:p>
        </w:tc>
      </w:tr>
      <w:tr>
        <w:tblPrEx>
          <w:tblCellMar>
            <w:top w:w="0" w:type="dxa"/>
            <w:left w:w="108" w:type="dxa"/>
            <w:bottom w:w="0" w:type="dxa"/>
            <w:right w:w="108" w:type="dxa"/>
          </w:tblCellMar>
        </w:tblPrEx>
        <w:trPr>
          <w:trHeight w:val="54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8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6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jc w:val="center"/>
        </w:trPr>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2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8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92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2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起点接健康路，终点接已建南光大道，道路全长366.501m（实施范围：KO+023.493-KO+347.777），红线宽度24米，按照城市次干路标准设计，设计时速30km/h，设计内容包含道路、排水、给水、照明、交安及附属工程等。</w:t>
            </w:r>
          </w:p>
        </w:tc>
        <w:tc>
          <w:tcPr>
            <w:tcW w:w="38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升区域内的交通容量，缓解城市主要道路的压力；完善片区基础设施，加快片区建设；优化路网结构，加强区域连接。项目2020年6月3日开工，2020年12月9日竣工验收。项目正在推进结决算程序。待决算报告出来后，拨付剩余款项。</w:t>
            </w:r>
          </w:p>
        </w:tc>
      </w:tr>
      <w:tr>
        <w:tblPrEx>
          <w:tblCellMar>
            <w:top w:w="0" w:type="dxa"/>
            <w:left w:w="108" w:type="dxa"/>
            <w:bottom w:w="0" w:type="dxa"/>
            <w:right w:w="108" w:type="dxa"/>
          </w:tblCellMar>
        </w:tblPrEx>
        <w:trPr>
          <w:trHeight w:val="615" w:hRule="atLeast"/>
          <w:jc w:val="center"/>
        </w:trPr>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面积</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8400平方米</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48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竣工验收合格</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合格</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2020年12月9日已竣工验收</w:t>
            </w:r>
          </w:p>
        </w:tc>
      </w:tr>
      <w:tr>
        <w:tblPrEx>
          <w:tblCellMar>
            <w:top w:w="0" w:type="dxa"/>
            <w:left w:w="108" w:type="dxa"/>
            <w:bottom w:w="0" w:type="dxa"/>
            <w:right w:w="108" w:type="dxa"/>
          </w:tblCellMar>
        </w:tblPrEx>
        <w:trPr>
          <w:trHeight w:val="48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完成时间</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2020年年底</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2020年12月9日已竣工验收</w:t>
            </w:r>
          </w:p>
        </w:tc>
      </w:tr>
      <w:tr>
        <w:tblPrEx>
          <w:tblCellMar>
            <w:top w:w="0" w:type="dxa"/>
            <w:left w:w="108" w:type="dxa"/>
            <w:bottom w:w="0" w:type="dxa"/>
            <w:right w:w="108" w:type="dxa"/>
          </w:tblCellMar>
        </w:tblPrEx>
        <w:trPr>
          <w:trHeight w:val="825"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支付项目工程建安费、部分间接费</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54.399182</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实际支付54.399182万元。项目正在做决算。待决算完拨付剩余款项</w:t>
            </w:r>
          </w:p>
        </w:tc>
      </w:tr>
      <w:tr>
        <w:tblPrEx>
          <w:tblCellMar>
            <w:top w:w="0" w:type="dxa"/>
            <w:left w:w="108" w:type="dxa"/>
            <w:bottom w:w="0" w:type="dxa"/>
            <w:right w:w="108" w:type="dxa"/>
          </w:tblCellMar>
        </w:tblPrEx>
        <w:trPr>
          <w:trHeight w:val="645"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改善人民生活环境，美化社区环境</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960"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促进该地区的城市建设，方便群众生产生活</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795" w:hRule="atLeast"/>
          <w:jc w:val="center"/>
        </w:trPr>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4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满意度</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（绵竹市教育产业园安置房（棚户区）配套</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基础设施项目</w:t>
      </w:r>
      <w:r>
        <w:rPr>
          <w:rFonts w:hint="eastAsia" w:ascii="仿宋_GB2312" w:hAnsi="宋体" w:eastAsia="仿宋_GB2312"/>
          <w:sz w:val="32"/>
          <w:szCs w:val="32"/>
          <w:lang w:eastAsia="zh-CN"/>
        </w:rPr>
        <w:t>（</w:t>
      </w:r>
      <w:r>
        <w:rPr>
          <w:rFonts w:hint="eastAsia" w:ascii="仿宋_GB2312" w:hAnsi="宋体" w:eastAsia="仿宋_GB2312"/>
          <w:sz w:val="32"/>
          <w:szCs w:val="32"/>
        </w:rPr>
        <w:t>武进路)项目）</w:t>
      </w:r>
    </w:p>
    <w:p>
      <w:pPr>
        <w:spacing w:line="580" w:lineRule="exact"/>
        <w:ind w:firstLine="640"/>
        <w:jc w:val="center"/>
        <w:rPr>
          <w:rFonts w:hint="eastAsia" w:ascii="宋体" w:hAnsi="??"/>
          <w:sz w:val="32"/>
          <w:szCs w:val="32"/>
        </w:rPr>
      </w:pPr>
    </w:p>
    <w:p>
      <w:pPr>
        <w:adjustRightInd w:val="0"/>
        <w:snapToGrid w:val="0"/>
        <w:spacing w:line="66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1．项目业主：绵竹市市政工程建设管理站。</w:t>
      </w:r>
    </w:p>
    <w:p>
      <w:pPr>
        <w:adjustRightInd w:val="0"/>
        <w:snapToGrid w:val="0"/>
        <w:spacing w:line="6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2．建设地址：绵竹市城东城中村盐城路至扬州路。</w:t>
      </w:r>
    </w:p>
    <w:p>
      <w:pPr>
        <w:adjustRightInd w:val="0"/>
        <w:snapToGrid w:val="0"/>
        <w:spacing w:line="660" w:lineRule="exact"/>
        <w:ind w:firstLine="720"/>
        <w:rPr>
          <w:rFonts w:ascii="仿宋" w:hAnsi="仿宋" w:eastAsia="仿宋"/>
          <w:sz w:val="32"/>
          <w:szCs w:val="32"/>
          <w:lang w:val="zh-CN"/>
        </w:rPr>
      </w:pPr>
      <w:r>
        <w:rPr>
          <w:rFonts w:hint="eastAsia" w:ascii="仿宋_GB2312" w:hAnsi="宋体" w:eastAsia="仿宋_GB2312"/>
          <w:sz w:val="32"/>
          <w:szCs w:val="32"/>
          <w:lang w:val="zh-CN"/>
        </w:rPr>
        <w:t>3.建设内容及规模：</w:t>
      </w:r>
      <w:r>
        <w:rPr>
          <w:rFonts w:hint="eastAsia" w:ascii="仿宋" w:hAnsi="仿宋" w:eastAsia="仿宋"/>
          <w:sz w:val="32"/>
          <w:szCs w:val="32"/>
          <w:lang w:val="zh-CN"/>
        </w:rPr>
        <w:t>道路全长660米，宽20米，道路交叉增加面积为1300平方米，建设总面积14500平方米。建设内容包含道路、照明、给排水等工程。</w:t>
      </w:r>
    </w:p>
    <w:p>
      <w:pPr>
        <w:adjustRightInd w:val="0"/>
        <w:snapToGrid w:val="0"/>
        <w:spacing w:line="660" w:lineRule="exact"/>
        <w:ind w:firstLine="720" w:firstLineChars="225"/>
        <w:rPr>
          <w:rFonts w:ascii="仿宋_GB2312" w:hAnsi="宋体" w:eastAsia="仿宋_GB2312"/>
          <w:sz w:val="32"/>
          <w:szCs w:val="32"/>
          <w:lang w:val="zh-CN"/>
        </w:rPr>
      </w:pPr>
      <w:r>
        <w:rPr>
          <w:rFonts w:hint="eastAsia" w:ascii="仿宋_GB2312" w:hAnsi="宋体" w:eastAsia="仿宋_GB2312"/>
          <w:sz w:val="32"/>
          <w:szCs w:val="32"/>
          <w:lang w:val="zh-CN"/>
        </w:rPr>
        <w:t>4．资金来源：中央预算内资金和本级财政资金。</w:t>
      </w:r>
    </w:p>
    <w:p>
      <w:pPr>
        <w:adjustRightInd w:val="0"/>
        <w:snapToGrid w:val="0"/>
        <w:spacing w:line="6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6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预期目标：起点接已建盐城路，其间与规划创泽路、张家港相交，终点接已建扬州路，道路全长668.244m，红线宽度20米，按照城市次干路标准设计，设计时速30km/h，设计内容包含道路、排水、给水、照明、交安及附属工程等。</w:t>
      </w:r>
    </w:p>
    <w:p>
      <w:pPr>
        <w:adjustRightInd w:val="0"/>
        <w:snapToGrid w:val="0"/>
        <w:spacing w:line="660" w:lineRule="exact"/>
        <w:ind w:firstLine="720"/>
        <w:rPr>
          <w:rFonts w:ascii="仿宋" w:hAnsi="仿宋" w:eastAsia="仿宋"/>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w:t>
      </w:r>
      <w:r>
        <w:rPr>
          <w:rFonts w:hint="eastAsia" w:ascii="仿宋" w:hAnsi="仿宋" w:eastAsia="仿宋"/>
          <w:sz w:val="32"/>
          <w:szCs w:val="32"/>
          <w:lang w:val="zh-CN"/>
        </w:rPr>
        <w:t>提升区域内的交通容量，缓解城市主要道路的压力；完善片区基础设施，加快片区建设；优化路网结构，加强区域连接。项目于</w:t>
      </w:r>
      <w:r>
        <w:rPr>
          <w:rFonts w:hint="eastAsia" w:ascii="仿宋_GB2312" w:hAnsi="宋体" w:eastAsia="仿宋_GB2312"/>
          <w:sz w:val="32"/>
          <w:szCs w:val="32"/>
          <w:lang w:val="zh-CN"/>
        </w:rPr>
        <w:t>2019年11月19日开工，2020年2月16日竣工验收。</w:t>
      </w:r>
    </w:p>
    <w:p>
      <w:pPr>
        <w:adjustRightInd w:val="0"/>
        <w:snapToGrid w:val="0"/>
        <w:spacing w:line="66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．申报内容与实际相符，申报目标合理可行。</w:t>
      </w:r>
    </w:p>
    <w:p>
      <w:pPr>
        <w:adjustRightInd w:val="0"/>
        <w:snapToGrid w:val="0"/>
        <w:spacing w:line="6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60" w:lineRule="exact"/>
        <w:ind w:firstLine="720"/>
        <w:rPr>
          <w:rFonts w:ascii="仿宋" w:hAnsi="仿宋" w:eastAsia="仿宋"/>
          <w:sz w:val="32"/>
          <w:szCs w:val="32"/>
          <w:lang w:val="zh-CN"/>
        </w:rPr>
      </w:pPr>
      <w:r>
        <w:rPr>
          <w:rFonts w:hint="eastAsia" w:ascii="仿宋" w:hAnsi="仿宋" w:eastAsia="仿宋"/>
          <w:sz w:val="32"/>
          <w:szCs w:val="32"/>
          <w:lang w:val="zh-CN"/>
        </w:rPr>
        <w:t>由我局开展财政资金使用情况自评并撰写部门预算支出绩效报告，按规范格式按时提交自评报告。</w:t>
      </w:r>
    </w:p>
    <w:p>
      <w:pPr>
        <w:adjustRightInd w:val="0"/>
        <w:snapToGrid w:val="0"/>
        <w:spacing w:line="66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60" w:lineRule="exact"/>
        <w:ind w:firstLine="720"/>
        <w:rPr>
          <w:rFonts w:ascii="仿宋" w:hAnsi="仿宋" w:eastAsia="仿宋"/>
          <w:sz w:val="32"/>
          <w:szCs w:val="32"/>
          <w:lang w:val="zh-CN"/>
        </w:rPr>
      </w:pPr>
      <w:r>
        <w:rPr>
          <w:rFonts w:hint="eastAsia" w:ascii="仿宋" w:hAnsi="仿宋" w:eastAsia="仿宋"/>
          <w:sz w:val="32"/>
          <w:szCs w:val="32"/>
          <w:lang w:val="zh-CN"/>
        </w:rPr>
        <w:t>项目经市发改局《</w:t>
      </w:r>
      <w:r>
        <w:rPr>
          <w:rFonts w:hint="eastAsia" w:ascii="宋体" w:hAnsi="宋体" w:eastAsia="仿宋_GB2312" w:cs="宋体"/>
          <w:kern w:val="0"/>
          <w:sz w:val="32"/>
          <w:szCs w:val="21"/>
        </w:rPr>
        <w:t>关于</w:t>
      </w:r>
      <w:r>
        <w:rPr>
          <w:rFonts w:hint="eastAsia" w:ascii="仿宋_GB2312" w:hAnsi="宋体" w:eastAsia="仿宋_GB2312"/>
          <w:sz w:val="32"/>
          <w:szCs w:val="32"/>
        </w:rPr>
        <w:t>绵竹市教育产业园安置房（棚户区）配套基础设施项目</w:t>
      </w:r>
      <w:r>
        <w:rPr>
          <w:rFonts w:hint="eastAsia" w:ascii="宋体" w:hAnsi="宋体" w:eastAsia="仿宋_GB2312" w:cs="宋体"/>
          <w:kern w:val="0"/>
          <w:sz w:val="32"/>
          <w:szCs w:val="21"/>
        </w:rPr>
        <w:t>建议书的批复》（竹发改建（2018）18号）批复立项、</w:t>
      </w:r>
      <w:r>
        <w:rPr>
          <w:rFonts w:hint="eastAsia" w:ascii="仿宋" w:hAnsi="仿宋" w:eastAsia="仿宋"/>
          <w:sz w:val="32"/>
          <w:szCs w:val="32"/>
          <w:lang w:val="zh-CN"/>
        </w:rPr>
        <w:t>经市发改局《</w:t>
      </w:r>
      <w:r>
        <w:rPr>
          <w:rFonts w:hint="eastAsia" w:ascii="仿宋_GB2312" w:hAnsi="宋体" w:eastAsia="仿宋_GB2312"/>
          <w:sz w:val="32"/>
          <w:szCs w:val="32"/>
        </w:rPr>
        <w:t>绵竹市教育产业园安置房（棚户区）配套基础设施项目初步设计及</w:t>
      </w:r>
      <w:r>
        <w:rPr>
          <w:rFonts w:hint="eastAsia" w:ascii="仿宋" w:hAnsi="仿宋" w:eastAsia="仿宋"/>
          <w:sz w:val="32"/>
          <w:szCs w:val="32"/>
          <w:lang w:val="zh-CN"/>
        </w:rPr>
        <w:t>投资概算的批复》（竹发改审（2018）86号）批复概算金额为1765.48万元，资金来源为本级财政资金和中央预算内资金。</w:t>
      </w:r>
    </w:p>
    <w:p>
      <w:pPr>
        <w:adjustRightInd w:val="0"/>
        <w:snapToGrid w:val="0"/>
        <w:spacing w:line="66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60" w:lineRule="exact"/>
        <w:ind w:firstLine="800" w:firstLineChars="250"/>
        <w:rPr>
          <w:rFonts w:ascii="宋体" w:hAnsi="宋体" w:eastAsia="仿宋_GB2312" w:cs="宋体"/>
          <w:kern w:val="0"/>
          <w:sz w:val="32"/>
          <w:szCs w:val="21"/>
        </w:rPr>
      </w:pPr>
      <w:r>
        <w:rPr>
          <w:rFonts w:ascii="宋体" w:hAnsi="宋体" w:eastAsia="仿宋_GB2312" w:cs="宋体"/>
          <w:kern w:val="0"/>
          <w:sz w:val="32"/>
          <w:szCs w:val="21"/>
        </w:rPr>
        <w:t>1</w:t>
      </w:r>
      <w:r>
        <w:rPr>
          <w:rFonts w:hint="eastAsia" w:ascii="宋体" w:hAnsi="宋体" w:eastAsia="仿宋_GB2312" w:cs="宋体"/>
          <w:kern w:val="0"/>
          <w:sz w:val="32"/>
          <w:szCs w:val="21"/>
        </w:rPr>
        <w:t>．</w:t>
      </w:r>
      <w:r>
        <w:rPr>
          <w:rFonts w:hint="eastAsia" w:ascii="楷体_GB2312" w:hAnsi="宋体" w:eastAsia="楷体_GB2312"/>
          <w:sz w:val="32"/>
          <w:szCs w:val="32"/>
          <w:lang w:val="zh-CN"/>
        </w:rPr>
        <w:t>资金计划及到位。</w:t>
      </w:r>
      <w:r>
        <w:rPr>
          <w:rFonts w:hint="eastAsia" w:ascii="宋体" w:hAnsi="宋体" w:eastAsia="仿宋_GB2312" w:cs="宋体"/>
          <w:kern w:val="0"/>
          <w:sz w:val="32"/>
          <w:szCs w:val="21"/>
        </w:rPr>
        <w:t>该项目2021年年初预算本级财政资金50万元，追减预算46万元（竹财资环减</w:t>
      </w:r>
      <w:r>
        <w:rPr>
          <w:rFonts w:hint="eastAsia" w:ascii="宋体" w:hAnsi="宋体" w:eastAsia="仿宋_GB2312" w:cs="宋体"/>
          <w:kern w:val="0"/>
          <w:sz w:val="32"/>
          <w:szCs w:val="21"/>
          <w:lang w:eastAsia="zh-CN"/>
        </w:rPr>
        <w:t>〔</w:t>
      </w:r>
      <w:r>
        <w:rPr>
          <w:rFonts w:hint="eastAsia" w:ascii="宋体" w:hAnsi="宋体" w:eastAsia="仿宋_GB2312" w:cs="宋体"/>
          <w:kern w:val="0"/>
          <w:sz w:val="32"/>
          <w:szCs w:val="21"/>
        </w:rPr>
        <w:t>2021</w:t>
      </w:r>
      <w:r>
        <w:rPr>
          <w:rFonts w:hint="eastAsia" w:ascii="宋体" w:hAnsi="宋体" w:eastAsia="仿宋_GB2312" w:cs="宋体"/>
          <w:kern w:val="0"/>
          <w:sz w:val="32"/>
          <w:szCs w:val="21"/>
          <w:lang w:eastAsia="zh-CN"/>
        </w:rPr>
        <w:t>〕</w:t>
      </w:r>
      <w:r>
        <w:rPr>
          <w:rFonts w:hint="eastAsia" w:ascii="宋体" w:hAnsi="宋体" w:eastAsia="仿宋_GB2312" w:cs="宋体"/>
          <w:kern w:val="0"/>
          <w:sz w:val="32"/>
          <w:szCs w:val="21"/>
        </w:rPr>
        <w:t>35号</w:t>
      </w:r>
      <w:r>
        <w:rPr>
          <w:rFonts w:hint="eastAsia" w:ascii="宋体" w:hAnsi="宋体" w:eastAsia="仿宋_GB2312" w:cs="宋体"/>
          <w:kern w:val="0"/>
          <w:sz w:val="32"/>
          <w:szCs w:val="21"/>
          <w:lang w:eastAsia="zh-CN"/>
        </w:rPr>
        <w:t>）</w:t>
      </w:r>
      <w:r>
        <w:rPr>
          <w:rFonts w:hint="eastAsia" w:ascii="宋体" w:hAnsi="宋体" w:eastAsia="仿宋_GB2312" w:cs="宋体"/>
          <w:kern w:val="0"/>
          <w:sz w:val="32"/>
          <w:szCs w:val="21"/>
        </w:rPr>
        <w:t>，实际到位资金4万元。各项资金按时到位，到位率100%。</w:t>
      </w:r>
    </w:p>
    <w:p>
      <w:pPr>
        <w:adjustRightInd w:val="0"/>
        <w:snapToGrid w:val="0"/>
        <w:spacing w:line="660" w:lineRule="exact"/>
        <w:ind w:firstLine="800" w:firstLineChars="250"/>
        <w:rPr>
          <w:rFonts w:ascii="仿宋_GB2312" w:hAnsi="宋体" w:eastAsia="仿宋_GB2312"/>
          <w:b/>
          <w:sz w:val="32"/>
          <w:szCs w:val="32"/>
          <w:u w:val="single"/>
        </w:rPr>
      </w:pPr>
      <w:r>
        <w:rPr>
          <w:rFonts w:ascii="楷体_GB2312" w:hAnsi="宋体" w:eastAsia="楷体_GB2312"/>
          <w:sz w:val="32"/>
          <w:szCs w:val="32"/>
          <w:lang w:val="zh-CN"/>
        </w:rPr>
        <w:t>2</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项目2021年完成支付</w:t>
      </w:r>
      <w:r>
        <w:rPr>
          <w:rFonts w:hint="eastAsia" w:ascii="仿宋_GB2312" w:hAnsi="宋体" w:eastAsia="仿宋_GB2312"/>
          <w:sz w:val="32"/>
          <w:szCs w:val="32"/>
        </w:rPr>
        <w:t>4</w:t>
      </w:r>
      <w:r>
        <w:rPr>
          <w:rFonts w:hint="eastAsia" w:ascii="仿宋_GB2312" w:hAnsi="宋体" w:eastAsia="仿宋_GB2312"/>
          <w:sz w:val="32"/>
          <w:szCs w:val="32"/>
          <w:lang w:val="zh-CN"/>
        </w:rPr>
        <w:t>万元。工程严格按合同约定支付，支付进度100%，支付依据合规合法。由于该项目正在办理决算，还需支付其他待摊费用。</w:t>
      </w:r>
    </w:p>
    <w:p>
      <w:pPr>
        <w:adjustRightInd w:val="0"/>
        <w:snapToGrid w:val="0"/>
        <w:spacing w:line="660" w:lineRule="exact"/>
        <w:ind w:firstLine="481" w:firstLineChars="15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60" w:lineRule="exact"/>
        <w:ind w:firstLine="720"/>
        <w:rPr>
          <w:rFonts w:ascii="仿宋" w:hAnsi="仿宋" w:eastAsia="仿宋"/>
          <w:sz w:val="32"/>
          <w:szCs w:val="32"/>
          <w:lang w:val="zh-CN"/>
        </w:rPr>
      </w:pPr>
      <w:r>
        <w:rPr>
          <w:rFonts w:hint="eastAsia" w:ascii="仿宋_GB2312" w:hAnsi="宋体" w:eastAsia="仿宋_GB2312"/>
          <w:sz w:val="32"/>
          <w:szCs w:val="32"/>
          <w:lang w:val="zh-CN"/>
        </w:rPr>
        <w:t>项目实施单位财务管理制度健全，严格执行财务管理制度，</w:t>
      </w:r>
      <w:r>
        <w:rPr>
          <w:rFonts w:hint="eastAsia" w:ascii="仿宋" w:hAnsi="仿宋" w:eastAsia="仿宋"/>
          <w:sz w:val="32"/>
          <w:szCs w:val="32"/>
          <w:lang w:val="zh-CN"/>
        </w:rPr>
        <w:t>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66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60" w:lineRule="exact"/>
        <w:ind w:firstLine="720"/>
        <w:rPr>
          <w:rFonts w:ascii="仿宋" w:hAnsi="仿宋" w:eastAsia="仿宋"/>
          <w:sz w:val="32"/>
          <w:szCs w:val="32"/>
          <w:lang w:val="zh-CN"/>
        </w:rPr>
      </w:pPr>
      <w:r>
        <w:rPr>
          <w:rFonts w:hint="eastAsia" w:ascii="仿宋" w:hAnsi="仿宋" w:eastAsia="仿宋"/>
          <w:sz w:val="32"/>
          <w:szCs w:val="32"/>
          <w:lang w:val="zh-CN"/>
        </w:rPr>
        <w:t>项目按建设工程基本程序实施，职能主管部门的审批完成后，执行了招投标制、合同制、监理制、项目法人责任制等规定的手续和流程。手续完备、流程合法合规。</w:t>
      </w:r>
    </w:p>
    <w:p>
      <w:pPr>
        <w:adjustRightInd w:val="0"/>
        <w:snapToGrid w:val="0"/>
        <w:spacing w:line="6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60" w:lineRule="exact"/>
        <w:ind w:firstLine="720"/>
        <w:rPr>
          <w:rFonts w:ascii="仿宋_GB2312" w:hAnsi="宋体" w:eastAsia="仿宋_GB2312"/>
          <w:sz w:val="32"/>
          <w:szCs w:val="32"/>
        </w:rPr>
      </w:pPr>
      <w:r>
        <w:rPr>
          <w:rFonts w:hint="eastAsia" w:ascii="仿宋_GB2312" w:hAnsi="宋体" w:eastAsia="仿宋_GB2312"/>
          <w:sz w:val="32"/>
          <w:szCs w:val="32"/>
        </w:rPr>
        <w:t>项目实施中，成立了专门的组织机构，实行专人负责管理并有明确职责分工。依据相关规定，与施工方签订了施工合同。建立了专门的项目管理制度，包括工程质量控制、进度控制、安全控制等方面进行监管。在验收阶段，进行了造价审核并出具了审核报告，完成了项目的初验和终验。</w:t>
      </w:r>
    </w:p>
    <w:p>
      <w:pPr>
        <w:adjustRightInd w:val="0"/>
        <w:snapToGrid w:val="0"/>
        <w:spacing w:line="66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60" w:lineRule="exact"/>
        <w:ind w:firstLine="720"/>
        <w:rPr>
          <w:rFonts w:ascii="仿宋" w:hAnsi="仿宋" w:eastAsia="仿宋"/>
          <w:sz w:val="32"/>
          <w:szCs w:val="32"/>
          <w:lang w:val="zh-CN"/>
        </w:rPr>
      </w:pPr>
      <w:r>
        <w:rPr>
          <w:rFonts w:hint="eastAsia" w:ascii="仿宋" w:hAnsi="仿宋" w:eastAsia="仿宋"/>
          <w:sz w:val="32"/>
          <w:szCs w:val="32"/>
          <w:lang w:val="zh-CN"/>
        </w:rPr>
        <w:t>项目严格按图施工，按相关规范和质量标准施工，现已完工。</w:t>
      </w:r>
    </w:p>
    <w:p>
      <w:pPr>
        <w:adjustRightInd w:val="0"/>
        <w:snapToGrid w:val="0"/>
        <w:spacing w:line="6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60" w:lineRule="exact"/>
        <w:ind w:firstLine="720"/>
        <w:rPr>
          <w:rFonts w:ascii="仿宋" w:hAnsi="仿宋" w:eastAsia="仿宋"/>
          <w:sz w:val="32"/>
          <w:szCs w:val="32"/>
          <w:lang w:val="zh-CN"/>
        </w:rPr>
      </w:pPr>
      <w:r>
        <w:rPr>
          <w:rFonts w:hint="eastAsia" w:ascii="仿宋" w:hAnsi="仿宋" w:eastAsia="仿宋"/>
          <w:sz w:val="32"/>
          <w:szCs w:val="32"/>
          <w:lang w:val="zh-CN"/>
        </w:rPr>
        <w:t>项目产出达到预期的数量、质量达标。从项目的效益看，项目实施适应社会经济发展的需要、能够体现城市特色、改善民生民计、能够为地方产生综合效益，带来可持续影响。项目服务对象对项目的满意度比较高。</w:t>
      </w:r>
    </w:p>
    <w:p>
      <w:pPr>
        <w:adjustRightInd w:val="0"/>
        <w:snapToGrid w:val="0"/>
        <w:spacing w:line="66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项目实际完成率、完成及时率均达到或超过绩效目标，质量达标率良好，产出成本可控，管理工作规范，社会效益良好，项目可持续性强，服务对象总体较满意。评定级别为“优”。</w:t>
      </w:r>
    </w:p>
    <w:p>
      <w:pPr>
        <w:adjustRightInd w:val="0"/>
        <w:snapToGrid w:val="0"/>
        <w:spacing w:line="6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60" w:lineRule="exact"/>
        <w:ind w:firstLine="640" w:firstLineChars="200"/>
        <w:rPr>
          <w:rFonts w:ascii="仿宋_GB2312" w:hAnsi="宋体" w:eastAsia="仿宋_GB2312"/>
          <w:color w:val="FF0000"/>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300" w:type="dxa"/>
        <w:jc w:val="center"/>
        <w:tblLayout w:type="autofit"/>
        <w:tblCellMar>
          <w:top w:w="0" w:type="dxa"/>
          <w:left w:w="108" w:type="dxa"/>
          <w:bottom w:w="0" w:type="dxa"/>
          <w:right w:w="108" w:type="dxa"/>
        </w:tblCellMar>
      </w:tblPr>
      <w:tblGrid>
        <w:gridCol w:w="940"/>
        <w:gridCol w:w="980"/>
        <w:gridCol w:w="1460"/>
        <w:gridCol w:w="1080"/>
        <w:gridCol w:w="760"/>
        <w:gridCol w:w="1980"/>
        <w:gridCol w:w="2100"/>
      </w:tblGrid>
      <w:tr>
        <w:tblPrEx>
          <w:tblCellMar>
            <w:top w:w="0" w:type="dxa"/>
            <w:left w:w="108" w:type="dxa"/>
            <w:bottom w:w="0" w:type="dxa"/>
            <w:right w:w="108" w:type="dxa"/>
          </w:tblCellMar>
        </w:tblPrEx>
        <w:trPr>
          <w:trHeight w:val="405" w:hRule="atLeast"/>
          <w:jc w:val="center"/>
        </w:trPr>
        <w:tc>
          <w:tcPr>
            <w:tcW w:w="9300" w:type="dxa"/>
            <w:gridSpan w:val="7"/>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30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94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8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6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10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3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9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绵竹市教育产业园安置房（棚户区）配套基础设施项目</w:t>
            </w:r>
            <w:r>
              <w:rPr>
                <w:rFonts w:hint="eastAsia" w:ascii="宋体" w:hAnsi="宋体" w:cs="宋体"/>
                <w:kern w:val="0"/>
                <w:sz w:val="20"/>
                <w:szCs w:val="20"/>
                <w:lang w:eastAsia="zh-CN"/>
              </w:rPr>
              <w:t>（</w:t>
            </w:r>
            <w:r>
              <w:rPr>
                <w:rFonts w:hint="eastAsia" w:ascii="宋体" w:hAnsi="宋体" w:cs="宋体"/>
                <w:kern w:val="0"/>
                <w:sz w:val="20"/>
                <w:szCs w:val="20"/>
              </w:rPr>
              <w:t>武进路)</w:t>
            </w:r>
          </w:p>
        </w:tc>
      </w:tr>
      <w:tr>
        <w:tblPrEx>
          <w:tblCellMar>
            <w:top w:w="0" w:type="dxa"/>
            <w:left w:w="108" w:type="dxa"/>
            <w:bottom w:w="0" w:type="dxa"/>
            <w:right w:w="108" w:type="dxa"/>
          </w:tblCellMar>
        </w:tblPrEx>
        <w:trPr>
          <w:trHeight w:val="270" w:hRule="atLeast"/>
          <w:jc w:val="center"/>
        </w:trPr>
        <w:tc>
          <w:tcPr>
            <w:tcW w:w="33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92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70"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4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19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5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50</w:t>
            </w:r>
          </w:p>
        </w:tc>
        <w:tc>
          <w:tcPr>
            <w:tcW w:w="198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r>
      <w:tr>
        <w:tblPrEx>
          <w:tblCellMar>
            <w:top w:w="0" w:type="dxa"/>
            <w:left w:w="108" w:type="dxa"/>
            <w:bottom w:w="0" w:type="dxa"/>
            <w:right w:w="108" w:type="dxa"/>
          </w:tblCellMar>
        </w:tblPrEx>
        <w:trPr>
          <w:trHeight w:val="58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8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1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25"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2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0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42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2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起点接已建盐城路，其间与规划创泽路、张家港相交，终点接已建扬州路</w:t>
            </w:r>
            <w:r>
              <w:rPr>
                <w:rFonts w:hint="eastAsia" w:ascii="宋体" w:hAnsi="宋体" w:cs="宋体"/>
                <w:kern w:val="0"/>
                <w:sz w:val="20"/>
                <w:szCs w:val="20"/>
                <w:lang w:eastAsia="zh-CN"/>
              </w:rPr>
              <w:t>，</w:t>
            </w:r>
            <w:r>
              <w:rPr>
                <w:rFonts w:hint="eastAsia" w:ascii="宋体" w:hAnsi="宋体" w:cs="宋体"/>
                <w:kern w:val="0"/>
                <w:sz w:val="20"/>
                <w:szCs w:val="20"/>
              </w:rPr>
              <w:t>道路全长668.244m，红线宽度20米，按照城市次干路标准设计，设计时速30km/h，设计内容包含道路、排水、给水、照明、交安及附属工程等。</w:t>
            </w:r>
          </w:p>
        </w:tc>
        <w:tc>
          <w:tcPr>
            <w:tcW w:w="40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提升区域内的交通容量，缓解城市主要道路的压力；完善片区基础设施，加快片区建设；优化路网结构，加强区域连接。项目</w:t>
            </w:r>
            <w:r>
              <w:rPr>
                <w:rFonts w:hint="eastAsia" w:ascii="宋体" w:hAnsi="宋体" w:cs="宋体"/>
                <w:kern w:val="0"/>
                <w:sz w:val="20"/>
                <w:szCs w:val="20"/>
                <w:lang w:eastAsia="zh-CN"/>
              </w:rPr>
              <w:t>于</w:t>
            </w:r>
            <w:r>
              <w:rPr>
                <w:rFonts w:hint="eastAsia" w:ascii="宋体" w:hAnsi="宋体" w:cs="宋体"/>
                <w:kern w:val="0"/>
                <w:sz w:val="20"/>
                <w:szCs w:val="20"/>
              </w:rPr>
              <w:t>2019年11月19日开工，2020年2月16日竣工验收。项目正在推进结决算程序，然后拨付剩余款项。</w:t>
            </w:r>
          </w:p>
        </w:tc>
      </w:tr>
      <w:tr>
        <w:tblPrEx>
          <w:tblCellMar>
            <w:top w:w="0" w:type="dxa"/>
            <w:left w:w="108" w:type="dxa"/>
            <w:bottom w:w="0" w:type="dxa"/>
            <w:right w:w="108" w:type="dxa"/>
          </w:tblCellMar>
        </w:tblPrEx>
        <w:trPr>
          <w:trHeight w:val="480" w:hRule="atLeast"/>
          <w:jc w:val="center"/>
        </w:trPr>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面积</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14500平方米</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已完成</w:t>
            </w:r>
          </w:p>
        </w:tc>
      </w:tr>
      <w:tr>
        <w:tblPrEx>
          <w:tblCellMar>
            <w:top w:w="0" w:type="dxa"/>
            <w:left w:w="108" w:type="dxa"/>
            <w:bottom w:w="0" w:type="dxa"/>
            <w:right w:w="108" w:type="dxa"/>
          </w:tblCellMar>
        </w:tblPrEx>
        <w:trPr>
          <w:trHeight w:val="480"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竣工验收合格</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合格</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2020.2.16已竣工验收</w:t>
            </w:r>
          </w:p>
        </w:tc>
      </w:tr>
      <w:tr>
        <w:tblPrEx>
          <w:tblCellMar>
            <w:top w:w="0" w:type="dxa"/>
            <w:left w:w="108" w:type="dxa"/>
            <w:bottom w:w="0" w:type="dxa"/>
            <w:right w:w="108" w:type="dxa"/>
          </w:tblCellMar>
        </w:tblPrEx>
        <w:trPr>
          <w:trHeight w:val="480"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完成时间</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2020年年底</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2020年2月16日</w:t>
            </w:r>
          </w:p>
        </w:tc>
      </w:tr>
      <w:tr>
        <w:tblPrEx>
          <w:tblCellMar>
            <w:top w:w="0" w:type="dxa"/>
            <w:left w:w="108" w:type="dxa"/>
            <w:bottom w:w="0" w:type="dxa"/>
            <w:right w:w="108" w:type="dxa"/>
          </w:tblCellMar>
        </w:tblPrEx>
        <w:trPr>
          <w:trHeight w:val="480"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支付项目工程建安费、部分间接费</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实际支付4万元。</w:t>
            </w:r>
          </w:p>
        </w:tc>
      </w:tr>
      <w:tr>
        <w:tblPrEx>
          <w:tblCellMar>
            <w:top w:w="0" w:type="dxa"/>
            <w:left w:w="108" w:type="dxa"/>
            <w:bottom w:w="0" w:type="dxa"/>
            <w:right w:w="108" w:type="dxa"/>
          </w:tblCellMar>
        </w:tblPrEx>
        <w:trPr>
          <w:trHeight w:val="64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改善人民生活环境，美化社区环境</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960"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促进该地区的城市建设，方便群众生产生活</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795" w:hRule="atLeast"/>
          <w:jc w:val="center"/>
        </w:trPr>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满意度</w:t>
            </w:r>
          </w:p>
        </w:tc>
        <w:tc>
          <w:tcPr>
            <w:tcW w:w="19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（绵竹市玉马公共租赁住房基础设施配套项目</w:t>
      </w:r>
      <w:r>
        <w:rPr>
          <w:rFonts w:hint="eastAsia" w:ascii="仿宋_GB2312" w:hAnsi="宋体" w:eastAsia="仿宋_GB2312"/>
          <w:sz w:val="32"/>
          <w:szCs w:val="32"/>
          <w:lang w:eastAsia="zh-CN"/>
        </w:rPr>
        <w:t>－－</w:t>
      </w:r>
      <w:r>
        <w:rPr>
          <w:rFonts w:hint="eastAsia" w:ascii="仿宋_GB2312" w:hAnsi="宋体" w:eastAsia="仿宋_GB2312"/>
          <w:sz w:val="32"/>
          <w:szCs w:val="32"/>
        </w:rPr>
        <w:t>二期）</w:t>
      </w:r>
    </w:p>
    <w:p>
      <w:pPr>
        <w:spacing w:line="580" w:lineRule="exact"/>
        <w:ind w:firstLine="640"/>
        <w:jc w:val="center"/>
        <w:rPr>
          <w:rFonts w:hint="eastAsia" w:ascii="宋体" w:hAnsi="??"/>
          <w:sz w:val="32"/>
          <w:szCs w:val="32"/>
        </w:rPr>
      </w:pPr>
    </w:p>
    <w:p>
      <w:pPr>
        <w:adjustRightInd w:val="0"/>
        <w:snapToGrid w:val="0"/>
        <w:spacing w:line="64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1．项目业主：绵竹市市政工程建设管理站。</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2．建设地址：清道大道南侧。</w:t>
      </w:r>
    </w:p>
    <w:p>
      <w:pPr>
        <w:adjustRightInd w:val="0"/>
        <w:snapToGrid w:val="0"/>
        <w:spacing w:line="640" w:lineRule="exact"/>
        <w:ind w:firstLine="720"/>
        <w:rPr>
          <w:rFonts w:ascii="仿宋" w:hAnsi="仿宋" w:eastAsia="仿宋"/>
          <w:sz w:val="32"/>
          <w:szCs w:val="32"/>
          <w:lang w:val="zh-CN"/>
        </w:rPr>
      </w:pPr>
      <w:r>
        <w:rPr>
          <w:rFonts w:hint="eastAsia" w:ascii="仿宋_GB2312" w:hAnsi="宋体" w:eastAsia="仿宋_GB2312"/>
          <w:sz w:val="32"/>
          <w:szCs w:val="32"/>
          <w:lang w:val="zh-CN"/>
        </w:rPr>
        <w:t>3.建设内容及规模：</w:t>
      </w:r>
      <w:r>
        <w:rPr>
          <w:rFonts w:hint="eastAsia" w:ascii="仿宋" w:hAnsi="仿宋" w:eastAsia="仿宋"/>
          <w:sz w:val="32"/>
          <w:szCs w:val="32"/>
          <w:lang w:val="zh-CN"/>
        </w:rPr>
        <w:t>道路全长287.128米，宽20米，建设面积为7921.866平方米（含道路交叉口面积）。内容包含道路、排水、给水、照明、交安及附属工程等。</w:t>
      </w:r>
    </w:p>
    <w:p>
      <w:pPr>
        <w:adjustRightInd w:val="0"/>
        <w:snapToGrid w:val="0"/>
        <w:spacing w:line="640" w:lineRule="exact"/>
        <w:ind w:firstLine="720" w:firstLineChars="225"/>
        <w:rPr>
          <w:rFonts w:ascii="仿宋_GB2312" w:hAnsi="宋体" w:eastAsia="仿宋_GB2312"/>
          <w:sz w:val="32"/>
          <w:szCs w:val="32"/>
          <w:lang w:val="zh-CN"/>
        </w:rPr>
      </w:pPr>
      <w:r>
        <w:rPr>
          <w:rFonts w:hint="eastAsia" w:ascii="仿宋_GB2312" w:hAnsi="宋体" w:eastAsia="仿宋_GB2312"/>
          <w:sz w:val="32"/>
          <w:szCs w:val="32"/>
          <w:lang w:val="zh-CN"/>
        </w:rPr>
        <w:t>4．资金来源：本级财政资金和中央预算内资金。</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4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．预期目标：起点接清道大道，终点接张家港路，道路全长</w:t>
      </w:r>
      <w:r>
        <w:rPr>
          <w:rFonts w:hint="eastAsia" w:ascii="仿宋" w:hAnsi="仿宋" w:eastAsia="仿宋"/>
          <w:sz w:val="32"/>
          <w:szCs w:val="32"/>
          <w:lang w:val="zh-CN"/>
        </w:rPr>
        <w:t>287.128米</w:t>
      </w:r>
      <w:r>
        <w:rPr>
          <w:rFonts w:hint="eastAsia" w:ascii="仿宋_GB2312" w:hAnsi="宋体" w:eastAsia="仿宋_GB2312"/>
          <w:sz w:val="32"/>
          <w:szCs w:val="32"/>
          <w:lang w:val="zh-CN"/>
        </w:rPr>
        <w:t>，红线宽度20m，按照城市支路标准设计，设计时速20km/h，设计内容包含道路、排水、积水、照明、交安及附属工程等。车行道路面结构为改性沥青混凝土路面，人行道结构为透水砖砌块路面。</w:t>
      </w:r>
    </w:p>
    <w:p>
      <w:pPr>
        <w:adjustRightInd w:val="0"/>
        <w:snapToGrid w:val="0"/>
        <w:spacing w:line="640" w:lineRule="exact"/>
        <w:ind w:firstLine="720"/>
        <w:rPr>
          <w:rFonts w:ascii="仿宋" w:hAnsi="仿宋" w:eastAsia="仿宋"/>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w:t>
      </w:r>
      <w:r>
        <w:rPr>
          <w:rFonts w:hint="eastAsia" w:ascii="仿宋" w:hAnsi="仿宋" w:eastAsia="仿宋"/>
          <w:sz w:val="32"/>
          <w:szCs w:val="32"/>
          <w:lang w:val="zh-CN"/>
        </w:rPr>
        <w:t>提升区域内的交通容量，缓解城市主要道路的压力；完善片区基础设施，加快片区建设；优化路网结构，加强区域连接。项目于</w:t>
      </w:r>
      <w:r>
        <w:rPr>
          <w:rFonts w:hint="eastAsia" w:ascii="仿宋_GB2312" w:hAnsi="宋体" w:eastAsia="仿宋_GB2312"/>
          <w:sz w:val="32"/>
          <w:szCs w:val="32"/>
          <w:lang w:val="zh-CN"/>
        </w:rPr>
        <w:t>2021年4月28日开工，2021年9月26日竣工验收。</w:t>
      </w:r>
    </w:p>
    <w:p>
      <w:pPr>
        <w:adjustRightInd w:val="0"/>
        <w:snapToGrid w:val="0"/>
        <w:spacing w:line="64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．申报内容与实际相符，申报目标合理可行。</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由我局开展财政资金使用情况自评并撰写部门预算支出绩效报告，按规范格式按时提交自评报告。</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40" w:lineRule="exact"/>
        <w:ind w:firstLine="720"/>
        <w:rPr>
          <w:rFonts w:ascii="仿宋_GB2312" w:hAnsi="宋体" w:eastAsia="仿宋_GB2312"/>
          <w:sz w:val="32"/>
          <w:szCs w:val="32"/>
          <w:lang w:val="zh-CN"/>
        </w:rPr>
      </w:pPr>
      <w:r>
        <w:rPr>
          <w:rFonts w:hint="eastAsia" w:ascii="仿宋" w:hAnsi="仿宋" w:eastAsia="仿宋"/>
          <w:sz w:val="32"/>
          <w:szCs w:val="32"/>
          <w:lang w:val="zh-CN"/>
        </w:rPr>
        <w:t>项目经市发改局《</w:t>
      </w:r>
      <w:r>
        <w:rPr>
          <w:rFonts w:hint="eastAsia" w:ascii="宋体" w:hAnsi="宋体" w:eastAsia="仿宋_GB2312" w:cs="宋体"/>
          <w:kern w:val="0"/>
          <w:sz w:val="32"/>
          <w:szCs w:val="21"/>
        </w:rPr>
        <w:t>关于绵竹市玉马公共租赁住房基础设施配套项目（二期）项目建议书的批复》（竹发改建（2020）5号）批复立项、</w:t>
      </w:r>
      <w:r>
        <w:rPr>
          <w:rFonts w:hint="eastAsia" w:ascii="仿宋" w:hAnsi="仿宋" w:eastAsia="仿宋"/>
          <w:sz w:val="32"/>
          <w:szCs w:val="32"/>
          <w:lang w:val="zh-CN"/>
        </w:rPr>
        <w:t>经市发改局《关于</w:t>
      </w:r>
      <w:r>
        <w:rPr>
          <w:rFonts w:hint="eastAsia" w:ascii="仿宋" w:hAnsi="仿宋" w:eastAsia="仿宋"/>
          <w:sz w:val="32"/>
          <w:szCs w:val="32"/>
        </w:rPr>
        <w:t>绵竹市玉马公共租赁住房基础设施配套项目</w:t>
      </w:r>
      <w:r>
        <w:rPr>
          <w:rFonts w:hint="eastAsia" w:ascii="仿宋" w:hAnsi="仿宋" w:eastAsia="仿宋"/>
          <w:sz w:val="32"/>
          <w:szCs w:val="32"/>
          <w:lang w:eastAsia="zh-CN"/>
        </w:rPr>
        <w:t>（</w:t>
      </w:r>
      <w:r>
        <w:rPr>
          <w:rFonts w:hint="eastAsia" w:ascii="仿宋" w:hAnsi="仿宋" w:eastAsia="仿宋"/>
          <w:sz w:val="32"/>
          <w:szCs w:val="32"/>
        </w:rPr>
        <w:t>二期)</w:t>
      </w:r>
      <w:r>
        <w:rPr>
          <w:rFonts w:hint="eastAsia" w:ascii="仿宋" w:hAnsi="仿宋" w:eastAsia="仿宋"/>
          <w:sz w:val="32"/>
          <w:szCs w:val="32"/>
          <w:lang w:val="zh-CN"/>
        </w:rPr>
        <w:t>投资概算的批复》（竹发改审（2020）94号）批复概算金额为952.46万元，资金来源为中</w:t>
      </w:r>
      <w:r>
        <w:rPr>
          <w:rFonts w:hint="eastAsia" w:ascii="仿宋_GB2312" w:hAnsi="宋体" w:eastAsia="仿宋_GB2312"/>
          <w:sz w:val="32"/>
          <w:szCs w:val="32"/>
          <w:lang w:val="zh-CN"/>
        </w:rPr>
        <w:t>央预算内资金和本级财政资金。</w:t>
      </w:r>
    </w:p>
    <w:p>
      <w:pPr>
        <w:adjustRightInd w:val="0"/>
        <w:snapToGrid w:val="0"/>
        <w:spacing w:line="64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40" w:lineRule="exact"/>
        <w:ind w:firstLine="800" w:firstLineChars="250"/>
        <w:rPr>
          <w:rFonts w:ascii="宋体" w:hAnsi="宋体" w:eastAsia="仿宋_GB2312" w:cs="宋体"/>
          <w:kern w:val="0"/>
          <w:sz w:val="32"/>
          <w:szCs w:val="21"/>
        </w:rPr>
      </w:pPr>
      <w:r>
        <w:rPr>
          <w:rFonts w:ascii="宋体" w:hAnsi="宋体" w:eastAsia="仿宋_GB2312" w:cs="宋体"/>
          <w:kern w:val="0"/>
          <w:sz w:val="32"/>
          <w:szCs w:val="21"/>
        </w:rPr>
        <w:t>1</w:t>
      </w:r>
      <w:r>
        <w:rPr>
          <w:rFonts w:hint="eastAsia" w:ascii="宋体" w:hAnsi="宋体" w:eastAsia="仿宋_GB2312" w:cs="宋体"/>
          <w:kern w:val="0"/>
          <w:sz w:val="32"/>
          <w:szCs w:val="21"/>
        </w:rPr>
        <w:t>．</w:t>
      </w:r>
      <w:r>
        <w:rPr>
          <w:rFonts w:hint="eastAsia" w:ascii="楷体_GB2312" w:hAnsi="宋体" w:eastAsia="楷体_GB2312"/>
          <w:sz w:val="32"/>
          <w:szCs w:val="32"/>
          <w:lang w:val="zh-CN"/>
        </w:rPr>
        <w:t>资金计划及到位。</w:t>
      </w:r>
      <w:r>
        <w:rPr>
          <w:rFonts w:hint="eastAsia" w:ascii="宋体" w:hAnsi="宋体" w:eastAsia="仿宋_GB2312" w:cs="宋体"/>
          <w:kern w:val="0"/>
          <w:sz w:val="32"/>
          <w:szCs w:val="21"/>
        </w:rPr>
        <w:t>该项目2021年年初预算本级财政资金 806.18 万元，追减175.3011万元（竹财资环减（2021）35号），年底追减预算1.99088万元（竹财资环减（2021）55号-5）</w:t>
      </w:r>
      <w:r>
        <w:rPr>
          <w:rFonts w:hint="eastAsia" w:ascii="宋体" w:hAnsi="宋体" w:eastAsia="仿宋_GB2312" w:cs="宋体"/>
          <w:kern w:val="0"/>
          <w:sz w:val="32"/>
          <w:szCs w:val="21"/>
          <w:lang w:eastAsia="zh-CN"/>
        </w:rPr>
        <w:t>，</w:t>
      </w:r>
      <w:r>
        <w:rPr>
          <w:rFonts w:hint="eastAsia" w:ascii="宋体" w:hAnsi="宋体" w:eastAsia="仿宋_GB2312" w:cs="宋体"/>
          <w:kern w:val="0"/>
          <w:sz w:val="32"/>
          <w:szCs w:val="21"/>
        </w:rPr>
        <w:t>实际到位资金628.88802万元。各项资金按时到位，到位率100%。</w:t>
      </w:r>
    </w:p>
    <w:p>
      <w:pPr>
        <w:adjustRightInd w:val="0"/>
        <w:snapToGrid w:val="0"/>
        <w:spacing w:line="640" w:lineRule="exact"/>
        <w:ind w:firstLine="800" w:firstLineChars="250"/>
        <w:rPr>
          <w:rFonts w:ascii="仿宋_GB2312" w:hAnsi="宋体" w:eastAsia="仿宋_GB2312"/>
          <w:b/>
          <w:sz w:val="32"/>
          <w:szCs w:val="32"/>
          <w:u w:val="single"/>
        </w:rPr>
      </w:pPr>
      <w:r>
        <w:rPr>
          <w:rFonts w:ascii="楷体_GB2312" w:hAnsi="宋体" w:eastAsia="楷体_GB2312"/>
          <w:sz w:val="32"/>
          <w:szCs w:val="32"/>
          <w:lang w:val="zh-CN"/>
        </w:rPr>
        <w:t>2</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项目2021年完成支付</w:t>
      </w:r>
      <w:r>
        <w:rPr>
          <w:rFonts w:hint="eastAsia" w:ascii="宋体" w:hAnsi="宋体" w:eastAsia="仿宋_GB2312" w:cs="宋体"/>
          <w:kern w:val="0"/>
          <w:sz w:val="32"/>
          <w:szCs w:val="21"/>
        </w:rPr>
        <w:t>628.88802</w:t>
      </w:r>
      <w:r>
        <w:rPr>
          <w:rFonts w:hint="eastAsia" w:ascii="仿宋_GB2312" w:hAnsi="宋体" w:eastAsia="仿宋_GB2312"/>
          <w:sz w:val="32"/>
          <w:szCs w:val="32"/>
          <w:lang w:val="zh-CN"/>
        </w:rPr>
        <w:t>万元。工程严格按合同约定支付，支付进度100%，支付依据合规合法。由于该项目正在办理结、决算，还需支付剩余工程费及部分待摊尾款。</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实施单位财务管理制度健全，严格执行财务管理制度，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项目按建设工程基本程序实施，职能主管部门的审批完成后，执行了招投标制、合同制、监理制、项目法人责任制等规定的手续和流程。手续完备、流程合法合规。</w:t>
      </w:r>
    </w:p>
    <w:p>
      <w:pPr>
        <w:adjustRightInd w:val="0"/>
        <w:snapToGrid w:val="0"/>
        <w:spacing w:line="6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实施中，成立了专门的组织机构，实行专人负责管理并有明确职责分工。依据相关规定，与施工方签订了施工合同。建立了专门的项目管理制度，包括工程质量控制、进度控制、安全控制等方面进行监管。在验收阶段，进行了造价审核并出具了审核报告，完成了项目的初验和终验。</w:t>
      </w:r>
    </w:p>
    <w:p>
      <w:pPr>
        <w:adjustRightInd w:val="0"/>
        <w:snapToGrid w:val="0"/>
        <w:spacing w:line="640" w:lineRule="exact"/>
        <w:ind w:firstLine="800" w:firstLineChars="25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项目严格按图施工，按相关规范和质量标准施工，现已完工，正在推进结决算程序。</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产出达到预期的数量、质量达标。从项目的效益看，项目实施适应社会经济发展的需要、能够体现城市特色、改善民生民计、能够为地方产生综合效益，带来可持续影响。项目服务对象对项目的满意度比较高。</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项目实际完成率、完成及时率均达到或超过绩效目标，质量达标率良好，产出成本可控，管理工作规范，社会效益良好，项目可持续性强，服务对象总体较满意。评定级别为“优”。</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40" w:lineRule="exact"/>
        <w:ind w:firstLine="640" w:firstLineChars="200"/>
        <w:rPr>
          <w:rFonts w:ascii="仿宋_GB2312" w:hAnsi="宋体" w:eastAsia="仿宋_GB2312"/>
          <w:color w:val="FF0000"/>
          <w:sz w:val="32"/>
          <w:szCs w:val="32"/>
          <w:lang w:val="zh-CN"/>
        </w:rPr>
      </w:pPr>
      <w:r>
        <w:rPr>
          <w:rFonts w:hint="eastAsia" w:ascii="仿宋_GB2312" w:hAnsi="宋体" w:eastAsia="仿宋_GB2312"/>
          <w:sz w:val="32"/>
          <w:szCs w:val="32"/>
          <w:lang w:val="zh-CN"/>
        </w:rPr>
        <w:t>无。</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860" w:type="dxa"/>
        <w:jc w:val="center"/>
        <w:tblLayout w:type="autofit"/>
        <w:tblCellMar>
          <w:top w:w="0" w:type="dxa"/>
          <w:left w:w="108" w:type="dxa"/>
          <w:bottom w:w="0" w:type="dxa"/>
          <w:right w:w="108" w:type="dxa"/>
        </w:tblCellMar>
      </w:tblPr>
      <w:tblGrid>
        <w:gridCol w:w="1080"/>
        <w:gridCol w:w="960"/>
        <w:gridCol w:w="1480"/>
        <w:gridCol w:w="1080"/>
        <w:gridCol w:w="1080"/>
        <w:gridCol w:w="1780"/>
        <w:gridCol w:w="2400"/>
      </w:tblGrid>
      <w:tr>
        <w:tblPrEx>
          <w:tblCellMar>
            <w:top w:w="0" w:type="dxa"/>
            <w:left w:w="108" w:type="dxa"/>
            <w:bottom w:w="0" w:type="dxa"/>
            <w:right w:w="108" w:type="dxa"/>
          </w:tblCellMar>
        </w:tblPrEx>
        <w:trPr>
          <w:trHeight w:val="405" w:hRule="atLeast"/>
          <w:jc w:val="center"/>
        </w:trPr>
        <w:tc>
          <w:tcPr>
            <w:tcW w:w="9860" w:type="dxa"/>
            <w:gridSpan w:val="7"/>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86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8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7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40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5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3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绵竹市玉马公共租赁住房基础设施配套项目（二期）</w:t>
            </w:r>
          </w:p>
        </w:tc>
      </w:tr>
      <w:tr>
        <w:tblPrEx>
          <w:tblCellMar>
            <w:top w:w="0" w:type="dxa"/>
            <w:left w:w="108" w:type="dxa"/>
            <w:bottom w:w="0" w:type="dxa"/>
            <w:right w:w="108" w:type="dxa"/>
          </w:tblCellMar>
        </w:tblPrEx>
        <w:trPr>
          <w:trHeight w:val="270" w:hRule="atLeast"/>
          <w:jc w:val="center"/>
        </w:trPr>
        <w:tc>
          <w:tcPr>
            <w:tcW w:w="35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3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4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806.18</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628.88802</w:t>
            </w:r>
          </w:p>
        </w:tc>
      </w:tr>
      <w:tr>
        <w:tblPrEx>
          <w:tblCellMar>
            <w:top w:w="0" w:type="dxa"/>
            <w:left w:w="108" w:type="dxa"/>
            <w:bottom w:w="0" w:type="dxa"/>
            <w:right w:w="108" w:type="dxa"/>
          </w:tblCellMar>
        </w:tblPrEx>
        <w:trPr>
          <w:trHeight w:val="61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806.18</w:t>
            </w:r>
          </w:p>
        </w:tc>
        <w:tc>
          <w:tcPr>
            <w:tcW w:w="178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628.88802</w:t>
            </w:r>
          </w:p>
        </w:tc>
      </w:tr>
      <w:tr>
        <w:tblPrEx>
          <w:tblCellMar>
            <w:top w:w="0" w:type="dxa"/>
            <w:left w:w="108" w:type="dxa"/>
            <w:bottom w:w="0" w:type="dxa"/>
            <w:right w:w="108" w:type="dxa"/>
          </w:tblCellMar>
        </w:tblPrEx>
        <w:trPr>
          <w:trHeight w:val="5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4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8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4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9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6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92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6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起点接清道大道，终点接张家港路，道路全长287.128米，红线宽度20m，按照城市支路标准设计，设计时速20km/h</w:t>
            </w:r>
            <w:r>
              <w:rPr>
                <w:rFonts w:hint="eastAsia" w:ascii="宋体" w:hAnsi="宋体" w:cs="宋体"/>
                <w:kern w:val="0"/>
                <w:sz w:val="20"/>
                <w:szCs w:val="20"/>
                <w:lang w:eastAsia="zh-CN"/>
              </w:rPr>
              <w:t>，</w:t>
            </w:r>
            <w:r>
              <w:rPr>
                <w:rFonts w:hint="eastAsia" w:ascii="宋体" w:hAnsi="宋体" w:cs="宋体"/>
                <w:kern w:val="0"/>
                <w:sz w:val="20"/>
                <w:szCs w:val="20"/>
              </w:rPr>
              <w:t>设计内容包含道路、排水、积水、照明、交安及附属工程等。车行道路面结构为改性沥青混凝土路面，人行道结构为透水砖砌块路面。</w:t>
            </w:r>
          </w:p>
        </w:tc>
        <w:tc>
          <w:tcPr>
            <w:tcW w:w="41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提升区域内的交通容量，缓解城市主要道路的压力；完善片区基础设施，加快片区建设；优化路网结构，加强区域连接。项目</w:t>
            </w:r>
            <w:r>
              <w:rPr>
                <w:rFonts w:hint="eastAsia" w:ascii="宋体" w:hAnsi="宋体" w:cs="宋体"/>
                <w:kern w:val="0"/>
                <w:sz w:val="20"/>
                <w:szCs w:val="20"/>
                <w:lang w:eastAsia="zh-CN"/>
              </w:rPr>
              <w:t>于</w:t>
            </w:r>
            <w:r>
              <w:rPr>
                <w:rFonts w:hint="eastAsia" w:ascii="宋体" w:hAnsi="宋体" w:cs="宋体"/>
                <w:kern w:val="0"/>
                <w:sz w:val="20"/>
                <w:szCs w:val="20"/>
              </w:rPr>
              <w:t>2021年4月28日开工，2021年9月26日竣工验收。该项目正在办理结、决算，还需支付剩余工程费及部分待摊尾款。</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7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建设面积</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7921.866平方米</w:t>
            </w:r>
          </w:p>
        </w:tc>
        <w:tc>
          <w:tcPr>
            <w:tcW w:w="2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完成年度计划</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竣工验收合格</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合格</w:t>
            </w:r>
          </w:p>
        </w:tc>
        <w:tc>
          <w:tcPr>
            <w:tcW w:w="2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2021.9.26已竣工验收</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完成时间</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2021年年底</w:t>
            </w:r>
          </w:p>
        </w:tc>
        <w:tc>
          <w:tcPr>
            <w:tcW w:w="2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2021年9月26日已竣工验收</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支付项目工程建安费、部分间接费</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628.88802</w:t>
            </w:r>
          </w:p>
        </w:tc>
        <w:tc>
          <w:tcPr>
            <w:tcW w:w="2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实际支付628.88802万元。</w:t>
            </w:r>
          </w:p>
        </w:tc>
      </w:tr>
      <w:tr>
        <w:tblPrEx>
          <w:tblCellMar>
            <w:top w:w="0" w:type="dxa"/>
            <w:left w:w="108" w:type="dxa"/>
            <w:bottom w:w="0" w:type="dxa"/>
            <w:right w:w="108" w:type="dxa"/>
          </w:tblCellMar>
        </w:tblPrEx>
        <w:trPr>
          <w:trHeight w:val="64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改善人民生活环境，美化社区环境</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≧90</w:t>
            </w:r>
          </w:p>
        </w:tc>
        <w:tc>
          <w:tcPr>
            <w:tcW w:w="2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96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促进该地区的城市建设，方便群众生产生活</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≧90</w:t>
            </w:r>
          </w:p>
        </w:tc>
        <w:tc>
          <w:tcPr>
            <w:tcW w:w="2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79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满意度</w:t>
            </w:r>
          </w:p>
        </w:tc>
        <w:tc>
          <w:tcPr>
            <w:tcW w:w="17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100%</w:t>
            </w:r>
          </w:p>
        </w:tc>
        <w:tc>
          <w:tcPr>
            <w:tcW w:w="24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（2020年小街小巷工程项目）</w:t>
      </w:r>
    </w:p>
    <w:p>
      <w:pPr>
        <w:spacing w:line="580" w:lineRule="exact"/>
        <w:ind w:firstLine="640"/>
        <w:jc w:val="center"/>
        <w:rPr>
          <w:rFonts w:hint="eastAsia" w:ascii="宋体" w:hAnsi="??"/>
          <w:sz w:val="32"/>
          <w:szCs w:val="32"/>
        </w:rPr>
      </w:pPr>
    </w:p>
    <w:p>
      <w:pPr>
        <w:adjustRightInd w:val="0"/>
        <w:snapToGrid w:val="0"/>
        <w:spacing w:line="64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4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．项目业主：绵竹市市政工程建设管理站。</w:t>
      </w:r>
    </w:p>
    <w:p>
      <w:pPr>
        <w:adjustRightInd w:val="0"/>
        <w:snapToGrid w:val="0"/>
        <w:spacing w:line="64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．建设地址：紫岩街道、剑南街道、孝德镇。</w:t>
      </w:r>
    </w:p>
    <w:p>
      <w:pPr>
        <w:adjustRightInd w:val="0"/>
        <w:snapToGrid w:val="0"/>
        <w:spacing w:line="640" w:lineRule="exact"/>
        <w:ind w:firstLine="720"/>
        <w:rPr>
          <w:rFonts w:ascii="仿宋" w:hAnsi="仿宋" w:eastAsia="仿宋"/>
          <w:sz w:val="32"/>
          <w:szCs w:val="32"/>
          <w:lang w:val="zh-CN"/>
        </w:rPr>
      </w:pPr>
      <w:r>
        <w:rPr>
          <w:rFonts w:hint="eastAsia" w:ascii="仿宋_GB2312" w:hAnsi="宋体" w:eastAsia="仿宋_GB2312"/>
          <w:sz w:val="32"/>
          <w:szCs w:val="32"/>
          <w:lang w:val="zh-CN"/>
        </w:rPr>
        <w:t>3.建设内容及规模：</w:t>
      </w:r>
      <w:r>
        <w:rPr>
          <w:rFonts w:hint="eastAsia" w:ascii="仿宋" w:hAnsi="仿宋" w:eastAsia="仿宋"/>
          <w:sz w:val="32"/>
          <w:szCs w:val="32"/>
          <w:lang w:val="zh-CN"/>
        </w:rPr>
        <w:t>紫岩街道天河村、三居委、谷王村、蔚泉村、紫岩社区等；剑南街道檀兴村、大南路、红明村等；孝德镇白衣村。对原居民出行的路面、地坪进行硬化。</w:t>
      </w:r>
    </w:p>
    <w:p>
      <w:pPr>
        <w:adjustRightInd w:val="0"/>
        <w:snapToGrid w:val="0"/>
        <w:spacing w:line="640" w:lineRule="exact"/>
        <w:ind w:firstLine="720" w:firstLineChars="225"/>
        <w:rPr>
          <w:rFonts w:ascii="仿宋_GB2312" w:hAnsi="宋体" w:eastAsia="仿宋_GB2312"/>
          <w:sz w:val="32"/>
          <w:szCs w:val="32"/>
          <w:lang w:val="zh-CN"/>
        </w:rPr>
      </w:pPr>
      <w:r>
        <w:rPr>
          <w:rFonts w:hint="eastAsia" w:ascii="仿宋_GB2312" w:hAnsi="宋体" w:eastAsia="仿宋_GB2312"/>
          <w:sz w:val="32"/>
          <w:szCs w:val="32"/>
          <w:lang w:val="zh-CN"/>
        </w:rPr>
        <w:t>4．资金来源：本级财政资金。</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4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．本工程包含6个巷道片区，分别位于绵竹市剑南街道、紫岩街道、孝德镇。主要对居民出行的人行步道进行硬化，对破损的路面进行修复。</w:t>
      </w:r>
    </w:p>
    <w:p>
      <w:pPr>
        <w:adjustRightInd w:val="0"/>
        <w:snapToGrid w:val="0"/>
        <w:spacing w:line="640" w:lineRule="exact"/>
        <w:ind w:firstLine="720"/>
        <w:rPr>
          <w:rFonts w:ascii="仿宋_GB2312" w:hAnsi="宋体" w:eastAsia="仿宋_GB2312"/>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w:t>
      </w:r>
      <w:r>
        <w:rPr>
          <w:rFonts w:hint="eastAsia" w:ascii="仿宋" w:hAnsi="仿宋" w:eastAsia="仿宋"/>
          <w:sz w:val="32"/>
          <w:szCs w:val="32"/>
          <w:lang w:val="zh-CN"/>
        </w:rPr>
        <w:t>为更好地统筹基础设施建设，方便交通，改善人民生活环境，美化社区环境，促进该地区的城市建设与开发。项目于</w:t>
      </w:r>
      <w:r>
        <w:rPr>
          <w:rFonts w:hint="eastAsia" w:ascii="仿宋_GB2312" w:hAnsi="宋体" w:eastAsia="仿宋_GB2312"/>
          <w:sz w:val="32"/>
          <w:szCs w:val="32"/>
          <w:lang w:val="zh-CN"/>
        </w:rPr>
        <w:t>2021年1月29日开工，2021年2月2日竣工验收。</w:t>
      </w:r>
    </w:p>
    <w:p>
      <w:pPr>
        <w:adjustRightInd w:val="0"/>
        <w:snapToGrid w:val="0"/>
        <w:spacing w:line="64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．申报内容与实际相符，申报目标合理可行。</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由我局开展财政资金使用情况自评并撰写部门预算支出绩效报告，按规范格式按时提交自评报告。</w:t>
      </w:r>
    </w:p>
    <w:p>
      <w:pPr>
        <w:adjustRightInd w:val="0"/>
        <w:snapToGrid w:val="0"/>
        <w:spacing w:line="640" w:lineRule="exact"/>
        <w:ind w:firstLine="960" w:firstLineChars="30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经市发改局《关于2020年小街小巷工程项目建议书的批复》（竹发改建（2020）7号）批复立项、经市发改局《关于小街小巷改造工程投资概算的批复》（竹发改审（2020）82号）批复概算金额为89.94万元，资金来源为本级财政资金。</w:t>
      </w:r>
    </w:p>
    <w:p>
      <w:pPr>
        <w:adjustRightInd w:val="0"/>
        <w:snapToGrid w:val="0"/>
        <w:spacing w:line="64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40" w:lineRule="exact"/>
        <w:ind w:firstLine="800" w:firstLineChars="250"/>
        <w:rPr>
          <w:rFonts w:ascii="仿宋_GB2312" w:hAnsi="宋体" w:eastAsia="仿宋_GB2312"/>
          <w:sz w:val="32"/>
          <w:szCs w:val="32"/>
          <w:lang w:val="zh-CN"/>
        </w:rPr>
      </w:pPr>
      <w:r>
        <w:rPr>
          <w:rFonts w:ascii="楷体_GB2312" w:hAnsi="宋体" w:eastAsia="楷体_GB2312"/>
          <w:sz w:val="32"/>
          <w:szCs w:val="32"/>
          <w:lang w:val="zh-CN"/>
        </w:rPr>
        <w:t>1</w:t>
      </w:r>
      <w:r>
        <w:rPr>
          <w:rFonts w:hint="eastAsia" w:ascii="楷体_GB2312" w:hAnsi="宋体" w:eastAsia="楷体_GB2312"/>
          <w:sz w:val="32"/>
          <w:szCs w:val="32"/>
          <w:lang w:val="zh-CN"/>
        </w:rPr>
        <w:t>．资金计划及到位。</w:t>
      </w:r>
      <w:r>
        <w:rPr>
          <w:rFonts w:hint="eastAsia" w:ascii="仿宋_GB2312" w:hAnsi="宋体" w:eastAsia="仿宋_GB2312"/>
          <w:sz w:val="32"/>
          <w:szCs w:val="32"/>
          <w:lang w:val="zh-CN"/>
        </w:rPr>
        <w:t>该项目2021年年初预算本级财政资金100万元，追减36.432738万元（竹财资环减（2021）55号-5），</w:t>
      </w:r>
      <w:r>
        <w:rPr>
          <w:rFonts w:hint="eastAsia" w:ascii="宋体" w:hAnsi="宋体" w:eastAsia="仿宋_GB2312" w:cs="宋体"/>
          <w:kern w:val="0"/>
          <w:sz w:val="32"/>
          <w:szCs w:val="21"/>
        </w:rPr>
        <w:t>年底追减7.167858万元（竹财资环减</w:t>
      </w:r>
      <w:r>
        <w:rPr>
          <w:rFonts w:hint="eastAsia" w:ascii="仿宋_GB2312" w:hAnsi="宋体" w:eastAsia="仿宋_GB2312"/>
          <w:sz w:val="32"/>
          <w:szCs w:val="32"/>
          <w:lang w:val="zh-CN"/>
        </w:rPr>
        <w:t>（2021）55号-5</w:t>
      </w:r>
      <w:r>
        <w:rPr>
          <w:rFonts w:hint="eastAsia" w:ascii="宋体" w:hAnsi="宋体" w:eastAsia="仿宋_GB2312" w:cs="宋体"/>
          <w:kern w:val="0"/>
          <w:sz w:val="32"/>
          <w:szCs w:val="21"/>
        </w:rPr>
        <w:t>），</w:t>
      </w:r>
      <w:r>
        <w:rPr>
          <w:rFonts w:hint="eastAsia" w:ascii="仿宋_GB2312" w:hAnsi="宋体" w:eastAsia="仿宋_GB2312"/>
          <w:sz w:val="32"/>
          <w:szCs w:val="32"/>
          <w:lang w:val="zh-CN"/>
        </w:rPr>
        <w:t>实际到位资金56.399404万元。各项资金按时到位，到位率100%。</w:t>
      </w:r>
    </w:p>
    <w:p>
      <w:pPr>
        <w:adjustRightInd w:val="0"/>
        <w:snapToGrid w:val="0"/>
        <w:spacing w:line="640" w:lineRule="exact"/>
        <w:ind w:firstLine="800" w:firstLineChars="250"/>
        <w:rPr>
          <w:rFonts w:ascii="仿宋_GB2312" w:hAnsi="宋体" w:eastAsia="仿宋_GB2312"/>
          <w:b/>
          <w:sz w:val="32"/>
          <w:szCs w:val="32"/>
          <w:u w:val="single"/>
        </w:rPr>
      </w:pPr>
      <w:r>
        <w:rPr>
          <w:rFonts w:hint="eastAsia" w:ascii="楷体_GB2312" w:hAnsi="宋体" w:eastAsia="楷体_GB2312"/>
          <w:sz w:val="32"/>
          <w:szCs w:val="32"/>
          <w:lang w:val="zh-CN"/>
        </w:rPr>
        <w:t>2．资金使用。</w:t>
      </w:r>
      <w:r>
        <w:rPr>
          <w:rFonts w:hint="eastAsia" w:ascii="仿宋_GB2312" w:hAnsi="宋体" w:eastAsia="仿宋_GB2312"/>
          <w:sz w:val="32"/>
          <w:szCs w:val="32"/>
          <w:lang w:val="zh-CN"/>
        </w:rPr>
        <w:t>项目2021年完成支付56.399404万元。工程严格按合同约定支付，支付进度100%，支付依据合规合法，由于该项目2021年底还未办理决算，还需支付剩余部分待摊尾款。</w:t>
      </w:r>
    </w:p>
    <w:p>
      <w:pPr>
        <w:adjustRightInd w:val="0"/>
        <w:snapToGrid w:val="0"/>
        <w:spacing w:line="6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实施单位财务管理制度健全，严格执行财务管理制度，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项目按建设工程基本程序实施，职能主管部门的审批完成后，执行了招投标制、合同制、监理制、项目法人责任制等规定的手续和流程。手续完备、流程合法合规。</w:t>
      </w:r>
    </w:p>
    <w:p>
      <w:pPr>
        <w:adjustRightInd w:val="0"/>
        <w:snapToGrid w:val="0"/>
        <w:spacing w:line="6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40" w:lineRule="exact"/>
        <w:ind w:firstLine="720"/>
        <w:rPr>
          <w:rFonts w:ascii="仿宋_GB2312" w:hAnsi="宋体" w:eastAsia="仿宋_GB2312"/>
          <w:color w:val="FF0000"/>
          <w:sz w:val="32"/>
          <w:szCs w:val="32"/>
        </w:rPr>
      </w:pPr>
      <w:r>
        <w:rPr>
          <w:rFonts w:hint="eastAsia" w:ascii="仿宋_GB2312" w:hAnsi="宋体" w:eastAsia="仿宋_GB2312"/>
          <w:sz w:val="32"/>
          <w:szCs w:val="32"/>
          <w:lang w:val="zh-CN"/>
        </w:rPr>
        <w:t>项目实施中，成立了专门的组织机构，实行专人负责管理并有明确职责分工。依据相关规定，与施工方签订了施工合同。建立了专门的项目管理制度，包括工程质量控制、进度控制、安全控制等方面进行监管。在验收阶段，进行了造价审核并出具了审核报告，完成了项目的初验和终验。</w:t>
      </w:r>
    </w:p>
    <w:p>
      <w:pPr>
        <w:adjustRightInd w:val="0"/>
        <w:snapToGrid w:val="0"/>
        <w:spacing w:line="64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项目严格按图施工，按相关规范和质量标准施工，现已完工。</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产出达到预期的数量、质量达标。从项目的效益看，项目实施适应社会经济发展的需要、能够体现城市特色、改善民生民计、能够为地方产生综合效益，带来可持续影响。项目服务对象对项目的满意度比较高。</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项目实际完成率、完成及时率均达到或超过绩效目标，质量达标率良好，产出成本可控，管理工作规范，社会效益良好，项目可持续性强，服务对象总体较满意。评定级别为“优”。</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760" w:type="dxa"/>
        <w:jc w:val="center"/>
        <w:tblLayout w:type="autofit"/>
        <w:tblCellMar>
          <w:top w:w="0" w:type="dxa"/>
          <w:left w:w="108" w:type="dxa"/>
          <w:bottom w:w="0" w:type="dxa"/>
          <w:right w:w="108" w:type="dxa"/>
        </w:tblCellMar>
      </w:tblPr>
      <w:tblGrid>
        <w:gridCol w:w="1080"/>
        <w:gridCol w:w="1140"/>
        <w:gridCol w:w="1460"/>
        <w:gridCol w:w="1080"/>
        <w:gridCol w:w="820"/>
        <w:gridCol w:w="2040"/>
        <w:gridCol w:w="2140"/>
      </w:tblGrid>
      <w:tr>
        <w:tblPrEx>
          <w:tblCellMar>
            <w:top w:w="0" w:type="dxa"/>
            <w:left w:w="108" w:type="dxa"/>
            <w:bottom w:w="0" w:type="dxa"/>
            <w:right w:w="108" w:type="dxa"/>
          </w:tblCellMar>
        </w:tblPrEx>
        <w:trPr>
          <w:trHeight w:val="405" w:hRule="atLeast"/>
          <w:jc w:val="center"/>
        </w:trPr>
        <w:tc>
          <w:tcPr>
            <w:tcW w:w="9760" w:type="dxa"/>
            <w:gridSpan w:val="7"/>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76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6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82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04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14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375" w:hRule="atLeast"/>
          <w:jc w:val="center"/>
        </w:trPr>
        <w:tc>
          <w:tcPr>
            <w:tcW w:w="3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0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2020年小街小巷</w:t>
            </w:r>
          </w:p>
        </w:tc>
      </w:tr>
      <w:tr>
        <w:tblPrEx>
          <w:tblCellMar>
            <w:top w:w="0" w:type="dxa"/>
            <w:left w:w="108" w:type="dxa"/>
            <w:bottom w:w="0" w:type="dxa"/>
            <w:right w:w="108" w:type="dxa"/>
          </w:tblCellMar>
        </w:tblPrEx>
        <w:trPr>
          <w:trHeight w:val="480" w:hRule="atLeast"/>
          <w:jc w:val="center"/>
        </w:trPr>
        <w:tc>
          <w:tcPr>
            <w:tcW w:w="36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0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6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9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0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1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56.399404</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6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9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04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1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56.399404</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6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04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1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9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5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42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5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包含6个巷道片区，分别位于绵竹市剑南街道、紫岩街道、孝德镇。主要对居民出行的人行步道进行硬化，对破损的路面进行修复。</w:t>
            </w:r>
          </w:p>
        </w:tc>
        <w:tc>
          <w:tcPr>
            <w:tcW w:w="41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为更好地统筹基础设施建设，方便交通，改善人民生活环境，美化社区环境，促进该地区的城市建设与开发。项目</w:t>
            </w:r>
            <w:r>
              <w:rPr>
                <w:rFonts w:hint="eastAsia" w:ascii="宋体" w:hAnsi="宋体" w:cs="宋体"/>
                <w:kern w:val="0"/>
                <w:sz w:val="20"/>
                <w:szCs w:val="20"/>
                <w:lang w:eastAsia="zh-CN"/>
              </w:rPr>
              <w:t>于</w:t>
            </w:r>
            <w:r>
              <w:rPr>
                <w:rFonts w:hint="eastAsia" w:ascii="宋体" w:hAnsi="宋体" w:cs="宋体"/>
                <w:kern w:val="0"/>
                <w:sz w:val="20"/>
                <w:szCs w:val="20"/>
              </w:rPr>
              <w:t>2021年1月29日开工，2021年2月2日竣工验收。</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4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4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改造小街小巷</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6条</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完成年度计划所有小街小巷改造</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竣工验收合格</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合格</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2021.2.2已竣工验收</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完成时间</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2020年年底</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2021年2月2日已竣工验收</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支付项目工程建安费、部分间接费</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≤56.399404</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实际支付56.39904万元。</w:t>
            </w:r>
          </w:p>
        </w:tc>
      </w:tr>
      <w:tr>
        <w:tblPrEx>
          <w:tblCellMar>
            <w:top w:w="0" w:type="dxa"/>
            <w:left w:w="108" w:type="dxa"/>
            <w:bottom w:w="0" w:type="dxa"/>
            <w:right w:w="108" w:type="dxa"/>
          </w:tblCellMar>
        </w:tblPrEx>
        <w:trPr>
          <w:trHeight w:val="64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4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改善人民生活环境，美化社区环境</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96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促进该地区的城市建设，方便群众生产生活</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4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满意度</w:t>
            </w:r>
          </w:p>
        </w:tc>
        <w:tc>
          <w:tcPr>
            <w:tcW w:w="20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color w:val="000000"/>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（仟坤房地产开发有限责任公司拆建城东新区南京大道</w:t>
      </w:r>
    </w:p>
    <w:p>
      <w:pPr>
        <w:spacing w:line="580" w:lineRule="exact"/>
        <w:jc w:val="center"/>
        <w:rPr>
          <w:rFonts w:ascii="仿宋_GB2312" w:hAnsi="宋体" w:eastAsia="仿宋_GB2312"/>
          <w:color w:val="000000"/>
          <w:sz w:val="32"/>
          <w:szCs w:val="32"/>
        </w:rPr>
      </w:pPr>
      <w:r>
        <w:rPr>
          <w:rFonts w:hint="eastAsia" w:ascii="仿宋_GB2312" w:hAnsi="宋体" w:eastAsia="仿宋_GB2312"/>
          <w:color w:val="000000"/>
          <w:sz w:val="32"/>
          <w:szCs w:val="32"/>
        </w:rPr>
        <w:t>以北地块西侧排洪沟修建资金项目）</w:t>
      </w:r>
    </w:p>
    <w:p>
      <w:pPr>
        <w:spacing w:line="580" w:lineRule="exact"/>
        <w:ind w:firstLine="640"/>
        <w:jc w:val="center"/>
        <w:rPr>
          <w:rFonts w:hint="eastAsia" w:ascii="宋体" w:hAnsi="??"/>
          <w:color w:val="000000"/>
          <w:sz w:val="32"/>
          <w:szCs w:val="32"/>
        </w:rPr>
      </w:pPr>
    </w:p>
    <w:p>
      <w:pPr>
        <w:adjustRightInd w:val="0"/>
        <w:snapToGrid w:val="0"/>
        <w:spacing w:line="660" w:lineRule="exact"/>
        <w:ind w:firstLine="720"/>
        <w:rPr>
          <w:rFonts w:ascii="黑体" w:hAnsi="宋体" w:eastAsia="黑体"/>
          <w:color w:val="000000"/>
          <w:sz w:val="32"/>
          <w:szCs w:val="32"/>
          <w:lang w:val="zh-CN"/>
        </w:rPr>
      </w:pPr>
      <w:r>
        <w:rPr>
          <w:rFonts w:hint="eastAsia" w:ascii="黑体" w:hAnsi="宋体" w:eastAsia="黑体"/>
          <w:color w:val="000000"/>
          <w:sz w:val="32"/>
          <w:szCs w:val="32"/>
        </w:rPr>
        <w:t>一、</w:t>
      </w:r>
      <w:r>
        <w:rPr>
          <w:rFonts w:hint="eastAsia" w:ascii="黑体" w:hAnsi="宋体" w:eastAsia="黑体"/>
          <w:color w:val="000000"/>
          <w:sz w:val="32"/>
          <w:szCs w:val="32"/>
          <w:lang w:val="zh-CN"/>
        </w:rPr>
        <w:t>项目概况</w:t>
      </w:r>
    </w:p>
    <w:p>
      <w:pPr>
        <w:adjustRightInd w:val="0"/>
        <w:snapToGrid w:val="0"/>
        <w:spacing w:line="66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（一）项目基本情况。</w:t>
      </w:r>
    </w:p>
    <w:p>
      <w:pPr>
        <w:adjustRightInd w:val="0"/>
        <w:snapToGrid w:val="0"/>
        <w:spacing w:line="660" w:lineRule="exact"/>
        <w:ind w:firstLine="720" w:firstLineChars="225"/>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根据市政府已签批的文件和原国土局的请示，拟同意关于解决仟坤房地产开发有限责任公司迁建城东新区南京大道以北地块西侧排洪沟修建资金的请示，建议纳入土地拆迁成本。由我局负责，市发改局、财政局、自然资源局配合，按程序推进。</w:t>
      </w:r>
    </w:p>
    <w:p>
      <w:pPr>
        <w:adjustRightInd w:val="0"/>
        <w:snapToGrid w:val="0"/>
        <w:spacing w:line="660" w:lineRule="exact"/>
        <w:ind w:firstLine="720" w:firstLineChars="225"/>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资金来源：绵竹市统一拆迁安置事务中心2021年年初预算。</w:t>
      </w:r>
    </w:p>
    <w:p>
      <w:pPr>
        <w:adjustRightInd w:val="0"/>
        <w:snapToGrid w:val="0"/>
        <w:spacing w:line="660" w:lineRule="exact"/>
        <w:ind w:firstLine="481" w:firstLineChars="15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（二）项目绩效目标。</w:t>
      </w:r>
    </w:p>
    <w:p>
      <w:pPr>
        <w:adjustRightInd w:val="0"/>
        <w:snapToGrid w:val="0"/>
        <w:spacing w:line="660" w:lineRule="exact"/>
        <w:ind w:firstLine="720"/>
        <w:rPr>
          <w:rFonts w:ascii="仿宋_GB2312" w:hAnsi="宋体" w:eastAsia="仿宋_GB2312"/>
          <w:color w:val="000000"/>
          <w:sz w:val="32"/>
          <w:szCs w:val="32"/>
          <w:lang w:val="zh-CN"/>
        </w:rPr>
      </w:pPr>
      <w:r>
        <w:rPr>
          <w:rFonts w:ascii="仿宋_GB2312" w:hAnsi="宋体" w:eastAsia="仿宋_GB2312"/>
          <w:color w:val="000000"/>
          <w:sz w:val="32"/>
          <w:szCs w:val="32"/>
          <w:lang w:val="zh-CN"/>
        </w:rPr>
        <w:t>1</w:t>
      </w:r>
      <w:r>
        <w:rPr>
          <w:rFonts w:hint="eastAsia" w:ascii="仿宋_GB2312" w:hAnsi="宋体" w:eastAsia="仿宋_GB2312"/>
          <w:color w:val="000000"/>
          <w:sz w:val="32"/>
          <w:szCs w:val="32"/>
          <w:lang w:val="zh-CN"/>
        </w:rPr>
        <w:t>．预期目标：为解决绵竹市国土资源局关于城东新区南京大道以北已出让地块内临时排洪沟渠遗留问题，需改道迁建；为方便沟渠改道迁建项目实施，避免重复施工及利于地下管线的搭建。</w:t>
      </w:r>
    </w:p>
    <w:p>
      <w:pPr>
        <w:adjustRightInd w:val="0"/>
        <w:snapToGrid w:val="0"/>
        <w:spacing w:line="660" w:lineRule="exact"/>
        <w:ind w:firstLine="720"/>
        <w:rPr>
          <w:rFonts w:ascii="仿宋" w:hAnsi="仿宋" w:eastAsia="仿宋"/>
          <w:color w:val="000000"/>
          <w:sz w:val="32"/>
          <w:szCs w:val="32"/>
          <w:lang w:val="zh-CN"/>
        </w:rPr>
      </w:pPr>
      <w:r>
        <w:rPr>
          <w:rFonts w:ascii="仿宋_GB2312" w:hAnsi="宋体" w:eastAsia="仿宋_GB2312"/>
          <w:color w:val="000000"/>
          <w:sz w:val="32"/>
          <w:szCs w:val="32"/>
          <w:lang w:val="zh-CN"/>
        </w:rPr>
        <w:t xml:space="preserve"> 2</w:t>
      </w:r>
      <w:r>
        <w:rPr>
          <w:rFonts w:hint="eastAsia" w:ascii="仿宋_GB2312" w:hAnsi="宋体" w:eastAsia="仿宋_GB2312"/>
          <w:color w:val="000000"/>
          <w:sz w:val="32"/>
          <w:szCs w:val="32"/>
          <w:lang w:val="zh-CN"/>
        </w:rPr>
        <w:t>．</w:t>
      </w:r>
      <w:r>
        <w:rPr>
          <w:rFonts w:hint="eastAsia" w:ascii="仿宋" w:hAnsi="仿宋" w:eastAsia="仿宋"/>
          <w:color w:val="000000"/>
          <w:sz w:val="32"/>
          <w:szCs w:val="32"/>
          <w:lang w:val="zh-CN"/>
        </w:rPr>
        <w:t>完善片区基础设施，美化环境，提升周边环境。项目于</w:t>
      </w:r>
      <w:r>
        <w:rPr>
          <w:rFonts w:hint="eastAsia" w:ascii="仿宋_GB2312" w:hAnsi="宋体" w:eastAsia="仿宋_GB2312"/>
          <w:color w:val="000000"/>
          <w:sz w:val="32"/>
          <w:szCs w:val="32"/>
          <w:lang w:val="zh-CN"/>
        </w:rPr>
        <w:t>2015年3月20日开工，2017年5月5日竣工验收。</w:t>
      </w:r>
    </w:p>
    <w:p>
      <w:pPr>
        <w:adjustRightInd w:val="0"/>
        <w:snapToGrid w:val="0"/>
        <w:spacing w:line="660" w:lineRule="exact"/>
        <w:ind w:firstLine="720"/>
        <w:rPr>
          <w:rFonts w:ascii="仿宋_GB2312" w:hAnsi="宋体" w:eastAsia="仿宋_GB2312"/>
          <w:color w:val="000000"/>
          <w:sz w:val="32"/>
          <w:szCs w:val="32"/>
          <w:lang w:val="zh-CN"/>
        </w:rPr>
      </w:pPr>
      <w:r>
        <w:rPr>
          <w:rFonts w:ascii="仿宋_GB2312" w:hAnsi="宋体" w:eastAsia="仿宋_GB2312"/>
          <w:color w:val="000000"/>
          <w:sz w:val="32"/>
          <w:szCs w:val="32"/>
          <w:lang w:val="zh-CN"/>
        </w:rPr>
        <w:t>3</w:t>
      </w:r>
      <w:r>
        <w:rPr>
          <w:rFonts w:hint="eastAsia" w:ascii="仿宋_GB2312" w:hAnsi="宋体" w:eastAsia="仿宋_GB2312"/>
          <w:color w:val="000000"/>
          <w:sz w:val="32"/>
          <w:szCs w:val="32"/>
          <w:lang w:val="zh-CN"/>
        </w:rPr>
        <w:t>．申报内容与实际相符，申报目标合理可行。</w:t>
      </w:r>
    </w:p>
    <w:p>
      <w:pPr>
        <w:adjustRightInd w:val="0"/>
        <w:snapToGrid w:val="0"/>
        <w:spacing w:line="66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（三）项目自评步骤及方法。</w:t>
      </w:r>
    </w:p>
    <w:p>
      <w:pPr>
        <w:adjustRightInd w:val="0"/>
        <w:snapToGrid w:val="0"/>
        <w:spacing w:line="660" w:lineRule="exact"/>
        <w:ind w:firstLine="720"/>
        <w:rPr>
          <w:rFonts w:ascii="仿宋" w:hAnsi="仿宋" w:eastAsia="仿宋"/>
          <w:color w:val="000000"/>
          <w:sz w:val="32"/>
          <w:szCs w:val="32"/>
          <w:lang w:val="zh-CN"/>
        </w:rPr>
      </w:pPr>
      <w:r>
        <w:rPr>
          <w:rFonts w:hint="eastAsia" w:ascii="仿宋" w:hAnsi="仿宋" w:eastAsia="仿宋"/>
          <w:color w:val="000000"/>
          <w:sz w:val="32"/>
          <w:szCs w:val="32"/>
          <w:lang w:val="zh-CN"/>
        </w:rPr>
        <w:t>由我局开展财政资金使用情况自评并撰写部门预算支出绩效报告，按规范格式按时提交自评报告。</w:t>
      </w:r>
    </w:p>
    <w:p>
      <w:pPr>
        <w:adjustRightInd w:val="0"/>
        <w:snapToGrid w:val="0"/>
        <w:spacing w:line="660" w:lineRule="exact"/>
        <w:ind w:firstLine="720"/>
        <w:rPr>
          <w:rFonts w:ascii="黑体" w:hAnsi="宋体" w:eastAsia="黑体"/>
          <w:color w:val="000000"/>
          <w:sz w:val="32"/>
          <w:szCs w:val="32"/>
        </w:rPr>
      </w:pPr>
      <w:r>
        <w:rPr>
          <w:rFonts w:hint="eastAsia" w:ascii="黑体" w:hAnsi="宋体" w:eastAsia="黑体"/>
          <w:color w:val="000000"/>
          <w:sz w:val="32"/>
          <w:szCs w:val="32"/>
        </w:rPr>
        <w:t>二、项目资金申报及使用情况</w:t>
      </w:r>
    </w:p>
    <w:p>
      <w:pPr>
        <w:adjustRightInd w:val="0"/>
        <w:snapToGrid w:val="0"/>
        <w:spacing w:line="66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（一）项目资金申报及批复情况。</w:t>
      </w:r>
    </w:p>
    <w:p>
      <w:pPr>
        <w:adjustRightInd w:val="0"/>
        <w:snapToGrid w:val="0"/>
        <w:spacing w:line="660" w:lineRule="exact"/>
        <w:ind w:firstLine="720"/>
        <w:rPr>
          <w:rFonts w:ascii="仿宋" w:hAnsi="仿宋" w:eastAsia="仿宋"/>
          <w:color w:val="000000"/>
          <w:sz w:val="32"/>
          <w:szCs w:val="32"/>
          <w:lang w:val="zh-CN"/>
        </w:rPr>
      </w:pPr>
      <w:r>
        <w:rPr>
          <w:rFonts w:hint="eastAsia" w:ascii="仿宋_GB2312" w:hAnsi="宋体" w:eastAsia="仿宋_GB2312"/>
          <w:color w:val="000000"/>
          <w:sz w:val="32"/>
          <w:szCs w:val="32"/>
          <w:lang w:val="zh-CN"/>
        </w:rPr>
        <w:t>根据市领导对《关于解决仟坤房地产开发有限责任公司迁建城东新区南京大道以北地块西侧排洪沟修建资金的请示》（竹建﹝2020﹞321号；市政府公文处理笺B2020-1136）的批示和工作安排，由我局牵头负责办理，市发改局、财政局、自然资源局配合，按程序推进。</w:t>
      </w:r>
      <w:r>
        <w:rPr>
          <w:rFonts w:hint="eastAsia" w:ascii="仿宋" w:hAnsi="仿宋" w:eastAsia="仿宋"/>
          <w:color w:val="000000"/>
          <w:sz w:val="32"/>
          <w:szCs w:val="32"/>
          <w:lang w:val="zh-CN"/>
        </w:rPr>
        <w:t>资金来源为</w:t>
      </w:r>
      <w:r>
        <w:rPr>
          <w:rFonts w:hint="eastAsia" w:ascii="仿宋_GB2312" w:hAnsi="宋体" w:eastAsia="仿宋_GB2312"/>
          <w:color w:val="000000"/>
          <w:sz w:val="32"/>
          <w:szCs w:val="32"/>
          <w:lang w:val="zh-CN"/>
        </w:rPr>
        <w:t>绵竹市统一拆迁安置事务中心2021年年初预算</w:t>
      </w:r>
      <w:r>
        <w:rPr>
          <w:rFonts w:hint="eastAsia" w:ascii="仿宋" w:hAnsi="仿宋" w:eastAsia="仿宋"/>
          <w:color w:val="000000"/>
          <w:sz w:val="32"/>
          <w:szCs w:val="32"/>
          <w:lang w:val="zh-CN"/>
        </w:rPr>
        <w:t>。</w:t>
      </w:r>
    </w:p>
    <w:p>
      <w:pPr>
        <w:adjustRightInd w:val="0"/>
        <w:snapToGrid w:val="0"/>
        <w:spacing w:line="660" w:lineRule="exact"/>
        <w:ind w:firstLine="720"/>
        <w:rPr>
          <w:rFonts w:ascii="仿宋_GB2312" w:hAnsi="宋体" w:eastAsia="仿宋_GB2312"/>
          <w:color w:val="000000"/>
          <w:sz w:val="32"/>
          <w:szCs w:val="32"/>
          <w:lang w:val="zh-CN"/>
        </w:rPr>
      </w:pPr>
      <w:r>
        <w:rPr>
          <w:rFonts w:hint="eastAsia" w:ascii="楷体_GB2312" w:hAnsi="宋体" w:eastAsia="楷体_GB2312"/>
          <w:b/>
          <w:color w:val="000000"/>
          <w:sz w:val="32"/>
          <w:szCs w:val="32"/>
          <w:lang w:val="zh-CN"/>
        </w:rPr>
        <w:t>（二）资金计划、到位及使用情况（可用表格形式反映）。</w:t>
      </w:r>
    </w:p>
    <w:p>
      <w:pPr>
        <w:adjustRightInd w:val="0"/>
        <w:snapToGrid w:val="0"/>
        <w:spacing w:line="660" w:lineRule="exact"/>
        <w:ind w:firstLine="800" w:firstLineChars="250"/>
        <w:rPr>
          <w:rFonts w:ascii="宋体" w:hAnsi="宋体" w:eastAsia="仿宋_GB2312" w:cs="宋体"/>
          <w:color w:val="000000"/>
          <w:kern w:val="0"/>
          <w:sz w:val="32"/>
          <w:szCs w:val="21"/>
        </w:rPr>
      </w:pPr>
      <w:r>
        <w:rPr>
          <w:rFonts w:ascii="宋体" w:hAnsi="宋体" w:eastAsia="仿宋_GB2312" w:cs="宋体"/>
          <w:color w:val="000000"/>
          <w:kern w:val="0"/>
          <w:sz w:val="32"/>
          <w:szCs w:val="21"/>
        </w:rPr>
        <w:t>1</w:t>
      </w:r>
      <w:r>
        <w:rPr>
          <w:rFonts w:hint="eastAsia" w:ascii="宋体" w:hAnsi="宋体" w:eastAsia="仿宋_GB2312" w:cs="宋体"/>
          <w:color w:val="000000"/>
          <w:kern w:val="0"/>
          <w:sz w:val="32"/>
          <w:szCs w:val="21"/>
        </w:rPr>
        <w:t>．</w:t>
      </w:r>
      <w:r>
        <w:rPr>
          <w:rFonts w:hint="eastAsia" w:ascii="楷体_GB2312" w:hAnsi="宋体" w:eastAsia="楷体_GB2312"/>
          <w:color w:val="000000"/>
          <w:sz w:val="32"/>
          <w:szCs w:val="32"/>
          <w:lang w:val="zh-CN"/>
        </w:rPr>
        <w:t>资金计划及到位。该项目资金为</w:t>
      </w:r>
      <w:r>
        <w:rPr>
          <w:rFonts w:hint="eastAsia" w:ascii="仿宋_GB2312" w:hAnsi="宋体" w:eastAsia="仿宋_GB2312"/>
          <w:color w:val="000000"/>
          <w:sz w:val="32"/>
          <w:szCs w:val="32"/>
          <w:lang w:val="zh-CN"/>
        </w:rPr>
        <w:t>绵竹市统一拆迁安置事务中心2021年年初预算。</w:t>
      </w:r>
      <w:r>
        <w:rPr>
          <w:rFonts w:hint="eastAsia" w:ascii="宋体" w:hAnsi="宋体" w:eastAsia="仿宋_GB2312" w:cs="宋体"/>
          <w:color w:val="000000"/>
          <w:kern w:val="0"/>
          <w:sz w:val="32"/>
          <w:szCs w:val="21"/>
        </w:rPr>
        <w:t>年初预算资金141.5823万元，实际到位资金141.5823万元。各项资金按时到位，到位率100%。</w:t>
      </w:r>
    </w:p>
    <w:p>
      <w:pPr>
        <w:adjustRightInd w:val="0"/>
        <w:snapToGrid w:val="0"/>
        <w:spacing w:line="660" w:lineRule="exact"/>
        <w:ind w:firstLine="800" w:firstLineChars="250"/>
        <w:rPr>
          <w:rFonts w:ascii="仿宋_GB2312" w:hAnsi="宋体" w:eastAsia="仿宋_GB2312"/>
          <w:b/>
          <w:color w:val="000000"/>
          <w:sz w:val="32"/>
          <w:szCs w:val="32"/>
          <w:u w:val="single"/>
        </w:rPr>
      </w:pPr>
      <w:r>
        <w:rPr>
          <w:rFonts w:ascii="楷体_GB2312" w:hAnsi="宋体" w:eastAsia="楷体_GB2312"/>
          <w:color w:val="000000"/>
          <w:sz w:val="32"/>
          <w:szCs w:val="32"/>
          <w:lang w:val="zh-CN"/>
        </w:rPr>
        <w:t>2</w:t>
      </w:r>
      <w:r>
        <w:rPr>
          <w:rFonts w:hint="eastAsia" w:ascii="楷体_GB2312" w:hAnsi="宋体" w:eastAsia="楷体_GB2312"/>
          <w:color w:val="000000"/>
          <w:sz w:val="32"/>
          <w:szCs w:val="32"/>
          <w:lang w:val="zh-CN"/>
        </w:rPr>
        <w:t>．资金使用。</w:t>
      </w:r>
      <w:r>
        <w:rPr>
          <w:rFonts w:hint="eastAsia" w:ascii="仿宋_GB2312" w:hAnsi="宋体" w:eastAsia="仿宋_GB2312"/>
          <w:color w:val="000000"/>
          <w:sz w:val="32"/>
          <w:szCs w:val="32"/>
          <w:lang w:val="zh-CN"/>
        </w:rPr>
        <w:t>项目2021年完成支付</w:t>
      </w:r>
      <w:r>
        <w:rPr>
          <w:rFonts w:hint="eastAsia" w:ascii="宋体" w:hAnsi="宋体" w:eastAsia="仿宋_GB2312" w:cs="宋体"/>
          <w:color w:val="000000"/>
          <w:kern w:val="0"/>
          <w:sz w:val="32"/>
          <w:szCs w:val="21"/>
        </w:rPr>
        <w:t>141.5823</w:t>
      </w:r>
      <w:r>
        <w:rPr>
          <w:rFonts w:hint="eastAsia" w:ascii="仿宋_GB2312" w:hAnsi="宋体" w:eastAsia="仿宋_GB2312"/>
          <w:color w:val="000000"/>
          <w:sz w:val="32"/>
          <w:szCs w:val="32"/>
          <w:lang w:val="zh-CN"/>
        </w:rPr>
        <w:t>万元。工程严格按合同约定支付，支付进度100%，支付依据合规合法。</w:t>
      </w:r>
    </w:p>
    <w:p>
      <w:pPr>
        <w:adjustRightInd w:val="0"/>
        <w:snapToGrid w:val="0"/>
        <w:spacing w:line="66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（三）项目财务管理情况。</w:t>
      </w:r>
    </w:p>
    <w:p>
      <w:pPr>
        <w:adjustRightInd w:val="0"/>
        <w:snapToGrid w:val="0"/>
        <w:spacing w:line="660" w:lineRule="exact"/>
        <w:ind w:firstLine="720"/>
        <w:rPr>
          <w:rFonts w:ascii="仿宋" w:hAnsi="仿宋" w:eastAsia="仿宋"/>
          <w:color w:val="000000"/>
          <w:sz w:val="32"/>
          <w:szCs w:val="32"/>
          <w:lang w:val="zh-CN"/>
        </w:rPr>
      </w:pPr>
      <w:r>
        <w:rPr>
          <w:rFonts w:hint="eastAsia" w:ascii="仿宋_GB2312" w:hAnsi="宋体" w:eastAsia="仿宋_GB2312"/>
          <w:color w:val="000000"/>
          <w:sz w:val="32"/>
          <w:szCs w:val="32"/>
          <w:lang w:val="zh-CN"/>
        </w:rPr>
        <w:t>项目实施单位财务管理制度健全，严格执行财务管理制度，</w:t>
      </w:r>
      <w:r>
        <w:rPr>
          <w:rFonts w:hint="eastAsia" w:ascii="仿宋" w:hAnsi="仿宋" w:eastAsia="仿宋"/>
          <w:color w:val="000000"/>
          <w:sz w:val="32"/>
          <w:szCs w:val="32"/>
          <w:lang w:val="zh-CN"/>
        </w:rPr>
        <w:t>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660" w:lineRule="exact"/>
        <w:ind w:firstLine="720"/>
        <w:rPr>
          <w:rFonts w:ascii="黑体" w:hAnsi="宋体" w:eastAsia="黑体"/>
          <w:color w:val="000000"/>
          <w:sz w:val="32"/>
          <w:szCs w:val="32"/>
        </w:rPr>
      </w:pPr>
      <w:r>
        <w:rPr>
          <w:rFonts w:hint="eastAsia" w:ascii="黑体" w:hAnsi="宋体" w:eastAsia="黑体"/>
          <w:color w:val="000000"/>
          <w:sz w:val="32"/>
          <w:szCs w:val="32"/>
        </w:rPr>
        <w:t>三、项目实施及管理情况</w:t>
      </w:r>
    </w:p>
    <w:p>
      <w:pPr>
        <w:adjustRightInd w:val="0"/>
        <w:snapToGrid w:val="0"/>
        <w:spacing w:line="66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（一）项目组织架构及实施流程。</w:t>
      </w:r>
    </w:p>
    <w:p>
      <w:pPr>
        <w:adjustRightInd w:val="0"/>
        <w:snapToGrid w:val="0"/>
        <w:spacing w:line="660" w:lineRule="exact"/>
        <w:ind w:firstLine="720"/>
        <w:rPr>
          <w:rFonts w:ascii="仿宋" w:hAnsi="仿宋" w:eastAsia="仿宋"/>
          <w:color w:val="000000"/>
          <w:sz w:val="32"/>
          <w:szCs w:val="32"/>
          <w:lang w:val="zh-CN"/>
        </w:rPr>
      </w:pPr>
      <w:r>
        <w:rPr>
          <w:rFonts w:hint="eastAsia" w:ascii="仿宋" w:hAnsi="仿宋" w:eastAsia="仿宋"/>
          <w:color w:val="000000"/>
          <w:sz w:val="32"/>
          <w:szCs w:val="32"/>
          <w:lang w:val="zh-CN"/>
        </w:rPr>
        <w:t>项目按建设工程基本程序实施，职能主管部门的审批完成后，执行了招投标制、合同制、监理制、项目法人责任制等规定的手续和流程。手续完备、流程合法合规。</w:t>
      </w:r>
    </w:p>
    <w:p>
      <w:pPr>
        <w:adjustRightInd w:val="0"/>
        <w:snapToGrid w:val="0"/>
        <w:spacing w:line="660" w:lineRule="exact"/>
        <w:ind w:firstLine="642" w:firstLineChars="20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（二）项目管理情况。</w:t>
      </w:r>
    </w:p>
    <w:p>
      <w:pPr>
        <w:adjustRightInd w:val="0"/>
        <w:snapToGrid w:val="0"/>
        <w:spacing w:line="660" w:lineRule="exact"/>
        <w:ind w:firstLine="720"/>
        <w:rPr>
          <w:rFonts w:ascii="仿宋_GB2312" w:hAnsi="宋体" w:eastAsia="仿宋_GB2312"/>
          <w:color w:val="000000"/>
          <w:sz w:val="32"/>
          <w:szCs w:val="32"/>
        </w:rPr>
      </w:pPr>
      <w:r>
        <w:rPr>
          <w:rFonts w:hint="eastAsia" w:ascii="仿宋_GB2312" w:hAnsi="宋体" w:eastAsia="仿宋_GB2312"/>
          <w:color w:val="000000"/>
          <w:sz w:val="32"/>
          <w:szCs w:val="32"/>
        </w:rPr>
        <w:t>项目实施中，成立了专门的组织机构，实行专人负责管理并有明确职责分工。依据相关规定，与施工方签订了施工合同。建立了专门的项目管理制度，包括工程质量控制、进度控制、安全控制等方面进行监管。在验收阶段，进行了造价审核并出具了审核报告，完成了项目的初验和终验。</w:t>
      </w:r>
    </w:p>
    <w:p>
      <w:pPr>
        <w:adjustRightInd w:val="0"/>
        <w:snapToGrid w:val="0"/>
        <w:spacing w:line="660" w:lineRule="exact"/>
        <w:ind w:firstLine="720"/>
        <w:rPr>
          <w:rFonts w:ascii="仿宋_GB2312" w:hAnsi="宋体" w:eastAsia="仿宋_GB2312"/>
          <w:color w:val="000000"/>
          <w:sz w:val="32"/>
          <w:szCs w:val="32"/>
          <w:lang w:val="zh-CN"/>
        </w:rPr>
      </w:pPr>
      <w:r>
        <w:rPr>
          <w:rFonts w:hint="eastAsia" w:ascii="黑体" w:hAnsi="宋体" w:eastAsia="黑体"/>
          <w:color w:val="000000"/>
          <w:sz w:val="32"/>
          <w:szCs w:val="32"/>
        </w:rPr>
        <w:t>四、项目绩效情况</w:t>
      </w:r>
      <w:r>
        <w:rPr>
          <w:rFonts w:ascii="仿宋_GB2312" w:hAnsi="宋体" w:eastAsia="仿宋_GB2312"/>
          <w:color w:val="000000"/>
          <w:sz w:val="32"/>
          <w:szCs w:val="32"/>
          <w:lang w:val="zh-CN"/>
        </w:rPr>
        <w:tab/>
      </w:r>
    </w:p>
    <w:p>
      <w:pPr>
        <w:adjustRightInd w:val="0"/>
        <w:snapToGrid w:val="0"/>
        <w:spacing w:line="66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（一）项目完成情况。</w:t>
      </w:r>
    </w:p>
    <w:p>
      <w:pPr>
        <w:adjustRightInd w:val="0"/>
        <w:snapToGrid w:val="0"/>
        <w:spacing w:line="660" w:lineRule="exact"/>
        <w:ind w:firstLine="720"/>
        <w:rPr>
          <w:rFonts w:ascii="仿宋" w:hAnsi="仿宋" w:eastAsia="仿宋"/>
          <w:color w:val="000000"/>
          <w:sz w:val="32"/>
          <w:szCs w:val="32"/>
          <w:lang w:val="zh-CN"/>
        </w:rPr>
      </w:pPr>
      <w:r>
        <w:rPr>
          <w:rFonts w:hint="eastAsia" w:ascii="仿宋" w:hAnsi="仿宋" w:eastAsia="仿宋"/>
          <w:color w:val="000000"/>
          <w:sz w:val="32"/>
          <w:szCs w:val="32"/>
          <w:lang w:val="zh-CN"/>
        </w:rPr>
        <w:t>项目严格按图施工，按相关规范和质量标准施工，现已完工。</w:t>
      </w:r>
    </w:p>
    <w:p>
      <w:pPr>
        <w:adjustRightInd w:val="0"/>
        <w:snapToGrid w:val="0"/>
        <w:spacing w:line="66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（二）项目效益情况。</w:t>
      </w:r>
    </w:p>
    <w:p>
      <w:pPr>
        <w:adjustRightInd w:val="0"/>
        <w:snapToGrid w:val="0"/>
        <w:spacing w:line="660" w:lineRule="exact"/>
        <w:ind w:firstLine="720"/>
        <w:rPr>
          <w:rFonts w:ascii="仿宋" w:hAnsi="仿宋" w:eastAsia="仿宋"/>
          <w:color w:val="000000"/>
          <w:sz w:val="32"/>
          <w:szCs w:val="32"/>
          <w:lang w:val="zh-CN"/>
        </w:rPr>
      </w:pPr>
      <w:r>
        <w:rPr>
          <w:rFonts w:hint="eastAsia" w:ascii="仿宋" w:hAnsi="仿宋" w:eastAsia="仿宋"/>
          <w:color w:val="000000"/>
          <w:sz w:val="32"/>
          <w:szCs w:val="32"/>
          <w:lang w:val="zh-CN"/>
        </w:rPr>
        <w:t>项目产出达到预期的数量、质量达标。从项目的效益看，项目实施适应社会经济发展的需要、能够体现城市特色、改善民生民计、能够为地方产生综合效益，带来可持续影响。项目服务对象对项目的满意度比较高。</w:t>
      </w:r>
    </w:p>
    <w:p>
      <w:pPr>
        <w:adjustRightInd w:val="0"/>
        <w:snapToGrid w:val="0"/>
        <w:spacing w:line="660" w:lineRule="exact"/>
        <w:ind w:firstLine="720"/>
        <w:rPr>
          <w:rFonts w:ascii="黑体" w:hAnsi="宋体" w:eastAsia="黑体"/>
          <w:color w:val="000000"/>
          <w:sz w:val="32"/>
          <w:szCs w:val="32"/>
        </w:rPr>
      </w:pPr>
      <w:r>
        <w:rPr>
          <w:rFonts w:hint="eastAsia" w:ascii="黑体" w:hAnsi="宋体" w:eastAsia="黑体"/>
          <w:color w:val="000000"/>
          <w:sz w:val="32"/>
          <w:szCs w:val="32"/>
        </w:rPr>
        <w:t>五、评价结论及建议</w:t>
      </w:r>
    </w:p>
    <w:p>
      <w:pPr>
        <w:adjustRightInd w:val="0"/>
        <w:snapToGrid w:val="0"/>
        <w:spacing w:line="66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（一）评价结论。</w:t>
      </w:r>
    </w:p>
    <w:p>
      <w:pPr>
        <w:adjustRightInd w:val="0"/>
        <w:snapToGrid w:val="0"/>
        <w:spacing w:line="660" w:lineRule="exact"/>
        <w:ind w:firstLine="640" w:firstLineChars="20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项目实际完成率、完成及时率均达到或超过绩效目标，质量达标率良好，产出成本可控，管理工作规范，社会效益良好，项目可持续性强，服务对象总体较满意。评定级别为“优”。</w:t>
      </w:r>
    </w:p>
    <w:p>
      <w:pPr>
        <w:adjustRightInd w:val="0"/>
        <w:snapToGrid w:val="0"/>
        <w:spacing w:line="66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（二）存在的问题。</w:t>
      </w:r>
    </w:p>
    <w:p>
      <w:pPr>
        <w:adjustRightInd w:val="0"/>
        <w:snapToGrid w:val="0"/>
        <w:spacing w:line="660" w:lineRule="exact"/>
        <w:ind w:firstLine="640" w:firstLineChars="20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无。</w:t>
      </w:r>
    </w:p>
    <w:p>
      <w:pPr>
        <w:adjustRightInd w:val="0"/>
        <w:snapToGrid w:val="0"/>
        <w:spacing w:line="660" w:lineRule="exact"/>
        <w:ind w:firstLine="720"/>
        <w:rPr>
          <w:rFonts w:ascii="楷体_GB2312" w:hAnsi="宋体" w:eastAsia="楷体_GB2312"/>
          <w:b/>
          <w:color w:val="000000"/>
          <w:sz w:val="32"/>
          <w:szCs w:val="32"/>
          <w:lang w:val="zh-CN"/>
        </w:rPr>
      </w:pPr>
      <w:r>
        <w:rPr>
          <w:rFonts w:hint="eastAsia" w:ascii="楷体_GB2312" w:hAnsi="宋体" w:eastAsia="楷体_GB2312"/>
          <w:b/>
          <w:color w:val="000000"/>
          <w:sz w:val="32"/>
          <w:szCs w:val="32"/>
          <w:lang w:val="zh-CN"/>
        </w:rPr>
        <w:t>（三）相关建议。</w:t>
      </w:r>
    </w:p>
    <w:p>
      <w:pPr>
        <w:adjustRightInd w:val="0"/>
        <w:snapToGrid w:val="0"/>
        <w:spacing w:line="660" w:lineRule="exact"/>
        <w:ind w:firstLine="640" w:firstLineChars="200"/>
        <w:rPr>
          <w:rFonts w:ascii="仿宋_GB2312" w:hAnsi="宋体" w:eastAsia="仿宋_GB2312"/>
          <w:color w:val="000000"/>
          <w:sz w:val="32"/>
          <w:szCs w:val="32"/>
          <w:lang w:val="zh-CN"/>
        </w:rPr>
      </w:pPr>
      <w:r>
        <w:rPr>
          <w:rFonts w:hint="eastAsia" w:ascii="仿宋_GB2312" w:hAnsi="宋体" w:eastAsia="仿宋_GB2312"/>
          <w:color w:val="000000"/>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300" w:type="dxa"/>
        <w:jc w:val="center"/>
        <w:tblLayout w:type="autofit"/>
        <w:tblCellMar>
          <w:top w:w="0" w:type="dxa"/>
          <w:left w:w="108" w:type="dxa"/>
          <w:bottom w:w="0" w:type="dxa"/>
          <w:right w:w="108" w:type="dxa"/>
        </w:tblCellMar>
      </w:tblPr>
      <w:tblGrid>
        <w:gridCol w:w="1080"/>
        <w:gridCol w:w="1140"/>
        <w:gridCol w:w="1400"/>
        <w:gridCol w:w="1080"/>
        <w:gridCol w:w="760"/>
        <w:gridCol w:w="1960"/>
        <w:gridCol w:w="1880"/>
      </w:tblGrid>
      <w:tr>
        <w:tblPrEx>
          <w:tblCellMar>
            <w:top w:w="0" w:type="dxa"/>
            <w:left w:w="108" w:type="dxa"/>
            <w:bottom w:w="0" w:type="dxa"/>
            <w:right w:w="108" w:type="dxa"/>
          </w:tblCellMar>
        </w:tblPrEx>
        <w:trPr>
          <w:trHeight w:val="405" w:hRule="atLeast"/>
          <w:jc w:val="center"/>
        </w:trPr>
        <w:tc>
          <w:tcPr>
            <w:tcW w:w="9300" w:type="dxa"/>
            <w:gridSpan w:val="7"/>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30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0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6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88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6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城东新区南京大道以北地块西侧排洪沟修建项目</w:t>
            </w:r>
          </w:p>
        </w:tc>
      </w:tr>
      <w:tr>
        <w:tblPrEx>
          <w:tblCellMar>
            <w:top w:w="0" w:type="dxa"/>
            <w:left w:w="108" w:type="dxa"/>
            <w:bottom w:w="0" w:type="dxa"/>
            <w:right w:w="108" w:type="dxa"/>
          </w:tblCellMar>
        </w:tblPrEx>
        <w:trPr>
          <w:trHeight w:val="270" w:hRule="atLeast"/>
          <w:jc w:val="center"/>
        </w:trPr>
        <w:tc>
          <w:tcPr>
            <w:tcW w:w="36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6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3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141.5823</w:t>
            </w:r>
          </w:p>
        </w:tc>
        <w:tc>
          <w:tcPr>
            <w:tcW w:w="1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141.5823</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141.5823</w:t>
            </w:r>
          </w:p>
        </w:tc>
        <w:tc>
          <w:tcPr>
            <w:tcW w:w="196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141.5823</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6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8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9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3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2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3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为解决绵竹市国土资源局关于城东新区南京大道以北已出让地块内临时排洪沟渠遗留问题，需改</w:t>
            </w:r>
            <w:r>
              <w:rPr>
                <w:rFonts w:hint="eastAsia" w:ascii="宋体" w:hAnsi="宋体" w:cs="宋体"/>
                <w:kern w:val="0"/>
                <w:sz w:val="20"/>
                <w:szCs w:val="20"/>
                <w:lang w:eastAsia="zh-CN"/>
              </w:rPr>
              <w:t>道</w:t>
            </w:r>
            <w:r>
              <w:rPr>
                <w:rFonts w:hint="eastAsia" w:ascii="宋体" w:hAnsi="宋体" w:cs="宋体"/>
                <w:kern w:val="0"/>
                <w:sz w:val="20"/>
                <w:szCs w:val="20"/>
              </w:rPr>
              <w:t>迁建；为方便沟渠改道迁建项目实施，避免重复施工及利于地下管线的搭建。</w:t>
            </w:r>
          </w:p>
        </w:tc>
        <w:tc>
          <w:tcPr>
            <w:tcW w:w="38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完善片区基础设施，美化环境，提升周边环境。项目于2015年3月20日开工，2017年5月5日竣工验收。竣工结算最终结算审定金额为141.582333元。</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竣工验收合格</w:t>
            </w:r>
          </w:p>
        </w:tc>
        <w:tc>
          <w:tcPr>
            <w:tcW w:w="1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合格</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2017.5.5</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完成时间</w:t>
            </w:r>
          </w:p>
        </w:tc>
        <w:tc>
          <w:tcPr>
            <w:tcW w:w="1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2021年底</w:t>
            </w:r>
            <w:r>
              <w:rPr>
                <w:rFonts w:hint="eastAsia" w:ascii="宋体" w:hAnsi="宋体" w:cs="宋体"/>
                <w:kern w:val="0"/>
                <w:sz w:val="20"/>
                <w:szCs w:val="20"/>
                <w:lang w:eastAsia="zh-CN"/>
              </w:rPr>
              <w:t>解决遗留问题</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2021年已完成遗留问题的办理</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支付项目工程建安费、部分间接费</w:t>
            </w:r>
          </w:p>
        </w:tc>
        <w:tc>
          <w:tcPr>
            <w:tcW w:w="1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141.5823</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实际支付141.5823万元。</w:t>
            </w:r>
          </w:p>
        </w:tc>
      </w:tr>
      <w:tr>
        <w:tblPrEx>
          <w:tblCellMar>
            <w:top w:w="0" w:type="dxa"/>
            <w:left w:w="108" w:type="dxa"/>
            <w:bottom w:w="0" w:type="dxa"/>
            <w:right w:w="108" w:type="dxa"/>
          </w:tblCellMar>
        </w:tblPrEx>
        <w:trPr>
          <w:trHeight w:val="64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改善人民生活环境，美化社区环境</w:t>
            </w:r>
          </w:p>
        </w:tc>
        <w:tc>
          <w:tcPr>
            <w:tcW w:w="1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≧90</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96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促进该地区的城市建设，方便群众生产生活</w:t>
            </w:r>
          </w:p>
        </w:tc>
        <w:tc>
          <w:tcPr>
            <w:tcW w:w="19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≧90</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79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4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满意度</w:t>
            </w:r>
          </w:p>
        </w:tc>
        <w:tc>
          <w:tcPr>
            <w:tcW w:w="1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（德阳市孝感水厂地表</w:t>
      </w:r>
      <w:r>
        <w:rPr>
          <w:rFonts w:hint="eastAsia" w:ascii="仿宋_GB2312" w:hAnsi="宋体" w:eastAsia="仿宋_GB2312"/>
          <w:sz w:val="32"/>
          <w:szCs w:val="32"/>
          <w:lang w:eastAsia="zh-CN"/>
        </w:rPr>
        <w:t>水源保护区</w:t>
      </w:r>
      <w:r>
        <w:rPr>
          <w:rFonts w:hint="eastAsia" w:ascii="仿宋_GB2312" w:hAnsi="宋体" w:eastAsia="仿宋_GB2312"/>
          <w:sz w:val="32"/>
          <w:szCs w:val="32"/>
        </w:rPr>
        <w:t>隔离围栏维修项目）</w:t>
      </w:r>
    </w:p>
    <w:p>
      <w:pPr>
        <w:spacing w:line="580" w:lineRule="exact"/>
        <w:ind w:firstLine="640"/>
        <w:jc w:val="center"/>
        <w:rPr>
          <w:rFonts w:hint="eastAsia" w:ascii="宋体" w:hAnsi="??"/>
          <w:sz w:val="32"/>
          <w:szCs w:val="32"/>
        </w:rPr>
      </w:pPr>
    </w:p>
    <w:p>
      <w:pPr>
        <w:adjustRightInd w:val="0"/>
        <w:snapToGrid w:val="0"/>
        <w:spacing w:line="64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40" w:lineRule="exact"/>
        <w:ind w:firstLine="720"/>
        <w:rPr>
          <w:rFonts w:ascii="仿宋" w:hAnsi="仿宋" w:eastAsia="仿宋"/>
          <w:sz w:val="32"/>
          <w:szCs w:val="32"/>
          <w:lang w:val="zh-CN"/>
        </w:rPr>
      </w:pPr>
      <w:r>
        <w:rPr>
          <w:rFonts w:hint="eastAsia" w:ascii="仿宋_GB2312" w:hAnsi="宋体" w:eastAsia="仿宋_GB2312"/>
          <w:sz w:val="32"/>
          <w:szCs w:val="32"/>
          <w:lang w:val="zh-CN"/>
        </w:rPr>
        <w:t>根据市委、市政府统一安排部署，为修复德阳市孝感水厂地表水水源保护区隔离围栏各项功能，德阳市孝感水厂地表水水源保护区隔离围栏维修工程分别由市住建局、绵竹生态环境局、剑南街道办、孝德镇按各职能负责建设，作为经费类工程实施。</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资金来源：本级财政资金。</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4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预期目标：绵竹市生态环境局负责安装一级保护区内的监控系统及完善标识标牌；市住建局负责对一级保护区护栏进行维修、对开敞式路口安装大门并修改周边道路；孝德镇和剑南街道办负责对一级保护区环境进行整治、种植树木。</w:t>
      </w:r>
    </w:p>
    <w:p>
      <w:pPr>
        <w:adjustRightInd w:val="0"/>
        <w:snapToGrid w:val="0"/>
        <w:spacing w:line="640" w:lineRule="exact"/>
        <w:ind w:firstLine="720"/>
        <w:rPr>
          <w:rFonts w:ascii="仿宋" w:hAnsi="仿宋" w:eastAsia="仿宋"/>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w:t>
      </w:r>
      <w:r>
        <w:rPr>
          <w:rFonts w:hint="eastAsia" w:ascii="仿宋" w:hAnsi="仿宋" w:eastAsia="仿宋"/>
          <w:sz w:val="32"/>
          <w:szCs w:val="32"/>
          <w:lang w:val="zh-CN"/>
        </w:rPr>
        <w:t>为确保加强饮用水水源地保护，以及加强水源地保护管理，确保城市供水水源安全。</w:t>
      </w:r>
    </w:p>
    <w:p>
      <w:pPr>
        <w:adjustRightInd w:val="0"/>
        <w:snapToGrid w:val="0"/>
        <w:spacing w:line="64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．申报内容与实际相符，申报目标合理可行。</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由我局开展财政资金使用情况自评并撰写部门预算支出绩效报告，按规范格式按时提交自评报告。</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40" w:lineRule="exact"/>
        <w:ind w:firstLine="720"/>
        <w:rPr>
          <w:rFonts w:ascii="仿宋_GB2312" w:hAnsi="宋体" w:eastAsia="仿宋_GB2312"/>
          <w:sz w:val="32"/>
          <w:szCs w:val="32"/>
          <w:lang w:val="zh-CN"/>
        </w:rPr>
      </w:pPr>
      <w:r>
        <w:rPr>
          <w:rFonts w:hint="eastAsia" w:ascii="仿宋" w:hAnsi="仿宋" w:eastAsia="仿宋"/>
          <w:sz w:val="32"/>
          <w:szCs w:val="32"/>
          <w:lang w:val="zh-CN"/>
        </w:rPr>
        <w:t>根据市领导对《德阳市孝感水厂地表水水源地保护区隔离围栏维修资金的请示》（竹建</w:t>
      </w:r>
      <w:r>
        <w:rPr>
          <w:rFonts w:hint="eastAsia" w:ascii="宋体" w:hAnsi="宋体"/>
          <w:sz w:val="32"/>
          <w:szCs w:val="32"/>
          <w:lang w:val="zh-CN"/>
        </w:rPr>
        <w:t>﹝</w:t>
      </w:r>
      <w:r>
        <w:rPr>
          <w:rFonts w:hint="eastAsia" w:ascii="仿宋" w:hAnsi="仿宋" w:eastAsia="仿宋"/>
          <w:sz w:val="32"/>
          <w:szCs w:val="32"/>
          <w:lang w:val="zh-CN"/>
        </w:rPr>
        <w:t>2021</w:t>
      </w:r>
      <w:r>
        <w:rPr>
          <w:rFonts w:hint="eastAsia" w:ascii="宋体" w:hAnsi="宋体"/>
          <w:sz w:val="32"/>
          <w:szCs w:val="32"/>
          <w:lang w:val="zh-CN"/>
        </w:rPr>
        <w:t>﹞</w:t>
      </w:r>
      <w:r>
        <w:rPr>
          <w:rFonts w:hint="eastAsia" w:ascii="仿宋" w:hAnsi="仿宋" w:eastAsia="仿宋"/>
          <w:sz w:val="32"/>
          <w:szCs w:val="32"/>
          <w:lang w:val="zh-CN"/>
        </w:rPr>
        <w:t>155号；市政府公文处理笺B2021-487和A2021-596）的批示和工作安排，由我局牵头负责办理，我局立即安排人员进行实地查看，发现隔离防护栏存在部分锈蚀损坏和人为破坏情况。经测量，损坏的隔离防护栏长度约631米，测算需维修费约6.2万元（最终以竣工结算审核为准）。为切实做好饮用水水源地保护工作，确保城市供水水源安全。市政府已同意向我局拨款6.2万元，用于对一级保护金属隔离围栏进行维修。</w:t>
      </w:r>
    </w:p>
    <w:p>
      <w:pPr>
        <w:adjustRightInd w:val="0"/>
        <w:snapToGrid w:val="0"/>
        <w:spacing w:line="64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40" w:lineRule="exact"/>
        <w:ind w:firstLine="800" w:firstLineChars="250"/>
        <w:rPr>
          <w:rFonts w:ascii="宋体" w:hAnsi="宋体" w:eastAsia="仿宋_GB2312" w:cs="宋体"/>
          <w:kern w:val="0"/>
          <w:sz w:val="32"/>
          <w:szCs w:val="21"/>
        </w:rPr>
      </w:pPr>
      <w:r>
        <w:rPr>
          <w:rFonts w:ascii="宋体" w:hAnsi="宋体" w:eastAsia="仿宋_GB2312" w:cs="宋体"/>
          <w:kern w:val="0"/>
          <w:sz w:val="32"/>
          <w:szCs w:val="21"/>
        </w:rPr>
        <w:t>1</w:t>
      </w:r>
      <w:r>
        <w:rPr>
          <w:rFonts w:hint="eastAsia" w:ascii="宋体" w:hAnsi="宋体" w:eastAsia="仿宋_GB2312" w:cs="宋体"/>
          <w:kern w:val="0"/>
          <w:sz w:val="32"/>
          <w:szCs w:val="21"/>
        </w:rPr>
        <w:t>．</w:t>
      </w:r>
      <w:r>
        <w:rPr>
          <w:rFonts w:hint="eastAsia" w:ascii="楷体_GB2312" w:hAnsi="宋体" w:eastAsia="楷体_GB2312"/>
          <w:sz w:val="32"/>
          <w:szCs w:val="32"/>
          <w:lang w:val="zh-CN"/>
        </w:rPr>
        <w:t>资金计划及到位。</w:t>
      </w:r>
      <w:r>
        <w:rPr>
          <w:rFonts w:hint="eastAsia" w:ascii="宋体" w:hAnsi="宋体" w:eastAsia="仿宋_GB2312" w:cs="宋体"/>
          <w:kern w:val="0"/>
          <w:sz w:val="32"/>
          <w:szCs w:val="21"/>
        </w:rPr>
        <w:t>该项目2021年部门预算本级财政资金6.2万元，年底追减1.469826万元（竹财资环减（2021）54号-4），实际到位资金4.730174万元。各项资金按时到位，到位率100%。</w:t>
      </w:r>
    </w:p>
    <w:p>
      <w:pPr>
        <w:adjustRightInd w:val="0"/>
        <w:snapToGrid w:val="0"/>
        <w:spacing w:line="640" w:lineRule="exact"/>
        <w:ind w:firstLine="800" w:firstLineChars="250"/>
        <w:rPr>
          <w:rFonts w:ascii="仿宋_GB2312" w:hAnsi="宋体" w:eastAsia="仿宋_GB2312"/>
          <w:b/>
          <w:sz w:val="32"/>
          <w:szCs w:val="32"/>
          <w:u w:val="single"/>
        </w:rPr>
      </w:pPr>
      <w:r>
        <w:rPr>
          <w:rFonts w:ascii="楷体_GB2312" w:hAnsi="宋体" w:eastAsia="楷体_GB2312"/>
          <w:sz w:val="32"/>
          <w:szCs w:val="32"/>
          <w:lang w:val="zh-CN"/>
        </w:rPr>
        <w:t>2</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项目2021年完成支付</w:t>
      </w:r>
      <w:r>
        <w:rPr>
          <w:rFonts w:hint="eastAsia" w:ascii="宋体" w:hAnsi="宋体" w:eastAsia="仿宋_GB2312" w:cs="宋体"/>
          <w:kern w:val="0"/>
          <w:sz w:val="32"/>
          <w:szCs w:val="21"/>
        </w:rPr>
        <w:t>4.730174</w:t>
      </w:r>
      <w:r>
        <w:rPr>
          <w:rFonts w:hint="eastAsia" w:ascii="仿宋_GB2312" w:hAnsi="宋体" w:eastAsia="仿宋_GB2312"/>
          <w:sz w:val="32"/>
          <w:szCs w:val="32"/>
          <w:lang w:val="zh-CN"/>
        </w:rPr>
        <w:t>万元。工程严格按合同约定支付，支付进度100%，全部用于该项目建设费和结算审核费，支付依据合规合法。资金支付与预算完全相符。</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40" w:lineRule="exact"/>
        <w:ind w:firstLine="720"/>
        <w:rPr>
          <w:rFonts w:ascii="仿宋" w:hAnsi="仿宋" w:eastAsia="仿宋"/>
          <w:sz w:val="32"/>
          <w:szCs w:val="32"/>
          <w:lang w:val="zh-CN"/>
        </w:rPr>
      </w:pPr>
      <w:r>
        <w:rPr>
          <w:rFonts w:hint="eastAsia" w:ascii="仿宋_GB2312" w:hAnsi="宋体" w:eastAsia="仿宋_GB2312"/>
          <w:sz w:val="32"/>
          <w:szCs w:val="32"/>
          <w:lang w:val="zh-CN"/>
        </w:rPr>
        <w:t>项目实施单位财务管理制度健全，严格执行财务管理制度，</w:t>
      </w:r>
      <w:r>
        <w:rPr>
          <w:rFonts w:hint="eastAsia" w:ascii="仿宋" w:hAnsi="仿宋" w:eastAsia="仿宋"/>
          <w:sz w:val="32"/>
          <w:szCs w:val="32"/>
          <w:lang w:val="zh-CN"/>
        </w:rPr>
        <w:t>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项目按建设工程基本程序实施，职能主管部门的审批完成后，执行了招投标制、合同制、监理制、项目法人责任制等规定的手续和流程。手续完备、流程合法合规。</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rPr>
        <w:t>项目实施中，成立了专门的组织机构，实行专人负责管理并有明确职责分工。依据相关规定，与施工方签订了施工合同。建立了专门的项目管理制度，包括工程质量控制、进度控制、安全控制等方面进行监管。在验收阶段，进行了造价审核并出具了审核报告，完成了项目的初验和终验。</w:t>
      </w:r>
    </w:p>
    <w:p>
      <w:pPr>
        <w:adjustRightInd w:val="0"/>
        <w:snapToGrid w:val="0"/>
        <w:spacing w:line="640" w:lineRule="exact"/>
        <w:ind w:firstLine="800" w:firstLineChars="25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项目严格按图施工，按相关规范和质量标准施工，现已完工。</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项目产出达到预期的数量、质量达标。从项目的效益看，项目实施完善了德阳市孝感水厂取水口一级水源保护区各项功能、为德阳市人民饮用水的安全做好保障。项目服务对象对项目的满意度比较高。</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40" w:lineRule="exact"/>
        <w:ind w:firstLine="640" w:firstLineChars="200"/>
        <w:rPr>
          <w:rFonts w:ascii="仿宋_GB2312" w:hAnsi="宋体" w:eastAsia="仿宋_GB2312"/>
          <w:color w:val="FF0000"/>
          <w:sz w:val="32"/>
          <w:szCs w:val="32"/>
          <w:lang w:val="zh-CN"/>
        </w:rPr>
      </w:pPr>
      <w:r>
        <w:rPr>
          <w:rFonts w:hint="eastAsia" w:ascii="仿宋_GB2312" w:hAnsi="宋体" w:eastAsia="仿宋_GB2312"/>
          <w:sz w:val="32"/>
          <w:szCs w:val="32"/>
          <w:lang w:val="zh-CN"/>
        </w:rPr>
        <w:t>项目实际完成率、完成及时率均达到或超过绩效目标，质量达标率良好，产出成本可控，管理工作规范，社会效益良好，项目可持续性强，服务对象总体较满意。评定级别为“优”。</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400" w:type="dxa"/>
        <w:jc w:val="center"/>
        <w:tblLayout w:type="autofit"/>
        <w:tblCellMar>
          <w:top w:w="0" w:type="dxa"/>
          <w:left w:w="108" w:type="dxa"/>
          <w:bottom w:w="0" w:type="dxa"/>
          <w:right w:w="108" w:type="dxa"/>
        </w:tblCellMar>
      </w:tblPr>
      <w:tblGrid>
        <w:gridCol w:w="1080"/>
        <w:gridCol w:w="940"/>
        <w:gridCol w:w="1380"/>
        <w:gridCol w:w="1080"/>
        <w:gridCol w:w="880"/>
        <w:gridCol w:w="2020"/>
        <w:gridCol w:w="2020"/>
      </w:tblGrid>
      <w:tr>
        <w:tblPrEx>
          <w:tblCellMar>
            <w:top w:w="0" w:type="dxa"/>
            <w:left w:w="108" w:type="dxa"/>
            <w:bottom w:w="0" w:type="dxa"/>
            <w:right w:w="108" w:type="dxa"/>
          </w:tblCellMar>
        </w:tblPrEx>
        <w:trPr>
          <w:trHeight w:val="405" w:hRule="atLeast"/>
          <w:jc w:val="center"/>
        </w:trPr>
        <w:tc>
          <w:tcPr>
            <w:tcW w:w="9400" w:type="dxa"/>
            <w:gridSpan w:val="7"/>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40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8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02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02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0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孝感水厂地表水源保护区隔离围栏维修项目</w:t>
            </w:r>
          </w:p>
        </w:tc>
      </w:tr>
      <w:tr>
        <w:tblPrEx>
          <w:tblCellMar>
            <w:top w:w="0" w:type="dxa"/>
            <w:left w:w="108" w:type="dxa"/>
            <w:bottom w:w="0" w:type="dxa"/>
            <w:right w:w="108" w:type="dxa"/>
          </w:tblCellMar>
        </w:tblPrEx>
        <w:trPr>
          <w:trHeight w:val="270" w:hRule="atLeast"/>
          <w:jc w:val="center"/>
        </w:trPr>
        <w:tc>
          <w:tcPr>
            <w:tcW w:w="340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0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9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4.730174</w:t>
            </w:r>
          </w:p>
        </w:tc>
      </w:tr>
      <w:tr>
        <w:tblPrEx>
          <w:tblCellMar>
            <w:top w:w="0" w:type="dxa"/>
            <w:left w:w="108" w:type="dxa"/>
            <w:bottom w:w="0" w:type="dxa"/>
            <w:right w:w="108" w:type="dxa"/>
          </w:tblCellMar>
        </w:tblPrEx>
        <w:trPr>
          <w:trHeight w:val="602"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6.2</w:t>
            </w:r>
          </w:p>
        </w:tc>
        <w:tc>
          <w:tcPr>
            <w:tcW w:w="202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4.730174</w:t>
            </w:r>
          </w:p>
        </w:tc>
      </w:tr>
      <w:tr>
        <w:tblPrEx>
          <w:tblCellMar>
            <w:top w:w="0" w:type="dxa"/>
            <w:left w:w="108" w:type="dxa"/>
            <w:bottom w:w="0" w:type="dxa"/>
            <w:right w:w="108" w:type="dxa"/>
          </w:tblCellMar>
        </w:tblPrEx>
        <w:trPr>
          <w:trHeight w:val="528"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02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3"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2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0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42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2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绵竹市生态环境局负责安装一级保护区内的监控系统及完善标识标牌；市住建局负责对一级保护区护栏进行维修、对开敞式路口安装大门并修改周边道路；孝德镇和剑南街道办负责对一级保护区环境进行整治、种植树木。</w:t>
            </w:r>
          </w:p>
        </w:tc>
        <w:tc>
          <w:tcPr>
            <w:tcW w:w="40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完成对部分锈蚀损坏和人为破坏的隔离防护栏进行维修。为确保加强</w:t>
            </w:r>
            <w:r>
              <w:rPr>
                <w:rFonts w:hint="eastAsia" w:ascii="宋体" w:hAnsi="宋体" w:cs="宋体"/>
                <w:kern w:val="0"/>
                <w:sz w:val="20"/>
                <w:szCs w:val="20"/>
                <w:lang w:eastAsia="zh-CN"/>
              </w:rPr>
              <w:t>饮用水</w:t>
            </w:r>
            <w:r>
              <w:rPr>
                <w:rFonts w:hint="eastAsia" w:ascii="宋体" w:hAnsi="宋体" w:cs="宋体"/>
                <w:kern w:val="0"/>
                <w:sz w:val="20"/>
                <w:szCs w:val="20"/>
              </w:rPr>
              <w:t>水源地保护，以及加强水源地保护管理，确保城市供水水源安全。</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维修长度</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631米</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完成年度计划</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竣工验收合格</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合格</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2021.9.10已竣工验收</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完成时间</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2021年9</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2021年9月10日已竣工验收</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支付项目工程建安费、部分间接费</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≤6.2</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实际支付4.730174万元。</w:t>
            </w:r>
          </w:p>
        </w:tc>
      </w:tr>
      <w:tr>
        <w:tblPrEx>
          <w:tblCellMar>
            <w:top w:w="0" w:type="dxa"/>
            <w:left w:w="108" w:type="dxa"/>
            <w:bottom w:w="0" w:type="dxa"/>
            <w:right w:w="108" w:type="dxa"/>
          </w:tblCellMar>
        </w:tblPrEx>
        <w:trPr>
          <w:trHeight w:val="64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改善人民生活环境，美化社区环境</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≧90</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64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生态效益指标</w:t>
            </w:r>
          </w:p>
        </w:tc>
        <w:tc>
          <w:tcPr>
            <w:tcW w:w="19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确保加强饮用水水源地保护</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≧90</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96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加强水源地保护管理，确保城市供水水源安全。</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≧90</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79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满意度</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（南轩小学南门道路新建工程项目）</w:t>
      </w:r>
    </w:p>
    <w:p>
      <w:pPr>
        <w:spacing w:line="580" w:lineRule="exact"/>
        <w:ind w:firstLine="640"/>
        <w:jc w:val="center"/>
        <w:rPr>
          <w:rFonts w:hint="eastAsia" w:ascii="宋体" w:hAnsi="??"/>
          <w:sz w:val="32"/>
          <w:szCs w:val="32"/>
        </w:rPr>
      </w:pPr>
    </w:p>
    <w:p>
      <w:pPr>
        <w:adjustRightInd w:val="0"/>
        <w:snapToGrid w:val="0"/>
        <w:spacing w:line="64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1．项目业主：绵竹市市政工程建设管理站。</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2．建设地址：南轩小学南门。</w:t>
      </w:r>
    </w:p>
    <w:p>
      <w:pPr>
        <w:adjustRightInd w:val="0"/>
        <w:snapToGrid w:val="0"/>
        <w:spacing w:line="640" w:lineRule="exact"/>
        <w:ind w:firstLine="720"/>
        <w:rPr>
          <w:rFonts w:ascii="仿宋" w:hAnsi="仿宋" w:eastAsia="仿宋"/>
          <w:sz w:val="32"/>
          <w:szCs w:val="32"/>
          <w:lang w:val="zh-CN"/>
        </w:rPr>
      </w:pPr>
      <w:r>
        <w:rPr>
          <w:rFonts w:hint="eastAsia" w:ascii="仿宋_GB2312" w:hAnsi="宋体" w:eastAsia="仿宋_GB2312"/>
          <w:sz w:val="32"/>
          <w:szCs w:val="32"/>
          <w:lang w:val="zh-CN"/>
        </w:rPr>
        <w:t>3.建设内容：</w:t>
      </w:r>
      <w:r>
        <w:rPr>
          <w:rFonts w:hint="eastAsia" w:ascii="仿宋" w:hAnsi="仿宋" w:eastAsia="仿宋"/>
          <w:sz w:val="32"/>
          <w:szCs w:val="32"/>
          <w:lang w:val="zh-CN"/>
        </w:rPr>
        <w:t>道路全长182米，宽24米；南侧修建停车位及绿化约1350平方米，北侧修建停车位及绿化约500平方米。建设规模：道路工程，雨污排水工程，给水工程，照明工程，标线标牌，景观美化；完善与大南路交叉口红绿灯及相关交通设施；移除树木20余株，移栽大叶榕4株；拆除年画博物馆门市、车库及围墙（70米）等建筑物，新建围墙约70米；设备设施，辅助及配套。</w:t>
      </w:r>
    </w:p>
    <w:p>
      <w:pPr>
        <w:adjustRightInd w:val="0"/>
        <w:snapToGrid w:val="0"/>
        <w:spacing w:line="640" w:lineRule="exact"/>
        <w:ind w:firstLine="720" w:firstLineChars="225"/>
        <w:rPr>
          <w:rFonts w:ascii="仿宋_GB2312" w:hAnsi="宋体" w:eastAsia="仿宋_GB2312"/>
          <w:sz w:val="32"/>
          <w:szCs w:val="32"/>
          <w:lang w:val="zh-CN"/>
        </w:rPr>
      </w:pPr>
      <w:r>
        <w:rPr>
          <w:rFonts w:hint="eastAsia" w:ascii="仿宋_GB2312" w:hAnsi="宋体" w:eastAsia="仿宋_GB2312"/>
          <w:sz w:val="32"/>
          <w:szCs w:val="32"/>
          <w:lang w:val="zh-CN"/>
        </w:rPr>
        <w:t>4．资金来源：本级财政资金（教育附加费）。</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40" w:lineRule="exact"/>
        <w:ind w:firstLine="720"/>
        <w:rPr>
          <w:rFonts w:ascii="仿宋_GB2312" w:hAnsi="宋体" w:eastAsia="仿宋_GB2312"/>
          <w:sz w:val="32"/>
          <w:szCs w:val="32"/>
          <w:lang w:val="zh-CN"/>
        </w:rPr>
      </w:pPr>
      <w:r>
        <w:rPr>
          <w:rFonts w:ascii="仿宋_GB2312" w:hAnsi="宋体" w:eastAsia="仿宋_GB2312"/>
          <w:sz w:val="32"/>
          <w:szCs w:val="32"/>
          <w:lang w:val="zh-CN"/>
        </w:rPr>
        <w:t>1</w:t>
      </w:r>
      <w:r>
        <w:rPr>
          <w:rFonts w:hint="eastAsia" w:ascii="仿宋_GB2312" w:hAnsi="宋体" w:eastAsia="仿宋_GB2312"/>
          <w:sz w:val="32"/>
          <w:szCs w:val="32"/>
          <w:lang w:val="zh-CN"/>
        </w:rPr>
        <w:t>．预期目标：道路全长169.8米，宽度24米，横断面形式为5米（人行道）+14米（车行道）+5米（人行道）。按照城市次干路标准设计，设计时速30km/h，建设内容包括道路工程（含停车位）、雨污排水工程、给水工程、照明工程、绿化工程、交通工程及附属配套工程。</w:t>
      </w:r>
    </w:p>
    <w:p>
      <w:pPr>
        <w:adjustRightInd w:val="0"/>
        <w:snapToGrid w:val="0"/>
        <w:spacing w:line="640" w:lineRule="exact"/>
        <w:ind w:firstLine="720"/>
        <w:rPr>
          <w:rFonts w:ascii="仿宋" w:hAnsi="仿宋" w:eastAsia="仿宋"/>
          <w:sz w:val="32"/>
          <w:szCs w:val="32"/>
          <w:lang w:val="zh-CN"/>
        </w:rPr>
      </w:pPr>
      <w:r>
        <w:rPr>
          <w:rFonts w:ascii="仿宋_GB2312" w:hAnsi="宋体" w:eastAsia="仿宋_GB2312"/>
          <w:sz w:val="32"/>
          <w:szCs w:val="32"/>
          <w:lang w:val="zh-CN"/>
        </w:rPr>
        <w:t>2</w:t>
      </w:r>
      <w:r>
        <w:rPr>
          <w:rFonts w:hint="eastAsia" w:ascii="仿宋_GB2312" w:hAnsi="宋体" w:eastAsia="仿宋_GB2312"/>
          <w:sz w:val="32"/>
          <w:szCs w:val="32"/>
          <w:lang w:val="zh-CN"/>
        </w:rPr>
        <w:t>．</w:t>
      </w:r>
      <w:r>
        <w:rPr>
          <w:rFonts w:hint="eastAsia" w:ascii="仿宋" w:hAnsi="仿宋" w:eastAsia="仿宋"/>
          <w:sz w:val="32"/>
          <w:szCs w:val="32"/>
          <w:lang w:val="zh-CN"/>
        </w:rPr>
        <w:t>提升区域内的交通容量，缓解城市主要道路的压力；完善片区基础设施，加快片区建设；优化路网结构，加强区域连接。项目于</w:t>
      </w:r>
      <w:r>
        <w:rPr>
          <w:rFonts w:hint="eastAsia" w:ascii="仿宋_GB2312" w:hAnsi="宋体" w:eastAsia="仿宋_GB2312"/>
          <w:sz w:val="32"/>
          <w:szCs w:val="32"/>
          <w:lang w:val="zh-CN"/>
        </w:rPr>
        <w:t>2015年2月3日开工，2015年8月18日竣工验收。</w:t>
      </w:r>
    </w:p>
    <w:p>
      <w:pPr>
        <w:adjustRightInd w:val="0"/>
        <w:snapToGrid w:val="0"/>
        <w:spacing w:line="64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．申报内容与实际相符，申报目标合理可行。</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由我局开展财政资金使用情况自评并撰写部门预算支出绩效报告，按规范格式按时提交自评报告。</w:t>
      </w:r>
    </w:p>
    <w:p>
      <w:pPr>
        <w:adjustRightInd w:val="0"/>
        <w:snapToGrid w:val="0"/>
        <w:spacing w:line="640" w:lineRule="exact"/>
        <w:ind w:firstLine="960" w:firstLineChars="30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项目经市发改局《</w:t>
      </w:r>
      <w:r>
        <w:rPr>
          <w:rFonts w:hint="eastAsia" w:ascii="宋体" w:hAnsi="宋体" w:eastAsia="仿宋_GB2312" w:cs="宋体"/>
          <w:kern w:val="0"/>
          <w:sz w:val="32"/>
          <w:szCs w:val="21"/>
        </w:rPr>
        <w:t>关于</w:t>
      </w:r>
      <w:r>
        <w:rPr>
          <w:rFonts w:hint="eastAsia" w:ascii="仿宋_GB2312" w:hAnsi="宋体" w:eastAsia="仿宋_GB2312"/>
          <w:sz w:val="32"/>
          <w:szCs w:val="32"/>
        </w:rPr>
        <w:t>南轩小学南门道路新建工程项目</w:t>
      </w:r>
      <w:r>
        <w:rPr>
          <w:rFonts w:hint="eastAsia" w:ascii="宋体" w:hAnsi="宋体" w:eastAsia="仿宋_GB2312" w:cs="宋体"/>
          <w:kern w:val="0"/>
          <w:sz w:val="32"/>
          <w:szCs w:val="21"/>
        </w:rPr>
        <w:t>建议书的批复》（竹发改建（2013）63号）批复立项、</w:t>
      </w:r>
      <w:r>
        <w:rPr>
          <w:rFonts w:hint="eastAsia" w:ascii="仿宋" w:hAnsi="仿宋" w:eastAsia="仿宋"/>
          <w:sz w:val="32"/>
          <w:szCs w:val="32"/>
          <w:lang w:val="zh-CN"/>
        </w:rPr>
        <w:t>经市发改局《关于</w:t>
      </w:r>
      <w:r>
        <w:rPr>
          <w:rFonts w:hint="eastAsia" w:ascii="仿宋_GB2312" w:hAnsi="宋体" w:eastAsia="仿宋_GB2312"/>
          <w:sz w:val="32"/>
          <w:szCs w:val="32"/>
        </w:rPr>
        <w:t>南轩小学南门道路新建工程</w:t>
      </w:r>
      <w:r>
        <w:rPr>
          <w:rFonts w:hint="eastAsia" w:ascii="仿宋" w:hAnsi="仿宋" w:eastAsia="仿宋"/>
          <w:sz w:val="32"/>
          <w:szCs w:val="32"/>
          <w:lang w:val="zh-CN"/>
        </w:rPr>
        <w:t>投资概算的批复》（竹发改审（2014）73号）批复概算金额为417.6万元，资金来源为本级财政资金（教育附加费）。</w:t>
      </w:r>
    </w:p>
    <w:p>
      <w:pPr>
        <w:adjustRightInd w:val="0"/>
        <w:snapToGrid w:val="0"/>
        <w:spacing w:line="640" w:lineRule="exact"/>
        <w:ind w:firstLine="642" w:firstLineChars="20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（二）资金计划、到位及使用情况（可用表格形式反映）。</w:t>
      </w:r>
    </w:p>
    <w:p>
      <w:pPr>
        <w:adjustRightInd w:val="0"/>
        <w:snapToGrid w:val="0"/>
        <w:spacing w:line="640" w:lineRule="exact"/>
        <w:ind w:firstLine="800" w:firstLineChars="250"/>
        <w:rPr>
          <w:rFonts w:ascii="宋体" w:hAnsi="宋体" w:eastAsia="仿宋_GB2312" w:cs="宋体"/>
          <w:kern w:val="0"/>
          <w:sz w:val="32"/>
          <w:szCs w:val="21"/>
        </w:rPr>
      </w:pPr>
      <w:r>
        <w:rPr>
          <w:rFonts w:ascii="宋体" w:hAnsi="宋体" w:eastAsia="仿宋_GB2312" w:cs="宋体"/>
          <w:kern w:val="0"/>
          <w:sz w:val="32"/>
          <w:szCs w:val="21"/>
        </w:rPr>
        <w:t>1</w:t>
      </w:r>
      <w:r>
        <w:rPr>
          <w:rFonts w:hint="eastAsia" w:ascii="宋体" w:hAnsi="宋体" w:eastAsia="仿宋_GB2312" w:cs="宋体"/>
          <w:kern w:val="0"/>
          <w:sz w:val="32"/>
          <w:szCs w:val="21"/>
        </w:rPr>
        <w:t>．</w:t>
      </w:r>
      <w:r>
        <w:rPr>
          <w:rFonts w:hint="eastAsia" w:ascii="楷体_GB2312" w:hAnsi="宋体" w:eastAsia="楷体_GB2312"/>
          <w:sz w:val="32"/>
          <w:szCs w:val="32"/>
          <w:lang w:val="zh-CN"/>
        </w:rPr>
        <w:t>资金计划及到位。</w:t>
      </w:r>
      <w:r>
        <w:rPr>
          <w:rFonts w:hint="eastAsia" w:ascii="宋体" w:hAnsi="宋体" w:eastAsia="仿宋_GB2312" w:cs="宋体"/>
          <w:kern w:val="0"/>
          <w:sz w:val="32"/>
          <w:szCs w:val="21"/>
        </w:rPr>
        <w:t>该项目2021年年初预算本级财政资金21万元，追减预算0.653602万元（竹财资环减（2021）35号），实际到位资金20.346398万元。各项资金按时到位，到位率100%。</w:t>
      </w:r>
    </w:p>
    <w:p>
      <w:pPr>
        <w:adjustRightInd w:val="0"/>
        <w:snapToGrid w:val="0"/>
        <w:spacing w:line="640" w:lineRule="exact"/>
        <w:ind w:firstLine="800" w:firstLineChars="250"/>
        <w:rPr>
          <w:rFonts w:ascii="仿宋_GB2312" w:hAnsi="宋体" w:eastAsia="仿宋_GB2312"/>
          <w:b/>
          <w:sz w:val="32"/>
          <w:szCs w:val="32"/>
          <w:u w:val="single"/>
        </w:rPr>
      </w:pPr>
      <w:r>
        <w:rPr>
          <w:rFonts w:ascii="楷体_GB2312" w:hAnsi="宋体" w:eastAsia="楷体_GB2312"/>
          <w:sz w:val="32"/>
          <w:szCs w:val="32"/>
          <w:lang w:val="zh-CN"/>
        </w:rPr>
        <w:t>2</w:t>
      </w:r>
      <w:r>
        <w:rPr>
          <w:rFonts w:hint="eastAsia" w:ascii="楷体_GB2312" w:hAnsi="宋体" w:eastAsia="楷体_GB2312"/>
          <w:sz w:val="32"/>
          <w:szCs w:val="32"/>
          <w:lang w:val="zh-CN"/>
        </w:rPr>
        <w:t>．资金使用。</w:t>
      </w:r>
      <w:r>
        <w:rPr>
          <w:rFonts w:hint="eastAsia" w:ascii="仿宋_GB2312" w:hAnsi="宋体" w:eastAsia="仿宋_GB2312"/>
          <w:sz w:val="32"/>
          <w:szCs w:val="32"/>
          <w:lang w:val="zh-CN"/>
        </w:rPr>
        <w:t>项目2021年完成支付</w:t>
      </w:r>
      <w:r>
        <w:rPr>
          <w:rFonts w:hint="eastAsia" w:ascii="宋体" w:hAnsi="宋体" w:eastAsia="仿宋_GB2312" w:cs="宋体"/>
          <w:kern w:val="0"/>
          <w:sz w:val="32"/>
          <w:szCs w:val="21"/>
        </w:rPr>
        <w:t>20.346398</w:t>
      </w:r>
      <w:r>
        <w:rPr>
          <w:rFonts w:hint="eastAsia" w:ascii="仿宋_GB2312" w:hAnsi="宋体" w:eastAsia="仿宋_GB2312"/>
          <w:sz w:val="32"/>
          <w:szCs w:val="32"/>
          <w:lang w:val="zh-CN"/>
        </w:rPr>
        <w:t>万元。工程严格按合同约定支付，支付进度100%，支付依据合规合法。该项目已办理决算，其他待摊费用均已拨付完。</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40" w:lineRule="exact"/>
        <w:ind w:firstLine="720"/>
        <w:rPr>
          <w:rFonts w:ascii="仿宋" w:hAnsi="仿宋" w:eastAsia="仿宋"/>
          <w:sz w:val="32"/>
          <w:szCs w:val="32"/>
          <w:lang w:val="zh-CN"/>
        </w:rPr>
      </w:pPr>
      <w:r>
        <w:rPr>
          <w:rFonts w:hint="eastAsia" w:ascii="仿宋_GB2312" w:hAnsi="宋体" w:eastAsia="仿宋_GB2312"/>
          <w:sz w:val="32"/>
          <w:szCs w:val="32"/>
          <w:lang w:val="zh-CN"/>
        </w:rPr>
        <w:t>项目实施单位财务管理制度健全，严格执行财务管理制度，</w:t>
      </w:r>
      <w:r>
        <w:rPr>
          <w:rFonts w:hint="eastAsia" w:ascii="仿宋" w:hAnsi="仿宋" w:eastAsia="仿宋"/>
          <w:sz w:val="32"/>
          <w:szCs w:val="32"/>
          <w:lang w:val="zh-CN"/>
        </w:rPr>
        <w:t>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项目按建设工程基本程序实施，职能主管部门的审批完成后，执行了招投标制、合同制、监理制、项目法人责任制等规定的手续和流程。手续完备、流程合法合规。</w:t>
      </w:r>
    </w:p>
    <w:p>
      <w:pPr>
        <w:adjustRightInd w:val="0"/>
        <w:snapToGrid w:val="0"/>
        <w:spacing w:line="6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rPr>
        <w:t>项目实施中，成立了专门的组织机构，实行专人负责管理并有明确职责分工。依据相关规定，与施工方签订了施工合同。建立了专门的项目管理制度，包括工程质量控制、进度控制、安全控制等方面进行监管。在验收阶段，进行了造价审核并出具了审核报告，完成了项目的初验和终验。</w:t>
      </w:r>
    </w:p>
    <w:p>
      <w:pPr>
        <w:adjustRightInd w:val="0"/>
        <w:snapToGrid w:val="0"/>
        <w:spacing w:line="64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项目严格按图施工，按相关规范和质量标准施工，现已完工。</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项目产出达到预期的数量、质量达标。从项目的效益看，项目实施适应社会经济发展的需要、能够体现城市特色、改善民生民计、能够为地方产生综合效益，带来可持续影响。项目服务对象对项目的满意度比较高。</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项目实际完成率、完成及时率均达到或超过绩效目标，质量达标率良好，产出成本可控，管理工作规范，社会效益良好，项目可持续性强，服务对象总体较满意。评定级别为“优”。</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420" w:type="dxa"/>
        <w:jc w:val="center"/>
        <w:tblLayout w:type="autofit"/>
        <w:tblCellMar>
          <w:top w:w="0" w:type="dxa"/>
          <w:left w:w="108" w:type="dxa"/>
          <w:bottom w:w="0" w:type="dxa"/>
          <w:right w:w="108" w:type="dxa"/>
        </w:tblCellMar>
      </w:tblPr>
      <w:tblGrid>
        <w:gridCol w:w="1080"/>
        <w:gridCol w:w="860"/>
        <w:gridCol w:w="1480"/>
        <w:gridCol w:w="1080"/>
        <w:gridCol w:w="940"/>
        <w:gridCol w:w="1840"/>
        <w:gridCol w:w="2140"/>
      </w:tblGrid>
      <w:tr>
        <w:tblPrEx>
          <w:tblCellMar>
            <w:top w:w="0" w:type="dxa"/>
            <w:left w:w="108" w:type="dxa"/>
            <w:bottom w:w="0" w:type="dxa"/>
            <w:right w:w="108" w:type="dxa"/>
          </w:tblCellMar>
        </w:tblPrEx>
        <w:trPr>
          <w:trHeight w:val="405" w:hRule="atLeast"/>
          <w:jc w:val="center"/>
        </w:trPr>
        <w:tc>
          <w:tcPr>
            <w:tcW w:w="9420" w:type="dxa"/>
            <w:gridSpan w:val="7"/>
            <w:tcBorders>
              <w:top w:val="nil"/>
              <w:left w:val="nil"/>
              <w:bottom w:val="nil"/>
              <w:right w:val="nil"/>
            </w:tcBorders>
            <w:shd w:val="clear" w:color="auto" w:fill="auto"/>
            <w:vAlign w:val="center"/>
          </w:tcPr>
          <w:p>
            <w:pPr>
              <w:widowControl/>
              <w:jc w:val="center"/>
              <w:rPr>
                <w:rFonts w:ascii="宋体" w:hAnsi="宋体" w:cs="宋体"/>
                <w:b/>
                <w:bCs/>
                <w:color w:val="000000"/>
                <w:kern w:val="0"/>
                <w:sz w:val="32"/>
                <w:szCs w:val="32"/>
              </w:rPr>
            </w:pPr>
            <w:r>
              <w:rPr>
                <w:rFonts w:hint="eastAsia" w:ascii="宋体" w:hAnsi="宋体" w:cs="宋体"/>
                <w:b/>
                <w:bCs/>
                <w:color w:val="000000"/>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42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w:t>
            </w:r>
            <w:r>
              <w:rPr>
                <w:kern w:val="0"/>
                <w:sz w:val="24"/>
              </w:rPr>
              <w:t xml:space="preserve">    2021      </w:t>
            </w:r>
            <w:r>
              <w:rPr>
                <w:rFonts w:hint="eastAsia" w:ascii="宋体" w:hAnsi="宋体" w:cs="宋体"/>
                <w:kern w:val="0"/>
                <w:sz w:val="24"/>
              </w:rPr>
              <w:t>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48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94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84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14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4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0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南轩小学南门道路新建工程</w:t>
            </w:r>
          </w:p>
        </w:tc>
      </w:tr>
      <w:tr>
        <w:tblPrEx>
          <w:tblCellMar>
            <w:top w:w="0" w:type="dxa"/>
            <w:left w:w="108" w:type="dxa"/>
            <w:bottom w:w="0" w:type="dxa"/>
            <w:right w:w="108" w:type="dxa"/>
          </w:tblCellMar>
        </w:tblPrEx>
        <w:trPr>
          <w:trHeight w:val="270" w:hRule="atLeast"/>
          <w:jc w:val="center"/>
        </w:trPr>
        <w:tc>
          <w:tcPr>
            <w:tcW w:w="34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0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0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20.346398</w:t>
            </w:r>
          </w:p>
        </w:tc>
      </w:tr>
      <w:tr>
        <w:tblPrEx>
          <w:tblCellMar>
            <w:top w:w="0" w:type="dxa"/>
            <w:left w:w="108" w:type="dxa"/>
            <w:bottom w:w="0" w:type="dxa"/>
            <w:right w:w="108" w:type="dxa"/>
          </w:tblCellMar>
        </w:tblPrEx>
        <w:trPr>
          <w:trHeight w:val="5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0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w:t>
            </w:r>
          </w:p>
        </w:tc>
        <w:tc>
          <w:tcPr>
            <w:tcW w:w="184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20.346398</w:t>
            </w:r>
          </w:p>
        </w:tc>
      </w:tr>
      <w:tr>
        <w:tblPrEx>
          <w:tblCellMar>
            <w:top w:w="0" w:type="dxa"/>
            <w:left w:w="108" w:type="dxa"/>
            <w:bottom w:w="0" w:type="dxa"/>
            <w:right w:w="108" w:type="dxa"/>
          </w:tblCellMar>
        </w:tblPrEx>
        <w:trPr>
          <w:trHeight w:val="49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0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4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1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79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3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9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21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36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道路全长169.8米，宽度24米，横断面形式为5米（人行道）+14米（车行道）+5米（人行道）。按照城市次干路标准设计，设计时速30km/h，建设内容包括道路工程（含停车位）、雨污排水工程、给水工程、照明工程、绿化工程、交通工程及附属配套工程。</w:t>
            </w:r>
          </w:p>
        </w:tc>
        <w:tc>
          <w:tcPr>
            <w:tcW w:w="39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提升区域内的交通容量，缓解城市主要道路的压力；完善片区基础设施，加快片区建设；优化路网结构，加强区域连接。项目</w:t>
            </w:r>
            <w:r>
              <w:rPr>
                <w:rFonts w:hint="eastAsia" w:ascii="宋体" w:hAnsi="宋体" w:cs="宋体"/>
                <w:kern w:val="0"/>
                <w:sz w:val="20"/>
                <w:szCs w:val="20"/>
                <w:lang w:eastAsia="zh-CN"/>
              </w:rPr>
              <w:t>于</w:t>
            </w:r>
            <w:r>
              <w:rPr>
                <w:rFonts w:hint="eastAsia" w:ascii="宋体" w:hAnsi="宋体" w:cs="宋体"/>
                <w:kern w:val="0"/>
                <w:sz w:val="20"/>
                <w:szCs w:val="20"/>
              </w:rPr>
              <w:t>2015年2月3日开工，2015年8月18日竣工验收。项目2021年完成支付20.346398万元。工程严格按合同约定支付，支付进度100%，支付依据合规合法。该项目已办理决算，其他待摊费用均已拨付完。</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面积</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1850平方米</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完成结决算，拨付工程尾款及待摊费用</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竣工验收合格</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合格</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2015.8.18已竣工验收</w:t>
            </w:r>
          </w:p>
        </w:tc>
      </w:tr>
      <w:tr>
        <w:tblPrEx>
          <w:tblCellMar>
            <w:top w:w="0" w:type="dxa"/>
            <w:left w:w="108" w:type="dxa"/>
            <w:bottom w:w="0" w:type="dxa"/>
            <w:right w:w="108" w:type="dxa"/>
          </w:tblCellMar>
        </w:tblPrEx>
        <w:trPr>
          <w:trHeight w:val="70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决算完成时间</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2021年拨付该工程的剩余款项</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w:t>
            </w:r>
            <w:r>
              <w:rPr>
                <w:rFonts w:hint="eastAsia" w:ascii="宋体" w:hAnsi="宋体" w:cs="宋体"/>
                <w:kern w:val="0"/>
                <w:sz w:val="20"/>
                <w:szCs w:val="20"/>
                <w:lang w:eastAsia="zh-CN"/>
              </w:rPr>
              <w:t>完成</w:t>
            </w:r>
            <w:r>
              <w:rPr>
                <w:rFonts w:hint="eastAsia" w:ascii="宋体" w:hAnsi="宋体" w:cs="宋体"/>
                <w:kern w:val="0"/>
                <w:sz w:val="20"/>
                <w:szCs w:val="20"/>
              </w:rPr>
              <w:t>工程尾款及待摊费用的拨付</w:t>
            </w:r>
          </w:p>
        </w:tc>
      </w:tr>
      <w:tr>
        <w:tblPrEx>
          <w:tblCellMar>
            <w:top w:w="0" w:type="dxa"/>
            <w:left w:w="108" w:type="dxa"/>
            <w:bottom w:w="0" w:type="dxa"/>
            <w:right w:w="108" w:type="dxa"/>
          </w:tblCellMar>
        </w:tblPrEx>
        <w:trPr>
          <w:trHeight w:val="79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支付工程尾款及待摊费用</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20.346398</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实际支付20.346398万元。</w:t>
            </w:r>
          </w:p>
        </w:tc>
      </w:tr>
      <w:tr>
        <w:tblPrEx>
          <w:tblCellMar>
            <w:top w:w="0" w:type="dxa"/>
            <w:left w:w="108" w:type="dxa"/>
            <w:bottom w:w="0" w:type="dxa"/>
            <w:right w:w="108" w:type="dxa"/>
          </w:tblCellMar>
        </w:tblPrEx>
        <w:trPr>
          <w:trHeight w:val="64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改善人民生活环境，美化社区环境</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96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促进该地区的城市建设，方便群众生产生活和师生的通行</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79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满意度</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1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（保障性住房后期维护管理项目）</w:t>
      </w:r>
    </w:p>
    <w:p>
      <w:pPr>
        <w:spacing w:line="580" w:lineRule="exact"/>
        <w:ind w:firstLine="640"/>
        <w:jc w:val="center"/>
        <w:rPr>
          <w:rFonts w:ascii="仿宋" w:hAnsi="仿宋" w:eastAsia="仿宋"/>
          <w:sz w:val="32"/>
          <w:szCs w:val="32"/>
        </w:rPr>
      </w:pPr>
    </w:p>
    <w:p>
      <w:pPr>
        <w:adjustRightInd w:val="0"/>
        <w:snapToGrid w:val="0"/>
        <w:spacing w:line="64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40" w:lineRule="exact"/>
        <w:ind w:firstLine="480" w:firstLineChars="150"/>
        <w:rPr>
          <w:rFonts w:ascii="仿宋" w:hAnsi="仿宋" w:eastAsia="仿宋"/>
          <w:color w:val="000000"/>
          <w:sz w:val="32"/>
          <w:szCs w:val="32"/>
          <w:lang w:val="zh-CN"/>
        </w:rPr>
      </w:pPr>
      <w:r>
        <w:rPr>
          <w:rFonts w:hint="eastAsia" w:ascii="仿宋" w:hAnsi="仿宋" w:eastAsia="仿宋"/>
          <w:color w:val="000000"/>
          <w:sz w:val="32"/>
          <w:szCs w:val="32"/>
          <w:lang w:val="zh-CN"/>
        </w:rPr>
        <w:t>1.我市认真贯彻落实中央、省、市各项政策要求，将保障性安居工程作为一项重大的民生工程，为做好保障性住房后期管理工作，由我部门负责落实好城区四个公租房小区3100余户承租家庭的政策宣传、后期维护、租金收取、日常巡查、违规整改和矛盾纠纷调处等工作。</w:t>
      </w:r>
    </w:p>
    <w:p>
      <w:pPr>
        <w:adjustRightInd w:val="0"/>
        <w:snapToGrid w:val="0"/>
        <w:spacing w:line="640" w:lineRule="exact"/>
        <w:ind w:firstLine="480" w:firstLineChars="150"/>
        <w:rPr>
          <w:rFonts w:ascii="仿宋" w:hAnsi="仿宋" w:eastAsia="仿宋"/>
          <w:color w:val="000000"/>
          <w:sz w:val="32"/>
          <w:szCs w:val="32"/>
          <w:lang w:val="zh-CN"/>
        </w:rPr>
      </w:pPr>
      <w:r>
        <w:rPr>
          <w:rFonts w:hint="eastAsia" w:ascii="仿宋" w:hAnsi="仿宋" w:eastAsia="仿宋"/>
          <w:color w:val="000000"/>
          <w:sz w:val="32"/>
          <w:szCs w:val="32"/>
          <w:lang w:val="zh-CN"/>
        </w:rPr>
        <w:t>2．项目立项、资金申报的依据：按照《绵竹市公共租赁住房管理暂行办法》《绵竹市保障性租赁住房维修管理办法》相关规定，我市保障性住房后期维护管理项目纳入财政预算管理，主要来源于保障性租赁住房租金收入。</w:t>
      </w:r>
    </w:p>
    <w:p>
      <w:pPr>
        <w:adjustRightInd w:val="0"/>
        <w:snapToGrid w:val="0"/>
        <w:spacing w:line="640" w:lineRule="exact"/>
        <w:ind w:firstLine="480" w:firstLineChars="150"/>
        <w:rPr>
          <w:rFonts w:ascii="仿宋" w:hAnsi="仿宋" w:eastAsia="仿宋"/>
          <w:color w:val="000000"/>
          <w:sz w:val="32"/>
          <w:szCs w:val="32"/>
          <w:lang w:val="zh-CN"/>
        </w:rPr>
      </w:pPr>
      <w:r>
        <w:rPr>
          <w:rFonts w:hint="eastAsia" w:ascii="仿宋" w:hAnsi="仿宋" w:eastAsia="仿宋"/>
          <w:color w:val="000000"/>
          <w:sz w:val="32"/>
          <w:szCs w:val="32"/>
          <w:lang w:val="zh-CN"/>
        </w:rPr>
        <w:t>3．资金管理办法制定情况，资金支持具体项目的条件、范围与支持方式概况：资金由市财政预算安排，我局负责资金管理和使用。</w:t>
      </w:r>
    </w:p>
    <w:p>
      <w:pPr>
        <w:adjustRightInd w:val="0"/>
        <w:snapToGrid w:val="0"/>
        <w:spacing w:line="640" w:lineRule="exact"/>
        <w:ind w:firstLine="480" w:firstLineChars="150"/>
        <w:rPr>
          <w:rFonts w:ascii="仿宋" w:hAnsi="仿宋" w:eastAsia="仿宋"/>
          <w:color w:val="000000"/>
          <w:sz w:val="32"/>
          <w:szCs w:val="32"/>
          <w:lang w:val="zh-CN"/>
        </w:rPr>
      </w:pPr>
      <w:r>
        <w:rPr>
          <w:rFonts w:hint="eastAsia" w:ascii="仿宋" w:hAnsi="仿宋" w:eastAsia="仿宋"/>
          <w:color w:val="000000"/>
          <w:sz w:val="32"/>
          <w:szCs w:val="32"/>
          <w:lang w:val="zh-CN"/>
        </w:rPr>
        <w:t>4.资金分配的原则及考虑因素：保障性住房后期维护管理经费按照严格年初预算分配和使用。</w:t>
      </w:r>
    </w:p>
    <w:p>
      <w:pPr>
        <w:adjustRightInd w:val="0"/>
        <w:snapToGrid w:val="0"/>
        <w:spacing w:line="640" w:lineRule="exact"/>
        <w:ind w:firstLine="481" w:firstLineChars="15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40" w:lineRule="exact"/>
        <w:ind w:firstLine="720"/>
        <w:rPr>
          <w:rFonts w:ascii="仿宋" w:hAnsi="仿宋" w:eastAsia="仿宋"/>
          <w:color w:val="000000"/>
          <w:sz w:val="32"/>
          <w:szCs w:val="32"/>
          <w:lang w:val="zh-CN"/>
        </w:rPr>
      </w:pPr>
      <w:r>
        <w:rPr>
          <w:rFonts w:ascii="仿宋" w:hAnsi="仿宋" w:eastAsia="仿宋"/>
          <w:color w:val="000000"/>
          <w:sz w:val="32"/>
          <w:szCs w:val="32"/>
          <w:lang w:val="zh-CN"/>
        </w:rPr>
        <w:t>1</w:t>
      </w:r>
      <w:r>
        <w:rPr>
          <w:rFonts w:hint="eastAsia" w:ascii="仿宋" w:hAnsi="仿宋" w:eastAsia="仿宋"/>
          <w:color w:val="000000"/>
          <w:sz w:val="32"/>
          <w:szCs w:val="32"/>
          <w:lang w:val="zh-CN"/>
        </w:rPr>
        <w:t>．项目主要内容：实施绵竹市城区公租房及小区配套设施维修维护和管理工作。</w:t>
      </w:r>
    </w:p>
    <w:p>
      <w:pPr>
        <w:adjustRightInd w:val="0"/>
        <w:snapToGrid w:val="0"/>
        <w:spacing w:line="640" w:lineRule="exact"/>
        <w:ind w:firstLine="720"/>
        <w:rPr>
          <w:rFonts w:ascii="仿宋" w:hAnsi="仿宋" w:eastAsia="仿宋"/>
          <w:color w:val="000000"/>
          <w:sz w:val="32"/>
          <w:szCs w:val="32"/>
          <w:lang w:val="zh-CN"/>
        </w:rPr>
      </w:pPr>
      <w:r>
        <w:rPr>
          <w:rFonts w:ascii="仿宋" w:hAnsi="仿宋" w:eastAsia="仿宋"/>
          <w:color w:val="000000"/>
          <w:sz w:val="32"/>
          <w:szCs w:val="32"/>
          <w:lang w:val="zh-CN"/>
        </w:rPr>
        <w:t>2</w:t>
      </w:r>
      <w:r>
        <w:rPr>
          <w:rFonts w:hint="eastAsia" w:ascii="仿宋" w:hAnsi="仿宋" w:eastAsia="仿宋"/>
          <w:color w:val="000000"/>
          <w:sz w:val="32"/>
          <w:szCs w:val="32"/>
          <w:lang w:val="zh-CN"/>
        </w:rPr>
        <w:t>．项目应实现的具体绩效目标，包括目标的量化、细化情况以及项目实施进度计划等：完成3100余户公租房日常维护维修，确保微信服务平台和保障性住房管理系统的正常运行，做好小区日常宣传工作，完成本年度的违规清退、合同续签、联合巡查、司法诉讼、配租公证等工作。</w:t>
      </w:r>
    </w:p>
    <w:p>
      <w:pPr>
        <w:adjustRightInd w:val="0"/>
        <w:snapToGrid w:val="0"/>
        <w:spacing w:line="640" w:lineRule="exact"/>
        <w:ind w:firstLine="480" w:firstLineChars="150"/>
        <w:rPr>
          <w:rFonts w:ascii="仿宋" w:hAnsi="仿宋" w:eastAsia="仿宋"/>
          <w:color w:val="000000"/>
          <w:sz w:val="32"/>
          <w:szCs w:val="32"/>
          <w:lang w:val="zh-CN"/>
        </w:rPr>
      </w:pPr>
      <w:r>
        <w:rPr>
          <w:rFonts w:ascii="仿宋" w:hAnsi="仿宋" w:eastAsia="仿宋"/>
          <w:color w:val="000000"/>
          <w:sz w:val="32"/>
          <w:szCs w:val="32"/>
          <w:lang w:val="zh-CN"/>
        </w:rPr>
        <w:t xml:space="preserve"> 3</w:t>
      </w:r>
      <w:r>
        <w:rPr>
          <w:rFonts w:hint="eastAsia" w:ascii="仿宋" w:hAnsi="仿宋" w:eastAsia="仿宋"/>
          <w:color w:val="000000"/>
          <w:sz w:val="32"/>
          <w:szCs w:val="32"/>
          <w:lang w:val="zh-CN"/>
        </w:rPr>
        <w:t>．申报内容与实际相符，申报目标合理可行。</w:t>
      </w:r>
    </w:p>
    <w:p>
      <w:pPr>
        <w:adjustRightInd w:val="0"/>
        <w:snapToGrid w:val="0"/>
        <w:spacing w:line="640" w:lineRule="exact"/>
        <w:ind w:firstLine="481" w:firstLineChars="15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40" w:lineRule="exact"/>
        <w:ind w:firstLine="720"/>
        <w:rPr>
          <w:rFonts w:ascii="仿宋" w:hAnsi="仿宋" w:eastAsia="仿宋"/>
          <w:color w:val="000000"/>
          <w:sz w:val="32"/>
          <w:szCs w:val="32"/>
          <w:lang w:val="zh-CN"/>
        </w:rPr>
      </w:pPr>
      <w:r>
        <w:rPr>
          <w:rFonts w:hint="eastAsia" w:ascii="仿宋" w:hAnsi="仿宋" w:eastAsia="仿宋"/>
          <w:color w:val="000000"/>
          <w:sz w:val="32"/>
          <w:szCs w:val="32"/>
          <w:lang w:val="zh-CN"/>
        </w:rPr>
        <w:t>由我局开展财政资金使用情况自评并撰写部门预算支出绩效报告，按规范格式按时提交自评报告。</w:t>
      </w:r>
    </w:p>
    <w:p>
      <w:pPr>
        <w:adjustRightInd w:val="0"/>
        <w:snapToGrid w:val="0"/>
        <w:spacing w:line="640" w:lineRule="exact"/>
        <w:ind w:firstLine="480" w:firstLineChars="15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4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我市保障性住房后期维护管理项目纳入财政预算管理，主要来源于保障性租赁住房租金收入。每年预算100万元，我局负责资金管理和使用，严格按照年初预算分配和使用。</w:t>
      </w:r>
    </w:p>
    <w:p>
      <w:pPr>
        <w:adjustRightInd w:val="0"/>
        <w:snapToGrid w:val="0"/>
        <w:spacing w:line="640" w:lineRule="exact"/>
        <w:ind w:firstLine="642" w:firstLineChars="20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40" w:lineRule="exact"/>
        <w:ind w:firstLine="720"/>
        <w:rPr>
          <w:rFonts w:ascii="仿宋" w:hAnsi="仿宋" w:eastAsia="仿宋"/>
          <w:color w:val="000000"/>
          <w:sz w:val="32"/>
          <w:szCs w:val="32"/>
          <w:lang w:val="zh-CN"/>
        </w:rPr>
      </w:pPr>
      <w:r>
        <w:rPr>
          <w:rFonts w:ascii="宋体" w:hAnsi="宋体" w:eastAsia="仿宋_GB2312" w:cs="宋体"/>
          <w:kern w:val="0"/>
          <w:sz w:val="32"/>
          <w:szCs w:val="21"/>
        </w:rPr>
        <w:t>1</w:t>
      </w:r>
      <w:r>
        <w:rPr>
          <w:rFonts w:hint="eastAsia" w:ascii="宋体" w:hAnsi="宋体" w:eastAsia="仿宋_GB2312" w:cs="宋体"/>
          <w:kern w:val="0"/>
          <w:sz w:val="32"/>
          <w:szCs w:val="21"/>
        </w:rPr>
        <w:t>．</w:t>
      </w:r>
      <w:r>
        <w:rPr>
          <w:rFonts w:hint="eastAsia" w:ascii="楷体_GB2312" w:hAnsi="宋体" w:eastAsia="楷体_GB2312"/>
          <w:sz w:val="32"/>
          <w:szCs w:val="32"/>
          <w:lang w:val="zh-CN"/>
        </w:rPr>
        <w:t>资金计划及到位。</w:t>
      </w:r>
      <w:r>
        <w:rPr>
          <w:rFonts w:hint="eastAsia" w:ascii="宋体" w:hAnsi="宋体" w:eastAsia="仿宋_GB2312" w:cs="宋体"/>
          <w:kern w:val="0"/>
          <w:sz w:val="32"/>
          <w:szCs w:val="21"/>
        </w:rPr>
        <w:t>该项目2021年财政预算资金100万元（竹财预（2021）01号），实际到位资金100万元。各项资金按时到位，到位率100%。</w:t>
      </w:r>
    </w:p>
    <w:p>
      <w:pPr>
        <w:adjustRightInd w:val="0"/>
        <w:snapToGrid w:val="0"/>
        <w:spacing w:line="640" w:lineRule="exact"/>
        <w:ind w:firstLine="720"/>
        <w:rPr>
          <w:rFonts w:ascii="仿宋" w:hAnsi="仿宋" w:eastAsia="仿宋"/>
          <w:color w:val="000000"/>
          <w:sz w:val="32"/>
          <w:szCs w:val="32"/>
          <w:lang w:val="zh-CN"/>
        </w:rPr>
      </w:pPr>
      <w:r>
        <w:rPr>
          <w:rFonts w:ascii="仿宋" w:hAnsi="仿宋" w:eastAsia="仿宋"/>
          <w:color w:val="000000"/>
          <w:sz w:val="32"/>
          <w:szCs w:val="32"/>
          <w:lang w:val="zh-CN"/>
        </w:rPr>
        <w:t>2</w:t>
      </w:r>
      <w:r>
        <w:rPr>
          <w:rFonts w:hint="eastAsia" w:ascii="仿宋" w:hAnsi="仿宋" w:eastAsia="仿宋"/>
          <w:color w:val="000000"/>
          <w:sz w:val="32"/>
          <w:szCs w:val="32"/>
          <w:lang w:val="zh-CN"/>
        </w:rPr>
        <w:t>．资金使用：资金使用完毕，资金使用安全、规范、有效，支付范围、支付标准、支付进度、支付依据等合规合法、与预算相符。</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40" w:lineRule="exact"/>
        <w:ind w:firstLine="720"/>
        <w:rPr>
          <w:rFonts w:ascii="仿宋" w:hAnsi="仿宋" w:eastAsia="仿宋"/>
          <w:sz w:val="32"/>
          <w:szCs w:val="32"/>
          <w:lang w:val="zh-CN"/>
        </w:rPr>
      </w:pPr>
      <w:r>
        <w:rPr>
          <w:rFonts w:hint="eastAsia" w:ascii="仿宋_GB2312" w:hAnsi="宋体" w:eastAsia="仿宋_GB2312"/>
          <w:sz w:val="32"/>
          <w:szCs w:val="32"/>
          <w:lang w:val="zh-CN"/>
        </w:rPr>
        <w:t>项目实施单位财务管理制度健全，严格执行财务管理制度，</w:t>
      </w:r>
      <w:r>
        <w:rPr>
          <w:rFonts w:hint="eastAsia" w:ascii="仿宋" w:hAnsi="仿宋" w:eastAsia="仿宋"/>
          <w:sz w:val="32"/>
          <w:szCs w:val="32"/>
          <w:lang w:val="zh-CN"/>
        </w:rPr>
        <w:t>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40" w:lineRule="exact"/>
        <w:ind w:firstLine="640" w:firstLineChars="200"/>
        <w:rPr>
          <w:rFonts w:ascii="仿宋" w:hAnsi="仿宋" w:eastAsia="仿宋"/>
          <w:b/>
          <w:color w:val="000000"/>
          <w:sz w:val="32"/>
          <w:szCs w:val="32"/>
          <w:lang w:val="zh-CN"/>
        </w:rPr>
      </w:pPr>
      <w:r>
        <w:rPr>
          <w:rFonts w:hint="eastAsia" w:ascii="仿宋" w:hAnsi="仿宋" w:eastAsia="仿宋"/>
          <w:color w:val="000000"/>
          <w:sz w:val="32"/>
          <w:szCs w:val="32"/>
          <w:lang w:val="zh-CN"/>
        </w:rPr>
        <w:t>按照《绵竹市公共租赁住房管理暂行办法》《绵竹市保障性租赁住房维修管理办法》等相关规定，根据项目进度，有序推进工作。</w:t>
      </w:r>
    </w:p>
    <w:p>
      <w:pPr>
        <w:adjustRightInd w:val="0"/>
        <w:snapToGrid w:val="0"/>
        <w:spacing w:line="6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4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按照《绵竹市公共租赁住房管理暂行办法》《绵竹市保障性租赁住房维修管理办法》相关规定管理。</w:t>
      </w:r>
    </w:p>
    <w:p>
      <w:pPr>
        <w:adjustRightInd w:val="0"/>
        <w:snapToGrid w:val="0"/>
        <w:spacing w:line="6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64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我局按照《绵竹市公共租赁住房管理暂行办法》《绵竹市保障性租赁住房维修管理办法》相关规定管理确定维修施工单位和价款结算审核，不定时地对保障性住房后期维护管理项目进行监督，并且接受保障性住房专项审计。</w:t>
      </w:r>
    </w:p>
    <w:p>
      <w:pPr>
        <w:adjustRightInd w:val="0"/>
        <w:snapToGrid w:val="0"/>
        <w:spacing w:line="64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40" w:lineRule="exact"/>
        <w:ind w:firstLine="720"/>
        <w:rPr>
          <w:rFonts w:ascii="仿宋" w:hAnsi="仿宋" w:eastAsia="仿宋"/>
          <w:color w:val="000000"/>
          <w:sz w:val="32"/>
          <w:szCs w:val="32"/>
          <w:lang w:val="zh-CN"/>
        </w:rPr>
      </w:pPr>
      <w:r>
        <w:rPr>
          <w:rFonts w:hint="eastAsia" w:ascii="仿宋" w:hAnsi="仿宋" w:eastAsia="仿宋"/>
          <w:color w:val="000000"/>
          <w:sz w:val="32"/>
          <w:szCs w:val="32"/>
          <w:lang w:val="zh-CN"/>
        </w:rPr>
        <w:t>工程事故率0，资金使用率100%，圆满地完成了202</w:t>
      </w:r>
      <w:r>
        <w:rPr>
          <w:rFonts w:hint="eastAsia" w:ascii="仿宋" w:hAnsi="仿宋" w:eastAsia="仿宋"/>
          <w:color w:val="000000"/>
          <w:sz w:val="32"/>
          <w:szCs w:val="32"/>
        </w:rPr>
        <w:t>1</w:t>
      </w:r>
      <w:r>
        <w:rPr>
          <w:rFonts w:hint="eastAsia" w:ascii="仿宋" w:hAnsi="仿宋" w:eastAsia="仿宋"/>
          <w:color w:val="000000"/>
          <w:sz w:val="32"/>
          <w:szCs w:val="32"/>
          <w:lang w:val="zh-CN"/>
        </w:rPr>
        <w:t>年保障性住房后期维护管理工作。</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40" w:lineRule="exact"/>
        <w:ind w:firstLine="720"/>
        <w:rPr>
          <w:rFonts w:ascii="仿宋" w:hAnsi="仿宋" w:eastAsia="仿宋"/>
          <w:color w:val="000000"/>
          <w:sz w:val="32"/>
          <w:szCs w:val="32"/>
          <w:lang w:val="zh-CN"/>
        </w:rPr>
      </w:pPr>
      <w:r>
        <w:rPr>
          <w:rFonts w:hint="eastAsia" w:ascii="仿宋" w:hAnsi="仿宋" w:eastAsia="仿宋"/>
          <w:color w:val="000000"/>
          <w:sz w:val="32"/>
          <w:szCs w:val="32"/>
          <w:lang w:val="zh-CN"/>
        </w:rPr>
        <w:t>公租房及小区配套设施完好率和能使用率100%，群众满意度逐年上升。确保了公租房及小区配套设施的正常使用，后期管理进一步规范，承租人违规行为持续降低，改善和提升公租房入住环境。城镇低收入困难家庭幸福感满意度进一步提升城镇低收入困难家庭幸福感满意度进一步提升。</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五、评价结论及建议</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40" w:lineRule="exact"/>
        <w:ind w:firstLine="480" w:firstLineChars="150"/>
        <w:rPr>
          <w:rFonts w:ascii="仿宋" w:hAnsi="仿宋" w:eastAsia="仿宋"/>
          <w:color w:val="000000"/>
          <w:sz w:val="32"/>
          <w:szCs w:val="32"/>
          <w:lang w:val="zh-CN"/>
        </w:rPr>
      </w:pPr>
      <w:r>
        <w:rPr>
          <w:rFonts w:hint="eastAsia" w:ascii="仿宋" w:hAnsi="仿宋" w:eastAsia="仿宋"/>
          <w:color w:val="000000"/>
          <w:sz w:val="32"/>
          <w:szCs w:val="32"/>
          <w:lang w:val="zh-CN"/>
        </w:rPr>
        <w:t>全面完成202</w:t>
      </w:r>
      <w:r>
        <w:rPr>
          <w:rFonts w:hint="eastAsia" w:ascii="仿宋" w:hAnsi="仿宋" w:eastAsia="仿宋"/>
          <w:color w:val="000000"/>
          <w:sz w:val="32"/>
          <w:szCs w:val="32"/>
        </w:rPr>
        <w:t>1</w:t>
      </w:r>
      <w:r>
        <w:rPr>
          <w:rFonts w:hint="eastAsia" w:ascii="仿宋" w:hAnsi="仿宋" w:eastAsia="仿宋"/>
          <w:color w:val="000000"/>
          <w:sz w:val="32"/>
          <w:szCs w:val="32"/>
          <w:lang w:val="zh-CN"/>
        </w:rPr>
        <w:t>年保障性住房后期管理工作，在加强和完善保障性住房后期管理、保障和改善民生、推动城镇化进程等方面取得了明显实效，服务对象总体较满意。评定级别为“优”。</w:t>
      </w:r>
    </w:p>
    <w:p>
      <w:pPr>
        <w:adjustRightInd w:val="0"/>
        <w:snapToGrid w:val="0"/>
        <w:spacing w:line="6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4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无</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40" w:lineRule="exact"/>
        <w:ind w:firstLine="720"/>
        <w:rPr>
          <w:rFonts w:ascii="仿宋" w:hAnsi="仿宋" w:eastAsia="仿宋"/>
          <w:color w:val="000000"/>
          <w:sz w:val="32"/>
          <w:szCs w:val="32"/>
          <w:lang w:val="zh-CN"/>
        </w:rPr>
      </w:pPr>
      <w:r>
        <w:rPr>
          <w:rFonts w:hint="eastAsia" w:ascii="仿宋" w:hAnsi="仿宋" w:eastAsia="仿宋"/>
          <w:color w:val="000000"/>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520" w:type="dxa"/>
        <w:jc w:val="center"/>
        <w:tblLayout w:type="autofit"/>
        <w:tblCellMar>
          <w:top w:w="0" w:type="dxa"/>
          <w:left w:w="108" w:type="dxa"/>
          <w:bottom w:w="0" w:type="dxa"/>
          <w:right w:w="108" w:type="dxa"/>
        </w:tblCellMar>
      </w:tblPr>
      <w:tblGrid>
        <w:gridCol w:w="840"/>
        <w:gridCol w:w="800"/>
        <w:gridCol w:w="1020"/>
        <w:gridCol w:w="1080"/>
        <w:gridCol w:w="920"/>
        <w:gridCol w:w="2380"/>
        <w:gridCol w:w="2480"/>
      </w:tblGrid>
      <w:tr>
        <w:tblPrEx>
          <w:tblCellMar>
            <w:top w:w="0" w:type="dxa"/>
            <w:left w:w="108" w:type="dxa"/>
            <w:bottom w:w="0" w:type="dxa"/>
            <w:right w:w="108" w:type="dxa"/>
          </w:tblCellMar>
        </w:tblPrEx>
        <w:trPr>
          <w:trHeight w:val="405" w:hRule="atLeast"/>
          <w:jc w:val="center"/>
        </w:trPr>
        <w:tc>
          <w:tcPr>
            <w:tcW w:w="952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70" w:hRule="atLeast"/>
          <w:jc w:val="center"/>
        </w:trPr>
        <w:tc>
          <w:tcPr>
            <w:tcW w:w="9520" w:type="dxa"/>
            <w:gridSpan w:val="7"/>
            <w:tcBorders>
              <w:top w:val="nil"/>
              <w:left w:val="nil"/>
              <w:bottom w:val="nil"/>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（2021年度）</w:t>
            </w:r>
          </w:p>
        </w:tc>
      </w:tr>
      <w:tr>
        <w:tblPrEx>
          <w:tblCellMar>
            <w:top w:w="0" w:type="dxa"/>
            <w:left w:w="108" w:type="dxa"/>
            <w:bottom w:w="0" w:type="dxa"/>
            <w:right w:w="108" w:type="dxa"/>
          </w:tblCellMar>
        </w:tblPrEx>
        <w:trPr>
          <w:trHeight w:val="270" w:hRule="atLeast"/>
          <w:jc w:val="center"/>
        </w:trPr>
        <w:tc>
          <w:tcPr>
            <w:tcW w:w="84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80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02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92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3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48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480" w:hRule="atLeast"/>
          <w:jc w:val="center"/>
        </w:trPr>
        <w:tc>
          <w:tcPr>
            <w:tcW w:w="2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8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保障性住房后期维护管理项目</w:t>
            </w:r>
          </w:p>
        </w:tc>
      </w:tr>
      <w:tr>
        <w:tblPrEx>
          <w:tblCellMar>
            <w:top w:w="0" w:type="dxa"/>
            <w:left w:w="108" w:type="dxa"/>
            <w:bottom w:w="0" w:type="dxa"/>
            <w:right w:w="108" w:type="dxa"/>
          </w:tblCellMar>
        </w:tblPrEx>
        <w:trPr>
          <w:trHeight w:val="480" w:hRule="atLeast"/>
          <w:jc w:val="center"/>
        </w:trPr>
        <w:tc>
          <w:tcPr>
            <w:tcW w:w="26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86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480" w:hRule="atLeast"/>
          <w:jc w:val="center"/>
        </w:trPr>
        <w:tc>
          <w:tcPr>
            <w:tcW w:w="8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18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0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100万元</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100万元</w:t>
            </w:r>
          </w:p>
        </w:tc>
      </w:tr>
      <w:tr>
        <w:tblPrEx>
          <w:tblCellMar>
            <w:top w:w="0" w:type="dxa"/>
            <w:left w:w="108" w:type="dxa"/>
            <w:bottom w:w="0" w:type="dxa"/>
            <w:right w:w="108" w:type="dxa"/>
          </w:tblCellMar>
        </w:tblPrEx>
        <w:trPr>
          <w:trHeight w:val="48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8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0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100万元</w:t>
            </w:r>
          </w:p>
        </w:tc>
        <w:tc>
          <w:tcPr>
            <w:tcW w:w="238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100万元</w:t>
            </w:r>
          </w:p>
        </w:tc>
      </w:tr>
      <w:tr>
        <w:tblPrEx>
          <w:tblCellMar>
            <w:top w:w="0" w:type="dxa"/>
            <w:left w:w="108" w:type="dxa"/>
            <w:bottom w:w="0" w:type="dxa"/>
            <w:right w:w="108" w:type="dxa"/>
          </w:tblCellMar>
        </w:tblPrEx>
        <w:trPr>
          <w:trHeight w:val="480"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8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0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38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48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80" w:hRule="atLeast"/>
          <w:jc w:val="center"/>
        </w:trPr>
        <w:tc>
          <w:tcPr>
            <w:tcW w:w="8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38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8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975"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82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实施绵竹市城区公租房、小区配套设施维修维护和管理工作</w:t>
            </w:r>
          </w:p>
        </w:tc>
        <w:tc>
          <w:tcPr>
            <w:tcW w:w="48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顺利完成绵竹市城区公租房、小区配套设施维修、维护和管理工作</w:t>
            </w:r>
          </w:p>
        </w:tc>
      </w:tr>
      <w:tr>
        <w:tblPrEx>
          <w:tblCellMar>
            <w:top w:w="0" w:type="dxa"/>
            <w:left w:w="108" w:type="dxa"/>
            <w:bottom w:w="0" w:type="dxa"/>
            <w:right w:w="108" w:type="dxa"/>
          </w:tblCellMar>
        </w:tblPrEx>
        <w:trPr>
          <w:trHeight w:val="720" w:hRule="atLeast"/>
          <w:jc w:val="center"/>
        </w:trPr>
        <w:tc>
          <w:tcPr>
            <w:tcW w:w="84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8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4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1245" w:hRule="atLeast"/>
          <w:jc w:val="center"/>
        </w:trPr>
        <w:tc>
          <w:tcPr>
            <w:tcW w:w="8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0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完成公租房小区维修维护</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完成金陵人家、茶盘街、金陵苑、玉马、安居佳苑、回购房等公租房小区维修维护</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实际完成维修280项</w:t>
            </w:r>
          </w:p>
        </w:tc>
      </w:tr>
      <w:tr>
        <w:tblPrEx>
          <w:tblCellMar>
            <w:top w:w="0" w:type="dxa"/>
            <w:left w:w="108" w:type="dxa"/>
            <w:bottom w:w="0" w:type="dxa"/>
            <w:right w:w="108" w:type="dxa"/>
          </w:tblCellMar>
        </w:tblPrEx>
        <w:trPr>
          <w:trHeight w:val="915" w:hRule="atLeast"/>
          <w:jc w:val="center"/>
        </w:trPr>
        <w:tc>
          <w:tcPr>
            <w:tcW w:w="8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0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聘用4</w:t>
            </w:r>
            <w:r>
              <w:rPr>
                <w:rFonts w:hint="eastAsia" w:ascii="宋体" w:hAnsi="宋体" w:cs="宋体"/>
                <w:kern w:val="0"/>
                <w:sz w:val="20"/>
                <w:szCs w:val="20"/>
                <w:lang w:eastAsia="zh-CN"/>
              </w:rPr>
              <w:t>名</w:t>
            </w:r>
            <w:r>
              <w:rPr>
                <w:rFonts w:hint="eastAsia" w:ascii="宋体" w:hAnsi="宋体" w:cs="宋体"/>
                <w:kern w:val="0"/>
                <w:sz w:val="20"/>
                <w:szCs w:val="20"/>
              </w:rPr>
              <w:t>劳务用工人员分管小区</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相关人员工资、保险、考核等费用</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完成支付</w:t>
            </w:r>
          </w:p>
        </w:tc>
      </w:tr>
      <w:tr>
        <w:tblPrEx>
          <w:tblCellMar>
            <w:top w:w="0" w:type="dxa"/>
            <w:left w:w="108" w:type="dxa"/>
            <w:bottom w:w="0" w:type="dxa"/>
            <w:right w:w="108" w:type="dxa"/>
          </w:tblCellMar>
        </w:tblPrEx>
        <w:trPr>
          <w:trHeight w:val="915" w:hRule="atLeast"/>
          <w:jc w:val="center"/>
        </w:trPr>
        <w:tc>
          <w:tcPr>
            <w:tcW w:w="8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0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公租房分配、摇号、公证等相关工作</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相关工作经费、公证费用</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完成支付</w:t>
            </w:r>
          </w:p>
        </w:tc>
      </w:tr>
      <w:tr>
        <w:tblPrEx>
          <w:tblCellMar>
            <w:top w:w="0" w:type="dxa"/>
            <w:left w:w="108" w:type="dxa"/>
            <w:bottom w:w="0" w:type="dxa"/>
            <w:right w:w="108" w:type="dxa"/>
          </w:tblCellMar>
        </w:tblPrEx>
        <w:trPr>
          <w:trHeight w:val="915" w:hRule="atLeast"/>
          <w:jc w:val="center"/>
        </w:trPr>
        <w:tc>
          <w:tcPr>
            <w:tcW w:w="8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0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小区文化宣传建设</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小区文化宣传建设费用</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完成支付</w:t>
            </w:r>
          </w:p>
        </w:tc>
      </w:tr>
      <w:tr>
        <w:tblPrEx>
          <w:tblCellMar>
            <w:top w:w="0" w:type="dxa"/>
            <w:left w:w="108" w:type="dxa"/>
            <w:bottom w:w="0" w:type="dxa"/>
            <w:right w:w="108" w:type="dxa"/>
          </w:tblCellMar>
        </w:tblPrEx>
        <w:trPr>
          <w:trHeight w:val="915" w:hRule="atLeast"/>
          <w:jc w:val="center"/>
        </w:trPr>
        <w:tc>
          <w:tcPr>
            <w:tcW w:w="8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0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住房保障系统管理维护</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系统更新、维护等费用</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确保系统安全稳定运行</w:t>
            </w:r>
          </w:p>
        </w:tc>
      </w:tr>
      <w:tr>
        <w:tblPrEx>
          <w:tblCellMar>
            <w:top w:w="0" w:type="dxa"/>
            <w:left w:w="108" w:type="dxa"/>
            <w:bottom w:w="0" w:type="dxa"/>
            <w:right w:w="108" w:type="dxa"/>
          </w:tblCellMar>
        </w:tblPrEx>
        <w:trPr>
          <w:trHeight w:val="915" w:hRule="atLeast"/>
          <w:jc w:val="center"/>
        </w:trPr>
        <w:tc>
          <w:tcPr>
            <w:tcW w:w="8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0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公租房违规行为诉讼、公证等方式整改工作</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律师费用、诉讼费用、公证费用等</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完成支付</w:t>
            </w:r>
          </w:p>
        </w:tc>
      </w:tr>
      <w:tr>
        <w:tblPrEx>
          <w:tblCellMar>
            <w:top w:w="0" w:type="dxa"/>
            <w:left w:w="108" w:type="dxa"/>
            <w:bottom w:w="0" w:type="dxa"/>
            <w:right w:w="108" w:type="dxa"/>
          </w:tblCellMar>
        </w:tblPrEx>
        <w:trPr>
          <w:trHeight w:val="915" w:hRule="atLeast"/>
          <w:jc w:val="center"/>
        </w:trPr>
        <w:tc>
          <w:tcPr>
            <w:tcW w:w="8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0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规划、规范性文件制定及稳定评估等</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稳定评估相关费用等</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完成支付</w:t>
            </w:r>
          </w:p>
        </w:tc>
      </w:tr>
      <w:tr>
        <w:tblPrEx>
          <w:tblCellMar>
            <w:top w:w="0" w:type="dxa"/>
            <w:left w:w="108" w:type="dxa"/>
            <w:bottom w:w="0" w:type="dxa"/>
            <w:right w:w="108" w:type="dxa"/>
          </w:tblCellMar>
        </w:tblPrEx>
        <w:trPr>
          <w:trHeight w:val="915" w:hRule="atLeast"/>
          <w:jc w:val="center"/>
        </w:trPr>
        <w:tc>
          <w:tcPr>
            <w:tcW w:w="8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0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合同、公告、宣传资料印制等</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印制费用等</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完成支付</w:t>
            </w:r>
          </w:p>
        </w:tc>
      </w:tr>
      <w:tr>
        <w:tblPrEx>
          <w:tblCellMar>
            <w:top w:w="0" w:type="dxa"/>
            <w:left w:w="108" w:type="dxa"/>
            <w:bottom w:w="0" w:type="dxa"/>
            <w:right w:w="108" w:type="dxa"/>
          </w:tblCellMar>
        </w:tblPrEx>
        <w:trPr>
          <w:trHeight w:val="915" w:hRule="atLeast"/>
          <w:jc w:val="center"/>
        </w:trPr>
        <w:tc>
          <w:tcPr>
            <w:tcW w:w="8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0" w:type="dxa"/>
            <w:tcBorders>
              <w:top w:val="single" w:color="000000"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工程事故率</w:t>
            </w:r>
          </w:p>
        </w:tc>
        <w:tc>
          <w:tcPr>
            <w:tcW w:w="23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w:t>
            </w:r>
          </w:p>
        </w:tc>
        <w:tc>
          <w:tcPr>
            <w:tcW w:w="24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570" w:hRule="atLeast"/>
          <w:jc w:val="center"/>
        </w:trPr>
        <w:tc>
          <w:tcPr>
            <w:tcW w:w="8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2021年12月31日前</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2021年12月31日前顺利完成</w:t>
            </w:r>
          </w:p>
        </w:tc>
      </w:tr>
      <w:tr>
        <w:tblPrEx>
          <w:tblCellMar>
            <w:top w:w="0" w:type="dxa"/>
            <w:left w:w="108" w:type="dxa"/>
            <w:bottom w:w="0" w:type="dxa"/>
            <w:right w:w="108" w:type="dxa"/>
          </w:tblCellMar>
        </w:tblPrEx>
        <w:trPr>
          <w:trHeight w:val="765" w:hRule="atLeast"/>
          <w:jc w:val="center"/>
        </w:trPr>
        <w:tc>
          <w:tcPr>
            <w:tcW w:w="8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2019年度保障性住房后期维护、管理等</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预计100万元</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实际完成支付100万元</w:t>
            </w:r>
          </w:p>
        </w:tc>
      </w:tr>
      <w:tr>
        <w:tblPrEx>
          <w:tblCellMar>
            <w:top w:w="0" w:type="dxa"/>
            <w:left w:w="108" w:type="dxa"/>
            <w:bottom w:w="0" w:type="dxa"/>
            <w:right w:w="108" w:type="dxa"/>
          </w:tblCellMar>
        </w:tblPrEx>
        <w:trPr>
          <w:trHeight w:val="1425" w:hRule="atLeast"/>
          <w:jc w:val="center"/>
        </w:trPr>
        <w:tc>
          <w:tcPr>
            <w:tcW w:w="8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0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提高城区公租房完好率和使用率，规范公租房入住管理。</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公租房及小区配套设施完好率和能使用率100%，公租房租金收入率逐年上升，违规行为逐年减少，群众满意度逐年上升</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公租房及小区配套设施完好率和能使用率100%，公租房租金收入率逐年上升，违规行为逐年减少，群众满意度逐年上升。</w:t>
            </w:r>
          </w:p>
        </w:tc>
      </w:tr>
      <w:tr>
        <w:tblPrEx>
          <w:tblCellMar>
            <w:top w:w="0" w:type="dxa"/>
            <w:left w:w="108" w:type="dxa"/>
            <w:bottom w:w="0" w:type="dxa"/>
            <w:right w:w="108" w:type="dxa"/>
          </w:tblCellMar>
        </w:tblPrEx>
        <w:trPr>
          <w:trHeight w:val="1425" w:hRule="atLeast"/>
          <w:jc w:val="center"/>
        </w:trPr>
        <w:tc>
          <w:tcPr>
            <w:tcW w:w="8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规范公租房入住管理，确保公租房及小区配套设施能正常使用。</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确保公租房及小区配套设施的正常使用，后期管理进一步规范，承租人违规行为持续降低，改善和提升公租房入住环境。</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公租房及小区配套设施的正常使用，后期管理进一步规范，承租人违规行为持续降低，改善和提升了公租房入住环境。</w:t>
            </w:r>
          </w:p>
        </w:tc>
      </w:tr>
      <w:tr>
        <w:tblPrEx>
          <w:tblCellMar>
            <w:top w:w="0" w:type="dxa"/>
            <w:left w:w="108" w:type="dxa"/>
            <w:bottom w:w="0" w:type="dxa"/>
            <w:right w:w="108" w:type="dxa"/>
          </w:tblCellMar>
        </w:tblPrEx>
        <w:trPr>
          <w:trHeight w:val="1425" w:hRule="atLeast"/>
          <w:jc w:val="center"/>
        </w:trPr>
        <w:tc>
          <w:tcPr>
            <w:tcW w:w="8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规范公租房入住管理，确保公租房及小区配套设施能正常使用。</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城镇低收入困难家庭幸福感</w:t>
            </w:r>
            <w:r>
              <w:rPr>
                <w:rFonts w:hint="eastAsia" w:ascii="宋体" w:hAnsi="宋体" w:cs="宋体"/>
                <w:kern w:val="0"/>
                <w:sz w:val="20"/>
                <w:szCs w:val="20"/>
                <w:lang w:eastAsia="zh-CN"/>
              </w:rPr>
              <w:t>满意度</w:t>
            </w:r>
            <w:r>
              <w:rPr>
                <w:rFonts w:hint="eastAsia" w:ascii="宋体" w:hAnsi="宋体" w:cs="宋体"/>
                <w:kern w:val="0"/>
                <w:sz w:val="20"/>
                <w:szCs w:val="20"/>
              </w:rPr>
              <w:t>进一步提升</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城镇低收入困难家庭幸福感满意度得到了提升</w:t>
            </w:r>
          </w:p>
        </w:tc>
      </w:tr>
      <w:tr>
        <w:tblPrEx>
          <w:tblCellMar>
            <w:top w:w="0" w:type="dxa"/>
            <w:left w:w="108" w:type="dxa"/>
            <w:bottom w:w="0" w:type="dxa"/>
            <w:right w:w="108" w:type="dxa"/>
          </w:tblCellMar>
        </w:tblPrEx>
        <w:trPr>
          <w:trHeight w:val="1425" w:hRule="atLeast"/>
          <w:jc w:val="center"/>
        </w:trPr>
        <w:tc>
          <w:tcPr>
            <w:tcW w:w="84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规范公租房入住管理，确保公租房及小区配套设施能正常使用。</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城镇低收入困难家庭幸福感满意度进一步提升</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城镇低收入困难家庭幸福感满意度得到了提升</w:t>
            </w:r>
          </w:p>
        </w:tc>
      </w:tr>
      <w:tr>
        <w:tblPrEx>
          <w:tblCellMar>
            <w:top w:w="0" w:type="dxa"/>
            <w:left w:w="108" w:type="dxa"/>
            <w:bottom w:w="0" w:type="dxa"/>
            <w:right w:w="108" w:type="dxa"/>
          </w:tblCellMar>
        </w:tblPrEx>
        <w:trPr>
          <w:trHeight w:val="525" w:hRule="atLeast"/>
          <w:jc w:val="center"/>
        </w:trPr>
        <w:tc>
          <w:tcPr>
            <w:tcW w:w="8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0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0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保障房小区群众满意度</w:t>
            </w:r>
          </w:p>
        </w:tc>
        <w:tc>
          <w:tcPr>
            <w:tcW w:w="2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≧98%</w:t>
            </w:r>
          </w:p>
        </w:tc>
        <w:tc>
          <w:tcPr>
            <w:tcW w:w="24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≧98%</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（绵竹市遵道镇廉租房、广济镇廉租房、孝德镇安置房</w:t>
      </w:r>
    </w:p>
    <w:p>
      <w:pPr>
        <w:spacing w:line="580" w:lineRule="exact"/>
        <w:jc w:val="center"/>
        <w:rPr>
          <w:rFonts w:ascii="仿宋_GB2312" w:hAnsi="宋体" w:eastAsia="仿宋_GB2312"/>
          <w:sz w:val="32"/>
          <w:szCs w:val="32"/>
        </w:rPr>
      </w:pPr>
      <w:r>
        <w:rPr>
          <w:rFonts w:hint="eastAsia" w:ascii="仿宋_GB2312" w:hAnsi="宋体" w:eastAsia="仿宋_GB2312"/>
          <w:sz w:val="32"/>
          <w:szCs w:val="32"/>
        </w:rPr>
        <w:t>（东区）及廉租房工程配套基础设施项目）</w:t>
      </w:r>
    </w:p>
    <w:p>
      <w:pPr>
        <w:spacing w:line="640" w:lineRule="exact"/>
        <w:ind w:firstLine="640"/>
        <w:jc w:val="center"/>
        <w:rPr>
          <w:rFonts w:hint="eastAsia" w:ascii="宋体" w:hAnsi="??"/>
          <w:sz w:val="32"/>
          <w:szCs w:val="32"/>
        </w:rPr>
      </w:pPr>
    </w:p>
    <w:p>
      <w:pPr>
        <w:adjustRightInd w:val="0"/>
        <w:snapToGrid w:val="0"/>
        <w:spacing w:line="64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1．项目业主：绵竹市城镇住房保障管理所。</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2．建设地址：绵竹市遵道镇、广济场镇猫鱼市街东面和孝德镇高兴村3组及4组。</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建设内容及规模：遵道镇廉租房建设内容包含天然气安装104户，新建小区配套用房92平方米，非机动车棚63平方米及小区道路、绿化等其他配套设施设备；广济镇廉租房建设内容包含小区污水管网整改830米及道路、绿化等其他配套设施设备；孝德镇安置房（东区）及廉租房建设内容包含新增小区围墙89米，新建小区配套用房16平方米、非机动车棚48平方米及道路、路灯、绿化等其他配套设施设备。</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4．资金来源：中央预算内资金</w:t>
      </w:r>
      <w:r>
        <w:rPr>
          <w:rFonts w:hint="eastAsia" w:ascii="仿宋_GB2312" w:hAnsi="宋体" w:eastAsia="仿宋_GB2312"/>
          <w:sz w:val="32"/>
          <w:szCs w:val="32"/>
        </w:rPr>
        <w:t>255</w:t>
      </w:r>
      <w:r>
        <w:rPr>
          <w:rFonts w:hint="eastAsia" w:ascii="仿宋_GB2312" w:hAnsi="宋体" w:eastAsia="仿宋_GB2312"/>
          <w:sz w:val="32"/>
          <w:szCs w:val="32"/>
          <w:lang w:val="zh-CN"/>
        </w:rPr>
        <w:t>万元和本级财政资金</w:t>
      </w:r>
      <w:r>
        <w:rPr>
          <w:rFonts w:hint="eastAsia" w:ascii="仿宋_GB2312" w:hAnsi="宋体" w:eastAsia="仿宋_GB2312"/>
          <w:sz w:val="32"/>
          <w:szCs w:val="32"/>
        </w:rPr>
        <w:t>64.37</w:t>
      </w:r>
      <w:r>
        <w:rPr>
          <w:rFonts w:hint="eastAsia" w:ascii="仿宋_GB2312" w:hAnsi="宋体" w:eastAsia="仿宋_GB2312"/>
          <w:sz w:val="32"/>
          <w:szCs w:val="32"/>
          <w:lang w:val="zh-CN"/>
        </w:rPr>
        <w:t>万元。</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640" w:lineRule="exact"/>
        <w:ind w:firstLine="640" w:firstLineChars="200"/>
        <w:rPr>
          <w:rFonts w:ascii="仿宋" w:hAnsi="仿宋" w:eastAsia="仿宋"/>
          <w:sz w:val="32"/>
          <w:szCs w:val="32"/>
          <w:lang w:val="zh-CN"/>
        </w:rPr>
      </w:pPr>
      <w:r>
        <w:rPr>
          <w:rFonts w:hint="eastAsia" w:ascii="仿宋_GB2312" w:hAnsi="宋体" w:eastAsia="仿宋_GB2312"/>
          <w:sz w:val="32"/>
          <w:szCs w:val="32"/>
        </w:rPr>
        <w:t>1、</w:t>
      </w:r>
      <w:r>
        <w:rPr>
          <w:rFonts w:hint="eastAsia" w:ascii="仿宋_GB2312" w:hAnsi="宋体" w:eastAsia="仿宋_GB2312"/>
          <w:sz w:val="32"/>
          <w:szCs w:val="32"/>
          <w:lang w:val="zh-CN"/>
        </w:rPr>
        <w:t>项目应实现的具体绩效目标。实施绵竹市遵道镇廉租房、广济镇廉租房、孝德镇安置房（东区）及廉租房工程配套基础设施项目建设，将进一步完善小区内配套设施，满足小区使用功能，优化小区环境。</w:t>
      </w:r>
      <w:r>
        <w:rPr>
          <w:rFonts w:hint="eastAsia" w:ascii="仿宋" w:hAnsi="仿宋" w:eastAsia="仿宋"/>
          <w:sz w:val="32"/>
          <w:szCs w:val="32"/>
          <w:lang w:val="zh-CN"/>
        </w:rPr>
        <w:t>项目</w:t>
      </w:r>
      <w:r>
        <w:rPr>
          <w:rFonts w:hint="eastAsia" w:ascii="仿宋_GB2312" w:hAnsi="宋体" w:eastAsia="仿宋_GB2312"/>
          <w:sz w:val="32"/>
          <w:szCs w:val="32"/>
          <w:lang w:val="zh-CN"/>
        </w:rPr>
        <w:t>于2020年</w:t>
      </w:r>
      <w:r>
        <w:rPr>
          <w:rFonts w:hint="eastAsia" w:ascii="仿宋_GB2312" w:hAnsi="宋体" w:eastAsia="仿宋_GB2312"/>
          <w:sz w:val="32"/>
          <w:szCs w:val="32"/>
        </w:rPr>
        <w:t>11月</w:t>
      </w:r>
      <w:r>
        <w:rPr>
          <w:rFonts w:hint="eastAsia" w:ascii="仿宋_GB2312" w:hAnsi="宋体" w:eastAsia="仿宋_GB2312"/>
          <w:sz w:val="32"/>
          <w:szCs w:val="32"/>
          <w:lang w:val="zh-CN"/>
        </w:rPr>
        <w:t>开工，202</w:t>
      </w:r>
      <w:r>
        <w:rPr>
          <w:rFonts w:hint="eastAsia" w:ascii="仿宋_GB2312" w:hAnsi="宋体" w:eastAsia="仿宋_GB2312"/>
          <w:sz w:val="32"/>
          <w:szCs w:val="32"/>
        </w:rPr>
        <w:t>1</w:t>
      </w:r>
      <w:r>
        <w:rPr>
          <w:rFonts w:hint="eastAsia" w:ascii="仿宋_GB2312" w:hAnsi="宋体" w:eastAsia="仿宋_GB2312"/>
          <w:sz w:val="32"/>
          <w:szCs w:val="32"/>
          <w:lang w:val="zh-CN"/>
        </w:rPr>
        <w:t>年</w:t>
      </w:r>
      <w:r>
        <w:rPr>
          <w:rFonts w:hint="eastAsia" w:ascii="仿宋_GB2312" w:hAnsi="宋体" w:eastAsia="仿宋_GB2312"/>
          <w:sz w:val="32"/>
          <w:szCs w:val="32"/>
        </w:rPr>
        <w:t>4月</w:t>
      </w:r>
      <w:r>
        <w:rPr>
          <w:rFonts w:hint="eastAsia" w:ascii="仿宋_GB2312" w:hAnsi="宋体" w:eastAsia="仿宋_GB2312"/>
          <w:sz w:val="32"/>
          <w:szCs w:val="32"/>
          <w:lang w:val="zh-CN"/>
        </w:rPr>
        <w:t>完工。</w:t>
      </w:r>
    </w:p>
    <w:p>
      <w:pPr>
        <w:adjustRightInd w:val="0"/>
        <w:snapToGrid w:val="0"/>
        <w:spacing w:line="640" w:lineRule="exact"/>
        <w:ind w:firstLine="720"/>
        <w:rPr>
          <w:rFonts w:ascii="仿宋_GB2312" w:hAnsi="宋体" w:eastAsia="仿宋_GB2312"/>
          <w:sz w:val="32"/>
          <w:szCs w:val="32"/>
          <w:lang w:val="zh-CN"/>
        </w:rPr>
      </w:pPr>
      <w:r>
        <w:rPr>
          <w:rFonts w:ascii="仿宋_GB2312" w:hAnsi="宋体" w:eastAsia="仿宋_GB2312"/>
          <w:sz w:val="32"/>
          <w:szCs w:val="32"/>
          <w:lang w:val="zh-CN"/>
        </w:rPr>
        <w:t>3</w:t>
      </w:r>
      <w:r>
        <w:rPr>
          <w:rFonts w:hint="eastAsia" w:ascii="仿宋_GB2312" w:hAnsi="宋体" w:eastAsia="仿宋_GB2312"/>
          <w:sz w:val="32"/>
          <w:szCs w:val="32"/>
          <w:lang w:val="zh-CN"/>
        </w:rPr>
        <w:t>．申报内容与实际相符，申报目标合理可行。</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由我局开展财政资金使用情况自评并撰写部门预算支出绩效报告，按规范格式按时提交自评报告。</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640" w:lineRule="exact"/>
        <w:ind w:firstLine="720"/>
        <w:rPr>
          <w:rFonts w:ascii="仿宋_GB2312" w:hAnsi="宋体" w:eastAsia="仿宋_GB2312"/>
          <w:sz w:val="32"/>
          <w:szCs w:val="32"/>
          <w:lang w:val="zh-CN"/>
        </w:rPr>
      </w:pPr>
      <w:r>
        <w:rPr>
          <w:rFonts w:hint="eastAsia" w:ascii="仿宋" w:hAnsi="仿宋" w:eastAsia="仿宋"/>
          <w:sz w:val="32"/>
          <w:szCs w:val="32"/>
          <w:lang w:val="zh-CN"/>
        </w:rPr>
        <w:t>项目经市发改局《关于绵竹市遵道镇廉租房、广济镇廉租房、孝德镇安置房（东区）及廉租房工程配套基础设施项目建议书的批复》（竹发改建〔2018〕33号）批复立项、经市发改局《关于绵竹市遵道廉租房、广济镇廉租房、孝德镇安置房（东区）及廉租房工程配套基础设施项目投资概算的批复》（竹发改审〔2019〕7号）批复概算金额为</w:t>
      </w:r>
      <w:r>
        <w:rPr>
          <w:rFonts w:hint="eastAsia" w:ascii="仿宋" w:hAnsi="仿宋" w:eastAsia="仿宋"/>
          <w:sz w:val="32"/>
          <w:szCs w:val="32"/>
        </w:rPr>
        <w:t>319.37</w:t>
      </w:r>
      <w:r>
        <w:rPr>
          <w:rFonts w:hint="eastAsia" w:ascii="仿宋" w:hAnsi="仿宋" w:eastAsia="仿宋"/>
          <w:sz w:val="32"/>
          <w:szCs w:val="32"/>
          <w:lang w:val="zh-CN"/>
        </w:rPr>
        <w:t>万元，资金来源为中</w:t>
      </w:r>
      <w:r>
        <w:rPr>
          <w:rFonts w:hint="eastAsia" w:ascii="仿宋_GB2312" w:hAnsi="宋体" w:eastAsia="仿宋_GB2312"/>
          <w:sz w:val="32"/>
          <w:szCs w:val="32"/>
          <w:lang w:val="zh-CN"/>
        </w:rPr>
        <w:t>央预算内资金</w:t>
      </w:r>
      <w:r>
        <w:rPr>
          <w:rFonts w:hint="eastAsia" w:ascii="仿宋_GB2312" w:hAnsi="宋体" w:eastAsia="仿宋_GB2312"/>
          <w:sz w:val="32"/>
          <w:szCs w:val="32"/>
        </w:rPr>
        <w:t>255</w:t>
      </w:r>
      <w:r>
        <w:rPr>
          <w:rFonts w:hint="eastAsia" w:ascii="仿宋_GB2312" w:hAnsi="宋体" w:eastAsia="仿宋_GB2312"/>
          <w:sz w:val="32"/>
          <w:szCs w:val="32"/>
          <w:lang w:val="zh-CN"/>
        </w:rPr>
        <w:t>万元和本级财政资金</w:t>
      </w:r>
      <w:r>
        <w:rPr>
          <w:rFonts w:hint="eastAsia" w:ascii="仿宋_GB2312" w:hAnsi="宋体" w:eastAsia="仿宋_GB2312"/>
          <w:sz w:val="32"/>
          <w:szCs w:val="32"/>
        </w:rPr>
        <w:t>64.37</w:t>
      </w:r>
      <w:r>
        <w:rPr>
          <w:rFonts w:hint="eastAsia" w:ascii="仿宋_GB2312" w:hAnsi="宋体" w:eastAsia="仿宋_GB2312"/>
          <w:sz w:val="32"/>
          <w:szCs w:val="32"/>
          <w:lang w:val="zh-CN"/>
        </w:rPr>
        <w:t>万元。</w:t>
      </w:r>
    </w:p>
    <w:p>
      <w:pPr>
        <w:adjustRightInd w:val="0"/>
        <w:snapToGrid w:val="0"/>
        <w:spacing w:line="64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40" w:lineRule="exact"/>
        <w:ind w:firstLine="800" w:firstLineChars="250"/>
        <w:rPr>
          <w:rFonts w:ascii="宋体" w:hAnsi="宋体" w:eastAsia="仿宋_GB2312" w:cs="宋体"/>
          <w:kern w:val="0"/>
          <w:sz w:val="32"/>
          <w:szCs w:val="21"/>
        </w:rPr>
      </w:pPr>
      <w:r>
        <w:rPr>
          <w:rFonts w:ascii="宋体" w:hAnsi="宋体" w:eastAsia="仿宋_GB2312" w:cs="宋体"/>
          <w:kern w:val="0"/>
          <w:sz w:val="32"/>
          <w:szCs w:val="21"/>
        </w:rPr>
        <w:t>1</w:t>
      </w:r>
      <w:r>
        <w:rPr>
          <w:rFonts w:hint="eastAsia" w:ascii="宋体" w:hAnsi="宋体" w:eastAsia="仿宋_GB2312" w:cs="宋体"/>
          <w:kern w:val="0"/>
          <w:sz w:val="32"/>
          <w:szCs w:val="21"/>
        </w:rPr>
        <w:t>．</w:t>
      </w:r>
      <w:r>
        <w:rPr>
          <w:rFonts w:hint="eastAsia" w:ascii="楷体_GB2312" w:hAnsi="宋体" w:eastAsia="楷体_GB2312"/>
          <w:sz w:val="32"/>
          <w:szCs w:val="32"/>
          <w:lang w:val="zh-CN"/>
        </w:rPr>
        <w:t>资金计划及到位。</w:t>
      </w:r>
      <w:r>
        <w:rPr>
          <w:rFonts w:hint="eastAsia" w:ascii="仿宋" w:hAnsi="仿宋" w:eastAsia="仿宋"/>
          <w:color w:val="000000"/>
          <w:sz w:val="32"/>
          <w:szCs w:val="32"/>
          <w:lang w:val="zh-CN"/>
        </w:rPr>
        <w:t>202</w:t>
      </w:r>
      <w:r>
        <w:rPr>
          <w:rFonts w:hint="eastAsia" w:ascii="仿宋" w:hAnsi="仿宋" w:eastAsia="仿宋"/>
          <w:color w:val="000000"/>
          <w:sz w:val="32"/>
          <w:szCs w:val="32"/>
        </w:rPr>
        <w:t>1</w:t>
      </w:r>
      <w:r>
        <w:rPr>
          <w:rFonts w:hint="eastAsia" w:ascii="仿宋" w:hAnsi="仿宋" w:eastAsia="仿宋"/>
          <w:color w:val="000000"/>
          <w:sz w:val="32"/>
          <w:szCs w:val="32"/>
          <w:lang w:val="zh-CN"/>
        </w:rPr>
        <w:t>年财政预算资金</w:t>
      </w:r>
      <w:r>
        <w:rPr>
          <w:rFonts w:hint="eastAsia" w:ascii="仿宋" w:hAnsi="仿宋" w:eastAsia="仿宋"/>
          <w:color w:val="000000"/>
          <w:sz w:val="32"/>
          <w:szCs w:val="32"/>
        </w:rPr>
        <w:t>239</w:t>
      </w:r>
      <w:r>
        <w:rPr>
          <w:rFonts w:hint="eastAsia" w:ascii="仿宋" w:hAnsi="仿宋" w:eastAsia="仿宋"/>
          <w:color w:val="000000"/>
          <w:sz w:val="32"/>
          <w:szCs w:val="32"/>
          <w:lang w:val="zh-CN"/>
        </w:rPr>
        <w:t>万元</w:t>
      </w:r>
      <w:r>
        <w:rPr>
          <w:rFonts w:hint="eastAsia" w:ascii="宋体" w:hAnsi="宋体" w:eastAsia="仿宋_GB2312" w:cs="宋体"/>
          <w:kern w:val="0"/>
          <w:sz w:val="32"/>
          <w:szCs w:val="21"/>
        </w:rPr>
        <w:t>（竹财预</w:t>
      </w:r>
      <w:r>
        <w:rPr>
          <w:rFonts w:hint="eastAsia" w:ascii="仿宋" w:hAnsi="仿宋" w:eastAsia="仿宋"/>
          <w:sz w:val="32"/>
          <w:szCs w:val="32"/>
          <w:lang w:val="zh-CN"/>
        </w:rPr>
        <w:t>〔</w:t>
      </w:r>
      <w:r>
        <w:rPr>
          <w:rFonts w:hint="eastAsia" w:ascii="宋体" w:hAnsi="宋体" w:eastAsia="仿宋_GB2312" w:cs="宋体"/>
          <w:kern w:val="0"/>
          <w:sz w:val="32"/>
          <w:szCs w:val="21"/>
        </w:rPr>
        <w:t>2021</w:t>
      </w:r>
      <w:r>
        <w:rPr>
          <w:rFonts w:hint="eastAsia" w:ascii="仿宋" w:hAnsi="仿宋" w:eastAsia="仿宋"/>
          <w:sz w:val="32"/>
          <w:szCs w:val="32"/>
          <w:lang w:val="zh-CN"/>
        </w:rPr>
        <w:t>〕</w:t>
      </w:r>
      <w:r>
        <w:rPr>
          <w:rFonts w:hint="eastAsia" w:ascii="宋体" w:hAnsi="宋体" w:eastAsia="仿宋_GB2312" w:cs="宋体"/>
          <w:kern w:val="0"/>
          <w:sz w:val="32"/>
          <w:szCs w:val="21"/>
        </w:rPr>
        <w:t>01号），年底追减36.3万元（竹财资环减</w:t>
      </w:r>
      <w:r>
        <w:rPr>
          <w:rFonts w:hint="eastAsia" w:ascii="仿宋" w:hAnsi="仿宋" w:eastAsia="仿宋"/>
          <w:sz w:val="32"/>
          <w:szCs w:val="32"/>
          <w:lang w:val="zh-CN"/>
        </w:rPr>
        <w:t>〔</w:t>
      </w:r>
      <w:r>
        <w:rPr>
          <w:rFonts w:hint="eastAsia" w:ascii="宋体" w:hAnsi="宋体" w:eastAsia="仿宋_GB2312" w:cs="宋体"/>
          <w:kern w:val="0"/>
          <w:sz w:val="32"/>
          <w:szCs w:val="21"/>
        </w:rPr>
        <w:t>2021</w:t>
      </w:r>
      <w:r>
        <w:rPr>
          <w:rFonts w:hint="eastAsia" w:ascii="仿宋" w:hAnsi="仿宋" w:eastAsia="仿宋"/>
          <w:sz w:val="32"/>
          <w:szCs w:val="32"/>
          <w:lang w:val="zh-CN"/>
        </w:rPr>
        <w:t>〕</w:t>
      </w:r>
      <w:r>
        <w:rPr>
          <w:rFonts w:hint="eastAsia" w:ascii="宋体" w:hAnsi="宋体" w:eastAsia="仿宋_GB2312" w:cs="宋体"/>
          <w:kern w:val="0"/>
          <w:sz w:val="32"/>
          <w:szCs w:val="21"/>
        </w:rPr>
        <w:t>39号），实际到位资金202.7万元。各项资金按时到位，到位率100%。</w:t>
      </w:r>
    </w:p>
    <w:p>
      <w:pPr>
        <w:adjustRightInd w:val="0"/>
        <w:snapToGrid w:val="0"/>
        <w:spacing w:line="640" w:lineRule="exact"/>
        <w:ind w:firstLine="800" w:firstLineChars="250"/>
        <w:rPr>
          <w:rFonts w:ascii="仿宋_GB2312" w:hAnsi="宋体" w:eastAsia="仿宋_GB2312"/>
          <w:b/>
          <w:sz w:val="32"/>
          <w:szCs w:val="32"/>
          <w:u w:val="single"/>
        </w:rPr>
      </w:pPr>
      <w:r>
        <w:rPr>
          <w:rFonts w:ascii="楷体_GB2312" w:hAnsi="宋体" w:eastAsia="楷体_GB2312"/>
          <w:sz w:val="32"/>
          <w:szCs w:val="32"/>
          <w:lang w:val="zh-CN"/>
        </w:rPr>
        <w:t>2</w:t>
      </w:r>
      <w:r>
        <w:rPr>
          <w:rFonts w:hint="eastAsia" w:ascii="楷体_GB2312" w:hAnsi="宋体" w:eastAsia="楷体_GB2312"/>
          <w:sz w:val="32"/>
          <w:szCs w:val="32"/>
          <w:lang w:val="zh-CN"/>
        </w:rPr>
        <w:t>．资金使用。</w:t>
      </w:r>
      <w:r>
        <w:rPr>
          <w:rFonts w:hint="eastAsia" w:ascii="仿宋" w:hAnsi="仿宋" w:eastAsia="仿宋"/>
          <w:color w:val="000000"/>
          <w:sz w:val="32"/>
          <w:szCs w:val="32"/>
          <w:lang w:val="zh-CN"/>
        </w:rPr>
        <w:t>资金使用完毕，资金使用安全、规范、有效，支付范围、支付标准、支付进度、支付依据等合规合法、与预算相符。</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40" w:lineRule="exact"/>
        <w:ind w:firstLine="720"/>
        <w:rPr>
          <w:rFonts w:ascii="仿宋" w:hAnsi="仿宋" w:eastAsia="仿宋"/>
          <w:sz w:val="32"/>
          <w:szCs w:val="32"/>
          <w:lang w:val="zh-CN"/>
        </w:rPr>
      </w:pPr>
      <w:r>
        <w:rPr>
          <w:rFonts w:hint="eastAsia" w:ascii="仿宋_GB2312" w:hAnsi="宋体" w:eastAsia="仿宋_GB2312"/>
          <w:sz w:val="32"/>
          <w:szCs w:val="32"/>
          <w:lang w:val="zh-CN"/>
        </w:rPr>
        <w:t>项目实施单位财务管理制度健全，严格执行财务管理制度，</w:t>
      </w:r>
      <w:r>
        <w:rPr>
          <w:rFonts w:hint="eastAsia" w:ascii="仿宋" w:hAnsi="仿宋" w:eastAsia="仿宋"/>
          <w:sz w:val="32"/>
          <w:szCs w:val="32"/>
          <w:lang w:val="zh-CN"/>
        </w:rPr>
        <w:t>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项目按建设工程基本程序实施，职能主管部门的审批完成后，执行了招投标制、合同制、监理制、项目法人责任制等规定的手续和流程。手续完备、流程合法合规。</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rPr>
        <w:t>项目实施中，成立了专门的组织机构，实行专人负责管理并有明确职责分工。依据相关规定，与施工方签订了施工合同，与监理方签订了监理合同，与设计方签订了设计合同等其他重要合同。建立了专门的项目管理制度，包括工程质量控制、进度控制、安全控制等方面进行监管。在验收阶段，进行了造价审核并出具了审核报告，完成了项目的初验和终验。</w:t>
      </w:r>
    </w:p>
    <w:p>
      <w:pPr>
        <w:adjustRightInd w:val="0"/>
        <w:snapToGrid w:val="0"/>
        <w:spacing w:line="64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项目严格按图施工，按相关规范和质量标准施工，现已完成竣工验收，正在办理决算审计工作。</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项目产出达到预期的数量、质量达标。从项目的效益看，项目实施适应社会经济发展的需要，进一步完善小区内配套设施，满足小区使用功能，优化小区环境。项目服务对象对项目的满意度比较高。</w:t>
      </w:r>
    </w:p>
    <w:p>
      <w:pPr>
        <w:adjustRightInd w:val="0"/>
        <w:snapToGrid w:val="0"/>
        <w:spacing w:line="640" w:lineRule="exact"/>
        <w:ind w:firstLine="720"/>
        <w:rPr>
          <w:rFonts w:ascii="仿宋" w:hAnsi="仿宋" w:eastAsia="仿宋"/>
          <w:color w:val="FF0000"/>
          <w:sz w:val="32"/>
          <w:szCs w:val="32"/>
          <w:lang w:val="zh-CN"/>
        </w:rPr>
      </w:pPr>
      <w:r>
        <w:rPr>
          <w:rFonts w:hint="eastAsia" w:ascii="黑体" w:hAnsi="宋体" w:eastAsia="黑体"/>
          <w:sz w:val="32"/>
          <w:szCs w:val="32"/>
        </w:rPr>
        <w:t>五、评价结论及建议</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项目实际完成率、完成及时率均达到或超过绩效目标，质量达标率良好，产出成本可控，管理工作规范，社会效益良好，项目可持续性强，服务对象总体较满意。评定级别为“优”。</w:t>
      </w:r>
    </w:p>
    <w:p>
      <w:pPr>
        <w:adjustRightInd w:val="0"/>
        <w:snapToGrid w:val="0"/>
        <w:spacing w:line="64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仿宋_GB2312" w:hAnsi="宋体" w:eastAsia="仿宋_GB2312"/>
          <w:sz w:val="32"/>
          <w:szCs w:val="32"/>
          <w:lang w:val="zh-CN"/>
        </w:rPr>
        <w:t>无</w:t>
      </w:r>
      <w:r>
        <w:rPr>
          <w:rFonts w:ascii="楷体_GB2312" w:hAnsi="宋体" w:eastAsia="楷体_GB2312"/>
          <w:b/>
          <w:sz w:val="32"/>
          <w:szCs w:val="32"/>
          <w:lang w:val="zh-CN"/>
        </w:rPr>
        <w:tab/>
      </w:r>
    </w:p>
    <w:p>
      <w:pPr>
        <w:adjustRightInd w:val="0"/>
        <w:snapToGrid w:val="0"/>
        <w:spacing w:line="64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（三）相关建议。</w:t>
      </w:r>
      <w:r>
        <w:rPr>
          <w:rFonts w:hint="eastAsia" w:ascii="仿宋_GB2312" w:hAnsi="宋体" w:eastAsia="仿宋_GB2312"/>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920" w:type="dxa"/>
        <w:jc w:val="center"/>
        <w:tblLayout w:type="autofit"/>
        <w:tblCellMar>
          <w:top w:w="0" w:type="dxa"/>
          <w:left w:w="108" w:type="dxa"/>
          <w:bottom w:w="0" w:type="dxa"/>
          <w:right w:w="108" w:type="dxa"/>
        </w:tblCellMar>
      </w:tblPr>
      <w:tblGrid>
        <w:gridCol w:w="960"/>
        <w:gridCol w:w="900"/>
        <w:gridCol w:w="1260"/>
        <w:gridCol w:w="1080"/>
        <w:gridCol w:w="1060"/>
        <w:gridCol w:w="2100"/>
        <w:gridCol w:w="2560"/>
      </w:tblGrid>
      <w:tr>
        <w:tblPrEx>
          <w:tblCellMar>
            <w:top w:w="0" w:type="dxa"/>
            <w:left w:w="108" w:type="dxa"/>
            <w:bottom w:w="0" w:type="dxa"/>
            <w:right w:w="108" w:type="dxa"/>
          </w:tblCellMar>
        </w:tblPrEx>
        <w:trPr>
          <w:trHeight w:val="405" w:hRule="atLeast"/>
          <w:jc w:val="center"/>
        </w:trPr>
        <w:tc>
          <w:tcPr>
            <w:tcW w:w="992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92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（2021年度）</w:t>
            </w:r>
          </w:p>
        </w:tc>
      </w:tr>
      <w:tr>
        <w:tblPrEx>
          <w:tblCellMar>
            <w:top w:w="0" w:type="dxa"/>
            <w:left w:w="108" w:type="dxa"/>
            <w:bottom w:w="0" w:type="dxa"/>
            <w:right w:w="108" w:type="dxa"/>
          </w:tblCellMar>
        </w:tblPrEx>
        <w:trPr>
          <w:trHeight w:val="270" w:hRule="atLeast"/>
          <w:jc w:val="center"/>
        </w:trPr>
        <w:tc>
          <w:tcPr>
            <w:tcW w:w="96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26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06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10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56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82" w:hRule="atLeast"/>
          <w:jc w:val="center"/>
        </w:trPr>
        <w:tc>
          <w:tcPr>
            <w:tcW w:w="3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8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绵竹市遵道镇廉租房、广济镇廉租房、孝德镇安置房（东区）及廉租房工程配套基础设施项目</w:t>
            </w:r>
          </w:p>
        </w:tc>
      </w:tr>
      <w:tr>
        <w:tblPrEx>
          <w:tblCellMar>
            <w:top w:w="0" w:type="dxa"/>
            <w:left w:w="108" w:type="dxa"/>
            <w:bottom w:w="0" w:type="dxa"/>
            <w:right w:w="108" w:type="dxa"/>
          </w:tblCellMar>
        </w:tblPrEx>
        <w:trPr>
          <w:trHeight w:val="270" w:hRule="atLeast"/>
          <w:jc w:val="center"/>
        </w:trPr>
        <w:tc>
          <w:tcPr>
            <w:tcW w:w="31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8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270" w:hRule="atLeast"/>
          <w:jc w:val="center"/>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1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202.7万元</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202.7万元</w:t>
            </w:r>
          </w:p>
        </w:tc>
      </w:tr>
      <w:tr>
        <w:tblPrEx>
          <w:tblCellMar>
            <w:top w:w="0" w:type="dxa"/>
            <w:left w:w="108" w:type="dxa"/>
            <w:bottom w:w="0" w:type="dxa"/>
            <w:right w:w="108" w:type="dxa"/>
          </w:tblCellMar>
        </w:tblPrEx>
        <w:trPr>
          <w:trHeight w:val="360"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1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202.7万元</w:t>
            </w:r>
          </w:p>
        </w:tc>
        <w:tc>
          <w:tcPr>
            <w:tcW w:w="210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202.7万元</w:t>
            </w:r>
          </w:p>
        </w:tc>
      </w:tr>
      <w:tr>
        <w:tblPrEx>
          <w:tblCellMar>
            <w:top w:w="0" w:type="dxa"/>
            <w:left w:w="108" w:type="dxa"/>
            <w:bottom w:w="0" w:type="dxa"/>
            <w:right w:w="108" w:type="dxa"/>
          </w:tblCellMar>
        </w:tblPrEx>
        <w:trPr>
          <w:trHeight w:val="360"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1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10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5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35" w:hRule="atLeast"/>
          <w:jc w:val="center"/>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3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6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975"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3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完善小区内配套设施，满足小区使用功能，优化小区环境。</w:t>
            </w:r>
          </w:p>
        </w:tc>
        <w:tc>
          <w:tcPr>
            <w:tcW w:w="46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完成遵道镇廉租房、广济镇廉租房、孝德镇安置房（东区）及廉租房配套基础设施改造，完善小区内配套设施，满足小区使用功能，优化小区环境。</w:t>
            </w:r>
          </w:p>
        </w:tc>
      </w:tr>
      <w:tr>
        <w:tblPrEx>
          <w:tblCellMar>
            <w:top w:w="0" w:type="dxa"/>
            <w:left w:w="108" w:type="dxa"/>
            <w:bottom w:w="0" w:type="dxa"/>
            <w:right w:w="108" w:type="dxa"/>
          </w:tblCellMar>
        </w:tblPrEx>
        <w:trPr>
          <w:trHeight w:val="480" w:hRule="atLeast"/>
          <w:jc w:val="center"/>
        </w:trPr>
        <w:tc>
          <w:tcPr>
            <w:tcW w:w="96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2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改造小区数</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3个</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3个</w:t>
            </w:r>
          </w:p>
        </w:tc>
      </w:tr>
      <w:tr>
        <w:tblPrEx>
          <w:tblCellMar>
            <w:top w:w="0" w:type="dxa"/>
            <w:left w:w="108" w:type="dxa"/>
            <w:bottom w:w="0" w:type="dxa"/>
            <w:right w:w="108" w:type="dxa"/>
          </w:tblCellMar>
        </w:tblPrEx>
        <w:trPr>
          <w:trHeight w:val="480"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改造质量</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合格</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合格</w:t>
            </w:r>
          </w:p>
        </w:tc>
      </w:tr>
      <w:tr>
        <w:tblPrEx>
          <w:tblCellMar>
            <w:top w:w="0" w:type="dxa"/>
            <w:left w:w="108" w:type="dxa"/>
            <w:bottom w:w="0" w:type="dxa"/>
            <w:right w:w="108" w:type="dxa"/>
          </w:tblCellMar>
        </w:tblPrEx>
        <w:trPr>
          <w:trHeight w:val="480"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工程事故率</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480"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完工目标完成率</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投入资金额</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202.7万元</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202.7万元</w:t>
            </w:r>
          </w:p>
        </w:tc>
      </w:tr>
      <w:tr>
        <w:tblPrEx>
          <w:tblCellMar>
            <w:top w:w="0" w:type="dxa"/>
            <w:left w:w="108" w:type="dxa"/>
            <w:bottom w:w="0" w:type="dxa"/>
            <w:right w:w="108" w:type="dxa"/>
          </w:tblCellMar>
        </w:tblPrEx>
        <w:trPr>
          <w:trHeight w:val="1515"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2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提高公租房完好率和使用率，规范公租房入住管理。</w:t>
            </w:r>
          </w:p>
        </w:tc>
        <w:tc>
          <w:tcPr>
            <w:tcW w:w="21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公租房及小区配套设施完好率和能使用率100%，公租房租金收入率逐年上升，违规行为逐年减少，群众满意度逐年上升。</w:t>
            </w:r>
          </w:p>
        </w:tc>
        <w:tc>
          <w:tcPr>
            <w:tcW w:w="25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公租房及小区配套设施完好率和能使用率100%，公租房租金收入率逐年上升，违规行为逐年减少，群众满意度逐年上升。</w:t>
            </w:r>
          </w:p>
        </w:tc>
      </w:tr>
      <w:tr>
        <w:tblPrEx>
          <w:tblCellMar>
            <w:top w:w="0" w:type="dxa"/>
            <w:left w:w="108" w:type="dxa"/>
            <w:bottom w:w="0" w:type="dxa"/>
            <w:right w:w="108" w:type="dxa"/>
          </w:tblCellMar>
        </w:tblPrEx>
        <w:trPr>
          <w:trHeight w:val="462"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居民生活质量满意度</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r>
      <w:tr>
        <w:tblPrEx>
          <w:tblCellMar>
            <w:top w:w="0" w:type="dxa"/>
            <w:left w:w="108" w:type="dxa"/>
            <w:bottom w:w="0" w:type="dxa"/>
            <w:right w:w="108" w:type="dxa"/>
          </w:tblCellMar>
        </w:tblPrEx>
        <w:trPr>
          <w:trHeight w:val="375"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群众居住条件是否改善</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w:t>
            </w:r>
          </w:p>
        </w:tc>
      </w:tr>
      <w:tr>
        <w:tblPrEx>
          <w:tblCellMar>
            <w:top w:w="0" w:type="dxa"/>
            <w:left w:w="108" w:type="dxa"/>
            <w:bottom w:w="0" w:type="dxa"/>
            <w:right w:w="108" w:type="dxa"/>
          </w:tblCellMar>
        </w:tblPrEx>
        <w:trPr>
          <w:trHeight w:val="540"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小区居住环境改善</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达成预期目标</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达成预期目标</w:t>
            </w:r>
          </w:p>
        </w:tc>
      </w:tr>
      <w:tr>
        <w:tblPrEx>
          <w:tblCellMar>
            <w:top w:w="0" w:type="dxa"/>
            <w:left w:w="108" w:type="dxa"/>
            <w:bottom w:w="0" w:type="dxa"/>
            <w:right w:w="108" w:type="dxa"/>
          </w:tblCellMar>
        </w:tblPrEx>
        <w:trPr>
          <w:trHeight w:val="615"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2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和谐社会建设</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达成预期目标</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达成预期目标</w:t>
            </w:r>
          </w:p>
        </w:tc>
      </w:tr>
      <w:tr>
        <w:tblPrEx>
          <w:tblCellMar>
            <w:top w:w="0" w:type="dxa"/>
            <w:left w:w="108" w:type="dxa"/>
            <w:bottom w:w="0" w:type="dxa"/>
            <w:right w:w="108" w:type="dxa"/>
          </w:tblCellMar>
        </w:tblPrEx>
        <w:trPr>
          <w:trHeight w:val="675"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改造住户满意度</w:t>
            </w:r>
          </w:p>
        </w:tc>
        <w:tc>
          <w:tcPr>
            <w:tcW w:w="21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25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r>
    </w:tbl>
    <w:p>
      <w:pPr>
        <w:pStyle w:val="2"/>
        <w:spacing w:before="93"/>
        <w:rPr>
          <w:rFonts w:hAnsi="宋体" w:cs="宋体"/>
          <w:sz w:val="32"/>
          <w:szCs w:val="32"/>
          <w:shd w:val="clear" w:color="auto" w:fill="FFFFFF"/>
          <w:lang w:val="zh-CN"/>
        </w:rPr>
      </w:pPr>
    </w:p>
    <w:p>
      <w:pPr>
        <w:spacing w:line="580" w:lineRule="exact"/>
        <w:jc w:val="center"/>
        <w:rPr>
          <w:rFonts w:ascii="方正小标宋简体" w:hAnsi="宋体" w:eastAsia="方正小标宋简体"/>
          <w:color w:val="000000"/>
          <w:kern w:val="0"/>
          <w:sz w:val="44"/>
          <w:szCs w:val="44"/>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lang w:val="zh-CN"/>
        </w:rPr>
      </w:pPr>
      <w:r>
        <w:rPr>
          <w:rFonts w:hint="eastAsia" w:ascii="仿宋_GB2312" w:hAnsi="宋体" w:eastAsia="仿宋_GB2312"/>
          <w:sz w:val="32"/>
          <w:szCs w:val="32"/>
          <w:lang w:val="zh-CN"/>
        </w:rPr>
        <w:t>（经适房上市交易工作经费）</w:t>
      </w:r>
    </w:p>
    <w:p>
      <w:pPr>
        <w:spacing w:line="580" w:lineRule="exact"/>
        <w:ind w:firstLine="640"/>
        <w:jc w:val="center"/>
        <w:rPr>
          <w:rFonts w:ascii="楷体_GB2312" w:hAnsi="宋体" w:eastAsia="楷体_GB2312"/>
          <w:b/>
          <w:sz w:val="30"/>
          <w:szCs w:val="30"/>
          <w:lang w:val="zh-CN"/>
        </w:rPr>
      </w:pPr>
    </w:p>
    <w:p>
      <w:pPr>
        <w:adjustRightInd w:val="0"/>
        <w:snapToGrid w:val="0"/>
        <w:spacing w:line="62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20" w:lineRule="exact"/>
        <w:ind w:left="640"/>
        <w:rPr>
          <w:rFonts w:ascii="仿宋_GB2312" w:hAnsi="宋体" w:eastAsia="仿宋_GB2312"/>
          <w:sz w:val="32"/>
          <w:szCs w:val="32"/>
          <w:lang w:val="zh-CN"/>
        </w:rPr>
      </w:pPr>
      <w:r>
        <w:rPr>
          <w:rFonts w:hint="eastAsia" w:ascii="楷体_GB2312" w:hAnsi="宋体" w:eastAsia="楷体_GB2312"/>
          <w:b/>
          <w:sz w:val="32"/>
          <w:szCs w:val="32"/>
          <w:lang w:val="zh-CN"/>
        </w:rPr>
        <w:t>（一）项目资金申报及批复情况。</w:t>
      </w:r>
    </w:p>
    <w:p>
      <w:pPr>
        <w:spacing w:line="620" w:lineRule="exact"/>
        <w:ind w:firstLine="640" w:firstLineChars="200"/>
        <w:rPr>
          <w:rFonts w:ascii="宋体" w:hAnsi="宋体" w:eastAsia="仿宋_GB2312"/>
          <w:sz w:val="32"/>
          <w:szCs w:val="32"/>
        </w:rPr>
      </w:pPr>
      <w:r>
        <w:rPr>
          <w:rFonts w:hint="eastAsia" w:ascii="宋体" w:hAnsi="宋体" w:eastAsia="仿宋_GB2312"/>
          <w:sz w:val="32"/>
          <w:szCs w:val="32"/>
        </w:rPr>
        <w:t>为切实做好我市经济适用住房上市交易初审工作，经上级同意每年预算经济适用住房上市交易工作经费用于该项工</w:t>
      </w:r>
      <w:r>
        <w:rPr>
          <w:rFonts w:hint="eastAsia" w:ascii="宋体" w:hAnsi="宋体" w:eastAsia="仿宋_GB2312"/>
          <w:sz w:val="32"/>
          <w:szCs w:val="32"/>
          <w:lang w:eastAsia="zh-CN"/>
        </w:rPr>
        <w:t>作的</w:t>
      </w:r>
      <w:r>
        <w:rPr>
          <w:rFonts w:hint="eastAsia" w:ascii="宋体" w:hAnsi="宋体" w:eastAsia="仿宋_GB2312"/>
          <w:sz w:val="32"/>
          <w:szCs w:val="32"/>
        </w:rPr>
        <w:t>日常运行和管理经费。</w:t>
      </w:r>
    </w:p>
    <w:p>
      <w:pPr>
        <w:adjustRightInd w:val="0"/>
        <w:snapToGrid w:val="0"/>
        <w:spacing w:line="620" w:lineRule="exact"/>
        <w:ind w:left="64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620" w:lineRule="exact"/>
        <w:ind w:firstLine="640" w:firstLineChars="200"/>
        <w:rPr>
          <w:rFonts w:ascii="宋体" w:hAnsi="宋体" w:eastAsia="仿宋_GB2312"/>
          <w:sz w:val="32"/>
          <w:szCs w:val="32"/>
        </w:rPr>
      </w:pPr>
      <w:r>
        <w:rPr>
          <w:rFonts w:hint="eastAsia" w:ascii="仿宋" w:hAnsi="仿宋" w:eastAsia="仿宋"/>
          <w:color w:val="000000"/>
          <w:sz w:val="32"/>
          <w:szCs w:val="32"/>
          <w:lang w:val="zh-CN"/>
        </w:rPr>
        <w:t>1．项目主要内容：</w:t>
      </w:r>
      <w:r>
        <w:rPr>
          <w:rFonts w:hint="eastAsia" w:ascii="宋体" w:hAnsi="宋体" w:eastAsia="仿宋_GB2312"/>
          <w:sz w:val="32"/>
          <w:szCs w:val="32"/>
        </w:rPr>
        <w:t>做好全市经济适用住房上市交易工作。</w:t>
      </w:r>
    </w:p>
    <w:p>
      <w:pPr>
        <w:adjustRightInd w:val="0"/>
        <w:snapToGrid w:val="0"/>
        <w:spacing w:line="620" w:lineRule="exact"/>
        <w:ind w:firstLine="480" w:firstLineChars="150"/>
        <w:rPr>
          <w:rFonts w:ascii="仿宋" w:hAnsi="仿宋" w:eastAsia="仿宋"/>
          <w:color w:val="000000"/>
          <w:sz w:val="32"/>
          <w:szCs w:val="32"/>
          <w:lang w:val="zh-CN"/>
        </w:rPr>
      </w:pPr>
      <w:r>
        <w:rPr>
          <w:rFonts w:ascii="仿宋" w:hAnsi="仿宋" w:eastAsia="仿宋"/>
          <w:color w:val="000000"/>
          <w:sz w:val="32"/>
          <w:szCs w:val="32"/>
          <w:lang w:val="zh-CN"/>
        </w:rPr>
        <w:t xml:space="preserve"> </w:t>
      </w:r>
      <w:r>
        <w:rPr>
          <w:rFonts w:hint="eastAsia" w:ascii="仿宋" w:hAnsi="仿宋" w:eastAsia="仿宋"/>
          <w:color w:val="000000"/>
          <w:sz w:val="32"/>
          <w:szCs w:val="32"/>
        </w:rPr>
        <w:t>2</w:t>
      </w:r>
      <w:r>
        <w:rPr>
          <w:rFonts w:hint="eastAsia" w:ascii="仿宋" w:hAnsi="仿宋" w:eastAsia="仿宋"/>
          <w:color w:val="000000"/>
          <w:sz w:val="32"/>
          <w:szCs w:val="32"/>
          <w:lang w:val="zh-CN"/>
        </w:rPr>
        <w:t>．申报内容与实际相符，申报目标合理可行。</w:t>
      </w:r>
    </w:p>
    <w:p>
      <w:pPr>
        <w:adjustRightInd w:val="0"/>
        <w:snapToGrid w:val="0"/>
        <w:spacing w:line="620" w:lineRule="exact"/>
        <w:ind w:firstLine="481" w:firstLineChars="15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2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由我局开展财政资金使用情况自评并撰写部门预算支出绩效报告，按规范格式按时提交自评报告。</w:t>
      </w:r>
    </w:p>
    <w:p>
      <w:pPr>
        <w:adjustRightInd w:val="0"/>
        <w:snapToGrid w:val="0"/>
        <w:spacing w:line="620" w:lineRule="exact"/>
        <w:ind w:firstLine="640" w:firstLineChars="200"/>
        <w:rPr>
          <w:rFonts w:ascii="黑体" w:hAnsi="宋体" w:eastAsia="黑体"/>
          <w:sz w:val="32"/>
          <w:szCs w:val="32"/>
        </w:rPr>
      </w:pPr>
      <w:r>
        <w:rPr>
          <w:rFonts w:hint="eastAsia" w:ascii="黑体" w:hAnsi="宋体" w:eastAsia="黑体"/>
          <w:sz w:val="32"/>
          <w:szCs w:val="32"/>
        </w:rPr>
        <w:t>二、项目实施及管理情况</w:t>
      </w:r>
    </w:p>
    <w:p>
      <w:pPr>
        <w:adjustRightInd w:val="0"/>
        <w:snapToGrid w:val="0"/>
        <w:spacing w:line="62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（一）资金计划、到位及使用情况。</w:t>
      </w:r>
    </w:p>
    <w:p>
      <w:pPr>
        <w:adjustRightInd w:val="0"/>
        <w:snapToGrid w:val="0"/>
        <w:spacing w:line="62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1．资金计划及到位。</w:t>
      </w:r>
    </w:p>
    <w:p>
      <w:pPr>
        <w:adjustRightInd w:val="0"/>
        <w:snapToGrid w:val="0"/>
        <w:spacing w:line="62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202</w:t>
      </w:r>
      <w:r>
        <w:rPr>
          <w:rFonts w:hint="eastAsia" w:ascii="仿宋" w:hAnsi="仿宋" w:eastAsia="仿宋"/>
          <w:color w:val="000000"/>
          <w:sz w:val="32"/>
          <w:szCs w:val="32"/>
        </w:rPr>
        <w:t>1</w:t>
      </w:r>
      <w:r>
        <w:rPr>
          <w:rFonts w:hint="eastAsia" w:ascii="仿宋" w:hAnsi="仿宋" w:eastAsia="仿宋"/>
          <w:color w:val="000000"/>
          <w:sz w:val="32"/>
          <w:szCs w:val="32"/>
          <w:lang w:val="zh-CN"/>
        </w:rPr>
        <w:t>年财政预算资金</w:t>
      </w:r>
      <w:r>
        <w:rPr>
          <w:rFonts w:hint="eastAsia" w:ascii="仿宋" w:hAnsi="仿宋" w:eastAsia="仿宋"/>
          <w:color w:val="000000"/>
          <w:sz w:val="32"/>
          <w:szCs w:val="32"/>
        </w:rPr>
        <w:t>3</w:t>
      </w:r>
      <w:r>
        <w:rPr>
          <w:rFonts w:hint="eastAsia" w:ascii="仿宋" w:hAnsi="仿宋" w:eastAsia="仿宋"/>
          <w:color w:val="000000"/>
          <w:sz w:val="32"/>
          <w:szCs w:val="32"/>
          <w:lang w:val="zh-CN"/>
        </w:rPr>
        <w:t>万元</w:t>
      </w:r>
      <w:r>
        <w:rPr>
          <w:rFonts w:hint="eastAsia" w:ascii="仿宋" w:hAnsi="仿宋" w:eastAsia="仿宋"/>
          <w:color w:val="000000"/>
          <w:sz w:val="32"/>
          <w:szCs w:val="32"/>
        </w:rPr>
        <w:t>（</w:t>
      </w:r>
      <w:r>
        <w:rPr>
          <w:rFonts w:hint="eastAsia" w:ascii="仿宋" w:hAnsi="仿宋" w:eastAsia="仿宋"/>
          <w:color w:val="000000"/>
          <w:sz w:val="32"/>
          <w:szCs w:val="32"/>
          <w:lang w:val="zh-CN"/>
        </w:rPr>
        <w:t>竹财预（2021）01号</w:t>
      </w:r>
      <w:r>
        <w:rPr>
          <w:rFonts w:hint="eastAsia"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zh-CN"/>
        </w:rPr>
        <w:t>实际到位资金</w:t>
      </w:r>
      <w:r>
        <w:rPr>
          <w:rFonts w:hint="eastAsia" w:ascii="仿宋" w:hAnsi="仿宋" w:eastAsia="仿宋"/>
          <w:color w:val="000000"/>
          <w:sz w:val="32"/>
          <w:szCs w:val="32"/>
        </w:rPr>
        <w:t>3</w:t>
      </w:r>
      <w:r>
        <w:rPr>
          <w:rFonts w:hint="eastAsia" w:ascii="仿宋" w:hAnsi="仿宋" w:eastAsia="仿宋"/>
          <w:color w:val="000000"/>
          <w:sz w:val="32"/>
          <w:szCs w:val="32"/>
          <w:lang w:val="zh-CN"/>
        </w:rPr>
        <w:t>万元。资金按时到位，到位率100%。</w:t>
      </w:r>
    </w:p>
    <w:p>
      <w:pPr>
        <w:adjustRightInd w:val="0"/>
        <w:snapToGrid w:val="0"/>
        <w:spacing w:line="620" w:lineRule="exact"/>
        <w:ind w:firstLine="640" w:firstLineChars="200"/>
        <w:rPr>
          <w:rFonts w:ascii="仿宋_GB2312" w:hAnsi="宋体" w:eastAsia="仿宋_GB2312"/>
          <w:sz w:val="32"/>
          <w:szCs w:val="32"/>
        </w:rPr>
      </w:pPr>
      <w:r>
        <w:rPr>
          <w:rFonts w:hint="eastAsia" w:ascii="仿宋" w:hAnsi="仿宋" w:eastAsia="仿宋"/>
          <w:color w:val="000000"/>
          <w:sz w:val="32"/>
          <w:szCs w:val="32"/>
          <w:lang w:val="zh-CN"/>
        </w:rPr>
        <w:t>2．资金使用：资金用于经济适用房上市所需对同时期同类地段商品房交易价格进行评估，并对当年的交易价格进行社会稳定风险评估，经济适用住房上市审核工作经费、政策宣传等，资金使用完毕，资金使用安全、规范、有效，支付范围、支付标准、支付进度、支付依据等合规合法、与预算相符。</w:t>
      </w:r>
    </w:p>
    <w:p>
      <w:pPr>
        <w:adjustRightInd w:val="0"/>
        <w:snapToGrid w:val="0"/>
        <w:spacing w:line="620" w:lineRule="exact"/>
        <w:ind w:firstLine="720"/>
        <w:rPr>
          <w:rFonts w:ascii="仿宋_GB2312" w:hAnsi="宋体" w:eastAsia="仿宋_GB2312"/>
          <w:sz w:val="32"/>
          <w:szCs w:val="32"/>
        </w:rPr>
      </w:pPr>
      <w:r>
        <w:rPr>
          <w:rFonts w:hint="eastAsia" w:ascii="楷体_GB2312" w:hAnsi="宋体" w:eastAsia="楷体_GB2312"/>
          <w:b/>
          <w:sz w:val="32"/>
          <w:szCs w:val="32"/>
          <w:lang w:val="zh-CN"/>
        </w:rPr>
        <w:t>（二）项目财务管理情况。</w:t>
      </w:r>
    </w:p>
    <w:p>
      <w:pPr>
        <w:adjustRightInd w:val="0"/>
        <w:snapToGrid w:val="0"/>
        <w:spacing w:line="620" w:lineRule="exact"/>
        <w:ind w:firstLine="720"/>
        <w:rPr>
          <w:rFonts w:ascii="仿宋" w:hAnsi="仿宋" w:eastAsia="仿宋"/>
          <w:sz w:val="32"/>
          <w:szCs w:val="32"/>
          <w:lang w:val="zh-CN"/>
        </w:rPr>
      </w:pPr>
      <w:r>
        <w:rPr>
          <w:rFonts w:hint="eastAsia" w:ascii="仿宋_GB2312" w:hAnsi="宋体" w:eastAsia="仿宋_GB2312"/>
          <w:sz w:val="32"/>
          <w:szCs w:val="32"/>
          <w:lang w:val="zh-CN"/>
        </w:rPr>
        <w:t>项目实施单位财务管理制度健全，严格执行财务管理制度，</w:t>
      </w:r>
      <w:r>
        <w:rPr>
          <w:rFonts w:hint="eastAsia" w:ascii="仿宋" w:hAnsi="仿宋" w:eastAsia="仿宋"/>
          <w:sz w:val="32"/>
          <w:szCs w:val="32"/>
          <w:lang w:val="zh-CN"/>
        </w:rPr>
        <w:t>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620" w:lineRule="exact"/>
        <w:ind w:firstLine="720"/>
        <w:rPr>
          <w:rFonts w:ascii="黑体" w:hAnsi="宋体" w:eastAsia="黑体"/>
          <w:sz w:val="32"/>
          <w:szCs w:val="32"/>
          <w:lang w:val="zh-CN"/>
        </w:rPr>
      </w:pPr>
      <w:r>
        <w:rPr>
          <w:rFonts w:hint="eastAsia" w:ascii="黑体" w:hAnsi="宋体" w:eastAsia="黑体"/>
          <w:sz w:val="32"/>
          <w:szCs w:val="32"/>
          <w:lang w:val="zh-CN"/>
        </w:rPr>
        <w:t>三、项目组织实施情况</w:t>
      </w:r>
    </w:p>
    <w:p>
      <w:pPr>
        <w:adjustRightInd w:val="0"/>
        <w:snapToGrid w:val="0"/>
        <w:spacing w:line="6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20" w:lineRule="exact"/>
        <w:ind w:firstLine="720"/>
        <w:rPr>
          <w:rFonts w:ascii="仿宋" w:hAnsi="仿宋" w:eastAsia="仿宋"/>
          <w:sz w:val="32"/>
          <w:szCs w:val="32"/>
          <w:lang w:val="zh-CN"/>
        </w:rPr>
      </w:pPr>
      <w:r>
        <w:rPr>
          <w:rFonts w:hint="eastAsia" w:ascii="仿宋" w:hAnsi="仿宋" w:eastAsia="仿宋"/>
          <w:sz w:val="32"/>
          <w:szCs w:val="32"/>
          <w:lang w:val="zh-CN"/>
        </w:rPr>
        <w:t>按照《绵竹市经济适用房（安居住房）上市交易管理办法》的相关规定，根据项目进度，有序推进工作。</w:t>
      </w:r>
    </w:p>
    <w:p>
      <w:pPr>
        <w:adjustRightInd w:val="0"/>
        <w:snapToGrid w:val="0"/>
        <w:spacing w:line="62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20" w:lineRule="exact"/>
        <w:ind w:firstLine="720"/>
        <w:rPr>
          <w:rFonts w:ascii="仿宋" w:hAnsi="仿宋" w:eastAsia="仿宋"/>
          <w:color w:val="000000"/>
          <w:sz w:val="32"/>
          <w:szCs w:val="32"/>
          <w:lang w:val="zh-CN"/>
        </w:rPr>
      </w:pPr>
      <w:r>
        <w:rPr>
          <w:rFonts w:hint="eastAsia" w:ascii="仿宋" w:hAnsi="仿宋" w:eastAsia="仿宋"/>
          <w:color w:val="000000"/>
          <w:sz w:val="32"/>
          <w:szCs w:val="32"/>
          <w:lang w:val="zh-CN"/>
        </w:rPr>
        <w:t>按照</w:t>
      </w:r>
      <w:r>
        <w:rPr>
          <w:rFonts w:hint="eastAsia" w:ascii="仿宋" w:hAnsi="仿宋" w:eastAsia="仿宋"/>
          <w:sz w:val="32"/>
          <w:szCs w:val="32"/>
          <w:lang w:val="zh-CN"/>
        </w:rPr>
        <w:t>《绵竹市经济适用房（安居住房）上市交易管理办法》</w:t>
      </w:r>
      <w:r>
        <w:rPr>
          <w:rFonts w:hint="eastAsia" w:ascii="仿宋" w:hAnsi="仿宋" w:eastAsia="仿宋"/>
          <w:color w:val="000000"/>
          <w:sz w:val="32"/>
          <w:szCs w:val="32"/>
          <w:lang w:val="zh-CN"/>
        </w:rPr>
        <w:t>相关规定管理。</w:t>
      </w:r>
    </w:p>
    <w:p>
      <w:pPr>
        <w:spacing w:line="62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rPr>
        <w:t>（三）</w:t>
      </w:r>
      <w:r>
        <w:rPr>
          <w:rFonts w:hint="eastAsia" w:ascii="楷体_GB2312" w:hAnsi="宋体" w:eastAsia="楷体_GB2312"/>
          <w:b/>
          <w:sz w:val="32"/>
          <w:szCs w:val="32"/>
          <w:lang w:val="zh-CN"/>
        </w:rPr>
        <w:t>项目监管情况。</w:t>
      </w:r>
    </w:p>
    <w:p>
      <w:pPr>
        <w:adjustRightInd w:val="0"/>
        <w:snapToGrid w:val="0"/>
        <w:spacing w:line="620" w:lineRule="exact"/>
        <w:ind w:firstLine="720"/>
        <w:rPr>
          <w:rFonts w:ascii="仿宋" w:hAnsi="仿宋" w:eastAsia="仿宋"/>
          <w:sz w:val="32"/>
          <w:szCs w:val="32"/>
          <w:lang w:val="zh-CN"/>
        </w:rPr>
      </w:pPr>
      <w:r>
        <w:rPr>
          <w:rFonts w:hint="eastAsia" w:ascii="仿宋" w:hAnsi="仿宋" w:eastAsia="仿宋"/>
          <w:sz w:val="32"/>
          <w:szCs w:val="32"/>
          <w:lang w:val="zh-CN"/>
        </w:rPr>
        <w:t>我局</w:t>
      </w:r>
      <w:r>
        <w:rPr>
          <w:rFonts w:hint="eastAsia" w:ascii="仿宋" w:hAnsi="仿宋" w:eastAsia="仿宋"/>
          <w:color w:val="000000"/>
          <w:sz w:val="32"/>
          <w:szCs w:val="32"/>
          <w:lang w:val="zh-CN"/>
        </w:rPr>
        <w:t>按照</w:t>
      </w:r>
      <w:r>
        <w:rPr>
          <w:rFonts w:hint="eastAsia" w:ascii="仿宋" w:hAnsi="仿宋" w:eastAsia="仿宋"/>
          <w:sz w:val="32"/>
          <w:szCs w:val="32"/>
          <w:lang w:val="zh-CN"/>
        </w:rPr>
        <w:t>《绵竹市经济适用房（安居住房）上市交易管理办法》</w:t>
      </w:r>
      <w:r>
        <w:rPr>
          <w:rFonts w:hint="eastAsia" w:ascii="仿宋" w:hAnsi="仿宋" w:eastAsia="仿宋"/>
          <w:color w:val="000000"/>
          <w:sz w:val="32"/>
          <w:szCs w:val="32"/>
          <w:lang w:val="zh-CN"/>
        </w:rPr>
        <w:t>相关规定，组织相关部门每年对我市经济适用住房同类地段同时期普通商品住房平均交易单价进行核定，开展</w:t>
      </w:r>
      <w:r>
        <w:rPr>
          <w:rFonts w:hint="eastAsia" w:ascii="仿宋" w:hAnsi="仿宋" w:eastAsia="仿宋"/>
          <w:sz w:val="32"/>
          <w:szCs w:val="32"/>
          <w:lang w:val="zh-CN"/>
        </w:rPr>
        <w:t>绵竹市经济适用房（安居住房）上市交易初审</w:t>
      </w:r>
      <w:r>
        <w:rPr>
          <w:rFonts w:hint="eastAsia" w:ascii="仿宋" w:hAnsi="仿宋" w:eastAsia="仿宋"/>
          <w:color w:val="000000"/>
          <w:sz w:val="32"/>
          <w:szCs w:val="32"/>
          <w:lang w:val="zh-CN"/>
        </w:rPr>
        <w:t>工作。</w:t>
      </w:r>
    </w:p>
    <w:p>
      <w:pPr>
        <w:adjustRightInd w:val="0"/>
        <w:snapToGrid w:val="0"/>
        <w:spacing w:line="620" w:lineRule="exact"/>
        <w:ind w:firstLine="720"/>
        <w:rPr>
          <w:rFonts w:ascii="黑体" w:hAnsi="宋体" w:eastAsia="黑体"/>
          <w:sz w:val="32"/>
          <w:szCs w:val="32"/>
          <w:lang w:val="zh-CN"/>
        </w:rPr>
      </w:pPr>
      <w:r>
        <w:rPr>
          <w:rFonts w:hint="eastAsia" w:ascii="黑体" w:hAnsi="宋体" w:eastAsia="黑体"/>
          <w:sz w:val="32"/>
          <w:szCs w:val="32"/>
          <w:lang w:val="zh-CN"/>
        </w:rPr>
        <w:t>四、项目绩效情况</w:t>
      </w:r>
      <w:r>
        <w:rPr>
          <w:rFonts w:hint="eastAsia" w:ascii="黑体" w:hAnsi="宋体" w:eastAsia="黑体"/>
          <w:sz w:val="32"/>
          <w:szCs w:val="32"/>
          <w:lang w:val="zh-CN"/>
        </w:rPr>
        <w:tab/>
      </w:r>
    </w:p>
    <w:p>
      <w:pPr>
        <w:adjustRightInd w:val="0"/>
        <w:snapToGrid w:val="0"/>
        <w:spacing w:line="62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20" w:lineRule="exact"/>
        <w:ind w:firstLine="720"/>
        <w:rPr>
          <w:rFonts w:ascii="仿宋" w:hAnsi="仿宋" w:eastAsia="仿宋"/>
          <w:sz w:val="32"/>
          <w:szCs w:val="32"/>
          <w:lang w:val="zh-CN"/>
        </w:rPr>
      </w:pPr>
      <w:r>
        <w:rPr>
          <w:rFonts w:hint="eastAsia" w:ascii="仿宋" w:hAnsi="仿宋" w:eastAsia="仿宋"/>
          <w:sz w:val="32"/>
          <w:szCs w:val="32"/>
          <w:lang w:val="zh-CN"/>
        </w:rPr>
        <w:t>完成202</w:t>
      </w:r>
      <w:r>
        <w:rPr>
          <w:rFonts w:hint="eastAsia" w:ascii="仿宋" w:hAnsi="仿宋" w:eastAsia="仿宋"/>
          <w:sz w:val="32"/>
          <w:szCs w:val="32"/>
        </w:rPr>
        <w:t>1</w:t>
      </w:r>
      <w:r>
        <w:rPr>
          <w:rFonts w:hint="eastAsia" w:ascii="仿宋" w:hAnsi="仿宋" w:eastAsia="仿宋"/>
          <w:sz w:val="32"/>
          <w:szCs w:val="32"/>
          <w:lang w:val="zh-CN"/>
        </w:rPr>
        <w:t>年经济适用房上市所需对同时期同类地段商品房交易价格评估工作，完成当年的交易价格进行社会稳定风险评估工作，完成经适房上市交易初审工作286户。</w:t>
      </w:r>
    </w:p>
    <w:p>
      <w:pPr>
        <w:adjustRightInd w:val="0"/>
        <w:snapToGrid w:val="0"/>
        <w:spacing w:line="62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20" w:lineRule="exact"/>
        <w:ind w:firstLine="720"/>
        <w:rPr>
          <w:rFonts w:ascii="仿宋" w:hAnsi="仿宋" w:eastAsia="仿宋"/>
          <w:sz w:val="32"/>
          <w:szCs w:val="32"/>
          <w:lang w:val="zh-CN"/>
        </w:rPr>
      </w:pPr>
      <w:r>
        <w:rPr>
          <w:rFonts w:hint="eastAsia" w:ascii="仿宋" w:hAnsi="仿宋" w:eastAsia="仿宋"/>
          <w:sz w:val="32"/>
          <w:szCs w:val="32"/>
          <w:lang w:val="zh-CN"/>
        </w:rPr>
        <w:t>确保202</w:t>
      </w:r>
      <w:r>
        <w:rPr>
          <w:rFonts w:hint="eastAsia" w:ascii="仿宋" w:hAnsi="仿宋" w:eastAsia="仿宋"/>
          <w:sz w:val="32"/>
          <w:szCs w:val="32"/>
        </w:rPr>
        <w:t>1</w:t>
      </w:r>
      <w:r>
        <w:rPr>
          <w:rFonts w:hint="eastAsia" w:ascii="仿宋" w:hAnsi="仿宋" w:eastAsia="仿宋"/>
          <w:sz w:val="32"/>
          <w:szCs w:val="32"/>
          <w:lang w:val="zh-CN"/>
        </w:rPr>
        <w:t>年绵竹市经济适用房上市交易工作有序平稳进行。</w:t>
      </w:r>
    </w:p>
    <w:p>
      <w:pPr>
        <w:adjustRightInd w:val="0"/>
        <w:snapToGrid w:val="0"/>
        <w:spacing w:line="620" w:lineRule="exact"/>
        <w:ind w:firstLine="720"/>
        <w:rPr>
          <w:rFonts w:ascii="黑体" w:hAnsi="宋体" w:eastAsia="黑体"/>
          <w:sz w:val="32"/>
          <w:szCs w:val="32"/>
          <w:lang w:val="zh-CN"/>
        </w:rPr>
      </w:pPr>
      <w:r>
        <w:rPr>
          <w:rFonts w:hint="eastAsia" w:ascii="黑体" w:hAnsi="宋体" w:eastAsia="黑体"/>
          <w:sz w:val="32"/>
          <w:szCs w:val="32"/>
          <w:lang w:val="zh-CN"/>
        </w:rPr>
        <w:t>五、问题及建议</w:t>
      </w:r>
    </w:p>
    <w:p>
      <w:pPr>
        <w:adjustRightInd w:val="0"/>
        <w:snapToGrid w:val="0"/>
        <w:spacing w:line="6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2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全面完成</w:t>
      </w:r>
      <w:r>
        <w:rPr>
          <w:rFonts w:hint="eastAsia" w:ascii="仿宋" w:hAnsi="仿宋" w:eastAsia="仿宋"/>
          <w:sz w:val="32"/>
          <w:szCs w:val="32"/>
          <w:lang w:val="zh-CN"/>
        </w:rPr>
        <w:t>202</w:t>
      </w:r>
      <w:r>
        <w:rPr>
          <w:rFonts w:hint="eastAsia" w:ascii="仿宋" w:hAnsi="仿宋" w:eastAsia="仿宋"/>
          <w:sz w:val="32"/>
          <w:szCs w:val="32"/>
        </w:rPr>
        <w:t>1</w:t>
      </w:r>
      <w:r>
        <w:rPr>
          <w:rFonts w:hint="eastAsia" w:ascii="仿宋" w:hAnsi="仿宋" w:eastAsia="仿宋"/>
          <w:sz w:val="32"/>
          <w:szCs w:val="32"/>
          <w:lang w:val="zh-CN"/>
        </w:rPr>
        <w:t>年绵竹市经济适用房上市交易工作</w:t>
      </w:r>
      <w:r>
        <w:rPr>
          <w:rFonts w:hint="eastAsia" w:ascii="仿宋" w:hAnsi="仿宋" w:eastAsia="仿宋"/>
          <w:color w:val="000000"/>
          <w:sz w:val="32"/>
          <w:szCs w:val="32"/>
          <w:lang w:val="zh-CN"/>
        </w:rPr>
        <w:t>，规范</w:t>
      </w:r>
      <w:r>
        <w:rPr>
          <w:rFonts w:hint="eastAsia" w:ascii="仿宋" w:hAnsi="仿宋" w:eastAsia="仿宋"/>
          <w:sz w:val="32"/>
          <w:szCs w:val="32"/>
          <w:lang w:val="zh-CN"/>
        </w:rPr>
        <w:t>经济适用房的上市交易活动，改善居民居住条件等方面取得了明显实效，服务对象总体较满意。评定级别为“优”。</w:t>
      </w:r>
    </w:p>
    <w:p>
      <w:pPr>
        <w:adjustRightInd w:val="0"/>
        <w:snapToGrid w:val="0"/>
        <w:spacing w:line="6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仿宋" w:hAnsi="仿宋" w:eastAsia="仿宋"/>
          <w:sz w:val="32"/>
          <w:szCs w:val="32"/>
          <w:lang w:val="zh-CN"/>
        </w:rPr>
        <w:t>无</w:t>
      </w:r>
    </w:p>
    <w:p>
      <w:pPr>
        <w:adjustRightInd w:val="0"/>
        <w:snapToGrid w:val="0"/>
        <w:spacing w:line="620" w:lineRule="exact"/>
        <w:ind w:firstLine="720"/>
        <w:rPr>
          <w:rFonts w:ascii="仿宋" w:hAnsi="仿宋" w:eastAsia="仿宋"/>
          <w:sz w:val="32"/>
          <w:szCs w:val="32"/>
          <w:lang w:val="zh-CN"/>
        </w:rPr>
      </w:pPr>
      <w:r>
        <w:rPr>
          <w:rFonts w:hint="eastAsia" w:ascii="楷体_GB2312" w:hAnsi="宋体" w:eastAsia="楷体_GB2312"/>
          <w:b/>
          <w:sz w:val="32"/>
          <w:szCs w:val="32"/>
          <w:lang w:val="zh-CN"/>
        </w:rPr>
        <w:t>（三）相关建议。</w:t>
      </w:r>
      <w:r>
        <w:rPr>
          <w:rFonts w:hint="eastAsia" w:ascii="仿宋" w:hAnsi="仿宋" w:eastAsia="仿宋"/>
          <w:sz w:val="32"/>
          <w:szCs w:val="32"/>
          <w:lang w:val="zh-CN"/>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8880" w:type="dxa"/>
        <w:jc w:val="center"/>
        <w:tblLayout w:type="autofit"/>
        <w:tblCellMar>
          <w:top w:w="0" w:type="dxa"/>
          <w:left w:w="108" w:type="dxa"/>
          <w:bottom w:w="0" w:type="dxa"/>
          <w:right w:w="108" w:type="dxa"/>
        </w:tblCellMar>
      </w:tblPr>
      <w:tblGrid>
        <w:gridCol w:w="1080"/>
        <w:gridCol w:w="880"/>
        <w:gridCol w:w="1360"/>
        <w:gridCol w:w="1080"/>
        <w:gridCol w:w="460"/>
        <w:gridCol w:w="1760"/>
        <w:gridCol w:w="2260"/>
      </w:tblGrid>
      <w:tr>
        <w:tblPrEx>
          <w:tblCellMar>
            <w:top w:w="0" w:type="dxa"/>
            <w:left w:w="108" w:type="dxa"/>
            <w:bottom w:w="0" w:type="dxa"/>
            <w:right w:w="108" w:type="dxa"/>
          </w:tblCellMar>
        </w:tblPrEx>
        <w:trPr>
          <w:trHeight w:val="405" w:hRule="atLeast"/>
          <w:jc w:val="center"/>
        </w:trPr>
        <w:tc>
          <w:tcPr>
            <w:tcW w:w="888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888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（2021年度）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8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6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46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76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26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5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经适房上市交易工作经费</w:t>
            </w:r>
          </w:p>
        </w:tc>
      </w:tr>
      <w:tr>
        <w:tblPrEx>
          <w:tblCellMar>
            <w:top w:w="0" w:type="dxa"/>
            <w:left w:w="108" w:type="dxa"/>
            <w:bottom w:w="0" w:type="dxa"/>
            <w:right w:w="108" w:type="dxa"/>
          </w:tblCellMar>
        </w:tblPrEx>
        <w:trPr>
          <w:trHeight w:val="270" w:hRule="atLeast"/>
          <w:jc w:val="center"/>
        </w:trPr>
        <w:tc>
          <w:tcPr>
            <w:tcW w:w="3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56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2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3万元</w:t>
            </w:r>
          </w:p>
        </w:tc>
        <w:tc>
          <w:tcPr>
            <w:tcW w:w="176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3万元</w:t>
            </w:r>
          </w:p>
        </w:tc>
      </w:tr>
      <w:tr>
        <w:tblPrEx>
          <w:tblCellMar>
            <w:top w:w="0" w:type="dxa"/>
            <w:left w:w="108" w:type="dxa"/>
            <w:bottom w:w="0" w:type="dxa"/>
            <w:right w:w="108" w:type="dxa"/>
          </w:tblCellMar>
        </w:tblPrEx>
        <w:trPr>
          <w:trHeight w:val="58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3万元</w:t>
            </w:r>
          </w:p>
        </w:tc>
        <w:tc>
          <w:tcPr>
            <w:tcW w:w="176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3万元</w:t>
            </w:r>
          </w:p>
        </w:tc>
      </w:tr>
      <w:tr>
        <w:tblPrEx>
          <w:tblCellMar>
            <w:top w:w="0" w:type="dxa"/>
            <w:left w:w="108" w:type="dxa"/>
            <w:bottom w:w="0" w:type="dxa"/>
            <w:right w:w="108" w:type="dxa"/>
          </w:tblCellMar>
        </w:tblPrEx>
        <w:trPr>
          <w:trHeight w:val="43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5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76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2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6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37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0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17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7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做好2021年度全市经济适用住房上市交易工作。</w:t>
            </w:r>
          </w:p>
        </w:tc>
        <w:tc>
          <w:tcPr>
            <w:tcW w:w="40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完成2021年经济适用房上市所需对同时期同类地段商品房交易价格评估工作，完成当年的交易价格进行社会稳定风险评估工作，完成经适房上市交易初审工作187户。</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88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3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经适房上市交易审核户数</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等线" w:hAnsi="等线" w:eastAsia="等线" w:cs="宋体"/>
                <w:kern w:val="0"/>
                <w:sz w:val="20"/>
                <w:szCs w:val="20"/>
              </w:rPr>
              <w:t>≥</w:t>
            </w:r>
            <w:r>
              <w:rPr>
                <w:rFonts w:hint="eastAsia" w:ascii="宋体" w:hAnsi="宋体" w:cs="宋体"/>
                <w:kern w:val="0"/>
                <w:sz w:val="20"/>
                <w:szCs w:val="20"/>
              </w:rPr>
              <w:t>150户</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187户</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服务率</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2021年12月31日前</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2021年12月31日前</w:t>
            </w:r>
          </w:p>
        </w:tc>
      </w:tr>
      <w:tr>
        <w:tblPrEx>
          <w:tblCellMar>
            <w:top w:w="0" w:type="dxa"/>
            <w:left w:w="108" w:type="dxa"/>
            <w:bottom w:w="0" w:type="dxa"/>
            <w:right w:w="108" w:type="dxa"/>
          </w:tblCellMar>
        </w:tblPrEx>
        <w:trPr>
          <w:trHeight w:val="64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2021年经适房上市交易工作经费</w:t>
            </w:r>
          </w:p>
        </w:tc>
        <w:tc>
          <w:tcPr>
            <w:tcW w:w="17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等线" w:hAnsi="等线" w:eastAsia="等线" w:cs="宋体"/>
                <w:kern w:val="0"/>
                <w:sz w:val="20"/>
                <w:szCs w:val="20"/>
              </w:rPr>
              <w:t>≤</w:t>
            </w:r>
            <w:r>
              <w:rPr>
                <w:rFonts w:hint="eastAsia" w:ascii="宋体" w:hAnsi="宋体" w:cs="宋体"/>
                <w:kern w:val="0"/>
                <w:sz w:val="20"/>
                <w:szCs w:val="20"/>
              </w:rPr>
              <w:t>3万元</w:t>
            </w:r>
          </w:p>
        </w:tc>
        <w:tc>
          <w:tcPr>
            <w:tcW w:w="22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实际完成支付3万元</w:t>
            </w:r>
          </w:p>
        </w:tc>
      </w:tr>
      <w:tr>
        <w:tblPrEx>
          <w:tblCellMar>
            <w:top w:w="0" w:type="dxa"/>
            <w:left w:w="108" w:type="dxa"/>
            <w:bottom w:w="0" w:type="dxa"/>
            <w:right w:w="108" w:type="dxa"/>
          </w:tblCellMar>
        </w:tblPrEx>
        <w:trPr>
          <w:trHeight w:val="63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3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提高经费使用效益</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r>
      <w:tr>
        <w:tblPrEx>
          <w:tblCellMar>
            <w:top w:w="0" w:type="dxa"/>
            <w:left w:w="108" w:type="dxa"/>
            <w:bottom w:w="0" w:type="dxa"/>
            <w:right w:w="108" w:type="dxa"/>
          </w:tblCellMar>
        </w:tblPrEx>
        <w:trPr>
          <w:trHeight w:val="70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4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实现住有所居，住有所乐的目标</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r>
      <w:tr>
        <w:tblPrEx>
          <w:tblCellMar>
            <w:top w:w="0" w:type="dxa"/>
            <w:left w:w="108" w:type="dxa"/>
            <w:bottom w:w="0" w:type="dxa"/>
            <w:right w:w="108" w:type="dxa"/>
          </w:tblCellMar>
        </w:tblPrEx>
        <w:trPr>
          <w:trHeight w:val="84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54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营造良好居民生活环境及社会氛围</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r>
      <w:tr>
        <w:tblPrEx>
          <w:tblCellMar>
            <w:top w:w="0" w:type="dxa"/>
            <w:left w:w="108" w:type="dxa"/>
            <w:bottom w:w="0" w:type="dxa"/>
            <w:right w:w="108" w:type="dxa"/>
          </w:tblCellMar>
        </w:tblPrEx>
        <w:trPr>
          <w:trHeight w:val="70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54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受益群众满意度</w:t>
            </w:r>
          </w:p>
        </w:tc>
        <w:tc>
          <w:tcPr>
            <w:tcW w:w="17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22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方正小标宋简体" w:hAnsi="宋体" w:eastAsia="方正小标宋简体"/>
          <w:color w:val="000000"/>
          <w:kern w:val="0"/>
          <w:sz w:val="44"/>
          <w:szCs w:val="44"/>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方正小标宋简体" w:hAnsi="宋体" w:eastAsia="方正小标宋简体"/>
          <w:color w:val="000000"/>
          <w:kern w:val="0"/>
          <w:sz w:val="44"/>
          <w:szCs w:val="44"/>
        </w:rPr>
      </w:pPr>
      <w:r>
        <w:rPr>
          <w:rFonts w:hint="eastAsia" w:ascii="仿宋_GB2312" w:hAnsi="宋体" w:eastAsia="仿宋_GB2312"/>
          <w:sz w:val="32"/>
          <w:szCs w:val="32"/>
        </w:rPr>
        <w:t>（保障性住房租金补贴）</w:t>
      </w:r>
    </w:p>
    <w:p>
      <w:pPr>
        <w:spacing w:line="560" w:lineRule="exact"/>
        <w:ind w:firstLine="640"/>
        <w:jc w:val="center"/>
        <w:rPr>
          <w:rFonts w:ascii="宋体" w:hAnsi="宋体"/>
          <w:sz w:val="32"/>
          <w:szCs w:val="32"/>
          <w:lang w:val="zh-CN"/>
        </w:rPr>
      </w:pPr>
    </w:p>
    <w:p>
      <w:pPr>
        <w:adjustRightInd w:val="0"/>
        <w:snapToGrid w:val="0"/>
        <w:spacing w:line="58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为建立和完善公共租赁住房保障制度，解决我市城镇低收入（含最低收入）家庭住房困难问题，根据《国务院关于解决城市低收入家庭住房困难的若干意见》（国发〔2007〕24号），建设部等9部委《廉租住房保障办法》（建设部令第162号），住房城乡建设部、财政部、发展改革委《关于公共租赁住房和廉租住房并轨运行的通知》（建保〔2013〕178号）和省、市公共租赁住房管理的相关规定，结合我市实际，制定了《绵竹市公共租赁住房租金补贴管理暂行办法》（竹府办〔</w:t>
      </w:r>
      <w:r>
        <w:rPr>
          <w:rFonts w:hint="eastAsia" w:ascii="仿宋_GB2312" w:hAnsi="宋体" w:eastAsia="仿宋_GB2312"/>
          <w:sz w:val="32"/>
          <w:szCs w:val="32"/>
        </w:rPr>
        <w:t>2015</w:t>
      </w:r>
      <w:r>
        <w:rPr>
          <w:rFonts w:hint="eastAsia" w:ascii="仿宋_GB2312" w:hAnsi="宋体" w:eastAsia="仿宋_GB2312"/>
          <w:sz w:val="32"/>
          <w:szCs w:val="32"/>
          <w:lang w:val="zh-CN"/>
        </w:rPr>
        <w:t>〕</w:t>
      </w:r>
      <w:r>
        <w:rPr>
          <w:rFonts w:hint="eastAsia" w:ascii="仿宋_GB2312" w:hAnsi="宋体" w:eastAsia="仿宋_GB2312"/>
          <w:sz w:val="32"/>
          <w:szCs w:val="32"/>
        </w:rPr>
        <w:t>61号）和《绵竹市公共租赁住房管理办法》（</w:t>
      </w:r>
      <w:r>
        <w:rPr>
          <w:rFonts w:hint="eastAsia" w:ascii="仿宋_GB2312" w:hAnsi="宋体" w:eastAsia="仿宋_GB2312"/>
          <w:sz w:val="32"/>
          <w:szCs w:val="32"/>
          <w:lang w:val="zh-CN"/>
        </w:rPr>
        <w:t>竹府办〔</w:t>
      </w:r>
      <w:r>
        <w:rPr>
          <w:rFonts w:hint="eastAsia" w:ascii="仿宋_GB2312" w:hAnsi="宋体" w:eastAsia="仿宋_GB2312"/>
          <w:sz w:val="32"/>
          <w:szCs w:val="32"/>
        </w:rPr>
        <w:t>2021</w:t>
      </w:r>
      <w:r>
        <w:rPr>
          <w:rFonts w:hint="eastAsia" w:ascii="仿宋_GB2312" w:hAnsi="宋体" w:eastAsia="仿宋_GB2312"/>
          <w:sz w:val="32"/>
          <w:szCs w:val="32"/>
          <w:lang w:val="zh-CN"/>
        </w:rPr>
        <w:t>〕</w:t>
      </w:r>
      <w:r>
        <w:rPr>
          <w:rFonts w:hint="eastAsia" w:ascii="仿宋_GB2312" w:hAnsi="宋体" w:eastAsia="仿宋_GB2312"/>
          <w:sz w:val="32"/>
          <w:szCs w:val="32"/>
        </w:rPr>
        <w:t>93号），</w:t>
      </w:r>
      <w:r>
        <w:rPr>
          <w:rFonts w:hint="eastAsia" w:ascii="仿宋_GB2312" w:hAnsi="宋体" w:eastAsia="仿宋_GB2312"/>
          <w:sz w:val="32"/>
          <w:szCs w:val="32"/>
          <w:lang w:val="zh-CN"/>
        </w:rPr>
        <w:t>核定了绵竹市公共租赁住房租赁补贴的发放对象和发放标准，并以此完成每年度的保障性安居工程租赁补贴的发放。</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1、项目主要内容。</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rPr>
        <w:t>2021年</w:t>
      </w:r>
      <w:r>
        <w:rPr>
          <w:rFonts w:hint="eastAsia" w:ascii="仿宋_GB2312" w:hAnsi="宋体" w:eastAsia="仿宋_GB2312"/>
          <w:sz w:val="32"/>
          <w:szCs w:val="32"/>
          <w:lang w:val="zh-CN"/>
        </w:rPr>
        <w:t>租赁补贴发放</w:t>
      </w:r>
      <w:r>
        <w:rPr>
          <w:rFonts w:hint="eastAsia" w:ascii="仿宋_GB2312" w:hAnsi="宋体" w:eastAsia="仿宋_GB2312"/>
          <w:sz w:val="32"/>
          <w:szCs w:val="32"/>
        </w:rPr>
        <w:t>59</w:t>
      </w:r>
      <w:r>
        <w:rPr>
          <w:rFonts w:hint="eastAsia" w:ascii="仿宋_GB2312" w:hAnsi="宋体" w:eastAsia="仿宋_GB2312"/>
          <w:sz w:val="32"/>
          <w:szCs w:val="32"/>
          <w:lang w:val="zh-CN"/>
        </w:rPr>
        <w:t>户。</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2、项目应实现的具体绩效目标。</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rPr>
        <w:t>2021年度审批通过</w:t>
      </w:r>
      <w:r>
        <w:rPr>
          <w:rFonts w:hint="eastAsia" w:ascii="仿宋_GB2312" w:hAnsi="宋体" w:eastAsia="仿宋_GB2312"/>
          <w:sz w:val="32"/>
          <w:szCs w:val="32"/>
          <w:lang w:val="zh-CN"/>
        </w:rPr>
        <w:t>公共租赁住房租赁补贴申请家庭</w:t>
      </w:r>
      <w:r>
        <w:rPr>
          <w:rFonts w:hint="eastAsia" w:ascii="仿宋_GB2312" w:hAnsi="宋体" w:eastAsia="仿宋_GB2312"/>
          <w:sz w:val="32"/>
          <w:szCs w:val="32"/>
        </w:rPr>
        <w:t>59</w:t>
      </w:r>
      <w:r>
        <w:rPr>
          <w:rFonts w:hint="eastAsia" w:ascii="仿宋_GB2312" w:hAnsi="宋体" w:eastAsia="仿宋_GB2312"/>
          <w:sz w:val="32"/>
          <w:szCs w:val="32"/>
          <w:lang w:val="zh-CN"/>
        </w:rPr>
        <w:t>户，纳入20</w:t>
      </w:r>
      <w:r>
        <w:rPr>
          <w:rFonts w:hint="eastAsia" w:ascii="仿宋_GB2312" w:hAnsi="宋体" w:eastAsia="仿宋_GB2312"/>
          <w:sz w:val="32"/>
          <w:szCs w:val="32"/>
        </w:rPr>
        <w:t>21</w:t>
      </w:r>
      <w:r>
        <w:rPr>
          <w:rFonts w:hint="eastAsia" w:ascii="仿宋_GB2312" w:hAnsi="宋体" w:eastAsia="仿宋_GB2312"/>
          <w:sz w:val="32"/>
          <w:szCs w:val="32"/>
          <w:lang w:val="zh-CN"/>
        </w:rPr>
        <w:t>年公租房租赁补贴发放对象</w:t>
      </w:r>
      <w:r>
        <w:rPr>
          <w:rFonts w:hint="eastAsia" w:ascii="仿宋_GB2312" w:hAnsi="宋体" w:eastAsia="仿宋_GB2312"/>
          <w:sz w:val="32"/>
          <w:szCs w:val="32"/>
        </w:rPr>
        <w:t>。</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rPr>
        <w:t>3、</w:t>
      </w:r>
      <w:r>
        <w:rPr>
          <w:rFonts w:hint="eastAsia" w:ascii="仿宋_GB2312" w:hAnsi="宋体" w:eastAsia="仿宋_GB2312"/>
          <w:sz w:val="32"/>
          <w:szCs w:val="32"/>
          <w:lang w:val="zh-CN"/>
        </w:rPr>
        <w:t>项目申报内容与实际相符，申报目标合理可行。</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由我局开展财政资金使用情况自评并撰写部门预算支出绩效报告，按规范格式按时提交自评报告。</w:t>
      </w:r>
    </w:p>
    <w:p>
      <w:pPr>
        <w:adjustRightInd w:val="0"/>
        <w:snapToGrid w:val="0"/>
        <w:spacing w:line="580" w:lineRule="exact"/>
        <w:ind w:firstLine="720"/>
        <w:rPr>
          <w:rFonts w:ascii="黑体" w:hAnsi="宋体" w:eastAsia="黑体"/>
          <w:sz w:val="32"/>
          <w:szCs w:val="32"/>
          <w:lang w:val="zh-CN"/>
        </w:rPr>
      </w:pPr>
      <w:r>
        <w:rPr>
          <w:rFonts w:hint="eastAsia" w:ascii="黑体" w:hAnsi="宋体" w:eastAsia="黑体"/>
          <w:sz w:val="32"/>
          <w:szCs w:val="32"/>
          <w:lang w:val="zh-CN"/>
        </w:rPr>
        <w:t>二、项目实施及管理情况</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（一）资金计划、到位及使用情况。</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1．资金计划及到位。</w:t>
      </w:r>
    </w:p>
    <w:p>
      <w:pPr>
        <w:adjustRightInd w:val="0"/>
        <w:snapToGrid w:val="0"/>
        <w:spacing w:line="560" w:lineRule="exact"/>
        <w:ind w:firstLine="720"/>
        <w:rPr>
          <w:rFonts w:ascii="仿宋" w:hAnsi="仿宋" w:eastAsia="仿宋" w:cs="宋体"/>
          <w:kern w:val="0"/>
          <w:sz w:val="32"/>
          <w:szCs w:val="21"/>
        </w:rPr>
      </w:pPr>
      <w:r>
        <w:rPr>
          <w:rFonts w:hint="eastAsia" w:ascii="仿宋" w:hAnsi="仿宋" w:eastAsia="仿宋" w:cs="宋体"/>
          <w:kern w:val="0"/>
          <w:sz w:val="32"/>
          <w:szCs w:val="21"/>
        </w:rPr>
        <w:t>2020年结转指标川财综〔2019〕30号2020年省级财政城镇保障性安居工程4.489万元（竹财资环专〔2021〕17号），2020年结转指标川财综〔2020〕26号2020年省级财政城镇保障性安居工程10万元（竹财资环专〔2021〕17号），竹财资环专〔2021〕17号年底追减7.0010万元（竹财资环减〔2021〕35号），实际到位资金7.488万元。资金按时到位，到位率100%。</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2．资金使用。</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2021年通过惠民惠农财政补贴资金“一卡通”平台发放公共租赁住房租赁补贴</w:t>
      </w:r>
      <w:r>
        <w:rPr>
          <w:rFonts w:hint="eastAsia" w:ascii="仿宋_GB2312" w:hAnsi="宋体" w:eastAsia="仿宋_GB2312"/>
          <w:sz w:val="32"/>
          <w:szCs w:val="32"/>
        </w:rPr>
        <w:t>7.488</w:t>
      </w:r>
      <w:r>
        <w:rPr>
          <w:rFonts w:hint="eastAsia" w:ascii="仿宋_GB2312" w:hAnsi="宋体" w:eastAsia="仿宋_GB2312"/>
          <w:sz w:val="32"/>
          <w:szCs w:val="32"/>
          <w:lang w:val="zh-CN"/>
        </w:rPr>
        <w:t>万元。</w:t>
      </w:r>
    </w:p>
    <w:p>
      <w:pPr>
        <w:adjustRightInd w:val="0"/>
        <w:snapToGrid w:val="0"/>
        <w:spacing w:line="56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支付依据合规合法，资金支付与预算相符。</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（二）项目财务管理情况。</w:t>
      </w:r>
    </w:p>
    <w:p>
      <w:pPr>
        <w:spacing w:line="600" w:lineRule="exact"/>
        <w:ind w:firstLine="640" w:firstLineChars="200"/>
        <w:rPr>
          <w:rFonts w:ascii="仿宋" w:hAnsi="仿宋" w:eastAsia="仿宋"/>
          <w:sz w:val="32"/>
          <w:szCs w:val="32"/>
          <w:lang w:val="zh-CN"/>
        </w:rPr>
      </w:pPr>
      <w:r>
        <w:rPr>
          <w:rFonts w:hint="eastAsia" w:ascii="仿宋_GB2312" w:hAnsi="宋体" w:eastAsia="仿宋_GB2312"/>
          <w:sz w:val="32"/>
          <w:szCs w:val="32"/>
          <w:lang w:val="zh-CN"/>
        </w:rPr>
        <w:t>项目实施单位财务管理制度健全，严格执行财务管理制度，</w:t>
      </w:r>
      <w:r>
        <w:rPr>
          <w:rFonts w:hint="eastAsia" w:ascii="仿宋" w:hAnsi="仿宋" w:eastAsia="仿宋"/>
          <w:sz w:val="32"/>
          <w:szCs w:val="32"/>
          <w:lang w:val="zh-CN"/>
        </w:rPr>
        <w:t>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580" w:lineRule="exact"/>
        <w:ind w:firstLine="720"/>
        <w:rPr>
          <w:rFonts w:ascii="黑体" w:hAnsi="宋体" w:eastAsia="黑体"/>
          <w:sz w:val="32"/>
          <w:szCs w:val="32"/>
          <w:lang w:val="zh-CN"/>
        </w:rPr>
      </w:pPr>
      <w:r>
        <w:rPr>
          <w:rFonts w:hint="eastAsia" w:ascii="黑体" w:hAnsi="宋体" w:eastAsia="黑体"/>
          <w:sz w:val="32"/>
          <w:szCs w:val="32"/>
          <w:lang w:val="zh-CN"/>
        </w:rPr>
        <w:t>三、项目组织实施情况</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rPr>
        <w:t>（一）</w:t>
      </w:r>
      <w:r>
        <w:rPr>
          <w:rFonts w:hint="eastAsia" w:ascii="楷体_GB2312" w:hAnsi="宋体" w:eastAsia="楷体_GB2312"/>
          <w:b/>
          <w:sz w:val="32"/>
          <w:szCs w:val="32"/>
          <w:lang w:val="zh-CN"/>
        </w:rPr>
        <w:t>项目组织架构及实施流程。</w:t>
      </w:r>
    </w:p>
    <w:p>
      <w:pPr>
        <w:spacing w:line="600" w:lineRule="exact"/>
        <w:ind w:firstLine="640" w:firstLineChars="200"/>
        <w:rPr>
          <w:rFonts w:ascii="仿宋" w:hAnsi="仿宋" w:eastAsia="仿宋"/>
          <w:sz w:val="32"/>
          <w:szCs w:val="32"/>
          <w:lang w:val="zh-CN"/>
        </w:rPr>
      </w:pPr>
      <w:r>
        <w:rPr>
          <w:rFonts w:hint="eastAsia" w:ascii="仿宋" w:hAnsi="仿宋" w:eastAsia="仿宋"/>
          <w:sz w:val="32"/>
          <w:szCs w:val="32"/>
          <w:lang w:val="zh-CN"/>
        </w:rPr>
        <w:t>公共租赁住房租金补贴每年初申请并审核确认，每半年发放一次。下半年发放前需进行复核，若发现申请人（含共同申请人）不符合条件，下半年中止发放。提交申请→镇乡初审→终审发放。</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rPr>
        <w:t>（二）</w:t>
      </w:r>
      <w:r>
        <w:rPr>
          <w:rFonts w:hint="eastAsia" w:ascii="楷体_GB2312" w:hAnsi="宋体" w:eastAsia="楷体_GB2312"/>
          <w:b/>
          <w:sz w:val="32"/>
          <w:szCs w:val="32"/>
          <w:lang w:val="zh-CN"/>
        </w:rPr>
        <w:t>项目管理情况。</w:t>
      </w:r>
    </w:p>
    <w:p>
      <w:pPr>
        <w:spacing w:line="600" w:lineRule="exact"/>
        <w:ind w:firstLine="640" w:firstLineChars="200"/>
        <w:rPr>
          <w:rFonts w:ascii="仿宋" w:hAnsi="仿宋" w:eastAsia="仿宋"/>
          <w:sz w:val="32"/>
          <w:szCs w:val="32"/>
          <w:lang w:val="zh-CN"/>
        </w:rPr>
      </w:pPr>
      <w:r>
        <w:rPr>
          <w:rFonts w:hint="eastAsia" w:ascii="仿宋" w:hAnsi="仿宋" w:eastAsia="仿宋"/>
          <w:sz w:val="32"/>
          <w:szCs w:val="32"/>
          <w:lang w:val="zh-CN"/>
        </w:rPr>
        <w:t>项目实施严格执行相关法律法规及项目管理制度。</w:t>
      </w:r>
    </w:p>
    <w:p>
      <w:pPr>
        <w:spacing w:line="6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rPr>
        <w:t>（三）</w:t>
      </w:r>
      <w:r>
        <w:rPr>
          <w:rFonts w:hint="eastAsia" w:ascii="楷体_GB2312" w:hAnsi="宋体" w:eastAsia="楷体_GB2312"/>
          <w:b/>
          <w:sz w:val="32"/>
          <w:szCs w:val="32"/>
          <w:lang w:val="zh-CN"/>
        </w:rPr>
        <w:t>项目监管情况。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val="zh-CN"/>
        </w:rPr>
        <w:t>通过</w:t>
      </w:r>
      <w:r>
        <w:rPr>
          <w:rFonts w:hint="eastAsia" w:ascii="仿宋" w:hAnsi="仿宋" w:eastAsia="仿宋"/>
          <w:sz w:val="32"/>
          <w:szCs w:val="32"/>
        </w:rPr>
        <w:t>惠民惠农财政补贴资金“一卡通”平台，住建局财务股</w:t>
      </w:r>
      <w:r>
        <w:rPr>
          <w:rFonts w:hint="eastAsia" w:ascii="仿宋" w:hAnsi="仿宋" w:eastAsia="仿宋"/>
          <w:sz w:val="32"/>
          <w:szCs w:val="32"/>
          <w:lang w:val="zh-CN"/>
        </w:rPr>
        <w:t>审核后</w:t>
      </w:r>
      <w:r>
        <w:rPr>
          <w:rFonts w:hint="eastAsia" w:ascii="仿宋" w:hAnsi="仿宋" w:eastAsia="仿宋"/>
          <w:sz w:val="32"/>
          <w:szCs w:val="32"/>
        </w:rPr>
        <w:t>由建设银行将补贴代转到申请人的社保卡。</w:t>
      </w:r>
    </w:p>
    <w:p>
      <w:pPr>
        <w:adjustRightInd w:val="0"/>
        <w:snapToGrid w:val="0"/>
        <w:spacing w:line="580" w:lineRule="exact"/>
        <w:ind w:firstLine="720"/>
        <w:rPr>
          <w:rFonts w:ascii="黑体" w:hAnsi="宋体" w:eastAsia="黑体"/>
          <w:sz w:val="32"/>
          <w:szCs w:val="32"/>
          <w:lang w:val="zh-CN"/>
        </w:rPr>
      </w:pPr>
      <w:r>
        <w:rPr>
          <w:rFonts w:hint="eastAsia" w:ascii="黑体" w:hAnsi="宋体" w:eastAsia="黑体"/>
          <w:sz w:val="32"/>
          <w:szCs w:val="32"/>
          <w:lang w:val="zh-CN"/>
        </w:rPr>
        <w:t>四、项目绩效情况</w:t>
      </w:r>
      <w:r>
        <w:rPr>
          <w:rFonts w:hint="eastAsia" w:ascii="黑体" w:hAnsi="宋体" w:eastAsia="黑体"/>
          <w:sz w:val="32"/>
          <w:szCs w:val="32"/>
          <w:lang w:val="zh-CN"/>
        </w:rPr>
        <w:tab/>
      </w:r>
    </w:p>
    <w:p>
      <w:pPr>
        <w:spacing w:line="6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spacing w:line="600" w:lineRule="exact"/>
        <w:ind w:firstLine="640" w:firstLineChars="200"/>
        <w:rPr>
          <w:rFonts w:ascii="仿宋" w:hAnsi="仿宋" w:eastAsia="仿宋"/>
          <w:sz w:val="32"/>
          <w:szCs w:val="32"/>
        </w:rPr>
      </w:pPr>
      <w:r>
        <w:rPr>
          <w:rFonts w:hint="eastAsia" w:ascii="仿宋" w:hAnsi="仿宋" w:eastAsia="仿宋"/>
          <w:sz w:val="32"/>
          <w:szCs w:val="32"/>
          <w:lang w:val="zh-CN"/>
        </w:rPr>
        <w:t>按照项目绩效目标，准时完成</w:t>
      </w:r>
      <w:r>
        <w:rPr>
          <w:rFonts w:hint="eastAsia" w:ascii="仿宋" w:hAnsi="仿宋" w:eastAsia="仿宋"/>
          <w:sz w:val="32"/>
          <w:szCs w:val="32"/>
        </w:rPr>
        <w:t>2021年度发放任务。</w:t>
      </w:r>
    </w:p>
    <w:p>
      <w:pPr>
        <w:spacing w:line="60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spacing w:line="600" w:lineRule="exact"/>
        <w:ind w:firstLine="640" w:firstLineChars="200"/>
        <w:rPr>
          <w:rFonts w:ascii="仿宋" w:hAnsi="仿宋" w:eastAsia="仿宋"/>
          <w:sz w:val="32"/>
          <w:szCs w:val="32"/>
          <w:lang w:val="zh-CN"/>
        </w:rPr>
      </w:pPr>
      <w:r>
        <w:rPr>
          <w:rFonts w:hint="eastAsia" w:ascii="仿宋" w:hAnsi="仿宋" w:eastAsia="仿宋"/>
          <w:sz w:val="32"/>
          <w:szCs w:val="32"/>
          <w:lang w:val="zh-CN"/>
        </w:rPr>
        <w:t>申请户对补贴资金能及时高效地上卡非常满意。</w:t>
      </w:r>
    </w:p>
    <w:p>
      <w:pPr>
        <w:adjustRightInd w:val="0"/>
        <w:snapToGrid w:val="0"/>
        <w:spacing w:line="580" w:lineRule="exact"/>
        <w:ind w:firstLine="720"/>
        <w:rPr>
          <w:rFonts w:ascii="仿宋" w:hAnsi="仿宋" w:eastAsia="仿宋"/>
          <w:color w:val="FF0000"/>
          <w:sz w:val="32"/>
          <w:szCs w:val="32"/>
          <w:lang w:val="zh-CN"/>
        </w:rPr>
      </w:pPr>
      <w:r>
        <w:rPr>
          <w:rFonts w:hint="eastAsia" w:ascii="黑体" w:hAnsi="宋体" w:eastAsia="黑体"/>
          <w:sz w:val="32"/>
          <w:szCs w:val="32"/>
        </w:rPr>
        <w:t>五、评价结论及建议</w:t>
      </w:r>
    </w:p>
    <w:p>
      <w:pPr>
        <w:adjustRightInd w:val="0"/>
        <w:snapToGrid w:val="0"/>
        <w:spacing w:line="58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8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项目实际完成率、完成及时率均达到或超过绩效目标，质量达标率良好，产出成本可控，管理工作规范，社会效益良好，项目可持续性强，服务对象总体较满意。评定级别为“优”。</w:t>
      </w:r>
    </w:p>
    <w:p>
      <w:pPr>
        <w:adjustRightInd w:val="0"/>
        <w:snapToGrid w:val="0"/>
        <w:spacing w:line="58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r>
        <w:rPr>
          <w:rFonts w:hint="eastAsia" w:ascii="仿宋_GB2312" w:hAnsi="宋体" w:eastAsia="仿宋_GB2312"/>
          <w:sz w:val="32"/>
          <w:szCs w:val="32"/>
          <w:lang w:val="zh-CN"/>
        </w:rPr>
        <w:t>无</w:t>
      </w:r>
      <w:r>
        <w:rPr>
          <w:rFonts w:ascii="楷体_GB2312" w:hAnsi="宋体" w:eastAsia="楷体_GB2312"/>
          <w:b/>
          <w:sz w:val="32"/>
          <w:szCs w:val="32"/>
          <w:lang w:val="zh-CN"/>
        </w:rPr>
        <w:tab/>
      </w:r>
    </w:p>
    <w:p>
      <w:pPr>
        <w:adjustRightInd w:val="0"/>
        <w:snapToGrid w:val="0"/>
        <w:spacing w:line="58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（三）相关建议。</w:t>
      </w:r>
      <w:r>
        <w:rPr>
          <w:rFonts w:hint="eastAsia" w:ascii="仿宋_GB2312" w:hAnsi="宋体" w:eastAsia="仿宋_GB2312"/>
          <w:sz w:val="32"/>
          <w:szCs w:val="32"/>
          <w:lang w:val="zh-CN"/>
        </w:rPr>
        <w:t>无</w:t>
      </w:r>
    </w:p>
    <w:tbl>
      <w:tblPr>
        <w:tblStyle w:val="13"/>
        <w:tblW w:w="9080" w:type="dxa"/>
        <w:jc w:val="center"/>
        <w:tblLayout w:type="autofit"/>
        <w:tblCellMar>
          <w:top w:w="0" w:type="dxa"/>
          <w:left w:w="108" w:type="dxa"/>
          <w:bottom w:w="0" w:type="dxa"/>
          <w:right w:w="108" w:type="dxa"/>
        </w:tblCellMar>
      </w:tblPr>
      <w:tblGrid>
        <w:gridCol w:w="1080"/>
        <w:gridCol w:w="920"/>
        <w:gridCol w:w="1180"/>
        <w:gridCol w:w="1080"/>
        <w:gridCol w:w="1080"/>
        <w:gridCol w:w="1880"/>
        <w:gridCol w:w="1860"/>
      </w:tblGrid>
      <w:tr>
        <w:tblPrEx>
          <w:tblCellMar>
            <w:top w:w="0" w:type="dxa"/>
            <w:left w:w="108" w:type="dxa"/>
            <w:bottom w:w="0" w:type="dxa"/>
            <w:right w:w="108" w:type="dxa"/>
          </w:tblCellMar>
        </w:tblPrEx>
        <w:trPr>
          <w:trHeight w:val="405" w:hRule="atLeast"/>
          <w:jc w:val="center"/>
        </w:trPr>
        <w:tc>
          <w:tcPr>
            <w:tcW w:w="908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08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（2021年度）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2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8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8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86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1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9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保障性住房租金补贴</w:t>
            </w:r>
          </w:p>
        </w:tc>
      </w:tr>
      <w:tr>
        <w:tblPrEx>
          <w:tblCellMar>
            <w:top w:w="0" w:type="dxa"/>
            <w:left w:w="108" w:type="dxa"/>
            <w:bottom w:w="0" w:type="dxa"/>
            <w:right w:w="108" w:type="dxa"/>
          </w:tblCellMar>
        </w:tblPrEx>
        <w:trPr>
          <w:trHeight w:val="270" w:hRule="atLeast"/>
          <w:jc w:val="center"/>
        </w:trPr>
        <w:tc>
          <w:tcPr>
            <w:tcW w:w="318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9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2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1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7.488万元</w:t>
            </w:r>
          </w:p>
        </w:tc>
        <w:tc>
          <w:tcPr>
            <w:tcW w:w="18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7.488万元</w:t>
            </w:r>
          </w:p>
        </w:tc>
      </w:tr>
      <w:tr>
        <w:tblPrEx>
          <w:tblCellMar>
            <w:top w:w="0" w:type="dxa"/>
            <w:left w:w="108" w:type="dxa"/>
            <w:bottom w:w="0" w:type="dxa"/>
            <w:right w:w="108" w:type="dxa"/>
          </w:tblCellMar>
        </w:tblPrEx>
        <w:trPr>
          <w:trHeight w:val="5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7.488万元</w:t>
            </w:r>
          </w:p>
        </w:tc>
        <w:tc>
          <w:tcPr>
            <w:tcW w:w="188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7.488万元</w:t>
            </w:r>
          </w:p>
        </w:tc>
      </w:tr>
      <w:tr>
        <w:tblPrEx>
          <w:tblCellMar>
            <w:top w:w="0" w:type="dxa"/>
            <w:left w:w="108" w:type="dxa"/>
            <w:bottom w:w="0" w:type="dxa"/>
            <w:right w:w="108" w:type="dxa"/>
          </w:tblCellMar>
        </w:tblPrEx>
        <w:trPr>
          <w:trHeight w:val="46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1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8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8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0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2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7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8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26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预计2021年租赁补贴发放59户。</w:t>
            </w:r>
          </w:p>
        </w:tc>
        <w:tc>
          <w:tcPr>
            <w:tcW w:w="37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完成2021年租赁补贴发放59户。</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1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1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审核租赁补贴户数</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发放租赁补贴户数</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服务率</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2021年12月31日前</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2021年12月31日前</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发放租赁补贴</w:t>
            </w:r>
          </w:p>
        </w:tc>
        <w:tc>
          <w:tcPr>
            <w:tcW w:w="18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7.488万元</w:t>
            </w:r>
          </w:p>
        </w:tc>
        <w:tc>
          <w:tcPr>
            <w:tcW w:w="1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7.488万元</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1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提高经费使用效益</w:t>
            </w:r>
          </w:p>
        </w:tc>
        <w:tc>
          <w:tcPr>
            <w:tcW w:w="1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1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r>
      <w:tr>
        <w:tblPrEx>
          <w:tblCellMar>
            <w:top w:w="0" w:type="dxa"/>
            <w:left w:w="108" w:type="dxa"/>
            <w:bottom w:w="0" w:type="dxa"/>
            <w:right w:w="108" w:type="dxa"/>
          </w:tblCellMar>
        </w:tblPrEx>
        <w:trPr>
          <w:trHeight w:val="5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6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为更多需要的人员提供租金补贴保障</w:t>
            </w:r>
          </w:p>
        </w:tc>
        <w:tc>
          <w:tcPr>
            <w:tcW w:w="1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1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r>
      <w:tr>
        <w:tblPrEx>
          <w:tblCellMar>
            <w:top w:w="0" w:type="dxa"/>
            <w:left w:w="108" w:type="dxa"/>
            <w:bottom w:w="0" w:type="dxa"/>
            <w:right w:w="108" w:type="dxa"/>
          </w:tblCellMar>
        </w:tblPrEx>
        <w:trPr>
          <w:trHeight w:val="5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6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实现住有所居，住有所乐的目标</w:t>
            </w:r>
          </w:p>
        </w:tc>
        <w:tc>
          <w:tcPr>
            <w:tcW w:w="1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1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r>
      <w:tr>
        <w:tblPrEx>
          <w:tblCellMar>
            <w:top w:w="0" w:type="dxa"/>
            <w:left w:w="108" w:type="dxa"/>
            <w:bottom w:w="0" w:type="dxa"/>
            <w:right w:w="108" w:type="dxa"/>
          </w:tblCellMar>
        </w:tblPrEx>
        <w:trPr>
          <w:trHeight w:val="5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6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拓展保障思维，深入推进住房保障工作</w:t>
            </w:r>
          </w:p>
        </w:tc>
        <w:tc>
          <w:tcPr>
            <w:tcW w:w="1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1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r>
      <w:tr>
        <w:tblPrEx>
          <w:tblCellMar>
            <w:top w:w="0" w:type="dxa"/>
            <w:left w:w="108" w:type="dxa"/>
            <w:bottom w:w="0" w:type="dxa"/>
            <w:right w:w="108" w:type="dxa"/>
          </w:tblCellMar>
        </w:tblPrEx>
        <w:trPr>
          <w:trHeight w:val="619"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6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营造良好居民生活环境及社会氛围</w:t>
            </w:r>
          </w:p>
        </w:tc>
        <w:tc>
          <w:tcPr>
            <w:tcW w:w="1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1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2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1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16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主管部门满意度</w:t>
            </w:r>
          </w:p>
        </w:tc>
        <w:tc>
          <w:tcPr>
            <w:tcW w:w="1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c>
          <w:tcPr>
            <w:tcW w:w="1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100%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2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8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60" w:type="dxa"/>
            <w:gridSpan w:val="2"/>
            <w:tcBorders>
              <w:top w:val="single" w:color="auto" w:sz="4" w:space="0"/>
              <w:left w:val="nil"/>
              <w:bottom w:val="single" w:color="auto" w:sz="4" w:space="0"/>
              <w:right w:val="single" w:color="auto" w:sz="4" w:space="0"/>
            </w:tcBorders>
            <w:shd w:val="clear" w:color="000000" w:fill="FFFFFF"/>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受益群众满意度</w:t>
            </w:r>
          </w:p>
        </w:tc>
        <w:tc>
          <w:tcPr>
            <w:tcW w:w="188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c>
          <w:tcPr>
            <w:tcW w:w="1860" w:type="dxa"/>
            <w:tcBorders>
              <w:top w:val="nil"/>
              <w:left w:val="nil"/>
              <w:bottom w:val="single" w:color="auto" w:sz="4" w:space="0"/>
              <w:right w:val="single" w:color="auto" w:sz="4" w:space="0"/>
            </w:tcBorders>
            <w:shd w:val="clear" w:color="000000" w:fill="FFFFFF"/>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≥95%</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方正小标宋简体" w:hAnsi="宋体" w:eastAsia="方正小标宋简体"/>
          <w:color w:val="000000"/>
          <w:kern w:val="0"/>
          <w:sz w:val="44"/>
          <w:szCs w:val="44"/>
        </w:rPr>
      </w:pPr>
      <w:r>
        <w:rPr>
          <w:rFonts w:hint="eastAsia" w:ascii="微软雅黑" w:hAnsi="微软雅黑" w:eastAsia="微软雅黑" w:cs="微软雅黑"/>
          <w:color w:val="000000"/>
          <w:kern w:val="0"/>
          <w:sz w:val="44"/>
          <w:szCs w:val="44"/>
        </w:rPr>
        <w:t>项目支出绩效自评报告</w:t>
      </w:r>
    </w:p>
    <w:p>
      <w:pPr>
        <w:spacing w:line="580" w:lineRule="exact"/>
        <w:jc w:val="center"/>
        <w:rPr>
          <w:rFonts w:ascii="仿宋_GB2312" w:hAnsi="宋体" w:eastAsia="仿宋_GB2312"/>
          <w:sz w:val="32"/>
          <w:szCs w:val="32"/>
        </w:rPr>
      </w:pPr>
      <w:r>
        <w:rPr>
          <w:rFonts w:hint="eastAsia" w:ascii="仿宋_GB2312" w:hAnsi="宋体" w:eastAsia="仿宋_GB2312"/>
          <w:sz w:val="32"/>
          <w:szCs w:val="32"/>
          <w:lang w:val="zh-CN"/>
        </w:rPr>
        <w:t>（保障性住房小区物业服务与管理费用补贴</w:t>
      </w:r>
      <w:r>
        <w:rPr>
          <w:rFonts w:hint="eastAsia" w:ascii="仿宋_GB2312" w:hAnsi="宋体" w:eastAsia="仿宋_GB2312"/>
          <w:sz w:val="32"/>
          <w:szCs w:val="32"/>
        </w:rPr>
        <w:t>)</w:t>
      </w:r>
    </w:p>
    <w:p>
      <w:pPr>
        <w:spacing w:line="580" w:lineRule="exact"/>
        <w:jc w:val="center"/>
        <w:rPr>
          <w:rFonts w:ascii="楷体_GB2312" w:hAnsi="宋体" w:eastAsia="楷体_GB2312"/>
          <w:b/>
          <w:sz w:val="30"/>
          <w:szCs w:val="30"/>
          <w:lang w:val="zh-CN"/>
        </w:rPr>
      </w:pPr>
    </w:p>
    <w:p>
      <w:pPr>
        <w:adjustRightInd w:val="0"/>
        <w:snapToGrid w:val="0"/>
        <w:spacing w:line="560" w:lineRule="exact"/>
        <w:ind w:firstLine="720"/>
        <w:rPr>
          <w:rFonts w:ascii="黑体" w:hAnsi="宋体" w:eastAsia="黑体"/>
          <w:sz w:val="32"/>
          <w:szCs w:val="32"/>
          <w:lang w:val="zh-CN"/>
        </w:rPr>
      </w:pPr>
      <w:r>
        <w:rPr>
          <w:rFonts w:hint="eastAsia" w:ascii="黑体" w:hAnsi="宋体" w:eastAsia="黑体"/>
          <w:sz w:val="32"/>
          <w:szCs w:val="32"/>
          <w:lang w:val="zh-CN"/>
        </w:rPr>
        <w:t>一、项目概况</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6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为切实抓好城区公租房小区服务和后期管理工作，经市政府同意每年预算的公租房物业服务与管理费补贴49.8万元（住建〔2015〕292号及市领导批示），用于物业服务补贴与后期管理考核经费。</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adjustRightInd w:val="0"/>
        <w:snapToGrid w:val="0"/>
        <w:spacing w:line="56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1．项目主要内容：做好城区公租房小区服务和后期管理工作。</w:t>
      </w:r>
    </w:p>
    <w:p>
      <w:pPr>
        <w:adjustRightInd w:val="0"/>
        <w:snapToGrid w:val="0"/>
        <w:spacing w:line="56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2．项目应实现的具体绩效目标，包括目标的量化、细化情况以及项目实施进度计划等：（1）物业服务补贴：补贴金额为年度预算金额的20%。以小区实有建筑面积按照0.05元/㎡.月的标准直接补贴给小区物业服务企业；（2）小区物业日常管理及服务工作考核：分两次按照考核积分核算半年考核补贴，考核金额为年度预算金额的40%；（3）专项工作管理考核：考核金额为年度预算金额的40%。单个专项工作落实具体考核经费，安排完专项考核经费后剩余部分补贴物业企业；（</w:t>
      </w:r>
      <w:r>
        <w:rPr>
          <w:rFonts w:hint="eastAsia" w:ascii="仿宋" w:hAnsi="仿宋" w:eastAsia="仿宋"/>
          <w:color w:val="000000"/>
          <w:sz w:val="32"/>
          <w:szCs w:val="32"/>
        </w:rPr>
        <w:t>4</w:t>
      </w:r>
      <w:r>
        <w:rPr>
          <w:rFonts w:hint="eastAsia" w:ascii="仿宋" w:hAnsi="仿宋" w:eastAsia="仿宋"/>
          <w:color w:val="000000"/>
          <w:sz w:val="32"/>
          <w:szCs w:val="32"/>
          <w:lang w:val="zh-CN"/>
        </w:rPr>
        <w:t>）安居佳苑公租房前期物业管理服务费。</w:t>
      </w:r>
    </w:p>
    <w:p>
      <w:pPr>
        <w:adjustRightInd w:val="0"/>
        <w:snapToGrid w:val="0"/>
        <w:spacing w:line="56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 xml:space="preserve"> 3．申报内容与实际相符，申报目标合理可行。</w:t>
      </w:r>
    </w:p>
    <w:p>
      <w:pPr>
        <w:adjustRightInd w:val="0"/>
        <w:snapToGrid w:val="0"/>
        <w:spacing w:line="560" w:lineRule="exact"/>
        <w:ind w:firstLine="481" w:firstLineChars="15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6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由我局开展财政资金使用情况自评并撰写部门预算支出绩效报告，按规范格式按时提交自评报告。</w:t>
      </w:r>
    </w:p>
    <w:p>
      <w:pPr>
        <w:adjustRightInd w:val="0"/>
        <w:snapToGrid w:val="0"/>
        <w:spacing w:line="560" w:lineRule="exact"/>
        <w:ind w:firstLine="480" w:firstLineChars="15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（一）项目资金申报及批复情况。</w:t>
      </w:r>
    </w:p>
    <w:p>
      <w:pPr>
        <w:adjustRightInd w:val="0"/>
        <w:snapToGrid w:val="0"/>
        <w:spacing w:line="56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我市保障性住房后期维护管理项目纳入财政预算管理，主要来源于保障性租赁住房租金收入。每年预算</w:t>
      </w:r>
      <w:r>
        <w:rPr>
          <w:rFonts w:hint="eastAsia" w:ascii="仿宋" w:hAnsi="仿宋" w:eastAsia="仿宋"/>
          <w:color w:val="000000"/>
          <w:sz w:val="32"/>
          <w:szCs w:val="32"/>
        </w:rPr>
        <w:t>49.8</w:t>
      </w:r>
      <w:r>
        <w:rPr>
          <w:rFonts w:hint="eastAsia" w:ascii="仿宋" w:hAnsi="仿宋" w:eastAsia="仿宋"/>
          <w:color w:val="000000"/>
          <w:sz w:val="32"/>
          <w:szCs w:val="32"/>
          <w:lang w:val="zh-CN"/>
        </w:rPr>
        <w:t>万元，我局负责资金管理和使用，严格按照年初预算分配和使用。</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6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1．资金计划及到位。</w:t>
      </w:r>
    </w:p>
    <w:p>
      <w:pPr>
        <w:adjustRightInd w:val="0"/>
        <w:snapToGrid w:val="0"/>
        <w:spacing w:line="56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202</w:t>
      </w:r>
      <w:r>
        <w:rPr>
          <w:rFonts w:hint="eastAsia" w:ascii="仿宋" w:hAnsi="仿宋" w:eastAsia="仿宋"/>
          <w:color w:val="000000"/>
          <w:sz w:val="32"/>
          <w:szCs w:val="32"/>
        </w:rPr>
        <w:t>1</w:t>
      </w:r>
      <w:r>
        <w:rPr>
          <w:rFonts w:hint="eastAsia" w:ascii="仿宋" w:hAnsi="仿宋" w:eastAsia="仿宋"/>
          <w:color w:val="000000"/>
          <w:sz w:val="32"/>
          <w:szCs w:val="32"/>
          <w:lang w:val="zh-CN"/>
        </w:rPr>
        <w:t>年财政预算资金</w:t>
      </w:r>
      <w:r>
        <w:rPr>
          <w:rFonts w:hint="eastAsia" w:ascii="仿宋" w:hAnsi="仿宋" w:eastAsia="仿宋"/>
          <w:color w:val="000000"/>
          <w:sz w:val="32"/>
          <w:szCs w:val="32"/>
        </w:rPr>
        <w:t>49.8</w:t>
      </w:r>
      <w:r>
        <w:rPr>
          <w:rFonts w:hint="eastAsia" w:ascii="仿宋" w:hAnsi="仿宋" w:eastAsia="仿宋"/>
          <w:color w:val="000000"/>
          <w:sz w:val="32"/>
          <w:szCs w:val="32"/>
          <w:lang w:val="zh-CN"/>
        </w:rPr>
        <w:t>万元</w:t>
      </w:r>
      <w:r>
        <w:rPr>
          <w:rFonts w:hint="eastAsia" w:ascii="仿宋" w:hAnsi="仿宋" w:eastAsia="仿宋"/>
          <w:color w:val="000000"/>
          <w:sz w:val="32"/>
          <w:szCs w:val="32"/>
        </w:rPr>
        <w:t>（</w:t>
      </w:r>
      <w:r>
        <w:rPr>
          <w:rFonts w:hint="eastAsia" w:ascii="仿宋" w:hAnsi="仿宋" w:eastAsia="仿宋"/>
          <w:color w:val="000000"/>
          <w:sz w:val="32"/>
          <w:szCs w:val="32"/>
          <w:lang w:val="zh-CN"/>
        </w:rPr>
        <w:t>竹财预〔2021〕01号</w:t>
      </w:r>
      <w:r>
        <w:rPr>
          <w:rFonts w:hint="eastAsia" w:ascii="仿宋" w:hAnsi="仿宋" w:eastAsia="仿宋"/>
          <w:color w:val="000000"/>
          <w:sz w:val="32"/>
          <w:szCs w:val="32"/>
        </w:rPr>
        <w:t>）</w:t>
      </w:r>
      <w:r>
        <w:rPr>
          <w:rFonts w:hint="eastAsia" w:ascii="仿宋" w:hAnsi="仿宋" w:eastAsia="仿宋"/>
          <w:color w:val="000000"/>
          <w:sz w:val="32"/>
          <w:szCs w:val="32"/>
          <w:lang w:eastAsia="zh-CN"/>
        </w:rPr>
        <w:t>，</w:t>
      </w:r>
      <w:r>
        <w:rPr>
          <w:rFonts w:hint="eastAsia" w:ascii="仿宋" w:hAnsi="仿宋" w:eastAsia="仿宋"/>
          <w:color w:val="000000"/>
          <w:sz w:val="32"/>
          <w:szCs w:val="32"/>
          <w:lang w:val="zh-CN"/>
        </w:rPr>
        <w:t>年底追减1</w:t>
      </w:r>
      <w:r>
        <w:rPr>
          <w:rFonts w:hint="eastAsia" w:ascii="仿宋" w:hAnsi="仿宋" w:eastAsia="仿宋"/>
          <w:color w:val="000000"/>
          <w:sz w:val="32"/>
          <w:szCs w:val="32"/>
        </w:rPr>
        <w:t>.</w:t>
      </w:r>
      <w:r>
        <w:rPr>
          <w:rFonts w:hint="eastAsia" w:ascii="仿宋" w:hAnsi="仿宋" w:eastAsia="仿宋"/>
          <w:color w:val="000000"/>
          <w:sz w:val="32"/>
          <w:szCs w:val="32"/>
          <w:lang w:val="zh-CN"/>
        </w:rPr>
        <w:t>919万元（竹财资环减〔2021〕35号），实际到位资金</w:t>
      </w:r>
      <w:r>
        <w:rPr>
          <w:rFonts w:hint="eastAsia" w:ascii="仿宋" w:hAnsi="仿宋" w:eastAsia="仿宋"/>
          <w:color w:val="000000"/>
          <w:sz w:val="32"/>
          <w:szCs w:val="32"/>
        </w:rPr>
        <w:t>47.881</w:t>
      </w:r>
      <w:r>
        <w:rPr>
          <w:rFonts w:hint="eastAsia" w:ascii="仿宋" w:hAnsi="仿宋" w:eastAsia="仿宋"/>
          <w:color w:val="000000"/>
          <w:sz w:val="32"/>
          <w:szCs w:val="32"/>
          <w:lang w:val="zh-CN"/>
        </w:rPr>
        <w:t>万元。资金按时到位，到位率100%。</w:t>
      </w:r>
    </w:p>
    <w:p>
      <w:pPr>
        <w:adjustRightInd w:val="0"/>
        <w:snapToGrid w:val="0"/>
        <w:spacing w:line="56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2．资金使用：资金使用完毕，资金使用安全、规范、有效，支付范围、支付标准、支付进度、支付依据等合规合法、与预算相符。</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spacing w:line="560" w:lineRule="exact"/>
        <w:ind w:firstLine="640" w:firstLineChars="200"/>
        <w:rPr>
          <w:rFonts w:ascii="仿宋" w:hAnsi="仿宋" w:eastAsia="仿宋"/>
          <w:sz w:val="32"/>
          <w:szCs w:val="32"/>
          <w:lang w:val="zh-CN"/>
        </w:rPr>
      </w:pPr>
      <w:r>
        <w:rPr>
          <w:rFonts w:hint="eastAsia" w:ascii="仿宋_GB2312" w:hAnsi="宋体" w:eastAsia="仿宋_GB2312"/>
          <w:sz w:val="32"/>
          <w:szCs w:val="32"/>
          <w:lang w:val="zh-CN"/>
        </w:rPr>
        <w:t>项目实施单位财务管理制度健全，严格执行财务管理制度，</w:t>
      </w:r>
      <w:r>
        <w:rPr>
          <w:rFonts w:hint="eastAsia" w:ascii="仿宋" w:hAnsi="仿宋" w:eastAsia="仿宋"/>
          <w:sz w:val="32"/>
          <w:szCs w:val="32"/>
          <w:lang w:val="zh-CN"/>
        </w:rPr>
        <w:t>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6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按照《绵竹市城镇住房保障管理所公租房小区物业服务补贴与后期管理考核办法》的相关规定，根据项目进度，有序推进工作。</w:t>
      </w:r>
    </w:p>
    <w:p>
      <w:pPr>
        <w:adjustRightInd w:val="0"/>
        <w:snapToGrid w:val="0"/>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56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按照《绵竹市城镇住房保障管理所公租房小区物业服务补贴与后期管理考核办法》相关规定管理。</w:t>
      </w:r>
    </w:p>
    <w:p>
      <w:pPr>
        <w:adjustRightInd w:val="0"/>
        <w:snapToGrid w:val="0"/>
        <w:spacing w:line="560" w:lineRule="exact"/>
        <w:ind w:firstLine="642" w:firstLineChars="200"/>
        <w:rPr>
          <w:rFonts w:ascii="楷体_GB2312" w:hAnsi="宋体" w:eastAsia="楷体_GB2312"/>
          <w:b/>
          <w:sz w:val="32"/>
          <w:szCs w:val="32"/>
          <w:lang w:val="zh-CN"/>
        </w:rPr>
      </w:pPr>
      <w:r>
        <w:rPr>
          <w:rFonts w:hint="eastAsia" w:ascii="楷体_GB2312" w:hAnsi="宋体" w:eastAsia="楷体_GB2312"/>
          <w:b/>
          <w:sz w:val="32"/>
          <w:szCs w:val="32"/>
          <w:lang w:val="zh-CN"/>
        </w:rPr>
        <w:t>（三）项目监管情况。</w:t>
      </w:r>
    </w:p>
    <w:p>
      <w:pPr>
        <w:adjustRightInd w:val="0"/>
        <w:snapToGrid w:val="0"/>
        <w:spacing w:line="560" w:lineRule="exact"/>
        <w:ind w:firstLine="720"/>
        <w:rPr>
          <w:rFonts w:ascii="黑体" w:hAnsi="宋体" w:eastAsia="黑体"/>
          <w:sz w:val="32"/>
          <w:szCs w:val="32"/>
        </w:rPr>
      </w:pPr>
      <w:r>
        <w:rPr>
          <w:rFonts w:hint="eastAsia" w:ascii="仿宋" w:hAnsi="仿宋" w:eastAsia="仿宋"/>
          <w:color w:val="000000"/>
          <w:sz w:val="32"/>
          <w:szCs w:val="32"/>
          <w:lang w:val="zh-CN"/>
        </w:rPr>
        <w:t>我局按照《绵竹市城镇住房保障管理所公租房小区物业服务补贴与后期管理考核办法》相关规定按月对公租房小区物业服务进行考核。</w:t>
      </w:r>
    </w:p>
    <w:p>
      <w:pPr>
        <w:adjustRightInd w:val="0"/>
        <w:snapToGrid w:val="0"/>
        <w:spacing w:line="560" w:lineRule="exact"/>
        <w:ind w:firstLine="720"/>
        <w:rPr>
          <w:rFonts w:ascii="仿宋_GB2312" w:hAnsi="宋体" w:eastAsia="仿宋_GB2312"/>
          <w:sz w:val="32"/>
          <w:szCs w:val="32"/>
          <w:lang w:val="zh-CN"/>
        </w:rPr>
      </w:pPr>
      <w:r>
        <w:rPr>
          <w:rFonts w:hint="eastAsia" w:ascii="黑体" w:hAnsi="宋体" w:eastAsia="黑体"/>
          <w:sz w:val="32"/>
          <w:szCs w:val="32"/>
        </w:rPr>
        <w:t>四、项目绩效情况</w:t>
      </w:r>
      <w:r>
        <w:rPr>
          <w:rFonts w:ascii="仿宋_GB2312" w:hAnsi="宋体" w:eastAsia="仿宋_GB2312"/>
          <w:sz w:val="32"/>
          <w:szCs w:val="32"/>
          <w:lang w:val="zh-CN"/>
        </w:rPr>
        <w:tab/>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6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完成城区3100余套公租房物业服务补贴和管理考核。</w:t>
      </w:r>
    </w:p>
    <w:p>
      <w:pPr>
        <w:adjustRightInd w:val="0"/>
        <w:snapToGrid w:val="0"/>
        <w:spacing w:line="560" w:lineRule="exact"/>
        <w:ind w:firstLine="720"/>
        <w:rPr>
          <w:rFonts w:ascii="仿宋_GB2312" w:hAnsi="宋体" w:eastAsia="仿宋_GB2312"/>
          <w:sz w:val="32"/>
          <w:szCs w:val="32"/>
          <w:lang w:val="zh-CN"/>
        </w:rPr>
      </w:pPr>
      <w:r>
        <w:rPr>
          <w:rFonts w:hint="eastAsia" w:ascii="楷体_GB2312" w:hAnsi="宋体" w:eastAsia="楷体_GB2312"/>
          <w:b/>
          <w:sz w:val="32"/>
          <w:szCs w:val="32"/>
          <w:lang w:val="zh-CN"/>
        </w:rPr>
        <w:t>（二）项目效益情况。</w:t>
      </w:r>
    </w:p>
    <w:p>
      <w:pPr>
        <w:adjustRightInd w:val="0"/>
        <w:snapToGrid w:val="0"/>
        <w:spacing w:line="56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公租房小区物业管理得到规范，公租房租金收取得到提高，公租房小区的物业服务水平得到提高，城镇低收入困难家庭幸福感满意度有所提升。</w:t>
      </w:r>
    </w:p>
    <w:p>
      <w:pPr>
        <w:adjustRightInd w:val="0"/>
        <w:snapToGrid w:val="0"/>
        <w:spacing w:line="560" w:lineRule="exact"/>
        <w:ind w:firstLine="720"/>
        <w:rPr>
          <w:rFonts w:ascii="黑体" w:hAnsi="宋体" w:eastAsia="黑体"/>
          <w:sz w:val="32"/>
          <w:szCs w:val="32"/>
        </w:rPr>
      </w:pPr>
      <w:r>
        <w:rPr>
          <w:rFonts w:hint="eastAsia" w:ascii="黑体" w:hAnsi="宋体" w:eastAsia="黑体"/>
          <w:sz w:val="32"/>
          <w:szCs w:val="32"/>
        </w:rPr>
        <w:t>五、问题及建议</w:t>
      </w:r>
    </w:p>
    <w:p>
      <w:pPr>
        <w:adjustRightInd w:val="0"/>
        <w:snapToGrid w:val="0"/>
        <w:spacing w:line="56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60" w:lineRule="exact"/>
        <w:ind w:firstLine="640" w:firstLineChars="200"/>
        <w:rPr>
          <w:rFonts w:ascii="仿宋" w:hAnsi="仿宋" w:eastAsia="仿宋"/>
          <w:color w:val="000000"/>
          <w:sz w:val="32"/>
          <w:szCs w:val="32"/>
          <w:lang w:val="zh-CN"/>
        </w:rPr>
      </w:pPr>
      <w:r>
        <w:rPr>
          <w:rFonts w:hint="eastAsia" w:ascii="仿宋" w:hAnsi="仿宋" w:eastAsia="仿宋"/>
          <w:color w:val="000000"/>
          <w:sz w:val="32"/>
          <w:szCs w:val="32"/>
          <w:lang w:val="zh-CN"/>
        </w:rPr>
        <w:t>全面完成202</w:t>
      </w:r>
      <w:r>
        <w:rPr>
          <w:rFonts w:hint="eastAsia" w:ascii="仿宋" w:hAnsi="仿宋" w:eastAsia="仿宋"/>
          <w:color w:val="000000"/>
          <w:sz w:val="32"/>
          <w:szCs w:val="32"/>
        </w:rPr>
        <w:t>1</w:t>
      </w:r>
      <w:r>
        <w:rPr>
          <w:rFonts w:hint="eastAsia" w:ascii="仿宋" w:hAnsi="仿宋" w:eastAsia="仿宋"/>
          <w:color w:val="000000"/>
          <w:sz w:val="32"/>
          <w:szCs w:val="32"/>
          <w:lang w:val="zh-CN"/>
        </w:rPr>
        <w:t>年公租房小区物业服务补贴与后期管理考核工作，在加强和完善保障性住房后期管理、保障和改善民生、推动城镇化进程等方面取得了明显实效</w:t>
      </w:r>
      <w:r>
        <w:rPr>
          <w:rFonts w:hint="eastAsia" w:ascii="仿宋" w:hAnsi="仿宋" w:eastAsia="仿宋"/>
          <w:sz w:val="32"/>
          <w:szCs w:val="32"/>
          <w:lang w:val="zh-CN"/>
        </w:rPr>
        <w:t>，服务对象总体较满意。评定级别为“优”。</w:t>
      </w:r>
    </w:p>
    <w:p>
      <w:pPr>
        <w:adjustRightInd w:val="0"/>
        <w:snapToGrid w:val="0"/>
        <w:spacing w:line="560" w:lineRule="exact"/>
        <w:ind w:firstLine="720"/>
        <w:rPr>
          <w:rFonts w:ascii="仿宋" w:hAnsi="仿宋" w:eastAsia="仿宋"/>
          <w:color w:val="000000"/>
          <w:sz w:val="32"/>
          <w:szCs w:val="32"/>
          <w:lang w:val="zh-CN"/>
        </w:rPr>
      </w:pPr>
      <w:r>
        <w:rPr>
          <w:rFonts w:hint="eastAsia" w:ascii="楷体_GB2312" w:hAnsi="宋体" w:eastAsia="楷体_GB2312"/>
          <w:b/>
          <w:sz w:val="32"/>
          <w:szCs w:val="32"/>
          <w:lang w:val="zh-CN"/>
        </w:rPr>
        <w:t>（二）存在的问题。</w:t>
      </w:r>
      <w:r>
        <w:rPr>
          <w:rFonts w:hint="eastAsia" w:ascii="仿宋" w:hAnsi="仿宋" w:eastAsia="仿宋"/>
          <w:color w:val="000000"/>
          <w:sz w:val="32"/>
          <w:szCs w:val="32"/>
          <w:lang w:val="zh-CN"/>
        </w:rPr>
        <w:t>无</w:t>
      </w:r>
    </w:p>
    <w:p>
      <w:pPr>
        <w:adjustRightInd w:val="0"/>
        <w:snapToGrid w:val="0"/>
        <w:spacing w:line="560" w:lineRule="exact"/>
        <w:ind w:firstLine="720"/>
        <w:rPr>
          <w:rFonts w:ascii="仿宋" w:hAnsi="仿宋" w:eastAsia="仿宋"/>
          <w:color w:val="000000"/>
          <w:sz w:val="32"/>
          <w:szCs w:val="32"/>
          <w:lang w:val="zh-CN"/>
        </w:rPr>
      </w:pPr>
      <w:r>
        <w:rPr>
          <w:rFonts w:hint="eastAsia" w:ascii="楷体_GB2312" w:hAnsi="宋体" w:eastAsia="楷体_GB2312"/>
          <w:b/>
          <w:sz w:val="32"/>
          <w:szCs w:val="32"/>
          <w:lang w:val="zh-CN"/>
        </w:rPr>
        <w:t>（三）相关建议。</w:t>
      </w:r>
      <w:r>
        <w:rPr>
          <w:rFonts w:hint="eastAsia" w:ascii="仿宋" w:hAnsi="仿宋" w:eastAsia="仿宋"/>
          <w:color w:val="000000"/>
          <w:sz w:val="32"/>
          <w:szCs w:val="32"/>
          <w:lang w:val="zh-CN"/>
        </w:rPr>
        <w:t>无</w:t>
      </w:r>
    </w:p>
    <w:p>
      <w:pPr>
        <w:pStyle w:val="2"/>
        <w:spacing w:before="93"/>
        <w:rPr>
          <w:rFonts w:hAnsi="宋体" w:cs="宋体"/>
          <w:sz w:val="32"/>
          <w:szCs w:val="32"/>
          <w:shd w:val="clear" w:color="auto" w:fill="FFFFFF"/>
          <w:lang w:val="zh-CN"/>
        </w:rPr>
      </w:pPr>
    </w:p>
    <w:tbl>
      <w:tblPr>
        <w:tblStyle w:val="13"/>
        <w:tblW w:w="10980" w:type="dxa"/>
        <w:jc w:val="center"/>
        <w:tblLayout w:type="autofit"/>
        <w:tblCellMar>
          <w:top w:w="0" w:type="dxa"/>
          <w:left w:w="108" w:type="dxa"/>
          <w:bottom w:w="0" w:type="dxa"/>
          <w:right w:w="108" w:type="dxa"/>
        </w:tblCellMar>
      </w:tblPr>
      <w:tblGrid>
        <w:gridCol w:w="1080"/>
        <w:gridCol w:w="940"/>
        <w:gridCol w:w="1300"/>
        <w:gridCol w:w="1080"/>
        <w:gridCol w:w="1060"/>
        <w:gridCol w:w="2500"/>
        <w:gridCol w:w="3020"/>
      </w:tblGrid>
      <w:tr>
        <w:tblPrEx>
          <w:tblCellMar>
            <w:top w:w="0" w:type="dxa"/>
            <w:left w:w="108" w:type="dxa"/>
            <w:bottom w:w="0" w:type="dxa"/>
            <w:right w:w="108" w:type="dxa"/>
          </w:tblCellMar>
        </w:tblPrEx>
        <w:trPr>
          <w:trHeight w:val="375" w:hRule="atLeast"/>
          <w:jc w:val="center"/>
        </w:trPr>
        <w:tc>
          <w:tcPr>
            <w:tcW w:w="1098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28"/>
                <w:szCs w:val="28"/>
              </w:rPr>
            </w:pPr>
            <w:r>
              <w:rPr>
                <w:rFonts w:hint="eastAsia" w:ascii="宋体" w:hAnsi="宋体" w:cs="宋体"/>
                <w:b/>
                <w:bCs/>
                <w:kern w:val="0"/>
                <w:sz w:val="28"/>
                <w:szCs w:val="28"/>
              </w:rPr>
              <w:t>项目支出绩效目标自评表</w:t>
            </w:r>
          </w:p>
        </w:tc>
      </w:tr>
      <w:tr>
        <w:tblPrEx>
          <w:tblCellMar>
            <w:top w:w="0" w:type="dxa"/>
            <w:left w:w="108" w:type="dxa"/>
            <w:bottom w:w="0" w:type="dxa"/>
            <w:right w:w="108" w:type="dxa"/>
          </w:tblCellMar>
        </w:tblPrEx>
        <w:trPr>
          <w:trHeight w:val="270" w:hRule="atLeast"/>
          <w:jc w:val="center"/>
        </w:trPr>
        <w:tc>
          <w:tcPr>
            <w:tcW w:w="10980" w:type="dxa"/>
            <w:gridSpan w:val="7"/>
            <w:tcBorders>
              <w:top w:val="nil"/>
              <w:left w:val="nil"/>
              <w:bottom w:val="nil"/>
              <w:right w:val="nil"/>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（2021年度）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9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w:t>
            </w:r>
          </w:p>
        </w:tc>
        <w:tc>
          <w:tcPr>
            <w:tcW w:w="1300" w:type="dxa"/>
            <w:tcBorders>
              <w:top w:val="nil"/>
              <w:left w:val="nil"/>
              <w:bottom w:val="nil"/>
              <w:right w:val="nil"/>
            </w:tcBorders>
            <w:shd w:val="clear" w:color="auto" w:fill="auto"/>
            <w:vAlign w:val="center"/>
          </w:tcPr>
          <w:p>
            <w:pPr>
              <w:widowControl/>
              <w:jc w:val="left"/>
              <w:rPr>
                <w:rFonts w:ascii="宋体" w:hAnsi="宋体" w:cs="宋体"/>
                <w:kern w:val="0"/>
                <w:sz w:val="20"/>
                <w:szCs w:val="20"/>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06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50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302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510" w:hRule="atLeast"/>
          <w:jc w:val="center"/>
        </w:trPr>
        <w:tc>
          <w:tcPr>
            <w:tcW w:w="3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76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保障性住房小区物业服务与管理费用补贴</w:t>
            </w:r>
          </w:p>
        </w:tc>
      </w:tr>
      <w:tr>
        <w:tblPrEx>
          <w:tblCellMar>
            <w:top w:w="0" w:type="dxa"/>
            <w:left w:w="108" w:type="dxa"/>
            <w:bottom w:w="0" w:type="dxa"/>
            <w:right w:w="108" w:type="dxa"/>
          </w:tblCellMar>
        </w:tblPrEx>
        <w:trPr>
          <w:trHeight w:val="510" w:hRule="atLeast"/>
          <w:jc w:val="center"/>
        </w:trPr>
        <w:tc>
          <w:tcPr>
            <w:tcW w:w="33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766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51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21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49.8万元</w:t>
            </w:r>
          </w:p>
        </w:tc>
        <w:tc>
          <w:tcPr>
            <w:tcW w:w="2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3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47.881万元</w:t>
            </w:r>
          </w:p>
        </w:tc>
      </w:tr>
      <w:tr>
        <w:tblPrEx>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1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49.8万元</w:t>
            </w:r>
          </w:p>
        </w:tc>
        <w:tc>
          <w:tcPr>
            <w:tcW w:w="250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3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47.881万元</w:t>
            </w:r>
          </w:p>
        </w:tc>
      </w:tr>
      <w:tr>
        <w:tblPrEx>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2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1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50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302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58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38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55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78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38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做好城区公租房小区服务和后期管理工作。</w:t>
            </w:r>
          </w:p>
        </w:tc>
        <w:tc>
          <w:tcPr>
            <w:tcW w:w="55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完成城区3100余套公租房物业服务补贴和管理考核。</w:t>
            </w:r>
          </w:p>
        </w:tc>
      </w:tr>
      <w:tr>
        <w:tblPrEx>
          <w:tblCellMar>
            <w:top w:w="0" w:type="dxa"/>
            <w:left w:w="108" w:type="dxa"/>
            <w:bottom w:w="0" w:type="dxa"/>
            <w:right w:w="108" w:type="dxa"/>
          </w:tblCellMar>
        </w:tblPrEx>
        <w:trPr>
          <w:trHeight w:val="795"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3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103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3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完成玉马小区物业服务和管理费用补贴</w:t>
            </w:r>
          </w:p>
        </w:tc>
        <w:tc>
          <w:tcPr>
            <w:tcW w:w="2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408套</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物业企业积极参与408套公租房的物业管理，同时积极配合住保所开展公租房具体管理。</w:t>
            </w:r>
          </w:p>
        </w:tc>
      </w:tr>
      <w:tr>
        <w:tblPrEx>
          <w:tblCellMar>
            <w:top w:w="0" w:type="dxa"/>
            <w:left w:w="108" w:type="dxa"/>
            <w:bottom w:w="0" w:type="dxa"/>
            <w:right w:w="108" w:type="dxa"/>
          </w:tblCellMar>
        </w:tblPrEx>
        <w:trPr>
          <w:trHeight w:val="103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1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完成金陵人家小区物业服务和管理费用补贴</w:t>
            </w:r>
          </w:p>
        </w:tc>
        <w:tc>
          <w:tcPr>
            <w:tcW w:w="2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1320套</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物业企业积极参与1320套公租房的物业管理，同时积极配合住保所开展公租房具体管理。</w:t>
            </w:r>
          </w:p>
        </w:tc>
      </w:tr>
      <w:tr>
        <w:tblPrEx>
          <w:tblCellMar>
            <w:top w:w="0" w:type="dxa"/>
            <w:left w:w="108" w:type="dxa"/>
            <w:bottom w:w="0" w:type="dxa"/>
            <w:right w:w="108" w:type="dxa"/>
          </w:tblCellMar>
        </w:tblPrEx>
        <w:trPr>
          <w:trHeight w:val="103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1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完成金陵苑小区物业服务和管理费用补贴</w:t>
            </w:r>
          </w:p>
        </w:tc>
        <w:tc>
          <w:tcPr>
            <w:tcW w:w="2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852套</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物业企业积极参与852套公租房的物业管理，同时积极配合住保所开展公租房具体管理。</w:t>
            </w:r>
          </w:p>
        </w:tc>
      </w:tr>
      <w:tr>
        <w:tblPrEx>
          <w:tblCellMar>
            <w:top w:w="0" w:type="dxa"/>
            <w:left w:w="108" w:type="dxa"/>
            <w:bottom w:w="0" w:type="dxa"/>
            <w:right w:w="108" w:type="dxa"/>
          </w:tblCellMar>
        </w:tblPrEx>
        <w:trPr>
          <w:trHeight w:val="103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1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完成茶盘街小区物业服务和管理费用补贴</w:t>
            </w:r>
          </w:p>
        </w:tc>
        <w:tc>
          <w:tcPr>
            <w:tcW w:w="2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552套</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物业企业积极参与552套公租房的物业管理，同时积极配合住保所开展公租房具体管理。</w:t>
            </w:r>
          </w:p>
        </w:tc>
      </w:tr>
      <w:tr>
        <w:tblPrEx>
          <w:tblCellMar>
            <w:top w:w="0" w:type="dxa"/>
            <w:left w:w="108" w:type="dxa"/>
            <w:bottom w:w="0" w:type="dxa"/>
            <w:right w:w="108" w:type="dxa"/>
          </w:tblCellMar>
        </w:tblPrEx>
        <w:trPr>
          <w:trHeight w:val="103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1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完成安居佳苑小区物业服务和管理费用补贴</w:t>
            </w:r>
          </w:p>
        </w:tc>
        <w:tc>
          <w:tcPr>
            <w:tcW w:w="2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240套</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因该房屋未竣工交付使用，所以暂未实施。</w:t>
            </w:r>
          </w:p>
        </w:tc>
      </w:tr>
      <w:tr>
        <w:tblPrEx>
          <w:tblCellMar>
            <w:top w:w="0" w:type="dxa"/>
            <w:left w:w="108" w:type="dxa"/>
            <w:bottom w:w="0" w:type="dxa"/>
            <w:right w:w="108" w:type="dxa"/>
          </w:tblCellMar>
        </w:tblPrEx>
        <w:trPr>
          <w:trHeight w:val="103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21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完成金陵和园小区物业服务和管理费用补贴</w:t>
            </w:r>
          </w:p>
        </w:tc>
        <w:tc>
          <w:tcPr>
            <w:tcW w:w="2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18套</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物业企业积极参与18套公租房的物业管理，同时积极配合住保所开展公租房具体管理。</w:t>
            </w:r>
          </w:p>
        </w:tc>
      </w:tr>
      <w:tr>
        <w:tblPrEx>
          <w:tblCellMar>
            <w:top w:w="0" w:type="dxa"/>
            <w:left w:w="108" w:type="dxa"/>
            <w:bottom w:w="0" w:type="dxa"/>
            <w:right w:w="108" w:type="dxa"/>
          </w:tblCellMar>
        </w:tblPrEx>
        <w:trPr>
          <w:trHeight w:val="84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服务率</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100%</w:t>
            </w:r>
          </w:p>
        </w:tc>
        <w:tc>
          <w:tcPr>
            <w:tcW w:w="3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840" w:hRule="atLeast"/>
          <w:jc w:val="center"/>
        </w:trPr>
        <w:tc>
          <w:tcPr>
            <w:tcW w:w="108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完成时间</w:t>
            </w:r>
          </w:p>
        </w:tc>
        <w:tc>
          <w:tcPr>
            <w:tcW w:w="250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2021年12月31日前</w:t>
            </w:r>
          </w:p>
        </w:tc>
        <w:tc>
          <w:tcPr>
            <w:tcW w:w="302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2021年12月31日前</w:t>
            </w:r>
          </w:p>
        </w:tc>
      </w:tr>
      <w:tr>
        <w:tblPrEx>
          <w:tblCellMar>
            <w:top w:w="0" w:type="dxa"/>
            <w:left w:w="108" w:type="dxa"/>
            <w:bottom w:w="0" w:type="dxa"/>
            <w:right w:w="108" w:type="dxa"/>
          </w:tblCellMar>
        </w:tblPrEx>
        <w:trPr>
          <w:trHeight w:val="84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公租房小区物业服务及管理考核补贴</w:t>
            </w:r>
          </w:p>
        </w:tc>
        <w:tc>
          <w:tcPr>
            <w:tcW w:w="2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49.8万元</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47.881万元</w:t>
            </w:r>
          </w:p>
        </w:tc>
      </w:tr>
      <w:tr>
        <w:tblPrEx>
          <w:tblCellMar>
            <w:top w:w="0" w:type="dxa"/>
            <w:left w:w="108" w:type="dxa"/>
            <w:bottom w:w="0" w:type="dxa"/>
            <w:right w:w="108" w:type="dxa"/>
          </w:tblCellMar>
        </w:tblPrEx>
        <w:trPr>
          <w:trHeight w:val="124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3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规范公租房小区管理和服务，提高公租房租金收取率，促进我市物业公司良性发展。</w:t>
            </w:r>
          </w:p>
        </w:tc>
        <w:tc>
          <w:tcPr>
            <w:tcW w:w="2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在公租房小区中力争争创德阳市物业服务品牌项目一个；小区管理规范，公租房租金收取率逐年提高</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公租房小区物业管理得到规范，公租房租金收取得到提高</w:t>
            </w:r>
          </w:p>
        </w:tc>
      </w:tr>
      <w:tr>
        <w:tblPrEx>
          <w:tblCellMar>
            <w:top w:w="0" w:type="dxa"/>
            <w:left w:w="108" w:type="dxa"/>
            <w:bottom w:w="0" w:type="dxa"/>
            <w:right w:w="108" w:type="dxa"/>
          </w:tblCellMar>
        </w:tblPrEx>
        <w:trPr>
          <w:trHeight w:val="124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对保障性住房物业服务和管理费用补贴。</w:t>
            </w:r>
          </w:p>
        </w:tc>
        <w:tc>
          <w:tcPr>
            <w:tcW w:w="2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进一步提高保障房小区的物业服务水平，争创德阳市物业服务品牌项目一个</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公</w:t>
            </w:r>
            <w:r>
              <w:rPr>
                <w:rFonts w:hint="eastAsia" w:ascii="宋体" w:hAnsi="宋体" w:cs="宋体"/>
                <w:kern w:val="0"/>
                <w:sz w:val="20"/>
                <w:szCs w:val="20"/>
                <w:lang w:eastAsia="zh-CN"/>
              </w:rPr>
              <w:t>租房</w:t>
            </w:r>
            <w:r>
              <w:rPr>
                <w:rFonts w:hint="eastAsia" w:ascii="宋体" w:hAnsi="宋体" w:cs="宋体"/>
                <w:kern w:val="0"/>
                <w:sz w:val="20"/>
                <w:szCs w:val="20"/>
              </w:rPr>
              <w:t>小区的物业服务水平得到提高</w:t>
            </w:r>
          </w:p>
        </w:tc>
      </w:tr>
      <w:tr>
        <w:tblPrEx>
          <w:tblCellMar>
            <w:top w:w="0" w:type="dxa"/>
            <w:left w:w="108" w:type="dxa"/>
            <w:bottom w:w="0" w:type="dxa"/>
            <w:right w:w="108" w:type="dxa"/>
          </w:tblCellMar>
        </w:tblPrEx>
        <w:trPr>
          <w:trHeight w:val="124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城镇低收入困难家庭幸福感</w:t>
            </w:r>
            <w:r>
              <w:rPr>
                <w:rFonts w:hint="eastAsia" w:ascii="宋体" w:hAnsi="宋体" w:cs="宋体"/>
                <w:kern w:val="0"/>
                <w:sz w:val="20"/>
                <w:szCs w:val="20"/>
                <w:lang w:eastAsia="zh-CN"/>
              </w:rPr>
              <w:t>满意度</w:t>
            </w:r>
            <w:r>
              <w:rPr>
                <w:rFonts w:hint="eastAsia" w:ascii="宋体" w:hAnsi="宋体" w:cs="宋体"/>
                <w:kern w:val="0"/>
                <w:sz w:val="20"/>
                <w:szCs w:val="20"/>
              </w:rPr>
              <w:t>进一步提升</w:t>
            </w:r>
          </w:p>
        </w:tc>
        <w:tc>
          <w:tcPr>
            <w:tcW w:w="2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城镇低收入困难家庭幸福感满意度进一步提升</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城镇低收入困难家庭幸福感满意度有所提升</w:t>
            </w:r>
          </w:p>
        </w:tc>
      </w:tr>
      <w:tr>
        <w:tblPrEx>
          <w:tblCellMar>
            <w:top w:w="0" w:type="dxa"/>
            <w:left w:w="108" w:type="dxa"/>
            <w:bottom w:w="0" w:type="dxa"/>
            <w:right w:w="108" w:type="dxa"/>
          </w:tblCellMar>
        </w:tblPrEx>
        <w:trPr>
          <w:trHeight w:val="124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城镇低收入困难家庭幸福感</w:t>
            </w:r>
            <w:r>
              <w:rPr>
                <w:rFonts w:hint="eastAsia" w:ascii="宋体" w:hAnsi="宋体" w:cs="宋体"/>
                <w:kern w:val="0"/>
                <w:sz w:val="20"/>
                <w:szCs w:val="20"/>
                <w:lang w:eastAsia="zh-CN"/>
              </w:rPr>
              <w:t>满意度</w:t>
            </w:r>
            <w:r>
              <w:rPr>
                <w:rFonts w:hint="eastAsia" w:ascii="宋体" w:hAnsi="宋体" w:cs="宋体"/>
                <w:kern w:val="0"/>
                <w:sz w:val="20"/>
                <w:szCs w:val="20"/>
              </w:rPr>
              <w:t>进一步提升</w:t>
            </w:r>
          </w:p>
        </w:tc>
        <w:tc>
          <w:tcPr>
            <w:tcW w:w="25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城镇低收入困难家庭幸福感</w:t>
            </w:r>
            <w:r>
              <w:rPr>
                <w:rFonts w:hint="eastAsia" w:ascii="宋体" w:hAnsi="宋体" w:cs="宋体"/>
                <w:kern w:val="0"/>
                <w:sz w:val="20"/>
                <w:szCs w:val="20"/>
                <w:lang w:eastAsia="zh-CN"/>
              </w:rPr>
              <w:t>满意度</w:t>
            </w:r>
            <w:r>
              <w:rPr>
                <w:rFonts w:hint="eastAsia" w:ascii="宋体" w:hAnsi="宋体" w:cs="宋体"/>
                <w:kern w:val="0"/>
                <w:sz w:val="20"/>
                <w:szCs w:val="20"/>
              </w:rPr>
              <w:t>进一步提升</w:t>
            </w:r>
          </w:p>
        </w:tc>
        <w:tc>
          <w:tcPr>
            <w:tcW w:w="3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城镇低收入困难家庭幸福感满意度有所提升</w:t>
            </w:r>
          </w:p>
        </w:tc>
      </w:tr>
      <w:tr>
        <w:tblPrEx>
          <w:tblCellMar>
            <w:top w:w="0" w:type="dxa"/>
            <w:left w:w="108" w:type="dxa"/>
            <w:bottom w:w="0" w:type="dxa"/>
            <w:right w:w="108" w:type="dxa"/>
          </w:tblCellMar>
        </w:tblPrEx>
        <w:trPr>
          <w:trHeight w:val="124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21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保障房小区群众满意度</w:t>
            </w:r>
          </w:p>
        </w:tc>
        <w:tc>
          <w:tcPr>
            <w:tcW w:w="25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c>
          <w:tcPr>
            <w:tcW w:w="3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≧98%</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lang w:val="zh-CN"/>
        </w:rPr>
      </w:pPr>
      <w:r>
        <w:rPr>
          <w:rFonts w:hint="eastAsia" w:ascii="微软雅黑" w:hAnsi="微软雅黑" w:eastAsia="微软雅黑" w:cs="微软雅黑"/>
          <w:color w:val="000000"/>
          <w:kern w:val="0"/>
          <w:sz w:val="44"/>
          <w:szCs w:val="44"/>
          <w:lang w:val="zh-CN"/>
        </w:rPr>
        <w:t>项目支出绩效自评报告</w:t>
      </w:r>
    </w:p>
    <w:p>
      <w:pPr>
        <w:spacing w:line="560" w:lineRule="exact"/>
        <w:jc w:val="center"/>
        <w:rPr>
          <w:rFonts w:eastAsia="仿宋_GB2312"/>
          <w:color w:val="000000"/>
          <w:sz w:val="32"/>
          <w:szCs w:val="32"/>
        </w:rPr>
      </w:pPr>
      <w:r>
        <w:rPr>
          <w:rFonts w:hint="eastAsia" w:eastAsia="仿宋_GB2312"/>
          <w:color w:val="000000"/>
          <w:sz w:val="32"/>
          <w:szCs w:val="32"/>
        </w:rPr>
        <w:t>（绵竹市剑南镇五路口社区教师新村小区</w:t>
      </w:r>
    </w:p>
    <w:p>
      <w:pPr>
        <w:spacing w:line="560" w:lineRule="exact"/>
        <w:jc w:val="center"/>
        <w:rPr>
          <w:rFonts w:eastAsia="仿宋_GB2312"/>
          <w:color w:val="000000"/>
          <w:sz w:val="32"/>
          <w:szCs w:val="32"/>
        </w:rPr>
      </w:pPr>
      <w:r>
        <w:rPr>
          <w:rFonts w:hint="eastAsia" w:eastAsia="仿宋_GB2312"/>
          <w:color w:val="000000"/>
          <w:sz w:val="32"/>
          <w:szCs w:val="32"/>
        </w:rPr>
        <w:t>配套基础设施改造项目）</w:t>
      </w:r>
    </w:p>
    <w:p>
      <w:pPr>
        <w:adjustRightInd w:val="0"/>
        <w:snapToGrid w:val="0"/>
        <w:spacing w:line="560" w:lineRule="exact"/>
        <w:ind w:firstLine="720"/>
        <w:rPr>
          <w:rFonts w:ascii="黑体" w:hAnsi="宋体" w:eastAsia="黑体"/>
          <w:sz w:val="32"/>
          <w:szCs w:val="32"/>
        </w:rPr>
      </w:pPr>
    </w:p>
    <w:p>
      <w:pPr>
        <w:adjustRightInd w:val="0"/>
        <w:snapToGrid w:val="0"/>
        <w:spacing w:line="60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1、</w:t>
      </w:r>
      <w:r>
        <w:rPr>
          <w:rFonts w:hint="eastAsia" w:ascii="仿宋_GB2312" w:hAnsi="宋体" w:eastAsia="仿宋_GB2312"/>
          <w:sz w:val="32"/>
          <w:szCs w:val="32"/>
          <w:lang w:val="zh-CN"/>
        </w:rPr>
        <w:t>项目业主：绵竹市城镇住房保障管理所。</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建设地址：绵竹市剑南镇春溢路。</w:t>
      </w:r>
    </w:p>
    <w:p>
      <w:pPr>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3、</w:t>
      </w:r>
      <w:r>
        <w:rPr>
          <w:rFonts w:hint="eastAsia" w:ascii="仿宋_GB2312" w:hAnsi="宋体" w:eastAsia="仿宋_GB2312"/>
          <w:sz w:val="32"/>
          <w:szCs w:val="32"/>
          <w:lang w:val="zh-CN"/>
        </w:rPr>
        <w:t>建设内容及规模：</w:t>
      </w:r>
      <w:r>
        <w:rPr>
          <w:rFonts w:eastAsia="仿宋_GB2312"/>
          <w:color w:val="000000"/>
          <w:sz w:val="32"/>
          <w:szCs w:val="32"/>
        </w:rPr>
        <w:t>新建农贸市场</w:t>
      </w:r>
      <w:r>
        <w:rPr>
          <w:rFonts w:eastAsia="Times New Roman"/>
          <w:color w:val="000000"/>
          <w:sz w:val="32"/>
          <w:szCs w:val="32"/>
        </w:rPr>
        <w:t>675</w:t>
      </w:r>
      <w:r>
        <w:rPr>
          <w:rFonts w:eastAsia="仿宋_GB2312"/>
          <w:color w:val="000000"/>
          <w:sz w:val="32"/>
          <w:szCs w:val="32"/>
        </w:rPr>
        <w:t>平方米，维修改造教师新村小区道路、给水管道、消防栓、污水管道、屋面防水、教师广场、路灯、绿化等其他配套设施设备。</w:t>
      </w:r>
    </w:p>
    <w:p>
      <w:pPr>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4、资金来源：中央预算内资金</w:t>
      </w:r>
      <w:r>
        <w:rPr>
          <w:rFonts w:hint="eastAsia" w:ascii="仿宋_GB2312" w:hAnsi="宋体" w:eastAsia="仿宋_GB2312"/>
          <w:sz w:val="32"/>
          <w:szCs w:val="32"/>
        </w:rPr>
        <w:t>480</w:t>
      </w:r>
      <w:r>
        <w:rPr>
          <w:rFonts w:hint="eastAsia" w:ascii="仿宋_GB2312" w:hAnsi="宋体" w:eastAsia="仿宋_GB2312"/>
          <w:sz w:val="32"/>
          <w:szCs w:val="32"/>
          <w:lang w:val="zh-CN"/>
        </w:rPr>
        <w:t>万元和本级财政资金</w:t>
      </w:r>
      <w:r>
        <w:rPr>
          <w:rFonts w:hint="eastAsia" w:ascii="仿宋_GB2312" w:hAnsi="宋体" w:eastAsia="仿宋_GB2312"/>
          <w:sz w:val="32"/>
          <w:szCs w:val="32"/>
        </w:rPr>
        <w:t>94.77</w:t>
      </w:r>
      <w:r>
        <w:rPr>
          <w:rFonts w:hint="eastAsia" w:ascii="仿宋_GB2312" w:hAnsi="宋体" w:eastAsia="仿宋_GB2312"/>
          <w:sz w:val="32"/>
          <w:szCs w:val="32"/>
          <w:lang w:val="zh-CN"/>
        </w:rPr>
        <w:t>万元。</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1、</w:t>
      </w:r>
      <w:r>
        <w:rPr>
          <w:rFonts w:hint="eastAsia" w:ascii="仿宋_GB2312" w:hAnsi="宋体" w:eastAsia="仿宋_GB2312"/>
          <w:sz w:val="32"/>
          <w:szCs w:val="32"/>
          <w:lang w:val="zh-CN"/>
        </w:rPr>
        <w:t>项目主要内容：</w:t>
      </w:r>
      <w:r>
        <w:rPr>
          <w:rFonts w:eastAsia="仿宋_GB2312"/>
          <w:color w:val="000000"/>
          <w:sz w:val="32"/>
          <w:szCs w:val="32"/>
        </w:rPr>
        <w:t>新建农贸市场</w:t>
      </w:r>
      <w:r>
        <w:rPr>
          <w:rFonts w:eastAsia="Times New Roman"/>
          <w:color w:val="000000"/>
          <w:sz w:val="32"/>
          <w:szCs w:val="32"/>
        </w:rPr>
        <w:t>675</w:t>
      </w:r>
      <w:r>
        <w:rPr>
          <w:rFonts w:eastAsia="仿宋_GB2312"/>
          <w:color w:val="000000"/>
          <w:sz w:val="32"/>
          <w:szCs w:val="32"/>
        </w:rPr>
        <w:t>平方米，维修改造教师新村小区道路、给水管道、消防栓、污水管道、屋面防水、教师广场、路灯、绿化等其他配套设施设备</w:t>
      </w:r>
      <w:r>
        <w:rPr>
          <w:rFonts w:hint="eastAsia" w:ascii="仿宋_GB2312" w:hAnsi="宋体" w:eastAsia="仿宋_GB2312"/>
          <w:sz w:val="32"/>
          <w:szCs w:val="32"/>
          <w:lang w:val="zh-CN"/>
        </w:rPr>
        <w:t>。</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2、计划实现的具体绩效目标：计划于</w:t>
      </w:r>
      <w:r>
        <w:rPr>
          <w:rFonts w:hint="eastAsia" w:ascii="仿宋_GB2312" w:hAnsi="宋体" w:eastAsia="仿宋_GB2312"/>
          <w:sz w:val="32"/>
          <w:szCs w:val="32"/>
        </w:rPr>
        <w:t>2021年底</w:t>
      </w:r>
      <w:r>
        <w:rPr>
          <w:rFonts w:hint="eastAsia" w:ascii="仿宋_GB2312" w:hAnsi="宋体" w:eastAsia="仿宋_GB2312"/>
          <w:sz w:val="32"/>
          <w:szCs w:val="32"/>
          <w:lang w:val="zh-CN"/>
        </w:rPr>
        <w:t>完成教师新村小区</w:t>
      </w:r>
      <w:r>
        <w:rPr>
          <w:rFonts w:hint="eastAsia" w:ascii="仿宋_GB2312" w:hAnsi="宋体" w:eastAsia="仿宋_GB2312"/>
          <w:sz w:val="32"/>
          <w:szCs w:val="32"/>
        </w:rPr>
        <w:t>276套老旧小区改造工作。</w:t>
      </w:r>
      <w:r>
        <w:rPr>
          <w:rFonts w:hint="eastAsia" w:ascii="仿宋_GB2312" w:hAnsi="宋体" w:eastAsia="仿宋_GB2312"/>
          <w:sz w:val="32"/>
          <w:szCs w:val="32"/>
          <w:lang w:val="zh-CN"/>
        </w:rPr>
        <w:t>通过对绵竹市剑南镇五路口社区教师新村小区配套基础设施进行改造，解决老旧小区市政设施老化，排水排污不畅现象；修整、翻建小区道路；优化绿化布局，有效改善小区居民居住条件，改善城区环境品质，提升城市文明管理水平，增强小区居民获得感、幸福感和安全感。</w:t>
      </w:r>
    </w:p>
    <w:p>
      <w:pPr>
        <w:adjustRightInd w:val="0"/>
        <w:snapToGrid w:val="0"/>
        <w:spacing w:line="60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3、</w:t>
      </w:r>
      <w:r>
        <w:rPr>
          <w:rFonts w:hint="eastAsia" w:ascii="仿宋_GB2312" w:hAnsi="宋体" w:eastAsia="仿宋_GB2312"/>
          <w:sz w:val="32"/>
          <w:szCs w:val="32"/>
          <w:lang w:val="zh-CN"/>
        </w:rPr>
        <w:t>项目申报内容与具体实施内容相符、申报目标合理可行。</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00" w:lineRule="exact"/>
        <w:ind w:firstLine="720"/>
        <w:rPr>
          <w:rFonts w:ascii="仿宋" w:hAnsi="仿宋" w:eastAsia="仿宋"/>
          <w:sz w:val="32"/>
          <w:szCs w:val="32"/>
          <w:lang w:val="zh-CN"/>
        </w:rPr>
      </w:pPr>
      <w:r>
        <w:rPr>
          <w:rFonts w:hint="eastAsia" w:ascii="仿宋" w:hAnsi="仿宋" w:eastAsia="仿宋"/>
          <w:sz w:val="32"/>
          <w:szCs w:val="32"/>
          <w:lang w:val="zh-CN"/>
        </w:rPr>
        <w:t>由我局开展财政资金使用情况自评并撰写部门预算支出绩效报告，按规范格式按时提交自评报告。</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（一）项目资金申报及批复情况。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绵竹市剑南镇五路口社区教师新村小区配套基础设施改造项目经市发改局（竹发改建〔2019〕15号）批准立项，</w:t>
      </w:r>
      <w:r>
        <w:rPr>
          <w:rFonts w:hint="eastAsia" w:ascii="仿宋" w:hAnsi="仿宋" w:eastAsia="仿宋"/>
          <w:sz w:val="32"/>
          <w:szCs w:val="32"/>
          <w:lang w:val="zh-CN"/>
        </w:rPr>
        <w:t>经市发改局《关于绵竹市剑南镇五路口社区教师新村小区配套基础设施改造项目投资概算的批复》（竹发改审〔2020〕81号）批复概算金额为</w:t>
      </w:r>
      <w:r>
        <w:rPr>
          <w:rFonts w:hint="eastAsia" w:ascii="仿宋" w:hAnsi="仿宋" w:eastAsia="仿宋"/>
          <w:sz w:val="32"/>
          <w:szCs w:val="32"/>
        </w:rPr>
        <w:t>574.77</w:t>
      </w:r>
      <w:r>
        <w:rPr>
          <w:rFonts w:hint="eastAsia" w:ascii="仿宋" w:hAnsi="仿宋" w:eastAsia="仿宋"/>
          <w:sz w:val="32"/>
          <w:szCs w:val="32"/>
          <w:lang w:val="zh-CN"/>
        </w:rPr>
        <w:t>万元，资金来源为</w:t>
      </w:r>
      <w:r>
        <w:rPr>
          <w:rFonts w:hint="eastAsia" w:ascii="仿宋_GB2312" w:hAnsi="宋体" w:eastAsia="仿宋_GB2312"/>
          <w:sz w:val="32"/>
          <w:szCs w:val="32"/>
          <w:lang w:val="zh-CN"/>
        </w:rPr>
        <w:t>财政资金。</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1．资金计划及到位。</w:t>
      </w:r>
    </w:p>
    <w:p>
      <w:pPr>
        <w:adjustRightInd w:val="0"/>
        <w:snapToGrid w:val="0"/>
        <w:spacing w:line="600" w:lineRule="exact"/>
        <w:ind w:firstLine="720"/>
        <w:rPr>
          <w:rFonts w:ascii="宋体" w:hAnsi="宋体" w:eastAsia="仿宋_GB2312" w:cs="宋体"/>
          <w:kern w:val="0"/>
          <w:sz w:val="32"/>
          <w:szCs w:val="21"/>
        </w:rPr>
      </w:pPr>
      <w:r>
        <w:rPr>
          <w:rFonts w:hint="eastAsia" w:ascii="宋体" w:hAnsi="宋体" w:eastAsia="仿宋_GB2312" w:cs="宋体"/>
          <w:kern w:val="0"/>
          <w:sz w:val="32"/>
          <w:szCs w:val="21"/>
        </w:rPr>
        <w:t>该项目根据绵竹市政府会签单（B2021-654），追加五路口教师新村老旧小区配套资金480万元（竹财资环</w:t>
      </w:r>
      <w:r>
        <w:rPr>
          <w:rFonts w:hint="eastAsia" w:ascii="仿宋_GB2312" w:hAnsi="宋体" w:eastAsia="仿宋_GB2312"/>
          <w:sz w:val="32"/>
          <w:szCs w:val="32"/>
          <w:lang w:val="zh-CN"/>
        </w:rPr>
        <w:t>〔</w:t>
      </w:r>
      <w:r>
        <w:rPr>
          <w:rFonts w:hint="eastAsia" w:ascii="宋体" w:hAnsi="宋体" w:eastAsia="仿宋_GB2312" w:cs="宋体"/>
          <w:kern w:val="0"/>
          <w:sz w:val="32"/>
          <w:szCs w:val="21"/>
        </w:rPr>
        <w:t>2021</w:t>
      </w:r>
      <w:r>
        <w:rPr>
          <w:rFonts w:hint="eastAsia" w:ascii="仿宋_GB2312" w:hAnsi="宋体" w:eastAsia="仿宋_GB2312"/>
          <w:sz w:val="32"/>
          <w:szCs w:val="32"/>
          <w:lang w:val="zh-CN"/>
        </w:rPr>
        <w:t>〕</w:t>
      </w:r>
      <w:r>
        <w:rPr>
          <w:rFonts w:hint="eastAsia" w:ascii="宋体" w:hAnsi="宋体" w:eastAsia="仿宋_GB2312" w:cs="宋体"/>
          <w:kern w:val="0"/>
          <w:sz w:val="32"/>
          <w:szCs w:val="21"/>
        </w:rPr>
        <w:t>56号）；德市财综</w:t>
      </w:r>
      <w:r>
        <w:rPr>
          <w:rFonts w:hint="eastAsia" w:ascii="仿宋_GB2312" w:hAnsi="宋体" w:eastAsia="仿宋_GB2312"/>
          <w:sz w:val="32"/>
          <w:szCs w:val="32"/>
          <w:lang w:val="zh-CN"/>
        </w:rPr>
        <w:t>〔</w:t>
      </w:r>
      <w:r>
        <w:rPr>
          <w:rFonts w:hint="eastAsia" w:ascii="宋体" w:hAnsi="宋体" w:eastAsia="仿宋_GB2312" w:cs="宋体"/>
          <w:kern w:val="0"/>
          <w:sz w:val="32"/>
          <w:szCs w:val="21"/>
        </w:rPr>
        <w:t>2021</w:t>
      </w:r>
      <w:r>
        <w:rPr>
          <w:rFonts w:hint="eastAsia" w:ascii="仿宋_GB2312" w:hAnsi="宋体" w:eastAsia="仿宋_GB2312"/>
          <w:sz w:val="32"/>
          <w:szCs w:val="32"/>
          <w:lang w:val="zh-CN"/>
        </w:rPr>
        <w:t>〕</w:t>
      </w:r>
      <w:r>
        <w:rPr>
          <w:rFonts w:hint="eastAsia" w:ascii="宋体" w:hAnsi="宋体" w:eastAsia="仿宋_GB2312" w:cs="宋体"/>
          <w:kern w:val="0"/>
          <w:sz w:val="32"/>
          <w:szCs w:val="21"/>
        </w:rPr>
        <w:t>04号住房公积金增值收益用于保障性安居工程建设补充资金1368万元（竹财资环专</w:t>
      </w:r>
      <w:r>
        <w:rPr>
          <w:rFonts w:hint="eastAsia" w:ascii="仿宋_GB2312" w:hAnsi="宋体" w:eastAsia="仿宋_GB2312"/>
          <w:sz w:val="32"/>
          <w:szCs w:val="32"/>
          <w:lang w:val="zh-CN"/>
        </w:rPr>
        <w:t>〔</w:t>
      </w:r>
      <w:r>
        <w:rPr>
          <w:rFonts w:hint="eastAsia" w:ascii="宋体" w:hAnsi="宋体" w:eastAsia="仿宋_GB2312" w:cs="宋体"/>
          <w:kern w:val="0"/>
          <w:sz w:val="32"/>
          <w:szCs w:val="21"/>
        </w:rPr>
        <w:t>2021</w:t>
      </w:r>
      <w:r>
        <w:rPr>
          <w:rFonts w:hint="eastAsia" w:ascii="仿宋_GB2312" w:hAnsi="宋体" w:eastAsia="仿宋_GB2312"/>
          <w:sz w:val="32"/>
          <w:szCs w:val="32"/>
          <w:lang w:val="zh-CN"/>
        </w:rPr>
        <w:t>〕</w:t>
      </w:r>
      <w:r>
        <w:rPr>
          <w:rFonts w:hint="eastAsia" w:ascii="宋体" w:hAnsi="宋体" w:eastAsia="仿宋_GB2312" w:cs="宋体"/>
          <w:kern w:val="0"/>
          <w:sz w:val="32"/>
          <w:szCs w:val="21"/>
        </w:rPr>
        <w:t>60号），其中安排180万元用于</w:t>
      </w:r>
      <w:r>
        <w:rPr>
          <w:rFonts w:hint="eastAsia" w:ascii="仿宋_GB2312" w:hAnsi="宋体" w:eastAsia="仿宋_GB2312"/>
          <w:sz w:val="32"/>
          <w:szCs w:val="32"/>
          <w:lang w:val="zh-CN"/>
        </w:rPr>
        <w:t>该项目</w:t>
      </w:r>
      <w:r>
        <w:rPr>
          <w:rFonts w:hint="eastAsia" w:ascii="宋体" w:hAnsi="宋体" w:eastAsia="仿宋_GB2312" w:cs="宋体"/>
          <w:kern w:val="0"/>
          <w:sz w:val="32"/>
          <w:szCs w:val="21"/>
        </w:rPr>
        <w:t>；竹财资环</w:t>
      </w:r>
      <w:r>
        <w:rPr>
          <w:rFonts w:hint="eastAsia" w:ascii="仿宋_GB2312" w:hAnsi="宋体" w:eastAsia="仿宋_GB2312"/>
          <w:sz w:val="32"/>
          <w:szCs w:val="32"/>
          <w:lang w:val="zh-CN"/>
        </w:rPr>
        <w:t>〔</w:t>
      </w:r>
      <w:r>
        <w:rPr>
          <w:rFonts w:hint="eastAsia" w:ascii="宋体" w:hAnsi="宋体" w:eastAsia="仿宋_GB2312" w:cs="宋体"/>
          <w:kern w:val="0"/>
          <w:sz w:val="32"/>
          <w:szCs w:val="21"/>
        </w:rPr>
        <w:t>2021</w:t>
      </w:r>
      <w:r>
        <w:rPr>
          <w:rFonts w:hint="eastAsia" w:ascii="仿宋_GB2312" w:hAnsi="宋体" w:eastAsia="仿宋_GB2312"/>
          <w:sz w:val="32"/>
          <w:szCs w:val="32"/>
          <w:lang w:val="zh-CN"/>
        </w:rPr>
        <w:t>〕</w:t>
      </w:r>
      <w:r>
        <w:rPr>
          <w:rFonts w:hint="eastAsia" w:ascii="宋体" w:hAnsi="宋体" w:eastAsia="仿宋_GB2312" w:cs="宋体"/>
          <w:kern w:val="0"/>
          <w:sz w:val="32"/>
          <w:szCs w:val="21"/>
        </w:rPr>
        <w:t>56号年底追减134.8958万元（竹财资环减</w:t>
      </w:r>
      <w:r>
        <w:rPr>
          <w:rFonts w:hint="eastAsia" w:ascii="仿宋_GB2312" w:hAnsi="宋体" w:eastAsia="仿宋_GB2312"/>
          <w:sz w:val="32"/>
          <w:szCs w:val="32"/>
          <w:lang w:val="zh-CN"/>
        </w:rPr>
        <w:t>〔</w:t>
      </w:r>
      <w:r>
        <w:rPr>
          <w:rFonts w:hint="eastAsia" w:ascii="宋体" w:hAnsi="宋体" w:eastAsia="仿宋_GB2312" w:cs="宋体"/>
          <w:kern w:val="0"/>
          <w:sz w:val="32"/>
          <w:szCs w:val="21"/>
        </w:rPr>
        <w:t>2021</w:t>
      </w:r>
      <w:r>
        <w:rPr>
          <w:rFonts w:hint="eastAsia" w:ascii="仿宋_GB2312" w:hAnsi="宋体" w:eastAsia="仿宋_GB2312"/>
          <w:sz w:val="32"/>
          <w:szCs w:val="32"/>
          <w:lang w:val="zh-CN"/>
        </w:rPr>
        <w:t>〕</w:t>
      </w:r>
      <w:r>
        <w:rPr>
          <w:rFonts w:hint="eastAsia" w:ascii="宋体" w:hAnsi="宋体" w:eastAsia="仿宋_GB2312" w:cs="宋体"/>
          <w:kern w:val="0"/>
          <w:sz w:val="32"/>
          <w:szCs w:val="21"/>
        </w:rPr>
        <w:t>55号-5），竹财资环专</w:t>
      </w:r>
      <w:r>
        <w:rPr>
          <w:rFonts w:hint="eastAsia" w:ascii="仿宋_GB2312" w:hAnsi="宋体" w:eastAsia="仿宋_GB2312"/>
          <w:sz w:val="32"/>
          <w:szCs w:val="32"/>
          <w:lang w:val="zh-CN"/>
        </w:rPr>
        <w:t>〔</w:t>
      </w:r>
      <w:r>
        <w:rPr>
          <w:rFonts w:hint="eastAsia" w:ascii="宋体" w:hAnsi="宋体" w:eastAsia="仿宋_GB2312" w:cs="宋体"/>
          <w:kern w:val="0"/>
          <w:sz w:val="32"/>
          <w:szCs w:val="21"/>
        </w:rPr>
        <w:t>2021</w:t>
      </w:r>
      <w:r>
        <w:rPr>
          <w:rFonts w:hint="eastAsia" w:ascii="仿宋_GB2312" w:hAnsi="宋体" w:eastAsia="仿宋_GB2312"/>
          <w:sz w:val="32"/>
          <w:szCs w:val="32"/>
          <w:lang w:val="zh-CN"/>
        </w:rPr>
        <w:t>〕</w:t>
      </w:r>
      <w:r>
        <w:rPr>
          <w:rFonts w:hint="eastAsia" w:ascii="宋体" w:hAnsi="宋体" w:eastAsia="仿宋_GB2312" w:cs="宋体"/>
          <w:kern w:val="0"/>
          <w:sz w:val="32"/>
          <w:szCs w:val="21"/>
        </w:rPr>
        <w:t>60号年底追减171.4715万元（竹财资环减</w:t>
      </w:r>
      <w:r>
        <w:rPr>
          <w:rFonts w:hint="eastAsia" w:ascii="仿宋_GB2312" w:hAnsi="宋体" w:eastAsia="仿宋_GB2312"/>
          <w:sz w:val="32"/>
          <w:szCs w:val="32"/>
          <w:lang w:val="zh-CN"/>
        </w:rPr>
        <w:t>〔</w:t>
      </w:r>
      <w:r>
        <w:rPr>
          <w:rFonts w:hint="eastAsia" w:ascii="宋体" w:hAnsi="宋体" w:eastAsia="仿宋_GB2312" w:cs="宋体"/>
          <w:kern w:val="0"/>
          <w:sz w:val="32"/>
          <w:szCs w:val="21"/>
        </w:rPr>
        <w:t>2021</w:t>
      </w:r>
      <w:r>
        <w:rPr>
          <w:rFonts w:hint="eastAsia" w:ascii="仿宋_GB2312" w:hAnsi="宋体" w:eastAsia="仿宋_GB2312"/>
          <w:sz w:val="32"/>
          <w:szCs w:val="32"/>
          <w:lang w:val="zh-CN"/>
        </w:rPr>
        <w:t>〕</w:t>
      </w:r>
      <w:r>
        <w:rPr>
          <w:rFonts w:hint="eastAsia" w:ascii="宋体" w:hAnsi="宋体" w:eastAsia="仿宋_GB2312" w:cs="宋体"/>
          <w:kern w:val="0"/>
          <w:sz w:val="32"/>
          <w:szCs w:val="21"/>
        </w:rPr>
        <w:t>54号-4），实际到位资金353.6327万元。各项资金按时到位，到位率100%。</w:t>
      </w:r>
    </w:p>
    <w:p>
      <w:pPr>
        <w:adjustRightInd w:val="0"/>
        <w:snapToGrid w:val="0"/>
        <w:spacing w:line="60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2．资金使用。</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项目202</w:t>
      </w:r>
      <w:r>
        <w:rPr>
          <w:rFonts w:hint="eastAsia" w:ascii="仿宋_GB2312" w:hAnsi="宋体" w:eastAsia="仿宋_GB2312"/>
          <w:sz w:val="32"/>
          <w:szCs w:val="32"/>
        </w:rPr>
        <w:t>1</w:t>
      </w:r>
      <w:r>
        <w:rPr>
          <w:rFonts w:hint="eastAsia" w:ascii="仿宋_GB2312" w:hAnsi="宋体" w:eastAsia="仿宋_GB2312"/>
          <w:sz w:val="32"/>
          <w:szCs w:val="32"/>
          <w:lang w:val="zh-CN"/>
        </w:rPr>
        <w:t>年完成支付</w:t>
      </w:r>
      <w:r>
        <w:rPr>
          <w:rFonts w:hint="eastAsia" w:ascii="宋体" w:hAnsi="宋体" w:eastAsia="仿宋_GB2312" w:cs="宋体"/>
          <w:kern w:val="0"/>
          <w:sz w:val="32"/>
          <w:szCs w:val="21"/>
        </w:rPr>
        <w:t>353.6327</w:t>
      </w:r>
      <w:r>
        <w:rPr>
          <w:rFonts w:hint="eastAsia" w:ascii="仿宋_GB2312" w:hAnsi="宋体" w:eastAsia="仿宋_GB2312"/>
          <w:sz w:val="32"/>
          <w:szCs w:val="32"/>
          <w:lang w:val="zh-CN"/>
        </w:rPr>
        <w:t>万元。工程严格按合同约定支付，支付进度</w:t>
      </w:r>
      <w:r>
        <w:rPr>
          <w:rFonts w:hint="eastAsia" w:ascii="仿宋_GB2312" w:hAnsi="宋体" w:eastAsia="仿宋_GB2312"/>
          <w:sz w:val="32"/>
          <w:szCs w:val="32"/>
        </w:rPr>
        <w:t>80</w:t>
      </w:r>
      <w:r>
        <w:rPr>
          <w:rFonts w:hint="eastAsia" w:ascii="仿宋_GB2312" w:hAnsi="宋体" w:eastAsia="仿宋_GB2312"/>
          <w:sz w:val="32"/>
          <w:szCs w:val="32"/>
          <w:lang w:val="zh-CN"/>
        </w:rPr>
        <w:t>%，支付依据合规合法。由于该项目正在办理竣工结算审计，还需支付剩余工程费及部分待摊尾款，202</w:t>
      </w:r>
      <w:r>
        <w:rPr>
          <w:rFonts w:hint="eastAsia" w:ascii="仿宋_GB2312" w:hAnsi="宋体" w:eastAsia="仿宋_GB2312"/>
          <w:sz w:val="32"/>
          <w:szCs w:val="32"/>
        </w:rPr>
        <w:t>2</w:t>
      </w:r>
      <w:r>
        <w:rPr>
          <w:rFonts w:hint="eastAsia" w:ascii="仿宋_GB2312" w:hAnsi="宋体" w:eastAsia="仿宋_GB2312"/>
          <w:sz w:val="32"/>
          <w:szCs w:val="32"/>
          <w:lang w:val="zh-CN"/>
        </w:rPr>
        <w:t>年根据工程进展情况安排所需资金。</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00" w:lineRule="exact"/>
        <w:ind w:firstLine="720"/>
        <w:rPr>
          <w:rFonts w:ascii="仿宋" w:hAnsi="仿宋" w:eastAsia="仿宋"/>
          <w:sz w:val="32"/>
          <w:szCs w:val="32"/>
          <w:lang w:val="zh-CN"/>
        </w:rPr>
      </w:pPr>
      <w:r>
        <w:rPr>
          <w:rFonts w:hint="eastAsia" w:ascii="仿宋_GB2312" w:hAnsi="宋体" w:eastAsia="仿宋_GB2312"/>
          <w:sz w:val="32"/>
          <w:szCs w:val="32"/>
          <w:lang w:val="zh-CN"/>
        </w:rPr>
        <w:t>项目实施单位财务管理制度健全，严格执行财务管理制度，</w:t>
      </w:r>
      <w:r>
        <w:rPr>
          <w:rFonts w:hint="eastAsia" w:ascii="仿宋" w:hAnsi="仿宋" w:eastAsia="仿宋"/>
          <w:sz w:val="32"/>
          <w:szCs w:val="32"/>
          <w:lang w:val="zh-CN"/>
        </w:rPr>
        <w:t>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一是加强组织领导。成立了老旧小区改造工作领导小组，指导、协调全市老旧小区改造工作，明确工作职责，掌握基本情况。二是</w:t>
      </w:r>
      <w:r>
        <w:rPr>
          <w:rFonts w:hint="eastAsia" w:ascii="仿宋" w:hAnsi="仿宋" w:eastAsia="仿宋"/>
          <w:sz w:val="32"/>
          <w:szCs w:val="32"/>
          <w:lang w:val="zh-CN"/>
        </w:rPr>
        <w:t>项目按建设工程基本程序实施，职能主管部门的审批完成后，执行了招投标制、合同制、监理制、项目法人责任制等规定的手续和流程。手续完备、流程合法合规。</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严格规范立项报批、招投标、工程监理等工作程序，确保改造过程依法依规，自觉接受社会监督。</w:t>
      </w:r>
      <w:r>
        <w:rPr>
          <w:rFonts w:ascii="仿宋_GB2312" w:hAnsi="宋体" w:eastAsia="仿宋_GB2312"/>
          <w:sz w:val="32"/>
          <w:szCs w:val="32"/>
          <w:lang w:val="zh-CN"/>
        </w:rPr>
        <w:t xml:space="preserve"> </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1、小区改造立项工作。由发改部门负责，严格立项报批手续。</w:t>
      </w:r>
      <w:r>
        <w:rPr>
          <w:rFonts w:ascii="仿宋_GB2312" w:hAnsi="宋体" w:eastAsia="仿宋_GB2312"/>
          <w:sz w:val="32"/>
          <w:szCs w:val="32"/>
          <w:lang w:val="zh-CN"/>
        </w:rPr>
        <w:t xml:space="preserve"> </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2、工程招投标工作。</w:t>
      </w:r>
      <w:r>
        <w:rPr>
          <w:rFonts w:hint="eastAsia" w:ascii="仿宋" w:hAnsi="仿宋" w:eastAsia="仿宋"/>
          <w:color w:val="000000"/>
          <w:sz w:val="32"/>
          <w:szCs w:val="32"/>
          <w:lang w:val="zh-CN"/>
        </w:rPr>
        <w:t>按照市发改局招标核准的要求，项目实行了公开招投标</w:t>
      </w:r>
      <w:r>
        <w:rPr>
          <w:rFonts w:hint="eastAsia" w:ascii="仿宋_GB2312" w:hAnsi="宋体" w:eastAsia="仿宋_GB2312"/>
          <w:sz w:val="32"/>
          <w:szCs w:val="32"/>
          <w:lang w:val="zh-CN"/>
        </w:rPr>
        <w:t>。</w:t>
      </w:r>
      <w:r>
        <w:rPr>
          <w:rFonts w:ascii="仿宋_GB2312" w:hAnsi="宋体" w:eastAsia="仿宋_GB2312"/>
          <w:sz w:val="32"/>
          <w:szCs w:val="32"/>
          <w:lang w:val="zh-CN"/>
        </w:rPr>
        <w:t xml:space="preserve"> </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3、施工过程。设立了公示牌，公示工程改造项目、改造内容、工程造价、工程工期、施工单位、监理单位及相关负责人的电话，方便群众对老旧小区改造工程进行监督。</w:t>
      </w:r>
      <w:r>
        <w:rPr>
          <w:rFonts w:ascii="仿宋_GB2312" w:hAnsi="宋体" w:eastAsia="仿宋_GB2312"/>
          <w:sz w:val="32"/>
          <w:szCs w:val="32"/>
          <w:lang w:val="zh-CN"/>
        </w:rPr>
        <w:t xml:space="preserve"> </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4、工程验收环节。需经专业部门、办事处社区、业主共同认可方可通过。</w:t>
      </w:r>
      <w:r>
        <w:rPr>
          <w:rFonts w:ascii="仿宋_GB2312" w:hAnsi="宋体" w:eastAsia="仿宋_GB2312"/>
          <w:sz w:val="32"/>
          <w:szCs w:val="32"/>
          <w:lang w:val="zh-CN"/>
        </w:rPr>
        <w:t xml:space="preserve"> </w:t>
      </w:r>
    </w:p>
    <w:p>
      <w:pPr>
        <w:adjustRightInd w:val="0"/>
        <w:snapToGrid w:val="0"/>
        <w:spacing w:line="600" w:lineRule="exact"/>
        <w:ind w:firstLine="720"/>
        <w:rPr>
          <w:rFonts w:ascii="仿宋_GB2312" w:hAnsi="宋体" w:eastAsia="仿宋_GB2312"/>
          <w:sz w:val="32"/>
          <w:szCs w:val="32"/>
          <w:lang w:val="zh-CN"/>
        </w:rPr>
      </w:pPr>
      <w:bookmarkStart w:id="69" w:name="bookmark14"/>
      <w:bookmarkEnd w:id="69"/>
      <w:bookmarkStart w:id="70" w:name="bookmark13"/>
      <w:bookmarkEnd w:id="70"/>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00" w:lineRule="exact"/>
        <w:ind w:firstLine="720"/>
        <w:rPr>
          <w:rFonts w:ascii="仿宋_GB2312" w:hAnsi="宋体" w:eastAsia="仿宋_GB2312"/>
          <w:sz w:val="32"/>
          <w:szCs w:val="32"/>
          <w:lang w:val="zh-CN"/>
        </w:rPr>
      </w:pPr>
      <w:r>
        <w:rPr>
          <w:rFonts w:hint="eastAsia" w:ascii="仿宋" w:hAnsi="仿宋" w:eastAsia="仿宋"/>
          <w:sz w:val="32"/>
          <w:szCs w:val="32"/>
          <w:lang w:val="zh-CN"/>
        </w:rPr>
        <w:t>项目严格按图施工，按相关规范和质量标准施工，</w:t>
      </w:r>
      <w:r>
        <w:rPr>
          <w:rFonts w:hint="eastAsia" w:ascii="仿宋_GB2312" w:hAnsi="宋体" w:eastAsia="仿宋_GB2312"/>
          <w:sz w:val="32"/>
          <w:szCs w:val="32"/>
          <w:lang w:val="zh-CN"/>
        </w:rPr>
        <w:t>现已完工，正在办理竣工结（决）算审计。</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按照“美好环境与幸福生活共同缔造”理念，根据《德阳市住房和城乡建设局关于转发〈四川省住房和城乡建设厅关于做好2020年中央补助支持老旧小区改造计划项目储备工作的紧急通知〉的通知》（德建发〔2019〕290号）要求，通过对</w:t>
      </w:r>
      <w:r>
        <w:rPr>
          <w:rFonts w:hint="eastAsia" w:ascii="仿宋" w:hAnsi="仿宋" w:eastAsia="仿宋"/>
          <w:sz w:val="32"/>
          <w:szCs w:val="32"/>
          <w:lang w:val="zh-CN"/>
        </w:rPr>
        <w:t>绵竹市剑南镇五路口社区教师新村小区配套基础设施</w:t>
      </w:r>
      <w:r>
        <w:rPr>
          <w:rFonts w:hint="eastAsia" w:ascii="仿宋_GB2312" w:hAnsi="宋体" w:eastAsia="仿宋_GB2312"/>
          <w:sz w:val="32"/>
          <w:szCs w:val="32"/>
          <w:lang w:val="zh-CN"/>
        </w:rPr>
        <w:t>进行改造，解决老旧小区市政设施老化，排水排污不畅现象；修整、翻建小区道路；优化绿化布局，有效改善小区居民居住条件，改善城区环境品质，提高人民群众的生活质量，提升城市文明管理水平，增强小区居民获得感、幸福感和安全感，居民对政府感到非常满意。</w:t>
      </w:r>
    </w:p>
    <w:p>
      <w:pPr>
        <w:adjustRightInd w:val="0"/>
        <w:snapToGrid w:val="0"/>
        <w:spacing w:line="600" w:lineRule="exact"/>
        <w:ind w:firstLine="720"/>
        <w:rPr>
          <w:rFonts w:ascii="黑体" w:hAnsi="宋体" w:eastAsia="黑体"/>
          <w:sz w:val="32"/>
          <w:szCs w:val="32"/>
        </w:rPr>
      </w:pPr>
      <w:r>
        <w:rPr>
          <w:rFonts w:hint="eastAsia" w:ascii="黑体" w:hAnsi="宋体" w:eastAsia="黑体"/>
          <w:sz w:val="32"/>
          <w:szCs w:val="32"/>
        </w:rPr>
        <w:t>五、问题及建议</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0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项目实际完成率、完成及时率均达到或超过绩效目标，质量达标率良好，产出成本可控，管理工作规范，社会效益良好，项目可持续性强，服务对象总体较满意。评定级别为“优”。</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00" w:lineRule="exact"/>
        <w:ind w:firstLine="720"/>
        <w:rPr>
          <w:rFonts w:ascii="仿宋_GB2312" w:hAnsi="宋体" w:eastAsia="仿宋_GB2312"/>
          <w:sz w:val="32"/>
          <w:szCs w:val="32"/>
        </w:rPr>
      </w:pPr>
      <w:r>
        <w:rPr>
          <w:rFonts w:hint="eastAsia" w:ascii="仿宋_GB2312" w:hAnsi="宋体" w:eastAsia="仿宋_GB2312"/>
          <w:sz w:val="32"/>
          <w:szCs w:val="32"/>
        </w:rPr>
        <w:t>一是群众工作协调难度大。老旧小区改造项目涉及人员较广，意见很难统一，而且老旧小区居民大多数是老年人，思想工作难度较大，协调工作非常难。二是长效管理养护难。由于老旧小区往往存在无物业管理、无维修管养经费的问题，老旧小区居民自治意识淡薄，消费观念参差不齐，造成居民自治管理难，同时物业服务企业出于老旧小区物业服务费收费难、收费标准低、维护成本高等顾虑，不愿进驻小区实施管理，造成老旧小区</w:t>
      </w:r>
      <w:r>
        <w:rPr>
          <w:rFonts w:hint="eastAsia" w:ascii="仿宋_GB2312" w:hAnsi="宋体" w:eastAsia="仿宋_GB2312"/>
          <w:sz w:val="32"/>
          <w:szCs w:val="32"/>
          <w:lang w:eastAsia="zh-CN"/>
        </w:rPr>
        <w:t>改造</w:t>
      </w:r>
      <w:r>
        <w:rPr>
          <w:rFonts w:hint="eastAsia" w:ascii="仿宋_GB2312" w:hAnsi="宋体" w:eastAsia="仿宋_GB2312"/>
          <w:sz w:val="32"/>
          <w:szCs w:val="32"/>
        </w:rPr>
        <w:t>后反弹较大，成果难以长期保持。</w:t>
      </w:r>
    </w:p>
    <w:p>
      <w:pPr>
        <w:adjustRightInd w:val="0"/>
        <w:snapToGrid w:val="0"/>
        <w:spacing w:line="60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00" w:lineRule="exact"/>
        <w:ind w:firstLine="720"/>
        <w:rPr>
          <w:rFonts w:ascii="仿宋_GB2312" w:hAnsi="宋体" w:eastAsia="仿宋_GB2312"/>
          <w:sz w:val="32"/>
          <w:szCs w:val="32"/>
          <w:lang w:val="zh-CN"/>
        </w:rPr>
      </w:pPr>
      <w:r>
        <w:rPr>
          <w:rFonts w:hint="eastAsia" w:ascii="仿宋_GB2312" w:hAnsi="宋体" w:eastAsia="仿宋_GB2312"/>
          <w:sz w:val="32"/>
          <w:szCs w:val="32"/>
        </w:rPr>
        <w:t>无</w:t>
      </w:r>
      <w:r>
        <w:rPr>
          <w:rFonts w:hint="eastAsia" w:ascii="仿宋_GB2312" w:hAnsi="宋体" w:eastAsia="仿宋_GB2312"/>
          <w:sz w:val="32"/>
          <w:szCs w:val="32"/>
          <w:lang w:val="zh-CN"/>
        </w:rPr>
        <w:t xml:space="preserve"> </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260" w:type="dxa"/>
        <w:jc w:val="center"/>
        <w:tblLayout w:type="autofit"/>
        <w:tblCellMar>
          <w:top w:w="0" w:type="dxa"/>
          <w:left w:w="108" w:type="dxa"/>
          <w:bottom w:w="0" w:type="dxa"/>
          <w:right w:w="108" w:type="dxa"/>
        </w:tblCellMar>
      </w:tblPr>
      <w:tblGrid>
        <w:gridCol w:w="1080"/>
        <w:gridCol w:w="860"/>
        <w:gridCol w:w="1300"/>
        <w:gridCol w:w="1080"/>
        <w:gridCol w:w="760"/>
        <w:gridCol w:w="2020"/>
        <w:gridCol w:w="2160"/>
      </w:tblGrid>
      <w:tr>
        <w:tblPrEx>
          <w:tblCellMar>
            <w:top w:w="0" w:type="dxa"/>
            <w:left w:w="108" w:type="dxa"/>
            <w:bottom w:w="0" w:type="dxa"/>
            <w:right w:w="108" w:type="dxa"/>
          </w:tblCellMar>
        </w:tblPrEx>
        <w:trPr>
          <w:trHeight w:val="405" w:hRule="atLeast"/>
          <w:jc w:val="center"/>
        </w:trPr>
        <w:tc>
          <w:tcPr>
            <w:tcW w:w="926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26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（2021年度）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8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0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02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16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2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0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绵竹市剑南镇五路口社区教师新村小区配套基础设施改造项目</w:t>
            </w:r>
          </w:p>
        </w:tc>
      </w:tr>
      <w:tr>
        <w:tblPrEx>
          <w:tblCellMar>
            <w:top w:w="0" w:type="dxa"/>
            <w:left w:w="108" w:type="dxa"/>
            <w:bottom w:w="0" w:type="dxa"/>
            <w:right w:w="108" w:type="dxa"/>
          </w:tblCellMar>
        </w:tblPrEx>
        <w:trPr>
          <w:trHeight w:val="270" w:hRule="atLeast"/>
          <w:jc w:val="center"/>
        </w:trPr>
        <w:tc>
          <w:tcPr>
            <w:tcW w:w="32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02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2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353.6327万元</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353.6327万元</w:t>
            </w:r>
          </w:p>
        </w:tc>
      </w:tr>
      <w:tr>
        <w:tblPrEx>
          <w:tblCellMar>
            <w:top w:w="0" w:type="dxa"/>
            <w:left w:w="108" w:type="dxa"/>
            <w:bottom w:w="0" w:type="dxa"/>
            <w:right w:w="108" w:type="dxa"/>
          </w:tblCellMar>
        </w:tblPrEx>
        <w:trPr>
          <w:trHeight w:val="49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353.6327万元</w:t>
            </w:r>
          </w:p>
        </w:tc>
        <w:tc>
          <w:tcPr>
            <w:tcW w:w="202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353.6327万元</w:t>
            </w:r>
          </w:p>
        </w:tc>
      </w:tr>
      <w:tr>
        <w:tblPrEx>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02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16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2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0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18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87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0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计划于2021年底完成教师新村小区276套老旧小区改造工作。</w:t>
            </w:r>
          </w:p>
        </w:tc>
        <w:tc>
          <w:tcPr>
            <w:tcW w:w="418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完成教师新村小区276套老旧小区改造工作。</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8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3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39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30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改造小区数</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3个</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3个</w:t>
            </w:r>
          </w:p>
        </w:tc>
      </w:tr>
      <w:tr>
        <w:tblPrEx>
          <w:tblCellMar>
            <w:top w:w="0" w:type="dxa"/>
            <w:left w:w="108" w:type="dxa"/>
            <w:bottom w:w="0" w:type="dxa"/>
            <w:right w:w="108" w:type="dxa"/>
          </w:tblCellMar>
        </w:tblPrEx>
        <w:trPr>
          <w:trHeight w:val="39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改造户数</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276户</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276户</w:t>
            </w:r>
          </w:p>
        </w:tc>
      </w:tr>
      <w:tr>
        <w:tblPrEx>
          <w:tblCellMar>
            <w:top w:w="0" w:type="dxa"/>
            <w:left w:w="108" w:type="dxa"/>
            <w:bottom w:w="0" w:type="dxa"/>
            <w:right w:w="108" w:type="dxa"/>
          </w:tblCellMar>
        </w:tblPrEx>
        <w:trPr>
          <w:trHeight w:val="39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0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改造面积</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3.05万平方米</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3.05万平方米</w:t>
            </w:r>
          </w:p>
        </w:tc>
      </w:tr>
      <w:tr>
        <w:tblPrEx>
          <w:tblCellMar>
            <w:top w:w="0" w:type="dxa"/>
            <w:left w:w="108" w:type="dxa"/>
            <w:bottom w:w="0" w:type="dxa"/>
            <w:right w:w="108" w:type="dxa"/>
          </w:tblCellMar>
        </w:tblPrEx>
        <w:trPr>
          <w:trHeight w:val="39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0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改造质量</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合格</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合格</w:t>
            </w:r>
          </w:p>
        </w:tc>
      </w:tr>
      <w:tr>
        <w:tblPrEx>
          <w:tblCellMar>
            <w:top w:w="0" w:type="dxa"/>
            <w:left w:w="108" w:type="dxa"/>
            <w:bottom w:w="0" w:type="dxa"/>
            <w:right w:w="108" w:type="dxa"/>
          </w:tblCellMar>
        </w:tblPrEx>
        <w:trPr>
          <w:trHeight w:val="39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0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工程事故率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9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0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开工目标完成率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39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0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完工目标完成率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投入资金额</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353.6327万元</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353.6327万元</w:t>
            </w:r>
          </w:p>
        </w:tc>
      </w:tr>
      <w:tr>
        <w:tblPrEx>
          <w:tblCellMar>
            <w:top w:w="0" w:type="dxa"/>
            <w:left w:w="108" w:type="dxa"/>
            <w:bottom w:w="0" w:type="dxa"/>
            <w:right w:w="108" w:type="dxa"/>
          </w:tblCellMar>
        </w:tblPrEx>
        <w:trPr>
          <w:trHeight w:val="72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3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改善人民生活环境，美化社区环境</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0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居民生活质量满意度</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0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群众居住条件是否改善</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片区居住环境改善</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达成预期目标</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达成预期目标</w:t>
            </w:r>
          </w:p>
        </w:tc>
      </w:tr>
      <w:tr>
        <w:tblPrEx>
          <w:tblCellMar>
            <w:top w:w="0" w:type="dxa"/>
            <w:left w:w="108" w:type="dxa"/>
            <w:bottom w:w="0" w:type="dxa"/>
            <w:right w:w="108" w:type="dxa"/>
          </w:tblCellMar>
        </w:tblPrEx>
        <w:trPr>
          <w:trHeight w:val="705"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8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0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和谐社会建设</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达成预期目标</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达成预期目标</w:t>
            </w:r>
          </w:p>
        </w:tc>
      </w:tr>
      <w:tr>
        <w:tblPrEx>
          <w:tblCellMar>
            <w:top w:w="0" w:type="dxa"/>
            <w:left w:w="108" w:type="dxa"/>
            <w:bottom w:w="0" w:type="dxa"/>
            <w:right w:w="108" w:type="dxa"/>
          </w:tblCellMar>
        </w:tblPrEx>
        <w:trPr>
          <w:trHeight w:val="82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8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30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老旧小区改造对象满意度</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21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lang w:val="zh-CN"/>
        </w:rPr>
      </w:pPr>
      <w:r>
        <w:rPr>
          <w:rFonts w:hint="eastAsia" w:ascii="微软雅黑" w:hAnsi="微软雅黑" w:eastAsia="微软雅黑" w:cs="微软雅黑"/>
          <w:color w:val="000000"/>
          <w:kern w:val="0"/>
          <w:sz w:val="44"/>
          <w:szCs w:val="44"/>
          <w:lang w:val="zh-CN"/>
        </w:rPr>
        <w:t>项目支出绩效自评报告</w:t>
      </w:r>
    </w:p>
    <w:p>
      <w:pPr>
        <w:spacing w:line="560" w:lineRule="exact"/>
        <w:jc w:val="center"/>
        <w:rPr>
          <w:rFonts w:ascii="宋体" w:hAnsi="宋体"/>
          <w:sz w:val="32"/>
          <w:szCs w:val="32"/>
          <w:lang w:val="zh-CN"/>
        </w:rPr>
      </w:pPr>
      <w:r>
        <w:rPr>
          <w:rFonts w:hint="eastAsia" w:ascii="仿宋_GB2312" w:hAnsi="宋体"/>
          <w:color w:val="000000"/>
          <w:kern w:val="0"/>
          <w:sz w:val="28"/>
          <w:szCs w:val="21"/>
          <w:lang w:val="zh-CN"/>
        </w:rPr>
        <w:t>（绵竹市老旧小区（清平磷矿小区)改造项目）</w:t>
      </w:r>
    </w:p>
    <w:p>
      <w:pPr>
        <w:adjustRightInd w:val="0"/>
        <w:snapToGrid w:val="0"/>
        <w:spacing w:line="560" w:lineRule="exact"/>
        <w:ind w:firstLine="720"/>
        <w:rPr>
          <w:rFonts w:ascii="黑体" w:hAnsi="宋体" w:eastAsia="黑体"/>
          <w:sz w:val="32"/>
          <w:szCs w:val="32"/>
        </w:rPr>
      </w:pPr>
    </w:p>
    <w:p>
      <w:pPr>
        <w:adjustRightInd w:val="0"/>
        <w:snapToGrid w:val="0"/>
        <w:spacing w:line="52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1、</w:t>
      </w:r>
      <w:r>
        <w:rPr>
          <w:rFonts w:hint="eastAsia" w:ascii="仿宋_GB2312" w:hAnsi="宋体" w:eastAsia="仿宋_GB2312"/>
          <w:sz w:val="32"/>
          <w:szCs w:val="32"/>
          <w:lang w:val="zh-CN"/>
        </w:rPr>
        <w:t>项目业主：绵竹市人民政府剑南街道办事处。</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建设地址：绵竹市剑南街道大南路社区。</w:t>
      </w:r>
    </w:p>
    <w:p>
      <w:pPr>
        <w:spacing w:line="520" w:lineRule="exact"/>
        <w:ind w:firstLine="640" w:firstLineChars="200"/>
        <w:rPr>
          <w:rFonts w:eastAsia="仿宋_GB2312"/>
          <w:color w:val="000000"/>
          <w:sz w:val="32"/>
          <w:szCs w:val="32"/>
        </w:rPr>
      </w:pPr>
      <w:r>
        <w:rPr>
          <w:rFonts w:hint="eastAsia" w:ascii="仿宋_GB2312" w:hAnsi="宋体" w:eastAsia="仿宋_GB2312"/>
          <w:sz w:val="32"/>
          <w:szCs w:val="32"/>
        </w:rPr>
        <w:t>3、</w:t>
      </w:r>
      <w:r>
        <w:rPr>
          <w:rFonts w:hint="eastAsia" w:ascii="仿宋_GB2312" w:hAnsi="宋体" w:eastAsia="仿宋_GB2312"/>
          <w:sz w:val="32"/>
          <w:szCs w:val="32"/>
          <w:lang w:val="zh-CN"/>
        </w:rPr>
        <w:t>建设内容及规模：</w:t>
      </w:r>
      <w:r>
        <w:rPr>
          <w:rFonts w:hint="eastAsia" w:eastAsia="仿宋_GB2312"/>
          <w:color w:val="000000"/>
          <w:sz w:val="32"/>
          <w:szCs w:val="32"/>
        </w:rPr>
        <w:t>本项目包括小区围墙粉刷469</w:t>
      </w:r>
      <w:r>
        <w:rPr>
          <w:rFonts w:hint="eastAsia" w:ascii="宋体" w:hAnsi="宋体" w:cs="宋体"/>
          <w:color w:val="000000"/>
          <w:sz w:val="32"/>
          <w:szCs w:val="32"/>
        </w:rPr>
        <w:t>㎡</w:t>
      </w:r>
      <w:r>
        <w:rPr>
          <w:rFonts w:hint="eastAsia" w:ascii="宋体" w:hAnsi="宋体" w:cs="宋体"/>
          <w:color w:val="000000"/>
          <w:sz w:val="32"/>
          <w:szCs w:val="32"/>
          <w:lang w:eastAsia="zh-CN"/>
        </w:rPr>
        <w:t>，</w:t>
      </w:r>
      <w:r>
        <w:rPr>
          <w:rFonts w:hint="eastAsia" w:eastAsia="仿宋_GB2312"/>
          <w:color w:val="000000"/>
          <w:sz w:val="32"/>
          <w:szCs w:val="32"/>
        </w:rPr>
        <w:t>新建停车棚45</w:t>
      </w:r>
      <w:r>
        <w:rPr>
          <w:rFonts w:hint="eastAsia" w:ascii="宋体" w:hAnsi="宋体" w:cs="宋体"/>
          <w:color w:val="000000"/>
          <w:sz w:val="32"/>
          <w:szCs w:val="32"/>
        </w:rPr>
        <w:t>㎡</w:t>
      </w:r>
      <w:r>
        <w:rPr>
          <w:rFonts w:hint="eastAsia" w:eastAsia="仿宋_GB2312"/>
          <w:color w:val="000000"/>
          <w:sz w:val="32"/>
          <w:szCs w:val="32"/>
        </w:rPr>
        <w:t>，拆除更换屋面排水管648m，铺设50厚沥青路面1421</w:t>
      </w:r>
      <w:r>
        <w:rPr>
          <w:rFonts w:hint="eastAsia" w:ascii="宋体" w:hAnsi="宋体" w:cs="宋体"/>
          <w:color w:val="000000"/>
          <w:sz w:val="32"/>
          <w:szCs w:val="32"/>
        </w:rPr>
        <w:t>㎡</w:t>
      </w:r>
      <w:r>
        <w:rPr>
          <w:rFonts w:hint="eastAsia" w:eastAsia="仿宋_GB2312"/>
          <w:color w:val="000000"/>
          <w:sz w:val="32"/>
          <w:szCs w:val="32"/>
        </w:rPr>
        <w:t>，新增自动道闸一处，小区西侧新建休闲广场一处，占地6.5亩，更换单户智能水表和燃气改造等。</w:t>
      </w:r>
    </w:p>
    <w:p>
      <w:pPr>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4、资金来源：中央财政保障性安居工程专项资金</w:t>
      </w:r>
      <w:r>
        <w:rPr>
          <w:rFonts w:hint="eastAsia" w:ascii="仿宋_GB2312" w:hAnsi="宋体" w:eastAsia="仿宋_GB2312"/>
          <w:sz w:val="32"/>
          <w:szCs w:val="32"/>
        </w:rPr>
        <w:t>100</w:t>
      </w:r>
      <w:r>
        <w:rPr>
          <w:rFonts w:hint="eastAsia" w:ascii="仿宋_GB2312" w:hAnsi="宋体" w:eastAsia="仿宋_GB2312"/>
          <w:sz w:val="32"/>
          <w:szCs w:val="32"/>
          <w:lang w:val="zh-CN"/>
        </w:rPr>
        <w:t>万元和本级财政资金</w:t>
      </w:r>
      <w:r>
        <w:rPr>
          <w:rFonts w:hint="eastAsia" w:ascii="仿宋_GB2312" w:hAnsi="宋体" w:eastAsia="仿宋_GB2312"/>
          <w:sz w:val="32"/>
          <w:szCs w:val="32"/>
        </w:rPr>
        <w:t>12.8</w:t>
      </w:r>
      <w:r>
        <w:rPr>
          <w:rFonts w:hint="eastAsia" w:ascii="仿宋_GB2312" w:hAnsi="宋体" w:eastAsia="仿宋_GB2312"/>
          <w:sz w:val="32"/>
          <w:szCs w:val="32"/>
          <w:lang w:val="zh-CN"/>
        </w:rPr>
        <w:t>万元。</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1、</w:t>
      </w:r>
      <w:r>
        <w:rPr>
          <w:rFonts w:hint="eastAsia" w:ascii="仿宋_GB2312" w:hAnsi="宋体" w:eastAsia="仿宋_GB2312"/>
          <w:sz w:val="32"/>
          <w:szCs w:val="32"/>
          <w:lang w:val="zh-CN"/>
        </w:rPr>
        <w:t>项目主要内容：</w:t>
      </w:r>
      <w:r>
        <w:rPr>
          <w:rFonts w:hint="eastAsia" w:eastAsia="仿宋_GB2312"/>
          <w:color w:val="000000"/>
          <w:sz w:val="32"/>
          <w:szCs w:val="32"/>
        </w:rPr>
        <w:t>本项目包括小区围墙粉刷469</w:t>
      </w:r>
      <w:r>
        <w:rPr>
          <w:rFonts w:hint="eastAsia" w:ascii="宋体" w:hAnsi="宋体" w:cs="宋体"/>
          <w:color w:val="000000"/>
          <w:sz w:val="32"/>
          <w:szCs w:val="32"/>
        </w:rPr>
        <w:t>㎡</w:t>
      </w:r>
      <w:r>
        <w:rPr>
          <w:rFonts w:hint="eastAsia" w:ascii="宋体" w:hAnsi="宋体" w:cs="宋体"/>
          <w:color w:val="000000"/>
          <w:sz w:val="32"/>
          <w:szCs w:val="32"/>
          <w:lang w:eastAsia="zh-CN"/>
        </w:rPr>
        <w:t>，</w:t>
      </w:r>
      <w:r>
        <w:rPr>
          <w:rFonts w:hint="eastAsia" w:eastAsia="仿宋_GB2312"/>
          <w:color w:val="000000"/>
          <w:sz w:val="32"/>
          <w:szCs w:val="32"/>
        </w:rPr>
        <w:t>新建停车棚45</w:t>
      </w:r>
      <w:r>
        <w:rPr>
          <w:rFonts w:hint="eastAsia" w:ascii="宋体" w:hAnsi="宋体" w:cs="宋体"/>
          <w:color w:val="000000"/>
          <w:sz w:val="32"/>
          <w:szCs w:val="32"/>
        </w:rPr>
        <w:t>㎡</w:t>
      </w:r>
      <w:r>
        <w:rPr>
          <w:rFonts w:hint="eastAsia" w:eastAsia="仿宋_GB2312"/>
          <w:color w:val="000000"/>
          <w:sz w:val="32"/>
          <w:szCs w:val="32"/>
        </w:rPr>
        <w:t>，拆除更换屋面排水管648m，铺设50厚沥青路面1421</w:t>
      </w:r>
      <w:r>
        <w:rPr>
          <w:rFonts w:hint="eastAsia" w:ascii="宋体" w:hAnsi="宋体" w:cs="宋体"/>
          <w:color w:val="000000"/>
          <w:sz w:val="32"/>
          <w:szCs w:val="32"/>
        </w:rPr>
        <w:t>㎡</w:t>
      </w:r>
      <w:r>
        <w:rPr>
          <w:rFonts w:hint="eastAsia" w:eastAsia="仿宋_GB2312"/>
          <w:color w:val="000000"/>
          <w:sz w:val="32"/>
          <w:szCs w:val="32"/>
        </w:rPr>
        <w:t>，新增自动道闸一处，小区西侧新建休闲广场一处，占地6.5亩，更换单户智能水表和燃气改造等。</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2、计划实现的具体绩效目标：计划于</w:t>
      </w:r>
      <w:r>
        <w:rPr>
          <w:rFonts w:hint="eastAsia" w:ascii="仿宋_GB2312" w:hAnsi="宋体" w:eastAsia="仿宋_GB2312"/>
          <w:sz w:val="32"/>
          <w:szCs w:val="32"/>
        </w:rPr>
        <w:t>2022年底</w:t>
      </w:r>
      <w:r>
        <w:rPr>
          <w:rFonts w:hint="eastAsia" w:ascii="仿宋_GB2312" w:hAnsi="宋体" w:eastAsia="仿宋_GB2312"/>
          <w:sz w:val="32"/>
          <w:szCs w:val="32"/>
          <w:lang w:val="zh-CN"/>
        </w:rPr>
        <w:t>完成清平磷矿小区</w:t>
      </w:r>
      <w:r>
        <w:rPr>
          <w:rFonts w:hint="eastAsia" w:ascii="仿宋_GB2312" w:hAnsi="宋体" w:eastAsia="仿宋_GB2312"/>
          <w:sz w:val="32"/>
          <w:szCs w:val="32"/>
        </w:rPr>
        <w:t>126套老旧小区改造工作。</w:t>
      </w:r>
      <w:r>
        <w:rPr>
          <w:rFonts w:hint="eastAsia" w:ascii="仿宋_GB2312" w:hAnsi="宋体" w:eastAsia="仿宋_GB2312"/>
          <w:sz w:val="32"/>
          <w:szCs w:val="32"/>
          <w:lang w:val="zh-CN"/>
        </w:rPr>
        <w:t>通过对绵竹市老旧小区（清平磷矿小区)进行改造，解决老旧小区市政设施老化，排水排污不畅现象；修整、翻建小区道路；优化绿化布局，有效改善小区居民居住条件，改善城区环境品质，提升城市文明管理水平，增强小区居民获得感、幸福感和安全感。</w:t>
      </w:r>
    </w:p>
    <w:p>
      <w:pPr>
        <w:adjustRightInd w:val="0"/>
        <w:snapToGrid w:val="0"/>
        <w:spacing w:line="52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3、</w:t>
      </w:r>
      <w:r>
        <w:rPr>
          <w:rFonts w:hint="eastAsia" w:ascii="仿宋_GB2312" w:hAnsi="宋体" w:eastAsia="仿宋_GB2312"/>
          <w:sz w:val="32"/>
          <w:szCs w:val="32"/>
          <w:lang w:val="zh-CN"/>
        </w:rPr>
        <w:t>项目申报内容与具体实施内容相符、申报目标合理可行。</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520" w:lineRule="exact"/>
        <w:ind w:firstLine="720"/>
        <w:rPr>
          <w:rFonts w:ascii="仿宋" w:hAnsi="仿宋" w:eastAsia="仿宋"/>
          <w:sz w:val="32"/>
          <w:szCs w:val="32"/>
          <w:lang w:val="zh-CN"/>
        </w:rPr>
      </w:pPr>
      <w:r>
        <w:rPr>
          <w:rFonts w:hint="eastAsia" w:ascii="仿宋" w:hAnsi="仿宋" w:eastAsia="仿宋"/>
          <w:sz w:val="32"/>
          <w:szCs w:val="32"/>
          <w:lang w:val="zh-CN"/>
        </w:rPr>
        <w:t>由我局开展财政资金使用情况自评并撰写部门预算支出绩效报告，按规范格式按时提交自评报告。</w:t>
      </w:r>
    </w:p>
    <w:p>
      <w:pPr>
        <w:adjustRightInd w:val="0"/>
        <w:snapToGrid w:val="0"/>
        <w:spacing w:line="52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52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（一）项目资金申报及批复情况。</w:t>
      </w:r>
    </w:p>
    <w:p>
      <w:pPr>
        <w:adjustRightInd w:val="0"/>
        <w:snapToGrid w:val="0"/>
        <w:spacing w:line="52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绵竹市老旧小区（清平磷矿小区）改造项目经市住建局（竹建〔20</w:t>
      </w:r>
      <w:r>
        <w:rPr>
          <w:rFonts w:hint="eastAsia" w:ascii="仿宋_GB2312" w:hAnsi="宋体" w:eastAsia="仿宋_GB2312"/>
          <w:sz w:val="32"/>
          <w:szCs w:val="32"/>
        </w:rPr>
        <w:t>21</w:t>
      </w:r>
      <w:r>
        <w:rPr>
          <w:rFonts w:hint="eastAsia" w:ascii="仿宋_GB2312" w:hAnsi="宋体" w:eastAsia="仿宋_GB2312"/>
          <w:sz w:val="32"/>
          <w:szCs w:val="32"/>
          <w:lang w:val="zh-CN"/>
        </w:rPr>
        <w:t>〕</w:t>
      </w:r>
      <w:r>
        <w:rPr>
          <w:rFonts w:hint="eastAsia" w:ascii="仿宋_GB2312" w:hAnsi="宋体" w:eastAsia="仿宋_GB2312"/>
          <w:sz w:val="32"/>
          <w:szCs w:val="32"/>
        </w:rPr>
        <w:t>346</w:t>
      </w:r>
      <w:r>
        <w:rPr>
          <w:rFonts w:hint="eastAsia" w:ascii="仿宋_GB2312" w:hAnsi="宋体" w:eastAsia="仿宋_GB2312"/>
          <w:sz w:val="32"/>
          <w:szCs w:val="32"/>
          <w:lang w:val="zh-CN"/>
        </w:rPr>
        <w:t>号）批准实施方案，</w:t>
      </w:r>
      <w:r>
        <w:rPr>
          <w:rFonts w:hint="eastAsia" w:ascii="仿宋" w:hAnsi="仿宋" w:eastAsia="仿宋"/>
          <w:sz w:val="32"/>
          <w:szCs w:val="32"/>
          <w:lang w:val="zh-CN"/>
        </w:rPr>
        <w:t>经市发改局《关于绵竹市老旧小区（清平磷矿小区）改造项目实施方案的批复》（竹发改审〔202</w:t>
      </w:r>
      <w:r>
        <w:rPr>
          <w:rFonts w:hint="eastAsia" w:ascii="仿宋" w:hAnsi="仿宋" w:eastAsia="仿宋"/>
          <w:sz w:val="32"/>
          <w:szCs w:val="32"/>
        </w:rPr>
        <w:t>1</w:t>
      </w:r>
      <w:r>
        <w:rPr>
          <w:rFonts w:hint="eastAsia" w:ascii="仿宋" w:hAnsi="仿宋" w:eastAsia="仿宋"/>
          <w:sz w:val="32"/>
          <w:szCs w:val="32"/>
          <w:lang w:val="zh-CN"/>
        </w:rPr>
        <w:t>〕</w:t>
      </w:r>
      <w:r>
        <w:rPr>
          <w:rFonts w:hint="eastAsia" w:ascii="仿宋" w:hAnsi="仿宋" w:eastAsia="仿宋"/>
          <w:sz w:val="32"/>
          <w:szCs w:val="32"/>
        </w:rPr>
        <w:t>120</w:t>
      </w:r>
      <w:r>
        <w:rPr>
          <w:rFonts w:hint="eastAsia" w:ascii="仿宋" w:hAnsi="仿宋" w:eastAsia="仿宋"/>
          <w:sz w:val="32"/>
          <w:szCs w:val="32"/>
          <w:lang w:val="zh-CN"/>
        </w:rPr>
        <w:t>号）批复概算金额为</w:t>
      </w:r>
      <w:r>
        <w:rPr>
          <w:rFonts w:hint="eastAsia" w:ascii="仿宋" w:hAnsi="仿宋" w:eastAsia="仿宋"/>
          <w:sz w:val="32"/>
          <w:szCs w:val="32"/>
        </w:rPr>
        <w:t>112.8</w:t>
      </w:r>
      <w:r>
        <w:rPr>
          <w:rFonts w:hint="eastAsia" w:ascii="仿宋" w:hAnsi="仿宋" w:eastAsia="仿宋"/>
          <w:sz w:val="32"/>
          <w:szCs w:val="32"/>
          <w:lang w:val="zh-CN"/>
        </w:rPr>
        <w:t>万元，资金来源为</w:t>
      </w:r>
      <w:r>
        <w:rPr>
          <w:rFonts w:hint="eastAsia" w:ascii="仿宋_GB2312" w:hAnsi="宋体" w:eastAsia="仿宋_GB2312"/>
          <w:sz w:val="32"/>
          <w:szCs w:val="32"/>
          <w:lang w:val="zh-CN"/>
        </w:rPr>
        <w:t>财政资金。</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52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1．资金计划及到位。</w:t>
      </w:r>
    </w:p>
    <w:p>
      <w:pPr>
        <w:adjustRightInd w:val="0"/>
        <w:snapToGrid w:val="0"/>
        <w:spacing w:line="520" w:lineRule="exact"/>
        <w:ind w:firstLine="720"/>
        <w:rPr>
          <w:rFonts w:ascii="宋体" w:hAnsi="宋体" w:eastAsia="仿宋_GB2312" w:cs="宋体"/>
          <w:kern w:val="0"/>
          <w:sz w:val="32"/>
          <w:szCs w:val="21"/>
        </w:rPr>
      </w:pPr>
      <w:r>
        <w:rPr>
          <w:rFonts w:hint="eastAsia" w:ascii="宋体" w:hAnsi="宋体" w:eastAsia="仿宋_GB2312" w:cs="宋体"/>
          <w:kern w:val="0"/>
          <w:sz w:val="32"/>
          <w:szCs w:val="21"/>
        </w:rPr>
        <w:t>该项目根据预算执行情况，实际到位资金28.5524万元。各项资金按时到位，到位率100%。</w:t>
      </w:r>
    </w:p>
    <w:p>
      <w:pPr>
        <w:adjustRightInd w:val="0"/>
        <w:snapToGrid w:val="0"/>
        <w:spacing w:line="52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2．资金使用。</w:t>
      </w:r>
    </w:p>
    <w:p>
      <w:pPr>
        <w:adjustRightInd w:val="0"/>
        <w:snapToGrid w:val="0"/>
        <w:spacing w:line="52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项目202</w:t>
      </w:r>
      <w:r>
        <w:rPr>
          <w:rFonts w:hint="eastAsia" w:ascii="仿宋_GB2312" w:hAnsi="宋体" w:eastAsia="仿宋_GB2312"/>
          <w:sz w:val="32"/>
          <w:szCs w:val="32"/>
        </w:rPr>
        <w:t>1</w:t>
      </w:r>
      <w:r>
        <w:rPr>
          <w:rFonts w:hint="eastAsia" w:ascii="仿宋_GB2312" w:hAnsi="宋体" w:eastAsia="仿宋_GB2312"/>
          <w:sz w:val="32"/>
          <w:szCs w:val="32"/>
          <w:lang w:val="zh-CN"/>
        </w:rPr>
        <w:t>年完成支付</w:t>
      </w:r>
      <w:r>
        <w:rPr>
          <w:rFonts w:hint="eastAsia" w:ascii="宋体" w:hAnsi="宋体" w:eastAsia="仿宋_GB2312" w:cs="宋体"/>
          <w:kern w:val="0"/>
          <w:sz w:val="32"/>
          <w:szCs w:val="21"/>
        </w:rPr>
        <w:t>28.5524</w:t>
      </w:r>
      <w:r>
        <w:rPr>
          <w:rFonts w:hint="eastAsia" w:ascii="仿宋_GB2312" w:hAnsi="宋体" w:eastAsia="仿宋_GB2312"/>
          <w:sz w:val="32"/>
          <w:szCs w:val="32"/>
          <w:lang w:val="zh-CN"/>
        </w:rPr>
        <w:t>万元。工程严格按合同约定支付，支付进度</w:t>
      </w:r>
      <w:r>
        <w:rPr>
          <w:rFonts w:hint="eastAsia" w:ascii="仿宋_GB2312" w:hAnsi="宋体" w:eastAsia="仿宋_GB2312"/>
          <w:sz w:val="32"/>
          <w:szCs w:val="32"/>
        </w:rPr>
        <w:t>30</w:t>
      </w:r>
      <w:r>
        <w:rPr>
          <w:rFonts w:hint="eastAsia" w:ascii="仿宋_GB2312" w:hAnsi="宋体" w:eastAsia="仿宋_GB2312"/>
          <w:sz w:val="32"/>
          <w:szCs w:val="32"/>
          <w:lang w:val="zh-CN"/>
        </w:rPr>
        <w:t>%，支付依据合规合法。由于该项目还未竣工，还需支付剩余工程费及部分待摊尾款，202</w:t>
      </w:r>
      <w:r>
        <w:rPr>
          <w:rFonts w:hint="eastAsia" w:ascii="仿宋_GB2312" w:hAnsi="宋体" w:eastAsia="仿宋_GB2312"/>
          <w:sz w:val="32"/>
          <w:szCs w:val="32"/>
        </w:rPr>
        <w:t>2</w:t>
      </w:r>
      <w:r>
        <w:rPr>
          <w:rFonts w:hint="eastAsia" w:ascii="仿宋_GB2312" w:hAnsi="宋体" w:eastAsia="仿宋_GB2312"/>
          <w:sz w:val="32"/>
          <w:szCs w:val="32"/>
          <w:lang w:val="zh-CN"/>
        </w:rPr>
        <w:t>年根据工程进展情况安排所需资金。</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520" w:lineRule="exact"/>
        <w:ind w:firstLine="720"/>
        <w:rPr>
          <w:rFonts w:ascii="仿宋" w:hAnsi="仿宋" w:eastAsia="仿宋"/>
          <w:sz w:val="32"/>
          <w:szCs w:val="32"/>
          <w:lang w:val="zh-CN"/>
        </w:rPr>
      </w:pPr>
      <w:r>
        <w:rPr>
          <w:rFonts w:hint="eastAsia" w:ascii="仿宋_GB2312" w:hAnsi="宋体" w:eastAsia="仿宋_GB2312"/>
          <w:sz w:val="32"/>
          <w:szCs w:val="32"/>
          <w:lang w:val="zh-CN"/>
        </w:rPr>
        <w:t>项目实施单位财务管理制度健全，严格执行财务管理制度，</w:t>
      </w:r>
      <w:r>
        <w:rPr>
          <w:rFonts w:hint="eastAsia" w:ascii="仿宋" w:hAnsi="仿宋" w:eastAsia="仿宋"/>
          <w:sz w:val="32"/>
          <w:szCs w:val="32"/>
          <w:lang w:val="zh-CN"/>
        </w:rPr>
        <w:t>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52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52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一是加强组织领导。成立了老旧小区改造工作领导小组，指导、协调全市老旧小区改造工作，明确工作职责，掌握基本情况。二是</w:t>
      </w:r>
      <w:r>
        <w:rPr>
          <w:rFonts w:hint="eastAsia" w:ascii="仿宋" w:hAnsi="仿宋" w:eastAsia="仿宋"/>
          <w:sz w:val="32"/>
          <w:szCs w:val="32"/>
          <w:lang w:val="zh-CN"/>
        </w:rPr>
        <w:t>项目按建设工程基本程序实施，职能主管部门的审批完成后，执行了招投标制、合同制、监理制、项目法人责任制等规定的手续和流程。手续完备、流程合法合规。</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52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严格规范立项报批、招投标、工程监理等工作程序，确保改造过程依法依规，自觉接受社会监督。</w:t>
      </w:r>
      <w:r>
        <w:rPr>
          <w:rFonts w:ascii="仿宋_GB2312" w:hAnsi="宋体" w:eastAsia="仿宋_GB2312"/>
          <w:sz w:val="32"/>
          <w:szCs w:val="32"/>
          <w:lang w:val="zh-CN"/>
        </w:rPr>
        <w:t xml:space="preserve"> </w:t>
      </w:r>
    </w:p>
    <w:p>
      <w:pPr>
        <w:adjustRightInd w:val="0"/>
        <w:snapToGrid w:val="0"/>
        <w:spacing w:line="52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1、小区改造立项工作。由发改部门负责，严格立项报批手续。</w:t>
      </w:r>
      <w:r>
        <w:rPr>
          <w:rFonts w:ascii="仿宋_GB2312" w:hAnsi="宋体" w:eastAsia="仿宋_GB2312"/>
          <w:sz w:val="32"/>
          <w:szCs w:val="32"/>
          <w:lang w:val="zh-CN"/>
        </w:rPr>
        <w:t xml:space="preserve"> </w:t>
      </w:r>
    </w:p>
    <w:p>
      <w:pPr>
        <w:adjustRightInd w:val="0"/>
        <w:snapToGrid w:val="0"/>
        <w:spacing w:line="52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2、工程招投标工作。</w:t>
      </w:r>
      <w:r>
        <w:rPr>
          <w:rFonts w:hint="eastAsia" w:ascii="仿宋" w:hAnsi="仿宋" w:eastAsia="仿宋"/>
          <w:color w:val="000000"/>
          <w:sz w:val="32"/>
          <w:szCs w:val="32"/>
          <w:lang w:val="zh-CN"/>
        </w:rPr>
        <w:t>按照市发改局招标核准的要求，项目实行了公开招投标</w:t>
      </w:r>
      <w:r>
        <w:rPr>
          <w:rFonts w:hint="eastAsia" w:ascii="仿宋_GB2312" w:hAnsi="宋体" w:eastAsia="仿宋_GB2312"/>
          <w:sz w:val="32"/>
          <w:szCs w:val="32"/>
          <w:lang w:val="zh-CN"/>
        </w:rPr>
        <w:t>。</w:t>
      </w:r>
      <w:r>
        <w:rPr>
          <w:rFonts w:ascii="仿宋_GB2312" w:hAnsi="宋体" w:eastAsia="仿宋_GB2312"/>
          <w:sz w:val="32"/>
          <w:szCs w:val="32"/>
          <w:lang w:val="zh-CN"/>
        </w:rPr>
        <w:t xml:space="preserve"> </w:t>
      </w:r>
    </w:p>
    <w:p>
      <w:pPr>
        <w:adjustRightInd w:val="0"/>
        <w:snapToGrid w:val="0"/>
        <w:spacing w:line="52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3、施工过程。设立了公示牌，公示工程改造项目、改造内容、工程造价、工程工期、施工单位、监理单位及相关负责人的电话，方便群众对老旧小区改造工程进行监督。</w:t>
      </w:r>
      <w:r>
        <w:rPr>
          <w:rFonts w:ascii="仿宋_GB2312" w:hAnsi="宋体" w:eastAsia="仿宋_GB2312"/>
          <w:sz w:val="32"/>
          <w:szCs w:val="32"/>
          <w:lang w:val="zh-CN"/>
        </w:rPr>
        <w:t xml:space="preserve"> </w:t>
      </w:r>
    </w:p>
    <w:p>
      <w:pPr>
        <w:adjustRightInd w:val="0"/>
        <w:snapToGrid w:val="0"/>
        <w:spacing w:line="52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4、工程验收环节。需经专业部门、办事处社区、业主共同认可方可通过。</w:t>
      </w:r>
      <w:r>
        <w:rPr>
          <w:rFonts w:ascii="仿宋_GB2312" w:hAnsi="宋体" w:eastAsia="仿宋_GB2312"/>
          <w:sz w:val="32"/>
          <w:szCs w:val="32"/>
          <w:lang w:val="zh-CN"/>
        </w:rPr>
        <w:t xml:space="preserve"> </w:t>
      </w:r>
    </w:p>
    <w:p>
      <w:pPr>
        <w:adjustRightInd w:val="0"/>
        <w:snapToGrid w:val="0"/>
        <w:spacing w:line="52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520" w:lineRule="exact"/>
        <w:ind w:firstLine="720"/>
        <w:rPr>
          <w:rFonts w:ascii="仿宋_GB2312" w:hAnsi="宋体" w:eastAsia="仿宋_GB2312"/>
          <w:sz w:val="32"/>
          <w:szCs w:val="32"/>
          <w:lang w:val="zh-CN"/>
        </w:rPr>
      </w:pPr>
      <w:r>
        <w:rPr>
          <w:rFonts w:hint="eastAsia" w:ascii="仿宋" w:hAnsi="仿宋" w:eastAsia="仿宋"/>
          <w:sz w:val="32"/>
          <w:szCs w:val="32"/>
          <w:lang w:val="zh-CN"/>
        </w:rPr>
        <w:t>项目严格按图施工，按相关规范和质量标准施工，</w:t>
      </w:r>
      <w:r>
        <w:rPr>
          <w:rFonts w:hint="eastAsia" w:ascii="仿宋_GB2312" w:hAnsi="宋体" w:eastAsia="仿宋_GB2312"/>
          <w:sz w:val="32"/>
          <w:szCs w:val="32"/>
          <w:lang w:val="zh-CN"/>
        </w:rPr>
        <w:t>现已完工，正在办理竣工结（决）算审计。</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520" w:lineRule="exact"/>
        <w:ind w:firstLine="720"/>
        <w:rPr>
          <w:rFonts w:ascii="仿宋_GB2312" w:hAnsi="黑体" w:eastAsia="仿宋_GB2312" w:cs="黑体"/>
          <w:sz w:val="32"/>
          <w:szCs w:val="32"/>
        </w:rPr>
      </w:pPr>
      <w:r>
        <w:rPr>
          <w:rFonts w:hint="eastAsia" w:ascii="仿宋_GB2312" w:hAnsi="黑体" w:eastAsia="仿宋_GB2312" w:cs="黑体"/>
          <w:sz w:val="32"/>
          <w:szCs w:val="32"/>
        </w:rPr>
        <w:t>通过对绵竹市老旧小区（清平磷矿小区）进行改造，将进一步完善小区配套基础设施和公共服务设施，解决老旧小区市政设施老化，排水防涝、排污不畅现象；修整、翻建小区道路；优化绿化布局，有效改善小区居民居住条件，提高居民的生活质量、消除老旧隐患、创造优美环境、完善小区功能，提升城市文明管理水平，增强小区居民获得感、幸福感和安全感，加快建设生态文明城市的步伐和实现</w:t>
      </w:r>
      <w:r>
        <w:rPr>
          <w:rFonts w:hint="eastAsia" w:ascii="仿宋_GB2312" w:hAnsi="黑体" w:eastAsia="仿宋_GB2312" w:cs="黑体"/>
          <w:sz w:val="32"/>
          <w:szCs w:val="32"/>
          <w:lang w:eastAsia="zh-CN"/>
        </w:rPr>
        <w:t>全面建成小康社会</w:t>
      </w:r>
      <w:r>
        <w:rPr>
          <w:rFonts w:hint="eastAsia" w:ascii="仿宋_GB2312" w:hAnsi="黑体" w:eastAsia="仿宋_GB2312" w:cs="黑体"/>
          <w:sz w:val="32"/>
          <w:szCs w:val="32"/>
        </w:rPr>
        <w:t>的宏伟目标，</w:t>
      </w:r>
      <w:r>
        <w:rPr>
          <w:rFonts w:ascii="仿宋_GB2312" w:hAnsi="黑体" w:eastAsia="仿宋_GB2312" w:cs="黑体"/>
          <w:sz w:val="32"/>
          <w:szCs w:val="32"/>
        </w:rPr>
        <w:t>达到给人们带来美好生活环境的最终目的</w:t>
      </w:r>
      <w:r>
        <w:rPr>
          <w:rFonts w:hint="eastAsia" w:ascii="仿宋_GB2312" w:hAnsi="黑体" w:eastAsia="仿宋_GB2312" w:cs="黑体"/>
          <w:sz w:val="32"/>
          <w:szCs w:val="32"/>
        </w:rPr>
        <w:t>，具有较好的社会效益。</w:t>
      </w:r>
    </w:p>
    <w:p>
      <w:pPr>
        <w:adjustRightInd w:val="0"/>
        <w:snapToGrid w:val="0"/>
        <w:spacing w:line="520" w:lineRule="exact"/>
        <w:ind w:firstLine="720"/>
        <w:rPr>
          <w:rFonts w:ascii="黑体" w:hAnsi="宋体" w:eastAsia="黑体"/>
          <w:sz w:val="32"/>
          <w:szCs w:val="32"/>
        </w:rPr>
      </w:pPr>
      <w:r>
        <w:rPr>
          <w:rFonts w:hint="eastAsia" w:ascii="黑体" w:hAnsi="宋体" w:eastAsia="黑体"/>
          <w:sz w:val="32"/>
          <w:szCs w:val="32"/>
        </w:rPr>
        <w:t>五、问题及建议</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52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项目实际完成率、完成及时率均达到或超过绩效目标，质量达标率良好，产出成本可控，管理工作规范，社会效益良好，项目可持续性强，服务对象总体较满意。评定级别为“优”。</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520" w:lineRule="exact"/>
        <w:ind w:firstLine="720"/>
        <w:rPr>
          <w:rFonts w:ascii="仿宋_GB2312" w:hAnsi="宋体" w:eastAsia="仿宋_GB2312"/>
          <w:sz w:val="32"/>
          <w:szCs w:val="32"/>
        </w:rPr>
      </w:pPr>
      <w:r>
        <w:rPr>
          <w:rFonts w:hint="eastAsia" w:ascii="仿宋_GB2312" w:hAnsi="宋体" w:eastAsia="仿宋_GB2312"/>
          <w:sz w:val="32"/>
          <w:szCs w:val="32"/>
        </w:rPr>
        <w:t>一是群众工作协调难度大。老旧小区改造项目涉及人员较广，意见很难统一，而且老旧小区居民大多数是老年人，思想工作难度较大，协调工作非常难。二是长效管理养护难。由于老旧小区往往存在无物业管理、无维修管养经费的问题，老旧小区居民自治意识淡薄，消费观念参差不齐，造成居民自治管理难，同时物业服务企业出于老旧小区物业服务费收费难、收费标准低、维护成本高等顾虑，不愿进驻小区实施管理，造成老旧小区</w:t>
      </w:r>
      <w:r>
        <w:rPr>
          <w:rFonts w:hint="eastAsia" w:ascii="仿宋_GB2312" w:hAnsi="宋体" w:eastAsia="仿宋_GB2312"/>
          <w:sz w:val="32"/>
          <w:szCs w:val="32"/>
          <w:lang w:eastAsia="zh-CN"/>
        </w:rPr>
        <w:t>改造</w:t>
      </w:r>
      <w:r>
        <w:rPr>
          <w:rFonts w:hint="eastAsia" w:ascii="仿宋_GB2312" w:hAnsi="宋体" w:eastAsia="仿宋_GB2312"/>
          <w:sz w:val="32"/>
          <w:szCs w:val="32"/>
        </w:rPr>
        <w:t>后反弹较大，成果难以长期保持。</w:t>
      </w:r>
    </w:p>
    <w:p>
      <w:pPr>
        <w:adjustRightInd w:val="0"/>
        <w:snapToGrid w:val="0"/>
        <w:spacing w:line="52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520" w:lineRule="exact"/>
        <w:ind w:firstLine="720"/>
        <w:rPr>
          <w:rFonts w:ascii="仿宋_GB2312" w:hAnsi="宋体" w:eastAsia="仿宋_GB2312"/>
          <w:sz w:val="32"/>
          <w:szCs w:val="32"/>
          <w:lang w:val="zh-CN"/>
        </w:rPr>
      </w:pPr>
      <w:r>
        <w:rPr>
          <w:rFonts w:hint="eastAsia" w:ascii="仿宋_GB2312" w:hAnsi="宋体" w:eastAsia="仿宋_GB2312"/>
          <w:sz w:val="32"/>
          <w:szCs w:val="32"/>
        </w:rPr>
        <w:t>无</w:t>
      </w:r>
      <w:r>
        <w:rPr>
          <w:rFonts w:hint="eastAsia" w:ascii="仿宋_GB2312" w:hAnsi="宋体" w:eastAsia="仿宋_GB2312"/>
          <w:sz w:val="32"/>
          <w:szCs w:val="32"/>
          <w:lang w:val="zh-CN"/>
        </w:rPr>
        <w:t xml:space="preserve"> </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140" w:type="dxa"/>
        <w:jc w:val="center"/>
        <w:tblLayout w:type="autofit"/>
        <w:tblCellMar>
          <w:top w:w="0" w:type="dxa"/>
          <w:left w:w="108" w:type="dxa"/>
          <w:bottom w:w="0" w:type="dxa"/>
          <w:right w:w="108" w:type="dxa"/>
        </w:tblCellMar>
      </w:tblPr>
      <w:tblGrid>
        <w:gridCol w:w="1080"/>
        <w:gridCol w:w="900"/>
        <w:gridCol w:w="1360"/>
        <w:gridCol w:w="1080"/>
        <w:gridCol w:w="880"/>
        <w:gridCol w:w="1900"/>
        <w:gridCol w:w="1940"/>
      </w:tblGrid>
      <w:tr>
        <w:tblPrEx>
          <w:tblCellMar>
            <w:top w:w="0" w:type="dxa"/>
            <w:left w:w="108" w:type="dxa"/>
            <w:bottom w:w="0" w:type="dxa"/>
            <w:right w:w="108" w:type="dxa"/>
          </w:tblCellMar>
        </w:tblPrEx>
        <w:trPr>
          <w:trHeight w:val="405" w:hRule="atLeast"/>
          <w:jc w:val="center"/>
        </w:trPr>
        <w:tc>
          <w:tcPr>
            <w:tcW w:w="914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14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（2021年度）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0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6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8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0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94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3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8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绵竹市老旧小区（清平磷矿小区）改造项目</w:t>
            </w:r>
          </w:p>
        </w:tc>
      </w:tr>
      <w:tr>
        <w:tblPrEx>
          <w:tblCellMar>
            <w:top w:w="0" w:type="dxa"/>
            <w:left w:w="108" w:type="dxa"/>
            <w:bottom w:w="0" w:type="dxa"/>
            <w:right w:w="108" w:type="dxa"/>
          </w:tblCellMar>
        </w:tblPrEx>
        <w:trPr>
          <w:trHeight w:val="270" w:hRule="atLeast"/>
          <w:jc w:val="center"/>
        </w:trPr>
        <w:tc>
          <w:tcPr>
            <w:tcW w:w="334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8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2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9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28.5524万元</w:t>
            </w:r>
          </w:p>
        </w:tc>
        <w:tc>
          <w:tcPr>
            <w:tcW w:w="190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1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28.5524万元</w:t>
            </w:r>
          </w:p>
        </w:tc>
      </w:tr>
      <w:tr>
        <w:tblPrEx>
          <w:tblCellMar>
            <w:top w:w="0" w:type="dxa"/>
            <w:left w:w="108" w:type="dxa"/>
            <w:bottom w:w="0" w:type="dxa"/>
            <w:right w:w="108" w:type="dxa"/>
          </w:tblCellMar>
        </w:tblPrEx>
        <w:trPr>
          <w:trHeight w:val="51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9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28.5524万元</w:t>
            </w:r>
          </w:p>
        </w:tc>
        <w:tc>
          <w:tcPr>
            <w:tcW w:w="190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28.5524万元</w:t>
            </w:r>
          </w:p>
        </w:tc>
      </w:tr>
      <w:tr>
        <w:tblPrEx>
          <w:tblCellMar>
            <w:top w:w="0" w:type="dxa"/>
            <w:left w:w="108" w:type="dxa"/>
            <w:bottom w:w="0" w:type="dxa"/>
            <w:right w:w="108" w:type="dxa"/>
          </w:tblCellMar>
        </w:tblPrEx>
        <w:trPr>
          <w:trHeight w:val="34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2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6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90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9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36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22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76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22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实施老旧小区改造1个，改造户数126户。</w:t>
            </w:r>
          </w:p>
        </w:tc>
        <w:tc>
          <w:tcPr>
            <w:tcW w:w="38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实施老旧小区改造1个，改造户数126户。</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0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3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39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36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改造小区数</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1个</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1个</w:t>
            </w:r>
          </w:p>
        </w:tc>
      </w:tr>
      <w:tr>
        <w:tblPrEx>
          <w:tblCellMar>
            <w:top w:w="0" w:type="dxa"/>
            <w:left w:w="108" w:type="dxa"/>
            <w:bottom w:w="0" w:type="dxa"/>
            <w:right w:w="108" w:type="dxa"/>
          </w:tblCellMar>
        </w:tblPrEx>
        <w:trPr>
          <w:trHeight w:val="39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改造户数</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126套</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126套</w:t>
            </w:r>
          </w:p>
        </w:tc>
      </w:tr>
      <w:tr>
        <w:tblPrEx>
          <w:tblCellMar>
            <w:top w:w="0" w:type="dxa"/>
            <w:left w:w="108" w:type="dxa"/>
            <w:bottom w:w="0" w:type="dxa"/>
            <w:right w:w="108" w:type="dxa"/>
          </w:tblCellMar>
        </w:tblPrEx>
        <w:trPr>
          <w:trHeight w:val="39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改造质量</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合格</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合格</w:t>
            </w:r>
          </w:p>
        </w:tc>
      </w:tr>
      <w:tr>
        <w:tblPrEx>
          <w:tblCellMar>
            <w:top w:w="0" w:type="dxa"/>
            <w:left w:w="108" w:type="dxa"/>
            <w:bottom w:w="0" w:type="dxa"/>
            <w:right w:w="108" w:type="dxa"/>
          </w:tblCellMar>
        </w:tblPrEx>
        <w:trPr>
          <w:trHeight w:val="39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工程事故率</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9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开工目标完成率</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39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投入资金额</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28.5524万元</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28.5524万元</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3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改善人民生活环境，美化社区环境</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居民生活质量满意度</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群众居住条件是否改善</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片区居住环境改善</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达成预期目标</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达成预期目标</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建设期间对环境影响</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69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6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和谐社会建设</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达成预期目标</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达成预期目标</w:t>
            </w:r>
          </w:p>
        </w:tc>
      </w:tr>
      <w:tr>
        <w:tblPrEx>
          <w:tblCellMar>
            <w:top w:w="0" w:type="dxa"/>
            <w:left w:w="108" w:type="dxa"/>
            <w:bottom w:w="0" w:type="dxa"/>
            <w:right w:w="108" w:type="dxa"/>
          </w:tblCellMar>
        </w:tblPrEx>
        <w:trPr>
          <w:trHeight w:val="66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36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9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老旧小区改造对象满意度</w:t>
            </w:r>
          </w:p>
        </w:tc>
        <w:tc>
          <w:tcPr>
            <w:tcW w:w="19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1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lang w:val="zh-CN"/>
        </w:rPr>
      </w:pPr>
      <w:r>
        <w:rPr>
          <w:rFonts w:hint="eastAsia" w:ascii="微软雅黑" w:hAnsi="微软雅黑" w:eastAsia="微软雅黑" w:cs="微软雅黑"/>
          <w:color w:val="000000"/>
          <w:kern w:val="0"/>
          <w:sz w:val="44"/>
          <w:szCs w:val="44"/>
          <w:lang w:val="zh-CN"/>
        </w:rPr>
        <w:t>项目支出绩效自评报告</w:t>
      </w:r>
    </w:p>
    <w:p>
      <w:pPr>
        <w:spacing w:line="560" w:lineRule="exact"/>
        <w:jc w:val="center"/>
        <w:rPr>
          <w:rFonts w:ascii="宋体" w:hAnsi="宋体"/>
          <w:sz w:val="32"/>
          <w:szCs w:val="32"/>
          <w:lang w:val="zh-CN"/>
        </w:rPr>
      </w:pPr>
      <w:r>
        <w:rPr>
          <w:rFonts w:hint="eastAsia" w:ascii="仿宋_GB2312" w:hAnsi="宋体"/>
          <w:color w:val="000000"/>
          <w:kern w:val="0"/>
          <w:sz w:val="28"/>
          <w:szCs w:val="21"/>
          <w:lang w:val="zh-CN"/>
        </w:rPr>
        <w:t>（绵竹市老旧小区（蜀龙小区）改造项目）</w:t>
      </w:r>
    </w:p>
    <w:p>
      <w:pPr>
        <w:adjustRightInd w:val="0"/>
        <w:snapToGrid w:val="0"/>
        <w:spacing w:line="640" w:lineRule="exact"/>
        <w:ind w:firstLine="720"/>
        <w:rPr>
          <w:rFonts w:ascii="黑体" w:hAnsi="宋体" w:eastAsia="黑体"/>
          <w:sz w:val="32"/>
          <w:szCs w:val="32"/>
        </w:rPr>
      </w:pPr>
    </w:p>
    <w:p>
      <w:pPr>
        <w:adjustRightInd w:val="0"/>
        <w:snapToGrid w:val="0"/>
        <w:spacing w:line="64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1、</w:t>
      </w:r>
      <w:r>
        <w:rPr>
          <w:rFonts w:hint="eastAsia" w:ascii="仿宋_GB2312" w:hAnsi="宋体" w:eastAsia="仿宋_GB2312"/>
          <w:sz w:val="32"/>
          <w:szCs w:val="32"/>
          <w:lang w:val="zh-CN"/>
        </w:rPr>
        <w:t>项目业主：绵竹市人民政府剑南街道办事处。</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2、</w:t>
      </w:r>
      <w:r>
        <w:rPr>
          <w:rFonts w:hint="eastAsia" w:ascii="仿宋_GB2312" w:hAnsi="宋体" w:eastAsia="仿宋_GB2312"/>
          <w:sz w:val="32"/>
          <w:szCs w:val="32"/>
          <w:lang w:val="zh-CN"/>
        </w:rPr>
        <w:t>建设地址：绵竹市剑南街道大南路社区。</w:t>
      </w:r>
    </w:p>
    <w:p>
      <w:pPr>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3、</w:t>
      </w:r>
      <w:r>
        <w:rPr>
          <w:rFonts w:hint="eastAsia" w:ascii="仿宋_GB2312" w:hAnsi="宋体" w:eastAsia="仿宋_GB2312"/>
          <w:sz w:val="32"/>
          <w:szCs w:val="32"/>
          <w:lang w:val="zh-CN"/>
        </w:rPr>
        <w:t>建设内容及规模：</w:t>
      </w:r>
      <w:r>
        <w:rPr>
          <w:rFonts w:hint="eastAsia" w:eastAsia="仿宋_GB2312"/>
          <w:color w:val="000000"/>
          <w:sz w:val="32"/>
          <w:szCs w:val="32"/>
        </w:rPr>
        <w:t>改造小区屋面防水1210</w:t>
      </w:r>
      <w:r>
        <w:rPr>
          <w:rFonts w:hint="eastAsia" w:ascii="宋体" w:hAnsi="宋体" w:cs="宋体"/>
          <w:color w:val="000000"/>
          <w:sz w:val="32"/>
          <w:szCs w:val="32"/>
        </w:rPr>
        <w:t>㎡</w:t>
      </w:r>
      <w:r>
        <w:rPr>
          <w:rFonts w:hint="eastAsia"/>
          <w:color w:val="000000"/>
          <w:sz w:val="32"/>
          <w:szCs w:val="32"/>
        </w:rPr>
        <w:t>，</w:t>
      </w:r>
      <w:r>
        <w:rPr>
          <w:rFonts w:hint="eastAsia" w:eastAsia="仿宋_GB2312"/>
          <w:color w:val="000000"/>
          <w:sz w:val="32"/>
          <w:szCs w:val="32"/>
        </w:rPr>
        <w:t>小区地面铺设沥青混凝土405</w:t>
      </w:r>
      <w:r>
        <w:rPr>
          <w:rFonts w:hint="eastAsia" w:ascii="宋体" w:hAnsi="宋体" w:cs="宋体"/>
          <w:color w:val="000000"/>
          <w:sz w:val="32"/>
          <w:szCs w:val="32"/>
        </w:rPr>
        <w:t>㎡，</w:t>
      </w:r>
      <w:r>
        <w:rPr>
          <w:rFonts w:hint="eastAsia" w:eastAsia="仿宋_GB2312"/>
          <w:color w:val="000000"/>
          <w:sz w:val="32"/>
          <w:szCs w:val="32"/>
        </w:rPr>
        <w:t>改造小区雨污管网、新建自行车、电瓶车停车棚，并设置充电设施，改造门卫室18</w:t>
      </w:r>
      <w:r>
        <w:rPr>
          <w:rFonts w:hint="eastAsia" w:ascii="宋体" w:hAnsi="宋体" w:cs="宋体"/>
          <w:color w:val="000000"/>
          <w:sz w:val="32"/>
          <w:szCs w:val="32"/>
        </w:rPr>
        <w:t>㎡</w:t>
      </w:r>
      <w:r>
        <w:rPr>
          <w:rFonts w:hint="eastAsia" w:eastAsia="仿宋_GB2312"/>
          <w:color w:val="000000"/>
          <w:sz w:val="32"/>
          <w:szCs w:val="32"/>
        </w:rPr>
        <w:t>，改造围墙831</w:t>
      </w:r>
      <w:r>
        <w:rPr>
          <w:rFonts w:hint="eastAsia" w:ascii="宋体" w:hAnsi="宋体" w:cs="宋体"/>
          <w:color w:val="000000"/>
          <w:sz w:val="32"/>
          <w:szCs w:val="32"/>
        </w:rPr>
        <w:t>㎡，</w:t>
      </w:r>
      <w:r>
        <w:rPr>
          <w:rFonts w:hint="eastAsia" w:eastAsia="仿宋_GB2312"/>
          <w:color w:val="000000"/>
          <w:sz w:val="32"/>
          <w:szCs w:val="32"/>
        </w:rPr>
        <w:t>更换单户智能水表和燃气改造等。</w:t>
      </w:r>
    </w:p>
    <w:p>
      <w:pPr>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4、资金来源：中央财政保障性安居工程专项资金</w:t>
      </w:r>
      <w:r>
        <w:rPr>
          <w:rFonts w:hint="eastAsia" w:ascii="仿宋_GB2312" w:hAnsi="宋体" w:eastAsia="仿宋_GB2312"/>
          <w:sz w:val="32"/>
          <w:szCs w:val="32"/>
        </w:rPr>
        <w:t>93.59</w:t>
      </w:r>
      <w:r>
        <w:rPr>
          <w:rFonts w:hint="eastAsia" w:ascii="仿宋_GB2312" w:hAnsi="宋体" w:eastAsia="仿宋_GB2312"/>
          <w:sz w:val="32"/>
          <w:szCs w:val="32"/>
          <w:lang w:val="zh-CN"/>
        </w:rPr>
        <w:t>万元和本级财政资金</w:t>
      </w:r>
      <w:r>
        <w:rPr>
          <w:rFonts w:hint="eastAsia" w:ascii="仿宋_GB2312" w:hAnsi="宋体" w:eastAsia="仿宋_GB2312"/>
          <w:sz w:val="32"/>
          <w:szCs w:val="32"/>
        </w:rPr>
        <w:t>4.6</w:t>
      </w:r>
      <w:r>
        <w:rPr>
          <w:rFonts w:hint="eastAsia" w:ascii="仿宋_GB2312" w:hAnsi="宋体" w:eastAsia="仿宋_GB2312"/>
          <w:sz w:val="32"/>
          <w:szCs w:val="32"/>
          <w:lang w:val="zh-CN"/>
        </w:rPr>
        <w:t>万元。</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1、</w:t>
      </w:r>
      <w:r>
        <w:rPr>
          <w:rFonts w:hint="eastAsia" w:ascii="仿宋_GB2312" w:hAnsi="宋体" w:eastAsia="仿宋_GB2312"/>
          <w:sz w:val="32"/>
          <w:szCs w:val="32"/>
          <w:lang w:val="zh-CN"/>
        </w:rPr>
        <w:t>项目主要内容：</w:t>
      </w:r>
      <w:r>
        <w:rPr>
          <w:rFonts w:hint="eastAsia" w:eastAsia="仿宋_GB2312"/>
          <w:color w:val="000000"/>
          <w:sz w:val="32"/>
          <w:szCs w:val="32"/>
        </w:rPr>
        <w:t>改造小区屋面防水1210</w:t>
      </w:r>
      <w:r>
        <w:rPr>
          <w:rFonts w:hint="eastAsia" w:ascii="宋体" w:hAnsi="宋体" w:cs="宋体"/>
          <w:color w:val="000000"/>
          <w:sz w:val="32"/>
          <w:szCs w:val="32"/>
        </w:rPr>
        <w:t>㎡</w:t>
      </w:r>
      <w:r>
        <w:rPr>
          <w:rFonts w:hint="eastAsia"/>
          <w:color w:val="000000"/>
          <w:sz w:val="32"/>
          <w:szCs w:val="32"/>
        </w:rPr>
        <w:t>，</w:t>
      </w:r>
      <w:r>
        <w:rPr>
          <w:rFonts w:hint="eastAsia" w:eastAsia="仿宋_GB2312"/>
          <w:color w:val="000000"/>
          <w:sz w:val="32"/>
          <w:szCs w:val="32"/>
        </w:rPr>
        <w:t>小区地面铺设沥青混凝土405</w:t>
      </w:r>
      <w:r>
        <w:rPr>
          <w:rFonts w:hint="eastAsia" w:ascii="宋体" w:hAnsi="宋体" w:cs="宋体"/>
          <w:color w:val="000000"/>
          <w:sz w:val="32"/>
          <w:szCs w:val="32"/>
        </w:rPr>
        <w:t>㎡，</w:t>
      </w:r>
      <w:r>
        <w:rPr>
          <w:rFonts w:hint="eastAsia" w:eastAsia="仿宋_GB2312"/>
          <w:color w:val="000000"/>
          <w:sz w:val="32"/>
          <w:szCs w:val="32"/>
        </w:rPr>
        <w:t>改造小区雨污管网、新建自行车、电瓶车停车棚，并设置充电设施，改造门卫室18</w:t>
      </w:r>
      <w:r>
        <w:rPr>
          <w:rFonts w:hint="eastAsia" w:ascii="宋体" w:hAnsi="宋体" w:cs="宋体"/>
          <w:color w:val="000000"/>
          <w:sz w:val="32"/>
          <w:szCs w:val="32"/>
        </w:rPr>
        <w:t>㎡</w:t>
      </w:r>
      <w:r>
        <w:rPr>
          <w:rFonts w:hint="eastAsia" w:eastAsia="仿宋_GB2312"/>
          <w:color w:val="000000"/>
          <w:sz w:val="32"/>
          <w:szCs w:val="32"/>
        </w:rPr>
        <w:t>，改造围墙831</w:t>
      </w:r>
      <w:r>
        <w:rPr>
          <w:rFonts w:hint="eastAsia" w:ascii="宋体" w:hAnsi="宋体" w:cs="宋体"/>
          <w:color w:val="000000"/>
          <w:sz w:val="32"/>
          <w:szCs w:val="32"/>
        </w:rPr>
        <w:t>㎡，</w:t>
      </w:r>
      <w:r>
        <w:rPr>
          <w:rFonts w:hint="eastAsia" w:eastAsia="仿宋_GB2312"/>
          <w:color w:val="000000"/>
          <w:sz w:val="32"/>
          <w:szCs w:val="32"/>
        </w:rPr>
        <w:t>更换单户智能水表和燃气改造等。</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2、计划实现的具体绩效目标：计划于</w:t>
      </w:r>
      <w:r>
        <w:rPr>
          <w:rFonts w:hint="eastAsia" w:ascii="仿宋_GB2312" w:hAnsi="宋体" w:eastAsia="仿宋_GB2312"/>
          <w:sz w:val="32"/>
          <w:szCs w:val="32"/>
        </w:rPr>
        <w:t>2022年底</w:t>
      </w:r>
      <w:r>
        <w:rPr>
          <w:rFonts w:hint="eastAsia" w:ascii="仿宋_GB2312" w:hAnsi="宋体" w:eastAsia="仿宋_GB2312"/>
          <w:sz w:val="32"/>
          <w:szCs w:val="32"/>
          <w:lang w:val="zh-CN"/>
        </w:rPr>
        <w:t>完成蜀龙小区</w:t>
      </w:r>
      <w:r>
        <w:rPr>
          <w:rFonts w:hint="eastAsia" w:ascii="仿宋_GB2312" w:hAnsi="宋体" w:eastAsia="仿宋_GB2312"/>
          <w:sz w:val="32"/>
          <w:szCs w:val="32"/>
        </w:rPr>
        <w:t>59套老旧小区改造工作。</w:t>
      </w:r>
      <w:r>
        <w:rPr>
          <w:rFonts w:hint="eastAsia" w:ascii="仿宋_GB2312" w:hAnsi="宋体" w:eastAsia="仿宋_GB2312"/>
          <w:sz w:val="32"/>
          <w:szCs w:val="32"/>
          <w:lang w:val="zh-CN"/>
        </w:rPr>
        <w:t>通过对绵竹市蜀龙小区配套基础设施进行改造，解决老旧小区市政设施老化，排水排污不畅现象；修整、翻建小区道路；优化绿化布局，有效改善小区居民居住条件，改善城区环境品质，提升城市文明管理水平，增强小区居民获得感、幸福感和安全感。</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3、</w:t>
      </w:r>
      <w:r>
        <w:rPr>
          <w:rFonts w:hint="eastAsia" w:ascii="仿宋_GB2312" w:hAnsi="宋体" w:eastAsia="仿宋_GB2312"/>
          <w:sz w:val="32"/>
          <w:szCs w:val="32"/>
          <w:lang w:val="zh-CN"/>
        </w:rPr>
        <w:t>项目申报内容与具体实施内容相符、申报目标合理可行。</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由我局开展财政资金使用情况自评并撰写部门预算支出绩效报告，按规范格式按时提交自评报告。</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4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（一）项目资金申报及批复情况。</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绵竹市老旧小区（蜀龙小区）改造项目经市住建局（竹建〔20</w:t>
      </w:r>
      <w:r>
        <w:rPr>
          <w:rFonts w:hint="eastAsia" w:ascii="仿宋_GB2312" w:hAnsi="宋体" w:eastAsia="仿宋_GB2312"/>
          <w:sz w:val="32"/>
          <w:szCs w:val="32"/>
        </w:rPr>
        <w:t>21</w:t>
      </w:r>
      <w:r>
        <w:rPr>
          <w:rFonts w:hint="eastAsia" w:ascii="仿宋_GB2312" w:hAnsi="宋体" w:eastAsia="仿宋_GB2312"/>
          <w:sz w:val="32"/>
          <w:szCs w:val="32"/>
          <w:lang w:val="zh-CN"/>
        </w:rPr>
        <w:t>〕</w:t>
      </w:r>
      <w:r>
        <w:rPr>
          <w:rFonts w:hint="eastAsia" w:ascii="仿宋_GB2312" w:hAnsi="宋体" w:eastAsia="仿宋_GB2312"/>
          <w:sz w:val="32"/>
          <w:szCs w:val="32"/>
        </w:rPr>
        <w:t>318</w:t>
      </w:r>
      <w:r>
        <w:rPr>
          <w:rFonts w:hint="eastAsia" w:ascii="仿宋_GB2312" w:hAnsi="宋体" w:eastAsia="仿宋_GB2312"/>
          <w:sz w:val="32"/>
          <w:szCs w:val="32"/>
          <w:lang w:val="zh-CN"/>
        </w:rPr>
        <w:t>号）批准实施方案，</w:t>
      </w:r>
      <w:r>
        <w:rPr>
          <w:rFonts w:hint="eastAsia" w:ascii="仿宋" w:hAnsi="仿宋" w:eastAsia="仿宋"/>
          <w:sz w:val="32"/>
          <w:szCs w:val="32"/>
          <w:lang w:val="zh-CN"/>
        </w:rPr>
        <w:t>经市发改局《关于绵竹市蜀龙小区配套基础设施改造项目实施方案的批复》（竹发改审〔202</w:t>
      </w:r>
      <w:r>
        <w:rPr>
          <w:rFonts w:hint="eastAsia" w:ascii="仿宋" w:hAnsi="仿宋" w:eastAsia="仿宋"/>
          <w:sz w:val="32"/>
          <w:szCs w:val="32"/>
        </w:rPr>
        <w:t>1</w:t>
      </w:r>
      <w:r>
        <w:rPr>
          <w:rFonts w:hint="eastAsia" w:ascii="仿宋" w:hAnsi="仿宋" w:eastAsia="仿宋"/>
          <w:sz w:val="32"/>
          <w:szCs w:val="32"/>
          <w:lang w:val="zh-CN"/>
        </w:rPr>
        <w:t>〕</w:t>
      </w:r>
      <w:r>
        <w:rPr>
          <w:rFonts w:hint="eastAsia" w:ascii="仿宋" w:hAnsi="仿宋" w:eastAsia="仿宋"/>
          <w:sz w:val="32"/>
          <w:szCs w:val="32"/>
        </w:rPr>
        <w:t>113</w:t>
      </w:r>
      <w:r>
        <w:rPr>
          <w:rFonts w:hint="eastAsia" w:ascii="仿宋" w:hAnsi="仿宋" w:eastAsia="仿宋"/>
          <w:sz w:val="32"/>
          <w:szCs w:val="32"/>
          <w:lang w:val="zh-CN"/>
        </w:rPr>
        <w:t>号）批复概算金额为</w:t>
      </w:r>
      <w:r>
        <w:rPr>
          <w:rFonts w:hint="eastAsia" w:ascii="仿宋" w:hAnsi="仿宋" w:eastAsia="仿宋"/>
          <w:sz w:val="32"/>
          <w:szCs w:val="32"/>
        </w:rPr>
        <w:t>98.19</w:t>
      </w:r>
      <w:r>
        <w:rPr>
          <w:rFonts w:hint="eastAsia" w:ascii="仿宋" w:hAnsi="仿宋" w:eastAsia="仿宋"/>
          <w:sz w:val="32"/>
          <w:szCs w:val="32"/>
          <w:lang w:val="zh-CN"/>
        </w:rPr>
        <w:t>万元，资金来源为</w:t>
      </w:r>
      <w:r>
        <w:rPr>
          <w:rFonts w:hint="eastAsia" w:ascii="仿宋_GB2312" w:hAnsi="宋体" w:eastAsia="仿宋_GB2312"/>
          <w:sz w:val="32"/>
          <w:szCs w:val="32"/>
          <w:lang w:val="zh-CN"/>
        </w:rPr>
        <w:t>财政资金。</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4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1．资金计划及到位。</w:t>
      </w:r>
    </w:p>
    <w:p>
      <w:pPr>
        <w:adjustRightInd w:val="0"/>
        <w:snapToGrid w:val="0"/>
        <w:spacing w:line="640" w:lineRule="exact"/>
        <w:ind w:firstLine="720"/>
        <w:rPr>
          <w:rFonts w:ascii="宋体" w:hAnsi="宋体" w:eastAsia="仿宋_GB2312" w:cs="宋体"/>
          <w:kern w:val="0"/>
          <w:sz w:val="32"/>
          <w:szCs w:val="21"/>
        </w:rPr>
      </w:pPr>
      <w:r>
        <w:rPr>
          <w:rFonts w:hint="eastAsia" w:ascii="宋体" w:hAnsi="宋体" w:eastAsia="仿宋_GB2312" w:cs="宋体"/>
          <w:kern w:val="0"/>
          <w:sz w:val="32"/>
          <w:szCs w:val="21"/>
        </w:rPr>
        <w:t>该项目实际到位资金21.9万元。各项资金按时到位，到位率100%。</w:t>
      </w:r>
    </w:p>
    <w:p>
      <w:pPr>
        <w:adjustRightInd w:val="0"/>
        <w:snapToGrid w:val="0"/>
        <w:spacing w:line="64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2．资金使用。</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项目202</w:t>
      </w:r>
      <w:r>
        <w:rPr>
          <w:rFonts w:hint="eastAsia" w:ascii="仿宋_GB2312" w:hAnsi="宋体" w:eastAsia="仿宋_GB2312"/>
          <w:sz w:val="32"/>
          <w:szCs w:val="32"/>
        </w:rPr>
        <w:t>1</w:t>
      </w:r>
      <w:r>
        <w:rPr>
          <w:rFonts w:hint="eastAsia" w:ascii="仿宋_GB2312" w:hAnsi="宋体" w:eastAsia="仿宋_GB2312"/>
          <w:sz w:val="32"/>
          <w:szCs w:val="32"/>
          <w:lang w:val="zh-CN"/>
        </w:rPr>
        <w:t>年完成支付</w:t>
      </w:r>
      <w:r>
        <w:rPr>
          <w:rFonts w:hint="eastAsia" w:ascii="宋体" w:hAnsi="宋体" w:eastAsia="仿宋_GB2312" w:cs="宋体"/>
          <w:kern w:val="0"/>
          <w:sz w:val="32"/>
          <w:szCs w:val="21"/>
        </w:rPr>
        <w:t>21.9</w:t>
      </w:r>
      <w:r>
        <w:rPr>
          <w:rFonts w:hint="eastAsia" w:ascii="仿宋_GB2312" w:hAnsi="宋体" w:eastAsia="仿宋_GB2312"/>
          <w:sz w:val="32"/>
          <w:szCs w:val="32"/>
          <w:lang w:val="zh-CN"/>
        </w:rPr>
        <w:t>万元。工程严格按合同约定支付，支付进度</w:t>
      </w:r>
      <w:r>
        <w:rPr>
          <w:rFonts w:hint="eastAsia" w:ascii="仿宋_GB2312" w:hAnsi="宋体" w:eastAsia="仿宋_GB2312"/>
          <w:sz w:val="32"/>
          <w:szCs w:val="32"/>
        </w:rPr>
        <w:t>30</w:t>
      </w:r>
      <w:r>
        <w:rPr>
          <w:rFonts w:hint="eastAsia" w:ascii="仿宋_GB2312" w:hAnsi="宋体" w:eastAsia="仿宋_GB2312"/>
          <w:sz w:val="32"/>
          <w:szCs w:val="32"/>
          <w:lang w:val="zh-CN"/>
        </w:rPr>
        <w:t>%，支付依据合规合法。由于该项目还未竣工，还需支付剩余工程费及部分待摊尾款，202</w:t>
      </w:r>
      <w:r>
        <w:rPr>
          <w:rFonts w:hint="eastAsia" w:ascii="仿宋_GB2312" w:hAnsi="宋体" w:eastAsia="仿宋_GB2312"/>
          <w:sz w:val="32"/>
          <w:szCs w:val="32"/>
        </w:rPr>
        <w:t>2</w:t>
      </w:r>
      <w:r>
        <w:rPr>
          <w:rFonts w:hint="eastAsia" w:ascii="仿宋_GB2312" w:hAnsi="宋体" w:eastAsia="仿宋_GB2312"/>
          <w:sz w:val="32"/>
          <w:szCs w:val="32"/>
          <w:lang w:val="zh-CN"/>
        </w:rPr>
        <w:t>年根据工程进展情况安排所需资金。</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40" w:lineRule="exact"/>
        <w:ind w:firstLine="720"/>
        <w:rPr>
          <w:rFonts w:ascii="仿宋" w:hAnsi="仿宋" w:eastAsia="仿宋"/>
          <w:sz w:val="32"/>
          <w:szCs w:val="32"/>
          <w:lang w:val="zh-CN"/>
        </w:rPr>
      </w:pPr>
      <w:r>
        <w:rPr>
          <w:rFonts w:hint="eastAsia" w:ascii="仿宋_GB2312" w:hAnsi="宋体" w:eastAsia="仿宋_GB2312"/>
          <w:sz w:val="32"/>
          <w:szCs w:val="32"/>
          <w:lang w:val="zh-CN"/>
        </w:rPr>
        <w:t>项目实施单位财务管理制度健全，严格执行财务管理制度，</w:t>
      </w:r>
      <w:r>
        <w:rPr>
          <w:rFonts w:hint="eastAsia" w:ascii="仿宋" w:hAnsi="仿宋" w:eastAsia="仿宋"/>
          <w:sz w:val="32"/>
          <w:szCs w:val="32"/>
          <w:lang w:val="zh-CN"/>
        </w:rPr>
        <w:t>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一是加强组织领导。成立了老旧小区改造工作领导小组，指导、协调全市老旧小区改造工作，明确工作职责，掌握基本情况。二是</w:t>
      </w:r>
      <w:r>
        <w:rPr>
          <w:rFonts w:hint="eastAsia" w:ascii="仿宋" w:hAnsi="仿宋" w:eastAsia="仿宋"/>
          <w:sz w:val="32"/>
          <w:szCs w:val="32"/>
          <w:lang w:val="zh-CN"/>
        </w:rPr>
        <w:t>项目按建设工程基本程序实施，职能主管部门的审批完成后，执行了招投标制、合同制、监理制、项目法人责任制等规定的手续和流程。手续完备、流程合法合规。</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严格规范立项报批、招投标、工程监理等工作程序，确保改造过程依法依规，自觉接受社会监督。</w:t>
      </w:r>
      <w:r>
        <w:rPr>
          <w:rFonts w:ascii="仿宋_GB2312" w:hAnsi="宋体" w:eastAsia="仿宋_GB2312"/>
          <w:sz w:val="32"/>
          <w:szCs w:val="32"/>
          <w:lang w:val="zh-CN"/>
        </w:rPr>
        <w:t xml:space="preserve"> </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1、小区改造立项工作。由发改部门负责，严格立项报批手续。</w:t>
      </w:r>
      <w:r>
        <w:rPr>
          <w:rFonts w:ascii="仿宋_GB2312" w:hAnsi="宋体" w:eastAsia="仿宋_GB2312"/>
          <w:sz w:val="32"/>
          <w:szCs w:val="32"/>
          <w:lang w:val="zh-CN"/>
        </w:rPr>
        <w:t xml:space="preserve"> </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2、工程招投标工作。</w:t>
      </w:r>
      <w:r>
        <w:rPr>
          <w:rFonts w:hint="eastAsia" w:ascii="仿宋" w:hAnsi="仿宋" w:eastAsia="仿宋"/>
          <w:color w:val="000000"/>
          <w:sz w:val="32"/>
          <w:szCs w:val="32"/>
          <w:lang w:val="zh-CN"/>
        </w:rPr>
        <w:t>按照市发改局招标核准的要求，项目实行了公开招投标</w:t>
      </w:r>
      <w:r>
        <w:rPr>
          <w:rFonts w:hint="eastAsia" w:ascii="仿宋_GB2312" w:hAnsi="宋体" w:eastAsia="仿宋_GB2312"/>
          <w:sz w:val="32"/>
          <w:szCs w:val="32"/>
          <w:lang w:val="zh-CN"/>
        </w:rPr>
        <w:t>。</w:t>
      </w:r>
      <w:r>
        <w:rPr>
          <w:rFonts w:ascii="仿宋_GB2312" w:hAnsi="宋体" w:eastAsia="仿宋_GB2312"/>
          <w:sz w:val="32"/>
          <w:szCs w:val="32"/>
          <w:lang w:val="zh-CN"/>
        </w:rPr>
        <w:t xml:space="preserve"> </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3、施工过程。设立了公示牌，公示工程改造项目、改造内容、工程造价、工程工期、施工单位、监理单位及相关负责人的电话，方便群众对老旧小区改造工程进行监督。</w:t>
      </w:r>
      <w:r>
        <w:rPr>
          <w:rFonts w:ascii="仿宋_GB2312" w:hAnsi="宋体" w:eastAsia="仿宋_GB2312"/>
          <w:sz w:val="32"/>
          <w:szCs w:val="32"/>
          <w:lang w:val="zh-CN"/>
        </w:rPr>
        <w:t xml:space="preserve"> </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4、工程验收环节。需经专业部门、办事处社区、业主共同认可方可通过。</w:t>
      </w:r>
      <w:r>
        <w:rPr>
          <w:rFonts w:ascii="仿宋_GB2312" w:hAnsi="宋体" w:eastAsia="仿宋_GB2312"/>
          <w:sz w:val="32"/>
          <w:szCs w:val="32"/>
          <w:lang w:val="zh-CN"/>
        </w:rPr>
        <w:t xml:space="preserve"> </w:t>
      </w:r>
    </w:p>
    <w:p>
      <w:pPr>
        <w:adjustRightInd w:val="0"/>
        <w:snapToGrid w:val="0"/>
        <w:spacing w:line="64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40" w:lineRule="exact"/>
        <w:ind w:firstLine="720"/>
        <w:rPr>
          <w:rFonts w:ascii="仿宋_GB2312" w:hAnsi="宋体" w:eastAsia="仿宋_GB2312"/>
          <w:sz w:val="32"/>
          <w:szCs w:val="32"/>
          <w:lang w:val="zh-CN"/>
        </w:rPr>
      </w:pPr>
      <w:r>
        <w:rPr>
          <w:rFonts w:hint="eastAsia" w:ascii="仿宋" w:hAnsi="仿宋" w:eastAsia="仿宋"/>
          <w:sz w:val="32"/>
          <w:szCs w:val="32"/>
          <w:lang w:val="zh-CN"/>
        </w:rPr>
        <w:t>项目严格按图施工，按相关规范和质量标准施工，</w:t>
      </w:r>
      <w:r>
        <w:rPr>
          <w:rFonts w:hint="eastAsia" w:ascii="仿宋_GB2312" w:hAnsi="宋体" w:eastAsia="仿宋_GB2312"/>
          <w:sz w:val="32"/>
          <w:szCs w:val="32"/>
          <w:lang w:val="zh-CN"/>
        </w:rPr>
        <w:t>现已完工，正在办理竣工结（决）算审计。</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40" w:lineRule="exact"/>
        <w:ind w:firstLine="720"/>
        <w:rPr>
          <w:rFonts w:ascii="仿宋_GB2312" w:hAnsi="黑体" w:eastAsia="仿宋_GB2312" w:cs="黑体"/>
          <w:sz w:val="32"/>
          <w:szCs w:val="32"/>
        </w:rPr>
      </w:pPr>
      <w:r>
        <w:rPr>
          <w:rFonts w:hint="eastAsia" w:ascii="仿宋_GB2312" w:hAnsi="黑体" w:eastAsia="仿宋_GB2312" w:cs="黑体"/>
          <w:sz w:val="32"/>
          <w:szCs w:val="32"/>
        </w:rPr>
        <w:t>通过对绵竹市老旧小区（蜀龙小区）进行改造，将进一步完善小区配套基础设施和公共服务设施，解决老旧小区市政设施老化，排水防涝、排污不畅现象；修整、翻建小区道路；优化绿化布局，有效改善小区居民居住条件，提高居民的生活质量、消除老旧隐患、创造优美环境、完善小区功能，提升城市文明管理水平，增强小区居民获得感、幸福感和安全感，加快建设生态文明城市的步伐和实现</w:t>
      </w:r>
      <w:r>
        <w:rPr>
          <w:rFonts w:hint="eastAsia" w:ascii="仿宋_GB2312" w:hAnsi="黑体" w:eastAsia="仿宋_GB2312" w:cs="黑体"/>
          <w:sz w:val="32"/>
          <w:szCs w:val="32"/>
          <w:lang w:eastAsia="zh-CN"/>
        </w:rPr>
        <w:t>全面建成小康社会</w:t>
      </w:r>
      <w:r>
        <w:rPr>
          <w:rFonts w:hint="eastAsia" w:ascii="仿宋_GB2312" w:hAnsi="黑体" w:eastAsia="仿宋_GB2312" w:cs="黑体"/>
          <w:sz w:val="32"/>
          <w:szCs w:val="32"/>
        </w:rPr>
        <w:t>的宏伟目标，</w:t>
      </w:r>
      <w:r>
        <w:rPr>
          <w:rFonts w:ascii="仿宋_GB2312" w:hAnsi="黑体" w:eastAsia="仿宋_GB2312" w:cs="黑体"/>
          <w:sz w:val="32"/>
          <w:szCs w:val="32"/>
        </w:rPr>
        <w:t>达到给人们带来美好生活环境的最终目的</w:t>
      </w:r>
      <w:r>
        <w:rPr>
          <w:rFonts w:hint="eastAsia" w:ascii="仿宋_GB2312" w:hAnsi="黑体" w:eastAsia="仿宋_GB2312" w:cs="黑体"/>
          <w:sz w:val="32"/>
          <w:szCs w:val="32"/>
        </w:rPr>
        <w:t>，具有较好的社会效益。</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五、问题及建议</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4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项目实际完成率、完成及时率均达到或超过绩效目标，质量达标率良好，产出成本可控，管理工作规范，社会效益良好，项目可持续性强，服务对象总体较满意。评定级别为“优”。</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rPr>
        <w:t>一是群众工作协调难度大。老旧小区改造项目涉及人员较广，意见很难统一，而且老旧小区居民大多数是老年人，思想工作难度较大，协调工作非常难。二是长效管理养护难。由于老旧小区往往存在无物业管理、无维修管养经费的问题，老旧小区居民自治意识淡薄，消费观念参差不齐，造成居民自治管理难，同时物业服务企业出于老旧小区物业服务费收费难、收费标准低、维护成本高等顾虑，不愿进驻小区实施管理，造成老旧小区</w:t>
      </w:r>
      <w:r>
        <w:rPr>
          <w:rFonts w:hint="eastAsia" w:ascii="仿宋_GB2312" w:hAnsi="宋体" w:eastAsia="仿宋_GB2312"/>
          <w:sz w:val="32"/>
          <w:szCs w:val="32"/>
          <w:lang w:eastAsia="zh-CN"/>
        </w:rPr>
        <w:t>改造</w:t>
      </w:r>
      <w:r>
        <w:rPr>
          <w:rFonts w:hint="eastAsia" w:ascii="仿宋_GB2312" w:hAnsi="宋体" w:eastAsia="仿宋_GB2312"/>
          <w:sz w:val="32"/>
          <w:szCs w:val="32"/>
        </w:rPr>
        <w:t>后反弹较大，成果难以长期保持。</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rPr>
        <w:t>无</w:t>
      </w: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tbl>
      <w:tblPr>
        <w:tblStyle w:val="13"/>
        <w:tblW w:w="9060" w:type="dxa"/>
        <w:jc w:val="center"/>
        <w:tblLayout w:type="autofit"/>
        <w:tblCellMar>
          <w:top w:w="0" w:type="dxa"/>
          <w:left w:w="108" w:type="dxa"/>
          <w:bottom w:w="0" w:type="dxa"/>
          <w:right w:w="108" w:type="dxa"/>
        </w:tblCellMar>
      </w:tblPr>
      <w:tblGrid>
        <w:gridCol w:w="1080"/>
        <w:gridCol w:w="960"/>
        <w:gridCol w:w="1380"/>
        <w:gridCol w:w="1080"/>
        <w:gridCol w:w="720"/>
        <w:gridCol w:w="1840"/>
        <w:gridCol w:w="2000"/>
      </w:tblGrid>
      <w:tr>
        <w:tblPrEx>
          <w:tblCellMar>
            <w:top w:w="0" w:type="dxa"/>
            <w:left w:w="108" w:type="dxa"/>
            <w:bottom w:w="0" w:type="dxa"/>
            <w:right w:w="108" w:type="dxa"/>
          </w:tblCellMar>
        </w:tblPrEx>
        <w:trPr>
          <w:trHeight w:val="405" w:hRule="atLeast"/>
          <w:jc w:val="center"/>
        </w:trPr>
        <w:tc>
          <w:tcPr>
            <w:tcW w:w="906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06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（2021年度）</w:t>
            </w:r>
          </w:p>
        </w:tc>
      </w:tr>
      <w:tr>
        <w:tblPrEx>
          <w:tblCellMar>
            <w:top w:w="0" w:type="dxa"/>
            <w:left w:w="108" w:type="dxa"/>
            <w:bottom w:w="0" w:type="dxa"/>
            <w:right w:w="108" w:type="dxa"/>
          </w:tblCellMar>
        </w:tblPrEx>
        <w:trPr>
          <w:trHeight w:val="270" w:hRule="atLeast"/>
          <w:jc w:val="center"/>
        </w:trPr>
        <w:tc>
          <w:tcPr>
            <w:tcW w:w="108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6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38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2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184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00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4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56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绵竹市老旧小区（蜀龙小区）改造项目</w:t>
            </w:r>
          </w:p>
        </w:tc>
      </w:tr>
      <w:tr>
        <w:tblPrEx>
          <w:tblCellMar>
            <w:top w:w="0" w:type="dxa"/>
            <w:left w:w="108" w:type="dxa"/>
            <w:bottom w:w="0" w:type="dxa"/>
            <w:right w:w="108" w:type="dxa"/>
          </w:tblCellMar>
        </w:tblPrEx>
        <w:trPr>
          <w:trHeight w:val="270" w:hRule="atLeast"/>
          <w:jc w:val="center"/>
        </w:trPr>
        <w:tc>
          <w:tcPr>
            <w:tcW w:w="34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56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270"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8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21.9万元</w:t>
            </w:r>
          </w:p>
        </w:tc>
        <w:tc>
          <w:tcPr>
            <w:tcW w:w="184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21.9万元</w:t>
            </w:r>
          </w:p>
        </w:tc>
      </w:tr>
      <w:tr>
        <w:tblPrEx>
          <w:tblCellMar>
            <w:top w:w="0" w:type="dxa"/>
            <w:left w:w="108" w:type="dxa"/>
            <w:bottom w:w="0" w:type="dxa"/>
            <w:right w:w="108" w:type="dxa"/>
          </w:tblCellMar>
        </w:tblPrEx>
        <w:trPr>
          <w:trHeight w:val="57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8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21.9万元</w:t>
            </w:r>
          </w:p>
        </w:tc>
        <w:tc>
          <w:tcPr>
            <w:tcW w:w="184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21.9万元</w:t>
            </w:r>
          </w:p>
        </w:tc>
      </w:tr>
      <w:tr>
        <w:tblPrEx>
          <w:tblCellMar>
            <w:top w:w="0" w:type="dxa"/>
            <w:left w:w="108" w:type="dxa"/>
            <w:bottom w:w="0" w:type="dxa"/>
            <w:right w:w="108" w:type="dxa"/>
          </w:tblCellMar>
        </w:tblPrEx>
        <w:trPr>
          <w:trHeight w:val="435"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3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80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184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0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65" w:hRule="atLeast"/>
          <w:jc w:val="center"/>
        </w:trPr>
        <w:tc>
          <w:tcPr>
            <w:tcW w:w="108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414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3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69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414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实施老旧小区改造1个，改造户数59户。</w:t>
            </w:r>
          </w:p>
        </w:tc>
        <w:tc>
          <w:tcPr>
            <w:tcW w:w="38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实施老旧小区改造1个，改造户数59户。</w:t>
            </w:r>
          </w:p>
        </w:tc>
      </w:tr>
      <w:tr>
        <w:tblPrEx>
          <w:tblCellMar>
            <w:top w:w="0" w:type="dxa"/>
            <w:left w:w="108" w:type="dxa"/>
            <w:bottom w:w="0" w:type="dxa"/>
            <w:right w:w="108" w:type="dxa"/>
          </w:tblCellMar>
        </w:tblPrEx>
        <w:trPr>
          <w:trHeight w:val="480" w:hRule="atLeast"/>
          <w:jc w:val="center"/>
        </w:trPr>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6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36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6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3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改造小区数</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1个</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1个</w:t>
            </w:r>
          </w:p>
        </w:tc>
      </w:tr>
      <w:tr>
        <w:tblPrEx>
          <w:tblCellMar>
            <w:top w:w="0" w:type="dxa"/>
            <w:left w:w="108" w:type="dxa"/>
            <w:bottom w:w="0" w:type="dxa"/>
            <w:right w:w="108" w:type="dxa"/>
          </w:tblCellMar>
        </w:tblPrEx>
        <w:trPr>
          <w:trHeight w:val="36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改造户数</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59户</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59户</w:t>
            </w:r>
          </w:p>
        </w:tc>
      </w:tr>
      <w:tr>
        <w:tblPrEx>
          <w:tblCellMar>
            <w:top w:w="0" w:type="dxa"/>
            <w:left w:w="108" w:type="dxa"/>
            <w:bottom w:w="0" w:type="dxa"/>
            <w:right w:w="108" w:type="dxa"/>
          </w:tblCellMar>
        </w:tblPrEx>
        <w:trPr>
          <w:trHeight w:val="36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8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改造质量</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合格</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合格</w:t>
            </w:r>
          </w:p>
        </w:tc>
      </w:tr>
      <w:tr>
        <w:tblPrEx>
          <w:tblCellMar>
            <w:top w:w="0" w:type="dxa"/>
            <w:left w:w="108" w:type="dxa"/>
            <w:bottom w:w="0" w:type="dxa"/>
            <w:right w:w="108" w:type="dxa"/>
          </w:tblCellMar>
        </w:tblPrEx>
        <w:trPr>
          <w:trHeight w:val="36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8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工程事故率</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36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开工目标完成率</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36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投入资金额</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21.9万元</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21.9万元</w:t>
            </w:r>
          </w:p>
        </w:tc>
      </w:tr>
      <w:tr>
        <w:tblPrEx>
          <w:tblCellMar>
            <w:top w:w="0" w:type="dxa"/>
            <w:left w:w="108" w:type="dxa"/>
            <w:bottom w:w="0" w:type="dxa"/>
            <w:right w:w="108" w:type="dxa"/>
          </w:tblCellMar>
        </w:tblPrEx>
        <w:trPr>
          <w:trHeight w:val="60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3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改善人民生活环境，美化社区环境</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8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居民生活质量满意度</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8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群众居住条件是否改善</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8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片区居住环境改善</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达成预期目标</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达成预期目标</w:t>
            </w:r>
          </w:p>
        </w:tc>
      </w:tr>
      <w:tr>
        <w:tblPrEx>
          <w:tblCellMar>
            <w:top w:w="0" w:type="dxa"/>
            <w:left w:w="108" w:type="dxa"/>
            <w:bottom w:w="0" w:type="dxa"/>
            <w:right w:w="108" w:type="dxa"/>
          </w:tblCellMar>
        </w:tblPrEx>
        <w:trPr>
          <w:trHeight w:val="48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8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建设期间对环境影响</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660" w:hRule="atLeast"/>
          <w:jc w:val="center"/>
        </w:trPr>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38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和谐社会建设</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达成预期目标</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达成预期目标</w:t>
            </w:r>
          </w:p>
        </w:tc>
      </w:tr>
      <w:tr>
        <w:tblPrEx>
          <w:tblCellMar>
            <w:top w:w="0" w:type="dxa"/>
            <w:left w:w="108" w:type="dxa"/>
            <w:bottom w:w="0" w:type="dxa"/>
            <w:right w:w="108" w:type="dxa"/>
          </w:tblCellMar>
        </w:tblPrEx>
        <w:trPr>
          <w:trHeight w:val="660" w:hRule="atLeast"/>
          <w:jc w:val="center"/>
        </w:trPr>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6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3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80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老旧小区改造对象满意度</w:t>
            </w:r>
          </w:p>
        </w:tc>
        <w:tc>
          <w:tcPr>
            <w:tcW w:w="18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20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r>
    </w:tbl>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pStyle w:val="2"/>
        <w:spacing w:before="93"/>
        <w:rPr>
          <w:rFonts w:hAnsi="宋体" w:cs="宋体"/>
          <w:sz w:val="32"/>
          <w:szCs w:val="32"/>
          <w:shd w:val="clear" w:color="auto" w:fill="FFFFFF"/>
          <w:lang w:val="zh-CN"/>
        </w:rPr>
      </w:pPr>
    </w:p>
    <w:p>
      <w:pPr>
        <w:spacing w:line="580" w:lineRule="exact"/>
        <w:jc w:val="center"/>
        <w:rPr>
          <w:rFonts w:ascii="仿宋_GB2312" w:hAnsi="宋体" w:eastAsia="仿宋_GB2312"/>
          <w:sz w:val="32"/>
          <w:szCs w:val="32"/>
          <w:lang w:val="zh-CN"/>
        </w:rPr>
      </w:pPr>
      <w:r>
        <w:rPr>
          <w:rFonts w:hint="eastAsia" w:ascii="微软雅黑" w:hAnsi="微软雅黑" w:eastAsia="微软雅黑" w:cs="微软雅黑"/>
          <w:color w:val="000000"/>
          <w:kern w:val="0"/>
          <w:sz w:val="44"/>
          <w:szCs w:val="44"/>
          <w:lang w:val="zh-CN"/>
        </w:rPr>
        <w:t>项目支出绩效自评报告</w:t>
      </w:r>
    </w:p>
    <w:p>
      <w:pPr>
        <w:spacing w:line="560" w:lineRule="exact"/>
        <w:jc w:val="center"/>
        <w:rPr>
          <w:rFonts w:ascii="宋体" w:hAnsi="宋体"/>
          <w:sz w:val="32"/>
          <w:szCs w:val="32"/>
          <w:lang w:val="zh-CN"/>
        </w:rPr>
      </w:pPr>
      <w:r>
        <w:rPr>
          <w:rFonts w:hint="eastAsia" w:ascii="仿宋_GB2312" w:hAnsi="宋体"/>
          <w:color w:val="000000"/>
          <w:kern w:val="0"/>
          <w:sz w:val="28"/>
          <w:szCs w:val="21"/>
          <w:lang w:val="zh-CN"/>
        </w:rPr>
        <w:t>（绵竹市老旧小区（仁泽片区）配套基础设施改造项目）</w:t>
      </w:r>
    </w:p>
    <w:p>
      <w:pPr>
        <w:adjustRightInd w:val="0"/>
        <w:snapToGrid w:val="0"/>
        <w:spacing w:line="560" w:lineRule="exact"/>
        <w:ind w:firstLine="720"/>
        <w:rPr>
          <w:rFonts w:ascii="黑体" w:hAnsi="宋体" w:eastAsia="黑体"/>
          <w:sz w:val="32"/>
          <w:szCs w:val="32"/>
        </w:rPr>
      </w:pPr>
    </w:p>
    <w:p>
      <w:pPr>
        <w:adjustRightInd w:val="0"/>
        <w:snapToGrid w:val="0"/>
        <w:spacing w:line="640" w:lineRule="exact"/>
        <w:ind w:firstLine="720"/>
        <w:rPr>
          <w:rFonts w:ascii="黑体" w:hAnsi="宋体" w:eastAsia="黑体"/>
          <w:sz w:val="32"/>
          <w:szCs w:val="32"/>
          <w:lang w:val="zh-CN"/>
        </w:rPr>
      </w:pPr>
      <w:r>
        <w:rPr>
          <w:rFonts w:hint="eastAsia" w:ascii="黑体" w:hAnsi="宋体" w:eastAsia="黑体"/>
          <w:sz w:val="32"/>
          <w:szCs w:val="32"/>
        </w:rPr>
        <w:t>一、</w:t>
      </w:r>
      <w:r>
        <w:rPr>
          <w:rFonts w:hint="eastAsia" w:ascii="黑体" w:hAnsi="宋体" w:eastAsia="黑体"/>
          <w:sz w:val="32"/>
          <w:szCs w:val="32"/>
          <w:lang w:val="zh-CN"/>
        </w:rPr>
        <w:t>项目概况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（一）项目基本情况。</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1．项目业主：绵竹市城镇住房保障管理所。</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2．建设地址：绵竹市剑南街道仁泽街2号、滨河西路三段64号。</w:t>
      </w:r>
    </w:p>
    <w:p>
      <w:pPr>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3.建设内容及规模：改造仁泽片区道路，供排水管道，供电、供气、绿化，路灯、安防及其他配套设施设备。</w:t>
      </w:r>
    </w:p>
    <w:p>
      <w:pPr>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4．资金来源：中央预算内资金</w:t>
      </w:r>
      <w:r>
        <w:rPr>
          <w:rFonts w:hint="eastAsia" w:ascii="仿宋_GB2312" w:hAnsi="宋体" w:eastAsia="仿宋_GB2312"/>
          <w:sz w:val="32"/>
          <w:szCs w:val="32"/>
        </w:rPr>
        <w:t>2280</w:t>
      </w:r>
      <w:r>
        <w:rPr>
          <w:rFonts w:hint="eastAsia" w:ascii="仿宋_GB2312" w:hAnsi="宋体" w:eastAsia="仿宋_GB2312"/>
          <w:sz w:val="32"/>
          <w:szCs w:val="32"/>
          <w:lang w:val="zh-CN"/>
        </w:rPr>
        <w:t>万元、省级财政城镇保障性安居工程专项补助资金111万元和本级财政资金</w:t>
      </w:r>
      <w:r>
        <w:rPr>
          <w:rFonts w:hint="eastAsia" w:ascii="仿宋_GB2312" w:hAnsi="宋体" w:eastAsia="仿宋_GB2312"/>
          <w:sz w:val="32"/>
          <w:szCs w:val="32"/>
        </w:rPr>
        <w:t>2179.24</w:t>
      </w:r>
      <w:r>
        <w:rPr>
          <w:rFonts w:hint="eastAsia" w:ascii="仿宋_GB2312" w:hAnsi="宋体" w:eastAsia="仿宋_GB2312"/>
          <w:sz w:val="32"/>
          <w:szCs w:val="32"/>
          <w:lang w:val="zh-CN"/>
        </w:rPr>
        <w:t>万元。</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（二）项目绩效目标。</w:t>
      </w:r>
    </w:p>
    <w:p>
      <w:pPr>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1、</w:t>
      </w:r>
      <w:r>
        <w:rPr>
          <w:rFonts w:hint="eastAsia" w:ascii="仿宋_GB2312" w:hAnsi="宋体" w:eastAsia="仿宋_GB2312"/>
          <w:sz w:val="32"/>
          <w:szCs w:val="32"/>
          <w:lang w:val="zh-CN"/>
        </w:rPr>
        <w:t>项目主要内容：改造仁泽片区道路，供排水管道，供电、供气、绿化，路灯、安防及其他配套设施设备。</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lang w:val="zh-CN"/>
        </w:rPr>
        <w:t>2、计划实现的具体绩效目标：计划于</w:t>
      </w:r>
      <w:r>
        <w:rPr>
          <w:rFonts w:hint="eastAsia" w:ascii="仿宋_GB2312" w:hAnsi="宋体" w:eastAsia="仿宋_GB2312"/>
          <w:sz w:val="32"/>
          <w:szCs w:val="32"/>
        </w:rPr>
        <w:t>2022年底</w:t>
      </w:r>
      <w:r>
        <w:rPr>
          <w:rFonts w:hint="eastAsia" w:ascii="仿宋_GB2312" w:hAnsi="宋体" w:eastAsia="仿宋_GB2312"/>
          <w:sz w:val="32"/>
          <w:szCs w:val="32"/>
          <w:lang w:val="zh-CN"/>
        </w:rPr>
        <w:t>完成仁泽片区</w:t>
      </w:r>
      <w:r>
        <w:rPr>
          <w:rFonts w:hint="eastAsia" w:ascii="仿宋_GB2312" w:hAnsi="宋体" w:eastAsia="仿宋_GB2312"/>
          <w:sz w:val="32"/>
          <w:szCs w:val="32"/>
        </w:rPr>
        <w:t>760套老旧小区改造工作。</w:t>
      </w:r>
      <w:r>
        <w:rPr>
          <w:rFonts w:hint="eastAsia" w:ascii="仿宋_GB2312" w:hAnsi="宋体" w:eastAsia="仿宋_GB2312"/>
          <w:sz w:val="32"/>
          <w:szCs w:val="32"/>
          <w:lang w:val="zh-CN"/>
        </w:rPr>
        <w:t>通过对绵竹市仁泽片区配套基础设施进行改造，解决老旧小区市政设施老化，排水排污不畅现象；修整、翻建小区道路；优化绿化布局，有效改善小区居民居住条件，改善城区环境品质，提升城市文明管理水平，增强小区居民获得感、幸福感和安全感。</w:t>
      </w:r>
    </w:p>
    <w:p>
      <w:pPr>
        <w:adjustRightInd w:val="0"/>
        <w:snapToGrid w:val="0"/>
        <w:spacing w:line="640" w:lineRule="exact"/>
        <w:ind w:firstLine="640" w:firstLineChars="200"/>
        <w:rPr>
          <w:rFonts w:ascii="仿宋_GB2312" w:hAnsi="宋体" w:eastAsia="仿宋_GB2312"/>
          <w:sz w:val="32"/>
          <w:szCs w:val="32"/>
          <w:lang w:val="zh-CN"/>
        </w:rPr>
      </w:pPr>
      <w:r>
        <w:rPr>
          <w:rFonts w:hint="eastAsia" w:ascii="仿宋_GB2312" w:hAnsi="宋体" w:eastAsia="仿宋_GB2312"/>
          <w:sz w:val="32"/>
          <w:szCs w:val="32"/>
        </w:rPr>
        <w:t>3、</w:t>
      </w:r>
      <w:r>
        <w:rPr>
          <w:rFonts w:hint="eastAsia" w:ascii="仿宋_GB2312" w:hAnsi="宋体" w:eastAsia="仿宋_GB2312"/>
          <w:sz w:val="32"/>
          <w:szCs w:val="32"/>
          <w:lang w:val="zh-CN"/>
        </w:rPr>
        <w:t>项目申报内容与具体实施内容相符、申报目标合理可行。</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（三）项目自评步骤及方法。</w:t>
      </w:r>
    </w:p>
    <w:p>
      <w:pPr>
        <w:adjustRightInd w:val="0"/>
        <w:snapToGrid w:val="0"/>
        <w:spacing w:line="640" w:lineRule="exact"/>
        <w:ind w:firstLine="720"/>
        <w:rPr>
          <w:rFonts w:ascii="仿宋" w:hAnsi="仿宋" w:eastAsia="仿宋"/>
          <w:sz w:val="32"/>
          <w:szCs w:val="32"/>
          <w:lang w:val="zh-CN"/>
        </w:rPr>
      </w:pPr>
      <w:r>
        <w:rPr>
          <w:rFonts w:hint="eastAsia" w:ascii="仿宋" w:hAnsi="仿宋" w:eastAsia="仿宋"/>
          <w:sz w:val="32"/>
          <w:szCs w:val="32"/>
          <w:lang w:val="zh-CN"/>
        </w:rPr>
        <w:t>由我局开展财政资金使用情况自评并撰写部门预算支出绩效报告，按规范格式按时提交自评报告。</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二、项目资金申报及使用情况</w:t>
      </w:r>
    </w:p>
    <w:p>
      <w:pPr>
        <w:adjustRightInd w:val="0"/>
        <w:snapToGrid w:val="0"/>
        <w:spacing w:line="64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ab/>
      </w:r>
      <w:r>
        <w:rPr>
          <w:rFonts w:hint="eastAsia" w:ascii="楷体_GB2312" w:hAnsi="宋体" w:eastAsia="楷体_GB2312"/>
          <w:b/>
          <w:sz w:val="32"/>
          <w:szCs w:val="32"/>
          <w:lang w:val="zh-CN"/>
        </w:rPr>
        <w:t>（一）项目资金申报及批复情况。</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绵竹市老旧小区（仁泽片区）配套基础设施改造项目经市发展和改革局竹发改建（2020）98号批准立项，</w:t>
      </w:r>
      <w:r>
        <w:rPr>
          <w:rFonts w:hint="eastAsia" w:ascii="仿宋" w:hAnsi="仿宋" w:eastAsia="仿宋"/>
          <w:sz w:val="32"/>
          <w:szCs w:val="32"/>
          <w:lang w:val="zh-CN"/>
        </w:rPr>
        <w:t>经市发改局《关于绵竹市老旧小区（仁泽片区）配套基础设施改造项目（一期）投资概算的批复》（竹发改审〔2021〕56号）批复概算金额为</w:t>
      </w:r>
      <w:r>
        <w:rPr>
          <w:rFonts w:hint="eastAsia" w:ascii="仿宋" w:hAnsi="仿宋" w:eastAsia="仿宋"/>
          <w:sz w:val="32"/>
          <w:szCs w:val="32"/>
        </w:rPr>
        <w:t>1216.47</w:t>
      </w:r>
      <w:r>
        <w:rPr>
          <w:rFonts w:hint="eastAsia" w:ascii="仿宋" w:hAnsi="仿宋" w:eastAsia="仿宋"/>
          <w:sz w:val="32"/>
          <w:szCs w:val="32"/>
          <w:lang w:val="zh-CN"/>
        </w:rPr>
        <w:t>万元、《关于绵竹市老旧小区（仁泽片区）配套基础设施改造项目（二期）投资概算的批复》（竹发改审〔2022〕1号）批复概算金额为</w:t>
      </w:r>
      <w:r>
        <w:rPr>
          <w:rFonts w:hint="eastAsia" w:ascii="仿宋" w:hAnsi="仿宋" w:eastAsia="仿宋"/>
          <w:sz w:val="32"/>
          <w:szCs w:val="32"/>
        </w:rPr>
        <w:t>3243.1</w:t>
      </w:r>
      <w:r>
        <w:rPr>
          <w:rFonts w:hint="eastAsia" w:ascii="仿宋" w:hAnsi="仿宋" w:eastAsia="仿宋"/>
          <w:sz w:val="32"/>
          <w:szCs w:val="32"/>
          <w:lang w:val="zh-CN"/>
        </w:rPr>
        <w:t>万元，资金来源为</w:t>
      </w:r>
      <w:r>
        <w:rPr>
          <w:rFonts w:hint="eastAsia" w:ascii="仿宋_GB2312" w:hAnsi="宋体" w:eastAsia="仿宋_GB2312"/>
          <w:sz w:val="32"/>
          <w:szCs w:val="32"/>
          <w:lang w:val="zh-CN"/>
        </w:rPr>
        <w:t>财政资金。</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（二）资金计划、到位及使用情况。</w:t>
      </w:r>
    </w:p>
    <w:p>
      <w:pPr>
        <w:adjustRightInd w:val="0"/>
        <w:snapToGrid w:val="0"/>
        <w:spacing w:line="64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1．资金计划及到位。</w:t>
      </w:r>
    </w:p>
    <w:p>
      <w:pPr>
        <w:adjustRightInd w:val="0"/>
        <w:snapToGrid w:val="0"/>
        <w:spacing w:line="640" w:lineRule="exact"/>
        <w:ind w:firstLine="720"/>
        <w:rPr>
          <w:rFonts w:ascii="宋体" w:hAnsi="宋体" w:eastAsia="仿宋_GB2312" w:cs="宋体"/>
          <w:kern w:val="0"/>
          <w:sz w:val="32"/>
          <w:szCs w:val="21"/>
        </w:rPr>
      </w:pPr>
      <w:r>
        <w:rPr>
          <w:rFonts w:hint="eastAsia" w:ascii="宋体" w:hAnsi="宋体" w:eastAsia="仿宋_GB2312" w:cs="宋体"/>
          <w:kern w:val="0"/>
          <w:sz w:val="32"/>
          <w:szCs w:val="21"/>
        </w:rPr>
        <w:t>该项目实际到位资金276.609002万元。各项资金按时到位，到位率100%。</w:t>
      </w:r>
    </w:p>
    <w:p>
      <w:pPr>
        <w:adjustRightInd w:val="0"/>
        <w:snapToGrid w:val="0"/>
        <w:spacing w:line="640" w:lineRule="exact"/>
        <w:ind w:firstLine="720"/>
        <w:rPr>
          <w:rFonts w:ascii="楷体_GB2312" w:hAnsi="宋体" w:eastAsia="楷体_GB2312"/>
          <w:sz w:val="32"/>
          <w:szCs w:val="32"/>
          <w:lang w:val="zh-CN"/>
        </w:rPr>
      </w:pPr>
      <w:r>
        <w:rPr>
          <w:rFonts w:hint="eastAsia" w:ascii="楷体_GB2312" w:hAnsi="宋体" w:eastAsia="楷体_GB2312"/>
          <w:sz w:val="32"/>
          <w:szCs w:val="32"/>
          <w:lang w:val="zh-CN"/>
        </w:rPr>
        <w:t>2．资金使用。</w:t>
      </w:r>
    </w:p>
    <w:p>
      <w:pPr>
        <w:adjustRightInd w:val="0"/>
        <w:snapToGrid w:val="0"/>
        <w:spacing w:line="640" w:lineRule="exact"/>
        <w:ind w:firstLine="720"/>
        <w:rPr>
          <w:rFonts w:ascii="宋体" w:hAnsi="宋体" w:eastAsia="仿宋_GB2312" w:cs="宋体"/>
          <w:kern w:val="0"/>
          <w:sz w:val="32"/>
          <w:szCs w:val="21"/>
          <w:lang w:val="zh-CN"/>
        </w:rPr>
      </w:pPr>
      <w:r>
        <w:rPr>
          <w:rFonts w:hint="eastAsia" w:ascii="宋体" w:hAnsi="宋体" w:eastAsia="仿宋_GB2312" w:cs="宋体"/>
          <w:kern w:val="0"/>
          <w:sz w:val="32"/>
          <w:szCs w:val="21"/>
          <w:lang w:val="zh-CN"/>
        </w:rPr>
        <w:t>项目202</w:t>
      </w:r>
      <w:r>
        <w:rPr>
          <w:rFonts w:hint="eastAsia" w:ascii="宋体" w:hAnsi="宋体" w:eastAsia="仿宋_GB2312" w:cs="宋体"/>
          <w:kern w:val="0"/>
          <w:sz w:val="32"/>
          <w:szCs w:val="21"/>
        </w:rPr>
        <w:t>1</w:t>
      </w:r>
      <w:r>
        <w:rPr>
          <w:rFonts w:hint="eastAsia" w:ascii="宋体" w:hAnsi="宋体" w:eastAsia="仿宋_GB2312" w:cs="宋体"/>
          <w:kern w:val="0"/>
          <w:sz w:val="32"/>
          <w:szCs w:val="21"/>
          <w:lang w:val="zh-CN"/>
        </w:rPr>
        <w:t>年完成支付</w:t>
      </w:r>
      <w:r>
        <w:rPr>
          <w:rFonts w:hint="eastAsia" w:ascii="宋体" w:hAnsi="宋体" w:eastAsia="仿宋_GB2312" w:cs="宋体"/>
          <w:kern w:val="0"/>
          <w:sz w:val="32"/>
          <w:szCs w:val="21"/>
        </w:rPr>
        <w:t>276.609002</w:t>
      </w:r>
      <w:r>
        <w:rPr>
          <w:rFonts w:hint="eastAsia" w:ascii="宋体" w:hAnsi="宋体" w:eastAsia="仿宋_GB2312" w:cs="宋体"/>
          <w:kern w:val="0"/>
          <w:sz w:val="32"/>
          <w:szCs w:val="21"/>
          <w:lang w:val="zh-CN"/>
        </w:rPr>
        <w:t>万元。工程严格按合同约定支付，支付进度</w:t>
      </w:r>
      <w:r>
        <w:rPr>
          <w:rFonts w:hint="eastAsia" w:ascii="宋体" w:hAnsi="宋体" w:eastAsia="仿宋_GB2312" w:cs="宋体"/>
          <w:kern w:val="0"/>
          <w:sz w:val="32"/>
          <w:szCs w:val="21"/>
        </w:rPr>
        <w:t>30</w:t>
      </w:r>
      <w:r>
        <w:rPr>
          <w:rFonts w:hint="eastAsia" w:ascii="宋体" w:hAnsi="宋体" w:eastAsia="仿宋_GB2312" w:cs="宋体"/>
          <w:kern w:val="0"/>
          <w:sz w:val="32"/>
          <w:szCs w:val="21"/>
          <w:lang w:val="zh-CN"/>
        </w:rPr>
        <w:t>%，支付依据合规合法。由于该项目还未竣工，还需支付剩余工程费及部分待摊尾款，202</w:t>
      </w:r>
      <w:r>
        <w:rPr>
          <w:rFonts w:hint="eastAsia" w:ascii="宋体" w:hAnsi="宋体" w:eastAsia="仿宋_GB2312" w:cs="宋体"/>
          <w:kern w:val="0"/>
          <w:sz w:val="32"/>
          <w:szCs w:val="21"/>
        </w:rPr>
        <w:t>2</w:t>
      </w:r>
      <w:r>
        <w:rPr>
          <w:rFonts w:hint="eastAsia" w:ascii="宋体" w:hAnsi="宋体" w:eastAsia="仿宋_GB2312" w:cs="宋体"/>
          <w:kern w:val="0"/>
          <w:sz w:val="32"/>
          <w:szCs w:val="21"/>
          <w:lang w:val="zh-CN"/>
        </w:rPr>
        <w:t>年根据工程进展情况安排所需资金。</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（三）项目财务管理情况。</w:t>
      </w:r>
    </w:p>
    <w:p>
      <w:pPr>
        <w:adjustRightInd w:val="0"/>
        <w:snapToGrid w:val="0"/>
        <w:spacing w:line="640" w:lineRule="exact"/>
        <w:ind w:firstLine="720"/>
        <w:rPr>
          <w:rFonts w:ascii="仿宋" w:hAnsi="仿宋" w:eastAsia="仿宋"/>
          <w:sz w:val="32"/>
          <w:szCs w:val="32"/>
          <w:lang w:val="zh-CN"/>
        </w:rPr>
      </w:pPr>
      <w:r>
        <w:rPr>
          <w:rFonts w:hint="eastAsia" w:ascii="仿宋_GB2312" w:hAnsi="宋体" w:eastAsia="仿宋_GB2312"/>
          <w:sz w:val="32"/>
          <w:szCs w:val="32"/>
          <w:lang w:val="zh-CN"/>
        </w:rPr>
        <w:t>项目实施单位财务管理制度健全，严格执行财务管理制度，</w:t>
      </w:r>
      <w:r>
        <w:rPr>
          <w:rFonts w:hint="eastAsia" w:ascii="仿宋" w:hAnsi="仿宋" w:eastAsia="仿宋"/>
          <w:sz w:val="32"/>
          <w:szCs w:val="32"/>
          <w:lang w:val="zh-CN"/>
        </w:rPr>
        <w:t>实行分账核算、专款专用，项目实际支出符合财务制度与财政专项资金管理办法，资金使用按预算审核范围标准支付，资金拨付有完整的审批程序和拨付凭证，财务制度得到有效执行，未发现有挪用或者违规使用资金的现象。</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三、项目实施及管理情况</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（一）项目组织架构及实施流程。</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一是加强组织领导。成立了老旧小区改造工作领导小组，指导、协调全市老旧小区改造工作，明确工作职责，掌握基本情况。二是</w:t>
      </w:r>
      <w:r>
        <w:rPr>
          <w:rFonts w:hint="eastAsia" w:ascii="仿宋" w:hAnsi="仿宋" w:eastAsia="仿宋"/>
          <w:sz w:val="32"/>
          <w:szCs w:val="32"/>
          <w:lang w:val="zh-CN"/>
        </w:rPr>
        <w:t>项目按建设工程基本程序实施，职能主管部门的审批完成后，执行了招投标制、合同制、监理制、项目法人责任制等规定的手续和流程。手续完备、流程合法合规。</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（二）项目管理情况。</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严格规范立项报批、招投标、工程监理等工作程序，确保改造过程依法依规，自觉接受社会监督。</w:t>
      </w:r>
      <w:r>
        <w:rPr>
          <w:rFonts w:ascii="仿宋_GB2312" w:hAnsi="宋体" w:eastAsia="仿宋_GB2312"/>
          <w:sz w:val="32"/>
          <w:szCs w:val="32"/>
          <w:lang w:val="zh-CN"/>
        </w:rPr>
        <w:t xml:space="preserve"> </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1、小区改造立项工作。由发改部门负责，严格立项报批手续。</w:t>
      </w:r>
      <w:r>
        <w:rPr>
          <w:rFonts w:ascii="仿宋_GB2312" w:hAnsi="宋体" w:eastAsia="仿宋_GB2312"/>
          <w:sz w:val="32"/>
          <w:szCs w:val="32"/>
          <w:lang w:val="zh-CN"/>
        </w:rPr>
        <w:t xml:space="preserve"> </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2、工程招投标工作。</w:t>
      </w:r>
      <w:r>
        <w:rPr>
          <w:rFonts w:hint="eastAsia" w:ascii="仿宋" w:hAnsi="仿宋" w:eastAsia="仿宋"/>
          <w:color w:val="000000"/>
          <w:sz w:val="32"/>
          <w:szCs w:val="32"/>
          <w:lang w:val="zh-CN"/>
        </w:rPr>
        <w:t>按照市发改局招标核准的要求，项目实行了公开招投标</w:t>
      </w:r>
      <w:r>
        <w:rPr>
          <w:rFonts w:hint="eastAsia" w:ascii="仿宋_GB2312" w:hAnsi="宋体" w:eastAsia="仿宋_GB2312"/>
          <w:sz w:val="32"/>
          <w:szCs w:val="32"/>
          <w:lang w:val="zh-CN"/>
        </w:rPr>
        <w:t>。</w:t>
      </w:r>
      <w:r>
        <w:rPr>
          <w:rFonts w:ascii="仿宋_GB2312" w:hAnsi="宋体" w:eastAsia="仿宋_GB2312"/>
          <w:sz w:val="32"/>
          <w:szCs w:val="32"/>
          <w:lang w:val="zh-CN"/>
        </w:rPr>
        <w:t xml:space="preserve"> </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3、施工过程。设立了公示牌，公示工程改造项目、改造内容、工程造价、工程工期、施工单位、监理单位及相关负责人的电话，方便群众对老旧小区改造工程进行监督。</w:t>
      </w:r>
      <w:r>
        <w:rPr>
          <w:rFonts w:ascii="仿宋_GB2312" w:hAnsi="宋体" w:eastAsia="仿宋_GB2312"/>
          <w:sz w:val="32"/>
          <w:szCs w:val="32"/>
          <w:lang w:val="zh-CN"/>
        </w:rPr>
        <w:t xml:space="preserve"> </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lang w:val="zh-CN"/>
        </w:rPr>
        <w:t>4、工程验收环节。需经专业部门、办事处社区、业主共同认可方可通过。</w:t>
      </w:r>
      <w:r>
        <w:rPr>
          <w:rFonts w:ascii="仿宋_GB2312" w:hAnsi="宋体" w:eastAsia="仿宋_GB2312"/>
          <w:sz w:val="32"/>
          <w:szCs w:val="32"/>
          <w:lang w:val="zh-CN"/>
        </w:rPr>
        <w:t xml:space="preserve"> </w:t>
      </w:r>
    </w:p>
    <w:p>
      <w:pPr>
        <w:adjustRightInd w:val="0"/>
        <w:snapToGrid w:val="0"/>
        <w:spacing w:line="640" w:lineRule="exact"/>
        <w:ind w:firstLine="720"/>
        <w:rPr>
          <w:rFonts w:ascii="仿宋_GB2312" w:hAnsi="宋体" w:eastAsia="仿宋_GB2312"/>
          <w:sz w:val="32"/>
          <w:szCs w:val="32"/>
          <w:lang w:val="zh-CN"/>
        </w:rPr>
      </w:pPr>
      <w:r>
        <w:rPr>
          <w:rFonts w:hint="eastAsia" w:ascii="黑体" w:hAnsi="宋体" w:eastAsia="黑体"/>
          <w:sz w:val="32"/>
          <w:szCs w:val="32"/>
        </w:rPr>
        <w:t>三、项目绩效情况</w:t>
      </w:r>
      <w:r>
        <w:rPr>
          <w:rFonts w:hint="eastAsia" w:ascii="仿宋_GB2312" w:hAnsi="宋体" w:eastAsia="仿宋_GB2312"/>
          <w:sz w:val="32"/>
          <w:szCs w:val="32"/>
          <w:lang w:val="zh-CN"/>
        </w:rPr>
        <w:tab/>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（一）项目完成情况。</w:t>
      </w:r>
    </w:p>
    <w:p>
      <w:pPr>
        <w:adjustRightInd w:val="0"/>
        <w:snapToGrid w:val="0"/>
        <w:spacing w:line="640" w:lineRule="exact"/>
        <w:ind w:firstLine="720"/>
        <w:rPr>
          <w:rFonts w:ascii="仿宋_GB2312" w:hAnsi="宋体" w:eastAsia="仿宋_GB2312"/>
          <w:sz w:val="32"/>
          <w:szCs w:val="32"/>
          <w:lang w:val="zh-CN"/>
        </w:rPr>
      </w:pPr>
      <w:r>
        <w:rPr>
          <w:rFonts w:hint="eastAsia" w:ascii="仿宋" w:hAnsi="仿宋" w:eastAsia="仿宋"/>
          <w:sz w:val="32"/>
          <w:szCs w:val="32"/>
          <w:lang w:val="zh-CN"/>
        </w:rPr>
        <w:t>项目严格按图施工，按相关规范和质量标准施工，</w:t>
      </w:r>
      <w:r>
        <w:rPr>
          <w:rFonts w:hint="eastAsia" w:ascii="仿宋_GB2312" w:hAnsi="宋体" w:eastAsia="仿宋_GB2312"/>
          <w:sz w:val="32"/>
          <w:szCs w:val="32"/>
          <w:lang w:val="zh-CN"/>
        </w:rPr>
        <w:t>（一期）已完成工程量</w:t>
      </w:r>
      <w:r>
        <w:rPr>
          <w:rFonts w:hint="eastAsia" w:ascii="仿宋_GB2312" w:hAnsi="宋体" w:eastAsia="仿宋_GB2312"/>
          <w:sz w:val="32"/>
          <w:szCs w:val="32"/>
        </w:rPr>
        <w:t>70</w:t>
      </w:r>
      <w:r>
        <w:rPr>
          <w:rFonts w:hint="eastAsia" w:ascii="仿宋_GB2312" w:hAnsi="宋体" w:eastAsia="仿宋_GB2312"/>
          <w:sz w:val="32"/>
          <w:szCs w:val="32"/>
          <w:lang w:val="zh-CN"/>
        </w:rPr>
        <w:t>%；（二期）已完成招标工作，确定施工单位，做开工前进场准备工作。</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（二）项目效益情况。</w:t>
      </w:r>
    </w:p>
    <w:p>
      <w:pPr>
        <w:adjustRightInd w:val="0"/>
        <w:snapToGrid w:val="0"/>
        <w:spacing w:line="64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按照“美好环境与幸福生活共同缔造”理念，根据《德阳市住房和城乡建设局关于转发〈四川省住房和城乡建设厅关于做好2020年中央补助支持老旧小区改造计划项目储备工作的紧急通知〉的通知》（德建发〔2019〕290号）要求，通过对绵竹市仁泽片区配套基础设施进行改造，解决老旧小区市政设施老化，排水排污不畅现象；修整、翻建小区道路；优化绿化布局，有效改善小区居民居住条件，改善城区环境品质，提高人民群众的生活质量，提升城市文明管理水平，增强小区居民获得感、幸福感和安全感，居民对政府感到非常满意。</w:t>
      </w:r>
    </w:p>
    <w:p>
      <w:pPr>
        <w:adjustRightInd w:val="0"/>
        <w:snapToGrid w:val="0"/>
        <w:spacing w:line="640" w:lineRule="exact"/>
        <w:ind w:firstLine="720"/>
        <w:rPr>
          <w:rFonts w:ascii="黑体" w:hAnsi="宋体" w:eastAsia="黑体"/>
          <w:sz w:val="32"/>
          <w:szCs w:val="32"/>
        </w:rPr>
      </w:pPr>
      <w:r>
        <w:rPr>
          <w:rFonts w:hint="eastAsia" w:ascii="黑体" w:hAnsi="宋体" w:eastAsia="黑体"/>
          <w:sz w:val="32"/>
          <w:szCs w:val="32"/>
        </w:rPr>
        <w:t>五、问题及建议</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（一）评价结论。</w:t>
      </w:r>
    </w:p>
    <w:p>
      <w:pPr>
        <w:adjustRightInd w:val="0"/>
        <w:snapToGrid w:val="0"/>
        <w:spacing w:line="640" w:lineRule="exact"/>
        <w:ind w:firstLine="720"/>
        <w:rPr>
          <w:rFonts w:ascii="楷体_GB2312" w:hAnsi="宋体" w:eastAsia="楷体_GB2312"/>
          <w:b/>
          <w:sz w:val="32"/>
          <w:szCs w:val="32"/>
          <w:lang w:val="zh-CN"/>
        </w:rPr>
      </w:pPr>
      <w:r>
        <w:rPr>
          <w:rFonts w:hint="eastAsia" w:ascii="仿宋_GB2312" w:hAnsi="宋体" w:eastAsia="仿宋_GB2312"/>
          <w:sz w:val="32"/>
          <w:szCs w:val="32"/>
          <w:lang w:val="zh-CN"/>
        </w:rPr>
        <w:t>项目实际完成率、完成及时率均达到或超过绩效目标，质量达标率良好，产出成本可控，管理工作规范，社会效益良好，项目可持续性强，服务对象总体较满意。评定级别为“优”。</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（二）存在的问题。</w:t>
      </w:r>
    </w:p>
    <w:p>
      <w:pPr>
        <w:adjustRightInd w:val="0"/>
        <w:snapToGrid w:val="0"/>
        <w:spacing w:line="640" w:lineRule="exact"/>
        <w:ind w:firstLine="720"/>
        <w:rPr>
          <w:rFonts w:ascii="仿宋_GB2312" w:hAnsi="宋体" w:eastAsia="仿宋_GB2312"/>
          <w:sz w:val="32"/>
          <w:szCs w:val="32"/>
        </w:rPr>
      </w:pPr>
      <w:r>
        <w:rPr>
          <w:rFonts w:hint="eastAsia" w:ascii="仿宋_GB2312" w:hAnsi="宋体" w:eastAsia="仿宋_GB2312"/>
          <w:sz w:val="32"/>
          <w:szCs w:val="32"/>
        </w:rPr>
        <w:t>一是群众工作协调难度大。老旧小区改造项目涉及人员较广，意见很难统一，而且老旧小区居民大多数是老年人，思想工作难度较大，协调工作非常难。二是长效管理养护难。由于老旧小区往往存在无物业管理、无维修管养经费的问题，老旧小区居民自治意识淡薄，消费观念参差不齐，造成居民自治管理难，同时物业服务企业出于老旧小区物业服务费收费难、收费标准低、维护成本高等顾虑，不愿进驻小区实施管理，造成老旧小区</w:t>
      </w:r>
      <w:r>
        <w:rPr>
          <w:rFonts w:hint="eastAsia" w:ascii="仿宋_GB2312" w:hAnsi="宋体" w:eastAsia="仿宋_GB2312"/>
          <w:sz w:val="32"/>
          <w:szCs w:val="32"/>
          <w:lang w:eastAsia="zh-CN"/>
        </w:rPr>
        <w:t>改造</w:t>
      </w:r>
      <w:r>
        <w:rPr>
          <w:rFonts w:hint="eastAsia" w:ascii="仿宋_GB2312" w:hAnsi="宋体" w:eastAsia="仿宋_GB2312"/>
          <w:sz w:val="32"/>
          <w:szCs w:val="32"/>
        </w:rPr>
        <w:t>后反弹较大，成果难以长期保持。</w:t>
      </w:r>
    </w:p>
    <w:p>
      <w:pPr>
        <w:adjustRightInd w:val="0"/>
        <w:snapToGrid w:val="0"/>
        <w:spacing w:line="640" w:lineRule="exact"/>
        <w:ind w:firstLine="720"/>
        <w:rPr>
          <w:rFonts w:ascii="楷体_GB2312" w:hAnsi="宋体" w:eastAsia="楷体_GB2312"/>
          <w:b/>
          <w:sz w:val="32"/>
          <w:szCs w:val="32"/>
          <w:lang w:val="zh-CN"/>
        </w:rPr>
      </w:pPr>
      <w:r>
        <w:rPr>
          <w:rFonts w:hint="eastAsia" w:ascii="楷体_GB2312" w:hAnsi="宋体" w:eastAsia="楷体_GB2312"/>
          <w:b/>
          <w:sz w:val="32"/>
          <w:szCs w:val="32"/>
          <w:lang w:val="zh-CN"/>
        </w:rPr>
        <w:t>（三）相关建议。</w:t>
      </w:r>
    </w:p>
    <w:p>
      <w:pPr>
        <w:adjustRightInd w:val="0"/>
        <w:snapToGrid w:val="0"/>
        <w:spacing w:line="640" w:lineRule="exact"/>
        <w:ind w:firstLine="720"/>
        <w:rPr>
          <w:rFonts w:ascii="仿宋_GB2312" w:hAnsi="宋体" w:eastAsia="仿宋_GB2312"/>
          <w:sz w:val="32"/>
          <w:szCs w:val="32"/>
          <w:lang w:val="zh-CN"/>
        </w:rPr>
      </w:pPr>
      <w:r>
        <w:rPr>
          <w:rFonts w:hint="eastAsia" w:ascii="仿宋_GB2312" w:hAnsi="宋体" w:eastAsia="仿宋_GB2312"/>
          <w:sz w:val="32"/>
          <w:szCs w:val="32"/>
        </w:rPr>
        <w:t>无</w:t>
      </w:r>
    </w:p>
    <w:p>
      <w:pPr>
        <w:pStyle w:val="2"/>
        <w:spacing w:before="93"/>
        <w:rPr>
          <w:rFonts w:hAnsi="宋体" w:cs="宋体"/>
          <w:sz w:val="32"/>
          <w:szCs w:val="32"/>
          <w:shd w:val="clear" w:color="auto" w:fill="FFFFFF"/>
          <w:lang w:val="zh-CN"/>
        </w:rPr>
      </w:pPr>
    </w:p>
    <w:tbl>
      <w:tblPr>
        <w:tblStyle w:val="13"/>
        <w:tblW w:w="9080" w:type="dxa"/>
        <w:jc w:val="center"/>
        <w:tblLayout w:type="autofit"/>
        <w:tblCellMar>
          <w:top w:w="0" w:type="dxa"/>
          <w:left w:w="108" w:type="dxa"/>
          <w:bottom w:w="0" w:type="dxa"/>
          <w:right w:w="108" w:type="dxa"/>
        </w:tblCellMar>
      </w:tblPr>
      <w:tblGrid>
        <w:gridCol w:w="960"/>
        <w:gridCol w:w="940"/>
        <w:gridCol w:w="1120"/>
        <w:gridCol w:w="1080"/>
        <w:gridCol w:w="760"/>
        <w:gridCol w:w="2020"/>
        <w:gridCol w:w="2200"/>
      </w:tblGrid>
      <w:tr>
        <w:tblPrEx>
          <w:tblCellMar>
            <w:top w:w="0" w:type="dxa"/>
            <w:left w:w="108" w:type="dxa"/>
            <w:bottom w:w="0" w:type="dxa"/>
            <w:right w:w="108" w:type="dxa"/>
          </w:tblCellMar>
        </w:tblPrEx>
        <w:trPr>
          <w:trHeight w:val="405" w:hRule="atLeast"/>
          <w:jc w:val="center"/>
        </w:trPr>
        <w:tc>
          <w:tcPr>
            <w:tcW w:w="9080" w:type="dxa"/>
            <w:gridSpan w:val="7"/>
            <w:tcBorders>
              <w:top w:val="nil"/>
              <w:left w:val="nil"/>
              <w:bottom w:val="nil"/>
              <w:right w:val="nil"/>
            </w:tcBorders>
            <w:shd w:val="clear" w:color="auto" w:fill="auto"/>
            <w:vAlign w:val="center"/>
          </w:tcPr>
          <w:p>
            <w:pPr>
              <w:widowControl/>
              <w:jc w:val="center"/>
              <w:rPr>
                <w:rFonts w:ascii="宋体" w:hAnsi="宋体" w:cs="宋体"/>
                <w:b/>
                <w:bCs/>
                <w:kern w:val="0"/>
                <w:sz w:val="32"/>
                <w:szCs w:val="32"/>
              </w:rPr>
            </w:pPr>
            <w:r>
              <w:rPr>
                <w:rFonts w:hint="eastAsia" w:ascii="宋体" w:hAnsi="宋体" w:cs="宋体"/>
                <w:b/>
                <w:bCs/>
                <w:kern w:val="0"/>
                <w:sz w:val="32"/>
                <w:szCs w:val="32"/>
              </w:rPr>
              <w:t>项目支出绩效目标自评表</w:t>
            </w:r>
          </w:p>
        </w:tc>
      </w:tr>
      <w:tr>
        <w:tblPrEx>
          <w:tblCellMar>
            <w:top w:w="0" w:type="dxa"/>
            <w:left w:w="108" w:type="dxa"/>
            <w:bottom w:w="0" w:type="dxa"/>
            <w:right w:w="108" w:type="dxa"/>
          </w:tblCellMar>
        </w:tblPrEx>
        <w:trPr>
          <w:trHeight w:val="285" w:hRule="atLeast"/>
          <w:jc w:val="center"/>
        </w:trPr>
        <w:tc>
          <w:tcPr>
            <w:tcW w:w="9080" w:type="dxa"/>
            <w:gridSpan w:val="7"/>
            <w:tcBorders>
              <w:top w:val="nil"/>
              <w:left w:val="nil"/>
              <w:bottom w:val="nil"/>
              <w:right w:val="nil"/>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（2021年度）</w:t>
            </w:r>
          </w:p>
        </w:tc>
      </w:tr>
      <w:tr>
        <w:tblPrEx>
          <w:tblCellMar>
            <w:top w:w="0" w:type="dxa"/>
            <w:left w:w="108" w:type="dxa"/>
            <w:bottom w:w="0" w:type="dxa"/>
            <w:right w:w="108" w:type="dxa"/>
          </w:tblCellMar>
        </w:tblPrEx>
        <w:trPr>
          <w:trHeight w:val="270" w:hRule="atLeast"/>
          <w:jc w:val="center"/>
        </w:trPr>
        <w:tc>
          <w:tcPr>
            <w:tcW w:w="960" w:type="dxa"/>
            <w:tcBorders>
              <w:top w:val="nil"/>
              <w:left w:val="nil"/>
              <w:bottom w:val="single" w:color="auto" w:sz="4" w:space="0"/>
              <w:right w:val="nil"/>
            </w:tcBorders>
            <w:shd w:val="clear" w:color="auto" w:fill="auto"/>
            <w:noWrap/>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940" w:type="dxa"/>
            <w:tcBorders>
              <w:top w:val="nil"/>
              <w:left w:val="nil"/>
              <w:bottom w:val="single" w:color="auto" w:sz="4" w:space="0"/>
              <w:right w:val="nil"/>
            </w:tcBorders>
            <w:shd w:val="clear" w:color="auto" w:fill="auto"/>
            <w:vAlign w:val="center"/>
          </w:tcPr>
          <w:p>
            <w:pPr>
              <w:widowControl/>
              <w:jc w:val="left"/>
              <w:rPr>
                <w:rFonts w:ascii="宋体" w:hAnsi="宋体" w:cs="宋体"/>
                <w:kern w:val="0"/>
                <w:sz w:val="22"/>
                <w:szCs w:val="22"/>
              </w:rPr>
            </w:pPr>
            <w:r>
              <w:rPr>
                <w:rFonts w:hint="eastAsia" w:ascii="宋体" w:hAnsi="宋体" w:cs="宋体"/>
                <w:kern w:val="0"/>
                <w:sz w:val="22"/>
                <w:szCs w:val="22"/>
              </w:rPr>
              <w:t>　</w:t>
            </w:r>
          </w:p>
        </w:tc>
        <w:tc>
          <w:tcPr>
            <w:tcW w:w="1120" w:type="dxa"/>
            <w:tcBorders>
              <w:top w:val="nil"/>
              <w:left w:val="nil"/>
              <w:bottom w:val="nil"/>
              <w:right w:val="nil"/>
            </w:tcBorders>
            <w:shd w:val="clear" w:color="auto" w:fill="auto"/>
            <w:vAlign w:val="center"/>
          </w:tcPr>
          <w:p>
            <w:pPr>
              <w:widowControl/>
              <w:jc w:val="left"/>
              <w:rPr>
                <w:rFonts w:ascii="宋体" w:hAnsi="宋体" w:cs="宋体"/>
                <w:kern w:val="0"/>
                <w:sz w:val="22"/>
                <w:szCs w:val="22"/>
              </w:rPr>
            </w:pPr>
          </w:p>
        </w:tc>
        <w:tc>
          <w:tcPr>
            <w:tcW w:w="108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76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020" w:type="dxa"/>
            <w:tcBorders>
              <w:top w:val="nil"/>
              <w:left w:val="nil"/>
              <w:bottom w:val="nil"/>
              <w:right w:val="nil"/>
            </w:tcBorders>
            <w:shd w:val="clear" w:color="auto" w:fill="auto"/>
            <w:vAlign w:val="center"/>
          </w:tcPr>
          <w:p>
            <w:pPr>
              <w:widowControl/>
              <w:jc w:val="left"/>
              <w:rPr>
                <w:rFonts w:eastAsia="Times New Roman"/>
                <w:kern w:val="0"/>
                <w:sz w:val="20"/>
                <w:szCs w:val="20"/>
              </w:rPr>
            </w:pPr>
          </w:p>
        </w:tc>
        <w:tc>
          <w:tcPr>
            <w:tcW w:w="2200" w:type="dxa"/>
            <w:tcBorders>
              <w:top w:val="nil"/>
              <w:left w:val="nil"/>
              <w:bottom w:val="nil"/>
              <w:right w:val="nil"/>
            </w:tcBorders>
            <w:shd w:val="clear" w:color="auto" w:fill="auto"/>
            <w:noWrap/>
            <w:vAlign w:val="center"/>
          </w:tcPr>
          <w:p>
            <w:pPr>
              <w:widowControl/>
              <w:jc w:val="left"/>
              <w:rPr>
                <w:rFonts w:eastAsia="Times New Roman"/>
                <w:kern w:val="0"/>
                <w:sz w:val="20"/>
                <w:szCs w:val="20"/>
              </w:rPr>
            </w:pPr>
          </w:p>
        </w:tc>
      </w:tr>
      <w:tr>
        <w:tblPrEx>
          <w:tblCellMar>
            <w:top w:w="0" w:type="dxa"/>
            <w:left w:w="108" w:type="dxa"/>
            <w:bottom w:w="0" w:type="dxa"/>
            <w:right w:w="108" w:type="dxa"/>
          </w:tblCellMar>
        </w:tblPrEx>
        <w:trPr>
          <w:trHeight w:val="270" w:hRule="atLeast"/>
          <w:jc w:val="center"/>
        </w:trPr>
        <w:tc>
          <w:tcPr>
            <w:tcW w:w="30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项目名称</w:t>
            </w:r>
          </w:p>
        </w:tc>
        <w:tc>
          <w:tcPr>
            <w:tcW w:w="606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绵竹市老旧小区（仁泽片区）配套基础设施改造项目</w:t>
            </w:r>
          </w:p>
        </w:tc>
      </w:tr>
      <w:tr>
        <w:tblPrEx>
          <w:tblCellMar>
            <w:top w:w="0" w:type="dxa"/>
            <w:left w:w="108" w:type="dxa"/>
            <w:bottom w:w="0" w:type="dxa"/>
            <w:right w:w="108" w:type="dxa"/>
          </w:tblCellMar>
        </w:tblPrEx>
        <w:trPr>
          <w:trHeight w:val="270" w:hRule="atLeast"/>
          <w:jc w:val="center"/>
        </w:trPr>
        <w:tc>
          <w:tcPr>
            <w:tcW w:w="302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预算单位</w:t>
            </w:r>
          </w:p>
        </w:tc>
        <w:tc>
          <w:tcPr>
            <w:tcW w:w="606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绵竹市住房和城乡建设局</w:t>
            </w:r>
          </w:p>
        </w:tc>
      </w:tr>
      <w:tr>
        <w:tblPrEx>
          <w:tblCellMar>
            <w:top w:w="0" w:type="dxa"/>
            <w:left w:w="108" w:type="dxa"/>
            <w:bottom w:w="0" w:type="dxa"/>
            <w:right w:w="108" w:type="dxa"/>
          </w:tblCellMar>
        </w:tblPrEx>
        <w:trPr>
          <w:trHeight w:val="270" w:hRule="atLeast"/>
          <w:jc w:val="center"/>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预算</w:t>
            </w:r>
            <w:r>
              <w:rPr>
                <w:rFonts w:hint="eastAsia" w:ascii="宋体" w:hAnsi="宋体" w:cs="宋体"/>
                <w:kern w:val="0"/>
                <w:sz w:val="20"/>
                <w:szCs w:val="20"/>
              </w:rPr>
              <w:br w:type="textWrapping"/>
            </w:r>
            <w:r>
              <w:rPr>
                <w:rFonts w:hint="eastAsia" w:ascii="宋体" w:hAnsi="宋体" w:cs="宋体"/>
                <w:kern w:val="0"/>
                <w:sz w:val="20"/>
                <w:szCs w:val="20"/>
              </w:rPr>
              <w:t>执行</w:t>
            </w:r>
            <w:r>
              <w:rPr>
                <w:rFonts w:hint="eastAsia" w:ascii="宋体" w:hAnsi="宋体" w:cs="宋体"/>
                <w:kern w:val="0"/>
                <w:sz w:val="20"/>
                <w:szCs w:val="20"/>
              </w:rPr>
              <w:br w:type="textWrapping"/>
            </w:r>
            <w:r>
              <w:rPr>
                <w:rFonts w:hint="eastAsia" w:ascii="宋体" w:hAnsi="宋体" w:cs="宋体"/>
                <w:kern w:val="0"/>
                <w:sz w:val="20"/>
                <w:szCs w:val="20"/>
              </w:rPr>
              <w:t>情况</w:t>
            </w:r>
            <w:r>
              <w:rPr>
                <w:rFonts w:hint="eastAsia" w:ascii="宋体" w:hAnsi="宋体" w:cs="宋体"/>
                <w:kern w:val="0"/>
                <w:sz w:val="20"/>
                <w:szCs w:val="20"/>
              </w:rPr>
              <w:br w:type="textWrapping"/>
            </w:r>
            <w:r>
              <w:rPr>
                <w:rFonts w:hint="eastAsia" w:ascii="宋体" w:hAnsi="宋体" w:cs="宋体"/>
                <w:kern w:val="0"/>
                <w:sz w:val="20"/>
                <w:szCs w:val="20"/>
              </w:rPr>
              <w:t>（万元）</w:t>
            </w:r>
          </w:p>
        </w:tc>
        <w:tc>
          <w:tcPr>
            <w:tcW w:w="20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预算数：</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276.609002万元</w:t>
            </w:r>
          </w:p>
        </w:tc>
        <w:tc>
          <w:tcPr>
            <w:tcW w:w="202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 xml:space="preserve"> 执行数：</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276.609002万元</w:t>
            </w:r>
          </w:p>
        </w:tc>
      </w:tr>
      <w:tr>
        <w:tblPrEx>
          <w:tblCellMar>
            <w:top w:w="0" w:type="dxa"/>
            <w:left w:w="108" w:type="dxa"/>
            <w:bottom w:w="0" w:type="dxa"/>
            <w:right w:w="108" w:type="dxa"/>
          </w:tblCellMar>
        </w:tblPrEx>
        <w:trPr>
          <w:trHeight w:val="480"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276.609002万元</w:t>
            </w:r>
          </w:p>
        </w:tc>
        <w:tc>
          <w:tcPr>
            <w:tcW w:w="2020" w:type="dxa"/>
            <w:tcBorders>
              <w:top w:val="nil"/>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其中：财政拨款</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276.609002万元</w:t>
            </w:r>
          </w:p>
        </w:tc>
      </w:tr>
      <w:tr>
        <w:tblPrEx>
          <w:tblCellMar>
            <w:top w:w="0" w:type="dxa"/>
            <w:left w:w="108" w:type="dxa"/>
            <w:bottom w:w="0" w:type="dxa"/>
            <w:right w:w="108" w:type="dxa"/>
          </w:tblCellMar>
        </w:tblPrEx>
        <w:trPr>
          <w:trHeight w:val="420"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2060" w:type="dxa"/>
            <w:gridSpan w:val="2"/>
            <w:tcBorders>
              <w:top w:val="single" w:color="auto" w:sz="4" w:space="0"/>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184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w:t>
            </w:r>
          </w:p>
        </w:tc>
        <w:tc>
          <w:tcPr>
            <w:tcW w:w="2020" w:type="dxa"/>
            <w:tcBorders>
              <w:top w:val="single" w:color="auto" w:sz="4" w:space="0"/>
              <w:left w:val="nil"/>
              <w:bottom w:val="nil"/>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其他资金</w:t>
            </w:r>
          </w:p>
        </w:tc>
        <w:tc>
          <w:tcPr>
            <w:tcW w:w="220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kern w:val="0"/>
                <w:sz w:val="20"/>
                <w:szCs w:val="20"/>
              </w:rPr>
            </w:pPr>
            <w:r>
              <w:rPr>
                <w:rFonts w:hint="eastAsia" w:ascii="宋体" w:hAnsi="宋体" w:cs="宋体"/>
                <w:kern w:val="0"/>
                <w:sz w:val="20"/>
                <w:szCs w:val="20"/>
              </w:rPr>
              <w:t>　</w:t>
            </w:r>
          </w:p>
        </w:tc>
      </w:tr>
      <w:tr>
        <w:tblPrEx>
          <w:tblCellMar>
            <w:top w:w="0" w:type="dxa"/>
            <w:left w:w="108" w:type="dxa"/>
            <w:bottom w:w="0" w:type="dxa"/>
            <w:right w:w="108" w:type="dxa"/>
          </w:tblCellMar>
        </w:tblPrEx>
        <w:trPr>
          <w:trHeight w:val="420" w:hRule="atLeast"/>
          <w:jc w:val="center"/>
        </w:trPr>
        <w:tc>
          <w:tcPr>
            <w:tcW w:w="9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目标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3900"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预期目标</w:t>
            </w:r>
          </w:p>
        </w:tc>
        <w:tc>
          <w:tcPr>
            <w:tcW w:w="422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实际完成目标</w:t>
            </w:r>
          </w:p>
        </w:tc>
      </w:tr>
      <w:tr>
        <w:tblPrEx>
          <w:tblCellMar>
            <w:top w:w="0" w:type="dxa"/>
            <w:left w:w="108" w:type="dxa"/>
            <w:bottom w:w="0" w:type="dxa"/>
            <w:right w:w="108" w:type="dxa"/>
          </w:tblCellMar>
        </w:tblPrEx>
        <w:trPr>
          <w:trHeight w:val="1050"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3900"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老旧小区改造开工3个小区，改造20栋760套房屋，总建筑面积6.9万平方米。</w:t>
            </w:r>
          </w:p>
        </w:tc>
        <w:tc>
          <w:tcPr>
            <w:tcW w:w="4220" w:type="dxa"/>
            <w:gridSpan w:val="2"/>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cs="宋体"/>
                <w:kern w:val="0"/>
                <w:sz w:val="20"/>
                <w:szCs w:val="20"/>
              </w:rPr>
            </w:pPr>
            <w:r>
              <w:rPr>
                <w:rFonts w:hint="eastAsia" w:ascii="宋体" w:hAnsi="宋体" w:cs="宋体"/>
                <w:kern w:val="0"/>
                <w:sz w:val="20"/>
                <w:szCs w:val="20"/>
              </w:rPr>
              <w:t>项目严格按图施工，按相关规范和质量标准施工，（一期）已完成工程量70%；（二期）已完成招标工作，确定施工单位，做开工前进场准备工作。</w:t>
            </w:r>
          </w:p>
        </w:tc>
      </w:tr>
      <w:tr>
        <w:tblPrEx>
          <w:tblCellMar>
            <w:top w:w="0" w:type="dxa"/>
            <w:left w:w="108" w:type="dxa"/>
            <w:bottom w:w="0" w:type="dxa"/>
            <w:right w:w="108" w:type="dxa"/>
          </w:tblCellMar>
        </w:tblPrEx>
        <w:trPr>
          <w:trHeight w:val="645" w:hRule="atLeast"/>
          <w:jc w:val="center"/>
        </w:trPr>
        <w:tc>
          <w:tcPr>
            <w:tcW w:w="96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年度</w:t>
            </w:r>
            <w:r>
              <w:rPr>
                <w:rFonts w:hint="eastAsia" w:ascii="宋体" w:hAnsi="宋体" w:cs="宋体"/>
                <w:kern w:val="0"/>
                <w:sz w:val="20"/>
                <w:szCs w:val="20"/>
              </w:rPr>
              <w:br w:type="textWrapping"/>
            </w:r>
            <w:r>
              <w:rPr>
                <w:rFonts w:hint="eastAsia" w:ascii="宋体" w:hAnsi="宋体" w:cs="宋体"/>
                <w:kern w:val="0"/>
                <w:sz w:val="20"/>
                <w:szCs w:val="20"/>
              </w:rPr>
              <w:t>绩效</w:t>
            </w:r>
            <w:r>
              <w:rPr>
                <w:rFonts w:hint="eastAsia" w:ascii="宋体" w:hAnsi="宋体" w:cs="宋体"/>
                <w:kern w:val="0"/>
                <w:sz w:val="20"/>
                <w:szCs w:val="20"/>
              </w:rPr>
              <w:br w:type="textWrapping"/>
            </w:r>
            <w:r>
              <w:rPr>
                <w:rFonts w:hint="eastAsia" w:ascii="宋体" w:hAnsi="宋体" w:cs="宋体"/>
                <w:kern w:val="0"/>
                <w:sz w:val="20"/>
                <w:szCs w:val="20"/>
              </w:rPr>
              <w:t>指标</w:t>
            </w:r>
            <w:r>
              <w:rPr>
                <w:rFonts w:hint="eastAsia" w:ascii="宋体" w:hAnsi="宋体" w:cs="宋体"/>
                <w:kern w:val="0"/>
                <w:sz w:val="20"/>
                <w:szCs w:val="20"/>
              </w:rPr>
              <w:br w:type="textWrapping"/>
            </w:r>
            <w:r>
              <w:rPr>
                <w:rFonts w:hint="eastAsia" w:ascii="宋体" w:hAnsi="宋体" w:cs="宋体"/>
                <w:kern w:val="0"/>
                <w:sz w:val="20"/>
                <w:szCs w:val="20"/>
              </w:rPr>
              <w:t>完成</w:t>
            </w:r>
            <w:r>
              <w:rPr>
                <w:rFonts w:hint="eastAsia" w:ascii="宋体" w:hAnsi="宋体" w:cs="宋体"/>
                <w:kern w:val="0"/>
                <w:sz w:val="20"/>
                <w:szCs w:val="20"/>
              </w:rPr>
              <w:br w:type="textWrapping"/>
            </w:r>
            <w:r>
              <w:rPr>
                <w:rFonts w:hint="eastAsia" w:ascii="宋体" w:hAnsi="宋体" w:cs="宋体"/>
                <w:kern w:val="0"/>
                <w:sz w:val="20"/>
                <w:szCs w:val="20"/>
              </w:rPr>
              <w:t>情况</w:t>
            </w:r>
          </w:p>
        </w:tc>
        <w:tc>
          <w:tcPr>
            <w:tcW w:w="940" w:type="dxa"/>
            <w:tcBorders>
              <w:top w:val="nil"/>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一级指标</w:t>
            </w:r>
          </w:p>
        </w:tc>
        <w:tc>
          <w:tcPr>
            <w:tcW w:w="11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二级指标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三级指标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预期指标值（包含数字及文字描述）</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实际完成指标值（包含数字及文字描述）</w:t>
            </w:r>
          </w:p>
        </w:tc>
      </w:tr>
      <w:tr>
        <w:tblPrEx>
          <w:tblCellMar>
            <w:top w:w="0" w:type="dxa"/>
            <w:left w:w="108" w:type="dxa"/>
            <w:bottom w:w="0" w:type="dxa"/>
            <w:right w:w="108" w:type="dxa"/>
          </w:tblCellMar>
        </w:tblPrEx>
        <w:trPr>
          <w:trHeight w:val="405"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项目完成指标</w:t>
            </w:r>
          </w:p>
        </w:tc>
        <w:tc>
          <w:tcPr>
            <w:tcW w:w="112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数量指标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改造小区数</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3个</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3个</w:t>
            </w:r>
          </w:p>
        </w:tc>
      </w:tr>
      <w:tr>
        <w:tblPrEx>
          <w:tblCellMar>
            <w:top w:w="0" w:type="dxa"/>
            <w:left w:w="108" w:type="dxa"/>
            <w:bottom w:w="0" w:type="dxa"/>
            <w:right w:w="108" w:type="dxa"/>
          </w:tblCellMar>
        </w:tblPrEx>
        <w:trPr>
          <w:trHeight w:val="405"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改造户数</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760户</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760户</w:t>
            </w:r>
          </w:p>
        </w:tc>
      </w:tr>
      <w:tr>
        <w:tblPrEx>
          <w:tblCellMar>
            <w:top w:w="0" w:type="dxa"/>
            <w:left w:w="108" w:type="dxa"/>
            <w:bottom w:w="0" w:type="dxa"/>
            <w:right w:w="108" w:type="dxa"/>
          </w:tblCellMar>
        </w:tblPrEx>
        <w:trPr>
          <w:trHeight w:val="405"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2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kern w:val="0"/>
                <w:sz w:val="20"/>
                <w:szCs w:val="20"/>
              </w:rPr>
            </w:pP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改造面积</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69000平方米</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69000平方米</w:t>
            </w:r>
          </w:p>
        </w:tc>
      </w:tr>
      <w:tr>
        <w:tblPrEx>
          <w:tblCellMar>
            <w:top w:w="0" w:type="dxa"/>
            <w:left w:w="108" w:type="dxa"/>
            <w:bottom w:w="0" w:type="dxa"/>
            <w:right w:w="108" w:type="dxa"/>
          </w:tblCellMar>
        </w:tblPrEx>
        <w:trPr>
          <w:trHeight w:val="405"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2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质量指标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改造质量</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合格</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合格</w:t>
            </w:r>
          </w:p>
        </w:tc>
      </w:tr>
      <w:tr>
        <w:tblPrEx>
          <w:tblCellMar>
            <w:top w:w="0" w:type="dxa"/>
            <w:left w:w="108" w:type="dxa"/>
            <w:bottom w:w="0" w:type="dxa"/>
            <w:right w:w="108" w:type="dxa"/>
          </w:tblCellMar>
        </w:tblPrEx>
        <w:trPr>
          <w:trHeight w:val="405"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2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工程事故率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0</w:t>
            </w:r>
          </w:p>
        </w:tc>
      </w:tr>
      <w:tr>
        <w:tblPrEx>
          <w:tblCellMar>
            <w:top w:w="0" w:type="dxa"/>
            <w:left w:w="108" w:type="dxa"/>
            <w:bottom w:w="0" w:type="dxa"/>
            <w:right w:w="108" w:type="dxa"/>
          </w:tblCellMar>
        </w:tblPrEx>
        <w:trPr>
          <w:trHeight w:val="405"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时效指标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开工目标完成率</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100%</w:t>
            </w:r>
          </w:p>
        </w:tc>
      </w:tr>
      <w:tr>
        <w:tblPrEx>
          <w:tblCellMar>
            <w:top w:w="0" w:type="dxa"/>
            <w:left w:w="108" w:type="dxa"/>
            <w:bottom w:w="0" w:type="dxa"/>
            <w:right w:w="108" w:type="dxa"/>
          </w:tblCellMar>
        </w:tblPrEx>
        <w:trPr>
          <w:trHeight w:val="405"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成本指标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投入资金额</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276.609002万元</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276.609002万元</w:t>
            </w:r>
          </w:p>
        </w:tc>
      </w:tr>
      <w:tr>
        <w:tblPrEx>
          <w:tblCellMar>
            <w:top w:w="0" w:type="dxa"/>
            <w:left w:w="108" w:type="dxa"/>
            <w:bottom w:w="0" w:type="dxa"/>
            <w:right w:w="108" w:type="dxa"/>
          </w:tblCellMar>
        </w:tblPrEx>
        <w:trPr>
          <w:trHeight w:val="615"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项目效果指标</w:t>
            </w:r>
          </w:p>
        </w:tc>
        <w:tc>
          <w:tcPr>
            <w:tcW w:w="11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经济效益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 xml:space="preserve"> 改善人民生活环境，美化社区环境</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≧90</w:t>
            </w:r>
          </w:p>
        </w:tc>
      </w:tr>
      <w:tr>
        <w:tblPrEx>
          <w:tblCellMar>
            <w:top w:w="0" w:type="dxa"/>
            <w:left w:w="108" w:type="dxa"/>
            <w:bottom w:w="0" w:type="dxa"/>
            <w:right w:w="108" w:type="dxa"/>
          </w:tblCellMar>
        </w:tblPrEx>
        <w:trPr>
          <w:trHeight w:val="480"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2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社会效益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居民生活质量满意度</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r>
      <w:tr>
        <w:tblPrEx>
          <w:tblCellMar>
            <w:top w:w="0" w:type="dxa"/>
            <w:left w:w="108" w:type="dxa"/>
            <w:bottom w:w="0" w:type="dxa"/>
            <w:right w:w="108" w:type="dxa"/>
          </w:tblCellMar>
        </w:tblPrEx>
        <w:trPr>
          <w:trHeight w:val="480"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2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群众居住条件是否改善</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是</w:t>
            </w:r>
          </w:p>
        </w:tc>
      </w:tr>
      <w:tr>
        <w:tblPrEx>
          <w:tblCellMar>
            <w:top w:w="0" w:type="dxa"/>
            <w:left w:w="108" w:type="dxa"/>
            <w:bottom w:w="0" w:type="dxa"/>
            <w:right w:w="108" w:type="dxa"/>
          </w:tblCellMar>
        </w:tblPrEx>
        <w:trPr>
          <w:trHeight w:val="405"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20"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生态效益</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片区居住环境改善</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达成预期目标</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达成预期目标</w:t>
            </w:r>
          </w:p>
        </w:tc>
      </w:tr>
      <w:tr>
        <w:tblPrEx>
          <w:tblCellMar>
            <w:top w:w="0" w:type="dxa"/>
            <w:left w:w="108" w:type="dxa"/>
            <w:bottom w:w="0" w:type="dxa"/>
            <w:right w:w="108" w:type="dxa"/>
          </w:tblCellMar>
        </w:tblPrEx>
        <w:trPr>
          <w:trHeight w:val="375"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20" w:type="dxa"/>
            <w:vMerge w:val="continue"/>
            <w:tcBorders>
              <w:top w:val="single" w:color="auto" w:sz="4" w:space="0"/>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建设期间对环境影响</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无</w:t>
            </w:r>
          </w:p>
        </w:tc>
      </w:tr>
      <w:tr>
        <w:tblPrEx>
          <w:tblCellMar>
            <w:top w:w="0" w:type="dxa"/>
            <w:left w:w="108" w:type="dxa"/>
            <w:bottom w:w="0" w:type="dxa"/>
            <w:right w:w="108" w:type="dxa"/>
          </w:tblCellMar>
        </w:tblPrEx>
        <w:trPr>
          <w:trHeight w:val="600" w:hRule="atLeast"/>
          <w:jc w:val="center"/>
        </w:trPr>
        <w:tc>
          <w:tcPr>
            <w:tcW w:w="960" w:type="dxa"/>
            <w:vMerge w:val="continue"/>
            <w:tcBorders>
              <w:top w:val="nil"/>
              <w:left w:val="single" w:color="auto" w:sz="4" w:space="0"/>
              <w:bottom w:val="nil"/>
              <w:right w:val="single" w:color="auto" w:sz="4" w:space="0"/>
            </w:tcBorders>
            <w:vAlign w:val="center"/>
          </w:tcPr>
          <w:p>
            <w:pPr>
              <w:widowControl/>
              <w:jc w:val="left"/>
              <w:rPr>
                <w:rFonts w:ascii="宋体" w:hAnsi="宋体" w:cs="宋体"/>
                <w:kern w:val="0"/>
                <w:sz w:val="20"/>
                <w:szCs w:val="20"/>
              </w:rPr>
            </w:pPr>
          </w:p>
        </w:tc>
        <w:tc>
          <w:tcPr>
            <w:tcW w:w="94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1120" w:type="dxa"/>
            <w:tcBorders>
              <w:top w:val="single" w:color="auto" w:sz="4" w:space="0"/>
              <w:left w:val="nil"/>
              <w:bottom w:val="nil"/>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可持续影响</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和谐社会建设</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达成预期目标</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达成预期目标</w:t>
            </w:r>
          </w:p>
        </w:tc>
      </w:tr>
      <w:tr>
        <w:tblPrEx>
          <w:tblCellMar>
            <w:top w:w="0" w:type="dxa"/>
            <w:left w:w="108" w:type="dxa"/>
            <w:bottom w:w="0" w:type="dxa"/>
            <w:right w:w="108" w:type="dxa"/>
          </w:tblCellMar>
        </w:tblPrEx>
        <w:trPr>
          <w:trHeight w:val="600" w:hRule="atLeast"/>
          <w:jc w:val="center"/>
        </w:trPr>
        <w:tc>
          <w:tcPr>
            <w:tcW w:w="9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cs="宋体"/>
                <w:kern w:val="0"/>
                <w:sz w:val="20"/>
                <w:szCs w:val="20"/>
              </w:rPr>
            </w:pPr>
          </w:p>
        </w:tc>
        <w:tc>
          <w:tcPr>
            <w:tcW w:w="9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w:t>
            </w:r>
            <w:r>
              <w:rPr>
                <w:rFonts w:hint="eastAsia" w:ascii="宋体" w:hAnsi="宋体" w:cs="宋体"/>
                <w:kern w:val="0"/>
                <w:sz w:val="20"/>
                <w:szCs w:val="20"/>
              </w:rPr>
              <w:br w:type="textWrapping"/>
            </w:r>
            <w:r>
              <w:rPr>
                <w:rFonts w:hint="eastAsia" w:ascii="宋体" w:hAnsi="宋体" w:cs="宋体"/>
                <w:kern w:val="0"/>
                <w:sz w:val="20"/>
                <w:szCs w:val="20"/>
              </w:rPr>
              <w:t>指标</w:t>
            </w:r>
          </w:p>
        </w:tc>
        <w:tc>
          <w:tcPr>
            <w:tcW w:w="1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满意度指标</w:t>
            </w:r>
          </w:p>
        </w:tc>
        <w:tc>
          <w:tcPr>
            <w:tcW w:w="184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 w:val="20"/>
                <w:szCs w:val="20"/>
              </w:rPr>
            </w:pPr>
            <w:r>
              <w:rPr>
                <w:rFonts w:hint="eastAsia" w:ascii="宋体" w:hAnsi="宋体" w:cs="宋体"/>
                <w:kern w:val="0"/>
                <w:sz w:val="20"/>
                <w:szCs w:val="20"/>
              </w:rPr>
              <w:t>老旧小区改造对象满意度</w:t>
            </w:r>
          </w:p>
        </w:tc>
        <w:tc>
          <w:tcPr>
            <w:tcW w:w="202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≥85%</w:t>
            </w:r>
          </w:p>
        </w:tc>
        <w:tc>
          <w:tcPr>
            <w:tcW w:w="220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90%</w:t>
            </w:r>
          </w:p>
        </w:tc>
      </w:tr>
    </w:tbl>
    <w:p>
      <w:pPr>
        <w:pStyle w:val="2"/>
        <w:spacing w:before="93"/>
        <w:rPr>
          <w:rFonts w:hAnsi="宋体" w:cs="宋体"/>
          <w:sz w:val="32"/>
          <w:szCs w:val="32"/>
          <w:shd w:val="clear" w:color="auto" w:fill="FFFFFF"/>
          <w:lang w:val="zh-CN"/>
        </w:rPr>
      </w:pPr>
    </w:p>
    <w:p>
      <w:pPr>
        <w:spacing w:line="600" w:lineRule="exact"/>
        <w:jc w:val="center"/>
        <w:outlineLvl w:val="0"/>
        <w:rPr>
          <w:rFonts w:ascii="仿宋" w:hAnsi="仿宋" w:eastAsia="仿宋"/>
        </w:rPr>
      </w:pPr>
      <w:bookmarkStart w:id="71" w:name="_Toc15396618"/>
      <w:r>
        <w:rPr>
          <w:rFonts w:hint="eastAsia" w:ascii="黑体" w:hAnsi="黑体" w:eastAsia="黑体"/>
          <w:sz w:val="44"/>
          <w:szCs w:val="44"/>
        </w:rPr>
        <w:t>第</w:t>
      </w:r>
      <w:r>
        <w:rPr>
          <w:rStyle w:val="25"/>
          <w:rFonts w:hint="eastAsia" w:ascii="黑体" w:hAnsi="黑体" w:eastAsia="黑体"/>
          <w:b w:val="0"/>
        </w:rPr>
        <w:t>五部分 附表</w:t>
      </w:r>
      <w:bookmarkEnd w:id="56"/>
      <w:bookmarkEnd w:id="71"/>
      <w:bookmarkStart w:id="72" w:name="_Toc15396619"/>
    </w:p>
    <w:p>
      <w:pPr>
        <w:pStyle w:val="4"/>
        <w:rPr>
          <w:rFonts w:ascii="仿宋" w:hAnsi="仿宋" w:eastAsia="仿宋"/>
        </w:rPr>
      </w:pPr>
      <w:r>
        <w:rPr>
          <w:rFonts w:hint="eastAsia" w:ascii="仿宋" w:hAnsi="仿宋" w:eastAsia="仿宋"/>
          <w:b w:val="0"/>
        </w:rPr>
        <w:t>一、收</w:t>
      </w:r>
      <w:r>
        <w:rPr>
          <w:rStyle w:val="26"/>
          <w:rFonts w:hint="eastAsia" w:ascii="仿宋" w:hAnsi="仿宋" w:eastAsia="仿宋"/>
          <w:b w:val="0"/>
          <w:bCs w:val="0"/>
        </w:rPr>
        <w:t>入支出决算总表</w:t>
      </w:r>
      <w:bookmarkEnd w:id="72"/>
    </w:p>
    <w:p>
      <w:pPr>
        <w:pStyle w:val="4"/>
        <w:rPr>
          <w:rFonts w:ascii="仿宋" w:hAnsi="仿宋" w:eastAsia="仿宋"/>
        </w:rPr>
      </w:pPr>
      <w:bookmarkStart w:id="73" w:name="_Toc15396620"/>
      <w:r>
        <w:rPr>
          <w:rFonts w:hint="eastAsia" w:ascii="仿宋" w:hAnsi="仿宋" w:eastAsia="仿宋"/>
          <w:b w:val="0"/>
        </w:rPr>
        <w:t>二、收</w:t>
      </w:r>
      <w:r>
        <w:rPr>
          <w:rStyle w:val="26"/>
          <w:rFonts w:hint="eastAsia" w:ascii="仿宋" w:hAnsi="仿宋" w:eastAsia="仿宋"/>
          <w:b w:val="0"/>
          <w:bCs w:val="0"/>
        </w:rPr>
        <w:t>入决算表</w:t>
      </w:r>
      <w:bookmarkEnd w:id="73"/>
    </w:p>
    <w:p>
      <w:pPr>
        <w:pStyle w:val="4"/>
        <w:rPr>
          <w:rFonts w:ascii="仿宋" w:hAnsi="仿宋" w:eastAsia="仿宋"/>
        </w:rPr>
      </w:pPr>
      <w:bookmarkStart w:id="74" w:name="_Toc15396621"/>
      <w:r>
        <w:rPr>
          <w:rStyle w:val="26"/>
          <w:rFonts w:hint="eastAsia" w:ascii="仿宋" w:hAnsi="仿宋" w:eastAsia="仿宋"/>
          <w:b w:val="0"/>
          <w:bCs w:val="0"/>
        </w:rPr>
        <w:t>三、</w:t>
      </w:r>
      <w:r>
        <w:rPr>
          <w:rFonts w:hint="eastAsia" w:ascii="仿宋" w:hAnsi="仿宋" w:eastAsia="仿宋"/>
          <w:b w:val="0"/>
        </w:rPr>
        <w:t>支</w:t>
      </w:r>
      <w:r>
        <w:rPr>
          <w:rStyle w:val="26"/>
          <w:rFonts w:hint="eastAsia" w:ascii="仿宋" w:hAnsi="仿宋" w:eastAsia="仿宋"/>
          <w:b w:val="0"/>
          <w:bCs w:val="0"/>
        </w:rPr>
        <w:t>出决算表</w:t>
      </w:r>
      <w:bookmarkEnd w:id="74"/>
    </w:p>
    <w:p>
      <w:pPr>
        <w:pStyle w:val="4"/>
        <w:rPr>
          <w:rFonts w:ascii="仿宋" w:hAnsi="仿宋" w:eastAsia="仿宋"/>
          <w:b w:val="0"/>
        </w:rPr>
      </w:pPr>
      <w:bookmarkStart w:id="75" w:name="_Toc15396622"/>
      <w:r>
        <w:rPr>
          <w:rStyle w:val="26"/>
          <w:rFonts w:hint="eastAsia" w:ascii="仿宋" w:hAnsi="仿宋" w:eastAsia="仿宋"/>
          <w:b w:val="0"/>
          <w:bCs w:val="0"/>
        </w:rPr>
        <w:t>四、</w:t>
      </w:r>
      <w:r>
        <w:rPr>
          <w:rFonts w:hint="eastAsia" w:ascii="仿宋" w:hAnsi="仿宋" w:eastAsia="仿宋"/>
          <w:b w:val="0"/>
        </w:rPr>
        <w:t>财</w:t>
      </w:r>
      <w:r>
        <w:rPr>
          <w:rStyle w:val="26"/>
          <w:rFonts w:hint="eastAsia" w:ascii="仿宋" w:hAnsi="仿宋" w:eastAsia="仿宋"/>
          <w:b w:val="0"/>
          <w:bCs w:val="0"/>
        </w:rPr>
        <w:t>政拨款收入支出决算总表</w:t>
      </w:r>
      <w:bookmarkEnd w:id="75"/>
    </w:p>
    <w:p>
      <w:pPr>
        <w:pStyle w:val="4"/>
        <w:rPr>
          <w:rStyle w:val="26"/>
          <w:rFonts w:ascii="仿宋" w:hAnsi="仿宋" w:eastAsia="仿宋"/>
          <w:b w:val="0"/>
          <w:bCs w:val="0"/>
        </w:rPr>
      </w:pPr>
      <w:bookmarkStart w:id="76" w:name="_Toc15396623"/>
      <w:r>
        <w:rPr>
          <w:rStyle w:val="26"/>
          <w:rFonts w:hint="eastAsia" w:ascii="仿宋" w:hAnsi="仿宋" w:eastAsia="仿宋"/>
          <w:b w:val="0"/>
          <w:bCs w:val="0"/>
        </w:rPr>
        <w:t>五、</w:t>
      </w:r>
      <w:r>
        <w:rPr>
          <w:rFonts w:hint="eastAsia" w:ascii="仿宋" w:hAnsi="仿宋" w:eastAsia="仿宋"/>
          <w:b w:val="0"/>
        </w:rPr>
        <w:t>财</w:t>
      </w:r>
      <w:r>
        <w:rPr>
          <w:rStyle w:val="26"/>
          <w:rFonts w:hint="eastAsia" w:ascii="仿宋" w:hAnsi="仿宋" w:eastAsia="仿宋"/>
          <w:b w:val="0"/>
          <w:bCs w:val="0"/>
        </w:rPr>
        <w:t>政拨款支出决算明细表</w:t>
      </w:r>
      <w:bookmarkEnd w:id="76"/>
      <w:bookmarkStart w:id="77" w:name="_Toc15396624"/>
    </w:p>
    <w:p>
      <w:pPr>
        <w:pStyle w:val="4"/>
        <w:rPr>
          <w:rFonts w:ascii="仿宋" w:hAnsi="仿宋" w:eastAsia="仿宋"/>
        </w:rPr>
      </w:pPr>
      <w:r>
        <w:rPr>
          <w:rStyle w:val="26"/>
          <w:rFonts w:hint="eastAsia" w:ascii="仿宋" w:hAnsi="仿宋" w:eastAsia="仿宋"/>
          <w:b w:val="0"/>
          <w:bCs w:val="0"/>
        </w:rPr>
        <w:t>六、</w:t>
      </w:r>
      <w:r>
        <w:rPr>
          <w:rFonts w:hint="eastAsia" w:ascii="仿宋" w:hAnsi="仿宋" w:eastAsia="仿宋"/>
          <w:b w:val="0"/>
        </w:rPr>
        <w:t>一</w:t>
      </w:r>
      <w:r>
        <w:rPr>
          <w:rStyle w:val="26"/>
          <w:rFonts w:hint="eastAsia" w:ascii="仿宋" w:hAnsi="仿宋" w:eastAsia="仿宋"/>
          <w:b w:val="0"/>
          <w:bCs w:val="0"/>
        </w:rPr>
        <w:t>般公共预算财政拨款支出决算表</w:t>
      </w:r>
      <w:bookmarkEnd w:id="77"/>
    </w:p>
    <w:p>
      <w:pPr>
        <w:pStyle w:val="4"/>
        <w:rPr>
          <w:rFonts w:ascii="仿宋" w:hAnsi="仿宋" w:eastAsia="仿宋"/>
        </w:rPr>
      </w:pPr>
      <w:bookmarkStart w:id="78" w:name="_Toc15396625"/>
      <w:r>
        <w:rPr>
          <w:rStyle w:val="26"/>
          <w:rFonts w:hint="eastAsia" w:ascii="仿宋" w:hAnsi="仿宋" w:eastAsia="仿宋"/>
          <w:b w:val="0"/>
          <w:bCs w:val="0"/>
        </w:rPr>
        <w:t>七、</w:t>
      </w:r>
      <w:r>
        <w:rPr>
          <w:rFonts w:hint="eastAsia" w:ascii="仿宋" w:hAnsi="仿宋" w:eastAsia="仿宋"/>
          <w:b w:val="0"/>
        </w:rPr>
        <w:t>一</w:t>
      </w:r>
      <w:r>
        <w:rPr>
          <w:rStyle w:val="26"/>
          <w:rFonts w:hint="eastAsia" w:ascii="仿宋" w:hAnsi="仿宋" w:eastAsia="仿宋"/>
          <w:b w:val="0"/>
          <w:bCs w:val="0"/>
        </w:rPr>
        <w:t>般公共预算财政拨款支出决算明细表</w:t>
      </w:r>
      <w:bookmarkEnd w:id="78"/>
    </w:p>
    <w:p>
      <w:pPr>
        <w:pStyle w:val="4"/>
        <w:rPr>
          <w:rFonts w:ascii="仿宋" w:hAnsi="仿宋" w:eastAsia="仿宋"/>
        </w:rPr>
      </w:pPr>
      <w:bookmarkStart w:id="79" w:name="_Toc15396626"/>
      <w:r>
        <w:rPr>
          <w:rStyle w:val="26"/>
          <w:rFonts w:hint="eastAsia" w:ascii="仿宋" w:hAnsi="仿宋" w:eastAsia="仿宋"/>
          <w:b w:val="0"/>
          <w:bCs w:val="0"/>
        </w:rPr>
        <w:t>八、</w:t>
      </w:r>
      <w:r>
        <w:rPr>
          <w:rFonts w:hint="eastAsia" w:ascii="仿宋" w:hAnsi="仿宋" w:eastAsia="仿宋"/>
          <w:b w:val="0"/>
        </w:rPr>
        <w:t>一</w:t>
      </w:r>
      <w:r>
        <w:rPr>
          <w:rStyle w:val="26"/>
          <w:rFonts w:hint="eastAsia" w:ascii="仿宋" w:hAnsi="仿宋" w:eastAsia="仿宋"/>
          <w:b w:val="0"/>
          <w:bCs w:val="0"/>
        </w:rPr>
        <w:t>般公共预算财政拨款基本支出决算表</w:t>
      </w:r>
      <w:bookmarkEnd w:id="79"/>
    </w:p>
    <w:p>
      <w:pPr>
        <w:pStyle w:val="4"/>
        <w:rPr>
          <w:rFonts w:ascii="仿宋" w:hAnsi="仿宋" w:eastAsia="仿宋"/>
        </w:rPr>
      </w:pPr>
      <w:bookmarkStart w:id="80" w:name="_Toc15396627"/>
      <w:r>
        <w:rPr>
          <w:rStyle w:val="26"/>
          <w:rFonts w:hint="eastAsia" w:ascii="仿宋" w:hAnsi="仿宋" w:eastAsia="仿宋"/>
          <w:b w:val="0"/>
          <w:bCs w:val="0"/>
        </w:rPr>
        <w:t>九、</w:t>
      </w:r>
      <w:r>
        <w:rPr>
          <w:rFonts w:hint="eastAsia" w:ascii="仿宋" w:hAnsi="仿宋" w:eastAsia="仿宋"/>
          <w:b w:val="0"/>
        </w:rPr>
        <w:t>一</w:t>
      </w:r>
      <w:r>
        <w:rPr>
          <w:rStyle w:val="26"/>
          <w:rFonts w:hint="eastAsia" w:ascii="仿宋" w:hAnsi="仿宋" w:eastAsia="仿宋"/>
          <w:b w:val="0"/>
          <w:bCs w:val="0"/>
        </w:rPr>
        <w:t>般公共预算财政拨款项目支出决算表</w:t>
      </w:r>
      <w:bookmarkEnd w:id="80"/>
    </w:p>
    <w:p>
      <w:pPr>
        <w:pStyle w:val="4"/>
        <w:rPr>
          <w:rFonts w:ascii="仿宋" w:hAnsi="仿宋" w:eastAsia="仿宋"/>
        </w:rPr>
      </w:pPr>
      <w:bookmarkStart w:id="81" w:name="_Toc15396628"/>
      <w:r>
        <w:rPr>
          <w:rStyle w:val="26"/>
          <w:rFonts w:hint="eastAsia" w:ascii="仿宋" w:hAnsi="仿宋" w:eastAsia="仿宋"/>
          <w:b w:val="0"/>
          <w:bCs w:val="0"/>
        </w:rPr>
        <w:t>十、</w:t>
      </w:r>
      <w:r>
        <w:rPr>
          <w:rFonts w:hint="eastAsia" w:ascii="仿宋" w:hAnsi="仿宋" w:eastAsia="仿宋"/>
          <w:b w:val="0"/>
        </w:rPr>
        <w:t>一</w:t>
      </w:r>
      <w:r>
        <w:rPr>
          <w:rStyle w:val="26"/>
          <w:rFonts w:hint="eastAsia" w:ascii="仿宋" w:hAnsi="仿宋" w:eastAsia="仿宋"/>
          <w:b w:val="0"/>
          <w:bCs w:val="0"/>
        </w:rPr>
        <w:t>般公共预算财政拨款“三公”经费支出决算表</w:t>
      </w:r>
      <w:bookmarkEnd w:id="81"/>
    </w:p>
    <w:p>
      <w:pPr>
        <w:pStyle w:val="4"/>
        <w:rPr>
          <w:rFonts w:ascii="仿宋" w:hAnsi="仿宋" w:eastAsia="仿宋"/>
        </w:rPr>
      </w:pPr>
      <w:bookmarkStart w:id="82" w:name="_Toc15396629"/>
      <w:r>
        <w:rPr>
          <w:rStyle w:val="26"/>
          <w:rFonts w:hint="eastAsia" w:ascii="仿宋" w:hAnsi="仿宋" w:eastAsia="仿宋"/>
          <w:b w:val="0"/>
          <w:bCs w:val="0"/>
        </w:rPr>
        <w:t>十一、</w:t>
      </w:r>
      <w:r>
        <w:rPr>
          <w:rFonts w:hint="eastAsia" w:ascii="仿宋" w:hAnsi="仿宋" w:eastAsia="仿宋"/>
          <w:b w:val="0"/>
        </w:rPr>
        <w:t>政</w:t>
      </w:r>
      <w:r>
        <w:rPr>
          <w:rStyle w:val="26"/>
          <w:rFonts w:hint="eastAsia" w:ascii="仿宋" w:hAnsi="仿宋" w:eastAsia="仿宋"/>
          <w:b w:val="0"/>
          <w:bCs w:val="0"/>
        </w:rPr>
        <w:t>府性基金预算财政拨款收入支出决算表</w:t>
      </w:r>
      <w:bookmarkEnd w:id="82"/>
    </w:p>
    <w:p>
      <w:pPr>
        <w:pStyle w:val="4"/>
        <w:rPr>
          <w:rFonts w:ascii="仿宋" w:hAnsi="仿宋" w:eastAsia="仿宋"/>
        </w:rPr>
      </w:pPr>
      <w:bookmarkStart w:id="83" w:name="_Toc15396630"/>
      <w:r>
        <w:rPr>
          <w:rStyle w:val="26"/>
          <w:rFonts w:hint="eastAsia" w:ascii="仿宋" w:hAnsi="仿宋" w:eastAsia="仿宋"/>
          <w:b w:val="0"/>
          <w:bCs w:val="0"/>
        </w:rPr>
        <w:t>十二、</w:t>
      </w:r>
      <w:r>
        <w:rPr>
          <w:rFonts w:hint="eastAsia" w:ascii="仿宋" w:hAnsi="仿宋" w:eastAsia="仿宋"/>
          <w:b w:val="0"/>
        </w:rPr>
        <w:t>政</w:t>
      </w:r>
      <w:r>
        <w:rPr>
          <w:rStyle w:val="26"/>
          <w:rFonts w:hint="eastAsia" w:ascii="仿宋" w:hAnsi="仿宋" w:eastAsia="仿宋"/>
          <w:b w:val="0"/>
          <w:bCs w:val="0"/>
        </w:rPr>
        <w:t>府性基金预算财政拨款“三公”经费支出决算表</w:t>
      </w:r>
      <w:bookmarkEnd w:id="83"/>
    </w:p>
    <w:p>
      <w:pPr>
        <w:pStyle w:val="4"/>
        <w:rPr>
          <w:rStyle w:val="26"/>
          <w:rFonts w:ascii="仿宋" w:hAnsi="仿宋" w:eastAsia="仿宋"/>
          <w:b w:val="0"/>
          <w:bCs w:val="0"/>
        </w:rPr>
      </w:pPr>
      <w:bookmarkStart w:id="84" w:name="_Toc15396631"/>
      <w:r>
        <w:rPr>
          <w:rStyle w:val="26"/>
          <w:rFonts w:hint="eastAsia" w:ascii="仿宋" w:hAnsi="仿宋" w:eastAsia="仿宋"/>
          <w:b w:val="0"/>
          <w:bCs w:val="0"/>
        </w:rPr>
        <w:t>十三、</w:t>
      </w:r>
      <w:r>
        <w:rPr>
          <w:rFonts w:hint="eastAsia" w:ascii="仿宋" w:hAnsi="仿宋" w:eastAsia="仿宋"/>
          <w:b w:val="0"/>
        </w:rPr>
        <w:t>国</w:t>
      </w:r>
      <w:r>
        <w:rPr>
          <w:rStyle w:val="26"/>
          <w:rFonts w:hint="eastAsia" w:ascii="仿宋" w:hAnsi="仿宋" w:eastAsia="仿宋"/>
          <w:b w:val="0"/>
          <w:bCs w:val="0"/>
        </w:rPr>
        <w:t>有资本经营预算财政拨款收入支出决算表</w:t>
      </w:r>
      <w:bookmarkEnd w:id="84"/>
    </w:p>
    <w:p>
      <w:pPr>
        <w:rPr>
          <w:rFonts w:eastAsia="仿宋"/>
        </w:rPr>
      </w:pPr>
      <w:r>
        <w:rPr>
          <w:rStyle w:val="26"/>
          <w:rFonts w:hint="eastAsia" w:ascii="仿宋" w:hAnsi="仿宋" w:eastAsia="仿宋"/>
          <w:b w:val="0"/>
          <w:bCs w:val="0"/>
        </w:rPr>
        <w:t>十四、国有资本经营预算财政拨款支出决算表</w:t>
      </w:r>
    </w:p>
    <w:sectPr>
      <w:headerReference r:id="rId5" w:type="first"/>
      <w:footerReference r:id="rId7" w:type="first"/>
      <w:headerReference r:id="rId4" w:type="default"/>
      <w:footerReference r:id="rId6" w:type="default"/>
      <w:pgSz w:w="11906" w:h="16838"/>
      <w:pgMar w:top="1440" w:right="1800" w:bottom="1440" w:left="1800"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703020204020201"/>
    <w:charset w:val="86"/>
    <w:family w:val="swiss"/>
    <w:pitch w:val="default"/>
    <w:sig w:usb0="80000287" w:usb1="0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仿宋_GB18030">
    <w:altName w:val="方正仿宋_GBK"/>
    <w:panose1 w:val="02000000000000000000"/>
    <w:charset w:val="86"/>
    <w:family w:val="auto"/>
    <w:pitch w:val="default"/>
    <w:sig w:usb0="00000000" w:usb1="00000000" w:usb2="00000000" w:usb3="00000000" w:csb0="00040000" w:csb1="00000000"/>
  </w:font>
  <w:font w:name="___WRD_EMBED_SUB_46">
    <w:altName w:val="汉仪仿宋S"/>
    <w:panose1 w:val="00000000000000000000"/>
    <w:charset w:val="86"/>
    <w:family w:val="modern"/>
    <w:pitch w:val="default"/>
    <w:sig w:usb0="00000000" w:usb1="00000000" w:usb2="00000010" w:usb3="00000000" w:csb0="00040000" w:csb1="00000000"/>
  </w:font>
  <w:font w:name="___WRD_EMBED_SUB_326">
    <w:altName w:val="微软雅黑"/>
    <w:panose1 w:val="00000000000000000000"/>
    <w:charset w:val="86"/>
    <w:family w:val="auto"/>
    <w:pitch w:val="default"/>
    <w:sig w:usb0="00000000" w:usb1="00000000"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Malgun Gothic Semilight">
    <w:altName w:val="微软雅黑"/>
    <w:panose1 w:val="020B0502040204020203"/>
    <w:charset w:val="86"/>
    <w:family w:val="swiss"/>
    <w:pitch w:val="default"/>
    <w:sig w:usb0="00000000" w:usb1="00000000" w:usb2="00000012" w:usb3="00000000" w:csb0="003E01BD" w:csb1="00000000"/>
  </w:font>
  <w:font w:name="等线">
    <w:altName w:val="微软雅黑"/>
    <w:panose1 w:val="02010600030101010101"/>
    <w:charset w:val="86"/>
    <w:family w:val="auto"/>
    <w:pitch w:val="default"/>
    <w:sig w:usb0="00000000" w:usb1="00000000" w:usb2="00000016" w:usb3="00000000" w:csb0="0004000F" w:csb1="00000000"/>
  </w:font>
  <w:font w:name="方正黑体简体">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迷你简粗仿宋">
    <w:panose1 w:val="02010604000101010101"/>
    <w:charset w:val="86"/>
    <w:family w:val="auto"/>
    <w:pitch w:val="default"/>
    <w:sig w:usb0="00000001" w:usb1="080E0800" w:usb2="00000002" w:usb3="00000000" w:csb0="00040000" w:csb1="00000000"/>
  </w:font>
  <w:font w:name="汉仪仿宋S">
    <w:panose1 w:val="00020600040101000101"/>
    <w:charset w:val="86"/>
    <w:family w:val="auto"/>
    <w:pitch w:val="default"/>
    <w:sig w:usb0="A00002BF" w:usb1="38CF7CFA" w:usb2="00000016" w:usb3="00000000" w:csb0="0004009F"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3081695"/>
      <w:docPartObj>
        <w:docPartGallery w:val="autotext"/>
      </w:docPartObj>
    </w:sdtPr>
    <w:sdtContent>
      <w:p>
        <w:pPr>
          <w:pStyle w:val="8"/>
          <w:jc w:val="center"/>
        </w:pPr>
        <w:r>
          <w:fldChar w:fldCharType="begin"/>
        </w:r>
        <w:r>
          <w:instrText xml:space="preserve">PAGE   \* MERGEFORMAT</w:instrText>
        </w:r>
        <w:r>
          <w:fldChar w:fldCharType="separate"/>
        </w:r>
        <w:r>
          <w:rPr>
            <w:lang w:val="zh-CN"/>
          </w:rPr>
          <w:t>-</w:t>
        </w:r>
        <w:r>
          <w:t xml:space="preserve"> 239 -</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42357973"/>
      <w:docPartObj>
        <w:docPartGallery w:val="autotext"/>
      </w:docPartObj>
    </w:sdtPr>
    <w:sdtContent>
      <w:p>
        <w:pPr>
          <w:pStyle w:val="8"/>
          <w:jc w:val="center"/>
        </w:pPr>
        <w:r>
          <w:fldChar w:fldCharType="begin"/>
        </w:r>
        <w:r>
          <w:instrText xml:space="preserve">PAGE   \* MERGEFORMAT</w:instrText>
        </w:r>
        <w:r>
          <w:fldChar w:fldCharType="separate"/>
        </w:r>
        <w:r>
          <w:rPr>
            <w:lang w:val="zh-CN"/>
          </w:rPr>
          <w:t>-</w:t>
        </w:r>
        <w:r>
          <w:t xml:space="preserve"> 1 -</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22E4BD"/>
    <w:multiLevelType w:val="singleLevel"/>
    <w:tmpl w:val="8822E4BD"/>
    <w:lvl w:ilvl="0" w:tentative="0">
      <w:start w:val="1"/>
      <w:numFmt w:val="decimal"/>
      <w:suff w:val="nothing"/>
      <w:lvlText w:val="%1、"/>
      <w:lvlJc w:val="left"/>
    </w:lvl>
  </w:abstractNum>
  <w:abstractNum w:abstractNumId="1">
    <w:nsid w:val="A1D63A53"/>
    <w:multiLevelType w:val="singleLevel"/>
    <w:tmpl w:val="A1D63A53"/>
    <w:lvl w:ilvl="0" w:tentative="0">
      <w:start w:val="2"/>
      <w:numFmt w:val="chineseCounting"/>
      <w:suff w:val="nothing"/>
      <w:lvlText w:val="（%1）"/>
      <w:lvlJc w:val="left"/>
      <w:rPr>
        <w:rFonts w:hint="eastAsia"/>
      </w:rPr>
    </w:lvl>
  </w:abstractNum>
  <w:abstractNum w:abstractNumId="2">
    <w:nsid w:val="AF042EC9"/>
    <w:multiLevelType w:val="singleLevel"/>
    <w:tmpl w:val="AF042EC9"/>
    <w:lvl w:ilvl="0" w:tentative="0">
      <w:start w:val="2"/>
      <w:numFmt w:val="chineseCounting"/>
      <w:suff w:val="nothing"/>
      <w:lvlText w:val="（%1）"/>
      <w:lvlJc w:val="left"/>
      <w:rPr>
        <w:rFonts w:hint="eastAsia"/>
      </w:rPr>
    </w:lvl>
  </w:abstractNum>
  <w:abstractNum w:abstractNumId="3">
    <w:nsid w:val="BAD87195"/>
    <w:multiLevelType w:val="singleLevel"/>
    <w:tmpl w:val="BAD87195"/>
    <w:lvl w:ilvl="0" w:tentative="0">
      <w:start w:val="1"/>
      <w:numFmt w:val="chineseCounting"/>
      <w:suff w:val="nothing"/>
      <w:lvlText w:val="（%1）"/>
      <w:lvlJc w:val="left"/>
      <w:pPr>
        <w:ind w:left="800" w:firstLine="0"/>
      </w:pPr>
      <w:rPr>
        <w:rFonts w:hint="eastAsia"/>
      </w:rPr>
    </w:lvl>
  </w:abstractNum>
  <w:abstractNum w:abstractNumId="4">
    <w:nsid w:val="CF652CEC"/>
    <w:multiLevelType w:val="singleLevel"/>
    <w:tmpl w:val="CF652CEC"/>
    <w:lvl w:ilvl="0" w:tentative="0">
      <w:start w:val="9"/>
      <w:numFmt w:val="chineseCounting"/>
      <w:suff w:val="nothing"/>
      <w:lvlText w:val="%1、"/>
      <w:lvlJc w:val="left"/>
      <w:rPr>
        <w:rFonts w:hint="eastAsia"/>
      </w:rPr>
    </w:lvl>
  </w:abstractNum>
  <w:abstractNum w:abstractNumId="5">
    <w:nsid w:val="E07D3CCD"/>
    <w:multiLevelType w:val="singleLevel"/>
    <w:tmpl w:val="E07D3CCD"/>
    <w:lvl w:ilvl="0" w:tentative="0">
      <w:start w:val="3"/>
      <w:numFmt w:val="chineseCounting"/>
      <w:suff w:val="nothing"/>
      <w:lvlText w:val="（%1）"/>
      <w:lvlJc w:val="left"/>
      <w:rPr>
        <w:rFonts w:hint="eastAsia"/>
      </w:rPr>
    </w:lvl>
  </w:abstractNum>
  <w:abstractNum w:abstractNumId="6">
    <w:nsid w:val="E2FA047D"/>
    <w:multiLevelType w:val="singleLevel"/>
    <w:tmpl w:val="E2FA047D"/>
    <w:lvl w:ilvl="0" w:tentative="0">
      <w:start w:val="3"/>
      <w:numFmt w:val="chineseCounting"/>
      <w:suff w:val="space"/>
      <w:lvlText w:val="第%1部分"/>
      <w:lvlJc w:val="left"/>
      <w:rPr>
        <w:rFonts w:hint="eastAsia"/>
      </w:rPr>
    </w:lvl>
  </w:abstractNum>
  <w:abstractNum w:abstractNumId="7">
    <w:nsid w:val="F74F60ED"/>
    <w:multiLevelType w:val="singleLevel"/>
    <w:tmpl w:val="F74F60ED"/>
    <w:lvl w:ilvl="0" w:tentative="0">
      <w:start w:val="5"/>
      <w:numFmt w:val="decimal"/>
      <w:suff w:val="nothing"/>
      <w:lvlText w:val="%1、"/>
      <w:lvlJc w:val="left"/>
    </w:lvl>
  </w:abstractNum>
  <w:abstractNum w:abstractNumId="8">
    <w:nsid w:val="FCE8D737"/>
    <w:multiLevelType w:val="singleLevel"/>
    <w:tmpl w:val="FCE8D737"/>
    <w:lvl w:ilvl="0" w:tentative="0">
      <w:start w:val="1"/>
      <w:numFmt w:val="decimal"/>
      <w:suff w:val="nothing"/>
      <w:lvlText w:val="%1、"/>
      <w:lvlJc w:val="left"/>
    </w:lvl>
  </w:abstractNum>
  <w:abstractNum w:abstractNumId="9">
    <w:nsid w:val="02A1F07C"/>
    <w:multiLevelType w:val="singleLevel"/>
    <w:tmpl w:val="02A1F07C"/>
    <w:lvl w:ilvl="0" w:tentative="0">
      <w:start w:val="1"/>
      <w:numFmt w:val="chineseCounting"/>
      <w:suff w:val="nothing"/>
      <w:lvlText w:val="（%1）"/>
      <w:lvlJc w:val="left"/>
      <w:rPr>
        <w:rFonts w:hint="eastAsia"/>
      </w:rPr>
    </w:lvl>
  </w:abstractNum>
  <w:abstractNum w:abstractNumId="10">
    <w:nsid w:val="087E5E44"/>
    <w:multiLevelType w:val="singleLevel"/>
    <w:tmpl w:val="087E5E44"/>
    <w:lvl w:ilvl="0" w:tentative="0">
      <w:start w:val="5"/>
      <w:numFmt w:val="chineseCounting"/>
      <w:suff w:val="nothing"/>
      <w:lvlText w:val="%1、"/>
      <w:lvlJc w:val="left"/>
      <w:rPr>
        <w:rFonts w:hint="eastAsia"/>
      </w:rPr>
    </w:lvl>
  </w:abstractNum>
  <w:abstractNum w:abstractNumId="11">
    <w:nsid w:val="0D24F8DC"/>
    <w:multiLevelType w:val="singleLevel"/>
    <w:tmpl w:val="0D24F8DC"/>
    <w:lvl w:ilvl="0" w:tentative="0">
      <w:start w:val="2"/>
      <w:numFmt w:val="decimal"/>
      <w:suff w:val="nothing"/>
      <w:lvlText w:val="%1．"/>
      <w:lvlJc w:val="left"/>
    </w:lvl>
  </w:abstractNum>
  <w:abstractNum w:abstractNumId="12">
    <w:nsid w:val="0FB354F6"/>
    <w:multiLevelType w:val="singleLevel"/>
    <w:tmpl w:val="0FB354F6"/>
    <w:lvl w:ilvl="0" w:tentative="0">
      <w:start w:val="1"/>
      <w:numFmt w:val="chineseCounting"/>
      <w:suff w:val="nothing"/>
      <w:lvlText w:val="（%1）"/>
      <w:lvlJc w:val="left"/>
      <w:pPr>
        <w:ind w:left="800" w:firstLine="0"/>
      </w:pPr>
      <w:rPr>
        <w:rFonts w:hint="eastAsia"/>
      </w:rPr>
    </w:lvl>
  </w:abstractNum>
  <w:abstractNum w:abstractNumId="13">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4">
    <w:nsid w:val="17C6A2A3"/>
    <w:multiLevelType w:val="singleLevel"/>
    <w:tmpl w:val="17C6A2A3"/>
    <w:lvl w:ilvl="0" w:tentative="0">
      <w:start w:val="1"/>
      <w:numFmt w:val="chineseCounting"/>
      <w:suff w:val="nothing"/>
      <w:lvlText w:val="（%1）"/>
      <w:lvlJc w:val="left"/>
      <w:rPr>
        <w:rFonts w:hint="eastAsia"/>
      </w:rPr>
    </w:lvl>
  </w:abstractNum>
  <w:abstractNum w:abstractNumId="15">
    <w:nsid w:val="1A0409DB"/>
    <w:multiLevelType w:val="singleLevel"/>
    <w:tmpl w:val="1A0409DB"/>
    <w:lvl w:ilvl="0" w:tentative="0">
      <w:start w:val="2"/>
      <w:numFmt w:val="chineseCounting"/>
      <w:suff w:val="nothing"/>
      <w:lvlText w:val="%1、"/>
      <w:lvlJc w:val="left"/>
      <w:rPr>
        <w:rFonts w:hint="eastAsia"/>
      </w:rPr>
    </w:lvl>
  </w:abstractNum>
  <w:abstractNum w:abstractNumId="16">
    <w:nsid w:val="1D734389"/>
    <w:multiLevelType w:val="singleLevel"/>
    <w:tmpl w:val="1D734389"/>
    <w:lvl w:ilvl="0" w:tentative="0">
      <w:start w:val="1"/>
      <w:numFmt w:val="chineseCounting"/>
      <w:suff w:val="nothing"/>
      <w:lvlText w:val="%1、"/>
      <w:lvlJc w:val="left"/>
      <w:rPr>
        <w:rFonts w:hint="eastAsia"/>
      </w:rPr>
    </w:lvl>
  </w:abstractNum>
  <w:abstractNum w:abstractNumId="17">
    <w:nsid w:val="3A9E0EEC"/>
    <w:multiLevelType w:val="multilevel"/>
    <w:tmpl w:val="3A9E0EEC"/>
    <w:lvl w:ilvl="0" w:tentative="0">
      <w:start w:val="1"/>
      <w:numFmt w:val="japaneseCounting"/>
      <w:lvlText w:val="（%1）"/>
      <w:lvlJc w:val="left"/>
      <w:pPr>
        <w:ind w:left="1740" w:hanging="10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8">
    <w:nsid w:val="417289F8"/>
    <w:multiLevelType w:val="singleLevel"/>
    <w:tmpl w:val="417289F8"/>
    <w:lvl w:ilvl="0" w:tentative="0">
      <w:start w:val="3"/>
      <w:numFmt w:val="decimal"/>
      <w:suff w:val="nothing"/>
      <w:lvlText w:val="%1、"/>
      <w:lvlJc w:val="left"/>
    </w:lvl>
  </w:abstractNum>
  <w:abstractNum w:abstractNumId="19">
    <w:nsid w:val="437FD140"/>
    <w:multiLevelType w:val="singleLevel"/>
    <w:tmpl w:val="437FD140"/>
    <w:lvl w:ilvl="0" w:tentative="0">
      <w:start w:val="1"/>
      <w:numFmt w:val="decimal"/>
      <w:suff w:val="nothing"/>
      <w:lvlText w:val="%1、"/>
      <w:lvlJc w:val="left"/>
    </w:lvl>
  </w:abstractNum>
  <w:abstractNum w:abstractNumId="20">
    <w:nsid w:val="4C355F0D"/>
    <w:multiLevelType w:val="singleLevel"/>
    <w:tmpl w:val="4C355F0D"/>
    <w:lvl w:ilvl="0" w:tentative="0">
      <w:start w:val="1"/>
      <w:numFmt w:val="chineseCounting"/>
      <w:suff w:val="nothing"/>
      <w:lvlText w:val="（%1）"/>
      <w:lvlJc w:val="left"/>
      <w:rPr>
        <w:rFonts w:hint="eastAsia"/>
      </w:rPr>
    </w:lvl>
  </w:abstractNum>
  <w:abstractNum w:abstractNumId="21">
    <w:nsid w:val="5A4C6AD3"/>
    <w:multiLevelType w:val="multilevel"/>
    <w:tmpl w:val="5A4C6AD3"/>
    <w:lvl w:ilvl="0" w:tentative="0">
      <w:start w:val="3"/>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2">
    <w:nsid w:val="654D38AE"/>
    <w:multiLevelType w:val="singleLevel"/>
    <w:tmpl w:val="654D38AE"/>
    <w:lvl w:ilvl="0" w:tentative="0">
      <w:start w:val="2"/>
      <w:numFmt w:val="chineseCounting"/>
      <w:suff w:val="nothing"/>
      <w:lvlText w:val="（%1）"/>
      <w:lvlJc w:val="left"/>
      <w:rPr>
        <w:rFonts w:hint="eastAsia"/>
      </w:rPr>
    </w:lvl>
  </w:abstractNum>
  <w:abstractNum w:abstractNumId="23">
    <w:nsid w:val="68ABDB03"/>
    <w:multiLevelType w:val="singleLevel"/>
    <w:tmpl w:val="68ABDB03"/>
    <w:lvl w:ilvl="0" w:tentative="0">
      <w:start w:val="1"/>
      <w:numFmt w:val="decimal"/>
      <w:suff w:val="nothing"/>
      <w:lvlText w:val="%1、"/>
      <w:lvlJc w:val="left"/>
    </w:lvl>
  </w:abstractNum>
  <w:abstractNum w:abstractNumId="24">
    <w:nsid w:val="6DC206C3"/>
    <w:multiLevelType w:val="singleLevel"/>
    <w:tmpl w:val="6DC206C3"/>
    <w:lvl w:ilvl="0" w:tentative="0">
      <w:start w:val="1"/>
      <w:numFmt w:val="chineseCounting"/>
      <w:suff w:val="nothing"/>
      <w:lvlText w:val="（%1）"/>
      <w:lvlJc w:val="left"/>
      <w:rPr>
        <w:rFonts w:hint="eastAsia"/>
      </w:rPr>
    </w:lvl>
  </w:abstractNum>
  <w:abstractNum w:abstractNumId="25">
    <w:nsid w:val="6DFDC92E"/>
    <w:multiLevelType w:val="singleLevel"/>
    <w:tmpl w:val="6DFDC92E"/>
    <w:lvl w:ilvl="0" w:tentative="0">
      <w:start w:val="3"/>
      <w:numFmt w:val="chineseCounting"/>
      <w:suff w:val="nothing"/>
      <w:lvlText w:val="(%1）"/>
      <w:lvlJc w:val="left"/>
      <w:rPr>
        <w:rFonts w:hint="eastAsia"/>
      </w:rPr>
    </w:lvl>
  </w:abstractNum>
  <w:num w:numId="1">
    <w:abstractNumId w:val="13"/>
  </w:num>
  <w:num w:numId="2">
    <w:abstractNumId w:val="4"/>
  </w:num>
  <w:num w:numId="3">
    <w:abstractNumId w:val="6"/>
  </w:num>
  <w:num w:numId="4">
    <w:abstractNumId w:val="15"/>
  </w:num>
  <w:num w:numId="5">
    <w:abstractNumId w:val="8"/>
  </w:num>
  <w:num w:numId="6">
    <w:abstractNumId w:val="21"/>
  </w:num>
  <w:num w:numId="7">
    <w:abstractNumId w:val="3"/>
  </w:num>
  <w:num w:numId="8">
    <w:abstractNumId w:val="16"/>
  </w:num>
  <w:num w:numId="9">
    <w:abstractNumId w:val="25"/>
  </w:num>
  <w:num w:numId="10">
    <w:abstractNumId w:val="22"/>
  </w:num>
  <w:num w:numId="11">
    <w:abstractNumId w:val="7"/>
  </w:num>
  <w:num w:numId="12">
    <w:abstractNumId w:val="14"/>
  </w:num>
  <w:num w:numId="13">
    <w:abstractNumId w:val="1"/>
  </w:num>
  <w:num w:numId="14">
    <w:abstractNumId w:val="10"/>
  </w:num>
  <w:num w:numId="15">
    <w:abstractNumId w:val="12"/>
  </w:num>
  <w:num w:numId="16">
    <w:abstractNumId w:val="9"/>
  </w:num>
  <w:num w:numId="17">
    <w:abstractNumId w:val="20"/>
  </w:num>
  <w:num w:numId="18">
    <w:abstractNumId w:val="24"/>
  </w:num>
  <w:num w:numId="19">
    <w:abstractNumId w:val="11"/>
  </w:num>
  <w:num w:numId="20">
    <w:abstractNumId w:val="2"/>
  </w:num>
  <w:num w:numId="21">
    <w:abstractNumId w:val="23"/>
  </w:num>
  <w:num w:numId="22">
    <w:abstractNumId w:val="0"/>
  </w:num>
  <w:num w:numId="23">
    <w:abstractNumId w:val="17"/>
  </w:num>
  <w:num w:numId="24">
    <w:abstractNumId w:val="5"/>
  </w:num>
  <w:num w:numId="25">
    <w:abstractNumId w:val="18"/>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4MDVjOGFhOGY5ZWE1MDA1MzhlM2IzNDI2NWUyZGQifQ=="/>
  </w:docVars>
  <w:rsids>
    <w:rsidRoot w:val="00F1361C"/>
    <w:rsid w:val="00002CF2"/>
    <w:rsid w:val="00003B30"/>
    <w:rsid w:val="000222C6"/>
    <w:rsid w:val="000229D3"/>
    <w:rsid w:val="00025231"/>
    <w:rsid w:val="0002549F"/>
    <w:rsid w:val="00033230"/>
    <w:rsid w:val="00043437"/>
    <w:rsid w:val="00045F8F"/>
    <w:rsid w:val="000468DB"/>
    <w:rsid w:val="00053DE9"/>
    <w:rsid w:val="0006487A"/>
    <w:rsid w:val="00065F8F"/>
    <w:rsid w:val="00067A14"/>
    <w:rsid w:val="00070A43"/>
    <w:rsid w:val="000736EA"/>
    <w:rsid w:val="000768F2"/>
    <w:rsid w:val="00077E12"/>
    <w:rsid w:val="000843D1"/>
    <w:rsid w:val="0009184B"/>
    <w:rsid w:val="00092101"/>
    <w:rsid w:val="00094001"/>
    <w:rsid w:val="00094236"/>
    <w:rsid w:val="0009593C"/>
    <w:rsid w:val="00097322"/>
    <w:rsid w:val="000A6A92"/>
    <w:rsid w:val="000B047F"/>
    <w:rsid w:val="000B5923"/>
    <w:rsid w:val="000B5A48"/>
    <w:rsid w:val="000B6FF3"/>
    <w:rsid w:val="000C3467"/>
    <w:rsid w:val="000C3CA6"/>
    <w:rsid w:val="000D1267"/>
    <w:rsid w:val="000D1D50"/>
    <w:rsid w:val="000D5782"/>
    <w:rsid w:val="000D63E4"/>
    <w:rsid w:val="000D6AED"/>
    <w:rsid w:val="000E1A48"/>
    <w:rsid w:val="000E30A0"/>
    <w:rsid w:val="000E6613"/>
    <w:rsid w:val="000E7119"/>
    <w:rsid w:val="000F1E74"/>
    <w:rsid w:val="000F69F1"/>
    <w:rsid w:val="000F7CF4"/>
    <w:rsid w:val="00102B9C"/>
    <w:rsid w:val="00110FD0"/>
    <w:rsid w:val="00112EF8"/>
    <w:rsid w:val="00113899"/>
    <w:rsid w:val="00114E9B"/>
    <w:rsid w:val="001173D8"/>
    <w:rsid w:val="00127EEE"/>
    <w:rsid w:val="0013111A"/>
    <w:rsid w:val="001402AB"/>
    <w:rsid w:val="00142216"/>
    <w:rsid w:val="00144D6A"/>
    <w:rsid w:val="0014729F"/>
    <w:rsid w:val="00157BAB"/>
    <w:rsid w:val="001654D1"/>
    <w:rsid w:val="00174518"/>
    <w:rsid w:val="0018106D"/>
    <w:rsid w:val="001828BC"/>
    <w:rsid w:val="00186115"/>
    <w:rsid w:val="001877A7"/>
    <w:rsid w:val="00191536"/>
    <w:rsid w:val="00196687"/>
    <w:rsid w:val="001A1375"/>
    <w:rsid w:val="001A1ACA"/>
    <w:rsid w:val="001B67A1"/>
    <w:rsid w:val="001C0962"/>
    <w:rsid w:val="001C3193"/>
    <w:rsid w:val="001C63CC"/>
    <w:rsid w:val="001C6A50"/>
    <w:rsid w:val="001C6E47"/>
    <w:rsid w:val="001D7531"/>
    <w:rsid w:val="001E737D"/>
    <w:rsid w:val="001F0592"/>
    <w:rsid w:val="001F1BB5"/>
    <w:rsid w:val="001F7506"/>
    <w:rsid w:val="002006CD"/>
    <w:rsid w:val="00200F1D"/>
    <w:rsid w:val="00202B36"/>
    <w:rsid w:val="00203A96"/>
    <w:rsid w:val="00204183"/>
    <w:rsid w:val="00204B7A"/>
    <w:rsid w:val="00204CDE"/>
    <w:rsid w:val="00205334"/>
    <w:rsid w:val="0021101A"/>
    <w:rsid w:val="00220536"/>
    <w:rsid w:val="00225DE4"/>
    <w:rsid w:val="00235629"/>
    <w:rsid w:val="00242429"/>
    <w:rsid w:val="00244076"/>
    <w:rsid w:val="00255332"/>
    <w:rsid w:val="00260C38"/>
    <w:rsid w:val="002616C0"/>
    <w:rsid w:val="00261D2D"/>
    <w:rsid w:val="002624A8"/>
    <w:rsid w:val="00265372"/>
    <w:rsid w:val="002662AA"/>
    <w:rsid w:val="00266376"/>
    <w:rsid w:val="0027241F"/>
    <w:rsid w:val="00274BA6"/>
    <w:rsid w:val="002768D6"/>
    <w:rsid w:val="00276B38"/>
    <w:rsid w:val="0027707F"/>
    <w:rsid w:val="00280496"/>
    <w:rsid w:val="00291DAF"/>
    <w:rsid w:val="0029485A"/>
    <w:rsid w:val="00294DC9"/>
    <w:rsid w:val="00295495"/>
    <w:rsid w:val="002A04F0"/>
    <w:rsid w:val="002A20D2"/>
    <w:rsid w:val="002A31DE"/>
    <w:rsid w:val="002B0878"/>
    <w:rsid w:val="002B2613"/>
    <w:rsid w:val="002C202C"/>
    <w:rsid w:val="002C7D55"/>
    <w:rsid w:val="002D1AF3"/>
    <w:rsid w:val="002D4905"/>
    <w:rsid w:val="002D6D05"/>
    <w:rsid w:val="002D6DF4"/>
    <w:rsid w:val="002E1631"/>
    <w:rsid w:val="002F1818"/>
    <w:rsid w:val="002F1CA8"/>
    <w:rsid w:val="002F567B"/>
    <w:rsid w:val="00307C30"/>
    <w:rsid w:val="00317BC7"/>
    <w:rsid w:val="00320644"/>
    <w:rsid w:val="003216A9"/>
    <w:rsid w:val="0032674B"/>
    <w:rsid w:val="003315E0"/>
    <w:rsid w:val="00331925"/>
    <w:rsid w:val="00332937"/>
    <w:rsid w:val="00333D7A"/>
    <w:rsid w:val="00335A74"/>
    <w:rsid w:val="0034641F"/>
    <w:rsid w:val="00355975"/>
    <w:rsid w:val="0036437C"/>
    <w:rsid w:val="0036561B"/>
    <w:rsid w:val="00367919"/>
    <w:rsid w:val="0037013F"/>
    <w:rsid w:val="00375AC8"/>
    <w:rsid w:val="00377358"/>
    <w:rsid w:val="00380C92"/>
    <w:rsid w:val="003871B0"/>
    <w:rsid w:val="00395B7C"/>
    <w:rsid w:val="003A03DE"/>
    <w:rsid w:val="003A0432"/>
    <w:rsid w:val="003A1026"/>
    <w:rsid w:val="003A484F"/>
    <w:rsid w:val="003A4883"/>
    <w:rsid w:val="003A5F92"/>
    <w:rsid w:val="003B0BE0"/>
    <w:rsid w:val="003B0C1B"/>
    <w:rsid w:val="003B3991"/>
    <w:rsid w:val="003B5696"/>
    <w:rsid w:val="003B688C"/>
    <w:rsid w:val="003C0291"/>
    <w:rsid w:val="003C39AE"/>
    <w:rsid w:val="003C5D61"/>
    <w:rsid w:val="003C7B60"/>
    <w:rsid w:val="003C7BA2"/>
    <w:rsid w:val="003D0C0F"/>
    <w:rsid w:val="003D1FB2"/>
    <w:rsid w:val="003D66DA"/>
    <w:rsid w:val="003E1310"/>
    <w:rsid w:val="003E1E60"/>
    <w:rsid w:val="003E2719"/>
    <w:rsid w:val="003E4611"/>
    <w:rsid w:val="003E6F55"/>
    <w:rsid w:val="00406254"/>
    <w:rsid w:val="00406A7B"/>
    <w:rsid w:val="00407B8F"/>
    <w:rsid w:val="004122F4"/>
    <w:rsid w:val="0041742F"/>
    <w:rsid w:val="004223DE"/>
    <w:rsid w:val="00431C60"/>
    <w:rsid w:val="00434489"/>
    <w:rsid w:val="00437085"/>
    <w:rsid w:val="00443880"/>
    <w:rsid w:val="004464DD"/>
    <w:rsid w:val="004464F4"/>
    <w:rsid w:val="004512E6"/>
    <w:rsid w:val="00451FE1"/>
    <w:rsid w:val="00455FC2"/>
    <w:rsid w:val="00471401"/>
    <w:rsid w:val="00473F31"/>
    <w:rsid w:val="0048263A"/>
    <w:rsid w:val="00487E5D"/>
    <w:rsid w:val="0049057E"/>
    <w:rsid w:val="00496C3B"/>
    <w:rsid w:val="004A711F"/>
    <w:rsid w:val="004B199D"/>
    <w:rsid w:val="004B40CD"/>
    <w:rsid w:val="004B4690"/>
    <w:rsid w:val="004B5132"/>
    <w:rsid w:val="004C2A04"/>
    <w:rsid w:val="004C711E"/>
    <w:rsid w:val="004D0F2E"/>
    <w:rsid w:val="004D43BC"/>
    <w:rsid w:val="004D6922"/>
    <w:rsid w:val="004E0A2D"/>
    <w:rsid w:val="004E206B"/>
    <w:rsid w:val="004E3B26"/>
    <w:rsid w:val="004E3FA6"/>
    <w:rsid w:val="004E6DF7"/>
    <w:rsid w:val="004F0FBD"/>
    <w:rsid w:val="004F6BD0"/>
    <w:rsid w:val="004F7E6E"/>
    <w:rsid w:val="00504D03"/>
    <w:rsid w:val="00505A47"/>
    <w:rsid w:val="00512512"/>
    <w:rsid w:val="00512FDA"/>
    <w:rsid w:val="00520DA0"/>
    <w:rsid w:val="005269A4"/>
    <w:rsid w:val="005312A4"/>
    <w:rsid w:val="00531FB5"/>
    <w:rsid w:val="00533AB2"/>
    <w:rsid w:val="00533F70"/>
    <w:rsid w:val="00534024"/>
    <w:rsid w:val="00540C5E"/>
    <w:rsid w:val="00545B0D"/>
    <w:rsid w:val="00546EAA"/>
    <w:rsid w:val="005662B8"/>
    <w:rsid w:val="005664BB"/>
    <w:rsid w:val="00566FFA"/>
    <w:rsid w:val="0057481D"/>
    <w:rsid w:val="00576ECB"/>
    <w:rsid w:val="0058486E"/>
    <w:rsid w:val="00585B33"/>
    <w:rsid w:val="00587C09"/>
    <w:rsid w:val="0059014D"/>
    <w:rsid w:val="005A5EE4"/>
    <w:rsid w:val="005B0AD9"/>
    <w:rsid w:val="005B364D"/>
    <w:rsid w:val="005B5C64"/>
    <w:rsid w:val="005C3415"/>
    <w:rsid w:val="005C5337"/>
    <w:rsid w:val="005C6BD0"/>
    <w:rsid w:val="005D1C8B"/>
    <w:rsid w:val="005D468D"/>
    <w:rsid w:val="005D5CED"/>
    <w:rsid w:val="005E29D4"/>
    <w:rsid w:val="005E4C25"/>
    <w:rsid w:val="005E759A"/>
    <w:rsid w:val="005F10DB"/>
    <w:rsid w:val="005F1A4C"/>
    <w:rsid w:val="00605688"/>
    <w:rsid w:val="006070AF"/>
    <w:rsid w:val="00607E6C"/>
    <w:rsid w:val="006101B1"/>
    <w:rsid w:val="006124BC"/>
    <w:rsid w:val="00614640"/>
    <w:rsid w:val="00614E44"/>
    <w:rsid w:val="00616A93"/>
    <w:rsid w:val="0062270A"/>
    <w:rsid w:val="00622830"/>
    <w:rsid w:val="00623DA0"/>
    <w:rsid w:val="006250EC"/>
    <w:rsid w:val="006273AE"/>
    <w:rsid w:val="00630AEF"/>
    <w:rsid w:val="00632360"/>
    <w:rsid w:val="006325F8"/>
    <w:rsid w:val="00633463"/>
    <w:rsid w:val="00634C9A"/>
    <w:rsid w:val="00637DCD"/>
    <w:rsid w:val="0064161C"/>
    <w:rsid w:val="006440E4"/>
    <w:rsid w:val="00645A34"/>
    <w:rsid w:val="00654A40"/>
    <w:rsid w:val="00657A0A"/>
    <w:rsid w:val="0066343B"/>
    <w:rsid w:val="00664777"/>
    <w:rsid w:val="006748A4"/>
    <w:rsid w:val="00681A31"/>
    <w:rsid w:val="00683E73"/>
    <w:rsid w:val="006A2210"/>
    <w:rsid w:val="006A3141"/>
    <w:rsid w:val="006A5E34"/>
    <w:rsid w:val="006B2422"/>
    <w:rsid w:val="006B2B9A"/>
    <w:rsid w:val="006B556B"/>
    <w:rsid w:val="006C1937"/>
    <w:rsid w:val="006C4F0F"/>
    <w:rsid w:val="006D0DE3"/>
    <w:rsid w:val="006E030C"/>
    <w:rsid w:val="006E2E8E"/>
    <w:rsid w:val="006E697D"/>
    <w:rsid w:val="006F020C"/>
    <w:rsid w:val="00703B9D"/>
    <w:rsid w:val="00711EE9"/>
    <w:rsid w:val="007127B7"/>
    <w:rsid w:val="0071363B"/>
    <w:rsid w:val="007167CA"/>
    <w:rsid w:val="0071798E"/>
    <w:rsid w:val="007416B6"/>
    <w:rsid w:val="00743648"/>
    <w:rsid w:val="00746F48"/>
    <w:rsid w:val="0075404D"/>
    <w:rsid w:val="007606EE"/>
    <w:rsid w:val="0076182A"/>
    <w:rsid w:val="00761D0B"/>
    <w:rsid w:val="00767B7E"/>
    <w:rsid w:val="00773509"/>
    <w:rsid w:val="00773D2F"/>
    <w:rsid w:val="007770C3"/>
    <w:rsid w:val="00777228"/>
    <w:rsid w:val="007828BB"/>
    <w:rsid w:val="00784C43"/>
    <w:rsid w:val="00784D24"/>
    <w:rsid w:val="00785FBA"/>
    <w:rsid w:val="00786E4A"/>
    <w:rsid w:val="007875EB"/>
    <w:rsid w:val="007937EE"/>
    <w:rsid w:val="0079426B"/>
    <w:rsid w:val="007A043E"/>
    <w:rsid w:val="007A1519"/>
    <w:rsid w:val="007C6240"/>
    <w:rsid w:val="007D1682"/>
    <w:rsid w:val="007D312A"/>
    <w:rsid w:val="007D3F19"/>
    <w:rsid w:val="007D5443"/>
    <w:rsid w:val="007E23B0"/>
    <w:rsid w:val="007E23E5"/>
    <w:rsid w:val="007E29E2"/>
    <w:rsid w:val="007F18DD"/>
    <w:rsid w:val="007F1991"/>
    <w:rsid w:val="007F2C2F"/>
    <w:rsid w:val="007F3346"/>
    <w:rsid w:val="007F55FC"/>
    <w:rsid w:val="007F5665"/>
    <w:rsid w:val="00800112"/>
    <w:rsid w:val="00813348"/>
    <w:rsid w:val="00822B60"/>
    <w:rsid w:val="008253BB"/>
    <w:rsid w:val="00830B81"/>
    <w:rsid w:val="0083706E"/>
    <w:rsid w:val="008408F6"/>
    <w:rsid w:val="008423A5"/>
    <w:rsid w:val="00850625"/>
    <w:rsid w:val="00853718"/>
    <w:rsid w:val="00855221"/>
    <w:rsid w:val="00860645"/>
    <w:rsid w:val="00860991"/>
    <w:rsid w:val="00866122"/>
    <w:rsid w:val="00867716"/>
    <w:rsid w:val="008707BB"/>
    <w:rsid w:val="00871F71"/>
    <w:rsid w:val="00872FD8"/>
    <w:rsid w:val="008764BB"/>
    <w:rsid w:val="00885AF4"/>
    <w:rsid w:val="008939CD"/>
    <w:rsid w:val="008B20C2"/>
    <w:rsid w:val="008B3995"/>
    <w:rsid w:val="008B768C"/>
    <w:rsid w:val="008B7900"/>
    <w:rsid w:val="008C4DB1"/>
    <w:rsid w:val="008C4EAF"/>
    <w:rsid w:val="008C5176"/>
    <w:rsid w:val="008C7FD0"/>
    <w:rsid w:val="008D3BD2"/>
    <w:rsid w:val="008D785E"/>
    <w:rsid w:val="008E1DE7"/>
    <w:rsid w:val="008E707C"/>
    <w:rsid w:val="008F127D"/>
    <w:rsid w:val="008F6ACD"/>
    <w:rsid w:val="008F7773"/>
    <w:rsid w:val="00900B08"/>
    <w:rsid w:val="00902155"/>
    <w:rsid w:val="00902FA3"/>
    <w:rsid w:val="00921F50"/>
    <w:rsid w:val="00923564"/>
    <w:rsid w:val="0092392E"/>
    <w:rsid w:val="009315F9"/>
    <w:rsid w:val="00933499"/>
    <w:rsid w:val="00935C98"/>
    <w:rsid w:val="0094133D"/>
    <w:rsid w:val="00946945"/>
    <w:rsid w:val="00947CBC"/>
    <w:rsid w:val="00951248"/>
    <w:rsid w:val="0095152F"/>
    <w:rsid w:val="00954C49"/>
    <w:rsid w:val="00955E37"/>
    <w:rsid w:val="00961213"/>
    <w:rsid w:val="0096208D"/>
    <w:rsid w:val="0097099F"/>
    <w:rsid w:val="00971997"/>
    <w:rsid w:val="00971FFC"/>
    <w:rsid w:val="00972489"/>
    <w:rsid w:val="009743A9"/>
    <w:rsid w:val="0098660A"/>
    <w:rsid w:val="009931C3"/>
    <w:rsid w:val="00995378"/>
    <w:rsid w:val="009A6E69"/>
    <w:rsid w:val="009B2C43"/>
    <w:rsid w:val="009B4EAE"/>
    <w:rsid w:val="009B7573"/>
    <w:rsid w:val="009C1C27"/>
    <w:rsid w:val="009C22F4"/>
    <w:rsid w:val="009C2A4B"/>
    <w:rsid w:val="009C2E98"/>
    <w:rsid w:val="009C318A"/>
    <w:rsid w:val="009D3447"/>
    <w:rsid w:val="009D4711"/>
    <w:rsid w:val="009F0D41"/>
    <w:rsid w:val="009F1185"/>
    <w:rsid w:val="009F11B3"/>
    <w:rsid w:val="009F18CD"/>
    <w:rsid w:val="009F2A13"/>
    <w:rsid w:val="009F7527"/>
    <w:rsid w:val="00A04EB0"/>
    <w:rsid w:val="00A13CC1"/>
    <w:rsid w:val="00A15F23"/>
    <w:rsid w:val="00A16847"/>
    <w:rsid w:val="00A211EF"/>
    <w:rsid w:val="00A22345"/>
    <w:rsid w:val="00A2253E"/>
    <w:rsid w:val="00A237D8"/>
    <w:rsid w:val="00A268C4"/>
    <w:rsid w:val="00A307CD"/>
    <w:rsid w:val="00A30849"/>
    <w:rsid w:val="00A30953"/>
    <w:rsid w:val="00A331C8"/>
    <w:rsid w:val="00A35808"/>
    <w:rsid w:val="00A40A00"/>
    <w:rsid w:val="00A4142F"/>
    <w:rsid w:val="00A422EB"/>
    <w:rsid w:val="00A4291D"/>
    <w:rsid w:val="00A45765"/>
    <w:rsid w:val="00A45BB7"/>
    <w:rsid w:val="00A54ADC"/>
    <w:rsid w:val="00A56DF2"/>
    <w:rsid w:val="00A56E6E"/>
    <w:rsid w:val="00A57943"/>
    <w:rsid w:val="00A67AB5"/>
    <w:rsid w:val="00A722CE"/>
    <w:rsid w:val="00A733B2"/>
    <w:rsid w:val="00A741C2"/>
    <w:rsid w:val="00A91108"/>
    <w:rsid w:val="00A91760"/>
    <w:rsid w:val="00A93B00"/>
    <w:rsid w:val="00A93C21"/>
    <w:rsid w:val="00A94CB2"/>
    <w:rsid w:val="00AA5AF3"/>
    <w:rsid w:val="00AB0DE8"/>
    <w:rsid w:val="00AB27D2"/>
    <w:rsid w:val="00AB423B"/>
    <w:rsid w:val="00AB64C9"/>
    <w:rsid w:val="00AC182B"/>
    <w:rsid w:val="00AC3C6A"/>
    <w:rsid w:val="00AD25AA"/>
    <w:rsid w:val="00AD33FD"/>
    <w:rsid w:val="00AD4F79"/>
    <w:rsid w:val="00AD514D"/>
    <w:rsid w:val="00AD5620"/>
    <w:rsid w:val="00AD656B"/>
    <w:rsid w:val="00AD7C1B"/>
    <w:rsid w:val="00AE16BA"/>
    <w:rsid w:val="00AE1EBE"/>
    <w:rsid w:val="00AE339F"/>
    <w:rsid w:val="00AE36CA"/>
    <w:rsid w:val="00AF609A"/>
    <w:rsid w:val="00B03C9D"/>
    <w:rsid w:val="00B05549"/>
    <w:rsid w:val="00B060AE"/>
    <w:rsid w:val="00B10517"/>
    <w:rsid w:val="00B14E76"/>
    <w:rsid w:val="00B161B8"/>
    <w:rsid w:val="00B2048C"/>
    <w:rsid w:val="00B2657C"/>
    <w:rsid w:val="00B310B9"/>
    <w:rsid w:val="00B356C4"/>
    <w:rsid w:val="00B35F3F"/>
    <w:rsid w:val="00B36C7F"/>
    <w:rsid w:val="00B36CBB"/>
    <w:rsid w:val="00B37B12"/>
    <w:rsid w:val="00B425E0"/>
    <w:rsid w:val="00B42B80"/>
    <w:rsid w:val="00B43837"/>
    <w:rsid w:val="00B440AA"/>
    <w:rsid w:val="00B44B70"/>
    <w:rsid w:val="00B53C56"/>
    <w:rsid w:val="00B5501E"/>
    <w:rsid w:val="00B57DAF"/>
    <w:rsid w:val="00B63941"/>
    <w:rsid w:val="00B778F7"/>
    <w:rsid w:val="00B77EA6"/>
    <w:rsid w:val="00B80065"/>
    <w:rsid w:val="00B81598"/>
    <w:rsid w:val="00B81C65"/>
    <w:rsid w:val="00B83853"/>
    <w:rsid w:val="00B83DAA"/>
    <w:rsid w:val="00B841F1"/>
    <w:rsid w:val="00B944D6"/>
    <w:rsid w:val="00B965E4"/>
    <w:rsid w:val="00BA112E"/>
    <w:rsid w:val="00BA2DA0"/>
    <w:rsid w:val="00BA3380"/>
    <w:rsid w:val="00BA59D3"/>
    <w:rsid w:val="00BB4AEC"/>
    <w:rsid w:val="00BB4DF0"/>
    <w:rsid w:val="00BB5C40"/>
    <w:rsid w:val="00BC1775"/>
    <w:rsid w:val="00BC289F"/>
    <w:rsid w:val="00BC2D50"/>
    <w:rsid w:val="00BC3F91"/>
    <w:rsid w:val="00BC4905"/>
    <w:rsid w:val="00BC5361"/>
    <w:rsid w:val="00BC5460"/>
    <w:rsid w:val="00BC6281"/>
    <w:rsid w:val="00BC6B50"/>
    <w:rsid w:val="00BC6CD0"/>
    <w:rsid w:val="00BD0E25"/>
    <w:rsid w:val="00BD2888"/>
    <w:rsid w:val="00BE12DE"/>
    <w:rsid w:val="00BE3218"/>
    <w:rsid w:val="00BF5BD6"/>
    <w:rsid w:val="00C03E31"/>
    <w:rsid w:val="00C07929"/>
    <w:rsid w:val="00C100BB"/>
    <w:rsid w:val="00C33E72"/>
    <w:rsid w:val="00C354B2"/>
    <w:rsid w:val="00C35554"/>
    <w:rsid w:val="00C41219"/>
    <w:rsid w:val="00C41CF3"/>
    <w:rsid w:val="00C42709"/>
    <w:rsid w:val="00C44A32"/>
    <w:rsid w:val="00C512CA"/>
    <w:rsid w:val="00C533CC"/>
    <w:rsid w:val="00C5751C"/>
    <w:rsid w:val="00C576CA"/>
    <w:rsid w:val="00C61BFC"/>
    <w:rsid w:val="00C62B85"/>
    <w:rsid w:val="00C65438"/>
    <w:rsid w:val="00C67945"/>
    <w:rsid w:val="00C754AF"/>
    <w:rsid w:val="00C82423"/>
    <w:rsid w:val="00C84D0B"/>
    <w:rsid w:val="00C85762"/>
    <w:rsid w:val="00C869A6"/>
    <w:rsid w:val="00C87FD8"/>
    <w:rsid w:val="00C91381"/>
    <w:rsid w:val="00C91CBB"/>
    <w:rsid w:val="00CA5AFC"/>
    <w:rsid w:val="00CB4E70"/>
    <w:rsid w:val="00CB5816"/>
    <w:rsid w:val="00CC09B6"/>
    <w:rsid w:val="00CC2002"/>
    <w:rsid w:val="00CC4D07"/>
    <w:rsid w:val="00CC666F"/>
    <w:rsid w:val="00CD1E3F"/>
    <w:rsid w:val="00CD7038"/>
    <w:rsid w:val="00CE014F"/>
    <w:rsid w:val="00CE44F6"/>
    <w:rsid w:val="00CE49DA"/>
    <w:rsid w:val="00CE7B61"/>
    <w:rsid w:val="00D00095"/>
    <w:rsid w:val="00D00912"/>
    <w:rsid w:val="00D01167"/>
    <w:rsid w:val="00D01497"/>
    <w:rsid w:val="00D05239"/>
    <w:rsid w:val="00D06C90"/>
    <w:rsid w:val="00D114F0"/>
    <w:rsid w:val="00D20620"/>
    <w:rsid w:val="00D254F7"/>
    <w:rsid w:val="00D26091"/>
    <w:rsid w:val="00D2685C"/>
    <w:rsid w:val="00D34E7C"/>
    <w:rsid w:val="00D34FBA"/>
    <w:rsid w:val="00D35489"/>
    <w:rsid w:val="00D36AFE"/>
    <w:rsid w:val="00D3745A"/>
    <w:rsid w:val="00D45DAC"/>
    <w:rsid w:val="00D51276"/>
    <w:rsid w:val="00D5523F"/>
    <w:rsid w:val="00D60F30"/>
    <w:rsid w:val="00D652FE"/>
    <w:rsid w:val="00D7035F"/>
    <w:rsid w:val="00D75DE5"/>
    <w:rsid w:val="00D90063"/>
    <w:rsid w:val="00D93213"/>
    <w:rsid w:val="00D9591D"/>
    <w:rsid w:val="00DA31CC"/>
    <w:rsid w:val="00DA4FE0"/>
    <w:rsid w:val="00DA634F"/>
    <w:rsid w:val="00DA65AC"/>
    <w:rsid w:val="00DB015A"/>
    <w:rsid w:val="00DB1913"/>
    <w:rsid w:val="00DB1F4E"/>
    <w:rsid w:val="00DC410D"/>
    <w:rsid w:val="00DC5A81"/>
    <w:rsid w:val="00DC68CA"/>
    <w:rsid w:val="00DC7CBA"/>
    <w:rsid w:val="00DD73B7"/>
    <w:rsid w:val="00DD73CC"/>
    <w:rsid w:val="00DE3C41"/>
    <w:rsid w:val="00DF02D3"/>
    <w:rsid w:val="00DF28BC"/>
    <w:rsid w:val="00DF34B9"/>
    <w:rsid w:val="00DF4A25"/>
    <w:rsid w:val="00DF4E46"/>
    <w:rsid w:val="00DF74C7"/>
    <w:rsid w:val="00E01053"/>
    <w:rsid w:val="00E06B43"/>
    <w:rsid w:val="00E07ACF"/>
    <w:rsid w:val="00E27397"/>
    <w:rsid w:val="00E331A1"/>
    <w:rsid w:val="00E33202"/>
    <w:rsid w:val="00E336A9"/>
    <w:rsid w:val="00E472B1"/>
    <w:rsid w:val="00E50624"/>
    <w:rsid w:val="00E568DF"/>
    <w:rsid w:val="00E64269"/>
    <w:rsid w:val="00E70D49"/>
    <w:rsid w:val="00E7508A"/>
    <w:rsid w:val="00E82267"/>
    <w:rsid w:val="00E83569"/>
    <w:rsid w:val="00E853CE"/>
    <w:rsid w:val="00E855C3"/>
    <w:rsid w:val="00E859B4"/>
    <w:rsid w:val="00E867B6"/>
    <w:rsid w:val="00E92129"/>
    <w:rsid w:val="00E952CD"/>
    <w:rsid w:val="00E95585"/>
    <w:rsid w:val="00EA010F"/>
    <w:rsid w:val="00EA67B5"/>
    <w:rsid w:val="00EC74A3"/>
    <w:rsid w:val="00EC7823"/>
    <w:rsid w:val="00ED1B63"/>
    <w:rsid w:val="00ED3C1F"/>
    <w:rsid w:val="00ED4085"/>
    <w:rsid w:val="00ED420E"/>
    <w:rsid w:val="00ED6FBE"/>
    <w:rsid w:val="00EE2F57"/>
    <w:rsid w:val="00EE6424"/>
    <w:rsid w:val="00EE66E7"/>
    <w:rsid w:val="00EE788E"/>
    <w:rsid w:val="00EF001A"/>
    <w:rsid w:val="00EF4C34"/>
    <w:rsid w:val="00EF59E3"/>
    <w:rsid w:val="00EF77C6"/>
    <w:rsid w:val="00F05438"/>
    <w:rsid w:val="00F1361C"/>
    <w:rsid w:val="00F156F0"/>
    <w:rsid w:val="00F160C7"/>
    <w:rsid w:val="00F20988"/>
    <w:rsid w:val="00F2408F"/>
    <w:rsid w:val="00F240E9"/>
    <w:rsid w:val="00F24AF1"/>
    <w:rsid w:val="00F25977"/>
    <w:rsid w:val="00F321AC"/>
    <w:rsid w:val="00F34030"/>
    <w:rsid w:val="00F36D8F"/>
    <w:rsid w:val="00F417B1"/>
    <w:rsid w:val="00F42278"/>
    <w:rsid w:val="00F45853"/>
    <w:rsid w:val="00F47B74"/>
    <w:rsid w:val="00F602DF"/>
    <w:rsid w:val="00F60DAE"/>
    <w:rsid w:val="00F619BF"/>
    <w:rsid w:val="00F649BA"/>
    <w:rsid w:val="00F75411"/>
    <w:rsid w:val="00F754A1"/>
    <w:rsid w:val="00F81FD9"/>
    <w:rsid w:val="00F841AA"/>
    <w:rsid w:val="00F84A94"/>
    <w:rsid w:val="00F86E66"/>
    <w:rsid w:val="00F87E96"/>
    <w:rsid w:val="00FA23E8"/>
    <w:rsid w:val="00FA5FAA"/>
    <w:rsid w:val="00FB7D33"/>
    <w:rsid w:val="00FC0A17"/>
    <w:rsid w:val="00FC501F"/>
    <w:rsid w:val="00FC5464"/>
    <w:rsid w:val="00FC78D6"/>
    <w:rsid w:val="00FD207B"/>
    <w:rsid w:val="00FD3CC1"/>
    <w:rsid w:val="00FD4387"/>
    <w:rsid w:val="00FF142F"/>
    <w:rsid w:val="00FF1E02"/>
    <w:rsid w:val="00FF1E19"/>
    <w:rsid w:val="00FF2137"/>
    <w:rsid w:val="00FF30B4"/>
    <w:rsid w:val="05A43397"/>
    <w:rsid w:val="066E0107"/>
    <w:rsid w:val="07996F6E"/>
    <w:rsid w:val="0A2032A3"/>
    <w:rsid w:val="101860EC"/>
    <w:rsid w:val="10C055FF"/>
    <w:rsid w:val="118107EC"/>
    <w:rsid w:val="13D50BC4"/>
    <w:rsid w:val="16BB723D"/>
    <w:rsid w:val="1BE8440E"/>
    <w:rsid w:val="1D155CEE"/>
    <w:rsid w:val="23860B96"/>
    <w:rsid w:val="240371BF"/>
    <w:rsid w:val="29017971"/>
    <w:rsid w:val="29FD04D3"/>
    <w:rsid w:val="2C8A61B5"/>
    <w:rsid w:val="2DF04E50"/>
    <w:rsid w:val="319F7F4E"/>
    <w:rsid w:val="36AA5135"/>
    <w:rsid w:val="37E16F03"/>
    <w:rsid w:val="3D98207C"/>
    <w:rsid w:val="44E268DA"/>
    <w:rsid w:val="4A627F82"/>
    <w:rsid w:val="4B4F25DA"/>
    <w:rsid w:val="4BE068DB"/>
    <w:rsid w:val="4D577224"/>
    <w:rsid w:val="4EAB630A"/>
    <w:rsid w:val="4ECE2238"/>
    <w:rsid w:val="508C231F"/>
    <w:rsid w:val="5AF92295"/>
    <w:rsid w:val="5CD71FC4"/>
    <w:rsid w:val="61E73CCB"/>
    <w:rsid w:val="6C4A05C8"/>
    <w:rsid w:val="6E7E3605"/>
    <w:rsid w:val="6FF5CC65"/>
    <w:rsid w:val="6FFD407B"/>
    <w:rsid w:val="715C0E4B"/>
    <w:rsid w:val="72734D90"/>
    <w:rsid w:val="73AD73D5"/>
    <w:rsid w:val="73B6EB34"/>
    <w:rsid w:val="79EE5BA4"/>
    <w:rsid w:val="7A894339"/>
    <w:rsid w:val="7EEF11D3"/>
    <w:rsid w:val="7FA30C79"/>
    <w:rsid w:val="7FC96657"/>
    <w:rsid w:val="D8D6DB89"/>
    <w:rsid w:val="DB6F4CAB"/>
    <w:rsid w:val="DF6F978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paragraph" w:styleId="12">
    <w:name w:val="Normal (Web)"/>
    <w:basedOn w:val="1"/>
    <w:unhideWhenUsed/>
    <w:qFormat/>
    <w:uiPriority w:val="0"/>
    <w:pPr>
      <w:spacing w:before="100" w:beforeAutospacing="1" w:after="100" w:afterAutospacing="1"/>
      <w:jc w:val="left"/>
    </w:pPr>
    <w:rPr>
      <w:kern w:val="0"/>
      <w:sz w:val="24"/>
    </w:rPr>
  </w:style>
  <w:style w:type="character" w:styleId="15">
    <w:name w:val="Strong"/>
    <w:basedOn w:val="14"/>
    <w:qFormat/>
    <w:uiPriority w:val="99"/>
    <w:rPr>
      <w:b/>
    </w:rPr>
  </w:style>
  <w:style w:type="character" w:styleId="16">
    <w:name w:val="Hyperlink"/>
    <w:basedOn w:val="14"/>
    <w:unhideWhenUsed/>
    <w:qFormat/>
    <w:uiPriority w:val="99"/>
    <w:rPr>
      <w:color w:val="0000FF" w:themeColor="hyperlink"/>
      <w:u w:val="single"/>
      <w14:textFill>
        <w14:solidFill>
          <w14:schemeClr w14:val="hlink"/>
        </w14:solidFill>
      </w14:textFill>
    </w:rPr>
  </w:style>
  <w:style w:type="character" w:customStyle="1" w:styleId="17">
    <w:name w:val="Header Char"/>
    <w:basedOn w:val="14"/>
    <w:semiHidden/>
    <w:qFormat/>
    <w:uiPriority w:val="99"/>
    <w:rPr>
      <w:rFonts w:ascii="Times New Roman" w:hAnsi="Times New Roman"/>
      <w:sz w:val="18"/>
      <w:szCs w:val="18"/>
    </w:rPr>
  </w:style>
  <w:style w:type="character" w:customStyle="1" w:styleId="18">
    <w:name w:val="页眉 字符"/>
    <w:link w:val="9"/>
    <w:qFormat/>
    <w:locked/>
    <w:uiPriority w:val="99"/>
    <w:rPr>
      <w:sz w:val="18"/>
    </w:rPr>
  </w:style>
  <w:style w:type="character" w:customStyle="1" w:styleId="19">
    <w:name w:val="Footer Char"/>
    <w:basedOn w:val="14"/>
    <w:semiHidden/>
    <w:qFormat/>
    <w:uiPriority w:val="99"/>
    <w:rPr>
      <w:rFonts w:ascii="Times New Roman" w:hAnsi="Times New Roman"/>
      <w:sz w:val="18"/>
      <w:szCs w:val="18"/>
    </w:rPr>
  </w:style>
  <w:style w:type="character" w:customStyle="1" w:styleId="20">
    <w:name w:val="页脚 字符"/>
    <w:link w:val="8"/>
    <w:qFormat/>
    <w:locked/>
    <w:uiPriority w:val="99"/>
    <w:rPr>
      <w:sz w:val="18"/>
    </w:rPr>
  </w:style>
  <w:style w:type="character" w:customStyle="1" w:styleId="21">
    <w:name w:val="Body Text Char"/>
    <w:basedOn w:val="14"/>
    <w:semiHidden/>
    <w:qFormat/>
    <w:uiPriority w:val="99"/>
    <w:rPr>
      <w:rFonts w:ascii="Times New Roman" w:hAnsi="Times New Roman"/>
      <w:szCs w:val="24"/>
    </w:rPr>
  </w:style>
  <w:style w:type="character" w:customStyle="1" w:styleId="22">
    <w:name w:val="正文文本 字符"/>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字符"/>
    <w:basedOn w:val="14"/>
    <w:link w:val="3"/>
    <w:qFormat/>
    <w:uiPriority w:val="9"/>
    <w:rPr>
      <w:rFonts w:ascii="Times New Roman" w:hAnsi="Times New Roman"/>
      <w:b/>
      <w:bCs/>
      <w:kern w:val="44"/>
      <w:sz w:val="44"/>
      <w:szCs w:val="44"/>
    </w:rPr>
  </w:style>
  <w:style w:type="character" w:customStyle="1" w:styleId="26">
    <w:name w:val="标题 2 字符"/>
    <w:basedOn w:val="14"/>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字符"/>
    <w:basedOn w:val="14"/>
    <w:link w:val="7"/>
    <w:semiHidden/>
    <w:qFormat/>
    <w:uiPriority w:val="99"/>
    <w:rPr>
      <w:rFonts w:ascii="Times New Roman" w:hAnsi="Times New Roman"/>
      <w:kern w:val="2"/>
      <w:sz w:val="18"/>
      <w:szCs w:val="18"/>
    </w:rPr>
  </w:style>
  <w:style w:type="character" w:customStyle="1" w:styleId="29">
    <w:name w:val="标题 3 字符"/>
    <w:basedOn w:val="14"/>
    <w:link w:val="5"/>
    <w:qFormat/>
    <w:uiPriority w:val="9"/>
    <w:rPr>
      <w:rFonts w:ascii="Times New Roman" w:hAnsi="Times New Roman"/>
      <w:b/>
      <w:bCs/>
      <w:kern w:val="2"/>
      <w:sz w:val="32"/>
      <w:szCs w:val="32"/>
    </w:rPr>
  </w:style>
  <w:style w:type="paragraph" w:customStyle="1" w:styleId="30">
    <w:name w:val="TOC 标题2"/>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四号正文"/>
    <w:basedOn w:val="1"/>
    <w:qFormat/>
    <w:uiPriority w:val="0"/>
    <w:pPr>
      <w:spacing w:line="360" w:lineRule="auto"/>
    </w:pPr>
    <w:rPr>
      <w:rFonts w:ascii="??" w:hAnsi="??" w:cs="宋体"/>
      <w:color w:val="000000"/>
      <w:kern w:val="0"/>
      <w:sz w:val="28"/>
      <w:szCs w:val="21"/>
    </w:rPr>
  </w:style>
  <w:style w:type="paragraph" w:customStyle="1" w:styleId="32">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376092"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hart" Target="charts/chart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chart" Target="charts/chart7.xml"/><Relationship Id="rId14" Type="http://schemas.openxmlformats.org/officeDocument/2006/relationships/chart" Target="charts/chart6.xml"/><Relationship Id="rId13" Type="http://schemas.openxmlformats.org/officeDocument/2006/relationships/chart" Target="charts/chart5.xml"/><Relationship Id="rId12" Type="http://schemas.openxmlformats.org/officeDocument/2006/relationships/chart" Target="charts/chart4.xml"/><Relationship Id="rId11" Type="http://schemas.openxmlformats.org/officeDocument/2006/relationships/chart" Target="charts/chart3.xml"/><Relationship Id="rId10" Type="http://schemas.openxmlformats.org/officeDocument/2006/relationships/chart" Target="charts/chart2.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6.xml"/><Relationship Id="rId1" Type="http://schemas.openxmlformats.org/officeDocument/2006/relationships/package" Target="../embeddings/Workbook6.xlsx"/></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7.xml"/><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69772702047115"/>
          <c:y val="0.0380294419719274"/>
          <c:w val="0.73086434618208"/>
          <c:h val="0.854244047896381"/>
        </c:manualLayout>
      </c:layout>
      <c:barChart>
        <c:barDir val="col"/>
        <c:grouping val="clustered"/>
        <c:varyColors val="false"/>
        <c:ser>
          <c:idx val="0"/>
          <c:order val="0"/>
          <c:tx>
            <c:strRef>
              <c:f>Sheet1!$B$1</c:f>
              <c:strCache>
                <c:ptCount val="1"/>
                <c:pt idx="0">
                  <c:v>2020</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收支决算总体情况</c:v>
                </c:pt>
              </c:strCache>
            </c:strRef>
          </c:cat>
          <c:val>
            <c:numRef>
              <c:f>Sheet1!$B$2</c:f>
              <c:numCache>
                <c:formatCode>General</c:formatCode>
                <c:ptCount val="1"/>
                <c:pt idx="0">
                  <c:v>40488.48</c:v>
                </c:pt>
              </c:numCache>
            </c:numRef>
          </c:val>
        </c:ser>
        <c:ser>
          <c:idx val="1"/>
          <c:order val="1"/>
          <c:tx>
            <c:strRef>
              <c:f>Sheet1!$C$1</c:f>
              <c:strCache>
                <c:ptCount val="1"/>
                <c:pt idx="0">
                  <c:v>2021</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收支决算总体情况</c:v>
                </c:pt>
              </c:strCache>
            </c:strRef>
          </c:cat>
          <c:val>
            <c:numRef>
              <c:f>Sheet1!$C$2</c:f>
              <c:numCache>
                <c:formatCode>General</c:formatCode>
                <c:ptCount val="1"/>
                <c:pt idx="0">
                  <c:v>46543.44</c:v>
                </c:pt>
              </c:numCache>
            </c:numRef>
          </c:val>
        </c:ser>
        <c:dLbls>
          <c:showLegendKey val="false"/>
          <c:showVal val="false"/>
          <c:showCatName val="false"/>
          <c:showSerName val="false"/>
          <c:showPercent val="false"/>
          <c:showBubbleSize val="false"/>
        </c:dLbls>
        <c:gapWidth val="150"/>
        <c:axId val="181826688"/>
        <c:axId val="181828992"/>
      </c:barChart>
      <c:catAx>
        <c:axId val="181826688"/>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81828992"/>
        <c:crosses val="autoZero"/>
        <c:auto val="true"/>
        <c:lblAlgn val="ctr"/>
        <c:lblOffset val="100"/>
        <c:noMultiLvlLbl val="false"/>
      </c:catAx>
      <c:valAx>
        <c:axId val="18182899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81826688"/>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pieChart>
        <c:varyColors val="true"/>
        <c:ser>
          <c:idx val="0"/>
          <c:order val="0"/>
          <c:tx>
            <c:strRef>
              <c:f>Sheet1!$B$1</c:f>
              <c:strCache>
                <c:ptCount val="1"/>
                <c:pt idx="0">
                  <c:v>收入决算结构图</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Sheet1!$A$2:$A$7</c:f>
              <c:strCache>
                <c:ptCount val="6"/>
                <c:pt idx="0">
                  <c:v>一般公共预算财政拨款收入</c:v>
                </c:pt>
                <c:pt idx="1">
                  <c:v>政府性基金预算财政拨款收入</c:v>
                </c:pt>
                <c:pt idx="2">
                  <c:v>国有资本经营预算财政拨款收入</c:v>
                </c:pt>
                <c:pt idx="3">
                  <c:v>事业收入</c:v>
                </c:pt>
                <c:pt idx="4">
                  <c:v>经营收入</c:v>
                </c:pt>
                <c:pt idx="5">
                  <c:v>附属单位上缴收入</c:v>
                </c:pt>
              </c:strCache>
            </c:strRef>
          </c:cat>
          <c:val>
            <c:numRef>
              <c:f>Sheet1!$B$2:$B$7</c:f>
              <c:numCache>
                <c:formatCode>General</c:formatCode>
                <c:ptCount val="6"/>
                <c:pt idx="0">
                  <c:v>22555.14</c:v>
                </c:pt>
                <c:pt idx="1">
                  <c:v>21039.33</c:v>
                </c:pt>
                <c:pt idx="2">
                  <c:v>0</c:v>
                </c:pt>
                <c:pt idx="3">
                  <c:v>0</c:v>
                </c:pt>
                <c:pt idx="4">
                  <c:v>0</c:v>
                </c:pt>
                <c:pt idx="5">
                  <c:v>0</c:v>
                </c:pt>
              </c:numCache>
            </c:numRef>
          </c:val>
        </c:ser>
        <c:dLbls>
          <c:showLegendKey val="false"/>
          <c:showVal val="false"/>
          <c:showCatName val="false"/>
          <c:showSerName val="false"/>
          <c:showPercent val="false"/>
          <c:showBubbleSize val="false"/>
          <c:showLeaderLines val="true"/>
        </c:dLbls>
        <c:firstSliceAng val="219"/>
      </c:pieChart>
    </c:plotArea>
    <c:legend>
      <c:legendPos val="r"/>
      <c:layout>
        <c:manualLayout>
          <c:xMode val="edge"/>
          <c:yMode val="edge"/>
          <c:x val="0.661257606490879"/>
          <c:y val="0.192351587119571"/>
          <c:w val="0.322515212981746"/>
          <c:h val="0.724897348996424"/>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219464902216565"/>
          <c:y val="0.21426570023118"/>
          <c:w val="0.393446807173057"/>
          <c:h val="0.652704802628153"/>
        </c:manualLayout>
      </c:layout>
      <c:pieChart>
        <c:varyColors val="true"/>
        <c:ser>
          <c:idx val="0"/>
          <c:order val="0"/>
          <c:tx>
            <c:strRef>
              <c:f>Sheet1!$B$1</c:f>
              <c:strCache>
                <c:ptCount val="1"/>
                <c:pt idx="0">
                  <c:v>支出决算结构图</c:v>
                </c:pt>
              </c:strCache>
            </c:strRef>
          </c:tx>
          <c:explosion val="0"/>
          <c:dPt>
            <c:idx val="0"/>
            <c:bubble3D val="false"/>
          </c:dPt>
          <c:dPt>
            <c:idx val="1"/>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Sheet1!$A$2:$A$3</c:f>
              <c:strCache>
                <c:ptCount val="2"/>
                <c:pt idx="0">
                  <c:v>基本支出</c:v>
                </c:pt>
                <c:pt idx="1">
                  <c:v>项目支出</c:v>
                </c:pt>
              </c:strCache>
            </c:strRef>
          </c:cat>
          <c:val>
            <c:numRef>
              <c:f>Sheet1!$B$2:$B$3</c:f>
              <c:numCache>
                <c:formatCode>General</c:formatCode>
                <c:ptCount val="2"/>
                <c:pt idx="0">
                  <c:v>969.85</c:v>
                </c:pt>
                <c:pt idx="1">
                  <c:v>45573.59</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10045039847533"/>
          <c:y val="0.0195343139725972"/>
          <c:w val="0.760433767153538"/>
          <c:h val="0.857943833365261"/>
        </c:manualLayout>
      </c:layout>
      <c:barChart>
        <c:barDir val="col"/>
        <c:grouping val="clustered"/>
        <c:varyColors val="false"/>
        <c:ser>
          <c:idx val="0"/>
          <c:order val="0"/>
          <c:tx>
            <c:strRef>
              <c:f>Sheet1!$B$1</c:f>
              <c:strCache>
                <c:ptCount val="1"/>
                <c:pt idx="0">
                  <c:v>2020</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财政拨款收支总体情况</c:v>
                </c:pt>
              </c:strCache>
            </c:strRef>
          </c:cat>
          <c:val>
            <c:numRef>
              <c:f>Sheet1!$B$2</c:f>
              <c:numCache>
                <c:formatCode>General</c:formatCode>
                <c:ptCount val="1"/>
                <c:pt idx="0">
                  <c:v>40488.48</c:v>
                </c:pt>
              </c:numCache>
            </c:numRef>
          </c:val>
        </c:ser>
        <c:ser>
          <c:idx val="1"/>
          <c:order val="1"/>
          <c:tx>
            <c:strRef>
              <c:f>Sheet1!$C$1</c:f>
              <c:strCache>
                <c:ptCount val="1"/>
                <c:pt idx="0">
                  <c:v>2021</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财政拨款收支总体情况</c:v>
                </c:pt>
              </c:strCache>
            </c:strRef>
          </c:cat>
          <c:val>
            <c:numRef>
              <c:f>Sheet1!$C$2</c:f>
              <c:numCache>
                <c:formatCode>General</c:formatCode>
                <c:ptCount val="1"/>
                <c:pt idx="0">
                  <c:v>46543.44</c:v>
                </c:pt>
              </c:numCache>
            </c:numRef>
          </c:val>
        </c:ser>
        <c:dLbls>
          <c:showLegendKey val="false"/>
          <c:showVal val="false"/>
          <c:showCatName val="false"/>
          <c:showSerName val="false"/>
          <c:showPercent val="false"/>
          <c:showBubbleSize val="false"/>
        </c:dLbls>
        <c:gapWidth val="150"/>
        <c:axId val="106158336"/>
        <c:axId val="181612544"/>
      </c:barChart>
      <c:catAx>
        <c:axId val="106158336"/>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81612544"/>
        <c:crosses val="autoZero"/>
        <c:auto val="true"/>
        <c:lblAlgn val="ctr"/>
        <c:lblOffset val="100"/>
        <c:noMultiLvlLbl val="false"/>
      </c:catAx>
      <c:valAx>
        <c:axId val="181612544"/>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06158336"/>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autoTitleDeleted val="true"/>
    <c:plotArea>
      <c:layout>
        <c:manualLayout>
          <c:layoutTarget val="inner"/>
          <c:xMode val="edge"/>
          <c:yMode val="edge"/>
          <c:x val="0.148622011237072"/>
          <c:y val="0.109608516644599"/>
          <c:w val="0.781346134550083"/>
          <c:h val="0.744211919014211"/>
        </c:manualLayout>
      </c:layout>
      <c:barChart>
        <c:barDir val="col"/>
        <c:grouping val="clustered"/>
        <c:varyColors val="false"/>
        <c:ser>
          <c:idx val="0"/>
          <c:order val="0"/>
          <c:tx>
            <c:strRef>
              <c:f>Sheet1!$B$1</c:f>
              <c:strCache>
                <c:ptCount val="1"/>
                <c:pt idx="0">
                  <c:v>2020</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一般公共财政预算支出</c:v>
                </c:pt>
              </c:strCache>
            </c:strRef>
          </c:cat>
          <c:val>
            <c:numRef>
              <c:f>Sheet1!$B$2</c:f>
              <c:numCache>
                <c:formatCode>General</c:formatCode>
                <c:ptCount val="1"/>
                <c:pt idx="0">
                  <c:v>15097.96</c:v>
                </c:pt>
              </c:numCache>
            </c:numRef>
          </c:val>
        </c:ser>
        <c:ser>
          <c:idx val="1"/>
          <c:order val="1"/>
          <c:tx>
            <c:strRef>
              <c:f>Sheet1!$C$1</c:f>
              <c:strCache>
                <c:ptCount val="1"/>
                <c:pt idx="0">
                  <c:v>2021</c:v>
                </c:pt>
              </c:strCache>
            </c:strRef>
          </c:tx>
          <c:invertIfNegative val="false"/>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outEnd"/>
            <c:showLegendKey val="false"/>
            <c:showVal val="true"/>
            <c:showCatName val="false"/>
            <c:showSerName val="false"/>
            <c:showPercent val="false"/>
            <c:showBubbleSize val="false"/>
            <c:showLeaderLines val="false"/>
            <c:extLst>
              <c:ext xmlns:c15="http://schemas.microsoft.com/office/drawing/2012/chart" uri="{CE6537A1-D6FC-4f65-9D91-7224C49458BB}">
                <c15:layout/>
                <c15:showLeaderLines val="false"/>
                <c15:leaderLines/>
              </c:ext>
            </c:extLst>
          </c:dLbls>
          <c:cat>
            <c:strRef>
              <c:f>Sheet1!$A$2</c:f>
              <c:strCache>
                <c:ptCount val="1"/>
                <c:pt idx="0">
                  <c:v>一般公共财政预算支出</c:v>
                </c:pt>
              </c:strCache>
            </c:strRef>
          </c:cat>
          <c:val>
            <c:numRef>
              <c:f>Sheet1!$C$2</c:f>
              <c:numCache>
                <c:formatCode>General</c:formatCode>
                <c:ptCount val="1"/>
                <c:pt idx="0">
                  <c:v>25504.11</c:v>
                </c:pt>
              </c:numCache>
            </c:numRef>
          </c:val>
        </c:ser>
        <c:dLbls>
          <c:showLegendKey val="false"/>
          <c:showVal val="false"/>
          <c:showCatName val="false"/>
          <c:showSerName val="false"/>
          <c:showPercent val="false"/>
          <c:showBubbleSize val="false"/>
        </c:dLbls>
        <c:gapWidth val="150"/>
        <c:axId val="182064256"/>
        <c:axId val="182065792"/>
      </c:barChart>
      <c:catAx>
        <c:axId val="182064256"/>
        <c:scaling>
          <c:orientation val="minMax"/>
        </c:scaling>
        <c:delete val="false"/>
        <c:axPos val="b"/>
        <c:numFmt formatCode="General" sourceLinked="fals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82065792"/>
        <c:crosses val="autoZero"/>
        <c:auto val="true"/>
        <c:lblAlgn val="ctr"/>
        <c:lblOffset val="100"/>
        <c:noMultiLvlLbl val="false"/>
      </c:catAx>
      <c:valAx>
        <c:axId val="182065792"/>
        <c:scaling>
          <c:orientation val="minMax"/>
        </c:scaling>
        <c:delete val="false"/>
        <c:axPos val="l"/>
        <c:majorGridlines/>
        <c:numFmt formatCode="General" sourceLinked="true"/>
        <c:majorTickMark val="out"/>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82064256"/>
        <c:crosses val="autoZero"/>
        <c:crossBetween val="between"/>
      </c:valAx>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userShapes r:id="rId2"/>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1065963060686"/>
          <c:y val="0.00798403193612774"/>
        </c:manualLayout>
      </c:layout>
      <c:overlay val="false"/>
      <c:txPr>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0965406270126524"/>
          <c:y val="0.215693337733981"/>
          <c:w val="0.445481893918933"/>
          <c:h val="0.674002546088925"/>
        </c:manualLayout>
      </c:layout>
      <c:pieChart>
        <c:varyColors val="true"/>
        <c:ser>
          <c:idx val="0"/>
          <c:order val="0"/>
          <c:tx>
            <c:strRef>
              <c:f>Sheet1!$B$1</c:f>
              <c:strCache>
                <c:ptCount val="1"/>
                <c:pt idx="0">
                  <c:v>一般公共预算财政拨款支出决算结构</c:v>
                </c:pt>
              </c:strCache>
            </c:strRef>
          </c:tx>
          <c:explosion val="0"/>
          <c:dPt>
            <c:idx val="0"/>
            <c:bubble3D val="false"/>
          </c:dPt>
          <c:dPt>
            <c:idx val="1"/>
            <c:bubble3D val="false"/>
          </c:dPt>
          <c:dPt>
            <c:idx val="2"/>
            <c:bubble3D val="false"/>
          </c:dPt>
          <c:dPt>
            <c:idx val="3"/>
            <c:bubble3D val="false"/>
          </c:dPt>
          <c:dPt>
            <c:idx val="4"/>
            <c:bubble3D val="false"/>
          </c:dPt>
          <c:dPt>
            <c:idx val="5"/>
            <c:bubble3D val="false"/>
          </c:dPt>
          <c:dPt>
            <c:idx val="6"/>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Sheet1!$A$2:$A$8</c:f>
              <c:strCache>
                <c:ptCount val="7"/>
                <c:pt idx="0">
                  <c:v>教育支出</c:v>
                </c:pt>
                <c:pt idx="1">
                  <c:v>社会保障和就业支出</c:v>
                </c:pt>
                <c:pt idx="2">
                  <c:v>卫生健康支出</c:v>
                </c:pt>
                <c:pt idx="3">
                  <c:v>节能环保支出</c:v>
                </c:pt>
                <c:pt idx="4">
                  <c:v>城乡社区支出</c:v>
                </c:pt>
                <c:pt idx="5">
                  <c:v>农林水支出</c:v>
                </c:pt>
                <c:pt idx="6">
                  <c:v>住房保障支出</c:v>
                </c:pt>
              </c:strCache>
            </c:strRef>
          </c:cat>
          <c:val>
            <c:numRef>
              <c:f>Sheet1!$B$2:$B$8</c:f>
              <c:numCache>
                <c:formatCode>General</c:formatCode>
                <c:ptCount val="7"/>
                <c:pt idx="0">
                  <c:v>20.35</c:v>
                </c:pt>
                <c:pt idx="1">
                  <c:v>152.01</c:v>
                </c:pt>
                <c:pt idx="2">
                  <c:v>25.55</c:v>
                </c:pt>
                <c:pt idx="3">
                  <c:v>3102.54</c:v>
                </c:pt>
                <c:pt idx="4">
                  <c:v>12225.81</c:v>
                </c:pt>
                <c:pt idx="5">
                  <c:v>98.73</c:v>
                </c:pt>
                <c:pt idx="6">
                  <c:v>9879.12</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manualLayout>
          <c:xMode val="edge"/>
          <c:yMode val="edge"/>
          <c:x val="0.542583674402177"/>
          <c:y val="0.169350118660317"/>
          <c:w val="0.442968857125049"/>
          <c:h val="0.789225552814482"/>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layout/>
      <c:overlay val="false"/>
      <c:txPr>
        <a:bodyPr rot="0" spcFirstLastPara="0" vertOverflow="ellipsis" vert="horz" wrap="square" anchor="ctr" anchorCtr="true"/>
        <a:lstStyle/>
        <a:p>
          <a:pPr>
            <a:defRPr lang="zh-CN" sz="1600" b="1" i="0" u="none" strike="noStrike" kern="1200" baseline="0">
              <a:solidFill>
                <a:schemeClr val="tx1"/>
              </a:solidFill>
              <a:latin typeface="+mn-lt"/>
              <a:ea typeface="+mn-ea"/>
              <a:cs typeface="+mn-cs"/>
            </a:defRPr>
          </a:pPr>
        </a:p>
      </c:txPr>
    </c:title>
    <c:autoTitleDeleted val="false"/>
    <c:plotArea>
      <c:layout>
        <c:manualLayout>
          <c:layoutTarget val="inner"/>
          <c:xMode val="edge"/>
          <c:yMode val="edge"/>
          <c:x val="0.1016921644727"/>
          <c:y val="0.166769865841074"/>
          <c:w val="0.452323621478451"/>
          <c:h val="0.775438596491228"/>
        </c:manualLayout>
      </c:layout>
      <c:pieChart>
        <c:varyColors val="true"/>
        <c:ser>
          <c:idx val="0"/>
          <c:order val="0"/>
          <c:tx>
            <c:strRef>
              <c:f>Sheet1!$B$1</c:f>
              <c:strCache>
                <c:ptCount val="1"/>
                <c:pt idx="0">
                  <c:v>“三公”经费财政拨款支出结构</c:v>
                </c:pt>
              </c:strCache>
            </c:strRef>
          </c:tx>
          <c:explosion val="0"/>
          <c:dPt>
            <c:idx val="0"/>
            <c:bubble3D val="false"/>
          </c:dPt>
          <c:dPt>
            <c:idx val="1"/>
            <c:bubble3D val="false"/>
          </c:dPt>
          <c:dPt>
            <c:idx val="2"/>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true"/>
            <c:showCatName val="false"/>
            <c:showSerName val="false"/>
            <c:showPercent val="false"/>
            <c:showBubbleSize val="false"/>
            <c:showLeaderLines val="true"/>
            <c:extLst>
              <c:ext xmlns:c15="http://schemas.microsoft.com/office/drawing/2012/chart" uri="{CE6537A1-D6FC-4f65-9D91-7224C49458BB}">
                <c15:layout/>
                <c15:showLeaderLines val="true"/>
                <c15:leaderLines/>
              </c:ext>
            </c:extLst>
          </c:dLbls>
          <c:cat>
            <c:strRef>
              <c:f>Sheet1!$A$2:$A$4</c:f>
              <c:strCache>
                <c:ptCount val="3"/>
                <c:pt idx="0">
                  <c:v>因公出国出（境）经费支出</c:v>
                </c:pt>
                <c:pt idx="1">
                  <c:v>公务用车购置及运行费</c:v>
                </c:pt>
                <c:pt idx="2">
                  <c:v>公务接待费</c:v>
                </c:pt>
              </c:strCache>
            </c:strRef>
          </c:cat>
          <c:val>
            <c:numRef>
              <c:f>Sheet1!$B$2:$B$4</c:f>
              <c:numCache>
                <c:formatCode>General</c:formatCode>
                <c:ptCount val="3"/>
                <c:pt idx="0">
                  <c:v>0</c:v>
                </c:pt>
                <c:pt idx="1">
                  <c:v>5</c:v>
                </c:pt>
                <c:pt idx="2">
                  <c:v>0.95</c:v>
                </c:pt>
              </c:numCache>
            </c:numRef>
          </c:val>
        </c:ser>
        <c:dLbls>
          <c:showLegendKey val="false"/>
          <c:showVal val="false"/>
          <c:showCatName val="false"/>
          <c:showSerName val="false"/>
          <c:showPercent val="false"/>
          <c:showBubbleSize val="false"/>
          <c:showLeaderLines val="true"/>
        </c:dLbls>
        <c:firstSliceAng val="0"/>
      </c:pieChart>
    </c:plotArea>
    <c:legend>
      <c:legendPos val="r"/>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gap"/>
    <c:showDLblsOverMax val="false"/>
  </c:chart>
  <c:txPr>
    <a:bodyPr/>
    <a:lstStyle/>
    <a:p>
      <a:pPr>
        <a:defRPr lang="zh-CN"/>
      </a:pPr>
    </a:p>
  </c:txPr>
  <c:externalData r:id="rId1">
    <c:autoUpdate val="false"/>
  </c:externalData>
  <c:userShapes r:id="rId2"/>
</c:chartSpace>
</file>

<file path=word/drawings/_rels/drawing1.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3.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4.xml.rels><?xml version="1.0" encoding="UTF-8" standalone="yes"?>
<Relationships xmlns="http://schemas.openxmlformats.org/package/2006/relationships"><Relationship Id="rId1" Type="http://schemas.openxmlformats.org/officeDocument/2006/relationships/image" Target="../media/image2.png"/></Relationships>
</file>

<file path=word/drawings/_rels/drawing5.xml.rels><?xml version="1.0" encoding="UTF-8" standalone="yes"?>
<Relationships xmlns="http://schemas.openxmlformats.org/package/2006/relationships"><Relationship Id="rId1" Type="http://schemas.openxmlformats.org/officeDocument/2006/relationships/image" Target="../media/image1.png"/></Relationships>
</file>

<file path=word/drawings/_rels/drawing6.xml.rels><?xml version="1.0" encoding="UTF-8" standalone="yes"?>
<Relationships xmlns="http://schemas.openxmlformats.org/package/2006/relationships"><Relationship Id="rId1" Type="http://schemas.openxmlformats.org/officeDocument/2006/relationships/image" Target="../media/image3.png"/></Relationships>
</file>

<file path=word/drawings/_rels/drawing7.xml.rels><?xml version="1.0" encoding="UTF-8" standalone="yes"?>
<Relationships xmlns="http://schemas.openxmlformats.org/package/2006/relationships"><Relationship Id="rId1" Type="http://schemas.openxmlformats.org/officeDocument/2006/relationships/image" Target="../media/image3.png"/></Relationships>
</file>

<file path=word/drawings/drawing1.xml><?xml version="1.0" encoding="utf-8"?>
<c:userShapes xmlns:c="http://schemas.openxmlformats.org/drawingml/2006/chart">
  <cdr:relSizeAnchor xmlns:cdr="http://schemas.openxmlformats.org/drawingml/2006/chartDrawing">
    <cdr:from>
      <cdr:x>0.8516</cdr:x>
      <cdr:y>0.02204</cdr:y>
    </cdr:from>
    <cdr:to>
      <cdr:x>0.99987</cdr:x>
      <cdr:y>0.10772</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4315835" y="63610"/>
          <a:ext cx="751437" cy="247283"/>
        </a:xfrm>
        <a:prstGeom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0.81868</cdr:x>
      <cdr:y>0.17337</cdr:y>
    </cdr:from>
    <cdr:to>
      <cdr:x>0.96783</cdr:x>
      <cdr:y>0.27009</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4257675" y="533400"/>
          <a:ext cx="775667" cy="297557"/>
        </a:xfrm>
        <a:prstGeom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0.83784</cdr:x>
      <cdr:y>0.10047</cdr:y>
    </cdr:from>
    <cdr:to>
      <cdr:x>0.98491</cdr:x>
      <cdr:y>0.18947</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4032781" y="454581"/>
          <a:ext cx="707892" cy="402669"/>
        </a:xfrm>
        <a:prstGeom prst="rect">
          <a:avLst/>
        </a:prstGeom>
      </cdr:spPr>
    </cdr:pic>
  </cdr:relSizeAnchor>
</c:userShapes>
</file>

<file path=word/drawings/drawing4.xml><?xml version="1.0" encoding="utf-8"?>
<c:userShapes xmlns:c="http://schemas.openxmlformats.org/drawingml/2006/chart">
  <cdr:relSizeAnchor xmlns:cdr="http://schemas.openxmlformats.org/drawingml/2006/chartDrawing">
    <cdr:from>
      <cdr:x>0.83615</cdr:x>
      <cdr:y>0.02568</cdr:y>
    </cdr:from>
    <cdr:to>
      <cdr:x>1</cdr:x>
      <cdr:y>0.10401</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4005883" y="98805"/>
          <a:ext cx="775667" cy="301427"/>
        </a:xfrm>
        <a:prstGeom prst="rect">
          <a:avLst/>
        </a:prstGeom>
      </cdr:spPr>
    </cdr:pic>
  </cdr:relSizeAnchor>
</c:userShapes>
</file>

<file path=word/drawings/drawing5.xml><?xml version="1.0" encoding="utf-8"?>
<c:userShapes xmlns:c="http://schemas.openxmlformats.org/drawingml/2006/chart">
  <cdr:relSizeAnchor xmlns:cdr="http://schemas.openxmlformats.org/drawingml/2006/chartDrawing">
    <cdr:from>
      <cdr:x>0.81754</cdr:x>
      <cdr:y>0.02154</cdr:y>
    </cdr:from>
    <cdr:to>
      <cdr:x>0.98202</cdr:x>
      <cdr:y>0.12212</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3615804" y="55659"/>
          <a:ext cx="727458" cy="259872"/>
        </a:xfrm>
        <a:prstGeom prst="rect">
          <a:avLst/>
        </a:prstGeom>
      </cdr:spPr>
    </cdr:pic>
  </cdr:relSizeAnchor>
</c:userShapes>
</file>

<file path=word/drawings/drawing6.xml><?xml version="1.0" encoding="utf-8"?>
<c:userShapes xmlns:c="http://schemas.openxmlformats.org/drawingml/2006/chart">
  <cdr:relSizeAnchor xmlns:cdr="http://schemas.openxmlformats.org/drawingml/2006/chartDrawing">
    <cdr:from>
      <cdr:x>0.82413</cdr:x>
      <cdr:y>0.02986</cdr:y>
    </cdr:from>
    <cdr:to>
      <cdr:x>0.99976</cdr:x>
      <cdr:y>0.15042</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3933279" y="79513"/>
          <a:ext cx="838222" cy="321074"/>
        </a:xfrm>
        <a:prstGeom prst="rect">
          <a:avLst/>
        </a:prstGeom>
      </cdr:spPr>
    </cdr:pic>
  </cdr:relSizeAnchor>
</c:userShapes>
</file>

<file path=word/drawings/drawing7.xml><?xml version="1.0" encoding="utf-8"?>
<c:userShapes xmlns:c="http://schemas.openxmlformats.org/drawingml/2006/chart">
  <cdr:relSizeAnchor xmlns:cdr="http://schemas.openxmlformats.org/drawingml/2006/chartDrawing">
    <cdr:from>
      <cdr:x>0.82008</cdr:x>
      <cdr:y>0.05959</cdr:y>
    </cdr:from>
    <cdr:to>
      <cdr:x>0.98672</cdr:x>
      <cdr:y>0.14766</cdr:y>
    </cdr:to>
    <cdr:pic xmlns:a="http://schemas.openxmlformats.org/drawingml/2006/main">
      <cdr:nvPicPr>
        <cdr:cNvPr id="2" name="图片 1"/>
        <cdr:cNvPicPr/>
      </cdr:nvPicPr>
      <cdr:blipFill>
        <a:blip xmlns:r="http://schemas.openxmlformats.org/officeDocument/2006/relationships" r:embed="rId1"/>
        <a:stretch>
          <a:fillRect/>
        </a:stretch>
      </cdr:blipFill>
      <cdr:spPr>
        <a:xfrm>
          <a:off x="4124325" y="219075"/>
          <a:ext cx="838095" cy="323810"/>
        </a:xfrm>
        <a:prstGeom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四川省财政厅</Company>
  <Pages>346</Pages>
  <Words>25299</Words>
  <Characters>144210</Characters>
  <Lines>1201</Lines>
  <Paragraphs>338</Paragraphs>
  <TotalTime>91</TotalTime>
  <ScaleCrop>false</ScaleCrop>
  <LinksUpToDate>false</LinksUpToDate>
  <CharactersWithSpaces>169171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2022-09-22T14:39:00Z</dcterms:created>
  <dc:creator>曹颖</dc:creator>
  <cp:lastModifiedBy>墨 綝</cp:lastModifiedBy>
  <cp:lastPrinted>2022-09-22T14:52:00Z</cp:lastPrinted>
  <dcterms:modified xsi:type="dcterms:W3CDTF">2025-02-12T14:58:02Z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00F9301CF08B4EA2925D7DCB7CB391F4_12</vt:lpwstr>
  </property>
</Properties>
</file>