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1</w:t>
      </w:r>
    </w:p>
    <w:p>
      <w:pPr>
        <w:spacing w:line="600" w:lineRule="exact"/>
        <w:jc w:val="center"/>
        <w:rPr>
          <w:rFonts w:ascii="宋体" w:hAnsi="宋体" w:cs="宋体"/>
          <w:b/>
          <w:bCs/>
          <w:color w:val="000000"/>
          <w:sz w:val="44"/>
          <w:szCs w:val="44"/>
        </w:rPr>
      </w:pPr>
    </w:p>
    <w:p>
      <w:pPr>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w:t>
      </w:r>
      <w:r>
        <w:rPr>
          <w:rFonts w:hint="eastAsia" w:ascii="方正小标宋简体" w:hAnsi="方正小标宋简体" w:eastAsia="方正小标宋简体" w:cs="方正小标宋简体"/>
          <w:b w:val="0"/>
          <w:bCs w:val="0"/>
          <w:color w:val="000000"/>
          <w:sz w:val="44"/>
          <w:szCs w:val="44"/>
          <w:lang w:val="en-US" w:eastAsia="zh-CN"/>
        </w:rPr>
        <w:t>24</w:t>
      </w:r>
      <w:r>
        <w:rPr>
          <w:rFonts w:hint="eastAsia" w:ascii="方正小标宋简体" w:hAnsi="方正小标宋简体" w:eastAsia="方正小标宋简体" w:cs="方正小标宋简体"/>
          <w:b w:val="0"/>
          <w:bCs w:val="0"/>
          <w:color w:val="000000"/>
          <w:sz w:val="44"/>
          <w:szCs w:val="44"/>
        </w:rPr>
        <w:t>年省级</w:t>
      </w:r>
      <w:r>
        <w:rPr>
          <w:rFonts w:hint="eastAsia" w:ascii="方正小标宋简体" w:hAnsi="方正小标宋简体" w:eastAsia="方正小标宋简体" w:cs="方正小标宋简体"/>
          <w:b w:val="0"/>
          <w:bCs w:val="0"/>
          <w:color w:val="000000"/>
          <w:sz w:val="44"/>
          <w:szCs w:val="44"/>
          <w:lang w:eastAsia="zh-CN"/>
        </w:rPr>
        <w:t>财政</w:t>
      </w:r>
      <w:r>
        <w:rPr>
          <w:rFonts w:hint="eastAsia" w:ascii="方正小标宋简体" w:hAnsi="方正小标宋简体" w:eastAsia="方正小标宋简体" w:cs="方正小标宋简体"/>
          <w:b w:val="0"/>
          <w:bCs w:val="0"/>
          <w:color w:val="000000"/>
          <w:sz w:val="44"/>
          <w:szCs w:val="44"/>
        </w:rPr>
        <w:t>知识产权专项资金</w:t>
      </w:r>
    </w:p>
    <w:p>
      <w:pPr>
        <w:spacing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项目申报指南</w:t>
      </w:r>
    </w:p>
    <w:p>
      <w:pPr>
        <w:spacing w:line="600" w:lineRule="exact"/>
        <w:jc w:val="center"/>
        <w:rPr>
          <w:rFonts w:hint="eastAsia" w:ascii="宋体" w:hAnsi="宋体" w:cs="宋体"/>
          <w:b/>
          <w:bCs/>
          <w:color w:val="000000"/>
          <w:sz w:val="44"/>
          <w:szCs w:val="44"/>
        </w:rPr>
      </w:pPr>
    </w:p>
    <w:p>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指导市（州）、</w:t>
      </w: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扩权县</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（市）知识产权管理部门、</w:t>
      </w:r>
      <w:r>
        <w:rPr>
          <w:rFonts w:hint="eastAsia" w:ascii="仿宋_GB2312" w:hAnsi="仿宋_GB2312" w:eastAsia="仿宋_GB2312" w:cs="仿宋_GB2312"/>
          <w:color w:val="000000"/>
          <w:sz w:val="32"/>
          <w:szCs w:val="32"/>
          <w:lang w:eastAsia="zh-CN"/>
        </w:rPr>
        <w:t>有关企事业单位切实做好</w:t>
      </w:r>
      <w:r>
        <w:rPr>
          <w:rFonts w:hint="eastAsia" w:ascii="仿宋_GB2312" w:hAnsi="仿宋_GB2312" w:eastAsia="仿宋_GB2312" w:cs="仿宋_GB2312"/>
          <w:color w:val="000000"/>
          <w:sz w:val="32"/>
          <w:szCs w:val="32"/>
          <w:lang w:val="en-US" w:eastAsia="zh-CN"/>
        </w:rPr>
        <w:t>2024年度省级财政知识产权专项资金项目申报工作，进一步提升项目申报质量，</w:t>
      </w:r>
      <w:r>
        <w:rPr>
          <w:rFonts w:hint="eastAsia" w:ascii="仿宋_GB2312" w:hAnsi="仿宋_GB2312" w:eastAsia="仿宋_GB2312" w:cs="仿宋_GB2312"/>
          <w:color w:val="000000"/>
          <w:sz w:val="32"/>
          <w:szCs w:val="32"/>
        </w:rPr>
        <w:t>充分发挥专项资金</w:t>
      </w:r>
      <w:r>
        <w:rPr>
          <w:rFonts w:hint="eastAsia" w:ascii="仿宋_GB2312" w:hAnsi="仿宋_GB2312" w:eastAsia="仿宋_GB2312" w:cs="仿宋_GB2312"/>
          <w:color w:val="000000"/>
          <w:sz w:val="32"/>
          <w:szCs w:val="32"/>
          <w:lang w:eastAsia="zh-CN"/>
        </w:rPr>
        <w:t>促进全省知识产权工作高质量发展</w:t>
      </w:r>
      <w:r>
        <w:rPr>
          <w:rFonts w:hint="eastAsia" w:ascii="仿宋_GB2312" w:hAnsi="仿宋_GB2312" w:eastAsia="仿宋_GB2312" w:cs="仿宋_GB2312"/>
          <w:color w:val="000000"/>
          <w:sz w:val="32"/>
          <w:szCs w:val="32"/>
        </w:rPr>
        <w:t>的激励和引导作用，依据《</w:t>
      </w:r>
      <w:r>
        <w:rPr>
          <w:rFonts w:hint="eastAsia" w:ascii="仿宋_GB2312" w:hAnsi="仿宋_GB2312" w:eastAsia="仿宋_GB2312" w:cs="仿宋_GB2312"/>
          <w:color w:val="000000"/>
          <w:sz w:val="32"/>
          <w:szCs w:val="32"/>
          <w:lang w:eastAsia="zh-CN"/>
        </w:rPr>
        <w:t>四川省</w:t>
      </w:r>
      <w:r>
        <w:rPr>
          <w:rFonts w:hint="eastAsia" w:ascii="仿宋_GB2312" w:hAnsi="仿宋_GB2312" w:eastAsia="仿宋_GB2312" w:cs="仿宋_GB2312"/>
          <w:color w:val="000000"/>
          <w:sz w:val="32"/>
          <w:szCs w:val="32"/>
        </w:rPr>
        <w:t>省级</w:t>
      </w:r>
      <w:r>
        <w:rPr>
          <w:rFonts w:hint="eastAsia" w:ascii="仿宋_GB2312" w:hAnsi="仿宋_GB2312" w:eastAsia="仿宋_GB2312" w:cs="仿宋_GB2312"/>
          <w:color w:val="000000"/>
          <w:sz w:val="32"/>
          <w:szCs w:val="32"/>
          <w:lang w:eastAsia="zh-CN"/>
        </w:rPr>
        <w:t>财政</w:t>
      </w:r>
      <w:r>
        <w:rPr>
          <w:rFonts w:hint="eastAsia" w:ascii="仿宋_GB2312" w:hAnsi="仿宋_GB2312" w:eastAsia="仿宋_GB2312" w:cs="仿宋_GB2312"/>
          <w:color w:val="000000"/>
          <w:sz w:val="32"/>
          <w:szCs w:val="32"/>
        </w:rPr>
        <w:t>知识产权专项资金管理办法》，</w:t>
      </w:r>
      <w:r>
        <w:rPr>
          <w:rFonts w:hint="eastAsia" w:ascii="仿宋_GB2312" w:hAnsi="仿宋_GB2312" w:eastAsia="仿宋_GB2312" w:cs="仿宋_GB2312"/>
          <w:color w:val="000000"/>
          <w:sz w:val="32"/>
          <w:szCs w:val="32"/>
          <w:lang w:eastAsia="zh-CN"/>
        </w:rPr>
        <w:t>结合</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rPr>
        <w:t>全省知识产权</w:t>
      </w:r>
      <w:r>
        <w:rPr>
          <w:rFonts w:hint="eastAsia" w:ascii="仿宋_GB2312" w:hAnsi="仿宋_GB2312" w:eastAsia="仿宋_GB2312" w:cs="仿宋_GB2312"/>
          <w:color w:val="000000"/>
          <w:sz w:val="32"/>
          <w:szCs w:val="32"/>
          <w:lang w:eastAsia="zh-CN"/>
        </w:rPr>
        <w:t>重点</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val="en-US" w:eastAsia="zh-CN"/>
        </w:rPr>
        <w:t>部署</w:t>
      </w:r>
      <w:r>
        <w:rPr>
          <w:rFonts w:hint="eastAsia" w:ascii="仿宋_GB2312" w:hAnsi="仿宋_GB2312" w:eastAsia="仿宋_GB2312" w:cs="仿宋_GB2312"/>
          <w:color w:val="000000"/>
          <w:sz w:val="32"/>
          <w:szCs w:val="32"/>
        </w:rPr>
        <w:t>，制定本指南。</w:t>
      </w:r>
    </w:p>
    <w:p>
      <w:pPr>
        <w:numPr>
          <w:ilvl w:val="0"/>
          <w:numId w:val="1"/>
        </w:numPr>
        <w:spacing w:line="600"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支持范围</w:t>
      </w:r>
    </w:p>
    <w:p>
      <w:pPr>
        <w:numPr>
          <w:ilvl w:val="0"/>
          <w:numId w:val="0"/>
        </w:numPr>
        <w:spacing w:line="600" w:lineRule="exact"/>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（一）知识产权主管部门；</w:t>
      </w: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（二）在四川省境内注册的具有独立法人资格的企事业单位；</w:t>
      </w:r>
    </w:p>
    <w:p>
      <w:pPr>
        <w:pStyle w:val="2"/>
        <w:ind w:firstLine="320" w:firstLineChars="100"/>
        <w:rPr>
          <w:rFonts w:hint="eastAsia"/>
        </w:rPr>
      </w:pPr>
      <w:r>
        <w:rPr>
          <w:rFonts w:hint="eastAsia" w:ascii="仿宋_GB2312" w:hAnsi="仿宋_GB2312" w:eastAsia="仿宋_GB2312" w:cs="仿宋_GB2312"/>
          <w:sz w:val="32"/>
          <w:szCs w:val="32"/>
          <w:lang w:val="en-US" w:eastAsia="zh-CN"/>
        </w:rPr>
        <w:t>（三）中央在川企事业单位。</w:t>
      </w: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主要支持方向</w:t>
      </w:r>
    </w:p>
    <w:p>
      <w:pPr>
        <w:numPr>
          <w:ilvl w:val="0"/>
          <w:numId w:val="0"/>
        </w:numPr>
        <w:ind w:firstLine="640" w:firstLineChars="2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（一）支持主体培育</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1.知识产权金融创新。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知识产权助力IPO加速孵化、知识产权质押融资服务方面取得创新成果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申报主体：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申请经费：每个项目不超过50万元。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2.省级知识产权强企培育。申报主体：2023年获批的四川省级知识产权强企培育企业。申请经费：每个项目不超过30万元。</w:t>
      </w:r>
      <w:r>
        <w:rPr>
          <w:rFonts w:hint="eastAsia" w:ascii="仿宋_GB2312" w:hAnsi="仿宋_GB2312" w:eastAsia="仿宋_GB2312" w:cs="仿宋_GB2312"/>
          <w:b w:val="0"/>
          <w:bCs w:val="0"/>
          <w:color w:val="000000" w:themeColor="text1"/>
          <w:sz w:val="32"/>
          <w:szCs w:val="32"/>
          <w:u w:val="none"/>
          <w:lang w:val="en-US" w:eastAsia="zh-CN" w:bidi="ar-SA"/>
          <w14:textFill>
            <w14:solidFill>
              <w14:schemeClr w14:val="tx1"/>
            </w14:solidFill>
          </w14:textFill>
        </w:rPr>
        <w:t>知识产权强企培育项目实施方案应按照《关于开展知识产权强企培育工作的意见》，并结合企业实际制订。</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3.品牌培育。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申报主体：知识产权主管部门</w:t>
      </w:r>
      <w:r>
        <w:rPr>
          <w:rFonts w:hint="eastAsia" w:ascii="仿宋_GB2312" w:hAnsi="仿宋_GB2312" w:eastAsia="仿宋_GB2312" w:cs="仿宋_GB2312"/>
          <w:b w:val="0"/>
          <w:bCs w:val="0"/>
          <w:color w:val="000000"/>
          <w:sz w:val="32"/>
          <w:szCs w:val="32"/>
          <w:lang w:val="en-US" w:eastAsia="zh-CN"/>
        </w:rPr>
        <w:t>、企事业单位。申请经费：每个项目不超过30万元。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4.专利实施及产业化。申报主体</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color w:val="000000"/>
          <w:sz w:val="32"/>
          <w:szCs w:val="32"/>
          <w:lang w:val="en-US" w:eastAsia="zh-CN"/>
        </w:rPr>
        <w:t>专精特新“小巨人</w:t>
      </w:r>
      <w:bookmarkStart w:id="0" w:name="_GoBack"/>
      <w:bookmarkEnd w:id="0"/>
      <w:r>
        <w:rPr>
          <w:rFonts w:hint="eastAsia" w:ascii="仿宋_GB2312" w:hAnsi="仿宋_GB2312" w:eastAsia="仿宋_GB2312" w:cs="仿宋_GB2312"/>
          <w:color w:val="000000"/>
          <w:sz w:val="32"/>
          <w:szCs w:val="32"/>
          <w:lang w:val="en-US" w:eastAsia="zh-CN"/>
        </w:rPr>
        <w:t>”企业、高新技术企业、创新型企业、中小企业。申请经费：每个项目不超过20万元。</w:t>
      </w:r>
    </w:p>
    <w:p>
      <w:pPr>
        <w:pStyle w:val="2"/>
        <w:numPr>
          <w:ilvl w:val="0"/>
          <w:numId w:val="0"/>
        </w:numPr>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（二）支持平台建设</w:t>
      </w:r>
    </w:p>
    <w:p>
      <w:pPr>
        <w:pStyle w:val="2"/>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1.高价值专利育成中心建设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申报主体：</w:t>
      </w:r>
      <w:r>
        <w:rPr>
          <w:rFonts w:hint="eastAsia" w:ascii="仿宋" w:hAnsi="仿宋" w:eastAsia="仿宋" w:cs="仿宋"/>
          <w:b w:val="0"/>
          <w:bCs w:val="0"/>
          <w:color w:val="000000" w:themeColor="text1"/>
          <w:sz w:val="32"/>
          <w:szCs w:val="32"/>
          <w:lang w:eastAsia="zh-CN"/>
          <w14:textFill>
            <w14:solidFill>
              <w14:schemeClr w14:val="tx1"/>
            </w14:solidFill>
          </w14:textFill>
        </w:rPr>
        <w:t>重点产业龙头企业或高校院所，知识产权工作基础良好，且拥有有效发明专利</w:t>
      </w:r>
      <w:r>
        <w:rPr>
          <w:rFonts w:hint="eastAsia" w:ascii="仿宋" w:hAnsi="仿宋" w:eastAsia="仿宋" w:cs="仿宋"/>
          <w:b w:val="0"/>
          <w:bCs w:val="0"/>
          <w:color w:val="000000" w:themeColor="text1"/>
          <w:sz w:val="32"/>
          <w:szCs w:val="32"/>
          <w:lang w:val="en-US" w:eastAsia="zh-CN"/>
          <w14:textFill>
            <w14:solidFill>
              <w14:schemeClr w14:val="tx1"/>
            </w14:solidFill>
          </w14:textFill>
        </w:rPr>
        <w:t>100件以上，申报企业生产经营状况正常；符合高价值专利育成中心建设第二个年度和第三个年度支持条件的企事业单位。申请经费：每个项目不超过100万元。高价值专利育成中心建设项目实施方案及工作内容应参照《</w:t>
      </w:r>
      <w:r>
        <w:rPr>
          <w:rFonts w:hint="eastAsia" w:ascii="仿宋" w:hAnsi="仿宋" w:eastAsia="仿宋" w:cs="仿宋"/>
          <w:b w:val="0"/>
          <w:bCs/>
          <w:snapToGrid w:val="0"/>
          <w:color w:val="000000" w:themeColor="text1"/>
          <w:kern w:val="32"/>
          <w:sz w:val="32"/>
          <w:szCs w:val="32"/>
          <w14:textFill>
            <w14:solidFill>
              <w14:schemeClr w14:val="tx1"/>
            </w14:solidFill>
          </w14:textFill>
        </w:rPr>
        <w:t>四川省高价值专利育成中心</w:t>
      </w:r>
      <w:r>
        <w:rPr>
          <w:rFonts w:hint="eastAsia" w:ascii="仿宋" w:hAnsi="仿宋" w:eastAsia="仿宋" w:cs="仿宋"/>
          <w:b w:val="0"/>
          <w:bCs/>
          <w:snapToGrid w:val="0"/>
          <w:color w:val="000000" w:themeColor="text1"/>
          <w:kern w:val="32"/>
          <w:sz w:val="32"/>
          <w:szCs w:val="32"/>
          <w:lang w:eastAsia="zh-CN"/>
          <w14:textFill>
            <w14:solidFill>
              <w14:schemeClr w14:val="tx1"/>
            </w14:solidFill>
          </w14:textFill>
        </w:rPr>
        <w:t>培育</w:t>
      </w:r>
      <w:r>
        <w:rPr>
          <w:rFonts w:hint="eastAsia" w:ascii="仿宋" w:hAnsi="仿宋" w:eastAsia="仿宋" w:cs="仿宋"/>
          <w:b w:val="0"/>
          <w:bCs/>
          <w:snapToGrid w:val="0"/>
          <w:color w:val="000000" w:themeColor="text1"/>
          <w:kern w:val="32"/>
          <w:sz w:val="32"/>
          <w:szCs w:val="32"/>
          <w14:textFill>
            <w14:solidFill>
              <w14:schemeClr w14:val="tx1"/>
            </w14:solidFill>
          </w14:textFill>
        </w:rPr>
        <w:t>方案（试行）</w:t>
      </w:r>
      <w:r>
        <w:rPr>
          <w:rFonts w:hint="eastAsia" w:ascii="仿宋" w:hAnsi="仿宋" w:eastAsia="仿宋" w:cs="仿宋"/>
          <w:b w:val="0"/>
          <w:bCs/>
          <w:color w:val="000000" w:themeColor="text1"/>
          <w:sz w:val="32"/>
          <w:szCs w:val="32"/>
          <w:lang w:val="en-US" w:eastAsia="zh-CN"/>
          <w14:textFill>
            <w14:solidFill>
              <w14:schemeClr w14:val="tx1"/>
            </w14:solidFill>
          </w14:textFill>
        </w:rPr>
        <w:t>》制定。</w:t>
      </w:r>
    </w:p>
    <w:p>
      <w:pPr>
        <w:ind w:firstLine="640" w:firstLineChars="200"/>
        <w:rPr>
          <w:rFonts w:hint="eastAsia" w:ascii="仿宋" w:hAnsi="仿宋" w:eastAsia="仿宋" w:cs="仿宋"/>
          <w:b w:val="0"/>
          <w:bCs w:val="0"/>
          <w:color w:val="000000" w:themeColor="text1"/>
          <w:sz w:val="32"/>
          <w:szCs w:val="32"/>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2.市（州）知识产权公共服务分平台建设。</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申报主体：</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市（州）知识产权主管部门。申请经费：每个项目不超过</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100万元。</w:t>
      </w:r>
      <w:r>
        <w:rPr>
          <w:rFonts w:hint="eastAsia" w:ascii="仿宋" w:hAnsi="仿宋" w:eastAsia="仿宋" w:cs="仿宋"/>
          <w:b w:val="0"/>
          <w:bCs w:val="0"/>
          <w:color w:val="000000" w:themeColor="text1"/>
          <w:sz w:val="32"/>
          <w:szCs w:val="32"/>
          <w:u w:val="none"/>
          <w:lang w:eastAsia="zh-CN"/>
          <w14:textFill>
            <w14:solidFill>
              <w14:schemeClr w14:val="tx1"/>
            </w14:solidFill>
          </w14:textFill>
        </w:rPr>
        <w:t>项目实施方案应按照《</w:t>
      </w:r>
      <w:r>
        <w:rPr>
          <w:rFonts w:hint="eastAsia" w:ascii="仿宋" w:hAnsi="仿宋" w:eastAsia="仿宋" w:cs="仿宋"/>
          <w:b w:val="0"/>
          <w:bCs w:val="0"/>
          <w:color w:val="000000" w:themeColor="text1"/>
          <w:sz w:val="32"/>
          <w:szCs w:val="32"/>
          <w:u w:val="none"/>
          <w14:textFill>
            <w14:solidFill>
              <w14:schemeClr w14:val="tx1"/>
            </w14:solidFill>
          </w14:textFill>
        </w:rPr>
        <w:t>四川省知识产权</w:t>
      </w:r>
      <w:r>
        <w:rPr>
          <w:rFonts w:hint="eastAsia" w:ascii="仿宋" w:hAnsi="仿宋" w:eastAsia="仿宋" w:cs="仿宋"/>
          <w:b w:val="0"/>
          <w:bCs w:val="0"/>
          <w:color w:val="000000" w:themeColor="text1"/>
          <w:sz w:val="32"/>
          <w:szCs w:val="32"/>
          <w:u w:val="none"/>
          <w:lang w:eastAsia="zh-CN"/>
          <w14:textFill>
            <w14:solidFill>
              <w14:schemeClr w14:val="tx1"/>
            </w14:solidFill>
          </w14:textFill>
        </w:rPr>
        <w:t>公共服务平台体系建设方案（试行）》制定。</w:t>
      </w:r>
    </w:p>
    <w:p>
      <w:pPr>
        <w:ind w:firstLine="640"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3.存量专利转化运用平台建设。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申报主体：知识产权交易场所及公共服务机构。申请经费：不超过100万元。项目实施方案应按照《四川省推进高校和科研机构存量专利盘活工作实施方案》制定。</w:t>
      </w:r>
    </w:p>
    <w:p>
      <w:pPr>
        <w:ind w:firstLine="640" w:firstLineChars="200"/>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4.军民专利技术转化平台。</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申报主体：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企事业单位</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。申请经费：每个项目不超过50万元。</w:t>
      </w:r>
    </w:p>
    <w:p>
      <w:pPr>
        <w:pStyle w:val="2"/>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知识产权服务业集聚发展示范试验区建设。申报主体：2023年度获批国家知识产权服务业高质量集聚发展示范区和试验区。申请经费：国家知识产权服务业高质量集聚发展示范区不超过50万元，国家知识产权服务业高质量集聚发展试验区不超过30万元。</w:t>
      </w:r>
    </w:p>
    <w:p>
      <w:pPr>
        <w:pStyle w:val="2"/>
        <w:ind w:firstLine="64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6.金专计划—复合型知识产权人才培养平台建设。申报主体：高等学校。申请经费：不超过50万元。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sz w:val="32"/>
          <w:szCs w:val="32"/>
          <w:lang w:val="en-US" w:eastAsia="zh-CN"/>
        </w:rPr>
        <w:t>7.重点产业园区产业专利导航。申报主体:省级以上重点产业园区管委会。申请经费：每个项目不超过30万元。</w:t>
      </w:r>
    </w:p>
    <w:p>
      <w:pPr>
        <w:pStyle w:val="2"/>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8.海外知识产权纠纷应对及知识产权预警分析。申报主体</w:t>
      </w:r>
      <w:r>
        <w:rPr>
          <w:rFonts w:hint="eastAsia" w:ascii="仿宋_GB2312" w:hAnsi="仿宋_GB2312" w:eastAsia="仿宋_GB2312" w:cs="仿宋_GB2312"/>
          <w:b w:val="0"/>
          <w:bCs w:val="0"/>
          <w:color w:val="000000"/>
          <w:sz w:val="32"/>
          <w:szCs w:val="32"/>
          <w:lang w:val="en-US" w:eastAsia="zh-CN"/>
        </w:rPr>
        <w:t>：事业单位。申请经费：每个项目不超过30万元。</w:t>
      </w:r>
    </w:p>
    <w:p>
      <w:pPr>
        <w:ind w:firstLine="640" w:firstLineChars="200"/>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国家级知识产权信息公共服务机构建设。申报主体：获批国家级知识产权信息公共服务机构建设单位。申请经费：每个项目不超过30万元。</w:t>
      </w:r>
    </w:p>
    <w:p>
      <w:pPr>
        <w:spacing w:line="600" w:lineRule="exact"/>
        <w:ind w:firstLine="640" w:firstLineChars="200"/>
        <w:jc w:val="both"/>
        <w:rPr>
          <w:rFonts w:hint="eastAsia" w:ascii="黑体" w:hAnsi="黑体" w:eastAsia="黑体" w:cs="黑体"/>
          <w:b/>
          <w:bCs w:val="0"/>
          <w:color w:val="000000"/>
          <w:sz w:val="32"/>
          <w:szCs w:val="32"/>
        </w:rPr>
      </w:pPr>
      <w:r>
        <w:rPr>
          <w:rFonts w:hint="eastAsia" w:ascii="黑体" w:hAnsi="黑体" w:eastAsia="黑体" w:cs="黑体"/>
          <w:color w:val="000000"/>
          <w:sz w:val="32"/>
          <w:szCs w:val="32"/>
        </w:rPr>
        <w:t>三、申报条件</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申报项目应符合专项资金支持方向，申报单位</w:t>
      </w:r>
      <w:r>
        <w:rPr>
          <w:rFonts w:hint="eastAsia" w:ascii="仿宋_GB2312" w:hAnsi="仿宋_GB2312" w:eastAsia="仿宋_GB2312" w:cs="仿宋_GB2312"/>
          <w:color w:val="000000"/>
          <w:sz w:val="32"/>
          <w:szCs w:val="32"/>
          <w:lang w:eastAsia="zh-CN"/>
        </w:rPr>
        <w:t>知识产权工作基础</w:t>
      </w:r>
      <w:r>
        <w:rPr>
          <w:rFonts w:hint="eastAsia" w:ascii="仿宋_GB2312" w:hAnsi="仿宋_GB2312" w:eastAsia="仿宋_GB2312" w:cs="仿宋_GB2312"/>
          <w:color w:val="000000"/>
          <w:sz w:val="32"/>
          <w:szCs w:val="32"/>
        </w:rPr>
        <w:t>和经营管理状况良好</w:t>
      </w:r>
      <w:r>
        <w:rPr>
          <w:rFonts w:hint="eastAsia" w:ascii="仿宋_GB2312" w:hAnsi="仿宋_GB2312" w:eastAsia="仿宋_GB2312" w:cs="仿宋_GB2312"/>
          <w:color w:val="000000"/>
          <w:sz w:val="32"/>
          <w:szCs w:val="32"/>
          <w:lang w:eastAsia="zh-CN"/>
        </w:rPr>
        <w:t>，拥有一定数量和质量的知识产权。</w:t>
      </w:r>
    </w:p>
    <w:p>
      <w:pPr>
        <w:spacing w:line="600" w:lineRule="exact"/>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sz w:val="32"/>
          <w:szCs w:val="32"/>
        </w:rPr>
        <w:t>的单位和</w:t>
      </w:r>
      <w:r>
        <w:rPr>
          <w:rFonts w:hint="eastAsia" w:ascii="仿宋_GB2312" w:hAnsi="仿宋_GB2312" w:eastAsia="仿宋_GB2312" w:cs="仿宋_GB2312"/>
          <w:sz w:val="32"/>
          <w:szCs w:val="32"/>
          <w:lang w:val="en-US" w:eastAsia="zh-CN"/>
        </w:rPr>
        <w:t>合作的</w:t>
      </w:r>
      <w:r>
        <w:rPr>
          <w:rFonts w:hint="eastAsia" w:ascii="仿宋_GB2312" w:hAnsi="仿宋_GB2312" w:eastAsia="仿宋_GB2312" w:cs="仿宋_GB2312"/>
          <w:sz w:val="32"/>
          <w:szCs w:val="32"/>
        </w:rPr>
        <w:t>项目团队应具备承担项目的能力或经验，且无</w:t>
      </w:r>
      <w:r>
        <w:rPr>
          <w:rFonts w:hint="eastAsia" w:ascii="仿宋_GB2312" w:hAnsi="仿宋_GB2312" w:eastAsia="仿宋_GB2312" w:cs="仿宋_GB2312"/>
          <w:color w:val="auto"/>
          <w:sz w:val="32"/>
          <w:szCs w:val="32"/>
          <w:lang w:val="en-US" w:eastAsia="zh-CN"/>
        </w:rPr>
        <w:t>严重违法失信</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lang w:eastAsia="zh-CN"/>
        </w:rPr>
        <w:t>。</w:t>
      </w:r>
    </w:p>
    <w:p>
      <w:pPr>
        <w:spacing w:line="60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专利实施产业化</w:t>
      </w:r>
      <w:r>
        <w:rPr>
          <w:rFonts w:hint="eastAsia" w:ascii="仿宋_GB2312" w:hAnsi="仿宋_GB2312" w:eastAsia="仿宋_GB2312" w:cs="仿宋_GB2312"/>
          <w:color w:val="000000" w:themeColor="text1"/>
          <w:sz w:val="32"/>
          <w:szCs w:val="32"/>
          <w14:textFill>
            <w14:solidFill>
              <w14:schemeClr w14:val="tx1"/>
            </w14:solidFill>
          </w14:textFill>
        </w:rPr>
        <w:t>项目必须是授权的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有效</w:t>
      </w:r>
      <w:r>
        <w:rPr>
          <w:rFonts w:hint="eastAsia" w:ascii="仿宋_GB2312" w:hAnsi="仿宋_GB2312" w:eastAsia="仿宋_GB2312" w:cs="仿宋_GB2312"/>
          <w:color w:val="000000" w:themeColor="text1"/>
          <w:sz w:val="32"/>
          <w:szCs w:val="32"/>
          <w14:textFill>
            <w14:solidFill>
              <w14:schemeClr w14:val="tx1"/>
            </w14:solidFill>
          </w14:textFill>
        </w:rPr>
        <w:t>发明</w:t>
      </w:r>
      <w:r>
        <w:rPr>
          <w:rFonts w:hint="eastAsia" w:ascii="仿宋_GB2312" w:hAnsi="仿宋_GB2312" w:eastAsia="仿宋_GB2312" w:cs="仿宋_GB2312"/>
          <w:color w:val="000000" w:themeColor="text1"/>
          <w:sz w:val="32"/>
          <w:szCs w:val="32"/>
          <w:lang w:eastAsia="zh-CN"/>
          <w14:textFill>
            <w14:solidFill>
              <w14:schemeClr w14:val="tx1"/>
            </w14:solidFill>
          </w14:textFill>
        </w:rPr>
        <w:t>专利</w:t>
      </w:r>
      <w:r>
        <w:rPr>
          <w:rFonts w:hint="eastAsia" w:ascii="仿宋_GB2312" w:hAnsi="仿宋_GB2312" w:eastAsia="仿宋_GB2312" w:cs="仿宋_GB2312"/>
          <w:color w:val="000000" w:themeColor="text1"/>
          <w:sz w:val="32"/>
          <w:szCs w:val="32"/>
          <w14:textFill>
            <w14:solidFill>
              <w14:schemeClr w14:val="tx1"/>
            </w14:solidFill>
          </w14:textFill>
        </w:rPr>
        <w:t>或者实用新型专利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以前</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支持过的</w:t>
      </w:r>
      <w:r>
        <w:rPr>
          <w:rFonts w:hint="eastAsia" w:ascii="仿宋_GB2312" w:hAnsi="仿宋_GB2312" w:eastAsia="仿宋_GB2312" w:cs="仿宋_GB2312"/>
          <w:color w:val="000000" w:themeColor="text1"/>
          <w:sz w:val="32"/>
          <w:szCs w:val="32"/>
          <w14:textFill>
            <w14:solidFill>
              <w14:schemeClr w14:val="tx1"/>
            </w14:solidFill>
          </w14:textFill>
        </w:rPr>
        <w:t>专利</w:t>
      </w:r>
      <w:r>
        <w:rPr>
          <w:rFonts w:hint="eastAsia" w:ascii="仿宋_GB2312" w:hAnsi="仿宋_GB2312" w:eastAsia="仿宋_GB2312" w:cs="仿宋_GB2312"/>
          <w:color w:val="000000" w:themeColor="text1"/>
          <w:sz w:val="32"/>
          <w:szCs w:val="32"/>
          <w:lang w:eastAsia="zh-CN"/>
          <w14:textFill>
            <w14:solidFill>
              <w14:schemeClr w14:val="tx1"/>
            </w14:solidFill>
          </w14:textFill>
        </w:rPr>
        <w:t>产业化</w:t>
      </w:r>
      <w:r>
        <w:rPr>
          <w:rFonts w:hint="eastAsia" w:ascii="仿宋_GB2312" w:hAnsi="仿宋_GB2312" w:eastAsia="仿宋_GB2312" w:cs="仿宋_GB2312"/>
          <w:color w:val="000000" w:themeColor="text1"/>
          <w:sz w:val="32"/>
          <w:szCs w:val="32"/>
          <w14:textFill>
            <w14:solidFill>
              <w14:schemeClr w14:val="tx1"/>
            </w14:solidFill>
          </w14:textFill>
        </w:rPr>
        <w:t>项目不</w:t>
      </w:r>
      <w:r>
        <w:rPr>
          <w:rFonts w:hint="eastAsia" w:ascii="仿宋_GB2312" w:hAnsi="仿宋_GB2312" w:eastAsia="仿宋_GB2312" w:cs="仿宋_GB2312"/>
          <w:color w:val="000000" w:themeColor="text1"/>
          <w:sz w:val="32"/>
          <w:szCs w:val="32"/>
          <w:lang w:eastAsia="zh-CN"/>
          <w14:textFill>
            <w14:solidFill>
              <w14:schemeClr w14:val="tx1"/>
            </w14:solidFill>
          </w14:textFill>
        </w:rPr>
        <w:t>得</w:t>
      </w:r>
      <w:r>
        <w:rPr>
          <w:rFonts w:hint="eastAsia" w:ascii="仿宋_GB2312" w:hAnsi="仿宋_GB2312" w:eastAsia="仿宋_GB2312" w:cs="仿宋_GB2312"/>
          <w:color w:val="000000" w:themeColor="text1"/>
          <w:sz w:val="32"/>
          <w:szCs w:val="32"/>
          <w14:textFill>
            <w14:solidFill>
              <w14:schemeClr w14:val="tx1"/>
            </w14:solidFill>
          </w14:textFill>
        </w:rPr>
        <w:t>重复申报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600" w:lineRule="exact"/>
        <w:ind w:firstLine="640" w:firstLineChars="200"/>
        <w:jc w:val="both"/>
        <w:rPr>
          <w:rFonts w:hint="eastAsia" w:ascii="仿宋_GB2312" w:hAnsi="仿宋_GB2312" w:eastAsia="仿宋_GB2312" w:cs="仿宋_GB2312"/>
          <w:bCs/>
          <w:color w:val="C00000"/>
          <w:sz w:val="32"/>
          <w:szCs w:val="32"/>
          <w:lang w:val="en-US"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Cs/>
          <w:color w:val="000000"/>
          <w:sz w:val="32"/>
          <w:szCs w:val="32"/>
          <w:lang w:val="en-US" w:eastAsia="zh-CN"/>
        </w:rPr>
        <w:t>2023年以前（含2023年）专项资金项目未通过验收或延期验收的项目承担单位不得申报项目。</w:t>
      </w:r>
      <w:r>
        <w:rPr>
          <w:rFonts w:hint="eastAsia" w:ascii="仿宋_GB2312" w:hAnsi="仿宋_GB2312" w:eastAsia="仿宋_GB2312" w:cs="仿宋_GB2312"/>
          <w:bCs/>
          <w:color w:val="C00000"/>
          <w:sz w:val="32"/>
          <w:szCs w:val="32"/>
          <w:lang w:val="en-US" w:eastAsia="zh-CN"/>
        </w:rPr>
        <w:t xml:space="preserve"> </w:t>
      </w:r>
    </w:p>
    <w:p>
      <w:pPr>
        <w:spacing w:line="600" w:lineRule="exact"/>
        <w:ind w:firstLine="640" w:firstLineChars="200"/>
        <w:jc w:val="both"/>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（五）2023年前未通过国家知识产权示范优势企业复核考核的单位不得申报项目。</w:t>
      </w:r>
    </w:p>
    <w:p>
      <w:pPr>
        <w:numPr>
          <w:ilvl w:val="0"/>
          <w:numId w:val="0"/>
        </w:numPr>
        <w:spacing w:line="60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（六）申请或代理不以保护创新为目的的非正常专利申请、恶意申请注册或囤积商标较多的单位、机构不得申报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0"/>
        </w:numPr>
        <w:spacing w:line="60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（七）多家单位联合申报项目，应签订项目合作协议加盖法人单位公章，作为申报书附件材料扫描上传。</w:t>
      </w:r>
    </w:p>
    <w:p>
      <w:pPr>
        <w:spacing w:line="600" w:lineRule="exact"/>
        <w:ind w:firstLine="640" w:firstLineChars="200"/>
        <w:jc w:val="both"/>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、申报</w:t>
      </w:r>
      <w:r>
        <w:rPr>
          <w:rFonts w:hint="eastAsia" w:ascii="黑体" w:hAnsi="黑体" w:eastAsia="黑体" w:cs="黑体"/>
          <w:color w:val="000000" w:themeColor="text1"/>
          <w:sz w:val="32"/>
          <w:szCs w:val="32"/>
          <w:lang w:eastAsia="zh-CN"/>
          <w14:textFill>
            <w14:solidFill>
              <w14:schemeClr w14:val="tx1"/>
            </w14:solidFill>
          </w14:textFill>
        </w:rPr>
        <w:t>流程</w:t>
      </w:r>
    </w:p>
    <w:p>
      <w:pPr>
        <w:spacing w:line="600" w:lineRule="exact"/>
        <w:ind w:firstLine="627" w:firstLineChars="196"/>
        <w:jc w:val="both"/>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z w:val="32"/>
          <w:szCs w:val="32"/>
        </w:rPr>
        <w:t>（一）申报单位登录四川省级知识产权专项资金项目管理平台（http://www.scipozj.cn）</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进行身份注册和实名认证</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完整如实填写相关信息，已注册过的单位凭用户名和密码登录，</w:t>
      </w:r>
      <w:r>
        <w:rPr>
          <w:rFonts w:hint="eastAsia" w:ascii="仿宋_GB2312" w:hAnsi="仿宋_GB2312" w:eastAsia="仿宋_GB2312" w:cs="仿宋_GB2312"/>
          <w:color w:val="000000" w:themeColor="text1"/>
          <w:sz w:val="32"/>
          <w:szCs w:val="32"/>
          <w:u w:val="none"/>
          <w14:textFill>
            <w14:solidFill>
              <w14:schemeClr w14:val="tx1"/>
            </w14:solidFill>
          </w14:textFill>
        </w:rPr>
        <w:t>填写《省</w:t>
      </w:r>
      <w:r>
        <w:rPr>
          <w:rFonts w:hint="eastAsia" w:ascii="仿宋_GB2312" w:hAnsi="仿宋_GB2312" w:eastAsia="仿宋_GB2312" w:cs="仿宋_GB2312"/>
          <w:color w:val="000000"/>
          <w:sz w:val="32"/>
          <w:szCs w:val="32"/>
        </w:rPr>
        <w:t>级知识产权专项资金项目申报书》，</w:t>
      </w:r>
      <w:r>
        <w:rPr>
          <w:rFonts w:hint="eastAsia" w:ascii="仿宋_GB2312" w:hAnsi="仿宋_GB2312" w:eastAsia="仿宋_GB2312" w:cs="仿宋_GB2312"/>
          <w:color w:val="000000"/>
          <w:sz w:val="32"/>
          <w:szCs w:val="32"/>
          <w:lang w:val="en-US" w:eastAsia="zh-CN"/>
        </w:rPr>
        <w:t>上传</w:t>
      </w:r>
      <w:r>
        <w:rPr>
          <w:rFonts w:hint="eastAsia" w:ascii="仿宋_GB2312" w:hAnsi="仿宋_GB2312" w:eastAsia="仿宋_GB2312" w:cs="仿宋_GB2312"/>
          <w:color w:val="000000"/>
          <w:sz w:val="32"/>
          <w:szCs w:val="32"/>
        </w:rPr>
        <w:t>相关证明附件材料</w:t>
      </w:r>
      <w:r>
        <w:rPr>
          <w:rFonts w:hint="eastAsia" w:ascii="仿宋_GB2312" w:hAnsi="仿宋_GB2312" w:eastAsia="仿宋_GB2312" w:cs="仿宋_GB2312"/>
          <w:color w:val="000000"/>
          <w:sz w:val="32"/>
          <w:szCs w:val="32"/>
          <w:lang w:val="en-US" w:eastAsia="zh-CN"/>
        </w:rPr>
        <w:t>后网上提交至</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w:t>
      </w:r>
      <w:r>
        <w:rPr>
          <w:rFonts w:hint="eastAsia" w:ascii="仿宋_GB2312" w:hAnsi="仿宋_GB2312" w:eastAsia="仿宋_GB2312" w:cs="仿宋_GB2312"/>
          <w:strike w:val="0"/>
          <w:color w:val="000000" w:themeColor="text1"/>
          <w:sz w:val="32"/>
          <w:szCs w:val="32"/>
          <w:lang w:eastAsia="zh-CN"/>
          <w14:textFill>
            <w14:solidFill>
              <w14:schemeClr w14:val="tx1"/>
            </w14:solidFill>
          </w14:textFill>
        </w:rPr>
        <w:t>。</w:t>
      </w:r>
    </w:p>
    <w:p>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strike w:val="0"/>
          <w:color w:val="000000" w:themeColor="text1"/>
          <w:sz w:val="32"/>
          <w:szCs w:val="32"/>
          <w14:textFill>
            <w14:solidFill>
              <w14:schemeClr w14:val="tx1"/>
            </w14:solidFill>
          </w14:textFill>
        </w:rPr>
        <w:t>（二）</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w:t>
      </w:r>
      <w:r>
        <w:rPr>
          <w:rFonts w:hint="eastAsia" w:ascii="仿宋_GB2312" w:hAnsi="仿宋_GB2312" w:eastAsia="仿宋_GB2312" w:cs="仿宋_GB2312"/>
          <w:color w:val="000000"/>
          <w:sz w:val="32"/>
          <w:szCs w:val="32"/>
        </w:rPr>
        <w:t>负责组织本地项目的申报和</w:t>
      </w:r>
      <w:r>
        <w:rPr>
          <w:rFonts w:hint="eastAsia" w:ascii="仿宋_GB2312" w:hAnsi="仿宋_GB2312" w:eastAsia="仿宋_GB2312" w:cs="仿宋_GB2312"/>
          <w:color w:val="000000"/>
          <w:sz w:val="32"/>
          <w:szCs w:val="32"/>
          <w:lang w:eastAsia="zh-CN"/>
        </w:rPr>
        <w:t>推荐工作</w:t>
      </w:r>
      <w:r>
        <w:rPr>
          <w:rFonts w:hint="eastAsia" w:ascii="仿宋_GB2312" w:hAnsi="仿宋_GB2312" w:eastAsia="仿宋_GB2312" w:cs="仿宋_GB2312"/>
          <w:color w:val="000000"/>
          <w:sz w:val="32"/>
          <w:szCs w:val="32"/>
        </w:rPr>
        <w:t>，登录</w:t>
      </w:r>
      <w:r>
        <w:rPr>
          <w:rFonts w:hint="eastAsia" w:ascii="仿宋_GB2312" w:hAnsi="仿宋_GB2312" w:eastAsia="仿宋_GB2312" w:cs="仿宋_GB2312"/>
          <w:color w:val="000000"/>
          <w:sz w:val="32"/>
          <w:szCs w:val="32"/>
          <w:lang w:eastAsia="zh-CN"/>
        </w:rPr>
        <w:t>四川省级知识产权</w:t>
      </w:r>
      <w:r>
        <w:rPr>
          <w:rFonts w:hint="eastAsia" w:ascii="仿宋_GB2312" w:hAnsi="仿宋_GB2312" w:eastAsia="仿宋_GB2312" w:cs="仿宋_GB2312"/>
          <w:color w:val="000000"/>
          <w:sz w:val="32"/>
          <w:szCs w:val="32"/>
        </w:rPr>
        <w:t>专项资金项目管理平台（http://www.scipozj.cn）严格审核项目申报条件及相关资料，</w:t>
      </w:r>
      <w:r>
        <w:rPr>
          <w:rFonts w:hint="eastAsia" w:ascii="仿宋_GB2312" w:hAnsi="仿宋_GB2312" w:eastAsia="仿宋_GB2312" w:cs="仿宋_GB2312"/>
          <w:color w:val="000000"/>
          <w:sz w:val="32"/>
          <w:szCs w:val="32"/>
          <w:lang w:val="en-US" w:eastAsia="zh-CN"/>
        </w:rPr>
        <w:t>网上</w:t>
      </w:r>
      <w:r>
        <w:rPr>
          <w:rFonts w:hint="eastAsia" w:ascii="仿宋_GB2312" w:hAnsi="仿宋_GB2312" w:eastAsia="仿宋_GB2312" w:cs="仿宋_GB2312"/>
          <w:color w:val="000000"/>
          <w:sz w:val="32"/>
          <w:szCs w:val="32"/>
        </w:rPr>
        <w:t>签署审查推荐意见。</w:t>
      </w:r>
    </w:p>
    <w:p>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地方企事业单位等</w:t>
      </w:r>
      <w:r>
        <w:rPr>
          <w:rFonts w:hint="eastAsia" w:ascii="仿宋_GB2312" w:hAnsi="仿宋_GB2312" w:eastAsia="仿宋_GB2312" w:cs="仿宋_GB2312"/>
          <w:color w:val="000000"/>
          <w:sz w:val="32"/>
          <w:szCs w:val="32"/>
        </w:rPr>
        <w:t>申报单位</w:t>
      </w:r>
      <w:r>
        <w:rPr>
          <w:rFonts w:hint="eastAsia" w:ascii="仿宋_GB2312" w:hAnsi="仿宋_GB2312" w:eastAsia="仿宋_GB2312" w:cs="仿宋_GB2312"/>
          <w:color w:val="000000"/>
          <w:sz w:val="32"/>
          <w:szCs w:val="32"/>
          <w:lang w:val="en-US" w:eastAsia="zh-CN"/>
        </w:rPr>
        <w:t>将</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w:t>
      </w:r>
      <w:r>
        <w:rPr>
          <w:rFonts w:hint="eastAsia" w:ascii="仿宋_GB2312" w:hAnsi="仿宋_GB2312" w:eastAsia="仿宋_GB2312" w:cs="仿宋_GB2312"/>
          <w:color w:val="000000"/>
          <w:sz w:val="32"/>
          <w:szCs w:val="32"/>
          <w:lang w:val="en-US" w:eastAsia="zh-CN"/>
        </w:rPr>
        <w:t>审核推荐后的申报书导出</w:t>
      </w:r>
      <w:r>
        <w:rPr>
          <w:rFonts w:hint="eastAsia" w:ascii="仿宋_GB2312" w:hAnsi="仿宋_GB2312" w:eastAsia="仿宋_GB2312" w:cs="仿宋_GB2312"/>
          <w:color w:val="000000"/>
          <w:sz w:val="32"/>
          <w:szCs w:val="32"/>
        </w:rPr>
        <w:t>制作成书面申报材料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报</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市场监管局盖章</w:t>
      </w:r>
      <w:r>
        <w:rPr>
          <w:rFonts w:hint="eastAsia" w:ascii="仿宋_GB2312" w:hAnsi="仿宋_GB2312" w:eastAsia="仿宋_GB2312" w:cs="仿宋_GB2312"/>
          <w:color w:val="000000"/>
          <w:sz w:val="32"/>
          <w:szCs w:val="32"/>
        </w:rPr>
        <w:t>。</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（四）中央在川企事业单位、</w:t>
      </w:r>
      <w:r>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t>省属企事业单位</w:t>
      </w:r>
      <w:r>
        <w:rPr>
          <w:rFonts w:hint="eastAsia" w:ascii="仿宋_GB2312" w:hAnsi="仿宋_GB2312" w:eastAsia="仿宋_GB2312" w:cs="仿宋_GB2312"/>
          <w:color w:val="000000"/>
          <w:sz w:val="32"/>
          <w:szCs w:val="32"/>
          <w:lang w:eastAsia="zh-CN"/>
        </w:rPr>
        <w:t>完成网上填报后，将申报书导出制作成书面材料（</w:t>
      </w:r>
      <w:r>
        <w:rPr>
          <w:rFonts w:hint="eastAsia" w:ascii="仿宋_GB2312" w:hAnsi="仿宋_GB2312" w:eastAsia="仿宋_GB2312" w:cs="仿宋_GB2312"/>
          <w:color w:val="000000"/>
          <w:sz w:val="32"/>
          <w:szCs w:val="32"/>
          <w:lang w:val="en-US" w:eastAsia="zh-CN"/>
        </w:rPr>
        <w:t>1份</w:t>
      </w:r>
      <w:r>
        <w:rPr>
          <w:rFonts w:hint="eastAsia" w:ascii="仿宋_GB2312" w:hAnsi="仿宋_GB2312" w:eastAsia="仿宋_GB2312" w:cs="仿宋_GB2312"/>
          <w:color w:val="000000"/>
          <w:sz w:val="32"/>
          <w:szCs w:val="32"/>
          <w:lang w:eastAsia="zh-CN"/>
        </w:rPr>
        <w:t>），加盖单位公章，直接报省市场监管局。</w:t>
      </w:r>
    </w:p>
    <w:p>
      <w:pPr>
        <w:spacing w:line="600" w:lineRule="exact"/>
        <w:ind w:firstLine="640" w:firstLineChars="200"/>
        <w:jc w:val="both"/>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五</w:t>
      </w:r>
      <w:r>
        <w:rPr>
          <w:rFonts w:hint="eastAsia" w:ascii="黑体" w:hAnsi="黑体" w:eastAsia="黑体" w:cs="黑体"/>
          <w:bCs/>
          <w:color w:val="000000"/>
          <w:sz w:val="32"/>
          <w:szCs w:val="32"/>
          <w:lang w:eastAsia="zh-CN"/>
        </w:rPr>
        <w:t>、</w:t>
      </w:r>
      <w:r>
        <w:rPr>
          <w:rFonts w:hint="eastAsia" w:ascii="黑体" w:hAnsi="黑体" w:eastAsia="黑体" w:cs="黑体"/>
          <w:bCs/>
          <w:color w:val="000000"/>
          <w:sz w:val="32"/>
          <w:szCs w:val="32"/>
        </w:rPr>
        <w:t>申报要求</w:t>
      </w:r>
      <w:r>
        <w:rPr>
          <w:rFonts w:hint="eastAsia" w:ascii="黑体" w:hAnsi="黑体" w:eastAsia="黑体" w:cs="黑体"/>
          <w:bCs/>
          <w:color w:val="000000"/>
          <w:sz w:val="32"/>
          <w:szCs w:val="32"/>
          <w:lang w:val="en-US" w:eastAsia="zh-CN"/>
        </w:rPr>
        <w:t>及材料报送</w:t>
      </w:r>
    </w:p>
    <w:p>
      <w:pPr>
        <w:spacing w:line="600" w:lineRule="exact"/>
        <w:ind w:firstLine="640" w:firstLineChars="200"/>
        <w:jc w:val="both"/>
        <w:rPr>
          <w:rFonts w:hint="eastAsia" w:ascii="楷体_GB2312" w:hAnsi="楷体_GB2312" w:eastAsia="楷体_GB2312" w:cs="楷体_GB2312"/>
          <w:bCs/>
          <w:color w:val="FF0000"/>
          <w:sz w:val="32"/>
          <w:szCs w:val="32"/>
          <w:u w:val="none"/>
          <w:lang w:val="en-US" w:eastAsia="zh-CN"/>
        </w:rPr>
      </w:pPr>
      <w:r>
        <w:rPr>
          <w:rFonts w:hint="eastAsia" w:ascii="楷体_GB2312" w:hAnsi="楷体_GB2312" w:eastAsia="楷体_GB2312" w:cs="楷体_GB2312"/>
          <w:sz w:val="32"/>
          <w:szCs w:val="32"/>
          <w:lang w:val="en-US" w:eastAsia="zh-CN"/>
        </w:rPr>
        <w:t>（一）申报要求</w:t>
      </w:r>
    </w:p>
    <w:p>
      <w:pPr>
        <w:spacing w:line="600" w:lineRule="exact"/>
        <w:ind w:firstLine="640" w:firstLineChars="200"/>
        <w:jc w:val="both"/>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1.项目实施周期原则上为1年，项目实施起始时间为财政厅、省市场监管局下达资金预算和项目之日起算。</w:t>
      </w:r>
    </w:p>
    <w:p>
      <w:pPr>
        <w:spacing w:line="600" w:lineRule="exact"/>
        <w:ind w:firstLine="640" w:firstLineChars="200"/>
        <w:jc w:val="both"/>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2.申报项目支持方向及项目类型在附件2中选取，项目名称在申报书中详细填写（专利实施与产业化项目需备注至少一个主专利号）。</w:t>
      </w:r>
    </w:p>
    <w:p>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填报的“申请专项资金额度”应与项目开展的知识产权工作直接相关并匹配。“专项资金支出计划”仅涉及申报的专项资金额度，应有明确具体的资金管理流程、支付范围、支付标准、支付进度、支付依据，以及专账管理等说明。</w:t>
      </w:r>
    </w:p>
    <w:p>
      <w:pPr>
        <w:spacing w:line="600" w:lineRule="exact"/>
        <w:ind w:firstLine="627" w:firstLineChars="196"/>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专项资金使用必须符合《</w:t>
      </w:r>
      <w:r>
        <w:rPr>
          <w:rFonts w:hint="eastAsia" w:ascii="仿宋_GB2312" w:hAnsi="仿宋_GB2312" w:eastAsia="仿宋_GB2312" w:cs="仿宋_GB2312"/>
          <w:color w:val="000000"/>
          <w:sz w:val="32"/>
          <w:szCs w:val="32"/>
          <w:lang w:eastAsia="zh-CN"/>
        </w:rPr>
        <w:t>四川省</w:t>
      </w:r>
      <w:r>
        <w:rPr>
          <w:rFonts w:hint="eastAsia" w:ascii="仿宋_GB2312" w:hAnsi="仿宋_GB2312" w:eastAsia="仿宋_GB2312" w:cs="仿宋_GB2312"/>
          <w:color w:val="000000"/>
          <w:sz w:val="32"/>
          <w:szCs w:val="32"/>
        </w:rPr>
        <w:t>省级</w:t>
      </w:r>
      <w:r>
        <w:rPr>
          <w:rFonts w:hint="eastAsia" w:ascii="仿宋_GB2312" w:hAnsi="仿宋_GB2312" w:eastAsia="仿宋_GB2312" w:cs="仿宋_GB2312"/>
          <w:color w:val="000000"/>
          <w:sz w:val="32"/>
          <w:szCs w:val="32"/>
          <w:lang w:eastAsia="zh-CN"/>
        </w:rPr>
        <w:t>财政</w:t>
      </w:r>
      <w:r>
        <w:rPr>
          <w:rFonts w:hint="eastAsia" w:ascii="仿宋_GB2312" w:hAnsi="仿宋_GB2312" w:eastAsia="仿宋_GB2312" w:cs="仿宋_GB2312"/>
          <w:color w:val="000000"/>
          <w:sz w:val="32"/>
          <w:szCs w:val="32"/>
        </w:rPr>
        <w:t>知识产权专项资金管理办法》</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相关规定</w:t>
      </w:r>
      <w:r>
        <w:rPr>
          <w:rFonts w:hint="eastAsia" w:ascii="仿宋_GB2312" w:hAnsi="仿宋_GB2312" w:eastAsia="仿宋_GB2312" w:cs="仿宋_GB2312"/>
          <w:color w:val="000000"/>
          <w:sz w:val="32"/>
          <w:szCs w:val="32"/>
          <w:lang w:eastAsia="zh-CN"/>
        </w:rPr>
        <w:t>和要求</w:t>
      </w:r>
      <w:r>
        <w:rPr>
          <w:rFonts w:hint="eastAsia" w:ascii="仿宋_GB2312" w:hAnsi="仿宋_GB2312" w:eastAsia="仿宋_GB2312" w:cs="仿宋_GB2312"/>
          <w:color w:val="000000"/>
          <w:sz w:val="32"/>
          <w:szCs w:val="32"/>
        </w:rPr>
        <w:t>。</w:t>
      </w:r>
    </w:p>
    <w:p>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5.项目</w:t>
      </w:r>
      <w:r>
        <w:rPr>
          <w:rFonts w:hint="eastAsia" w:ascii="仿宋_GB2312" w:hAnsi="仿宋_GB2312" w:eastAsia="仿宋_GB2312" w:cs="仿宋_GB2312"/>
          <w:color w:val="000000"/>
          <w:sz w:val="32"/>
          <w:szCs w:val="32"/>
        </w:rPr>
        <w:t>申报书填写的</w:t>
      </w:r>
      <w:r>
        <w:rPr>
          <w:rFonts w:hint="eastAsia" w:ascii="仿宋_GB2312" w:hAnsi="仿宋_GB2312" w:eastAsia="仿宋_GB2312" w:cs="仿宋_GB2312"/>
          <w:color w:val="000000"/>
          <w:sz w:val="32"/>
          <w:szCs w:val="32"/>
          <w:lang w:val="en-US" w:eastAsia="zh-CN"/>
        </w:rPr>
        <w:t>方案和指标</w:t>
      </w:r>
      <w:r>
        <w:rPr>
          <w:rFonts w:hint="eastAsia" w:ascii="仿宋_GB2312" w:hAnsi="仿宋_GB2312" w:eastAsia="仿宋_GB2312" w:cs="仿宋_GB2312"/>
          <w:color w:val="000000"/>
          <w:sz w:val="32"/>
          <w:szCs w:val="32"/>
        </w:rPr>
        <w:t>是项目验收、绩效考核的重要依据，应尽可能量化细化。</w:t>
      </w:r>
    </w:p>
    <w:p>
      <w:pPr>
        <w:spacing w:line="600" w:lineRule="exact"/>
        <w:ind w:firstLine="627" w:firstLineChars="196"/>
        <w:jc w:val="both"/>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材料报送</w:t>
      </w:r>
    </w:p>
    <w:p>
      <w:pPr>
        <w:spacing w:line="600" w:lineRule="exact"/>
        <w:ind w:firstLine="627" w:firstLineChars="19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申报单位应按照填报说明填写《省级知识产权专项资金项目申报书》，提交相应的附件，装订成册，并保证项目及申报材料真实性和完整性。</w:t>
      </w:r>
    </w:p>
    <w:p>
      <w:pPr>
        <w:ind w:firstLine="640" w:firstLineChars="200"/>
        <w:rPr>
          <w:rFonts w:hint="eastAsia" w:ascii="仿宋_GB2312" w:hAnsi="仿宋_GB2312" w:eastAsia="仿宋_GB2312" w:cs="仿宋_GB2312"/>
          <w:strike w:val="0"/>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市（州）</w:t>
      </w:r>
      <w:r>
        <w:rPr>
          <w:rFonts w:hint="eastAsia" w:ascii="仿宋_GB2312" w:hAnsi="仿宋_GB2312" w:eastAsia="仿宋_GB2312" w:cs="仿宋_GB2312"/>
          <w:color w:val="000000"/>
          <w:sz w:val="32"/>
          <w:szCs w:val="32"/>
          <w:lang w:eastAsia="zh-CN"/>
        </w:rPr>
        <w:t>市场监管局</w:t>
      </w:r>
      <w:r>
        <w:rPr>
          <w:rFonts w:hint="eastAsia" w:ascii="仿宋_GB2312" w:hAnsi="仿宋_GB2312" w:eastAsia="仿宋_GB2312" w:cs="仿宋_GB2312"/>
          <w:color w:val="000000"/>
          <w:sz w:val="32"/>
          <w:szCs w:val="32"/>
        </w:rPr>
        <w:t>负责汇总本地所有审查推荐的项目，打印《省级知识产权专项资金项目汇总表》，连同签署审查推荐意见后的项目申报书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t>按通知文件时间要求统一</w:t>
      </w:r>
      <w:r>
        <w:rPr>
          <w:rFonts w:hint="eastAsia" w:ascii="仿宋_GB2312" w:hAnsi="仿宋_GB2312" w:eastAsia="仿宋_GB2312" w:cs="仿宋_GB2312"/>
          <w:strike w:val="0"/>
          <w:color w:val="000000" w:themeColor="text1"/>
          <w:sz w:val="32"/>
          <w:szCs w:val="32"/>
          <w14:textFill>
            <w14:solidFill>
              <w14:schemeClr w14:val="tx1"/>
            </w14:solidFill>
          </w14:textFill>
        </w:rPr>
        <w:t>报省</w:t>
      </w:r>
      <w:r>
        <w:rPr>
          <w:rFonts w:hint="eastAsia" w:ascii="仿宋_GB2312" w:hAnsi="仿宋_GB2312" w:eastAsia="仿宋_GB2312" w:cs="仿宋_GB2312"/>
          <w:strike w:val="0"/>
          <w:color w:val="000000" w:themeColor="text1"/>
          <w:sz w:val="32"/>
          <w:szCs w:val="32"/>
          <w:lang w:eastAsia="zh-CN"/>
          <w14:textFill>
            <w14:solidFill>
              <w14:schemeClr w14:val="tx1"/>
            </w14:solidFill>
          </w14:textFill>
        </w:rPr>
        <w:t>市场监管局</w:t>
      </w:r>
      <w:r>
        <w:rPr>
          <w:rFonts w:hint="eastAsia" w:ascii="仿宋_GB2312" w:hAnsi="仿宋_GB2312" w:eastAsia="仿宋_GB2312" w:cs="仿宋_GB2312"/>
          <w:strike w:val="0"/>
          <w:color w:val="000000" w:themeColor="text1"/>
          <w:sz w:val="32"/>
          <w:szCs w:val="32"/>
          <w14:textFill>
            <w14:solidFill>
              <w14:schemeClr w14:val="tx1"/>
            </w14:solidFill>
          </w14:textFill>
        </w:rPr>
        <w:t>。</w:t>
      </w:r>
    </w:p>
    <w:p>
      <w:pPr>
        <w:pStyle w:val="2"/>
        <w:ind w:firstLine="640" w:firstLineChars="200"/>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trike w:val="0"/>
          <w:color w:val="000000" w:themeColor="text1"/>
          <w:sz w:val="32"/>
          <w:szCs w:val="32"/>
          <w:lang w:val="en-US" w:eastAsia="zh-CN"/>
          <w14:textFill>
            <w14:solidFill>
              <w14:schemeClr w14:val="tx1"/>
            </w14:solidFill>
          </w14:textFill>
        </w:rPr>
        <w:t>3.中央在川企事业单位、省级企事业单位项目申报材料直接向省市场监管局报送。</w:t>
      </w:r>
    </w:p>
    <w:p>
      <w:pPr>
        <w:pStyle w:val="2"/>
        <w:keepNext w:val="0"/>
        <w:keepLines w:val="0"/>
        <w:pageBreakBefore w:val="0"/>
        <w:widowControl/>
        <w:kinsoku/>
        <w:wordWrap/>
        <w:overflowPunct/>
        <w:topLinePunct w:val="0"/>
        <w:autoSpaceDE/>
        <w:autoSpaceDN/>
        <w:bidi w:val="0"/>
        <w:adjustRightInd/>
        <w:snapToGrid/>
        <w:spacing w:line="560" w:lineRule="exact"/>
        <w:rPr>
          <w:rFonts w:hint="eastAsia" w:ascii="仿宋" w:hAnsi="仿宋" w:eastAsia="仿宋" w:cs="仿宋"/>
          <w:sz w:val="30"/>
          <w:szCs w:val="30"/>
          <w:lang w:val="en-US" w:eastAsia="zh-CN"/>
        </w:rPr>
      </w:pPr>
    </w:p>
    <w:sectPr>
      <w:headerReference r:id="rId3" w:type="default"/>
      <w:footerReference r:id="rId4" w:type="default"/>
      <w:pgSz w:w="11906" w:h="16838"/>
      <w:pgMar w:top="1440" w:right="1293" w:bottom="1440"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6304"/>
    <w:multiLevelType w:val="singleLevel"/>
    <w:tmpl w:val="97266304"/>
    <w:lvl w:ilvl="0" w:tentative="0">
      <w:start w:val="2"/>
      <w:numFmt w:val="chineseCounting"/>
      <w:suff w:val="nothing"/>
      <w:lvlText w:val="%1、"/>
      <w:lvlJc w:val="left"/>
      <w:rPr>
        <w:rFonts w:hint="eastAsia"/>
      </w:rPr>
    </w:lvl>
  </w:abstractNum>
  <w:abstractNum w:abstractNumId="1">
    <w:nsid w:val="F75C9E6D"/>
    <w:multiLevelType w:val="singleLevel"/>
    <w:tmpl w:val="F75C9E6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jM5ZWJjNmEzMGQxMTI0Y2RiYzgyZmZkNDE4YmUifQ=="/>
  </w:docVars>
  <w:rsids>
    <w:rsidRoot w:val="5B742878"/>
    <w:rsid w:val="0014383E"/>
    <w:rsid w:val="00573830"/>
    <w:rsid w:val="00EA1B19"/>
    <w:rsid w:val="010507D6"/>
    <w:rsid w:val="01C24AAA"/>
    <w:rsid w:val="01E61ADB"/>
    <w:rsid w:val="023F02DD"/>
    <w:rsid w:val="02677E0F"/>
    <w:rsid w:val="02FB2B53"/>
    <w:rsid w:val="049C6CDF"/>
    <w:rsid w:val="04FA0FF7"/>
    <w:rsid w:val="06BE3DD0"/>
    <w:rsid w:val="07AA11C8"/>
    <w:rsid w:val="08254327"/>
    <w:rsid w:val="08C06A3C"/>
    <w:rsid w:val="092233E7"/>
    <w:rsid w:val="0A1848B1"/>
    <w:rsid w:val="0A6B43AC"/>
    <w:rsid w:val="0C4A6556"/>
    <w:rsid w:val="0F8C2699"/>
    <w:rsid w:val="1126724E"/>
    <w:rsid w:val="135A73E1"/>
    <w:rsid w:val="13C30A5C"/>
    <w:rsid w:val="14D21E3C"/>
    <w:rsid w:val="14D64FB7"/>
    <w:rsid w:val="15704C57"/>
    <w:rsid w:val="18BA4FDD"/>
    <w:rsid w:val="18BE7A72"/>
    <w:rsid w:val="19BA4358"/>
    <w:rsid w:val="19E0185E"/>
    <w:rsid w:val="1A960BCD"/>
    <w:rsid w:val="1B954CE9"/>
    <w:rsid w:val="1C161DB7"/>
    <w:rsid w:val="1CE80774"/>
    <w:rsid w:val="1D563BFD"/>
    <w:rsid w:val="1DE521B9"/>
    <w:rsid w:val="1DEA2A12"/>
    <w:rsid w:val="1EA86F55"/>
    <w:rsid w:val="1EB17D74"/>
    <w:rsid w:val="27152D94"/>
    <w:rsid w:val="27364652"/>
    <w:rsid w:val="27490877"/>
    <w:rsid w:val="29013714"/>
    <w:rsid w:val="29225133"/>
    <w:rsid w:val="29F97131"/>
    <w:rsid w:val="2D0B7E05"/>
    <w:rsid w:val="2ECD5A2E"/>
    <w:rsid w:val="2EDD74B1"/>
    <w:rsid w:val="2FB87EC4"/>
    <w:rsid w:val="2FFFDFD2"/>
    <w:rsid w:val="334D1D8A"/>
    <w:rsid w:val="335C4E66"/>
    <w:rsid w:val="36B74E47"/>
    <w:rsid w:val="3AA90716"/>
    <w:rsid w:val="3ABFBBE7"/>
    <w:rsid w:val="3B092433"/>
    <w:rsid w:val="3B3A6E90"/>
    <w:rsid w:val="3BA94D53"/>
    <w:rsid w:val="3BBD61D0"/>
    <w:rsid w:val="3F2FD1EE"/>
    <w:rsid w:val="3F825DAF"/>
    <w:rsid w:val="428E7DF0"/>
    <w:rsid w:val="435BF66C"/>
    <w:rsid w:val="4361316A"/>
    <w:rsid w:val="463B6DFB"/>
    <w:rsid w:val="465E4330"/>
    <w:rsid w:val="46D15D01"/>
    <w:rsid w:val="47274C86"/>
    <w:rsid w:val="4840423F"/>
    <w:rsid w:val="4A7E1489"/>
    <w:rsid w:val="4B4E6035"/>
    <w:rsid w:val="4C0A7F56"/>
    <w:rsid w:val="4D5F5B94"/>
    <w:rsid w:val="4DFA4B86"/>
    <w:rsid w:val="4EEA3A0A"/>
    <w:rsid w:val="500373D1"/>
    <w:rsid w:val="50A158D6"/>
    <w:rsid w:val="51172C3C"/>
    <w:rsid w:val="52F1007D"/>
    <w:rsid w:val="53CC62BE"/>
    <w:rsid w:val="54021E3A"/>
    <w:rsid w:val="54D92C42"/>
    <w:rsid w:val="56E01ED0"/>
    <w:rsid w:val="57FC5473"/>
    <w:rsid w:val="59EA6A8E"/>
    <w:rsid w:val="5A3FF014"/>
    <w:rsid w:val="5B29754D"/>
    <w:rsid w:val="5B742878"/>
    <w:rsid w:val="5CFF49C3"/>
    <w:rsid w:val="5D432F9A"/>
    <w:rsid w:val="5DFE6497"/>
    <w:rsid w:val="5E2C46DC"/>
    <w:rsid w:val="5EBB8BCF"/>
    <w:rsid w:val="5F4F57A6"/>
    <w:rsid w:val="5F577200"/>
    <w:rsid w:val="5F7C241F"/>
    <w:rsid w:val="5F8823D7"/>
    <w:rsid w:val="62014E94"/>
    <w:rsid w:val="62632982"/>
    <w:rsid w:val="666223E2"/>
    <w:rsid w:val="670977DC"/>
    <w:rsid w:val="672D6AB0"/>
    <w:rsid w:val="67C82159"/>
    <w:rsid w:val="691B5141"/>
    <w:rsid w:val="6F1B6C86"/>
    <w:rsid w:val="6FB736BF"/>
    <w:rsid w:val="6FCB36C2"/>
    <w:rsid w:val="70017684"/>
    <w:rsid w:val="70486ED7"/>
    <w:rsid w:val="70AD7848"/>
    <w:rsid w:val="70B02CA8"/>
    <w:rsid w:val="70FB2867"/>
    <w:rsid w:val="72EEFEFF"/>
    <w:rsid w:val="73A11FB5"/>
    <w:rsid w:val="73CC76D8"/>
    <w:rsid w:val="745A3AFC"/>
    <w:rsid w:val="7569469B"/>
    <w:rsid w:val="75B549E3"/>
    <w:rsid w:val="75CC3591"/>
    <w:rsid w:val="761F4CD4"/>
    <w:rsid w:val="766C9303"/>
    <w:rsid w:val="76807C3F"/>
    <w:rsid w:val="77370D12"/>
    <w:rsid w:val="775539FA"/>
    <w:rsid w:val="781E9A55"/>
    <w:rsid w:val="78616C93"/>
    <w:rsid w:val="797F7E50"/>
    <w:rsid w:val="79B69392"/>
    <w:rsid w:val="7A7F0831"/>
    <w:rsid w:val="7A9424E1"/>
    <w:rsid w:val="7CDFBB83"/>
    <w:rsid w:val="7D3C0834"/>
    <w:rsid w:val="7EEE4082"/>
    <w:rsid w:val="7F3D3870"/>
    <w:rsid w:val="7FBF64CF"/>
    <w:rsid w:val="7FFF7FA1"/>
    <w:rsid w:val="95FFFAE8"/>
    <w:rsid w:val="9BDF7571"/>
    <w:rsid w:val="AFAD48EE"/>
    <w:rsid w:val="B5FF0292"/>
    <w:rsid w:val="B7F7BC73"/>
    <w:rsid w:val="BB7F6E5B"/>
    <w:rsid w:val="BBDF78CF"/>
    <w:rsid w:val="BE1FEA83"/>
    <w:rsid w:val="BFF71461"/>
    <w:rsid w:val="BFFDADEA"/>
    <w:rsid w:val="C9BFDC1F"/>
    <w:rsid w:val="CA9BAB14"/>
    <w:rsid w:val="D5C743D3"/>
    <w:rsid w:val="D9FFAED4"/>
    <w:rsid w:val="DB8E184F"/>
    <w:rsid w:val="DF9B6182"/>
    <w:rsid w:val="DFEFDC56"/>
    <w:rsid w:val="EE9F8D9B"/>
    <w:rsid w:val="F33BE6F4"/>
    <w:rsid w:val="F5F921CD"/>
    <w:rsid w:val="FABF4FB9"/>
    <w:rsid w:val="FEBF2243"/>
    <w:rsid w:val="FF2531ED"/>
    <w:rsid w:val="FF7C3DD5"/>
    <w:rsid w:val="FFDFCFD9"/>
    <w:rsid w:val="FFE29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8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0"/>
    <w:pPr>
      <w:ind w:firstLine="420" w:firstLineChars="200"/>
    </w:pPr>
  </w:style>
  <w:style w:type="paragraph" w:customStyle="1" w:styleId="11">
    <w:name w:val="列出段落1"/>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2593</Words>
  <Characters>2702</Characters>
  <Lines>0</Lines>
  <Paragraphs>0</Paragraphs>
  <TotalTime>30</TotalTime>
  <ScaleCrop>false</ScaleCrop>
  <LinksUpToDate>false</LinksUpToDate>
  <CharactersWithSpaces>2710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2021-01-27T00:00:00Z</dcterms:created>
  <dc:creator>杨柏强</dc:creator>
  <cp:lastModifiedBy>user01</cp:lastModifiedBy>
  <cp:lastPrinted>2024-10-12T19:01:00Z</cp:lastPrinted>
  <dcterms:modified xsi:type="dcterms:W3CDTF">2024-10-16T08:39:45Z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72662567D22F4502A41EF276647B5F63_12</vt:lpwstr>
  </property>
</Properties>
</file>