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textAlignment w:val="auto"/>
        <w:rPr>
          <w:rFonts w:ascii="黑体" w:hAnsi="黑体" w:eastAsia="黑体"/>
        </w:rPr>
      </w:pPr>
      <w:r>
        <w:rPr>
          <w:rFonts w:hint="eastAsia" w:ascii="黑体" w:hAnsi="黑体" w:eastAsia="黑体"/>
        </w:rPr>
        <w:t>附件6</w:t>
      </w:r>
    </w:p>
    <w:p>
      <w:pPr>
        <w:pStyle w:val="15"/>
        <w:spacing w:line="580" w:lineRule="exact"/>
        <w:ind w:firstLine="640"/>
        <w:jc w:val="center"/>
        <w:rPr>
          <w:rFonts w:hint="eastAsia" w:ascii="宋体"/>
          <w:b/>
          <w:bCs/>
          <w:color w:val="auto"/>
          <w:kern w:val="2"/>
          <w:sz w:val="44"/>
          <w:szCs w:val="44"/>
          <w:lang w:val="en-US" w:eastAsia="zh-CN"/>
        </w:rPr>
      </w:pPr>
      <w:r>
        <w:rPr>
          <w:rFonts w:hint="eastAsia" w:ascii="宋体"/>
          <w:b/>
          <w:bCs/>
          <w:color w:val="auto"/>
          <w:kern w:val="2"/>
          <w:sz w:val="44"/>
          <w:szCs w:val="44"/>
          <w:lang w:val="en-US" w:eastAsia="zh-CN"/>
        </w:rPr>
        <w:t>2023省级财政农田建设共同财政事权转移支出——耕地质量监测自评报告</w:t>
      </w:r>
    </w:p>
    <w:p>
      <w:pPr>
        <w:pStyle w:val="15"/>
        <w:spacing w:line="580" w:lineRule="exact"/>
        <w:ind w:firstLine="640"/>
        <w:jc w:val="center"/>
        <w:rPr>
          <w:rFonts w:hint="eastAsia" w:ascii="宋体"/>
          <w:b/>
          <w:bCs/>
          <w:color w:val="auto"/>
          <w:kern w:val="2"/>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（一）项目基本情况。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val="0"/>
          <w:bCs/>
          <w:lang w:val="en-US" w:eastAsia="zh-CN"/>
        </w:rPr>
      </w:pPr>
      <w:r>
        <w:rPr>
          <w:rFonts w:hint="eastAsia" w:ascii="宋体" w:hAnsi="宋体" w:eastAsia="宋体" w:cs="宋体"/>
          <w:b w:val="0"/>
          <w:bCs/>
          <w:lang w:val="zh-CN"/>
        </w:rPr>
        <w:t>按照四川财政厅、四川省农业农村厅《关于下达2023年省级财政农业高质量发展共同财政事权转移支付资金的通知</w:t>
      </w:r>
      <w:r>
        <w:rPr>
          <w:rFonts w:hint="eastAsia" w:ascii="宋体" w:hAnsi="宋体" w:eastAsia="宋体" w:cs="宋体"/>
          <w:b w:val="0"/>
          <w:bCs/>
          <w:lang w:val="en-US" w:eastAsia="zh-CN"/>
        </w:rPr>
        <w:t>》（</w:t>
      </w:r>
      <w:r>
        <w:rPr>
          <w:rFonts w:hint="eastAsia" w:ascii="宋体" w:hAnsi="宋体" w:eastAsia="宋体" w:cs="宋体"/>
          <w:b w:val="0"/>
          <w:bCs/>
          <w:lang w:val="zh-CN"/>
        </w:rPr>
        <w:t>川财农〔2023〕89号</w:t>
      </w:r>
      <w:r>
        <w:rPr>
          <w:rFonts w:hint="eastAsia" w:ascii="宋体" w:hAnsi="宋体" w:eastAsia="宋体" w:cs="宋体"/>
          <w:b w:val="0"/>
          <w:bCs/>
          <w:lang w:val="en-US" w:eastAsia="zh-CN"/>
        </w:rPr>
        <w:t>）文件精神，上级给我市下达耕地质量监测经费22.8万元，县级财政配套2.2万元，共计25万元用于耕地监测与评价工作。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lang w:val="zh-CN"/>
        </w:rPr>
      </w:pPr>
      <w:r>
        <w:rPr>
          <w:rFonts w:hint="eastAsia" w:ascii="宋体" w:hAnsi="宋体" w:eastAsia="宋体" w:cs="宋体"/>
          <w:b w:val="0"/>
          <w:bCs/>
          <w:lang w:val="en-US" w:eastAsia="zh-CN"/>
        </w:rPr>
        <w:t>绵竹市农业农村局严格按照文件要求，按照政府采购方式确定第三方服务机构的采购：四川中土检测检验有限公司成交，服务费为25万元。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（二）项目绩效目标。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b w:val="0"/>
          <w:bCs/>
          <w:lang w:val="en-US" w:eastAsia="zh-CN"/>
        </w:rPr>
      </w:pPr>
      <w:r>
        <w:rPr>
          <w:rFonts w:hint="eastAsia" w:ascii="宋体" w:hAnsi="宋体" w:eastAsia="宋体" w:cs="宋体"/>
          <w:b w:val="0"/>
          <w:bCs/>
          <w:lang w:val="zh-CN" w:eastAsia="zh-CN"/>
        </w:rPr>
        <w:t>1．项目主要内容。开展</w:t>
      </w:r>
      <w:r>
        <w:rPr>
          <w:rFonts w:hint="eastAsia" w:ascii="宋体" w:hAnsi="宋体" w:eastAsia="宋体" w:cs="宋体"/>
          <w:b w:val="0"/>
          <w:bCs/>
          <w:lang w:val="en-US" w:eastAsia="zh-CN"/>
        </w:rPr>
        <w:t>5个长期定位监测点的监测工作、53个监测点取样和化验工作。</w:t>
      </w:r>
    </w:p>
    <w:p>
      <w:pPr>
        <w:pStyle w:val="10"/>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b w:val="0"/>
          <w:bCs/>
          <w:lang w:val="en-US" w:eastAsia="zh-CN"/>
        </w:rPr>
      </w:pPr>
      <w:r>
        <w:rPr>
          <w:rFonts w:hint="eastAsia" w:ascii="宋体" w:hAnsi="宋体" w:eastAsia="宋体" w:cs="宋体"/>
          <w:b w:val="0"/>
          <w:bCs/>
          <w:lang w:val="en-US" w:eastAsia="zh-CN"/>
        </w:rPr>
        <w:t>其中：长期定位监测点包括1个国家级监测点、1个省级监测点、3个省、市、县共建监测。在长期定位监测内开展小区试验、样品采集、样品检测、成果汇总、数据库建设。</w:t>
      </w:r>
    </w:p>
    <w:p>
      <w:pPr>
        <w:pStyle w:val="10"/>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b w:val="0"/>
          <w:bCs/>
          <w:lang w:val="en-US" w:eastAsia="zh-CN"/>
        </w:rPr>
      </w:pPr>
      <w:r>
        <w:rPr>
          <w:rFonts w:hint="eastAsia" w:ascii="宋体" w:hAnsi="宋体" w:eastAsia="宋体" w:cs="宋体"/>
          <w:b w:val="0"/>
          <w:bCs/>
          <w:lang w:val="en-US" w:eastAsia="zh-CN"/>
        </w:rPr>
        <w:t>监测点包括53个监测的样品采集、化验和数据分析和评价报告。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lang w:val="zh-CN"/>
        </w:rPr>
      </w:pPr>
      <w:r>
        <w:rPr>
          <w:rFonts w:hint="eastAsia" w:ascii="宋体" w:hAnsi="宋体" w:eastAsia="宋体" w:cs="宋体"/>
          <w:b w:val="0"/>
          <w:bCs/>
          <w:lang w:val="en-US" w:eastAsia="zh-CN"/>
        </w:rPr>
        <w:t>所有工作须符合《四川省农业农村厅〈关于印发四川省耕地质量调查监测与评价技术方案及任务清单的通知》（川农函(2019)512号）文件相关要求和国家相关质量要求。</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en-US" w:eastAsia="zh-CN"/>
        </w:rPr>
      </w:pPr>
      <w:r>
        <w:rPr>
          <w:rFonts w:hint="eastAsia" w:ascii="宋体" w:hAnsi="宋体" w:eastAsia="宋体" w:cs="宋体"/>
          <w:lang w:val="en-US" w:eastAsia="zh-CN"/>
        </w:rPr>
        <w:t>2023年11月全面完成了监测任务，第三方服务机构按合同要求提供了全套数据和成果报告，绵竹市农业农村局并将相关报告上报德阳市局。</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（三）项目自评步骤及方法。</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b w:val="0"/>
          <w:bCs/>
          <w:lang w:val="zh-CN" w:eastAsia="zh-CN"/>
        </w:rPr>
        <w:t>项目绩效自评采用</w:t>
      </w:r>
      <w:r>
        <w:rPr>
          <w:rFonts w:hint="eastAsia" w:ascii="宋体" w:hAnsi="宋体" w:eastAsia="宋体" w:cs="宋体"/>
          <w:b w:val="0"/>
          <w:bCs/>
          <w:lang w:val="en-US" w:eastAsia="zh-CN"/>
        </w:rPr>
        <w:t>《四川省农业农村厅〈关于印发四川省耕地质量调查监测与评价技术方案及任务清单的通知》（川农函(2019)512号）文件要求，以及与第三方服务合同内容完成情况开展自评。</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rPr>
      </w:pPr>
      <w:r>
        <w:rPr>
          <w:rFonts w:hint="eastAsia" w:ascii="黑体" w:hAnsi="宋体" w:eastAsia="黑体"/>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（一）项目资金申报及批复情况。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项目资金属于上级下达，市农业农村局按程序向市财政申报采购计划。</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楷体" w:hAnsi="楷体" w:eastAsia="楷体" w:cs="楷体"/>
          <w:b/>
          <w:lang w:val="zh-CN"/>
        </w:rPr>
        <w:t>（二）资金计划、到位及使用情况。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1．资金计划：</w:t>
      </w:r>
      <w:r>
        <w:rPr>
          <w:rFonts w:hint="eastAsia" w:ascii="宋体" w:hAnsi="宋体" w:eastAsia="宋体" w:cs="宋体"/>
          <w:lang w:val="en-US" w:eastAsia="zh-CN"/>
        </w:rPr>
        <w:t>25万元</w:t>
      </w:r>
      <w:r>
        <w:rPr>
          <w:rFonts w:hint="eastAsia" w:ascii="宋体" w:hAnsi="宋体" w:eastAsia="宋体" w:cs="宋体"/>
          <w:lang w:val="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2．资金到位：</w:t>
      </w:r>
      <w:r>
        <w:rPr>
          <w:rFonts w:hint="eastAsia" w:ascii="宋体" w:hAnsi="宋体" w:eastAsia="宋体" w:cs="宋体"/>
          <w:lang w:val="en-US" w:eastAsia="zh-CN"/>
        </w:rPr>
        <w:t>25万元，按采购合同实际支付25万元</w:t>
      </w:r>
      <w:r>
        <w:rPr>
          <w:rFonts w:hint="eastAsia" w:ascii="宋体" w:hAnsi="宋体" w:eastAsia="宋体" w:cs="宋体"/>
          <w:lang w:val="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3．资金使用。</w:t>
      </w:r>
      <w:bookmarkStart w:id="0" w:name="_GoBack"/>
      <w:bookmarkEnd w:id="0"/>
      <w:r>
        <w:rPr>
          <w:rFonts w:hint="eastAsia" w:ascii="宋体" w:hAnsi="宋体" w:eastAsia="宋体" w:cs="宋体"/>
          <w:lang w:val="zh-CN"/>
        </w:rPr>
        <w:t>截至评价时点该项目资金支出资金</w:t>
      </w:r>
      <w:r>
        <w:rPr>
          <w:rFonts w:hint="eastAsia" w:ascii="宋体" w:hAnsi="宋体" w:eastAsia="宋体" w:cs="宋体"/>
          <w:lang w:val="en-US" w:eastAsia="zh-CN"/>
        </w:rPr>
        <w:t>25万元</w:t>
      </w:r>
      <w:r>
        <w:rPr>
          <w:rFonts w:hint="eastAsia" w:ascii="宋体" w:hAnsi="宋体" w:eastAsia="宋体" w:cs="宋体"/>
          <w:lang w:val="zh-CN"/>
        </w:rPr>
        <w:t>情况。资金支付范围、支付标准、支付进度、支付依据等合规合法、与预算相符。</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（三）项目财务管理情况。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项目实施单位财务管理制度健全，严格执行财务管理制度，账务处理及时，会计核算规范。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rPr>
      </w:pPr>
      <w:r>
        <w:rPr>
          <w:rFonts w:hint="eastAsia" w:ascii="黑体" w:hAnsi="宋体" w:eastAsia="黑体"/>
        </w:rPr>
        <w:t>三、项目实施及管理情况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楷体" w:hAnsi="楷体" w:eastAsia="楷体" w:cs="楷体"/>
          <w:b/>
          <w:lang w:val="zh-CN"/>
        </w:rPr>
        <w:t>（一）项目组织架构及实施流程。</w:t>
      </w:r>
      <w:r>
        <w:rPr>
          <w:rFonts w:hint="eastAsia" w:ascii="宋体" w:hAnsi="宋体" w:eastAsia="宋体" w:cs="宋体"/>
          <w:lang w:val="zh-CN"/>
        </w:rPr>
        <w:t>项目按采购程序申报、批复、采购和项目实施。</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楷体" w:hAnsi="楷体" w:eastAsia="楷体" w:cs="楷体"/>
          <w:b/>
          <w:lang w:val="zh-CN"/>
        </w:rPr>
        <w:t>（二）项目管理情况。</w:t>
      </w:r>
      <w:r>
        <w:rPr>
          <w:rFonts w:hint="eastAsia" w:ascii="宋体" w:hAnsi="宋体" w:eastAsia="宋体" w:cs="宋体"/>
          <w:lang w:val="zh-CN"/>
        </w:rPr>
        <w:t>项目按政府采购进行申报、采购、备案和项目公示制等相关规定。</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楷体" w:hAnsi="楷体" w:eastAsia="楷体" w:cs="楷体"/>
          <w:b/>
          <w:lang w:val="zh-CN"/>
        </w:rPr>
        <w:t>（三）项目监管情况。</w:t>
      </w:r>
      <w:r>
        <w:rPr>
          <w:rFonts w:hint="eastAsia" w:ascii="宋体" w:hAnsi="宋体" w:eastAsia="宋体" w:cs="宋体"/>
          <w:lang w:val="zh-CN"/>
        </w:rPr>
        <w:t>项目主管部门严格按规定开展凭审批、监管等，程序和监管工作到位，无违规情况。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lang w:val="zh-CN"/>
        </w:rPr>
      </w:pPr>
      <w:r>
        <w:rPr>
          <w:rFonts w:hint="eastAsia" w:ascii="黑体" w:hAnsi="宋体" w:eastAsia="黑体"/>
        </w:rPr>
        <w:t>四、项目绩效情况</w:t>
      </w:r>
      <w:r>
        <w:rPr>
          <w:rFonts w:hint="eastAsia" w:ascii="黑体" w:hAnsi="宋体" w:eastAsia="黑体"/>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项目按完成了监测、调查等项工作。</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楷体" w:hAnsi="楷体" w:eastAsia="楷体" w:cs="楷体"/>
          <w:b/>
          <w:lang w:val="zh-CN"/>
        </w:rPr>
      </w:pPr>
      <w:r>
        <w:rPr>
          <w:rFonts w:hint="eastAsia" w:ascii="楷体" w:hAnsi="楷体" w:eastAsia="楷体" w:cs="楷体"/>
          <w:b/>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lang w:val="zh-CN"/>
        </w:rPr>
      </w:pPr>
      <w:r>
        <w:rPr>
          <w:rFonts w:hint="eastAsia" w:ascii="宋体" w:hAnsi="宋体" w:eastAsia="宋体" w:cs="宋体"/>
          <w:lang w:val="zh-CN"/>
        </w:rPr>
        <w:t>该项目的实施为绵竹的耕地质量监测工作起到了重要保障，为领导决策和行业主管部门开展工作提供了数据支撑。</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黑体" w:hAnsi="宋体" w:eastAsia="黑体"/>
        </w:rPr>
      </w:pPr>
      <w:r>
        <w:rPr>
          <w:rFonts w:hint="eastAsia" w:ascii="黑体" w:hAnsi="宋体" w:eastAsia="黑体"/>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（一）评价结论。</w:t>
      </w:r>
    </w:p>
    <w:p>
      <w:pPr>
        <w:pStyle w:val="10"/>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bdr w:val="single" w:color="auto" w:sz="4" w:space="0"/>
          <w:lang w:val="zh-CN"/>
        </w:rPr>
      </w:pPr>
      <w:r>
        <w:rPr>
          <w:rFonts w:hint="eastAsia" w:ascii="宋体" w:hAnsi="宋体" w:eastAsia="宋体" w:cs="宋体"/>
          <w:b/>
          <w:lang w:val="en-US" w:eastAsia="zh-CN"/>
        </w:rPr>
        <w:t xml:space="preserve">  </w:t>
      </w:r>
      <w:r>
        <w:rPr>
          <w:rFonts w:hint="eastAsia" w:ascii="宋体" w:hAnsi="宋体" w:eastAsia="宋体" w:cs="宋体"/>
          <w:kern w:val="2"/>
          <w:sz w:val="32"/>
          <w:szCs w:val="32"/>
          <w:lang w:val="en-US" w:eastAsia="zh-CN" w:bidi="ar-SA"/>
        </w:rPr>
        <w:t xml:space="preserve"> 项目全面完成任务，资金支出合规，项目得分97分</w:t>
      </w:r>
      <w:r>
        <w:rPr>
          <w:rFonts w:hint="eastAsia" w:ascii="宋体" w:hAnsi="宋体" w:eastAsia="宋体" w:cs="宋体"/>
          <w:lang w:val="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lang w:val="zh-CN"/>
        </w:rPr>
      </w:pPr>
      <w:r>
        <w:rPr>
          <w:rFonts w:hint="eastAsia" w:ascii="宋体" w:hAnsi="宋体" w:eastAsia="宋体" w:cs="宋体"/>
          <w:lang w:val="zh-CN"/>
        </w:rPr>
        <w:t>无。</w:t>
      </w:r>
      <w:r>
        <w:rPr>
          <w:rFonts w:hint="eastAsia" w:ascii="宋体" w:hAnsi="宋体" w:eastAsia="宋体" w:cs="宋体"/>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eastAsia" w:ascii="宋体" w:hAnsi="宋体" w:eastAsia="宋体" w:cs="宋体"/>
          <w:b/>
          <w:lang w:val="zh-CN"/>
        </w:rPr>
      </w:pPr>
      <w:r>
        <w:rPr>
          <w:rFonts w:hint="eastAsia" w:ascii="楷体" w:hAnsi="楷体" w:eastAsia="楷体" w:cs="楷体"/>
          <w:b/>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lang w:val="zh-CN"/>
        </w:rPr>
      </w:pPr>
      <w:r>
        <w:rPr>
          <w:rFonts w:hint="eastAsia" w:ascii="宋体" w:hAnsi="宋体" w:eastAsia="宋体" w:cs="宋体"/>
          <w:lang w:val="zh-CN"/>
        </w:rPr>
        <w:t>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291918"/>
    <w:rsid w:val="002E7D7A"/>
    <w:rsid w:val="00427240"/>
    <w:rsid w:val="00543D64"/>
    <w:rsid w:val="00572F4E"/>
    <w:rsid w:val="005842A2"/>
    <w:rsid w:val="008F6FBC"/>
    <w:rsid w:val="008F788A"/>
    <w:rsid w:val="00A36A47"/>
    <w:rsid w:val="00AC3975"/>
    <w:rsid w:val="00E4357F"/>
    <w:rsid w:val="00F251E9"/>
    <w:rsid w:val="00FD3EFA"/>
    <w:rsid w:val="00FD62E7"/>
    <w:rsid w:val="03DE749C"/>
    <w:rsid w:val="0CBE6728"/>
    <w:rsid w:val="1F415D55"/>
    <w:rsid w:val="29AF3EE2"/>
    <w:rsid w:val="472E0478"/>
    <w:rsid w:val="4AB63589"/>
    <w:rsid w:val="54F84C6A"/>
    <w:rsid w:val="58B5596C"/>
    <w:rsid w:val="59991E7B"/>
    <w:rsid w:val="634C2FCC"/>
    <w:rsid w:val="79420424"/>
    <w:rsid w:val="7B9259F0"/>
    <w:rsid w:val="7F7F5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style>
  <w:style w:type="paragraph" w:styleId="3">
    <w:name w:val="Body Text Indent"/>
    <w:basedOn w:val="1"/>
    <w:next w:val="4"/>
    <w:autoRedefine/>
    <w:qFormat/>
    <w:uiPriority w:val="0"/>
    <w:pPr>
      <w:ind w:firstLine="560" w:firstLineChars="200"/>
    </w:pPr>
    <w:rPr>
      <w:rFonts w:ascii="Times New Roman" w:hAnsi="Times New Roman"/>
      <w:kern w:val="0"/>
      <w:sz w:val="24"/>
    </w:rPr>
  </w:style>
  <w:style w:type="paragraph" w:styleId="4">
    <w:name w:val="Normal Indent"/>
    <w:basedOn w:val="1"/>
    <w:next w:val="1"/>
    <w:autoRedefine/>
    <w:unhideWhenUsed/>
    <w:qFormat/>
    <w:uiPriority w:val="99"/>
    <w:pPr>
      <w:ind w:firstLine="420" w:firstLineChars="200"/>
    </w:pPr>
  </w:style>
  <w:style w:type="paragraph" w:styleId="5">
    <w:name w:val="Body Text"/>
    <w:basedOn w:val="1"/>
    <w:autoRedefine/>
    <w:semiHidden/>
    <w:unhideWhenUsed/>
    <w:qFormat/>
    <w:uiPriority w:val="99"/>
    <w:pPr>
      <w:spacing w:after="120"/>
    </w:pPr>
  </w:style>
  <w:style w:type="paragraph" w:styleId="6">
    <w:name w:val="Plain Text"/>
    <w:basedOn w:val="1"/>
    <w:autoRedefine/>
    <w:qFormat/>
    <w:uiPriority w:val="99"/>
    <w:pPr>
      <w:autoSpaceDE w:val="0"/>
      <w:autoSpaceDN w:val="0"/>
      <w:adjustRightInd w:val="0"/>
    </w:pPr>
    <w:rPr>
      <w:rFonts w:hint="eastAsia" w:hAnsi="Tms Rmn"/>
      <w:kern w:val="2"/>
      <w:sz w:val="21"/>
    </w:rPr>
  </w:style>
  <w:style w:type="paragraph" w:styleId="7">
    <w:name w:val="footer"/>
    <w:basedOn w:val="1"/>
    <w:link w:val="14"/>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5"/>
    <w:autoRedefine/>
    <w:semiHidden/>
    <w:unhideWhenUsed/>
    <w:qFormat/>
    <w:uiPriority w:val="99"/>
    <w:pPr>
      <w:ind w:firstLine="420" w:firstLineChars="100"/>
    </w:pPr>
  </w:style>
  <w:style w:type="character" w:customStyle="1" w:styleId="13">
    <w:name w:val="页眉 Char"/>
    <w:basedOn w:val="12"/>
    <w:link w:val="8"/>
    <w:autoRedefine/>
    <w:qFormat/>
    <w:uiPriority w:val="99"/>
    <w:rPr>
      <w:sz w:val="18"/>
      <w:szCs w:val="18"/>
    </w:rPr>
  </w:style>
  <w:style w:type="character" w:customStyle="1" w:styleId="14">
    <w:name w:val="页脚 Char"/>
    <w:basedOn w:val="12"/>
    <w:link w:val="7"/>
    <w:autoRedefine/>
    <w:qFormat/>
    <w:uiPriority w:val="99"/>
    <w:rPr>
      <w:sz w:val="18"/>
      <w:szCs w:val="18"/>
    </w:rPr>
  </w:style>
  <w:style w:type="paragraph" w:customStyle="1" w:styleId="15">
    <w:name w:val="四号正文"/>
    <w:basedOn w:val="1"/>
    <w:link w:val="16"/>
    <w:autoRedefine/>
    <w:qFormat/>
    <w:uiPriority w:val="99"/>
    <w:pPr>
      <w:spacing w:line="360" w:lineRule="auto"/>
    </w:pPr>
    <w:rPr>
      <w:rFonts w:ascii="??" w:hAnsi="??" w:eastAsia="宋体"/>
      <w:color w:val="000000"/>
      <w:kern w:val="0"/>
      <w:sz w:val="28"/>
      <w:szCs w:val="21"/>
    </w:rPr>
  </w:style>
  <w:style w:type="character" w:customStyle="1" w:styleId="16">
    <w:name w:val="四号正文 Char"/>
    <w:link w:val="15"/>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1100</Words>
  <Characters>1156</Characters>
  <Lines>9</Lines>
  <Paragraphs>2</Paragraphs>
  <TotalTime>1</TotalTime>
  <ScaleCrop>false</ScaleCrop>
  <LinksUpToDate>false</LinksUpToDate>
  <CharactersWithSpaces>1161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FBE02EF3A35C484CABBA1D84455B9139_13</vt:lpwstr>
  </property>
</Properties>
</file>