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center"/>
        <w:textAlignment w:val="auto"/>
        <w:rPr>
          <w:rFonts w:hint="eastAsia" w:ascii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/>
          <w:b/>
          <w:bCs/>
          <w:color w:val="auto"/>
          <w:kern w:val="2"/>
          <w:sz w:val="44"/>
          <w:szCs w:val="44"/>
          <w:lang w:val="zh-CN" w:eastAsia="zh-CN"/>
        </w:rPr>
        <w:t>绵竹市2023年产地环境监测</w:t>
      </w:r>
      <w:r>
        <w:rPr>
          <w:rFonts w:hint="eastAsia" w:ascii="宋体"/>
          <w:b/>
          <w:bCs/>
          <w:color w:val="auto"/>
          <w:kern w:val="2"/>
          <w:sz w:val="44"/>
          <w:szCs w:val="44"/>
          <w:lang w:val="en-US" w:eastAsia="zh-CN"/>
        </w:rPr>
        <w:t>自评报告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jc w:val="center"/>
        <w:textAlignment w:val="auto"/>
        <w:rPr>
          <w:rFonts w:hint="eastAsia" w:ascii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/>
        </w:rPr>
        <w:t>按照德阳市农业农村局关于转发《四川省农业生态环境监测体系建设2023年工作实施方案》等系列方案的通知（川农函〔20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23﹞）文件精神，开展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绵竹市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/>
        </w:rPr>
        <w:t>2023年产地环境监测。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1、</w:t>
      </w:r>
      <w:r>
        <w:rPr>
          <w:rFonts w:ascii="Times New Roman" w:hAnsi="Times New Roman" w:eastAsia="仿宋_GB2312"/>
          <w:color w:val="auto"/>
          <w:sz w:val="32"/>
          <w:szCs w:val="32"/>
        </w:rPr>
        <w:t>开展产地环境协同监测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2023年，在全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/>
          <w:color w:val="auto"/>
          <w:sz w:val="32"/>
          <w:szCs w:val="32"/>
        </w:rPr>
        <w:t>设置产地环境协同监测点位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271</w:t>
      </w:r>
      <w:r>
        <w:rPr>
          <w:rFonts w:ascii="Times New Roman" w:hAnsi="Times New Roman" w:eastAsia="仿宋_GB2312"/>
          <w:color w:val="auto"/>
          <w:sz w:val="32"/>
          <w:szCs w:val="32"/>
        </w:rPr>
        <w:t>个，其中在安全利用类耕地布设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246</w:t>
      </w:r>
      <w:r>
        <w:rPr>
          <w:rFonts w:ascii="Times New Roman" w:hAnsi="Times New Roman" w:eastAsia="仿宋_GB2312"/>
          <w:color w:val="auto"/>
          <w:sz w:val="32"/>
          <w:szCs w:val="32"/>
        </w:rPr>
        <w:t>个协同监测点，在优先保护类耕地上布设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仿宋_GB2312"/>
          <w:color w:val="auto"/>
          <w:sz w:val="32"/>
          <w:szCs w:val="32"/>
        </w:rPr>
        <w:t>个点位，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通过</w:t>
      </w:r>
      <w:r>
        <w:rPr>
          <w:rFonts w:ascii="Times New Roman" w:hAnsi="Times New Roman" w:eastAsia="仿宋_GB2312"/>
          <w:color w:val="auto"/>
          <w:sz w:val="32"/>
          <w:szCs w:val="32"/>
        </w:rPr>
        <w:t>协同监测全面摸清耕地质量状况，进一步加强耕地质量建设。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2、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建设产地环境综合监测区域站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0" w:firstLineChars="200"/>
        <w:textAlignment w:val="auto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2023年新建1个产地环境综合监测区域站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/>
          <w:color w:val="auto"/>
          <w:sz w:val="32"/>
          <w:szCs w:val="32"/>
        </w:rPr>
        <w:t>主要监测大气沉降、灌溉水、农业投入品等对土壤的影响以及土壤和农产品监测。通过对产地环境全方位监测，实时全面掌握产地环境质量状况。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项目绩效自评采用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《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/>
        </w:rPr>
        <w:t>根据《关于做好2023年农业高质量发展资金项目实施工作的通知》（川农函〔2023〕432号），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文件要求，以及与第三方服务合同内容完成情况开展自评。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项目资金属于上级下达，市农业农村局按程序向市财政申报采购计划。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1．资金计划：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72.2万元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2．资金到位：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72.2万元.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3．资金使用。</w:t>
      </w:r>
      <w:bookmarkStart w:id="0" w:name="_GoBack"/>
      <w:bookmarkEnd w:id="0"/>
      <w:r>
        <w:rPr>
          <w:rFonts w:hint="eastAsia"/>
          <w:color w:val="auto"/>
          <w:sz w:val="32"/>
          <w:szCs w:val="32"/>
          <w:lang w:val="zh-CN" w:eastAsia="zh-CN"/>
        </w:rPr>
        <w:t>截至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评价时点该项目资金支出资金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0元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情况。资金支付范围、支付标准、支付进度、支付依据等合规合法、与预算相符。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项目实施单位财务管理制度健全，严格执行财务管理制度，账务处理及时，会计核算规范。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（一）项目组织架构及实施流程。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项目按采购程序申报、批复、采购和项目实施。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（二）项目管理情况。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项目按政府采购进行申报、采购、备案和项目公示制等相关规定。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（三）项目监管情况。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项目主管部门严格按规定开展凭审批、监管等，程序和监管工作到位，无违规情况。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hint="eastAsia" w:ascii="黑体" w:hAnsi="宋体" w:eastAsia="黑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项目按完成了监测、调查等项工作</w:t>
      </w:r>
      <w:r>
        <w:rPr>
          <w:rFonts w:hint="eastAsia" w:ascii="宋体" w:hAnsi="宋体" w:eastAsia="宋体" w:cs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zh-CN" w:eastAsia="zh-CN"/>
        </w:rPr>
        <w:t>该项目的实施为绵竹的耕地质量协同监测工作起到了重要保障，为领导决策和行业主管部门开展工作提供了数据支撑。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（一）评价结论。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b/>
          <w:lang w:val="en-US" w:eastAsia="zh-CN"/>
        </w:rPr>
        <w:t xml:space="preserve">  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监测工作才启动，正按方案执行。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无。</w:t>
      </w:r>
      <w:r>
        <w:rPr>
          <w:rFonts w:hint="eastAsia" w:ascii="宋体" w:hAnsi="宋体" w:eastAsia="宋体" w:cs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36A47"/>
    <w:rsid w:val="00AC3975"/>
    <w:rsid w:val="00E4357F"/>
    <w:rsid w:val="00F251E9"/>
    <w:rsid w:val="00FD3EFA"/>
    <w:rsid w:val="00FD62E7"/>
    <w:rsid w:val="03DE749C"/>
    <w:rsid w:val="1F415D55"/>
    <w:rsid w:val="29AF3EE2"/>
    <w:rsid w:val="472E0478"/>
    <w:rsid w:val="54F84C6A"/>
    <w:rsid w:val="58B5596C"/>
    <w:rsid w:val="59991E7B"/>
    <w:rsid w:val="5B3948DD"/>
    <w:rsid w:val="634C2FCC"/>
    <w:rsid w:val="6B2541AF"/>
    <w:rsid w:val="7942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560" w:firstLineChars="200"/>
    </w:pPr>
    <w:rPr>
      <w:rFonts w:ascii="Times New Roman" w:hAnsi="Times New Roman"/>
      <w:kern w:val="0"/>
      <w:sz w:val="24"/>
    </w:rPr>
  </w:style>
  <w:style w:type="paragraph" w:styleId="4">
    <w:name w:val="Normal Indent"/>
    <w:basedOn w:val="1"/>
    <w:next w:val="1"/>
    <w:autoRedefine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6">
    <w:name w:val="Plain Text"/>
    <w:basedOn w:val="1"/>
    <w:autoRedefine/>
    <w:qFormat/>
    <w:uiPriority w:val="99"/>
    <w:pPr>
      <w:autoSpaceDE w:val="0"/>
      <w:autoSpaceDN w:val="0"/>
      <w:adjustRightInd w:val="0"/>
    </w:pPr>
    <w:rPr>
      <w:rFonts w:hint="eastAsia" w:hAnsi="Tms Rmn"/>
      <w:kern w:val="2"/>
      <w:sz w:val="21"/>
    </w:rPr>
  </w:style>
  <w:style w:type="paragraph" w:styleId="7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5"/>
    <w:autoRedefine/>
    <w:semiHidden/>
    <w:unhideWhenUsed/>
    <w:qFormat/>
    <w:uiPriority w:val="99"/>
    <w:pPr>
      <w:ind w:firstLine="420" w:firstLineChars="100"/>
    </w:pPr>
  </w:style>
  <w:style w:type="character" w:customStyle="1" w:styleId="13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autoRedefine/>
    <w:qFormat/>
    <w:uiPriority w:val="99"/>
    <w:rPr>
      <w:sz w:val="18"/>
      <w:szCs w:val="18"/>
    </w:rPr>
  </w:style>
  <w:style w:type="paragraph" w:customStyle="1" w:styleId="15">
    <w:name w:val="四号正文"/>
    <w:basedOn w:val="1"/>
    <w:link w:val="16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6">
    <w:name w:val="四号正文 Char"/>
    <w:link w:val="15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1100</Words>
  <Characters>1156</Characters>
  <Lines>9</Lines>
  <Paragraphs>2</Paragraphs>
  <TotalTime>1</TotalTime>
  <ScaleCrop>false</ScaleCrop>
  <LinksUpToDate>false</LinksUpToDate>
  <CharactersWithSpaces>1161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2024-01-25T09:09:38Z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A7569F18F7FA433A9D1C1199AA9800EA_13</vt:lpwstr>
  </property>
</Properties>
</file>