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80" w:lineRule="exact"/>
        <w:ind w:firstLine="640"/>
        <w:jc w:val="center"/>
        <w:rPr>
          <w:rFonts w:hint="eastAsia" w:ascii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2021年中央财政农业资源及生态保护补助资金</w:t>
      </w:r>
    </w:p>
    <w:p>
      <w:pPr>
        <w:pStyle w:val="11"/>
        <w:spacing w:line="580" w:lineRule="exact"/>
        <w:ind w:firstLine="640"/>
        <w:jc w:val="center"/>
        <w:rPr>
          <w:rFonts w:hint="eastAsia" w:ascii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2021年中央财政农业资源及生态保护补助资金（2023收回再安排）安排经费54.53万元，用于支付绵竹市2022年绿色种养循环试验及水稻肥料利用率田间试验服务费。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 w:val="0"/>
          <w:bCs/>
          <w:lang w:val="zh-CN" w:eastAsia="zh-CN"/>
        </w:rPr>
      </w:pPr>
      <w:r>
        <w:rPr>
          <w:rFonts w:hint="eastAsia" w:ascii="宋体" w:hAnsi="宋体" w:eastAsia="宋体" w:cs="宋体"/>
          <w:b w:val="0"/>
          <w:bCs/>
          <w:lang w:val="zh-CN" w:eastAsia="zh-CN"/>
        </w:rPr>
        <w:t>1、全市安排5个试验点，在2021年试验点上继续实施。每个试验点大小春2个试验，共计10个试验。2、绵竹市2022年水稻肥料利用率田间试验4个每个试验设置5个处理、3次重复。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b w:val="0"/>
          <w:bCs/>
          <w:lang w:val="zh-CN" w:eastAsia="zh-CN"/>
        </w:rPr>
        <w:t>项目绩效自评采用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《2021年中央财政农业资源及生态保护补助资金》文件要求，以及与第三方服务合同内容完成情况开展自评。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项目资金属于上级下达，市农业农村局按程序向市财政申报采购计划。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1．资金计划：</w:t>
      </w:r>
      <w:r>
        <w:rPr>
          <w:rFonts w:hint="eastAsia" w:ascii="宋体" w:hAnsi="宋体" w:eastAsia="宋体" w:cs="宋体"/>
          <w:lang w:val="en-US" w:eastAsia="zh-CN"/>
        </w:rPr>
        <w:t>54.53万元</w:t>
      </w:r>
      <w:r>
        <w:rPr>
          <w:rFonts w:hint="eastAsia" w:ascii="宋体" w:hAnsi="宋体" w:eastAsia="宋体" w:cs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2．资金到位：</w:t>
      </w:r>
      <w:r>
        <w:rPr>
          <w:rFonts w:hint="eastAsia" w:ascii="宋体" w:hAnsi="宋体" w:eastAsia="宋体" w:cs="宋体"/>
          <w:lang w:val="en-US" w:eastAsia="zh-CN"/>
        </w:rPr>
        <w:t>54.53万元，按采购合同实际支付54.53万元</w:t>
      </w:r>
      <w:r>
        <w:rPr>
          <w:rFonts w:hint="eastAsia" w:ascii="宋体" w:hAnsi="宋体" w:eastAsia="宋体" w:cs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3．资金使用。</w:t>
      </w:r>
      <w:bookmarkStart w:id="0" w:name="_GoBack"/>
      <w:bookmarkEnd w:id="0"/>
      <w:r>
        <w:rPr>
          <w:rFonts w:hint="eastAsia" w:ascii="宋体" w:hAnsi="宋体" w:eastAsia="宋体" w:cs="宋体"/>
          <w:lang w:val="zh-CN"/>
        </w:rPr>
        <w:t>截至评价时点该项目资金支出资金</w:t>
      </w:r>
      <w:r>
        <w:rPr>
          <w:rFonts w:hint="eastAsia" w:ascii="宋体" w:hAnsi="宋体" w:eastAsia="宋体" w:cs="宋体"/>
          <w:lang w:val="en-US" w:eastAsia="zh-CN"/>
        </w:rPr>
        <w:t>54.53万元</w:t>
      </w:r>
      <w:r>
        <w:rPr>
          <w:rFonts w:hint="eastAsia" w:ascii="宋体" w:hAnsi="宋体" w:eastAsia="宋体" w:cs="宋体"/>
          <w:lang w:val="zh-CN"/>
        </w:rPr>
        <w:t>情况。资金支付范围、支付标准、支付进度、支付依据等合规合法、与预算相符。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项目实施单位财务管理制度健全，严格执行财务管理制度，账务处理及时，会计核算规范。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（一）项目组织架构及实施流程。</w:t>
      </w:r>
      <w:r>
        <w:rPr>
          <w:rFonts w:hint="eastAsia" w:ascii="宋体" w:hAnsi="宋体" w:eastAsia="宋体" w:cs="宋体"/>
          <w:lang w:val="zh-CN"/>
        </w:rPr>
        <w:t>项目按采购程序申报、批复、采购和项目实施。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（二）项目管理情况。</w:t>
      </w:r>
      <w:r>
        <w:rPr>
          <w:rFonts w:hint="eastAsia" w:ascii="宋体" w:hAnsi="宋体" w:eastAsia="宋体" w:cs="宋体"/>
          <w:lang w:val="zh-CN"/>
        </w:rPr>
        <w:t>项目按政府采购进行申报、采购、备案和项目公示制等相关规定。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（三）项目监管情况。</w:t>
      </w:r>
      <w:r>
        <w:rPr>
          <w:rFonts w:hint="eastAsia" w:ascii="宋体" w:hAnsi="宋体" w:eastAsia="宋体" w:cs="宋体"/>
          <w:lang w:val="zh-CN"/>
        </w:rPr>
        <w:t>项目主管部门严格按规定开展凭审批、监管等，程序和监管工作到位，无违规情况。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hint="eastAsia" w:ascii="黑体" w:hAnsi="宋体" w:eastAsia="黑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项目按完成了监测、调查等项工作。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该项目的实施为绵竹的耕地质量监测工作起到了重要保障，为领导决策和行业主管部门开展工作提供了数据支撑。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（一）评价结论。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宋体" w:hAnsi="宋体" w:eastAsia="宋体" w:cs="宋体"/>
          <w:bdr w:val="single" w:color="auto" w:sz="4" w:space="0"/>
          <w:lang w:val="zh-CN"/>
        </w:rPr>
      </w:pPr>
      <w:r>
        <w:rPr>
          <w:rFonts w:hint="eastAsia" w:ascii="宋体" w:hAnsi="宋体" w:eastAsia="宋体" w:cs="宋体"/>
          <w:b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 xml:space="preserve"> 项目全面完成任务，资金支出合规，项目得分97分</w:t>
      </w:r>
      <w:r>
        <w:rPr>
          <w:rFonts w:hint="eastAsia" w:ascii="宋体" w:hAnsi="宋体" w:eastAsia="宋体" w:cs="宋体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无。</w:t>
      </w:r>
      <w:r>
        <w:rPr>
          <w:rFonts w:hint="eastAsia" w:ascii="宋体" w:hAnsi="宋体" w:eastAsia="宋体" w:cs="宋体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5D6B9F-3315-4E6F-AB3B-691D48BF929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867611A-B551-4666-B6C5-6C9CD1DE6DC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AC96ADF-136B-40A4-8CB5-069613DA21E9}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2C7DC83C-89BC-4077-B10E-7C4DDF19432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9AFADF3-10F0-44AB-9891-6DE512C2418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YzIzYmE3M2ZiMzQ2NzQwZTY1ZGI5ZjM5NDFlMWQifQ=="/>
  </w:docVars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36A47"/>
    <w:rsid w:val="00AC3975"/>
    <w:rsid w:val="00E4357F"/>
    <w:rsid w:val="00F251E9"/>
    <w:rsid w:val="00FD3EFA"/>
    <w:rsid w:val="00FD62E7"/>
    <w:rsid w:val="03DE749C"/>
    <w:rsid w:val="15FC06B8"/>
    <w:rsid w:val="1F415D55"/>
    <w:rsid w:val="29AF3EE2"/>
    <w:rsid w:val="472E0478"/>
    <w:rsid w:val="50EB023E"/>
    <w:rsid w:val="54F84C6A"/>
    <w:rsid w:val="774347FD"/>
    <w:rsid w:val="7942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Plain Text"/>
    <w:basedOn w:val="1"/>
    <w:autoRedefine/>
    <w:qFormat/>
    <w:uiPriority w:val="99"/>
    <w:pPr>
      <w:autoSpaceDE w:val="0"/>
      <w:autoSpaceDN w:val="0"/>
      <w:adjustRightInd w:val="0"/>
    </w:pPr>
    <w:rPr>
      <w:rFonts w:hint="eastAsia" w:hAnsi="Tms Rmn"/>
      <w:kern w:val="2"/>
      <w:sz w:val="21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autoRedefine/>
    <w:qFormat/>
    <w:uiPriority w:val="99"/>
    <w:rPr>
      <w:sz w:val="18"/>
      <w:szCs w:val="18"/>
    </w:rPr>
  </w:style>
  <w:style w:type="paragraph" w:customStyle="1" w:styleId="11">
    <w:name w:val="四号正文"/>
    <w:basedOn w:val="1"/>
    <w:link w:val="12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2">
    <w:name w:val="四号正文 Char"/>
    <w:link w:val="11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1100</Words>
  <Characters>1156</Characters>
  <Lines>9</Lines>
  <Paragraphs>2</Paragraphs>
  <TotalTime>1</TotalTime>
  <ScaleCrop>false</ScaleCrop>
  <LinksUpToDate>false</LinksUpToDate>
  <CharactersWithSpaces>1161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2024-01-25T09:08:57Z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2E651AA333DE4EB7AE423431B60B3A7F</vt:lpwstr>
  </property>
</Properties>
</file>